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4419" w14:textId="77777777" w:rsidR="005D00C0" w:rsidRPr="00D8166E" w:rsidRDefault="005D00C0" w:rsidP="00D8166E">
      <w:pPr>
        <w:pStyle w:val="Paprastasistekstas"/>
        <w:rPr>
          <w:rFonts w:ascii="Times New Roman" w:hAnsi="Times New Roman"/>
          <w:color w:val="000000"/>
          <w:sz w:val="24"/>
          <w:lang w:val="lt-LT"/>
        </w:rPr>
      </w:pPr>
    </w:p>
    <w:p w14:paraId="08975431" w14:textId="77777777" w:rsidR="00F34163" w:rsidRPr="005F48B8" w:rsidRDefault="00F34163" w:rsidP="00D8166E">
      <w:pPr>
        <w:widowControl w:val="0"/>
        <w:tabs>
          <w:tab w:val="clear" w:pos="567"/>
        </w:tabs>
        <w:spacing w:line="240" w:lineRule="auto"/>
        <w:rPr>
          <w:color w:val="008000"/>
          <w:szCs w:val="22"/>
          <w:lang w:val="lt-LT"/>
        </w:rPr>
      </w:pPr>
    </w:p>
    <w:p w14:paraId="30859EDD" w14:textId="77777777" w:rsidR="00F34163" w:rsidRPr="008612DF" w:rsidRDefault="00F34163" w:rsidP="00D8166E">
      <w:pPr>
        <w:outlineLvl w:val="0"/>
        <w:rPr>
          <w:b/>
          <w:szCs w:val="22"/>
          <w:lang w:val="lt-LT"/>
        </w:rPr>
      </w:pPr>
    </w:p>
    <w:p w14:paraId="112C4D91" w14:textId="77777777" w:rsidR="00F34163" w:rsidRPr="002A25EF" w:rsidRDefault="00F34163" w:rsidP="00D8166E">
      <w:pPr>
        <w:outlineLvl w:val="0"/>
        <w:rPr>
          <w:b/>
          <w:szCs w:val="22"/>
          <w:lang w:val="lt-LT"/>
        </w:rPr>
      </w:pPr>
    </w:p>
    <w:p w14:paraId="6BA87FE0" w14:textId="77777777" w:rsidR="00F34163" w:rsidRPr="0061385E" w:rsidRDefault="00F34163" w:rsidP="00D8166E">
      <w:pPr>
        <w:outlineLvl w:val="0"/>
        <w:rPr>
          <w:b/>
          <w:szCs w:val="22"/>
          <w:lang w:val="lt-LT"/>
        </w:rPr>
      </w:pPr>
    </w:p>
    <w:p w14:paraId="3A3EAA2A" w14:textId="77777777" w:rsidR="00F34163" w:rsidRPr="009840AD" w:rsidRDefault="00F34163" w:rsidP="00D8166E">
      <w:pPr>
        <w:outlineLvl w:val="0"/>
        <w:rPr>
          <w:b/>
          <w:szCs w:val="22"/>
          <w:lang w:val="lt-LT"/>
        </w:rPr>
      </w:pPr>
    </w:p>
    <w:p w14:paraId="1112D56B" w14:textId="77777777" w:rsidR="00F34163" w:rsidRPr="00F1014D" w:rsidRDefault="00F34163" w:rsidP="00D8166E">
      <w:pPr>
        <w:tabs>
          <w:tab w:val="left" w:pos="-1440"/>
          <w:tab w:val="left" w:pos="-720"/>
        </w:tabs>
        <w:rPr>
          <w:b/>
          <w:szCs w:val="22"/>
          <w:lang w:val="lt-LT"/>
        </w:rPr>
      </w:pPr>
    </w:p>
    <w:p w14:paraId="1A921A47" w14:textId="77777777" w:rsidR="00F34163" w:rsidRPr="007203A0" w:rsidRDefault="00F34163" w:rsidP="00D8166E">
      <w:pPr>
        <w:tabs>
          <w:tab w:val="left" w:pos="-1440"/>
          <w:tab w:val="left" w:pos="-720"/>
        </w:tabs>
        <w:rPr>
          <w:b/>
          <w:szCs w:val="22"/>
          <w:lang w:val="lt-LT"/>
        </w:rPr>
      </w:pPr>
    </w:p>
    <w:p w14:paraId="7206D64E" w14:textId="77777777" w:rsidR="00F34163" w:rsidRPr="007203A0" w:rsidRDefault="00F34163" w:rsidP="00D8166E">
      <w:pPr>
        <w:tabs>
          <w:tab w:val="left" w:pos="-1440"/>
          <w:tab w:val="left" w:pos="-720"/>
        </w:tabs>
        <w:rPr>
          <w:b/>
          <w:szCs w:val="22"/>
          <w:lang w:val="lt-LT"/>
        </w:rPr>
      </w:pPr>
    </w:p>
    <w:p w14:paraId="0B58573D" w14:textId="77777777" w:rsidR="00F34163" w:rsidRPr="007203A0" w:rsidRDefault="00F34163" w:rsidP="00D8166E">
      <w:pPr>
        <w:tabs>
          <w:tab w:val="left" w:pos="-1440"/>
          <w:tab w:val="left" w:pos="-720"/>
        </w:tabs>
        <w:rPr>
          <w:b/>
          <w:szCs w:val="22"/>
          <w:lang w:val="lt-LT"/>
        </w:rPr>
      </w:pPr>
    </w:p>
    <w:p w14:paraId="57177E06" w14:textId="77777777" w:rsidR="00F34163" w:rsidRPr="007203A0" w:rsidRDefault="00F34163" w:rsidP="00D8166E">
      <w:pPr>
        <w:tabs>
          <w:tab w:val="left" w:pos="-1440"/>
          <w:tab w:val="left" w:pos="-720"/>
        </w:tabs>
        <w:rPr>
          <w:b/>
          <w:szCs w:val="22"/>
          <w:lang w:val="lt-LT"/>
        </w:rPr>
      </w:pPr>
    </w:p>
    <w:p w14:paraId="3B4A953B" w14:textId="77777777" w:rsidR="00F34163" w:rsidRPr="007203A0" w:rsidRDefault="00F34163" w:rsidP="00D8166E">
      <w:pPr>
        <w:tabs>
          <w:tab w:val="left" w:pos="-1440"/>
          <w:tab w:val="left" w:pos="-720"/>
        </w:tabs>
        <w:rPr>
          <w:b/>
          <w:szCs w:val="22"/>
          <w:lang w:val="lt-LT"/>
        </w:rPr>
      </w:pPr>
    </w:p>
    <w:p w14:paraId="374BC53C" w14:textId="77777777" w:rsidR="00F34163" w:rsidRPr="007203A0" w:rsidRDefault="00F34163" w:rsidP="00D8166E">
      <w:pPr>
        <w:tabs>
          <w:tab w:val="left" w:pos="-1440"/>
          <w:tab w:val="left" w:pos="-720"/>
        </w:tabs>
        <w:rPr>
          <w:b/>
          <w:szCs w:val="22"/>
          <w:lang w:val="lt-LT"/>
        </w:rPr>
      </w:pPr>
    </w:p>
    <w:p w14:paraId="70DA6F9A" w14:textId="77777777" w:rsidR="00F34163" w:rsidRPr="007203A0" w:rsidRDefault="00F34163" w:rsidP="00D8166E">
      <w:pPr>
        <w:tabs>
          <w:tab w:val="left" w:pos="-1440"/>
          <w:tab w:val="left" w:pos="-720"/>
        </w:tabs>
        <w:rPr>
          <w:b/>
          <w:szCs w:val="22"/>
          <w:lang w:val="lt-LT"/>
        </w:rPr>
      </w:pPr>
    </w:p>
    <w:p w14:paraId="06F85ADD" w14:textId="77777777" w:rsidR="00F34163" w:rsidRPr="007203A0" w:rsidRDefault="00F34163" w:rsidP="00D8166E">
      <w:pPr>
        <w:tabs>
          <w:tab w:val="left" w:pos="-1440"/>
          <w:tab w:val="left" w:pos="-720"/>
        </w:tabs>
        <w:rPr>
          <w:b/>
          <w:szCs w:val="22"/>
          <w:lang w:val="lt-LT"/>
        </w:rPr>
      </w:pPr>
    </w:p>
    <w:p w14:paraId="00C283C4" w14:textId="77777777" w:rsidR="00F34163" w:rsidRPr="007203A0" w:rsidRDefault="00F34163" w:rsidP="00D8166E">
      <w:pPr>
        <w:tabs>
          <w:tab w:val="left" w:pos="-1440"/>
          <w:tab w:val="left" w:pos="-720"/>
        </w:tabs>
        <w:rPr>
          <w:b/>
          <w:szCs w:val="22"/>
          <w:lang w:val="lt-LT"/>
        </w:rPr>
      </w:pPr>
    </w:p>
    <w:p w14:paraId="4145A183" w14:textId="77777777" w:rsidR="00F34163" w:rsidRPr="007203A0" w:rsidRDefault="00F34163" w:rsidP="00D8166E">
      <w:pPr>
        <w:tabs>
          <w:tab w:val="left" w:pos="-1440"/>
          <w:tab w:val="left" w:pos="-720"/>
        </w:tabs>
        <w:rPr>
          <w:b/>
          <w:szCs w:val="22"/>
          <w:lang w:val="lt-LT"/>
        </w:rPr>
      </w:pPr>
    </w:p>
    <w:p w14:paraId="2751F7FB" w14:textId="77777777" w:rsidR="00CF1E00" w:rsidRPr="005F48B8" w:rsidRDefault="00CF1E00" w:rsidP="00D8166E">
      <w:pPr>
        <w:rPr>
          <w:szCs w:val="22"/>
          <w:lang w:val="lt-LT" w:eastAsia="x-none"/>
        </w:rPr>
      </w:pPr>
    </w:p>
    <w:p w14:paraId="0EA331E0" w14:textId="77777777" w:rsidR="00CF1E00" w:rsidRPr="008612DF" w:rsidRDefault="00CF1E00" w:rsidP="00D8166E">
      <w:pPr>
        <w:rPr>
          <w:szCs w:val="22"/>
          <w:lang w:val="lt-LT" w:eastAsia="x-none"/>
        </w:rPr>
      </w:pPr>
    </w:p>
    <w:p w14:paraId="25BD221D" w14:textId="77777777" w:rsidR="00CF1E00" w:rsidRPr="002A25EF" w:rsidRDefault="00CF1E00" w:rsidP="00D8166E">
      <w:pPr>
        <w:rPr>
          <w:szCs w:val="22"/>
          <w:lang w:val="lt-LT" w:eastAsia="x-none"/>
        </w:rPr>
      </w:pPr>
    </w:p>
    <w:p w14:paraId="63D26DCD" w14:textId="77777777" w:rsidR="00CF1E00" w:rsidRDefault="00CF1E00" w:rsidP="00D8166E">
      <w:pPr>
        <w:rPr>
          <w:szCs w:val="22"/>
          <w:lang w:val="lt-LT" w:eastAsia="x-none"/>
        </w:rPr>
      </w:pPr>
    </w:p>
    <w:p w14:paraId="1ACB4550" w14:textId="77777777" w:rsidR="00D8166E" w:rsidRDefault="00D8166E" w:rsidP="00D8166E">
      <w:pPr>
        <w:rPr>
          <w:szCs w:val="22"/>
          <w:lang w:val="lt-LT" w:eastAsia="x-none"/>
        </w:rPr>
      </w:pPr>
    </w:p>
    <w:p w14:paraId="032EE0DD" w14:textId="77777777" w:rsidR="00D8166E" w:rsidRPr="0061385E" w:rsidRDefault="00D8166E" w:rsidP="00D8166E">
      <w:pPr>
        <w:rPr>
          <w:szCs w:val="22"/>
          <w:lang w:val="lt-LT" w:eastAsia="x-none"/>
        </w:rPr>
      </w:pPr>
    </w:p>
    <w:p w14:paraId="387526BF" w14:textId="77777777" w:rsidR="00F34163" w:rsidRPr="00F1014D" w:rsidRDefault="00F34163" w:rsidP="00D8166E">
      <w:pPr>
        <w:pStyle w:val="Antrat2"/>
        <w:spacing w:before="0" w:after="0" w:line="240" w:lineRule="auto"/>
        <w:jc w:val="center"/>
        <w:rPr>
          <w:rFonts w:ascii="Times New Roman" w:hAnsi="Times New Roman"/>
          <w:bCs w:val="0"/>
          <w:i w:val="0"/>
          <w:iCs w:val="0"/>
          <w:sz w:val="22"/>
          <w:szCs w:val="22"/>
          <w:lang w:val="lt-LT"/>
        </w:rPr>
      </w:pPr>
      <w:r w:rsidRPr="00F1014D">
        <w:rPr>
          <w:rFonts w:ascii="Times New Roman" w:hAnsi="Times New Roman"/>
          <w:i w:val="0"/>
          <w:sz w:val="22"/>
          <w:szCs w:val="22"/>
          <w:lang w:val="lt-LT"/>
        </w:rPr>
        <w:t>I PRIEDAS</w:t>
      </w:r>
    </w:p>
    <w:p w14:paraId="015C4A87" w14:textId="77777777" w:rsidR="00F34163" w:rsidRPr="007203A0" w:rsidRDefault="00F34163" w:rsidP="00D8166E">
      <w:pPr>
        <w:spacing w:line="240" w:lineRule="auto"/>
        <w:rPr>
          <w:szCs w:val="22"/>
          <w:lang w:val="lt-LT"/>
        </w:rPr>
      </w:pPr>
    </w:p>
    <w:p w14:paraId="4CA3DF0E" w14:textId="77777777" w:rsidR="00F34163" w:rsidRPr="007203A0" w:rsidRDefault="00F34163" w:rsidP="00D8166E">
      <w:pPr>
        <w:tabs>
          <w:tab w:val="left" w:pos="-1440"/>
          <w:tab w:val="left" w:pos="-720"/>
        </w:tabs>
        <w:jc w:val="center"/>
        <w:rPr>
          <w:b/>
          <w:szCs w:val="22"/>
          <w:lang w:val="lt-LT"/>
        </w:rPr>
      </w:pPr>
      <w:r w:rsidRPr="007203A0">
        <w:rPr>
          <w:b/>
          <w:szCs w:val="22"/>
          <w:lang w:val="lt-LT"/>
        </w:rPr>
        <w:t>PREPARATO CHARAKTERISTIKŲ SANTRAUKA</w:t>
      </w:r>
    </w:p>
    <w:p w14:paraId="45B0F6E6" w14:textId="77777777" w:rsidR="00F34163" w:rsidRPr="007203A0" w:rsidRDefault="00F34163" w:rsidP="00D8166E">
      <w:pPr>
        <w:tabs>
          <w:tab w:val="left" w:pos="-1440"/>
          <w:tab w:val="left" w:pos="-720"/>
        </w:tabs>
        <w:jc w:val="center"/>
        <w:rPr>
          <w:szCs w:val="22"/>
          <w:lang w:val="lt-LT"/>
        </w:rPr>
      </w:pPr>
      <w:r w:rsidRPr="007203A0">
        <w:rPr>
          <w:szCs w:val="22"/>
          <w:lang w:val="lt-LT" w:eastAsia="zh-CN"/>
        </w:rPr>
        <w:br w:type="page"/>
      </w:r>
    </w:p>
    <w:p w14:paraId="6B9FBB05"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lastRenderedPageBreak/>
        <w:t>1.</w:t>
      </w:r>
      <w:r w:rsidRPr="007203A0">
        <w:rPr>
          <w:rFonts w:ascii="Times New Roman" w:hAnsi="Times New Roman"/>
          <w:sz w:val="22"/>
          <w:szCs w:val="22"/>
          <w:lang w:val="lt-LT"/>
        </w:rPr>
        <w:tab/>
        <w:t>VAISTINIO PREPARATO PAVADINIMAS</w:t>
      </w:r>
    </w:p>
    <w:p w14:paraId="69D68D26" w14:textId="77777777" w:rsidR="0041096E" w:rsidRPr="007203A0" w:rsidRDefault="0041096E" w:rsidP="0041096E">
      <w:pPr>
        <w:rPr>
          <w:szCs w:val="22"/>
          <w:lang w:val="lt-LT"/>
        </w:rPr>
      </w:pPr>
    </w:p>
    <w:p w14:paraId="66F1DF04" w14:textId="77777777" w:rsidR="0041096E" w:rsidRPr="005F48B8" w:rsidRDefault="0041096E" w:rsidP="0041096E">
      <w:pPr>
        <w:rPr>
          <w:noProof/>
          <w:szCs w:val="22"/>
          <w:lang w:val="lt-LT"/>
        </w:rPr>
      </w:pPr>
      <w:r w:rsidRPr="007203A0">
        <w:rPr>
          <w:noProof/>
          <w:szCs w:val="22"/>
          <w:lang w:val="lt-LT"/>
        </w:rPr>
        <w:t xml:space="preserve">Tadalafil AOP 20 mg </w:t>
      </w:r>
      <w:r w:rsidRPr="005F48B8">
        <w:rPr>
          <w:noProof/>
          <w:szCs w:val="22"/>
          <w:lang w:val="lt-LT"/>
        </w:rPr>
        <w:t>plėvele dengtos tabletės</w:t>
      </w:r>
    </w:p>
    <w:p w14:paraId="68059217" w14:textId="77777777" w:rsidR="0041096E" w:rsidRPr="008612DF" w:rsidRDefault="0041096E" w:rsidP="0041096E">
      <w:pPr>
        <w:rPr>
          <w:szCs w:val="22"/>
          <w:lang w:val="lt-LT"/>
        </w:rPr>
      </w:pPr>
    </w:p>
    <w:p w14:paraId="38C25CF0" w14:textId="77777777" w:rsidR="0041096E" w:rsidRPr="002A25EF" w:rsidRDefault="0041096E" w:rsidP="0041096E">
      <w:pPr>
        <w:rPr>
          <w:szCs w:val="22"/>
          <w:lang w:val="lt-LT"/>
        </w:rPr>
      </w:pPr>
    </w:p>
    <w:p w14:paraId="13744233" w14:textId="77777777" w:rsidR="0041096E" w:rsidRPr="0061385E" w:rsidRDefault="0041096E" w:rsidP="0041096E">
      <w:pPr>
        <w:pStyle w:val="Antrat3"/>
        <w:spacing w:before="0" w:after="0" w:line="240" w:lineRule="auto"/>
        <w:rPr>
          <w:rFonts w:ascii="Times New Roman" w:hAnsi="Times New Roman"/>
          <w:sz w:val="22"/>
          <w:szCs w:val="22"/>
          <w:lang w:val="lt-LT"/>
        </w:rPr>
      </w:pPr>
      <w:r w:rsidRPr="0061385E">
        <w:rPr>
          <w:rFonts w:ascii="Times New Roman" w:hAnsi="Times New Roman"/>
          <w:sz w:val="22"/>
          <w:szCs w:val="22"/>
          <w:lang w:val="lt-LT"/>
        </w:rPr>
        <w:t>2.</w:t>
      </w:r>
      <w:r w:rsidRPr="0061385E">
        <w:rPr>
          <w:rFonts w:ascii="Times New Roman" w:hAnsi="Times New Roman"/>
          <w:sz w:val="22"/>
          <w:szCs w:val="22"/>
          <w:lang w:val="lt-LT"/>
        </w:rPr>
        <w:tab/>
        <w:t>KOKYBINĖ IR KIEKYBINĖ SUDĖTIS</w:t>
      </w:r>
    </w:p>
    <w:p w14:paraId="6E1C5E4A" w14:textId="77777777" w:rsidR="0041096E" w:rsidRPr="009840AD" w:rsidRDefault="0041096E" w:rsidP="0041096E">
      <w:pPr>
        <w:rPr>
          <w:szCs w:val="22"/>
          <w:lang w:val="lt-LT"/>
        </w:rPr>
      </w:pPr>
    </w:p>
    <w:p w14:paraId="515A2CD3" w14:textId="77777777" w:rsidR="0041096E" w:rsidRPr="00F1014D" w:rsidRDefault="0041096E" w:rsidP="0041096E">
      <w:pPr>
        <w:rPr>
          <w:noProof/>
          <w:szCs w:val="22"/>
          <w:lang w:val="lt-LT"/>
        </w:rPr>
      </w:pPr>
      <w:r w:rsidRPr="009840AD">
        <w:rPr>
          <w:noProof/>
          <w:szCs w:val="22"/>
          <w:lang w:val="lt-LT"/>
        </w:rPr>
        <w:t>Kiekvienoje plėvele dengtoje tabletėje yra 20</w:t>
      </w:r>
      <w:r w:rsidRPr="00F1014D">
        <w:rPr>
          <w:noProof/>
          <w:szCs w:val="22"/>
          <w:lang w:val="lt-LT"/>
        </w:rPr>
        <w:t> mg tadalafilio.</w:t>
      </w:r>
    </w:p>
    <w:p w14:paraId="0B7682E2" w14:textId="77777777" w:rsidR="0041096E" w:rsidRPr="007203A0" w:rsidRDefault="0041096E" w:rsidP="0041096E">
      <w:pPr>
        <w:rPr>
          <w:noProof/>
          <w:szCs w:val="22"/>
          <w:lang w:val="lt-LT"/>
        </w:rPr>
      </w:pPr>
    </w:p>
    <w:p w14:paraId="5C87BE9D" w14:textId="77777777" w:rsidR="0041096E" w:rsidRPr="007203A0" w:rsidRDefault="0041096E" w:rsidP="0041096E">
      <w:pPr>
        <w:rPr>
          <w:noProof/>
          <w:szCs w:val="22"/>
          <w:lang w:val="lt-LT"/>
        </w:rPr>
      </w:pPr>
      <w:r w:rsidRPr="007203A0">
        <w:rPr>
          <w:noProof/>
          <w:szCs w:val="22"/>
          <w:u w:val="single"/>
          <w:lang w:val="lt-LT"/>
        </w:rPr>
        <w:t>Pagalbinė (-s) medžiaga (-os), kurios (-ių) poveikis žinomas:</w:t>
      </w:r>
    </w:p>
    <w:p w14:paraId="5EA874CF" w14:textId="77777777" w:rsidR="0041096E" w:rsidRPr="007203A0" w:rsidRDefault="0041096E" w:rsidP="0041096E">
      <w:pPr>
        <w:rPr>
          <w:noProof/>
          <w:szCs w:val="22"/>
          <w:lang w:val="lt-LT"/>
        </w:rPr>
      </w:pPr>
      <w:r w:rsidRPr="007203A0">
        <w:rPr>
          <w:noProof/>
          <w:szCs w:val="22"/>
          <w:lang w:val="lt-LT"/>
        </w:rPr>
        <w:t xml:space="preserve">Kiekvienoje 20 mg tabletėje yra 313 mg laktozės ir 3 mg laktozės monohidrato. </w:t>
      </w:r>
    </w:p>
    <w:p w14:paraId="7F9618FD" w14:textId="77777777" w:rsidR="0041096E" w:rsidRPr="007203A0" w:rsidRDefault="0041096E" w:rsidP="0041096E">
      <w:pPr>
        <w:rPr>
          <w:noProof/>
          <w:szCs w:val="22"/>
          <w:lang w:val="lt-LT"/>
        </w:rPr>
      </w:pPr>
    </w:p>
    <w:p w14:paraId="3C49A26A" w14:textId="77777777" w:rsidR="0041096E" w:rsidRPr="007203A0" w:rsidRDefault="0041096E" w:rsidP="0041096E">
      <w:pPr>
        <w:rPr>
          <w:noProof/>
          <w:szCs w:val="22"/>
          <w:lang w:val="lt-LT"/>
        </w:rPr>
      </w:pPr>
      <w:r w:rsidRPr="007203A0">
        <w:rPr>
          <w:noProof/>
          <w:szCs w:val="22"/>
          <w:lang w:val="lt-LT"/>
        </w:rPr>
        <w:t>Visos pagalbinės medžiagos išvardytos 6.1 skyriuje.</w:t>
      </w:r>
    </w:p>
    <w:p w14:paraId="6FE883C3" w14:textId="77777777" w:rsidR="0041096E" w:rsidRPr="007203A0" w:rsidRDefault="0041096E" w:rsidP="0041096E">
      <w:pPr>
        <w:rPr>
          <w:szCs w:val="22"/>
          <w:lang w:val="lt-LT"/>
        </w:rPr>
      </w:pPr>
    </w:p>
    <w:p w14:paraId="4613C614" w14:textId="77777777" w:rsidR="0041096E" w:rsidRPr="007203A0" w:rsidRDefault="0041096E" w:rsidP="0041096E">
      <w:pPr>
        <w:rPr>
          <w:szCs w:val="22"/>
          <w:lang w:val="lt-LT"/>
        </w:rPr>
      </w:pPr>
    </w:p>
    <w:p w14:paraId="7FA2B904"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3.</w:t>
      </w:r>
      <w:r w:rsidRPr="007203A0">
        <w:rPr>
          <w:rFonts w:ascii="Times New Roman" w:hAnsi="Times New Roman"/>
          <w:sz w:val="22"/>
          <w:szCs w:val="22"/>
          <w:lang w:val="lt-LT"/>
        </w:rPr>
        <w:tab/>
        <w:t>FARMACINĖ FORMA</w:t>
      </w:r>
    </w:p>
    <w:p w14:paraId="20A0C0CC" w14:textId="77777777" w:rsidR="0041096E" w:rsidRPr="007203A0" w:rsidRDefault="0041096E" w:rsidP="0041096E">
      <w:pPr>
        <w:rPr>
          <w:szCs w:val="22"/>
          <w:lang w:val="lt-LT"/>
        </w:rPr>
      </w:pPr>
    </w:p>
    <w:p w14:paraId="52110CC7" w14:textId="77777777" w:rsidR="0041096E" w:rsidRPr="007203A0" w:rsidRDefault="0041096E" w:rsidP="0041096E">
      <w:pPr>
        <w:rPr>
          <w:noProof/>
          <w:szCs w:val="22"/>
          <w:lang w:val="lt-LT"/>
        </w:rPr>
      </w:pPr>
      <w:r w:rsidRPr="007203A0">
        <w:rPr>
          <w:noProof/>
          <w:szCs w:val="22"/>
          <w:lang w:val="lt-LT"/>
        </w:rPr>
        <w:t>Plėvele dengta tabletė</w:t>
      </w:r>
    </w:p>
    <w:p w14:paraId="732410BF" w14:textId="77777777" w:rsidR="0041096E" w:rsidRPr="007203A0" w:rsidRDefault="0041096E" w:rsidP="0041096E">
      <w:pPr>
        <w:rPr>
          <w:noProof/>
          <w:szCs w:val="22"/>
          <w:lang w:val="lt-LT"/>
        </w:rPr>
      </w:pPr>
    </w:p>
    <w:p w14:paraId="49A36327" w14:textId="77777777" w:rsidR="0041096E" w:rsidRPr="007203A0" w:rsidRDefault="0041096E" w:rsidP="0041096E">
      <w:pPr>
        <w:rPr>
          <w:noProof/>
          <w:szCs w:val="22"/>
          <w:lang w:val="lt-LT"/>
        </w:rPr>
      </w:pPr>
      <w:r w:rsidRPr="007203A0">
        <w:rPr>
          <w:noProof/>
          <w:szCs w:val="22"/>
          <w:lang w:val="lt-LT"/>
        </w:rPr>
        <w:t>Geltonos spalvos, kapsulės formos, abipus išgaubta plėvele dengta tabletė, vienoje pusėje įspausta "T 20", kita pusė – lygi. Tabletės matmenys 13,5 mm x 6,6 mm.</w:t>
      </w:r>
    </w:p>
    <w:p w14:paraId="1C1F9B13" w14:textId="77777777" w:rsidR="0041096E" w:rsidRPr="007203A0" w:rsidRDefault="0041096E" w:rsidP="0041096E">
      <w:pPr>
        <w:rPr>
          <w:szCs w:val="22"/>
          <w:lang w:val="lt-LT"/>
        </w:rPr>
      </w:pPr>
    </w:p>
    <w:p w14:paraId="038CDB75" w14:textId="77777777" w:rsidR="0041096E" w:rsidRPr="007203A0" w:rsidRDefault="0041096E" w:rsidP="0041096E">
      <w:pPr>
        <w:rPr>
          <w:szCs w:val="22"/>
          <w:lang w:val="lt-LT"/>
        </w:rPr>
      </w:pPr>
    </w:p>
    <w:p w14:paraId="4DCBC9C8"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4.</w:t>
      </w:r>
      <w:r w:rsidRPr="007203A0">
        <w:rPr>
          <w:rFonts w:ascii="Times New Roman" w:hAnsi="Times New Roman"/>
          <w:sz w:val="22"/>
          <w:szCs w:val="22"/>
          <w:lang w:val="lt-LT"/>
        </w:rPr>
        <w:tab/>
        <w:t>KLINIKINĖ INFORMACIJA</w:t>
      </w:r>
    </w:p>
    <w:p w14:paraId="1E08D2ED" w14:textId="77777777" w:rsidR="0041096E" w:rsidRPr="007203A0" w:rsidRDefault="0041096E" w:rsidP="0041096E">
      <w:pPr>
        <w:rPr>
          <w:szCs w:val="22"/>
          <w:lang w:val="lt-LT"/>
        </w:rPr>
      </w:pPr>
    </w:p>
    <w:p w14:paraId="53909CB2" w14:textId="77777777" w:rsidR="0041096E" w:rsidRPr="007203A0" w:rsidRDefault="0041096E" w:rsidP="0041096E">
      <w:pPr>
        <w:pStyle w:val="Antrat4"/>
        <w:rPr>
          <w:rFonts w:ascii="Times New Roman" w:hAnsi="Times New Roman"/>
          <w:sz w:val="22"/>
          <w:szCs w:val="22"/>
          <w:lang w:val="lt-LT"/>
        </w:rPr>
      </w:pPr>
      <w:r w:rsidRPr="007203A0">
        <w:rPr>
          <w:rFonts w:ascii="Times New Roman" w:hAnsi="Times New Roman"/>
          <w:sz w:val="22"/>
          <w:szCs w:val="22"/>
          <w:lang w:val="lt-LT"/>
        </w:rPr>
        <w:t>4.1</w:t>
      </w:r>
      <w:r w:rsidRPr="007203A0">
        <w:rPr>
          <w:rFonts w:ascii="Times New Roman" w:hAnsi="Times New Roman"/>
          <w:sz w:val="22"/>
          <w:szCs w:val="22"/>
          <w:lang w:val="lt-LT"/>
        </w:rPr>
        <w:tab/>
        <w:t>Terapinės indikacijos</w:t>
      </w:r>
    </w:p>
    <w:p w14:paraId="6DD84741" w14:textId="77777777" w:rsidR="0041096E" w:rsidRPr="007203A0" w:rsidRDefault="0041096E" w:rsidP="0041096E">
      <w:pPr>
        <w:rPr>
          <w:szCs w:val="22"/>
          <w:lang w:val="lt-LT"/>
        </w:rPr>
      </w:pPr>
    </w:p>
    <w:p w14:paraId="1D328CB7" w14:textId="77777777" w:rsidR="0041096E" w:rsidRPr="00D8166E" w:rsidRDefault="0041096E" w:rsidP="0041096E">
      <w:pPr>
        <w:pStyle w:val="Pagrindinistekstas"/>
        <w:widowControl w:val="0"/>
        <w:autoSpaceDE w:val="0"/>
        <w:autoSpaceDN w:val="0"/>
        <w:jc w:val="both"/>
        <w:rPr>
          <w:i w:val="0"/>
          <w:color w:val="auto"/>
          <w:sz w:val="22"/>
          <w:lang w:val="lt-LT"/>
        </w:rPr>
      </w:pPr>
      <w:r w:rsidRPr="00D8166E">
        <w:rPr>
          <w:i w:val="0"/>
          <w:color w:val="auto"/>
          <w:sz w:val="22"/>
          <w:lang w:val="lt-LT"/>
        </w:rPr>
        <w:t xml:space="preserve">Suaugusių žmonių II ir III funkcinės klasės pagal PSO klasifikaciją </w:t>
      </w:r>
      <w:proofErr w:type="spellStart"/>
      <w:r w:rsidRPr="00D8166E">
        <w:rPr>
          <w:i w:val="0"/>
          <w:color w:val="auto"/>
          <w:sz w:val="22"/>
          <w:lang w:val="lt-LT"/>
        </w:rPr>
        <w:t>plautinės</w:t>
      </w:r>
      <w:proofErr w:type="spellEnd"/>
      <w:r w:rsidRPr="00D8166E">
        <w:rPr>
          <w:i w:val="0"/>
          <w:color w:val="auto"/>
          <w:sz w:val="22"/>
          <w:lang w:val="lt-LT"/>
        </w:rPr>
        <w:t xml:space="preserve"> arterinės hipertenzijos (PAH) gydymas, norint pagerinti fizinį pajėgumą (žr. 5.1 skyrių).</w:t>
      </w:r>
    </w:p>
    <w:p w14:paraId="374D04F3" w14:textId="77777777" w:rsidR="0041096E" w:rsidRPr="00D8166E" w:rsidRDefault="0041096E" w:rsidP="0041096E">
      <w:pPr>
        <w:pStyle w:val="Pagrindinistekstas"/>
        <w:widowControl w:val="0"/>
        <w:autoSpaceDE w:val="0"/>
        <w:autoSpaceDN w:val="0"/>
        <w:jc w:val="both"/>
        <w:rPr>
          <w:i w:val="0"/>
          <w:color w:val="auto"/>
          <w:sz w:val="22"/>
          <w:lang w:val="lt-LT"/>
        </w:rPr>
      </w:pPr>
    </w:p>
    <w:p w14:paraId="20C3A829" w14:textId="77777777" w:rsidR="0041096E" w:rsidRPr="00D8166E" w:rsidRDefault="0041096E" w:rsidP="0041096E">
      <w:pPr>
        <w:pStyle w:val="Pagrindinistekstas"/>
        <w:widowControl w:val="0"/>
        <w:autoSpaceDE w:val="0"/>
        <w:autoSpaceDN w:val="0"/>
        <w:jc w:val="both"/>
        <w:rPr>
          <w:i w:val="0"/>
          <w:color w:val="auto"/>
          <w:sz w:val="22"/>
          <w:lang w:val="lt-LT"/>
        </w:rPr>
      </w:pPr>
      <w:r w:rsidRPr="00D8166E">
        <w:rPr>
          <w:i w:val="0"/>
          <w:color w:val="auto"/>
          <w:sz w:val="22"/>
          <w:lang w:val="lt-LT"/>
        </w:rPr>
        <w:t>Vaistinis preparatas veiksmingas gydant idiopatinę PAH (IPAH) ir PAH, susijusią su kolageno (kraujagyslių) liga.</w:t>
      </w:r>
    </w:p>
    <w:p w14:paraId="0D16E41F" w14:textId="77777777" w:rsidR="0041096E" w:rsidRPr="005F48B8" w:rsidRDefault="0041096E" w:rsidP="0041096E">
      <w:pPr>
        <w:rPr>
          <w:szCs w:val="22"/>
          <w:lang w:val="lt-LT"/>
        </w:rPr>
      </w:pPr>
    </w:p>
    <w:p w14:paraId="423A27B8" w14:textId="77777777" w:rsidR="0041096E" w:rsidRPr="002A25EF" w:rsidRDefault="0041096E" w:rsidP="0041096E">
      <w:pPr>
        <w:pStyle w:val="Antrat4"/>
        <w:rPr>
          <w:rFonts w:ascii="Times New Roman" w:hAnsi="Times New Roman"/>
          <w:sz w:val="22"/>
          <w:szCs w:val="22"/>
          <w:lang w:val="lt-LT"/>
        </w:rPr>
      </w:pPr>
      <w:r w:rsidRPr="008612DF">
        <w:rPr>
          <w:rFonts w:ascii="Times New Roman" w:hAnsi="Times New Roman"/>
          <w:sz w:val="22"/>
          <w:szCs w:val="22"/>
          <w:lang w:val="lt-LT"/>
        </w:rPr>
        <w:t>4.2</w:t>
      </w:r>
      <w:r w:rsidRPr="008612DF">
        <w:rPr>
          <w:rFonts w:ascii="Times New Roman" w:hAnsi="Times New Roman"/>
          <w:sz w:val="22"/>
          <w:szCs w:val="22"/>
          <w:lang w:val="lt-LT"/>
        </w:rPr>
        <w:tab/>
        <w:t>Dozavimas ir vartojimo metod</w:t>
      </w:r>
      <w:r w:rsidRPr="002A25EF">
        <w:rPr>
          <w:rFonts w:ascii="Times New Roman" w:hAnsi="Times New Roman"/>
          <w:sz w:val="22"/>
          <w:szCs w:val="22"/>
          <w:lang w:val="lt-LT"/>
        </w:rPr>
        <w:t>as</w:t>
      </w:r>
    </w:p>
    <w:p w14:paraId="4C1288FF" w14:textId="77777777" w:rsidR="0041096E" w:rsidRPr="0061385E" w:rsidRDefault="0041096E" w:rsidP="0041096E">
      <w:pPr>
        <w:rPr>
          <w:szCs w:val="22"/>
          <w:lang w:val="lt-LT"/>
        </w:rPr>
      </w:pPr>
    </w:p>
    <w:p w14:paraId="7E1E7F97" w14:textId="77777777" w:rsidR="0041096E" w:rsidRPr="009840AD" w:rsidRDefault="0041096E" w:rsidP="0041096E">
      <w:pPr>
        <w:widowControl w:val="0"/>
        <w:tabs>
          <w:tab w:val="clear" w:pos="567"/>
        </w:tabs>
        <w:autoSpaceDE w:val="0"/>
        <w:autoSpaceDN w:val="0"/>
        <w:spacing w:before="1" w:line="276" w:lineRule="auto"/>
        <w:jc w:val="both"/>
        <w:rPr>
          <w:snapToGrid/>
          <w:szCs w:val="22"/>
          <w:lang w:val="lt-LT"/>
        </w:rPr>
      </w:pPr>
      <w:r w:rsidRPr="009840AD">
        <w:rPr>
          <w:snapToGrid/>
          <w:szCs w:val="22"/>
          <w:lang w:val="lt-LT"/>
        </w:rPr>
        <w:t>Gydymą pradėti ir pacientą stebėti gali tik gydytojas, turintis PAH gydymo patirties.</w:t>
      </w:r>
    </w:p>
    <w:p w14:paraId="7311C5B4" w14:textId="77777777" w:rsidR="0041096E" w:rsidRPr="00F1014D" w:rsidRDefault="0041096E" w:rsidP="0041096E">
      <w:pPr>
        <w:widowControl w:val="0"/>
        <w:tabs>
          <w:tab w:val="clear" w:pos="567"/>
        </w:tabs>
        <w:autoSpaceDE w:val="0"/>
        <w:autoSpaceDN w:val="0"/>
        <w:spacing w:before="1" w:line="276" w:lineRule="auto"/>
        <w:jc w:val="both"/>
        <w:rPr>
          <w:snapToGrid/>
          <w:szCs w:val="22"/>
          <w:lang w:val="lt-LT"/>
        </w:rPr>
      </w:pPr>
    </w:p>
    <w:p w14:paraId="0BDA825B" w14:textId="77777777" w:rsidR="0041096E" w:rsidRPr="00F1014D" w:rsidRDefault="0041096E" w:rsidP="0041096E">
      <w:pPr>
        <w:widowControl w:val="0"/>
        <w:tabs>
          <w:tab w:val="clear" w:pos="567"/>
        </w:tabs>
        <w:autoSpaceDE w:val="0"/>
        <w:autoSpaceDN w:val="0"/>
        <w:spacing w:before="9" w:line="276" w:lineRule="auto"/>
        <w:jc w:val="both"/>
        <w:rPr>
          <w:snapToGrid/>
          <w:szCs w:val="22"/>
          <w:u w:val="single"/>
          <w:lang w:val="lt-LT"/>
        </w:rPr>
      </w:pPr>
      <w:r w:rsidRPr="00F1014D">
        <w:rPr>
          <w:snapToGrid/>
          <w:szCs w:val="22"/>
          <w:u w:val="single"/>
          <w:lang w:val="lt-LT"/>
        </w:rPr>
        <w:t>Dozavimas</w:t>
      </w:r>
    </w:p>
    <w:p w14:paraId="58C78931"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r w:rsidRPr="00F1014D">
        <w:rPr>
          <w:snapToGrid/>
          <w:szCs w:val="22"/>
          <w:lang w:val="lt-LT"/>
        </w:rPr>
        <w:t>Rekomenduojama dozė yra 40</w:t>
      </w:r>
      <w:r w:rsidRPr="007203A0">
        <w:rPr>
          <w:snapToGrid/>
          <w:szCs w:val="22"/>
          <w:lang w:val="lt-LT"/>
        </w:rPr>
        <w:t> mg (2 x 20 mg) vieną kartą per parą valgant arba be maisto.</w:t>
      </w:r>
    </w:p>
    <w:p w14:paraId="79E6F61D"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
    <w:p w14:paraId="2C7CA428" w14:textId="77777777" w:rsidR="0041096E" w:rsidRPr="005F48B8" w:rsidRDefault="0041096E" w:rsidP="0041096E">
      <w:pPr>
        <w:widowControl w:val="0"/>
        <w:tabs>
          <w:tab w:val="clear" w:pos="567"/>
        </w:tabs>
        <w:autoSpaceDE w:val="0"/>
        <w:autoSpaceDN w:val="0"/>
        <w:spacing w:line="276" w:lineRule="auto"/>
        <w:jc w:val="both"/>
        <w:rPr>
          <w:i/>
          <w:snapToGrid/>
          <w:szCs w:val="22"/>
          <w:lang w:val="lt-LT"/>
        </w:rPr>
      </w:pPr>
      <w:r w:rsidRPr="007203A0">
        <w:rPr>
          <w:i/>
          <w:snapToGrid/>
          <w:szCs w:val="22"/>
          <w:lang w:val="lt-LT"/>
        </w:rPr>
        <w:t>Senyviems pacientams</w:t>
      </w:r>
    </w:p>
    <w:p w14:paraId="44B2627B" w14:textId="77777777" w:rsidR="0041096E" w:rsidRPr="002A25EF" w:rsidRDefault="0041096E" w:rsidP="0041096E">
      <w:pPr>
        <w:widowControl w:val="0"/>
        <w:tabs>
          <w:tab w:val="clear" w:pos="567"/>
        </w:tabs>
        <w:autoSpaceDE w:val="0"/>
        <w:autoSpaceDN w:val="0"/>
        <w:spacing w:before="1" w:line="276" w:lineRule="auto"/>
        <w:jc w:val="both"/>
        <w:rPr>
          <w:snapToGrid/>
          <w:szCs w:val="22"/>
          <w:lang w:val="lt-LT"/>
        </w:rPr>
      </w:pPr>
      <w:r w:rsidRPr="008612DF">
        <w:rPr>
          <w:snapToGrid/>
          <w:szCs w:val="22"/>
          <w:lang w:val="lt-LT"/>
        </w:rPr>
        <w:t>Senyviems pacientams dozės koreguoti nereik</w:t>
      </w:r>
      <w:r w:rsidRPr="002A25EF">
        <w:rPr>
          <w:snapToGrid/>
          <w:szCs w:val="22"/>
          <w:lang w:val="lt-LT"/>
        </w:rPr>
        <w:t>ia.</w:t>
      </w:r>
    </w:p>
    <w:p w14:paraId="0A78DB42" w14:textId="77777777" w:rsidR="0041096E" w:rsidRPr="0061385E" w:rsidRDefault="0041096E" w:rsidP="0041096E">
      <w:pPr>
        <w:widowControl w:val="0"/>
        <w:tabs>
          <w:tab w:val="clear" w:pos="567"/>
        </w:tabs>
        <w:autoSpaceDE w:val="0"/>
        <w:autoSpaceDN w:val="0"/>
        <w:spacing w:before="1" w:line="276" w:lineRule="auto"/>
        <w:jc w:val="both"/>
        <w:rPr>
          <w:snapToGrid/>
          <w:szCs w:val="22"/>
          <w:lang w:val="lt-LT"/>
        </w:rPr>
      </w:pPr>
    </w:p>
    <w:p w14:paraId="59802CE5" w14:textId="77777777" w:rsidR="0041096E" w:rsidRPr="008612DF" w:rsidRDefault="0041096E" w:rsidP="0041096E">
      <w:pPr>
        <w:widowControl w:val="0"/>
        <w:tabs>
          <w:tab w:val="clear" w:pos="567"/>
        </w:tabs>
        <w:autoSpaceDE w:val="0"/>
        <w:autoSpaceDN w:val="0"/>
        <w:spacing w:before="1" w:line="276" w:lineRule="auto"/>
        <w:jc w:val="both"/>
        <w:rPr>
          <w:i/>
          <w:snapToGrid/>
          <w:szCs w:val="22"/>
          <w:lang w:val="lt-LT"/>
        </w:rPr>
      </w:pPr>
      <w:r w:rsidRPr="0061385E">
        <w:rPr>
          <w:i/>
          <w:snapToGrid/>
          <w:szCs w:val="22"/>
          <w:lang w:val="lt-LT"/>
        </w:rPr>
        <w:t xml:space="preserve">Pacientams, kurių </w:t>
      </w:r>
      <w:r w:rsidRPr="009840AD">
        <w:rPr>
          <w:i/>
          <w:snapToGrid/>
          <w:szCs w:val="22"/>
          <w:lang w:val="lt-LT"/>
        </w:rPr>
        <w:t>inkstų funkcija</w:t>
      </w:r>
      <w:r w:rsidRPr="00F1014D">
        <w:rPr>
          <w:i/>
          <w:snapToGrid/>
          <w:szCs w:val="22"/>
          <w:lang w:val="lt-LT"/>
        </w:rPr>
        <w:t xml:space="preserve"> sutrikus</w:t>
      </w:r>
      <w:r w:rsidRPr="005F48B8">
        <w:rPr>
          <w:i/>
          <w:snapToGrid/>
          <w:szCs w:val="22"/>
          <w:lang w:val="lt-LT"/>
        </w:rPr>
        <w:t>i</w:t>
      </w:r>
    </w:p>
    <w:p w14:paraId="254736B1"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r w:rsidRPr="002A25EF">
        <w:rPr>
          <w:snapToGrid/>
          <w:szCs w:val="22"/>
          <w:lang w:val="lt-LT"/>
        </w:rPr>
        <w:t>Pacientams, kurie serga lengvu ar vidutinio sunkumo inkstų funkcijos sutri</w:t>
      </w:r>
      <w:r>
        <w:rPr>
          <w:snapToGrid/>
          <w:szCs w:val="22"/>
          <w:lang w:val="lt-LT"/>
        </w:rPr>
        <w:t xml:space="preserve">kimu, rekomenduojama vartoti </w:t>
      </w:r>
      <w:r w:rsidRPr="00E87226">
        <w:rPr>
          <w:lang w:val="lt-LT"/>
        </w:rPr>
        <w:t>20 mg</w:t>
      </w:r>
      <w:r w:rsidRPr="002A25EF">
        <w:rPr>
          <w:snapToGrid/>
          <w:szCs w:val="22"/>
          <w:lang w:val="lt-LT"/>
        </w:rPr>
        <w:t xml:space="preserve"> pradinę dozę vieną kartą per parą. Atsižvelgiant į individualų veiksmingumą ir toleravimą, </w:t>
      </w:r>
      <w:r w:rsidRPr="0061385E">
        <w:rPr>
          <w:snapToGrid/>
          <w:szCs w:val="22"/>
          <w:lang w:val="lt-LT"/>
        </w:rPr>
        <w:t>dozę galima padidi</w:t>
      </w:r>
      <w:r>
        <w:rPr>
          <w:snapToGrid/>
          <w:szCs w:val="22"/>
          <w:lang w:val="lt-LT"/>
        </w:rPr>
        <w:t>nti iki 40 </w:t>
      </w:r>
      <w:r w:rsidRPr="0061385E">
        <w:rPr>
          <w:snapToGrid/>
          <w:szCs w:val="22"/>
          <w:lang w:val="lt-LT"/>
        </w:rPr>
        <w:t xml:space="preserve">mg vieną kartą per parą. Pacientams, kurie serga sunkiu inkstų funkcijos sutrikimu, </w:t>
      </w:r>
      <w:proofErr w:type="spellStart"/>
      <w:r w:rsidRPr="0061385E">
        <w:rPr>
          <w:snapToGrid/>
          <w:szCs w:val="22"/>
          <w:lang w:val="lt-LT"/>
        </w:rPr>
        <w:t>tadalafilio</w:t>
      </w:r>
      <w:proofErr w:type="spellEnd"/>
      <w:r w:rsidRPr="0061385E">
        <w:rPr>
          <w:snapToGrid/>
          <w:szCs w:val="22"/>
          <w:lang w:val="lt-LT"/>
        </w:rPr>
        <w:t xml:space="preserve"> vartoti nerekomenduojama (žr.</w:t>
      </w:r>
      <w:r>
        <w:rPr>
          <w:snapToGrid/>
          <w:szCs w:val="22"/>
          <w:lang w:val="lt-LT"/>
        </w:rPr>
        <w:t xml:space="preserve"> </w:t>
      </w:r>
      <w:r w:rsidRPr="009840AD">
        <w:rPr>
          <w:snapToGrid/>
          <w:szCs w:val="22"/>
          <w:lang w:val="lt-LT"/>
        </w:rPr>
        <w:t>4.4 ir 5.2 skyrius).</w:t>
      </w:r>
    </w:p>
    <w:p w14:paraId="3809F48D"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p>
    <w:p w14:paraId="70F78D4D" w14:textId="77777777" w:rsidR="0041096E" w:rsidRPr="005F48B8" w:rsidRDefault="0041096E" w:rsidP="0041096E">
      <w:pPr>
        <w:widowControl w:val="0"/>
        <w:tabs>
          <w:tab w:val="clear" w:pos="567"/>
        </w:tabs>
        <w:autoSpaceDE w:val="0"/>
        <w:autoSpaceDN w:val="0"/>
        <w:spacing w:line="240" w:lineRule="auto"/>
        <w:rPr>
          <w:i/>
          <w:snapToGrid/>
          <w:szCs w:val="22"/>
          <w:lang w:val="lt-LT"/>
        </w:rPr>
      </w:pPr>
      <w:r w:rsidRPr="009840AD">
        <w:rPr>
          <w:i/>
          <w:snapToGrid/>
          <w:szCs w:val="22"/>
          <w:lang w:val="lt-LT"/>
        </w:rPr>
        <w:t xml:space="preserve">Pacientams, kurių </w:t>
      </w:r>
      <w:r w:rsidRPr="00F1014D">
        <w:rPr>
          <w:i/>
          <w:snapToGrid/>
          <w:szCs w:val="22"/>
          <w:lang w:val="lt-LT"/>
        </w:rPr>
        <w:t>kepenų funkcija</w:t>
      </w:r>
      <w:r w:rsidRPr="007203A0">
        <w:rPr>
          <w:i/>
          <w:snapToGrid/>
          <w:szCs w:val="22"/>
          <w:lang w:val="lt-LT"/>
        </w:rPr>
        <w:t xml:space="preserve"> sutrikusi</w:t>
      </w:r>
    </w:p>
    <w:p w14:paraId="63F4B922" w14:textId="77777777" w:rsidR="0041096E" w:rsidRPr="00F1014D" w:rsidRDefault="0041096E" w:rsidP="0041096E">
      <w:pPr>
        <w:widowControl w:val="0"/>
        <w:tabs>
          <w:tab w:val="clear" w:pos="567"/>
        </w:tabs>
        <w:autoSpaceDE w:val="0"/>
        <w:autoSpaceDN w:val="0"/>
        <w:spacing w:before="1" w:line="240" w:lineRule="auto"/>
        <w:rPr>
          <w:snapToGrid/>
          <w:szCs w:val="22"/>
          <w:lang w:val="lt-LT"/>
        </w:rPr>
      </w:pPr>
      <w:r w:rsidRPr="008612DF">
        <w:rPr>
          <w:snapToGrid/>
          <w:szCs w:val="22"/>
          <w:lang w:val="lt-LT"/>
        </w:rPr>
        <w:t>Duomenys apie pacientus, kur</w:t>
      </w:r>
      <w:r w:rsidRPr="002A25EF">
        <w:rPr>
          <w:snapToGrid/>
          <w:szCs w:val="22"/>
          <w:lang w:val="lt-LT"/>
        </w:rPr>
        <w:t xml:space="preserve">ie serga lengva ar vidutinio sunkumo kepenų ciroze (A arba B klasės pagal </w:t>
      </w:r>
      <w:proofErr w:type="spellStart"/>
      <w:r w:rsidRPr="0061385E">
        <w:rPr>
          <w:i/>
          <w:snapToGrid/>
          <w:szCs w:val="22"/>
          <w:lang w:val="lt-LT"/>
        </w:rPr>
        <w:t>Child-Pugh</w:t>
      </w:r>
      <w:proofErr w:type="spellEnd"/>
      <w:r w:rsidRPr="0061385E">
        <w:rPr>
          <w:snapToGrid/>
          <w:szCs w:val="22"/>
          <w:lang w:val="lt-LT"/>
        </w:rPr>
        <w:t>), po vienkartinių 10 mg dozių galima apgalvotai skirti vartoti pradinę 20</w:t>
      </w:r>
      <w:r w:rsidRPr="009840AD">
        <w:rPr>
          <w:snapToGrid/>
          <w:szCs w:val="22"/>
          <w:lang w:val="lt-LT"/>
        </w:rPr>
        <w:t xml:space="preserve"> mg dozę vieną kartą per parą. Jeigu skiriama vartoti </w:t>
      </w:r>
      <w:proofErr w:type="spellStart"/>
      <w:r w:rsidRPr="009840AD">
        <w:rPr>
          <w:snapToGrid/>
          <w:szCs w:val="22"/>
          <w:lang w:val="lt-LT"/>
        </w:rPr>
        <w:t>tadalafilio</w:t>
      </w:r>
      <w:proofErr w:type="spellEnd"/>
      <w:r w:rsidRPr="009840AD">
        <w:rPr>
          <w:snapToGrid/>
          <w:szCs w:val="22"/>
          <w:lang w:val="lt-LT"/>
        </w:rPr>
        <w:t xml:space="preserve">, vaistinį preparatą skiriantis gydytojas turi atidžiai įvertinti individualų naudos ir rizikos santykį. Tyrimų su pacientais, kurie serga sunkia kepenų ciroze (C klasės pagal </w:t>
      </w:r>
      <w:proofErr w:type="spellStart"/>
      <w:r w:rsidRPr="00F1014D">
        <w:rPr>
          <w:i/>
          <w:snapToGrid/>
          <w:szCs w:val="22"/>
          <w:lang w:val="lt-LT"/>
        </w:rPr>
        <w:t>Child-Pugh</w:t>
      </w:r>
      <w:proofErr w:type="spellEnd"/>
      <w:r w:rsidRPr="00F1014D">
        <w:rPr>
          <w:snapToGrid/>
          <w:szCs w:val="22"/>
          <w:lang w:val="lt-LT"/>
        </w:rPr>
        <w:t xml:space="preserve">), neatlikta, todėl tokiems pacientams </w:t>
      </w:r>
      <w:proofErr w:type="spellStart"/>
      <w:r w:rsidRPr="00F1014D">
        <w:rPr>
          <w:snapToGrid/>
          <w:szCs w:val="22"/>
          <w:lang w:val="lt-LT"/>
        </w:rPr>
        <w:t>tadalafilio</w:t>
      </w:r>
      <w:proofErr w:type="spellEnd"/>
      <w:r w:rsidRPr="00F1014D">
        <w:rPr>
          <w:snapToGrid/>
          <w:szCs w:val="22"/>
          <w:lang w:val="lt-LT"/>
        </w:rPr>
        <w:t xml:space="preserve"> vartoti </w:t>
      </w:r>
      <w:r w:rsidRPr="00F1014D">
        <w:rPr>
          <w:snapToGrid/>
          <w:szCs w:val="22"/>
          <w:lang w:val="lt-LT"/>
        </w:rPr>
        <w:lastRenderedPageBreak/>
        <w:t>nerekomenduojama (žr. 4.4 ir 5.2 skyrius).</w:t>
      </w:r>
    </w:p>
    <w:p w14:paraId="3E6F386D"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
    <w:p w14:paraId="4BD476BA" w14:textId="77777777" w:rsidR="0041096E" w:rsidRPr="007203A0" w:rsidRDefault="0041096E" w:rsidP="0041096E">
      <w:pPr>
        <w:widowControl w:val="0"/>
        <w:tabs>
          <w:tab w:val="clear" w:pos="567"/>
        </w:tabs>
        <w:autoSpaceDE w:val="0"/>
        <w:autoSpaceDN w:val="0"/>
        <w:spacing w:before="1" w:line="276" w:lineRule="auto"/>
        <w:jc w:val="both"/>
        <w:rPr>
          <w:i/>
          <w:snapToGrid/>
          <w:szCs w:val="22"/>
          <w:lang w:val="lt-LT"/>
        </w:rPr>
      </w:pPr>
      <w:r w:rsidRPr="007203A0">
        <w:rPr>
          <w:i/>
          <w:snapToGrid/>
          <w:szCs w:val="22"/>
          <w:lang w:val="lt-LT"/>
        </w:rPr>
        <w:t>Vaikų populiacija</w:t>
      </w:r>
    </w:p>
    <w:p w14:paraId="30DBA233"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saugumas ir veiksmingumas vaikų populiacijos pacientams dar nenustatytas. Šiuo metu turimi duomenys pateikiami 5.1 skyriuje.</w:t>
      </w:r>
    </w:p>
    <w:p w14:paraId="74EA5631" w14:textId="77777777" w:rsidR="0041096E" w:rsidRPr="007203A0" w:rsidRDefault="0041096E" w:rsidP="0041096E">
      <w:pPr>
        <w:widowControl w:val="0"/>
        <w:tabs>
          <w:tab w:val="clear" w:pos="567"/>
        </w:tabs>
        <w:autoSpaceDE w:val="0"/>
        <w:autoSpaceDN w:val="0"/>
        <w:spacing w:line="276" w:lineRule="auto"/>
        <w:jc w:val="both"/>
        <w:rPr>
          <w:snapToGrid/>
          <w:szCs w:val="22"/>
          <w:lang w:val="lt-LT"/>
        </w:rPr>
      </w:pPr>
    </w:p>
    <w:p w14:paraId="5CF98392" w14:textId="77777777" w:rsidR="0041096E" w:rsidRPr="007203A0" w:rsidRDefault="0041096E" w:rsidP="0041096E">
      <w:pPr>
        <w:widowControl w:val="0"/>
        <w:tabs>
          <w:tab w:val="clear" w:pos="567"/>
        </w:tabs>
        <w:autoSpaceDE w:val="0"/>
        <w:autoSpaceDN w:val="0"/>
        <w:spacing w:line="276" w:lineRule="auto"/>
        <w:jc w:val="both"/>
        <w:rPr>
          <w:snapToGrid/>
          <w:szCs w:val="22"/>
          <w:lang w:val="lt-LT"/>
        </w:rPr>
      </w:pPr>
      <w:r w:rsidRPr="007203A0">
        <w:rPr>
          <w:snapToGrid/>
          <w:szCs w:val="22"/>
          <w:u w:val="single"/>
          <w:lang w:val="lt-LT"/>
        </w:rPr>
        <w:t>Vartojimo metodas</w:t>
      </w:r>
    </w:p>
    <w:p w14:paraId="6B3955EC"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reikia vartoti per burną.</w:t>
      </w:r>
    </w:p>
    <w:p w14:paraId="11A22F6E" w14:textId="77777777" w:rsidR="0041096E" w:rsidRPr="007203A0" w:rsidRDefault="0041096E" w:rsidP="0041096E">
      <w:pPr>
        <w:rPr>
          <w:noProof/>
          <w:szCs w:val="22"/>
          <w:u w:val="single"/>
          <w:lang w:val="lt-LT"/>
        </w:rPr>
      </w:pPr>
    </w:p>
    <w:p w14:paraId="160249A2" w14:textId="77777777" w:rsidR="0041096E" w:rsidRPr="007203A0" w:rsidRDefault="0041096E" w:rsidP="0041096E">
      <w:pPr>
        <w:pStyle w:val="Antrat4"/>
        <w:rPr>
          <w:rFonts w:ascii="Times New Roman" w:hAnsi="Times New Roman"/>
          <w:sz w:val="22"/>
          <w:szCs w:val="22"/>
          <w:lang w:val="lt-LT"/>
        </w:rPr>
      </w:pPr>
      <w:r w:rsidRPr="007203A0">
        <w:rPr>
          <w:rFonts w:ascii="Times New Roman" w:hAnsi="Times New Roman"/>
          <w:sz w:val="22"/>
          <w:szCs w:val="22"/>
          <w:lang w:val="lt-LT"/>
        </w:rPr>
        <w:t>4.3</w:t>
      </w:r>
      <w:r w:rsidRPr="007203A0">
        <w:rPr>
          <w:rFonts w:ascii="Times New Roman" w:hAnsi="Times New Roman"/>
          <w:sz w:val="22"/>
          <w:szCs w:val="22"/>
          <w:lang w:val="lt-LT"/>
        </w:rPr>
        <w:tab/>
        <w:t>Kontraindikacijos</w:t>
      </w:r>
    </w:p>
    <w:p w14:paraId="70CF87F1" w14:textId="77777777" w:rsidR="0041096E" w:rsidRPr="007203A0" w:rsidRDefault="0041096E" w:rsidP="0041096E">
      <w:pPr>
        <w:rPr>
          <w:szCs w:val="22"/>
          <w:lang w:val="lt-LT"/>
        </w:rPr>
      </w:pPr>
    </w:p>
    <w:p w14:paraId="649F1C50"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r w:rsidRPr="007203A0">
        <w:rPr>
          <w:snapToGrid/>
          <w:szCs w:val="22"/>
          <w:lang w:val="lt-LT"/>
        </w:rPr>
        <w:t>Padidėjęs jautrumas veikliajai arba bet kuriai 6.1 skyriuje nurodytai pagalbinei medžiagai.</w:t>
      </w:r>
    </w:p>
    <w:p w14:paraId="470E1B54"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
    <w:p w14:paraId="033B3F6F"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r w:rsidRPr="007203A0">
        <w:rPr>
          <w:snapToGrid/>
          <w:szCs w:val="22"/>
          <w:lang w:val="lt-LT"/>
        </w:rPr>
        <w:t>Ūminis miokardo infarktas per praėjusias 90 parų.</w:t>
      </w:r>
    </w:p>
    <w:p w14:paraId="12FD379B" w14:textId="77777777" w:rsidR="0041096E" w:rsidRPr="007203A0" w:rsidRDefault="0041096E" w:rsidP="0041096E">
      <w:pPr>
        <w:widowControl w:val="0"/>
        <w:tabs>
          <w:tab w:val="clear" w:pos="567"/>
        </w:tabs>
        <w:autoSpaceDE w:val="0"/>
        <w:autoSpaceDN w:val="0"/>
        <w:spacing w:before="1" w:line="276" w:lineRule="auto"/>
        <w:jc w:val="both"/>
        <w:rPr>
          <w:snapToGrid/>
          <w:szCs w:val="22"/>
          <w:lang w:val="lt-LT"/>
        </w:rPr>
      </w:pPr>
    </w:p>
    <w:p w14:paraId="174AE438" w14:textId="77777777" w:rsidR="0041096E" w:rsidRPr="007203A0" w:rsidRDefault="0041096E" w:rsidP="0041096E">
      <w:pPr>
        <w:widowControl w:val="0"/>
        <w:tabs>
          <w:tab w:val="clear" w:pos="567"/>
        </w:tabs>
        <w:autoSpaceDE w:val="0"/>
        <w:autoSpaceDN w:val="0"/>
        <w:spacing w:before="1" w:line="276" w:lineRule="auto"/>
        <w:rPr>
          <w:snapToGrid/>
          <w:szCs w:val="22"/>
          <w:lang w:val="lt-LT"/>
        </w:rPr>
      </w:pPr>
      <w:r w:rsidRPr="007203A0">
        <w:rPr>
          <w:snapToGrid/>
          <w:szCs w:val="22"/>
          <w:lang w:val="lt-LT"/>
        </w:rPr>
        <w:t xml:space="preserve">Sunki </w:t>
      </w:r>
      <w:proofErr w:type="spellStart"/>
      <w:r w:rsidRPr="007203A0">
        <w:rPr>
          <w:snapToGrid/>
          <w:szCs w:val="22"/>
          <w:lang w:val="lt-LT"/>
        </w:rPr>
        <w:t>hipotenzija</w:t>
      </w:r>
      <w:proofErr w:type="spellEnd"/>
      <w:r w:rsidRPr="007203A0">
        <w:rPr>
          <w:snapToGrid/>
          <w:szCs w:val="22"/>
          <w:lang w:val="lt-LT"/>
        </w:rPr>
        <w:t xml:space="preserve"> (&lt; 90/50 mm </w:t>
      </w:r>
      <w:proofErr w:type="spellStart"/>
      <w:r w:rsidRPr="007203A0">
        <w:rPr>
          <w:snapToGrid/>
          <w:szCs w:val="22"/>
          <w:lang w:val="lt-LT"/>
        </w:rPr>
        <w:t>Hg</w:t>
      </w:r>
      <w:proofErr w:type="spellEnd"/>
      <w:r w:rsidRPr="007203A0">
        <w:rPr>
          <w:snapToGrid/>
          <w:szCs w:val="22"/>
          <w:lang w:val="lt-LT"/>
        </w:rPr>
        <w:t>).</w:t>
      </w:r>
    </w:p>
    <w:p w14:paraId="2F21F796" w14:textId="77777777" w:rsidR="0041096E" w:rsidRPr="007203A0" w:rsidRDefault="0041096E" w:rsidP="0041096E">
      <w:pPr>
        <w:widowControl w:val="0"/>
        <w:tabs>
          <w:tab w:val="clear" w:pos="567"/>
        </w:tabs>
        <w:autoSpaceDE w:val="0"/>
        <w:autoSpaceDN w:val="0"/>
        <w:spacing w:line="276" w:lineRule="auto"/>
        <w:rPr>
          <w:snapToGrid/>
          <w:szCs w:val="22"/>
          <w:lang w:val="lt-LT"/>
        </w:rPr>
      </w:pPr>
    </w:p>
    <w:p w14:paraId="4523F4A8" w14:textId="77777777" w:rsidR="0041096E" w:rsidRPr="007203A0" w:rsidRDefault="0041096E" w:rsidP="0041096E">
      <w:pPr>
        <w:widowControl w:val="0"/>
        <w:numPr>
          <w:ilvl w:val="0"/>
          <w:numId w:val="7"/>
        </w:numPr>
        <w:tabs>
          <w:tab w:val="clear" w:pos="567"/>
        </w:tabs>
        <w:autoSpaceDE w:val="0"/>
        <w:autoSpaceDN w:val="0"/>
        <w:spacing w:after="5" w:line="240" w:lineRule="auto"/>
        <w:ind w:left="720" w:hanging="360"/>
        <w:contextualSpacing/>
        <w:rPr>
          <w:snapToGrid/>
          <w:color w:val="000000"/>
          <w:szCs w:val="22"/>
          <w:lang w:val="lt-LT" w:eastAsia="de-AT"/>
        </w:rPr>
      </w:pPr>
      <w:r w:rsidRPr="007203A0">
        <w:rPr>
          <w:snapToGrid/>
          <w:color w:val="000000"/>
          <w:szCs w:val="22"/>
          <w:lang w:val="lt-LT" w:eastAsia="de-AT"/>
        </w:rPr>
        <w:t xml:space="preserve">Klinikinių tyrimų metu nustatyta, kad </w:t>
      </w:r>
      <w:proofErr w:type="spellStart"/>
      <w:r w:rsidRPr="007203A0">
        <w:rPr>
          <w:snapToGrid/>
          <w:color w:val="000000"/>
          <w:szCs w:val="22"/>
          <w:lang w:val="lt-LT" w:eastAsia="de-AT"/>
        </w:rPr>
        <w:t>tadalafilis</w:t>
      </w:r>
      <w:proofErr w:type="spellEnd"/>
      <w:r w:rsidRPr="007203A0">
        <w:rPr>
          <w:snapToGrid/>
          <w:color w:val="000000"/>
          <w:szCs w:val="22"/>
          <w:lang w:val="lt-LT" w:eastAsia="de-AT"/>
        </w:rPr>
        <w:t xml:space="preserve"> stiprina nitratų sukeliamą </w:t>
      </w:r>
      <w:proofErr w:type="spellStart"/>
      <w:r w:rsidRPr="007203A0">
        <w:rPr>
          <w:snapToGrid/>
          <w:color w:val="000000"/>
          <w:szCs w:val="22"/>
          <w:lang w:val="lt-LT" w:eastAsia="de-AT"/>
        </w:rPr>
        <w:t>hipotenzinį</w:t>
      </w:r>
      <w:proofErr w:type="spellEnd"/>
      <w:r w:rsidRPr="007203A0">
        <w:rPr>
          <w:snapToGrid/>
          <w:color w:val="000000"/>
          <w:szCs w:val="22"/>
          <w:lang w:val="lt-LT" w:eastAsia="de-AT"/>
        </w:rPr>
        <w:t xml:space="preserve"> poveikį. Manoma, kad taip yra dėl bendro nitratų ir </w:t>
      </w:r>
      <w:proofErr w:type="spellStart"/>
      <w:r w:rsidRPr="007203A0">
        <w:rPr>
          <w:snapToGrid/>
          <w:color w:val="000000"/>
          <w:szCs w:val="22"/>
          <w:lang w:val="lt-LT" w:eastAsia="de-AT"/>
        </w:rPr>
        <w:t>tadalafilio</w:t>
      </w:r>
      <w:proofErr w:type="spellEnd"/>
      <w:r w:rsidRPr="007203A0">
        <w:rPr>
          <w:snapToGrid/>
          <w:color w:val="000000"/>
          <w:szCs w:val="22"/>
          <w:lang w:val="lt-LT" w:eastAsia="de-AT"/>
        </w:rPr>
        <w:t xml:space="preserve"> poveikio azoto oksido ir </w:t>
      </w:r>
      <w:proofErr w:type="spellStart"/>
      <w:r w:rsidRPr="007203A0">
        <w:rPr>
          <w:snapToGrid/>
          <w:color w:val="000000"/>
          <w:szCs w:val="22"/>
          <w:lang w:val="lt-LT" w:eastAsia="de-AT"/>
        </w:rPr>
        <w:t>cGMF</w:t>
      </w:r>
      <w:proofErr w:type="spellEnd"/>
      <w:r w:rsidRPr="007203A0">
        <w:rPr>
          <w:snapToGrid/>
          <w:color w:val="000000"/>
          <w:szCs w:val="22"/>
          <w:lang w:val="lt-LT" w:eastAsia="de-AT"/>
        </w:rPr>
        <w:t xml:space="preserve"> grandinei. Todėl </w:t>
      </w:r>
      <w:proofErr w:type="spellStart"/>
      <w:r w:rsidRPr="007203A0">
        <w:rPr>
          <w:snapToGrid/>
          <w:color w:val="000000"/>
          <w:szCs w:val="22"/>
          <w:lang w:val="lt-LT" w:eastAsia="de-AT"/>
        </w:rPr>
        <w:t>tadalafilio</w:t>
      </w:r>
      <w:proofErr w:type="spellEnd"/>
      <w:r w:rsidRPr="007203A0">
        <w:rPr>
          <w:snapToGrid/>
          <w:color w:val="000000"/>
          <w:szCs w:val="22"/>
          <w:lang w:val="lt-LT" w:eastAsia="de-AT"/>
        </w:rPr>
        <w:t xml:space="preserve"> negalima skirti pacientams, vartojantiems bet kokių organinių nitratų preparatų (žr. 4.5 skyrių).</w:t>
      </w:r>
    </w:p>
    <w:p w14:paraId="0F6DAF98"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7DF61688"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FDE5 inhibitorius, įskaitant </w:t>
      </w:r>
      <w:proofErr w:type="spellStart"/>
      <w:r w:rsidRPr="007203A0">
        <w:rPr>
          <w:snapToGrid/>
          <w:szCs w:val="22"/>
          <w:lang w:val="lt-LT"/>
        </w:rPr>
        <w:t>tadalafilį</w:t>
      </w:r>
      <w:proofErr w:type="spellEnd"/>
      <w:r w:rsidRPr="007203A0">
        <w:rPr>
          <w:snapToGrid/>
          <w:szCs w:val="22"/>
          <w:lang w:val="lt-LT"/>
        </w:rPr>
        <w:t xml:space="preserve">, draudžiama vartoti kartu su </w:t>
      </w:r>
      <w:proofErr w:type="spellStart"/>
      <w:r w:rsidRPr="007203A0">
        <w:rPr>
          <w:snapToGrid/>
          <w:szCs w:val="22"/>
          <w:lang w:val="lt-LT"/>
        </w:rPr>
        <w:t>guanilatciklazės</w:t>
      </w:r>
      <w:proofErr w:type="spellEnd"/>
      <w:r w:rsidRPr="007203A0">
        <w:rPr>
          <w:snapToGrid/>
          <w:szCs w:val="22"/>
          <w:lang w:val="lt-LT"/>
        </w:rPr>
        <w:t xml:space="preserve"> stimuliatoriais (pvz., </w:t>
      </w:r>
      <w:proofErr w:type="spellStart"/>
      <w:r w:rsidRPr="007203A0">
        <w:rPr>
          <w:snapToGrid/>
          <w:szCs w:val="22"/>
          <w:lang w:val="lt-LT"/>
        </w:rPr>
        <w:t>riociguatu</w:t>
      </w:r>
      <w:proofErr w:type="spellEnd"/>
      <w:r w:rsidRPr="007203A0">
        <w:rPr>
          <w:snapToGrid/>
          <w:szCs w:val="22"/>
          <w:lang w:val="lt-LT"/>
        </w:rPr>
        <w:t xml:space="preserve">), nes gali pasireikšti simptominė </w:t>
      </w:r>
      <w:proofErr w:type="spellStart"/>
      <w:r w:rsidRPr="007203A0">
        <w:rPr>
          <w:snapToGrid/>
          <w:szCs w:val="22"/>
          <w:lang w:val="lt-LT"/>
        </w:rPr>
        <w:t>hipotenzija</w:t>
      </w:r>
      <w:proofErr w:type="spellEnd"/>
      <w:r w:rsidRPr="007203A0">
        <w:rPr>
          <w:snapToGrid/>
          <w:szCs w:val="22"/>
          <w:lang w:val="lt-LT"/>
        </w:rPr>
        <w:t xml:space="preserve"> (žr. </w:t>
      </w:r>
      <w:r w:rsidRPr="007203A0">
        <w:rPr>
          <w:snapToGrid/>
          <w:color w:val="333300"/>
          <w:szCs w:val="22"/>
          <w:lang w:val="lt-LT"/>
        </w:rPr>
        <w:t xml:space="preserve">4.5 </w:t>
      </w:r>
      <w:r w:rsidRPr="007203A0">
        <w:rPr>
          <w:snapToGrid/>
          <w:szCs w:val="22"/>
          <w:lang w:val="lt-LT"/>
        </w:rPr>
        <w:t>skyrių).</w:t>
      </w:r>
    </w:p>
    <w:p w14:paraId="64CB6813" w14:textId="77777777" w:rsidR="0041096E" w:rsidRPr="00D8166E" w:rsidRDefault="0041096E" w:rsidP="0041096E">
      <w:pPr>
        <w:widowControl w:val="0"/>
        <w:tabs>
          <w:tab w:val="clear" w:pos="567"/>
        </w:tabs>
        <w:autoSpaceDE w:val="0"/>
        <w:autoSpaceDN w:val="0"/>
        <w:spacing w:before="10" w:line="240" w:lineRule="auto"/>
        <w:rPr>
          <w:lang w:val="lt-LT"/>
        </w:rPr>
      </w:pPr>
    </w:p>
    <w:p w14:paraId="6A6486BA" w14:textId="77777777" w:rsidR="0041096E" w:rsidRPr="002A25EF" w:rsidRDefault="0041096E" w:rsidP="0041096E">
      <w:pPr>
        <w:widowControl w:val="0"/>
        <w:tabs>
          <w:tab w:val="clear" w:pos="567"/>
        </w:tabs>
        <w:autoSpaceDE w:val="0"/>
        <w:autoSpaceDN w:val="0"/>
        <w:spacing w:before="1" w:line="240" w:lineRule="auto"/>
        <w:rPr>
          <w:snapToGrid/>
          <w:szCs w:val="22"/>
          <w:lang w:val="lt-LT"/>
        </w:rPr>
      </w:pPr>
      <w:r w:rsidRPr="005F48B8">
        <w:rPr>
          <w:snapToGrid/>
          <w:szCs w:val="22"/>
          <w:lang w:val="lt-LT"/>
        </w:rPr>
        <w:t xml:space="preserve">Pacientams, kuriems atsirado vienos akies aklumas dėl ne </w:t>
      </w:r>
      <w:proofErr w:type="spellStart"/>
      <w:r w:rsidRPr="005F48B8">
        <w:rPr>
          <w:snapToGrid/>
          <w:szCs w:val="22"/>
          <w:lang w:val="lt-LT"/>
        </w:rPr>
        <w:t>arterito</w:t>
      </w:r>
      <w:proofErr w:type="spellEnd"/>
      <w:r w:rsidRPr="005F48B8">
        <w:rPr>
          <w:snapToGrid/>
          <w:szCs w:val="22"/>
          <w:lang w:val="lt-LT"/>
        </w:rPr>
        <w:t xml:space="preserve"> sukeltos priekinės išeminės regos nervo </w:t>
      </w:r>
      <w:r w:rsidRPr="008612DF">
        <w:rPr>
          <w:snapToGrid/>
          <w:szCs w:val="22"/>
          <w:lang w:val="lt-LT"/>
        </w:rPr>
        <w:t>neur</w:t>
      </w:r>
      <w:r w:rsidRPr="002A25EF">
        <w:rPr>
          <w:snapToGrid/>
          <w:szCs w:val="22"/>
          <w:lang w:val="lt-LT"/>
        </w:rPr>
        <w:t xml:space="preserve">opatijos (angl. </w:t>
      </w:r>
      <w:proofErr w:type="spellStart"/>
      <w:r w:rsidRPr="002A25EF">
        <w:rPr>
          <w:i/>
          <w:snapToGrid/>
          <w:szCs w:val="22"/>
          <w:lang w:val="lt-LT"/>
        </w:rPr>
        <w:t>non-arteritic</w:t>
      </w:r>
      <w:proofErr w:type="spellEnd"/>
      <w:r w:rsidRPr="002A25EF">
        <w:rPr>
          <w:i/>
          <w:snapToGrid/>
          <w:szCs w:val="22"/>
          <w:lang w:val="lt-LT"/>
        </w:rPr>
        <w:t xml:space="preserve"> </w:t>
      </w:r>
      <w:proofErr w:type="spellStart"/>
      <w:r w:rsidRPr="002A25EF">
        <w:rPr>
          <w:i/>
          <w:snapToGrid/>
          <w:szCs w:val="22"/>
          <w:lang w:val="lt-LT"/>
        </w:rPr>
        <w:t>anterior</w:t>
      </w:r>
      <w:proofErr w:type="spellEnd"/>
      <w:r w:rsidRPr="002A25EF">
        <w:rPr>
          <w:i/>
          <w:snapToGrid/>
          <w:szCs w:val="22"/>
          <w:lang w:val="lt-LT"/>
        </w:rPr>
        <w:t xml:space="preserve"> </w:t>
      </w:r>
      <w:proofErr w:type="spellStart"/>
      <w:r w:rsidRPr="002A25EF">
        <w:rPr>
          <w:i/>
          <w:snapToGrid/>
          <w:szCs w:val="22"/>
          <w:lang w:val="lt-LT"/>
        </w:rPr>
        <w:t>ischemic</w:t>
      </w:r>
      <w:proofErr w:type="spellEnd"/>
      <w:r w:rsidRPr="002A25EF">
        <w:rPr>
          <w:i/>
          <w:snapToGrid/>
          <w:szCs w:val="22"/>
          <w:lang w:val="lt-LT"/>
        </w:rPr>
        <w:t xml:space="preserve"> </w:t>
      </w:r>
      <w:proofErr w:type="spellStart"/>
      <w:r w:rsidRPr="002A25EF">
        <w:rPr>
          <w:i/>
          <w:snapToGrid/>
          <w:szCs w:val="22"/>
          <w:lang w:val="lt-LT"/>
        </w:rPr>
        <w:t>optic</w:t>
      </w:r>
      <w:proofErr w:type="spellEnd"/>
      <w:r w:rsidRPr="002A25EF">
        <w:rPr>
          <w:i/>
          <w:snapToGrid/>
          <w:szCs w:val="22"/>
          <w:lang w:val="lt-LT"/>
        </w:rPr>
        <w:t xml:space="preserve"> </w:t>
      </w:r>
      <w:proofErr w:type="spellStart"/>
      <w:r w:rsidRPr="002A25EF">
        <w:rPr>
          <w:i/>
          <w:snapToGrid/>
          <w:szCs w:val="22"/>
          <w:lang w:val="lt-LT"/>
        </w:rPr>
        <w:t>neuropathy</w:t>
      </w:r>
      <w:proofErr w:type="spellEnd"/>
      <w:r w:rsidRPr="002A25EF">
        <w:rPr>
          <w:i/>
          <w:snapToGrid/>
          <w:szCs w:val="22"/>
          <w:lang w:val="lt-LT"/>
        </w:rPr>
        <w:t xml:space="preserve"> [NAION]</w:t>
      </w:r>
      <w:r w:rsidRPr="002A25EF">
        <w:rPr>
          <w:snapToGrid/>
          <w:szCs w:val="22"/>
          <w:lang w:val="lt-LT"/>
        </w:rPr>
        <w:t>), nepriklausomai nuo to, ar tai buvo susiję, ar nesusiję su ankstesniu fosfodiesterazės-5 (FDE5) inhibitorių vartojimu. (žr. 4.4 skyrių).</w:t>
      </w:r>
    </w:p>
    <w:p w14:paraId="2D918801" w14:textId="77777777" w:rsidR="0041096E" w:rsidRPr="009840AD" w:rsidRDefault="0041096E" w:rsidP="0041096E">
      <w:pPr>
        <w:widowControl w:val="0"/>
        <w:autoSpaceDE w:val="0"/>
        <w:autoSpaceDN w:val="0"/>
        <w:spacing w:line="276" w:lineRule="auto"/>
        <w:jc w:val="both"/>
        <w:outlineLvl w:val="0"/>
        <w:rPr>
          <w:b/>
          <w:bCs/>
          <w:snapToGrid/>
          <w:szCs w:val="22"/>
          <w:lang w:val="lt-LT"/>
        </w:rPr>
      </w:pPr>
      <w:r>
        <w:rPr>
          <w:b/>
          <w:bCs/>
          <w:snapToGrid/>
          <w:szCs w:val="22"/>
          <w:lang w:val="lt-LT"/>
        </w:rPr>
        <w:t>4.4</w:t>
      </w:r>
      <w:r>
        <w:rPr>
          <w:b/>
          <w:bCs/>
          <w:snapToGrid/>
          <w:szCs w:val="22"/>
          <w:lang w:val="lt-LT"/>
        </w:rPr>
        <w:tab/>
      </w:r>
      <w:r w:rsidRPr="0061385E">
        <w:rPr>
          <w:b/>
          <w:bCs/>
          <w:snapToGrid/>
          <w:szCs w:val="22"/>
          <w:lang w:val="lt-LT"/>
        </w:rPr>
        <w:t>Specialūs įspėjimai ir atsargumo</w:t>
      </w:r>
      <w:r w:rsidRPr="009840AD">
        <w:rPr>
          <w:b/>
          <w:bCs/>
          <w:snapToGrid/>
          <w:spacing w:val="-2"/>
          <w:szCs w:val="22"/>
          <w:lang w:val="lt-LT"/>
        </w:rPr>
        <w:t xml:space="preserve"> </w:t>
      </w:r>
      <w:r w:rsidRPr="009840AD">
        <w:rPr>
          <w:b/>
          <w:bCs/>
          <w:snapToGrid/>
          <w:szCs w:val="22"/>
          <w:lang w:val="lt-LT"/>
        </w:rPr>
        <w:t>priemonės</w:t>
      </w:r>
    </w:p>
    <w:p w14:paraId="431B608F" w14:textId="77777777" w:rsidR="0041096E" w:rsidRPr="00D8166E" w:rsidRDefault="0041096E" w:rsidP="0041096E">
      <w:pPr>
        <w:widowControl w:val="0"/>
        <w:tabs>
          <w:tab w:val="clear" w:pos="567"/>
        </w:tabs>
        <w:autoSpaceDE w:val="0"/>
        <w:autoSpaceDN w:val="0"/>
        <w:spacing w:before="8" w:line="240" w:lineRule="auto"/>
        <w:rPr>
          <w:b/>
          <w:lang w:val="lt-LT"/>
        </w:rPr>
      </w:pPr>
    </w:p>
    <w:p w14:paraId="0C5431C2"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Širdies ir kraujagyslių sistema</w:t>
      </w:r>
    </w:p>
    <w:p w14:paraId="150590DB" w14:textId="77777777" w:rsidR="0041096E" w:rsidRPr="008612DF"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PAH klinikiniuose tyrimuose nedalyvavo toliau išvardytų grupių pacientai, sergantys kardiovaskuline liga:</w:t>
      </w:r>
    </w:p>
    <w:p w14:paraId="1192EFF0" w14:textId="77777777" w:rsidR="0041096E" w:rsidRPr="00D8166E" w:rsidRDefault="0041096E" w:rsidP="0041096E">
      <w:pPr>
        <w:widowControl w:val="0"/>
        <w:tabs>
          <w:tab w:val="clear" w:pos="567"/>
        </w:tabs>
        <w:autoSpaceDE w:val="0"/>
        <w:autoSpaceDN w:val="0"/>
        <w:spacing w:before="10" w:line="240" w:lineRule="auto"/>
        <w:rPr>
          <w:lang w:val="lt-LT"/>
        </w:rPr>
      </w:pPr>
    </w:p>
    <w:p w14:paraId="4D0B7D83" w14:textId="77777777" w:rsidR="0041096E" w:rsidRPr="005F48B8" w:rsidRDefault="0041096E" w:rsidP="0041096E">
      <w:pPr>
        <w:widowControl w:val="0"/>
        <w:numPr>
          <w:ilvl w:val="0"/>
          <w:numId w:val="7"/>
        </w:numPr>
        <w:tabs>
          <w:tab w:val="clear" w:pos="567"/>
        </w:tabs>
        <w:autoSpaceDE w:val="0"/>
        <w:autoSpaceDN w:val="0"/>
        <w:spacing w:after="5" w:line="240" w:lineRule="auto"/>
        <w:ind w:left="720" w:hanging="360"/>
        <w:contextualSpacing/>
        <w:rPr>
          <w:snapToGrid/>
          <w:color w:val="000000"/>
          <w:szCs w:val="22"/>
          <w:lang w:val="lt-LT" w:eastAsia="de-AT"/>
        </w:rPr>
      </w:pPr>
      <w:r w:rsidRPr="005F48B8">
        <w:rPr>
          <w:snapToGrid/>
          <w:color w:val="000000"/>
          <w:szCs w:val="22"/>
          <w:lang w:val="lt-LT" w:eastAsia="de-AT"/>
        </w:rPr>
        <w:t xml:space="preserve">pacientai, kurie serga kliniškai reikšminga aortos ir </w:t>
      </w:r>
      <w:proofErr w:type="spellStart"/>
      <w:r w:rsidRPr="005F48B8">
        <w:rPr>
          <w:snapToGrid/>
          <w:color w:val="000000"/>
          <w:szCs w:val="22"/>
          <w:lang w:val="lt-LT" w:eastAsia="de-AT"/>
        </w:rPr>
        <w:t>dviburio</w:t>
      </w:r>
      <w:proofErr w:type="spellEnd"/>
      <w:r w:rsidRPr="005F48B8">
        <w:rPr>
          <w:snapToGrid/>
          <w:color w:val="000000"/>
          <w:szCs w:val="22"/>
          <w:lang w:val="lt-LT" w:eastAsia="de-AT"/>
        </w:rPr>
        <w:t xml:space="preserve"> vožtuvo liga;</w:t>
      </w:r>
    </w:p>
    <w:p w14:paraId="4CDAF4B0"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pacientai, kuriems pasireiškė perikardo suspaudimas;</w:t>
      </w:r>
    </w:p>
    <w:p w14:paraId="06E9E593"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 xml:space="preserve">pacientai, kurie serga </w:t>
      </w:r>
      <w:proofErr w:type="spellStart"/>
      <w:r w:rsidRPr="00D8166E">
        <w:rPr>
          <w:color w:val="000000"/>
          <w:lang w:val="lt-LT"/>
        </w:rPr>
        <w:t>restrikcine</w:t>
      </w:r>
      <w:proofErr w:type="spellEnd"/>
      <w:r w:rsidRPr="00D8166E">
        <w:rPr>
          <w:color w:val="000000"/>
          <w:lang w:val="lt-LT"/>
        </w:rPr>
        <w:t xml:space="preserve"> arba </w:t>
      </w:r>
      <w:proofErr w:type="spellStart"/>
      <w:r w:rsidRPr="00D8166E">
        <w:rPr>
          <w:color w:val="000000"/>
          <w:lang w:val="lt-LT"/>
        </w:rPr>
        <w:t>stazine</w:t>
      </w:r>
      <w:proofErr w:type="spellEnd"/>
      <w:r w:rsidRPr="00D8166E">
        <w:rPr>
          <w:color w:val="000000"/>
          <w:lang w:val="lt-LT"/>
        </w:rPr>
        <w:t xml:space="preserve"> kardiomiopatija;</w:t>
      </w:r>
    </w:p>
    <w:p w14:paraId="5618DF84"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pacientai, kuriems pasireiškė reikšmingas kairiojo skilvelio funkcijos sutrikimas;</w:t>
      </w:r>
    </w:p>
    <w:p w14:paraId="13439DC0"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pacientai, kuriems pasireiškė gyvybei pavojingos aritmijos;</w:t>
      </w:r>
    </w:p>
    <w:p w14:paraId="24079D94"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pacientai, kuriems pasireiškė išeminės širdies ligos simptomų;</w:t>
      </w:r>
    </w:p>
    <w:p w14:paraId="5334ED8A" w14:textId="77777777" w:rsidR="0041096E" w:rsidRPr="00D8166E" w:rsidRDefault="0041096E" w:rsidP="0041096E">
      <w:pPr>
        <w:widowControl w:val="0"/>
        <w:numPr>
          <w:ilvl w:val="0"/>
          <w:numId w:val="7"/>
        </w:numPr>
        <w:tabs>
          <w:tab w:val="clear" w:pos="567"/>
        </w:tabs>
        <w:autoSpaceDE w:val="0"/>
        <w:autoSpaceDN w:val="0"/>
        <w:spacing w:after="5" w:line="240" w:lineRule="auto"/>
        <w:ind w:left="720" w:hanging="360"/>
        <w:contextualSpacing/>
        <w:rPr>
          <w:color w:val="000000"/>
          <w:lang w:val="lt-LT"/>
        </w:rPr>
      </w:pPr>
      <w:r w:rsidRPr="00D8166E">
        <w:rPr>
          <w:color w:val="000000"/>
          <w:lang w:val="lt-LT"/>
        </w:rPr>
        <w:t>pacientai, kuriems yra nereguliuojama hipertenzija.</w:t>
      </w:r>
    </w:p>
    <w:p w14:paraId="30899882" w14:textId="77777777" w:rsidR="0041096E" w:rsidRPr="005F48B8" w:rsidRDefault="0041096E" w:rsidP="0041096E">
      <w:pPr>
        <w:widowControl w:val="0"/>
        <w:tabs>
          <w:tab w:val="clear" w:pos="567"/>
        </w:tabs>
        <w:autoSpaceDE w:val="0"/>
        <w:autoSpaceDN w:val="0"/>
        <w:spacing w:line="240" w:lineRule="auto"/>
        <w:rPr>
          <w:snapToGrid/>
          <w:szCs w:val="22"/>
          <w:lang w:val="lt-LT"/>
        </w:rPr>
      </w:pPr>
    </w:p>
    <w:p w14:paraId="29AC70BF" w14:textId="77777777" w:rsidR="0041096E" w:rsidRPr="008612DF"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Klinikinių saugumo duomenų apie tokius pacientus nėra, todėl jiems </w:t>
      </w:r>
      <w:proofErr w:type="spellStart"/>
      <w:r w:rsidRPr="008612DF">
        <w:rPr>
          <w:snapToGrid/>
          <w:szCs w:val="22"/>
          <w:lang w:val="lt-LT"/>
        </w:rPr>
        <w:t>tadalafilį</w:t>
      </w:r>
      <w:proofErr w:type="spellEnd"/>
      <w:r w:rsidRPr="008612DF">
        <w:rPr>
          <w:snapToGrid/>
          <w:szCs w:val="22"/>
          <w:lang w:val="lt-LT"/>
        </w:rPr>
        <w:t xml:space="preserve"> vartoti nerekomenduojama.</w:t>
      </w:r>
    </w:p>
    <w:p w14:paraId="576E07BB" w14:textId="77777777" w:rsidR="0041096E" w:rsidRPr="00D8166E" w:rsidRDefault="0041096E" w:rsidP="0041096E">
      <w:pPr>
        <w:widowControl w:val="0"/>
        <w:tabs>
          <w:tab w:val="clear" w:pos="567"/>
        </w:tabs>
        <w:autoSpaceDE w:val="0"/>
        <w:autoSpaceDN w:val="0"/>
        <w:spacing w:before="11" w:line="240" w:lineRule="auto"/>
        <w:rPr>
          <w:lang w:val="lt-LT"/>
        </w:rPr>
      </w:pPr>
    </w:p>
    <w:p w14:paraId="332B818D"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Plaučių kraujagysles plečiantys vaistiniai preparatai gali reikšmingai pasunkinti pacientų, kurie serga plaučių venų </w:t>
      </w:r>
      <w:proofErr w:type="spellStart"/>
      <w:r w:rsidRPr="005F48B8">
        <w:rPr>
          <w:snapToGrid/>
          <w:szCs w:val="22"/>
          <w:lang w:val="lt-LT"/>
        </w:rPr>
        <w:t>okliuzine</w:t>
      </w:r>
      <w:proofErr w:type="spellEnd"/>
      <w:r w:rsidRPr="005F48B8">
        <w:rPr>
          <w:snapToGrid/>
          <w:szCs w:val="22"/>
          <w:lang w:val="lt-LT"/>
        </w:rPr>
        <w:t xml:space="preserve"> liga (PVOL), širdies ir kraujagyslių sistemos būklę. Klinikinių tyrimų duomenų apie </w:t>
      </w:r>
      <w:proofErr w:type="spellStart"/>
      <w:r w:rsidRPr="005F48B8">
        <w:rPr>
          <w:snapToGrid/>
          <w:szCs w:val="22"/>
          <w:lang w:val="lt-LT"/>
        </w:rPr>
        <w:t>tadalafilio</w:t>
      </w:r>
      <w:proofErr w:type="spellEnd"/>
      <w:r w:rsidRPr="005F48B8">
        <w:rPr>
          <w:snapToGrid/>
          <w:szCs w:val="22"/>
          <w:lang w:val="lt-LT"/>
        </w:rPr>
        <w:t xml:space="preserve"> vartojimą pacientams, kurie serga venų </w:t>
      </w:r>
      <w:proofErr w:type="spellStart"/>
      <w:r w:rsidRPr="005F48B8">
        <w:rPr>
          <w:snapToGrid/>
          <w:szCs w:val="22"/>
          <w:lang w:val="lt-LT"/>
        </w:rPr>
        <w:t>okliuzine</w:t>
      </w:r>
      <w:proofErr w:type="spellEnd"/>
      <w:r w:rsidRPr="005F48B8">
        <w:rPr>
          <w:snapToGrid/>
          <w:szCs w:val="22"/>
          <w:lang w:val="lt-LT"/>
        </w:rPr>
        <w:t xml:space="preserve"> liga, nėra, todėl tokiems pacientams </w:t>
      </w:r>
      <w:proofErr w:type="spellStart"/>
      <w:r w:rsidRPr="005F48B8">
        <w:rPr>
          <w:snapToGrid/>
          <w:szCs w:val="22"/>
          <w:lang w:val="lt-LT"/>
        </w:rPr>
        <w:t>tadalafilį</w:t>
      </w:r>
      <w:proofErr w:type="spellEnd"/>
      <w:r w:rsidRPr="005F48B8">
        <w:rPr>
          <w:snapToGrid/>
          <w:szCs w:val="22"/>
          <w:lang w:val="lt-LT"/>
        </w:rPr>
        <w:t xml:space="preserve"> va</w:t>
      </w:r>
      <w:r w:rsidRPr="008612DF">
        <w:rPr>
          <w:snapToGrid/>
          <w:szCs w:val="22"/>
          <w:lang w:val="lt-LT"/>
        </w:rPr>
        <w:t>rtot</w:t>
      </w:r>
      <w:r w:rsidRPr="002A25EF">
        <w:rPr>
          <w:snapToGrid/>
          <w:szCs w:val="22"/>
          <w:lang w:val="lt-LT"/>
        </w:rPr>
        <w:t xml:space="preserve">i nerekomenduojama. Jeigu vartojant </w:t>
      </w:r>
      <w:proofErr w:type="spellStart"/>
      <w:r w:rsidRPr="002A25EF">
        <w:rPr>
          <w:snapToGrid/>
          <w:szCs w:val="22"/>
          <w:lang w:val="lt-LT"/>
        </w:rPr>
        <w:t>tadalafilį</w:t>
      </w:r>
      <w:proofErr w:type="spellEnd"/>
      <w:r w:rsidRPr="002A25EF">
        <w:rPr>
          <w:snapToGrid/>
          <w:szCs w:val="22"/>
          <w:lang w:val="lt-LT"/>
        </w:rPr>
        <w:t xml:space="preserve"> atsiranda plaučių edemos požymių, reikia pagalvoti, kad tai gali būti susiję su PVOL.</w:t>
      </w:r>
    </w:p>
    <w:p w14:paraId="2715D84A" w14:textId="77777777" w:rsidR="0041096E" w:rsidRPr="00D8166E" w:rsidRDefault="0041096E" w:rsidP="0041096E">
      <w:pPr>
        <w:widowControl w:val="0"/>
        <w:tabs>
          <w:tab w:val="clear" w:pos="567"/>
        </w:tabs>
        <w:autoSpaceDE w:val="0"/>
        <w:autoSpaceDN w:val="0"/>
        <w:spacing w:before="10" w:line="240" w:lineRule="auto"/>
        <w:rPr>
          <w:lang w:val="lt-LT"/>
        </w:rPr>
      </w:pPr>
    </w:p>
    <w:p w14:paraId="0C174F1A" w14:textId="77777777" w:rsidR="0041096E" w:rsidRPr="0061385E"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Tadalafilis</w:t>
      </w:r>
      <w:proofErr w:type="spellEnd"/>
      <w:r w:rsidRPr="005F48B8">
        <w:rPr>
          <w:snapToGrid/>
          <w:szCs w:val="22"/>
          <w:lang w:val="lt-LT"/>
        </w:rPr>
        <w:t xml:space="preserve"> sukelia sisteminį </w:t>
      </w:r>
      <w:proofErr w:type="spellStart"/>
      <w:r w:rsidRPr="005F48B8">
        <w:rPr>
          <w:snapToGrid/>
          <w:szCs w:val="22"/>
          <w:lang w:val="lt-LT"/>
        </w:rPr>
        <w:t>vazodilatacinį</w:t>
      </w:r>
      <w:proofErr w:type="spellEnd"/>
      <w:r w:rsidRPr="005F48B8">
        <w:rPr>
          <w:snapToGrid/>
          <w:szCs w:val="22"/>
          <w:lang w:val="lt-LT"/>
        </w:rPr>
        <w:t xml:space="preserve"> poveikį, dėl kurio gali pasireikšti trumpalaikis kraujospūdžio sumažėjima</w:t>
      </w:r>
      <w:r w:rsidRPr="008612DF">
        <w:rPr>
          <w:snapToGrid/>
          <w:szCs w:val="22"/>
          <w:lang w:val="lt-LT"/>
        </w:rPr>
        <w:t>s. G</w:t>
      </w:r>
      <w:r w:rsidRPr="002A25EF">
        <w:rPr>
          <w:snapToGrid/>
          <w:szCs w:val="22"/>
          <w:lang w:val="lt-LT"/>
        </w:rPr>
        <w:t xml:space="preserve">ydytojas turi numatyti, kad dėl tokios </w:t>
      </w:r>
      <w:proofErr w:type="spellStart"/>
      <w:r w:rsidRPr="002A25EF">
        <w:rPr>
          <w:snapToGrid/>
          <w:szCs w:val="22"/>
          <w:lang w:val="lt-LT"/>
        </w:rPr>
        <w:t>vazodilatacijos</w:t>
      </w:r>
      <w:proofErr w:type="spellEnd"/>
      <w:r w:rsidRPr="002A25EF">
        <w:rPr>
          <w:snapToGrid/>
          <w:szCs w:val="22"/>
          <w:lang w:val="lt-LT"/>
        </w:rPr>
        <w:t xml:space="preserve"> gali pasireikšti nepageidaujamas poveikis pacientams, kuriems yra tam tikrų gretutinių būklių, pavyzdžiui, sunki </w:t>
      </w:r>
      <w:r w:rsidRPr="002A25EF">
        <w:rPr>
          <w:snapToGrid/>
          <w:szCs w:val="22"/>
          <w:lang w:val="lt-LT"/>
        </w:rPr>
        <w:lastRenderedPageBreak/>
        <w:t xml:space="preserve">kraujo tekėjimo iš kairiojo skilvelio obstrukcija, skysčių netekimas, autonominė </w:t>
      </w:r>
      <w:proofErr w:type="spellStart"/>
      <w:r w:rsidRPr="002A25EF">
        <w:rPr>
          <w:snapToGrid/>
          <w:szCs w:val="22"/>
          <w:lang w:val="lt-LT"/>
        </w:rPr>
        <w:t>hip</w:t>
      </w:r>
      <w:r w:rsidRPr="0061385E">
        <w:rPr>
          <w:snapToGrid/>
          <w:szCs w:val="22"/>
          <w:lang w:val="lt-LT"/>
        </w:rPr>
        <w:t>otenzija</w:t>
      </w:r>
      <w:proofErr w:type="spellEnd"/>
      <w:r w:rsidRPr="0061385E">
        <w:rPr>
          <w:snapToGrid/>
          <w:szCs w:val="22"/>
          <w:lang w:val="lt-LT"/>
        </w:rPr>
        <w:t xml:space="preserve">, arba pacientams, kuriems pasireiškia </w:t>
      </w:r>
      <w:proofErr w:type="spellStart"/>
      <w:r w:rsidRPr="0061385E">
        <w:rPr>
          <w:snapToGrid/>
          <w:szCs w:val="22"/>
          <w:lang w:val="lt-LT"/>
        </w:rPr>
        <w:t>hipotenzija</w:t>
      </w:r>
      <w:proofErr w:type="spellEnd"/>
      <w:r w:rsidRPr="0061385E">
        <w:rPr>
          <w:snapToGrid/>
          <w:szCs w:val="22"/>
          <w:lang w:val="lt-LT"/>
        </w:rPr>
        <w:t xml:space="preserve"> poilsio metu.</w:t>
      </w:r>
    </w:p>
    <w:p w14:paraId="75423F1B" w14:textId="77777777" w:rsidR="0041096E" w:rsidRPr="009840AD" w:rsidRDefault="0041096E" w:rsidP="0041096E">
      <w:pPr>
        <w:widowControl w:val="0"/>
        <w:tabs>
          <w:tab w:val="clear" w:pos="567"/>
        </w:tabs>
        <w:autoSpaceDE w:val="0"/>
        <w:autoSpaceDN w:val="0"/>
        <w:spacing w:before="75" w:line="240" w:lineRule="auto"/>
        <w:rPr>
          <w:snapToGrid/>
          <w:szCs w:val="22"/>
          <w:lang w:val="lt-LT"/>
        </w:rPr>
      </w:pPr>
      <w:r w:rsidRPr="009840AD">
        <w:rPr>
          <w:snapToGrid/>
          <w:position w:val="2"/>
          <w:szCs w:val="22"/>
          <w:lang w:val="lt-LT"/>
        </w:rPr>
        <w:t>Kai kuriems pacientams, kurie vartoja alfa</w:t>
      </w:r>
      <w:r w:rsidRPr="009840AD">
        <w:rPr>
          <w:snapToGrid/>
          <w:position w:val="2"/>
          <w:szCs w:val="22"/>
          <w:vertAlign w:val="subscript"/>
          <w:lang w:val="lt-LT"/>
        </w:rPr>
        <w:t>1</w:t>
      </w:r>
      <w:r w:rsidRPr="009840AD">
        <w:rPr>
          <w:snapToGrid/>
          <w:position w:val="2"/>
          <w:szCs w:val="22"/>
          <w:lang w:val="lt-LT"/>
        </w:rPr>
        <w:t xml:space="preserve"> </w:t>
      </w:r>
      <w:proofErr w:type="spellStart"/>
      <w:r w:rsidRPr="009840AD">
        <w:rPr>
          <w:snapToGrid/>
          <w:position w:val="2"/>
          <w:szCs w:val="22"/>
          <w:lang w:val="lt-LT"/>
        </w:rPr>
        <w:t>adrenoreceptorių</w:t>
      </w:r>
      <w:proofErr w:type="spellEnd"/>
      <w:r w:rsidRPr="009840AD">
        <w:rPr>
          <w:snapToGrid/>
          <w:position w:val="2"/>
          <w:szCs w:val="22"/>
          <w:lang w:val="lt-LT"/>
        </w:rPr>
        <w:t xml:space="preserve"> blokatorių, kartu pavartojus </w:t>
      </w:r>
      <w:proofErr w:type="spellStart"/>
      <w:r w:rsidRPr="009840AD">
        <w:rPr>
          <w:snapToGrid/>
          <w:position w:val="2"/>
          <w:szCs w:val="22"/>
          <w:lang w:val="lt-LT"/>
        </w:rPr>
        <w:t>tadalafilio</w:t>
      </w:r>
      <w:proofErr w:type="spellEnd"/>
      <w:r w:rsidRPr="009840AD">
        <w:rPr>
          <w:snapToGrid/>
          <w:position w:val="2"/>
          <w:szCs w:val="22"/>
          <w:lang w:val="lt-LT"/>
        </w:rPr>
        <w:t xml:space="preserve">, </w:t>
      </w:r>
      <w:r w:rsidRPr="009840AD">
        <w:rPr>
          <w:snapToGrid/>
          <w:szCs w:val="22"/>
          <w:lang w:val="lt-LT"/>
        </w:rPr>
        <w:t xml:space="preserve">gali pasireikšti simptominė </w:t>
      </w:r>
      <w:proofErr w:type="spellStart"/>
      <w:r w:rsidRPr="009840AD">
        <w:rPr>
          <w:snapToGrid/>
          <w:szCs w:val="22"/>
          <w:lang w:val="lt-LT"/>
        </w:rPr>
        <w:t>hipotenzija</w:t>
      </w:r>
      <w:proofErr w:type="spellEnd"/>
      <w:r w:rsidRPr="009840AD">
        <w:rPr>
          <w:snapToGrid/>
          <w:szCs w:val="22"/>
          <w:lang w:val="lt-LT"/>
        </w:rPr>
        <w:t xml:space="preserve"> (žr. 4.5 skyrių). Todėl </w:t>
      </w:r>
      <w:proofErr w:type="spellStart"/>
      <w:r w:rsidRPr="009840AD">
        <w:rPr>
          <w:snapToGrid/>
          <w:szCs w:val="22"/>
          <w:lang w:val="lt-LT"/>
        </w:rPr>
        <w:t>tadalafilio</w:t>
      </w:r>
      <w:proofErr w:type="spellEnd"/>
      <w:r w:rsidRPr="009840AD">
        <w:rPr>
          <w:snapToGrid/>
          <w:szCs w:val="22"/>
          <w:lang w:val="lt-LT"/>
        </w:rPr>
        <w:t xml:space="preserve"> nerekomenduojama vartoti kartu su </w:t>
      </w:r>
      <w:proofErr w:type="spellStart"/>
      <w:r w:rsidRPr="009840AD">
        <w:rPr>
          <w:snapToGrid/>
          <w:szCs w:val="22"/>
          <w:lang w:val="lt-LT"/>
        </w:rPr>
        <w:t>doksazosinu</w:t>
      </w:r>
      <w:proofErr w:type="spellEnd"/>
      <w:r w:rsidRPr="009840AD">
        <w:rPr>
          <w:snapToGrid/>
          <w:szCs w:val="22"/>
          <w:lang w:val="lt-LT"/>
        </w:rPr>
        <w:t>.</w:t>
      </w:r>
    </w:p>
    <w:p w14:paraId="097BE486" w14:textId="77777777" w:rsidR="0041096E" w:rsidRPr="00F1014D" w:rsidRDefault="0041096E" w:rsidP="0041096E">
      <w:pPr>
        <w:widowControl w:val="0"/>
        <w:tabs>
          <w:tab w:val="clear" w:pos="567"/>
        </w:tabs>
        <w:autoSpaceDE w:val="0"/>
        <w:autoSpaceDN w:val="0"/>
        <w:spacing w:before="4" w:line="240" w:lineRule="auto"/>
        <w:rPr>
          <w:snapToGrid/>
          <w:szCs w:val="22"/>
          <w:lang w:val="lt-LT"/>
        </w:rPr>
      </w:pPr>
    </w:p>
    <w:p w14:paraId="70FAA9F1"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Rega</w:t>
      </w:r>
    </w:p>
    <w:p w14:paraId="5B566468" w14:textId="77777777" w:rsidR="0041096E" w:rsidRPr="007203A0" w:rsidRDefault="0041096E" w:rsidP="0041096E">
      <w:pPr>
        <w:widowControl w:val="0"/>
        <w:tabs>
          <w:tab w:val="clear" w:pos="567"/>
        </w:tabs>
        <w:autoSpaceDE w:val="0"/>
        <w:autoSpaceDN w:val="0"/>
        <w:spacing w:before="2" w:line="240" w:lineRule="auto"/>
        <w:rPr>
          <w:snapToGrid/>
          <w:szCs w:val="22"/>
          <w:lang w:val="lt-LT"/>
        </w:rPr>
      </w:pPr>
      <w:r w:rsidRPr="00F170E2">
        <w:rPr>
          <w:snapToGrid/>
          <w:szCs w:val="22"/>
          <w:lang w:val="lt-LT"/>
        </w:rPr>
        <w:t xml:space="preserve">Nustatyta regos sutrikimų, </w:t>
      </w:r>
      <w:r w:rsidRPr="009637B9">
        <w:rPr>
          <w:szCs w:val="22"/>
          <w:lang w:val="lt-LT"/>
        </w:rPr>
        <w:t xml:space="preserve">įskaitant centrinę </w:t>
      </w:r>
      <w:proofErr w:type="spellStart"/>
      <w:r w:rsidRPr="009637B9">
        <w:rPr>
          <w:szCs w:val="22"/>
          <w:lang w:val="lt-LT"/>
        </w:rPr>
        <w:t>serozinę</w:t>
      </w:r>
      <w:proofErr w:type="spellEnd"/>
      <w:r w:rsidRPr="009637B9">
        <w:rPr>
          <w:szCs w:val="22"/>
          <w:lang w:val="lt-LT"/>
        </w:rPr>
        <w:t xml:space="preserve"> </w:t>
      </w:r>
      <w:proofErr w:type="spellStart"/>
      <w:r w:rsidRPr="009637B9">
        <w:rPr>
          <w:szCs w:val="22"/>
          <w:lang w:val="lt-LT"/>
        </w:rPr>
        <w:t>chorioretinopatiją</w:t>
      </w:r>
      <w:proofErr w:type="spellEnd"/>
      <w:r w:rsidRPr="009637B9">
        <w:rPr>
          <w:szCs w:val="22"/>
          <w:lang w:val="lt-LT"/>
        </w:rPr>
        <w:t xml:space="preserve"> (CSCR),</w:t>
      </w:r>
      <w:r w:rsidRPr="007203A0">
        <w:rPr>
          <w:snapToGrid/>
          <w:szCs w:val="22"/>
          <w:lang w:val="lt-LT"/>
        </w:rPr>
        <w:t xml:space="preserve"> ir ne </w:t>
      </w:r>
      <w:proofErr w:type="spellStart"/>
      <w:r w:rsidRPr="007203A0">
        <w:rPr>
          <w:snapToGrid/>
          <w:szCs w:val="22"/>
          <w:lang w:val="lt-LT"/>
        </w:rPr>
        <w:t>arterito</w:t>
      </w:r>
      <w:proofErr w:type="spellEnd"/>
      <w:r w:rsidRPr="007203A0">
        <w:rPr>
          <w:snapToGrid/>
          <w:szCs w:val="22"/>
          <w:lang w:val="lt-LT"/>
        </w:rPr>
        <w:t xml:space="preserve"> sukeltos priekinės išeminės regos nervo neuropatijos (angl. </w:t>
      </w:r>
      <w:proofErr w:type="spellStart"/>
      <w:r w:rsidRPr="007203A0">
        <w:rPr>
          <w:i/>
          <w:snapToGrid/>
          <w:szCs w:val="22"/>
          <w:lang w:val="lt-LT"/>
        </w:rPr>
        <w:t>non-arteritic</w:t>
      </w:r>
      <w:proofErr w:type="spellEnd"/>
      <w:r w:rsidRPr="007203A0">
        <w:rPr>
          <w:i/>
          <w:snapToGrid/>
          <w:szCs w:val="22"/>
          <w:lang w:val="lt-LT"/>
        </w:rPr>
        <w:t xml:space="preserve"> </w:t>
      </w:r>
      <w:proofErr w:type="spellStart"/>
      <w:r w:rsidRPr="007203A0">
        <w:rPr>
          <w:i/>
          <w:snapToGrid/>
          <w:szCs w:val="22"/>
          <w:lang w:val="lt-LT"/>
        </w:rPr>
        <w:t>anterior</w:t>
      </w:r>
      <w:proofErr w:type="spellEnd"/>
      <w:r w:rsidRPr="007203A0">
        <w:rPr>
          <w:i/>
          <w:snapToGrid/>
          <w:szCs w:val="22"/>
          <w:lang w:val="lt-LT"/>
        </w:rPr>
        <w:t xml:space="preserve"> </w:t>
      </w:r>
      <w:proofErr w:type="spellStart"/>
      <w:r w:rsidRPr="007203A0">
        <w:rPr>
          <w:i/>
          <w:snapToGrid/>
          <w:szCs w:val="22"/>
          <w:lang w:val="lt-LT"/>
        </w:rPr>
        <w:t>ischemic</w:t>
      </w:r>
      <w:proofErr w:type="spellEnd"/>
      <w:r w:rsidRPr="007203A0">
        <w:rPr>
          <w:i/>
          <w:snapToGrid/>
          <w:szCs w:val="22"/>
          <w:lang w:val="lt-LT"/>
        </w:rPr>
        <w:t xml:space="preserve"> </w:t>
      </w:r>
      <w:proofErr w:type="spellStart"/>
      <w:r w:rsidRPr="007203A0">
        <w:rPr>
          <w:i/>
          <w:snapToGrid/>
          <w:szCs w:val="22"/>
          <w:lang w:val="lt-LT"/>
        </w:rPr>
        <w:t>optic</w:t>
      </w:r>
      <w:proofErr w:type="spellEnd"/>
      <w:r w:rsidRPr="007203A0">
        <w:rPr>
          <w:i/>
          <w:snapToGrid/>
          <w:szCs w:val="22"/>
          <w:lang w:val="lt-LT"/>
        </w:rPr>
        <w:t xml:space="preserve"> </w:t>
      </w:r>
      <w:proofErr w:type="spellStart"/>
      <w:r w:rsidRPr="007203A0">
        <w:rPr>
          <w:i/>
          <w:snapToGrid/>
          <w:szCs w:val="22"/>
          <w:lang w:val="lt-LT"/>
        </w:rPr>
        <w:t>neuropathy</w:t>
      </w:r>
      <w:proofErr w:type="spellEnd"/>
      <w:r w:rsidRPr="007203A0">
        <w:rPr>
          <w:i/>
          <w:snapToGrid/>
          <w:szCs w:val="22"/>
          <w:lang w:val="lt-LT"/>
        </w:rPr>
        <w:t xml:space="preserve"> [NAION]</w:t>
      </w:r>
      <w:r w:rsidRPr="007203A0">
        <w:rPr>
          <w:snapToGrid/>
          <w:szCs w:val="22"/>
          <w:lang w:val="lt-LT"/>
        </w:rPr>
        <w:t xml:space="preserve">) atvejų, kurie buvo susiję su </w:t>
      </w:r>
      <w:proofErr w:type="spellStart"/>
      <w:r w:rsidRPr="007203A0">
        <w:rPr>
          <w:snapToGrid/>
          <w:szCs w:val="22"/>
          <w:lang w:val="lt-LT"/>
        </w:rPr>
        <w:t>tadalafilio</w:t>
      </w:r>
      <w:proofErr w:type="spellEnd"/>
      <w:r w:rsidRPr="007203A0">
        <w:rPr>
          <w:snapToGrid/>
          <w:szCs w:val="22"/>
          <w:lang w:val="lt-LT"/>
        </w:rPr>
        <w:t xml:space="preserve"> ir kitų FDE5 inhibitorių vartojimu. </w:t>
      </w:r>
      <w:r w:rsidRPr="009637B9">
        <w:rPr>
          <w:lang w:val="lt-LT"/>
        </w:rPr>
        <w:t xml:space="preserve">Nutraukus </w:t>
      </w:r>
      <w:proofErr w:type="spellStart"/>
      <w:r w:rsidRPr="009637B9">
        <w:rPr>
          <w:lang w:val="lt-LT"/>
        </w:rPr>
        <w:t>tadalafilio</w:t>
      </w:r>
      <w:proofErr w:type="spellEnd"/>
      <w:r w:rsidRPr="009637B9">
        <w:rPr>
          <w:lang w:val="lt-LT"/>
        </w:rPr>
        <w:t xml:space="preserve"> vartojimą, dauguma atvejų CSCR išnyko savaime.</w:t>
      </w:r>
      <w:r>
        <w:rPr>
          <w:lang w:val="lt-LT"/>
        </w:rPr>
        <w:t xml:space="preserve"> Vertinant</w:t>
      </w:r>
      <w:r w:rsidRPr="009637B9">
        <w:rPr>
          <w:lang w:val="lt-LT"/>
        </w:rPr>
        <w:t xml:space="preserve"> </w:t>
      </w:r>
      <w:r w:rsidRPr="009637B9">
        <w:rPr>
          <w:i/>
          <w:iCs/>
          <w:lang w:val="lt-LT"/>
        </w:rPr>
        <w:t>NAION</w:t>
      </w:r>
      <w:r w:rsidRPr="009637B9">
        <w:rPr>
          <w:lang w:val="lt-LT"/>
        </w:rPr>
        <w:t xml:space="preserve">, </w:t>
      </w:r>
      <w:r>
        <w:rPr>
          <w:snapToGrid/>
          <w:szCs w:val="22"/>
          <w:lang w:val="lt-LT"/>
        </w:rPr>
        <w:t>s</w:t>
      </w:r>
      <w:r w:rsidRPr="007203A0">
        <w:rPr>
          <w:snapToGrid/>
          <w:szCs w:val="22"/>
          <w:lang w:val="lt-LT"/>
        </w:rPr>
        <w:t xml:space="preserve">tebėjimo tyrimų duomenų analizė rodo didesnę ūminės </w:t>
      </w:r>
      <w:r w:rsidRPr="007203A0">
        <w:rPr>
          <w:i/>
          <w:snapToGrid/>
          <w:szCs w:val="22"/>
          <w:lang w:val="lt-LT"/>
        </w:rPr>
        <w:t xml:space="preserve">NAION </w:t>
      </w:r>
      <w:r w:rsidRPr="007203A0">
        <w:rPr>
          <w:snapToGrid/>
          <w:szCs w:val="22"/>
          <w:lang w:val="lt-LT"/>
        </w:rPr>
        <w:t xml:space="preserve">riziką vyrams, kuriems pasireiškia erekcijos funkcijos sutrikimas, pavartojus </w:t>
      </w:r>
      <w:proofErr w:type="spellStart"/>
      <w:r w:rsidRPr="007203A0">
        <w:rPr>
          <w:snapToGrid/>
          <w:szCs w:val="22"/>
          <w:lang w:val="lt-LT"/>
        </w:rPr>
        <w:t>tadalafilio</w:t>
      </w:r>
      <w:proofErr w:type="spellEnd"/>
      <w:r w:rsidRPr="007203A0">
        <w:rPr>
          <w:snapToGrid/>
          <w:szCs w:val="22"/>
          <w:lang w:val="lt-LT"/>
        </w:rPr>
        <w:t xml:space="preserve"> arba kitokio FDE5 inhibitoriaus. Tai gali būti svarbu visiems </w:t>
      </w:r>
      <w:proofErr w:type="spellStart"/>
      <w:r w:rsidRPr="007203A0">
        <w:rPr>
          <w:snapToGrid/>
          <w:szCs w:val="22"/>
          <w:lang w:val="lt-LT"/>
        </w:rPr>
        <w:t>tadalafilį</w:t>
      </w:r>
      <w:proofErr w:type="spellEnd"/>
      <w:r w:rsidRPr="007203A0">
        <w:rPr>
          <w:snapToGrid/>
          <w:szCs w:val="22"/>
          <w:lang w:val="lt-LT"/>
        </w:rPr>
        <w:t xml:space="preserve"> vartojantiems pacientams, todėl pacientams reikia paaiškinti, kad staigiai sutrikus regėjimui</w:t>
      </w:r>
      <w:r>
        <w:rPr>
          <w:snapToGrid/>
          <w:szCs w:val="22"/>
          <w:lang w:val="lt-LT"/>
        </w:rPr>
        <w:t xml:space="preserve">, </w:t>
      </w:r>
      <w:r w:rsidRPr="0007014B">
        <w:rPr>
          <w:lang w:val="lt-LT"/>
        </w:rPr>
        <w:t>sumažėjus regos aštrumui ir (arba) atsiradus matomo vaizdo iškraipymų,</w:t>
      </w:r>
      <w:r w:rsidRPr="007203A0">
        <w:rPr>
          <w:snapToGrid/>
          <w:szCs w:val="22"/>
          <w:lang w:val="lt-LT"/>
        </w:rPr>
        <w:t xml:space="preserve"> jie turi nutraukti </w:t>
      </w:r>
      <w:proofErr w:type="spellStart"/>
      <w:r w:rsidRPr="007203A0">
        <w:rPr>
          <w:snapToGrid/>
          <w:szCs w:val="22"/>
          <w:lang w:val="lt-LT"/>
        </w:rPr>
        <w:t>Tadalafil</w:t>
      </w:r>
      <w:proofErr w:type="spellEnd"/>
      <w:r w:rsidRPr="007203A0">
        <w:rPr>
          <w:snapToGrid/>
          <w:szCs w:val="22"/>
          <w:lang w:val="lt-LT"/>
        </w:rPr>
        <w:t xml:space="preserve"> AOP vartojimą ir nedelsdami kreiptis į gydytoją (žr. 4.3 skyrių). Vaistinį preparatą nerekomenduojama vartoti pacientams, kuriems diagnozuota įgimta degeneracinė tinklainės liga, įskaitant pigmentinį </w:t>
      </w:r>
      <w:proofErr w:type="spellStart"/>
      <w:r w:rsidRPr="007203A0">
        <w:rPr>
          <w:snapToGrid/>
          <w:szCs w:val="22"/>
          <w:lang w:val="lt-LT"/>
        </w:rPr>
        <w:t>retinitą</w:t>
      </w:r>
      <w:proofErr w:type="spellEnd"/>
      <w:r w:rsidRPr="007203A0">
        <w:rPr>
          <w:snapToGrid/>
          <w:szCs w:val="22"/>
          <w:lang w:val="lt-LT"/>
        </w:rPr>
        <w:t>, nes tokie pacientai nedalyvavo klinikiniuose tyrimuose.</w:t>
      </w:r>
    </w:p>
    <w:p w14:paraId="1C56CC51" w14:textId="77777777" w:rsidR="0041096E" w:rsidRPr="00D8166E" w:rsidRDefault="0041096E" w:rsidP="0041096E">
      <w:pPr>
        <w:widowControl w:val="0"/>
        <w:tabs>
          <w:tab w:val="clear" w:pos="567"/>
        </w:tabs>
        <w:autoSpaceDE w:val="0"/>
        <w:autoSpaceDN w:val="0"/>
        <w:spacing w:before="11" w:line="240" w:lineRule="auto"/>
        <w:rPr>
          <w:lang w:val="lt-LT"/>
        </w:rPr>
      </w:pPr>
    </w:p>
    <w:p w14:paraId="48E8ED6E"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Susilpnėjusi klausa arba staigus klausos netekimas</w:t>
      </w:r>
    </w:p>
    <w:p w14:paraId="2AE98308"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Buvo gauta pranešimų apie staigų klausos netekimą pavartojus </w:t>
      </w:r>
      <w:proofErr w:type="spellStart"/>
      <w:r w:rsidRPr="008612DF">
        <w:rPr>
          <w:snapToGrid/>
          <w:szCs w:val="22"/>
          <w:lang w:val="lt-LT"/>
        </w:rPr>
        <w:t>tadalafilį</w:t>
      </w:r>
      <w:proofErr w:type="spellEnd"/>
      <w:r w:rsidRPr="008612DF">
        <w:rPr>
          <w:snapToGrid/>
          <w:szCs w:val="22"/>
          <w:lang w:val="lt-LT"/>
        </w:rPr>
        <w:t>. Nor</w:t>
      </w:r>
      <w:r w:rsidRPr="002A25EF">
        <w:rPr>
          <w:snapToGrid/>
          <w:szCs w:val="22"/>
          <w:lang w:val="lt-LT"/>
        </w:rPr>
        <w:t xml:space="preserve">s kai kuriais atvejais buvo kitų rizikos veiksnių (pvz., amžius, cukrinis diabetas, hipertenzija ir ankstesnio klausos netekimo anamnezė), pacientą būtina įspėti, kad staiga susilpnėjus klausai ar netekus klausos, </w:t>
      </w:r>
      <w:proofErr w:type="spellStart"/>
      <w:r w:rsidRPr="002A25EF">
        <w:rPr>
          <w:snapToGrid/>
          <w:szCs w:val="22"/>
          <w:lang w:val="lt-LT"/>
        </w:rPr>
        <w:t>tadalafilio</w:t>
      </w:r>
      <w:proofErr w:type="spellEnd"/>
      <w:r w:rsidRPr="002A25EF">
        <w:rPr>
          <w:snapToGrid/>
          <w:szCs w:val="22"/>
          <w:lang w:val="lt-LT"/>
        </w:rPr>
        <w:t xml:space="preserve"> vartojimą būtina nutraukti ir </w:t>
      </w:r>
      <w:r w:rsidRPr="0061385E">
        <w:rPr>
          <w:snapToGrid/>
          <w:szCs w:val="22"/>
          <w:lang w:val="lt-LT"/>
        </w:rPr>
        <w:t>nedelsiant kreiptis į gydytoją.</w:t>
      </w:r>
    </w:p>
    <w:p w14:paraId="5B549D3A" w14:textId="77777777" w:rsidR="0041096E" w:rsidRPr="00D8166E" w:rsidRDefault="0041096E" w:rsidP="0041096E">
      <w:pPr>
        <w:widowControl w:val="0"/>
        <w:tabs>
          <w:tab w:val="clear" w:pos="567"/>
        </w:tabs>
        <w:autoSpaceDE w:val="0"/>
        <w:autoSpaceDN w:val="0"/>
        <w:spacing w:before="11" w:line="240" w:lineRule="auto"/>
        <w:rPr>
          <w:lang w:val="lt-LT"/>
        </w:rPr>
      </w:pPr>
    </w:p>
    <w:p w14:paraId="5820934F"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Inkstų ir kepenų funkcijos sutrikimas</w:t>
      </w:r>
    </w:p>
    <w:p w14:paraId="74C02459" w14:textId="77777777" w:rsidR="0041096E" w:rsidRPr="0061385E" w:rsidRDefault="0041096E" w:rsidP="0041096E">
      <w:pPr>
        <w:widowControl w:val="0"/>
        <w:tabs>
          <w:tab w:val="clear" w:pos="567"/>
        </w:tabs>
        <w:autoSpaceDE w:val="0"/>
        <w:autoSpaceDN w:val="0"/>
        <w:spacing w:line="240" w:lineRule="auto"/>
        <w:rPr>
          <w:snapToGrid/>
          <w:szCs w:val="22"/>
          <w:lang w:val="lt-LT"/>
        </w:rPr>
      </w:pPr>
      <w:proofErr w:type="spellStart"/>
      <w:r w:rsidRPr="008612DF">
        <w:rPr>
          <w:snapToGrid/>
          <w:szCs w:val="22"/>
          <w:lang w:val="lt-LT"/>
        </w:rPr>
        <w:t>Tadalafilio</w:t>
      </w:r>
      <w:proofErr w:type="spellEnd"/>
      <w:r w:rsidRPr="008612DF">
        <w:rPr>
          <w:snapToGrid/>
          <w:szCs w:val="22"/>
          <w:lang w:val="lt-LT"/>
        </w:rPr>
        <w:t xml:space="preserve"> nerekomenduojama vartoti pacientams, kurie serga sunkiu inkstų funkcijos sutrikimu, nes padidėja </w:t>
      </w:r>
      <w:proofErr w:type="spellStart"/>
      <w:r w:rsidRPr="008612DF">
        <w:rPr>
          <w:snapToGrid/>
          <w:szCs w:val="22"/>
          <w:lang w:val="lt-LT"/>
        </w:rPr>
        <w:t>tadalafilio</w:t>
      </w:r>
      <w:proofErr w:type="spellEnd"/>
      <w:r w:rsidRPr="008612DF">
        <w:rPr>
          <w:snapToGrid/>
          <w:szCs w:val="22"/>
          <w:lang w:val="lt-LT"/>
        </w:rPr>
        <w:t xml:space="preserve"> ekspozicija (</w:t>
      </w:r>
      <w:r w:rsidRPr="002A25EF">
        <w:rPr>
          <w:i/>
          <w:snapToGrid/>
          <w:szCs w:val="22"/>
          <w:lang w:val="lt-LT"/>
        </w:rPr>
        <w:t>AUC</w:t>
      </w:r>
      <w:r w:rsidRPr="002A25EF">
        <w:rPr>
          <w:snapToGrid/>
          <w:szCs w:val="22"/>
          <w:lang w:val="lt-LT"/>
        </w:rPr>
        <w:t>), yra nedaug klinikinės patirties ir nėra galimybės</w:t>
      </w:r>
      <w:r w:rsidRPr="0061385E">
        <w:rPr>
          <w:snapToGrid/>
          <w:szCs w:val="22"/>
          <w:lang w:val="lt-LT"/>
        </w:rPr>
        <w:t xml:space="preserve"> pašalinti vaistinio preparato iš organizmo dializės metu.</w:t>
      </w:r>
    </w:p>
    <w:p w14:paraId="0A3F64B2" w14:textId="77777777" w:rsidR="0041096E" w:rsidRPr="009840AD" w:rsidRDefault="0041096E" w:rsidP="0041096E">
      <w:pPr>
        <w:widowControl w:val="0"/>
        <w:tabs>
          <w:tab w:val="clear" w:pos="567"/>
        </w:tabs>
        <w:autoSpaceDE w:val="0"/>
        <w:autoSpaceDN w:val="0"/>
        <w:spacing w:line="240" w:lineRule="auto"/>
        <w:rPr>
          <w:snapToGrid/>
          <w:szCs w:val="22"/>
          <w:lang w:val="lt-LT"/>
        </w:rPr>
      </w:pPr>
    </w:p>
    <w:p w14:paraId="3D06A59B" w14:textId="77777777" w:rsidR="0041096E" w:rsidRPr="00F1014D"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 xml:space="preserve">Tyrimų su pacientais, kurie serga sunkia kepenų ciroze (C klasės pagal </w:t>
      </w:r>
      <w:proofErr w:type="spellStart"/>
      <w:r w:rsidRPr="009840AD">
        <w:rPr>
          <w:i/>
          <w:snapToGrid/>
          <w:szCs w:val="22"/>
          <w:lang w:val="lt-LT"/>
        </w:rPr>
        <w:t>Child-Pugh</w:t>
      </w:r>
      <w:proofErr w:type="spellEnd"/>
      <w:r w:rsidRPr="00F1014D">
        <w:rPr>
          <w:snapToGrid/>
          <w:szCs w:val="22"/>
          <w:lang w:val="lt-LT"/>
        </w:rPr>
        <w:t xml:space="preserve">) neatlikta, todėl </w:t>
      </w:r>
      <w:proofErr w:type="spellStart"/>
      <w:r w:rsidRPr="00F1014D">
        <w:rPr>
          <w:snapToGrid/>
          <w:szCs w:val="22"/>
          <w:lang w:val="lt-LT"/>
        </w:rPr>
        <w:t>tadalafilio</w:t>
      </w:r>
      <w:proofErr w:type="spellEnd"/>
      <w:r w:rsidRPr="00F1014D">
        <w:rPr>
          <w:snapToGrid/>
          <w:szCs w:val="22"/>
          <w:lang w:val="lt-LT"/>
        </w:rPr>
        <w:t xml:space="preserve"> vartoti nerekomenduojama.</w:t>
      </w:r>
    </w:p>
    <w:p w14:paraId="430BF3D7" w14:textId="77777777" w:rsidR="0041096E" w:rsidRPr="00D8166E" w:rsidRDefault="0041096E" w:rsidP="0041096E">
      <w:pPr>
        <w:widowControl w:val="0"/>
        <w:tabs>
          <w:tab w:val="clear" w:pos="567"/>
        </w:tabs>
        <w:autoSpaceDE w:val="0"/>
        <w:autoSpaceDN w:val="0"/>
        <w:spacing w:before="11" w:line="240" w:lineRule="auto"/>
        <w:rPr>
          <w:lang w:val="lt-LT"/>
        </w:rPr>
      </w:pPr>
    </w:p>
    <w:p w14:paraId="3C96525A" w14:textId="77777777" w:rsidR="0041096E" w:rsidRPr="005F48B8"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u w:val="single"/>
          <w:lang w:val="lt-LT"/>
        </w:rPr>
        <w:t>Priapizmas</w:t>
      </w:r>
      <w:proofErr w:type="spellEnd"/>
      <w:r w:rsidRPr="005F48B8">
        <w:rPr>
          <w:snapToGrid/>
          <w:szCs w:val="22"/>
          <w:u w:val="single"/>
          <w:lang w:val="lt-LT"/>
        </w:rPr>
        <w:t xml:space="preserve"> ir anatominė varpos deformacija</w:t>
      </w:r>
    </w:p>
    <w:p w14:paraId="6DE218F7" w14:textId="77777777" w:rsidR="0041096E" w:rsidRPr="0061385E" w:rsidRDefault="0041096E" w:rsidP="0041096E">
      <w:pPr>
        <w:widowControl w:val="0"/>
        <w:tabs>
          <w:tab w:val="clear" w:pos="567"/>
        </w:tabs>
        <w:autoSpaceDE w:val="0"/>
        <w:autoSpaceDN w:val="0"/>
        <w:spacing w:before="2" w:line="240" w:lineRule="auto"/>
        <w:rPr>
          <w:snapToGrid/>
          <w:szCs w:val="22"/>
          <w:lang w:val="lt-LT"/>
        </w:rPr>
      </w:pPr>
      <w:r w:rsidRPr="008612DF">
        <w:rPr>
          <w:snapToGrid/>
          <w:szCs w:val="22"/>
          <w:lang w:val="lt-LT"/>
        </w:rPr>
        <w:t>FDE5 inhib</w:t>
      </w:r>
      <w:r w:rsidRPr="002A25EF">
        <w:rPr>
          <w:snapToGrid/>
          <w:szCs w:val="22"/>
          <w:lang w:val="lt-LT"/>
        </w:rPr>
        <w:t xml:space="preserve">itoriais gydytiems vyrams pasireiškė </w:t>
      </w:r>
      <w:proofErr w:type="spellStart"/>
      <w:r w:rsidRPr="002A25EF">
        <w:rPr>
          <w:snapToGrid/>
          <w:szCs w:val="22"/>
          <w:lang w:val="lt-LT"/>
        </w:rPr>
        <w:t>priapizmas</w:t>
      </w:r>
      <w:proofErr w:type="spellEnd"/>
      <w:r w:rsidRPr="002A25EF">
        <w:rPr>
          <w:snapToGrid/>
          <w:szCs w:val="22"/>
          <w:lang w:val="lt-LT"/>
        </w:rPr>
        <w:t xml:space="preserve">. Pacientus būtina įspėti, kad tuo atveju, jeigu erekcija trunka 4 valandas arba ilgiau, būtina nedelsiant kreiptis medicininės pagalbos. Jei </w:t>
      </w:r>
      <w:proofErr w:type="spellStart"/>
      <w:r w:rsidRPr="002A25EF">
        <w:rPr>
          <w:snapToGrid/>
          <w:szCs w:val="22"/>
          <w:lang w:val="lt-LT"/>
        </w:rPr>
        <w:t>priapizmas</w:t>
      </w:r>
      <w:proofErr w:type="spellEnd"/>
      <w:r w:rsidRPr="002A25EF">
        <w:rPr>
          <w:snapToGrid/>
          <w:szCs w:val="22"/>
          <w:lang w:val="lt-LT"/>
        </w:rPr>
        <w:t xml:space="preserve"> nepradedamas nedelsiant gydyti, gali atsirasti varpos au</w:t>
      </w:r>
      <w:r w:rsidRPr="0061385E">
        <w:rPr>
          <w:snapToGrid/>
          <w:szCs w:val="22"/>
          <w:lang w:val="lt-LT"/>
        </w:rPr>
        <w:t>dinio pažaida ir visam laikui išnykti lytinis pajėgumas.</w:t>
      </w:r>
    </w:p>
    <w:p w14:paraId="15E4A682" w14:textId="77777777" w:rsidR="0041096E" w:rsidRPr="00D8166E" w:rsidRDefault="0041096E" w:rsidP="0041096E">
      <w:pPr>
        <w:widowControl w:val="0"/>
        <w:tabs>
          <w:tab w:val="clear" w:pos="567"/>
        </w:tabs>
        <w:autoSpaceDE w:val="0"/>
        <w:autoSpaceDN w:val="0"/>
        <w:spacing w:before="11" w:line="240" w:lineRule="auto"/>
        <w:rPr>
          <w:lang w:val="lt-LT"/>
        </w:rPr>
      </w:pPr>
    </w:p>
    <w:p w14:paraId="7FD4768E" w14:textId="77777777" w:rsidR="0041096E" w:rsidRPr="002A25EF"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Tadalafilį</w:t>
      </w:r>
      <w:proofErr w:type="spellEnd"/>
      <w:r w:rsidRPr="005F48B8">
        <w:rPr>
          <w:snapToGrid/>
          <w:szCs w:val="22"/>
          <w:lang w:val="lt-LT"/>
        </w:rPr>
        <w:t xml:space="preserve"> reikia atsargiai vartoti pacientams, kuriems yra anatominė varpos deformacija (pvz., </w:t>
      </w:r>
      <w:proofErr w:type="spellStart"/>
      <w:r w:rsidRPr="005F48B8">
        <w:rPr>
          <w:snapToGrid/>
          <w:szCs w:val="22"/>
          <w:lang w:val="lt-LT"/>
        </w:rPr>
        <w:t>anguliacija</w:t>
      </w:r>
      <w:proofErr w:type="spellEnd"/>
      <w:r w:rsidRPr="005F48B8">
        <w:rPr>
          <w:snapToGrid/>
          <w:szCs w:val="22"/>
          <w:lang w:val="lt-LT"/>
        </w:rPr>
        <w:t xml:space="preserve">, </w:t>
      </w:r>
      <w:proofErr w:type="spellStart"/>
      <w:r w:rsidRPr="005F48B8">
        <w:rPr>
          <w:snapToGrid/>
          <w:szCs w:val="22"/>
          <w:lang w:val="lt-LT"/>
        </w:rPr>
        <w:t>kaverninė</w:t>
      </w:r>
      <w:proofErr w:type="spellEnd"/>
      <w:r w:rsidRPr="005F48B8">
        <w:rPr>
          <w:snapToGrid/>
          <w:szCs w:val="22"/>
          <w:lang w:val="lt-LT"/>
        </w:rPr>
        <w:t xml:space="preserve"> fibrozė ar </w:t>
      </w:r>
      <w:proofErr w:type="spellStart"/>
      <w:r w:rsidRPr="005F48B8">
        <w:rPr>
          <w:snapToGrid/>
          <w:szCs w:val="22"/>
          <w:lang w:val="lt-LT"/>
        </w:rPr>
        <w:t>Peirono</w:t>
      </w:r>
      <w:proofErr w:type="spellEnd"/>
      <w:r w:rsidRPr="005F48B8">
        <w:rPr>
          <w:snapToGrid/>
          <w:szCs w:val="22"/>
          <w:lang w:val="lt-LT"/>
        </w:rPr>
        <w:t xml:space="preserve"> [</w:t>
      </w:r>
      <w:proofErr w:type="spellStart"/>
      <w:r w:rsidRPr="005F48B8">
        <w:rPr>
          <w:i/>
          <w:snapToGrid/>
          <w:szCs w:val="22"/>
          <w:lang w:val="lt-LT"/>
        </w:rPr>
        <w:t>Peyronie</w:t>
      </w:r>
      <w:proofErr w:type="spellEnd"/>
      <w:r w:rsidRPr="005F48B8">
        <w:rPr>
          <w:snapToGrid/>
          <w:szCs w:val="22"/>
          <w:lang w:val="lt-LT"/>
        </w:rPr>
        <w:t xml:space="preserve">] liga) bei pacientams, kuriems yra būklė, galinti </w:t>
      </w:r>
      <w:r w:rsidRPr="008612DF">
        <w:rPr>
          <w:snapToGrid/>
          <w:szCs w:val="22"/>
          <w:lang w:val="lt-LT"/>
        </w:rPr>
        <w:t>skat</w:t>
      </w:r>
      <w:r w:rsidRPr="002A25EF">
        <w:rPr>
          <w:snapToGrid/>
          <w:szCs w:val="22"/>
          <w:lang w:val="lt-LT"/>
        </w:rPr>
        <w:t xml:space="preserve">inti </w:t>
      </w:r>
      <w:proofErr w:type="spellStart"/>
      <w:r w:rsidRPr="002A25EF">
        <w:rPr>
          <w:snapToGrid/>
          <w:szCs w:val="22"/>
          <w:lang w:val="lt-LT"/>
        </w:rPr>
        <w:t>priapizmo</w:t>
      </w:r>
      <w:proofErr w:type="spellEnd"/>
      <w:r w:rsidRPr="002A25EF">
        <w:rPr>
          <w:snapToGrid/>
          <w:szCs w:val="22"/>
          <w:lang w:val="lt-LT"/>
        </w:rPr>
        <w:t xml:space="preserve"> pasireiškimą (pvz., </w:t>
      </w:r>
      <w:proofErr w:type="spellStart"/>
      <w:r w:rsidRPr="002A25EF">
        <w:rPr>
          <w:snapToGrid/>
          <w:szCs w:val="22"/>
          <w:lang w:val="lt-LT"/>
        </w:rPr>
        <w:t>pjautuvinė</w:t>
      </w:r>
      <w:proofErr w:type="spellEnd"/>
      <w:r w:rsidRPr="002A25EF">
        <w:rPr>
          <w:snapToGrid/>
          <w:szCs w:val="22"/>
          <w:lang w:val="lt-LT"/>
        </w:rPr>
        <w:t xml:space="preserve"> anemija, dauginė mieloma arba leukozė).</w:t>
      </w:r>
    </w:p>
    <w:p w14:paraId="14D521AC" w14:textId="77777777" w:rsidR="0041096E" w:rsidRPr="00D8166E" w:rsidRDefault="0041096E" w:rsidP="0041096E">
      <w:pPr>
        <w:widowControl w:val="0"/>
        <w:tabs>
          <w:tab w:val="clear" w:pos="567"/>
        </w:tabs>
        <w:autoSpaceDE w:val="0"/>
        <w:autoSpaceDN w:val="0"/>
        <w:spacing w:before="10" w:line="240" w:lineRule="auto"/>
        <w:rPr>
          <w:lang w:val="lt-LT"/>
        </w:rPr>
      </w:pPr>
    </w:p>
    <w:p w14:paraId="4F796F2B"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Vartojimas kartu su CYP3A4 sužadinančiais vaistiniais preparatais ir inhibitoriais</w:t>
      </w:r>
    </w:p>
    <w:p w14:paraId="00AA9A7E" w14:textId="77777777" w:rsidR="0041096E" w:rsidRPr="002A25EF" w:rsidRDefault="0041096E" w:rsidP="0041096E">
      <w:pPr>
        <w:widowControl w:val="0"/>
        <w:tabs>
          <w:tab w:val="clear" w:pos="567"/>
        </w:tabs>
        <w:autoSpaceDE w:val="0"/>
        <w:autoSpaceDN w:val="0"/>
        <w:spacing w:before="1" w:line="240" w:lineRule="auto"/>
        <w:rPr>
          <w:snapToGrid/>
          <w:szCs w:val="22"/>
          <w:lang w:val="lt-LT"/>
        </w:rPr>
      </w:pPr>
      <w:r w:rsidRPr="008612DF">
        <w:rPr>
          <w:snapToGrid/>
          <w:szCs w:val="22"/>
          <w:lang w:val="lt-LT"/>
        </w:rPr>
        <w:t>Pacientams, kurie ilgą laiką vartoja CYP3A4 stipriai sužadinančių vaistinių prepar</w:t>
      </w:r>
      <w:r w:rsidRPr="002A25EF">
        <w:rPr>
          <w:snapToGrid/>
          <w:szCs w:val="22"/>
          <w:lang w:val="lt-LT"/>
        </w:rPr>
        <w:t xml:space="preserve">atų, pavyzdžiui, </w:t>
      </w:r>
      <w:proofErr w:type="spellStart"/>
      <w:r w:rsidRPr="002A25EF">
        <w:rPr>
          <w:snapToGrid/>
          <w:szCs w:val="22"/>
          <w:lang w:val="lt-LT"/>
        </w:rPr>
        <w:t>rifampiciną</w:t>
      </w:r>
      <w:proofErr w:type="spellEnd"/>
      <w:r w:rsidRPr="002A25EF">
        <w:rPr>
          <w:snapToGrid/>
          <w:szCs w:val="22"/>
          <w:lang w:val="lt-LT"/>
        </w:rPr>
        <w:t xml:space="preserve">, </w:t>
      </w:r>
      <w:proofErr w:type="spellStart"/>
      <w:r w:rsidRPr="002A25EF">
        <w:rPr>
          <w:snapToGrid/>
          <w:szCs w:val="22"/>
          <w:lang w:val="lt-LT"/>
        </w:rPr>
        <w:t>tadalafilio</w:t>
      </w:r>
      <w:proofErr w:type="spellEnd"/>
      <w:r w:rsidRPr="002A25EF">
        <w:rPr>
          <w:snapToGrid/>
          <w:szCs w:val="22"/>
          <w:lang w:val="lt-LT"/>
        </w:rPr>
        <w:t xml:space="preserve"> vartoti nerekomenduojama (žr. 4.5 skyrių).</w:t>
      </w:r>
    </w:p>
    <w:p w14:paraId="2BF58D65" w14:textId="77777777" w:rsidR="0041096E" w:rsidRPr="00D8166E" w:rsidRDefault="0041096E" w:rsidP="0041096E">
      <w:pPr>
        <w:widowControl w:val="0"/>
        <w:tabs>
          <w:tab w:val="clear" w:pos="567"/>
        </w:tabs>
        <w:autoSpaceDE w:val="0"/>
        <w:autoSpaceDN w:val="0"/>
        <w:spacing w:before="11" w:line="240" w:lineRule="auto"/>
        <w:rPr>
          <w:lang w:val="lt-LT"/>
        </w:rPr>
      </w:pPr>
    </w:p>
    <w:p w14:paraId="063E2952"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Pacientams, kurie kartu vartoja CYP3A4 stipriai sužadinančių vaistinių preparatų, pavyzdžiui, </w:t>
      </w:r>
      <w:proofErr w:type="spellStart"/>
      <w:r w:rsidRPr="005F48B8">
        <w:rPr>
          <w:snapToGrid/>
          <w:szCs w:val="22"/>
          <w:lang w:val="lt-LT"/>
        </w:rPr>
        <w:t>ketokonazolą</w:t>
      </w:r>
      <w:proofErr w:type="spellEnd"/>
      <w:r w:rsidRPr="005F48B8">
        <w:rPr>
          <w:snapToGrid/>
          <w:szCs w:val="22"/>
          <w:lang w:val="lt-LT"/>
        </w:rPr>
        <w:t xml:space="preserve"> ar ritonavirą, </w:t>
      </w:r>
      <w:proofErr w:type="spellStart"/>
      <w:r w:rsidRPr="005F48B8">
        <w:rPr>
          <w:snapToGrid/>
          <w:szCs w:val="22"/>
          <w:lang w:val="lt-LT"/>
        </w:rPr>
        <w:t>tadalafilio</w:t>
      </w:r>
      <w:proofErr w:type="spellEnd"/>
      <w:r w:rsidRPr="005F48B8">
        <w:rPr>
          <w:snapToGrid/>
          <w:szCs w:val="22"/>
          <w:lang w:val="lt-LT"/>
        </w:rPr>
        <w:t xml:space="preserve"> vartoti nerekomenduojama (žr. 4.5 sk</w:t>
      </w:r>
      <w:r w:rsidRPr="008612DF">
        <w:rPr>
          <w:snapToGrid/>
          <w:szCs w:val="22"/>
          <w:lang w:val="lt-LT"/>
        </w:rPr>
        <w:t>yrių</w:t>
      </w:r>
      <w:r w:rsidRPr="002A25EF">
        <w:rPr>
          <w:snapToGrid/>
          <w:szCs w:val="22"/>
          <w:lang w:val="lt-LT"/>
        </w:rPr>
        <w:t>).</w:t>
      </w:r>
    </w:p>
    <w:p w14:paraId="19C3F4AA" w14:textId="77777777" w:rsidR="0041096E" w:rsidRPr="0061385E" w:rsidRDefault="0041096E" w:rsidP="0041096E">
      <w:pPr>
        <w:widowControl w:val="0"/>
        <w:tabs>
          <w:tab w:val="clear" w:pos="567"/>
        </w:tabs>
        <w:autoSpaceDE w:val="0"/>
        <w:autoSpaceDN w:val="0"/>
        <w:spacing w:line="240" w:lineRule="auto"/>
        <w:rPr>
          <w:snapToGrid/>
          <w:szCs w:val="22"/>
          <w:lang w:val="lt-LT"/>
        </w:rPr>
      </w:pPr>
    </w:p>
    <w:p w14:paraId="0D8DCCA1"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9840AD">
        <w:rPr>
          <w:snapToGrid/>
          <w:szCs w:val="22"/>
          <w:u w:val="single"/>
          <w:lang w:val="lt-LT"/>
        </w:rPr>
        <w:t>Erekcijos funkcijos sutrikimo gydymas</w:t>
      </w:r>
    </w:p>
    <w:p w14:paraId="13EFF46D" w14:textId="77777777" w:rsidR="0041096E" w:rsidRPr="00F1014D" w:rsidRDefault="0041096E" w:rsidP="0041096E">
      <w:pPr>
        <w:widowControl w:val="0"/>
        <w:tabs>
          <w:tab w:val="clear" w:pos="567"/>
        </w:tabs>
        <w:autoSpaceDE w:val="0"/>
        <w:autoSpaceDN w:val="0"/>
        <w:spacing w:before="1" w:line="240" w:lineRule="auto"/>
        <w:rPr>
          <w:snapToGrid/>
          <w:szCs w:val="22"/>
          <w:lang w:val="lt-LT"/>
        </w:rPr>
      </w:pPr>
      <w:proofErr w:type="spellStart"/>
      <w:r w:rsidRPr="009840AD">
        <w:rPr>
          <w:snapToGrid/>
          <w:szCs w:val="22"/>
          <w:lang w:val="lt-LT"/>
        </w:rPr>
        <w:t>Tadalafilio</w:t>
      </w:r>
      <w:proofErr w:type="spellEnd"/>
      <w:r w:rsidRPr="009840AD">
        <w:rPr>
          <w:snapToGrid/>
          <w:szCs w:val="22"/>
          <w:lang w:val="lt-LT"/>
        </w:rPr>
        <w:t xml:space="preserve"> vartojimo kartu su kitokiais FDE5 inhibitoriais arba kitais vaistiniais </w:t>
      </w:r>
      <w:r w:rsidRPr="00F1014D">
        <w:rPr>
          <w:snapToGrid/>
          <w:szCs w:val="22"/>
          <w:lang w:val="lt-LT"/>
        </w:rPr>
        <w:t xml:space="preserve">preparatais nuo erekcijos funkcijos sutrikimo saugumas ir veiksmingumas netirti. Pacientus reikia perspėti, kad </w:t>
      </w:r>
      <w:proofErr w:type="spellStart"/>
      <w:r w:rsidRPr="00F1014D">
        <w:rPr>
          <w:snapToGrid/>
          <w:szCs w:val="22"/>
          <w:lang w:val="lt-LT"/>
        </w:rPr>
        <w:t>tadalafilio</w:t>
      </w:r>
      <w:proofErr w:type="spellEnd"/>
      <w:r w:rsidRPr="00F1014D">
        <w:rPr>
          <w:snapToGrid/>
          <w:szCs w:val="22"/>
          <w:lang w:val="lt-LT"/>
        </w:rPr>
        <w:t xml:space="preserve"> vartoti kartu su šiais vaistiniais preparatais negalima.</w:t>
      </w:r>
    </w:p>
    <w:p w14:paraId="7780B0B4" w14:textId="77777777" w:rsidR="0041096E" w:rsidRPr="00D8166E" w:rsidRDefault="0041096E" w:rsidP="0041096E">
      <w:pPr>
        <w:widowControl w:val="0"/>
        <w:tabs>
          <w:tab w:val="clear" w:pos="567"/>
        </w:tabs>
        <w:autoSpaceDE w:val="0"/>
        <w:autoSpaceDN w:val="0"/>
        <w:spacing w:before="10" w:line="240" w:lineRule="auto"/>
        <w:rPr>
          <w:lang w:val="lt-LT"/>
        </w:rPr>
      </w:pPr>
    </w:p>
    <w:p w14:paraId="1F07ED4E" w14:textId="77777777" w:rsidR="0041096E" w:rsidRPr="005F48B8"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u w:val="single"/>
          <w:lang w:val="lt-LT"/>
        </w:rPr>
        <w:t>Prostaciklinas</w:t>
      </w:r>
      <w:proofErr w:type="spellEnd"/>
      <w:r w:rsidRPr="005F48B8">
        <w:rPr>
          <w:snapToGrid/>
          <w:szCs w:val="22"/>
          <w:u w:val="single"/>
          <w:lang w:val="lt-LT"/>
        </w:rPr>
        <w:t xml:space="preserve"> ir jo analogai</w:t>
      </w:r>
    </w:p>
    <w:p w14:paraId="0E27879B" w14:textId="77777777" w:rsidR="0041096E" w:rsidRPr="002A25EF" w:rsidRDefault="0041096E" w:rsidP="0041096E">
      <w:pPr>
        <w:widowControl w:val="0"/>
        <w:tabs>
          <w:tab w:val="clear" w:pos="567"/>
        </w:tabs>
        <w:autoSpaceDE w:val="0"/>
        <w:autoSpaceDN w:val="0"/>
        <w:spacing w:before="2" w:line="240" w:lineRule="auto"/>
        <w:rPr>
          <w:snapToGrid/>
          <w:szCs w:val="22"/>
          <w:lang w:val="lt-LT"/>
        </w:rPr>
      </w:pPr>
      <w:r w:rsidRPr="008612DF">
        <w:rPr>
          <w:snapToGrid/>
          <w:szCs w:val="22"/>
          <w:lang w:val="lt-LT"/>
        </w:rPr>
        <w:lastRenderedPageBreak/>
        <w:t xml:space="preserve">Kontroliuojamųjų </w:t>
      </w:r>
      <w:proofErr w:type="spellStart"/>
      <w:r w:rsidRPr="008612DF">
        <w:rPr>
          <w:snapToGrid/>
          <w:szCs w:val="22"/>
          <w:lang w:val="lt-LT"/>
        </w:rPr>
        <w:t>klinkinių</w:t>
      </w:r>
      <w:proofErr w:type="spellEnd"/>
      <w:r w:rsidRPr="008612DF">
        <w:rPr>
          <w:snapToGrid/>
          <w:szCs w:val="22"/>
          <w:lang w:val="lt-LT"/>
        </w:rPr>
        <w:t xml:space="preserve"> </w:t>
      </w:r>
      <w:proofErr w:type="spellStart"/>
      <w:r w:rsidRPr="008612DF">
        <w:rPr>
          <w:snapToGrid/>
          <w:szCs w:val="22"/>
          <w:lang w:val="lt-LT"/>
        </w:rPr>
        <w:t>tadalafilio</w:t>
      </w:r>
      <w:proofErr w:type="spellEnd"/>
      <w:r w:rsidRPr="008612DF">
        <w:rPr>
          <w:snapToGrid/>
          <w:szCs w:val="22"/>
          <w:lang w:val="lt-LT"/>
        </w:rPr>
        <w:t xml:space="preserve"> vartojimo kartu su </w:t>
      </w:r>
      <w:proofErr w:type="spellStart"/>
      <w:r w:rsidRPr="008612DF">
        <w:rPr>
          <w:snapToGrid/>
          <w:szCs w:val="22"/>
          <w:lang w:val="lt-LT"/>
        </w:rPr>
        <w:t>prostaciklinu</w:t>
      </w:r>
      <w:proofErr w:type="spellEnd"/>
      <w:r w:rsidRPr="008612DF">
        <w:rPr>
          <w:snapToGrid/>
          <w:szCs w:val="22"/>
          <w:lang w:val="lt-LT"/>
        </w:rPr>
        <w:t xml:space="preserve"> ar jo analogais veiksmingumo ir saugumo tyrimų neatlikta. Dėl to šiuos vaistinius preparatus varto</w:t>
      </w:r>
      <w:r w:rsidRPr="002A25EF">
        <w:rPr>
          <w:snapToGrid/>
          <w:szCs w:val="22"/>
          <w:lang w:val="lt-LT"/>
        </w:rPr>
        <w:t>ti kartu reikia atsargiai.</w:t>
      </w:r>
    </w:p>
    <w:p w14:paraId="1D89F69D" w14:textId="77777777" w:rsidR="0041096E" w:rsidRPr="0061385E" w:rsidRDefault="0041096E" w:rsidP="0041096E">
      <w:pPr>
        <w:widowControl w:val="0"/>
        <w:tabs>
          <w:tab w:val="clear" w:pos="567"/>
        </w:tabs>
        <w:autoSpaceDE w:val="0"/>
        <w:autoSpaceDN w:val="0"/>
        <w:spacing w:before="68" w:line="240" w:lineRule="auto"/>
        <w:rPr>
          <w:snapToGrid/>
          <w:szCs w:val="22"/>
          <w:u w:val="single"/>
          <w:lang w:val="lt-LT"/>
        </w:rPr>
      </w:pPr>
    </w:p>
    <w:p w14:paraId="50C6AC71" w14:textId="77777777" w:rsidR="0041096E" w:rsidRPr="009840AD" w:rsidRDefault="0041096E" w:rsidP="0041096E">
      <w:pPr>
        <w:widowControl w:val="0"/>
        <w:tabs>
          <w:tab w:val="clear" w:pos="567"/>
        </w:tabs>
        <w:autoSpaceDE w:val="0"/>
        <w:autoSpaceDN w:val="0"/>
        <w:spacing w:before="68" w:line="240" w:lineRule="auto"/>
        <w:rPr>
          <w:snapToGrid/>
          <w:szCs w:val="22"/>
          <w:lang w:val="lt-LT"/>
        </w:rPr>
      </w:pPr>
      <w:proofErr w:type="spellStart"/>
      <w:r w:rsidRPr="009840AD">
        <w:rPr>
          <w:snapToGrid/>
          <w:szCs w:val="22"/>
          <w:u w:val="single"/>
          <w:lang w:val="lt-LT"/>
        </w:rPr>
        <w:t>Bozentanas</w:t>
      </w:r>
      <w:proofErr w:type="spellEnd"/>
    </w:p>
    <w:p w14:paraId="70D248DC"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proofErr w:type="spellStart"/>
      <w:r w:rsidRPr="009840AD">
        <w:rPr>
          <w:snapToGrid/>
          <w:szCs w:val="22"/>
          <w:lang w:val="lt-LT"/>
        </w:rPr>
        <w:t>Tadalafilio</w:t>
      </w:r>
      <w:proofErr w:type="spellEnd"/>
      <w:r w:rsidRPr="009840AD">
        <w:rPr>
          <w:snapToGrid/>
          <w:szCs w:val="22"/>
          <w:lang w:val="lt-LT"/>
        </w:rPr>
        <w:t xml:space="preserve"> veiksmingumas pacientams, kurie jau gydomi </w:t>
      </w:r>
      <w:proofErr w:type="spellStart"/>
      <w:r w:rsidRPr="009840AD">
        <w:rPr>
          <w:snapToGrid/>
          <w:szCs w:val="22"/>
          <w:lang w:val="lt-LT"/>
        </w:rPr>
        <w:t>bozentanu</w:t>
      </w:r>
      <w:proofErr w:type="spellEnd"/>
      <w:r w:rsidRPr="009840AD">
        <w:rPr>
          <w:snapToGrid/>
          <w:szCs w:val="22"/>
          <w:lang w:val="lt-LT"/>
        </w:rPr>
        <w:t>, įtikinamai neįrodytas (žr. 4.5 ir 5.1 skyrius).</w:t>
      </w:r>
    </w:p>
    <w:p w14:paraId="4E4209A5" w14:textId="77777777" w:rsidR="0041096E" w:rsidRPr="00F1014D" w:rsidRDefault="0041096E" w:rsidP="0041096E">
      <w:pPr>
        <w:widowControl w:val="0"/>
        <w:tabs>
          <w:tab w:val="clear" w:pos="567"/>
        </w:tabs>
        <w:autoSpaceDE w:val="0"/>
        <w:autoSpaceDN w:val="0"/>
        <w:spacing w:before="1" w:line="240" w:lineRule="auto"/>
        <w:rPr>
          <w:snapToGrid/>
          <w:szCs w:val="22"/>
          <w:lang w:val="lt-LT"/>
        </w:rPr>
      </w:pPr>
    </w:p>
    <w:p w14:paraId="5678E42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Laktozė</w:t>
      </w:r>
    </w:p>
    <w:p w14:paraId="76D62EAB"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20 mg plėvele dengtoje tabletėje yra laktozės. Šio vaistinio preparato negalima vartoti pacientams, kuriems nustatytas retas paveldimas sutrikimas – </w:t>
      </w:r>
      <w:proofErr w:type="spellStart"/>
      <w:r w:rsidRPr="007203A0">
        <w:rPr>
          <w:snapToGrid/>
          <w:szCs w:val="22"/>
          <w:lang w:val="lt-LT"/>
        </w:rPr>
        <w:t>galaktozės</w:t>
      </w:r>
      <w:proofErr w:type="spellEnd"/>
      <w:r w:rsidRPr="007203A0">
        <w:rPr>
          <w:snapToGrid/>
          <w:szCs w:val="22"/>
          <w:lang w:val="lt-LT"/>
        </w:rPr>
        <w:t xml:space="preserve"> netoleravimas, visiškas laktazės stygius arba gliukozės ir </w:t>
      </w:r>
      <w:proofErr w:type="spellStart"/>
      <w:r w:rsidRPr="007203A0">
        <w:rPr>
          <w:snapToGrid/>
          <w:szCs w:val="22"/>
          <w:lang w:val="lt-LT"/>
        </w:rPr>
        <w:t>galaktozės</w:t>
      </w:r>
      <w:proofErr w:type="spellEnd"/>
      <w:r w:rsidRPr="007203A0">
        <w:rPr>
          <w:snapToGrid/>
          <w:szCs w:val="22"/>
          <w:lang w:val="lt-LT"/>
        </w:rPr>
        <w:t xml:space="preserve"> </w:t>
      </w:r>
      <w:proofErr w:type="spellStart"/>
      <w:r w:rsidRPr="007203A0">
        <w:rPr>
          <w:snapToGrid/>
          <w:szCs w:val="22"/>
          <w:lang w:val="lt-LT"/>
        </w:rPr>
        <w:t>malabsorbcija</w:t>
      </w:r>
      <w:proofErr w:type="spellEnd"/>
      <w:r w:rsidRPr="007203A0">
        <w:rPr>
          <w:snapToGrid/>
          <w:szCs w:val="22"/>
          <w:lang w:val="lt-LT"/>
        </w:rPr>
        <w:t xml:space="preserve">. </w:t>
      </w:r>
    </w:p>
    <w:p w14:paraId="11C9494A"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720D5666" w14:textId="77777777" w:rsidR="0041096E" w:rsidRPr="007203A0" w:rsidRDefault="0041096E" w:rsidP="0041096E">
      <w:pPr>
        <w:widowControl w:val="0"/>
        <w:numPr>
          <w:ilvl w:val="1"/>
          <w:numId w:val="6"/>
        </w:numPr>
        <w:tabs>
          <w:tab w:val="clear" w:pos="567"/>
          <w:tab w:val="left" w:pos="858"/>
          <w:tab w:val="left" w:pos="859"/>
        </w:tabs>
        <w:autoSpaceDE w:val="0"/>
        <w:autoSpaceDN w:val="0"/>
        <w:spacing w:line="240" w:lineRule="auto"/>
        <w:ind w:hanging="858"/>
        <w:outlineLvl w:val="0"/>
        <w:rPr>
          <w:b/>
          <w:bCs/>
          <w:snapToGrid/>
          <w:szCs w:val="22"/>
          <w:lang w:val="lt-LT"/>
        </w:rPr>
      </w:pPr>
      <w:r w:rsidRPr="007203A0">
        <w:rPr>
          <w:b/>
          <w:bCs/>
          <w:snapToGrid/>
          <w:szCs w:val="22"/>
          <w:lang w:val="lt-LT"/>
        </w:rPr>
        <w:t>Sąveika su kitais vaistiniais preparatais ir kitokia</w:t>
      </w:r>
      <w:r w:rsidRPr="007203A0">
        <w:rPr>
          <w:b/>
          <w:bCs/>
          <w:snapToGrid/>
          <w:spacing w:val="-6"/>
          <w:szCs w:val="22"/>
          <w:lang w:val="lt-LT"/>
        </w:rPr>
        <w:t xml:space="preserve"> </w:t>
      </w:r>
      <w:r w:rsidRPr="007203A0">
        <w:rPr>
          <w:b/>
          <w:bCs/>
          <w:snapToGrid/>
          <w:szCs w:val="22"/>
          <w:lang w:val="lt-LT"/>
        </w:rPr>
        <w:t>sąveika</w:t>
      </w:r>
    </w:p>
    <w:p w14:paraId="04B881F1" w14:textId="77777777" w:rsidR="0041096E" w:rsidRPr="00D8166E" w:rsidRDefault="0041096E" w:rsidP="0041096E">
      <w:pPr>
        <w:widowControl w:val="0"/>
        <w:tabs>
          <w:tab w:val="clear" w:pos="567"/>
        </w:tabs>
        <w:autoSpaceDE w:val="0"/>
        <w:autoSpaceDN w:val="0"/>
        <w:spacing w:before="7" w:line="240" w:lineRule="auto"/>
        <w:rPr>
          <w:b/>
          <w:lang w:val="lt-LT"/>
        </w:rPr>
      </w:pPr>
    </w:p>
    <w:p w14:paraId="355DA9D5" w14:textId="77777777" w:rsidR="0041096E" w:rsidRPr="005F48B8" w:rsidRDefault="0041096E" w:rsidP="0041096E">
      <w:pPr>
        <w:widowControl w:val="0"/>
        <w:tabs>
          <w:tab w:val="clear" w:pos="567"/>
        </w:tabs>
        <w:autoSpaceDE w:val="0"/>
        <w:autoSpaceDN w:val="0"/>
        <w:spacing w:before="1" w:line="240" w:lineRule="auto"/>
        <w:rPr>
          <w:snapToGrid/>
          <w:szCs w:val="22"/>
          <w:lang w:val="lt-LT"/>
        </w:rPr>
      </w:pPr>
      <w:r w:rsidRPr="005F48B8">
        <w:rPr>
          <w:snapToGrid/>
          <w:szCs w:val="22"/>
          <w:u w:val="single"/>
          <w:lang w:val="lt-LT"/>
        </w:rPr>
        <w:t xml:space="preserve">Kitų medžiagų poveikis </w:t>
      </w:r>
      <w:proofErr w:type="spellStart"/>
      <w:r w:rsidRPr="005F48B8">
        <w:rPr>
          <w:snapToGrid/>
          <w:szCs w:val="22"/>
          <w:u w:val="single"/>
          <w:lang w:val="lt-LT"/>
        </w:rPr>
        <w:t>tadalafiliui</w:t>
      </w:r>
      <w:proofErr w:type="spellEnd"/>
    </w:p>
    <w:p w14:paraId="65491B75" w14:textId="77777777" w:rsidR="0041096E" w:rsidRPr="008612DF" w:rsidRDefault="0041096E" w:rsidP="0041096E">
      <w:pPr>
        <w:widowControl w:val="0"/>
        <w:tabs>
          <w:tab w:val="clear" w:pos="567"/>
        </w:tabs>
        <w:autoSpaceDE w:val="0"/>
        <w:autoSpaceDN w:val="0"/>
        <w:spacing w:before="1" w:line="240" w:lineRule="auto"/>
        <w:rPr>
          <w:snapToGrid/>
          <w:szCs w:val="22"/>
          <w:lang w:val="lt-LT"/>
        </w:rPr>
      </w:pPr>
    </w:p>
    <w:p w14:paraId="40AF317E" w14:textId="77777777" w:rsidR="0041096E" w:rsidRPr="002A25EF" w:rsidRDefault="0041096E" w:rsidP="0041096E">
      <w:pPr>
        <w:widowControl w:val="0"/>
        <w:tabs>
          <w:tab w:val="clear" w:pos="567"/>
        </w:tabs>
        <w:autoSpaceDE w:val="0"/>
        <w:autoSpaceDN w:val="0"/>
        <w:spacing w:before="91" w:line="240" w:lineRule="auto"/>
        <w:rPr>
          <w:i/>
          <w:snapToGrid/>
          <w:szCs w:val="22"/>
          <w:lang w:val="lt-LT"/>
        </w:rPr>
      </w:pPr>
      <w:proofErr w:type="spellStart"/>
      <w:r w:rsidRPr="002A25EF">
        <w:rPr>
          <w:i/>
          <w:snapToGrid/>
          <w:szCs w:val="22"/>
          <w:u w:val="single"/>
          <w:lang w:val="lt-LT"/>
        </w:rPr>
        <w:t>Citochromo</w:t>
      </w:r>
      <w:proofErr w:type="spellEnd"/>
      <w:r w:rsidRPr="002A25EF">
        <w:rPr>
          <w:i/>
          <w:snapToGrid/>
          <w:szCs w:val="22"/>
          <w:u w:val="single"/>
          <w:lang w:val="lt-LT"/>
        </w:rPr>
        <w:t xml:space="preserve"> P450 inhibitoriai</w:t>
      </w:r>
    </w:p>
    <w:p w14:paraId="1C0A8E62" w14:textId="77777777" w:rsidR="0041096E" w:rsidRPr="00D8166E" w:rsidRDefault="0041096E" w:rsidP="0041096E">
      <w:pPr>
        <w:widowControl w:val="0"/>
        <w:tabs>
          <w:tab w:val="clear" w:pos="567"/>
        </w:tabs>
        <w:autoSpaceDE w:val="0"/>
        <w:autoSpaceDN w:val="0"/>
        <w:spacing w:before="1" w:line="240" w:lineRule="auto"/>
        <w:rPr>
          <w:lang w:val="lt-LT"/>
        </w:rPr>
      </w:pPr>
    </w:p>
    <w:p w14:paraId="5C0516BF" w14:textId="77777777" w:rsidR="0041096E" w:rsidRPr="005F48B8" w:rsidRDefault="0041096E" w:rsidP="0041096E">
      <w:pPr>
        <w:widowControl w:val="0"/>
        <w:tabs>
          <w:tab w:val="clear" w:pos="567"/>
        </w:tabs>
        <w:autoSpaceDE w:val="0"/>
        <w:autoSpaceDN w:val="0"/>
        <w:spacing w:before="1" w:line="240" w:lineRule="auto"/>
        <w:rPr>
          <w:i/>
          <w:snapToGrid/>
          <w:szCs w:val="22"/>
          <w:lang w:val="lt-LT"/>
        </w:rPr>
      </w:pPr>
      <w:proofErr w:type="spellStart"/>
      <w:r w:rsidRPr="005F48B8">
        <w:rPr>
          <w:i/>
          <w:snapToGrid/>
          <w:szCs w:val="22"/>
          <w:lang w:val="lt-LT"/>
        </w:rPr>
        <w:t>Azolų</w:t>
      </w:r>
      <w:proofErr w:type="spellEnd"/>
      <w:r w:rsidRPr="005F48B8">
        <w:rPr>
          <w:i/>
          <w:snapToGrid/>
          <w:szCs w:val="22"/>
          <w:lang w:val="lt-LT"/>
        </w:rPr>
        <w:t xml:space="preserve"> grupės priešgrybeliniai preparatai </w:t>
      </w:r>
      <w:r w:rsidRPr="005F48B8">
        <w:rPr>
          <w:snapToGrid/>
          <w:szCs w:val="22"/>
          <w:lang w:val="lt-LT"/>
        </w:rPr>
        <w:t>(</w:t>
      </w:r>
      <w:r w:rsidRPr="005F48B8">
        <w:rPr>
          <w:i/>
          <w:snapToGrid/>
          <w:szCs w:val="22"/>
          <w:lang w:val="lt-LT"/>
        </w:rPr>
        <w:t xml:space="preserve">pvz., </w:t>
      </w:r>
      <w:proofErr w:type="spellStart"/>
      <w:r w:rsidRPr="005F48B8">
        <w:rPr>
          <w:i/>
          <w:snapToGrid/>
          <w:szCs w:val="22"/>
          <w:lang w:val="lt-LT"/>
        </w:rPr>
        <w:t>ketokonazolas</w:t>
      </w:r>
      <w:proofErr w:type="spellEnd"/>
      <w:r w:rsidRPr="005F48B8">
        <w:rPr>
          <w:i/>
          <w:snapToGrid/>
          <w:szCs w:val="22"/>
          <w:lang w:val="lt-LT"/>
        </w:rPr>
        <w:t>)</w:t>
      </w:r>
    </w:p>
    <w:p w14:paraId="4A4692B9" w14:textId="77777777" w:rsidR="0041096E" w:rsidRPr="007203A0" w:rsidRDefault="0041096E" w:rsidP="0041096E">
      <w:pPr>
        <w:widowControl w:val="0"/>
        <w:tabs>
          <w:tab w:val="clear" w:pos="567"/>
        </w:tabs>
        <w:autoSpaceDE w:val="0"/>
        <w:autoSpaceDN w:val="0"/>
        <w:spacing w:before="9" w:line="240" w:lineRule="auto"/>
        <w:rPr>
          <w:snapToGrid/>
          <w:szCs w:val="22"/>
          <w:lang w:val="lt-LT"/>
        </w:rPr>
      </w:pPr>
      <w:proofErr w:type="spellStart"/>
      <w:r w:rsidRPr="008612DF">
        <w:rPr>
          <w:snapToGrid/>
          <w:szCs w:val="22"/>
          <w:lang w:val="lt-LT"/>
        </w:rPr>
        <w:t>Ketokonazolas</w:t>
      </w:r>
      <w:proofErr w:type="spellEnd"/>
      <w:r w:rsidRPr="008612DF">
        <w:rPr>
          <w:snapToGrid/>
          <w:szCs w:val="22"/>
          <w:lang w:val="lt-LT"/>
        </w:rPr>
        <w:t xml:space="preserve"> (200</w:t>
      </w:r>
      <w:r w:rsidRPr="002A25EF">
        <w:rPr>
          <w:snapToGrid/>
          <w:szCs w:val="22"/>
          <w:lang w:val="lt-LT"/>
        </w:rPr>
        <w:t xml:space="preserve"> mg per parą) padidino vienkartinės </w:t>
      </w:r>
      <w:proofErr w:type="spellStart"/>
      <w:r w:rsidRPr="002A25EF">
        <w:rPr>
          <w:snapToGrid/>
          <w:szCs w:val="22"/>
          <w:lang w:val="lt-LT"/>
        </w:rPr>
        <w:t>tadalafilio</w:t>
      </w:r>
      <w:proofErr w:type="spellEnd"/>
      <w:r w:rsidRPr="002A25EF">
        <w:rPr>
          <w:snapToGrid/>
          <w:szCs w:val="22"/>
          <w:lang w:val="lt-LT"/>
        </w:rPr>
        <w:t xml:space="preserve"> (10 </w:t>
      </w:r>
      <w:r w:rsidRPr="0061385E">
        <w:rPr>
          <w:snapToGrid/>
          <w:spacing w:val="-3"/>
          <w:szCs w:val="22"/>
          <w:lang w:val="lt-LT"/>
        </w:rPr>
        <w:t xml:space="preserve">mg) </w:t>
      </w:r>
      <w:r w:rsidRPr="0061385E">
        <w:rPr>
          <w:snapToGrid/>
          <w:szCs w:val="22"/>
          <w:lang w:val="lt-LT"/>
        </w:rPr>
        <w:t>dozės ekspoziciją (</w:t>
      </w:r>
      <w:r w:rsidRPr="009840AD">
        <w:rPr>
          <w:i/>
          <w:snapToGrid/>
          <w:szCs w:val="22"/>
          <w:lang w:val="lt-LT"/>
        </w:rPr>
        <w:t>AUC</w:t>
      </w:r>
      <w:r w:rsidRPr="009840AD">
        <w:rPr>
          <w:snapToGrid/>
          <w:szCs w:val="22"/>
          <w:lang w:val="lt-LT"/>
        </w:rPr>
        <w:t xml:space="preserve">) </w:t>
      </w:r>
      <w:r w:rsidRPr="009840AD">
        <w:rPr>
          <w:snapToGrid/>
          <w:position w:val="2"/>
          <w:szCs w:val="22"/>
          <w:lang w:val="lt-LT"/>
        </w:rPr>
        <w:t xml:space="preserve">2 kartais, o </w:t>
      </w:r>
      <w:proofErr w:type="spellStart"/>
      <w:r w:rsidRPr="009840AD">
        <w:rPr>
          <w:i/>
          <w:snapToGrid/>
          <w:position w:val="2"/>
          <w:szCs w:val="22"/>
          <w:lang w:val="lt-LT"/>
        </w:rPr>
        <w:t>C</w:t>
      </w:r>
      <w:r w:rsidRPr="009840AD">
        <w:rPr>
          <w:i/>
          <w:snapToGrid/>
          <w:position w:val="2"/>
          <w:szCs w:val="22"/>
          <w:vertAlign w:val="subscript"/>
          <w:lang w:val="lt-LT"/>
        </w:rPr>
        <w:t>max</w:t>
      </w:r>
      <w:proofErr w:type="spellEnd"/>
      <w:r w:rsidRPr="00F1014D">
        <w:rPr>
          <w:i/>
          <w:snapToGrid/>
          <w:position w:val="2"/>
          <w:szCs w:val="22"/>
          <w:lang w:val="lt-LT"/>
        </w:rPr>
        <w:t xml:space="preserve"> </w:t>
      </w:r>
      <w:r w:rsidRPr="00F1014D">
        <w:rPr>
          <w:snapToGrid/>
          <w:position w:val="2"/>
          <w:szCs w:val="22"/>
          <w:lang w:val="lt-LT"/>
        </w:rPr>
        <w:t xml:space="preserve">15 %, palyginti su </w:t>
      </w:r>
      <w:r w:rsidRPr="00F1014D">
        <w:rPr>
          <w:i/>
          <w:snapToGrid/>
          <w:position w:val="2"/>
          <w:szCs w:val="22"/>
          <w:lang w:val="lt-LT"/>
        </w:rPr>
        <w:t xml:space="preserve">AUC </w:t>
      </w:r>
      <w:r w:rsidRPr="007203A0">
        <w:rPr>
          <w:snapToGrid/>
          <w:position w:val="2"/>
          <w:szCs w:val="22"/>
          <w:lang w:val="lt-LT"/>
        </w:rPr>
        <w:t xml:space="preserve">ir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 xml:space="preserve">rodmenimis, vartojant vieną </w:t>
      </w:r>
      <w:proofErr w:type="spellStart"/>
      <w:r w:rsidRPr="007203A0">
        <w:rPr>
          <w:snapToGrid/>
          <w:position w:val="2"/>
          <w:szCs w:val="22"/>
          <w:lang w:val="lt-LT"/>
        </w:rPr>
        <w:t>tadalafilį</w:t>
      </w:r>
      <w:proofErr w:type="spellEnd"/>
      <w:r w:rsidRPr="007203A0">
        <w:rPr>
          <w:snapToGrid/>
          <w:position w:val="2"/>
          <w:szCs w:val="22"/>
          <w:lang w:val="lt-LT"/>
        </w:rPr>
        <w:t>.</w:t>
      </w:r>
      <w:r w:rsidRPr="007203A0">
        <w:rPr>
          <w:snapToGrid/>
          <w:spacing w:val="-37"/>
          <w:position w:val="2"/>
          <w:szCs w:val="22"/>
          <w:lang w:val="lt-LT"/>
        </w:rPr>
        <w:t xml:space="preserve"> </w:t>
      </w:r>
      <w:proofErr w:type="spellStart"/>
      <w:r w:rsidRPr="007203A0">
        <w:rPr>
          <w:snapToGrid/>
          <w:position w:val="2"/>
          <w:szCs w:val="22"/>
          <w:lang w:val="lt-LT"/>
        </w:rPr>
        <w:t>Ketokonazolas</w:t>
      </w:r>
      <w:proofErr w:type="spellEnd"/>
      <w:r w:rsidRPr="007203A0">
        <w:rPr>
          <w:snapToGrid/>
          <w:position w:val="2"/>
          <w:szCs w:val="22"/>
          <w:lang w:val="lt-LT"/>
        </w:rPr>
        <w:t xml:space="preserve"> (400 mg per parą) padidino vienkartinės </w:t>
      </w:r>
      <w:proofErr w:type="spellStart"/>
      <w:r w:rsidRPr="007203A0">
        <w:rPr>
          <w:snapToGrid/>
          <w:position w:val="2"/>
          <w:szCs w:val="22"/>
          <w:lang w:val="lt-LT"/>
        </w:rPr>
        <w:t>tadalafilio</w:t>
      </w:r>
      <w:proofErr w:type="spellEnd"/>
      <w:r w:rsidRPr="007203A0">
        <w:rPr>
          <w:snapToGrid/>
          <w:position w:val="2"/>
          <w:szCs w:val="22"/>
          <w:lang w:val="lt-LT"/>
        </w:rPr>
        <w:t xml:space="preserve"> (20 mg) dozės ekspoziciją (</w:t>
      </w:r>
      <w:r w:rsidRPr="007203A0">
        <w:rPr>
          <w:i/>
          <w:snapToGrid/>
          <w:position w:val="2"/>
          <w:szCs w:val="22"/>
          <w:lang w:val="lt-LT"/>
        </w:rPr>
        <w:t>AUC</w:t>
      </w:r>
      <w:r w:rsidRPr="007203A0">
        <w:rPr>
          <w:snapToGrid/>
          <w:position w:val="2"/>
          <w:szCs w:val="22"/>
          <w:lang w:val="lt-LT"/>
        </w:rPr>
        <w:t xml:space="preserve">) 4 kartais, o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szCs w:val="22"/>
          <w:lang w:val="lt-LT"/>
        </w:rPr>
        <w:t>22 %.</w:t>
      </w:r>
    </w:p>
    <w:p w14:paraId="1077AE48"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A65C949"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Proteazės inhibitoriai (pvz., ritonaviras)</w:t>
      </w:r>
    </w:p>
    <w:p w14:paraId="0DE7DA27" w14:textId="77777777" w:rsidR="0041096E" w:rsidRPr="007203A0" w:rsidRDefault="0041096E" w:rsidP="0041096E">
      <w:pPr>
        <w:widowControl w:val="0"/>
        <w:tabs>
          <w:tab w:val="clear" w:pos="567"/>
        </w:tabs>
        <w:autoSpaceDE w:val="0"/>
        <w:autoSpaceDN w:val="0"/>
        <w:spacing w:before="4" w:line="240" w:lineRule="auto"/>
        <w:rPr>
          <w:snapToGrid/>
          <w:szCs w:val="22"/>
          <w:lang w:val="lt-LT"/>
        </w:rPr>
      </w:pPr>
      <w:r w:rsidRPr="007203A0">
        <w:rPr>
          <w:snapToGrid/>
          <w:szCs w:val="22"/>
          <w:lang w:val="lt-LT"/>
        </w:rPr>
        <w:t xml:space="preserve">Ritonaviras (200 mg du kartus per parą), kuris yra CYP3A4, CYP2C9, CYP2C19 ir CYP2D6 inhibitorius, vienkartinės </w:t>
      </w:r>
      <w:proofErr w:type="spellStart"/>
      <w:r w:rsidRPr="007203A0">
        <w:rPr>
          <w:snapToGrid/>
          <w:szCs w:val="22"/>
          <w:lang w:val="lt-LT"/>
        </w:rPr>
        <w:t>tadalafilio</w:t>
      </w:r>
      <w:proofErr w:type="spellEnd"/>
      <w:r w:rsidRPr="007203A0">
        <w:rPr>
          <w:snapToGrid/>
          <w:szCs w:val="22"/>
          <w:lang w:val="lt-LT"/>
        </w:rPr>
        <w:t xml:space="preserve"> (20 mg) dozės ekspoziciją (</w:t>
      </w:r>
      <w:r w:rsidRPr="007203A0">
        <w:rPr>
          <w:i/>
          <w:snapToGrid/>
          <w:szCs w:val="22"/>
          <w:lang w:val="lt-LT"/>
        </w:rPr>
        <w:t>AUC</w:t>
      </w:r>
      <w:r w:rsidRPr="007203A0">
        <w:rPr>
          <w:snapToGrid/>
          <w:szCs w:val="22"/>
          <w:lang w:val="lt-LT"/>
        </w:rPr>
        <w:t xml:space="preserve">) padidino 2 kartais ir neveikė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snapToGrid/>
          <w:position w:val="2"/>
          <w:szCs w:val="22"/>
          <w:lang w:val="lt-LT"/>
        </w:rPr>
        <w:t xml:space="preserve">. Ritonaviras (500 mg arba 600 mg du kartus per parą) vienkartinės </w:t>
      </w:r>
      <w:proofErr w:type="spellStart"/>
      <w:r w:rsidRPr="007203A0">
        <w:rPr>
          <w:snapToGrid/>
          <w:position w:val="2"/>
          <w:szCs w:val="22"/>
          <w:lang w:val="lt-LT"/>
        </w:rPr>
        <w:t>tadalafilio</w:t>
      </w:r>
      <w:proofErr w:type="spellEnd"/>
      <w:r w:rsidRPr="007203A0">
        <w:rPr>
          <w:snapToGrid/>
          <w:position w:val="2"/>
          <w:szCs w:val="22"/>
          <w:lang w:val="lt-LT"/>
        </w:rPr>
        <w:t xml:space="preserve"> (20 mg) dozės ekspoziciją (</w:t>
      </w:r>
      <w:r w:rsidRPr="007203A0">
        <w:rPr>
          <w:i/>
          <w:snapToGrid/>
          <w:position w:val="2"/>
          <w:szCs w:val="22"/>
          <w:lang w:val="lt-LT"/>
        </w:rPr>
        <w:t>AUC</w:t>
      </w:r>
      <w:r w:rsidRPr="007203A0">
        <w:rPr>
          <w:snapToGrid/>
          <w:position w:val="2"/>
          <w:szCs w:val="22"/>
          <w:lang w:val="lt-LT"/>
        </w:rPr>
        <w:t xml:space="preserve">) padidino 32 %, o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sumažino 30 %.</w:t>
      </w:r>
    </w:p>
    <w:p w14:paraId="12A8BB79" w14:textId="77777777" w:rsidR="0041096E" w:rsidRPr="00D8166E" w:rsidRDefault="0041096E" w:rsidP="0041096E">
      <w:pPr>
        <w:widowControl w:val="0"/>
        <w:tabs>
          <w:tab w:val="clear" w:pos="567"/>
        </w:tabs>
        <w:autoSpaceDE w:val="0"/>
        <w:autoSpaceDN w:val="0"/>
        <w:spacing w:before="1" w:line="240" w:lineRule="auto"/>
        <w:rPr>
          <w:lang w:val="lt-LT"/>
        </w:rPr>
      </w:pPr>
    </w:p>
    <w:p w14:paraId="6E2CD85C" w14:textId="77777777" w:rsidR="0041096E" w:rsidRPr="005F48B8" w:rsidRDefault="0041096E" w:rsidP="0041096E">
      <w:pPr>
        <w:widowControl w:val="0"/>
        <w:tabs>
          <w:tab w:val="clear" w:pos="567"/>
        </w:tabs>
        <w:autoSpaceDE w:val="0"/>
        <w:autoSpaceDN w:val="0"/>
        <w:spacing w:before="1" w:line="240" w:lineRule="auto"/>
        <w:rPr>
          <w:i/>
          <w:snapToGrid/>
          <w:szCs w:val="22"/>
          <w:lang w:val="lt-LT"/>
        </w:rPr>
      </w:pPr>
      <w:proofErr w:type="spellStart"/>
      <w:r w:rsidRPr="005F48B8">
        <w:rPr>
          <w:i/>
          <w:snapToGrid/>
          <w:szCs w:val="22"/>
          <w:u w:val="single"/>
          <w:lang w:val="lt-LT"/>
        </w:rPr>
        <w:t>Citochromą</w:t>
      </w:r>
      <w:proofErr w:type="spellEnd"/>
      <w:r w:rsidRPr="005F48B8">
        <w:rPr>
          <w:i/>
          <w:snapToGrid/>
          <w:szCs w:val="22"/>
          <w:u w:val="single"/>
          <w:lang w:val="lt-LT"/>
        </w:rPr>
        <w:t xml:space="preserve"> P450 sužadinantys vaistiniai preparatai</w:t>
      </w:r>
    </w:p>
    <w:p w14:paraId="49754598" w14:textId="77777777" w:rsidR="0041096E" w:rsidRPr="00D8166E" w:rsidRDefault="0041096E" w:rsidP="0041096E">
      <w:pPr>
        <w:widowControl w:val="0"/>
        <w:tabs>
          <w:tab w:val="clear" w:pos="567"/>
        </w:tabs>
        <w:autoSpaceDE w:val="0"/>
        <w:autoSpaceDN w:val="0"/>
        <w:spacing w:before="1" w:line="240" w:lineRule="auto"/>
        <w:rPr>
          <w:lang w:val="lt-LT"/>
        </w:rPr>
      </w:pPr>
    </w:p>
    <w:p w14:paraId="32FBC1F2" w14:textId="77777777" w:rsidR="0041096E" w:rsidRPr="005F48B8" w:rsidRDefault="0041096E" w:rsidP="0041096E">
      <w:pPr>
        <w:widowControl w:val="0"/>
        <w:tabs>
          <w:tab w:val="clear" w:pos="567"/>
        </w:tabs>
        <w:autoSpaceDE w:val="0"/>
        <w:autoSpaceDN w:val="0"/>
        <w:spacing w:before="1" w:line="240" w:lineRule="auto"/>
        <w:rPr>
          <w:i/>
          <w:snapToGrid/>
          <w:szCs w:val="22"/>
          <w:lang w:val="lt-LT"/>
        </w:rPr>
      </w:pPr>
      <w:proofErr w:type="spellStart"/>
      <w:r w:rsidRPr="005F48B8">
        <w:rPr>
          <w:i/>
          <w:snapToGrid/>
          <w:szCs w:val="22"/>
          <w:lang w:val="lt-LT"/>
        </w:rPr>
        <w:t>Endotelino</w:t>
      </w:r>
      <w:proofErr w:type="spellEnd"/>
      <w:r w:rsidRPr="005F48B8">
        <w:rPr>
          <w:i/>
          <w:snapToGrid/>
          <w:szCs w:val="22"/>
          <w:lang w:val="lt-LT"/>
        </w:rPr>
        <w:t xml:space="preserve"> 1 receptorių antagonistai (pvz., </w:t>
      </w:r>
      <w:proofErr w:type="spellStart"/>
      <w:r w:rsidRPr="005F48B8">
        <w:rPr>
          <w:i/>
          <w:snapToGrid/>
          <w:szCs w:val="22"/>
          <w:lang w:val="lt-LT"/>
        </w:rPr>
        <w:t>bozentanas</w:t>
      </w:r>
      <w:proofErr w:type="spellEnd"/>
      <w:r w:rsidRPr="005F48B8">
        <w:rPr>
          <w:i/>
          <w:snapToGrid/>
          <w:szCs w:val="22"/>
          <w:lang w:val="lt-LT"/>
        </w:rPr>
        <w:t>)</w:t>
      </w:r>
    </w:p>
    <w:p w14:paraId="7F4C1FB3" w14:textId="77777777" w:rsidR="0041096E" w:rsidRPr="007203A0" w:rsidRDefault="0041096E" w:rsidP="0041096E">
      <w:pPr>
        <w:widowControl w:val="0"/>
        <w:tabs>
          <w:tab w:val="clear" w:pos="567"/>
        </w:tabs>
        <w:autoSpaceDE w:val="0"/>
        <w:autoSpaceDN w:val="0"/>
        <w:spacing w:before="6" w:line="240" w:lineRule="auto"/>
        <w:rPr>
          <w:snapToGrid/>
          <w:szCs w:val="22"/>
          <w:lang w:val="lt-LT"/>
        </w:rPr>
      </w:pPr>
      <w:r w:rsidRPr="008612DF">
        <w:rPr>
          <w:snapToGrid/>
          <w:szCs w:val="22"/>
          <w:lang w:val="lt-LT"/>
        </w:rPr>
        <w:t xml:space="preserve">Vartojant kartu kartotines dozes, </w:t>
      </w:r>
      <w:proofErr w:type="spellStart"/>
      <w:r w:rsidRPr="008612DF">
        <w:rPr>
          <w:snapToGrid/>
          <w:szCs w:val="22"/>
          <w:lang w:val="lt-LT"/>
        </w:rPr>
        <w:t>bozentanas</w:t>
      </w:r>
      <w:proofErr w:type="spellEnd"/>
      <w:r w:rsidRPr="008612DF">
        <w:rPr>
          <w:snapToGrid/>
          <w:szCs w:val="22"/>
          <w:lang w:val="lt-LT"/>
        </w:rPr>
        <w:t xml:space="preserve"> (125</w:t>
      </w:r>
      <w:r w:rsidRPr="002A25EF">
        <w:rPr>
          <w:snapToGrid/>
          <w:szCs w:val="22"/>
          <w:lang w:val="lt-LT"/>
        </w:rPr>
        <w:t> </w:t>
      </w:r>
      <w:r w:rsidRPr="0061385E">
        <w:rPr>
          <w:snapToGrid/>
          <w:szCs w:val="22"/>
          <w:lang w:val="lt-LT"/>
        </w:rPr>
        <w:t>mg du kartus per parą), kuris yra CYP2C9 ir CYP3A4 substratas bei vidutiniškai sužadina CYP3A4, CYP2C9 ir galbūt CYP2C19, sumaž</w:t>
      </w:r>
      <w:r w:rsidRPr="009840AD">
        <w:rPr>
          <w:snapToGrid/>
          <w:szCs w:val="22"/>
          <w:lang w:val="lt-LT"/>
        </w:rPr>
        <w:t xml:space="preserve">ino </w:t>
      </w:r>
      <w:proofErr w:type="spellStart"/>
      <w:r w:rsidRPr="009840AD">
        <w:rPr>
          <w:snapToGrid/>
          <w:position w:val="2"/>
          <w:szCs w:val="22"/>
          <w:lang w:val="lt-LT"/>
        </w:rPr>
        <w:t>tadalafilio</w:t>
      </w:r>
      <w:proofErr w:type="spellEnd"/>
      <w:r w:rsidRPr="009840AD">
        <w:rPr>
          <w:snapToGrid/>
          <w:position w:val="2"/>
          <w:szCs w:val="22"/>
          <w:lang w:val="lt-LT"/>
        </w:rPr>
        <w:t xml:space="preserve"> (40 mg vieną kartą per parą) sisteminę ekspoziciją 42 %, o </w:t>
      </w:r>
      <w:proofErr w:type="spellStart"/>
      <w:r w:rsidRPr="00F1014D">
        <w:rPr>
          <w:i/>
          <w:snapToGrid/>
          <w:position w:val="2"/>
          <w:szCs w:val="22"/>
          <w:lang w:val="lt-LT"/>
        </w:rPr>
        <w:t>C</w:t>
      </w:r>
      <w:r w:rsidRPr="00F1014D">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 xml:space="preserve">27 %. </w:t>
      </w:r>
      <w:proofErr w:type="spellStart"/>
      <w:r w:rsidRPr="007203A0">
        <w:rPr>
          <w:snapToGrid/>
          <w:position w:val="2"/>
          <w:szCs w:val="22"/>
          <w:lang w:val="lt-LT"/>
        </w:rPr>
        <w:t>Tadalafilio</w:t>
      </w:r>
      <w:proofErr w:type="spellEnd"/>
      <w:r w:rsidRPr="007203A0">
        <w:rPr>
          <w:snapToGrid/>
          <w:position w:val="2"/>
          <w:szCs w:val="22"/>
          <w:lang w:val="lt-LT"/>
        </w:rPr>
        <w:t xml:space="preserve"> </w:t>
      </w:r>
      <w:r w:rsidRPr="007203A0">
        <w:rPr>
          <w:snapToGrid/>
          <w:szCs w:val="22"/>
          <w:lang w:val="lt-LT"/>
        </w:rPr>
        <w:t xml:space="preserve">veiksmingumas pacientams, kurie jau gydomi </w:t>
      </w:r>
      <w:proofErr w:type="spellStart"/>
      <w:r w:rsidRPr="007203A0">
        <w:rPr>
          <w:snapToGrid/>
          <w:szCs w:val="22"/>
          <w:lang w:val="lt-LT"/>
        </w:rPr>
        <w:t>bozentanu</w:t>
      </w:r>
      <w:proofErr w:type="spellEnd"/>
      <w:r w:rsidRPr="007203A0">
        <w:rPr>
          <w:snapToGrid/>
          <w:szCs w:val="22"/>
          <w:lang w:val="lt-LT"/>
        </w:rPr>
        <w:t xml:space="preserve">, įtikinamai neįrodytas (žr. 4.4 ir 5.1 skyrius). </w:t>
      </w:r>
      <w:proofErr w:type="spellStart"/>
      <w:r w:rsidRPr="007203A0">
        <w:rPr>
          <w:snapToGrid/>
          <w:position w:val="2"/>
          <w:szCs w:val="22"/>
          <w:lang w:val="lt-LT"/>
        </w:rPr>
        <w:t>Tadalafilis</w:t>
      </w:r>
      <w:proofErr w:type="spellEnd"/>
      <w:r w:rsidRPr="007203A0">
        <w:rPr>
          <w:snapToGrid/>
          <w:position w:val="2"/>
          <w:szCs w:val="22"/>
          <w:lang w:val="lt-LT"/>
        </w:rPr>
        <w:t xml:space="preserve"> neveikia </w:t>
      </w:r>
      <w:proofErr w:type="spellStart"/>
      <w:r w:rsidRPr="007203A0">
        <w:rPr>
          <w:snapToGrid/>
          <w:position w:val="2"/>
          <w:szCs w:val="22"/>
          <w:lang w:val="lt-LT"/>
        </w:rPr>
        <w:t>bozentano</w:t>
      </w:r>
      <w:proofErr w:type="spellEnd"/>
      <w:r w:rsidRPr="007203A0">
        <w:rPr>
          <w:snapToGrid/>
          <w:position w:val="2"/>
          <w:szCs w:val="22"/>
          <w:lang w:val="lt-LT"/>
        </w:rPr>
        <w:t xml:space="preserve"> ar jo metabolitų ekspozicijos (</w:t>
      </w:r>
      <w:r w:rsidRPr="007203A0">
        <w:rPr>
          <w:i/>
          <w:snapToGrid/>
          <w:position w:val="2"/>
          <w:szCs w:val="22"/>
          <w:lang w:val="lt-LT"/>
        </w:rPr>
        <w:t xml:space="preserve">AUC </w:t>
      </w:r>
      <w:r w:rsidRPr="007203A0">
        <w:rPr>
          <w:snapToGrid/>
          <w:position w:val="2"/>
          <w:szCs w:val="22"/>
          <w:lang w:val="lt-LT"/>
        </w:rPr>
        <w:t xml:space="preserve">ir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snapToGrid/>
          <w:position w:val="2"/>
          <w:szCs w:val="22"/>
          <w:lang w:val="lt-LT"/>
        </w:rPr>
        <w:t>).</w:t>
      </w:r>
    </w:p>
    <w:p w14:paraId="26691E79"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Tadalafilio</w:t>
      </w:r>
      <w:proofErr w:type="spellEnd"/>
      <w:r w:rsidRPr="007203A0">
        <w:rPr>
          <w:snapToGrid/>
          <w:szCs w:val="22"/>
          <w:lang w:val="lt-LT"/>
        </w:rPr>
        <w:t xml:space="preserve"> vartojimo kartu su </w:t>
      </w:r>
      <w:proofErr w:type="spellStart"/>
      <w:r w:rsidRPr="007203A0">
        <w:rPr>
          <w:snapToGrid/>
          <w:szCs w:val="22"/>
          <w:lang w:val="lt-LT"/>
        </w:rPr>
        <w:t>endotelino</w:t>
      </w:r>
      <w:proofErr w:type="spellEnd"/>
      <w:r w:rsidRPr="007203A0">
        <w:rPr>
          <w:snapToGrid/>
          <w:szCs w:val="22"/>
          <w:lang w:val="lt-LT"/>
        </w:rPr>
        <w:t xml:space="preserve"> 1 receptorių antagonistais saugumo ir veiksmingumo tyrimų neatlikta.</w:t>
      </w:r>
    </w:p>
    <w:p w14:paraId="29C2D8F5"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309F00B"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 xml:space="preserve">Antimikrobiniai vaistiniai preparatai (pvz., </w:t>
      </w:r>
      <w:proofErr w:type="spellStart"/>
      <w:r w:rsidRPr="007203A0">
        <w:rPr>
          <w:i/>
          <w:snapToGrid/>
          <w:szCs w:val="22"/>
          <w:lang w:val="lt-LT"/>
        </w:rPr>
        <w:t>rifampicinas</w:t>
      </w:r>
      <w:proofErr w:type="spellEnd"/>
      <w:r w:rsidRPr="007203A0">
        <w:rPr>
          <w:i/>
          <w:snapToGrid/>
          <w:szCs w:val="22"/>
          <w:lang w:val="lt-LT"/>
        </w:rPr>
        <w:t>)</w:t>
      </w:r>
    </w:p>
    <w:p w14:paraId="1F4AA2F3" w14:textId="77777777" w:rsidR="0041096E" w:rsidRPr="007203A0" w:rsidRDefault="0041096E" w:rsidP="0041096E">
      <w:pPr>
        <w:widowControl w:val="0"/>
        <w:tabs>
          <w:tab w:val="clear" w:pos="567"/>
        </w:tabs>
        <w:autoSpaceDE w:val="0"/>
        <w:autoSpaceDN w:val="0"/>
        <w:spacing w:before="6" w:line="240" w:lineRule="auto"/>
        <w:rPr>
          <w:snapToGrid/>
          <w:szCs w:val="22"/>
          <w:lang w:val="lt-LT"/>
        </w:rPr>
      </w:pPr>
      <w:r w:rsidRPr="007203A0">
        <w:rPr>
          <w:snapToGrid/>
          <w:szCs w:val="22"/>
          <w:lang w:val="lt-LT"/>
        </w:rPr>
        <w:t xml:space="preserve">CYP3A4 sužadinantis vaistinis preparatas </w:t>
      </w:r>
      <w:proofErr w:type="spellStart"/>
      <w:r w:rsidRPr="007203A0">
        <w:rPr>
          <w:snapToGrid/>
          <w:szCs w:val="22"/>
          <w:lang w:val="lt-LT"/>
        </w:rPr>
        <w:t>rifampicinas</w:t>
      </w:r>
      <w:proofErr w:type="spellEnd"/>
      <w:r w:rsidRPr="007203A0">
        <w:rPr>
          <w:snapToGrid/>
          <w:szCs w:val="22"/>
          <w:lang w:val="lt-LT"/>
        </w:rPr>
        <w:t xml:space="preserve"> (600 mg per parą) sumažino </w:t>
      </w:r>
      <w:proofErr w:type="spellStart"/>
      <w:r w:rsidRPr="007203A0">
        <w:rPr>
          <w:snapToGrid/>
          <w:szCs w:val="22"/>
          <w:lang w:val="lt-LT"/>
        </w:rPr>
        <w:t>tadalafilio</w:t>
      </w:r>
      <w:proofErr w:type="spellEnd"/>
      <w:r w:rsidRPr="007203A0">
        <w:rPr>
          <w:snapToGrid/>
          <w:szCs w:val="22"/>
          <w:lang w:val="lt-LT"/>
        </w:rPr>
        <w:t xml:space="preserve"> AUC 88 %, o </w:t>
      </w:r>
      <w:proofErr w:type="spellStart"/>
      <w:r w:rsidRPr="007203A0">
        <w:rPr>
          <w:snapToGrid/>
          <w:szCs w:val="22"/>
          <w:lang w:val="lt-LT"/>
        </w:rPr>
        <w:t>C</w:t>
      </w:r>
      <w:r w:rsidRPr="007203A0">
        <w:rPr>
          <w:snapToGrid/>
          <w:szCs w:val="22"/>
          <w:vertAlign w:val="subscript"/>
          <w:lang w:val="lt-LT"/>
        </w:rPr>
        <w:t>max</w:t>
      </w:r>
      <w:proofErr w:type="spellEnd"/>
      <w:r w:rsidRPr="007203A0">
        <w:rPr>
          <w:snapToGrid/>
          <w:szCs w:val="22"/>
          <w:lang w:val="lt-LT"/>
        </w:rPr>
        <w:t xml:space="preserve"> 46 %, palyginti su AUC ir </w:t>
      </w:r>
      <w:proofErr w:type="spellStart"/>
      <w:r w:rsidRPr="007203A0">
        <w:rPr>
          <w:snapToGrid/>
          <w:szCs w:val="22"/>
          <w:lang w:val="lt-LT"/>
        </w:rPr>
        <w:t>Cmax</w:t>
      </w:r>
      <w:proofErr w:type="spellEnd"/>
      <w:r w:rsidRPr="007203A0">
        <w:rPr>
          <w:snapToGrid/>
          <w:szCs w:val="22"/>
          <w:lang w:val="lt-LT"/>
        </w:rPr>
        <w:t xml:space="preserve"> rodmenimis, vartojant vieną </w:t>
      </w:r>
      <w:proofErr w:type="spellStart"/>
      <w:r w:rsidRPr="007203A0">
        <w:rPr>
          <w:snapToGrid/>
          <w:szCs w:val="22"/>
          <w:lang w:val="lt-LT"/>
        </w:rPr>
        <w:t>tadalafilį</w:t>
      </w:r>
      <w:proofErr w:type="spellEnd"/>
      <w:r w:rsidRPr="007203A0">
        <w:rPr>
          <w:snapToGrid/>
          <w:szCs w:val="22"/>
          <w:lang w:val="lt-LT"/>
        </w:rPr>
        <w:t xml:space="preserve"> (10 mg).</w:t>
      </w:r>
    </w:p>
    <w:p w14:paraId="0D5A0CA9" w14:textId="77777777" w:rsidR="0041096E" w:rsidRPr="007203A0" w:rsidRDefault="0041096E" w:rsidP="0041096E">
      <w:pPr>
        <w:widowControl w:val="0"/>
        <w:tabs>
          <w:tab w:val="clear" w:pos="567"/>
        </w:tabs>
        <w:autoSpaceDE w:val="0"/>
        <w:autoSpaceDN w:val="0"/>
        <w:spacing w:before="6" w:line="240" w:lineRule="auto"/>
        <w:rPr>
          <w:snapToGrid/>
          <w:szCs w:val="22"/>
          <w:lang w:val="lt-LT"/>
        </w:rPr>
      </w:pPr>
    </w:p>
    <w:p w14:paraId="52A474B4" w14:textId="77777777" w:rsidR="0041096E" w:rsidRPr="007203A0" w:rsidRDefault="0041096E" w:rsidP="0041096E">
      <w:pPr>
        <w:widowControl w:val="0"/>
        <w:tabs>
          <w:tab w:val="clear" w:pos="567"/>
        </w:tabs>
        <w:autoSpaceDE w:val="0"/>
        <w:autoSpaceDN w:val="0"/>
        <w:spacing w:before="1" w:line="240" w:lineRule="auto"/>
        <w:rPr>
          <w:snapToGrid/>
          <w:szCs w:val="22"/>
          <w:u w:val="single"/>
          <w:lang w:val="lt-LT"/>
        </w:rPr>
      </w:pPr>
      <w:proofErr w:type="spellStart"/>
      <w:r w:rsidRPr="007203A0">
        <w:rPr>
          <w:snapToGrid/>
          <w:szCs w:val="22"/>
          <w:u w:val="single"/>
          <w:lang w:val="lt-LT"/>
        </w:rPr>
        <w:t>Tadalafilio</w:t>
      </w:r>
      <w:proofErr w:type="spellEnd"/>
      <w:r w:rsidRPr="007203A0">
        <w:rPr>
          <w:snapToGrid/>
          <w:szCs w:val="22"/>
          <w:u w:val="single"/>
          <w:lang w:val="lt-LT"/>
        </w:rPr>
        <w:t xml:space="preserve"> poveikis kitiems vaistiniams preparatams</w:t>
      </w:r>
    </w:p>
    <w:p w14:paraId="0A1DF7E8" w14:textId="77777777" w:rsidR="0041096E" w:rsidRPr="007203A0" w:rsidRDefault="0041096E" w:rsidP="0041096E">
      <w:pPr>
        <w:widowControl w:val="0"/>
        <w:tabs>
          <w:tab w:val="clear" w:pos="567"/>
        </w:tabs>
        <w:autoSpaceDE w:val="0"/>
        <w:autoSpaceDN w:val="0"/>
        <w:spacing w:before="1" w:line="240" w:lineRule="auto"/>
        <w:rPr>
          <w:snapToGrid/>
          <w:szCs w:val="22"/>
          <w:u w:val="single"/>
          <w:lang w:val="lt-LT"/>
        </w:rPr>
      </w:pPr>
    </w:p>
    <w:p w14:paraId="3ABC42F1" w14:textId="77777777" w:rsidR="0041096E" w:rsidRPr="007203A0" w:rsidRDefault="0041096E" w:rsidP="0041096E">
      <w:pPr>
        <w:widowControl w:val="0"/>
        <w:tabs>
          <w:tab w:val="clear" w:pos="567"/>
        </w:tabs>
        <w:autoSpaceDE w:val="0"/>
        <w:autoSpaceDN w:val="0"/>
        <w:spacing w:before="15" w:line="240" w:lineRule="auto"/>
        <w:rPr>
          <w:i/>
          <w:snapToGrid/>
          <w:szCs w:val="22"/>
          <w:lang w:val="lt-LT"/>
        </w:rPr>
      </w:pPr>
      <w:r w:rsidRPr="007203A0">
        <w:rPr>
          <w:i/>
          <w:snapToGrid/>
          <w:szCs w:val="22"/>
          <w:lang w:val="lt-LT"/>
        </w:rPr>
        <w:t>Nitratai</w:t>
      </w:r>
    </w:p>
    <w:p w14:paraId="6360F236"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Klinikinių tyrimų duomenimis, </w:t>
      </w:r>
      <w:proofErr w:type="spellStart"/>
      <w:r w:rsidRPr="007203A0">
        <w:rPr>
          <w:snapToGrid/>
          <w:szCs w:val="22"/>
          <w:lang w:val="lt-LT"/>
        </w:rPr>
        <w:t>tadalafilis</w:t>
      </w:r>
      <w:proofErr w:type="spellEnd"/>
      <w:r w:rsidRPr="007203A0">
        <w:rPr>
          <w:snapToGrid/>
          <w:szCs w:val="22"/>
          <w:lang w:val="lt-LT"/>
        </w:rPr>
        <w:t xml:space="preserve"> (5 mg, 10 mg ir 20 mg) sustiprino </w:t>
      </w:r>
      <w:proofErr w:type="spellStart"/>
      <w:r w:rsidRPr="007203A0">
        <w:rPr>
          <w:snapToGrid/>
          <w:szCs w:val="22"/>
          <w:lang w:val="lt-LT"/>
        </w:rPr>
        <w:t>hipotenzinį</w:t>
      </w:r>
      <w:proofErr w:type="spellEnd"/>
      <w:r w:rsidRPr="007203A0">
        <w:rPr>
          <w:snapToGrid/>
          <w:szCs w:val="22"/>
          <w:lang w:val="lt-LT"/>
        </w:rPr>
        <w:t xml:space="preserve"> nitratų poveikį. Tokia sąveika truko ilgiau kaip 24 valandas ir nebepasireiškė, praėjus 48 valandoms po paskutinės </w:t>
      </w:r>
      <w:proofErr w:type="spellStart"/>
      <w:r w:rsidRPr="007203A0">
        <w:rPr>
          <w:snapToGrid/>
          <w:szCs w:val="22"/>
          <w:lang w:val="lt-LT"/>
        </w:rPr>
        <w:t>tadalafilio</w:t>
      </w:r>
      <w:proofErr w:type="spellEnd"/>
      <w:r w:rsidRPr="007203A0">
        <w:rPr>
          <w:snapToGrid/>
          <w:szCs w:val="22"/>
          <w:lang w:val="lt-LT"/>
        </w:rPr>
        <w:t xml:space="preserve"> dozės suvartojimo. Dėl to </w:t>
      </w:r>
      <w:proofErr w:type="spellStart"/>
      <w:r w:rsidRPr="007203A0">
        <w:rPr>
          <w:snapToGrid/>
          <w:szCs w:val="22"/>
          <w:lang w:val="lt-LT"/>
        </w:rPr>
        <w:t>tadalafilio</w:t>
      </w:r>
      <w:proofErr w:type="spellEnd"/>
      <w:r w:rsidRPr="007203A0">
        <w:rPr>
          <w:snapToGrid/>
          <w:szCs w:val="22"/>
          <w:lang w:val="lt-LT"/>
        </w:rPr>
        <w:t xml:space="preserve"> negalima vartoti pacientams, kurie vartoja bet kokios formos organinių nitratų (žr. 4.3 skyrių).</w:t>
      </w:r>
    </w:p>
    <w:p w14:paraId="1938F994" w14:textId="77777777" w:rsidR="0041096E" w:rsidRPr="00D8166E" w:rsidRDefault="0041096E" w:rsidP="0041096E">
      <w:pPr>
        <w:widowControl w:val="0"/>
        <w:tabs>
          <w:tab w:val="clear" w:pos="567"/>
        </w:tabs>
        <w:autoSpaceDE w:val="0"/>
        <w:autoSpaceDN w:val="0"/>
        <w:spacing w:before="11" w:line="240" w:lineRule="auto"/>
        <w:rPr>
          <w:lang w:val="lt-LT"/>
        </w:rPr>
      </w:pPr>
    </w:p>
    <w:p w14:paraId="39CB7530" w14:textId="77777777" w:rsidR="0041096E" w:rsidRPr="005F48B8" w:rsidRDefault="0041096E" w:rsidP="0041096E">
      <w:pPr>
        <w:widowControl w:val="0"/>
        <w:tabs>
          <w:tab w:val="clear" w:pos="567"/>
        </w:tabs>
        <w:autoSpaceDE w:val="0"/>
        <w:autoSpaceDN w:val="0"/>
        <w:spacing w:line="240" w:lineRule="auto"/>
        <w:rPr>
          <w:i/>
          <w:snapToGrid/>
          <w:szCs w:val="22"/>
          <w:lang w:val="lt-LT"/>
        </w:rPr>
      </w:pPr>
      <w:proofErr w:type="spellStart"/>
      <w:r w:rsidRPr="005F48B8">
        <w:rPr>
          <w:i/>
          <w:snapToGrid/>
          <w:szCs w:val="22"/>
          <w:lang w:val="lt-LT"/>
        </w:rPr>
        <w:t>Antihipertenziniai</w:t>
      </w:r>
      <w:proofErr w:type="spellEnd"/>
      <w:r w:rsidRPr="005F48B8">
        <w:rPr>
          <w:i/>
          <w:snapToGrid/>
          <w:szCs w:val="22"/>
          <w:lang w:val="lt-LT"/>
        </w:rPr>
        <w:t xml:space="preserve"> vaistiniai preparatai (įskaitant kalcio kanalų blokatorius)</w:t>
      </w:r>
    </w:p>
    <w:p w14:paraId="4D5B84C9"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8612DF">
        <w:rPr>
          <w:snapToGrid/>
          <w:szCs w:val="22"/>
          <w:lang w:val="lt-LT"/>
        </w:rPr>
        <w:t>Tadalafilio</w:t>
      </w:r>
      <w:proofErr w:type="spellEnd"/>
      <w:r w:rsidRPr="008612DF">
        <w:rPr>
          <w:snapToGrid/>
          <w:szCs w:val="22"/>
          <w:lang w:val="lt-LT"/>
        </w:rPr>
        <w:t xml:space="preserve"> vartojant (po 5</w:t>
      </w:r>
      <w:r w:rsidRPr="002A25EF">
        <w:rPr>
          <w:snapToGrid/>
          <w:szCs w:val="22"/>
          <w:lang w:val="lt-LT"/>
        </w:rPr>
        <w:t> </w:t>
      </w:r>
      <w:r w:rsidRPr="0061385E">
        <w:rPr>
          <w:snapToGrid/>
          <w:szCs w:val="22"/>
          <w:lang w:val="lt-LT"/>
        </w:rPr>
        <w:t>mg per parą arba atskiras 20 </w:t>
      </w:r>
      <w:r w:rsidRPr="009840AD">
        <w:rPr>
          <w:snapToGrid/>
          <w:szCs w:val="22"/>
          <w:lang w:val="lt-LT"/>
        </w:rPr>
        <w:t xml:space="preserve">mg dozes) kartu su </w:t>
      </w:r>
      <w:proofErr w:type="spellStart"/>
      <w:r w:rsidRPr="009840AD">
        <w:rPr>
          <w:snapToGrid/>
          <w:szCs w:val="22"/>
          <w:lang w:val="lt-LT"/>
        </w:rPr>
        <w:t>doksazosinu</w:t>
      </w:r>
      <w:proofErr w:type="spellEnd"/>
      <w:r w:rsidRPr="009840AD">
        <w:rPr>
          <w:snapToGrid/>
          <w:szCs w:val="22"/>
          <w:lang w:val="lt-LT"/>
        </w:rPr>
        <w:t xml:space="preserve"> (po 4 mg arba 8</w:t>
      </w:r>
      <w:r w:rsidRPr="00F1014D">
        <w:rPr>
          <w:snapToGrid/>
          <w:szCs w:val="22"/>
          <w:lang w:val="lt-LT"/>
        </w:rPr>
        <w:t> </w:t>
      </w:r>
      <w:r w:rsidRPr="007203A0">
        <w:rPr>
          <w:snapToGrid/>
          <w:szCs w:val="22"/>
          <w:lang w:val="lt-LT"/>
        </w:rPr>
        <w:t xml:space="preserve">mg per parą), reikšmingai sustiprėja šio alfa </w:t>
      </w:r>
      <w:proofErr w:type="spellStart"/>
      <w:r w:rsidRPr="007203A0">
        <w:rPr>
          <w:snapToGrid/>
          <w:szCs w:val="22"/>
          <w:lang w:val="lt-LT"/>
        </w:rPr>
        <w:t>adrenoblokatoriaus</w:t>
      </w:r>
      <w:proofErr w:type="spellEnd"/>
      <w:r w:rsidRPr="007203A0">
        <w:rPr>
          <w:snapToGrid/>
          <w:szCs w:val="22"/>
          <w:lang w:val="lt-LT"/>
        </w:rPr>
        <w:t xml:space="preserve"> kraujospūdį mažinantis poveikis.</w:t>
      </w:r>
    </w:p>
    <w:p w14:paraId="4B01DE66"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lastRenderedPageBreak/>
        <w:t>Toks poveikis trunka ne mažiau kaip dvylika valandų ir gali sukelti simptomų, įskaitant alpulį. Vadinasi, toks derinys nerekomenduojamas (žr. 4.4 skyrių).</w:t>
      </w:r>
    </w:p>
    <w:p w14:paraId="21BDBE8E"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Sąveikos tyrimų, atliktų su nedideliu skaičiumi sveikų savanorių, vartojusių </w:t>
      </w:r>
      <w:proofErr w:type="spellStart"/>
      <w:r w:rsidRPr="007203A0">
        <w:rPr>
          <w:snapToGrid/>
          <w:szCs w:val="22"/>
          <w:lang w:val="lt-LT"/>
        </w:rPr>
        <w:t>alfuzozino</w:t>
      </w:r>
      <w:proofErr w:type="spellEnd"/>
      <w:r w:rsidRPr="007203A0">
        <w:rPr>
          <w:snapToGrid/>
          <w:szCs w:val="22"/>
          <w:lang w:val="lt-LT"/>
        </w:rPr>
        <w:t xml:space="preserve"> ar </w:t>
      </w:r>
      <w:proofErr w:type="spellStart"/>
      <w:r w:rsidRPr="007203A0">
        <w:rPr>
          <w:snapToGrid/>
          <w:szCs w:val="22"/>
          <w:lang w:val="lt-LT"/>
        </w:rPr>
        <w:t>tamsulozino</w:t>
      </w:r>
      <w:proofErr w:type="spellEnd"/>
      <w:r w:rsidRPr="007203A0">
        <w:rPr>
          <w:snapToGrid/>
          <w:szCs w:val="22"/>
          <w:lang w:val="lt-LT"/>
        </w:rPr>
        <w:t>, metu tokio poveikio nenustatyta.</w:t>
      </w:r>
    </w:p>
    <w:p w14:paraId="07441CB7" w14:textId="77777777" w:rsidR="0041096E" w:rsidRPr="007203A0" w:rsidRDefault="0041096E" w:rsidP="0041096E">
      <w:pPr>
        <w:widowControl w:val="0"/>
        <w:tabs>
          <w:tab w:val="clear" w:pos="567"/>
        </w:tabs>
        <w:autoSpaceDE w:val="0"/>
        <w:autoSpaceDN w:val="0"/>
        <w:spacing w:before="62" w:line="240" w:lineRule="auto"/>
        <w:rPr>
          <w:snapToGrid/>
          <w:szCs w:val="22"/>
          <w:lang w:val="lt-LT"/>
        </w:rPr>
      </w:pPr>
    </w:p>
    <w:p w14:paraId="5B0E44C3" w14:textId="77777777" w:rsidR="0041096E" w:rsidRPr="007203A0" w:rsidRDefault="0041096E" w:rsidP="0041096E">
      <w:pPr>
        <w:widowControl w:val="0"/>
        <w:tabs>
          <w:tab w:val="clear" w:pos="567"/>
        </w:tabs>
        <w:autoSpaceDE w:val="0"/>
        <w:autoSpaceDN w:val="0"/>
        <w:spacing w:before="62" w:line="240" w:lineRule="auto"/>
        <w:rPr>
          <w:snapToGrid/>
          <w:szCs w:val="22"/>
          <w:lang w:val="lt-LT"/>
        </w:rPr>
      </w:pPr>
      <w:r w:rsidRPr="007203A0">
        <w:rPr>
          <w:snapToGrid/>
          <w:szCs w:val="22"/>
          <w:lang w:val="lt-LT"/>
        </w:rPr>
        <w:t xml:space="preserve">Klinikinių farmakologinių tyrimų metu buvo tirtas </w:t>
      </w:r>
      <w:proofErr w:type="spellStart"/>
      <w:r w:rsidRPr="007203A0">
        <w:rPr>
          <w:snapToGrid/>
          <w:szCs w:val="22"/>
          <w:lang w:val="lt-LT"/>
        </w:rPr>
        <w:t>tadalafilio</w:t>
      </w:r>
      <w:proofErr w:type="spellEnd"/>
      <w:r w:rsidRPr="007203A0">
        <w:rPr>
          <w:snapToGrid/>
          <w:szCs w:val="22"/>
          <w:lang w:val="lt-LT"/>
        </w:rPr>
        <w:t xml:space="preserve"> (10 mg ir 20 mg) gebėjimas sustiprinti </w:t>
      </w:r>
      <w:proofErr w:type="spellStart"/>
      <w:r w:rsidRPr="007203A0">
        <w:rPr>
          <w:snapToGrid/>
          <w:szCs w:val="22"/>
          <w:lang w:val="lt-LT"/>
        </w:rPr>
        <w:t>antihipertenzinių</w:t>
      </w:r>
      <w:proofErr w:type="spellEnd"/>
      <w:r w:rsidRPr="007203A0">
        <w:rPr>
          <w:snapToGrid/>
          <w:szCs w:val="22"/>
          <w:lang w:val="lt-LT"/>
        </w:rPr>
        <w:t xml:space="preserve"> vaistinių preparatų </w:t>
      </w:r>
      <w:proofErr w:type="spellStart"/>
      <w:r w:rsidRPr="007203A0">
        <w:rPr>
          <w:snapToGrid/>
          <w:szCs w:val="22"/>
          <w:lang w:val="lt-LT"/>
        </w:rPr>
        <w:t>hipotenzinį</w:t>
      </w:r>
      <w:proofErr w:type="spellEnd"/>
      <w:r w:rsidRPr="007203A0">
        <w:rPr>
          <w:snapToGrid/>
          <w:szCs w:val="22"/>
          <w:lang w:val="lt-LT"/>
        </w:rPr>
        <w:t xml:space="preserve"> poveikį. Buvo tirtos pagrindinės </w:t>
      </w:r>
      <w:proofErr w:type="spellStart"/>
      <w:r w:rsidRPr="007203A0">
        <w:rPr>
          <w:snapToGrid/>
          <w:szCs w:val="22"/>
          <w:lang w:val="lt-LT"/>
        </w:rPr>
        <w:t>antihipertenzinių</w:t>
      </w:r>
      <w:proofErr w:type="spellEnd"/>
      <w:r w:rsidRPr="007203A0">
        <w:rPr>
          <w:snapToGrid/>
          <w:szCs w:val="22"/>
          <w:lang w:val="lt-LT"/>
        </w:rPr>
        <w:t xml:space="preserve"> vaistinių preparatų klasės, taikant arba </w:t>
      </w:r>
      <w:proofErr w:type="spellStart"/>
      <w:r w:rsidRPr="007203A0">
        <w:rPr>
          <w:snapToGrid/>
          <w:szCs w:val="22"/>
          <w:lang w:val="lt-LT"/>
        </w:rPr>
        <w:t>monoterapiją</w:t>
      </w:r>
      <w:proofErr w:type="spellEnd"/>
      <w:r w:rsidRPr="007203A0">
        <w:rPr>
          <w:snapToGrid/>
          <w:szCs w:val="22"/>
          <w:lang w:val="lt-LT"/>
        </w:rPr>
        <w:t xml:space="preserve">, arba sudėtinį gydymą. Keletą </w:t>
      </w:r>
      <w:proofErr w:type="spellStart"/>
      <w:r w:rsidRPr="007203A0">
        <w:rPr>
          <w:snapToGrid/>
          <w:szCs w:val="22"/>
          <w:lang w:val="lt-LT"/>
        </w:rPr>
        <w:t>antihipertenzinių</w:t>
      </w:r>
      <w:proofErr w:type="spellEnd"/>
      <w:r w:rsidRPr="007203A0">
        <w:rPr>
          <w:snapToGrid/>
          <w:szCs w:val="22"/>
          <w:lang w:val="lt-LT"/>
        </w:rPr>
        <w:t xml:space="preserve"> vaistinių preparatų vartojusiems pacientams, kurių hipertenzija nebuvo gerai kontroliuojama, pasireiškė didesnis kraujospūdžio sumažėjimas, palyginti su tiriamaisiais, kurių kraujospūdis buvo kontroliuojamas gerai ir kuriems pasireiškė tik minimalus sumažėjimas, panašus į sveikų tiriamųjų. Pacientams, kurie kartu vartoja </w:t>
      </w:r>
      <w:proofErr w:type="spellStart"/>
      <w:r w:rsidRPr="007203A0">
        <w:rPr>
          <w:snapToGrid/>
          <w:szCs w:val="22"/>
          <w:lang w:val="lt-LT"/>
        </w:rPr>
        <w:t>antihipertenzinių</w:t>
      </w:r>
      <w:proofErr w:type="spellEnd"/>
      <w:r w:rsidRPr="007203A0">
        <w:rPr>
          <w:snapToGrid/>
          <w:szCs w:val="22"/>
          <w:lang w:val="lt-LT"/>
        </w:rPr>
        <w:t xml:space="preserve"> vaistinių preparatų, 20 mg </w:t>
      </w:r>
      <w:proofErr w:type="spellStart"/>
      <w:r w:rsidRPr="007203A0">
        <w:rPr>
          <w:snapToGrid/>
          <w:szCs w:val="22"/>
          <w:lang w:val="lt-LT"/>
        </w:rPr>
        <w:t>tadalafilio</w:t>
      </w:r>
      <w:proofErr w:type="spellEnd"/>
      <w:r w:rsidRPr="007203A0">
        <w:rPr>
          <w:snapToGrid/>
          <w:szCs w:val="22"/>
          <w:lang w:val="lt-LT"/>
        </w:rPr>
        <w:t xml:space="preserve"> dozė gali sukelti kraujospūdžio sumažėjimą, kuris dažniausiai būna nedidelis ir greičiausiai nebus kliniškai reikšmingas (išimtis - </w:t>
      </w:r>
      <w:proofErr w:type="spellStart"/>
      <w:r w:rsidRPr="007203A0">
        <w:rPr>
          <w:snapToGrid/>
          <w:szCs w:val="22"/>
          <w:lang w:val="lt-LT"/>
        </w:rPr>
        <w:t>doksazosinas</w:t>
      </w:r>
      <w:proofErr w:type="spellEnd"/>
      <w:r w:rsidRPr="007203A0">
        <w:rPr>
          <w:snapToGrid/>
          <w:szCs w:val="22"/>
          <w:lang w:val="lt-LT"/>
        </w:rPr>
        <w:t>, žr. aukščiau).</w:t>
      </w:r>
    </w:p>
    <w:p w14:paraId="4D70D417" w14:textId="77777777" w:rsidR="0041096E" w:rsidRPr="00D8166E" w:rsidRDefault="0041096E" w:rsidP="0041096E">
      <w:pPr>
        <w:widowControl w:val="0"/>
        <w:tabs>
          <w:tab w:val="clear" w:pos="567"/>
        </w:tabs>
        <w:autoSpaceDE w:val="0"/>
        <w:autoSpaceDN w:val="0"/>
        <w:spacing w:before="11" w:line="240" w:lineRule="auto"/>
        <w:rPr>
          <w:lang w:val="lt-LT"/>
        </w:rPr>
      </w:pPr>
    </w:p>
    <w:p w14:paraId="7C855BBB" w14:textId="77777777" w:rsidR="0041096E" w:rsidRPr="005F48B8" w:rsidRDefault="0041096E" w:rsidP="0041096E">
      <w:pPr>
        <w:widowControl w:val="0"/>
        <w:tabs>
          <w:tab w:val="clear" w:pos="567"/>
        </w:tabs>
        <w:autoSpaceDE w:val="0"/>
        <w:autoSpaceDN w:val="0"/>
        <w:spacing w:line="240" w:lineRule="auto"/>
        <w:rPr>
          <w:i/>
          <w:snapToGrid/>
          <w:szCs w:val="22"/>
          <w:lang w:val="lt-LT"/>
        </w:rPr>
      </w:pPr>
      <w:proofErr w:type="spellStart"/>
      <w:r w:rsidRPr="005F48B8">
        <w:rPr>
          <w:i/>
          <w:snapToGrid/>
          <w:szCs w:val="22"/>
          <w:lang w:val="lt-LT"/>
        </w:rPr>
        <w:t>Riociguatas</w:t>
      </w:r>
      <w:proofErr w:type="spellEnd"/>
    </w:p>
    <w:p w14:paraId="231D0BEC" w14:textId="77777777" w:rsidR="0041096E" w:rsidRPr="0061385E" w:rsidRDefault="0041096E" w:rsidP="0041096E">
      <w:pPr>
        <w:widowControl w:val="0"/>
        <w:tabs>
          <w:tab w:val="clear" w:pos="567"/>
        </w:tabs>
        <w:autoSpaceDE w:val="0"/>
        <w:autoSpaceDN w:val="0"/>
        <w:spacing w:line="240" w:lineRule="auto"/>
        <w:rPr>
          <w:snapToGrid/>
          <w:szCs w:val="22"/>
          <w:lang w:val="lt-LT"/>
        </w:rPr>
      </w:pPr>
      <w:proofErr w:type="spellStart"/>
      <w:r w:rsidRPr="008612DF">
        <w:rPr>
          <w:snapToGrid/>
          <w:szCs w:val="22"/>
          <w:lang w:val="lt-LT"/>
        </w:rPr>
        <w:t>Ikiklinikiniai</w:t>
      </w:r>
      <w:proofErr w:type="spellEnd"/>
      <w:r w:rsidRPr="008612DF">
        <w:rPr>
          <w:snapToGrid/>
          <w:szCs w:val="22"/>
          <w:lang w:val="lt-LT"/>
        </w:rPr>
        <w:t xml:space="preserve"> tyrimai parodė papildomą sisteminio kraujospūdž</w:t>
      </w:r>
      <w:r w:rsidRPr="002A25EF">
        <w:rPr>
          <w:snapToGrid/>
          <w:szCs w:val="22"/>
          <w:lang w:val="lt-LT"/>
        </w:rPr>
        <w:t xml:space="preserve">io sumažėjimą FDE5 inhibitorius vartojant kartu su </w:t>
      </w:r>
      <w:proofErr w:type="spellStart"/>
      <w:r w:rsidRPr="002A25EF">
        <w:rPr>
          <w:snapToGrid/>
          <w:szCs w:val="22"/>
          <w:lang w:val="lt-LT"/>
        </w:rPr>
        <w:t>riociguatu</w:t>
      </w:r>
      <w:proofErr w:type="spellEnd"/>
      <w:r w:rsidRPr="002A25EF">
        <w:rPr>
          <w:snapToGrid/>
          <w:szCs w:val="22"/>
          <w:lang w:val="lt-LT"/>
        </w:rPr>
        <w:t xml:space="preserve">. Remiantis klinikinių tyrimų duomenimis, įrodyta, kad </w:t>
      </w:r>
      <w:proofErr w:type="spellStart"/>
      <w:r w:rsidRPr="002A25EF">
        <w:rPr>
          <w:snapToGrid/>
          <w:szCs w:val="22"/>
          <w:lang w:val="lt-LT"/>
        </w:rPr>
        <w:t>riociguatas</w:t>
      </w:r>
      <w:proofErr w:type="spellEnd"/>
      <w:r w:rsidRPr="002A25EF">
        <w:rPr>
          <w:snapToGrid/>
          <w:szCs w:val="22"/>
          <w:lang w:val="lt-LT"/>
        </w:rPr>
        <w:t xml:space="preserve"> padidina </w:t>
      </w:r>
      <w:proofErr w:type="spellStart"/>
      <w:r w:rsidRPr="002A25EF">
        <w:rPr>
          <w:snapToGrid/>
          <w:szCs w:val="22"/>
          <w:lang w:val="lt-LT"/>
        </w:rPr>
        <w:t>hipotenzinį</w:t>
      </w:r>
      <w:proofErr w:type="spellEnd"/>
      <w:r w:rsidRPr="002A25EF">
        <w:rPr>
          <w:snapToGrid/>
          <w:szCs w:val="22"/>
          <w:lang w:val="lt-LT"/>
        </w:rPr>
        <w:t xml:space="preserve"> FDE5 inhibitorių poveikį. Nėra palankaus tokio derinio klinikinio poveikio tirtoje populiacijoje įrodymų. </w:t>
      </w:r>
      <w:proofErr w:type="spellStart"/>
      <w:r w:rsidRPr="002A25EF">
        <w:rPr>
          <w:snapToGrid/>
          <w:szCs w:val="22"/>
          <w:lang w:val="lt-LT"/>
        </w:rPr>
        <w:t>R</w:t>
      </w:r>
      <w:r w:rsidRPr="0061385E">
        <w:rPr>
          <w:snapToGrid/>
          <w:szCs w:val="22"/>
          <w:lang w:val="lt-LT"/>
        </w:rPr>
        <w:t>iociguatą</w:t>
      </w:r>
      <w:proofErr w:type="spellEnd"/>
      <w:r w:rsidRPr="0061385E">
        <w:rPr>
          <w:snapToGrid/>
          <w:szCs w:val="22"/>
          <w:lang w:val="lt-LT"/>
        </w:rPr>
        <w:t xml:space="preserve"> vartoti kartu su FDE5 inhibitoriais, įskaitant </w:t>
      </w:r>
      <w:proofErr w:type="spellStart"/>
      <w:r w:rsidRPr="0061385E">
        <w:rPr>
          <w:snapToGrid/>
          <w:szCs w:val="22"/>
          <w:lang w:val="lt-LT"/>
        </w:rPr>
        <w:t>tadalafilį</w:t>
      </w:r>
      <w:proofErr w:type="spellEnd"/>
      <w:r w:rsidRPr="0061385E">
        <w:rPr>
          <w:snapToGrid/>
          <w:szCs w:val="22"/>
          <w:lang w:val="lt-LT"/>
        </w:rPr>
        <w:t>, draudžiama (žr. 4.3 skyrių).</w:t>
      </w:r>
    </w:p>
    <w:p w14:paraId="2C5F214C" w14:textId="77777777" w:rsidR="0041096E" w:rsidRPr="009840AD" w:rsidRDefault="0041096E" w:rsidP="0041096E">
      <w:pPr>
        <w:widowControl w:val="0"/>
        <w:tabs>
          <w:tab w:val="clear" w:pos="567"/>
        </w:tabs>
        <w:autoSpaceDE w:val="0"/>
        <w:autoSpaceDN w:val="0"/>
        <w:spacing w:line="240" w:lineRule="auto"/>
        <w:rPr>
          <w:snapToGrid/>
          <w:szCs w:val="22"/>
          <w:lang w:val="lt-LT"/>
        </w:rPr>
      </w:pPr>
    </w:p>
    <w:p w14:paraId="588D1BCD" w14:textId="77777777" w:rsidR="0041096E" w:rsidRPr="00F1014D" w:rsidRDefault="0041096E" w:rsidP="0041096E">
      <w:pPr>
        <w:widowControl w:val="0"/>
        <w:tabs>
          <w:tab w:val="clear" w:pos="567"/>
        </w:tabs>
        <w:autoSpaceDE w:val="0"/>
        <w:autoSpaceDN w:val="0"/>
        <w:spacing w:before="1" w:line="240" w:lineRule="auto"/>
        <w:rPr>
          <w:i/>
          <w:snapToGrid/>
          <w:szCs w:val="22"/>
          <w:lang w:val="lt-LT"/>
        </w:rPr>
      </w:pPr>
      <w:r w:rsidRPr="00F1014D">
        <w:rPr>
          <w:i/>
          <w:snapToGrid/>
          <w:szCs w:val="22"/>
          <w:lang w:val="lt-LT"/>
        </w:rPr>
        <w:t>Alkoholis</w:t>
      </w:r>
    </w:p>
    <w:p w14:paraId="38707458"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F1014D">
        <w:rPr>
          <w:snapToGrid/>
          <w:szCs w:val="22"/>
          <w:lang w:val="lt-LT"/>
        </w:rPr>
        <w:t xml:space="preserve">Kartu vartojamas </w:t>
      </w:r>
      <w:proofErr w:type="spellStart"/>
      <w:r w:rsidRPr="00F1014D">
        <w:rPr>
          <w:snapToGrid/>
          <w:szCs w:val="22"/>
          <w:lang w:val="lt-LT"/>
        </w:rPr>
        <w:t>tadalafilis</w:t>
      </w:r>
      <w:proofErr w:type="spellEnd"/>
      <w:r w:rsidRPr="00F1014D">
        <w:rPr>
          <w:snapToGrid/>
          <w:szCs w:val="22"/>
          <w:lang w:val="lt-LT"/>
        </w:rPr>
        <w:t xml:space="preserve"> (10</w:t>
      </w:r>
      <w:r w:rsidRPr="007203A0">
        <w:rPr>
          <w:snapToGrid/>
          <w:szCs w:val="22"/>
          <w:lang w:val="lt-LT"/>
        </w:rPr>
        <w:t xml:space="preserve"> mg ar 20 mg) neveikė alkoholio koncentracijos. Be to, pavartojus kartu alkoholio, </w:t>
      </w:r>
      <w:proofErr w:type="spellStart"/>
      <w:r w:rsidRPr="007203A0">
        <w:rPr>
          <w:snapToGrid/>
          <w:szCs w:val="22"/>
          <w:lang w:val="lt-LT"/>
        </w:rPr>
        <w:t>tadalafilio</w:t>
      </w:r>
      <w:proofErr w:type="spellEnd"/>
      <w:r w:rsidRPr="007203A0">
        <w:rPr>
          <w:snapToGrid/>
          <w:szCs w:val="22"/>
          <w:lang w:val="lt-LT"/>
        </w:rPr>
        <w:t xml:space="preserve"> koncentracijos pokyčių nepastebėta. </w:t>
      </w:r>
      <w:proofErr w:type="spellStart"/>
      <w:r w:rsidRPr="007203A0">
        <w:rPr>
          <w:snapToGrid/>
          <w:szCs w:val="22"/>
          <w:lang w:val="lt-LT"/>
        </w:rPr>
        <w:t>Tadalafilis</w:t>
      </w:r>
      <w:proofErr w:type="spellEnd"/>
      <w:r w:rsidRPr="007203A0">
        <w:rPr>
          <w:snapToGrid/>
          <w:szCs w:val="22"/>
          <w:lang w:val="lt-LT"/>
        </w:rPr>
        <w:t xml:space="preserve"> (20 mg) nesustiprino alkoholio sukelto kraujospūdžio sumažėjimo (0,7 g/kg arba maždaug 180 ml 40% alkoholio [degtinės] 80 kg sveriančiam vyrui), bet kai kuriems tiriamiesiems pasireiškė pozicinis galvos svaigimas ir </w:t>
      </w:r>
      <w:proofErr w:type="spellStart"/>
      <w:r w:rsidRPr="007203A0">
        <w:rPr>
          <w:snapToGrid/>
          <w:szCs w:val="22"/>
          <w:lang w:val="lt-LT"/>
        </w:rPr>
        <w:t>ortostatinė</w:t>
      </w:r>
      <w:proofErr w:type="spellEnd"/>
      <w:r w:rsidRPr="007203A0">
        <w:rPr>
          <w:snapToGrid/>
          <w:szCs w:val="22"/>
          <w:lang w:val="lt-LT"/>
        </w:rPr>
        <w:t xml:space="preserve"> </w:t>
      </w:r>
      <w:proofErr w:type="spellStart"/>
      <w:r w:rsidRPr="007203A0">
        <w:rPr>
          <w:snapToGrid/>
          <w:szCs w:val="22"/>
          <w:lang w:val="lt-LT"/>
        </w:rPr>
        <w:t>hipotenzija</w:t>
      </w:r>
      <w:proofErr w:type="spellEnd"/>
      <w:r w:rsidRPr="007203A0">
        <w:rPr>
          <w:snapToGrid/>
          <w:szCs w:val="22"/>
          <w:lang w:val="lt-LT"/>
        </w:rPr>
        <w:t xml:space="preserve">. </w:t>
      </w:r>
      <w:proofErr w:type="spellStart"/>
      <w:r w:rsidRPr="007203A0">
        <w:rPr>
          <w:snapToGrid/>
          <w:szCs w:val="22"/>
          <w:lang w:val="lt-LT"/>
        </w:rPr>
        <w:t>Tadalafilis</w:t>
      </w:r>
      <w:proofErr w:type="spellEnd"/>
      <w:r w:rsidRPr="007203A0">
        <w:rPr>
          <w:snapToGrid/>
          <w:szCs w:val="22"/>
          <w:lang w:val="lt-LT"/>
        </w:rPr>
        <w:t xml:space="preserve"> (10 mg) nesustiprino alkoholio poveikio pažinimo funkcijai.</w:t>
      </w:r>
    </w:p>
    <w:p w14:paraId="4D2C2AE3"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27614EA"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 xml:space="preserve">CYP1A2 substratai (pvz., </w:t>
      </w:r>
      <w:proofErr w:type="spellStart"/>
      <w:r w:rsidRPr="007203A0">
        <w:rPr>
          <w:i/>
          <w:snapToGrid/>
          <w:szCs w:val="22"/>
          <w:lang w:val="lt-LT"/>
        </w:rPr>
        <w:t>teofilinas</w:t>
      </w:r>
      <w:proofErr w:type="spellEnd"/>
      <w:r w:rsidRPr="007203A0">
        <w:rPr>
          <w:i/>
          <w:snapToGrid/>
          <w:szCs w:val="22"/>
          <w:lang w:val="lt-LT"/>
        </w:rPr>
        <w:t>)</w:t>
      </w:r>
    </w:p>
    <w:p w14:paraId="770D35AA"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10 mg </w:t>
      </w:r>
      <w:proofErr w:type="spellStart"/>
      <w:r w:rsidRPr="007203A0">
        <w:rPr>
          <w:snapToGrid/>
          <w:szCs w:val="22"/>
          <w:lang w:val="lt-LT"/>
        </w:rPr>
        <w:t>tadalafilio</w:t>
      </w:r>
      <w:proofErr w:type="spellEnd"/>
      <w:r w:rsidRPr="007203A0">
        <w:rPr>
          <w:snapToGrid/>
          <w:szCs w:val="22"/>
          <w:lang w:val="lt-LT"/>
        </w:rPr>
        <w:t xml:space="preserve"> dozę vartojant kartu su </w:t>
      </w:r>
      <w:proofErr w:type="spellStart"/>
      <w:r w:rsidRPr="007203A0">
        <w:rPr>
          <w:snapToGrid/>
          <w:szCs w:val="22"/>
          <w:lang w:val="lt-LT"/>
        </w:rPr>
        <w:t>teofilinu</w:t>
      </w:r>
      <w:proofErr w:type="spellEnd"/>
      <w:r w:rsidRPr="007203A0">
        <w:rPr>
          <w:snapToGrid/>
          <w:szCs w:val="22"/>
          <w:lang w:val="lt-LT"/>
        </w:rPr>
        <w:t xml:space="preserve"> (neselektyvus </w:t>
      </w:r>
      <w:proofErr w:type="spellStart"/>
      <w:r w:rsidRPr="007203A0">
        <w:rPr>
          <w:snapToGrid/>
          <w:szCs w:val="22"/>
          <w:lang w:val="lt-LT"/>
        </w:rPr>
        <w:t>fosfodiesterazės</w:t>
      </w:r>
      <w:proofErr w:type="spellEnd"/>
      <w:r w:rsidRPr="007203A0">
        <w:rPr>
          <w:snapToGrid/>
          <w:szCs w:val="22"/>
          <w:lang w:val="lt-LT"/>
        </w:rPr>
        <w:t xml:space="preserve"> inhibitorius), </w:t>
      </w:r>
      <w:proofErr w:type="spellStart"/>
      <w:r w:rsidRPr="007203A0">
        <w:rPr>
          <w:snapToGrid/>
          <w:szCs w:val="22"/>
          <w:lang w:val="lt-LT"/>
        </w:rPr>
        <w:t>farmakokinetinė</w:t>
      </w:r>
      <w:proofErr w:type="spellEnd"/>
      <w:r w:rsidRPr="007203A0">
        <w:rPr>
          <w:snapToGrid/>
          <w:szCs w:val="22"/>
          <w:lang w:val="lt-LT"/>
        </w:rPr>
        <w:t xml:space="preserve"> sąveika nepasireiškė. </w:t>
      </w:r>
      <w:proofErr w:type="spellStart"/>
      <w:r w:rsidRPr="007203A0">
        <w:rPr>
          <w:snapToGrid/>
          <w:szCs w:val="22"/>
          <w:lang w:val="lt-LT"/>
        </w:rPr>
        <w:t>Farmakodinaminis</w:t>
      </w:r>
      <w:proofErr w:type="spellEnd"/>
      <w:r w:rsidRPr="007203A0">
        <w:rPr>
          <w:snapToGrid/>
          <w:szCs w:val="22"/>
          <w:lang w:val="lt-LT"/>
        </w:rPr>
        <w:t xml:space="preserve"> poveikis pasireiškė tik nežymiu širdies plakimo padažnėjimu (3,5 karto per min.).</w:t>
      </w:r>
    </w:p>
    <w:p w14:paraId="50D0A0BC"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6EB32E60"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CYP2C9 substratai (pvz., R-varfarinas)</w:t>
      </w:r>
    </w:p>
    <w:p w14:paraId="6B071029"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Tadalafilis</w:t>
      </w:r>
      <w:proofErr w:type="spellEnd"/>
      <w:r w:rsidRPr="007203A0">
        <w:rPr>
          <w:snapToGrid/>
          <w:szCs w:val="22"/>
          <w:lang w:val="lt-LT"/>
        </w:rPr>
        <w:t xml:space="preserve"> (10 mg ir 20 mg) kliniškai reikšmingai neveikė S-varfarino ar R-varfarino (CYP2C9 substratas) ekspozicijos (</w:t>
      </w:r>
      <w:r w:rsidRPr="007203A0">
        <w:rPr>
          <w:i/>
          <w:snapToGrid/>
          <w:szCs w:val="22"/>
          <w:lang w:val="lt-LT"/>
        </w:rPr>
        <w:t>AUC</w:t>
      </w:r>
      <w:r w:rsidRPr="007203A0">
        <w:rPr>
          <w:snapToGrid/>
          <w:szCs w:val="22"/>
          <w:lang w:val="lt-LT"/>
        </w:rPr>
        <w:t xml:space="preserve">) ir neturėjo įtakos varfarino sukeltiems </w:t>
      </w:r>
      <w:proofErr w:type="spellStart"/>
      <w:r w:rsidRPr="007203A0">
        <w:rPr>
          <w:snapToGrid/>
          <w:szCs w:val="22"/>
          <w:lang w:val="lt-LT"/>
        </w:rPr>
        <w:t>protrombino</w:t>
      </w:r>
      <w:proofErr w:type="spellEnd"/>
      <w:r w:rsidRPr="007203A0">
        <w:rPr>
          <w:snapToGrid/>
          <w:szCs w:val="22"/>
          <w:lang w:val="lt-LT"/>
        </w:rPr>
        <w:t xml:space="preserve"> laiko pokyčiams.</w:t>
      </w:r>
    </w:p>
    <w:p w14:paraId="0903D555" w14:textId="77777777" w:rsidR="0041096E" w:rsidRPr="00D8166E" w:rsidRDefault="0041096E" w:rsidP="0041096E">
      <w:pPr>
        <w:widowControl w:val="0"/>
        <w:tabs>
          <w:tab w:val="clear" w:pos="567"/>
        </w:tabs>
        <w:autoSpaceDE w:val="0"/>
        <w:autoSpaceDN w:val="0"/>
        <w:spacing w:before="10" w:line="240" w:lineRule="auto"/>
        <w:rPr>
          <w:lang w:val="lt-LT"/>
        </w:rPr>
      </w:pPr>
    </w:p>
    <w:p w14:paraId="731BC8A9" w14:textId="77777777" w:rsidR="0041096E" w:rsidRPr="005F48B8" w:rsidRDefault="0041096E" w:rsidP="0041096E">
      <w:pPr>
        <w:widowControl w:val="0"/>
        <w:tabs>
          <w:tab w:val="clear" w:pos="567"/>
        </w:tabs>
        <w:autoSpaceDE w:val="0"/>
        <w:autoSpaceDN w:val="0"/>
        <w:spacing w:line="240" w:lineRule="auto"/>
        <w:rPr>
          <w:i/>
          <w:snapToGrid/>
          <w:szCs w:val="22"/>
          <w:lang w:val="lt-LT"/>
        </w:rPr>
      </w:pPr>
      <w:proofErr w:type="spellStart"/>
      <w:r w:rsidRPr="005F48B8">
        <w:rPr>
          <w:i/>
          <w:snapToGrid/>
          <w:szCs w:val="22"/>
          <w:lang w:val="lt-LT"/>
        </w:rPr>
        <w:t>Acetilsalicilo</w:t>
      </w:r>
      <w:proofErr w:type="spellEnd"/>
      <w:r w:rsidRPr="005F48B8">
        <w:rPr>
          <w:i/>
          <w:snapToGrid/>
          <w:szCs w:val="22"/>
          <w:lang w:val="lt-LT"/>
        </w:rPr>
        <w:t xml:space="preserve"> rūgštis</w:t>
      </w:r>
    </w:p>
    <w:p w14:paraId="0BEDF0BC" w14:textId="77777777" w:rsidR="0041096E" w:rsidRPr="009840AD" w:rsidRDefault="0041096E" w:rsidP="0041096E">
      <w:pPr>
        <w:widowControl w:val="0"/>
        <w:tabs>
          <w:tab w:val="clear" w:pos="567"/>
        </w:tabs>
        <w:autoSpaceDE w:val="0"/>
        <w:autoSpaceDN w:val="0"/>
        <w:spacing w:before="2" w:line="240" w:lineRule="auto"/>
        <w:rPr>
          <w:snapToGrid/>
          <w:szCs w:val="22"/>
          <w:lang w:val="lt-LT"/>
        </w:rPr>
      </w:pPr>
      <w:proofErr w:type="spellStart"/>
      <w:r w:rsidRPr="008612DF">
        <w:rPr>
          <w:snapToGrid/>
          <w:szCs w:val="22"/>
          <w:lang w:val="lt-LT"/>
        </w:rPr>
        <w:t>Tadalafilis</w:t>
      </w:r>
      <w:proofErr w:type="spellEnd"/>
      <w:r w:rsidRPr="008612DF">
        <w:rPr>
          <w:snapToGrid/>
          <w:szCs w:val="22"/>
          <w:lang w:val="lt-LT"/>
        </w:rPr>
        <w:t xml:space="preserve"> (10</w:t>
      </w:r>
      <w:r w:rsidRPr="002A25EF">
        <w:rPr>
          <w:snapToGrid/>
          <w:szCs w:val="22"/>
          <w:lang w:val="lt-LT"/>
        </w:rPr>
        <w:t> </w:t>
      </w:r>
      <w:r w:rsidRPr="0061385E">
        <w:rPr>
          <w:snapToGrid/>
          <w:szCs w:val="22"/>
          <w:lang w:val="lt-LT"/>
        </w:rPr>
        <w:t>mg ir 20 </w:t>
      </w:r>
      <w:r w:rsidRPr="009840AD">
        <w:rPr>
          <w:snapToGrid/>
          <w:szCs w:val="22"/>
          <w:lang w:val="lt-LT"/>
        </w:rPr>
        <w:t xml:space="preserve">mg) nepailgino </w:t>
      </w:r>
      <w:proofErr w:type="spellStart"/>
      <w:r w:rsidRPr="009840AD">
        <w:rPr>
          <w:snapToGrid/>
          <w:szCs w:val="22"/>
          <w:lang w:val="lt-LT"/>
        </w:rPr>
        <w:t>acetilsalicilo</w:t>
      </w:r>
      <w:proofErr w:type="spellEnd"/>
      <w:r w:rsidRPr="009840AD">
        <w:rPr>
          <w:snapToGrid/>
          <w:szCs w:val="22"/>
          <w:lang w:val="lt-LT"/>
        </w:rPr>
        <w:t xml:space="preserve"> rūgšties sukelto kraujavimo laiko pailgėjimo.</w:t>
      </w:r>
    </w:p>
    <w:p w14:paraId="42392128" w14:textId="77777777" w:rsidR="0041096E" w:rsidRPr="00F1014D" w:rsidRDefault="0041096E" w:rsidP="0041096E">
      <w:pPr>
        <w:widowControl w:val="0"/>
        <w:tabs>
          <w:tab w:val="clear" w:pos="567"/>
        </w:tabs>
        <w:autoSpaceDE w:val="0"/>
        <w:autoSpaceDN w:val="0"/>
        <w:spacing w:line="240" w:lineRule="auto"/>
        <w:rPr>
          <w:snapToGrid/>
          <w:szCs w:val="22"/>
          <w:lang w:val="lt-LT"/>
        </w:rPr>
      </w:pPr>
    </w:p>
    <w:p w14:paraId="24B9D29A"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P-</w:t>
      </w:r>
      <w:proofErr w:type="spellStart"/>
      <w:r w:rsidRPr="007203A0">
        <w:rPr>
          <w:i/>
          <w:snapToGrid/>
          <w:szCs w:val="22"/>
          <w:lang w:val="lt-LT"/>
        </w:rPr>
        <w:t>glikoproteino</w:t>
      </w:r>
      <w:proofErr w:type="spellEnd"/>
      <w:r w:rsidRPr="007203A0">
        <w:rPr>
          <w:i/>
          <w:snapToGrid/>
          <w:szCs w:val="22"/>
          <w:lang w:val="lt-LT"/>
        </w:rPr>
        <w:t xml:space="preserve"> substratai (pvz., </w:t>
      </w:r>
      <w:proofErr w:type="spellStart"/>
      <w:r w:rsidRPr="007203A0">
        <w:rPr>
          <w:i/>
          <w:snapToGrid/>
          <w:szCs w:val="22"/>
          <w:lang w:val="lt-LT"/>
        </w:rPr>
        <w:t>digoksinas</w:t>
      </w:r>
      <w:proofErr w:type="spellEnd"/>
      <w:r w:rsidRPr="007203A0">
        <w:rPr>
          <w:i/>
          <w:snapToGrid/>
          <w:szCs w:val="22"/>
          <w:lang w:val="lt-LT"/>
        </w:rPr>
        <w:t>)</w:t>
      </w:r>
    </w:p>
    <w:p w14:paraId="07D113F9"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Tadalafilis</w:t>
      </w:r>
      <w:proofErr w:type="spellEnd"/>
      <w:r w:rsidRPr="007203A0">
        <w:rPr>
          <w:snapToGrid/>
          <w:szCs w:val="22"/>
          <w:lang w:val="lt-LT"/>
        </w:rPr>
        <w:t xml:space="preserve"> (40 mg vieną kartą per parą) kliniškai reikšmingai neveikė </w:t>
      </w:r>
      <w:proofErr w:type="spellStart"/>
      <w:r w:rsidRPr="007203A0">
        <w:rPr>
          <w:snapToGrid/>
          <w:szCs w:val="22"/>
          <w:lang w:val="lt-LT"/>
        </w:rPr>
        <w:t>digoksino</w:t>
      </w:r>
      <w:proofErr w:type="spellEnd"/>
      <w:r w:rsidRPr="007203A0">
        <w:rPr>
          <w:snapToGrid/>
          <w:szCs w:val="22"/>
          <w:lang w:val="lt-LT"/>
        </w:rPr>
        <w:t xml:space="preserve"> farmakokinetikos.</w:t>
      </w:r>
    </w:p>
    <w:p w14:paraId="7AF7E982"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13C606F5"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Geriamieji kontraceptikai</w:t>
      </w:r>
    </w:p>
    <w:p w14:paraId="2F0599AE"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Susidarius </w:t>
      </w:r>
      <w:proofErr w:type="spellStart"/>
      <w:r w:rsidRPr="007203A0">
        <w:rPr>
          <w:snapToGrid/>
          <w:szCs w:val="22"/>
          <w:lang w:val="lt-LT"/>
        </w:rPr>
        <w:t>pusiausvyrinei</w:t>
      </w:r>
      <w:proofErr w:type="spellEnd"/>
      <w:r w:rsidRPr="007203A0">
        <w:rPr>
          <w:snapToGrid/>
          <w:szCs w:val="22"/>
          <w:lang w:val="lt-LT"/>
        </w:rPr>
        <w:t xml:space="preserve"> koncentracijai, </w:t>
      </w:r>
      <w:proofErr w:type="spellStart"/>
      <w:r w:rsidRPr="007203A0">
        <w:rPr>
          <w:snapToGrid/>
          <w:szCs w:val="22"/>
          <w:lang w:val="lt-LT"/>
        </w:rPr>
        <w:t>tadalafilis</w:t>
      </w:r>
      <w:proofErr w:type="spellEnd"/>
      <w:r w:rsidRPr="007203A0">
        <w:rPr>
          <w:snapToGrid/>
          <w:szCs w:val="22"/>
          <w:lang w:val="lt-LT"/>
        </w:rPr>
        <w:t xml:space="preserve"> (40 mg vieną kartą per parą) padidino </w:t>
      </w:r>
      <w:proofErr w:type="spellStart"/>
      <w:r w:rsidRPr="007203A0">
        <w:rPr>
          <w:snapToGrid/>
          <w:position w:val="2"/>
          <w:szCs w:val="22"/>
          <w:lang w:val="lt-LT"/>
        </w:rPr>
        <w:t>etinilestradiolio</w:t>
      </w:r>
      <w:proofErr w:type="spellEnd"/>
      <w:r w:rsidRPr="007203A0">
        <w:rPr>
          <w:snapToGrid/>
          <w:position w:val="2"/>
          <w:szCs w:val="22"/>
          <w:lang w:val="lt-LT"/>
        </w:rPr>
        <w:t xml:space="preserve"> ekspoziciją (</w:t>
      </w:r>
      <w:r w:rsidRPr="007203A0">
        <w:rPr>
          <w:i/>
          <w:snapToGrid/>
          <w:position w:val="2"/>
          <w:szCs w:val="22"/>
          <w:lang w:val="lt-LT"/>
        </w:rPr>
        <w:t>AUC</w:t>
      </w:r>
      <w:r w:rsidRPr="007203A0">
        <w:rPr>
          <w:snapToGrid/>
          <w:position w:val="2"/>
          <w:szCs w:val="22"/>
          <w:lang w:val="lt-LT"/>
        </w:rPr>
        <w:t xml:space="preserve">) 26 %, o </w:t>
      </w:r>
      <w:r w:rsidRPr="007203A0">
        <w:rPr>
          <w:i/>
          <w:snapToGrid/>
          <w:position w:val="2"/>
          <w:szCs w:val="22"/>
          <w:lang w:val="lt-LT"/>
        </w:rPr>
        <w:t>C</w:t>
      </w:r>
      <w:proofErr w:type="spellStart"/>
      <w:r w:rsidRPr="00D8166E">
        <w:rPr>
          <w:i/>
          <w:lang w:val="lt-LT"/>
        </w:rPr>
        <w:t>max</w:t>
      </w:r>
      <w:proofErr w:type="spellEnd"/>
      <w:r w:rsidRPr="00D8166E">
        <w:rPr>
          <w:i/>
          <w:lang w:val="lt-LT"/>
        </w:rPr>
        <w:t xml:space="preserve"> </w:t>
      </w:r>
      <w:r w:rsidRPr="005F48B8">
        <w:rPr>
          <w:snapToGrid/>
          <w:position w:val="2"/>
          <w:szCs w:val="22"/>
          <w:lang w:val="lt-LT"/>
        </w:rPr>
        <w:t xml:space="preserve">70 %, palyginti su kartu su placebu vartojamais </w:t>
      </w:r>
      <w:r w:rsidRPr="008612DF">
        <w:rPr>
          <w:snapToGrid/>
          <w:szCs w:val="22"/>
          <w:lang w:val="lt-LT"/>
        </w:rPr>
        <w:t xml:space="preserve">geriamaisiais kontraceptikais. Statistiškai reikšmingo </w:t>
      </w:r>
      <w:proofErr w:type="spellStart"/>
      <w:r w:rsidRPr="008612DF">
        <w:rPr>
          <w:snapToGrid/>
          <w:szCs w:val="22"/>
          <w:lang w:val="lt-LT"/>
        </w:rPr>
        <w:t>tadalafilio</w:t>
      </w:r>
      <w:proofErr w:type="spellEnd"/>
      <w:r w:rsidRPr="008612DF">
        <w:rPr>
          <w:snapToGrid/>
          <w:szCs w:val="22"/>
          <w:lang w:val="lt-LT"/>
        </w:rPr>
        <w:t xml:space="preserve"> poveikio </w:t>
      </w:r>
      <w:proofErr w:type="spellStart"/>
      <w:r w:rsidRPr="008612DF">
        <w:rPr>
          <w:snapToGrid/>
          <w:szCs w:val="22"/>
          <w:lang w:val="lt-LT"/>
        </w:rPr>
        <w:t>levonorgestreliui</w:t>
      </w:r>
      <w:proofErr w:type="spellEnd"/>
      <w:r w:rsidRPr="008612DF">
        <w:rPr>
          <w:snapToGrid/>
          <w:szCs w:val="22"/>
          <w:lang w:val="lt-LT"/>
        </w:rPr>
        <w:t xml:space="preserve"> nebuvo, tai rodo, kad poveikis </w:t>
      </w:r>
      <w:proofErr w:type="spellStart"/>
      <w:r w:rsidRPr="008612DF">
        <w:rPr>
          <w:snapToGrid/>
          <w:szCs w:val="22"/>
          <w:lang w:val="lt-LT"/>
        </w:rPr>
        <w:t>etinilestradioliui</w:t>
      </w:r>
      <w:proofErr w:type="spellEnd"/>
      <w:r w:rsidRPr="008612DF">
        <w:rPr>
          <w:snapToGrid/>
          <w:szCs w:val="22"/>
          <w:lang w:val="lt-LT"/>
        </w:rPr>
        <w:t xml:space="preserve"> pasireiškia dėl to, kad </w:t>
      </w:r>
      <w:proofErr w:type="spellStart"/>
      <w:r w:rsidRPr="008612DF">
        <w:rPr>
          <w:snapToGrid/>
          <w:szCs w:val="22"/>
          <w:lang w:val="lt-LT"/>
        </w:rPr>
        <w:t>tadalafilis</w:t>
      </w:r>
      <w:proofErr w:type="spellEnd"/>
      <w:r w:rsidRPr="008612DF">
        <w:rPr>
          <w:snapToGrid/>
          <w:szCs w:val="22"/>
          <w:lang w:val="lt-LT"/>
        </w:rPr>
        <w:t xml:space="preserve"> slopina</w:t>
      </w:r>
      <w:r w:rsidRPr="002A25EF">
        <w:rPr>
          <w:snapToGrid/>
          <w:szCs w:val="22"/>
          <w:lang w:val="lt-LT"/>
        </w:rPr>
        <w:t xml:space="preserve"> sulfatų prijungimą žarnyne. Šio rei</w:t>
      </w:r>
      <w:r w:rsidRPr="0061385E">
        <w:rPr>
          <w:snapToGrid/>
          <w:szCs w:val="22"/>
          <w:lang w:val="lt-LT"/>
        </w:rPr>
        <w:t>škinio klinikinė reikšmė neaiški.</w:t>
      </w:r>
    </w:p>
    <w:p w14:paraId="04E5764A" w14:textId="77777777" w:rsidR="0041096E" w:rsidRPr="009840AD" w:rsidRDefault="0041096E" w:rsidP="0041096E">
      <w:pPr>
        <w:widowControl w:val="0"/>
        <w:tabs>
          <w:tab w:val="clear" w:pos="567"/>
        </w:tabs>
        <w:autoSpaceDE w:val="0"/>
        <w:autoSpaceDN w:val="0"/>
        <w:spacing w:line="240" w:lineRule="auto"/>
        <w:rPr>
          <w:snapToGrid/>
          <w:szCs w:val="22"/>
          <w:lang w:val="lt-LT"/>
        </w:rPr>
      </w:pPr>
    </w:p>
    <w:p w14:paraId="71F7B2B2" w14:textId="77777777" w:rsidR="0041096E" w:rsidRPr="00F1014D" w:rsidRDefault="0041096E" w:rsidP="0041096E">
      <w:pPr>
        <w:widowControl w:val="0"/>
        <w:tabs>
          <w:tab w:val="clear" w:pos="567"/>
        </w:tabs>
        <w:autoSpaceDE w:val="0"/>
        <w:autoSpaceDN w:val="0"/>
        <w:spacing w:before="1" w:line="240" w:lineRule="auto"/>
        <w:rPr>
          <w:i/>
          <w:snapToGrid/>
          <w:szCs w:val="22"/>
          <w:lang w:val="lt-LT"/>
        </w:rPr>
      </w:pPr>
      <w:proofErr w:type="spellStart"/>
      <w:r w:rsidRPr="00F1014D">
        <w:rPr>
          <w:i/>
          <w:snapToGrid/>
          <w:szCs w:val="22"/>
          <w:lang w:val="lt-LT"/>
        </w:rPr>
        <w:t>Terbutalinas</w:t>
      </w:r>
      <w:proofErr w:type="spellEnd"/>
    </w:p>
    <w:p w14:paraId="468F513F" w14:textId="77777777" w:rsidR="0041096E" w:rsidRPr="007203A0" w:rsidRDefault="0041096E" w:rsidP="0041096E">
      <w:pPr>
        <w:widowControl w:val="0"/>
        <w:tabs>
          <w:tab w:val="clear" w:pos="567"/>
        </w:tabs>
        <w:autoSpaceDE w:val="0"/>
        <w:autoSpaceDN w:val="0"/>
        <w:spacing w:before="7" w:line="240" w:lineRule="auto"/>
        <w:rPr>
          <w:snapToGrid/>
          <w:szCs w:val="22"/>
          <w:lang w:val="lt-LT"/>
        </w:rPr>
      </w:pPr>
      <w:r w:rsidRPr="007203A0">
        <w:rPr>
          <w:snapToGrid/>
          <w:position w:val="2"/>
          <w:szCs w:val="22"/>
          <w:lang w:val="lt-LT"/>
        </w:rPr>
        <w:t xml:space="preserve">Panašaus </w:t>
      </w:r>
      <w:r w:rsidRPr="007203A0">
        <w:rPr>
          <w:i/>
          <w:snapToGrid/>
          <w:position w:val="2"/>
          <w:szCs w:val="22"/>
          <w:lang w:val="lt-LT"/>
        </w:rPr>
        <w:t xml:space="preserve">AUC </w:t>
      </w:r>
      <w:r w:rsidRPr="007203A0">
        <w:rPr>
          <w:snapToGrid/>
          <w:position w:val="2"/>
          <w:szCs w:val="22"/>
          <w:lang w:val="lt-LT"/>
        </w:rPr>
        <w:t xml:space="preserve">ir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 xml:space="preserve">padidėjimo, kaip ir vartojant </w:t>
      </w:r>
      <w:proofErr w:type="spellStart"/>
      <w:r w:rsidRPr="007203A0">
        <w:rPr>
          <w:snapToGrid/>
          <w:position w:val="2"/>
          <w:szCs w:val="22"/>
          <w:lang w:val="lt-LT"/>
        </w:rPr>
        <w:t>etinilestradiolį</w:t>
      </w:r>
      <w:proofErr w:type="spellEnd"/>
      <w:r w:rsidRPr="007203A0">
        <w:rPr>
          <w:snapToGrid/>
          <w:position w:val="2"/>
          <w:szCs w:val="22"/>
          <w:lang w:val="lt-LT"/>
        </w:rPr>
        <w:t xml:space="preserve">, galima tikėtis per burną vartojant </w:t>
      </w:r>
      <w:proofErr w:type="spellStart"/>
      <w:r w:rsidRPr="007203A0">
        <w:rPr>
          <w:snapToGrid/>
          <w:szCs w:val="22"/>
          <w:lang w:val="lt-LT"/>
        </w:rPr>
        <w:t>terbutaliną</w:t>
      </w:r>
      <w:proofErr w:type="spellEnd"/>
      <w:r w:rsidRPr="007203A0">
        <w:rPr>
          <w:snapToGrid/>
          <w:szCs w:val="22"/>
          <w:lang w:val="lt-LT"/>
        </w:rPr>
        <w:t xml:space="preserve">, greičiausiai dėl to, kad </w:t>
      </w:r>
      <w:proofErr w:type="spellStart"/>
      <w:r w:rsidRPr="007203A0">
        <w:rPr>
          <w:snapToGrid/>
          <w:szCs w:val="22"/>
          <w:lang w:val="lt-LT"/>
        </w:rPr>
        <w:t>tadalafilis</w:t>
      </w:r>
      <w:proofErr w:type="spellEnd"/>
      <w:r w:rsidRPr="007203A0">
        <w:rPr>
          <w:snapToGrid/>
          <w:szCs w:val="22"/>
          <w:lang w:val="lt-LT"/>
        </w:rPr>
        <w:t xml:space="preserve"> slopina sulfatų prijungimą žarnyne. Šio reiškinio klinikinė reikšmė neaiški.</w:t>
      </w:r>
    </w:p>
    <w:p w14:paraId="032CBE06" w14:textId="77777777" w:rsidR="0041096E" w:rsidRPr="007203A0" w:rsidRDefault="0041096E" w:rsidP="0041096E">
      <w:pPr>
        <w:widowControl w:val="0"/>
        <w:tabs>
          <w:tab w:val="clear" w:pos="567"/>
        </w:tabs>
        <w:autoSpaceDE w:val="0"/>
        <w:autoSpaceDN w:val="0"/>
        <w:spacing w:before="8" w:line="240" w:lineRule="auto"/>
        <w:rPr>
          <w:snapToGrid/>
          <w:szCs w:val="22"/>
          <w:lang w:val="lt-LT"/>
        </w:rPr>
      </w:pPr>
    </w:p>
    <w:p w14:paraId="6682A160" w14:textId="77777777" w:rsidR="0041096E" w:rsidRPr="007203A0" w:rsidRDefault="0041096E" w:rsidP="0041096E">
      <w:pPr>
        <w:widowControl w:val="0"/>
        <w:numPr>
          <w:ilvl w:val="1"/>
          <w:numId w:val="6"/>
        </w:numPr>
        <w:tabs>
          <w:tab w:val="clear" w:pos="567"/>
          <w:tab w:val="left" w:pos="884"/>
          <w:tab w:val="left" w:pos="885"/>
        </w:tabs>
        <w:autoSpaceDE w:val="0"/>
        <w:autoSpaceDN w:val="0"/>
        <w:spacing w:before="1" w:line="240" w:lineRule="auto"/>
        <w:ind w:hanging="858"/>
        <w:outlineLvl w:val="0"/>
        <w:rPr>
          <w:b/>
          <w:bCs/>
          <w:snapToGrid/>
          <w:szCs w:val="22"/>
          <w:lang w:val="lt-LT"/>
        </w:rPr>
      </w:pPr>
      <w:r w:rsidRPr="007203A0">
        <w:rPr>
          <w:b/>
          <w:bCs/>
          <w:snapToGrid/>
          <w:szCs w:val="22"/>
          <w:lang w:val="lt-LT"/>
        </w:rPr>
        <w:lastRenderedPageBreak/>
        <w:t>Vaisingumas, nėštumo ir žindymo</w:t>
      </w:r>
      <w:r w:rsidRPr="007203A0">
        <w:rPr>
          <w:b/>
          <w:bCs/>
          <w:snapToGrid/>
          <w:spacing w:val="-3"/>
          <w:szCs w:val="22"/>
          <w:lang w:val="lt-LT"/>
        </w:rPr>
        <w:t xml:space="preserve"> </w:t>
      </w:r>
      <w:r w:rsidRPr="007203A0">
        <w:rPr>
          <w:b/>
          <w:bCs/>
          <w:snapToGrid/>
          <w:szCs w:val="22"/>
          <w:lang w:val="lt-LT"/>
        </w:rPr>
        <w:t>laikotarpis</w:t>
      </w:r>
    </w:p>
    <w:p w14:paraId="3C75DEBB" w14:textId="77777777" w:rsidR="0041096E" w:rsidRPr="00D8166E" w:rsidRDefault="0041096E" w:rsidP="0041096E">
      <w:pPr>
        <w:widowControl w:val="0"/>
        <w:tabs>
          <w:tab w:val="clear" w:pos="567"/>
        </w:tabs>
        <w:autoSpaceDE w:val="0"/>
        <w:autoSpaceDN w:val="0"/>
        <w:spacing w:before="7" w:line="240" w:lineRule="auto"/>
        <w:rPr>
          <w:b/>
          <w:lang w:val="lt-LT"/>
        </w:rPr>
      </w:pPr>
    </w:p>
    <w:p w14:paraId="10EE8A46"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Nėštumas</w:t>
      </w:r>
    </w:p>
    <w:p w14:paraId="2A3B46D8"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Duomenys apie </w:t>
      </w:r>
      <w:proofErr w:type="spellStart"/>
      <w:r w:rsidRPr="008612DF">
        <w:rPr>
          <w:snapToGrid/>
          <w:szCs w:val="22"/>
          <w:lang w:val="lt-LT"/>
        </w:rPr>
        <w:t>tadalafilio</w:t>
      </w:r>
      <w:proofErr w:type="spellEnd"/>
      <w:r w:rsidRPr="008612DF">
        <w:rPr>
          <w:snapToGrid/>
          <w:szCs w:val="22"/>
          <w:lang w:val="lt-LT"/>
        </w:rPr>
        <w:t xml:space="preserve"> vartojimą nėštumo metu riboti. Tyrimai su gyvūnais tiesioginio ar netiesioginio kenksmingo poveikio nėštumo eigai, e</w:t>
      </w:r>
      <w:r w:rsidRPr="002A25EF">
        <w:rPr>
          <w:snapToGrid/>
          <w:szCs w:val="22"/>
          <w:lang w:val="lt-LT"/>
        </w:rPr>
        <w:t xml:space="preserve">mbriono ar vaisiaus vystymuisi, gimdymui ar </w:t>
      </w:r>
      <w:proofErr w:type="spellStart"/>
      <w:r w:rsidRPr="002A25EF">
        <w:rPr>
          <w:snapToGrid/>
          <w:szCs w:val="22"/>
          <w:lang w:val="lt-LT"/>
        </w:rPr>
        <w:t>postnataliniam</w:t>
      </w:r>
      <w:proofErr w:type="spellEnd"/>
      <w:r w:rsidRPr="002A25EF">
        <w:rPr>
          <w:snapToGrid/>
          <w:szCs w:val="22"/>
          <w:lang w:val="lt-LT"/>
        </w:rPr>
        <w:t xml:space="preserve"> vystymuisi neparodė (žr. 5.3 skyrių). Dėl atsargumo nėštumo metu </w:t>
      </w:r>
      <w:proofErr w:type="spellStart"/>
      <w:r w:rsidRPr="002A25EF">
        <w:rPr>
          <w:snapToGrid/>
          <w:szCs w:val="22"/>
          <w:lang w:val="lt-LT"/>
        </w:rPr>
        <w:t>tadalafilio</w:t>
      </w:r>
      <w:proofErr w:type="spellEnd"/>
      <w:r w:rsidRPr="002A25EF">
        <w:rPr>
          <w:snapToGrid/>
          <w:szCs w:val="22"/>
          <w:lang w:val="lt-LT"/>
        </w:rPr>
        <w:t xml:space="preserve"> geriau nevartoti.</w:t>
      </w:r>
    </w:p>
    <w:p w14:paraId="3F1994C6" w14:textId="77777777" w:rsidR="0041096E" w:rsidRPr="0061385E" w:rsidRDefault="0041096E" w:rsidP="0041096E">
      <w:pPr>
        <w:widowControl w:val="0"/>
        <w:tabs>
          <w:tab w:val="clear" w:pos="567"/>
        </w:tabs>
        <w:autoSpaceDE w:val="0"/>
        <w:autoSpaceDN w:val="0"/>
        <w:spacing w:before="2" w:line="240" w:lineRule="auto"/>
        <w:rPr>
          <w:snapToGrid/>
          <w:szCs w:val="22"/>
          <w:lang w:val="lt-LT"/>
        </w:rPr>
      </w:pPr>
    </w:p>
    <w:p w14:paraId="536D54A2"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9840AD">
        <w:rPr>
          <w:snapToGrid/>
          <w:szCs w:val="22"/>
          <w:u w:val="single"/>
          <w:lang w:val="lt-LT"/>
        </w:rPr>
        <w:t>Žindymas</w:t>
      </w:r>
    </w:p>
    <w:p w14:paraId="2454A97D" w14:textId="77777777" w:rsidR="0041096E" w:rsidRPr="00F1014D" w:rsidRDefault="0041096E" w:rsidP="0041096E">
      <w:pPr>
        <w:widowControl w:val="0"/>
        <w:tabs>
          <w:tab w:val="clear" w:pos="567"/>
        </w:tabs>
        <w:autoSpaceDE w:val="0"/>
        <w:autoSpaceDN w:val="0"/>
        <w:spacing w:line="240" w:lineRule="auto"/>
        <w:rPr>
          <w:snapToGrid/>
          <w:szCs w:val="22"/>
          <w:lang w:val="lt-LT"/>
        </w:rPr>
      </w:pPr>
      <w:r w:rsidRPr="00F1014D">
        <w:rPr>
          <w:snapToGrid/>
          <w:szCs w:val="22"/>
          <w:lang w:val="lt-LT"/>
        </w:rPr>
        <w:t>Turimi farmakodinamikos/</w:t>
      </w:r>
      <w:proofErr w:type="spellStart"/>
      <w:r w:rsidRPr="00F1014D">
        <w:rPr>
          <w:snapToGrid/>
          <w:szCs w:val="22"/>
          <w:lang w:val="lt-LT"/>
        </w:rPr>
        <w:t>toksikologinių</w:t>
      </w:r>
      <w:proofErr w:type="spellEnd"/>
      <w:r w:rsidRPr="00F1014D">
        <w:rPr>
          <w:snapToGrid/>
          <w:szCs w:val="22"/>
          <w:lang w:val="lt-LT"/>
        </w:rPr>
        <w:t xml:space="preserve"> tyrimų su gyvūnais duomenys rodo, kad </w:t>
      </w:r>
      <w:proofErr w:type="spellStart"/>
      <w:r w:rsidRPr="00F1014D">
        <w:rPr>
          <w:snapToGrid/>
          <w:szCs w:val="22"/>
          <w:lang w:val="lt-LT"/>
        </w:rPr>
        <w:t>tadalafilio</w:t>
      </w:r>
      <w:proofErr w:type="spellEnd"/>
      <w:r w:rsidRPr="00F1014D">
        <w:rPr>
          <w:snapToGrid/>
          <w:szCs w:val="22"/>
          <w:lang w:val="lt-LT"/>
        </w:rPr>
        <w:t xml:space="preserve"> prasiskverbia į pieną. Rizikos žindomam kūdikiui paneigti negalima. </w:t>
      </w:r>
      <w:proofErr w:type="spellStart"/>
      <w:r w:rsidRPr="00F1014D">
        <w:rPr>
          <w:snapToGrid/>
          <w:szCs w:val="22"/>
          <w:lang w:val="lt-LT"/>
        </w:rPr>
        <w:t>Tadalafilio</w:t>
      </w:r>
      <w:proofErr w:type="spellEnd"/>
      <w:r w:rsidRPr="00F1014D">
        <w:rPr>
          <w:snapToGrid/>
          <w:szCs w:val="22"/>
          <w:lang w:val="lt-LT"/>
        </w:rPr>
        <w:t xml:space="preserve"> žindymo laikotarpiu vartoti negalima.</w:t>
      </w:r>
    </w:p>
    <w:p w14:paraId="5EF6E3B2"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408A01D9"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Vaisingumas</w:t>
      </w:r>
    </w:p>
    <w:p w14:paraId="0975C80A"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Pastebėtas poveikis šunims, kuris gali rodyti vaisingumo sutrikimą. Du vėlesni klinikiniai tyrimai parodė, kad žmonėms toks poveikis nėra tikėtinas, tačiau kai kuriems vyrams buvo pastebėtas spermatozoidų koncentracijos sumažėjimas (žr. 5.1 ir 5.3 skyrius).</w:t>
      </w:r>
    </w:p>
    <w:p w14:paraId="0687D1D2" w14:textId="77777777" w:rsidR="0041096E" w:rsidRPr="007203A0" w:rsidRDefault="0041096E" w:rsidP="0041096E">
      <w:pPr>
        <w:widowControl w:val="0"/>
        <w:tabs>
          <w:tab w:val="clear" w:pos="567"/>
        </w:tabs>
        <w:autoSpaceDE w:val="0"/>
        <w:autoSpaceDN w:val="0"/>
        <w:spacing w:before="5" w:line="240" w:lineRule="auto"/>
        <w:rPr>
          <w:snapToGrid/>
          <w:szCs w:val="22"/>
          <w:lang w:val="lt-LT"/>
        </w:rPr>
      </w:pPr>
    </w:p>
    <w:p w14:paraId="238922E2" w14:textId="77777777" w:rsidR="0041096E" w:rsidRPr="007203A0" w:rsidRDefault="0041096E" w:rsidP="0041096E">
      <w:pPr>
        <w:widowControl w:val="0"/>
        <w:numPr>
          <w:ilvl w:val="1"/>
          <w:numId w:val="6"/>
        </w:numPr>
        <w:tabs>
          <w:tab w:val="clear" w:pos="567"/>
          <w:tab w:val="left" w:pos="858"/>
          <w:tab w:val="left" w:pos="859"/>
        </w:tabs>
        <w:autoSpaceDE w:val="0"/>
        <w:autoSpaceDN w:val="0"/>
        <w:spacing w:line="240" w:lineRule="auto"/>
        <w:ind w:hanging="858"/>
        <w:outlineLvl w:val="0"/>
        <w:rPr>
          <w:b/>
          <w:bCs/>
          <w:snapToGrid/>
          <w:szCs w:val="22"/>
          <w:lang w:val="lt-LT"/>
        </w:rPr>
      </w:pPr>
      <w:r w:rsidRPr="007203A0">
        <w:rPr>
          <w:b/>
          <w:bCs/>
          <w:snapToGrid/>
          <w:szCs w:val="22"/>
          <w:lang w:val="lt-LT"/>
        </w:rPr>
        <w:t>Poveikis gebėjimui vairuoti ir valdyti</w:t>
      </w:r>
      <w:r w:rsidRPr="007203A0">
        <w:rPr>
          <w:b/>
          <w:bCs/>
          <w:snapToGrid/>
          <w:spacing w:val="-4"/>
          <w:szCs w:val="22"/>
          <w:lang w:val="lt-LT"/>
        </w:rPr>
        <w:t xml:space="preserve"> </w:t>
      </w:r>
      <w:r w:rsidRPr="007203A0">
        <w:rPr>
          <w:b/>
          <w:bCs/>
          <w:snapToGrid/>
          <w:szCs w:val="22"/>
          <w:lang w:val="lt-LT"/>
        </w:rPr>
        <w:t>mechanizmus</w:t>
      </w:r>
    </w:p>
    <w:p w14:paraId="5F0BF76A" w14:textId="77777777" w:rsidR="0041096E" w:rsidRPr="00D8166E" w:rsidRDefault="0041096E" w:rsidP="0041096E">
      <w:pPr>
        <w:widowControl w:val="0"/>
        <w:tabs>
          <w:tab w:val="clear" w:pos="567"/>
        </w:tabs>
        <w:autoSpaceDE w:val="0"/>
        <w:autoSpaceDN w:val="0"/>
        <w:spacing w:before="7" w:line="240" w:lineRule="auto"/>
        <w:rPr>
          <w:b/>
          <w:lang w:val="lt-LT"/>
        </w:rPr>
      </w:pPr>
    </w:p>
    <w:p w14:paraId="691F8A00" w14:textId="77777777" w:rsidR="0041096E" w:rsidRPr="009840AD"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Tadalafil</w:t>
      </w:r>
      <w:proofErr w:type="spellEnd"/>
      <w:r w:rsidRPr="005F48B8">
        <w:rPr>
          <w:snapToGrid/>
          <w:szCs w:val="22"/>
          <w:lang w:val="lt-LT"/>
        </w:rPr>
        <w:t xml:space="preserve"> AOP gebėjimo vairuoti ir valdyti mechanizmus neveikia arba veikia nereikšmingai. Nors klinikinių ty</w:t>
      </w:r>
      <w:r w:rsidRPr="008612DF">
        <w:rPr>
          <w:snapToGrid/>
          <w:szCs w:val="22"/>
          <w:lang w:val="lt-LT"/>
        </w:rPr>
        <w:t xml:space="preserve">rimų metu </w:t>
      </w:r>
      <w:proofErr w:type="spellStart"/>
      <w:r w:rsidRPr="008612DF">
        <w:rPr>
          <w:snapToGrid/>
          <w:szCs w:val="22"/>
          <w:lang w:val="lt-LT"/>
        </w:rPr>
        <w:t>tadalafilio</w:t>
      </w:r>
      <w:proofErr w:type="spellEnd"/>
      <w:r w:rsidRPr="008612DF">
        <w:rPr>
          <w:snapToGrid/>
          <w:szCs w:val="22"/>
          <w:lang w:val="lt-LT"/>
        </w:rPr>
        <w:t xml:space="preserve"> ar placebo vartojusiems vyrams </w:t>
      </w:r>
      <w:r w:rsidRPr="002A25EF">
        <w:rPr>
          <w:snapToGrid/>
          <w:szCs w:val="22"/>
          <w:lang w:val="lt-LT"/>
        </w:rPr>
        <w:t xml:space="preserve">svaigulio </w:t>
      </w:r>
      <w:r w:rsidRPr="0061385E">
        <w:rPr>
          <w:snapToGrid/>
          <w:szCs w:val="22"/>
          <w:lang w:val="lt-LT"/>
        </w:rPr>
        <w:t xml:space="preserve">dažnis buvo panašus, vis dėlto pacientą reikia įspėti, kad prieš vairavimą ir mechanizmų valdymą jis turi žinoti, kaip į </w:t>
      </w:r>
      <w:proofErr w:type="spellStart"/>
      <w:r w:rsidRPr="0061385E">
        <w:rPr>
          <w:snapToGrid/>
          <w:szCs w:val="22"/>
          <w:lang w:val="lt-LT"/>
        </w:rPr>
        <w:t>Tadalafil</w:t>
      </w:r>
      <w:proofErr w:type="spellEnd"/>
      <w:r w:rsidRPr="0061385E">
        <w:rPr>
          <w:snapToGrid/>
          <w:szCs w:val="22"/>
          <w:lang w:val="lt-LT"/>
        </w:rPr>
        <w:t xml:space="preserve"> AOP reaguo</w:t>
      </w:r>
      <w:r w:rsidRPr="009840AD">
        <w:rPr>
          <w:snapToGrid/>
          <w:szCs w:val="22"/>
          <w:lang w:val="lt-LT"/>
        </w:rPr>
        <w:t>ja.</w:t>
      </w:r>
    </w:p>
    <w:p w14:paraId="79FE22CC" w14:textId="77777777" w:rsidR="0041096E" w:rsidRPr="00F1014D" w:rsidRDefault="0041096E" w:rsidP="0041096E">
      <w:pPr>
        <w:widowControl w:val="0"/>
        <w:tabs>
          <w:tab w:val="clear" w:pos="567"/>
        </w:tabs>
        <w:autoSpaceDE w:val="0"/>
        <w:autoSpaceDN w:val="0"/>
        <w:spacing w:before="5" w:line="240" w:lineRule="auto"/>
        <w:rPr>
          <w:snapToGrid/>
          <w:szCs w:val="22"/>
          <w:lang w:val="lt-LT"/>
        </w:rPr>
      </w:pPr>
    </w:p>
    <w:p w14:paraId="2589F588" w14:textId="77777777" w:rsidR="0041096E" w:rsidRPr="007203A0" w:rsidRDefault="0041096E" w:rsidP="0041096E">
      <w:pPr>
        <w:widowControl w:val="0"/>
        <w:numPr>
          <w:ilvl w:val="1"/>
          <w:numId w:val="6"/>
        </w:numPr>
        <w:tabs>
          <w:tab w:val="clear" w:pos="567"/>
          <w:tab w:val="left" w:pos="884"/>
          <w:tab w:val="left" w:pos="885"/>
        </w:tabs>
        <w:autoSpaceDE w:val="0"/>
        <w:autoSpaceDN w:val="0"/>
        <w:spacing w:line="240" w:lineRule="auto"/>
        <w:ind w:hanging="858"/>
        <w:outlineLvl w:val="0"/>
        <w:rPr>
          <w:b/>
          <w:bCs/>
          <w:snapToGrid/>
          <w:szCs w:val="22"/>
          <w:lang w:val="lt-LT"/>
        </w:rPr>
      </w:pPr>
      <w:r w:rsidRPr="00F1014D">
        <w:rPr>
          <w:b/>
          <w:bCs/>
          <w:snapToGrid/>
          <w:szCs w:val="22"/>
          <w:lang w:val="lt-LT"/>
        </w:rPr>
        <w:t>Nepageidaujamas</w:t>
      </w:r>
      <w:r w:rsidRPr="007203A0">
        <w:rPr>
          <w:b/>
          <w:bCs/>
          <w:snapToGrid/>
          <w:spacing w:val="-1"/>
          <w:szCs w:val="22"/>
          <w:lang w:val="lt-LT"/>
        </w:rPr>
        <w:t xml:space="preserve"> </w:t>
      </w:r>
      <w:r w:rsidRPr="007203A0">
        <w:rPr>
          <w:b/>
          <w:bCs/>
          <w:snapToGrid/>
          <w:szCs w:val="22"/>
          <w:lang w:val="lt-LT"/>
        </w:rPr>
        <w:t>poveikis</w:t>
      </w:r>
    </w:p>
    <w:p w14:paraId="389D1AFA" w14:textId="77777777" w:rsidR="0041096E" w:rsidRPr="00D8166E" w:rsidRDefault="0041096E" w:rsidP="0041096E">
      <w:pPr>
        <w:widowControl w:val="0"/>
        <w:tabs>
          <w:tab w:val="clear" w:pos="567"/>
        </w:tabs>
        <w:autoSpaceDE w:val="0"/>
        <w:autoSpaceDN w:val="0"/>
        <w:spacing w:before="5" w:line="240" w:lineRule="auto"/>
        <w:rPr>
          <w:b/>
          <w:lang w:val="lt-LT"/>
        </w:rPr>
      </w:pPr>
    </w:p>
    <w:p w14:paraId="7E20C7FA"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Saugumo duomenų santrauka</w:t>
      </w:r>
    </w:p>
    <w:p w14:paraId="4AA4B5E2" w14:textId="77777777" w:rsidR="0041096E" w:rsidRPr="0061385E" w:rsidRDefault="0041096E" w:rsidP="0041096E">
      <w:pPr>
        <w:widowControl w:val="0"/>
        <w:tabs>
          <w:tab w:val="clear" w:pos="567"/>
        </w:tabs>
        <w:autoSpaceDE w:val="0"/>
        <w:autoSpaceDN w:val="0"/>
        <w:spacing w:before="2" w:line="240" w:lineRule="auto"/>
        <w:rPr>
          <w:snapToGrid/>
          <w:szCs w:val="22"/>
          <w:lang w:val="lt-LT"/>
        </w:rPr>
      </w:pPr>
      <w:r w:rsidRPr="005F48B8">
        <w:rPr>
          <w:snapToGrid/>
          <w:szCs w:val="22"/>
          <w:lang w:val="lt-LT"/>
        </w:rPr>
        <w:t xml:space="preserve">Nepageidaujamos reakcijos, apie kurias buvo pranešta dažniausiai, pasireiškusios </w:t>
      </w:r>
      <w:r w:rsidRPr="00D8166E">
        <w:rPr>
          <w:lang w:val="lt-LT"/>
        </w:rPr>
        <w:t></w:t>
      </w:r>
      <w:r w:rsidRPr="005F48B8">
        <w:rPr>
          <w:snapToGrid/>
          <w:szCs w:val="22"/>
          <w:lang w:val="lt-LT"/>
        </w:rPr>
        <w:t xml:space="preserve"> 10 </w:t>
      </w:r>
      <w:r w:rsidRPr="00D8166E">
        <w:rPr>
          <w:lang w:val="lt-LT"/>
        </w:rPr>
        <w:t></w:t>
      </w:r>
      <w:r w:rsidRPr="005F48B8">
        <w:rPr>
          <w:snapToGrid/>
          <w:szCs w:val="22"/>
          <w:lang w:val="lt-LT"/>
        </w:rPr>
        <w:t xml:space="preserve"> pacientų iš 40</w:t>
      </w:r>
      <w:r w:rsidRPr="008612DF">
        <w:rPr>
          <w:snapToGrid/>
          <w:szCs w:val="22"/>
          <w:lang w:val="lt-LT"/>
        </w:rPr>
        <w:t> </w:t>
      </w:r>
      <w:r w:rsidRPr="0061385E">
        <w:rPr>
          <w:snapToGrid/>
          <w:szCs w:val="22"/>
          <w:lang w:val="lt-LT"/>
        </w:rPr>
        <w:t xml:space="preserve">mg </w:t>
      </w:r>
      <w:proofErr w:type="spellStart"/>
      <w:r w:rsidRPr="0061385E">
        <w:rPr>
          <w:snapToGrid/>
          <w:szCs w:val="22"/>
          <w:lang w:val="lt-LT"/>
        </w:rPr>
        <w:t>tadalafilio</w:t>
      </w:r>
      <w:proofErr w:type="spellEnd"/>
      <w:r w:rsidRPr="0061385E">
        <w:rPr>
          <w:snapToGrid/>
          <w:szCs w:val="22"/>
          <w:lang w:val="lt-LT"/>
        </w:rPr>
        <w:t xml:space="preserve"> doze gydytos grupės, buvo galvos skausmas, pykinimas, nugaros skausmas, dispepsija, trumpalaikis veido ir kaklo paraudimas, </w:t>
      </w:r>
      <w:proofErr w:type="spellStart"/>
      <w:r w:rsidRPr="0061385E">
        <w:rPr>
          <w:snapToGrid/>
          <w:szCs w:val="22"/>
          <w:lang w:val="lt-LT"/>
        </w:rPr>
        <w:t>mialgija</w:t>
      </w:r>
      <w:proofErr w:type="spellEnd"/>
      <w:r w:rsidRPr="0061385E">
        <w:rPr>
          <w:snapToGrid/>
          <w:szCs w:val="22"/>
          <w:lang w:val="lt-LT"/>
        </w:rPr>
        <w:t xml:space="preserve">, </w:t>
      </w:r>
      <w:proofErr w:type="spellStart"/>
      <w:r w:rsidRPr="0061385E">
        <w:rPr>
          <w:snapToGrid/>
          <w:szCs w:val="22"/>
          <w:lang w:val="lt-LT"/>
        </w:rPr>
        <w:t>nazofaringitas</w:t>
      </w:r>
      <w:proofErr w:type="spellEnd"/>
      <w:r w:rsidRPr="0061385E">
        <w:rPr>
          <w:snapToGrid/>
          <w:szCs w:val="22"/>
          <w:lang w:val="lt-LT"/>
        </w:rPr>
        <w:t xml:space="preserve"> ir galūnių skausmas.</w:t>
      </w:r>
    </w:p>
    <w:p w14:paraId="2BE286E1"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Stebėtos nepageidaujamos reakcijos buvo laikinos ir paprastai lengvos arba vidutinio sunkumo. Duomenys apie nepageidaujamas reakcijas vyresniems negu 75 metų pacientams yra riboti.</w:t>
      </w:r>
    </w:p>
    <w:p w14:paraId="2C5D2F2B" w14:textId="77777777" w:rsidR="0041096E" w:rsidRPr="00D8166E" w:rsidRDefault="0041096E" w:rsidP="0041096E">
      <w:pPr>
        <w:widowControl w:val="0"/>
        <w:tabs>
          <w:tab w:val="clear" w:pos="567"/>
        </w:tabs>
        <w:autoSpaceDE w:val="0"/>
        <w:autoSpaceDN w:val="0"/>
        <w:spacing w:before="10" w:line="240" w:lineRule="auto"/>
        <w:rPr>
          <w:lang w:val="lt-LT"/>
        </w:rPr>
      </w:pPr>
    </w:p>
    <w:p w14:paraId="0DE75EC3"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Pagrindžiamojo placebu kontroliuojamojo PAH gydymo </w:t>
      </w:r>
      <w:proofErr w:type="spellStart"/>
      <w:r w:rsidRPr="005F48B8">
        <w:rPr>
          <w:snapToGrid/>
          <w:szCs w:val="22"/>
          <w:lang w:val="lt-LT"/>
        </w:rPr>
        <w:t>tadalafiliu</w:t>
      </w:r>
      <w:proofErr w:type="spellEnd"/>
      <w:r w:rsidRPr="005F48B8">
        <w:rPr>
          <w:snapToGrid/>
          <w:szCs w:val="22"/>
          <w:lang w:val="lt-LT"/>
        </w:rPr>
        <w:t xml:space="preserve"> tyrimo duomenimis, </w:t>
      </w:r>
      <w:proofErr w:type="spellStart"/>
      <w:r w:rsidRPr="008612DF">
        <w:rPr>
          <w:snapToGrid/>
          <w:szCs w:val="22"/>
          <w:lang w:val="lt-LT"/>
        </w:rPr>
        <w:t>tadalafiliu</w:t>
      </w:r>
      <w:proofErr w:type="spellEnd"/>
      <w:r w:rsidRPr="008612DF">
        <w:rPr>
          <w:snapToGrid/>
          <w:szCs w:val="22"/>
          <w:lang w:val="lt-LT"/>
        </w:rPr>
        <w:t xml:space="preserve"> </w:t>
      </w:r>
      <w:r w:rsidRPr="002A25EF">
        <w:rPr>
          <w:snapToGrid/>
          <w:szCs w:val="22"/>
          <w:lang w:val="lt-LT"/>
        </w:rPr>
        <w:t>iš viso buvo gydyti 323 pacientai, kurie vartojo nuo 2,5</w:t>
      </w:r>
      <w:r w:rsidRPr="0061385E">
        <w:rPr>
          <w:snapToGrid/>
          <w:szCs w:val="22"/>
          <w:lang w:val="lt-LT"/>
        </w:rPr>
        <w:t> </w:t>
      </w:r>
      <w:r w:rsidRPr="009840AD">
        <w:rPr>
          <w:snapToGrid/>
          <w:szCs w:val="22"/>
          <w:lang w:val="lt-LT"/>
        </w:rPr>
        <w:t>mg iki 40 mg dozes vieną kartą per parą, ir 82 pacientai v</w:t>
      </w:r>
      <w:r w:rsidRPr="00F1014D">
        <w:rPr>
          <w:snapToGrid/>
          <w:szCs w:val="22"/>
          <w:lang w:val="lt-LT"/>
        </w:rPr>
        <w:t>artojo placebą. Gydymas truko 16 savaičių. Bendras pasitraukimo iš tyrimo dėl nepageidaujamų reiškinių dažnis buvo mažas (</w:t>
      </w:r>
      <w:proofErr w:type="spellStart"/>
      <w:r w:rsidRPr="007203A0">
        <w:rPr>
          <w:snapToGrid/>
          <w:szCs w:val="22"/>
          <w:lang w:val="lt-LT"/>
        </w:rPr>
        <w:t>tadalafilio</w:t>
      </w:r>
      <w:proofErr w:type="spellEnd"/>
      <w:r w:rsidRPr="007203A0">
        <w:rPr>
          <w:snapToGrid/>
          <w:szCs w:val="22"/>
          <w:lang w:val="lt-LT"/>
        </w:rPr>
        <w:t xml:space="preserve"> 11 %, placebo 16 %). Trys šimtai penkiasdešimt septyni (357) tiriamieji, kurie baigė pagrindžiamąjį tyrimą, toliau dalyvavo ilgalaikiame tęstiniame tyrime. Buvo tirtos 20 mg ir 40 mg dozės vieną kartą per parą.</w:t>
      </w:r>
    </w:p>
    <w:p w14:paraId="002B2607"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125E7D1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Nepageidaujamų reakcijų suvestinė lentelėje</w:t>
      </w:r>
    </w:p>
    <w:p w14:paraId="4DF184B8"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Toliau esančioje lentelėje išvardytos nepageidaujamos reakcijos, kurios placebu kontroliuojamojo tyrimo metu pasireiškė pacientams, kurie sirgo PAH ir buvo gydyti </w:t>
      </w:r>
      <w:proofErr w:type="spellStart"/>
      <w:r w:rsidRPr="007203A0">
        <w:rPr>
          <w:snapToGrid/>
          <w:szCs w:val="22"/>
          <w:lang w:val="lt-LT"/>
        </w:rPr>
        <w:t>tadalafiliu</w:t>
      </w:r>
      <w:proofErr w:type="spellEnd"/>
      <w:r w:rsidRPr="007203A0">
        <w:rPr>
          <w:snapToGrid/>
          <w:szCs w:val="22"/>
          <w:lang w:val="lt-LT"/>
        </w:rPr>
        <w:t xml:space="preserve">. Be to, į lentelę įtrauktos kai kurios nepageidaujamos reakcijos, kurios pasireiškė vyrų erekcijos funkcijos sutrikimo gydymo </w:t>
      </w:r>
      <w:proofErr w:type="spellStart"/>
      <w:r w:rsidRPr="007203A0">
        <w:rPr>
          <w:snapToGrid/>
          <w:szCs w:val="22"/>
          <w:lang w:val="lt-LT"/>
        </w:rPr>
        <w:t>tadalafiliu</w:t>
      </w:r>
      <w:proofErr w:type="spellEnd"/>
      <w:r w:rsidRPr="007203A0">
        <w:rPr>
          <w:snapToGrid/>
          <w:szCs w:val="22"/>
          <w:lang w:val="lt-LT"/>
        </w:rPr>
        <w:t xml:space="preserve"> klinikinių tyrimų metu ir (arba) po vaistinio preparato patekimo į rinką. Šie reiškiniai buvo priskirti arba prie dažnio „nežinomas“, kadangi PAH sergantiems pacientams dažnis negali būti įvertintas pagal turimus duomenis, arba prie dažnio, paremto pagrindžiamojo placebu kontroliuojamo </w:t>
      </w:r>
      <w:proofErr w:type="spellStart"/>
      <w:r w:rsidRPr="007203A0">
        <w:rPr>
          <w:snapToGrid/>
          <w:szCs w:val="22"/>
          <w:lang w:val="lt-LT"/>
        </w:rPr>
        <w:t>tadala</w:t>
      </w:r>
      <w:r>
        <w:rPr>
          <w:snapToGrid/>
          <w:szCs w:val="22"/>
          <w:lang w:val="lt-LT"/>
        </w:rPr>
        <w:t>filio</w:t>
      </w:r>
      <w:proofErr w:type="spellEnd"/>
      <w:r w:rsidRPr="005F48B8">
        <w:rPr>
          <w:snapToGrid/>
          <w:szCs w:val="22"/>
          <w:lang w:val="lt-LT"/>
        </w:rPr>
        <w:t xml:space="preserve"> tyrimo klinikinio tyrimo duomenimis.</w:t>
      </w:r>
    </w:p>
    <w:p w14:paraId="457D52E1" w14:textId="77777777" w:rsidR="0041096E" w:rsidRPr="008612DF" w:rsidRDefault="0041096E" w:rsidP="0041096E">
      <w:pPr>
        <w:widowControl w:val="0"/>
        <w:tabs>
          <w:tab w:val="clear" w:pos="567"/>
        </w:tabs>
        <w:autoSpaceDE w:val="0"/>
        <w:autoSpaceDN w:val="0"/>
        <w:spacing w:before="2" w:line="240" w:lineRule="auto"/>
        <w:rPr>
          <w:snapToGrid/>
          <w:szCs w:val="22"/>
          <w:lang w:val="lt-LT"/>
        </w:rPr>
      </w:pPr>
    </w:p>
    <w:p w14:paraId="73E14B17"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2A25EF">
        <w:rPr>
          <w:snapToGrid/>
          <w:szCs w:val="22"/>
          <w:lang w:val="lt-LT"/>
        </w:rPr>
        <w:t>Dažnio apibūdinimai: labai dažni (</w:t>
      </w:r>
      <w:r w:rsidRPr="007203A0">
        <w:rPr>
          <w:rFonts w:ascii="Symbol" w:hAnsi="Symbol"/>
          <w:snapToGrid/>
          <w:szCs w:val="22"/>
          <w:lang w:val="lt-LT"/>
        </w:rPr>
        <w:t></w:t>
      </w:r>
      <w:r w:rsidRPr="005F48B8">
        <w:rPr>
          <w:snapToGrid/>
          <w:szCs w:val="22"/>
          <w:lang w:val="lt-LT"/>
        </w:rPr>
        <w:t xml:space="preserve"> 1/10), dažni (nuo </w:t>
      </w:r>
      <w:r w:rsidRPr="007203A0">
        <w:rPr>
          <w:rFonts w:ascii="Symbol" w:hAnsi="Symbol"/>
          <w:snapToGrid/>
          <w:szCs w:val="22"/>
          <w:lang w:val="lt-LT"/>
        </w:rPr>
        <w:t></w:t>
      </w:r>
      <w:r w:rsidRPr="005F48B8">
        <w:rPr>
          <w:snapToGrid/>
          <w:szCs w:val="22"/>
          <w:lang w:val="lt-LT"/>
        </w:rPr>
        <w:t xml:space="preserve"> 1/100 iki &lt; 1/10), nedažni (nuo </w:t>
      </w:r>
      <w:r w:rsidRPr="007203A0">
        <w:rPr>
          <w:rFonts w:ascii="Symbol" w:hAnsi="Symbol"/>
          <w:snapToGrid/>
          <w:szCs w:val="22"/>
          <w:lang w:val="lt-LT"/>
        </w:rPr>
        <w:t></w:t>
      </w:r>
      <w:r w:rsidRPr="005F48B8">
        <w:rPr>
          <w:snapToGrid/>
          <w:szCs w:val="22"/>
          <w:lang w:val="lt-LT"/>
        </w:rPr>
        <w:t xml:space="preserve"> 1/1 000 iki</w:t>
      </w:r>
    </w:p>
    <w:p w14:paraId="250AAAE4" w14:textId="77777777" w:rsidR="0041096E" w:rsidRPr="0061385E" w:rsidRDefault="0041096E" w:rsidP="0041096E">
      <w:pPr>
        <w:widowControl w:val="0"/>
        <w:tabs>
          <w:tab w:val="clear" w:pos="567"/>
        </w:tabs>
        <w:autoSpaceDE w:val="0"/>
        <w:autoSpaceDN w:val="0"/>
        <w:spacing w:after="7" w:line="240" w:lineRule="auto"/>
        <w:rPr>
          <w:snapToGrid/>
          <w:szCs w:val="22"/>
          <w:lang w:val="lt-LT"/>
        </w:rPr>
      </w:pPr>
      <w:r w:rsidRPr="005F48B8">
        <w:rPr>
          <w:snapToGrid/>
          <w:szCs w:val="22"/>
          <w:lang w:val="lt-LT"/>
        </w:rPr>
        <w:t xml:space="preserve">&lt; 1/100), reti (nuo </w:t>
      </w:r>
      <w:r w:rsidRPr="007203A0">
        <w:rPr>
          <w:rFonts w:ascii="Symbol" w:hAnsi="Symbol"/>
          <w:snapToGrid/>
          <w:szCs w:val="22"/>
          <w:lang w:val="lt-LT"/>
        </w:rPr>
        <w:t></w:t>
      </w:r>
      <w:r w:rsidRPr="005F48B8">
        <w:rPr>
          <w:snapToGrid/>
          <w:szCs w:val="22"/>
          <w:lang w:val="lt-LT"/>
        </w:rPr>
        <w:t xml:space="preserve"> 1/10 000 iki &lt; 1/1 000), labai reti (&lt; 1/10 000) ir dažnis nežinomas (negali būti </w:t>
      </w:r>
      <w:r w:rsidRPr="002A25EF">
        <w:rPr>
          <w:snapToGrid/>
          <w:szCs w:val="22"/>
          <w:lang w:val="lt-LT"/>
        </w:rPr>
        <w:t xml:space="preserve"> apskaičiuotas </w:t>
      </w:r>
      <w:r w:rsidRPr="0061385E">
        <w:rPr>
          <w:snapToGrid/>
          <w:szCs w:val="22"/>
          <w:lang w:val="lt-LT"/>
        </w:rPr>
        <w:t>pagal turimus duomenis).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2"/>
        <w:gridCol w:w="1810"/>
        <w:gridCol w:w="1812"/>
        <w:gridCol w:w="1812"/>
        <w:gridCol w:w="1814"/>
      </w:tblGrid>
      <w:tr w:rsidR="0041096E" w:rsidRPr="00F86E80" w14:paraId="74034746" w14:textId="77777777" w:rsidTr="00230B24">
        <w:trPr>
          <w:trHeight w:val="657"/>
        </w:trPr>
        <w:tc>
          <w:tcPr>
            <w:tcW w:w="1000" w:type="pct"/>
          </w:tcPr>
          <w:p w14:paraId="254AB848" w14:textId="77777777" w:rsidR="0041096E" w:rsidRPr="009840AD" w:rsidRDefault="0041096E" w:rsidP="00230B24">
            <w:pPr>
              <w:widowControl w:val="0"/>
              <w:tabs>
                <w:tab w:val="clear" w:pos="567"/>
              </w:tabs>
              <w:autoSpaceDE w:val="0"/>
              <w:autoSpaceDN w:val="0"/>
              <w:spacing w:line="240" w:lineRule="auto"/>
              <w:rPr>
                <w:b/>
                <w:snapToGrid/>
                <w:szCs w:val="22"/>
                <w:lang w:val="lt-LT"/>
              </w:rPr>
            </w:pPr>
            <w:r w:rsidRPr="009840AD">
              <w:rPr>
                <w:b/>
                <w:snapToGrid/>
                <w:szCs w:val="22"/>
                <w:lang w:val="lt-LT"/>
              </w:rPr>
              <w:t>Labai dažni</w:t>
            </w:r>
          </w:p>
        </w:tc>
        <w:tc>
          <w:tcPr>
            <w:tcW w:w="999" w:type="pct"/>
          </w:tcPr>
          <w:p w14:paraId="3E8C78A0" w14:textId="77777777" w:rsidR="0041096E" w:rsidRPr="00F1014D" w:rsidRDefault="0041096E" w:rsidP="00230B24">
            <w:pPr>
              <w:widowControl w:val="0"/>
              <w:tabs>
                <w:tab w:val="clear" w:pos="567"/>
              </w:tabs>
              <w:autoSpaceDE w:val="0"/>
              <w:autoSpaceDN w:val="0"/>
              <w:spacing w:line="240" w:lineRule="auto"/>
              <w:rPr>
                <w:b/>
                <w:snapToGrid/>
                <w:szCs w:val="22"/>
                <w:lang w:val="lt-LT"/>
              </w:rPr>
            </w:pPr>
            <w:r w:rsidRPr="00F1014D">
              <w:rPr>
                <w:b/>
                <w:snapToGrid/>
                <w:szCs w:val="22"/>
                <w:lang w:val="lt-LT"/>
              </w:rPr>
              <w:t>Dažni</w:t>
            </w:r>
          </w:p>
        </w:tc>
        <w:tc>
          <w:tcPr>
            <w:tcW w:w="1000" w:type="pct"/>
          </w:tcPr>
          <w:p w14:paraId="2DFC5D21" w14:textId="77777777" w:rsidR="0041096E" w:rsidRPr="007203A0" w:rsidRDefault="0041096E" w:rsidP="00230B24">
            <w:pPr>
              <w:widowControl w:val="0"/>
              <w:tabs>
                <w:tab w:val="clear" w:pos="567"/>
              </w:tabs>
              <w:autoSpaceDE w:val="0"/>
              <w:autoSpaceDN w:val="0"/>
              <w:spacing w:line="240" w:lineRule="auto"/>
              <w:rPr>
                <w:b/>
                <w:snapToGrid/>
                <w:szCs w:val="22"/>
                <w:lang w:val="lt-LT"/>
              </w:rPr>
            </w:pPr>
            <w:r w:rsidRPr="007203A0">
              <w:rPr>
                <w:b/>
                <w:snapToGrid/>
                <w:szCs w:val="22"/>
                <w:lang w:val="lt-LT"/>
              </w:rPr>
              <w:t>Nedažni</w:t>
            </w:r>
          </w:p>
        </w:tc>
        <w:tc>
          <w:tcPr>
            <w:tcW w:w="1000" w:type="pct"/>
          </w:tcPr>
          <w:p w14:paraId="458D8E02" w14:textId="77777777" w:rsidR="0041096E" w:rsidRPr="007203A0" w:rsidRDefault="0041096E" w:rsidP="00230B24">
            <w:pPr>
              <w:widowControl w:val="0"/>
              <w:tabs>
                <w:tab w:val="clear" w:pos="567"/>
              </w:tabs>
              <w:autoSpaceDE w:val="0"/>
              <w:autoSpaceDN w:val="0"/>
              <w:spacing w:line="240" w:lineRule="auto"/>
              <w:rPr>
                <w:b/>
                <w:snapToGrid/>
                <w:szCs w:val="22"/>
                <w:lang w:val="lt-LT"/>
              </w:rPr>
            </w:pPr>
            <w:r w:rsidRPr="007203A0">
              <w:rPr>
                <w:b/>
                <w:snapToGrid/>
                <w:szCs w:val="22"/>
                <w:lang w:val="lt-LT"/>
              </w:rPr>
              <w:t>Reti</w:t>
            </w:r>
          </w:p>
        </w:tc>
        <w:tc>
          <w:tcPr>
            <w:tcW w:w="1001" w:type="pct"/>
          </w:tcPr>
          <w:p w14:paraId="628DC674" w14:textId="77777777" w:rsidR="0041096E" w:rsidRPr="00D8166E" w:rsidRDefault="0041096E" w:rsidP="00230B24">
            <w:pPr>
              <w:widowControl w:val="0"/>
              <w:tabs>
                <w:tab w:val="clear" w:pos="567"/>
              </w:tabs>
              <w:autoSpaceDE w:val="0"/>
              <w:autoSpaceDN w:val="0"/>
              <w:spacing w:before="2" w:line="240" w:lineRule="auto"/>
              <w:rPr>
                <w:b/>
                <w:lang w:val="lt-LT"/>
              </w:rPr>
            </w:pPr>
            <w:r w:rsidRPr="007203A0">
              <w:rPr>
                <w:b/>
                <w:snapToGrid/>
                <w:szCs w:val="22"/>
                <w:lang w:val="lt-LT"/>
              </w:rPr>
              <w:t xml:space="preserve">Dažnis nežinomas </w:t>
            </w:r>
            <w:r w:rsidRPr="00D8166E">
              <w:rPr>
                <w:b/>
                <w:position w:val="8"/>
                <w:lang w:val="lt-LT"/>
              </w:rPr>
              <w:t>1</w:t>
            </w:r>
          </w:p>
        </w:tc>
      </w:tr>
      <w:tr w:rsidR="0041096E" w:rsidRPr="00F86E80" w14:paraId="691F8D45" w14:textId="77777777" w:rsidTr="00230B24">
        <w:trPr>
          <w:trHeight w:val="253"/>
        </w:trPr>
        <w:tc>
          <w:tcPr>
            <w:tcW w:w="5000" w:type="pct"/>
            <w:gridSpan w:val="5"/>
          </w:tcPr>
          <w:p w14:paraId="3CD2414A"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Imuninės sistemos sutrikimai</w:t>
            </w:r>
          </w:p>
        </w:tc>
      </w:tr>
      <w:tr w:rsidR="0041096E" w:rsidRPr="00F86E80" w14:paraId="69986881" w14:textId="77777777" w:rsidTr="00230B24">
        <w:trPr>
          <w:trHeight w:val="757"/>
        </w:trPr>
        <w:tc>
          <w:tcPr>
            <w:tcW w:w="1000" w:type="pct"/>
          </w:tcPr>
          <w:p w14:paraId="7A7B84A7"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999" w:type="pct"/>
          </w:tcPr>
          <w:p w14:paraId="6F9CECC8"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Padidėjusio jautrumo</w:t>
            </w:r>
          </w:p>
          <w:p w14:paraId="7234A712" w14:textId="77777777" w:rsidR="0041096E" w:rsidRPr="00D8166E" w:rsidRDefault="0041096E" w:rsidP="00230B24">
            <w:pPr>
              <w:widowControl w:val="0"/>
              <w:tabs>
                <w:tab w:val="clear" w:pos="567"/>
              </w:tabs>
              <w:autoSpaceDE w:val="0"/>
              <w:autoSpaceDN w:val="0"/>
              <w:spacing w:line="240" w:lineRule="auto"/>
              <w:rPr>
                <w:lang w:val="lt-LT"/>
              </w:rPr>
            </w:pPr>
            <w:r w:rsidRPr="002A25EF">
              <w:rPr>
                <w:snapToGrid/>
                <w:szCs w:val="22"/>
                <w:lang w:val="lt-LT"/>
              </w:rPr>
              <w:t xml:space="preserve">reakcijos </w:t>
            </w:r>
            <w:r w:rsidRPr="00D8166E">
              <w:rPr>
                <w:position w:val="8"/>
                <w:lang w:val="lt-LT"/>
              </w:rPr>
              <w:t>5</w:t>
            </w:r>
          </w:p>
        </w:tc>
        <w:tc>
          <w:tcPr>
            <w:tcW w:w="1000" w:type="pct"/>
          </w:tcPr>
          <w:p w14:paraId="68FA4576"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1000" w:type="pct"/>
          </w:tcPr>
          <w:p w14:paraId="6447BDAB" w14:textId="77777777" w:rsidR="0041096E" w:rsidRPr="008612DF" w:rsidRDefault="0041096E" w:rsidP="00230B24">
            <w:pPr>
              <w:widowControl w:val="0"/>
              <w:tabs>
                <w:tab w:val="clear" w:pos="567"/>
              </w:tabs>
              <w:autoSpaceDE w:val="0"/>
              <w:autoSpaceDN w:val="0"/>
              <w:spacing w:line="240" w:lineRule="auto"/>
              <w:rPr>
                <w:snapToGrid/>
                <w:szCs w:val="22"/>
                <w:lang w:val="lt-LT"/>
              </w:rPr>
            </w:pPr>
          </w:p>
        </w:tc>
        <w:tc>
          <w:tcPr>
            <w:tcW w:w="1001" w:type="pct"/>
          </w:tcPr>
          <w:p w14:paraId="2F44485A" w14:textId="77777777" w:rsidR="0041096E" w:rsidRPr="002A25EF" w:rsidRDefault="0041096E" w:rsidP="00230B24">
            <w:pPr>
              <w:widowControl w:val="0"/>
              <w:tabs>
                <w:tab w:val="clear" w:pos="567"/>
              </w:tabs>
              <w:autoSpaceDE w:val="0"/>
              <w:autoSpaceDN w:val="0"/>
              <w:spacing w:line="240" w:lineRule="auto"/>
              <w:rPr>
                <w:snapToGrid/>
                <w:szCs w:val="22"/>
                <w:lang w:val="lt-LT"/>
              </w:rPr>
            </w:pPr>
            <w:proofErr w:type="spellStart"/>
            <w:r w:rsidRPr="002A25EF">
              <w:rPr>
                <w:snapToGrid/>
                <w:szCs w:val="22"/>
                <w:lang w:val="lt-LT"/>
              </w:rPr>
              <w:t>Angioedema</w:t>
            </w:r>
            <w:proofErr w:type="spellEnd"/>
          </w:p>
        </w:tc>
      </w:tr>
      <w:tr w:rsidR="0041096E" w:rsidRPr="00F86E80" w14:paraId="71E1E615" w14:textId="77777777" w:rsidTr="00230B24">
        <w:trPr>
          <w:trHeight w:val="659"/>
        </w:trPr>
        <w:tc>
          <w:tcPr>
            <w:tcW w:w="1000" w:type="pct"/>
          </w:tcPr>
          <w:p w14:paraId="16EE0577" w14:textId="77777777" w:rsidR="0041096E" w:rsidRPr="005F48B8" w:rsidRDefault="0041096E" w:rsidP="00230B24">
            <w:pPr>
              <w:widowControl w:val="0"/>
              <w:tabs>
                <w:tab w:val="clear" w:pos="567"/>
              </w:tabs>
              <w:autoSpaceDE w:val="0"/>
              <w:autoSpaceDN w:val="0"/>
              <w:spacing w:line="240" w:lineRule="auto"/>
              <w:rPr>
                <w:b/>
                <w:snapToGrid/>
                <w:szCs w:val="22"/>
                <w:lang w:val="lt-LT"/>
              </w:rPr>
            </w:pPr>
          </w:p>
        </w:tc>
        <w:tc>
          <w:tcPr>
            <w:tcW w:w="999" w:type="pct"/>
          </w:tcPr>
          <w:p w14:paraId="44546F96" w14:textId="77777777" w:rsidR="0041096E" w:rsidRPr="002A25EF" w:rsidRDefault="0041096E" w:rsidP="00230B24">
            <w:pPr>
              <w:widowControl w:val="0"/>
              <w:tabs>
                <w:tab w:val="clear" w:pos="567"/>
              </w:tabs>
              <w:autoSpaceDE w:val="0"/>
              <w:autoSpaceDN w:val="0"/>
              <w:spacing w:line="240" w:lineRule="auto"/>
              <w:rPr>
                <w:b/>
                <w:snapToGrid/>
                <w:szCs w:val="22"/>
                <w:lang w:val="lt-LT"/>
              </w:rPr>
            </w:pPr>
          </w:p>
        </w:tc>
        <w:tc>
          <w:tcPr>
            <w:tcW w:w="1000" w:type="pct"/>
          </w:tcPr>
          <w:p w14:paraId="7649A0A9" w14:textId="77777777" w:rsidR="0041096E" w:rsidRPr="0061385E" w:rsidRDefault="0041096E" w:rsidP="00230B24">
            <w:pPr>
              <w:widowControl w:val="0"/>
              <w:tabs>
                <w:tab w:val="clear" w:pos="567"/>
              </w:tabs>
              <w:autoSpaceDE w:val="0"/>
              <w:autoSpaceDN w:val="0"/>
              <w:spacing w:line="240" w:lineRule="auto"/>
              <w:rPr>
                <w:b/>
                <w:snapToGrid/>
                <w:szCs w:val="22"/>
                <w:lang w:val="lt-LT"/>
              </w:rPr>
            </w:pPr>
          </w:p>
        </w:tc>
        <w:tc>
          <w:tcPr>
            <w:tcW w:w="1000" w:type="pct"/>
          </w:tcPr>
          <w:p w14:paraId="01A56511" w14:textId="77777777" w:rsidR="0041096E" w:rsidRPr="009840AD" w:rsidRDefault="0041096E" w:rsidP="00230B24">
            <w:pPr>
              <w:widowControl w:val="0"/>
              <w:tabs>
                <w:tab w:val="clear" w:pos="567"/>
              </w:tabs>
              <w:autoSpaceDE w:val="0"/>
              <w:autoSpaceDN w:val="0"/>
              <w:spacing w:line="240" w:lineRule="auto"/>
              <w:rPr>
                <w:b/>
                <w:snapToGrid/>
                <w:szCs w:val="22"/>
                <w:lang w:val="lt-LT"/>
              </w:rPr>
            </w:pPr>
          </w:p>
        </w:tc>
        <w:tc>
          <w:tcPr>
            <w:tcW w:w="1001" w:type="pct"/>
          </w:tcPr>
          <w:p w14:paraId="4122DF6B" w14:textId="77777777" w:rsidR="0041096E" w:rsidRPr="00D8166E" w:rsidRDefault="0041096E" w:rsidP="00230B24">
            <w:pPr>
              <w:widowControl w:val="0"/>
              <w:tabs>
                <w:tab w:val="clear" w:pos="567"/>
              </w:tabs>
              <w:autoSpaceDE w:val="0"/>
              <w:autoSpaceDN w:val="0"/>
              <w:spacing w:line="240" w:lineRule="auto"/>
              <w:rPr>
                <w:b/>
                <w:lang w:val="lt-LT"/>
              </w:rPr>
            </w:pPr>
          </w:p>
        </w:tc>
      </w:tr>
      <w:tr w:rsidR="0041096E" w:rsidRPr="00F86E80" w14:paraId="20AB2471" w14:textId="77777777" w:rsidTr="00230B24">
        <w:trPr>
          <w:trHeight w:val="251"/>
        </w:trPr>
        <w:tc>
          <w:tcPr>
            <w:tcW w:w="5000" w:type="pct"/>
            <w:gridSpan w:val="5"/>
          </w:tcPr>
          <w:p w14:paraId="0244B39C"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Nervų sistemos sutrikimai</w:t>
            </w:r>
          </w:p>
        </w:tc>
      </w:tr>
      <w:tr w:rsidR="0041096E" w:rsidRPr="00F86E80" w14:paraId="26703F50" w14:textId="77777777" w:rsidTr="00230B24">
        <w:trPr>
          <w:trHeight w:val="1012"/>
        </w:trPr>
        <w:tc>
          <w:tcPr>
            <w:tcW w:w="1000" w:type="pct"/>
          </w:tcPr>
          <w:p w14:paraId="60A1C271"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Galvos skausmas </w:t>
            </w:r>
            <w:r w:rsidRPr="00D8166E">
              <w:rPr>
                <w:position w:val="8"/>
                <w:lang w:val="lt-LT"/>
              </w:rPr>
              <w:t>6</w:t>
            </w:r>
          </w:p>
        </w:tc>
        <w:tc>
          <w:tcPr>
            <w:tcW w:w="999" w:type="pct"/>
          </w:tcPr>
          <w:p w14:paraId="38AD4D28"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Sinkopė, Migrena </w:t>
            </w:r>
            <w:r w:rsidRPr="00D8166E">
              <w:rPr>
                <w:position w:val="8"/>
                <w:lang w:val="lt-LT"/>
              </w:rPr>
              <w:t>5</w:t>
            </w:r>
          </w:p>
        </w:tc>
        <w:tc>
          <w:tcPr>
            <w:tcW w:w="1000" w:type="pct"/>
          </w:tcPr>
          <w:p w14:paraId="6B75C4C8"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Traukuliai </w:t>
            </w:r>
            <w:r w:rsidRPr="00D8166E">
              <w:rPr>
                <w:position w:val="8"/>
                <w:lang w:val="lt-LT"/>
              </w:rPr>
              <w:t>5</w:t>
            </w:r>
          </w:p>
          <w:p w14:paraId="200B10EA" w14:textId="77777777" w:rsidR="0041096E" w:rsidRPr="00D8166E" w:rsidRDefault="0041096E" w:rsidP="00230B24">
            <w:pPr>
              <w:widowControl w:val="0"/>
              <w:tabs>
                <w:tab w:val="clear" w:pos="567"/>
              </w:tabs>
              <w:autoSpaceDE w:val="0"/>
              <w:autoSpaceDN w:val="0"/>
              <w:spacing w:before="3" w:line="240" w:lineRule="auto"/>
              <w:rPr>
                <w:lang w:val="lt-LT"/>
              </w:rPr>
            </w:pPr>
            <w:r w:rsidRPr="005F48B8">
              <w:rPr>
                <w:snapToGrid/>
                <w:szCs w:val="22"/>
                <w:lang w:val="lt-LT"/>
              </w:rPr>
              <w:t xml:space="preserve">Laikina amnezija </w:t>
            </w:r>
            <w:r w:rsidRPr="00D8166E">
              <w:rPr>
                <w:position w:val="8"/>
                <w:lang w:val="lt-LT"/>
              </w:rPr>
              <w:t>5</w:t>
            </w:r>
          </w:p>
        </w:tc>
        <w:tc>
          <w:tcPr>
            <w:tcW w:w="1000" w:type="pct"/>
          </w:tcPr>
          <w:p w14:paraId="639495FB"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564AA822"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Insultas </w:t>
            </w:r>
            <w:r w:rsidRPr="00D8166E">
              <w:rPr>
                <w:position w:val="8"/>
                <w:lang w:val="lt-LT"/>
              </w:rPr>
              <w:t>2</w:t>
            </w:r>
          </w:p>
          <w:p w14:paraId="0920F40D"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(įskaitant kraujavimo</w:t>
            </w:r>
          </w:p>
          <w:p w14:paraId="503F4614"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reiškinius)</w:t>
            </w:r>
          </w:p>
        </w:tc>
      </w:tr>
      <w:tr w:rsidR="0041096E" w:rsidRPr="00F86E80" w14:paraId="30054B72" w14:textId="77777777" w:rsidTr="00230B24">
        <w:trPr>
          <w:trHeight w:val="254"/>
        </w:trPr>
        <w:tc>
          <w:tcPr>
            <w:tcW w:w="5000" w:type="pct"/>
            <w:gridSpan w:val="5"/>
          </w:tcPr>
          <w:p w14:paraId="3B39B5EE"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Akių sutrikimai</w:t>
            </w:r>
          </w:p>
        </w:tc>
      </w:tr>
      <w:tr w:rsidR="0041096E" w:rsidRPr="00DC6895" w14:paraId="6819E825" w14:textId="77777777" w:rsidTr="00230B24">
        <w:trPr>
          <w:trHeight w:val="2529"/>
        </w:trPr>
        <w:tc>
          <w:tcPr>
            <w:tcW w:w="1000" w:type="pct"/>
          </w:tcPr>
          <w:p w14:paraId="562C220A"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7622BA5D"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Miglotas matymas</w:t>
            </w:r>
          </w:p>
        </w:tc>
        <w:tc>
          <w:tcPr>
            <w:tcW w:w="1000" w:type="pct"/>
          </w:tcPr>
          <w:p w14:paraId="2D546EBB"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1B28D9F9"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093ED75D" w14:textId="77777777" w:rsidR="0041096E" w:rsidRPr="002A25EF"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 xml:space="preserve">Ne </w:t>
            </w:r>
            <w:proofErr w:type="spellStart"/>
            <w:r w:rsidRPr="005F48B8">
              <w:rPr>
                <w:snapToGrid/>
                <w:szCs w:val="22"/>
                <w:lang w:val="lt-LT"/>
              </w:rPr>
              <w:t>arteritito</w:t>
            </w:r>
            <w:proofErr w:type="spellEnd"/>
            <w:r w:rsidRPr="005F48B8">
              <w:rPr>
                <w:snapToGrid/>
                <w:szCs w:val="22"/>
                <w:lang w:val="lt-LT"/>
              </w:rPr>
              <w:t xml:space="preserve"> sukelta priekinė regos nervo neuropatija (</w:t>
            </w:r>
            <w:r w:rsidRPr="008612DF">
              <w:rPr>
                <w:i/>
                <w:snapToGrid/>
                <w:szCs w:val="22"/>
                <w:lang w:val="lt-LT"/>
              </w:rPr>
              <w:t>NAION</w:t>
            </w:r>
            <w:r w:rsidRPr="002A25EF">
              <w:rPr>
                <w:snapToGrid/>
                <w:szCs w:val="22"/>
                <w:lang w:val="lt-LT"/>
              </w:rPr>
              <w:t>)</w:t>
            </w:r>
          </w:p>
          <w:p w14:paraId="4AD8BD36" w14:textId="77777777" w:rsidR="0041096E" w:rsidRPr="009840AD" w:rsidRDefault="0041096E" w:rsidP="00230B24">
            <w:pPr>
              <w:widowControl w:val="0"/>
              <w:tabs>
                <w:tab w:val="clear" w:pos="567"/>
              </w:tabs>
              <w:autoSpaceDE w:val="0"/>
              <w:autoSpaceDN w:val="0"/>
              <w:spacing w:line="240" w:lineRule="auto"/>
              <w:rPr>
                <w:snapToGrid/>
                <w:szCs w:val="22"/>
                <w:lang w:val="lt-LT"/>
              </w:rPr>
            </w:pPr>
            <w:r w:rsidRPr="0061385E">
              <w:rPr>
                <w:snapToGrid/>
                <w:szCs w:val="22"/>
                <w:lang w:val="lt-LT"/>
              </w:rPr>
              <w:t>Tinklainės kraujagysli</w:t>
            </w:r>
            <w:r w:rsidRPr="009840AD">
              <w:rPr>
                <w:snapToGrid/>
                <w:szCs w:val="22"/>
                <w:lang w:val="lt-LT"/>
              </w:rPr>
              <w:t xml:space="preserve">ų </w:t>
            </w:r>
            <w:proofErr w:type="spellStart"/>
            <w:r w:rsidRPr="009840AD">
              <w:rPr>
                <w:snapToGrid/>
                <w:szCs w:val="22"/>
                <w:lang w:val="lt-LT"/>
              </w:rPr>
              <w:t>okliuzija</w:t>
            </w:r>
            <w:proofErr w:type="spellEnd"/>
            <w:r w:rsidRPr="009840AD">
              <w:rPr>
                <w:snapToGrid/>
                <w:szCs w:val="22"/>
                <w:lang w:val="lt-LT"/>
              </w:rPr>
              <w:t xml:space="preserve"> </w:t>
            </w:r>
          </w:p>
          <w:p w14:paraId="77DFA3D2" w14:textId="77777777" w:rsidR="0041096E" w:rsidRPr="00F1014D" w:rsidRDefault="0041096E" w:rsidP="00230B24">
            <w:pPr>
              <w:widowControl w:val="0"/>
              <w:tabs>
                <w:tab w:val="clear" w:pos="567"/>
              </w:tabs>
              <w:autoSpaceDE w:val="0"/>
              <w:autoSpaceDN w:val="0"/>
              <w:spacing w:line="240" w:lineRule="auto"/>
              <w:rPr>
                <w:snapToGrid/>
                <w:szCs w:val="22"/>
                <w:lang w:val="lt-LT"/>
              </w:rPr>
            </w:pPr>
            <w:r w:rsidRPr="00F1014D">
              <w:rPr>
                <w:snapToGrid/>
                <w:szCs w:val="22"/>
                <w:lang w:val="lt-LT"/>
              </w:rPr>
              <w:t>Regėjimo lauko</w:t>
            </w:r>
          </w:p>
          <w:p w14:paraId="599C9C02" w14:textId="77777777" w:rsidR="0041096E" w:rsidRPr="007203A0" w:rsidRDefault="0041096E" w:rsidP="00230B24">
            <w:pPr>
              <w:widowControl w:val="0"/>
              <w:tabs>
                <w:tab w:val="clear" w:pos="567"/>
              </w:tabs>
              <w:autoSpaceDE w:val="0"/>
              <w:autoSpaceDN w:val="0"/>
              <w:spacing w:line="240" w:lineRule="auto"/>
              <w:rPr>
                <w:snapToGrid/>
                <w:szCs w:val="22"/>
                <w:lang w:val="lt-LT"/>
              </w:rPr>
            </w:pPr>
            <w:r w:rsidRPr="007203A0">
              <w:rPr>
                <w:snapToGrid/>
                <w:szCs w:val="22"/>
                <w:lang w:val="lt-LT"/>
              </w:rPr>
              <w:t>defektas</w:t>
            </w:r>
          </w:p>
        </w:tc>
      </w:tr>
      <w:tr w:rsidR="0041096E" w:rsidRPr="00F170E2" w14:paraId="3A1B94E4" w14:textId="77777777" w:rsidTr="00230B24">
        <w:trPr>
          <w:trHeight w:val="697"/>
        </w:trPr>
        <w:tc>
          <w:tcPr>
            <w:tcW w:w="1000" w:type="pct"/>
          </w:tcPr>
          <w:p w14:paraId="44EBB11A"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20F60E3C"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1000" w:type="pct"/>
          </w:tcPr>
          <w:p w14:paraId="1A8CDAD5"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28B3D859"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167FA64D" w14:textId="77777777" w:rsidR="0041096E" w:rsidRPr="0007014B" w:rsidRDefault="0041096E" w:rsidP="00230B24">
            <w:pPr>
              <w:widowControl w:val="0"/>
              <w:tabs>
                <w:tab w:val="clear" w:pos="567"/>
              </w:tabs>
              <w:autoSpaceDE w:val="0"/>
              <w:autoSpaceDN w:val="0"/>
              <w:spacing w:line="240" w:lineRule="auto"/>
              <w:rPr>
                <w:snapToGrid/>
                <w:szCs w:val="22"/>
                <w:lang w:val="lt-LT"/>
              </w:rPr>
            </w:pPr>
            <w:r w:rsidRPr="00BE1032">
              <w:rPr>
                <w:lang w:val="lt-LT"/>
              </w:rPr>
              <w:t xml:space="preserve">Centrinė </w:t>
            </w:r>
            <w:proofErr w:type="spellStart"/>
            <w:r w:rsidRPr="00BE1032">
              <w:rPr>
                <w:lang w:val="lt-LT"/>
              </w:rPr>
              <w:t>serozinė</w:t>
            </w:r>
            <w:proofErr w:type="spellEnd"/>
            <w:r w:rsidRPr="00BE1032">
              <w:rPr>
                <w:lang w:val="lt-LT"/>
              </w:rPr>
              <w:t xml:space="preserve"> </w:t>
            </w:r>
            <w:proofErr w:type="spellStart"/>
            <w:r w:rsidRPr="00BE1032">
              <w:rPr>
                <w:lang w:val="lt-LT"/>
              </w:rPr>
              <w:t>chorioretinopatija</w:t>
            </w:r>
            <w:proofErr w:type="spellEnd"/>
          </w:p>
        </w:tc>
      </w:tr>
      <w:tr w:rsidR="0041096E" w:rsidRPr="00F86E80" w14:paraId="5BDE0F64" w14:textId="77777777" w:rsidTr="00230B24">
        <w:trPr>
          <w:trHeight w:val="254"/>
        </w:trPr>
        <w:tc>
          <w:tcPr>
            <w:tcW w:w="5000" w:type="pct"/>
            <w:gridSpan w:val="5"/>
          </w:tcPr>
          <w:p w14:paraId="4F2BBC27"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Ausų ir labirintų sutrikimai</w:t>
            </w:r>
          </w:p>
        </w:tc>
      </w:tr>
      <w:tr w:rsidR="0041096E" w:rsidRPr="00F86E80" w14:paraId="4615FB50" w14:textId="77777777" w:rsidTr="00230B24">
        <w:trPr>
          <w:trHeight w:val="506"/>
        </w:trPr>
        <w:tc>
          <w:tcPr>
            <w:tcW w:w="1000" w:type="pct"/>
          </w:tcPr>
          <w:p w14:paraId="71014664"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58F66D14"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00C370C3" w14:textId="77777777" w:rsidR="0041096E" w:rsidRPr="002A25EF"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Ūžesys (</w:t>
            </w:r>
            <w:proofErr w:type="spellStart"/>
            <w:r w:rsidRPr="005F48B8">
              <w:rPr>
                <w:i/>
                <w:snapToGrid/>
                <w:szCs w:val="22"/>
                <w:lang w:val="lt-LT"/>
              </w:rPr>
              <w:t>tinnitus</w:t>
            </w:r>
            <w:proofErr w:type="spellEnd"/>
            <w:r w:rsidRPr="008612DF">
              <w:rPr>
                <w:snapToGrid/>
                <w:szCs w:val="22"/>
                <w:lang w:val="lt-LT"/>
              </w:rPr>
              <w:t>)</w:t>
            </w:r>
          </w:p>
        </w:tc>
        <w:tc>
          <w:tcPr>
            <w:tcW w:w="1000" w:type="pct"/>
          </w:tcPr>
          <w:p w14:paraId="64C989CE"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22B8A10B"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Staigus</w:t>
            </w:r>
          </w:p>
          <w:p w14:paraId="2006F5F2"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prikurtimas</w:t>
            </w:r>
          </w:p>
        </w:tc>
      </w:tr>
      <w:tr w:rsidR="0041096E" w:rsidRPr="00F86E80" w14:paraId="28CC8921" w14:textId="77777777" w:rsidTr="00230B24">
        <w:trPr>
          <w:trHeight w:val="251"/>
        </w:trPr>
        <w:tc>
          <w:tcPr>
            <w:tcW w:w="5000" w:type="pct"/>
            <w:gridSpan w:val="5"/>
          </w:tcPr>
          <w:p w14:paraId="545700F5"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Širdies sutrikimai</w:t>
            </w:r>
          </w:p>
        </w:tc>
      </w:tr>
      <w:tr w:rsidR="0041096E" w:rsidRPr="00DC6895" w14:paraId="15DA092E" w14:textId="77777777" w:rsidTr="00230B24">
        <w:trPr>
          <w:trHeight w:val="1518"/>
        </w:trPr>
        <w:tc>
          <w:tcPr>
            <w:tcW w:w="1000" w:type="pct"/>
          </w:tcPr>
          <w:p w14:paraId="49B56D76"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503523BB" w14:textId="77777777" w:rsidR="0041096E" w:rsidRPr="00D8166E" w:rsidRDefault="0041096E" w:rsidP="00230B24">
            <w:pPr>
              <w:widowControl w:val="0"/>
              <w:tabs>
                <w:tab w:val="clear" w:pos="567"/>
              </w:tabs>
              <w:autoSpaceDE w:val="0"/>
              <w:autoSpaceDN w:val="0"/>
              <w:spacing w:line="240" w:lineRule="auto"/>
              <w:rPr>
                <w:lang w:val="lt-LT"/>
              </w:rPr>
            </w:pPr>
            <w:proofErr w:type="spellStart"/>
            <w:r w:rsidRPr="005F48B8">
              <w:rPr>
                <w:snapToGrid/>
                <w:szCs w:val="22"/>
                <w:lang w:val="lt-LT"/>
              </w:rPr>
              <w:t>Palpitacijos</w:t>
            </w:r>
            <w:proofErr w:type="spellEnd"/>
            <w:r w:rsidRPr="005F48B8">
              <w:rPr>
                <w:snapToGrid/>
                <w:szCs w:val="22"/>
                <w:lang w:val="lt-LT"/>
              </w:rPr>
              <w:t xml:space="preserve"> </w:t>
            </w:r>
            <w:r w:rsidRPr="00D8166E">
              <w:rPr>
                <w:position w:val="8"/>
                <w:lang w:val="lt-LT"/>
              </w:rPr>
              <w:t>2, 5</w:t>
            </w:r>
          </w:p>
        </w:tc>
        <w:tc>
          <w:tcPr>
            <w:tcW w:w="1000" w:type="pct"/>
          </w:tcPr>
          <w:p w14:paraId="21A88AF0"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Staigi </w:t>
            </w:r>
            <w:proofErr w:type="spellStart"/>
            <w:r w:rsidRPr="005F48B8">
              <w:rPr>
                <w:snapToGrid/>
                <w:szCs w:val="22"/>
                <w:lang w:val="lt-LT"/>
              </w:rPr>
              <w:t>kardialinė</w:t>
            </w:r>
            <w:proofErr w:type="spellEnd"/>
            <w:r w:rsidRPr="005F48B8">
              <w:rPr>
                <w:snapToGrid/>
                <w:szCs w:val="22"/>
                <w:lang w:val="lt-LT"/>
              </w:rPr>
              <w:t xml:space="preserve"> mirtis </w:t>
            </w:r>
            <w:r w:rsidRPr="00D8166E">
              <w:rPr>
                <w:position w:val="8"/>
                <w:lang w:val="lt-LT"/>
              </w:rPr>
              <w:t>2, 5</w:t>
            </w:r>
          </w:p>
          <w:p w14:paraId="59E6D009"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Tachikardija </w:t>
            </w:r>
            <w:r w:rsidRPr="00D8166E">
              <w:rPr>
                <w:position w:val="8"/>
                <w:lang w:val="lt-LT"/>
              </w:rPr>
              <w:t>2, 5</w:t>
            </w:r>
          </w:p>
        </w:tc>
        <w:tc>
          <w:tcPr>
            <w:tcW w:w="1000" w:type="pct"/>
          </w:tcPr>
          <w:p w14:paraId="06C7C19D"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385B5D6E"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 xml:space="preserve">Nestabilioji krūtinės angina </w:t>
            </w:r>
          </w:p>
          <w:p w14:paraId="241C240C" w14:textId="77777777" w:rsidR="0041096E" w:rsidRPr="002A25EF" w:rsidRDefault="0041096E" w:rsidP="00230B24">
            <w:pPr>
              <w:widowControl w:val="0"/>
              <w:tabs>
                <w:tab w:val="clear" w:pos="567"/>
              </w:tabs>
              <w:autoSpaceDE w:val="0"/>
              <w:autoSpaceDN w:val="0"/>
              <w:spacing w:line="240" w:lineRule="auto"/>
              <w:rPr>
                <w:snapToGrid/>
                <w:szCs w:val="22"/>
                <w:lang w:val="lt-LT"/>
              </w:rPr>
            </w:pPr>
            <w:proofErr w:type="spellStart"/>
            <w:r w:rsidRPr="002A25EF">
              <w:rPr>
                <w:snapToGrid/>
                <w:szCs w:val="22"/>
                <w:lang w:val="lt-LT"/>
              </w:rPr>
              <w:t>Skilvelinė</w:t>
            </w:r>
            <w:proofErr w:type="spellEnd"/>
            <w:r w:rsidRPr="002A25EF">
              <w:rPr>
                <w:snapToGrid/>
                <w:szCs w:val="22"/>
                <w:lang w:val="lt-LT"/>
              </w:rPr>
              <w:t xml:space="preserve"> aritmija</w:t>
            </w:r>
          </w:p>
          <w:p w14:paraId="669FA717" w14:textId="77777777" w:rsidR="0041096E" w:rsidRPr="00D8166E" w:rsidRDefault="0041096E" w:rsidP="00230B24">
            <w:pPr>
              <w:widowControl w:val="0"/>
              <w:tabs>
                <w:tab w:val="clear" w:pos="567"/>
              </w:tabs>
              <w:autoSpaceDE w:val="0"/>
              <w:autoSpaceDN w:val="0"/>
              <w:spacing w:line="240" w:lineRule="auto"/>
              <w:rPr>
                <w:lang w:val="lt-LT"/>
              </w:rPr>
            </w:pPr>
            <w:r w:rsidRPr="0061385E">
              <w:rPr>
                <w:snapToGrid/>
                <w:szCs w:val="22"/>
                <w:lang w:val="lt-LT"/>
              </w:rPr>
              <w:t xml:space="preserve">Miokardo infarktas </w:t>
            </w:r>
            <w:r w:rsidRPr="00D8166E">
              <w:rPr>
                <w:position w:val="8"/>
                <w:lang w:val="lt-LT"/>
              </w:rPr>
              <w:t>2</w:t>
            </w:r>
          </w:p>
        </w:tc>
      </w:tr>
      <w:tr w:rsidR="0041096E" w:rsidRPr="00F86E80" w14:paraId="33C8D2E4" w14:textId="77777777" w:rsidTr="00230B24">
        <w:trPr>
          <w:trHeight w:val="251"/>
        </w:trPr>
        <w:tc>
          <w:tcPr>
            <w:tcW w:w="5000" w:type="pct"/>
            <w:gridSpan w:val="5"/>
          </w:tcPr>
          <w:p w14:paraId="689EEBCC" w14:textId="77777777" w:rsidR="0041096E" w:rsidRPr="007203A0" w:rsidRDefault="0041096E" w:rsidP="00230B24">
            <w:pPr>
              <w:widowControl w:val="0"/>
              <w:tabs>
                <w:tab w:val="clear" w:pos="567"/>
              </w:tabs>
              <w:autoSpaceDE w:val="0"/>
              <w:autoSpaceDN w:val="0"/>
              <w:spacing w:line="240" w:lineRule="auto"/>
              <w:rPr>
                <w:i/>
                <w:snapToGrid/>
                <w:szCs w:val="22"/>
                <w:lang w:val="lt-LT"/>
              </w:rPr>
            </w:pPr>
            <w:r w:rsidRPr="007203A0">
              <w:rPr>
                <w:i/>
                <w:snapToGrid/>
                <w:szCs w:val="22"/>
                <w:lang w:val="lt-LT"/>
              </w:rPr>
              <w:t>Kraujagyslių sutrikimai</w:t>
            </w:r>
          </w:p>
        </w:tc>
      </w:tr>
      <w:tr w:rsidR="0041096E" w:rsidRPr="00F86E80" w14:paraId="09076A31" w14:textId="77777777" w:rsidTr="00230B24">
        <w:trPr>
          <w:trHeight w:val="760"/>
        </w:trPr>
        <w:tc>
          <w:tcPr>
            <w:tcW w:w="1000" w:type="pct"/>
          </w:tcPr>
          <w:p w14:paraId="3A4F503E"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Trumpalaikis veido ir kaklo</w:t>
            </w:r>
          </w:p>
          <w:p w14:paraId="0FC62515"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paraudimas</w:t>
            </w:r>
          </w:p>
        </w:tc>
        <w:tc>
          <w:tcPr>
            <w:tcW w:w="999" w:type="pct"/>
          </w:tcPr>
          <w:p w14:paraId="3F893FD7" w14:textId="77777777" w:rsidR="0041096E" w:rsidRPr="002A25EF" w:rsidRDefault="0041096E" w:rsidP="00230B24">
            <w:pPr>
              <w:widowControl w:val="0"/>
              <w:tabs>
                <w:tab w:val="clear" w:pos="567"/>
              </w:tabs>
              <w:autoSpaceDE w:val="0"/>
              <w:autoSpaceDN w:val="0"/>
              <w:spacing w:line="240" w:lineRule="auto"/>
              <w:rPr>
                <w:snapToGrid/>
                <w:szCs w:val="22"/>
                <w:lang w:val="lt-LT"/>
              </w:rPr>
            </w:pPr>
            <w:proofErr w:type="spellStart"/>
            <w:r w:rsidRPr="002A25EF">
              <w:rPr>
                <w:snapToGrid/>
                <w:szCs w:val="22"/>
                <w:lang w:val="lt-LT"/>
              </w:rPr>
              <w:t>Hipotenzija</w:t>
            </w:r>
            <w:proofErr w:type="spellEnd"/>
          </w:p>
        </w:tc>
        <w:tc>
          <w:tcPr>
            <w:tcW w:w="1000" w:type="pct"/>
          </w:tcPr>
          <w:p w14:paraId="0F62F134" w14:textId="77777777" w:rsidR="0041096E" w:rsidRPr="0061385E" w:rsidRDefault="0041096E" w:rsidP="00230B24">
            <w:pPr>
              <w:widowControl w:val="0"/>
              <w:tabs>
                <w:tab w:val="clear" w:pos="567"/>
              </w:tabs>
              <w:autoSpaceDE w:val="0"/>
              <w:autoSpaceDN w:val="0"/>
              <w:spacing w:line="240" w:lineRule="auto"/>
              <w:rPr>
                <w:snapToGrid/>
                <w:szCs w:val="22"/>
                <w:lang w:val="lt-LT"/>
              </w:rPr>
            </w:pPr>
            <w:r w:rsidRPr="0061385E">
              <w:rPr>
                <w:snapToGrid/>
                <w:szCs w:val="22"/>
                <w:lang w:val="lt-LT"/>
              </w:rPr>
              <w:t>Hipertenzija</w:t>
            </w:r>
          </w:p>
        </w:tc>
        <w:tc>
          <w:tcPr>
            <w:tcW w:w="1000" w:type="pct"/>
          </w:tcPr>
          <w:p w14:paraId="61CC000D"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6A2ADA59" w14:textId="77777777" w:rsidR="0041096E" w:rsidRPr="00D8166E" w:rsidRDefault="0041096E" w:rsidP="00230B24">
            <w:pPr>
              <w:widowControl w:val="0"/>
              <w:tabs>
                <w:tab w:val="clear" w:pos="567"/>
              </w:tabs>
              <w:autoSpaceDE w:val="0"/>
              <w:autoSpaceDN w:val="0"/>
              <w:spacing w:line="240" w:lineRule="auto"/>
              <w:rPr>
                <w:lang w:val="lt-LT"/>
              </w:rPr>
            </w:pPr>
          </w:p>
        </w:tc>
      </w:tr>
      <w:tr w:rsidR="0041096E" w:rsidRPr="00445827" w14:paraId="125D5FBA" w14:textId="77777777" w:rsidTr="00230B24">
        <w:trPr>
          <w:trHeight w:val="251"/>
        </w:trPr>
        <w:tc>
          <w:tcPr>
            <w:tcW w:w="5000" w:type="pct"/>
            <w:gridSpan w:val="5"/>
          </w:tcPr>
          <w:p w14:paraId="7C8195D1"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Kvėpavimo sistemos, krūtinės ląstos ir tarpuplaučio sutrikimai</w:t>
            </w:r>
          </w:p>
        </w:tc>
      </w:tr>
      <w:tr w:rsidR="0041096E" w:rsidRPr="00F86E80" w14:paraId="1AC5DB08" w14:textId="77777777" w:rsidTr="00230B24">
        <w:trPr>
          <w:trHeight w:val="1518"/>
        </w:trPr>
        <w:tc>
          <w:tcPr>
            <w:tcW w:w="1000" w:type="pct"/>
          </w:tcPr>
          <w:p w14:paraId="232E0C28" w14:textId="77777777" w:rsidR="0041096E" w:rsidRPr="005F48B8" w:rsidRDefault="0041096E" w:rsidP="00230B24">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Nazofaringitas</w:t>
            </w:r>
            <w:proofErr w:type="spellEnd"/>
            <w:r w:rsidRPr="005F48B8">
              <w:rPr>
                <w:snapToGrid/>
                <w:szCs w:val="22"/>
                <w:lang w:val="lt-LT"/>
              </w:rPr>
              <w:t xml:space="preserve"> (įskaitant nosies užsikimšimą, nosies ančių paburkimą ir</w:t>
            </w:r>
          </w:p>
          <w:p w14:paraId="38952D1A" w14:textId="77777777" w:rsidR="0041096E" w:rsidRPr="002A25E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r</w:t>
            </w:r>
            <w:r w:rsidRPr="002A25EF">
              <w:rPr>
                <w:snapToGrid/>
                <w:szCs w:val="22"/>
                <w:lang w:val="lt-LT"/>
              </w:rPr>
              <w:t>initą)</w:t>
            </w:r>
          </w:p>
        </w:tc>
        <w:tc>
          <w:tcPr>
            <w:tcW w:w="999" w:type="pct"/>
          </w:tcPr>
          <w:p w14:paraId="4DF01EBA" w14:textId="77777777" w:rsidR="0041096E" w:rsidRPr="0061385E" w:rsidRDefault="0041096E" w:rsidP="00230B24">
            <w:pPr>
              <w:widowControl w:val="0"/>
              <w:tabs>
                <w:tab w:val="clear" w:pos="567"/>
              </w:tabs>
              <w:autoSpaceDE w:val="0"/>
              <w:autoSpaceDN w:val="0"/>
              <w:spacing w:line="240" w:lineRule="auto"/>
              <w:rPr>
                <w:snapToGrid/>
                <w:szCs w:val="22"/>
                <w:lang w:val="lt-LT"/>
              </w:rPr>
            </w:pPr>
            <w:r w:rsidRPr="0061385E">
              <w:rPr>
                <w:snapToGrid/>
                <w:szCs w:val="22"/>
                <w:lang w:val="lt-LT"/>
              </w:rPr>
              <w:t>Kraujavimas iš nosies</w:t>
            </w:r>
          </w:p>
        </w:tc>
        <w:tc>
          <w:tcPr>
            <w:tcW w:w="1000" w:type="pct"/>
          </w:tcPr>
          <w:p w14:paraId="0FD7AF13"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606415C9"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7AA4AE76" w14:textId="77777777" w:rsidR="0041096E" w:rsidRPr="00D8166E" w:rsidRDefault="0041096E" w:rsidP="00230B24">
            <w:pPr>
              <w:widowControl w:val="0"/>
              <w:tabs>
                <w:tab w:val="clear" w:pos="567"/>
              </w:tabs>
              <w:autoSpaceDE w:val="0"/>
              <w:autoSpaceDN w:val="0"/>
              <w:spacing w:line="240" w:lineRule="auto"/>
              <w:rPr>
                <w:lang w:val="lt-LT"/>
              </w:rPr>
            </w:pPr>
          </w:p>
        </w:tc>
      </w:tr>
      <w:tr w:rsidR="0041096E" w:rsidRPr="00F86E80" w14:paraId="7EE92486" w14:textId="77777777" w:rsidTr="00230B24">
        <w:trPr>
          <w:trHeight w:val="251"/>
        </w:trPr>
        <w:tc>
          <w:tcPr>
            <w:tcW w:w="5000" w:type="pct"/>
            <w:gridSpan w:val="5"/>
          </w:tcPr>
          <w:p w14:paraId="3370869E"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Virškinimo trakto sutrikimai</w:t>
            </w:r>
          </w:p>
        </w:tc>
      </w:tr>
      <w:tr w:rsidR="0041096E" w:rsidRPr="00F86E80" w14:paraId="6BD348BC" w14:textId="77777777" w:rsidTr="00230B24">
        <w:trPr>
          <w:trHeight w:val="1266"/>
        </w:trPr>
        <w:tc>
          <w:tcPr>
            <w:tcW w:w="1000" w:type="pct"/>
          </w:tcPr>
          <w:p w14:paraId="512B33AC"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Pykinimas Dispepsija (įskaitant pilvo skausmą/</w:t>
            </w:r>
          </w:p>
          <w:p w14:paraId="016A253B"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 xml:space="preserve">diskomfortą </w:t>
            </w:r>
            <w:r w:rsidRPr="00D8166E">
              <w:rPr>
                <w:position w:val="8"/>
                <w:lang w:val="lt-LT"/>
              </w:rPr>
              <w:t>3</w:t>
            </w:r>
            <w:r w:rsidRPr="005F48B8">
              <w:rPr>
                <w:snapToGrid/>
                <w:szCs w:val="22"/>
                <w:lang w:val="lt-LT"/>
              </w:rPr>
              <w:t>)</w:t>
            </w:r>
          </w:p>
        </w:tc>
        <w:tc>
          <w:tcPr>
            <w:tcW w:w="999" w:type="pct"/>
          </w:tcPr>
          <w:p w14:paraId="6022F072" w14:textId="77777777" w:rsidR="0041096E" w:rsidRPr="008612D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 xml:space="preserve">Vėmimas </w:t>
            </w:r>
            <w:proofErr w:type="spellStart"/>
            <w:r w:rsidRPr="008612DF">
              <w:rPr>
                <w:snapToGrid/>
                <w:szCs w:val="22"/>
                <w:lang w:val="lt-LT"/>
              </w:rPr>
              <w:t>Gastroezofaginis</w:t>
            </w:r>
            <w:proofErr w:type="spellEnd"/>
            <w:r w:rsidRPr="008612DF">
              <w:rPr>
                <w:snapToGrid/>
                <w:szCs w:val="22"/>
                <w:lang w:val="lt-LT"/>
              </w:rPr>
              <w:t xml:space="preserve"> </w:t>
            </w:r>
            <w:proofErr w:type="spellStart"/>
            <w:r w:rsidRPr="008612DF">
              <w:rPr>
                <w:snapToGrid/>
                <w:szCs w:val="22"/>
                <w:lang w:val="lt-LT"/>
              </w:rPr>
              <w:t>refliuksas</w:t>
            </w:r>
            <w:proofErr w:type="spellEnd"/>
          </w:p>
        </w:tc>
        <w:tc>
          <w:tcPr>
            <w:tcW w:w="1000" w:type="pct"/>
          </w:tcPr>
          <w:p w14:paraId="376F1F1B"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3D091E02"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21D10C58" w14:textId="77777777" w:rsidR="0041096E" w:rsidRPr="00D8166E" w:rsidRDefault="0041096E" w:rsidP="00230B24">
            <w:pPr>
              <w:widowControl w:val="0"/>
              <w:tabs>
                <w:tab w:val="clear" w:pos="567"/>
              </w:tabs>
              <w:autoSpaceDE w:val="0"/>
              <w:autoSpaceDN w:val="0"/>
              <w:spacing w:line="240" w:lineRule="auto"/>
              <w:rPr>
                <w:lang w:val="lt-LT"/>
              </w:rPr>
            </w:pPr>
          </w:p>
        </w:tc>
      </w:tr>
      <w:tr w:rsidR="0041096E" w:rsidRPr="00DC6895" w14:paraId="6EB1D1F9" w14:textId="77777777" w:rsidTr="00230B24">
        <w:trPr>
          <w:trHeight w:val="251"/>
        </w:trPr>
        <w:tc>
          <w:tcPr>
            <w:tcW w:w="5000" w:type="pct"/>
            <w:gridSpan w:val="5"/>
          </w:tcPr>
          <w:p w14:paraId="239A3A0D"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Odos ir poodinio audinio sutrikimai</w:t>
            </w:r>
          </w:p>
        </w:tc>
      </w:tr>
      <w:tr w:rsidR="0041096E" w:rsidRPr="00445827" w14:paraId="6C403F76" w14:textId="77777777" w:rsidTr="00230B24">
        <w:trPr>
          <w:trHeight w:val="1266"/>
        </w:trPr>
        <w:tc>
          <w:tcPr>
            <w:tcW w:w="1000" w:type="pct"/>
          </w:tcPr>
          <w:p w14:paraId="36D121B6"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10071E75"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Išbėrimas</w:t>
            </w:r>
          </w:p>
        </w:tc>
        <w:tc>
          <w:tcPr>
            <w:tcW w:w="1000" w:type="pct"/>
          </w:tcPr>
          <w:p w14:paraId="7C283216"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Dilgėlinė </w:t>
            </w:r>
            <w:r w:rsidRPr="00D8166E">
              <w:rPr>
                <w:position w:val="8"/>
                <w:lang w:val="lt-LT"/>
              </w:rPr>
              <w:t>5</w:t>
            </w:r>
          </w:p>
          <w:p w14:paraId="2D16700D" w14:textId="77777777" w:rsidR="0041096E" w:rsidRPr="00D8166E" w:rsidRDefault="0041096E" w:rsidP="00230B24">
            <w:pPr>
              <w:widowControl w:val="0"/>
              <w:tabs>
                <w:tab w:val="clear" w:pos="567"/>
              </w:tabs>
              <w:autoSpaceDE w:val="0"/>
              <w:autoSpaceDN w:val="0"/>
              <w:spacing w:before="5" w:line="240" w:lineRule="auto"/>
              <w:rPr>
                <w:lang w:val="lt-LT"/>
              </w:rPr>
            </w:pPr>
            <w:proofErr w:type="spellStart"/>
            <w:r w:rsidRPr="005F48B8">
              <w:rPr>
                <w:snapToGrid/>
                <w:szCs w:val="22"/>
                <w:lang w:val="lt-LT"/>
              </w:rPr>
              <w:t>Hiperhidrozė</w:t>
            </w:r>
            <w:proofErr w:type="spellEnd"/>
            <w:r w:rsidRPr="005F48B8">
              <w:rPr>
                <w:snapToGrid/>
                <w:szCs w:val="22"/>
                <w:lang w:val="lt-LT"/>
              </w:rPr>
              <w:t xml:space="preserve"> (prakaitavimas) </w:t>
            </w:r>
            <w:r w:rsidRPr="00D8166E">
              <w:rPr>
                <w:position w:val="8"/>
                <w:lang w:val="lt-LT"/>
              </w:rPr>
              <w:t>5</w:t>
            </w:r>
          </w:p>
        </w:tc>
        <w:tc>
          <w:tcPr>
            <w:tcW w:w="1000" w:type="pct"/>
          </w:tcPr>
          <w:p w14:paraId="50D57884"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287D38F8" w14:textId="77777777" w:rsidR="0041096E" w:rsidRPr="005F48B8" w:rsidRDefault="0041096E" w:rsidP="00230B24">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Stivenso</w:t>
            </w:r>
            <w:proofErr w:type="spellEnd"/>
            <w:r w:rsidRPr="005F48B8">
              <w:rPr>
                <w:snapToGrid/>
                <w:szCs w:val="22"/>
                <w:lang w:val="lt-LT"/>
              </w:rPr>
              <w:t>-Džonsono (</w:t>
            </w:r>
            <w:proofErr w:type="spellStart"/>
            <w:r w:rsidRPr="00F86E80">
              <w:rPr>
                <w:i/>
                <w:snapToGrid/>
                <w:szCs w:val="22"/>
                <w:lang w:val="lt-LT"/>
              </w:rPr>
              <w:t>Stevens</w:t>
            </w:r>
            <w:proofErr w:type="spellEnd"/>
            <w:r w:rsidRPr="00F86E80">
              <w:rPr>
                <w:i/>
                <w:snapToGrid/>
                <w:szCs w:val="22"/>
                <w:lang w:val="lt-LT"/>
              </w:rPr>
              <w:t xml:space="preserve">- </w:t>
            </w:r>
            <w:proofErr w:type="spellStart"/>
            <w:r w:rsidRPr="00F86E80">
              <w:rPr>
                <w:i/>
                <w:snapToGrid/>
                <w:szCs w:val="22"/>
                <w:lang w:val="lt-LT"/>
              </w:rPr>
              <w:t>Johnson</w:t>
            </w:r>
            <w:proofErr w:type="spellEnd"/>
            <w:r w:rsidRPr="005F48B8">
              <w:rPr>
                <w:snapToGrid/>
                <w:szCs w:val="22"/>
                <w:lang w:val="lt-LT"/>
              </w:rPr>
              <w:t>) sindromas</w:t>
            </w:r>
          </w:p>
          <w:p w14:paraId="66FF53D7" w14:textId="77777777" w:rsidR="0041096E" w:rsidRPr="008612DF" w:rsidRDefault="0041096E" w:rsidP="00230B24">
            <w:pPr>
              <w:widowControl w:val="0"/>
              <w:tabs>
                <w:tab w:val="clear" w:pos="567"/>
              </w:tabs>
              <w:autoSpaceDE w:val="0"/>
              <w:autoSpaceDN w:val="0"/>
              <w:spacing w:line="240" w:lineRule="auto"/>
              <w:rPr>
                <w:snapToGrid/>
                <w:szCs w:val="22"/>
                <w:lang w:val="lt-LT"/>
              </w:rPr>
            </w:pPr>
            <w:proofErr w:type="spellStart"/>
            <w:r w:rsidRPr="008612DF">
              <w:rPr>
                <w:snapToGrid/>
                <w:szCs w:val="22"/>
                <w:lang w:val="lt-LT"/>
              </w:rPr>
              <w:t>Eksfoliacinis</w:t>
            </w:r>
            <w:proofErr w:type="spellEnd"/>
            <w:r w:rsidRPr="008612DF">
              <w:rPr>
                <w:snapToGrid/>
                <w:szCs w:val="22"/>
                <w:lang w:val="lt-LT"/>
              </w:rPr>
              <w:t xml:space="preserve"> dermatitas</w:t>
            </w:r>
          </w:p>
        </w:tc>
      </w:tr>
      <w:tr w:rsidR="0041096E" w:rsidRPr="00DC6895" w14:paraId="6EC7E971" w14:textId="77777777" w:rsidTr="00230B24">
        <w:trPr>
          <w:trHeight w:val="251"/>
        </w:trPr>
        <w:tc>
          <w:tcPr>
            <w:tcW w:w="5000" w:type="pct"/>
            <w:gridSpan w:val="5"/>
          </w:tcPr>
          <w:p w14:paraId="77CF8255"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Skeleto, raumenų ir jungiamojo audinio sutrikimai</w:t>
            </w:r>
          </w:p>
        </w:tc>
      </w:tr>
      <w:tr w:rsidR="0041096E" w:rsidRPr="00F86E80" w14:paraId="3AF93EB5" w14:textId="77777777" w:rsidTr="00230B24">
        <w:trPr>
          <w:trHeight w:val="1770"/>
        </w:trPr>
        <w:tc>
          <w:tcPr>
            <w:tcW w:w="1000" w:type="pct"/>
          </w:tcPr>
          <w:p w14:paraId="065389EB" w14:textId="77777777" w:rsidR="0041096E" w:rsidRPr="005F48B8" w:rsidRDefault="0041096E" w:rsidP="00230B24">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Mialgija</w:t>
            </w:r>
            <w:proofErr w:type="spellEnd"/>
            <w:r w:rsidRPr="005F48B8">
              <w:rPr>
                <w:snapToGrid/>
                <w:szCs w:val="22"/>
                <w:lang w:val="lt-LT"/>
              </w:rPr>
              <w:t xml:space="preserve"> </w:t>
            </w:r>
          </w:p>
          <w:p w14:paraId="4DDEA535" w14:textId="77777777" w:rsidR="0041096E" w:rsidRPr="002A25EF" w:rsidRDefault="0041096E" w:rsidP="00230B24">
            <w:pPr>
              <w:widowControl w:val="0"/>
              <w:tabs>
                <w:tab w:val="clear" w:pos="567"/>
              </w:tabs>
              <w:autoSpaceDE w:val="0"/>
              <w:autoSpaceDN w:val="0"/>
              <w:spacing w:line="240" w:lineRule="auto"/>
              <w:rPr>
                <w:snapToGrid/>
                <w:szCs w:val="22"/>
                <w:lang w:val="lt-LT"/>
              </w:rPr>
            </w:pPr>
            <w:r w:rsidRPr="008612DF">
              <w:rPr>
                <w:snapToGrid/>
                <w:szCs w:val="22"/>
                <w:lang w:val="lt-LT"/>
              </w:rPr>
              <w:t>Nugaros skausmas Galūnių skausmas (įskaitant</w:t>
            </w:r>
            <w:r w:rsidRPr="002A25EF">
              <w:rPr>
                <w:snapToGrid/>
                <w:spacing w:val="-3"/>
                <w:szCs w:val="22"/>
                <w:lang w:val="lt-LT"/>
              </w:rPr>
              <w:t xml:space="preserve"> </w:t>
            </w:r>
            <w:r w:rsidRPr="002A25EF">
              <w:rPr>
                <w:snapToGrid/>
                <w:szCs w:val="22"/>
                <w:lang w:val="lt-LT"/>
              </w:rPr>
              <w:t>galūnių</w:t>
            </w:r>
          </w:p>
          <w:p w14:paraId="7174BBDE" w14:textId="77777777" w:rsidR="0041096E" w:rsidRPr="0061385E" w:rsidRDefault="0041096E" w:rsidP="00230B24">
            <w:pPr>
              <w:widowControl w:val="0"/>
              <w:tabs>
                <w:tab w:val="clear" w:pos="567"/>
              </w:tabs>
              <w:autoSpaceDE w:val="0"/>
              <w:autoSpaceDN w:val="0"/>
              <w:spacing w:line="240" w:lineRule="auto"/>
              <w:rPr>
                <w:snapToGrid/>
                <w:szCs w:val="22"/>
                <w:lang w:val="lt-LT"/>
              </w:rPr>
            </w:pPr>
            <w:r w:rsidRPr="0061385E">
              <w:rPr>
                <w:snapToGrid/>
                <w:szCs w:val="22"/>
                <w:lang w:val="lt-LT"/>
              </w:rPr>
              <w:t>diskomfortą)</w:t>
            </w:r>
          </w:p>
        </w:tc>
        <w:tc>
          <w:tcPr>
            <w:tcW w:w="999" w:type="pct"/>
          </w:tcPr>
          <w:p w14:paraId="265816C8" w14:textId="77777777" w:rsidR="0041096E" w:rsidRPr="009840AD" w:rsidRDefault="0041096E" w:rsidP="00230B24">
            <w:pPr>
              <w:widowControl w:val="0"/>
              <w:tabs>
                <w:tab w:val="clear" w:pos="567"/>
              </w:tabs>
              <w:autoSpaceDE w:val="0"/>
              <w:autoSpaceDN w:val="0"/>
              <w:spacing w:line="240" w:lineRule="auto"/>
              <w:rPr>
                <w:snapToGrid/>
                <w:szCs w:val="22"/>
                <w:lang w:val="lt-LT"/>
              </w:rPr>
            </w:pPr>
          </w:p>
        </w:tc>
        <w:tc>
          <w:tcPr>
            <w:tcW w:w="1000" w:type="pct"/>
          </w:tcPr>
          <w:p w14:paraId="1C6EB61F" w14:textId="77777777" w:rsidR="0041096E" w:rsidRPr="00F1014D" w:rsidRDefault="0041096E" w:rsidP="00230B24">
            <w:pPr>
              <w:widowControl w:val="0"/>
              <w:tabs>
                <w:tab w:val="clear" w:pos="567"/>
              </w:tabs>
              <w:autoSpaceDE w:val="0"/>
              <w:autoSpaceDN w:val="0"/>
              <w:spacing w:line="240" w:lineRule="auto"/>
              <w:rPr>
                <w:snapToGrid/>
                <w:szCs w:val="22"/>
                <w:lang w:val="lt-LT"/>
              </w:rPr>
            </w:pPr>
          </w:p>
        </w:tc>
        <w:tc>
          <w:tcPr>
            <w:tcW w:w="1000" w:type="pct"/>
          </w:tcPr>
          <w:p w14:paraId="5E4D9754" w14:textId="77777777" w:rsidR="0041096E" w:rsidRPr="007203A0" w:rsidRDefault="0041096E" w:rsidP="00230B24">
            <w:pPr>
              <w:widowControl w:val="0"/>
              <w:tabs>
                <w:tab w:val="clear" w:pos="567"/>
              </w:tabs>
              <w:autoSpaceDE w:val="0"/>
              <w:autoSpaceDN w:val="0"/>
              <w:spacing w:line="240" w:lineRule="auto"/>
              <w:rPr>
                <w:snapToGrid/>
                <w:szCs w:val="22"/>
                <w:lang w:val="lt-LT"/>
              </w:rPr>
            </w:pPr>
          </w:p>
        </w:tc>
        <w:tc>
          <w:tcPr>
            <w:tcW w:w="1001" w:type="pct"/>
          </w:tcPr>
          <w:p w14:paraId="61B36A13" w14:textId="77777777" w:rsidR="0041096E" w:rsidRPr="007203A0" w:rsidRDefault="0041096E" w:rsidP="00230B24">
            <w:pPr>
              <w:widowControl w:val="0"/>
              <w:tabs>
                <w:tab w:val="clear" w:pos="567"/>
              </w:tabs>
              <w:autoSpaceDE w:val="0"/>
              <w:autoSpaceDN w:val="0"/>
              <w:spacing w:line="240" w:lineRule="auto"/>
              <w:rPr>
                <w:snapToGrid/>
                <w:szCs w:val="22"/>
                <w:lang w:val="lt-LT"/>
              </w:rPr>
            </w:pPr>
          </w:p>
        </w:tc>
      </w:tr>
      <w:tr w:rsidR="0041096E" w:rsidRPr="00445827" w14:paraId="79C63F82" w14:textId="77777777" w:rsidTr="00230B24">
        <w:trPr>
          <w:trHeight w:val="254"/>
        </w:trPr>
        <w:tc>
          <w:tcPr>
            <w:tcW w:w="5000" w:type="pct"/>
            <w:gridSpan w:val="5"/>
          </w:tcPr>
          <w:p w14:paraId="06E77D80"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Inkstų ir šlapimo takų sutrikimai</w:t>
            </w:r>
          </w:p>
        </w:tc>
      </w:tr>
      <w:tr w:rsidR="0041096E" w:rsidRPr="00F86E80" w14:paraId="50377A65" w14:textId="77777777" w:rsidTr="00230B24">
        <w:trPr>
          <w:trHeight w:val="254"/>
        </w:trPr>
        <w:tc>
          <w:tcPr>
            <w:tcW w:w="1000" w:type="pct"/>
          </w:tcPr>
          <w:p w14:paraId="457F5E47" w14:textId="77777777" w:rsidR="0041096E" w:rsidRPr="00D8166E" w:rsidRDefault="0041096E" w:rsidP="00230B24">
            <w:pPr>
              <w:widowControl w:val="0"/>
              <w:tabs>
                <w:tab w:val="clear" w:pos="567"/>
              </w:tabs>
              <w:autoSpaceDE w:val="0"/>
              <w:autoSpaceDN w:val="0"/>
              <w:spacing w:line="240" w:lineRule="auto"/>
              <w:rPr>
                <w:lang w:val="lt-LT"/>
              </w:rPr>
            </w:pPr>
          </w:p>
        </w:tc>
        <w:tc>
          <w:tcPr>
            <w:tcW w:w="999" w:type="pct"/>
          </w:tcPr>
          <w:p w14:paraId="4250B3F7" w14:textId="77777777" w:rsidR="0041096E" w:rsidRPr="00D8166E" w:rsidRDefault="0041096E" w:rsidP="00230B24">
            <w:pPr>
              <w:widowControl w:val="0"/>
              <w:tabs>
                <w:tab w:val="clear" w:pos="567"/>
              </w:tabs>
              <w:autoSpaceDE w:val="0"/>
              <w:autoSpaceDN w:val="0"/>
              <w:spacing w:line="240" w:lineRule="auto"/>
              <w:rPr>
                <w:lang w:val="lt-LT"/>
              </w:rPr>
            </w:pPr>
          </w:p>
        </w:tc>
        <w:tc>
          <w:tcPr>
            <w:tcW w:w="1000" w:type="pct"/>
          </w:tcPr>
          <w:p w14:paraId="2D14F355" w14:textId="77777777" w:rsidR="0041096E" w:rsidRPr="005F48B8" w:rsidRDefault="0041096E" w:rsidP="00230B24">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Hematurija</w:t>
            </w:r>
            <w:proofErr w:type="spellEnd"/>
          </w:p>
        </w:tc>
        <w:tc>
          <w:tcPr>
            <w:tcW w:w="1000" w:type="pct"/>
          </w:tcPr>
          <w:p w14:paraId="17C7CD3D" w14:textId="77777777" w:rsidR="0041096E" w:rsidRPr="00D8166E" w:rsidRDefault="0041096E" w:rsidP="00230B24">
            <w:pPr>
              <w:widowControl w:val="0"/>
              <w:tabs>
                <w:tab w:val="clear" w:pos="567"/>
              </w:tabs>
              <w:autoSpaceDE w:val="0"/>
              <w:autoSpaceDN w:val="0"/>
              <w:spacing w:line="240" w:lineRule="auto"/>
              <w:rPr>
                <w:lang w:val="lt-LT"/>
              </w:rPr>
            </w:pPr>
          </w:p>
        </w:tc>
        <w:tc>
          <w:tcPr>
            <w:tcW w:w="1001" w:type="pct"/>
          </w:tcPr>
          <w:p w14:paraId="671949F7" w14:textId="77777777" w:rsidR="0041096E" w:rsidRPr="00D8166E" w:rsidRDefault="0041096E" w:rsidP="00230B24">
            <w:pPr>
              <w:widowControl w:val="0"/>
              <w:tabs>
                <w:tab w:val="clear" w:pos="567"/>
              </w:tabs>
              <w:autoSpaceDE w:val="0"/>
              <w:autoSpaceDN w:val="0"/>
              <w:spacing w:line="240" w:lineRule="auto"/>
              <w:rPr>
                <w:lang w:val="lt-LT"/>
              </w:rPr>
            </w:pPr>
          </w:p>
        </w:tc>
      </w:tr>
      <w:tr w:rsidR="0041096E" w:rsidRPr="00445827" w14:paraId="157C44BE" w14:textId="77777777" w:rsidTr="00230B24">
        <w:trPr>
          <w:trHeight w:val="251"/>
        </w:trPr>
        <w:tc>
          <w:tcPr>
            <w:tcW w:w="5000" w:type="pct"/>
            <w:gridSpan w:val="5"/>
          </w:tcPr>
          <w:p w14:paraId="7B5F6395"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Lytinės sistemos ir krūties sutrikimai</w:t>
            </w:r>
          </w:p>
        </w:tc>
      </w:tr>
      <w:tr w:rsidR="0041096E" w:rsidRPr="00F86E80" w14:paraId="3E1742D6" w14:textId="77777777" w:rsidTr="00230B24">
        <w:trPr>
          <w:trHeight w:val="1012"/>
        </w:trPr>
        <w:tc>
          <w:tcPr>
            <w:tcW w:w="1000" w:type="pct"/>
          </w:tcPr>
          <w:p w14:paraId="5B65D901"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999" w:type="pct"/>
          </w:tcPr>
          <w:p w14:paraId="6D42ED1A"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Kraujavimo iš gimdos sustiprėjimas</w:t>
            </w:r>
            <w:r w:rsidRPr="00D8166E">
              <w:rPr>
                <w:position w:val="8"/>
                <w:lang w:val="lt-LT"/>
              </w:rPr>
              <w:t>4</w:t>
            </w:r>
          </w:p>
        </w:tc>
        <w:tc>
          <w:tcPr>
            <w:tcW w:w="1000" w:type="pct"/>
          </w:tcPr>
          <w:p w14:paraId="3B8EF44F" w14:textId="77777777" w:rsidR="0041096E" w:rsidRPr="00D8166E" w:rsidRDefault="0041096E" w:rsidP="00230B24">
            <w:pPr>
              <w:widowControl w:val="0"/>
              <w:tabs>
                <w:tab w:val="clear" w:pos="567"/>
              </w:tabs>
              <w:autoSpaceDE w:val="0"/>
              <w:autoSpaceDN w:val="0"/>
              <w:spacing w:line="240" w:lineRule="auto"/>
              <w:rPr>
                <w:lang w:val="lt-LT"/>
              </w:rPr>
            </w:pPr>
            <w:proofErr w:type="spellStart"/>
            <w:r w:rsidRPr="005F48B8">
              <w:rPr>
                <w:snapToGrid/>
                <w:szCs w:val="22"/>
                <w:lang w:val="lt-LT"/>
              </w:rPr>
              <w:t>Priapizmas</w:t>
            </w:r>
            <w:proofErr w:type="spellEnd"/>
            <w:r w:rsidRPr="005F48B8">
              <w:rPr>
                <w:snapToGrid/>
                <w:szCs w:val="22"/>
                <w:lang w:val="lt-LT"/>
              </w:rPr>
              <w:t xml:space="preserve"> </w:t>
            </w:r>
            <w:r w:rsidRPr="00D8166E">
              <w:rPr>
                <w:position w:val="8"/>
                <w:lang w:val="lt-LT"/>
              </w:rPr>
              <w:t>5</w:t>
            </w:r>
          </w:p>
          <w:p w14:paraId="763F49E5" w14:textId="77777777" w:rsidR="0041096E" w:rsidRPr="005F48B8" w:rsidRDefault="0041096E" w:rsidP="00230B24">
            <w:pPr>
              <w:widowControl w:val="0"/>
              <w:tabs>
                <w:tab w:val="clear" w:pos="567"/>
              </w:tabs>
              <w:autoSpaceDE w:val="0"/>
              <w:autoSpaceDN w:val="0"/>
              <w:spacing w:before="1" w:line="240" w:lineRule="auto"/>
              <w:rPr>
                <w:snapToGrid/>
                <w:szCs w:val="22"/>
                <w:lang w:val="lt-LT"/>
              </w:rPr>
            </w:pPr>
            <w:r w:rsidRPr="005F48B8">
              <w:rPr>
                <w:snapToGrid/>
                <w:szCs w:val="22"/>
                <w:lang w:val="lt-LT"/>
              </w:rPr>
              <w:t>Kraujavimas iš varpos</w:t>
            </w:r>
          </w:p>
          <w:p w14:paraId="7502D62A" w14:textId="77777777" w:rsidR="0041096E" w:rsidRPr="008612DF" w:rsidRDefault="0041096E" w:rsidP="00230B24">
            <w:pPr>
              <w:widowControl w:val="0"/>
              <w:tabs>
                <w:tab w:val="clear" w:pos="567"/>
              </w:tabs>
              <w:autoSpaceDE w:val="0"/>
              <w:autoSpaceDN w:val="0"/>
              <w:spacing w:before="1" w:line="240" w:lineRule="auto"/>
              <w:rPr>
                <w:snapToGrid/>
                <w:szCs w:val="22"/>
                <w:lang w:val="lt-LT"/>
              </w:rPr>
            </w:pPr>
            <w:proofErr w:type="spellStart"/>
            <w:r w:rsidRPr="008612DF">
              <w:rPr>
                <w:snapToGrid/>
                <w:szCs w:val="22"/>
                <w:lang w:val="lt-LT"/>
              </w:rPr>
              <w:t>Hematospermija</w:t>
            </w:r>
            <w:proofErr w:type="spellEnd"/>
          </w:p>
        </w:tc>
        <w:tc>
          <w:tcPr>
            <w:tcW w:w="1000" w:type="pct"/>
          </w:tcPr>
          <w:p w14:paraId="08DF12C1" w14:textId="77777777" w:rsidR="0041096E" w:rsidRPr="002A25EF" w:rsidRDefault="0041096E" w:rsidP="00230B24">
            <w:pPr>
              <w:widowControl w:val="0"/>
              <w:tabs>
                <w:tab w:val="clear" w:pos="567"/>
              </w:tabs>
              <w:autoSpaceDE w:val="0"/>
              <w:autoSpaceDN w:val="0"/>
              <w:spacing w:line="240" w:lineRule="auto"/>
              <w:rPr>
                <w:snapToGrid/>
                <w:szCs w:val="22"/>
                <w:lang w:val="lt-LT"/>
              </w:rPr>
            </w:pPr>
          </w:p>
        </w:tc>
        <w:tc>
          <w:tcPr>
            <w:tcW w:w="1001" w:type="pct"/>
          </w:tcPr>
          <w:p w14:paraId="70DF3593" w14:textId="77777777" w:rsidR="0041096E" w:rsidRPr="0061385E" w:rsidRDefault="0041096E" w:rsidP="00230B24">
            <w:pPr>
              <w:widowControl w:val="0"/>
              <w:tabs>
                <w:tab w:val="clear" w:pos="567"/>
              </w:tabs>
              <w:autoSpaceDE w:val="0"/>
              <w:autoSpaceDN w:val="0"/>
              <w:spacing w:line="240" w:lineRule="auto"/>
              <w:rPr>
                <w:snapToGrid/>
                <w:szCs w:val="22"/>
                <w:lang w:val="lt-LT"/>
              </w:rPr>
            </w:pPr>
            <w:r w:rsidRPr="0061385E">
              <w:rPr>
                <w:snapToGrid/>
                <w:szCs w:val="22"/>
                <w:lang w:val="lt-LT"/>
              </w:rPr>
              <w:t>Ilgalaikė erekcija</w:t>
            </w:r>
          </w:p>
        </w:tc>
      </w:tr>
      <w:tr w:rsidR="0041096E" w:rsidRPr="00445827" w14:paraId="4E33E3BC" w14:textId="77777777" w:rsidTr="00230B24">
        <w:trPr>
          <w:trHeight w:val="254"/>
        </w:trPr>
        <w:tc>
          <w:tcPr>
            <w:tcW w:w="5000" w:type="pct"/>
            <w:gridSpan w:val="5"/>
          </w:tcPr>
          <w:p w14:paraId="1D6BDE17" w14:textId="77777777" w:rsidR="0041096E" w:rsidRPr="005F48B8" w:rsidRDefault="0041096E" w:rsidP="00230B24">
            <w:pPr>
              <w:widowControl w:val="0"/>
              <w:tabs>
                <w:tab w:val="clear" w:pos="567"/>
              </w:tabs>
              <w:autoSpaceDE w:val="0"/>
              <w:autoSpaceDN w:val="0"/>
              <w:spacing w:line="240" w:lineRule="auto"/>
              <w:rPr>
                <w:i/>
                <w:snapToGrid/>
                <w:szCs w:val="22"/>
                <w:lang w:val="lt-LT"/>
              </w:rPr>
            </w:pPr>
            <w:r w:rsidRPr="005F48B8">
              <w:rPr>
                <w:i/>
                <w:snapToGrid/>
                <w:szCs w:val="22"/>
                <w:lang w:val="lt-LT"/>
              </w:rPr>
              <w:t>Bendrieji sutrikimai ir vartojimo vietos pažeidimai</w:t>
            </w:r>
          </w:p>
        </w:tc>
      </w:tr>
      <w:tr w:rsidR="0041096E" w:rsidRPr="00F86E80" w14:paraId="2CAECF01" w14:textId="77777777" w:rsidTr="00230B24">
        <w:trPr>
          <w:trHeight w:val="757"/>
        </w:trPr>
        <w:tc>
          <w:tcPr>
            <w:tcW w:w="1000" w:type="pct"/>
          </w:tcPr>
          <w:p w14:paraId="37B472CC"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999" w:type="pct"/>
          </w:tcPr>
          <w:p w14:paraId="20A4CB3C" w14:textId="77777777" w:rsidR="0041096E" w:rsidRPr="005F48B8" w:rsidRDefault="0041096E" w:rsidP="00230B24">
            <w:pPr>
              <w:widowControl w:val="0"/>
              <w:tabs>
                <w:tab w:val="clear" w:pos="567"/>
              </w:tabs>
              <w:autoSpaceDE w:val="0"/>
              <w:autoSpaceDN w:val="0"/>
              <w:spacing w:line="240" w:lineRule="auto"/>
              <w:rPr>
                <w:snapToGrid/>
                <w:szCs w:val="22"/>
                <w:lang w:val="lt-LT"/>
              </w:rPr>
            </w:pPr>
            <w:r w:rsidRPr="005F48B8">
              <w:rPr>
                <w:snapToGrid/>
                <w:szCs w:val="22"/>
                <w:lang w:val="lt-LT"/>
              </w:rPr>
              <w:t>Veido edema Krūtinės</w:t>
            </w:r>
          </w:p>
          <w:p w14:paraId="6D158F71" w14:textId="77777777" w:rsidR="0041096E" w:rsidRPr="00D8166E" w:rsidRDefault="0041096E" w:rsidP="00230B24">
            <w:pPr>
              <w:widowControl w:val="0"/>
              <w:tabs>
                <w:tab w:val="clear" w:pos="567"/>
              </w:tabs>
              <w:autoSpaceDE w:val="0"/>
              <w:autoSpaceDN w:val="0"/>
              <w:spacing w:line="240" w:lineRule="auto"/>
              <w:rPr>
                <w:lang w:val="lt-LT"/>
              </w:rPr>
            </w:pPr>
            <w:r w:rsidRPr="005F48B8">
              <w:rPr>
                <w:snapToGrid/>
                <w:szCs w:val="22"/>
                <w:lang w:val="lt-LT"/>
              </w:rPr>
              <w:t xml:space="preserve">skausmas </w:t>
            </w:r>
            <w:r w:rsidRPr="00D8166E">
              <w:rPr>
                <w:position w:val="8"/>
                <w:lang w:val="lt-LT"/>
              </w:rPr>
              <w:t>2</w:t>
            </w:r>
          </w:p>
        </w:tc>
        <w:tc>
          <w:tcPr>
            <w:tcW w:w="1000" w:type="pct"/>
          </w:tcPr>
          <w:p w14:paraId="6F2CC94D" w14:textId="77777777" w:rsidR="0041096E" w:rsidRPr="005F48B8" w:rsidRDefault="0041096E" w:rsidP="00230B24">
            <w:pPr>
              <w:widowControl w:val="0"/>
              <w:tabs>
                <w:tab w:val="clear" w:pos="567"/>
              </w:tabs>
              <w:autoSpaceDE w:val="0"/>
              <w:autoSpaceDN w:val="0"/>
              <w:spacing w:line="240" w:lineRule="auto"/>
              <w:rPr>
                <w:snapToGrid/>
                <w:szCs w:val="22"/>
                <w:lang w:val="lt-LT"/>
              </w:rPr>
            </w:pPr>
          </w:p>
        </w:tc>
        <w:tc>
          <w:tcPr>
            <w:tcW w:w="1000" w:type="pct"/>
          </w:tcPr>
          <w:p w14:paraId="24337481" w14:textId="77777777" w:rsidR="0041096E" w:rsidRPr="008612DF" w:rsidRDefault="0041096E" w:rsidP="00230B24">
            <w:pPr>
              <w:widowControl w:val="0"/>
              <w:tabs>
                <w:tab w:val="clear" w:pos="567"/>
              </w:tabs>
              <w:autoSpaceDE w:val="0"/>
              <w:autoSpaceDN w:val="0"/>
              <w:spacing w:line="240" w:lineRule="auto"/>
              <w:rPr>
                <w:snapToGrid/>
                <w:szCs w:val="22"/>
                <w:lang w:val="lt-LT"/>
              </w:rPr>
            </w:pPr>
          </w:p>
        </w:tc>
        <w:tc>
          <w:tcPr>
            <w:tcW w:w="1001" w:type="pct"/>
          </w:tcPr>
          <w:p w14:paraId="65093122" w14:textId="77777777" w:rsidR="0041096E" w:rsidRPr="002A25EF" w:rsidRDefault="0041096E" w:rsidP="00230B24">
            <w:pPr>
              <w:widowControl w:val="0"/>
              <w:tabs>
                <w:tab w:val="clear" w:pos="567"/>
              </w:tabs>
              <w:autoSpaceDE w:val="0"/>
              <w:autoSpaceDN w:val="0"/>
              <w:spacing w:line="240" w:lineRule="auto"/>
              <w:rPr>
                <w:snapToGrid/>
                <w:szCs w:val="22"/>
                <w:lang w:val="lt-LT"/>
              </w:rPr>
            </w:pPr>
          </w:p>
        </w:tc>
      </w:tr>
    </w:tbl>
    <w:p w14:paraId="4948112F" w14:textId="77777777" w:rsidR="0041096E" w:rsidRPr="00D8166E" w:rsidRDefault="0041096E" w:rsidP="0041096E">
      <w:pPr>
        <w:widowControl w:val="0"/>
        <w:tabs>
          <w:tab w:val="clear" w:pos="567"/>
        </w:tabs>
        <w:autoSpaceDE w:val="0"/>
        <w:autoSpaceDN w:val="0"/>
        <w:spacing w:before="10" w:line="240" w:lineRule="auto"/>
        <w:rPr>
          <w:lang w:val="lt-LT"/>
        </w:rPr>
      </w:pPr>
    </w:p>
    <w:p w14:paraId="6CC81E46" w14:textId="77777777" w:rsidR="0041096E" w:rsidRPr="002A25EF" w:rsidRDefault="0041096E" w:rsidP="0041096E">
      <w:pPr>
        <w:widowControl w:val="0"/>
        <w:numPr>
          <w:ilvl w:val="0"/>
          <w:numId w:val="9"/>
        </w:numPr>
        <w:tabs>
          <w:tab w:val="clear" w:pos="567"/>
          <w:tab w:val="left" w:pos="689"/>
        </w:tabs>
        <w:autoSpaceDE w:val="0"/>
        <w:autoSpaceDN w:val="0"/>
        <w:spacing w:before="92" w:line="240" w:lineRule="auto"/>
        <w:rPr>
          <w:snapToGrid/>
          <w:szCs w:val="22"/>
          <w:lang w:val="lt-LT"/>
        </w:rPr>
      </w:pPr>
      <w:r w:rsidRPr="00D8166E">
        <w:rPr>
          <w:noProof/>
          <w:lang w:val="lt-LT" w:eastAsia="lt-LT"/>
        </w:rPr>
        <mc:AlternateContent>
          <mc:Choice Requires="wps">
            <w:drawing>
              <wp:anchor distT="0" distB="0" distL="114300" distR="114300" simplePos="0" relativeHeight="251659264" behindDoc="1" locked="0" layoutInCell="1" allowOverlap="1" wp14:anchorId="6432B775" wp14:editId="08B502BC">
                <wp:simplePos x="0" y="0"/>
                <wp:positionH relativeFrom="page">
                  <wp:posOffset>900430</wp:posOffset>
                </wp:positionH>
                <wp:positionV relativeFrom="paragraph">
                  <wp:posOffset>203835</wp:posOffset>
                </wp:positionV>
                <wp:extent cx="34925" cy="63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28B98" id="Rectangle 27" o:spid="_x0000_s1026" style="position:absolute;margin-left:70.9pt;margin-top:16.05pt;width:2.7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" fillcolor="black" stroked="f">
                <w10:wrap anchorx="page"/>
              </v:rect>
            </w:pict>
          </mc:Fallback>
        </mc:AlternateContent>
      </w:r>
      <w:r w:rsidRPr="005F48B8">
        <w:rPr>
          <w:snapToGrid/>
          <w:szCs w:val="22"/>
          <w:lang w:val="lt-LT"/>
        </w:rPr>
        <w:t xml:space="preserve">Reiškiniai, apie kuriuos nepranešta registracijos tyrimų metu ir jų dažnis negali būti įvertintas pagal turimus duomenis. Nepageidaujamos reakcijos į lentelę buvo įtrauktos, remiantis vaistinio preparato stebėsenos rinkoje arba klinikinių tyrimų, kurių metu </w:t>
      </w:r>
      <w:proofErr w:type="spellStart"/>
      <w:r w:rsidRPr="005F48B8">
        <w:rPr>
          <w:snapToGrid/>
          <w:szCs w:val="22"/>
          <w:lang w:val="lt-LT"/>
        </w:rPr>
        <w:t>tadalafili</w:t>
      </w:r>
      <w:r w:rsidRPr="008612DF">
        <w:rPr>
          <w:snapToGrid/>
          <w:szCs w:val="22"/>
          <w:lang w:val="lt-LT"/>
        </w:rPr>
        <w:t>s</w:t>
      </w:r>
      <w:proofErr w:type="spellEnd"/>
      <w:r w:rsidRPr="008612DF">
        <w:rPr>
          <w:snapToGrid/>
          <w:szCs w:val="22"/>
          <w:lang w:val="lt-LT"/>
        </w:rPr>
        <w:t xml:space="preserve"> vartotas erekcijos funkcijos sutrikim</w:t>
      </w:r>
      <w:r w:rsidRPr="002A25EF">
        <w:rPr>
          <w:snapToGrid/>
          <w:szCs w:val="22"/>
          <w:lang w:val="lt-LT"/>
        </w:rPr>
        <w:t>ui gydyti, duomenimis.</w:t>
      </w:r>
    </w:p>
    <w:p w14:paraId="543E5A57" w14:textId="77777777" w:rsidR="0041096E" w:rsidRPr="009840AD" w:rsidRDefault="0041096E" w:rsidP="0041096E">
      <w:pPr>
        <w:widowControl w:val="0"/>
        <w:numPr>
          <w:ilvl w:val="0"/>
          <w:numId w:val="9"/>
        </w:numPr>
        <w:tabs>
          <w:tab w:val="clear" w:pos="567"/>
          <w:tab w:val="left" w:pos="633"/>
        </w:tabs>
        <w:autoSpaceDE w:val="0"/>
        <w:autoSpaceDN w:val="0"/>
        <w:spacing w:before="1" w:line="240" w:lineRule="auto"/>
        <w:rPr>
          <w:snapToGrid/>
          <w:szCs w:val="22"/>
          <w:lang w:val="lt-LT"/>
        </w:rPr>
      </w:pPr>
      <w:r w:rsidRPr="0061385E">
        <w:rPr>
          <w:snapToGrid/>
          <w:szCs w:val="22"/>
          <w:lang w:val="lt-LT"/>
        </w:rPr>
        <w:t>Daugumai pacientų, kuriems pasireiškė reiškiniai, prieš pradedant tyrimą buvo kardiovaskulinės rizikos</w:t>
      </w:r>
      <w:r w:rsidRPr="009840AD">
        <w:rPr>
          <w:snapToGrid/>
          <w:spacing w:val="-1"/>
          <w:szCs w:val="22"/>
          <w:lang w:val="lt-LT"/>
        </w:rPr>
        <w:t xml:space="preserve"> </w:t>
      </w:r>
      <w:r w:rsidRPr="009840AD">
        <w:rPr>
          <w:snapToGrid/>
          <w:szCs w:val="22"/>
          <w:lang w:val="lt-LT"/>
        </w:rPr>
        <w:t>veiksnių.</w:t>
      </w:r>
    </w:p>
    <w:p w14:paraId="771C9FA2" w14:textId="77777777" w:rsidR="0041096E" w:rsidRPr="007203A0" w:rsidRDefault="0041096E" w:rsidP="0041096E">
      <w:pPr>
        <w:widowControl w:val="0"/>
        <w:numPr>
          <w:ilvl w:val="0"/>
          <w:numId w:val="9"/>
        </w:numPr>
        <w:tabs>
          <w:tab w:val="clear" w:pos="567"/>
          <w:tab w:val="left" w:pos="633"/>
        </w:tabs>
        <w:autoSpaceDE w:val="0"/>
        <w:autoSpaceDN w:val="0"/>
        <w:spacing w:line="240" w:lineRule="auto"/>
        <w:rPr>
          <w:snapToGrid/>
          <w:szCs w:val="22"/>
          <w:lang w:val="lt-LT"/>
        </w:rPr>
      </w:pPr>
      <w:r w:rsidRPr="00F1014D">
        <w:rPr>
          <w:snapToGrid/>
          <w:szCs w:val="22"/>
          <w:lang w:val="lt-LT"/>
        </w:rPr>
        <w:t xml:space="preserve">Apima tokius </w:t>
      </w:r>
      <w:proofErr w:type="spellStart"/>
      <w:r w:rsidRPr="00F1014D">
        <w:rPr>
          <w:i/>
          <w:snapToGrid/>
          <w:szCs w:val="22"/>
          <w:lang w:val="lt-LT"/>
        </w:rPr>
        <w:t>MedDRA</w:t>
      </w:r>
      <w:proofErr w:type="spellEnd"/>
      <w:r w:rsidRPr="00F1014D">
        <w:rPr>
          <w:i/>
          <w:snapToGrid/>
          <w:szCs w:val="22"/>
          <w:lang w:val="lt-LT"/>
        </w:rPr>
        <w:t xml:space="preserve"> </w:t>
      </w:r>
      <w:r w:rsidRPr="007203A0">
        <w:rPr>
          <w:snapToGrid/>
          <w:szCs w:val="22"/>
          <w:lang w:val="lt-LT"/>
        </w:rPr>
        <w:t>terminus: pilvo diskomfortas, pilvo skausmas, apatinės pilvo dalies skausmas, viršutinės pilvo dalies skausmas ir skrandžio</w:t>
      </w:r>
      <w:r w:rsidRPr="007203A0">
        <w:rPr>
          <w:snapToGrid/>
          <w:spacing w:val="-6"/>
          <w:szCs w:val="22"/>
          <w:lang w:val="lt-LT"/>
        </w:rPr>
        <w:t xml:space="preserve"> </w:t>
      </w:r>
      <w:r w:rsidRPr="007203A0">
        <w:rPr>
          <w:snapToGrid/>
          <w:szCs w:val="22"/>
          <w:lang w:val="lt-LT"/>
        </w:rPr>
        <w:t>diskomfortas.</w:t>
      </w:r>
    </w:p>
    <w:p w14:paraId="2024F680" w14:textId="77777777" w:rsidR="0041096E" w:rsidRPr="007203A0" w:rsidRDefault="0041096E" w:rsidP="0041096E">
      <w:pPr>
        <w:widowControl w:val="0"/>
        <w:numPr>
          <w:ilvl w:val="0"/>
          <w:numId w:val="9"/>
        </w:numPr>
        <w:tabs>
          <w:tab w:val="clear" w:pos="567"/>
          <w:tab w:val="left" w:pos="633"/>
        </w:tabs>
        <w:autoSpaceDE w:val="0"/>
        <w:autoSpaceDN w:val="0"/>
        <w:spacing w:line="240" w:lineRule="auto"/>
        <w:rPr>
          <w:snapToGrid/>
          <w:szCs w:val="22"/>
          <w:lang w:val="lt-LT"/>
        </w:rPr>
      </w:pPr>
      <w:r w:rsidRPr="007203A0">
        <w:rPr>
          <w:snapToGrid/>
          <w:szCs w:val="22"/>
          <w:lang w:val="lt-LT"/>
        </w:rPr>
        <w:t xml:space="preserve">Apima klinikinius ne </w:t>
      </w:r>
      <w:proofErr w:type="spellStart"/>
      <w:r w:rsidRPr="007203A0">
        <w:rPr>
          <w:i/>
          <w:snapToGrid/>
          <w:szCs w:val="22"/>
          <w:lang w:val="lt-LT"/>
        </w:rPr>
        <w:t>MedDRA</w:t>
      </w:r>
      <w:proofErr w:type="spellEnd"/>
      <w:r w:rsidRPr="007203A0">
        <w:rPr>
          <w:i/>
          <w:snapToGrid/>
          <w:szCs w:val="22"/>
          <w:lang w:val="lt-LT"/>
        </w:rPr>
        <w:t xml:space="preserve"> </w:t>
      </w:r>
      <w:r w:rsidRPr="007203A0">
        <w:rPr>
          <w:snapToGrid/>
          <w:szCs w:val="22"/>
          <w:lang w:val="lt-LT"/>
        </w:rPr>
        <w:t xml:space="preserve">terminus: nenormalus/pernelyg gausus menstruacinis kraujavimas, pavyzdžiui, </w:t>
      </w:r>
      <w:proofErr w:type="spellStart"/>
      <w:r w:rsidRPr="007203A0">
        <w:rPr>
          <w:snapToGrid/>
          <w:szCs w:val="22"/>
          <w:lang w:val="lt-LT"/>
        </w:rPr>
        <w:t>menoragija</w:t>
      </w:r>
      <w:proofErr w:type="spellEnd"/>
      <w:r w:rsidRPr="007203A0">
        <w:rPr>
          <w:snapToGrid/>
          <w:szCs w:val="22"/>
          <w:lang w:val="lt-LT"/>
        </w:rPr>
        <w:t xml:space="preserve">, </w:t>
      </w:r>
      <w:proofErr w:type="spellStart"/>
      <w:r w:rsidRPr="007203A0">
        <w:rPr>
          <w:snapToGrid/>
          <w:szCs w:val="22"/>
          <w:lang w:val="lt-LT"/>
        </w:rPr>
        <w:t>metroragija</w:t>
      </w:r>
      <w:proofErr w:type="spellEnd"/>
      <w:r w:rsidRPr="007203A0">
        <w:rPr>
          <w:snapToGrid/>
          <w:szCs w:val="22"/>
          <w:lang w:val="lt-LT"/>
        </w:rPr>
        <w:t xml:space="preserve">, </w:t>
      </w:r>
      <w:proofErr w:type="spellStart"/>
      <w:r w:rsidRPr="007203A0">
        <w:rPr>
          <w:snapToGrid/>
          <w:szCs w:val="22"/>
          <w:lang w:val="lt-LT"/>
        </w:rPr>
        <w:t>menometroragija</w:t>
      </w:r>
      <w:proofErr w:type="spellEnd"/>
      <w:r w:rsidRPr="007203A0">
        <w:rPr>
          <w:snapToGrid/>
          <w:szCs w:val="22"/>
          <w:lang w:val="lt-LT"/>
        </w:rPr>
        <w:t xml:space="preserve"> ar kraujavimas iš</w:t>
      </w:r>
      <w:r w:rsidRPr="007203A0">
        <w:rPr>
          <w:snapToGrid/>
          <w:spacing w:val="-8"/>
          <w:szCs w:val="22"/>
          <w:lang w:val="lt-LT"/>
        </w:rPr>
        <w:t xml:space="preserve"> </w:t>
      </w:r>
      <w:r w:rsidRPr="007203A0">
        <w:rPr>
          <w:snapToGrid/>
          <w:szCs w:val="22"/>
          <w:lang w:val="lt-LT"/>
        </w:rPr>
        <w:t>makšties.</w:t>
      </w:r>
    </w:p>
    <w:p w14:paraId="45114EA9" w14:textId="77777777" w:rsidR="0041096E" w:rsidRPr="007203A0" w:rsidRDefault="0041096E" w:rsidP="0041096E">
      <w:pPr>
        <w:widowControl w:val="0"/>
        <w:numPr>
          <w:ilvl w:val="0"/>
          <w:numId w:val="9"/>
        </w:numPr>
        <w:tabs>
          <w:tab w:val="clear" w:pos="567"/>
          <w:tab w:val="left" w:pos="632"/>
        </w:tabs>
        <w:autoSpaceDE w:val="0"/>
        <w:autoSpaceDN w:val="0"/>
        <w:spacing w:before="1" w:line="240" w:lineRule="auto"/>
        <w:rPr>
          <w:snapToGrid/>
          <w:szCs w:val="22"/>
          <w:lang w:val="lt-LT"/>
        </w:rPr>
      </w:pPr>
      <w:r w:rsidRPr="007203A0">
        <w:rPr>
          <w:snapToGrid/>
          <w:szCs w:val="22"/>
          <w:lang w:val="lt-LT"/>
        </w:rPr>
        <w:t xml:space="preserve">Nepageidaujamos reakcijos į lentelę buvo įtrauktos, remiantis vaistinio preparato stebėsenos rinkoje arba klinikinių tyrimų, kurių metu </w:t>
      </w:r>
      <w:proofErr w:type="spellStart"/>
      <w:r w:rsidRPr="007203A0">
        <w:rPr>
          <w:snapToGrid/>
          <w:szCs w:val="22"/>
          <w:lang w:val="lt-LT"/>
        </w:rPr>
        <w:t>tadalafilis</w:t>
      </w:r>
      <w:proofErr w:type="spellEnd"/>
      <w:r w:rsidRPr="007203A0">
        <w:rPr>
          <w:snapToGrid/>
          <w:szCs w:val="22"/>
          <w:lang w:val="lt-LT"/>
        </w:rPr>
        <w:t xml:space="preserve"> vartotas erekcijos funkcijos sutrikimui gydyti, duomenimis; be to, dažnio įvertinimas yra paremtas tik 1 ar 2 pacientais, kuriems nepageidaujama reakcija pasireiškė pagrindžiamojo placebu kontroliuojamo </w:t>
      </w:r>
      <w:proofErr w:type="spellStart"/>
      <w:r w:rsidRPr="007203A0">
        <w:rPr>
          <w:snapToGrid/>
          <w:szCs w:val="22"/>
          <w:lang w:val="lt-LT"/>
        </w:rPr>
        <w:t>tadalafilio</w:t>
      </w:r>
      <w:proofErr w:type="spellEnd"/>
      <w:r w:rsidRPr="007203A0">
        <w:rPr>
          <w:snapToGrid/>
          <w:szCs w:val="22"/>
          <w:lang w:val="lt-LT"/>
        </w:rPr>
        <w:t xml:space="preserve"> tyrimo</w:t>
      </w:r>
      <w:r w:rsidRPr="007203A0">
        <w:rPr>
          <w:snapToGrid/>
          <w:spacing w:val="-10"/>
          <w:szCs w:val="22"/>
          <w:lang w:val="lt-LT"/>
        </w:rPr>
        <w:t xml:space="preserve"> </w:t>
      </w:r>
      <w:r w:rsidRPr="007203A0">
        <w:rPr>
          <w:snapToGrid/>
          <w:szCs w:val="22"/>
          <w:lang w:val="lt-LT"/>
        </w:rPr>
        <w:t>metu.</w:t>
      </w:r>
    </w:p>
    <w:p w14:paraId="44039225" w14:textId="77777777" w:rsidR="0041096E" w:rsidRPr="007203A0" w:rsidRDefault="0041096E" w:rsidP="0041096E">
      <w:pPr>
        <w:widowControl w:val="0"/>
        <w:numPr>
          <w:ilvl w:val="0"/>
          <w:numId w:val="9"/>
        </w:numPr>
        <w:tabs>
          <w:tab w:val="clear" w:pos="567"/>
          <w:tab w:val="left" w:pos="632"/>
        </w:tabs>
        <w:autoSpaceDE w:val="0"/>
        <w:autoSpaceDN w:val="0"/>
        <w:spacing w:line="240" w:lineRule="auto"/>
        <w:rPr>
          <w:snapToGrid/>
          <w:szCs w:val="22"/>
          <w:lang w:val="lt-LT"/>
        </w:rPr>
      </w:pPr>
      <w:r w:rsidRPr="007203A0">
        <w:rPr>
          <w:snapToGrid/>
          <w:szCs w:val="22"/>
          <w:lang w:val="lt-LT"/>
        </w:rPr>
        <w:t>Nepageidaujama reakcija, apie kurią buvo pranešta dažniausiai, buvo galvos skausmas. Galvos skausmas gali pasireikšti gydymo pradžioje ir su laiku silpnėti, net gydymą</w:t>
      </w:r>
      <w:r w:rsidRPr="007203A0">
        <w:rPr>
          <w:snapToGrid/>
          <w:spacing w:val="-15"/>
          <w:szCs w:val="22"/>
          <w:lang w:val="lt-LT"/>
        </w:rPr>
        <w:t xml:space="preserve"> </w:t>
      </w:r>
      <w:r w:rsidRPr="007203A0">
        <w:rPr>
          <w:snapToGrid/>
          <w:szCs w:val="22"/>
          <w:lang w:val="lt-LT"/>
        </w:rPr>
        <w:t>tęsiat.</w:t>
      </w:r>
    </w:p>
    <w:p w14:paraId="580A6CBB" w14:textId="77777777" w:rsidR="0041096E" w:rsidRPr="007203A0" w:rsidRDefault="0041096E" w:rsidP="0041096E">
      <w:pPr>
        <w:autoSpaceDE w:val="0"/>
        <w:autoSpaceDN w:val="0"/>
        <w:adjustRightInd w:val="0"/>
        <w:spacing w:line="240" w:lineRule="auto"/>
        <w:rPr>
          <w:szCs w:val="22"/>
          <w:u w:val="single"/>
          <w:lang w:val="lt-LT"/>
        </w:rPr>
      </w:pPr>
    </w:p>
    <w:p w14:paraId="22FA333A" w14:textId="77777777" w:rsidR="0041096E" w:rsidRPr="007203A0" w:rsidRDefault="0041096E" w:rsidP="0041096E">
      <w:pPr>
        <w:autoSpaceDE w:val="0"/>
        <w:autoSpaceDN w:val="0"/>
        <w:adjustRightInd w:val="0"/>
        <w:snapToGrid w:val="0"/>
        <w:spacing w:line="240" w:lineRule="auto"/>
        <w:rPr>
          <w:snapToGrid/>
          <w:szCs w:val="22"/>
          <w:u w:val="single"/>
          <w:lang w:val="lt-LT"/>
        </w:rPr>
      </w:pPr>
      <w:r w:rsidRPr="007203A0">
        <w:rPr>
          <w:noProof/>
          <w:snapToGrid/>
          <w:szCs w:val="22"/>
          <w:u w:val="single"/>
          <w:lang w:val="lt-LT"/>
        </w:rPr>
        <w:t>Pranešimas apie įtariamas nepageidaujamas reakcijas</w:t>
      </w:r>
    </w:p>
    <w:p w14:paraId="738C041F" w14:textId="77777777" w:rsidR="0041096E" w:rsidRPr="005F48B8" w:rsidRDefault="0041096E" w:rsidP="0041096E">
      <w:pPr>
        <w:autoSpaceDE w:val="0"/>
        <w:autoSpaceDN w:val="0"/>
        <w:adjustRightInd w:val="0"/>
        <w:snapToGrid w:val="0"/>
        <w:spacing w:line="240" w:lineRule="auto"/>
        <w:rPr>
          <w:noProof/>
          <w:snapToGrid/>
          <w:szCs w:val="22"/>
          <w:lang w:val="lt-LT"/>
        </w:rPr>
      </w:pPr>
    </w:p>
    <w:p w14:paraId="5D87011C" w14:textId="77777777" w:rsidR="0041096E" w:rsidRPr="00942EF4" w:rsidRDefault="0041096E" w:rsidP="0041096E">
      <w:pPr>
        <w:spacing w:line="240" w:lineRule="auto"/>
        <w:rPr>
          <w:noProof/>
          <w:szCs w:val="22"/>
          <w:lang w:val="pt-PT"/>
        </w:rPr>
      </w:pPr>
      <w:r w:rsidRPr="00A94208">
        <w:rPr>
          <w:noProof/>
          <w:szCs w:val="22"/>
          <w:lang w:val="pt-PT"/>
        </w:rPr>
        <w:t>Svarbu pranešti apie įtariamas nepageidaujamas reakcijas, pastebėtas po vaistinio preparato registracijos, nes tai leidžia nuolat stebėti vaistinio preparato naudos ir rizikos santykį.</w:t>
      </w:r>
      <w:r w:rsidRPr="00A94208">
        <w:rPr>
          <w:szCs w:val="22"/>
          <w:lang w:val="pt-PT"/>
        </w:rPr>
        <w:t xml:space="preserve"> </w:t>
      </w:r>
      <w:r w:rsidRPr="00A94208">
        <w:rPr>
          <w:noProof/>
          <w:szCs w:val="22"/>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942EF4">
          <w:rPr>
            <w:rStyle w:val="Hipersaitas"/>
            <w:rFonts w:eastAsia="SimSun"/>
            <w:noProof/>
            <w:szCs w:val="22"/>
            <w:lang w:val="pt-PT"/>
          </w:rPr>
          <w:t>https://vapris.vvkt.lt/vvkt-web/public/nrvSpecialist</w:t>
        </w:r>
      </w:hyperlink>
      <w:r w:rsidRPr="00A94208">
        <w:rPr>
          <w:noProof/>
          <w:szCs w:val="22"/>
          <w:lang w:val="pt-PT"/>
        </w:rPr>
        <w:t xml:space="preserve"> arba užpildę Sveikatos priežiūros ar farmacijos specialisto pranešimo apie įtariamą nepageidaujamą reakciją (ĮNR) formą, kuri skelbiama </w:t>
      </w:r>
      <w:hyperlink r:id="rId12" w:history="1">
        <w:r w:rsidRPr="00942EF4">
          <w:rPr>
            <w:rStyle w:val="Hipersaitas"/>
            <w:rFonts w:eastAsia="SimSun"/>
            <w:noProof/>
            <w:szCs w:val="22"/>
            <w:lang w:val="pt-PT"/>
          </w:rPr>
          <w:t>https://www.vvkt.lt/index.php?1399030386</w:t>
        </w:r>
      </w:hyperlink>
      <w:r w:rsidRPr="00942EF4">
        <w:rPr>
          <w:noProof/>
          <w:szCs w:val="22"/>
          <w:lang w:val="pt-PT"/>
        </w:rPr>
        <w:t xml:space="preserve">, ir atsiųsti elektroniniu paštu (adresu </w:t>
      </w:r>
      <w:hyperlink r:id="rId13" w:history="1">
        <w:r w:rsidRPr="00942EF4">
          <w:rPr>
            <w:rStyle w:val="Hipersaitas"/>
            <w:noProof/>
            <w:szCs w:val="22"/>
            <w:lang w:val="pt-PT"/>
          </w:rPr>
          <w:t>NepageidaujamaR@vvkt.lt</w:t>
        </w:r>
      </w:hyperlink>
      <w:r w:rsidRPr="00942EF4">
        <w:rPr>
          <w:noProof/>
          <w:szCs w:val="22"/>
          <w:lang w:val="pt-PT"/>
        </w:rPr>
        <w:t>).</w:t>
      </w:r>
    </w:p>
    <w:p w14:paraId="1F428616" w14:textId="77777777" w:rsidR="0041096E" w:rsidRPr="00942EF4" w:rsidRDefault="0041096E" w:rsidP="0041096E">
      <w:pPr>
        <w:spacing w:line="240" w:lineRule="auto"/>
        <w:rPr>
          <w:szCs w:val="22"/>
          <w:lang w:val="pt-PT"/>
        </w:rPr>
      </w:pPr>
    </w:p>
    <w:p w14:paraId="561EB795" w14:textId="77777777" w:rsidR="0041096E" w:rsidRPr="002A25EF" w:rsidRDefault="0041096E" w:rsidP="0041096E">
      <w:pPr>
        <w:pStyle w:val="Antrat4"/>
        <w:spacing w:line="240" w:lineRule="auto"/>
        <w:jc w:val="left"/>
        <w:rPr>
          <w:rFonts w:ascii="Times New Roman" w:hAnsi="Times New Roman"/>
          <w:sz w:val="22"/>
          <w:szCs w:val="22"/>
          <w:lang w:val="lt-LT"/>
        </w:rPr>
      </w:pPr>
      <w:r w:rsidRPr="002A25EF">
        <w:rPr>
          <w:rFonts w:ascii="Times New Roman" w:hAnsi="Times New Roman"/>
          <w:sz w:val="22"/>
          <w:szCs w:val="22"/>
          <w:lang w:val="lt-LT"/>
        </w:rPr>
        <w:t>4.9</w:t>
      </w:r>
      <w:r w:rsidRPr="002A25EF">
        <w:rPr>
          <w:rFonts w:ascii="Times New Roman" w:hAnsi="Times New Roman"/>
          <w:sz w:val="22"/>
          <w:szCs w:val="22"/>
          <w:lang w:val="lt-LT"/>
        </w:rPr>
        <w:tab/>
        <w:t>Perdozavimas</w:t>
      </w:r>
    </w:p>
    <w:p w14:paraId="7375B4CE" w14:textId="77777777" w:rsidR="0041096E" w:rsidRPr="0061385E" w:rsidRDefault="0041096E" w:rsidP="0041096E">
      <w:pPr>
        <w:spacing w:line="240" w:lineRule="auto"/>
        <w:rPr>
          <w:szCs w:val="22"/>
          <w:lang w:val="lt-LT"/>
        </w:rPr>
      </w:pPr>
    </w:p>
    <w:p w14:paraId="05A62F56"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 xml:space="preserve">Sveiki suaugę tiriamieji gėrė ne didesnę kaip 500 mg vienkartinę dozę, pacientai, kuriems </w:t>
      </w:r>
      <w:r w:rsidRPr="009840AD">
        <w:rPr>
          <w:snapToGrid/>
          <w:szCs w:val="22"/>
          <w:lang w:val="lt-LT"/>
        </w:rPr>
        <w:lastRenderedPageBreak/>
        <w:t>diagnoz</w:t>
      </w:r>
      <w:r w:rsidRPr="00F1014D">
        <w:rPr>
          <w:snapToGrid/>
          <w:szCs w:val="22"/>
          <w:lang w:val="lt-LT"/>
        </w:rPr>
        <w:t>uotas erekcijos funkcijos sutrikimas, vartojo ne didesnes kaip 100 </w:t>
      </w:r>
      <w:r w:rsidRPr="007203A0">
        <w:rPr>
          <w:snapToGrid/>
          <w:szCs w:val="22"/>
          <w:lang w:val="lt-LT"/>
        </w:rPr>
        <w:t>mg kartotines paros dozes. Nepageidaujamos reakcijos buvo tokios pat, kaip vartojant mažesnes dozes.</w:t>
      </w:r>
    </w:p>
    <w:p w14:paraId="5372AA51" w14:textId="77777777" w:rsidR="0041096E" w:rsidRPr="00D8166E" w:rsidRDefault="0041096E" w:rsidP="0041096E">
      <w:pPr>
        <w:widowControl w:val="0"/>
        <w:tabs>
          <w:tab w:val="clear" w:pos="567"/>
        </w:tabs>
        <w:autoSpaceDE w:val="0"/>
        <w:autoSpaceDN w:val="0"/>
        <w:spacing w:before="9" w:line="240" w:lineRule="auto"/>
        <w:rPr>
          <w:lang w:val="lt-LT"/>
        </w:rPr>
      </w:pPr>
    </w:p>
    <w:p w14:paraId="70FCC87A" w14:textId="77777777" w:rsidR="0041096E" w:rsidRPr="002A25EF" w:rsidRDefault="0041096E" w:rsidP="0041096E">
      <w:pPr>
        <w:widowControl w:val="0"/>
        <w:tabs>
          <w:tab w:val="clear" w:pos="567"/>
        </w:tabs>
        <w:autoSpaceDE w:val="0"/>
        <w:autoSpaceDN w:val="0"/>
        <w:spacing w:before="1" w:line="240" w:lineRule="auto"/>
        <w:rPr>
          <w:snapToGrid/>
          <w:szCs w:val="22"/>
          <w:lang w:val="lt-LT"/>
        </w:rPr>
      </w:pPr>
      <w:r w:rsidRPr="005F48B8">
        <w:rPr>
          <w:snapToGrid/>
          <w:szCs w:val="22"/>
          <w:lang w:val="lt-LT"/>
        </w:rPr>
        <w:t xml:space="preserve">Perdozavus reikia gydyti įprastinėmis palaikomosiomis priemonėmis. Hemodializė </w:t>
      </w:r>
      <w:proofErr w:type="spellStart"/>
      <w:r w:rsidRPr="005F48B8">
        <w:rPr>
          <w:snapToGrid/>
          <w:szCs w:val="22"/>
          <w:lang w:val="lt-LT"/>
        </w:rPr>
        <w:t>tadalafilio</w:t>
      </w:r>
      <w:proofErr w:type="spellEnd"/>
      <w:r w:rsidRPr="005F48B8">
        <w:rPr>
          <w:snapToGrid/>
          <w:szCs w:val="22"/>
          <w:lang w:val="lt-LT"/>
        </w:rPr>
        <w:t xml:space="preserve"> </w:t>
      </w:r>
      <w:r w:rsidRPr="008612DF">
        <w:rPr>
          <w:snapToGrid/>
          <w:szCs w:val="22"/>
          <w:lang w:val="lt-LT"/>
        </w:rPr>
        <w:t>eliminaciją veikia nereikšmingai.</w:t>
      </w:r>
    </w:p>
    <w:p w14:paraId="2CA3F578" w14:textId="77777777" w:rsidR="0041096E" w:rsidRDefault="0041096E" w:rsidP="0041096E">
      <w:pPr>
        <w:spacing w:line="240" w:lineRule="auto"/>
        <w:rPr>
          <w:szCs w:val="22"/>
          <w:lang w:val="lt-LT"/>
        </w:rPr>
      </w:pPr>
    </w:p>
    <w:p w14:paraId="290CCDE5" w14:textId="77777777" w:rsidR="0041096E" w:rsidRPr="0061385E" w:rsidRDefault="0041096E" w:rsidP="0041096E">
      <w:pPr>
        <w:spacing w:line="240" w:lineRule="auto"/>
        <w:rPr>
          <w:szCs w:val="22"/>
          <w:lang w:val="lt-LT"/>
        </w:rPr>
      </w:pPr>
    </w:p>
    <w:p w14:paraId="6B4380BD" w14:textId="77777777" w:rsidR="0041096E" w:rsidRPr="009840AD" w:rsidRDefault="0041096E" w:rsidP="0041096E">
      <w:pPr>
        <w:pStyle w:val="Antrat3"/>
        <w:spacing w:before="0" w:after="0" w:line="240" w:lineRule="auto"/>
        <w:rPr>
          <w:rFonts w:ascii="Times New Roman" w:hAnsi="Times New Roman"/>
          <w:sz w:val="22"/>
          <w:szCs w:val="22"/>
          <w:lang w:val="lt-LT"/>
        </w:rPr>
      </w:pPr>
      <w:r w:rsidRPr="009840AD">
        <w:rPr>
          <w:rFonts w:ascii="Times New Roman" w:hAnsi="Times New Roman"/>
          <w:sz w:val="22"/>
          <w:szCs w:val="22"/>
          <w:lang w:val="lt-LT"/>
        </w:rPr>
        <w:t>5.</w:t>
      </w:r>
      <w:r w:rsidRPr="009840AD">
        <w:rPr>
          <w:rFonts w:ascii="Times New Roman" w:hAnsi="Times New Roman"/>
          <w:sz w:val="22"/>
          <w:szCs w:val="22"/>
          <w:lang w:val="lt-LT"/>
        </w:rPr>
        <w:tab/>
        <w:t>FARMAKOLOGINĖS SAVYBĖS</w:t>
      </w:r>
    </w:p>
    <w:p w14:paraId="17AEB57E" w14:textId="77777777" w:rsidR="0041096E" w:rsidRPr="00F1014D" w:rsidRDefault="0041096E" w:rsidP="0041096E">
      <w:pPr>
        <w:spacing w:line="240" w:lineRule="auto"/>
        <w:rPr>
          <w:szCs w:val="22"/>
          <w:lang w:val="lt-LT"/>
        </w:rPr>
      </w:pPr>
    </w:p>
    <w:p w14:paraId="24756CBB"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5.1</w:t>
      </w:r>
      <w:r w:rsidRPr="007203A0">
        <w:rPr>
          <w:rFonts w:ascii="Times New Roman" w:hAnsi="Times New Roman"/>
          <w:bCs w:val="0"/>
          <w:sz w:val="22"/>
          <w:szCs w:val="22"/>
          <w:lang w:val="lt-LT"/>
        </w:rPr>
        <w:t xml:space="preserve"> </w:t>
      </w:r>
      <w:r w:rsidRPr="007203A0">
        <w:rPr>
          <w:rFonts w:ascii="Times New Roman" w:hAnsi="Times New Roman"/>
          <w:sz w:val="22"/>
          <w:szCs w:val="22"/>
          <w:lang w:val="lt-LT"/>
        </w:rPr>
        <w:tab/>
      </w:r>
      <w:proofErr w:type="spellStart"/>
      <w:r w:rsidRPr="007203A0">
        <w:rPr>
          <w:rFonts w:ascii="Times New Roman" w:hAnsi="Times New Roman"/>
          <w:sz w:val="22"/>
          <w:szCs w:val="22"/>
          <w:lang w:val="lt-LT"/>
        </w:rPr>
        <w:t>Farmakodinaminės</w:t>
      </w:r>
      <w:proofErr w:type="spellEnd"/>
      <w:r w:rsidRPr="007203A0">
        <w:rPr>
          <w:rFonts w:ascii="Times New Roman" w:hAnsi="Times New Roman"/>
          <w:sz w:val="22"/>
          <w:szCs w:val="22"/>
          <w:lang w:val="lt-LT"/>
        </w:rPr>
        <w:t xml:space="preserve"> savybės</w:t>
      </w:r>
    </w:p>
    <w:p w14:paraId="47D90020" w14:textId="77777777" w:rsidR="0041096E" w:rsidRPr="007203A0" w:rsidRDefault="0041096E" w:rsidP="0041096E">
      <w:pPr>
        <w:spacing w:line="240" w:lineRule="auto"/>
        <w:rPr>
          <w:szCs w:val="22"/>
          <w:lang w:val="lt-LT"/>
        </w:rPr>
      </w:pPr>
    </w:p>
    <w:p w14:paraId="6AE69C52" w14:textId="77777777" w:rsidR="0041096E" w:rsidRPr="002A25EF"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Farmakoterapinė</w:t>
      </w:r>
      <w:proofErr w:type="spellEnd"/>
      <w:r w:rsidRPr="007203A0">
        <w:rPr>
          <w:snapToGrid/>
          <w:szCs w:val="22"/>
          <w:lang w:val="lt-LT"/>
        </w:rPr>
        <w:t xml:space="preserve"> grupė </w:t>
      </w:r>
      <w:r w:rsidRPr="007203A0">
        <w:rPr>
          <w:rFonts w:ascii="Symbol" w:hAnsi="Symbol"/>
          <w:snapToGrid/>
          <w:szCs w:val="22"/>
          <w:lang w:val="lt-LT"/>
        </w:rPr>
        <w:t></w:t>
      </w:r>
      <w:r w:rsidRPr="005F48B8">
        <w:rPr>
          <w:snapToGrid/>
          <w:szCs w:val="22"/>
          <w:lang w:val="lt-LT"/>
        </w:rPr>
        <w:t xml:space="preserve"> </w:t>
      </w:r>
      <w:proofErr w:type="spellStart"/>
      <w:r w:rsidRPr="005F48B8">
        <w:rPr>
          <w:snapToGrid/>
          <w:szCs w:val="22"/>
          <w:lang w:val="lt-LT"/>
        </w:rPr>
        <w:t>urogenitalinę</w:t>
      </w:r>
      <w:proofErr w:type="spellEnd"/>
      <w:r w:rsidRPr="005F48B8">
        <w:rPr>
          <w:snapToGrid/>
          <w:szCs w:val="22"/>
          <w:lang w:val="lt-LT"/>
        </w:rPr>
        <w:t xml:space="preserve"> sistemą veikiantys vaistiniai preparatai, vaistiniai preparatai nuo erekcijos disfunkcijos, ATC kodas – G04BE08</w:t>
      </w:r>
      <w:r w:rsidRPr="008612DF">
        <w:rPr>
          <w:snapToGrid/>
          <w:szCs w:val="22"/>
          <w:lang w:val="lt-LT"/>
        </w:rPr>
        <w:t>.</w:t>
      </w:r>
    </w:p>
    <w:p w14:paraId="2C07E7AE" w14:textId="77777777" w:rsidR="0041096E" w:rsidRPr="00D8166E" w:rsidRDefault="0041096E" w:rsidP="0041096E">
      <w:pPr>
        <w:widowControl w:val="0"/>
        <w:tabs>
          <w:tab w:val="clear" w:pos="567"/>
        </w:tabs>
        <w:autoSpaceDE w:val="0"/>
        <w:autoSpaceDN w:val="0"/>
        <w:spacing w:before="10" w:line="240" w:lineRule="auto"/>
        <w:rPr>
          <w:lang w:val="lt-LT"/>
        </w:rPr>
      </w:pPr>
    </w:p>
    <w:p w14:paraId="464FDBA5"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Veikimo mechanizmas</w:t>
      </w:r>
    </w:p>
    <w:p w14:paraId="00AA3631" w14:textId="77777777" w:rsidR="0041096E" w:rsidRPr="009840AD" w:rsidRDefault="0041096E" w:rsidP="0041096E">
      <w:pPr>
        <w:widowControl w:val="0"/>
        <w:tabs>
          <w:tab w:val="clear" w:pos="567"/>
        </w:tabs>
        <w:autoSpaceDE w:val="0"/>
        <w:autoSpaceDN w:val="0"/>
        <w:spacing w:line="240" w:lineRule="auto"/>
        <w:rPr>
          <w:snapToGrid/>
          <w:szCs w:val="22"/>
          <w:lang w:val="lt-LT"/>
        </w:rPr>
      </w:pPr>
      <w:proofErr w:type="spellStart"/>
      <w:r w:rsidRPr="008612DF">
        <w:rPr>
          <w:snapToGrid/>
          <w:szCs w:val="22"/>
          <w:lang w:val="lt-LT"/>
        </w:rPr>
        <w:t>Tadalafilis</w:t>
      </w:r>
      <w:proofErr w:type="spellEnd"/>
      <w:r w:rsidRPr="008612DF">
        <w:rPr>
          <w:snapToGrid/>
          <w:szCs w:val="22"/>
          <w:lang w:val="lt-LT"/>
        </w:rPr>
        <w:t xml:space="preserve"> stipriai selektyviai</w:t>
      </w:r>
      <w:r w:rsidRPr="002A25EF">
        <w:rPr>
          <w:snapToGrid/>
          <w:szCs w:val="22"/>
          <w:lang w:val="lt-LT"/>
        </w:rPr>
        <w:t xml:space="preserve"> slopina fermentą 5 tipo </w:t>
      </w:r>
      <w:proofErr w:type="spellStart"/>
      <w:r w:rsidRPr="002A25EF">
        <w:rPr>
          <w:snapToGrid/>
          <w:szCs w:val="22"/>
          <w:lang w:val="lt-LT"/>
        </w:rPr>
        <w:t>fosfodiesterazę</w:t>
      </w:r>
      <w:proofErr w:type="spellEnd"/>
      <w:r w:rsidRPr="002A25EF">
        <w:rPr>
          <w:snapToGrid/>
          <w:szCs w:val="22"/>
          <w:lang w:val="lt-LT"/>
        </w:rPr>
        <w:t xml:space="preserve"> (FDE5), kuri veikia ciklinio </w:t>
      </w:r>
      <w:proofErr w:type="spellStart"/>
      <w:r w:rsidRPr="002A25EF">
        <w:rPr>
          <w:snapToGrid/>
          <w:szCs w:val="22"/>
          <w:lang w:val="lt-LT"/>
        </w:rPr>
        <w:t>guanozino</w:t>
      </w:r>
      <w:proofErr w:type="spellEnd"/>
      <w:r w:rsidRPr="002A25EF">
        <w:rPr>
          <w:snapToGrid/>
          <w:szCs w:val="22"/>
          <w:lang w:val="lt-LT"/>
        </w:rPr>
        <w:t xml:space="preserve"> </w:t>
      </w:r>
      <w:proofErr w:type="spellStart"/>
      <w:r w:rsidRPr="002A25EF">
        <w:rPr>
          <w:snapToGrid/>
          <w:szCs w:val="22"/>
          <w:lang w:val="lt-LT"/>
        </w:rPr>
        <w:t>monofosfato</w:t>
      </w:r>
      <w:proofErr w:type="spellEnd"/>
      <w:r w:rsidRPr="002A25EF">
        <w:rPr>
          <w:snapToGrid/>
          <w:szCs w:val="22"/>
          <w:lang w:val="lt-LT"/>
        </w:rPr>
        <w:t xml:space="preserve"> (</w:t>
      </w:r>
      <w:proofErr w:type="spellStart"/>
      <w:r w:rsidRPr="002A25EF">
        <w:rPr>
          <w:snapToGrid/>
          <w:szCs w:val="22"/>
          <w:lang w:val="lt-LT"/>
        </w:rPr>
        <w:t>cGMF</w:t>
      </w:r>
      <w:proofErr w:type="spellEnd"/>
      <w:r w:rsidRPr="002A25EF">
        <w:rPr>
          <w:snapToGrid/>
          <w:szCs w:val="22"/>
          <w:lang w:val="lt-LT"/>
        </w:rPr>
        <w:t xml:space="preserve">) suirimą. </w:t>
      </w:r>
      <w:proofErr w:type="spellStart"/>
      <w:r w:rsidRPr="002A25EF">
        <w:rPr>
          <w:snapToGrid/>
          <w:szCs w:val="22"/>
          <w:lang w:val="lt-LT"/>
        </w:rPr>
        <w:t>Plautinės</w:t>
      </w:r>
      <w:proofErr w:type="spellEnd"/>
      <w:r w:rsidRPr="002A25EF">
        <w:rPr>
          <w:snapToGrid/>
          <w:szCs w:val="22"/>
          <w:lang w:val="lt-LT"/>
        </w:rPr>
        <w:t xml:space="preserve"> arterinės hipertenzijos atveju būna sutrikęs azoto oksido išsiskyrimas iš </w:t>
      </w:r>
      <w:proofErr w:type="spellStart"/>
      <w:r w:rsidRPr="002A25EF">
        <w:rPr>
          <w:snapToGrid/>
          <w:szCs w:val="22"/>
          <w:lang w:val="lt-LT"/>
        </w:rPr>
        <w:t>endotelio</w:t>
      </w:r>
      <w:proofErr w:type="spellEnd"/>
      <w:r w:rsidRPr="002A25EF">
        <w:rPr>
          <w:snapToGrid/>
          <w:szCs w:val="22"/>
          <w:lang w:val="lt-LT"/>
        </w:rPr>
        <w:t>, dėl to plauč</w:t>
      </w:r>
      <w:r w:rsidRPr="0061385E">
        <w:rPr>
          <w:snapToGrid/>
          <w:szCs w:val="22"/>
          <w:lang w:val="lt-LT"/>
        </w:rPr>
        <w:t xml:space="preserve">ių kraujagyslių lygiuosiuose raumenyse būna sumažėjusi </w:t>
      </w:r>
      <w:proofErr w:type="spellStart"/>
      <w:r w:rsidRPr="0061385E">
        <w:rPr>
          <w:snapToGrid/>
          <w:szCs w:val="22"/>
          <w:lang w:val="lt-LT"/>
        </w:rPr>
        <w:t>cGMF</w:t>
      </w:r>
      <w:proofErr w:type="spellEnd"/>
      <w:r w:rsidRPr="0061385E">
        <w:rPr>
          <w:snapToGrid/>
          <w:szCs w:val="22"/>
          <w:lang w:val="lt-LT"/>
        </w:rPr>
        <w:t xml:space="preserve"> koncentracija. FDE5 yra pagrindinė plaučių kraujagyslių </w:t>
      </w:r>
      <w:proofErr w:type="spellStart"/>
      <w:r w:rsidRPr="0061385E">
        <w:rPr>
          <w:snapToGrid/>
          <w:szCs w:val="22"/>
          <w:lang w:val="lt-LT"/>
        </w:rPr>
        <w:t>fosfodiesterazė</w:t>
      </w:r>
      <w:proofErr w:type="spellEnd"/>
      <w:r w:rsidRPr="0061385E">
        <w:rPr>
          <w:snapToGrid/>
          <w:szCs w:val="22"/>
          <w:lang w:val="lt-LT"/>
        </w:rPr>
        <w:t xml:space="preserve">. Dėl </w:t>
      </w:r>
      <w:proofErr w:type="spellStart"/>
      <w:r w:rsidRPr="0061385E">
        <w:rPr>
          <w:snapToGrid/>
          <w:szCs w:val="22"/>
          <w:lang w:val="lt-LT"/>
        </w:rPr>
        <w:t>tadalafilio</w:t>
      </w:r>
      <w:proofErr w:type="spellEnd"/>
      <w:r w:rsidRPr="0061385E">
        <w:rPr>
          <w:snapToGrid/>
          <w:szCs w:val="22"/>
          <w:lang w:val="lt-LT"/>
        </w:rPr>
        <w:t xml:space="preserve"> sukelto FDE5 slopinimo, padidėja </w:t>
      </w:r>
      <w:proofErr w:type="spellStart"/>
      <w:r w:rsidRPr="0061385E">
        <w:rPr>
          <w:snapToGrid/>
          <w:szCs w:val="22"/>
          <w:lang w:val="lt-LT"/>
        </w:rPr>
        <w:t>cGMF</w:t>
      </w:r>
      <w:proofErr w:type="spellEnd"/>
      <w:r w:rsidRPr="0061385E">
        <w:rPr>
          <w:snapToGrid/>
          <w:szCs w:val="22"/>
          <w:lang w:val="lt-LT"/>
        </w:rPr>
        <w:t xml:space="preserve"> koncentracija, dėl to atsipalaiduoja plaučių kraujagyslių lygiej</w:t>
      </w:r>
      <w:r w:rsidRPr="009840AD">
        <w:rPr>
          <w:snapToGrid/>
          <w:szCs w:val="22"/>
          <w:lang w:val="lt-LT"/>
        </w:rPr>
        <w:t>i raumenys ir plaučių kraujagyslės išsiplečia.</w:t>
      </w:r>
    </w:p>
    <w:p w14:paraId="1CEDA2D6" w14:textId="77777777" w:rsidR="0041096E" w:rsidRPr="00F1014D" w:rsidRDefault="0041096E" w:rsidP="0041096E">
      <w:pPr>
        <w:widowControl w:val="0"/>
        <w:tabs>
          <w:tab w:val="clear" w:pos="567"/>
        </w:tabs>
        <w:autoSpaceDE w:val="0"/>
        <w:autoSpaceDN w:val="0"/>
        <w:spacing w:line="240" w:lineRule="auto"/>
        <w:rPr>
          <w:snapToGrid/>
          <w:szCs w:val="22"/>
          <w:lang w:val="lt-LT"/>
        </w:rPr>
      </w:pPr>
    </w:p>
    <w:p w14:paraId="638CA596"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u w:val="single"/>
          <w:lang w:val="lt-LT"/>
        </w:rPr>
        <w:t>Farmakodinaminis</w:t>
      </w:r>
      <w:proofErr w:type="spellEnd"/>
      <w:r w:rsidRPr="007203A0">
        <w:rPr>
          <w:snapToGrid/>
          <w:szCs w:val="22"/>
          <w:u w:val="single"/>
          <w:lang w:val="lt-LT"/>
        </w:rPr>
        <w:t xml:space="preserve"> poveikis</w:t>
      </w:r>
    </w:p>
    <w:p w14:paraId="25B9598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Tyrimais </w:t>
      </w:r>
      <w:proofErr w:type="spellStart"/>
      <w:r w:rsidRPr="007203A0">
        <w:rPr>
          <w:i/>
          <w:snapToGrid/>
          <w:szCs w:val="22"/>
          <w:lang w:val="lt-LT"/>
        </w:rPr>
        <w:t>in</w:t>
      </w:r>
      <w:proofErr w:type="spellEnd"/>
      <w:r w:rsidRPr="007203A0">
        <w:rPr>
          <w:i/>
          <w:snapToGrid/>
          <w:szCs w:val="22"/>
          <w:lang w:val="lt-LT"/>
        </w:rPr>
        <w:t xml:space="preserve"> </w:t>
      </w:r>
      <w:proofErr w:type="spellStart"/>
      <w:r w:rsidRPr="007203A0">
        <w:rPr>
          <w:i/>
          <w:snapToGrid/>
          <w:szCs w:val="22"/>
          <w:lang w:val="lt-LT"/>
        </w:rPr>
        <w:t>vitro</w:t>
      </w:r>
      <w:proofErr w:type="spellEnd"/>
      <w:r w:rsidRPr="007203A0">
        <w:rPr>
          <w:i/>
          <w:snapToGrid/>
          <w:szCs w:val="22"/>
          <w:lang w:val="lt-LT"/>
        </w:rPr>
        <w:t xml:space="preserve"> </w:t>
      </w:r>
      <w:r w:rsidRPr="007203A0">
        <w:rPr>
          <w:snapToGrid/>
          <w:szCs w:val="22"/>
          <w:lang w:val="lt-LT"/>
        </w:rPr>
        <w:t xml:space="preserve">įrodyta, kad </w:t>
      </w:r>
      <w:proofErr w:type="spellStart"/>
      <w:r w:rsidRPr="007203A0">
        <w:rPr>
          <w:snapToGrid/>
          <w:szCs w:val="22"/>
          <w:lang w:val="lt-LT"/>
        </w:rPr>
        <w:t>tadalafilis</w:t>
      </w:r>
      <w:proofErr w:type="spellEnd"/>
      <w:r w:rsidRPr="007203A0">
        <w:rPr>
          <w:snapToGrid/>
          <w:szCs w:val="22"/>
          <w:lang w:val="lt-LT"/>
        </w:rPr>
        <w:t xml:space="preserve"> selektyviai slopina FDE5. FDE5 yra fermentas, kurio būna lygiuosiuose akytkūnio, kraujagyslių ir vidaus organų raumenyse, griaučių raumenyse, trombocituose, inkstuose, plaučiuose ir smegenėlėse. FDE5 </w:t>
      </w:r>
      <w:proofErr w:type="spellStart"/>
      <w:r w:rsidRPr="007203A0">
        <w:rPr>
          <w:snapToGrid/>
          <w:szCs w:val="22"/>
          <w:lang w:val="lt-LT"/>
        </w:rPr>
        <w:t>tadalafilis</w:t>
      </w:r>
      <w:proofErr w:type="spellEnd"/>
      <w:r w:rsidRPr="007203A0">
        <w:rPr>
          <w:snapToGrid/>
          <w:szCs w:val="22"/>
          <w:lang w:val="lt-LT"/>
        </w:rPr>
        <w:t xml:space="preserve"> veikia daug stipriau negu kitas </w:t>
      </w:r>
      <w:proofErr w:type="spellStart"/>
      <w:r w:rsidRPr="007203A0">
        <w:rPr>
          <w:snapToGrid/>
          <w:szCs w:val="22"/>
          <w:lang w:val="lt-LT"/>
        </w:rPr>
        <w:t>fosfodiesterazes</w:t>
      </w:r>
      <w:proofErr w:type="spellEnd"/>
      <w:r w:rsidRPr="007203A0">
        <w:rPr>
          <w:snapToGrid/>
          <w:szCs w:val="22"/>
          <w:lang w:val="lt-LT"/>
        </w:rPr>
        <w:t xml:space="preserve">. FDE5 jis veikia &gt; 10 000 kartų stipriau nei FDE1, FDE2 ar FDE4, kurių yra širdyje, smegenyse, kraujagyslėse, kepenyse ir kituose organuose. FDE5 preparatas veikia &gt; 10 000 kartų stipriau nei FDE3, kurio yra širdyje ir kraujagyslėse. Kad jis labiau veikia ne FDE3, bet FDE5, yra svarbu, nes FDE3 dalyvauja susitraukiant širdžiai. FDE5 </w:t>
      </w:r>
      <w:proofErr w:type="spellStart"/>
      <w:r w:rsidRPr="007203A0">
        <w:rPr>
          <w:snapToGrid/>
          <w:szCs w:val="22"/>
          <w:lang w:val="lt-LT"/>
        </w:rPr>
        <w:t>tadalafilis</w:t>
      </w:r>
      <w:proofErr w:type="spellEnd"/>
      <w:r w:rsidRPr="007203A0">
        <w:rPr>
          <w:snapToGrid/>
          <w:szCs w:val="22"/>
          <w:lang w:val="lt-LT"/>
        </w:rPr>
        <w:t xml:space="preserve"> veikia maždaug 700 kartų stipriau nei FDE6, t. y. fermentą, kurio yra tinklainėje ir kuris dalyvauja šviesos perdavime. Be to, FDE5 </w:t>
      </w:r>
      <w:proofErr w:type="spellStart"/>
      <w:r w:rsidRPr="007203A0">
        <w:rPr>
          <w:snapToGrid/>
          <w:szCs w:val="22"/>
          <w:lang w:val="lt-LT"/>
        </w:rPr>
        <w:t>tadalafilis</w:t>
      </w:r>
      <w:proofErr w:type="spellEnd"/>
      <w:r w:rsidRPr="007203A0">
        <w:rPr>
          <w:snapToGrid/>
          <w:szCs w:val="22"/>
          <w:lang w:val="lt-LT"/>
        </w:rPr>
        <w:t xml:space="preserve"> veikia &gt; 10 000 kartų stipriau nei FDE7-FDE10. </w:t>
      </w:r>
    </w:p>
    <w:p w14:paraId="52AC4CBC"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708A71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Klinikinis veiksmingumas ir saugumas</w:t>
      </w:r>
    </w:p>
    <w:p w14:paraId="61FEA1D9" w14:textId="77777777" w:rsidR="0041096E" w:rsidRPr="007203A0" w:rsidRDefault="0041096E" w:rsidP="0041096E">
      <w:pPr>
        <w:widowControl w:val="0"/>
        <w:tabs>
          <w:tab w:val="clear" w:pos="567"/>
        </w:tabs>
        <w:autoSpaceDE w:val="0"/>
        <w:autoSpaceDN w:val="0"/>
        <w:spacing w:before="4" w:line="240" w:lineRule="auto"/>
        <w:rPr>
          <w:i/>
          <w:snapToGrid/>
          <w:szCs w:val="22"/>
          <w:lang w:val="lt-LT"/>
        </w:rPr>
      </w:pPr>
      <w:r w:rsidRPr="007203A0">
        <w:rPr>
          <w:i/>
          <w:snapToGrid/>
          <w:szCs w:val="22"/>
          <w:lang w:val="lt-LT"/>
        </w:rPr>
        <w:t xml:space="preserve">Veiksmingumas pacientams, kurie serga </w:t>
      </w:r>
      <w:proofErr w:type="spellStart"/>
      <w:r w:rsidRPr="007203A0">
        <w:rPr>
          <w:i/>
          <w:snapToGrid/>
          <w:szCs w:val="22"/>
          <w:lang w:val="lt-LT"/>
        </w:rPr>
        <w:t>plautine</w:t>
      </w:r>
      <w:proofErr w:type="spellEnd"/>
      <w:r w:rsidRPr="007203A0">
        <w:rPr>
          <w:i/>
          <w:snapToGrid/>
          <w:szCs w:val="22"/>
          <w:lang w:val="lt-LT"/>
        </w:rPr>
        <w:t xml:space="preserve"> arterine hipertenzija (PAH)</w:t>
      </w:r>
    </w:p>
    <w:p w14:paraId="0093FE24"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Dvigubai aklu būdu atliktas atsitiktinių imčių placebu kontroliuojamasis tyrimas, kuriame dalyvavo 405 pacientai, kuriems diagnozuota </w:t>
      </w:r>
      <w:proofErr w:type="spellStart"/>
      <w:r w:rsidRPr="007203A0">
        <w:rPr>
          <w:snapToGrid/>
          <w:szCs w:val="22"/>
          <w:lang w:val="lt-LT"/>
        </w:rPr>
        <w:t>plautinė</w:t>
      </w:r>
      <w:proofErr w:type="spellEnd"/>
      <w:r w:rsidRPr="007203A0">
        <w:rPr>
          <w:snapToGrid/>
          <w:szCs w:val="22"/>
          <w:lang w:val="lt-LT"/>
        </w:rPr>
        <w:t xml:space="preserve"> arterinė hipertenzija. Pagal pagrindinio gydymo planą buvo galima vartoti </w:t>
      </w:r>
      <w:proofErr w:type="spellStart"/>
      <w:r w:rsidRPr="007203A0">
        <w:rPr>
          <w:snapToGrid/>
          <w:szCs w:val="22"/>
          <w:lang w:val="lt-LT"/>
        </w:rPr>
        <w:t>bozentaną</w:t>
      </w:r>
      <w:proofErr w:type="spellEnd"/>
      <w:r w:rsidRPr="007203A0">
        <w:rPr>
          <w:snapToGrid/>
          <w:szCs w:val="22"/>
          <w:lang w:val="lt-LT"/>
        </w:rPr>
        <w:t xml:space="preserve"> (pastovią palaikomąją dozę iki 125 mg du kartus per parą) ir taikyti ilgalaikį gydymą antikoaguliantais, </w:t>
      </w:r>
      <w:proofErr w:type="spellStart"/>
      <w:r w:rsidRPr="007203A0">
        <w:rPr>
          <w:snapToGrid/>
          <w:szCs w:val="22"/>
          <w:lang w:val="lt-LT"/>
        </w:rPr>
        <w:t>digoksinu</w:t>
      </w:r>
      <w:proofErr w:type="spellEnd"/>
      <w:r w:rsidRPr="007203A0">
        <w:rPr>
          <w:snapToGrid/>
          <w:szCs w:val="22"/>
          <w:lang w:val="lt-LT"/>
        </w:rPr>
        <w:t xml:space="preserve">, diuretikais ir deguonimi. Daugiau nei pusė (53,3 %) pacientų kartu buvo gydyti </w:t>
      </w:r>
      <w:proofErr w:type="spellStart"/>
      <w:r w:rsidRPr="007203A0">
        <w:rPr>
          <w:snapToGrid/>
          <w:szCs w:val="22"/>
          <w:lang w:val="lt-LT"/>
        </w:rPr>
        <w:t>bozentanu</w:t>
      </w:r>
      <w:proofErr w:type="spellEnd"/>
      <w:r w:rsidRPr="007203A0">
        <w:rPr>
          <w:snapToGrid/>
          <w:szCs w:val="22"/>
          <w:lang w:val="lt-LT"/>
        </w:rPr>
        <w:t>.</w:t>
      </w:r>
    </w:p>
    <w:p w14:paraId="48896BAB" w14:textId="77777777" w:rsidR="0041096E" w:rsidRPr="00D8166E" w:rsidRDefault="0041096E" w:rsidP="0041096E">
      <w:pPr>
        <w:widowControl w:val="0"/>
        <w:tabs>
          <w:tab w:val="clear" w:pos="567"/>
        </w:tabs>
        <w:autoSpaceDE w:val="0"/>
        <w:autoSpaceDN w:val="0"/>
        <w:spacing w:before="10" w:line="240" w:lineRule="auto"/>
        <w:rPr>
          <w:lang w:val="lt-LT"/>
        </w:rPr>
      </w:pPr>
    </w:p>
    <w:p w14:paraId="5AF448A0"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Pacientai atsitiktiniu būdu buvo priskirti vienai iš penkių gydymo grupių (2,5 </w:t>
      </w:r>
      <w:r w:rsidRPr="002A25EF">
        <w:rPr>
          <w:snapToGrid/>
          <w:szCs w:val="22"/>
          <w:lang w:val="lt-LT"/>
        </w:rPr>
        <w:t>mg, 10 </w:t>
      </w:r>
      <w:r w:rsidRPr="0061385E">
        <w:rPr>
          <w:snapToGrid/>
          <w:szCs w:val="22"/>
          <w:lang w:val="lt-LT"/>
        </w:rPr>
        <w:t>mg, 20</w:t>
      </w:r>
      <w:r w:rsidRPr="009840AD">
        <w:rPr>
          <w:snapToGrid/>
          <w:szCs w:val="22"/>
          <w:lang w:val="lt-LT"/>
        </w:rPr>
        <w:t> </w:t>
      </w:r>
      <w:r w:rsidRPr="009840AD">
        <w:rPr>
          <w:snapToGrid/>
          <w:spacing w:val="-3"/>
          <w:szCs w:val="22"/>
          <w:lang w:val="lt-LT"/>
        </w:rPr>
        <w:t xml:space="preserve">mg, </w:t>
      </w:r>
      <w:r w:rsidRPr="009840AD">
        <w:rPr>
          <w:snapToGrid/>
          <w:szCs w:val="22"/>
          <w:lang w:val="lt-LT"/>
        </w:rPr>
        <w:t>40</w:t>
      </w:r>
      <w:r w:rsidRPr="00F1014D">
        <w:rPr>
          <w:snapToGrid/>
          <w:szCs w:val="22"/>
          <w:lang w:val="lt-LT"/>
        </w:rPr>
        <w:t> </w:t>
      </w:r>
      <w:r w:rsidRPr="007203A0">
        <w:rPr>
          <w:snapToGrid/>
          <w:szCs w:val="22"/>
          <w:lang w:val="lt-LT"/>
        </w:rPr>
        <w:t xml:space="preserve">mg </w:t>
      </w:r>
      <w:proofErr w:type="spellStart"/>
      <w:r w:rsidRPr="007203A0">
        <w:rPr>
          <w:snapToGrid/>
          <w:szCs w:val="22"/>
          <w:lang w:val="lt-LT"/>
        </w:rPr>
        <w:t>tadalafilio</w:t>
      </w:r>
      <w:proofErr w:type="spellEnd"/>
      <w:r w:rsidRPr="007203A0">
        <w:rPr>
          <w:snapToGrid/>
          <w:szCs w:val="22"/>
          <w:lang w:val="lt-LT"/>
        </w:rPr>
        <w:t xml:space="preserve"> arba placebo). Pacientai buvo ne jaunesni kaip 12 metų ir jiems buvo</w:t>
      </w:r>
      <w:r w:rsidRPr="007203A0">
        <w:rPr>
          <w:snapToGrid/>
          <w:spacing w:val="-27"/>
          <w:szCs w:val="22"/>
          <w:lang w:val="lt-LT"/>
        </w:rPr>
        <w:t xml:space="preserve"> </w:t>
      </w:r>
      <w:r w:rsidRPr="007203A0">
        <w:rPr>
          <w:snapToGrid/>
          <w:szCs w:val="22"/>
          <w:lang w:val="lt-LT"/>
        </w:rPr>
        <w:t>diagnozuota</w:t>
      </w:r>
    </w:p>
    <w:p w14:paraId="68930EB2"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PAH, kuri buvo idiopatinė arba susijusi su </w:t>
      </w:r>
      <w:proofErr w:type="spellStart"/>
      <w:r w:rsidRPr="007203A0">
        <w:rPr>
          <w:snapToGrid/>
          <w:szCs w:val="22"/>
          <w:lang w:val="lt-LT"/>
        </w:rPr>
        <w:t>kolagenoze</w:t>
      </w:r>
      <w:proofErr w:type="spellEnd"/>
      <w:r w:rsidRPr="007203A0">
        <w:rPr>
          <w:snapToGrid/>
          <w:szCs w:val="22"/>
          <w:lang w:val="lt-LT"/>
        </w:rPr>
        <w:t xml:space="preserve">, apetitą mažinančių vaistų vartojimu, žmogaus imunodeficito viruso (ŽIV) infekcija, prieširdžių pertvaros defektu ar ne anksčiau kaip po vienerių metų po chirurginės įgimto sisteminės </w:t>
      </w:r>
      <w:proofErr w:type="spellStart"/>
      <w:r w:rsidRPr="007203A0">
        <w:rPr>
          <w:snapToGrid/>
          <w:szCs w:val="22"/>
          <w:lang w:val="lt-LT"/>
        </w:rPr>
        <w:t>plautinės</w:t>
      </w:r>
      <w:proofErr w:type="spellEnd"/>
      <w:r w:rsidRPr="007203A0">
        <w:rPr>
          <w:snapToGrid/>
          <w:szCs w:val="22"/>
          <w:lang w:val="lt-LT"/>
        </w:rPr>
        <w:t xml:space="preserve"> kraujotakos šunto koregavimo operacijos (pavyzdžiui, skilvelių pertvaros defekto, atviro arterinio latako). Vidutinis visų pacientų amžius buvo 54 metai (nuo 14 iki 90 metų), daugumą iš jų sudarė europidai (80,5 %) ir moterys (78,3 %). Pagal etiologiją, </w:t>
      </w:r>
      <w:proofErr w:type="spellStart"/>
      <w:r w:rsidRPr="007203A0">
        <w:rPr>
          <w:snapToGrid/>
          <w:szCs w:val="22"/>
          <w:lang w:val="lt-LT"/>
        </w:rPr>
        <w:t>plautinė</w:t>
      </w:r>
      <w:proofErr w:type="spellEnd"/>
      <w:r w:rsidRPr="007203A0">
        <w:rPr>
          <w:snapToGrid/>
          <w:szCs w:val="22"/>
          <w:lang w:val="lt-LT"/>
        </w:rPr>
        <w:t xml:space="preserve"> arterinė hipertenzija (PAH) dažniausiai buvo idiopatinė PAH (61,0 %) arba susijusi su kolageno (kraujagyslių) liga (23,5 %). Daugumai pacientų pagal Pasaulinę sveikatos organizaciją (PSO) diagnozuota III (65,2 %) arba II (32,1 %) funkcinės klasės sutrikimas. Prieš pradedant tyrimą vidutinis 6 minučių ėjimo mėginio (6MĖM) atstumas buvo 343,6 metrai.</w:t>
      </w:r>
    </w:p>
    <w:p w14:paraId="6CA7A412" w14:textId="77777777" w:rsidR="0041096E" w:rsidRPr="00D8166E" w:rsidRDefault="0041096E" w:rsidP="0041096E">
      <w:pPr>
        <w:widowControl w:val="0"/>
        <w:tabs>
          <w:tab w:val="clear" w:pos="567"/>
        </w:tabs>
        <w:autoSpaceDE w:val="0"/>
        <w:autoSpaceDN w:val="0"/>
        <w:spacing w:before="11" w:line="240" w:lineRule="auto"/>
        <w:rPr>
          <w:lang w:val="lt-LT"/>
        </w:rPr>
      </w:pPr>
    </w:p>
    <w:p w14:paraId="764E2578"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Pirminė veiksmingumo vertinamoji baigtis buvo 6 minučių ėjimo mėginio (6MĖM) atstum</w:t>
      </w:r>
      <w:r w:rsidRPr="008612DF">
        <w:rPr>
          <w:snapToGrid/>
          <w:szCs w:val="22"/>
          <w:lang w:val="lt-LT"/>
        </w:rPr>
        <w:t>o pokytis 16-tą savaitę, palyginti su pradiniu. Tik vartojant 40 </w:t>
      </w:r>
      <w:r w:rsidRPr="002A25EF">
        <w:rPr>
          <w:snapToGrid/>
          <w:szCs w:val="22"/>
          <w:lang w:val="lt-LT"/>
        </w:rPr>
        <w:t xml:space="preserve">mg </w:t>
      </w:r>
      <w:proofErr w:type="spellStart"/>
      <w:r w:rsidRPr="002A25EF">
        <w:rPr>
          <w:snapToGrid/>
          <w:szCs w:val="22"/>
          <w:lang w:val="lt-LT"/>
        </w:rPr>
        <w:t>tadalafilio</w:t>
      </w:r>
      <w:proofErr w:type="spellEnd"/>
      <w:r w:rsidRPr="002A25EF">
        <w:rPr>
          <w:snapToGrid/>
          <w:szCs w:val="22"/>
          <w:lang w:val="lt-LT"/>
        </w:rPr>
        <w:t xml:space="preserve"> dozę, buvo pasiektas pagal protokolą numatyto reikšmingumo vidutinis 6MĖM pailgėjimas, koreguotas placebu, 26 metrais</w:t>
      </w:r>
    </w:p>
    <w:p w14:paraId="2F007231"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 xml:space="preserve">(p = 0,0004; 95 % PI: 9,5, 44,0; prieš tyrimą numatytu </w:t>
      </w:r>
      <w:proofErr w:type="spellStart"/>
      <w:r w:rsidRPr="00F86E80">
        <w:rPr>
          <w:i/>
          <w:snapToGrid/>
          <w:szCs w:val="22"/>
          <w:lang w:val="lt-LT"/>
        </w:rPr>
        <w:t>Hodges-Lehman</w:t>
      </w:r>
      <w:proofErr w:type="spellEnd"/>
      <w:r w:rsidRPr="005F48B8">
        <w:rPr>
          <w:snapToGrid/>
          <w:szCs w:val="22"/>
          <w:lang w:val="lt-LT"/>
        </w:rPr>
        <w:t xml:space="preserve"> metodu) lygis (vidutiniškai 33 </w:t>
      </w:r>
      <w:r w:rsidRPr="005F48B8">
        <w:rPr>
          <w:snapToGrid/>
          <w:szCs w:val="22"/>
          <w:lang w:val="lt-LT"/>
        </w:rPr>
        <w:lastRenderedPageBreak/>
        <w:t>metrai, 95% PI: 15,2, 50,3). Ėjimo atstumas pradėjo ilgėti nuo 8 gydymo savaitės. Reikšmingas 6MĖM pailgėjimas (p &lt; 0,01) nustatytas 12-tą savaitę, kai pacientų buvo pa</w:t>
      </w:r>
      <w:r w:rsidRPr="008612DF">
        <w:rPr>
          <w:snapToGrid/>
          <w:szCs w:val="22"/>
          <w:lang w:val="lt-LT"/>
        </w:rPr>
        <w:t>prašyta išgerti tiriamąjį vaistinį preparatą v</w:t>
      </w:r>
      <w:r w:rsidRPr="002A25EF">
        <w:rPr>
          <w:snapToGrid/>
          <w:szCs w:val="22"/>
          <w:lang w:val="lt-LT"/>
        </w:rPr>
        <w:t>ėliau, kad būtų galima parodyti veikliosios medžiagos koncentracijas. Pogrupiuose pagal amžių, lytį, PAH etiologiją ir pradinę funkcinę klasę pagal PSO bei 6MĖM tyrimo duomenys dažniausiai atitiko. Placebu kore</w:t>
      </w:r>
      <w:r w:rsidRPr="0061385E">
        <w:rPr>
          <w:snapToGrid/>
          <w:szCs w:val="22"/>
          <w:lang w:val="lt-LT"/>
        </w:rPr>
        <w:t>guotas vidutinis 6</w:t>
      </w:r>
      <w:r w:rsidRPr="009840AD">
        <w:rPr>
          <w:snapToGrid/>
          <w:szCs w:val="22"/>
          <w:lang w:val="lt-LT"/>
        </w:rPr>
        <w:t>MĖM pailgėjimas buvo 17 metrų (p = 0,09; 95</w:t>
      </w:r>
      <w:r w:rsidRPr="009840AD">
        <w:rPr>
          <w:snapToGrid/>
          <w:spacing w:val="-24"/>
          <w:szCs w:val="22"/>
          <w:lang w:val="lt-LT"/>
        </w:rPr>
        <w:t xml:space="preserve"> </w:t>
      </w:r>
      <w:r w:rsidRPr="009840AD">
        <w:rPr>
          <w:snapToGrid/>
          <w:szCs w:val="22"/>
          <w:lang w:val="lt-LT"/>
        </w:rPr>
        <w:t xml:space="preserve">% PI: : -7,1, 43,0; prieš tyrimą numatytu </w:t>
      </w:r>
      <w:proofErr w:type="spellStart"/>
      <w:r w:rsidRPr="00F86E80">
        <w:rPr>
          <w:i/>
          <w:snapToGrid/>
          <w:szCs w:val="22"/>
          <w:lang w:val="lt-LT"/>
        </w:rPr>
        <w:t>Hodges-Lehman</w:t>
      </w:r>
      <w:proofErr w:type="spellEnd"/>
      <w:r w:rsidRPr="005F48B8">
        <w:rPr>
          <w:snapToGrid/>
          <w:szCs w:val="22"/>
          <w:lang w:val="lt-LT"/>
        </w:rPr>
        <w:t xml:space="preserve"> metodu) (vidutiniškai 23 metrai, 95 % PI; -2,4, 47,8) pacientams, kurie vartojo 40 mg </w:t>
      </w:r>
      <w:proofErr w:type="spellStart"/>
      <w:r w:rsidRPr="005F48B8">
        <w:rPr>
          <w:snapToGrid/>
          <w:szCs w:val="22"/>
          <w:lang w:val="lt-LT"/>
        </w:rPr>
        <w:t>tadalafilio</w:t>
      </w:r>
      <w:proofErr w:type="spellEnd"/>
      <w:r w:rsidRPr="005F48B8">
        <w:rPr>
          <w:snapToGrid/>
          <w:szCs w:val="22"/>
          <w:lang w:val="lt-LT"/>
        </w:rPr>
        <w:t xml:space="preserve"> papildomai kartu su </w:t>
      </w:r>
      <w:proofErr w:type="spellStart"/>
      <w:r w:rsidRPr="005F48B8">
        <w:rPr>
          <w:snapToGrid/>
          <w:szCs w:val="22"/>
          <w:lang w:val="lt-LT"/>
        </w:rPr>
        <w:t>bozentanu</w:t>
      </w:r>
      <w:proofErr w:type="spellEnd"/>
      <w:r w:rsidRPr="005F48B8">
        <w:rPr>
          <w:snapToGrid/>
          <w:szCs w:val="22"/>
          <w:lang w:val="lt-LT"/>
        </w:rPr>
        <w:t xml:space="preserve"> (n = 39) </w:t>
      </w:r>
      <w:r w:rsidRPr="008612DF">
        <w:rPr>
          <w:snapToGrid/>
          <w:szCs w:val="22"/>
          <w:lang w:val="lt-LT"/>
        </w:rPr>
        <w:t>ir 39 metrai (p &lt; 0,01, 95 % PI:13,0, 66,0; pr</w:t>
      </w:r>
      <w:r w:rsidRPr="002A25EF">
        <w:rPr>
          <w:snapToGrid/>
          <w:szCs w:val="22"/>
          <w:lang w:val="lt-LT"/>
        </w:rPr>
        <w:t xml:space="preserve">ieš tyrimą numatytu </w:t>
      </w:r>
      <w:proofErr w:type="spellStart"/>
      <w:r w:rsidRPr="00F86E80">
        <w:rPr>
          <w:i/>
          <w:snapToGrid/>
          <w:szCs w:val="22"/>
          <w:lang w:val="lt-LT"/>
        </w:rPr>
        <w:t>Hodges-Lehman</w:t>
      </w:r>
      <w:proofErr w:type="spellEnd"/>
      <w:r w:rsidRPr="005F48B8">
        <w:rPr>
          <w:snapToGrid/>
          <w:szCs w:val="22"/>
          <w:lang w:val="lt-LT"/>
        </w:rPr>
        <w:t xml:space="preserve"> metodu) (vidutiniškai 44 metrai, 95 % PI: 19,7, 69,0) pacientams, kurie vartojo 40 mg vieno </w:t>
      </w:r>
      <w:proofErr w:type="spellStart"/>
      <w:r w:rsidRPr="005F48B8">
        <w:rPr>
          <w:snapToGrid/>
          <w:szCs w:val="22"/>
          <w:lang w:val="lt-LT"/>
        </w:rPr>
        <w:t>tadalafilio</w:t>
      </w:r>
      <w:proofErr w:type="spellEnd"/>
      <w:r w:rsidRPr="005F48B8">
        <w:rPr>
          <w:snapToGrid/>
          <w:szCs w:val="22"/>
          <w:lang w:val="lt-LT"/>
        </w:rPr>
        <w:t xml:space="preserve"> (n = 37).</w:t>
      </w:r>
    </w:p>
    <w:p w14:paraId="3F29968C" w14:textId="77777777" w:rsidR="0041096E" w:rsidRPr="008612DF" w:rsidRDefault="0041096E" w:rsidP="0041096E">
      <w:pPr>
        <w:widowControl w:val="0"/>
        <w:tabs>
          <w:tab w:val="clear" w:pos="567"/>
        </w:tabs>
        <w:autoSpaceDE w:val="0"/>
        <w:autoSpaceDN w:val="0"/>
        <w:spacing w:before="2" w:line="240" w:lineRule="auto"/>
        <w:rPr>
          <w:snapToGrid/>
          <w:szCs w:val="22"/>
          <w:lang w:val="lt-LT"/>
        </w:rPr>
      </w:pPr>
    </w:p>
    <w:p w14:paraId="39813D0B"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2A25EF">
        <w:rPr>
          <w:snapToGrid/>
          <w:szCs w:val="22"/>
          <w:lang w:val="lt-LT"/>
        </w:rPr>
        <w:t xml:space="preserve">Funkcinė klasė pagal PSO 16-tą savaitę pagerėjo panašiai daliai 40 mg </w:t>
      </w:r>
      <w:proofErr w:type="spellStart"/>
      <w:r w:rsidRPr="002A25EF">
        <w:rPr>
          <w:snapToGrid/>
          <w:szCs w:val="22"/>
          <w:lang w:val="lt-LT"/>
        </w:rPr>
        <w:t>tadalafilio</w:t>
      </w:r>
      <w:proofErr w:type="spellEnd"/>
      <w:r w:rsidRPr="002A25EF">
        <w:rPr>
          <w:snapToGrid/>
          <w:szCs w:val="22"/>
          <w:lang w:val="lt-LT"/>
        </w:rPr>
        <w:t xml:space="preserve"> ir placebo grupės pacient</w:t>
      </w:r>
      <w:r w:rsidRPr="0061385E">
        <w:rPr>
          <w:snapToGrid/>
          <w:szCs w:val="22"/>
          <w:lang w:val="lt-LT"/>
        </w:rPr>
        <w:t xml:space="preserve">ų (23 %, palyginti su 21 %). Klinikinės būklės pasunkėjimo 16-tą savaitę dažnis pacientų, vartojusių 40 mg </w:t>
      </w:r>
      <w:proofErr w:type="spellStart"/>
      <w:r w:rsidRPr="0061385E">
        <w:rPr>
          <w:snapToGrid/>
          <w:szCs w:val="22"/>
          <w:lang w:val="lt-LT"/>
        </w:rPr>
        <w:t>tadalafilio</w:t>
      </w:r>
      <w:proofErr w:type="spellEnd"/>
      <w:r w:rsidRPr="0061385E">
        <w:rPr>
          <w:snapToGrid/>
          <w:szCs w:val="22"/>
          <w:lang w:val="lt-LT"/>
        </w:rPr>
        <w:t xml:space="preserve">, buvo mažesnis (5 %; 4 iš 79 pacientų) nei placebo grupėje (16 %; 13 iš 82 pacientų). Pokytis pagal </w:t>
      </w:r>
      <w:proofErr w:type="spellStart"/>
      <w:r w:rsidRPr="00F86E80">
        <w:rPr>
          <w:i/>
          <w:snapToGrid/>
          <w:szCs w:val="22"/>
          <w:lang w:val="lt-LT"/>
        </w:rPr>
        <w:t>Borg</w:t>
      </w:r>
      <w:proofErr w:type="spellEnd"/>
      <w:r w:rsidRPr="005F48B8">
        <w:rPr>
          <w:snapToGrid/>
          <w:szCs w:val="22"/>
          <w:lang w:val="lt-LT"/>
        </w:rPr>
        <w:t xml:space="preserve"> dusulio skalę buvo mažas ir nereikšmingas ir placebo, ir 40</w:t>
      </w:r>
      <w:r w:rsidRPr="008612DF">
        <w:rPr>
          <w:snapToGrid/>
          <w:szCs w:val="22"/>
          <w:lang w:val="lt-LT"/>
        </w:rPr>
        <w:t> </w:t>
      </w:r>
      <w:r w:rsidRPr="002A25EF">
        <w:rPr>
          <w:snapToGrid/>
          <w:szCs w:val="22"/>
          <w:lang w:val="lt-LT"/>
        </w:rPr>
        <w:t xml:space="preserve">mg </w:t>
      </w:r>
      <w:proofErr w:type="spellStart"/>
      <w:r w:rsidRPr="002A25EF">
        <w:rPr>
          <w:snapToGrid/>
          <w:szCs w:val="22"/>
          <w:lang w:val="lt-LT"/>
        </w:rPr>
        <w:t>tadalafilio</w:t>
      </w:r>
      <w:proofErr w:type="spellEnd"/>
      <w:r w:rsidRPr="002A25EF">
        <w:rPr>
          <w:snapToGrid/>
          <w:szCs w:val="22"/>
          <w:lang w:val="lt-LT"/>
        </w:rPr>
        <w:t xml:space="preserve"> grupėje.</w:t>
      </w:r>
    </w:p>
    <w:p w14:paraId="2E0FB413" w14:textId="77777777" w:rsidR="0041096E" w:rsidRPr="00D8166E" w:rsidRDefault="0041096E" w:rsidP="0041096E">
      <w:pPr>
        <w:widowControl w:val="0"/>
        <w:tabs>
          <w:tab w:val="clear" w:pos="567"/>
        </w:tabs>
        <w:autoSpaceDE w:val="0"/>
        <w:autoSpaceDN w:val="0"/>
        <w:spacing w:before="10" w:line="240" w:lineRule="auto"/>
        <w:rPr>
          <w:lang w:val="lt-LT"/>
        </w:rPr>
      </w:pPr>
    </w:p>
    <w:p w14:paraId="2B7C1804"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Be to, vartojant 40 </w:t>
      </w:r>
      <w:r w:rsidRPr="002A25EF">
        <w:rPr>
          <w:snapToGrid/>
          <w:szCs w:val="22"/>
          <w:lang w:val="lt-LT"/>
        </w:rPr>
        <w:t xml:space="preserve">mg </w:t>
      </w:r>
      <w:proofErr w:type="spellStart"/>
      <w:r w:rsidRPr="002A25EF">
        <w:rPr>
          <w:snapToGrid/>
          <w:szCs w:val="22"/>
          <w:lang w:val="lt-LT"/>
        </w:rPr>
        <w:t>tadalafilio</w:t>
      </w:r>
      <w:proofErr w:type="spellEnd"/>
      <w:r w:rsidRPr="002A25EF">
        <w:rPr>
          <w:snapToGrid/>
          <w:szCs w:val="22"/>
          <w:lang w:val="lt-LT"/>
        </w:rPr>
        <w:t xml:space="preserve"> dozę, palyginti su placebu, nustatytas fizinio funkcionavimo, fizinės būklės, fizinio skausmo, bendrosios sveikatos, gyv</w:t>
      </w:r>
      <w:r w:rsidRPr="0061385E">
        <w:rPr>
          <w:snapToGrid/>
          <w:szCs w:val="22"/>
          <w:lang w:val="lt-LT"/>
        </w:rPr>
        <w:t>ybingumo ir socialinio funkcionavimo domenų pagal SF-36 pagerėjimas. Nebuvo emocinio ir protinio domenų pagal SF-36 pagerėjimo. Vartojant</w:t>
      </w:r>
    </w:p>
    <w:p w14:paraId="52B2267F"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 xml:space="preserve">40 mg </w:t>
      </w:r>
      <w:proofErr w:type="spellStart"/>
      <w:r w:rsidRPr="009840AD">
        <w:rPr>
          <w:snapToGrid/>
          <w:szCs w:val="22"/>
          <w:lang w:val="lt-LT"/>
        </w:rPr>
        <w:t>tadalafilio</w:t>
      </w:r>
      <w:proofErr w:type="spellEnd"/>
      <w:r w:rsidRPr="009840AD">
        <w:rPr>
          <w:snapToGrid/>
          <w:szCs w:val="22"/>
          <w:lang w:val="lt-LT"/>
        </w:rPr>
        <w:t xml:space="preserve"> dozę, palyginti su placebu, nustatytas judrumo, apsitarnavimo, įprastinės veiklos, skausmo/dis</w:t>
      </w:r>
      <w:r w:rsidRPr="00F1014D">
        <w:rPr>
          <w:snapToGrid/>
          <w:szCs w:val="22"/>
          <w:lang w:val="lt-LT"/>
        </w:rPr>
        <w:t xml:space="preserve">komforto, nerimo/depresijos dedamųjų pagerėjimas pagal </w:t>
      </w:r>
      <w:proofErr w:type="spellStart"/>
      <w:r w:rsidRPr="00F1014D">
        <w:rPr>
          <w:snapToGrid/>
          <w:szCs w:val="22"/>
          <w:lang w:val="lt-LT"/>
        </w:rPr>
        <w:t>EuroQol</w:t>
      </w:r>
      <w:proofErr w:type="spellEnd"/>
      <w:r w:rsidRPr="00F1014D">
        <w:rPr>
          <w:snapToGrid/>
          <w:szCs w:val="22"/>
          <w:lang w:val="lt-LT"/>
        </w:rPr>
        <w:t xml:space="preserve"> (EQ-5D) Jungtinių Amerikos Valstijų ir Jungtinės Karalystės indekso balą bei regimosios analogijos skalę (angl., </w:t>
      </w:r>
      <w:proofErr w:type="spellStart"/>
      <w:r w:rsidRPr="00F1014D">
        <w:rPr>
          <w:i/>
          <w:snapToGrid/>
          <w:szCs w:val="22"/>
          <w:lang w:val="lt-LT"/>
        </w:rPr>
        <w:t>The</w:t>
      </w:r>
      <w:proofErr w:type="spellEnd"/>
      <w:r w:rsidRPr="00F1014D">
        <w:rPr>
          <w:i/>
          <w:snapToGrid/>
          <w:szCs w:val="22"/>
          <w:lang w:val="lt-LT"/>
        </w:rPr>
        <w:t xml:space="preserve"> </w:t>
      </w:r>
      <w:proofErr w:type="spellStart"/>
      <w:r w:rsidRPr="00F1014D">
        <w:rPr>
          <w:i/>
          <w:snapToGrid/>
          <w:szCs w:val="22"/>
          <w:lang w:val="lt-LT"/>
        </w:rPr>
        <w:t>visual</w:t>
      </w:r>
      <w:proofErr w:type="spellEnd"/>
      <w:r w:rsidRPr="00F1014D">
        <w:rPr>
          <w:i/>
          <w:snapToGrid/>
          <w:szCs w:val="22"/>
          <w:lang w:val="lt-LT"/>
        </w:rPr>
        <w:t xml:space="preserve"> </w:t>
      </w:r>
      <w:proofErr w:type="spellStart"/>
      <w:r w:rsidRPr="00F1014D">
        <w:rPr>
          <w:i/>
          <w:snapToGrid/>
          <w:szCs w:val="22"/>
          <w:lang w:val="lt-LT"/>
        </w:rPr>
        <w:t>analogue</w:t>
      </w:r>
      <w:proofErr w:type="spellEnd"/>
      <w:r w:rsidRPr="00F1014D">
        <w:rPr>
          <w:i/>
          <w:snapToGrid/>
          <w:szCs w:val="22"/>
          <w:lang w:val="lt-LT"/>
        </w:rPr>
        <w:t xml:space="preserve"> </w:t>
      </w:r>
      <w:proofErr w:type="spellStart"/>
      <w:r w:rsidRPr="00F1014D">
        <w:rPr>
          <w:i/>
          <w:snapToGrid/>
          <w:szCs w:val="22"/>
          <w:lang w:val="lt-LT"/>
        </w:rPr>
        <w:t>scale</w:t>
      </w:r>
      <w:proofErr w:type="spellEnd"/>
      <w:r w:rsidRPr="00F1014D">
        <w:rPr>
          <w:i/>
          <w:snapToGrid/>
          <w:szCs w:val="22"/>
          <w:lang w:val="lt-LT"/>
        </w:rPr>
        <w:t xml:space="preserve"> [VAS]</w:t>
      </w:r>
      <w:r w:rsidRPr="007203A0">
        <w:rPr>
          <w:snapToGrid/>
          <w:szCs w:val="22"/>
          <w:lang w:val="lt-LT"/>
        </w:rPr>
        <w:t>).</w:t>
      </w:r>
    </w:p>
    <w:p w14:paraId="177BB633" w14:textId="77777777" w:rsidR="0041096E" w:rsidRPr="00D8166E" w:rsidRDefault="0041096E" w:rsidP="0041096E">
      <w:pPr>
        <w:widowControl w:val="0"/>
        <w:tabs>
          <w:tab w:val="clear" w:pos="567"/>
        </w:tabs>
        <w:autoSpaceDE w:val="0"/>
        <w:autoSpaceDN w:val="0"/>
        <w:spacing w:before="10" w:line="240" w:lineRule="auto"/>
        <w:rPr>
          <w:lang w:val="lt-LT"/>
        </w:rPr>
      </w:pPr>
    </w:p>
    <w:p w14:paraId="000970C3"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Buvo ištirta 93 pacientų </w:t>
      </w:r>
      <w:proofErr w:type="spellStart"/>
      <w:r w:rsidRPr="005F48B8">
        <w:rPr>
          <w:snapToGrid/>
          <w:szCs w:val="22"/>
          <w:lang w:val="lt-LT"/>
        </w:rPr>
        <w:t>kardiopulmoninė</w:t>
      </w:r>
      <w:proofErr w:type="spellEnd"/>
      <w:r w:rsidRPr="005F48B8">
        <w:rPr>
          <w:snapToGrid/>
          <w:szCs w:val="22"/>
          <w:lang w:val="lt-LT"/>
        </w:rPr>
        <w:t xml:space="preserve"> kraujotaka. Vartojant 40</w:t>
      </w:r>
      <w:r w:rsidRPr="008612DF">
        <w:rPr>
          <w:snapToGrid/>
          <w:szCs w:val="22"/>
          <w:lang w:val="lt-LT"/>
        </w:rPr>
        <w:t> </w:t>
      </w:r>
      <w:r w:rsidRPr="002A25EF">
        <w:rPr>
          <w:snapToGrid/>
          <w:szCs w:val="22"/>
          <w:lang w:val="lt-LT"/>
        </w:rPr>
        <w:t xml:space="preserve">mg </w:t>
      </w:r>
      <w:proofErr w:type="spellStart"/>
      <w:r w:rsidRPr="002A25EF">
        <w:rPr>
          <w:snapToGrid/>
          <w:szCs w:val="22"/>
          <w:lang w:val="lt-LT"/>
        </w:rPr>
        <w:t>tadalafilio</w:t>
      </w:r>
      <w:proofErr w:type="spellEnd"/>
      <w:r w:rsidRPr="002A25EF">
        <w:rPr>
          <w:snapToGrid/>
          <w:szCs w:val="22"/>
          <w:lang w:val="lt-LT"/>
        </w:rPr>
        <w:t xml:space="preserve"> dozę, padidėjo šir</w:t>
      </w:r>
      <w:r w:rsidRPr="0061385E">
        <w:rPr>
          <w:snapToGrid/>
          <w:szCs w:val="22"/>
          <w:lang w:val="lt-LT"/>
        </w:rPr>
        <w:t xml:space="preserve">dies išstūmimo tūris (0,6 l/min.) ir sumažėjo </w:t>
      </w:r>
      <w:proofErr w:type="spellStart"/>
      <w:r w:rsidRPr="0061385E">
        <w:rPr>
          <w:snapToGrid/>
          <w:szCs w:val="22"/>
          <w:lang w:val="lt-LT"/>
        </w:rPr>
        <w:t>plautinis</w:t>
      </w:r>
      <w:proofErr w:type="spellEnd"/>
      <w:r w:rsidRPr="0061385E">
        <w:rPr>
          <w:snapToGrid/>
          <w:szCs w:val="22"/>
          <w:lang w:val="lt-LT"/>
        </w:rPr>
        <w:t xml:space="preserve"> arterinis spaudimas (-4,3 mm </w:t>
      </w:r>
      <w:proofErr w:type="spellStart"/>
      <w:r w:rsidRPr="0061385E">
        <w:rPr>
          <w:snapToGrid/>
          <w:szCs w:val="22"/>
          <w:lang w:val="lt-LT"/>
        </w:rPr>
        <w:t>Hg</w:t>
      </w:r>
      <w:proofErr w:type="spellEnd"/>
      <w:r w:rsidRPr="0061385E">
        <w:rPr>
          <w:snapToGrid/>
          <w:szCs w:val="22"/>
          <w:lang w:val="lt-LT"/>
        </w:rPr>
        <w:t xml:space="preserve">) bei plaučių kraujagyslių pasipriešinimas (-209 </w:t>
      </w:r>
      <w:proofErr w:type="spellStart"/>
      <w:r w:rsidRPr="0061385E">
        <w:rPr>
          <w:snapToGrid/>
          <w:szCs w:val="22"/>
          <w:lang w:val="lt-LT"/>
        </w:rPr>
        <w:t>din.s</w:t>
      </w:r>
      <w:proofErr w:type="spellEnd"/>
      <w:r w:rsidRPr="0061385E">
        <w:rPr>
          <w:snapToGrid/>
          <w:szCs w:val="22"/>
          <w:lang w:val="lt-LT"/>
        </w:rPr>
        <w:t>/cm</w:t>
      </w:r>
      <w:r w:rsidRPr="00D8166E">
        <w:rPr>
          <w:position w:val="8"/>
          <w:lang w:val="lt-LT"/>
        </w:rPr>
        <w:t>5</w:t>
      </w:r>
      <w:r w:rsidRPr="005F48B8">
        <w:rPr>
          <w:snapToGrid/>
          <w:szCs w:val="22"/>
          <w:lang w:val="lt-LT"/>
        </w:rPr>
        <w:t>), palyginti su buvusiu prieš tyrimą (p &lt; 0,05). Vis dėlto vė</w:t>
      </w:r>
      <w:r w:rsidRPr="008612DF">
        <w:rPr>
          <w:snapToGrid/>
          <w:szCs w:val="22"/>
          <w:lang w:val="lt-LT"/>
        </w:rPr>
        <w:t xml:space="preserve">lesnė po tyrimo atlikta analizė rodo, kad </w:t>
      </w:r>
      <w:proofErr w:type="spellStart"/>
      <w:r w:rsidRPr="008612DF">
        <w:rPr>
          <w:snapToGrid/>
          <w:szCs w:val="22"/>
          <w:lang w:val="lt-LT"/>
        </w:rPr>
        <w:t>kardiopu</w:t>
      </w:r>
      <w:r w:rsidRPr="002A25EF">
        <w:rPr>
          <w:snapToGrid/>
          <w:szCs w:val="22"/>
          <w:lang w:val="lt-LT"/>
        </w:rPr>
        <w:t>lmoninės</w:t>
      </w:r>
      <w:proofErr w:type="spellEnd"/>
      <w:r w:rsidRPr="002A25EF">
        <w:rPr>
          <w:snapToGrid/>
          <w:szCs w:val="22"/>
          <w:lang w:val="lt-LT"/>
        </w:rPr>
        <w:t xml:space="preserve"> kraujotakos parametrų, palyginti su pradiniais, pokyčių gydymo 40</w:t>
      </w:r>
      <w:r w:rsidRPr="0061385E">
        <w:rPr>
          <w:snapToGrid/>
          <w:szCs w:val="22"/>
          <w:lang w:val="lt-LT"/>
        </w:rPr>
        <w:t> </w:t>
      </w:r>
      <w:r w:rsidRPr="009840AD">
        <w:rPr>
          <w:snapToGrid/>
          <w:szCs w:val="22"/>
          <w:lang w:val="lt-LT"/>
        </w:rPr>
        <w:t xml:space="preserve">mg </w:t>
      </w:r>
      <w:proofErr w:type="spellStart"/>
      <w:r w:rsidRPr="009840AD">
        <w:rPr>
          <w:snapToGrid/>
          <w:szCs w:val="22"/>
          <w:lang w:val="lt-LT"/>
        </w:rPr>
        <w:t>tadalafilio</w:t>
      </w:r>
      <w:proofErr w:type="spellEnd"/>
      <w:r w:rsidRPr="009840AD">
        <w:rPr>
          <w:snapToGrid/>
          <w:szCs w:val="22"/>
          <w:lang w:val="lt-LT"/>
        </w:rPr>
        <w:t xml:space="preserve"> grupėje skirtumas, palyginti su placebu, nėra reikšmingas.</w:t>
      </w:r>
    </w:p>
    <w:p w14:paraId="05379F18" w14:textId="77777777" w:rsidR="0041096E" w:rsidRPr="00D8166E" w:rsidRDefault="0041096E" w:rsidP="0041096E">
      <w:pPr>
        <w:widowControl w:val="0"/>
        <w:tabs>
          <w:tab w:val="clear" w:pos="567"/>
        </w:tabs>
        <w:autoSpaceDE w:val="0"/>
        <w:autoSpaceDN w:val="0"/>
        <w:spacing w:before="8" w:line="240" w:lineRule="auto"/>
        <w:rPr>
          <w:lang w:val="lt-LT"/>
        </w:rPr>
      </w:pPr>
    </w:p>
    <w:p w14:paraId="41DEFC50" w14:textId="77777777" w:rsidR="0041096E" w:rsidRPr="005F48B8" w:rsidRDefault="0041096E" w:rsidP="0041096E">
      <w:pPr>
        <w:widowControl w:val="0"/>
        <w:tabs>
          <w:tab w:val="clear" w:pos="567"/>
        </w:tabs>
        <w:autoSpaceDE w:val="0"/>
        <w:autoSpaceDN w:val="0"/>
        <w:spacing w:line="240" w:lineRule="auto"/>
        <w:rPr>
          <w:i/>
          <w:snapToGrid/>
          <w:szCs w:val="22"/>
          <w:lang w:val="lt-LT"/>
        </w:rPr>
      </w:pPr>
      <w:r w:rsidRPr="005F48B8">
        <w:rPr>
          <w:i/>
          <w:snapToGrid/>
          <w:szCs w:val="22"/>
          <w:lang w:val="lt-LT"/>
        </w:rPr>
        <w:t>Ilgalaikis gydymas</w:t>
      </w:r>
    </w:p>
    <w:p w14:paraId="22827115"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357 placebu kontroliuojamame tyrime </w:t>
      </w:r>
      <w:r w:rsidRPr="002A25EF">
        <w:rPr>
          <w:snapToGrid/>
          <w:szCs w:val="22"/>
          <w:lang w:val="lt-LT"/>
        </w:rPr>
        <w:t xml:space="preserve">dalyvavę pacientai toliau dalyvavo ilgalaikiame tęstiniame tyrime. Iš jų, 311 pacientų buvo gydyti </w:t>
      </w:r>
      <w:proofErr w:type="spellStart"/>
      <w:r w:rsidRPr="002A25EF">
        <w:rPr>
          <w:snapToGrid/>
          <w:szCs w:val="22"/>
          <w:lang w:val="lt-LT"/>
        </w:rPr>
        <w:t>tadalafiliu</w:t>
      </w:r>
      <w:proofErr w:type="spellEnd"/>
      <w:r w:rsidRPr="002A25EF">
        <w:rPr>
          <w:snapToGrid/>
          <w:szCs w:val="22"/>
          <w:lang w:val="lt-LT"/>
        </w:rPr>
        <w:t xml:space="preserve"> bent 6 mėnesius ir 293 – vienerius metus (vidutinė ekspozicija 365 paros, nuo 2 iki 415 parų). Pacientų, apie kuriuos turima duomenų, kurie išgyv</w:t>
      </w:r>
      <w:r w:rsidRPr="0061385E">
        <w:rPr>
          <w:snapToGrid/>
          <w:szCs w:val="22"/>
          <w:lang w:val="lt-LT"/>
        </w:rPr>
        <w:t xml:space="preserve">eno vienerius metus, dalis buvo 96,4 %. Be to, pacientų, kurie vartojo </w:t>
      </w:r>
      <w:proofErr w:type="spellStart"/>
      <w:r w:rsidRPr="0061385E">
        <w:rPr>
          <w:snapToGrid/>
          <w:szCs w:val="22"/>
          <w:lang w:val="lt-LT"/>
        </w:rPr>
        <w:t>tadalafilį</w:t>
      </w:r>
      <w:proofErr w:type="spellEnd"/>
      <w:r w:rsidRPr="0061385E">
        <w:rPr>
          <w:snapToGrid/>
          <w:szCs w:val="22"/>
          <w:lang w:val="lt-LT"/>
        </w:rPr>
        <w:t xml:space="preserve"> vienerius metus, 6 minučių ėjimo mėginio atstumas ir funkcinė klasė pagal PSO nepakito.</w:t>
      </w:r>
    </w:p>
    <w:p w14:paraId="0139091A" w14:textId="77777777" w:rsidR="0041096E" w:rsidRPr="00D8166E" w:rsidRDefault="0041096E" w:rsidP="0041096E">
      <w:pPr>
        <w:widowControl w:val="0"/>
        <w:tabs>
          <w:tab w:val="clear" w:pos="567"/>
        </w:tabs>
        <w:autoSpaceDE w:val="0"/>
        <w:autoSpaceDN w:val="0"/>
        <w:spacing w:before="10" w:line="240" w:lineRule="auto"/>
        <w:rPr>
          <w:lang w:val="lt-LT"/>
        </w:rPr>
      </w:pPr>
    </w:p>
    <w:p w14:paraId="041ECF17"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Sveikiems vyrams 20 </w:t>
      </w:r>
      <w:r w:rsidRPr="002A25EF">
        <w:rPr>
          <w:snapToGrid/>
          <w:szCs w:val="22"/>
          <w:lang w:val="lt-LT"/>
        </w:rPr>
        <w:t xml:space="preserve">mg </w:t>
      </w:r>
      <w:proofErr w:type="spellStart"/>
      <w:r w:rsidRPr="002A25EF">
        <w:rPr>
          <w:snapToGrid/>
          <w:szCs w:val="22"/>
          <w:lang w:val="lt-LT"/>
        </w:rPr>
        <w:t>tadalafilio</w:t>
      </w:r>
      <w:proofErr w:type="spellEnd"/>
      <w:r w:rsidRPr="002A25EF">
        <w:rPr>
          <w:snapToGrid/>
          <w:szCs w:val="22"/>
          <w:lang w:val="lt-LT"/>
        </w:rPr>
        <w:t xml:space="preserve">, palyginti su placebu, reikšmingo </w:t>
      </w:r>
      <w:proofErr w:type="spellStart"/>
      <w:r w:rsidRPr="002A25EF">
        <w:rPr>
          <w:snapToGrid/>
          <w:szCs w:val="22"/>
          <w:lang w:val="lt-LT"/>
        </w:rPr>
        <w:t>sistolinio</w:t>
      </w:r>
      <w:proofErr w:type="spellEnd"/>
      <w:r w:rsidRPr="002A25EF">
        <w:rPr>
          <w:snapToGrid/>
          <w:szCs w:val="22"/>
          <w:lang w:val="lt-LT"/>
        </w:rPr>
        <w:t xml:space="preserve"> ir </w:t>
      </w:r>
      <w:proofErr w:type="spellStart"/>
      <w:r w:rsidRPr="002A25EF">
        <w:rPr>
          <w:snapToGrid/>
          <w:szCs w:val="22"/>
          <w:lang w:val="lt-LT"/>
        </w:rPr>
        <w:t>diastolinio</w:t>
      </w:r>
      <w:proofErr w:type="spellEnd"/>
      <w:r w:rsidRPr="002A25EF">
        <w:rPr>
          <w:snapToGrid/>
          <w:szCs w:val="22"/>
          <w:lang w:val="lt-LT"/>
        </w:rPr>
        <w:t xml:space="preserve"> kraujospūdžio pokyčio gulint (vidutinis d</w:t>
      </w:r>
      <w:r w:rsidRPr="0061385E">
        <w:rPr>
          <w:snapToGrid/>
          <w:szCs w:val="22"/>
          <w:lang w:val="lt-LT"/>
        </w:rPr>
        <w:t>idžiausias sumažėjimas buvo atitinkamai 1,6 </w:t>
      </w:r>
      <w:r w:rsidRPr="009840AD">
        <w:rPr>
          <w:snapToGrid/>
          <w:szCs w:val="22"/>
          <w:lang w:val="lt-LT"/>
        </w:rPr>
        <w:t xml:space="preserve">mm </w:t>
      </w:r>
      <w:proofErr w:type="spellStart"/>
      <w:r w:rsidRPr="009840AD">
        <w:rPr>
          <w:snapToGrid/>
          <w:szCs w:val="22"/>
          <w:lang w:val="lt-LT"/>
        </w:rPr>
        <w:t>Hg</w:t>
      </w:r>
      <w:proofErr w:type="spellEnd"/>
      <w:r w:rsidRPr="009840AD">
        <w:rPr>
          <w:snapToGrid/>
          <w:szCs w:val="22"/>
          <w:lang w:val="lt-LT"/>
        </w:rPr>
        <w:t xml:space="preserve"> ir</w:t>
      </w:r>
    </w:p>
    <w:p w14:paraId="2CFB5204"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0,8 </w:t>
      </w:r>
      <w:r w:rsidRPr="00F1014D">
        <w:rPr>
          <w:snapToGrid/>
          <w:szCs w:val="22"/>
          <w:lang w:val="lt-LT"/>
        </w:rPr>
        <w:t xml:space="preserve">mm </w:t>
      </w:r>
      <w:proofErr w:type="spellStart"/>
      <w:r w:rsidRPr="00F1014D">
        <w:rPr>
          <w:snapToGrid/>
          <w:szCs w:val="22"/>
          <w:lang w:val="lt-LT"/>
        </w:rPr>
        <w:t>Hg</w:t>
      </w:r>
      <w:proofErr w:type="spellEnd"/>
      <w:r w:rsidRPr="00F1014D">
        <w:rPr>
          <w:snapToGrid/>
          <w:szCs w:val="22"/>
          <w:lang w:val="lt-LT"/>
        </w:rPr>
        <w:t>) ar stovint (vidutinis didžiausias sumažėjimas buvo atitinkamai 0,2</w:t>
      </w:r>
      <w:r w:rsidRPr="007203A0">
        <w:rPr>
          <w:snapToGrid/>
          <w:szCs w:val="22"/>
          <w:lang w:val="lt-LT"/>
        </w:rPr>
        <w:t xml:space="preserve"> mm </w:t>
      </w:r>
      <w:proofErr w:type="spellStart"/>
      <w:r w:rsidRPr="007203A0">
        <w:rPr>
          <w:snapToGrid/>
          <w:szCs w:val="22"/>
          <w:lang w:val="lt-LT"/>
        </w:rPr>
        <w:t>Hg</w:t>
      </w:r>
      <w:proofErr w:type="spellEnd"/>
      <w:r w:rsidRPr="007203A0">
        <w:rPr>
          <w:snapToGrid/>
          <w:szCs w:val="22"/>
          <w:lang w:val="lt-LT"/>
        </w:rPr>
        <w:t xml:space="preserve"> ir 4,6 mm </w:t>
      </w:r>
      <w:proofErr w:type="spellStart"/>
      <w:r w:rsidRPr="007203A0">
        <w:rPr>
          <w:snapToGrid/>
          <w:szCs w:val="22"/>
          <w:lang w:val="lt-LT"/>
        </w:rPr>
        <w:t>Hg</w:t>
      </w:r>
      <w:proofErr w:type="spellEnd"/>
      <w:r w:rsidRPr="007203A0">
        <w:rPr>
          <w:snapToGrid/>
          <w:szCs w:val="22"/>
          <w:lang w:val="lt-LT"/>
        </w:rPr>
        <w:t>) nesukėlė ir reikšmingai širdies susitraukimų dažnio nekeitė.</w:t>
      </w:r>
    </w:p>
    <w:p w14:paraId="40862C51" w14:textId="77777777" w:rsidR="0041096E" w:rsidRPr="00D8166E" w:rsidRDefault="0041096E" w:rsidP="0041096E">
      <w:pPr>
        <w:widowControl w:val="0"/>
        <w:tabs>
          <w:tab w:val="clear" w:pos="567"/>
        </w:tabs>
        <w:autoSpaceDE w:val="0"/>
        <w:autoSpaceDN w:val="0"/>
        <w:spacing w:before="11" w:line="240" w:lineRule="auto"/>
        <w:rPr>
          <w:lang w:val="lt-LT"/>
        </w:rPr>
      </w:pPr>
    </w:p>
    <w:p w14:paraId="765EF734" w14:textId="77777777" w:rsidR="0041096E" w:rsidRPr="008612D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Tiriant </w:t>
      </w:r>
      <w:proofErr w:type="spellStart"/>
      <w:r w:rsidRPr="005F48B8">
        <w:rPr>
          <w:snapToGrid/>
          <w:szCs w:val="22"/>
          <w:lang w:val="lt-LT"/>
        </w:rPr>
        <w:t>tadalafilio</w:t>
      </w:r>
      <w:proofErr w:type="spellEnd"/>
      <w:r w:rsidRPr="005F48B8">
        <w:rPr>
          <w:snapToGrid/>
          <w:szCs w:val="22"/>
          <w:lang w:val="lt-LT"/>
        </w:rPr>
        <w:t xml:space="preserve"> poveikį regai, nenustatyta sutrikusio spalvų (mėlynos/žalios) skyrimo naudojant </w:t>
      </w:r>
      <w:proofErr w:type="spellStart"/>
      <w:r w:rsidRPr="00F86E80">
        <w:rPr>
          <w:i/>
          <w:snapToGrid/>
          <w:szCs w:val="22"/>
          <w:lang w:val="lt-LT"/>
        </w:rPr>
        <w:t>Farnsworth-Munsell</w:t>
      </w:r>
      <w:proofErr w:type="spellEnd"/>
      <w:r w:rsidRPr="005F48B8">
        <w:rPr>
          <w:snapToGrid/>
          <w:szCs w:val="22"/>
          <w:lang w:val="lt-LT"/>
        </w:rPr>
        <w:t xml:space="preserve"> 100-hue testą. Šie duomenys atitinka mažą </w:t>
      </w:r>
      <w:proofErr w:type="spellStart"/>
      <w:r w:rsidRPr="005F48B8">
        <w:rPr>
          <w:snapToGrid/>
          <w:szCs w:val="22"/>
          <w:lang w:val="lt-LT"/>
        </w:rPr>
        <w:t>tadalafilio</w:t>
      </w:r>
      <w:proofErr w:type="spellEnd"/>
      <w:r w:rsidRPr="005F48B8">
        <w:rPr>
          <w:snapToGrid/>
          <w:szCs w:val="22"/>
          <w:lang w:val="lt-LT"/>
        </w:rPr>
        <w:t xml:space="preserve"> </w:t>
      </w:r>
      <w:proofErr w:type="spellStart"/>
      <w:r w:rsidRPr="005F48B8">
        <w:rPr>
          <w:snapToGrid/>
          <w:szCs w:val="22"/>
          <w:lang w:val="lt-LT"/>
        </w:rPr>
        <w:t>afinitetą</w:t>
      </w:r>
      <w:proofErr w:type="spellEnd"/>
      <w:r w:rsidRPr="005F48B8">
        <w:rPr>
          <w:snapToGrid/>
          <w:szCs w:val="22"/>
          <w:lang w:val="lt-LT"/>
        </w:rPr>
        <w:t xml:space="preserve"> FDE6 palyginti su FDE5. Visų klinikinių tyrimų metu spalvinio regėjimo su</w:t>
      </w:r>
      <w:r w:rsidRPr="008612DF">
        <w:rPr>
          <w:snapToGrid/>
          <w:szCs w:val="22"/>
          <w:lang w:val="lt-LT"/>
        </w:rPr>
        <w:t>trikimo dažnis buvo mažas (&lt;0,1 %).</w:t>
      </w:r>
    </w:p>
    <w:p w14:paraId="343E6AE5" w14:textId="77777777" w:rsidR="0041096E" w:rsidRPr="008612DF" w:rsidRDefault="0041096E" w:rsidP="0041096E">
      <w:pPr>
        <w:widowControl w:val="0"/>
        <w:tabs>
          <w:tab w:val="clear" w:pos="567"/>
        </w:tabs>
        <w:autoSpaceDE w:val="0"/>
        <w:autoSpaceDN w:val="0"/>
        <w:spacing w:before="1" w:line="240" w:lineRule="auto"/>
        <w:rPr>
          <w:snapToGrid/>
          <w:szCs w:val="22"/>
          <w:lang w:val="lt-LT"/>
        </w:rPr>
      </w:pPr>
    </w:p>
    <w:p w14:paraId="5997A756"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2A25EF">
        <w:rPr>
          <w:snapToGrid/>
          <w:szCs w:val="22"/>
          <w:lang w:val="lt-LT"/>
        </w:rPr>
        <w:t>Buvo atlikti 3 tyrimai, kurių metu nustatinėtas kasdien vartojamos 10 mg (tyrimas truko 6 mėn.) arba 20</w:t>
      </w:r>
      <w:r w:rsidRPr="0061385E">
        <w:rPr>
          <w:snapToGrid/>
          <w:szCs w:val="22"/>
          <w:lang w:val="lt-LT"/>
        </w:rPr>
        <w:t> </w:t>
      </w:r>
      <w:r w:rsidRPr="009840AD">
        <w:rPr>
          <w:snapToGrid/>
          <w:szCs w:val="22"/>
          <w:lang w:val="lt-LT"/>
        </w:rPr>
        <w:t xml:space="preserve">mg (vienas tyrimas truko 6 mėn., kitas </w:t>
      </w:r>
      <w:r w:rsidRPr="00586790">
        <w:rPr>
          <w:rFonts w:ascii="Symbol" w:hAnsi="Symbol"/>
          <w:snapToGrid/>
          <w:szCs w:val="22"/>
          <w:lang w:val="lt-LT"/>
        </w:rPr>
        <w:t></w:t>
      </w:r>
      <w:r w:rsidRPr="005F48B8">
        <w:rPr>
          <w:snapToGrid/>
          <w:szCs w:val="22"/>
          <w:lang w:val="lt-LT"/>
        </w:rPr>
        <w:t xml:space="preserve"> 9 mėn.) </w:t>
      </w:r>
      <w:proofErr w:type="spellStart"/>
      <w:r w:rsidRPr="005F48B8">
        <w:rPr>
          <w:snapToGrid/>
          <w:szCs w:val="22"/>
          <w:lang w:val="lt-LT"/>
        </w:rPr>
        <w:t>tadalafililio</w:t>
      </w:r>
      <w:proofErr w:type="spellEnd"/>
      <w:r w:rsidRPr="005F48B8">
        <w:rPr>
          <w:snapToGrid/>
          <w:szCs w:val="22"/>
          <w:lang w:val="lt-LT"/>
        </w:rPr>
        <w:t xml:space="preserve"> dozės poveikis vyrų </w:t>
      </w:r>
      <w:proofErr w:type="spellStart"/>
      <w:r w:rsidRPr="005F48B8">
        <w:rPr>
          <w:snapToGrid/>
          <w:szCs w:val="22"/>
          <w:lang w:val="lt-LT"/>
        </w:rPr>
        <w:t>spermatogenezei</w:t>
      </w:r>
      <w:proofErr w:type="spellEnd"/>
      <w:r w:rsidRPr="005F48B8">
        <w:rPr>
          <w:snapToGrid/>
          <w:szCs w:val="22"/>
          <w:lang w:val="lt-LT"/>
        </w:rPr>
        <w:t>. Dviejų šių tyri</w:t>
      </w:r>
      <w:r w:rsidRPr="008612DF">
        <w:rPr>
          <w:snapToGrid/>
          <w:szCs w:val="22"/>
          <w:lang w:val="lt-LT"/>
        </w:rPr>
        <w:t xml:space="preserve">mų metu pasireiškė nuo </w:t>
      </w:r>
      <w:proofErr w:type="spellStart"/>
      <w:r w:rsidRPr="008612DF">
        <w:rPr>
          <w:snapToGrid/>
          <w:szCs w:val="22"/>
          <w:lang w:val="lt-LT"/>
        </w:rPr>
        <w:t>tadalafilio</w:t>
      </w:r>
      <w:proofErr w:type="spellEnd"/>
      <w:r w:rsidRPr="008612DF">
        <w:rPr>
          <w:snapToGrid/>
          <w:szCs w:val="22"/>
          <w:lang w:val="lt-LT"/>
        </w:rPr>
        <w:t xml:space="preserve"> vartojimo priklausomas spermos kiekio ir koncentracijos sumažėjimas, kuris klinikai vargu ar gali būti reikšmingas. Su kitų parametrų, pvz., judrumo, m</w:t>
      </w:r>
      <w:r w:rsidRPr="002A25EF">
        <w:rPr>
          <w:snapToGrid/>
          <w:szCs w:val="22"/>
          <w:lang w:val="lt-LT"/>
        </w:rPr>
        <w:t>orfologijos ar FSH kiekio, pokyčiais minėtas sumažėjimas nebuvo susiję</w:t>
      </w:r>
      <w:r w:rsidRPr="0061385E">
        <w:rPr>
          <w:snapToGrid/>
          <w:szCs w:val="22"/>
          <w:lang w:val="lt-LT"/>
        </w:rPr>
        <w:t>s.</w:t>
      </w:r>
    </w:p>
    <w:p w14:paraId="29FB6769" w14:textId="77777777" w:rsidR="0041096E" w:rsidRPr="00D8166E" w:rsidRDefault="0041096E" w:rsidP="0041096E">
      <w:pPr>
        <w:widowControl w:val="0"/>
        <w:tabs>
          <w:tab w:val="clear" w:pos="567"/>
        </w:tabs>
        <w:autoSpaceDE w:val="0"/>
        <w:autoSpaceDN w:val="0"/>
        <w:spacing w:before="11" w:line="240" w:lineRule="auto"/>
        <w:rPr>
          <w:lang w:val="lt-LT"/>
        </w:rPr>
      </w:pPr>
    </w:p>
    <w:p w14:paraId="2CBAE077"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Vaikų populiacija</w:t>
      </w:r>
    </w:p>
    <w:p w14:paraId="18420D59"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8612DF">
        <w:rPr>
          <w:snapToGrid/>
          <w:szCs w:val="22"/>
          <w:lang w:val="lt-LT"/>
        </w:rPr>
        <w:t xml:space="preserve">Buvo atliktas vienas tyrimas, kuriame dalyvavo vaikų populiacijos pacientai, sergantys </w:t>
      </w:r>
      <w:proofErr w:type="spellStart"/>
      <w:r w:rsidRPr="002A25EF">
        <w:rPr>
          <w:snapToGrid/>
          <w:szCs w:val="22"/>
          <w:lang w:val="lt-LT"/>
        </w:rPr>
        <w:t>Diu</w:t>
      </w:r>
      <w:r w:rsidRPr="0061385E">
        <w:rPr>
          <w:snapToGrid/>
          <w:szCs w:val="22"/>
          <w:lang w:val="lt-LT"/>
        </w:rPr>
        <w:t>šeno</w:t>
      </w:r>
      <w:proofErr w:type="spellEnd"/>
      <w:r w:rsidRPr="0061385E">
        <w:rPr>
          <w:snapToGrid/>
          <w:szCs w:val="22"/>
          <w:lang w:val="lt-LT"/>
        </w:rPr>
        <w:t xml:space="preserve"> (</w:t>
      </w:r>
      <w:proofErr w:type="spellStart"/>
      <w:r w:rsidRPr="00F86E80">
        <w:rPr>
          <w:i/>
          <w:snapToGrid/>
          <w:szCs w:val="22"/>
          <w:lang w:val="lt-LT"/>
        </w:rPr>
        <w:t>Duchenne</w:t>
      </w:r>
      <w:proofErr w:type="spellEnd"/>
      <w:r w:rsidRPr="005F48B8">
        <w:rPr>
          <w:snapToGrid/>
          <w:szCs w:val="22"/>
          <w:lang w:val="lt-LT"/>
        </w:rPr>
        <w:t xml:space="preserve">) raumenų distrofija (DRD), kuris neįrodė vaistinio preparato veiksmingumo. Atsitiktinių </w:t>
      </w:r>
      <w:r w:rsidRPr="005F48B8">
        <w:rPr>
          <w:snapToGrid/>
          <w:szCs w:val="22"/>
          <w:lang w:val="lt-LT"/>
        </w:rPr>
        <w:lastRenderedPageBreak/>
        <w:t>imčių, dvigubai koduotame, placebu kontr</w:t>
      </w:r>
      <w:r w:rsidRPr="008612DF">
        <w:rPr>
          <w:snapToGrid/>
          <w:szCs w:val="22"/>
          <w:lang w:val="lt-LT"/>
        </w:rPr>
        <w:t xml:space="preserve">oliuojamajame, lygiagrečiajame, 3 grupių </w:t>
      </w:r>
      <w:proofErr w:type="spellStart"/>
      <w:r w:rsidRPr="008612DF">
        <w:rPr>
          <w:snapToGrid/>
          <w:szCs w:val="22"/>
          <w:lang w:val="lt-LT"/>
        </w:rPr>
        <w:t>tadalafilio</w:t>
      </w:r>
      <w:proofErr w:type="spellEnd"/>
      <w:r w:rsidRPr="008612DF">
        <w:rPr>
          <w:snapToGrid/>
          <w:szCs w:val="22"/>
          <w:lang w:val="lt-LT"/>
        </w:rPr>
        <w:t xml:space="preserve"> tyrime dalyvavo 331 berniukas, kuriems buvo 7-14 metų ir diagnozuota DRD, kartu gydyti kortikosteroidais. Tyrimo metu 48 savaites vai</w:t>
      </w:r>
      <w:r w:rsidRPr="002A25EF">
        <w:rPr>
          <w:snapToGrid/>
          <w:szCs w:val="22"/>
          <w:lang w:val="lt-LT"/>
        </w:rPr>
        <w:t>stiniai preparatai buvo vartoti dvigubai koduotu būdu, pacientams atsi</w:t>
      </w:r>
      <w:r w:rsidRPr="0061385E">
        <w:rPr>
          <w:snapToGrid/>
          <w:szCs w:val="22"/>
          <w:lang w:val="lt-LT"/>
        </w:rPr>
        <w:t xml:space="preserve">tiktinės atrankos būdu paskyrus 0,3 mg/kg </w:t>
      </w:r>
      <w:proofErr w:type="spellStart"/>
      <w:r w:rsidRPr="0061385E">
        <w:rPr>
          <w:snapToGrid/>
          <w:szCs w:val="22"/>
          <w:lang w:val="lt-LT"/>
        </w:rPr>
        <w:t>tadalafilio</w:t>
      </w:r>
      <w:proofErr w:type="spellEnd"/>
      <w:r w:rsidRPr="0061385E">
        <w:rPr>
          <w:snapToGrid/>
          <w:szCs w:val="22"/>
          <w:lang w:val="lt-LT"/>
        </w:rPr>
        <w:t xml:space="preserve">, 0,6 mg/kg </w:t>
      </w:r>
      <w:proofErr w:type="spellStart"/>
      <w:r w:rsidRPr="0061385E">
        <w:rPr>
          <w:snapToGrid/>
          <w:szCs w:val="22"/>
          <w:lang w:val="lt-LT"/>
        </w:rPr>
        <w:t>tadalafilio</w:t>
      </w:r>
      <w:proofErr w:type="spellEnd"/>
      <w:r w:rsidRPr="0061385E">
        <w:rPr>
          <w:snapToGrid/>
          <w:szCs w:val="22"/>
          <w:lang w:val="lt-LT"/>
        </w:rPr>
        <w:t xml:space="preserve"> arba placebo paros dozes. Neįrodyta, kad </w:t>
      </w:r>
      <w:proofErr w:type="spellStart"/>
      <w:r w:rsidRPr="0061385E">
        <w:rPr>
          <w:snapToGrid/>
          <w:szCs w:val="22"/>
          <w:lang w:val="lt-LT"/>
        </w:rPr>
        <w:t>tadalafilis</w:t>
      </w:r>
      <w:proofErr w:type="spellEnd"/>
      <w:r w:rsidRPr="0061385E">
        <w:rPr>
          <w:snapToGrid/>
          <w:szCs w:val="22"/>
          <w:lang w:val="lt-LT"/>
        </w:rPr>
        <w:t xml:space="preserve"> būtų veiksmingas lėtinant laisvo judėjimo namų aplinkoje</w:t>
      </w:r>
      <w:r w:rsidRPr="009840AD">
        <w:rPr>
          <w:snapToGrid/>
          <w:szCs w:val="22"/>
          <w:lang w:val="lt-LT"/>
        </w:rPr>
        <w:t xml:space="preserve"> mažėjimą, įvertintą pagal svarbiausiąją vertinamąją baigtį – per 6 minutes nueitą atstumą (angl. </w:t>
      </w:r>
      <w:proofErr w:type="spellStart"/>
      <w:r w:rsidRPr="009840AD">
        <w:rPr>
          <w:i/>
          <w:snapToGrid/>
          <w:szCs w:val="22"/>
          <w:lang w:val="lt-LT"/>
        </w:rPr>
        <w:t>the</w:t>
      </w:r>
      <w:proofErr w:type="spellEnd"/>
      <w:r w:rsidRPr="009840AD">
        <w:rPr>
          <w:i/>
          <w:snapToGrid/>
          <w:szCs w:val="22"/>
          <w:lang w:val="lt-LT"/>
        </w:rPr>
        <w:t xml:space="preserve"> 6 minute </w:t>
      </w:r>
      <w:proofErr w:type="spellStart"/>
      <w:r w:rsidRPr="009840AD">
        <w:rPr>
          <w:i/>
          <w:snapToGrid/>
          <w:szCs w:val="22"/>
          <w:lang w:val="lt-LT"/>
        </w:rPr>
        <w:t>walk</w:t>
      </w:r>
      <w:proofErr w:type="spellEnd"/>
      <w:r w:rsidRPr="009840AD">
        <w:rPr>
          <w:i/>
          <w:snapToGrid/>
          <w:szCs w:val="22"/>
          <w:lang w:val="lt-LT"/>
        </w:rPr>
        <w:t xml:space="preserve"> </w:t>
      </w:r>
      <w:proofErr w:type="spellStart"/>
      <w:r w:rsidRPr="009840AD">
        <w:rPr>
          <w:i/>
          <w:snapToGrid/>
          <w:szCs w:val="22"/>
          <w:lang w:val="lt-LT"/>
        </w:rPr>
        <w:t>distance</w:t>
      </w:r>
      <w:proofErr w:type="spellEnd"/>
      <w:r w:rsidRPr="009840AD">
        <w:rPr>
          <w:i/>
          <w:snapToGrid/>
          <w:szCs w:val="22"/>
          <w:lang w:val="lt-LT"/>
        </w:rPr>
        <w:t>, 6MWD</w:t>
      </w:r>
      <w:r w:rsidRPr="00F1014D">
        <w:rPr>
          <w:snapToGrid/>
          <w:szCs w:val="22"/>
          <w:lang w:val="lt-LT"/>
        </w:rPr>
        <w:t xml:space="preserve">): </w:t>
      </w:r>
      <w:r w:rsidRPr="00F1014D">
        <w:rPr>
          <w:i/>
          <w:snapToGrid/>
          <w:szCs w:val="22"/>
          <w:lang w:val="lt-LT"/>
        </w:rPr>
        <w:t xml:space="preserve">6MWD </w:t>
      </w:r>
      <w:r w:rsidRPr="007203A0">
        <w:rPr>
          <w:snapToGrid/>
          <w:szCs w:val="22"/>
          <w:lang w:val="lt-LT"/>
        </w:rPr>
        <w:t xml:space="preserve">mažiausiųjų kvadratų (angl. </w:t>
      </w:r>
      <w:proofErr w:type="spellStart"/>
      <w:r w:rsidRPr="007203A0">
        <w:rPr>
          <w:i/>
          <w:snapToGrid/>
          <w:szCs w:val="22"/>
          <w:lang w:val="lt-LT"/>
        </w:rPr>
        <w:t>least</w:t>
      </w:r>
      <w:proofErr w:type="spellEnd"/>
      <w:r w:rsidRPr="007203A0">
        <w:rPr>
          <w:i/>
          <w:snapToGrid/>
          <w:szCs w:val="22"/>
          <w:lang w:val="lt-LT"/>
        </w:rPr>
        <w:t xml:space="preserve"> </w:t>
      </w:r>
      <w:proofErr w:type="spellStart"/>
      <w:r w:rsidRPr="007203A0">
        <w:rPr>
          <w:i/>
          <w:snapToGrid/>
          <w:szCs w:val="22"/>
          <w:lang w:val="lt-LT"/>
        </w:rPr>
        <w:t>squares</w:t>
      </w:r>
      <w:proofErr w:type="spellEnd"/>
      <w:r w:rsidRPr="007203A0">
        <w:rPr>
          <w:i/>
          <w:snapToGrid/>
          <w:szCs w:val="22"/>
          <w:lang w:val="lt-LT"/>
        </w:rPr>
        <w:t>, LS</w:t>
      </w:r>
      <w:r w:rsidRPr="007203A0">
        <w:rPr>
          <w:snapToGrid/>
          <w:szCs w:val="22"/>
          <w:lang w:val="lt-LT"/>
        </w:rPr>
        <w:t xml:space="preserve">) vidutinis pokytis 48-ąją savaitę buvo -51,0 metras (m) placebo grupėje, palyginti su -64,7 m 0,3 mg/kg </w:t>
      </w:r>
      <w:proofErr w:type="spellStart"/>
      <w:r w:rsidRPr="007203A0">
        <w:rPr>
          <w:snapToGrid/>
          <w:szCs w:val="22"/>
          <w:lang w:val="lt-LT"/>
        </w:rPr>
        <w:t>tadalafilio</w:t>
      </w:r>
      <w:proofErr w:type="spellEnd"/>
      <w:r w:rsidRPr="007203A0">
        <w:rPr>
          <w:snapToGrid/>
          <w:szCs w:val="22"/>
          <w:lang w:val="lt-LT"/>
        </w:rPr>
        <w:t xml:space="preserve"> dozės grupėje (p = 0,307) ir -59,1 m 0,6 mg/kg </w:t>
      </w:r>
      <w:proofErr w:type="spellStart"/>
      <w:r w:rsidRPr="007203A0">
        <w:rPr>
          <w:snapToGrid/>
          <w:szCs w:val="22"/>
          <w:lang w:val="lt-LT"/>
        </w:rPr>
        <w:t>tadalafilio</w:t>
      </w:r>
      <w:proofErr w:type="spellEnd"/>
      <w:r w:rsidRPr="007203A0">
        <w:rPr>
          <w:snapToGrid/>
          <w:szCs w:val="22"/>
          <w:lang w:val="lt-LT"/>
        </w:rPr>
        <w:t xml:space="preserve"> dozės grupėje (p = 0,538). Be to, neįrodytas veiksmingumas nė vienos antrinės šio tyrimo vertinamosios baigties atžvilgiu. Šio tyrimo metu atskleisti bendrojo saugumo duomenys dažniausiai atitiko žinomus </w:t>
      </w:r>
      <w:proofErr w:type="spellStart"/>
      <w:r w:rsidRPr="007203A0">
        <w:rPr>
          <w:snapToGrid/>
          <w:szCs w:val="22"/>
          <w:lang w:val="lt-LT"/>
        </w:rPr>
        <w:t>tadalafilio</w:t>
      </w:r>
      <w:proofErr w:type="spellEnd"/>
      <w:r w:rsidRPr="007203A0">
        <w:rPr>
          <w:snapToGrid/>
          <w:szCs w:val="22"/>
          <w:lang w:val="lt-LT"/>
        </w:rPr>
        <w:t xml:space="preserve"> saugumo ir nepageidaujamų reiškinių (NR) suaugusiesiems duomenis, kurių tikimasi kortikosteroidais gydomų vaikų, sergančių DRD, populiacijoje.</w:t>
      </w:r>
    </w:p>
    <w:p w14:paraId="3906DA30"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56ED2885"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Europos vaistų agentūra atidėjo įpareigojimą pateikti </w:t>
      </w:r>
      <w:proofErr w:type="spellStart"/>
      <w:r w:rsidRPr="007203A0">
        <w:rPr>
          <w:snapToGrid/>
          <w:szCs w:val="22"/>
          <w:lang w:val="lt-LT"/>
        </w:rPr>
        <w:t>plautinės</w:t>
      </w:r>
      <w:proofErr w:type="spellEnd"/>
      <w:r w:rsidRPr="007203A0">
        <w:rPr>
          <w:snapToGrid/>
          <w:szCs w:val="22"/>
          <w:lang w:val="lt-LT"/>
        </w:rPr>
        <w:t xml:space="preserve"> arterinės hipertenzijos gydymo </w:t>
      </w:r>
      <w:proofErr w:type="spellStart"/>
      <w:r w:rsidRPr="007203A0">
        <w:rPr>
          <w:snapToGrid/>
          <w:szCs w:val="22"/>
          <w:lang w:val="lt-LT"/>
        </w:rPr>
        <w:t>tadalafilio</w:t>
      </w:r>
      <w:proofErr w:type="spellEnd"/>
      <w:r w:rsidRPr="007203A0">
        <w:rPr>
          <w:snapToGrid/>
          <w:szCs w:val="22"/>
          <w:lang w:val="lt-LT"/>
        </w:rPr>
        <w:t xml:space="preserve"> tyrimų su vienu ar daugiau vaikų populiacijos pogrupių duomenis (vartojimo vaikams informacija pateikiama 4.2 skyriuje).</w:t>
      </w:r>
    </w:p>
    <w:p w14:paraId="63386249" w14:textId="77777777" w:rsidR="0041096E" w:rsidRPr="007203A0" w:rsidRDefault="0041096E" w:rsidP="0041096E">
      <w:pPr>
        <w:tabs>
          <w:tab w:val="clear" w:pos="567"/>
        </w:tabs>
        <w:spacing w:line="240" w:lineRule="auto"/>
        <w:rPr>
          <w:szCs w:val="22"/>
          <w:lang w:val="lt-LT"/>
        </w:rPr>
      </w:pPr>
    </w:p>
    <w:p w14:paraId="051F80E9"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5.2</w:t>
      </w:r>
      <w:r w:rsidRPr="007203A0">
        <w:rPr>
          <w:rFonts w:ascii="Times New Roman" w:hAnsi="Times New Roman"/>
          <w:sz w:val="22"/>
          <w:szCs w:val="22"/>
          <w:lang w:val="lt-LT"/>
        </w:rPr>
        <w:tab/>
      </w:r>
      <w:proofErr w:type="spellStart"/>
      <w:r w:rsidRPr="007203A0">
        <w:rPr>
          <w:rFonts w:ascii="Times New Roman" w:hAnsi="Times New Roman"/>
          <w:sz w:val="22"/>
          <w:szCs w:val="22"/>
          <w:lang w:val="lt-LT"/>
        </w:rPr>
        <w:t>Farmakokinetinės</w:t>
      </w:r>
      <w:proofErr w:type="spellEnd"/>
      <w:r w:rsidRPr="007203A0">
        <w:rPr>
          <w:rFonts w:ascii="Times New Roman" w:hAnsi="Times New Roman"/>
          <w:sz w:val="22"/>
          <w:szCs w:val="22"/>
          <w:lang w:val="lt-LT"/>
        </w:rPr>
        <w:t xml:space="preserve"> savybės</w:t>
      </w:r>
    </w:p>
    <w:p w14:paraId="24A11DD3" w14:textId="77777777" w:rsidR="0041096E" w:rsidRPr="007203A0" w:rsidRDefault="0041096E" w:rsidP="0041096E">
      <w:pPr>
        <w:tabs>
          <w:tab w:val="clear" w:pos="567"/>
        </w:tabs>
        <w:spacing w:line="240" w:lineRule="auto"/>
        <w:rPr>
          <w:szCs w:val="22"/>
          <w:lang w:val="lt-LT"/>
        </w:rPr>
      </w:pPr>
    </w:p>
    <w:p w14:paraId="5401DD73"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Absorbcija</w:t>
      </w:r>
    </w:p>
    <w:p w14:paraId="66996EA6" w14:textId="77777777" w:rsidR="0041096E" w:rsidRPr="007203A0" w:rsidRDefault="0041096E" w:rsidP="0041096E">
      <w:pPr>
        <w:widowControl w:val="0"/>
        <w:tabs>
          <w:tab w:val="clear" w:pos="567"/>
        </w:tabs>
        <w:autoSpaceDE w:val="0"/>
        <w:autoSpaceDN w:val="0"/>
        <w:spacing w:before="9" w:line="240" w:lineRule="auto"/>
        <w:rPr>
          <w:snapToGrid/>
          <w:szCs w:val="22"/>
          <w:lang w:val="lt-LT"/>
        </w:rPr>
      </w:pPr>
      <w:r w:rsidRPr="007203A0">
        <w:rPr>
          <w:snapToGrid/>
          <w:position w:val="2"/>
          <w:szCs w:val="22"/>
          <w:lang w:val="lt-LT"/>
        </w:rPr>
        <w:t xml:space="preserve">Išgertas </w:t>
      </w:r>
      <w:proofErr w:type="spellStart"/>
      <w:r w:rsidRPr="007203A0">
        <w:rPr>
          <w:snapToGrid/>
          <w:position w:val="2"/>
          <w:szCs w:val="22"/>
          <w:lang w:val="lt-LT"/>
        </w:rPr>
        <w:t>tadalafilis</w:t>
      </w:r>
      <w:proofErr w:type="spellEnd"/>
      <w:r w:rsidRPr="007203A0">
        <w:rPr>
          <w:snapToGrid/>
          <w:position w:val="2"/>
          <w:szCs w:val="22"/>
          <w:lang w:val="lt-LT"/>
        </w:rPr>
        <w:t xml:space="preserve"> greitai absorbuojamas, vidutinė didžiausia koncentracija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snapToGrid/>
          <w:position w:val="2"/>
          <w:szCs w:val="22"/>
          <w:lang w:val="lt-LT"/>
        </w:rPr>
        <w:t xml:space="preserve">) kraujo plazmoje </w:t>
      </w:r>
      <w:r w:rsidRPr="007203A0">
        <w:rPr>
          <w:snapToGrid/>
          <w:szCs w:val="22"/>
          <w:lang w:val="lt-LT"/>
        </w:rPr>
        <w:t>atsiranda vidutiniškai po 4 val. po dozės pavartojimo, absoliutus biologinis prieinamumas nenustatytas.</w:t>
      </w:r>
    </w:p>
    <w:p w14:paraId="2736C965" w14:textId="77777777" w:rsidR="0041096E" w:rsidRPr="007203A0" w:rsidRDefault="0041096E" w:rsidP="0041096E">
      <w:pPr>
        <w:widowControl w:val="0"/>
        <w:tabs>
          <w:tab w:val="clear" w:pos="567"/>
        </w:tabs>
        <w:autoSpaceDE w:val="0"/>
        <w:autoSpaceDN w:val="0"/>
        <w:spacing w:before="2" w:line="240" w:lineRule="auto"/>
        <w:rPr>
          <w:snapToGrid/>
          <w:szCs w:val="22"/>
          <w:lang w:val="lt-LT"/>
        </w:rPr>
      </w:pPr>
      <w:r w:rsidRPr="007203A0">
        <w:rPr>
          <w:snapToGrid/>
          <w:szCs w:val="22"/>
          <w:lang w:val="lt-LT"/>
        </w:rPr>
        <w:t xml:space="preserve">Maistas </w:t>
      </w:r>
      <w:proofErr w:type="spellStart"/>
      <w:r w:rsidRPr="007203A0">
        <w:rPr>
          <w:snapToGrid/>
          <w:szCs w:val="22"/>
          <w:lang w:val="lt-LT"/>
        </w:rPr>
        <w:t>tadalafilio</w:t>
      </w:r>
      <w:proofErr w:type="spellEnd"/>
      <w:r w:rsidRPr="007203A0">
        <w:rPr>
          <w:snapToGrid/>
          <w:szCs w:val="22"/>
          <w:lang w:val="lt-LT"/>
        </w:rPr>
        <w:t xml:space="preserve"> absorbcijos greičiui ir apimčiai įtakos nedaro, todėl </w:t>
      </w:r>
      <w:proofErr w:type="spellStart"/>
      <w:r w:rsidRPr="007203A0">
        <w:rPr>
          <w:snapToGrid/>
          <w:szCs w:val="22"/>
          <w:lang w:val="lt-LT"/>
        </w:rPr>
        <w:t>Tadalafil</w:t>
      </w:r>
      <w:proofErr w:type="spellEnd"/>
      <w:r w:rsidRPr="007203A0">
        <w:rPr>
          <w:snapToGrid/>
          <w:szCs w:val="22"/>
          <w:lang w:val="lt-LT"/>
        </w:rPr>
        <w:t xml:space="preserve"> AOP galima vartoti valgant arba be maisto. Vartojimo laikas (vienkartinės 10 mg dozės vartojimas ryte, palyginti su vartojimu vakare) kliniškai reikšmingo poveikio absorbcijos apimčiai ir greičiui neturėjo.</w:t>
      </w:r>
    </w:p>
    <w:p w14:paraId="7BD90187" w14:textId="77777777" w:rsidR="0041096E" w:rsidRPr="00D8166E" w:rsidRDefault="0041096E" w:rsidP="0041096E">
      <w:pPr>
        <w:widowControl w:val="0"/>
        <w:tabs>
          <w:tab w:val="clear" w:pos="567"/>
        </w:tabs>
        <w:autoSpaceDE w:val="0"/>
        <w:autoSpaceDN w:val="0"/>
        <w:spacing w:before="10" w:line="240" w:lineRule="auto"/>
        <w:rPr>
          <w:lang w:val="lt-LT"/>
        </w:rPr>
      </w:pPr>
    </w:p>
    <w:p w14:paraId="4F1C9014"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Pasiskirstymas</w:t>
      </w:r>
    </w:p>
    <w:p w14:paraId="15D028CF" w14:textId="77777777" w:rsidR="0041096E" w:rsidRPr="009840AD" w:rsidRDefault="0041096E" w:rsidP="0041096E">
      <w:pPr>
        <w:widowControl w:val="0"/>
        <w:tabs>
          <w:tab w:val="clear" w:pos="567"/>
        </w:tabs>
        <w:autoSpaceDE w:val="0"/>
        <w:autoSpaceDN w:val="0"/>
        <w:spacing w:before="2" w:line="240" w:lineRule="auto"/>
        <w:rPr>
          <w:snapToGrid/>
          <w:szCs w:val="22"/>
          <w:lang w:val="lt-LT"/>
        </w:rPr>
      </w:pPr>
      <w:r w:rsidRPr="008612DF">
        <w:rPr>
          <w:snapToGrid/>
          <w:szCs w:val="22"/>
          <w:lang w:val="lt-LT"/>
        </w:rPr>
        <w:t>Vidutinis pasiskirs</w:t>
      </w:r>
      <w:r w:rsidRPr="002A25EF">
        <w:rPr>
          <w:snapToGrid/>
          <w:szCs w:val="22"/>
          <w:lang w:val="lt-LT"/>
        </w:rPr>
        <w:t xml:space="preserve">tymo tūris susidarius </w:t>
      </w:r>
      <w:proofErr w:type="spellStart"/>
      <w:r w:rsidRPr="002A25EF">
        <w:rPr>
          <w:snapToGrid/>
          <w:szCs w:val="22"/>
          <w:lang w:val="lt-LT"/>
        </w:rPr>
        <w:t>pusiausvyrinei</w:t>
      </w:r>
      <w:proofErr w:type="spellEnd"/>
      <w:r w:rsidRPr="002A25EF">
        <w:rPr>
          <w:snapToGrid/>
          <w:szCs w:val="22"/>
          <w:lang w:val="lt-LT"/>
        </w:rPr>
        <w:t xml:space="preserve"> koncentracijai yra maždaug 77 l. Ta</w:t>
      </w:r>
      <w:r w:rsidRPr="0061385E">
        <w:rPr>
          <w:snapToGrid/>
          <w:szCs w:val="22"/>
          <w:lang w:val="lt-LT"/>
        </w:rPr>
        <w:t xml:space="preserve">i rodo, kad </w:t>
      </w:r>
      <w:proofErr w:type="spellStart"/>
      <w:r w:rsidRPr="0061385E">
        <w:rPr>
          <w:snapToGrid/>
          <w:szCs w:val="22"/>
          <w:lang w:val="lt-LT"/>
        </w:rPr>
        <w:t>tadalafilis</w:t>
      </w:r>
      <w:proofErr w:type="spellEnd"/>
      <w:r w:rsidRPr="0061385E">
        <w:rPr>
          <w:snapToGrid/>
          <w:szCs w:val="22"/>
          <w:lang w:val="lt-LT"/>
        </w:rPr>
        <w:t xml:space="preserve"> pasiskirsto audiniuose. Esant gydomąjį poveikį sukeliančiai koncentracijai, apie 94% </w:t>
      </w:r>
      <w:proofErr w:type="spellStart"/>
      <w:r w:rsidRPr="0061385E">
        <w:rPr>
          <w:snapToGrid/>
          <w:szCs w:val="22"/>
          <w:lang w:val="lt-LT"/>
        </w:rPr>
        <w:t>tadalafilio</w:t>
      </w:r>
      <w:proofErr w:type="spellEnd"/>
      <w:r w:rsidRPr="0061385E">
        <w:rPr>
          <w:snapToGrid/>
          <w:szCs w:val="22"/>
          <w:lang w:val="lt-LT"/>
        </w:rPr>
        <w:t xml:space="preserve"> susijungia su kraujo plazmos baltymais. Inkstų funkcijos sutrik</w:t>
      </w:r>
      <w:r w:rsidRPr="009840AD">
        <w:rPr>
          <w:snapToGrid/>
          <w:szCs w:val="22"/>
          <w:lang w:val="lt-LT"/>
        </w:rPr>
        <w:t>imas neturi įtakos jungimuisi su baltymais.</w:t>
      </w:r>
    </w:p>
    <w:p w14:paraId="6DBA42FF" w14:textId="77777777" w:rsidR="0041096E" w:rsidRPr="00F1014D" w:rsidRDefault="0041096E" w:rsidP="0041096E">
      <w:pPr>
        <w:widowControl w:val="0"/>
        <w:tabs>
          <w:tab w:val="clear" w:pos="567"/>
        </w:tabs>
        <w:autoSpaceDE w:val="0"/>
        <w:autoSpaceDN w:val="0"/>
        <w:spacing w:line="240" w:lineRule="auto"/>
        <w:rPr>
          <w:snapToGrid/>
          <w:szCs w:val="22"/>
          <w:lang w:val="lt-LT"/>
        </w:rPr>
      </w:pPr>
      <w:r w:rsidRPr="00F1014D">
        <w:rPr>
          <w:snapToGrid/>
          <w:szCs w:val="22"/>
          <w:lang w:val="lt-LT"/>
        </w:rPr>
        <w:t>Mažiau kaip 0,0005% pavartotos dozės patenka į sveikų vyrų spermą.</w:t>
      </w:r>
    </w:p>
    <w:p w14:paraId="1DA91A83" w14:textId="77777777" w:rsidR="0041096E" w:rsidRPr="00D8166E" w:rsidRDefault="0041096E" w:rsidP="0041096E">
      <w:pPr>
        <w:widowControl w:val="0"/>
        <w:tabs>
          <w:tab w:val="clear" w:pos="567"/>
        </w:tabs>
        <w:autoSpaceDE w:val="0"/>
        <w:autoSpaceDN w:val="0"/>
        <w:spacing w:before="10" w:line="240" w:lineRule="auto"/>
        <w:rPr>
          <w:lang w:val="lt-LT"/>
        </w:rPr>
      </w:pPr>
    </w:p>
    <w:p w14:paraId="7B6AE063" w14:textId="77777777" w:rsidR="0041096E" w:rsidRPr="005F48B8"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u w:val="single"/>
          <w:lang w:val="lt-LT"/>
        </w:rPr>
        <w:t>Biotransformacija</w:t>
      </w:r>
      <w:proofErr w:type="spellEnd"/>
    </w:p>
    <w:p w14:paraId="4E2F3D23" w14:textId="77777777" w:rsidR="0041096E" w:rsidRPr="0061385E" w:rsidRDefault="0041096E" w:rsidP="0041096E">
      <w:pPr>
        <w:widowControl w:val="0"/>
        <w:tabs>
          <w:tab w:val="clear" w:pos="567"/>
        </w:tabs>
        <w:autoSpaceDE w:val="0"/>
        <w:autoSpaceDN w:val="0"/>
        <w:spacing w:before="2" w:line="240" w:lineRule="auto"/>
        <w:rPr>
          <w:snapToGrid/>
          <w:szCs w:val="22"/>
          <w:lang w:val="lt-LT"/>
        </w:rPr>
      </w:pPr>
      <w:r w:rsidRPr="008612DF">
        <w:rPr>
          <w:snapToGrid/>
          <w:szCs w:val="22"/>
          <w:lang w:val="lt-LT"/>
        </w:rPr>
        <w:t xml:space="preserve">Daugiausia </w:t>
      </w:r>
      <w:proofErr w:type="spellStart"/>
      <w:r w:rsidRPr="008612DF">
        <w:rPr>
          <w:snapToGrid/>
          <w:szCs w:val="22"/>
          <w:lang w:val="lt-LT"/>
        </w:rPr>
        <w:t>tadalafilio</w:t>
      </w:r>
      <w:proofErr w:type="spellEnd"/>
      <w:r w:rsidRPr="008612DF">
        <w:rPr>
          <w:snapToGrid/>
          <w:szCs w:val="22"/>
          <w:lang w:val="lt-LT"/>
        </w:rPr>
        <w:t xml:space="preserve"> </w:t>
      </w:r>
      <w:proofErr w:type="spellStart"/>
      <w:r w:rsidRPr="008612DF">
        <w:rPr>
          <w:snapToGrid/>
          <w:szCs w:val="22"/>
          <w:lang w:val="lt-LT"/>
        </w:rPr>
        <w:t>metabolizuojama</w:t>
      </w:r>
      <w:proofErr w:type="spellEnd"/>
      <w:r w:rsidRPr="008612DF">
        <w:rPr>
          <w:snapToGrid/>
          <w:szCs w:val="22"/>
          <w:lang w:val="lt-LT"/>
        </w:rPr>
        <w:t xml:space="preserve">, veikiant </w:t>
      </w:r>
      <w:proofErr w:type="spellStart"/>
      <w:r w:rsidRPr="008612DF">
        <w:rPr>
          <w:snapToGrid/>
          <w:szCs w:val="22"/>
          <w:lang w:val="lt-LT"/>
        </w:rPr>
        <w:t>citrochromo</w:t>
      </w:r>
      <w:proofErr w:type="spellEnd"/>
      <w:r w:rsidRPr="008612DF">
        <w:rPr>
          <w:snapToGrid/>
          <w:szCs w:val="22"/>
          <w:lang w:val="lt-LT"/>
        </w:rPr>
        <w:t xml:space="preserve"> P 450 (CYP) 3A4 </w:t>
      </w:r>
      <w:proofErr w:type="spellStart"/>
      <w:r w:rsidRPr="008612DF">
        <w:rPr>
          <w:snapToGrid/>
          <w:szCs w:val="22"/>
          <w:lang w:val="lt-LT"/>
        </w:rPr>
        <w:t>izofermentams</w:t>
      </w:r>
      <w:proofErr w:type="spellEnd"/>
      <w:r w:rsidRPr="008612DF">
        <w:rPr>
          <w:snapToGrid/>
          <w:szCs w:val="22"/>
          <w:lang w:val="lt-LT"/>
        </w:rPr>
        <w:t>. Pagrindinis metabolitas, kurio būn</w:t>
      </w:r>
      <w:r w:rsidRPr="002A25EF">
        <w:rPr>
          <w:snapToGrid/>
          <w:szCs w:val="22"/>
          <w:lang w:val="lt-LT"/>
        </w:rPr>
        <w:t xml:space="preserve">a kraujyje, yra </w:t>
      </w:r>
      <w:proofErr w:type="spellStart"/>
      <w:r w:rsidRPr="002A25EF">
        <w:rPr>
          <w:snapToGrid/>
          <w:szCs w:val="22"/>
          <w:lang w:val="lt-LT"/>
        </w:rPr>
        <w:t>metilkatecholgliukuronidas</w:t>
      </w:r>
      <w:proofErr w:type="spellEnd"/>
      <w:r w:rsidRPr="002A25EF">
        <w:rPr>
          <w:snapToGrid/>
          <w:szCs w:val="22"/>
          <w:lang w:val="lt-LT"/>
        </w:rPr>
        <w:t xml:space="preserve">. Šis metabolitas FDE5 veikia </w:t>
      </w:r>
      <w:r w:rsidRPr="0061385E">
        <w:rPr>
          <w:snapToGrid/>
          <w:szCs w:val="22"/>
          <w:lang w:val="lt-LT"/>
        </w:rPr>
        <w:t xml:space="preserve">mažiausiai 13 000 kartų silpniau nei </w:t>
      </w:r>
      <w:proofErr w:type="spellStart"/>
      <w:r w:rsidRPr="0061385E">
        <w:rPr>
          <w:snapToGrid/>
          <w:szCs w:val="22"/>
          <w:lang w:val="lt-LT"/>
        </w:rPr>
        <w:t>tadalafilis</w:t>
      </w:r>
      <w:proofErr w:type="spellEnd"/>
      <w:r w:rsidRPr="0061385E">
        <w:rPr>
          <w:snapToGrid/>
          <w:szCs w:val="22"/>
          <w:lang w:val="lt-LT"/>
        </w:rPr>
        <w:t>. Todėl manoma, kad tokia jo koncentracija klinikinio poveikio nesukelia.</w:t>
      </w:r>
    </w:p>
    <w:p w14:paraId="05493545" w14:textId="77777777" w:rsidR="0041096E" w:rsidRPr="00D8166E" w:rsidRDefault="0041096E" w:rsidP="0041096E">
      <w:pPr>
        <w:widowControl w:val="0"/>
        <w:tabs>
          <w:tab w:val="clear" w:pos="567"/>
        </w:tabs>
        <w:autoSpaceDE w:val="0"/>
        <w:autoSpaceDN w:val="0"/>
        <w:spacing w:before="11" w:line="240" w:lineRule="auto"/>
        <w:rPr>
          <w:lang w:val="lt-LT"/>
        </w:rPr>
      </w:pPr>
    </w:p>
    <w:p w14:paraId="648D4B77"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Eliminacija</w:t>
      </w:r>
    </w:p>
    <w:p w14:paraId="1B95054D"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Vidutinis išgerto </w:t>
      </w:r>
      <w:proofErr w:type="spellStart"/>
      <w:r w:rsidRPr="008612DF">
        <w:rPr>
          <w:snapToGrid/>
          <w:szCs w:val="22"/>
          <w:lang w:val="lt-LT"/>
        </w:rPr>
        <w:t>tadalafilio</w:t>
      </w:r>
      <w:proofErr w:type="spellEnd"/>
      <w:r w:rsidRPr="008612DF">
        <w:rPr>
          <w:snapToGrid/>
          <w:szCs w:val="22"/>
          <w:lang w:val="lt-LT"/>
        </w:rPr>
        <w:t xml:space="preserve"> klirensas iš sveikų</w:t>
      </w:r>
      <w:r w:rsidRPr="002A25EF">
        <w:rPr>
          <w:snapToGrid/>
          <w:szCs w:val="22"/>
          <w:lang w:val="lt-LT"/>
        </w:rPr>
        <w:t xml:space="preserve"> tiriamųjų organizmo susidarius </w:t>
      </w:r>
      <w:proofErr w:type="spellStart"/>
      <w:r w:rsidRPr="002A25EF">
        <w:rPr>
          <w:snapToGrid/>
          <w:szCs w:val="22"/>
          <w:lang w:val="lt-LT"/>
        </w:rPr>
        <w:t>pusiausvyrinei</w:t>
      </w:r>
      <w:proofErr w:type="spellEnd"/>
      <w:r w:rsidRPr="002A25EF">
        <w:rPr>
          <w:snapToGrid/>
          <w:szCs w:val="22"/>
          <w:lang w:val="lt-LT"/>
        </w:rPr>
        <w:t xml:space="preserve"> koncentracijai yra 3,4 l/</w:t>
      </w:r>
      <w:r w:rsidRPr="0061385E">
        <w:rPr>
          <w:snapToGrid/>
          <w:szCs w:val="22"/>
          <w:lang w:val="lt-LT"/>
        </w:rPr>
        <w:t xml:space="preserve">val., vidutinis galutinis pusinės eliminacijos periodas – 16 val. Daugiausia </w:t>
      </w:r>
      <w:proofErr w:type="spellStart"/>
      <w:r w:rsidRPr="0061385E">
        <w:rPr>
          <w:snapToGrid/>
          <w:szCs w:val="22"/>
          <w:lang w:val="lt-LT"/>
        </w:rPr>
        <w:t>tadalafilio</w:t>
      </w:r>
      <w:proofErr w:type="spellEnd"/>
      <w:r w:rsidRPr="0061385E">
        <w:rPr>
          <w:snapToGrid/>
          <w:szCs w:val="22"/>
          <w:lang w:val="lt-LT"/>
        </w:rPr>
        <w:t xml:space="preserve"> šalinama neaktyvių metabolitų pavidalu, daugiausiai su išmatomis (maždaug 61 % dozės), mažesnė </w:t>
      </w:r>
      <w:r w:rsidRPr="009840AD">
        <w:rPr>
          <w:snapToGrid/>
          <w:szCs w:val="22"/>
          <w:lang w:val="lt-LT"/>
        </w:rPr>
        <w:t>dalis su šlapimu (maždaug 36 % dozės).</w:t>
      </w:r>
    </w:p>
    <w:p w14:paraId="3EF9121F" w14:textId="77777777" w:rsidR="0041096E" w:rsidRPr="00D8166E" w:rsidRDefault="0041096E" w:rsidP="0041096E">
      <w:pPr>
        <w:widowControl w:val="0"/>
        <w:tabs>
          <w:tab w:val="clear" w:pos="567"/>
        </w:tabs>
        <w:autoSpaceDE w:val="0"/>
        <w:autoSpaceDN w:val="0"/>
        <w:spacing w:before="11" w:line="240" w:lineRule="auto"/>
        <w:rPr>
          <w:lang w:val="lt-LT"/>
        </w:rPr>
      </w:pPr>
    </w:p>
    <w:p w14:paraId="7438FD1C"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u w:val="single"/>
          <w:lang w:val="lt-LT"/>
        </w:rPr>
        <w:t>Tiesinis ar netiesinis pobūdis</w:t>
      </w:r>
    </w:p>
    <w:p w14:paraId="495310CF" w14:textId="77777777" w:rsidR="0041096E" w:rsidRPr="00F1014D" w:rsidRDefault="0041096E" w:rsidP="0041096E">
      <w:pPr>
        <w:widowControl w:val="0"/>
        <w:tabs>
          <w:tab w:val="clear" w:pos="567"/>
        </w:tabs>
        <w:autoSpaceDE w:val="0"/>
        <w:autoSpaceDN w:val="0"/>
        <w:spacing w:before="1" w:line="240" w:lineRule="auto"/>
        <w:rPr>
          <w:snapToGrid/>
          <w:szCs w:val="22"/>
          <w:lang w:val="lt-LT"/>
        </w:rPr>
      </w:pPr>
      <w:r w:rsidRPr="008612DF">
        <w:rPr>
          <w:snapToGrid/>
          <w:szCs w:val="22"/>
          <w:lang w:val="lt-LT"/>
        </w:rPr>
        <w:t>V</w:t>
      </w:r>
      <w:r w:rsidRPr="002A25EF">
        <w:rPr>
          <w:snapToGrid/>
          <w:szCs w:val="22"/>
          <w:lang w:val="lt-LT"/>
        </w:rPr>
        <w:t>artojant 2,5-20 </w:t>
      </w:r>
      <w:r w:rsidRPr="0061385E">
        <w:rPr>
          <w:snapToGrid/>
          <w:szCs w:val="22"/>
          <w:lang w:val="lt-LT"/>
        </w:rPr>
        <w:t xml:space="preserve">mg dozes, </w:t>
      </w:r>
      <w:proofErr w:type="spellStart"/>
      <w:r w:rsidRPr="0061385E">
        <w:rPr>
          <w:snapToGrid/>
          <w:szCs w:val="22"/>
          <w:lang w:val="lt-LT"/>
        </w:rPr>
        <w:t>tadalafilio</w:t>
      </w:r>
      <w:proofErr w:type="spellEnd"/>
      <w:r w:rsidRPr="0061385E">
        <w:rPr>
          <w:snapToGrid/>
          <w:szCs w:val="22"/>
          <w:lang w:val="lt-LT"/>
        </w:rPr>
        <w:t xml:space="preserve"> ekspozicija (</w:t>
      </w:r>
      <w:r w:rsidRPr="009840AD">
        <w:rPr>
          <w:i/>
          <w:snapToGrid/>
          <w:szCs w:val="22"/>
          <w:lang w:val="lt-LT"/>
        </w:rPr>
        <w:t>AUC</w:t>
      </w:r>
      <w:r w:rsidRPr="009840AD">
        <w:rPr>
          <w:snapToGrid/>
          <w:szCs w:val="22"/>
          <w:lang w:val="lt-LT"/>
        </w:rPr>
        <w:t>) sveikų tiriamųjų organizme didėja proporcingai dozei. Didinant dozę nuo 20 </w:t>
      </w:r>
      <w:r w:rsidRPr="00F1014D">
        <w:rPr>
          <w:snapToGrid/>
          <w:szCs w:val="22"/>
          <w:lang w:val="lt-LT"/>
        </w:rPr>
        <w:t xml:space="preserve">mg iki 40 mg, ekspozicija didėja mažiau negu proporcingai dozei. Vartojant 20 mg ir 40 mg </w:t>
      </w:r>
      <w:proofErr w:type="spellStart"/>
      <w:r w:rsidRPr="00F1014D">
        <w:rPr>
          <w:snapToGrid/>
          <w:szCs w:val="22"/>
          <w:lang w:val="lt-LT"/>
        </w:rPr>
        <w:t>tadalafilio</w:t>
      </w:r>
      <w:proofErr w:type="spellEnd"/>
      <w:r w:rsidRPr="00F1014D">
        <w:rPr>
          <w:snapToGrid/>
          <w:szCs w:val="22"/>
          <w:lang w:val="lt-LT"/>
        </w:rPr>
        <w:t xml:space="preserve"> dozes vieną kartą per parą, </w:t>
      </w:r>
      <w:proofErr w:type="spellStart"/>
      <w:r w:rsidRPr="00F1014D">
        <w:rPr>
          <w:snapToGrid/>
          <w:szCs w:val="22"/>
          <w:lang w:val="lt-LT"/>
        </w:rPr>
        <w:t>pusiausvyrinė</w:t>
      </w:r>
      <w:proofErr w:type="spellEnd"/>
      <w:r w:rsidRPr="00F1014D">
        <w:rPr>
          <w:snapToGrid/>
          <w:szCs w:val="22"/>
          <w:lang w:val="lt-LT"/>
        </w:rPr>
        <w:t xml:space="preserve"> koncentracija plazmoje pasiekiama per 5 paras ir ekspozicija būna maždaug 1,5 karto didesnė nei po vienos dozės.</w:t>
      </w:r>
    </w:p>
    <w:p w14:paraId="12B8B5EF"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3285868"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Farmakokinetika populiacijoje</w:t>
      </w:r>
    </w:p>
    <w:p w14:paraId="4DD46BAA" w14:textId="77777777" w:rsidR="0041096E" w:rsidRPr="007203A0" w:rsidRDefault="0041096E" w:rsidP="0041096E">
      <w:pPr>
        <w:widowControl w:val="0"/>
        <w:tabs>
          <w:tab w:val="clear" w:pos="567"/>
        </w:tabs>
        <w:autoSpaceDE w:val="0"/>
        <w:autoSpaceDN w:val="0"/>
        <w:spacing w:before="4" w:line="240" w:lineRule="auto"/>
        <w:rPr>
          <w:snapToGrid/>
          <w:szCs w:val="22"/>
          <w:lang w:val="lt-LT"/>
        </w:rPr>
      </w:pPr>
      <w:r w:rsidRPr="007203A0">
        <w:rPr>
          <w:snapToGrid/>
          <w:szCs w:val="22"/>
          <w:lang w:val="lt-LT"/>
        </w:rPr>
        <w:t xml:space="preserve">Pacientų, kurie serga </w:t>
      </w:r>
      <w:proofErr w:type="spellStart"/>
      <w:r w:rsidRPr="007203A0">
        <w:rPr>
          <w:snapToGrid/>
          <w:szCs w:val="22"/>
          <w:lang w:val="lt-LT"/>
        </w:rPr>
        <w:t>plautine</w:t>
      </w:r>
      <w:proofErr w:type="spellEnd"/>
      <w:r w:rsidRPr="007203A0">
        <w:rPr>
          <w:snapToGrid/>
          <w:szCs w:val="22"/>
          <w:lang w:val="lt-LT"/>
        </w:rPr>
        <w:t xml:space="preserve"> hipertenzija ir nevartoja kartu </w:t>
      </w:r>
      <w:proofErr w:type="spellStart"/>
      <w:r w:rsidRPr="007203A0">
        <w:rPr>
          <w:snapToGrid/>
          <w:szCs w:val="22"/>
          <w:lang w:val="lt-LT"/>
        </w:rPr>
        <w:t>bozentano</w:t>
      </w:r>
      <w:proofErr w:type="spellEnd"/>
      <w:r w:rsidRPr="007203A0">
        <w:rPr>
          <w:snapToGrid/>
          <w:szCs w:val="22"/>
          <w:lang w:val="lt-LT"/>
        </w:rPr>
        <w:t xml:space="preserve">, organizme vidutinė </w:t>
      </w:r>
      <w:proofErr w:type="spellStart"/>
      <w:r w:rsidRPr="007203A0">
        <w:rPr>
          <w:snapToGrid/>
          <w:szCs w:val="22"/>
          <w:lang w:val="lt-LT"/>
        </w:rPr>
        <w:t>tadalafilio</w:t>
      </w:r>
      <w:proofErr w:type="spellEnd"/>
      <w:r w:rsidRPr="007203A0">
        <w:rPr>
          <w:snapToGrid/>
          <w:szCs w:val="22"/>
          <w:lang w:val="lt-LT"/>
        </w:rPr>
        <w:t xml:space="preserve"> ekspozicija susidarius </w:t>
      </w:r>
      <w:proofErr w:type="spellStart"/>
      <w:r w:rsidRPr="007203A0">
        <w:rPr>
          <w:snapToGrid/>
          <w:szCs w:val="22"/>
          <w:lang w:val="lt-LT"/>
        </w:rPr>
        <w:t>pusiausvyrinei</w:t>
      </w:r>
      <w:proofErr w:type="spellEnd"/>
      <w:r w:rsidRPr="007203A0">
        <w:rPr>
          <w:snapToGrid/>
          <w:szCs w:val="22"/>
          <w:lang w:val="lt-LT"/>
        </w:rPr>
        <w:t xml:space="preserve"> koncentracijai po 40 mg dozės pavartojimo buvo 26 % didesnė, </w:t>
      </w:r>
      <w:r w:rsidRPr="007203A0">
        <w:rPr>
          <w:snapToGrid/>
          <w:position w:val="2"/>
          <w:szCs w:val="22"/>
          <w:lang w:val="lt-LT"/>
        </w:rPr>
        <w:t xml:space="preserve">palyginti su sveikų savanorių. Kliniškai reikšmingų </w:t>
      </w:r>
      <w:proofErr w:type="spellStart"/>
      <w:r w:rsidRPr="007203A0">
        <w:rPr>
          <w:i/>
          <w:snapToGrid/>
          <w:position w:val="2"/>
          <w:szCs w:val="22"/>
          <w:lang w:val="lt-LT"/>
        </w:rPr>
        <w:t>C</w:t>
      </w:r>
      <w:r w:rsidRPr="007203A0">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 xml:space="preserve">skirtumų, palyginti su sveikais savanoriais, </w:t>
      </w:r>
      <w:r w:rsidRPr="007203A0">
        <w:rPr>
          <w:snapToGrid/>
          <w:szCs w:val="22"/>
          <w:lang w:val="lt-LT"/>
        </w:rPr>
        <w:lastRenderedPageBreak/>
        <w:t xml:space="preserve">nebuvo. Šie duomenys rodo, kad </w:t>
      </w:r>
      <w:proofErr w:type="spellStart"/>
      <w:r w:rsidRPr="007203A0">
        <w:rPr>
          <w:snapToGrid/>
          <w:szCs w:val="22"/>
          <w:lang w:val="lt-LT"/>
        </w:rPr>
        <w:t>tadalafilio</w:t>
      </w:r>
      <w:proofErr w:type="spellEnd"/>
      <w:r w:rsidRPr="007203A0">
        <w:rPr>
          <w:snapToGrid/>
          <w:szCs w:val="22"/>
          <w:lang w:val="lt-LT"/>
        </w:rPr>
        <w:t xml:space="preserve"> klirensas iš </w:t>
      </w:r>
      <w:proofErr w:type="spellStart"/>
      <w:r w:rsidRPr="007203A0">
        <w:rPr>
          <w:snapToGrid/>
          <w:szCs w:val="22"/>
          <w:lang w:val="lt-LT"/>
        </w:rPr>
        <w:t>plautine</w:t>
      </w:r>
      <w:proofErr w:type="spellEnd"/>
      <w:r w:rsidRPr="007203A0">
        <w:rPr>
          <w:snapToGrid/>
          <w:szCs w:val="22"/>
          <w:lang w:val="lt-LT"/>
        </w:rPr>
        <w:t xml:space="preserve"> hipertenzija sergančių pacientų organizmo yra lėtesnis, palyginti su sveikų savanorių.</w:t>
      </w:r>
    </w:p>
    <w:p w14:paraId="69334973" w14:textId="77777777" w:rsidR="0041096E" w:rsidRPr="007203A0" w:rsidRDefault="0041096E" w:rsidP="0041096E">
      <w:pPr>
        <w:widowControl w:val="0"/>
        <w:tabs>
          <w:tab w:val="clear" w:pos="567"/>
        </w:tabs>
        <w:autoSpaceDE w:val="0"/>
        <w:autoSpaceDN w:val="0"/>
        <w:spacing w:before="68" w:line="240" w:lineRule="auto"/>
        <w:rPr>
          <w:snapToGrid/>
          <w:szCs w:val="22"/>
          <w:u w:val="single"/>
          <w:lang w:val="lt-LT"/>
        </w:rPr>
      </w:pPr>
    </w:p>
    <w:p w14:paraId="6F95A1CF" w14:textId="77777777" w:rsidR="0041096E" w:rsidRPr="005F48B8" w:rsidRDefault="0041096E" w:rsidP="0041096E">
      <w:pPr>
        <w:widowControl w:val="0"/>
        <w:tabs>
          <w:tab w:val="clear" w:pos="567"/>
        </w:tabs>
        <w:autoSpaceDE w:val="0"/>
        <w:autoSpaceDN w:val="0"/>
        <w:spacing w:before="68" w:line="240" w:lineRule="auto"/>
        <w:rPr>
          <w:snapToGrid/>
          <w:szCs w:val="22"/>
          <w:lang w:val="lt-LT"/>
        </w:rPr>
      </w:pPr>
      <w:r w:rsidRPr="007203A0">
        <w:rPr>
          <w:snapToGrid/>
          <w:szCs w:val="22"/>
          <w:u w:val="single"/>
          <w:lang w:val="lt-LT"/>
        </w:rPr>
        <w:t>Ypatingos populiacijos</w:t>
      </w:r>
    </w:p>
    <w:p w14:paraId="5A6D64A7" w14:textId="77777777" w:rsidR="0041096E" w:rsidRPr="00D8166E" w:rsidRDefault="0041096E" w:rsidP="0041096E">
      <w:pPr>
        <w:widowControl w:val="0"/>
        <w:tabs>
          <w:tab w:val="clear" w:pos="567"/>
        </w:tabs>
        <w:autoSpaceDE w:val="0"/>
        <w:autoSpaceDN w:val="0"/>
        <w:spacing w:before="9" w:line="240" w:lineRule="auto"/>
        <w:rPr>
          <w:lang w:val="lt-LT"/>
        </w:rPr>
      </w:pPr>
    </w:p>
    <w:p w14:paraId="31BB4E95" w14:textId="77777777" w:rsidR="0041096E" w:rsidRPr="005F48B8" w:rsidRDefault="0041096E" w:rsidP="0041096E">
      <w:pPr>
        <w:widowControl w:val="0"/>
        <w:tabs>
          <w:tab w:val="clear" w:pos="567"/>
        </w:tabs>
        <w:autoSpaceDE w:val="0"/>
        <w:autoSpaceDN w:val="0"/>
        <w:spacing w:line="240" w:lineRule="auto"/>
        <w:rPr>
          <w:i/>
          <w:snapToGrid/>
          <w:szCs w:val="22"/>
          <w:lang w:val="lt-LT"/>
        </w:rPr>
      </w:pPr>
      <w:r w:rsidRPr="005F48B8">
        <w:rPr>
          <w:i/>
          <w:snapToGrid/>
          <w:szCs w:val="22"/>
          <w:lang w:val="lt-LT"/>
        </w:rPr>
        <w:t>Senyvi pacientai</w:t>
      </w:r>
    </w:p>
    <w:p w14:paraId="79C283E4" w14:textId="77777777" w:rsidR="0041096E" w:rsidRPr="009840AD" w:rsidRDefault="0041096E" w:rsidP="0041096E">
      <w:pPr>
        <w:widowControl w:val="0"/>
        <w:tabs>
          <w:tab w:val="clear" w:pos="567"/>
        </w:tabs>
        <w:autoSpaceDE w:val="0"/>
        <w:autoSpaceDN w:val="0"/>
        <w:spacing w:before="2" w:line="240" w:lineRule="auto"/>
        <w:rPr>
          <w:snapToGrid/>
          <w:szCs w:val="22"/>
          <w:lang w:val="lt-LT"/>
        </w:rPr>
      </w:pPr>
      <w:r w:rsidRPr="008612DF">
        <w:rPr>
          <w:snapToGrid/>
          <w:szCs w:val="22"/>
          <w:lang w:val="lt-LT"/>
        </w:rPr>
        <w:t>Iš</w:t>
      </w:r>
      <w:r w:rsidRPr="002A25EF">
        <w:rPr>
          <w:snapToGrid/>
          <w:szCs w:val="22"/>
          <w:lang w:val="lt-LT"/>
        </w:rPr>
        <w:t xml:space="preserve">gerto </w:t>
      </w:r>
      <w:proofErr w:type="spellStart"/>
      <w:r w:rsidRPr="002A25EF">
        <w:rPr>
          <w:snapToGrid/>
          <w:szCs w:val="22"/>
          <w:lang w:val="lt-LT"/>
        </w:rPr>
        <w:t>tadalafilio</w:t>
      </w:r>
      <w:proofErr w:type="spellEnd"/>
      <w:r w:rsidRPr="002A25EF">
        <w:rPr>
          <w:snapToGrid/>
          <w:szCs w:val="22"/>
          <w:lang w:val="lt-LT"/>
        </w:rPr>
        <w:t xml:space="preserve"> klirensas iš sveikų senyvų tiriamųjų (65 metų ir vyresnių) </w:t>
      </w:r>
      <w:proofErr w:type="spellStart"/>
      <w:r w:rsidRPr="002A25EF">
        <w:rPr>
          <w:snapToGrid/>
          <w:szCs w:val="22"/>
          <w:lang w:val="lt-LT"/>
        </w:rPr>
        <w:t>organizmoyra</w:t>
      </w:r>
      <w:proofErr w:type="spellEnd"/>
      <w:r w:rsidRPr="002A25EF">
        <w:rPr>
          <w:snapToGrid/>
          <w:szCs w:val="22"/>
          <w:lang w:val="lt-LT"/>
        </w:rPr>
        <w:t xml:space="preserve"> mažesnis, todėl ekspozicija (</w:t>
      </w:r>
      <w:r w:rsidRPr="0061385E">
        <w:rPr>
          <w:i/>
          <w:snapToGrid/>
          <w:szCs w:val="22"/>
          <w:lang w:val="lt-LT"/>
        </w:rPr>
        <w:t>AUC</w:t>
      </w:r>
      <w:r w:rsidRPr="0061385E">
        <w:rPr>
          <w:snapToGrid/>
          <w:szCs w:val="22"/>
          <w:lang w:val="lt-LT"/>
        </w:rPr>
        <w:t>) yra 25 % didesnė palyginti su sveikų 19-45 metų tiriamųjų po 10 mg dozės pavartojimo. Tokia amžiaus įtaka nėra kliniškai reikšminga,</w:t>
      </w:r>
      <w:r w:rsidRPr="009840AD">
        <w:rPr>
          <w:snapToGrid/>
          <w:szCs w:val="22"/>
          <w:lang w:val="lt-LT"/>
        </w:rPr>
        <w:t xml:space="preserve"> todėl dozės keisti nereikia.</w:t>
      </w:r>
    </w:p>
    <w:p w14:paraId="364AB2E5" w14:textId="77777777" w:rsidR="0041096E" w:rsidRPr="00D8166E" w:rsidRDefault="0041096E" w:rsidP="0041096E">
      <w:pPr>
        <w:widowControl w:val="0"/>
        <w:tabs>
          <w:tab w:val="clear" w:pos="567"/>
        </w:tabs>
        <w:autoSpaceDE w:val="0"/>
        <w:autoSpaceDN w:val="0"/>
        <w:spacing w:before="9" w:line="240" w:lineRule="auto"/>
        <w:rPr>
          <w:lang w:val="lt-LT"/>
        </w:rPr>
      </w:pPr>
    </w:p>
    <w:p w14:paraId="6ABDD8C6" w14:textId="77777777" w:rsidR="0041096E" w:rsidRPr="002A25EF" w:rsidRDefault="0041096E" w:rsidP="0041096E">
      <w:pPr>
        <w:widowControl w:val="0"/>
        <w:tabs>
          <w:tab w:val="clear" w:pos="567"/>
        </w:tabs>
        <w:autoSpaceDE w:val="0"/>
        <w:autoSpaceDN w:val="0"/>
        <w:spacing w:before="2" w:line="240" w:lineRule="auto"/>
        <w:rPr>
          <w:snapToGrid/>
          <w:szCs w:val="22"/>
          <w:lang w:val="lt-LT"/>
        </w:rPr>
      </w:pPr>
      <w:r w:rsidRPr="005F48B8">
        <w:rPr>
          <w:i/>
          <w:snapToGrid/>
          <w:szCs w:val="22"/>
          <w:lang w:val="lt-LT"/>
        </w:rPr>
        <w:t xml:space="preserve">Inkstų </w:t>
      </w:r>
      <w:proofErr w:type="spellStart"/>
      <w:r w:rsidRPr="005F48B8">
        <w:rPr>
          <w:i/>
          <w:snapToGrid/>
          <w:szCs w:val="22"/>
          <w:lang w:val="lt-LT"/>
        </w:rPr>
        <w:t>nepakankamumas</w:t>
      </w:r>
      <w:r w:rsidRPr="008612DF">
        <w:rPr>
          <w:snapToGrid/>
          <w:szCs w:val="22"/>
          <w:lang w:val="lt-LT"/>
        </w:rPr>
        <w:t>Klinikinių</w:t>
      </w:r>
      <w:proofErr w:type="spellEnd"/>
      <w:r w:rsidRPr="008612DF">
        <w:rPr>
          <w:snapToGrid/>
          <w:szCs w:val="22"/>
          <w:lang w:val="lt-LT"/>
        </w:rPr>
        <w:t xml:space="preserve"> farmakologi</w:t>
      </w:r>
      <w:r w:rsidRPr="002A25EF">
        <w:rPr>
          <w:snapToGrid/>
          <w:szCs w:val="22"/>
          <w:lang w:val="lt-LT"/>
        </w:rPr>
        <w:t>nių tyrimų metu tiriamųjų, kurie sirgo lengvu (kreatinino klirensas</w:t>
      </w:r>
    </w:p>
    <w:p w14:paraId="10321F1D"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51-80 </w:t>
      </w:r>
      <w:r w:rsidRPr="009840AD">
        <w:rPr>
          <w:snapToGrid/>
          <w:szCs w:val="22"/>
          <w:lang w:val="lt-LT"/>
        </w:rPr>
        <w:t>ml/min.) ar vidutinio sunkumo (kreatinino klirensas 31-50 </w:t>
      </w:r>
      <w:r w:rsidRPr="00F1014D">
        <w:rPr>
          <w:snapToGrid/>
          <w:szCs w:val="22"/>
          <w:lang w:val="lt-LT"/>
        </w:rPr>
        <w:t xml:space="preserve">ml/min.) inkstų funkcijos sutrikimu, ir tiriamųjų, kuriems buvo atliekamos hemodializės dėl galutinės </w:t>
      </w:r>
      <w:r w:rsidRPr="007203A0">
        <w:rPr>
          <w:snapToGrid/>
          <w:szCs w:val="22"/>
          <w:lang w:val="lt-LT"/>
        </w:rPr>
        <w:t>stadijos inkstų ligos</w:t>
      </w:r>
      <w:r w:rsidRPr="005F48B8">
        <w:rPr>
          <w:snapToGrid/>
          <w:szCs w:val="22"/>
          <w:lang w:val="lt-LT"/>
        </w:rPr>
        <w:t>, organizme vienkartinės nuo 5</w:t>
      </w:r>
      <w:r w:rsidRPr="008612DF">
        <w:rPr>
          <w:snapToGrid/>
          <w:szCs w:val="22"/>
          <w:lang w:val="lt-LT"/>
        </w:rPr>
        <w:t> </w:t>
      </w:r>
      <w:r w:rsidRPr="002A25EF">
        <w:rPr>
          <w:snapToGrid/>
          <w:szCs w:val="22"/>
          <w:lang w:val="lt-LT"/>
        </w:rPr>
        <w:t>mg iki 20</w:t>
      </w:r>
      <w:r w:rsidRPr="0061385E">
        <w:rPr>
          <w:snapToGrid/>
          <w:szCs w:val="22"/>
          <w:lang w:val="lt-LT"/>
        </w:rPr>
        <w:t> </w:t>
      </w:r>
      <w:r w:rsidRPr="009840AD">
        <w:rPr>
          <w:snapToGrid/>
          <w:szCs w:val="22"/>
          <w:lang w:val="lt-LT"/>
        </w:rPr>
        <w:t xml:space="preserve">mg </w:t>
      </w:r>
      <w:proofErr w:type="spellStart"/>
      <w:r w:rsidRPr="009840AD">
        <w:rPr>
          <w:snapToGrid/>
          <w:szCs w:val="22"/>
          <w:lang w:val="lt-LT"/>
        </w:rPr>
        <w:t>tadalafilio</w:t>
      </w:r>
      <w:proofErr w:type="spellEnd"/>
      <w:r w:rsidRPr="009840AD">
        <w:rPr>
          <w:snapToGrid/>
          <w:szCs w:val="22"/>
          <w:lang w:val="lt-LT"/>
        </w:rPr>
        <w:t xml:space="preserve"> dozės ekspozicija (</w:t>
      </w:r>
      <w:r w:rsidRPr="009840AD">
        <w:rPr>
          <w:i/>
          <w:snapToGrid/>
          <w:szCs w:val="22"/>
          <w:lang w:val="lt-LT"/>
        </w:rPr>
        <w:t>AUC</w:t>
      </w:r>
      <w:r w:rsidRPr="009840AD">
        <w:rPr>
          <w:snapToGrid/>
          <w:szCs w:val="22"/>
          <w:lang w:val="lt-LT"/>
        </w:rPr>
        <w:t>) buvo vidutiniškai du kartus</w:t>
      </w:r>
      <w:r w:rsidRPr="009840AD">
        <w:rPr>
          <w:snapToGrid/>
          <w:position w:val="2"/>
          <w:szCs w:val="22"/>
          <w:lang w:val="lt-LT"/>
        </w:rPr>
        <w:t xml:space="preserve"> didesnė. </w:t>
      </w:r>
      <w:proofErr w:type="spellStart"/>
      <w:r w:rsidRPr="009840AD">
        <w:rPr>
          <w:snapToGrid/>
          <w:position w:val="2"/>
          <w:szCs w:val="22"/>
          <w:lang w:val="lt-LT"/>
        </w:rPr>
        <w:t>Hemodializuojamų</w:t>
      </w:r>
      <w:proofErr w:type="spellEnd"/>
      <w:r w:rsidRPr="009840AD">
        <w:rPr>
          <w:snapToGrid/>
          <w:position w:val="2"/>
          <w:szCs w:val="22"/>
          <w:lang w:val="lt-LT"/>
        </w:rPr>
        <w:t xml:space="preserve"> pacientų organizme </w:t>
      </w:r>
      <w:proofErr w:type="spellStart"/>
      <w:r w:rsidRPr="00F1014D">
        <w:rPr>
          <w:i/>
          <w:snapToGrid/>
          <w:position w:val="2"/>
          <w:szCs w:val="22"/>
          <w:lang w:val="lt-LT"/>
        </w:rPr>
        <w:t>C</w:t>
      </w:r>
      <w:r w:rsidRPr="00F1014D">
        <w:rPr>
          <w:i/>
          <w:snapToGrid/>
          <w:position w:val="2"/>
          <w:szCs w:val="22"/>
          <w:vertAlign w:val="subscript"/>
          <w:lang w:val="lt-LT"/>
        </w:rPr>
        <w:t>max</w:t>
      </w:r>
      <w:proofErr w:type="spellEnd"/>
      <w:r w:rsidRPr="007203A0">
        <w:rPr>
          <w:i/>
          <w:snapToGrid/>
          <w:position w:val="2"/>
          <w:szCs w:val="22"/>
          <w:lang w:val="lt-LT"/>
        </w:rPr>
        <w:t xml:space="preserve"> </w:t>
      </w:r>
      <w:r w:rsidRPr="007203A0">
        <w:rPr>
          <w:snapToGrid/>
          <w:position w:val="2"/>
          <w:szCs w:val="22"/>
          <w:lang w:val="lt-LT"/>
        </w:rPr>
        <w:t>buvo 41 % didesnė nei sveikų tiriamųjų.</w:t>
      </w:r>
    </w:p>
    <w:p w14:paraId="6DE066B0"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Hemodializė šiek tiek pagreitina </w:t>
      </w:r>
      <w:proofErr w:type="spellStart"/>
      <w:r w:rsidRPr="007203A0">
        <w:rPr>
          <w:snapToGrid/>
          <w:szCs w:val="22"/>
          <w:lang w:val="lt-LT"/>
        </w:rPr>
        <w:t>tadalafilio</w:t>
      </w:r>
      <w:proofErr w:type="spellEnd"/>
      <w:r w:rsidRPr="007203A0">
        <w:rPr>
          <w:snapToGrid/>
          <w:szCs w:val="22"/>
          <w:lang w:val="lt-LT"/>
        </w:rPr>
        <w:t xml:space="preserve"> eliminaciją.</w:t>
      </w:r>
    </w:p>
    <w:p w14:paraId="54D04EE5"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Tadalafilio</w:t>
      </w:r>
      <w:proofErr w:type="spellEnd"/>
      <w:r w:rsidRPr="007203A0">
        <w:rPr>
          <w:snapToGrid/>
          <w:szCs w:val="22"/>
          <w:lang w:val="lt-LT"/>
        </w:rPr>
        <w:t xml:space="preserve"> nerekomenduojama vartoti pacientams, kurie serga sunkiu inkstų funkcijos sutrikimu, nes padidėja </w:t>
      </w:r>
      <w:proofErr w:type="spellStart"/>
      <w:r w:rsidRPr="007203A0">
        <w:rPr>
          <w:snapToGrid/>
          <w:szCs w:val="22"/>
          <w:lang w:val="lt-LT"/>
        </w:rPr>
        <w:t>tadalafilio</w:t>
      </w:r>
      <w:proofErr w:type="spellEnd"/>
      <w:r w:rsidRPr="007203A0">
        <w:rPr>
          <w:snapToGrid/>
          <w:szCs w:val="22"/>
          <w:lang w:val="lt-LT"/>
        </w:rPr>
        <w:t xml:space="preserve"> ekspozicija (</w:t>
      </w:r>
      <w:r w:rsidRPr="007203A0">
        <w:rPr>
          <w:i/>
          <w:snapToGrid/>
          <w:szCs w:val="22"/>
          <w:lang w:val="lt-LT"/>
        </w:rPr>
        <w:t>AUC</w:t>
      </w:r>
      <w:r w:rsidRPr="007203A0">
        <w:rPr>
          <w:snapToGrid/>
          <w:szCs w:val="22"/>
          <w:lang w:val="lt-LT"/>
        </w:rPr>
        <w:t xml:space="preserve">), yra nedaug </w:t>
      </w:r>
      <w:proofErr w:type="spellStart"/>
      <w:r w:rsidRPr="007203A0">
        <w:rPr>
          <w:snapToGrid/>
          <w:szCs w:val="22"/>
          <w:lang w:val="lt-LT"/>
        </w:rPr>
        <w:t>klinkinės</w:t>
      </w:r>
      <w:proofErr w:type="spellEnd"/>
      <w:r w:rsidRPr="007203A0">
        <w:rPr>
          <w:snapToGrid/>
          <w:szCs w:val="22"/>
          <w:lang w:val="lt-LT"/>
        </w:rPr>
        <w:t xml:space="preserve"> patirties ir nėra galimybės pašalinti vaistinio preparato iš organizmo dializės metu.</w:t>
      </w:r>
    </w:p>
    <w:p w14:paraId="566F82D4" w14:textId="77777777" w:rsidR="0041096E" w:rsidRPr="00D8166E" w:rsidRDefault="0041096E" w:rsidP="0041096E">
      <w:pPr>
        <w:widowControl w:val="0"/>
        <w:tabs>
          <w:tab w:val="clear" w:pos="567"/>
        </w:tabs>
        <w:autoSpaceDE w:val="0"/>
        <w:autoSpaceDN w:val="0"/>
        <w:spacing w:before="11" w:line="240" w:lineRule="auto"/>
        <w:rPr>
          <w:lang w:val="lt-LT"/>
        </w:rPr>
      </w:pPr>
    </w:p>
    <w:p w14:paraId="0EFADE7A" w14:textId="77777777" w:rsidR="0041096E" w:rsidRPr="005F48B8" w:rsidRDefault="0041096E" w:rsidP="0041096E">
      <w:pPr>
        <w:outlineLvl w:val="0"/>
        <w:rPr>
          <w:i/>
          <w:snapToGrid/>
          <w:szCs w:val="22"/>
          <w:lang w:val="lt-LT"/>
        </w:rPr>
      </w:pPr>
      <w:r w:rsidRPr="005F48B8">
        <w:rPr>
          <w:i/>
          <w:snapToGrid/>
          <w:szCs w:val="22"/>
          <w:lang w:val="lt-LT"/>
        </w:rPr>
        <w:t>Kepenų nepakankamumas</w:t>
      </w:r>
    </w:p>
    <w:p w14:paraId="4935B188" w14:textId="77777777" w:rsidR="0041096E" w:rsidRPr="00F1014D" w:rsidRDefault="0041096E" w:rsidP="0041096E">
      <w:pPr>
        <w:widowControl w:val="0"/>
        <w:tabs>
          <w:tab w:val="clear" w:pos="567"/>
        </w:tabs>
        <w:autoSpaceDE w:val="0"/>
        <w:autoSpaceDN w:val="0"/>
        <w:spacing w:line="240" w:lineRule="auto"/>
        <w:rPr>
          <w:snapToGrid/>
          <w:szCs w:val="22"/>
          <w:lang w:val="lt-LT"/>
        </w:rPr>
      </w:pPr>
      <w:r w:rsidRPr="008612DF">
        <w:rPr>
          <w:snapToGrid/>
          <w:szCs w:val="22"/>
          <w:lang w:val="lt-LT"/>
        </w:rPr>
        <w:t xml:space="preserve">10 mg </w:t>
      </w:r>
      <w:proofErr w:type="spellStart"/>
      <w:r w:rsidRPr="008612DF">
        <w:rPr>
          <w:snapToGrid/>
          <w:szCs w:val="22"/>
          <w:lang w:val="lt-LT"/>
        </w:rPr>
        <w:t>tadalafilio</w:t>
      </w:r>
      <w:proofErr w:type="spellEnd"/>
      <w:r w:rsidRPr="008612DF">
        <w:rPr>
          <w:snapToGrid/>
          <w:szCs w:val="22"/>
          <w:lang w:val="lt-LT"/>
        </w:rPr>
        <w:t xml:space="preserve"> dozės ekspozicija (</w:t>
      </w:r>
      <w:r w:rsidRPr="002A25EF">
        <w:rPr>
          <w:i/>
          <w:snapToGrid/>
          <w:szCs w:val="22"/>
          <w:lang w:val="lt-LT"/>
        </w:rPr>
        <w:t>AUC</w:t>
      </w:r>
      <w:r w:rsidRPr="002A25EF">
        <w:rPr>
          <w:snapToGrid/>
          <w:szCs w:val="22"/>
          <w:lang w:val="lt-LT"/>
        </w:rPr>
        <w:t xml:space="preserve">) pacientų, kurie serga lengvu ar vidutinio sunkumo kepenų funkcijos sutrikimu (A arba B klasės pagal </w:t>
      </w:r>
      <w:proofErr w:type="spellStart"/>
      <w:r w:rsidRPr="0061385E">
        <w:rPr>
          <w:i/>
          <w:snapToGrid/>
          <w:szCs w:val="22"/>
          <w:lang w:val="lt-LT"/>
        </w:rPr>
        <w:t>Child-Pugh</w:t>
      </w:r>
      <w:proofErr w:type="spellEnd"/>
      <w:r w:rsidRPr="0061385E">
        <w:rPr>
          <w:i/>
          <w:snapToGrid/>
          <w:szCs w:val="22"/>
          <w:lang w:val="lt-LT"/>
        </w:rPr>
        <w:t xml:space="preserve"> </w:t>
      </w:r>
      <w:r w:rsidRPr="009840AD">
        <w:rPr>
          <w:snapToGrid/>
          <w:szCs w:val="22"/>
          <w:lang w:val="lt-LT"/>
        </w:rPr>
        <w:t xml:space="preserve">), organizme yra panaši į ekspoziciją sveikų tiriamųjų organizme. Jeigu skiriama vartoti </w:t>
      </w:r>
      <w:proofErr w:type="spellStart"/>
      <w:r w:rsidRPr="009840AD">
        <w:rPr>
          <w:snapToGrid/>
          <w:szCs w:val="22"/>
          <w:lang w:val="lt-LT"/>
        </w:rPr>
        <w:t>tadalafilio</w:t>
      </w:r>
      <w:proofErr w:type="spellEnd"/>
      <w:r w:rsidRPr="009840AD">
        <w:rPr>
          <w:snapToGrid/>
          <w:szCs w:val="22"/>
          <w:lang w:val="lt-LT"/>
        </w:rPr>
        <w:t xml:space="preserve">, vaistinį preparatą skiriantis gydytojas turi atidžiai įvertinti individualų naudos ir rizikos santykį. Duomenų apie didesnių kaip 10 mg </w:t>
      </w:r>
      <w:proofErr w:type="spellStart"/>
      <w:r w:rsidRPr="009840AD">
        <w:rPr>
          <w:snapToGrid/>
          <w:szCs w:val="22"/>
          <w:lang w:val="lt-LT"/>
        </w:rPr>
        <w:t>tadalafi</w:t>
      </w:r>
      <w:r w:rsidRPr="00F1014D">
        <w:rPr>
          <w:snapToGrid/>
          <w:szCs w:val="22"/>
          <w:lang w:val="lt-LT"/>
        </w:rPr>
        <w:t>lio</w:t>
      </w:r>
      <w:proofErr w:type="spellEnd"/>
      <w:r w:rsidRPr="00F1014D">
        <w:rPr>
          <w:snapToGrid/>
          <w:szCs w:val="22"/>
          <w:lang w:val="lt-LT"/>
        </w:rPr>
        <w:t xml:space="preserve"> dozių vartojimą pacientams, kurie serga kepenų funkcijos sutrikimu, nėra.</w:t>
      </w:r>
    </w:p>
    <w:p w14:paraId="2BE885A0"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125B0F1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Tyrimų su pacientais, kurie serga kepenų ciroze (C klasės pagal </w:t>
      </w:r>
      <w:proofErr w:type="spellStart"/>
      <w:r w:rsidRPr="007203A0">
        <w:rPr>
          <w:i/>
          <w:snapToGrid/>
          <w:szCs w:val="22"/>
          <w:lang w:val="lt-LT"/>
        </w:rPr>
        <w:t>Child-Pugh</w:t>
      </w:r>
      <w:proofErr w:type="spellEnd"/>
      <w:r w:rsidRPr="007203A0">
        <w:rPr>
          <w:snapToGrid/>
          <w:szCs w:val="22"/>
          <w:lang w:val="lt-LT"/>
        </w:rPr>
        <w:t xml:space="preserve">), neatlikta, todėl tokiems pacientams </w:t>
      </w:r>
      <w:proofErr w:type="spellStart"/>
      <w:r w:rsidRPr="007203A0">
        <w:rPr>
          <w:snapToGrid/>
          <w:szCs w:val="22"/>
          <w:lang w:val="lt-LT"/>
        </w:rPr>
        <w:t>tadalafilio</w:t>
      </w:r>
      <w:proofErr w:type="spellEnd"/>
      <w:r w:rsidRPr="007203A0">
        <w:rPr>
          <w:snapToGrid/>
          <w:szCs w:val="22"/>
          <w:lang w:val="lt-LT"/>
        </w:rPr>
        <w:t xml:space="preserve"> vartoti nerekomenduojama.</w:t>
      </w:r>
    </w:p>
    <w:p w14:paraId="4A5E8F2A" w14:textId="77777777" w:rsidR="0041096E" w:rsidRPr="00D8166E" w:rsidRDefault="0041096E" w:rsidP="0041096E">
      <w:pPr>
        <w:widowControl w:val="0"/>
        <w:tabs>
          <w:tab w:val="clear" w:pos="567"/>
        </w:tabs>
        <w:autoSpaceDE w:val="0"/>
        <w:autoSpaceDN w:val="0"/>
        <w:spacing w:before="11" w:line="240" w:lineRule="auto"/>
        <w:rPr>
          <w:lang w:val="lt-LT"/>
        </w:rPr>
      </w:pPr>
    </w:p>
    <w:p w14:paraId="28A725BC" w14:textId="77777777" w:rsidR="0041096E" w:rsidRPr="005F48B8" w:rsidRDefault="0041096E" w:rsidP="0041096E">
      <w:pPr>
        <w:widowControl w:val="0"/>
        <w:tabs>
          <w:tab w:val="clear" w:pos="567"/>
        </w:tabs>
        <w:autoSpaceDE w:val="0"/>
        <w:autoSpaceDN w:val="0"/>
        <w:spacing w:line="240" w:lineRule="auto"/>
        <w:rPr>
          <w:i/>
          <w:snapToGrid/>
          <w:szCs w:val="22"/>
          <w:lang w:val="lt-LT"/>
        </w:rPr>
      </w:pPr>
      <w:r w:rsidRPr="005F48B8">
        <w:rPr>
          <w:i/>
          <w:snapToGrid/>
          <w:szCs w:val="22"/>
          <w:lang w:val="lt-LT"/>
        </w:rPr>
        <w:t>Cukriniu diabetu sergantys pacientai</w:t>
      </w:r>
    </w:p>
    <w:p w14:paraId="2F5F7138"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Cukriniu diabetu sergančių pacientų organizme </w:t>
      </w:r>
      <w:proofErr w:type="spellStart"/>
      <w:r w:rsidRPr="005F48B8">
        <w:rPr>
          <w:snapToGrid/>
          <w:szCs w:val="22"/>
          <w:lang w:val="lt-LT"/>
        </w:rPr>
        <w:t>tadalafilio</w:t>
      </w:r>
      <w:proofErr w:type="spellEnd"/>
      <w:r w:rsidRPr="005F48B8">
        <w:rPr>
          <w:snapToGrid/>
          <w:szCs w:val="22"/>
          <w:lang w:val="lt-LT"/>
        </w:rPr>
        <w:t xml:space="preserve"> ekspozicij</w:t>
      </w:r>
      <w:r w:rsidRPr="008612DF">
        <w:rPr>
          <w:snapToGrid/>
          <w:szCs w:val="22"/>
          <w:lang w:val="lt-LT"/>
        </w:rPr>
        <w:t>a (</w:t>
      </w:r>
      <w:r w:rsidRPr="002A25EF">
        <w:rPr>
          <w:i/>
          <w:snapToGrid/>
          <w:szCs w:val="22"/>
          <w:lang w:val="lt-LT"/>
        </w:rPr>
        <w:t>AUC</w:t>
      </w:r>
      <w:r w:rsidRPr="002A25EF">
        <w:rPr>
          <w:snapToGrid/>
          <w:szCs w:val="22"/>
          <w:lang w:val="lt-LT"/>
        </w:rPr>
        <w:t xml:space="preserve">) buvo maždaug 19 % mažesnė nei sveikų tiriamųjų </w:t>
      </w:r>
      <w:r w:rsidRPr="0061385E">
        <w:rPr>
          <w:i/>
          <w:snapToGrid/>
          <w:szCs w:val="22"/>
          <w:lang w:val="lt-LT"/>
        </w:rPr>
        <w:t xml:space="preserve">AUC </w:t>
      </w:r>
      <w:r w:rsidRPr="0061385E">
        <w:rPr>
          <w:snapToGrid/>
          <w:szCs w:val="22"/>
          <w:lang w:val="lt-LT"/>
        </w:rPr>
        <w:t>po 10 mg dozės pavartojimo. Dėl tokio ekspozicijos skirtumo dozės keisti nereikia.</w:t>
      </w:r>
    </w:p>
    <w:p w14:paraId="7B87359A" w14:textId="77777777" w:rsidR="0041096E" w:rsidRPr="009840AD" w:rsidRDefault="0041096E" w:rsidP="0041096E">
      <w:pPr>
        <w:widowControl w:val="0"/>
        <w:tabs>
          <w:tab w:val="clear" w:pos="567"/>
        </w:tabs>
        <w:autoSpaceDE w:val="0"/>
        <w:autoSpaceDN w:val="0"/>
        <w:spacing w:line="240" w:lineRule="auto"/>
        <w:rPr>
          <w:snapToGrid/>
          <w:szCs w:val="22"/>
          <w:lang w:val="lt-LT"/>
        </w:rPr>
      </w:pPr>
    </w:p>
    <w:p w14:paraId="0D2040FF" w14:textId="77777777" w:rsidR="0041096E" w:rsidRPr="00F1014D" w:rsidRDefault="0041096E" w:rsidP="0041096E">
      <w:pPr>
        <w:widowControl w:val="0"/>
        <w:tabs>
          <w:tab w:val="clear" w:pos="567"/>
        </w:tabs>
        <w:autoSpaceDE w:val="0"/>
        <w:autoSpaceDN w:val="0"/>
        <w:spacing w:line="240" w:lineRule="auto"/>
        <w:rPr>
          <w:i/>
          <w:snapToGrid/>
          <w:szCs w:val="22"/>
          <w:lang w:val="lt-LT"/>
        </w:rPr>
      </w:pPr>
      <w:r w:rsidRPr="00F1014D">
        <w:rPr>
          <w:i/>
          <w:snapToGrid/>
          <w:szCs w:val="22"/>
          <w:lang w:val="lt-LT"/>
        </w:rPr>
        <w:t>Rasė</w:t>
      </w:r>
    </w:p>
    <w:p w14:paraId="296A276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Farmakokinetikos tyrimuose dalyvavo įvairių etninių grupių tiriamieji ir pacientai ir įprastos </w:t>
      </w:r>
      <w:proofErr w:type="spellStart"/>
      <w:r w:rsidRPr="007203A0">
        <w:rPr>
          <w:snapToGrid/>
          <w:szCs w:val="22"/>
          <w:lang w:val="lt-LT"/>
        </w:rPr>
        <w:t>tadalafilio</w:t>
      </w:r>
      <w:proofErr w:type="spellEnd"/>
      <w:r w:rsidRPr="007203A0">
        <w:rPr>
          <w:snapToGrid/>
          <w:szCs w:val="22"/>
          <w:lang w:val="lt-LT"/>
        </w:rPr>
        <w:t xml:space="preserve"> ekspozicijos skirtumų nenustatyta. Dozės keisti nereikia.</w:t>
      </w:r>
    </w:p>
    <w:p w14:paraId="6876F0DC"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6032295" w14:textId="77777777" w:rsidR="0041096E" w:rsidRPr="007203A0" w:rsidRDefault="0041096E" w:rsidP="0041096E">
      <w:pPr>
        <w:widowControl w:val="0"/>
        <w:tabs>
          <w:tab w:val="clear" w:pos="567"/>
        </w:tabs>
        <w:autoSpaceDE w:val="0"/>
        <w:autoSpaceDN w:val="0"/>
        <w:spacing w:line="240" w:lineRule="auto"/>
        <w:rPr>
          <w:i/>
          <w:snapToGrid/>
          <w:szCs w:val="22"/>
          <w:lang w:val="lt-LT"/>
        </w:rPr>
      </w:pPr>
      <w:r w:rsidRPr="007203A0">
        <w:rPr>
          <w:i/>
          <w:snapToGrid/>
          <w:szCs w:val="22"/>
          <w:lang w:val="lt-LT"/>
        </w:rPr>
        <w:t>Lytis</w:t>
      </w:r>
    </w:p>
    <w:p w14:paraId="31526EDE"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Sveikoms moterims ir vyrams pavartojus vienkartinę arba vartojant kartotines </w:t>
      </w:r>
      <w:proofErr w:type="spellStart"/>
      <w:r w:rsidRPr="007203A0">
        <w:rPr>
          <w:snapToGrid/>
          <w:szCs w:val="22"/>
          <w:lang w:val="lt-LT"/>
        </w:rPr>
        <w:t>tadalafilio</w:t>
      </w:r>
      <w:proofErr w:type="spellEnd"/>
      <w:r w:rsidRPr="007203A0">
        <w:rPr>
          <w:snapToGrid/>
          <w:szCs w:val="22"/>
          <w:lang w:val="lt-LT"/>
        </w:rPr>
        <w:t xml:space="preserve"> dozes, kliniškai reikšmingų ekspozicijos skirtumų nepastebėta. Dozės keisti nereikia.</w:t>
      </w:r>
    </w:p>
    <w:p w14:paraId="42741217" w14:textId="77777777" w:rsidR="0041096E" w:rsidRPr="007203A0" w:rsidRDefault="0041096E" w:rsidP="0041096E">
      <w:pPr>
        <w:pStyle w:val="Antrat4"/>
        <w:spacing w:line="240" w:lineRule="auto"/>
        <w:jc w:val="left"/>
        <w:rPr>
          <w:rFonts w:ascii="Times New Roman" w:hAnsi="Times New Roman"/>
          <w:b w:val="0"/>
          <w:bCs w:val="0"/>
          <w:sz w:val="22"/>
          <w:szCs w:val="22"/>
          <w:lang w:val="lt-LT" w:eastAsia="en-US"/>
        </w:rPr>
      </w:pPr>
    </w:p>
    <w:p w14:paraId="79E6D538"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5.3</w:t>
      </w:r>
      <w:r w:rsidRPr="007203A0">
        <w:rPr>
          <w:rFonts w:ascii="Times New Roman" w:hAnsi="Times New Roman"/>
          <w:sz w:val="22"/>
          <w:szCs w:val="22"/>
          <w:lang w:val="lt-LT"/>
        </w:rPr>
        <w:tab/>
      </w:r>
      <w:proofErr w:type="spellStart"/>
      <w:r w:rsidRPr="007203A0">
        <w:rPr>
          <w:rFonts w:ascii="Times New Roman" w:hAnsi="Times New Roman"/>
          <w:sz w:val="22"/>
          <w:szCs w:val="22"/>
          <w:lang w:val="lt-LT"/>
        </w:rPr>
        <w:t>Ikiklinikinių</w:t>
      </w:r>
      <w:proofErr w:type="spellEnd"/>
      <w:r w:rsidRPr="007203A0">
        <w:rPr>
          <w:rFonts w:ascii="Times New Roman" w:hAnsi="Times New Roman"/>
          <w:sz w:val="22"/>
          <w:szCs w:val="22"/>
          <w:lang w:val="lt-LT"/>
        </w:rPr>
        <w:t xml:space="preserve"> saugumo tyrimų duomenys</w:t>
      </w:r>
    </w:p>
    <w:p w14:paraId="278EAF85" w14:textId="77777777" w:rsidR="0041096E" w:rsidRPr="007203A0" w:rsidRDefault="0041096E" w:rsidP="0041096E">
      <w:pPr>
        <w:tabs>
          <w:tab w:val="clear" w:pos="567"/>
        </w:tabs>
        <w:spacing w:line="240" w:lineRule="auto"/>
        <w:rPr>
          <w:szCs w:val="22"/>
          <w:lang w:val="lt-LT"/>
        </w:rPr>
      </w:pPr>
    </w:p>
    <w:p w14:paraId="27F043A1"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Įprastinių </w:t>
      </w:r>
      <w:proofErr w:type="spellStart"/>
      <w:r w:rsidRPr="007203A0">
        <w:rPr>
          <w:snapToGrid/>
          <w:szCs w:val="22"/>
          <w:lang w:val="lt-LT"/>
        </w:rPr>
        <w:t>ikiklinikinių</w:t>
      </w:r>
      <w:proofErr w:type="spellEnd"/>
      <w:r w:rsidRPr="007203A0">
        <w:rPr>
          <w:snapToGrid/>
          <w:szCs w:val="22"/>
          <w:lang w:val="lt-LT"/>
        </w:rPr>
        <w:t xml:space="preserve"> farmakologinių saugumo, toksinio kartotinių dozių poveikio, </w:t>
      </w:r>
      <w:proofErr w:type="spellStart"/>
      <w:r w:rsidRPr="007203A0">
        <w:rPr>
          <w:snapToGrid/>
          <w:szCs w:val="22"/>
          <w:lang w:val="lt-LT"/>
        </w:rPr>
        <w:t>genotoksinio</w:t>
      </w:r>
      <w:proofErr w:type="spellEnd"/>
      <w:r w:rsidRPr="007203A0">
        <w:rPr>
          <w:snapToGrid/>
          <w:szCs w:val="22"/>
          <w:lang w:val="lt-LT"/>
        </w:rPr>
        <w:t xml:space="preserve"> bei kancerogeninio poveikio ir toksinio poveikio dauginimosi funkcijai tyrimų duomenimis, specifinio poveikio žmogui preparatas nekelia. Žiurkėms ir pelėms, vartojusioms ne didesnes kaip 1 000 mg/kg kūno svorio </w:t>
      </w:r>
      <w:proofErr w:type="spellStart"/>
      <w:r w:rsidRPr="007203A0">
        <w:rPr>
          <w:snapToGrid/>
          <w:szCs w:val="22"/>
          <w:lang w:val="lt-LT"/>
        </w:rPr>
        <w:t>tadalafilio</w:t>
      </w:r>
      <w:proofErr w:type="spellEnd"/>
      <w:r w:rsidRPr="007203A0">
        <w:rPr>
          <w:snapToGrid/>
          <w:szCs w:val="22"/>
          <w:lang w:val="lt-LT"/>
        </w:rPr>
        <w:t xml:space="preserve"> paros dozes, </w:t>
      </w:r>
      <w:proofErr w:type="spellStart"/>
      <w:r w:rsidRPr="007203A0">
        <w:rPr>
          <w:snapToGrid/>
          <w:szCs w:val="22"/>
          <w:lang w:val="lt-LT"/>
        </w:rPr>
        <w:t>teratogeninio</w:t>
      </w:r>
      <w:proofErr w:type="spellEnd"/>
      <w:r w:rsidRPr="007203A0">
        <w:rPr>
          <w:snapToGrid/>
          <w:szCs w:val="22"/>
          <w:lang w:val="lt-LT"/>
        </w:rPr>
        <w:t xml:space="preserve">, </w:t>
      </w:r>
      <w:proofErr w:type="spellStart"/>
      <w:r w:rsidRPr="007203A0">
        <w:rPr>
          <w:snapToGrid/>
          <w:szCs w:val="22"/>
          <w:lang w:val="lt-LT"/>
        </w:rPr>
        <w:t>embriotoksinio</w:t>
      </w:r>
      <w:proofErr w:type="spellEnd"/>
      <w:r w:rsidRPr="007203A0">
        <w:rPr>
          <w:snapToGrid/>
          <w:szCs w:val="22"/>
          <w:lang w:val="lt-LT"/>
        </w:rPr>
        <w:t xml:space="preserve"> ar </w:t>
      </w:r>
      <w:proofErr w:type="spellStart"/>
      <w:r w:rsidRPr="007203A0">
        <w:rPr>
          <w:snapToGrid/>
          <w:szCs w:val="22"/>
          <w:lang w:val="lt-LT"/>
        </w:rPr>
        <w:t>fetotoksinio</w:t>
      </w:r>
      <w:proofErr w:type="spellEnd"/>
      <w:r w:rsidRPr="007203A0">
        <w:rPr>
          <w:snapToGrid/>
          <w:szCs w:val="22"/>
          <w:lang w:val="lt-LT"/>
        </w:rPr>
        <w:t xml:space="preserve"> poveikio nepasireiškė. Žiurkių vystymosi </w:t>
      </w:r>
      <w:proofErr w:type="spellStart"/>
      <w:r w:rsidRPr="007203A0">
        <w:rPr>
          <w:snapToGrid/>
          <w:szCs w:val="22"/>
          <w:lang w:val="lt-LT"/>
        </w:rPr>
        <w:t>prenataliniu</w:t>
      </w:r>
      <w:proofErr w:type="spellEnd"/>
      <w:r w:rsidRPr="007203A0">
        <w:rPr>
          <w:snapToGrid/>
          <w:szCs w:val="22"/>
          <w:lang w:val="lt-LT"/>
        </w:rPr>
        <w:t xml:space="preserve"> ir </w:t>
      </w:r>
      <w:proofErr w:type="spellStart"/>
      <w:r w:rsidRPr="007203A0">
        <w:rPr>
          <w:snapToGrid/>
          <w:szCs w:val="22"/>
          <w:lang w:val="lt-LT"/>
        </w:rPr>
        <w:t>postnataliniu</w:t>
      </w:r>
      <w:proofErr w:type="spellEnd"/>
      <w:r w:rsidRPr="007203A0">
        <w:rPr>
          <w:snapToGrid/>
          <w:szCs w:val="22"/>
          <w:lang w:val="lt-LT"/>
        </w:rPr>
        <w:t xml:space="preserve"> laikotarpiu tyrimo metu toksinio poveikio nesukelianti paros dozė buvo 30 mg/kg kūno svorio. Nuo minėtų dozių vaikingų žiurkių organizme </w:t>
      </w:r>
      <w:r w:rsidRPr="007203A0">
        <w:rPr>
          <w:i/>
          <w:snapToGrid/>
          <w:szCs w:val="22"/>
          <w:lang w:val="lt-LT"/>
        </w:rPr>
        <w:t>AUC</w:t>
      </w:r>
      <w:r w:rsidRPr="007203A0">
        <w:rPr>
          <w:snapToGrid/>
          <w:szCs w:val="22"/>
          <w:lang w:val="lt-LT"/>
        </w:rPr>
        <w:t>, apskaičiuotas atsižvelgiant į laisvos veikliosios medžiagos koncentraciją, buvo maždaug 18 kartų didesnė nei 20 mg dozę vartojančio žmogaus organizme.</w:t>
      </w:r>
    </w:p>
    <w:p w14:paraId="475F47D0"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2D52C59D"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Žiurkių patinų ir patelių vaisingumo </w:t>
      </w:r>
      <w:proofErr w:type="spellStart"/>
      <w:r w:rsidRPr="007203A0">
        <w:rPr>
          <w:snapToGrid/>
          <w:szCs w:val="22"/>
          <w:lang w:val="lt-LT"/>
        </w:rPr>
        <w:t>tadalafilis</w:t>
      </w:r>
      <w:proofErr w:type="spellEnd"/>
      <w:r w:rsidRPr="007203A0">
        <w:rPr>
          <w:snapToGrid/>
          <w:szCs w:val="22"/>
          <w:lang w:val="lt-LT"/>
        </w:rPr>
        <w:t xml:space="preserve"> netrikdė. Šunims, 6-12 mėn. vartojusiems</w:t>
      </w:r>
    </w:p>
    <w:p w14:paraId="5B73E3B6"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lastRenderedPageBreak/>
        <w:t xml:space="preserve">25 mg/kg kūno svorio (nuo jos gyvūnų organizme ekspozicija buvo mažiausiai 3 kartus [nuo 3,7 iki 18,6] didesnė negu vienkartinę 20 mg dozę išgėrusių žmonių organizme) ar didesnę </w:t>
      </w:r>
      <w:proofErr w:type="spellStart"/>
      <w:r w:rsidRPr="007203A0">
        <w:rPr>
          <w:snapToGrid/>
          <w:szCs w:val="22"/>
          <w:lang w:val="lt-LT"/>
        </w:rPr>
        <w:t>tadalafilio</w:t>
      </w:r>
      <w:proofErr w:type="spellEnd"/>
      <w:r w:rsidRPr="007203A0">
        <w:rPr>
          <w:snapToGrid/>
          <w:szCs w:val="22"/>
          <w:lang w:val="lt-LT"/>
        </w:rPr>
        <w:t xml:space="preserve"> paros dozę, atsirado sėklinių kanalėlių </w:t>
      </w:r>
      <w:proofErr w:type="spellStart"/>
      <w:r w:rsidRPr="007203A0">
        <w:rPr>
          <w:snapToGrid/>
          <w:szCs w:val="22"/>
          <w:lang w:val="lt-LT"/>
        </w:rPr>
        <w:t>spermatogeninio</w:t>
      </w:r>
      <w:proofErr w:type="spellEnd"/>
      <w:r w:rsidRPr="007203A0">
        <w:rPr>
          <w:snapToGrid/>
          <w:szCs w:val="22"/>
          <w:lang w:val="lt-LT"/>
        </w:rPr>
        <w:t xml:space="preserve"> epitelio regresija, dėl kurios kai kuriems šunims sumažėjo </w:t>
      </w:r>
      <w:proofErr w:type="spellStart"/>
      <w:r w:rsidRPr="007203A0">
        <w:rPr>
          <w:snapToGrid/>
          <w:szCs w:val="22"/>
          <w:lang w:val="lt-LT"/>
        </w:rPr>
        <w:t>spermatogenezė</w:t>
      </w:r>
      <w:proofErr w:type="spellEnd"/>
      <w:r w:rsidRPr="007203A0">
        <w:rPr>
          <w:snapToGrid/>
          <w:szCs w:val="22"/>
          <w:lang w:val="lt-LT"/>
        </w:rPr>
        <w:t>. Taip pat žr. 5.1 skyrių.</w:t>
      </w:r>
    </w:p>
    <w:p w14:paraId="07F3A87E" w14:textId="77777777" w:rsidR="0041096E" w:rsidRPr="007203A0" w:rsidRDefault="0041096E" w:rsidP="0041096E">
      <w:pPr>
        <w:tabs>
          <w:tab w:val="clear" w:pos="567"/>
        </w:tabs>
        <w:spacing w:line="240" w:lineRule="auto"/>
        <w:rPr>
          <w:szCs w:val="22"/>
          <w:lang w:val="lt-LT"/>
        </w:rPr>
      </w:pPr>
    </w:p>
    <w:p w14:paraId="2993A86A" w14:textId="77777777" w:rsidR="0041096E" w:rsidRPr="007203A0" w:rsidRDefault="0041096E" w:rsidP="0041096E">
      <w:pPr>
        <w:tabs>
          <w:tab w:val="clear" w:pos="567"/>
        </w:tabs>
        <w:spacing w:line="240" w:lineRule="auto"/>
        <w:rPr>
          <w:szCs w:val="22"/>
          <w:lang w:val="lt-LT"/>
        </w:rPr>
      </w:pPr>
    </w:p>
    <w:p w14:paraId="20B0BEA8"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6.</w:t>
      </w:r>
      <w:r w:rsidRPr="007203A0">
        <w:rPr>
          <w:rFonts w:ascii="Times New Roman" w:hAnsi="Times New Roman"/>
          <w:sz w:val="22"/>
          <w:szCs w:val="22"/>
          <w:lang w:val="lt-LT"/>
        </w:rPr>
        <w:tab/>
        <w:t>FARMACINĖ INFORMACIJA</w:t>
      </w:r>
    </w:p>
    <w:p w14:paraId="378EE5D5" w14:textId="77777777" w:rsidR="0041096E" w:rsidRPr="007203A0" w:rsidRDefault="0041096E" w:rsidP="0041096E">
      <w:pPr>
        <w:tabs>
          <w:tab w:val="clear" w:pos="567"/>
        </w:tabs>
        <w:spacing w:line="240" w:lineRule="auto"/>
        <w:rPr>
          <w:szCs w:val="22"/>
          <w:lang w:val="lt-LT"/>
        </w:rPr>
      </w:pPr>
    </w:p>
    <w:p w14:paraId="0013FC11"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6.1</w:t>
      </w:r>
      <w:r w:rsidRPr="007203A0">
        <w:rPr>
          <w:rFonts w:ascii="Times New Roman" w:hAnsi="Times New Roman"/>
          <w:sz w:val="22"/>
          <w:szCs w:val="22"/>
          <w:lang w:val="lt-LT"/>
        </w:rPr>
        <w:tab/>
        <w:t>Pagalbinių medžiagų sąrašas</w:t>
      </w:r>
    </w:p>
    <w:p w14:paraId="19B9C9EE" w14:textId="77777777" w:rsidR="0041096E" w:rsidRPr="007203A0" w:rsidRDefault="0041096E" w:rsidP="0041096E">
      <w:pPr>
        <w:tabs>
          <w:tab w:val="clear" w:pos="567"/>
        </w:tabs>
        <w:spacing w:line="240" w:lineRule="auto"/>
        <w:rPr>
          <w:szCs w:val="22"/>
          <w:lang w:val="lt-LT"/>
        </w:rPr>
      </w:pPr>
    </w:p>
    <w:p w14:paraId="07847A52" w14:textId="77777777" w:rsidR="0041096E" w:rsidRPr="007203A0" w:rsidRDefault="0041096E" w:rsidP="0041096E">
      <w:pPr>
        <w:widowControl w:val="0"/>
        <w:tabs>
          <w:tab w:val="clear" w:pos="567"/>
        </w:tabs>
        <w:autoSpaceDE w:val="0"/>
        <w:autoSpaceDN w:val="0"/>
        <w:spacing w:before="1" w:line="240" w:lineRule="auto"/>
        <w:rPr>
          <w:snapToGrid/>
          <w:szCs w:val="22"/>
          <w:u w:val="single"/>
          <w:lang w:val="lt-LT"/>
        </w:rPr>
      </w:pPr>
      <w:r w:rsidRPr="007203A0">
        <w:rPr>
          <w:snapToGrid/>
          <w:szCs w:val="22"/>
          <w:u w:val="single"/>
          <w:lang w:val="lt-LT"/>
        </w:rPr>
        <w:t>Tabletės branduolys:</w:t>
      </w:r>
    </w:p>
    <w:p w14:paraId="0055482B"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Laktozė</w:t>
      </w:r>
    </w:p>
    <w:p w14:paraId="62BE59A0"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Kroskarmeliozės</w:t>
      </w:r>
      <w:proofErr w:type="spellEnd"/>
      <w:r w:rsidRPr="007203A0">
        <w:rPr>
          <w:snapToGrid/>
          <w:szCs w:val="22"/>
          <w:lang w:val="lt-LT"/>
        </w:rPr>
        <w:t xml:space="preserve"> natrio druska</w:t>
      </w:r>
    </w:p>
    <w:p w14:paraId="3B814C20"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Natrio </w:t>
      </w:r>
      <w:proofErr w:type="spellStart"/>
      <w:r w:rsidRPr="007203A0">
        <w:rPr>
          <w:snapToGrid/>
          <w:szCs w:val="22"/>
          <w:lang w:val="lt-LT"/>
        </w:rPr>
        <w:t>laurilsulfatas</w:t>
      </w:r>
      <w:proofErr w:type="spellEnd"/>
    </w:p>
    <w:p w14:paraId="6A524715"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Hidroksipropilceliuliozė</w:t>
      </w:r>
      <w:proofErr w:type="spellEnd"/>
    </w:p>
    <w:p w14:paraId="717DDA33"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Polisorbatas</w:t>
      </w:r>
      <w:proofErr w:type="spellEnd"/>
      <w:r w:rsidRPr="007203A0">
        <w:rPr>
          <w:snapToGrid/>
          <w:szCs w:val="22"/>
          <w:lang w:val="lt-LT"/>
        </w:rPr>
        <w:t xml:space="preserve"> 80</w:t>
      </w:r>
    </w:p>
    <w:p w14:paraId="0428D41C"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Magnio </w:t>
      </w:r>
      <w:proofErr w:type="spellStart"/>
      <w:r w:rsidRPr="007203A0">
        <w:rPr>
          <w:snapToGrid/>
          <w:szCs w:val="22"/>
          <w:lang w:val="lt-LT"/>
        </w:rPr>
        <w:t>stearatas</w:t>
      </w:r>
      <w:proofErr w:type="spellEnd"/>
    </w:p>
    <w:p w14:paraId="2D5DFA22"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0951BA8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Tabletės plėvelė:</w:t>
      </w:r>
    </w:p>
    <w:p w14:paraId="1F6D8E28"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Hipromeliozė</w:t>
      </w:r>
      <w:proofErr w:type="spellEnd"/>
      <w:r w:rsidRPr="007203A0">
        <w:rPr>
          <w:snapToGrid/>
          <w:szCs w:val="22"/>
          <w:lang w:val="lt-LT"/>
        </w:rPr>
        <w:t xml:space="preserve"> (E464)</w:t>
      </w:r>
    </w:p>
    <w:p w14:paraId="48F36873"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Laktozė </w:t>
      </w:r>
      <w:proofErr w:type="spellStart"/>
      <w:r w:rsidRPr="007203A0">
        <w:rPr>
          <w:snapToGrid/>
          <w:szCs w:val="22"/>
          <w:lang w:val="lt-LT"/>
        </w:rPr>
        <w:t>monohidratas</w:t>
      </w:r>
      <w:proofErr w:type="spellEnd"/>
    </w:p>
    <w:p w14:paraId="3CFAEE6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Titano dioksidas (E171)</w:t>
      </w:r>
    </w:p>
    <w:p w14:paraId="0198AB1B"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Triacetinas</w:t>
      </w:r>
      <w:proofErr w:type="spellEnd"/>
    </w:p>
    <w:p w14:paraId="58E8DB70"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Talkas (E553b)</w:t>
      </w:r>
    </w:p>
    <w:p w14:paraId="78372D1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Geltonasis geležies oksidas (E172)</w:t>
      </w:r>
    </w:p>
    <w:p w14:paraId="77CA4CCE" w14:textId="77777777" w:rsidR="0041096E" w:rsidRPr="007203A0" w:rsidRDefault="0041096E" w:rsidP="0041096E">
      <w:pPr>
        <w:tabs>
          <w:tab w:val="clear" w:pos="567"/>
        </w:tabs>
        <w:spacing w:line="240" w:lineRule="auto"/>
        <w:rPr>
          <w:szCs w:val="22"/>
          <w:lang w:val="lt-LT"/>
        </w:rPr>
      </w:pPr>
    </w:p>
    <w:p w14:paraId="26F17F89"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6.2</w:t>
      </w:r>
      <w:r w:rsidRPr="007203A0">
        <w:rPr>
          <w:rFonts w:ascii="Times New Roman" w:hAnsi="Times New Roman"/>
          <w:sz w:val="22"/>
          <w:szCs w:val="22"/>
          <w:lang w:val="lt-LT"/>
        </w:rPr>
        <w:tab/>
        <w:t>Nesuderinamumas</w:t>
      </w:r>
    </w:p>
    <w:p w14:paraId="19B6789F" w14:textId="77777777" w:rsidR="0041096E" w:rsidRPr="007203A0" w:rsidRDefault="0041096E" w:rsidP="0041096E">
      <w:pPr>
        <w:tabs>
          <w:tab w:val="clear" w:pos="567"/>
        </w:tabs>
        <w:spacing w:line="240" w:lineRule="auto"/>
        <w:rPr>
          <w:szCs w:val="22"/>
          <w:lang w:val="lt-LT"/>
        </w:rPr>
      </w:pPr>
    </w:p>
    <w:p w14:paraId="083E3B0A" w14:textId="77777777" w:rsidR="0041096E" w:rsidRPr="007203A0" w:rsidRDefault="0041096E" w:rsidP="0041096E">
      <w:pPr>
        <w:tabs>
          <w:tab w:val="clear" w:pos="567"/>
        </w:tabs>
        <w:spacing w:line="240" w:lineRule="auto"/>
        <w:rPr>
          <w:szCs w:val="22"/>
          <w:lang w:val="lt-LT"/>
        </w:rPr>
      </w:pPr>
      <w:r w:rsidRPr="007203A0">
        <w:rPr>
          <w:noProof/>
          <w:szCs w:val="22"/>
          <w:lang w:val="lt-LT"/>
        </w:rPr>
        <w:t>Duomenys nebūtini.</w:t>
      </w:r>
      <w:r w:rsidRPr="007203A0">
        <w:rPr>
          <w:szCs w:val="22"/>
          <w:lang w:val="lt-LT"/>
        </w:rPr>
        <w:t xml:space="preserve"> </w:t>
      </w:r>
    </w:p>
    <w:p w14:paraId="566BA8DA" w14:textId="77777777" w:rsidR="0041096E" w:rsidRPr="007203A0" w:rsidRDefault="0041096E" w:rsidP="0041096E">
      <w:pPr>
        <w:tabs>
          <w:tab w:val="clear" w:pos="567"/>
        </w:tabs>
        <w:spacing w:line="240" w:lineRule="auto"/>
        <w:rPr>
          <w:szCs w:val="22"/>
          <w:lang w:val="lt-LT"/>
        </w:rPr>
      </w:pPr>
    </w:p>
    <w:p w14:paraId="7B399233"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6.3</w:t>
      </w:r>
      <w:r w:rsidRPr="007203A0">
        <w:rPr>
          <w:rFonts w:ascii="Times New Roman" w:hAnsi="Times New Roman"/>
          <w:sz w:val="22"/>
          <w:szCs w:val="22"/>
          <w:lang w:val="lt-LT"/>
        </w:rPr>
        <w:tab/>
        <w:t>Tinkamumo laikas</w:t>
      </w:r>
    </w:p>
    <w:p w14:paraId="6AAABB04" w14:textId="77777777" w:rsidR="0041096E" w:rsidRPr="007203A0" w:rsidRDefault="0041096E" w:rsidP="0041096E">
      <w:pPr>
        <w:tabs>
          <w:tab w:val="clear" w:pos="567"/>
        </w:tabs>
        <w:spacing w:line="240" w:lineRule="auto"/>
        <w:rPr>
          <w:szCs w:val="22"/>
          <w:lang w:val="lt-LT"/>
        </w:rPr>
      </w:pPr>
    </w:p>
    <w:p w14:paraId="32D57879" w14:textId="77777777" w:rsidR="0041096E" w:rsidRPr="007203A0" w:rsidRDefault="0041096E" w:rsidP="0041096E">
      <w:pPr>
        <w:tabs>
          <w:tab w:val="clear" w:pos="567"/>
        </w:tabs>
        <w:spacing w:line="240" w:lineRule="auto"/>
        <w:rPr>
          <w:szCs w:val="22"/>
          <w:lang w:val="lt-LT"/>
        </w:rPr>
      </w:pPr>
      <w:r w:rsidRPr="007203A0">
        <w:rPr>
          <w:noProof/>
          <w:szCs w:val="22"/>
          <w:lang w:val="lt-LT"/>
        </w:rPr>
        <w:t>3 metai</w:t>
      </w:r>
    </w:p>
    <w:p w14:paraId="427B82A3" w14:textId="77777777" w:rsidR="0041096E" w:rsidRPr="007203A0" w:rsidRDefault="0041096E" w:rsidP="0041096E">
      <w:pPr>
        <w:tabs>
          <w:tab w:val="clear" w:pos="567"/>
        </w:tabs>
        <w:spacing w:line="240" w:lineRule="auto"/>
        <w:rPr>
          <w:szCs w:val="22"/>
          <w:lang w:val="lt-LT"/>
        </w:rPr>
      </w:pPr>
    </w:p>
    <w:p w14:paraId="174F8866"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6.4</w:t>
      </w:r>
      <w:r w:rsidRPr="007203A0">
        <w:rPr>
          <w:rFonts w:ascii="Times New Roman" w:hAnsi="Times New Roman"/>
          <w:sz w:val="22"/>
          <w:szCs w:val="22"/>
          <w:lang w:val="lt-LT"/>
        </w:rPr>
        <w:tab/>
        <w:t>Specialios laikymo sąlygos</w:t>
      </w:r>
    </w:p>
    <w:p w14:paraId="61307B15" w14:textId="77777777" w:rsidR="0041096E" w:rsidRPr="007203A0" w:rsidRDefault="0041096E" w:rsidP="0041096E">
      <w:pPr>
        <w:tabs>
          <w:tab w:val="clear" w:pos="567"/>
        </w:tabs>
        <w:spacing w:line="240" w:lineRule="auto"/>
        <w:rPr>
          <w:szCs w:val="22"/>
          <w:lang w:val="lt-LT"/>
        </w:rPr>
      </w:pPr>
    </w:p>
    <w:p w14:paraId="1BEEC027" w14:textId="77777777" w:rsidR="0041096E" w:rsidRPr="007203A0" w:rsidRDefault="0041096E" w:rsidP="0041096E">
      <w:pPr>
        <w:widowControl w:val="0"/>
        <w:tabs>
          <w:tab w:val="clear" w:pos="567"/>
        </w:tabs>
        <w:autoSpaceDE w:val="0"/>
        <w:autoSpaceDN w:val="0"/>
        <w:spacing w:before="4" w:line="240" w:lineRule="auto"/>
        <w:rPr>
          <w:snapToGrid/>
          <w:szCs w:val="22"/>
          <w:lang w:val="lt-LT"/>
        </w:rPr>
      </w:pPr>
      <w:r w:rsidRPr="007203A0">
        <w:rPr>
          <w:snapToGrid/>
          <w:szCs w:val="22"/>
          <w:lang w:val="lt-LT"/>
        </w:rPr>
        <w:t>Šiam vaistiniam preparatui specialių laikymo sąlygų nereikia.</w:t>
      </w:r>
    </w:p>
    <w:p w14:paraId="314E64BF" w14:textId="77777777" w:rsidR="0041096E" w:rsidRPr="007203A0" w:rsidRDefault="0041096E" w:rsidP="0041096E">
      <w:pPr>
        <w:tabs>
          <w:tab w:val="clear" w:pos="567"/>
        </w:tabs>
        <w:spacing w:line="240" w:lineRule="auto"/>
        <w:rPr>
          <w:szCs w:val="22"/>
          <w:lang w:val="lt-LT"/>
        </w:rPr>
      </w:pPr>
    </w:p>
    <w:p w14:paraId="277BBF4A"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6.5</w:t>
      </w:r>
      <w:r w:rsidRPr="007203A0">
        <w:rPr>
          <w:rFonts w:ascii="Times New Roman" w:hAnsi="Times New Roman"/>
          <w:sz w:val="22"/>
          <w:szCs w:val="22"/>
          <w:lang w:val="lt-LT"/>
        </w:rPr>
        <w:tab/>
      </w:r>
      <w:proofErr w:type="spellStart"/>
      <w:r w:rsidRPr="007203A0">
        <w:rPr>
          <w:rFonts w:ascii="Times New Roman" w:hAnsi="Times New Roman"/>
          <w:sz w:val="22"/>
          <w:szCs w:val="22"/>
          <w:lang w:val="lt-LT"/>
        </w:rPr>
        <w:t>Talpyklės</w:t>
      </w:r>
      <w:proofErr w:type="spellEnd"/>
      <w:r w:rsidRPr="007203A0">
        <w:rPr>
          <w:rFonts w:ascii="Times New Roman" w:hAnsi="Times New Roman"/>
          <w:sz w:val="22"/>
          <w:szCs w:val="22"/>
          <w:lang w:val="lt-LT"/>
        </w:rPr>
        <w:t xml:space="preserve"> pobūdis ir jos turinys</w:t>
      </w:r>
      <w:r w:rsidRPr="007203A0">
        <w:rPr>
          <w:rFonts w:ascii="Times New Roman" w:hAnsi="Times New Roman"/>
          <w:bCs w:val="0"/>
          <w:noProof/>
          <w:sz w:val="22"/>
          <w:szCs w:val="22"/>
          <w:lang w:val="lt-LT"/>
        </w:rPr>
        <w:t xml:space="preserve"> </w:t>
      </w:r>
    </w:p>
    <w:p w14:paraId="516653CC" w14:textId="77777777" w:rsidR="0041096E" w:rsidRPr="007203A0" w:rsidRDefault="0041096E" w:rsidP="0041096E">
      <w:pPr>
        <w:tabs>
          <w:tab w:val="clear" w:pos="567"/>
        </w:tabs>
        <w:spacing w:line="240" w:lineRule="auto"/>
        <w:rPr>
          <w:szCs w:val="22"/>
          <w:lang w:val="lt-LT"/>
        </w:rPr>
      </w:pPr>
    </w:p>
    <w:p w14:paraId="5DA991C0"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PVC/PVDC/Aliuminio lizdinės plokštelės, kurios įdėtos į kartono dėžutę. Pakuotėje yra 28 arba 56 plėvele dengtos tabletės.</w:t>
      </w:r>
    </w:p>
    <w:p w14:paraId="4D49480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Gali būti tiekiamos ne visų dydžių pakuotės.</w:t>
      </w:r>
    </w:p>
    <w:p w14:paraId="0F5CB66B" w14:textId="77777777" w:rsidR="0041096E" w:rsidRPr="007203A0" w:rsidRDefault="0041096E" w:rsidP="0041096E">
      <w:pPr>
        <w:tabs>
          <w:tab w:val="clear" w:pos="567"/>
        </w:tabs>
        <w:spacing w:line="240" w:lineRule="auto"/>
        <w:rPr>
          <w:szCs w:val="22"/>
          <w:lang w:val="lt-LT"/>
        </w:rPr>
      </w:pPr>
    </w:p>
    <w:p w14:paraId="72CEEF19" w14:textId="77777777" w:rsidR="0041096E" w:rsidRPr="007203A0" w:rsidRDefault="0041096E" w:rsidP="0041096E">
      <w:pPr>
        <w:pStyle w:val="Antrat4"/>
        <w:spacing w:line="240" w:lineRule="auto"/>
        <w:jc w:val="left"/>
        <w:rPr>
          <w:rFonts w:ascii="Times New Roman" w:hAnsi="Times New Roman"/>
          <w:sz w:val="22"/>
          <w:szCs w:val="22"/>
          <w:lang w:val="lt-LT"/>
        </w:rPr>
      </w:pPr>
      <w:bookmarkStart w:id="0" w:name="OLE_LINK1"/>
      <w:r w:rsidRPr="007203A0">
        <w:rPr>
          <w:rFonts w:ascii="Times New Roman" w:hAnsi="Times New Roman"/>
          <w:sz w:val="22"/>
          <w:szCs w:val="22"/>
          <w:lang w:val="lt-LT"/>
        </w:rPr>
        <w:t>6.6</w:t>
      </w:r>
      <w:r w:rsidRPr="007203A0">
        <w:rPr>
          <w:rFonts w:ascii="Times New Roman" w:hAnsi="Times New Roman"/>
          <w:sz w:val="22"/>
          <w:szCs w:val="22"/>
          <w:lang w:val="lt-LT"/>
        </w:rPr>
        <w:tab/>
        <w:t xml:space="preserve">Specialūs reikalavimai atliekoms tvarkyti </w:t>
      </w:r>
    </w:p>
    <w:bookmarkEnd w:id="0"/>
    <w:p w14:paraId="07B7962F" w14:textId="77777777" w:rsidR="0041096E" w:rsidRPr="007203A0" w:rsidRDefault="0041096E" w:rsidP="0041096E">
      <w:pPr>
        <w:tabs>
          <w:tab w:val="clear" w:pos="567"/>
        </w:tabs>
        <w:spacing w:line="240" w:lineRule="auto"/>
        <w:rPr>
          <w:szCs w:val="22"/>
          <w:lang w:val="lt-LT"/>
        </w:rPr>
      </w:pPr>
    </w:p>
    <w:p w14:paraId="2909458B" w14:textId="77777777" w:rsidR="0041096E" w:rsidRPr="007203A0" w:rsidRDefault="0041096E" w:rsidP="0041096E">
      <w:pPr>
        <w:tabs>
          <w:tab w:val="clear" w:pos="567"/>
        </w:tabs>
        <w:spacing w:line="240" w:lineRule="auto"/>
        <w:rPr>
          <w:szCs w:val="22"/>
          <w:lang w:val="lt-LT"/>
        </w:rPr>
      </w:pPr>
      <w:r w:rsidRPr="007203A0">
        <w:rPr>
          <w:noProof/>
          <w:szCs w:val="22"/>
          <w:lang w:val="lt-LT"/>
        </w:rPr>
        <w:t>Nesuvartotą vaistinį preparatą ar atliekas reikia tvarkyti laikantis vietinių reikalavimų.</w:t>
      </w:r>
    </w:p>
    <w:p w14:paraId="63BDAF60" w14:textId="77777777" w:rsidR="0041096E" w:rsidRPr="007203A0" w:rsidRDefault="0041096E" w:rsidP="0041096E">
      <w:pPr>
        <w:tabs>
          <w:tab w:val="clear" w:pos="567"/>
        </w:tabs>
        <w:spacing w:line="240" w:lineRule="auto"/>
        <w:rPr>
          <w:szCs w:val="22"/>
          <w:lang w:val="lt-LT"/>
        </w:rPr>
      </w:pPr>
    </w:p>
    <w:p w14:paraId="7EFDD375" w14:textId="77777777" w:rsidR="0041096E" w:rsidRPr="007203A0" w:rsidRDefault="0041096E" w:rsidP="0041096E">
      <w:pPr>
        <w:tabs>
          <w:tab w:val="clear" w:pos="567"/>
        </w:tabs>
        <w:spacing w:line="240" w:lineRule="auto"/>
        <w:rPr>
          <w:szCs w:val="22"/>
          <w:lang w:val="lt-LT"/>
        </w:rPr>
      </w:pPr>
    </w:p>
    <w:p w14:paraId="6AA62AAF"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7.</w:t>
      </w:r>
      <w:r w:rsidRPr="007203A0">
        <w:rPr>
          <w:rFonts w:ascii="Times New Roman" w:hAnsi="Times New Roman"/>
          <w:sz w:val="22"/>
          <w:szCs w:val="22"/>
          <w:lang w:val="lt-LT"/>
        </w:rPr>
        <w:tab/>
        <w:t>REGISTRUOTOJAS</w:t>
      </w:r>
    </w:p>
    <w:p w14:paraId="03C06D18" w14:textId="77777777" w:rsidR="0041096E" w:rsidRPr="007203A0" w:rsidRDefault="0041096E" w:rsidP="0041096E">
      <w:pPr>
        <w:tabs>
          <w:tab w:val="clear" w:pos="567"/>
        </w:tabs>
        <w:spacing w:line="240" w:lineRule="auto"/>
        <w:rPr>
          <w:szCs w:val="22"/>
          <w:lang w:val="lt-LT"/>
        </w:rPr>
      </w:pPr>
    </w:p>
    <w:p w14:paraId="0825EC51" w14:textId="77777777" w:rsidR="0041096E" w:rsidRPr="00D8166E" w:rsidRDefault="0041096E" w:rsidP="0041096E">
      <w:pPr>
        <w:spacing w:line="240" w:lineRule="auto"/>
        <w:rPr>
          <w:lang w:val="lt-LT"/>
        </w:rPr>
      </w:pPr>
      <w:r w:rsidRPr="00D8166E">
        <w:rPr>
          <w:lang w:val="lt-LT"/>
        </w:rPr>
        <w:t xml:space="preserve">AOP </w:t>
      </w:r>
      <w:proofErr w:type="spellStart"/>
      <w:r w:rsidRPr="00D8166E">
        <w:rPr>
          <w:lang w:val="lt-LT"/>
        </w:rPr>
        <w:t>Orphan</w:t>
      </w:r>
      <w:proofErr w:type="spellEnd"/>
      <w:r w:rsidRPr="00D8166E">
        <w:rPr>
          <w:lang w:val="lt-LT"/>
        </w:rPr>
        <w:t xml:space="preserve"> </w:t>
      </w:r>
      <w:proofErr w:type="spellStart"/>
      <w:r w:rsidRPr="00D8166E">
        <w:rPr>
          <w:lang w:val="lt-LT"/>
        </w:rPr>
        <w:t>Pharmaceuticals</w:t>
      </w:r>
      <w:proofErr w:type="spellEnd"/>
      <w:r w:rsidRPr="00D8166E">
        <w:rPr>
          <w:lang w:val="lt-LT"/>
        </w:rPr>
        <w:t xml:space="preserve"> </w:t>
      </w:r>
      <w:proofErr w:type="spellStart"/>
      <w:r>
        <w:rPr>
          <w:lang w:val="lt-LT"/>
        </w:rPr>
        <w:t>GmbH</w:t>
      </w:r>
      <w:proofErr w:type="spellEnd"/>
    </w:p>
    <w:p w14:paraId="31E7948D" w14:textId="77777777" w:rsidR="0041096E" w:rsidRPr="00D8166E" w:rsidRDefault="0041096E" w:rsidP="0041096E">
      <w:pPr>
        <w:spacing w:line="240" w:lineRule="auto"/>
        <w:rPr>
          <w:lang w:val="lt-LT"/>
        </w:rPr>
      </w:pPr>
      <w:proofErr w:type="spellStart"/>
      <w:r w:rsidRPr="007803FA">
        <w:rPr>
          <w:lang w:val="lt-LT"/>
        </w:rPr>
        <w:t>Leopold-Ungar-Platz</w:t>
      </w:r>
      <w:proofErr w:type="spellEnd"/>
      <w:r w:rsidRPr="007803FA">
        <w:rPr>
          <w:lang w:val="lt-LT"/>
        </w:rPr>
        <w:t xml:space="preserve"> 2</w:t>
      </w:r>
    </w:p>
    <w:p w14:paraId="1C3AB6BF" w14:textId="77777777" w:rsidR="0041096E" w:rsidRPr="00D8166E" w:rsidRDefault="0041096E" w:rsidP="0041096E">
      <w:pPr>
        <w:spacing w:line="240" w:lineRule="auto"/>
        <w:rPr>
          <w:lang w:val="lt-LT"/>
        </w:rPr>
      </w:pPr>
      <w:r w:rsidRPr="00D8166E">
        <w:rPr>
          <w:lang w:val="lt-LT"/>
        </w:rPr>
        <w:t>11</w:t>
      </w:r>
      <w:r>
        <w:rPr>
          <w:lang w:val="lt-LT"/>
        </w:rPr>
        <w:t>9</w:t>
      </w:r>
      <w:r w:rsidRPr="00D8166E">
        <w:rPr>
          <w:lang w:val="lt-LT"/>
        </w:rPr>
        <w:t xml:space="preserve">0 </w:t>
      </w:r>
      <w:proofErr w:type="spellStart"/>
      <w:r w:rsidRPr="00D8166E">
        <w:rPr>
          <w:lang w:val="lt-LT"/>
        </w:rPr>
        <w:t>Vienna</w:t>
      </w:r>
      <w:proofErr w:type="spellEnd"/>
    </w:p>
    <w:p w14:paraId="138188D8" w14:textId="77777777" w:rsidR="0041096E" w:rsidRPr="00D8166E" w:rsidRDefault="0041096E" w:rsidP="0041096E">
      <w:pPr>
        <w:spacing w:line="240" w:lineRule="auto"/>
        <w:rPr>
          <w:lang w:val="lt-LT"/>
        </w:rPr>
      </w:pPr>
      <w:r w:rsidRPr="00D8166E">
        <w:rPr>
          <w:lang w:val="lt-LT"/>
        </w:rPr>
        <w:t>Austrija</w:t>
      </w:r>
    </w:p>
    <w:p w14:paraId="6B6B7692" w14:textId="77777777" w:rsidR="0041096E" w:rsidRPr="005F48B8" w:rsidRDefault="0041096E" w:rsidP="0041096E">
      <w:pPr>
        <w:tabs>
          <w:tab w:val="clear" w:pos="567"/>
        </w:tabs>
        <w:spacing w:line="240" w:lineRule="auto"/>
        <w:rPr>
          <w:szCs w:val="22"/>
          <w:lang w:val="lt-LT"/>
        </w:rPr>
      </w:pPr>
    </w:p>
    <w:p w14:paraId="14B0B069" w14:textId="77777777" w:rsidR="0041096E" w:rsidRPr="008612DF" w:rsidRDefault="0041096E" w:rsidP="0041096E">
      <w:pPr>
        <w:tabs>
          <w:tab w:val="clear" w:pos="567"/>
        </w:tabs>
        <w:spacing w:line="240" w:lineRule="auto"/>
        <w:rPr>
          <w:szCs w:val="22"/>
          <w:lang w:val="lt-LT"/>
        </w:rPr>
      </w:pPr>
    </w:p>
    <w:p w14:paraId="596C58E0" w14:textId="77777777" w:rsidR="0041096E" w:rsidRPr="0061385E" w:rsidRDefault="0041096E" w:rsidP="0041096E">
      <w:pPr>
        <w:pStyle w:val="Antrat3"/>
        <w:spacing w:before="0" w:after="0" w:line="240" w:lineRule="auto"/>
        <w:rPr>
          <w:rFonts w:ascii="Times New Roman" w:hAnsi="Times New Roman"/>
          <w:sz w:val="22"/>
          <w:szCs w:val="22"/>
          <w:lang w:val="lt-LT"/>
        </w:rPr>
      </w:pPr>
      <w:r w:rsidRPr="002A25EF">
        <w:rPr>
          <w:rFonts w:ascii="Times New Roman" w:hAnsi="Times New Roman"/>
          <w:sz w:val="22"/>
          <w:szCs w:val="22"/>
          <w:lang w:val="lt-LT"/>
        </w:rPr>
        <w:lastRenderedPageBreak/>
        <w:t>8.</w:t>
      </w:r>
      <w:r w:rsidRPr="002A25EF">
        <w:rPr>
          <w:rFonts w:ascii="Times New Roman" w:hAnsi="Times New Roman"/>
          <w:sz w:val="22"/>
          <w:szCs w:val="22"/>
          <w:lang w:val="lt-LT"/>
        </w:rPr>
        <w:tab/>
        <w:t>REGISTRAC</w:t>
      </w:r>
      <w:r w:rsidRPr="0061385E">
        <w:rPr>
          <w:rFonts w:ascii="Times New Roman" w:hAnsi="Times New Roman"/>
          <w:sz w:val="22"/>
          <w:szCs w:val="22"/>
          <w:lang w:val="lt-LT"/>
        </w:rPr>
        <w:t xml:space="preserve">IJOS </w:t>
      </w:r>
      <w:r w:rsidRPr="0061385E">
        <w:rPr>
          <w:rFonts w:ascii="Times New Roman" w:hAnsi="Times New Roman"/>
          <w:noProof/>
          <w:sz w:val="22"/>
          <w:szCs w:val="22"/>
          <w:lang w:val="lt-LT"/>
        </w:rPr>
        <w:t>PAŽYMĖJIMO</w:t>
      </w:r>
      <w:r w:rsidRPr="0061385E">
        <w:rPr>
          <w:rFonts w:ascii="Times New Roman" w:hAnsi="Times New Roman"/>
          <w:sz w:val="22"/>
          <w:szCs w:val="22"/>
          <w:lang w:val="lt-LT"/>
        </w:rPr>
        <w:t xml:space="preserve"> NUMERIS (-IAI) </w:t>
      </w:r>
    </w:p>
    <w:p w14:paraId="2C9A7413" w14:textId="77777777" w:rsidR="0041096E" w:rsidRDefault="0041096E" w:rsidP="0041096E">
      <w:pPr>
        <w:tabs>
          <w:tab w:val="clear" w:pos="567"/>
        </w:tabs>
        <w:spacing w:line="240" w:lineRule="auto"/>
        <w:rPr>
          <w:szCs w:val="22"/>
          <w:lang w:val="lt-LT"/>
        </w:rPr>
      </w:pPr>
    </w:p>
    <w:p w14:paraId="3C63C98E" w14:textId="77777777" w:rsidR="0041096E" w:rsidRPr="00556F71" w:rsidRDefault="0041096E" w:rsidP="0041096E">
      <w:pPr>
        <w:rPr>
          <w:bCs/>
          <w:szCs w:val="22"/>
          <w:lang w:val="lt-LT"/>
        </w:rPr>
      </w:pPr>
      <w:r>
        <w:rPr>
          <w:szCs w:val="22"/>
          <w:lang w:val="lt-LT"/>
        </w:rPr>
        <w:t>LT/1/19/4384/001</w:t>
      </w:r>
      <w:r w:rsidRPr="003C1C77">
        <w:rPr>
          <w:bCs/>
          <w:szCs w:val="22"/>
          <w:lang w:val="lt-LT"/>
        </w:rPr>
        <w:t xml:space="preserve"> – N</w:t>
      </w:r>
      <w:r>
        <w:rPr>
          <w:bCs/>
          <w:szCs w:val="22"/>
          <w:lang w:val="lt-LT"/>
        </w:rPr>
        <w:t>28</w:t>
      </w:r>
    </w:p>
    <w:p w14:paraId="5B381F75" w14:textId="77777777" w:rsidR="0041096E" w:rsidRPr="009840AD" w:rsidRDefault="0041096E" w:rsidP="0041096E">
      <w:pPr>
        <w:tabs>
          <w:tab w:val="clear" w:pos="567"/>
        </w:tabs>
        <w:spacing w:line="240" w:lineRule="auto"/>
        <w:rPr>
          <w:szCs w:val="22"/>
          <w:lang w:val="lt-LT"/>
        </w:rPr>
      </w:pPr>
      <w:r>
        <w:rPr>
          <w:szCs w:val="22"/>
          <w:lang w:val="lt-LT"/>
        </w:rPr>
        <w:t>LT/1/19/4384/002</w:t>
      </w:r>
      <w:r w:rsidRPr="003C1C77">
        <w:rPr>
          <w:bCs/>
          <w:szCs w:val="22"/>
          <w:lang w:val="lt-LT"/>
        </w:rPr>
        <w:t xml:space="preserve"> – N</w:t>
      </w:r>
      <w:r>
        <w:rPr>
          <w:bCs/>
          <w:szCs w:val="22"/>
          <w:lang w:val="lt-LT"/>
        </w:rPr>
        <w:t>56</w:t>
      </w:r>
    </w:p>
    <w:p w14:paraId="131BA14D" w14:textId="77777777" w:rsidR="0041096E" w:rsidRDefault="0041096E" w:rsidP="0041096E">
      <w:pPr>
        <w:tabs>
          <w:tab w:val="clear" w:pos="567"/>
        </w:tabs>
        <w:spacing w:line="240" w:lineRule="auto"/>
        <w:rPr>
          <w:szCs w:val="22"/>
          <w:lang w:val="lt-LT"/>
        </w:rPr>
      </w:pPr>
    </w:p>
    <w:p w14:paraId="2607B9A0" w14:textId="77777777" w:rsidR="0041096E" w:rsidRPr="00F1014D" w:rsidRDefault="0041096E" w:rsidP="0041096E">
      <w:pPr>
        <w:tabs>
          <w:tab w:val="clear" w:pos="567"/>
        </w:tabs>
        <w:spacing w:line="240" w:lineRule="auto"/>
        <w:rPr>
          <w:szCs w:val="22"/>
          <w:lang w:val="lt-LT"/>
        </w:rPr>
      </w:pPr>
    </w:p>
    <w:p w14:paraId="116900E0"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9.</w:t>
      </w:r>
      <w:r w:rsidRPr="007203A0">
        <w:rPr>
          <w:rFonts w:ascii="Times New Roman" w:hAnsi="Times New Roman"/>
          <w:sz w:val="22"/>
          <w:szCs w:val="22"/>
          <w:lang w:val="lt-LT"/>
        </w:rPr>
        <w:tab/>
        <w:t>REGISTRAVIMO / PERREGISTRAVIMO DATA</w:t>
      </w:r>
    </w:p>
    <w:p w14:paraId="04534B60" w14:textId="77777777" w:rsidR="0041096E" w:rsidRPr="007203A0" w:rsidRDefault="0041096E" w:rsidP="0041096E">
      <w:pPr>
        <w:tabs>
          <w:tab w:val="clear" w:pos="567"/>
        </w:tabs>
        <w:spacing w:line="240" w:lineRule="auto"/>
        <w:rPr>
          <w:szCs w:val="22"/>
          <w:lang w:val="lt-LT"/>
        </w:rPr>
      </w:pPr>
    </w:p>
    <w:p w14:paraId="0A7F459F" w14:textId="77777777" w:rsidR="0041096E" w:rsidRPr="005F48B8" w:rsidRDefault="0041096E" w:rsidP="0041096E">
      <w:pPr>
        <w:spacing w:line="240" w:lineRule="auto"/>
        <w:rPr>
          <w:i/>
          <w:noProof/>
          <w:szCs w:val="22"/>
          <w:lang w:val="lt-LT"/>
        </w:rPr>
      </w:pPr>
      <w:r w:rsidRPr="00D8166E">
        <w:rPr>
          <w:lang w:val="lt-LT"/>
        </w:rPr>
        <w:t xml:space="preserve">Registravimo data </w:t>
      </w:r>
      <w:r>
        <w:rPr>
          <w:lang w:val="lt-LT"/>
        </w:rPr>
        <w:t>2019 m. balandžio 30 d.</w:t>
      </w:r>
    </w:p>
    <w:p w14:paraId="4F9E8A86" w14:textId="6226DCA1" w:rsidR="0041096E" w:rsidRPr="006A4C84" w:rsidRDefault="00445827" w:rsidP="0041096E">
      <w:pPr>
        <w:tabs>
          <w:tab w:val="clear" w:pos="567"/>
        </w:tabs>
        <w:spacing w:line="240" w:lineRule="auto"/>
        <w:rPr>
          <w:noProof/>
          <w:szCs w:val="24"/>
          <w:lang w:val="it-CH"/>
        </w:rPr>
      </w:pPr>
      <w:r w:rsidRPr="006A4C84">
        <w:rPr>
          <w:noProof/>
          <w:szCs w:val="22"/>
          <w:lang w:val="it-CH"/>
        </w:rPr>
        <w:t xml:space="preserve">Paskutinio </w:t>
      </w:r>
      <w:r w:rsidRPr="006A4C84">
        <w:rPr>
          <w:noProof/>
          <w:szCs w:val="24"/>
          <w:lang w:val="it-CH"/>
        </w:rPr>
        <w:t>perregistravimo data</w:t>
      </w:r>
      <w:r w:rsidR="00C60778">
        <w:rPr>
          <w:noProof/>
          <w:szCs w:val="24"/>
          <w:lang w:val="it-CH"/>
        </w:rPr>
        <w:t xml:space="preserve"> 2024 m. gegužės 27 d.</w:t>
      </w:r>
    </w:p>
    <w:p w14:paraId="6077739D" w14:textId="77777777" w:rsidR="00445827" w:rsidRDefault="00445827" w:rsidP="0041096E">
      <w:pPr>
        <w:tabs>
          <w:tab w:val="clear" w:pos="567"/>
        </w:tabs>
        <w:spacing w:line="240" w:lineRule="auto"/>
        <w:rPr>
          <w:szCs w:val="22"/>
          <w:lang w:val="lt-LT"/>
        </w:rPr>
      </w:pPr>
    </w:p>
    <w:p w14:paraId="10352580" w14:textId="77777777" w:rsidR="0041096E" w:rsidRPr="008612DF" w:rsidRDefault="0041096E" w:rsidP="0041096E">
      <w:pPr>
        <w:tabs>
          <w:tab w:val="clear" w:pos="567"/>
        </w:tabs>
        <w:spacing w:line="240" w:lineRule="auto"/>
        <w:rPr>
          <w:szCs w:val="22"/>
          <w:lang w:val="lt-LT"/>
        </w:rPr>
      </w:pPr>
    </w:p>
    <w:p w14:paraId="61EC6BC6" w14:textId="77777777" w:rsidR="0041096E" w:rsidRPr="002A25EF" w:rsidRDefault="0041096E" w:rsidP="0041096E">
      <w:pPr>
        <w:pStyle w:val="Antrat3"/>
        <w:spacing w:before="0" w:after="0" w:line="240" w:lineRule="auto"/>
        <w:rPr>
          <w:rFonts w:ascii="Times New Roman" w:hAnsi="Times New Roman"/>
          <w:sz w:val="22"/>
          <w:szCs w:val="22"/>
          <w:lang w:val="lt-LT"/>
        </w:rPr>
      </w:pPr>
      <w:r w:rsidRPr="002A25EF">
        <w:rPr>
          <w:rFonts w:ascii="Times New Roman" w:hAnsi="Times New Roman"/>
          <w:sz w:val="22"/>
          <w:szCs w:val="22"/>
          <w:lang w:val="lt-LT"/>
        </w:rPr>
        <w:t>10.</w:t>
      </w:r>
      <w:r w:rsidRPr="002A25EF">
        <w:rPr>
          <w:rFonts w:ascii="Times New Roman" w:hAnsi="Times New Roman"/>
          <w:sz w:val="22"/>
          <w:szCs w:val="22"/>
          <w:lang w:val="lt-LT"/>
        </w:rPr>
        <w:tab/>
        <w:t>TEKSTO PERŽIŪROS DATA</w:t>
      </w:r>
    </w:p>
    <w:p w14:paraId="45EF87AF" w14:textId="77777777" w:rsidR="0041096E" w:rsidRPr="0061385E" w:rsidRDefault="0041096E" w:rsidP="0041096E">
      <w:pPr>
        <w:tabs>
          <w:tab w:val="clear" w:pos="567"/>
        </w:tabs>
        <w:spacing w:line="240" w:lineRule="auto"/>
        <w:rPr>
          <w:szCs w:val="22"/>
          <w:lang w:val="lt-LT"/>
        </w:rPr>
      </w:pPr>
    </w:p>
    <w:p w14:paraId="4057DD99" w14:textId="4720D164" w:rsidR="0041096E" w:rsidRPr="007203A0" w:rsidRDefault="00C60778" w:rsidP="0041096E">
      <w:pPr>
        <w:tabs>
          <w:tab w:val="clear" w:pos="567"/>
        </w:tabs>
        <w:spacing w:line="240" w:lineRule="auto"/>
        <w:rPr>
          <w:szCs w:val="22"/>
          <w:lang w:val="lt-LT"/>
        </w:rPr>
      </w:pPr>
      <w:r>
        <w:rPr>
          <w:noProof/>
          <w:szCs w:val="24"/>
          <w:lang w:val="it-CH"/>
        </w:rPr>
        <w:t>2024 m. gegužės 27 d.</w:t>
      </w:r>
    </w:p>
    <w:p w14:paraId="05DD19F1" w14:textId="77777777" w:rsidR="0041096E" w:rsidRPr="007203A0" w:rsidRDefault="0041096E" w:rsidP="0041096E">
      <w:pPr>
        <w:tabs>
          <w:tab w:val="clear" w:pos="567"/>
        </w:tabs>
        <w:spacing w:line="240" w:lineRule="auto"/>
        <w:rPr>
          <w:szCs w:val="22"/>
          <w:lang w:val="lt-LT"/>
        </w:rPr>
      </w:pPr>
    </w:p>
    <w:p w14:paraId="0E38E07C" w14:textId="0A23F0CE" w:rsidR="0041096E" w:rsidRPr="006A4C84" w:rsidRDefault="0041096E" w:rsidP="0041096E">
      <w:pPr>
        <w:pStyle w:val="Paprastasistekstas"/>
        <w:tabs>
          <w:tab w:val="left" w:pos="5954"/>
          <w:tab w:val="left" w:pos="6237"/>
          <w:tab w:val="left" w:pos="6663"/>
          <w:tab w:val="left" w:pos="6946"/>
        </w:tabs>
        <w:rPr>
          <w:rFonts w:ascii="Times New Roman" w:hAnsi="Times New Roman"/>
          <w:sz w:val="22"/>
          <w:szCs w:val="22"/>
          <w:lang w:val="lt-LT"/>
        </w:rPr>
      </w:pPr>
      <w:r w:rsidRPr="007203A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203A0">
        <w:rPr>
          <w:rFonts w:ascii="Times New Roman" w:hAnsi="Times New Roman"/>
          <w:i/>
          <w:noProof/>
          <w:sz w:val="22"/>
          <w:szCs w:val="22"/>
          <w:lang w:val="lt-LT"/>
        </w:rPr>
        <w:t xml:space="preserve"> </w:t>
      </w:r>
      <w:hyperlink r:id="rId14" w:history="1">
        <w:r w:rsidR="006A4C84" w:rsidRPr="006A4C84">
          <w:rPr>
            <w:rFonts w:ascii="Times New Roman" w:hAnsi="Times New Roman"/>
            <w:color w:val="0000FF"/>
            <w:sz w:val="22"/>
            <w:szCs w:val="22"/>
            <w:u w:val="single"/>
            <w:lang w:val="lt-LT"/>
          </w:rPr>
          <w:t>http://www.vvkt.lt</w:t>
        </w:r>
      </w:hyperlink>
    </w:p>
    <w:p w14:paraId="3708B5C9" w14:textId="77777777" w:rsidR="0041096E" w:rsidRPr="00D8166E" w:rsidRDefault="0041096E" w:rsidP="0041096E">
      <w:pPr>
        <w:pStyle w:val="Paprastasistekstas"/>
        <w:tabs>
          <w:tab w:val="left" w:pos="5954"/>
          <w:tab w:val="left" w:pos="6237"/>
          <w:tab w:val="left" w:pos="6663"/>
          <w:tab w:val="left" w:pos="6946"/>
        </w:tabs>
        <w:rPr>
          <w:rFonts w:ascii="Times New Roman" w:hAnsi="Times New Roman"/>
          <w:sz w:val="22"/>
          <w:lang w:val="lt-LT"/>
        </w:rPr>
      </w:pPr>
    </w:p>
    <w:p w14:paraId="4059AB2B" w14:textId="77777777" w:rsidR="00F34163" w:rsidRPr="00B34FA1" w:rsidRDefault="00A67E3B" w:rsidP="00D8166E">
      <w:pPr>
        <w:pStyle w:val="Paprastasistekstas"/>
        <w:tabs>
          <w:tab w:val="left" w:pos="5954"/>
          <w:tab w:val="left" w:pos="6237"/>
          <w:tab w:val="left" w:pos="6663"/>
          <w:tab w:val="left" w:pos="6946"/>
        </w:tabs>
        <w:jc w:val="center"/>
        <w:rPr>
          <w:rFonts w:ascii="Times New Roman" w:hAnsi="Times New Roman"/>
          <w:lang w:val="lt-LT"/>
        </w:rPr>
      </w:pPr>
      <w:r w:rsidRPr="00C37971">
        <w:rPr>
          <w:rFonts w:ascii="Times New Roman" w:hAnsi="Times New Roman"/>
          <w:sz w:val="22"/>
          <w:lang w:val="lt-LT"/>
        </w:rPr>
        <w:br w:type="page"/>
      </w:r>
    </w:p>
    <w:p w14:paraId="4B086417" w14:textId="77777777" w:rsidR="00F34163" w:rsidRPr="00B34FA1" w:rsidRDefault="00F34163" w:rsidP="00D8166E">
      <w:pPr>
        <w:pStyle w:val="Paprastasistekstas"/>
        <w:tabs>
          <w:tab w:val="left" w:pos="5954"/>
          <w:tab w:val="left" w:pos="6237"/>
          <w:tab w:val="left" w:pos="6663"/>
          <w:tab w:val="left" w:pos="6946"/>
        </w:tabs>
        <w:jc w:val="center"/>
        <w:rPr>
          <w:rFonts w:ascii="Times New Roman" w:hAnsi="Times New Roman"/>
          <w:lang w:val="lt-LT"/>
        </w:rPr>
      </w:pPr>
    </w:p>
    <w:p w14:paraId="1BF4AD89" w14:textId="77777777" w:rsidR="00F34163" w:rsidRPr="00B34FA1" w:rsidRDefault="00F34163" w:rsidP="00D8166E">
      <w:pPr>
        <w:pStyle w:val="Paprastasistekstas"/>
        <w:tabs>
          <w:tab w:val="left" w:pos="5954"/>
          <w:tab w:val="left" w:pos="6237"/>
          <w:tab w:val="left" w:pos="6663"/>
          <w:tab w:val="left" w:pos="6946"/>
        </w:tabs>
        <w:jc w:val="center"/>
        <w:rPr>
          <w:rFonts w:ascii="Times New Roman" w:hAnsi="Times New Roman"/>
          <w:lang w:val="lt-LT"/>
        </w:rPr>
      </w:pPr>
    </w:p>
    <w:p w14:paraId="14B218D2" w14:textId="77777777" w:rsidR="001A3DF1" w:rsidRPr="00D8166E" w:rsidRDefault="00F34163" w:rsidP="00D8166E">
      <w:pPr>
        <w:pStyle w:val="Paprastasistekstas"/>
        <w:tabs>
          <w:tab w:val="left" w:pos="4962"/>
        </w:tabs>
        <w:rPr>
          <w:rFonts w:ascii="Times New Roman" w:hAnsi="Times New Roman"/>
          <w:color w:val="008000"/>
          <w:lang w:val="lt-LT"/>
        </w:rPr>
      </w:pPr>
      <w:r w:rsidRPr="00D8166E">
        <w:rPr>
          <w:rFonts w:ascii="Times New Roman" w:hAnsi="Times New Roman"/>
          <w:b/>
          <w:lang w:val="lt-LT"/>
        </w:rPr>
        <w:t xml:space="preserve">                                        </w:t>
      </w:r>
      <w:r w:rsidR="001A3DF1" w:rsidRPr="00D8166E">
        <w:rPr>
          <w:rFonts w:ascii="Times New Roman" w:hAnsi="Times New Roman"/>
          <w:b/>
          <w:lang w:val="lt-LT"/>
        </w:rPr>
        <w:tab/>
      </w:r>
      <w:r w:rsidRPr="00D8166E">
        <w:rPr>
          <w:rFonts w:ascii="Times New Roman" w:hAnsi="Times New Roman"/>
          <w:b/>
          <w:lang w:val="lt-LT"/>
        </w:rPr>
        <w:t xml:space="preserve">  </w:t>
      </w:r>
    </w:p>
    <w:p w14:paraId="0F6EDEAC" w14:textId="77777777" w:rsidR="000A79DC" w:rsidRPr="00D8166E" w:rsidRDefault="000A79DC" w:rsidP="00D8166E">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2B6130AC" w14:textId="77777777" w:rsidR="00F34163" w:rsidRPr="00D8166E" w:rsidRDefault="00F34163" w:rsidP="00D8166E">
      <w:pPr>
        <w:pStyle w:val="Paprastasistekstas"/>
        <w:tabs>
          <w:tab w:val="left" w:pos="5954"/>
          <w:tab w:val="left" w:pos="6237"/>
          <w:tab w:val="left" w:pos="6663"/>
          <w:tab w:val="left" w:pos="6946"/>
        </w:tabs>
        <w:jc w:val="center"/>
        <w:rPr>
          <w:rFonts w:ascii="Times New Roman" w:hAnsi="Times New Roman"/>
          <w:color w:val="000000"/>
          <w:sz w:val="22"/>
          <w:lang w:val="lt-LT"/>
        </w:rPr>
      </w:pPr>
    </w:p>
    <w:p w14:paraId="4A94F533" w14:textId="77777777" w:rsidR="00F34163" w:rsidRPr="005F48B8" w:rsidRDefault="00F34163" w:rsidP="00D8166E">
      <w:pPr>
        <w:rPr>
          <w:noProof/>
          <w:szCs w:val="22"/>
          <w:lang w:val="lt-LT"/>
        </w:rPr>
      </w:pPr>
    </w:p>
    <w:p w14:paraId="4F8F80A4" w14:textId="77777777" w:rsidR="00F34163" w:rsidRPr="008612DF" w:rsidRDefault="00F34163" w:rsidP="00D8166E">
      <w:pPr>
        <w:rPr>
          <w:noProof/>
          <w:szCs w:val="22"/>
          <w:lang w:val="lt-LT"/>
        </w:rPr>
      </w:pPr>
    </w:p>
    <w:p w14:paraId="4F46E89F" w14:textId="77777777" w:rsidR="00F34163" w:rsidRPr="002A25EF" w:rsidRDefault="00F34163" w:rsidP="00D8166E">
      <w:pPr>
        <w:rPr>
          <w:noProof/>
          <w:szCs w:val="22"/>
          <w:lang w:val="lt-LT"/>
        </w:rPr>
      </w:pPr>
    </w:p>
    <w:p w14:paraId="6E56FBD1" w14:textId="77777777" w:rsidR="00F34163" w:rsidRPr="0061385E" w:rsidRDefault="00F34163" w:rsidP="00D8166E">
      <w:pPr>
        <w:rPr>
          <w:noProof/>
          <w:szCs w:val="22"/>
          <w:lang w:val="lt-LT"/>
        </w:rPr>
      </w:pPr>
    </w:p>
    <w:p w14:paraId="1A077BE3" w14:textId="77777777" w:rsidR="00F34163" w:rsidRPr="009840AD" w:rsidRDefault="00F34163" w:rsidP="00D8166E">
      <w:pPr>
        <w:rPr>
          <w:noProof/>
          <w:szCs w:val="22"/>
          <w:lang w:val="lt-LT"/>
        </w:rPr>
      </w:pPr>
    </w:p>
    <w:p w14:paraId="2C2869CA" w14:textId="77777777" w:rsidR="00F34163" w:rsidRPr="00F1014D" w:rsidRDefault="00F34163" w:rsidP="00D8166E">
      <w:pPr>
        <w:rPr>
          <w:noProof/>
          <w:szCs w:val="22"/>
          <w:lang w:val="lt-LT"/>
        </w:rPr>
      </w:pPr>
    </w:p>
    <w:p w14:paraId="256F384F" w14:textId="77777777" w:rsidR="00F34163" w:rsidRPr="007203A0" w:rsidRDefault="00F34163" w:rsidP="00D8166E">
      <w:pPr>
        <w:rPr>
          <w:noProof/>
          <w:szCs w:val="22"/>
          <w:lang w:val="lt-LT"/>
        </w:rPr>
      </w:pPr>
    </w:p>
    <w:p w14:paraId="36D004F1" w14:textId="77777777" w:rsidR="00F34163" w:rsidRPr="007203A0" w:rsidRDefault="00F34163" w:rsidP="00D8166E">
      <w:pPr>
        <w:rPr>
          <w:noProof/>
          <w:szCs w:val="22"/>
          <w:lang w:val="lt-LT"/>
        </w:rPr>
      </w:pPr>
    </w:p>
    <w:p w14:paraId="655A6E03" w14:textId="77777777" w:rsidR="00F34163" w:rsidRPr="007203A0" w:rsidRDefault="00F34163" w:rsidP="00D8166E">
      <w:pPr>
        <w:rPr>
          <w:noProof/>
          <w:szCs w:val="22"/>
          <w:lang w:val="lt-LT"/>
        </w:rPr>
      </w:pPr>
    </w:p>
    <w:p w14:paraId="593B4879" w14:textId="77777777" w:rsidR="00F34163" w:rsidRPr="007203A0" w:rsidRDefault="00F34163" w:rsidP="00D8166E">
      <w:pPr>
        <w:rPr>
          <w:noProof/>
          <w:szCs w:val="22"/>
          <w:lang w:val="lt-LT"/>
        </w:rPr>
      </w:pPr>
    </w:p>
    <w:p w14:paraId="52582C90" w14:textId="77777777" w:rsidR="00F34163" w:rsidRPr="007203A0" w:rsidRDefault="00F34163" w:rsidP="00D8166E">
      <w:pPr>
        <w:rPr>
          <w:noProof/>
          <w:szCs w:val="22"/>
          <w:lang w:val="lt-LT"/>
        </w:rPr>
      </w:pPr>
    </w:p>
    <w:p w14:paraId="1BB26BA7" w14:textId="77777777" w:rsidR="00F34163" w:rsidRPr="007203A0" w:rsidRDefault="00F34163" w:rsidP="00D8166E">
      <w:pPr>
        <w:rPr>
          <w:noProof/>
          <w:szCs w:val="22"/>
          <w:lang w:val="lt-LT"/>
        </w:rPr>
      </w:pPr>
    </w:p>
    <w:p w14:paraId="26D8A941" w14:textId="77777777" w:rsidR="00F34163" w:rsidRPr="007203A0" w:rsidRDefault="00F34163" w:rsidP="00D8166E">
      <w:pPr>
        <w:rPr>
          <w:noProof/>
          <w:szCs w:val="22"/>
          <w:lang w:val="lt-LT"/>
        </w:rPr>
      </w:pPr>
    </w:p>
    <w:p w14:paraId="60E1F64E" w14:textId="77777777" w:rsidR="00F34163" w:rsidRPr="007203A0" w:rsidRDefault="00F34163" w:rsidP="00D8166E">
      <w:pPr>
        <w:rPr>
          <w:noProof/>
          <w:szCs w:val="22"/>
          <w:lang w:val="lt-LT"/>
        </w:rPr>
      </w:pPr>
    </w:p>
    <w:p w14:paraId="57B30A6B" w14:textId="77777777" w:rsidR="00F34163" w:rsidRPr="007203A0" w:rsidRDefault="00F34163" w:rsidP="00D8166E">
      <w:pPr>
        <w:rPr>
          <w:noProof/>
          <w:szCs w:val="22"/>
          <w:lang w:val="lt-LT"/>
        </w:rPr>
      </w:pPr>
    </w:p>
    <w:p w14:paraId="0AA37CEC" w14:textId="77777777" w:rsidR="00F34163" w:rsidRDefault="00F34163" w:rsidP="00D8166E">
      <w:pPr>
        <w:rPr>
          <w:noProof/>
          <w:szCs w:val="22"/>
          <w:lang w:val="lt-LT"/>
        </w:rPr>
      </w:pPr>
    </w:p>
    <w:p w14:paraId="1A74D59B" w14:textId="77777777" w:rsidR="00445827" w:rsidRPr="007203A0" w:rsidRDefault="00445827" w:rsidP="00D8166E">
      <w:pPr>
        <w:rPr>
          <w:noProof/>
          <w:szCs w:val="22"/>
          <w:lang w:val="lt-LT"/>
        </w:rPr>
      </w:pPr>
    </w:p>
    <w:p w14:paraId="3CFC193D" w14:textId="77777777" w:rsidR="00F34163" w:rsidRPr="007203A0" w:rsidRDefault="00F34163" w:rsidP="00D8166E">
      <w:pPr>
        <w:jc w:val="center"/>
        <w:rPr>
          <w:b/>
          <w:szCs w:val="22"/>
          <w:lang w:val="lt-LT"/>
        </w:rPr>
      </w:pPr>
      <w:r w:rsidRPr="007203A0">
        <w:rPr>
          <w:b/>
          <w:szCs w:val="22"/>
          <w:lang w:val="lt-LT"/>
        </w:rPr>
        <w:t>II PRIEDAS</w:t>
      </w:r>
    </w:p>
    <w:p w14:paraId="2E611925" w14:textId="77777777" w:rsidR="00F34163" w:rsidRPr="007203A0" w:rsidRDefault="00F34163" w:rsidP="00D8166E">
      <w:pPr>
        <w:ind w:left="1701" w:right="1416" w:hanging="567"/>
        <w:rPr>
          <w:szCs w:val="22"/>
          <w:lang w:val="lt-LT"/>
        </w:rPr>
      </w:pPr>
    </w:p>
    <w:p w14:paraId="5E0E6E11" w14:textId="77777777" w:rsidR="00F34163" w:rsidRPr="007203A0" w:rsidRDefault="00CE6EC2" w:rsidP="00D8166E">
      <w:pPr>
        <w:jc w:val="center"/>
        <w:rPr>
          <w:i/>
          <w:szCs w:val="22"/>
          <w:lang w:val="lt-LT"/>
        </w:rPr>
      </w:pPr>
      <w:r w:rsidRPr="007203A0">
        <w:rPr>
          <w:b/>
          <w:szCs w:val="22"/>
          <w:lang w:val="lt-LT"/>
        </w:rPr>
        <w:t xml:space="preserve">REGISTRACIJOS </w:t>
      </w:r>
      <w:r w:rsidR="00F34163" w:rsidRPr="007203A0">
        <w:rPr>
          <w:b/>
          <w:szCs w:val="22"/>
          <w:lang w:val="lt-LT"/>
        </w:rPr>
        <w:t>SĄLYGOS</w:t>
      </w:r>
    </w:p>
    <w:p w14:paraId="6AA162E8" w14:textId="77777777" w:rsidR="00F34163" w:rsidRPr="007203A0" w:rsidRDefault="00F34163" w:rsidP="00D8166E">
      <w:pPr>
        <w:rPr>
          <w:szCs w:val="22"/>
          <w:lang w:val="lt-LT"/>
        </w:rPr>
      </w:pPr>
    </w:p>
    <w:p w14:paraId="4C5C4B3A" w14:textId="77777777" w:rsidR="00F34163" w:rsidRPr="007203A0" w:rsidRDefault="00F34163" w:rsidP="00D8166E">
      <w:pPr>
        <w:tabs>
          <w:tab w:val="clear" w:pos="567"/>
          <w:tab w:val="left" w:pos="1701"/>
        </w:tabs>
        <w:ind w:left="1701" w:right="567" w:hanging="567"/>
        <w:rPr>
          <w:b/>
          <w:noProof/>
          <w:szCs w:val="22"/>
          <w:lang w:val="lt-LT"/>
        </w:rPr>
      </w:pPr>
      <w:r w:rsidRPr="007203A0">
        <w:rPr>
          <w:b/>
          <w:noProof/>
          <w:szCs w:val="22"/>
          <w:lang w:val="lt-LT"/>
        </w:rPr>
        <w:t>A.</w:t>
      </w:r>
      <w:r w:rsidRPr="007203A0">
        <w:rPr>
          <w:b/>
          <w:noProof/>
          <w:szCs w:val="22"/>
          <w:lang w:val="lt-LT"/>
        </w:rPr>
        <w:tab/>
        <w:t>GAMINTOJAS (-AI), ATSAKINGAS (-I) UŽ SERIJŲ IŠLEIDIMĄ&gt;</w:t>
      </w:r>
    </w:p>
    <w:p w14:paraId="0BBECDF5" w14:textId="77777777" w:rsidR="00F34163" w:rsidRPr="007203A0" w:rsidRDefault="00F34163" w:rsidP="00D8166E">
      <w:pPr>
        <w:tabs>
          <w:tab w:val="clear" w:pos="567"/>
          <w:tab w:val="left" w:pos="1701"/>
        </w:tabs>
        <w:ind w:left="567" w:right="567" w:hanging="567"/>
        <w:rPr>
          <w:noProof/>
          <w:szCs w:val="22"/>
          <w:lang w:val="lt-LT"/>
        </w:rPr>
      </w:pPr>
    </w:p>
    <w:p w14:paraId="31EFFA55" w14:textId="77777777" w:rsidR="00F34163" w:rsidRPr="007203A0" w:rsidRDefault="00F34163" w:rsidP="00D8166E">
      <w:pPr>
        <w:tabs>
          <w:tab w:val="clear" w:pos="567"/>
          <w:tab w:val="left" w:pos="1701"/>
        </w:tabs>
        <w:ind w:left="1701" w:right="567" w:hanging="567"/>
        <w:rPr>
          <w:b/>
          <w:szCs w:val="22"/>
          <w:lang w:val="lt-LT"/>
        </w:rPr>
      </w:pPr>
      <w:r w:rsidRPr="007203A0">
        <w:rPr>
          <w:b/>
          <w:szCs w:val="22"/>
          <w:lang w:val="lt-LT"/>
        </w:rPr>
        <w:t>B.</w:t>
      </w:r>
      <w:r w:rsidRPr="007203A0">
        <w:rPr>
          <w:b/>
          <w:szCs w:val="22"/>
          <w:lang w:val="lt-LT"/>
        </w:rPr>
        <w:tab/>
        <w:t>TIEKIMO IR VARTOJIMO SĄLYGOS AR APRIBOJIMAI</w:t>
      </w:r>
    </w:p>
    <w:p w14:paraId="5E636FE9" w14:textId="77777777" w:rsidR="00F34163" w:rsidRPr="007203A0" w:rsidRDefault="00F34163" w:rsidP="00D8166E">
      <w:pPr>
        <w:tabs>
          <w:tab w:val="clear" w:pos="567"/>
          <w:tab w:val="left" w:pos="1701"/>
        </w:tabs>
        <w:ind w:left="567" w:right="567" w:hanging="567"/>
        <w:rPr>
          <w:szCs w:val="22"/>
          <w:lang w:val="lt-LT"/>
        </w:rPr>
      </w:pPr>
    </w:p>
    <w:p w14:paraId="27C9201A" w14:textId="77777777" w:rsidR="00F34163" w:rsidRPr="007203A0" w:rsidRDefault="00F34163" w:rsidP="00D8166E">
      <w:pPr>
        <w:tabs>
          <w:tab w:val="clear" w:pos="567"/>
          <w:tab w:val="left" w:pos="1701"/>
        </w:tabs>
        <w:ind w:left="1701" w:right="567" w:hanging="567"/>
        <w:rPr>
          <w:b/>
          <w:szCs w:val="22"/>
          <w:lang w:val="lt-LT"/>
        </w:rPr>
      </w:pPr>
      <w:r w:rsidRPr="007203A0">
        <w:rPr>
          <w:b/>
          <w:szCs w:val="22"/>
          <w:lang w:val="lt-LT"/>
        </w:rPr>
        <w:t>C.</w:t>
      </w:r>
      <w:r w:rsidRPr="007203A0">
        <w:rPr>
          <w:b/>
          <w:szCs w:val="22"/>
          <w:lang w:val="lt-LT"/>
        </w:rPr>
        <w:tab/>
        <w:t xml:space="preserve">KITOS SĄLYGOS IR REIKALAVIMAI </w:t>
      </w:r>
      <w:r w:rsidR="00CE6EC2" w:rsidRPr="007203A0">
        <w:rPr>
          <w:b/>
          <w:szCs w:val="22"/>
          <w:lang w:val="lt-LT"/>
        </w:rPr>
        <w:t>REGISTRUOTOJUI</w:t>
      </w:r>
      <w:r w:rsidRPr="007203A0">
        <w:rPr>
          <w:b/>
          <w:szCs w:val="22"/>
          <w:lang w:val="lt-LT"/>
        </w:rPr>
        <w:t xml:space="preserve"> </w:t>
      </w:r>
    </w:p>
    <w:p w14:paraId="69E152D8" w14:textId="77777777" w:rsidR="00F34163" w:rsidRPr="007203A0" w:rsidRDefault="00F34163" w:rsidP="00D8166E">
      <w:pPr>
        <w:tabs>
          <w:tab w:val="clear" w:pos="567"/>
          <w:tab w:val="left" w:pos="1701"/>
        </w:tabs>
        <w:ind w:left="1701" w:right="567" w:hanging="567"/>
        <w:rPr>
          <w:b/>
          <w:szCs w:val="22"/>
          <w:lang w:val="lt-LT"/>
        </w:rPr>
      </w:pPr>
    </w:p>
    <w:p w14:paraId="04341AAA" w14:textId="77777777" w:rsidR="00F34163" w:rsidRPr="007203A0" w:rsidRDefault="00F34163" w:rsidP="00D8166E">
      <w:pPr>
        <w:tabs>
          <w:tab w:val="clear" w:pos="567"/>
          <w:tab w:val="left" w:pos="1701"/>
        </w:tabs>
        <w:ind w:left="1701" w:right="567" w:hanging="567"/>
        <w:rPr>
          <w:b/>
          <w:szCs w:val="22"/>
          <w:lang w:val="lt-LT"/>
        </w:rPr>
      </w:pPr>
      <w:r w:rsidRPr="007203A0">
        <w:rPr>
          <w:b/>
          <w:szCs w:val="22"/>
          <w:lang w:val="lt-LT"/>
        </w:rPr>
        <w:t>D.</w:t>
      </w:r>
      <w:r w:rsidRPr="007203A0">
        <w:rPr>
          <w:b/>
          <w:szCs w:val="22"/>
          <w:lang w:val="lt-LT"/>
        </w:rPr>
        <w:tab/>
      </w:r>
      <w:r w:rsidRPr="007203A0">
        <w:rPr>
          <w:b/>
          <w:caps/>
          <w:noProof/>
          <w:szCs w:val="22"/>
          <w:lang w:val="lt-LT"/>
        </w:rPr>
        <w:t>SĄLYGOS AR APRIBOJIMAI SAUGIAM IR VEIKSMINGAM VAISTINIO PREPARATO VARTOJIMUI UŽTIKRINTI</w:t>
      </w:r>
    </w:p>
    <w:p w14:paraId="5DEF9857" w14:textId="77777777" w:rsidR="00F34163" w:rsidRPr="007203A0" w:rsidRDefault="00F34163" w:rsidP="00D8166E">
      <w:pPr>
        <w:tabs>
          <w:tab w:val="clear" w:pos="567"/>
          <w:tab w:val="left" w:pos="1701"/>
        </w:tabs>
        <w:ind w:left="1701" w:right="567" w:hanging="567"/>
        <w:rPr>
          <w:b/>
          <w:szCs w:val="22"/>
          <w:lang w:val="lt-LT"/>
        </w:rPr>
      </w:pPr>
    </w:p>
    <w:p w14:paraId="4BB41E5E" w14:textId="77777777" w:rsidR="00F34163" w:rsidRPr="007203A0" w:rsidRDefault="00F34163" w:rsidP="00D8166E">
      <w:pPr>
        <w:ind w:left="1701" w:right="1558" w:hanging="850"/>
        <w:rPr>
          <w:b/>
          <w:szCs w:val="22"/>
          <w:lang w:val="lt-LT"/>
        </w:rPr>
      </w:pPr>
    </w:p>
    <w:p w14:paraId="57FDD10B" w14:textId="77777777" w:rsidR="00F34163" w:rsidRPr="007203A0" w:rsidRDefault="00F34163" w:rsidP="00D8166E">
      <w:pPr>
        <w:ind w:left="567" w:hanging="567"/>
        <w:rPr>
          <w:szCs w:val="22"/>
          <w:lang w:val="lt-LT"/>
        </w:rPr>
      </w:pPr>
    </w:p>
    <w:p w14:paraId="3F49651E" w14:textId="77777777" w:rsidR="00F34163" w:rsidRPr="007203A0" w:rsidRDefault="00F34163" w:rsidP="00D8166E">
      <w:pPr>
        <w:ind w:right="-1"/>
        <w:rPr>
          <w:szCs w:val="22"/>
          <w:lang w:val="lt-LT"/>
        </w:rPr>
      </w:pPr>
    </w:p>
    <w:p w14:paraId="7DB90CBB" w14:textId="77777777" w:rsidR="00F34163" w:rsidRPr="007203A0" w:rsidRDefault="00F34163" w:rsidP="00D8166E">
      <w:pPr>
        <w:ind w:left="567" w:hanging="567"/>
        <w:rPr>
          <w:b/>
          <w:szCs w:val="22"/>
          <w:lang w:val="lt-LT"/>
        </w:rPr>
      </w:pPr>
      <w:r w:rsidRPr="007203A0">
        <w:rPr>
          <w:szCs w:val="22"/>
          <w:lang w:val="lt-LT"/>
        </w:rPr>
        <w:br w:type="page"/>
      </w:r>
      <w:r w:rsidRPr="007203A0">
        <w:rPr>
          <w:b/>
          <w:szCs w:val="22"/>
          <w:lang w:val="lt-LT"/>
        </w:rPr>
        <w:lastRenderedPageBreak/>
        <w:t>A.</w:t>
      </w:r>
      <w:r w:rsidRPr="007203A0">
        <w:rPr>
          <w:b/>
          <w:szCs w:val="22"/>
          <w:lang w:val="lt-LT"/>
        </w:rPr>
        <w:tab/>
        <w:t>GAMINTOJAS (-AI), ATSAKINGAS (-I) UŽ SERIJŲ IŠLEIDIMĄ</w:t>
      </w:r>
    </w:p>
    <w:p w14:paraId="3F2A6429" w14:textId="77777777" w:rsidR="00F34163" w:rsidRPr="007203A0" w:rsidRDefault="00F34163" w:rsidP="00D8166E">
      <w:pPr>
        <w:rPr>
          <w:szCs w:val="22"/>
          <w:lang w:val="lt-LT"/>
        </w:rPr>
      </w:pPr>
    </w:p>
    <w:p w14:paraId="5851470B" w14:textId="77777777" w:rsidR="00F34163" w:rsidRPr="007203A0" w:rsidRDefault="00F34163" w:rsidP="00D8166E">
      <w:pPr>
        <w:spacing w:line="240" w:lineRule="auto"/>
        <w:jc w:val="both"/>
        <w:rPr>
          <w:szCs w:val="22"/>
          <w:lang w:val="lt-LT"/>
        </w:rPr>
      </w:pPr>
      <w:r w:rsidRPr="007203A0">
        <w:rPr>
          <w:noProof/>
          <w:szCs w:val="22"/>
          <w:u w:val="single"/>
          <w:lang w:val="lt-LT"/>
        </w:rPr>
        <w:t>Gamintojo (-ų), atsakingo (-ų) už serijų išleidimą, pavadinimas (-ai) ir adresas (-ai)</w:t>
      </w:r>
    </w:p>
    <w:p w14:paraId="411F5C25" w14:textId="77777777" w:rsidR="00F34163" w:rsidRPr="007203A0" w:rsidRDefault="00F34163" w:rsidP="00D8166E">
      <w:pPr>
        <w:spacing w:line="240" w:lineRule="auto"/>
        <w:rPr>
          <w:szCs w:val="22"/>
          <w:lang w:val="lt-LT"/>
        </w:rPr>
      </w:pPr>
    </w:p>
    <w:p w14:paraId="6B1EC78A" w14:textId="77777777" w:rsidR="00AC7598" w:rsidRPr="00D8166E" w:rsidRDefault="00AC7598" w:rsidP="00D8166E">
      <w:pPr>
        <w:tabs>
          <w:tab w:val="clear" w:pos="567"/>
        </w:tabs>
        <w:spacing w:line="240" w:lineRule="auto"/>
        <w:rPr>
          <w:rFonts w:eastAsia="MS Mincho"/>
          <w:lang w:val="lt-LT"/>
        </w:rPr>
      </w:pPr>
      <w:proofErr w:type="spellStart"/>
      <w:r w:rsidRPr="00D8166E">
        <w:rPr>
          <w:rFonts w:eastAsia="MS Mincho"/>
          <w:lang w:val="lt-LT"/>
        </w:rPr>
        <w:t>Genepharm</w:t>
      </w:r>
      <w:proofErr w:type="spellEnd"/>
      <w:r w:rsidRPr="00D8166E">
        <w:rPr>
          <w:rFonts w:eastAsia="MS Mincho"/>
          <w:lang w:val="lt-LT"/>
        </w:rPr>
        <w:t xml:space="preserve"> S.A.</w:t>
      </w:r>
    </w:p>
    <w:p w14:paraId="16D9D9A5" w14:textId="77777777" w:rsidR="00AC7598" w:rsidRPr="00D8166E" w:rsidRDefault="00AC7598" w:rsidP="00D8166E">
      <w:pPr>
        <w:tabs>
          <w:tab w:val="clear" w:pos="567"/>
        </w:tabs>
        <w:spacing w:line="240" w:lineRule="auto"/>
        <w:rPr>
          <w:rFonts w:eastAsia="MS Mincho"/>
          <w:lang w:val="lt-LT"/>
        </w:rPr>
      </w:pPr>
      <w:r w:rsidRPr="00D8166E">
        <w:rPr>
          <w:rFonts w:eastAsia="MS Mincho"/>
          <w:lang w:val="lt-LT"/>
        </w:rPr>
        <w:t>18</w:t>
      </w:r>
      <w:r w:rsidRPr="00D8166E">
        <w:rPr>
          <w:rFonts w:eastAsia="MS Mincho"/>
          <w:vertAlign w:val="superscript"/>
          <w:lang w:val="lt-LT"/>
        </w:rPr>
        <w:t>th</w:t>
      </w:r>
      <w:r w:rsidRPr="00D8166E">
        <w:rPr>
          <w:rFonts w:eastAsia="MS Mincho"/>
          <w:lang w:val="lt-LT"/>
        </w:rPr>
        <w:t xml:space="preserve"> km </w:t>
      </w:r>
      <w:proofErr w:type="spellStart"/>
      <w:r w:rsidRPr="00D8166E">
        <w:rPr>
          <w:rFonts w:eastAsia="MS Mincho"/>
          <w:lang w:val="lt-LT"/>
        </w:rPr>
        <w:t>Marathonos</w:t>
      </w:r>
      <w:proofErr w:type="spellEnd"/>
      <w:r w:rsidRPr="00D8166E">
        <w:rPr>
          <w:rFonts w:eastAsia="MS Mincho"/>
          <w:lang w:val="lt-LT"/>
        </w:rPr>
        <w:t xml:space="preserve"> </w:t>
      </w:r>
      <w:proofErr w:type="spellStart"/>
      <w:r w:rsidRPr="00D8166E">
        <w:rPr>
          <w:rFonts w:eastAsia="MS Mincho"/>
          <w:lang w:val="lt-LT"/>
        </w:rPr>
        <w:t>Ave</w:t>
      </w:r>
      <w:proofErr w:type="spellEnd"/>
    </w:p>
    <w:p w14:paraId="3E7F409F" w14:textId="77777777" w:rsidR="00AC7598" w:rsidRPr="00D8166E" w:rsidRDefault="00AC7598" w:rsidP="00D8166E">
      <w:pPr>
        <w:tabs>
          <w:tab w:val="clear" w:pos="567"/>
        </w:tabs>
        <w:spacing w:line="240" w:lineRule="auto"/>
        <w:rPr>
          <w:rFonts w:eastAsia="MS Mincho"/>
          <w:lang w:val="lt-LT"/>
        </w:rPr>
      </w:pPr>
      <w:r w:rsidRPr="00D8166E">
        <w:rPr>
          <w:rFonts w:eastAsia="MS Mincho"/>
          <w:lang w:val="lt-LT"/>
        </w:rPr>
        <w:t xml:space="preserve">153 51 </w:t>
      </w:r>
      <w:proofErr w:type="spellStart"/>
      <w:r w:rsidRPr="00D8166E">
        <w:rPr>
          <w:rFonts w:eastAsia="MS Mincho"/>
          <w:lang w:val="lt-LT"/>
        </w:rPr>
        <w:t>Pallini</w:t>
      </w:r>
      <w:proofErr w:type="spellEnd"/>
      <w:r w:rsidRPr="00D8166E">
        <w:rPr>
          <w:rFonts w:eastAsia="MS Mincho"/>
          <w:lang w:val="lt-LT"/>
        </w:rPr>
        <w:t xml:space="preserve"> </w:t>
      </w:r>
      <w:proofErr w:type="spellStart"/>
      <w:r w:rsidRPr="00D8166E">
        <w:rPr>
          <w:rFonts w:eastAsia="MS Mincho"/>
          <w:lang w:val="lt-LT"/>
        </w:rPr>
        <w:t>Attiki</w:t>
      </w:r>
      <w:proofErr w:type="spellEnd"/>
    </w:p>
    <w:p w14:paraId="32DED7A6" w14:textId="77777777" w:rsidR="00AC7598" w:rsidRPr="00D8166E" w:rsidRDefault="00A67E3B" w:rsidP="00D8166E">
      <w:pPr>
        <w:tabs>
          <w:tab w:val="clear" w:pos="567"/>
        </w:tabs>
        <w:spacing w:line="240" w:lineRule="auto"/>
        <w:rPr>
          <w:rFonts w:eastAsia="MS Mincho"/>
          <w:lang w:val="lt-LT"/>
        </w:rPr>
      </w:pPr>
      <w:r w:rsidRPr="00D8166E">
        <w:rPr>
          <w:rFonts w:eastAsia="MS Mincho"/>
          <w:lang w:val="lt-LT"/>
        </w:rPr>
        <w:t>Graikija</w:t>
      </w:r>
    </w:p>
    <w:p w14:paraId="2A03C483" w14:textId="77777777" w:rsidR="00AC7598" w:rsidRPr="00D8166E" w:rsidRDefault="00AC7598" w:rsidP="00D8166E">
      <w:pPr>
        <w:tabs>
          <w:tab w:val="clear" w:pos="567"/>
        </w:tabs>
        <w:spacing w:line="240" w:lineRule="auto"/>
        <w:rPr>
          <w:rFonts w:eastAsia="MS Mincho"/>
          <w:lang w:val="lt-LT"/>
        </w:rPr>
      </w:pPr>
    </w:p>
    <w:p w14:paraId="6D969AD2" w14:textId="77777777" w:rsidR="001B45CC" w:rsidRPr="00D8166E" w:rsidRDefault="001B45CC" w:rsidP="00D8166E">
      <w:pPr>
        <w:tabs>
          <w:tab w:val="clear" w:pos="567"/>
        </w:tabs>
        <w:spacing w:line="240" w:lineRule="auto"/>
        <w:rPr>
          <w:rFonts w:eastAsia="MS Mincho"/>
          <w:lang w:val="lt-LT"/>
        </w:rPr>
      </w:pPr>
      <w:r w:rsidRPr="00D8166E">
        <w:rPr>
          <w:rFonts w:eastAsia="MS Mincho"/>
          <w:lang w:val="lt-LT"/>
        </w:rPr>
        <w:t>arba</w:t>
      </w:r>
    </w:p>
    <w:p w14:paraId="45BE6433" w14:textId="77777777" w:rsidR="001B45CC" w:rsidRPr="00D8166E" w:rsidRDefault="001B45CC" w:rsidP="00D8166E">
      <w:pPr>
        <w:tabs>
          <w:tab w:val="clear" w:pos="567"/>
        </w:tabs>
        <w:spacing w:line="240" w:lineRule="auto"/>
        <w:rPr>
          <w:rFonts w:eastAsia="MS Mincho"/>
          <w:lang w:val="lt-LT"/>
        </w:rPr>
      </w:pPr>
    </w:p>
    <w:p w14:paraId="3416C062" w14:textId="77777777" w:rsidR="00AC7598" w:rsidRPr="00D8166E" w:rsidRDefault="00AC7598" w:rsidP="00D8166E">
      <w:pPr>
        <w:tabs>
          <w:tab w:val="clear" w:pos="567"/>
        </w:tabs>
        <w:spacing w:line="240" w:lineRule="auto"/>
        <w:rPr>
          <w:rFonts w:eastAsia="MS Mincho"/>
          <w:lang w:val="lt-LT"/>
        </w:rPr>
      </w:pPr>
      <w:proofErr w:type="spellStart"/>
      <w:r w:rsidRPr="00D8166E">
        <w:rPr>
          <w:rFonts w:eastAsia="MS Mincho"/>
          <w:lang w:val="lt-LT"/>
        </w:rPr>
        <w:t>Pharmadox</w:t>
      </w:r>
      <w:proofErr w:type="spellEnd"/>
      <w:r w:rsidRPr="00D8166E">
        <w:rPr>
          <w:rFonts w:eastAsia="MS Mincho"/>
          <w:lang w:val="lt-LT"/>
        </w:rPr>
        <w:t xml:space="preserve"> </w:t>
      </w:r>
      <w:proofErr w:type="spellStart"/>
      <w:r w:rsidRPr="00D8166E">
        <w:rPr>
          <w:rFonts w:eastAsia="MS Mincho"/>
          <w:lang w:val="lt-LT"/>
        </w:rPr>
        <w:t>Healthcare</w:t>
      </w:r>
      <w:proofErr w:type="spellEnd"/>
      <w:r w:rsidRPr="00D8166E">
        <w:rPr>
          <w:rFonts w:eastAsia="MS Mincho"/>
          <w:lang w:val="lt-LT"/>
        </w:rPr>
        <w:t xml:space="preserve"> Ltd.</w:t>
      </w:r>
    </w:p>
    <w:p w14:paraId="67DF50DB" w14:textId="77777777" w:rsidR="00AC7598" w:rsidRPr="00D8166E" w:rsidRDefault="00AC7598" w:rsidP="00D8166E">
      <w:pPr>
        <w:tabs>
          <w:tab w:val="clear" w:pos="567"/>
        </w:tabs>
        <w:spacing w:line="240" w:lineRule="auto"/>
        <w:rPr>
          <w:rFonts w:eastAsia="MS Mincho"/>
          <w:lang w:val="lt-LT"/>
        </w:rPr>
      </w:pPr>
      <w:r w:rsidRPr="00D8166E">
        <w:rPr>
          <w:rFonts w:eastAsia="MS Mincho"/>
          <w:lang w:val="lt-LT"/>
        </w:rPr>
        <w:t xml:space="preserve">KW20A </w:t>
      </w:r>
      <w:proofErr w:type="spellStart"/>
      <w:r w:rsidRPr="00D8166E">
        <w:rPr>
          <w:rFonts w:eastAsia="MS Mincho"/>
          <w:lang w:val="lt-LT"/>
        </w:rPr>
        <w:t>Kordin</w:t>
      </w:r>
      <w:proofErr w:type="spellEnd"/>
      <w:r w:rsidRPr="00D8166E">
        <w:rPr>
          <w:rFonts w:eastAsia="MS Mincho"/>
          <w:lang w:val="lt-LT"/>
        </w:rPr>
        <w:t xml:space="preserve"> </w:t>
      </w:r>
      <w:proofErr w:type="spellStart"/>
      <w:r w:rsidRPr="00D8166E">
        <w:rPr>
          <w:rFonts w:eastAsia="MS Mincho"/>
          <w:lang w:val="lt-LT"/>
        </w:rPr>
        <w:t>Industrial</w:t>
      </w:r>
      <w:proofErr w:type="spellEnd"/>
      <w:r w:rsidRPr="00D8166E">
        <w:rPr>
          <w:rFonts w:eastAsia="MS Mincho"/>
          <w:lang w:val="lt-LT"/>
        </w:rPr>
        <w:t xml:space="preserve"> </w:t>
      </w:r>
      <w:proofErr w:type="spellStart"/>
      <w:r w:rsidRPr="00D8166E">
        <w:rPr>
          <w:rFonts w:eastAsia="MS Mincho"/>
          <w:lang w:val="lt-LT"/>
        </w:rPr>
        <w:t>Park</w:t>
      </w:r>
      <w:proofErr w:type="spellEnd"/>
    </w:p>
    <w:p w14:paraId="7D2DD8EA" w14:textId="77777777" w:rsidR="00AC7598" w:rsidRPr="00D8166E" w:rsidRDefault="00AC7598" w:rsidP="00D8166E">
      <w:pPr>
        <w:tabs>
          <w:tab w:val="clear" w:pos="567"/>
        </w:tabs>
        <w:spacing w:line="240" w:lineRule="auto"/>
        <w:rPr>
          <w:rFonts w:eastAsia="MS Mincho"/>
          <w:lang w:val="lt-LT"/>
        </w:rPr>
      </w:pPr>
      <w:proofErr w:type="spellStart"/>
      <w:r w:rsidRPr="00D8166E">
        <w:rPr>
          <w:rFonts w:eastAsia="MS Mincho"/>
          <w:lang w:val="lt-LT"/>
        </w:rPr>
        <w:t>Paola</w:t>
      </w:r>
      <w:proofErr w:type="spellEnd"/>
      <w:r w:rsidRPr="00D8166E">
        <w:rPr>
          <w:rFonts w:eastAsia="MS Mincho"/>
          <w:lang w:val="lt-LT"/>
        </w:rPr>
        <w:t>, PLA 3000</w:t>
      </w:r>
    </w:p>
    <w:p w14:paraId="62E796C5" w14:textId="77777777" w:rsidR="00AC7598" w:rsidRPr="00D8166E" w:rsidRDefault="00AC7598" w:rsidP="00D8166E">
      <w:pPr>
        <w:tabs>
          <w:tab w:val="clear" w:pos="567"/>
        </w:tabs>
        <w:spacing w:line="240" w:lineRule="auto"/>
        <w:rPr>
          <w:rFonts w:eastAsia="MS Mincho"/>
          <w:lang w:val="lt-LT"/>
        </w:rPr>
      </w:pPr>
      <w:r w:rsidRPr="00D8166E">
        <w:rPr>
          <w:rFonts w:eastAsia="MS Mincho"/>
          <w:lang w:val="lt-LT"/>
        </w:rPr>
        <w:t>Malta</w:t>
      </w:r>
    </w:p>
    <w:p w14:paraId="698FF6E1" w14:textId="77777777" w:rsidR="00F34163" w:rsidRPr="005F48B8" w:rsidRDefault="00F34163" w:rsidP="00D8166E">
      <w:pPr>
        <w:spacing w:line="240" w:lineRule="auto"/>
        <w:rPr>
          <w:szCs w:val="22"/>
          <w:lang w:val="lt-LT"/>
        </w:rPr>
      </w:pPr>
    </w:p>
    <w:p w14:paraId="52FF047B" w14:textId="77777777" w:rsidR="00F34163" w:rsidRPr="0061385E" w:rsidRDefault="001B45CC" w:rsidP="00D8166E">
      <w:pPr>
        <w:spacing w:line="240" w:lineRule="auto"/>
        <w:rPr>
          <w:noProof/>
          <w:szCs w:val="22"/>
          <w:lang w:val="lt-LT"/>
        </w:rPr>
      </w:pPr>
      <w:r w:rsidRPr="008612DF">
        <w:rPr>
          <w:noProof/>
          <w:szCs w:val="22"/>
          <w:lang w:val="lt-LT"/>
        </w:rPr>
        <w:t>Su pakuote pateikiamame lapelyje nuro</w:t>
      </w:r>
      <w:r w:rsidRPr="002A25EF">
        <w:rPr>
          <w:noProof/>
          <w:szCs w:val="22"/>
          <w:lang w:val="lt-LT"/>
        </w:rPr>
        <w:t>domas gamintojo, atsakingo už konkrečios serijos išleidimą, pavadinimas ir adresas</w:t>
      </w:r>
      <w:r w:rsidRPr="0061385E">
        <w:rPr>
          <w:noProof/>
          <w:szCs w:val="22"/>
          <w:lang w:val="lt-LT"/>
        </w:rPr>
        <w:t>.</w:t>
      </w:r>
    </w:p>
    <w:p w14:paraId="1C5BCE5C" w14:textId="77777777" w:rsidR="001B45CC" w:rsidRPr="009840AD" w:rsidRDefault="001B45CC" w:rsidP="00D8166E">
      <w:pPr>
        <w:spacing w:line="240" w:lineRule="auto"/>
        <w:rPr>
          <w:noProof/>
          <w:szCs w:val="22"/>
          <w:lang w:val="lt-LT"/>
        </w:rPr>
      </w:pPr>
    </w:p>
    <w:p w14:paraId="09085393" w14:textId="77777777" w:rsidR="001B45CC" w:rsidRPr="00F1014D" w:rsidRDefault="001B45CC" w:rsidP="00D8166E">
      <w:pPr>
        <w:spacing w:line="240" w:lineRule="auto"/>
        <w:rPr>
          <w:szCs w:val="22"/>
          <w:lang w:val="lt-LT"/>
        </w:rPr>
      </w:pPr>
    </w:p>
    <w:p w14:paraId="1F7AF211" w14:textId="77777777" w:rsidR="00F34163" w:rsidRPr="007203A0" w:rsidRDefault="00F34163" w:rsidP="00D8166E">
      <w:pPr>
        <w:spacing w:line="240" w:lineRule="auto"/>
        <w:ind w:left="567" w:hanging="567"/>
        <w:rPr>
          <w:szCs w:val="22"/>
          <w:lang w:val="lt-LT"/>
        </w:rPr>
      </w:pPr>
      <w:r w:rsidRPr="007203A0">
        <w:rPr>
          <w:b/>
          <w:noProof/>
          <w:szCs w:val="22"/>
          <w:lang w:val="lt-LT"/>
        </w:rPr>
        <w:t>B.</w:t>
      </w:r>
      <w:r w:rsidRPr="007203A0">
        <w:rPr>
          <w:b/>
          <w:szCs w:val="22"/>
          <w:lang w:val="lt-LT"/>
        </w:rPr>
        <w:tab/>
      </w:r>
      <w:r w:rsidRPr="007203A0">
        <w:rPr>
          <w:b/>
          <w:noProof/>
          <w:szCs w:val="22"/>
          <w:lang w:val="lt-LT"/>
        </w:rPr>
        <w:t>TIEKIMO IR VARTOJIMO SĄLYGOS AR APRIBOJIMAI</w:t>
      </w:r>
    </w:p>
    <w:p w14:paraId="4AA52A7A" w14:textId="77777777" w:rsidR="00F34163" w:rsidRPr="007203A0" w:rsidRDefault="00F34163" w:rsidP="00D8166E">
      <w:pPr>
        <w:spacing w:line="240" w:lineRule="auto"/>
        <w:rPr>
          <w:szCs w:val="22"/>
          <w:lang w:val="lt-LT"/>
        </w:rPr>
      </w:pPr>
    </w:p>
    <w:p w14:paraId="3D5B5BEB" w14:textId="77777777" w:rsidR="00F34163" w:rsidRPr="007203A0" w:rsidRDefault="00F34163" w:rsidP="00D8166E">
      <w:pPr>
        <w:spacing w:line="240" w:lineRule="auto"/>
        <w:rPr>
          <w:szCs w:val="22"/>
          <w:lang w:val="lt-LT"/>
        </w:rPr>
      </w:pPr>
      <w:r w:rsidRPr="007203A0">
        <w:rPr>
          <w:szCs w:val="22"/>
          <w:lang w:val="lt-LT"/>
        </w:rPr>
        <w:t>Receptinis vaistinis preparatas.</w:t>
      </w:r>
    </w:p>
    <w:p w14:paraId="74E218CA" w14:textId="77777777" w:rsidR="00F34163" w:rsidRPr="007203A0" w:rsidRDefault="00F34163" w:rsidP="00D8166E">
      <w:pPr>
        <w:numPr>
          <w:ilvl w:val="12"/>
          <w:numId w:val="0"/>
        </w:numPr>
        <w:spacing w:line="240" w:lineRule="auto"/>
        <w:rPr>
          <w:noProof/>
          <w:szCs w:val="22"/>
          <w:lang w:val="lt-LT"/>
        </w:rPr>
      </w:pPr>
    </w:p>
    <w:p w14:paraId="20DDF618" w14:textId="77777777" w:rsidR="00F34163" w:rsidRPr="007203A0" w:rsidRDefault="00F34163" w:rsidP="00D8166E">
      <w:pPr>
        <w:numPr>
          <w:ilvl w:val="12"/>
          <w:numId w:val="0"/>
        </w:numPr>
        <w:spacing w:line="240" w:lineRule="auto"/>
        <w:rPr>
          <w:noProof/>
          <w:szCs w:val="22"/>
          <w:lang w:val="lt-LT"/>
        </w:rPr>
      </w:pPr>
    </w:p>
    <w:p w14:paraId="7E36C22B" w14:textId="77777777" w:rsidR="00F34163" w:rsidRPr="007203A0" w:rsidRDefault="00F34163" w:rsidP="00D8166E">
      <w:pPr>
        <w:spacing w:line="240" w:lineRule="auto"/>
        <w:rPr>
          <w:b/>
          <w:szCs w:val="22"/>
          <w:lang w:val="lt-LT"/>
        </w:rPr>
      </w:pPr>
      <w:r w:rsidRPr="007203A0">
        <w:rPr>
          <w:b/>
          <w:szCs w:val="22"/>
          <w:lang w:val="lt-LT"/>
        </w:rPr>
        <w:t>C.</w:t>
      </w:r>
      <w:r w:rsidRPr="007203A0">
        <w:rPr>
          <w:b/>
          <w:szCs w:val="22"/>
          <w:lang w:val="lt-LT"/>
        </w:rPr>
        <w:tab/>
        <w:t xml:space="preserve">KITOS SĄLYGOS IR REIKALAVIMAI </w:t>
      </w:r>
      <w:r w:rsidR="00CE6EC2" w:rsidRPr="007203A0">
        <w:rPr>
          <w:b/>
          <w:szCs w:val="22"/>
          <w:lang w:val="lt-LT"/>
        </w:rPr>
        <w:t>REGISTRUOTOJUI</w:t>
      </w:r>
    </w:p>
    <w:p w14:paraId="15C3E874" w14:textId="77777777" w:rsidR="00F34163" w:rsidRPr="007203A0" w:rsidRDefault="00F34163" w:rsidP="00D8166E">
      <w:pPr>
        <w:spacing w:line="240" w:lineRule="auto"/>
        <w:ind w:right="-1"/>
        <w:rPr>
          <w:i/>
          <w:szCs w:val="22"/>
          <w:u w:val="single"/>
          <w:lang w:val="lt-LT"/>
        </w:rPr>
      </w:pPr>
    </w:p>
    <w:p w14:paraId="17B9754C" w14:textId="77777777" w:rsidR="00F34163" w:rsidRPr="007203A0" w:rsidRDefault="00F34163" w:rsidP="00D8166E">
      <w:pPr>
        <w:numPr>
          <w:ilvl w:val="0"/>
          <w:numId w:val="2"/>
        </w:numPr>
        <w:spacing w:line="240" w:lineRule="auto"/>
        <w:ind w:right="-1" w:hanging="720"/>
        <w:rPr>
          <w:b/>
          <w:szCs w:val="22"/>
          <w:lang w:val="lt-LT"/>
        </w:rPr>
      </w:pPr>
      <w:r w:rsidRPr="007203A0">
        <w:rPr>
          <w:b/>
          <w:szCs w:val="22"/>
          <w:lang w:val="lt-LT"/>
        </w:rPr>
        <w:t>Periodiškai atnaujinami saugumo protokolai (PASP)</w:t>
      </w:r>
    </w:p>
    <w:p w14:paraId="40D59F34" w14:textId="77777777" w:rsidR="00F34163" w:rsidRPr="007203A0" w:rsidRDefault="00F34163" w:rsidP="00D8166E">
      <w:pPr>
        <w:tabs>
          <w:tab w:val="left" w:pos="0"/>
        </w:tabs>
        <w:spacing w:line="240" w:lineRule="auto"/>
        <w:ind w:right="567"/>
        <w:rPr>
          <w:szCs w:val="22"/>
          <w:lang w:val="lt-LT"/>
        </w:rPr>
      </w:pPr>
    </w:p>
    <w:p w14:paraId="5E496960" w14:textId="77777777" w:rsidR="00F34163" w:rsidRPr="007203A0" w:rsidRDefault="00F34163" w:rsidP="00D8166E">
      <w:pPr>
        <w:tabs>
          <w:tab w:val="left" w:pos="0"/>
        </w:tabs>
        <w:spacing w:line="240" w:lineRule="auto"/>
        <w:ind w:right="567"/>
        <w:rPr>
          <w:i/>
          <w:color w:val="339966"/>
          <w:szCs w:val="22"/>
          <w:lang w:val="lt-LT"/>
        </w:rPr>
      </w:pPr>
    </w:p>
    <w:p w14:paraId="415C7FC3" w14:textId="77777777" w:rsidR="00F34163" w:rsidRPr="007203A0" w:rsidRDefault="00F34163" w:rsidP="00D8166E">
      <w:pPr>
        <w:tabs>
          <w:tab w:val="left" w:pos="0"/>
        </w:tabs>
        <w:spacing w:line="240" w:lineRule="auto"/>
        <w:rPr>
          <w:i/>
          <w:szCs w:val="22"/>
          <w:lang w:val="lt-LT"/>
        </w:rPr>
      </w:pPr>
      <w:r w:rsidRPr="007203A0">
        <w:rPr>
          <w:noProof/>
          <w:szCs w:val="22"/>
          <w:lang w:val="lt-LT"/>
        </w:rPr>
        <w:t>R</w:t>
      </w:r>
      <w:r w:rsidR="00CE6EC2" w:rsidRPr="007203A0">
        <w:rPr>
          <w:noProof/>
          <w:szCs w:val="22"/>
          <w:lang w:val="lt-LT"/>
        </w:rPr>
        <w:t xml:space="preserve">egistruotojas </w:t>
      </w:r>
      <w:r w:rsidRPr="007203A0">
        <w:rPr>
          <w:noProof/>
          <w:szCs w:val="22"/>
          <w:lang w:val="lt-LT"/>
        </w:rPr>
        <w:t xml:space="preserve">šio vaistinio preparato periodiškai atnaujinamus saugumo protokolus teikia remdamasis Direktyvos 2001/83/EB 107c straipsnio 7 dalyje numatytame Sąjungos </w:t>
      </w:r>
      <w:r w:rsidRPr="007203A0">
        <w:rPr>
          <w:szCs w:val="22"/>
          <w:lang w:val="lt-LT"/>
        </w:rPr>
        <w:t xml:space="preserve">referencinių </w:t>
      </w:r>
      <w:r w:rsidRPr="007203A0">
        <w:rPr>
          <w:noProof/>
          <w:szCs w:val="22"/>
          <w:lang w:val="lt-LT"/>
        </w:rPr>
        <w:t>datų sąraše (</w:t>
      </w:r>
      <w:r w:rsidRPr="007203A0">
        <w:rPr>
          <w:i/>
          <w:noProof/>
          <w:szCs w:val="22"/>
          <w:lang w:val="lt-LT"/>
        </w:rPr>
        <w:t>EURD</w:t>
      </w:r>
      <w:r w:rsidRPr="007203A0">
        <w:rPr>
          <w:noProof/>
          <w:szCs w:val="22"/>
          <w:lang w:val="lt-LT"/>
        </w:rPr>
        <w:t xml:space="preserve"> sąraše), kuris skelbiamas Europos vaistų </w:t>
      </w:r>
      <w:r w:rsidRPr="007203A0">
        <w:rPr>
          <w:szCs w:val="22"/>
          <w:lang w:val="lt-LT"/>
        </w:rPr>
        <w:t>tinklalapyje</w:t>
      </w:r>
      <w:r w:rsidRPr="007203A0">
        <w:rPr>
          <w:noProof/>
          <w:szCs w:val="22"/>
          <w:lang w:val="lt-LT"/>
        </w:rPr>
        <w:t>, nustatytais reikalavimais.</w:t>
      </w:r>
    </w:p>
    <w:p w14:paraId="149E274C" w14:textId="77777777" w:rsidR="00F34163" w:rsidRPr="007203A0" w:rsidRDefault="00F34163" w:rsidP="00D8166E">
      <w:pPr>
        <w:tabs>
          <w:tab w:val="left" w:pos="0"/>
        </w:tabs>
        <w:spacing w:line="240" w:lineRule="auto"/>
        <w:ind w:right="567"/>
        <w:rPr>
          <w:i/>
          <w:szCs w:val="22"/>
          <w:lang w:val="lt-LT"/>
        </w:rPr>
      </w:pPr>
    </w:p>
    <w:p w14:paraId="12563EB7" w14:textId="77777777" w:rsidR="00F34163" w:rsidRPr="007203A0" w:rsidRDefault="00F34163" w:rsidP="00D8166E">
      <w:pPr>
        <w:spacing w:line="240" w:lineRule="auto"/>
        <w:ind w:right="-1"/>
        <w:rPr>
          <w:i/>
          <w:noProof/>
          <w:szCs w:val="22"/>
          <w:u w:val="single"/>
          <w:lang w:val="lt-LT"/>
        </w:rPr>
      </w:pPr>
    </w:p>
    <w:p w14:paraId="11B0BD7D" w14:textId="77777777" w:rsidR="00F34163" w:rsidRPr="007203A0" w:rsidRDefault="00F34163" w:rsidP="00D8166E">
      <w:pPr>
        <w:spacing w:line="240" w:lineRule="auto"/>
        <w:ind w:right="-1"/>
        <w:rPr>
          <w:i/>
          <w:noProof/>
          <w:szCs w:val="22"/>
          <w:u w:val="single"/>
          <w:lang w:val="lt-LT"/>
        </w:rPr>
      </w:pPr>
    </w:p>
    <w:p w14:paraId="44621111" w14:textId="77777777" w:rsidR="00F34163" w:rsidRPr="007203A0" w:rsidRDefault="00F34163" w:rsidP="00D8166E">
      <w:pPr>
        <w:spacing w:line="240" w:lineRule="auto"/>
        <w:ind w:left="567" w:hanging="567"/>
        <w:rPr>
          <w:b/>
          <w:szCs w:val="22"/>
          <w:lang w:val="lt-LT"/>
        </w:rPr>
      </w:pPr>
      <w:r w:rsidRPr="007203A0">
        <w:rPr>
          <w:b/>
          <w:noProof/>
          <w:szCs w:val="22"/>
          <w:lang w:val="lt-LT"/>
        </w:rPr>
        <w:t>D.</w:t>
      </w:r>
      <w:r w:rsidRPr="007203A0">
        <w:rPr>
          <w:b/>
          <w:szCs w:val="22"/>
          <w:lang w:val="lt-LT"/>
        </w:rPr>
        <w:tab/>
      </w:r>
      <w:r w:rsidRPr="007203A0">
        <w:rPr>
          <w:b/>
          <w:noProof/>
          <w:szCs w:val="22"/>
          <w:lang w:val="lt-LT"/>
        </w:rPr>
        <w:t>SĄLYGOS AR APRIBOJIMAI, SKIRTI SAUGIAM IR VEIKSMINGAM VAISTINIO PREPARATO VARTOJIMUI UŽTIKRINTI</w:t>
      </w:r>
    </w:p>
    <w:p w14:paraId="01359CE9" w14:textId="77777777" w:rsidR="00F34163" w:rsidRPr="007203A0" w:rsidRDefault="00F34163" w:rsidP="00D8166E">
      <w:pPr>
        <w:spacing w:line="240" w:lineRule="auto"/>
        <w:ind w:right="-1"/>
        <w:rPr>
          <w:i/>
          <w:noProof/>
          <w:szCs w:val="22"/>
          <w:u w:val="single"/>
          <w:lang w:val="lt-LT"/>
        </w:rPr>
      </w:pPr>
    </w:p>
    <w:p w14:paraId="00D1410F" w14:textId="77777777" w:rsidR="00F34163" w:rsidRPr="007203A0" w:rsidRDefault="00F34163" w:rsidP="00D8166E">
      <w:pPr>
        <w:numPr>
          <w:ilvl w:val="0"/>
          <w:numId w:val="2"/>
        </w:numPr>
        <w:spacing w:line="240" w:lineRule="auto"/>
        <w:ind w:right="-1" w:hanging="720"/>
        <w:rPr>
          <w:b/>
          <w:szCs w:val="22"/>
          <w:lang w:val="lt-LT"/>
        </w:rPr>
      </w:pPr>
      <w:r w:rsidRPr="007203A0">
        <w:rPr>
          <w:b/>
          <w:szCs w:val="22"/>
          <w:lang w:val="lt-LT"/>
        </w:rPr>
        <w:t>Rizikos valdymo planas (RVP)</w:t>
      </w:r>
    </w:p>
    <w:p w14:paraId="76B98895" w14:textId="77777777" w:rsidR="00F34163" w:rsidRPr="007203A0" w:rsidRDefault="00F34163" w:rsidP="00D8166E">
      <w:pPr>
        <w:spacing w:line="240" w:lineRule="auto"/>
        <w:ind w:left="720" w:right="-1"/>
        <w:rPr>
          <w:b/>
          <w:szCs w:val="22"/>
          <w:lang w:val="lt-LT"/>
        </w:rPr>
      </w:pPr>
    </w:p>
    <w:p w14:paraId="46B9A0F1" w14:textId="77777777" w:rsidR="00F34163" w:rsidRPr="007203A0" w:rsidRDefault="00CE6EC2" w:rsidP="00D8166E">
      <w:pPr>
        <w:tabs>
          <w:tab w:val="left" w:pos="0"/>
        </w:tabs>
        <w:spacing w:line="240" w:lineRule="auto"/>
        <w:rPr>
          <w:szCs w:val="22"/>
          <w:lang w:val="lt-LT"/>
        </w:rPr>
      </w:pPr>
      <w:r w:rsidRPr="007203A0">
        <w:rPr>
          <w:szCs w:val="22"/>
          <w:lang w:val="lt-LT"/>
        </w:rPr>
        <w:t>Registruotojas</w:t>
      </w:r>
      <w:r w:rsidR="00F34163" w:rsidRPr="007203A0">
        <w:rPr>
          <w:szCs w:val="22"/>
          <w:lang w:val="lt-LT"/>
        </w:rPr>
        <w:t xml:space="preserve"> atlieka reikalaujamą farmakologinio budrumo veiklą ir veiksmus, kurie išsamiai aprašyti </w:t>
      </w:r>
      <w:r w:rsidRPr="007203A0">
        <w:rPr>
          <w:szCs w:val="22"/>
          <w:lang w:val="lt-LT"/>
        </w:rPr>
        <w:t xml:space="preserve"> registracijos</w:t>
      </w:r>
      <w:r w:rsidR="00F34163" w:rsidRPr="007203A0">
        <w:rPr>
          <w:szCs w:val="22"/>
          <w:lang w:val="lt-LT"/>
        </w:rPr>
        <w:t xml:space="preserve"> bylos 1.8.2 modulyje pateiktame RVP ir suderintose tolesnėse jo versijose.</w:t>
      </w:r>
    </w:p>
    <w:p w14:paraId="5A6022ED" w14:textId="77777777" w:rsidR="00F34163" w:rsidRPr="007203A0" w:rsidRDefault="00F34163" w:rsidP="00D8166E">
      <w:pPr>
        <w:spacing w:line="240" w:lineRule="auto"/>
        <w:rPr>
          <w:color w:val="008000"/>
          <w:szCs w:val="22"/>
          <w:lang w:val="lt-LT"/>
        </w:rPr>
      </w:pPr>
    </w:p>
    <w:p w14:paraId="3528D516" w14:textId="77777777" w:rsidR="00F34163" w:rsidRPr="007203A0" w:rsidRDefault="00F34163" w:rsidP="00D8166E">
      <w:pPr>
        <w:spacing w:line="240" w:lineRule="auto"/>
        <w:ind w:right="-1"/>
        <w:rPr>
          <w:i/>
          <w:szCs w:val="22"/>
          <w:lang w:val="lt-LT"/>
        </w:rPr>
      </w:pPr>
      <w:r w:rsidRPr="007203A0">
        <w:rPr>
          <w:szCs w:val="22"/>
          <w:lang w:val="lt-LT"/>
        </w:rPr>
        <w:t>Atnaujintas rizikos valdymo planas turi būti pateiktas:</w:t>
      </w:r>
    </w:p>
    <w:p w14:paraId="7A83718C" w14:textId="77777777" w:rsidR="00F34163" w:rsidRPr="007203A0" w:rsidRDefault="00F34163" w:rsidP="00D8166E">
      <w:pPr>
        <w:numPr>
          <w:ilvl w:val="0"/>
          <w:numId w:val="1"/>
        </w:numPr>
        <w:spacing w:line="240" w:lineRule="auto"/>
        <w:ind w:right="-1"/>
        <w:rPr>
          <w:i/>
          <w:noProof/>
          <w:szCs w:val="22"/>
          <w:lang w:val="lt-LT"/>
        </w:rPr>
      </w:pPr>
      <w:r w:rsidRPr="007203A0">
        <w:rPr>
          <w:szCs w:val="22"/>
          <w:lang w:val="lt-LT"/>
        </w:rPr>
        <w:t>pareikalavus Valstybinei vaistų kontrolės tarnybai prie Lietuvos</w:t>
      </w:r>
      <w:r w:rsidR="00CE6EC2" w:rsidRPr="007203A0">
        <w:rPr>
          <w:szCs w:val="22"/>
          <w:lang w:val="lt-LT"/>
        </w:rPr>
        <w:t xml:space="preserve"> Respublikos sveikatos apsaugos </w:t>
      </w:r>
      <w:r w:rsidRPr="007203A0">
        <w:rPr>
          <w:szCs w:val="22"/>
          <w:lang w:val="lt-LT"/>
        </w:rPr>
        <w:t>ministerijos</w:t>
      </w:r>
      <w:r w:rsidRPr="007203A0">
        <w:rPr>
          <w:i/>
          <w:noProof/>
          <w:szCs w:val="22"/>
          <w:lang w:val="lt-LT"/>
        </w:rPr>
        <w:t>;</w:t>
      </w:r>
    </w:p>
    <w:p w14:paraId="1FA80FC8" w14:textId="77777777" w:rsidR="00F34163" w:rsidRPr="007203A0" w:rsidRDefault="00F34163" w:rsidP="00D8166E">
      <w:pPr>
        <w:numPr>
          <w:ilvl w:val="0"/>
          <w:numId w:val="1"/>
        </w:numPr>
        <w:tabs>
          <w:tab w:val="clear" w:pos="567"/>
          <w:tab w:val="clear" w:pos="720"/>
        </w:tabs>
        <w:spacing w:line="240" w:lineRule="auto"/>
        <w:ind w:left="567" w:right="-1" w:hanging="207"/>
        <w:rPr>
          <w:szCs w:val="22"/>
          <w:lang w:val="lt-LT"/>
        </w:rPr>
      </w:pPr>
      <w:r w:rsidRPr="007203A0">
        <w:rPr>
          <w:szCs w:val="22"/>
          <w:lang w:val="lt-LT"/>
        </w:rPr>
        <w:t>kai keičiama rizikos valdymo sistema, ypač gavus naujos informacijos, kuri gali lemti didelį naudos ir rizikos santykio pokytį arba pasiekus svarbų (farmakologinio budrumo ar rizikos mažinimo) etapą.</w:t>
      </w:r>
    </w:p>
    <w:p w14:paraId="0D723251" w14:textId="77777777" w:rsidR="00F34163" w:rsidRPr="007203A0" w:rsidRDefault="00F34163" w:rsidP="00D8166E">
      <w:pPr>
        <w:spacing w:line="240" w:lineRule="auto"/>
        <w:ind w:right="-1"/>
        <w:rPr>
          <w:noProof/>
          <w:szCs w:val="22"/>
          <w:lang w:val="lt-LT"/>
        </w:rPr>
      </w:pPr>
    </w:p>
    <w:p w14:paraId="71010BEA" w14:textId="77777777" w:rsidR="00F34163" w:rsidRPr="007203A0" w:rsidRDefault="00F34163" w:rsidP="00D8166E">
      <w:pPr>
        <w:spacing w:line="240" w:lineRule="auto"/>
        <w:ind w:right="-1"/>
        <w:rPr>
          <w:szCs w:val="22"/>
          <w:lang w:val="lt-LT"/>
        </w:rPr>
      </w:pPr>
      <w:r w:rsidRPr="007203A0">
        <w:rPr>
          <w:szCs w:val="22"/>
          <w:lang w:val="lt-LT"/>
        </w:rPr>
        <w:t>Jei sutampa PASP ir atnaujinto RVP teikimo datos, jie gali būti pateikiami kartu.</w:t>
      </w:r>
    </w:p>
    <w:p w14:paraId="5032FC94" w14:textId="77777777" w:rsidR="00F34163" w:rsidRPr="007203A0" w:rsidRDefault="00F34163" w:rsidP="00D8166E">
      <w:pPr>
        <w:spacing w:line="240" w:lineRule="auto"/>
        <w:ind w:right="-1"/>
        <w:rPr>
          <w:szCs w:val="22"/>
          <w:lang w:val="lt-LT"/>
        </w:rPr>
      </w:pPr>
    </w:p>
    <w:p w14:paraId="4F109B3F" w14:textId="77777777" w:rsidR="00F34163" w:rsidRPr="007203A0" w:rsidRDefault="00F34163" w:rsidP="00D8166E">
      <w:pPr>
        <w:spacing w:line="240" w:lineRule="auto"/>
        <w:ind w:right="-1"/>
        <w:rPr>
          <w:szCs w:val="22"/>
          <w:lang w:val="lt-LT"/>
        </w:rPr>
      </w:pPr>
      <w:r w:rsidRPr="007203A0">
        <w:rPr>
          <w:szCs w:val="22"/>
          <w:lang w:val="lt-LT"/>
        </w:rPr>
        <w:t>Atnaujintas RVP teikiamas iki {Valstybinės vaistų kontrolės tarnybos prie Lietuvos Respublikos sveikatos apsaugos ministerijos nustatytas laikotarpis}.</w:t>
      </w:r>
    </w:p>
    <w:p w14:paraId="4B20A5CA" w14:textId="77777777" w:rsidR="00F34163" w:rsidRPr="00D8166E" w:rsidRDefault="00D8166E" w:rsidP="00D8166E">
      <w:pPr>
        <w:pStyle w:val="Paprastasistekstas"/>
        <w:tabs>
          <w:tab w:val="left" w:pos="4962"/>
        </w:tabs>
        <w:rPr>
          <w:rFonts w:ascii="Times New Roman" w:hAnsi="Times New Roman"/>
          <w:color w:val="008000"/>
          <w:sz w:val="22"/>
          <w:lang w:val="lt-LT"/>
        </w:rPr>
      </w:pPr>
      <w:r>
        <w:rPr>
          <w:rFonts w:ascii="Times New Roman" w:hAnsi="Times New Roman"/>
          <w:b/>
          <w:sz w:val="22"/>
          <w:lang w:val="lt-LT"/>
        </w:rPr>
        <w:br w:type="page"/>
      </w:r>
    </w:p>
    <w:p w14:paraId="3E85116C" w14:textId="77777777" w:rsidR="00F34163" w:rsidRPr="005F48B8" w:rsidRDefault="00F34163" w:rsidP="00D8166E">
      <w:pPr>
        <w:ind w:right="566"/>
        <w:rPr>
          <w:noProof/>
          <w:szCs w:val="22"/>
          <w:lang w:val="lt-LT"/>
        </w:rPr>
      </w:pPr>
    </w:p>
    <w:p w14:paraId="11FA2A50" w14:textId="77777777" w:rsidR="00F34163" w:rsidRPr="008612DF" w:rsidRDefault="00F34163" w:rsidP="00D8166E">
      <w:pPr>
        <w:rPr>
          <w:szCs w:val="22"/>
          <w:lang w:val="lt-LT"/>
        </w:rPr>
      </w:pPr>
    </w:p>
    <w:p w14:paraId="4535FCE1" w14:textId="77777777" w:rsidR="00F34163" w:rsidRPr="002A25EF" w:rsidRDefault="00F34163" w:rsidP="00D8166E">
      <w:pPr>
        <w:rPr>
          <w:szCs w:val="22"/>
          <w:lang w:val="lt-LT"/>
        </w:rPr>
      </w:pPr>
    </w:p>
    <w:p w14:paraId="433317F5" w14:textId="77777777" w:rsidR="00F34163" w:rsidRPr="0061385E" w:rsidRDefault="00F34163" w:rsidP="00D8166E">
      <w:pPr>
        <w:rPr>
          <w:szCs w:val="22"/>
          <w:lang w:val="lt-LT"/>
        </w:rPr>
      </w:pPr>
    </w:p>
    <w:p w14:paraId="1A2AF224" w14:textId="77777777" w:rsidR="00F34163" w:rsidRPr="009840AD" w:rsidRDefault="00F34163" w:rsidP="00D8166E">
      <w:pPr>
        <w:rPr>
          <w:szCs w:val="22"/>
          <w:lang w:val="lt-LT"/>
        </w:rPr>
      </w:pPr>
    </w:p>
    <w:p w14:paraId="7C980446" w14:textId="77777777" w:rsidR="00F34163" w:rsidRPr="00F1014D" w:rsidRDefault="00F34163" w:rsidP="00D8166E">
      <w:pPr>
        <w:rPr>
          <w:szCs w:val="22"/>
          <w:lang w:val="lt-LT"/>
        </w:rPr>
      </w:pPr>
    </w:p>
    <w:p w14:paraId="6EE8F048" w14:textId="77777777" w:rsidR="00F34163" w:rsidRPr="007203A0" w:rsidRDefault="00F34163" w:rsidP="00D8166E">
      <w:pPr>
        <w:rPr>
          <w:szCs w:val="22"/>
          <w:lang w:val="lt-LT"/>
        </w:rPr>
      </w:pPr>
    </w:p>
    <w:p w14:paraId="7956E7EC" w14:textId="77777777" w:rsidR="00F34163" w:rsidRPr="007203A0" w:rsidRDefault="00F34163" w:rsidP="00D8166E">
      <w:pPr>
        <w:rPr>
          <w:szCs w:val="22"/>
          <w:lang w:val="lt-LT"/>
        </w:rPr>
      </w:pPr>
    </w:p>
    <w:p w14:paraId="160C4CFC" w14:textId="77777777" w:rsidR="00F34163" w:rsidRPr="007203A0" w:rsidRDefault="00F34163" w:rsidP="00D8166E">
      <w:pPr>
        <w:rPr>
          <w:szCs w:val="22"/>
          <w:lang w:val="lt-LT"/>
        </w:rPr>
      </w:pPr>
    </w:p>
    <w:p w14:paraId="70F229F3" w14:textId="77777777" w:rsidR="00F34163" w:rsidRPr="007203A0" w:rsidRDefault="00F34163" w:rsidP="00D8166E">
      <w:pPr>
        <w:rPr>
          <w:szCs w:val="22"/>
          <w:lang w:val="lt-LT"/>
        </w:rPr>
      </w:pPr>
    </w:p>
    <w:p w14:paraId="15403748" w14:textId="77777777" w:rsidR="00F34163" w:rsidRPr="007203A0" w:rsidRDefault="00F34163" w:rsidP="00D8166E">
      <w:pPr>
        <w:rPr>
          <w:szCs w:val="22"/>
          <w:lang w:val="lt-LT"/>
        </w:rPr>
      </w:pPr>
    </w:p>
    <w:p w14:paraId="5B957D20" w14:textId="77777777" w:rsidR="00F34163" w:rsidRPr="007203A0" w:rsidRDefault="00F34163" w:rsidP="00D8166E">
      <w:pPr>
        <w:rPr>
          <w:szCs w:val="22"/>
          <w:lang w:val="lt-LT"/>
        </w:rPr>
      </w:pPr>
    </w:p>
    <w:p w14:paraId="10EE28C4" w14:textId="77777777" w:rsidR="00F34163" w:rsidRPr="007203A0" w:rsidRDefault="00F34163" w:rsidP="00D8166E">
      <w:pPr>
        <w:rPr>
          <w:szCs w:val="22"/>
          <w:lang w:val="lt-LT"/>
        </w:rPr>
      </w:pPr>
    </w:p>
    <w:p w14:paraId="1B9EAF83" w14:textId="77777777" w:rsidR="00F34163" w:rsidRPr="007203A0" w:rsidRDefault="00F34163" w:rsidP="00D8166E">
      <w:pPr>
        <w:rPr>
          <w:szCs w:val="22"/>
          <w:lang w:val="lt-LT"/>
        </w:rPr>
      </w:pPr>
    </w:p>
    <w:p w14:paraId="31BFF2EE" w14:textId="77777777" w:rsidR="00F34163" w:rsidRPr="007203A0" w:rsidRDefault="00F34163" w:rsidP="00D8166E">
      <w:pPr>
        <w:rPr>
          <w:szCs w:val="22"/>
          <w:lang w:val="lt-LT"/>
        </w:rPr>
      </w:pPr>
    </w:p>
    <w:p w14:paraId="2BD77319" w14:textId="77777777" w:rsidR="00F34163" w:rsidRPr="007203A0" w:rsidRDefault="00F34163" w:rsidP="00D8166E">
      <w:pPr>
        <w:rPr>
          <w:szCs w:val="22"/>
          <w:lang w:val="lt-LT"/>
        </w:rPr>
      </w:pPr>
    </w:p>
    <w:p w14:paraId="0367495F" w14:textId="77777777" w:rsidR="00F34163" w:rsidRPr="007203A0" w:rsidRDefault="00F34163" w:rsidP="00D8166E">
      <w:pPr>
        <w:rPr>
          <w:szCs w:val="22"/>
          <w:lang w:val="lt-LT"/>
        </w:rPr>
      </w:pPr>
    </w:p>
    <w:p w14:paraId="2C767956" w14:textId="77777777" w:rsidR="00A67E3B" w:rsidRPr="005F48B8" w:rsidRDefault="00A67E3B" w:rsidP="00D8166E">
      <w:pPr>
        <w:rPr>
          <w:szCs w:val="22"/>
          <w:lang w:val="lt-LT" w:eastAsia="x-none"/>
        </w:rPr>
      </w:pPr>
    </w:p>
    <w:p w14:paraId="58199814" w14:textId="77777777" w:rsidR="00A67E3B" w:rsidRPr="008612DF" w:rsidRDefault="00A67E3B" w:rsidP="00D8166E">
      <w:pPr>
        <w:rPr>
          <w:szCs w:val="22"/>
          <w:lang w:val="lt-LT" w:eastAsia="x-none"/>
        </w:rPr>
      </w:pPr>
    </w:p>
    <w:p w14:paraId="68EC2E2D" w14:textId="77777777" w:rsidR="00A67E3B" w:rsidRPr="002A25EF" w:rsidRDefault="00A67E3B" w:rsidP="00D8166E">
      <w:pPr>
        <w:rPr>
          <w:szCs w:val="22"/>
          <w:lang w:val="lt-LT" w:eastAsia="x-none"/>
        </w:rPr>
      </w:pPr>
    </w:p>
    <w:p w14:paraId="47B4584D" w14:textId="77777777" w:rsidR="00A67E3B" w:rsidRPr="0061385E" w:rsidRDefault="00A67E3B" w:rsidP="00D8166E">
      <w:pPr>
        <w:rPr>
          <w:szCs w:val="22"/>
          <w:lang w:val="lt-LT" w:eastAsia="x-none"/>
        </w:rPr>
      </w:pPr>
    </w:p>
    <w:p w14:paraId="6CAC67A6" w14:textId="77777777" w:rsidR="00F34163" w:rsidRPr="00F1014D" w:rsidRDefault="00F34163" w:rsidP="00D8166E">
      <w:pPr>
        <w:pStyle w:val="Antrat2"/>
        <w:spacing w:before="0" w:after="0" w:line="240" w:lineRule="auto"/>
        <w:jc w:val="center"/>
        <w:rPr>
          <w:rFonts w:ascii="Times New Roman" w:hAnsi="Times New Roman"/>
          <w:bCs w:val="0"/>
          <w:i w:val="0"/>
          <w:iCs w:val="0"/>
          <w:sz w:val="22"/>
          <w:szCs w:val="22"/>
          <w:lang w:val="lt-LT"/>
        </w:rPr>
      </w:pPr>
      <w:r w:rsidRPr="00F1014D">
        <w:rPr>
          <w:rFonts w:ascii="Times New Roman" w:hAnsi="Times New Roman"/>
          <w:i w:val="0"/>
          <w:sz w:val="22"/>
          <w:szCs w:val="22"/>
          <w:lang w:val="lt-LT"/>
        </w:rPr>
        <w:t>III PRIEDAS</w:t>
      </w:r>
    </w:p>
    <w:p w14:paraId="2D1137CD" w14:textId="77777777" w:rsidR="00F34163" w:rsidRPr="007203A0" w:rsidRDefault="00F34163" w:rsidP="00D8166E">
      <w:pPr>
        <w:rPr>
          <w:szCs w:val="22"/>
          <w:lang w:val="lt-LT"/>
        </w:rPr>
      </w:pPr>
    </w:p>
    <w:p w14:paraId="08968DEA" w14:textId="77777777" w:rsidR="00F34163" w:rsidRPr="007203A0" w:rsidRDefault="00F34163" w:rsidP="00D8166E">
      <w:pPr>
        <w:pStyle w:val="Antrat2"/>
        <w:spacing w:before="0" w:after="0" w:line="240" w:lineRule="auto"/>
        <w:jc w:val="center"/>
        <w:rPr>
          <w:rFonts w:ascii="Times New Roman" w:hAnsi="Times New Roman"/>
          <w:bCs w:val="0"/>
          <w:i w:val="0"/>
          <w:iCs w:val="0"/>
          <w:sz w:val="22"/>
          <w:szCs w:val="22"/>
          <w:lang w:val="lt-LT"/>
        </w:rPr>
      </w:pPr>
      <w:r w:rsidRPr="007203A0">
        <w:rPr>
          <w:rFonts w:ascii="Times New Roman" w:hAnsi="Times New Roman"/>
          <w:i w:val="0"/>
          <w:sz w:val="22"/>
          <w:szCs w:val="22"/>
          <w:lang w:val="lt-LT"/>
        </w:rPr>
        <w:t>ŽENKLINIMAS IR PAKUOTĖS LAPELIS</w:t>
      </w:r>
    </w:p>
    <w:p w14:paraId="12CF06B4" w14:textId="77777777" w:rsidR="00F34163" w:rsidRPr="007203A0" w:rsidRDefault="00F34163" w:rsidP="00D8166E">
      <w:pPr>
        <w:rPr>
          <w:szCs w:val="22"/>
          <w:lang w:val="lt-LT"/>
        </w:rPr>
      </w:pPr>
      <w:r w:rsidRPr="007203A0">
        <w:rPr>
          <w:szCs w:val="22"/>
          <w:lang w:val="lt-LT"/>
        </w:rPr>
        <w:br w:type="page"/>
      </w:r>
    </w:p>
    <w:p w14:paraId="2B40DFD0" w14:textId="77777777" w:rsidR="00F34163" w:rsidRPr="007203A0" w:rsidRDefault="00F34163" w:rsidP="00D8166E">
      <w:pPr>
        <w:rPr>
          <w:szCs w:val="22"/>
          <w:lang w:val="lt-LT"/>
        </w:rPr>
      </w:pPr>
    </w:p>
    <w:p w14:paraId="72D6FFC8" w14:textId="77777777" w:rsidR="00F34163" w:rsidRPr="007203A0" w:rsidRDefault="00F34163" w:rsidP="00D8166E">
      <w:pPr>
        <w:rPr>
          <w:szCs w:val="22"/>
          <w:lang w:val="lt-LT"/>
        </w:rPr>
      </w:pPr>
    </w:p>
    <w:p w14:paraId="3D1F97F6" w14:textId="77777777" w:rsidR="00F34163" w:rsidRPr="007203A0" w:rsidRDefault="00F34163" w:rsidP="00D8166E">
      <w:pPr>
        <w:rPr>
          <w:szCs w:val="22"/>
          <w:lang w:val="lt-LT"/>
        </w:rPr>
      </w:pPr>
    </w:p>
    <w:p w14:paraId="00159F66" w14:textId="77777777" w:rsidR="00F34163" w:rsidRPr="007203A0" w:rsidRDefault="00F34163" w:rsidP="00D8166E">
      <w:pPr>
        <w:rPr>
          <w:szCs w:val="22"/>
          <w:lang w:val="lt-LT"/>
        </w:rPr>
      </w:pPr>
    </w:p>
    <w:p w14:paraId="5890B62A" w14:textId="77777777" w:rsidR="00F34163" w:rsidRPr="007203A0" w:rsidRDefault="00F34163" w:rsidP="00D8166E">
      <w:pPr>
        <w:rPr>
          <w:szCs w:val="22"/>
          <w:lang w:val="lt-LT"/>
        </w:rPr>
      </w:pPr>
    </w:p>
    <w:p w14:paraId="42A9463F" w14:textId="77777777" w:rsidR="00F34163" w:rsidRPr="007203A0" w:rsidRDefault="00F34163" w:rsidP="00D8166E">
      <w:pPr>
        <w:rPr>
          <w:szCs w:val="22"/>
          <w:lang w:val="lt-LT"/>
        </w:rPr>
      </w:pPr>
    </w:p>
    <w:p w14:paraId="72F8AFF5" w14:textId="77777777" w:rsidR="00F34163" w:rsidRPr="007203A0" w:rsidRDefault="00F34163" w:rsidP="00D8166E">
      <w:pPr>
        <w:rPr>
          <w:szCs w:val="22"/>
          <w:lang w:val="lt-LT"/>
        </w:rPr>
      </w:pPr>
    </w:p>
    <w:p w14:paraId="4983385F" w14:textId="77777777" w:rsidR="00F34163" w:rsidRPr="007203A0" w:rsidRDefault="00F34163" w:rsidP="00D8166E">
      <w:pPr>
        <w:rPr>
          <w:szCs w:val="22"/>
          <w:lang w:val="lt-LT"/>
        </w:rPr>
      </w:pPr>
    </w:p>
    <w:p w14:paraId="4A1683C8" w14:textId="77777777" w:rsidR="00F34163" w:rsidRPr="007203A0" w:rsidRDefault="00F34163" w:rsidP="00D8166E">
      <w:pPr>
        <w:rPr>
          <w:szCs w:val="22"/>
          <w:lang w:val="lt-LT"/>
        </w:rPr>
      </w:pPr>
    </w:p>
    <w:p w14:paraId="5CCA5F61" w14:textId="77777777" w:rsidR="00F34163" w:rsidRPr="007203A0" w:rsidRDefault="00F34163" w:rsidP="00D8166E">
      <w:pPr>
        <w:rPr>
          <w:szCs w:val="22"/>
          <w:lang w:val="lt-LT"/>
        </w:rPr>
      </w:pPr>
    </w:p>
    <w:p w14:paraId="5AB9F044" w14:textId="77777777" w:rsidR="00F34163" w:rsidRPr="007203A0" w:rsidRDefault="00F34163" w:rsidP="00D8166E">
      <w:pPr>
        <w:rPr>
          <w:szCs w:val="22"/>
          <w:lang w:val="lt-LT"/>
        </w:rPr>
      </w:pPr>
    </w:p>
    <w:p w14:paraId="2A434D5A" w14:textId="77777777" w:rsidR="00F34163" w:rsidRPr="007203A0" w:rsidRDefault="00F34163" w:rsidP="00D8166E">
      <w:pPr>
        <w:rPr>
          <w:szCs w:val="22"/>
          <w:lang w:val="lt-LT"/>
        </w:rPr>
      </w:pPr>
    </w:p>
    <w:p w14:paraId="72FB37B4" w14:textId="77777777" w:rsidR="00F34163" w:rsidRPr="007203A0" w:rsidRDefault="00F34163" w:rsidP="00D8166E">
      <w:pPr>
        <w:rPr>
          <w:szCs w:val="22"/>
          <w:lang w:val="lt-LT"/>
        </w:rPr>
      </w:pPr>
    </w:p>
    <w:p w14:paraId="2A94F592" w14:textId="77777777" w:rsidR="00F34163" w:rsidRPr="007203A0" w:rsidRDefault="00F34163" w:rsidP="00D8166E">
      <w:pPr>
        <w:rPr>
          <w:szCs w:val="22"/>
          <w:lang w:val="lt-LT"/>
        </w:rPr>
      </w:pPr>
    </w:p>
    <w:p w14:paraId="2F9D9B36" w14:textId="77777777" w:rsidR="00F34163" w:rsidRPr="007203A0" w:rsidRDefault="00F34163" w:rsidP="00D8166E">
      <w:pPr>
        <w:rPr>
          <w:szCs w:val="22"/>
          <w:lang w:val="lt-LT"/>
        </w:rPr>
      </w:pPr>
    </w:p>
    <w:p w14:paraId="4C5830CC" w14:textId="77777777" w:rsidR="00F34163" w:rsidRPr="007203A0" w:rsidRDefault="00F34163" w:rsidP="00D8166E">
      <w:pPr>
        <w:rPr>
          <w:szCs w:val="22"/>
          <w:lang w:val="lt-LT"/>
        </w:rPr>
      </w:pPr>
    </w:p>
    <w:p w14:paraId="6E54D534" w14:textId="77777777" w:rsidR="00F34163" w:rsidRPr="007203A0" w:rsidRDefault="00F34163" w:rsidP="00D8166E">
      <w:pPr>
        <w:rPr>
          <w:szCs w:val="22"/>
          <w:lang w:val="lt-LT"/>
        </w:rPr>
      </w:pPr>
    </w:p>
    <w:p w14:paraId="47841697" w14:textId="77777777" w:rsidR="00F34163" w:rsidRPr="007203A0" w:rsidRDefault="00F34163" w:rsidP="00D8166E">
      <w:pPr>
        <w:rPr>
          <w:szCs w:val="22"/>
          <w:lang w:val="lt-LT"/>
        </w:rPr>
      </w:pPr>
    </w:p>
    <w:p w14:paraId="31636B82" w14:textId="77777777" w:rsidR="00F34163" w:rsidRPr="007203A0" w:rsidRDefault="00F34163" w:rsidP="00D8166E">
      <w:pPr>
        <w:rPr>
          <w:szCs w:val="22"/>
          <w:lang w:val="lt-LT"/>
        </w:rPr>
      </w:pPr>
    </w:p>
    <w:p w14:paraId="4E202D19" w14:textId="77777777" w:rsidR="00F34163" w:rsidRPr="007203A0" w:rsidRDefault="00F34163" w:rsidP="00D8166E">
      <w:pPr>
        <w:rPr>
          <w:szCs w:val="22"/>
          <w:lang w:val="lt-LT"/>
        </w:rPr>
      </w:pPr>
    </w:p>
    <w:p w14:paraId="436EEDE0" w14:textId="77777777" w:rsidR="00F34163" w:rsidRPr="007203A0" w:rsidRDefault="00F34163" w:rsidP="00D8166E">
      <w:pPr>
        <w:rPr>
          <w:szCs w:val="22"/>
          <w:lang w:val="lt-LT"/>
        </w:rPr>
      </w:pPr>
    </w:p>
    <w:p w14:paraId="11A88365" w14:textId="77777777" w:rsidR="00F34163" w:rsidRPr="007203A0" w:rsidRDefault="00F34163" w:rsidP="00D8166E">
      <w:pPr>
        <w:pStyle w:val="Antrat2"/>
        <w:spacing w:before="0" w:after="0" w:line="240" w:lineRule="auto"/>
        <w:jc w:val="center"/>
        <w:rPr>
          <w:rFonts w:ascii="Times New Roman" w:hAnsi="Times New Roman"/>
          <w:bCs w:val="0"/>
          <w:i w:val="0"/>
          <w:iCs w:val="0"/>
          <w:sz w:val="22"/>
          <w:szCs w:val="22"/>
          <w:lang w:val="lt-LT"/>
        </w:rPr>
      </w:pPr>
      <w:r w:rsidRPr="007203A0">
        <w:rPr>
          <w:rFonts w:ascii="Times New Roman" w:hAnsi="Times New Roman"/>
          <w:i w:val="0"/>
          <w:sz w:val="22"/>
          <w:szCs w:val="22"/>
          <w:lang w:val="lt-LT"/>
        </w:rPr>
        <w:t>A. ŽENKLINIMAS</w:t>
      </w:r>
    </w:p>
    <w:p w14:paraId="08C56514" w14:textId="77777777" w:rsidR="00F34163" w:rsidRPr="007203A0" w:rsidRDefault="00F34163" w:rsidP="00D8166E">
      <w:pPr>
        <w:rPr>
          <w:szCs w:val="22"/>
          <w:lang w:val="lt-LT"/>
        </w:rPr>
      </w:pPr>
      <w:r w:rsidRPr="007203A0">
        <w:rPr>
          <w:szCs w:val="22"/>
          <w:lang w:val="lt-LT"/>
        </w:rPr>
        <w:br w:type="page"/>
      </w:r>
    </w:p>
    <w:p w14:paraId="17C36A43"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rPr>
          <w:b/>
          <w:szCs w:val="22"/>
          <w:lang w:val="lt-LT"/>
        </w:rPr>
      </w:pPr>
      <w:r w:rsidRPr="007203A0">
        <w:rPr>
          <w:b/>
          <w:noProof/>
          <w:szCs w:val="22"/>
          <w:lang w:val="lt-LT"/>
        </w:rPr>
        <w:lastRenderedPageBreak/>
        <w:t>INFORMACIJA ANT IŠORINĖS</w:t>
      </w:r>
      <w:r w:rsidR="004C4EDE" w:rsidRPr="007203A0">
        <w:rPr>
          <w:b/>
          <w:noProof/>
          <w:szCs w:val="22"/>
          <w:lang w:val="lt-LT"/>
        </w:rPr>
        <w:t xml:space="preserve"> </w:t>
      </w:r>
      <w:r w:rsidRPr="007203A0">
        <w:rPr>
          <w:b/>
          <w:noProof/>
          <w:szCs w:val="22"/>
          <w:lang w:val="lt-LT"/>
        </w:rPr>
        <w:t>PAKUOTĖS</w:t>
      </w:r>
    </w:p>
    <w:p w14:paraId="3ED05672"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9911F8A" w14:textId="77777777" w:rsidR="004C4EDE" w:rsidRPr="007203A0" w:rsidRDefault="004C4EDE" w:rsidP="00D8166E">
      <w:pPr>
        <w:pBdr>
          <w:top w:val="single" w:sz="4" w:space="1" w:color="auto"/>
          <w:left w:val="single" w:sz="4" w:space="4" w:color="auto"/>
          <w:bottom w:val="single" w:sz="4" w:space="1" w:color="auto"/>
          <w:right w:val="single" w:sz="4" w:space="4" w:color="auto"/>
        </w:pBdr>
        <w:spacing w:line="240" w:lineRule="auto"/>
        <w:rPr>
          <w:bCs/>
          <w:noProof/>
          <w:szCs w:val="22"/>
          <w:lang w:val="lt-LT"/>
        </w:rPr>
      </w:pPr>
      <w:r w:rsidRPr="007203A0">
        <w:rPr>
          <w:b/>
          <w:noProof/>
          <w:szCs w:val="22"/>
          <w:lang w:val="lt-LT"/>
        </w:rPr>
        <w:t>KARTONO DĖŽUTĖ</w:t>
      </w:r>
    </w:p>
    <w:p w14:paraId="2F73DFF4" w14:textId="77777777" w:rsidR="00F34163" w:rsidRPr="007203A0" w:rsidRDefault="00F34163" w:rsidP="00D8166E">
      <w:pPr>
        <w:rPr>
          <w:szCs w:val="22"/>
          <w:lang w:val="lt-LT"/>
        </w:rPr>
      </w:pPr>
    </w:p>
    <w:p w14:paraId="0B635FEC" w14:textId="77777777" w:rsidR="00F34163" w:rsidRPr="007203A0" w:rsidRDefault="00F34163" w:rsidP="00D8166E">
      <w:pPr>
        <w:rPr>
          <w:szCs w:val="22"/>
          <w:lang w:val="lt-LT"/>
        </w:rPr>
      </w:pPr>
    </w:p>
    <w:p w14:paraId="7E6390C3"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203A0">
        <w:rPr>
          <w:b/>
          <w:szCs w:val="22"/>
          <w:lang w:val="lt-LT"/>
        </w:rPr>
        <w:t>1.</w:t>
      </w:r>
      <w:r w:rsidRPr="007203A0">
        <w:rPr>
          <w:b/>
          <w:szCs w:val="22"/>
          <w:lang w:val="lt-LT"/>
        </w:rPr>
        <w:tab/>
      </w:r>
      <w:r w:rsidRPr="007203A0">
        <w:rPr>
          <w:b/>
          <w:caps/>
          <w:noProof/>
          <w:szCs w:val="22"/>
          <w:lang w:val="lt-LT"/>
        </w:rPr>
        <w:t>VAISTINIO</w:t>
      </w:r>
      <w:r w:rsidRPr="007203A0">
        <w:rPr>
          <w:b/>
          <w:noProof/>
          <w:szCs w:val="22"/>
          <w:lang w:val="lt-LT"/>
        </w:rPr>
        <w:t xml:space="preserve"> PREPARATO PAVADINIMAS</w:t>
      </w:r>
    </w:p>
    <w:p w14:paraId="4CB5733D" w14:textId="77777777" w:rsidR="00F34163" w:rsidRPr="007203A0" w:rsidRDefault="00F34163" w:rsidP="00D8166E">
      <w:pPr>
        <w:spacing w:line="240" w:lineRule="auto"/>
        <w:rPr>
          <w:szCs w:val="22"/>
          <w:lang w:val="lt-LT"/>
        </w:rPr>
      </w:pPr>
    </w:p>
    <w:p w14:paraId="6812C24D" w14:textId="77777777" w:rsidR="004C4EDE" w:rsidRPr="00D8166E" w:rsidRDefault="004C4EDE" w:rsidP="00D8166E">
      <w:pPr>
        <w:spacing w:line="240" w:lineRule="auto"/>
        <w:rPr>
          <w:lang w:val="lt-LT"/>
        </w:rPr>
      </w:pPr>
      <w:proofErr w:type="spellStart"/>
      <w:r w:rsidRPr="00D8166E">
        <w:rPr>
          <w:lang w:val="lt-LT"/>
        </w:rPr>
        <w:t>Tadalafil</w:t>
      </w:r>
      <w:proofErr w:type="spellEnd"/>
      <w:r w:rsidRPr="00D8166E">
        <w:rPr>
          <w:lang w:val="lt-LT"/>
        </w:rPr>
        <w:t xml:space="preserve"> AOP 20</w:t>
      </w:r>
      <w:r w:rsidR="00A67E3B" w:rsidRPr="00D8166E">
        <w:rPr>
          <w:lang w:val="lt-LT"/>
        </w:rPr>
        <w:t> </w:t>
      </w:r>
      <w:r w:rsidRPr="00D8166E">
        <w:rPr>
          <w:lang w:val="lt-LT"/>
        </w:rPr>
        <w:t>mg plėvele dengtos tabletės</w:t>
      </w:r>
    </w:p>
    <w:p w14:paraId="32B4E754" w14:textId="5E7DAC42" w:rsidR="004C4EDE" w:rsidRPr="00D8166E" w:rsidRDefault="00530FE1" w:rsidP="00D8166E">
      <w:pPr>
        <w:spacing w:line="240" w:lineRule="auto"/>
        <w:rPr>
          <w:b/>
          <w:lang w:val="lt-LT"/>
        </w:rPr>
      </w:pPr>
      <w:proofErr w:type="spellStart"/>
      <w:r>
        <w:rPr>
          <w:lang w:val="lt-LT"/>
        </w:rPr>
        <w:t>t</w:t>
      </w:r>
      <w:r w:rsidR="004C4EDE" w:rsidRPr="00D8166E">
        <w:rPr>
          <w:lang w:val="lt-LT"/>
        </w:rPr>
        <w:t>adalafilis</w:t>
      </w:r>
      <w:proofErr w:type="spellEnd"/>
    </w:p>
    <w:p w14:paraId="611B55CF" w14:textId="77777777" w:rsidR="00F34163" w:rsidRPr="005F48B8" w:rsidRDefault="00F34163" w:rsidP="00D8166E">
      <w:pPr>
        <w:spacing w:line="240" w:lineRule="auto"/>
        <w:rPr>
          <w:szCs w:val="22"/>
          <w:lang w:val="lt-LT"/>
        </w:rPr>
      </w:pPr>
    </w:p>
    <w:p w14:paraId="70B7CD4C" w14:textId="77777777" w:rsidR="00F34163" w:rsidRPr="008612DF" w:rsidRDefault="00F34163" w:rsidP="00D8166E">
      <w:pPr>
        <w:spacing w:line="240" w:lineRule="auto"/>
        <w:rPr>
          <w:szCs w:val="22"/>
          <w:lang w:val="lt-LT"/>
        </w:rPr>
      </w:pPr>
    </w:p>
    <w:p w14:paraId="564BDA6A"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A25EF">
        <w:rPr>
          <w:b/>
          <w:szCs w:val="22"/>
          <w:lang w:val="lt-LT"/>
        </w:rPr>
        <w:t>2.</w:t>
      </w:r>
      <w:r w:rsidRPr="002A25EF">
        <w:rPr>
          <w:b/>
          <w:szCs w:val="22"/>
          <w:lang w:val="lt-LT"/>
        </w:rPr>
        <w:tab/>
      </w:r>
      <w:r w:rsidRPr="002A25EF">
        <w:rPr>
          <w:b/>
          <w:noProof/>
          <w:szCs w:val="22"/>
          <w:lang w:val="lt-LT"/>
        </w:rPr>
        <w:t>VEIKLIOJI (-IOS) MEDŽIAGA (-OS) IR JOS (-Ų) KIEKIS (-IAI)</w:t>
      </w:r>
    </w:p>
    <w:p w14:paraId="3706ED73" w14:textId="77777777" w:rsidR="00F34163" w:rsidRPr="009840AD" w:rsidRDefault="00F34163" w:rsidP="00D8166E">
      <w:pPr>
        <w:rPr>
          <w:szCs w:val="22"/>
          <w:lang w:val="lt-LT"/>
        </w:rPr>
      </w:pPr>
    </w:p>
    <w:p w14:paraId="1FD01F8F" w14:textId="77777777" w:rsidR="004C4EDE" w:rsidRPr="00D8166E" w:rsidRDefault="00A67E3B" w:rsidP="00D8166E">
      <w:pPr>
        <w:spacing w:line="240" w:lineRule="auto"/>
        <w:rPr>
          <w:lang w:val="lt-LT"/>
        </w:rPr>
      </w:pPr>
      <w:r w:rsidRPr="00D8166E">
        <w:rPr>
          <w:lang w:val="lt-LT"/>
        </w:rPr>
        <w:t xml:space="preserve">Kiekvienoje </w:t>
      </w:r>
      <w:r w:rsidR="004C4EDE" w:rsidRPr="00D8166E">
        <w:rPr>
          <w:lang w:val="lt-LT"/>
        </w:rPr>
        <w:t>plėvele dengtoje tabletėje yra 20</w:t>
      </w:r>
      <w:r w:rsidR="00CB7F35" w:rsidRPr="005F48B8">
        <w:rPr>
          <w:szCs w:val="22"/>
          <w:lang w:val="lt-LT"/>
        </w:rPr>
        <w:t> </w:t>
      </w:r>
      <w:r w:rsidR="004C4EDE" w:rsidRPr="00D8166E">
        <w:rPr>
          <w:lang w:val="lt-LT"/>
        </w:rPr>
        <w:t xml:space="preserve">mg </w:t>
      </w:r>
      <w:proofErr w:type="spellStart"/>
      <w:r w:rsidR="004C4EDE" w:rsidRPr="00D8166E">
        <w:rPr>
          <w:lang w:val="lt-LT"/>
        </w:rPr>
        <w:t>tadalafilio</w:t>
      </w:r>
      <w:proofErr w:type="spellEnd"/>
      <w:r w:rsidRPr="00D8166E">
        <w:rPr>
          <w:lang w:val="lt-LT"/>
        </w:rPr>
        <w:t>.</w:t>
      </w:r>
    </w:p>
    <w:p w14:paraId="0E576F11" w14:textId="77777777" w:rsidR="00F34163" w:rsidRPr="005F48B8" w:rsidRDefault="00F34163" w:rsidP="00D8166E">
      <w:pPr>
        <w:rPr>
          <w:szCs w:val="22"/>
          <w:lang w:val="lt-LT"/>
        </w:rPr>
      </w:pPr>
    </w:p>
    <w:p w14:paraId="4B4CA8E8" w14:textId="77777777" w:rsidR="00F34163" w:rsidRPr="008612DF" w:rsidRDefault="00F34163" w:rsidP="00D8166E">
      <w:pPr>
        <w:rPr>
          <w:szCs w:val="22"/>
          <w:lang w:val="lt-LT"/>
        </w:rPr>
      </w:pPr>
    </w:p>
    <w:p w14:paraId="56F89BEE"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A25EF">
        <w:rPr>
          <w:b/>
          <w:szCs w:val="22"/>
          <w:lang w:val="lt-LT"/>
        </w:rPr>
        <w:t>3.</w:t>
      </w:r>
      <w:r w:rsidRPr="002A25EF">
        <w:rPr>
          <w:b/>
          <w:szCs w:val="22"/>
          <w:lang w:val="lt-LT"/>
        </w:rPr>
        <w:tab/>
      </w:r>
      <w:r w:rsidRPr="002A25EF">
        <w:rPr>
          <w:b/>
          <w:noProof/>
          <w:szCs w:val="22"/>
          <w:lang w:val="lt-LT"/>
        </w:rPr>
        <w:t>PAGALBINIŲ MEDŽIAGŲ SĄRAŠAS</w:t>
      </w:r>
    </w:p>
    <w:p w14:paraId="1A82D686" w14:textId="77777777" w:rsidR="00F34163" w:rsidRPr="009840AD" w:rsidRDefault="00F34163" w:rsidP="00D8166E">
      <w:pPr>
        <w:rPr>
          <w:szCs w:val="22"/>
          <w:lang w:val="lt-LT"/>
        </w:rPr>
      </w:pPr>
    </w:p>
    <w:p w14:paraId="286C9D16" w14:textId="77777777" w:rsidR="004C4EDE" w:rsidRPr="00F1014D" w:rsidRDefault="004C4EDE" w:rsidP="00D8166E">
      <w:pPr>
        <w:spacing w:line="240" w:lineRule="auto"/>
        <w:rPr>
          <w:noProof/>
          <w:szCs w:val="22"/>
          <w:lang w:val="lt-LT"/>
        </w:rPr>
      </w:pPr>
      <w:r w:rsidRPr="00F1014D">
        <w:rPr>
          <w:noProof/>
          <w:szCs w:val="22"/>
          <w:lang w:val="lt-LT"/>
        </w:rPr>
        <w:t>Sudėtyje yra laktozės.</w:t>
      </w:r>
    </w:p>
    <w:p w14:paraId="69D316A1" w14:textId="77777777" w:rsidR="004C4EDE" w:rsidRPr="007203A0" w:rsidRDefault="004C4EDE" w:rsidP="00D8166E">
      <w:pPr>
        <w:spacing w:line="240" w:lineRule="auto"/>
        <w:rPr>
          <w:noProof/>
          <w:szCs w:val="22"/>
          <w:lang w:val="lt-LT"/>
        </w:rPr>
      </w:pPr>
      <w:r w:rsidRPr="007203A0">
        <w:rPr>
          <w:noProof/>
          <w:szCs w:val="22"/>
          <w:lang w:val="lt-LT"/>
        </w:rPr>
        <w:t>Daugiau informacijos pateikta pakuotės lapelyje.</w:t>
      </w:r>
    </w:p>
    <w:p w14:paraId="6217FCD2" w14:textId="77777777" w:rsidR="00F34163" w:rsidRPr="007203A0" w:rsidRDefault="00F34163" w:rsidP="00D8166E">
      <w:pPr>
        <w:rPr>
          <w:szCs w:val="22"/>
          <w:lang w:val="lt-LT"/>
        </w:rPr>
      </w:pPr>
    </w:p>
    <w:p w14:paraId="4D4AF86D" w14:textId="77777777" w:rsidR="00A67E3B" w:rsidRPr="007203A0" w:rsidRDefault="00A67E3B" w:rsidP="00D8166E">
      <w:pPr>
        <w:rPr>
          <w:szCs w:val="22"/>
          <w:lang w:val="lt-LT"/>
        </w:rPr>
      </w:pPr>
    </w:p>
    <w:p w14:paraId="50295C44"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203A0">
        <w:rPr>
          <w:b/>
          <w:szCs w:val="22"/>
          <w:lang w:val="lt-LT"/>
        </w:rPr>
        <w:t>4.</w:t>
      </w:r>
      <w:r w:rsidRPr="007203A0">
        <w:rPr>
          <w:b/>
          <w:szCs w:val="22"/>
          <w:lang w:val="lt-LT"/>
        </w:rPr>
        <w:tab/>
      </w:r>
      <w:r w:rsidRPr="007203A0">
        <w:rPr>
          <w:b/>
          <w:noProof/>
          <w:szCs w:val="22"/>
          <w:lang w:val="lt-LT"/>
        </w:rPr>
        <w:t>FARMACINĖ FORMA IR KIEKIS PAKUOTĖJE</w:t>
      </w:r>
    </w:p>
    <w:p w14:paraId="5DC58168" w14:textId="77777777" w:rsidR="00F34163" w:rsidRPr="007203A0" w:rsidRDefault="00F34163" w:rsidP="00D8166E">
      <w:pPr>
        <w:rPr>
          <w:szCs w:val="22"/>
          <w:lang w:val="lt-LT"/>
        </w:rPr>
      </w:pPr>
    </w:p>
    <w:p w14:paraId="7D02516A" w14:textId="77777777" w:rsidR="004C4EDE" w:rsidRPr="00D8166E" w:rsidRDefault="001B45CC" w:rsidP="00D8166E">
      <w:pPr>
        <w:spacing w:line="240" w:lineRule="auto"/>
        <w:rPr>
          <w:lang w:val="lt-LT"/>
        </w:rPr>
      </w:pPr>
      <w:r w:rsidRPr="00D8166E">
        <w:rPr>
          <w:highlight w:val="lightGray"/>
          <w:lang w:val="lt-LT"/>
        </w:rPr>
        <w:t xml:space="preserve">Plėvele </w:t>
      </w:r>
      <w:r w:rsidR="004C4EDE" w:rsidRPr="00D8166E">
        <w:rPr>
          <w:highlight w:val="lightGray"/>
          <w:lang w:val="lt-LT"/>
        </w:rPr>
        <w:t>dengt</w:t>
      </w:r>
      <w:r w:rsidRPr="00D8166E">
        <w:rPr>
          <w:highlight w:val="lightGray"/>
          <w:lang w:val="lt-LT"/>
        </w:rPr>
        <w:t>a</w:t>
      </w:r>
      <w:r w:rsidR="004C4EDE" w:rsidRPr="00D8166E">
        <w:rPr>
          <w:highlight w:val="lightGray"/>
          <w:lang w:val="lt-LT"/>
        </w:rPr>
        <w:t xml:space="preserve"> tabletė</w:t>
      </w:r>
      <w:r w:rsidR="004C4EDE" w:rsidRPr="00D8166E">
        <w:rPr>
          <w:lang w:val="lt-LT"/>
        </w:rPr>
        <w:t xml:space="preserve"> </w:t>
      </w:r>
    </w:p>
    <w:p w14:paraId="5CFA3928" w14:textId="77777777" w:rsidR="004C4EDE" w:rsidRPr="00D8166E" w:rsidRDefault="004C4EDE" w:rsidP="00D8166E">
      <w:pPr>
        <w:spacing w:line="240" w:lineRule="auto"/>
        <w:rPr>
          <w:lang w:val="lt-LT"/>
        </w:rPr>
      </w:pPr>
      <w:r w:rsidRPr="00D8166E">
        <w:rPr>
          <w:lang w:val="lt-LT"/>
        </w:rPr>
        <w:t>28 plėvele dengtos tabletės</w:t>
      </w:r>
    </w:p>
    <w:p w14:paraId="066F91DF" w14:textId="77777777" w:rsidR="004C4EDE" w:rsidRPr="00D8166E" w:rsidRDefault="004C4EDE" w:rsidP="00D8166E">
      <w:pPr>
        <w:spacing w:line="240" w:lineRule="auto"/>
        <w:rPr>
          <w:lang w:val="lt-LT"/>
        </w:rPr>
      </w:pPr>
      <w:r w:rsidRPr="00D8166E">
        <w:rPr>
          <w:highlight w:val="lightGray"/>
          <w:lang w:val="lt-LT"/>
        </w:rPr>
        <w:t>56 plėvele dengtos tabletės</w:t>
      </w:r>
    </w:p>
    <w:p w14:paraId="013BBF6E" w14:textId="77777777" w:rsidR="00F34163" w:rsidRPr="005F48B8" w:rsidRDefault="00F34163" w:rsidP="00D8166E">
      <w:pPr>
        <w:rPr>
          <w:szCs w:val="22"/>
          <w:lang w:val="lt-LT"/>
        </w:rPr>
      </w:pPr>
    </w:p>
    <w:p w14:paraId="6C2B80E7" w14:textId="77777777" w:rsidR="00A67E3B" w:rsidRPr="008612DF" w:rsidRDefault="00A67E3B" w:rsidP="00D8166E">
      <w:pPr>
        <w:rPr>
          <w:szCs w:val="22"/>
          <w:lang w:val="lt-LT"/>
        </w:rPr>
      </w:pPr>
    </w:p>
    <w:p w14:paraId="5BFD029F"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A25EF">
        <w:rPr>
          <w:b/>
          <w:szCs w:val="22"/>
          <w:lang w:val="lt-LT"/>
        </w:rPr>
        <w:t>5.</w:t>
      </w:r>
      <w:r w:rsidRPr="002A25EF">
        <w:rPr>
          <w:b/>
          <w:szCs w:val="22"/>
          <w:lang w:val="lt-LT"/>
        </w:rPr>
        <w:tab/>
      </w:r>
      <w:r w:rsidRPr="002A25EF">
        <w:rPr>
          <w:b/>
          <w:noProof/>
          <w:szCs w:val="22"/>
          <w:lang w:val="lt-LT"/>
        </w:rPr>
        <w:t>VARTOJIMO METODAS IR BŪDAS (-AI)</w:t>
      </w:r>
    </w:p>
    <w:p w14:paraId="145A77F0" w14:textId="77777777" w:rsidR="00F34163" w:rsidRPr="009840AD" w:rsidRDefault="00F34163" w:rsidP="00D8166E">
      <w:pPr>
        <w:rPr>
          <w:szCs w:val="22"/>
          <w:lang w:val="lt-LT"/>
        </w:rPr>
      </w:pPr>
    </w:p>
    <w:p w14:paraId="6DB7F46C" w14:textId="77777777" w:rsidR="004C4EDE" w:rsidRPr="00D8166E" w:rsidRDefault="004C4EDE" w:rsidP="00D8166E">
      <w:pPr>
        <w:spacing w:line="240" w:lineRule="auto"/>
        <w:rPr>
          <w:lang w:val="lt-LT"/>
        </w:rPr>
      </w:pPr>
      <w:r w:rsidRPr="00D8166E">
        <w:rPr>
          <w:lang w:val="lt-LT"/>
        </w:rPr>
        <w:t>Vartoti per burną.</w:t>
      </w:r>
    </w:p>
    <w:p w14:paraId="4528C2F4" w14:textId="77777777" w:rsidR="00F34163" w:rsidRPr="005F48B8" w:rsidRDefault="00F34163" w:rsidP="00D8166E">
      <w:pPr>
        <w:rPr>
          <w:szCs w:val="22"/>
          <w:lang w:val="lt-LT"/>
        </w:rPr>
      </w:pPr>
      <w:r w:rsidRPr="005F48B8">
        <w:rPr>
          <w:noProof/>
          <w:szCs w:val="22"/>
          <w:lang w:val="lt-LT"/>
        </w:rPr>
        <w:t>Prieš vartojimą perskaitykite pakuotės lapelį.</w:t>
      </w:r>
    </w:p>
    <w:p w14:paraId="47CBDDE3" w14:textId="77777777" w:rsidR="00F34163" w:rsidRPr="008612DF" w:rsidRDefault="00F34163" w:rsidP="00D8166E">
      <w:pPr>
        <w:rPr>
          <w:szCs w:val="22"/>
          <w:lang w:val="lt-LT"/>
        </w:rPr>
      </w:pPr>
    </w:p>
    <w:p w14:paraId="730C1FBC" w14:textId="77777777" w:rsidR="00F34163" w:rsidRPr="002A25EF" w:rsidRDefault="00F34163" w:rsidP="00D8166E">
      <w:pPr>
        <w:rPr>
          <w:szCs w:val="22"/>
          <w:lang w:val="lt-LT"/>
        </w:rPr>
      </w:pPr>
    </w:p>
    <w:p w14:paraId="332A5A12" w14:textId="77777777" w:rsidR="00F34163" w:rsidRPr="009840AD"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385E">
        <w:rPr>
          <w:b/>
          <w:szCs w:val="22"/>
          <w:lang w:val="lt-LT"/>
        </w:rPr>
        <w:t>6.</w:t>
      </w:r>
      <w:r w:rsidRPr="0061385E">
        <w:rPr>
          <w:b/>
          <w:szCs w:val="22"/>
          <w:lang w:val="lt-LT"/>
        </w:rPr>
        <w:tab/>
      </w:r>
      <w:r w:rsidRPr="0061385E">
        <w:rPr>
          <w:b/>
          <w:noProof/>
          <w:szCs w:val="22"/>
          <w:lang w:val="lt-LT"/>
        </w:rPr>
        <w:t>SPECIALUS ĮSPĖJIMAS, KAD VAISTINĮ PREPARATĄ BŪTINA LAIKYTI VAIKAMS NEPASTEBIMOJE IR  NEPASIEKIAMOJE VIETOJE</w:t>
      </w:r>
    </w:p>
    <w:p w14:paraId="7ACE383B" w14:textId="77777777" w:rsidR="00F34163" w:rsidRPr="00F1014D" w:rsidRDefault="00F34163" w:rsidP="00D8166E">
      <w:pPr>
        <w:rPr>
          <w:szCs w:val="22"/>
          <w:lang w:val="lt-LT"/>
        </w:rPr>
      </w:pPr>
    </w:p>
    <w:p w14:paraId="54502B84" w14:textId="77777777" w:rsidR="00F34163" w:rsidRPr="007203A0" w:rsidRDefault="00F34163" w:rsidP="00D8166E">
      <w:pPr>
        <w:rPr>
          <w:szCs w:val="22"/>
          <w:lang w:val="lt-LT"/>
        </w:rPr>
      </w:pPr>
      <w:r w:rsidRPr="007203A0">
        <w:rPr>
          <w:noProof/>
          <w:szCs w:val="22"/>
          <w:lang w:val="lt-LT"/>
        </w:rPr>
        <w:t>Laikyti vaikams nepastebimoje ir nepasiekiamoje vietoje.</w:t>
      </w:r>
    </w:p>
    <w:p w14:paraId="22A23900" w14:textId="77777777" w:rsidR="00F34163" w:rsidRPr="007203A0" w:rsidRDefault="00F34163" w:rsidP="00D8166E">
      <w:pPr>
        <w:rPr>
          <w:szCs w:val="22"/>
          <w:lang w:val="lt-LT"/>
        </w:rPr>
      </w:pPr>
    </w:p>
    <w:p w14:paraId="44718ADE" w14:textId="77777777" w:rsidR="00F34163" w:rsidRPr="007203A0" w:rsidRDefault="00F34163" w:rsidP="00D8166E">
      <w:pPr>
        <w:rPr>
          <w:szCs w:val="22"/>
          <w:lang w:val="lt-LT"/>
        </w:rPr>
      </w:pPr>
    </w:p>
    <w:p w14:paraId="52E946A1"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203A0">
        <w:rPr>
          <w:b/>
          <w:szCs w:val="22"/>
          <w:lang w:val="lt-LT"/>
        </w:rPr>
        <w:t>7.</w:t>
      </w:r>
      <w:r w:rsidRPr="007203A0">
        <w:rPr>
          <w:b/>
          <w:szCs w:val="22"/>
          <w:lang w:val="lt-LT"/>
        </w:rPr>
        <w:tab/>
      </w:r>
      <w:r w:rsidRPr="007203A0">
        <w:rPr>
          <w:b/>
          <w:noProof/>
          <w:szCs w:val="22"/>
          <w:lang w:val="lt-LT"/>
        </w:rPr>
        <w:t>KITAS (-I) SPECIALUS (-ŪS) ĮSPĖJIMAS (-AI) (JEI REIKIA)</w:t>
      </w:r>
    </w:p>
    <w:p w14:paraId="5A47827A" w14:textId="77777777" w:rsidR="00F34163" w:rsidRPr="007203A0" w:rsidRDefault="00F34163" w:rsidP="00D8166E">
      <w:pPr>
        <w:rPr>
          <w:szCs w:val="22"/>
          <w:lang w:val="lt-LT"/>
        </w:rPr>
      </w:pPr>
    </w:p>
    <w:p w14:paraId="0465630F" w14:textId="77777777" w:rsidR="00F34163" w:rsidRPr="007203A0" w:rsidRDefault="00F34163" w:rsidP="00D8166E">
      <w:pPr>
        <w:rPr>
          <w:szCs w:val="22"/>
          <w:lang w:val="lt-LT"/>
        </w:rPr>
      </w:pPr>
    </w:p>
    <w:p w14:paraId="4095D6AB"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203A0">
        <w:rPr>
          <w:b/>
          <w:szCs w:val="22"/>
          <w:lang w:val="lt-LT"/>
        </w:rPr>
        <w:t>8.</w:t>
      </w:r>
      <w:r w:rsidRPr="007203A0">
        <w:rPr>
          <w:b/>
          <w:szCs w:val="22"/>
          <w:lang w:val="lt-LT"/>
        </w:rPr>
        <w:tab/>
      </w:r>
      <w:r w:rsidRPr="007203A0">
        <w:rPr>
          <w:b/>
          <w:noProof/>
          <w:szCs w:val="22"/>
          <w:lang w:val="lt-LT"/>
        </w:rPr>
        <w:t>TINKAMUMO LAIKAS</w:t>
      </w:r>
    </w:p>
    <w:p w14:paraId="4F593C01" w14:textId="77777777" w:rsidR="00F34163" w:rsidRPr="007203A0" w:rsidRDefault="00F34163" w:rsidP="00D8166E">
      <w:pPr>
        <w:rPr>
          <w:szCs w:val="22"/>
          <w:lang w:val="lt-LT"/>
        </w:rPr>
      </w:pPr>
    </w:p>
    <w:p w14:paraId="2D5FE30F" w14:textId="77777777" w:rsidR="00F34163" w:rsidRPr="005F48B8" w:rsidRDefault="00F34163" w:rsidP="00D8166E">
      <w:pPr>
        <w:rPr>
          <w:szCs w:val="22"/>
          <w:lang w:val="lt-LT"/>
        </w:rPr>
      </w:pPr>
      <w:r w:rsidRPr="007203A0">
        <w:rPr>
          <w:szCs w:val="22"/>
          <w:lang w:val="lt-LT"/>
        </w:rPr>
        <w:t>Tinka iki</w:t>
      </w:r>
      <w:r w:rsidR="00344F6B">
        <w:rPr>
          <w:szCs w:val="22"/>
          <w:lang w:val="lt-LT"/>
        </w:rPr>
        <w:t xml:space="preserve">: </w:t>
      </w:r>
      <w:r w:rsidR="00D8166E">
        <w:rPr>
          <w:szCs w:val="22"/>
          <w:lang w:val="lt-LT"/>
        </w:rPr>
        <w:t>mm/MMMM</w:t>
      </w:r>
    </w:p>
    <w:p w14:paraId="5296711E" w14:textId="77777777" w:rsidR="00F34163" w:rsidRPr="008612DF" w:rsidRDefault="00F34163" w:rsidP="00D8166E">
      <w:pPr>
        <w:rPr>
          <w:szCs w:val="22"/>
          <w:lang w:val="lt-LT"/>
        </w:rPr>
      </w:pPr>
    </w:p>
    <w:p w14:paraId="707E6E5A" w14:textId="77777777" w:rsidR="003E6D93" w:rsidRPr="002A25EF" w:rsidRDefault="003E6D93" w:rsidP="00D8166E">
      <w:pPr>
        <w:rPr>
          <w:szCs w:val="22"/>
          <w:lang w:val="lt-LT"/>
        </w:rPr>
      </w:pPr>
    </w:p>
    <w:p w14:paraId="3D5C6676" w14:textId="77777777" w:rsidR="00F34163" w:rsidRPr="0061385E" w:rsidRDefault="00F34163" w:rsidP="00D8166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385E">
        <w:rPr>
          <w:b/>
          <w:szCs w:val="22"/>
          <w:lang w:val="lt-LT"/>
        </w:rPr>
        <w:t>9.</w:t>
      </w:r>
      <w:r w:rsidRPr="0061385E">
        <w:rPr>
          <w:b/>
          <w:szCs w:val="22"/>
          <w:lang w:val="lt-LT"/>
        </w:rPr>
        <w:tab/>
      </w:r>
      <w:r w:rsidRPr="0061385E">
        <w:rPr>
          <w:b/>
          <w:noProof/>
          <w:szCs w:val="22"/>
          <w:lang w:val="lt-LT"/>
        </w:rPr>
        <w:t>SPECIALIOS LAIKYMO SĄLYGOS</w:t>
      </w:r>
    </w:p>
    <w:p w14:paraId="1CD388C6" w14:textId="77777777" w:rsidR="00F34163" w:rsidRPr="0061385E" w:rsidRDefault="00F34163" w:rsidP="00D8166E">
      <w:pPr>
        <w:rPr>
          <w:szCs w:val="22"/>
          <w:lang w:val="lt-LT"/>
        </w:rPr>
      </w:pPr>
    </w:p>
    <w:p w14:paraId="7A32C77A" w14:textId="77777777" w:rsidR="00F34163" w:rsidRPr="009840AD" w:rsidRDefault="00F34163" w:rsidP="00D8166E">
      <w:pPr>
        <w:rPr>
          <w:szCs w:val="22"/>
          <w:lang w:val="lt-LT"/>
        </w:rPr>
      </w:pPr>
    </w:p>
    <w:p w14:paraId="091B9254" w14:textId="77777777" w:rsidR="00F34163" w:rsidRPr="009840AD" w:rsidRDefault="00F34163" w:rsidP="00D816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40AD">
        <w:rPr>
          <w:b/>
          <w:szCs w:val="22"/>
          <w:lang w:val="lt-LT"/>
        </w:rPr>
        <w:t>10.</w:t>
      </w:r>
      <w:r w:rsidRPr="009840AD">
        <w:rPr>
          <w:b/>
          <w:szCs w:val="22"/>
          <w:lang w:val="lt-LT"/>
        </w:rPr>
        <w:tab/>
      </w:r>
      <w:r w:rsidRPr="009840AD">
        <w:rPr>
          <w:b/>
          <w:noProof/>
          <w:szCs w:val="22"/>
          <w:lang w:val="lt-LT"/>
        </w:rPr>
        <w:t>SPECIALIOS ATSARGUMO PRIEMONĖS DĖL NESUVARTOTO VAISTINIO PREPARATO AR JO ATLIEKŲ TVARKYMO (JEI REIKIA)</w:t>
      </w:r>
    </w:p>
    <w:p w14:paraId="01C94F80" w14:textId="77777777" w:rsidR="00F34163" w:rsidRPr="00F1014D" w:rsidRDefault="00F34163" w:rsidP="00D8166E">
      <w:pPr>
        <w:rPr>
          <w:szCs w:val="22"/>
          <w:lang w:val="lt-LT"/>
        </w:rPr>
      </w:pPr>
    </w:p>
    <w:p w14:paraId="22FB90B5" w14:textId="77777777" w:rsidR="00F34163" w:rsidRPr="007203A0" w:rsidRDefault="00F34163" w:rsidP="00D8166E">
      <w:pPr>
        <w:rPr>
          <w:szCs w:val="22"/>
          <w:lang w:val="lt-LT"/>
        </w:rPr>
      </w:pPr>
    </w:p>
    <w:p w14:paraId="27EB33DE"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203A0">
        <w:rPr>
          <w:b/>
          <w:szCs w:val="22"/>
          <w:lang w:val="lt-LT"/>
        </w:rPr>
        <w:t>11.</w:t>
      </w:r>
      <w:r w:rsidRPr="007203A0">
        <w:rPr>
          <w:b/>
          <w:szCs w:val="22"/>
          <w:lang w:val="lt-LT"/>
        </w:rPr>
        <w:tab/>
      </w:r>
      <w:r w:rsidR="00461F31" w:rsidRPr="007203A0">
        <w:rPr>
          <w:b/>
          <w:caps/>
          <w:noProof/>
          <w:szCs w:val="22"/>
          <w:lang w:val="lt-LT"/>
        </w:rPr>
        <w:t xml:space="preserve"> REGISTRUOTOJO</w:t>
      </w:r>
      <w:r w:rsidRPr="007203A0">
        <w:rPr>
          <w:b/>
          <w:caps/>
          <w:noProof/>
          <w:szCs w:val="22"/>
          <w:lang w:val="lt-LT"/>
        </w:rPr>
        <w:t xml:space="preserve"> PAVADINIMAS IR ADRESAS</w:t>
      </w:r>
    </w:p>
    <w:p w14:paraId="05319A67" w14:textId="77777777" w:rsidR="00F34163" w:rsidRPr="007203A0" w:rsidRDefault="00F34163" w:rsidP="00D8166E">
      <w:pPr>
        <w:rPr>
          <w:szCs w:val="22"/>
          <w:lang w:val="lt-LT"/>
        </w:rPr>
      </w:pPr>
    </w:p>
    <w:p w14:paraId="5AFD1139" w14:textId="77777777" w:rsidR="00F218C1" w:rsidRPr="00F218C1" w:rsidRDefault="00F218C1" w:rsidP="00F218C1">
      <w:pPr>
        <w:spacing w:line="240" w:lineRule="auto"/>
        <w:rPr>
          <w:lang w:val="lt-LT"/>
        </w:rPr>
      </w:pPr>
      <w:r w:rsidRPr="00F218C1">
        <w:rPr>
          <w:lang w:val="lt-LT"/>
        </w:rPr>
        <w:t xml:space="preserve">AOP </w:t>
      </w:r>
      <w:proofErr w:type="spellStart"/>
      <w:r w:rsidRPr="00F218C1">
        <w:rPr>
          <w:lang w:val="lt-LT"/>
        </w:rPr>
        <w:t>Orphan</w:t>
      </w:r>
      <w:proofErr w:type="spellEnd"/>
      <w:r w:rsidRPr="00F218C1">
        <w:rPr>
          <w:lang w:val="lt-LT"/>
        </w:rPr>
        <w:t xml:space="preserve"> </w:t>
      </w:r>
      <w:proofErr w:type="spellStart"/>
      <w:r w:rsidRPr="00F218C1">
        <w:rPr>
          <w:lang w:val="lt-LT"/>
        </w:rPr>
        <w:t>Pharmaceuticals</w:t>
      </w:r>
      <w:proofErr w:type="spellEnd"/>
      <w:r w:rsidRPr="00F218C1">
        <w:rPr>
          <w:lang w:val="lt-LT"/>
        </w:rPr>
        <w:t xml:space="preserve"> </w:t>
      </w:r>
      <w:proofErr w:type="spellStart"/>
      <w:r w:rsidRPr="00F218C1">
        <w:rPr>
          <w:lang w:val="lt-LT"/>
        </w:rPr>
        <w:t>GmbH</w:t>
      </w:r>
      <w:proofErr w:type="spellEnd"/>
    </w:p>
    <w:p w14:paraId="398A8D33" w14:textId="77777777" w:rsidR="00F218C1" w:rsidRPr="00F218C1" w:rsidRDefault="00F218C1" w:rsidP="00F218C1">
      <w:pPr>
        <w:spacing w:line="240" w:lineRule="auto"/>
        <w:rPr>
          <w:lang w:val="lt-LT"/>
        </w:rPr>
      </w:pPr>
      <w:proofErr w:type="spellStart"/>
      <w:r w:rsidRPr="00F218C1">
        <w:rPr>
          <w:lang w:val="lt-LT"/>
        </w:rPr>
        <w:t>Leopold-Ungar-Platz</w:t>
      </w:r>
      <w:proofErr w:type="spellEnd"/>
      <w:r w:rsidRPr="00F218C1">
        <w:rPr>
          <w:lang w:val="lt-LT"/>
        </w:rPr>
        <w:t xml:space="preserve"> 2</w:t>
      </w:r>
    </w:p>
    <w:p w14:paraId="1357C109" w14:textId="77777777" w:rsidR="00F218C1" w:rsidRPr="00F218C1" w:rsidRDefault="00F218C1" w:rsidP="00F218C1">
      <w:pPr>
        <w:spacing w:line="240" w:lineRule="auto"/>
        <w:rPr>
          <w:lang w:val="lt-LT"/>
        </w:rPr>
      </w:pPr>
      <w:r w:rsidRPr="00F218C1">
        <w:rPr>
          <w:lang w:val="lt-LT"/>
        </w:rPr>
        <w:t xml:space="preserve">1190 </w:t>
      </w:r>
      <w:proofErr w:type="spellStart"/>
      <w:r w:rsidRPr="00F218C1">
        <w:rPr>
          <w:lang w:val="lt-LT"/>
        </w:rPr>
        <w:t>Vienna</w:t>
      </w:r>
      <w:proofErr w:type="spellEnd"/>
    </w:p>
    <w:p w14:paraId="77845B1D" w14:textId="5BC662E1" w:rsidR="00370792" w:rsidRPr="00D8166E" w:rsidRDefault="00F218C1" w:rsidP="00D8166E">
      <w:pPr>
        <w:spacing w:line="240" w:lineRule="auto"/>
        <w:rPr>
          <w:lang w:val="lt-LT"/>
        </w:rPr>
      </w:pPr>
      <w:r w:rsidRPr="00F218C1">
        <w:rPr>
          <w:lang w:val="lt-LT"/>
        </w:rPr>
        <w:t>Austrija</w:t>
      </w:r>
    </w:p>
    <w:p w14:paraId="2BA855E8" w14:textId="77777777" w:rsidR="00F34163" w:rsidRPr="005F48B8" w:rsidRDefault="00F34163" w:rsidP="00D8166E">
      <w:pPr>
        <w:rPr>
          <w:szCs w:val="22"/>
          <w:lang w:val="lt-LT"/>
        </w:rPr>
      </w:pPr>
    </w:p>
    <w:p w14:paraId="73F46E2F" w14:textId="77777777" w:rsidR="00F34163" w:rsidRPr="008612DF" w:rsidRDefault="00F34163" w:rsidP="00D8166E">
      <w:pPr>
        <w:rPr>
          <w:szCs w:val="22"/>
          <w:lang w:val="lt-LT"/>
        </w:rPr>
      </w:pPr>
    </w:p>
    <w:p w14:paraId="0333F72A"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A25EF">
        <w:rPr>
          <w:b/>
          <w:szCs w:val="22"/>
          <w:lang w:val="lt-LT"/>
        </w:rPr>
        <w:t>12.</w:t>
      </w:r>
      <w:r w:rsidRPr="002A25EF">
        <w:rPr>
          <w:b/>
          <w:szCs w:val="22"/>
          <w:lang w:val="lt-LT"/>
        </w:rPr>
        <w:tab/>
      </w:r>
      <w:r w:rsidR="00461F31" w:rsidRPr="002A25EF">
        <w:rPr>
          <w:b/>
          <w:noProof/>
          <w:szCs w:val="22"/>
          <w:lang w:val="lt-LT"/>
        </w:rPr>
        <w:t xml:space="preserve">REGISTRACIJOS </w:t>
      </w:r>
      <w:r w:rsidRPr="0061385E">
        <w:rPr>
          <w:b/>
          <w:noProof/>
          <w:szCs w:val="22"/>
          <w:lang w:val="lt-LT"/>
        </w:rPr>
        <w:t>PAŽYMĖJIMO NUMERIS (-IAI)</w:t>
      </w:r>
      <w:r w:rsidRPr="0061385E">
        <w:rPr>
          <w:b/>
          <w:szCs w:val="22"/>
          <w:lang w:val="lt-LT"/>
        </w:rPr>
        <w:t xml:space="preserve"> </w:t>
      </w:r>
    </w:p>
    <w:p w14:paraId="7B9DC3EC" w14:textId="77777777" w:rsidR="00F34163" w:rsidRPr="0061385E" w:rsidRDefault="00F34163" w:rsidP="00D8166E">
      <w:pPr>
        <w:rPr>
          <w:szCs w:val="22"/>
          <w:lang w:val="lt-LT"/>
        </w:rPr>
      </w:pPr>
    </w:p>
    <w:p w14:paraId="6E722161" w14:textId="77777777" w:rsidR="00C15EEE" w:rsidRPr="00C15EEE" w:rsidRDefault="00C15EEE" w:rsidP="00C15EEE">
      <w:pPr>
        <w:rPr>
          <w:bCs/>
          <w:szCs w:val="22"/>
          <w:highlight w:val="lightGray"/>
          <w:lang w:val="lt-LT"/>
        </w:rPr>
      </w:pPr>
      <w:r>
        <w:rPr>
          <w:szCs w:val="22"/>
          <w:lang w:val="lt-LT"/>
        </w:rPr>
        <w:t>LT/1/19/4384/001</w:t>
      </w:r>
      <w:r w:rsidRPr="003C1C77">
        <w:rPr>
          <w:bCs/>
          <w:szCs w:val="22"/>
          <w:lang w:val="lt-LT"/>
        </w:rPr>
        <w:t xml:space="preserve"> </w:t>
      </w:r>
      <w:r w:rsidRPr="00C15EEE">
        <w:rPr>
          <w:bCs/>
          <w:szCs w:val="22"/>
          <w:highlight w:val="lightGray"/>
          <w:lang w:val="lt-LT"/>
        </w:rPr>
        <w:t>– N28</w:t>
      </w:r>
    </w:p>
    <w:p w14:paraId="2B7785B1" w14:textId="77777777" w:rsidR="00C15EEE" w:rsidRPr="009840AD" w:rsidRDefault="00C15EEE" w:rsidP="00C15EEE">
      <w:pPr>
        <w:tabs>
          <w:tab w:val="clear" w:pos="567"/>
        </w:tabs>
        <w:spacing w:line="240" w:lineRule="auto"/>
        <w:rPr>
          <w:szCs w:val="22"/>
          <w:lang w:val="lt-LT"/>
        </w:rPr>
      </w:pPr>
      <w:r w:rsidRPr="00C15EEE">
        <w:rPr>
          <w:szCs w:val="22"/>
          <w:highlight w:val="lightGray"/>
          <w:lang w:val="lt-LT"/>
        </w:rPr>
        <w:t>LT/1/19/4384/002</w:t>
      </w:r>
      <w:r w:rsidRPr="00C15EEE">
        <w:rPr>
          <w:bCs/>
          <w:szCs w:val="22"/>
          <w:highlight w:val="lightGray"/>
          <w:lang w:val="lt-LT"/>
        </w:rPr>
        <w:t xml:space="preserve"> – N56</w:t>
      </w:r>
    </w:p>
    <w:p w14:paraId="2350B018" w14:textId="77777777" w:rsidR="00F34163" w:rsidRPr="00F1014D" w:rsidRDefault="00F34163" w:rsidP="00D8166E">
      <w:pPr>
        <w:rPr>
          <w:szCs w:val="22"/>
          <w:lang w:val="lt-LT"/>
        </w:rPr>
      </w:pPr>
    </w:p>
    <w:p w14:paraId="6980458F" w14:textId="77777777" w:rsidR="00F34163" w:rsidRPr="007203A0" w:rsidRDefault="00F34163" w:rsidP="00D8166E">
      <w:pPr>
        <w:rPr>
          <w:szCs w:val="22"/>
          <w:lang w:val="lt-LT"/>
        </w:rPr>
      </w:pPr>
    </w:p>
    <w:p w14:paraId="78F96BAB"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203A0">
        <w:rPr>
          <w:b/>
          <w:szCs w:val="22"/>
          <w:lang w:val="lt-LT"/>
        </w:rPr>
        <w:t>13.</w:t>
      </w:r>
      <w:r w:rsidRPr="007203A0">
        <w:rPr>
          <w:b/>
          <w:szCs w:val="22"/>
          <w:lang w:val="lt-LT"/>
        </w:rPr>
        <w:tab/>
      </w:r>
      <w:r w:rsidRPr="007203A0">
        <w:rPr>
          <w:b/>
          <w:noProof/>
          <w:szCs w:val="22"/>
          <w:lang w:val="lt-LT"/>
        </w:rPr>
        <w:t xml:space="preserve">SERIJOS NUMERIS </w:t>
      </w:r>
    </w:p>
    <w:p w14:paraId="13A46E78" w14:textId="77777777" w:rsidR="00F34163" w:rsidRPr="007203A0" w:rsidRDefault="00F34163" w:rsidP="00D8166E">
      <w:pPr>
        <w:rPr>
          <w:szCs w:val="22"/>
          <w:lang w:val="lt-LT"/>
        </w:rPr>
      </w:pPr>
    </w:p>
    <w:p w14:paraId="262EA213" w14:textId="77777777" w:rsidR="00F34163" w:rsidRPr="007203A0" w:rsidRDefault="00F34163" w:rsidP="00D8166E">
      <w:pPr>
        <w:rPr>
          <w:szCs w:val="22"/>
          <w:lang w:val="lt-LT"/>
        </w:rPr>
      </w:pPr>
      <w:r w:rsidRPr="007203A0">
        <w:rPr>
          <w:szCs w:val="22"/>
          <w:lang w:val="lt-LT"/>
        </w:rPr>
        <w:t>Serija</w:t>
      </w:r>
    </w:p>
    <w:p w14:paraId="660C7A62" w14:textId="77777777" w:rsidR="00F34163" w:rsidRPr="007203A0" w:rsidRDefault="00F34163" w:rsidP="00D8166E">
      <w:pPr>
        <w:rPr>
          <w:szCs w:val="22"/>
          <w:lang w:val="lt-LT"/>
        </w:rPr>
      </w:pPr>
    </w:p>
    <w:p w14:paraId="07BFE662" w14:textId="77777777" w:rsidR="00F34163" w:rsidRPr="007203A0" w:rsidRDefault="00F34163" w:rsidP="00D8166E">
      <w:pPr>
        <w:rPr>
          <w:szCs w:val="22"/>
          <w:lang w:val="lt-LT"/>
        </w:rPr>
      </w:pPr>
    </w:p>
    <w:p w14:paraId="67F5FCD7"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203A0">
        <w:rPr>
          <w:b/>
          <w:szCs w:val="22"/>
          <w:lang w:val="lt-LT"/>
        </w:rPr>
        <w:t>14.</w:t>
      </w:r>
      <w:r w:rsidRPr="007203A0">
        <w:rPr>
          <w:b/>
          <w:szCs w:val="22"/>
          <w:lang w:val="lt-LT"/>
        </w:rPr>
        <w:tab/>
      </w:r>
      <w:r w:rsidRPr="007203A0">
        <w:rPr>
          <w:b/>
          <w:noProof/>
          <w:szCs w:val="22"/>
          <w:lang w:val="lt-LT"/>
        </w:rPr>
        <w:t>PARDAVIMO (IŠDAVIMO) TVARKA</w:t>
      </w:r>
    </w:p>
    <w:p w14:paraId="62F1A9A2" w14:textId="77777777" w:rsidR="00F34163" w:rsidRPr="007203A0" w:rsidRDefault="00F34163" w:rsidP="00D8166E">
      <w:pPr>
        <w:rPr>
          <w:szCs w:val="22"/>
          <w:lang w:val="lt-LT"/>
        </w:rPr>
      </w:pPr>
    </w:p>
    <w:p w14:paraId="6C058A69" w14:textId="77777777" w:rsidR="00F34163" w:rsidRPr="007203A0" w:rsidRDefault="00F34163" w:rsidP="00D8166E">
      <w:pPr>
        <w:rPr>
          <w:szCs w:val="22"/>
          <w:lang w:val="lt-LT"/>
        </w:rPr>
      </w:pPr>
      <w:r w:rsidRPr="007203A0">
        <w:rPr>
          <w:szCs w:val="22"/>
          <w:lang w:val="lt-LT"/>
        </w:rPr>
        <w:t>Receptinis vaist</w:t>
      </w:r>
      <w:r w:rsidR="005829CF" w:rsidRPr="007203A0">
        <w:rPr>
          <w:szCs w:val="22"/>
          <w:lang w:val="lt-LT"/>
        </w:rPr>
        <w:t>as</w:t>
      </w:r>
    </w:p>
    <w:p w14:paraId="2B9BC0D4" w14:textId="77777777" w:rsidR="00F34163" w:rsidRPr="007203A0" w:rsidRDefault="00F34163" w:rsidP="00D8166E">
      <w:pPr>
        <w:rPr>
          <w:szCs w:val="22"/>
          <w:lang w:val="lt-LT"/>
        </w:rPr>
      </w:pPr>
    </w:p>
    <w:p w14:paraId="11414109" w14:textId="77777777" w:rsidR="00F34163" w:rsidRPr="007203A0" w:rsidRDefault="00F34163" w:rsidP="00D8166E">
      <w:pPr>
        <w:rPr>
          <w:szCs w:val="22"/>
          <w:lang w:val="lt-LT"/>
        </w:rPr>
      </w:pPr>
    </w:p>
    <w:p w14:paraId="0F68BCB5" w14:textId="77777777" w:rsidR="00F34163" w:rsidRPr="007203A0" w:rsidRDefault="00F34163" w:rsidP="00D8166E">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203A0">
        <w:rPr>
          <w:b/>
          <w:szCs w:val="22"/>
          <w:lang w:val="lt-LT"/>
        </w:rPr>
        <w:t>15.</w:t>
      </w:r>
      <w:r w:rsidRPr="007203A0">
        <w:rPr>
          <w:b/>
          <w:szCs w:val="22"/>
          <w:lang w:val="lt-LT"/>
        </w:rPr>
        <w:tab/>
      </w:r>
      <w:r w:rsidRPr="007203A0">
        <w:rPr>
          <w:b/>
          <w:noProof/>
          <w:szCs w:val="22"/>
          <w:lang w:val="lt-LT"/>
        </w:rPr>
        <w:t>VARTOJIMO INSTRUKCIJA</w:t>
      </w:r>
    </w:p>
    <w:p w14:paraId="401C1557" w14:textId="77777777" w:rsidR="00F34163" w:rsidRPr="007203A0" w:rsidRDefault="00F34163" w:rsidP="00D8166E">
      <w:pPr>
        <w:rPr>
          <w:szCs w:val="22"/>
          <w:lang w:val="lt-LT"/>
        </w:rPr>
      </w:pPr>
    </w:p>
    <w:p w14:paraId="106B7D2E" w14:textId="77777777" w:rsidR="00F34163" w:rsidRPr="007203A0" w:rsidRDefault="00F34163" w:rsidP="00D8166E">
      <w:pPr>
        <w:rPr>
          <w:szCs w:val="22"/>
          <w:lang w:val="lt-LT"/>
        </w:rPr>
      </w:pPr>
    </w:p>
    <w:p w14:paraId="06AE07A2" w14:textId="77777777" w:rsidR="00F34163" w:rsidRPr="007203A0" w:rsidRDefault="00F34163" w:rsidP="00D8166E">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7203A0">
        <w:rPr>
          <w:b/>
          <w:szCs w:val="22"/>
          <w:lang w:val="lt-LT"/>
        </w:rPr>
        <w:t>16.</w:t>
      </w:r>
      <w:r w:rsidRPr="007203A0">
        <w:rPr>
          <w:b/>
          <w:szCs w:val="22"/>
          <w:lang w:val="lt-LT"/>
        </w:rPr>
        <w:tab/>
      </w:r>
      <w:r w:rsidRPr="007203A0">
        <w:rPr>
          <w:b/>
          <w:noProof/>
          <w:szCs w:val="22"/>
          <w:lang w:val="lt-LT"/>
        </w:rPr>
        <w:t>INFORMACIJA BRAILIO RAŠTU</w:t>
      </w:r>
    </w:p>
    <w:p w14:paraId="5D6794FC" w14:textId="77777777" w:rsidR="00F34163" w:rsidRPr="007203A0" w:rsidRDefault="00F34163" w:rsidP="00D8166E">
      <w:pPr>
        <w:rPr>
          <w:szCs w:val="22"/>
          <w:lang w:val="lt-LT"/>
        </w:rPr>
      </w:pPr>
    </w:p>
    <w:p w14:paraId="69CB7E28" w14:textId="77777777" w:rsidR="00370792" w:rsidRPr="00D8166E" w:rsidRDefault="00370792" w:rsidP="00D8166E">
      <w:pPr>
        <w:spacing w:line="240" w:lineRule="auto"/>
        <w:rPr>
          <w:shd w:val="clear" w:color="auto" w:fill="CCCCCC"/>
          <w:lang w:val="lt-LT"/>
        </w:rPr>
      </w:pPr>
      <w:proofErr w:type="spellStart"/>
      <w:r w:rsidRPr="00D8166E">
        <w:rPr>
          <w:lang w:val="lt-LT"/>
        </w:rPr>
        <w:t>Tadalafil</w:t>
      </w:r>
      <w:proofErr w:type="spellEnd"/>
      <w:r w:rsidRPr="00D8166E">
        <w:rPr>
          <w:lang w:val="lt-LT"/>
        </w:rPr>
        <w:t xml:space="preserve"> AOP 20</w:t>
      </w:r>
      <w:r w:rsidR="00A67E3B" w:rsidRPr="00D8166E">
        <w:rPr>
          <w:lang w:val="lt-LT"/>
        </w:rPr>
        <w:t> </w:t>
      </w:r>
      <w:r w:rsidRPr="00D8166E">
        <w:rPr>
          <w:lang w:val="lt-LT"/>
        </w:rPr>
        <w:t>mg</w:t>
      </w:r>
    </w:p>
    <w:p w14:paraId="3EB3B2FA" w14:textId="77777777" w:rsidR="00082583" w:rsidRPr="005F48B8" w:rsidRDefault="00082583" w:rsidP="00D8166E">
      <w:pPr>
        <w:rPr>
          <w:szCs w:val="22"/>
          <w:lang w:val="lt-LT"/>
        </w:rPr>
      </w:pPr>
    </w:p>
    <w:p w14:paraId="0EE5F09F" w14:textId="77777777" w:rsidR="00082583" w:rsidRPr="008612DF" w:rsidRDefault="00082583" w:rsidP="00D8166E">
      <w:pPr>
        <w:rPr>
          <w:noProof/>
          <w:snapToGrid/>
          <w:szCs w:val="22"/>
          <w:shd w:val="clear" w:color="auto" w:fill="CCCCCC"/>
          <w:lang w:val="lt-LT"/>
        </w:rPr>
      </w:pPr>
    </w:p>
    <w:p w14:paraId="264CC866" w14:textId="77777777" w:rsidR="00082583" w:rsidRPr="00D8166E" w:rsidRDefault="00082583" w:rsidP="00D8166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8166E">
        <w:rPr>
          <w:b/>
          <w:lang w:val="lt-LT"/>
        </w:rPr>
        <w:t>17.</w:t>
      </w:r>
      <w:r w:rsidRPr="00D8166E">
        <w:rPr>
          <w:b/>
          <w:lang w:val="lt-LT"/>
        </w:rPr>
        <w:tab/>
        <w:t>UNIKALUS IDENTIFIKATORIUS – 2D BRŪKŠNINIS KODAS</w:t>
      </w:r>
    </w:p>
    <w:p w14:paraId="6AB0B337" w14:textId="77777777" w:rsidR="00082583" w:rsidRPr="00D8166E" w:rsidRDefault="00082583" w:rsidP="00D8166E">
      <w:pPr>
        <w:rPr>
          <w:lang w:val="lt-LT"/>
        </w:rPr>
      </w:pPr>
    </w:p>
    <w:p w14:paraId="17D82DBC" w14:textId="77777777" w:rsidR="00082583" w:rsidRPr="00D8166E" w:rsidRDefault="00082583" w:rsidP="00D8166E">
      <w:pPr>
        <w:rPr>
          <w:shd w:val="clear" w:color="auto" w:fill="CCCCCC"/>
          <w:lang w:val="lt-LT"/>
        </w:rPr>
      </w:pPr>
      <w:r w:rsidRPr="00D8166E">
        <w:rPr>
          <w:highlight w:val="lightGray"/>
          <w:lang w:val="lt-LT"/>
        </w:rPr>
        <w:t>2D brūkšninis kodas su nurodytu unikaliu identifikatoriumi.</w:t>
      </w:r>
    </w:p>
    <w:p w14:paraId="5B5F3639" w14:textId="77777777" w:rsidR="00082583" w:rsidRPr="00D8166E" w:rsidRDefault="00082583" w:rsidP="00D8166E">
      <w:pPr>
        <w:rPr>
          <w:lang w:val="lt-LT"/>
        </w:rPr>
      </w:pPr>
    </w:p>
    <w:p w14:paraId="6EB019FF" w14:textId="77777777" w:rsidR="00A67E3B" w:rsidRPr="00D8166E" w:rsidRDefault="00A67E3B" w:rsidP="00D8166E">
      <w:pPr>
        <w:rPr>
          <w:lang w:val="lt-LT"/>
        </w:rPr>
      </w:pPr>
    </w:p>
    <w:p w14:paraId="74E23E0D" w14:textId="77777777" w:rsidR="00082583" w:rsidRPr="00D8166E" w:rsidRDefault="00082583" w:rsidP="00D8166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8166E">
        <w:rPr>
          <w:b/>
          <w:lang w:val="lt-LT"/>
        </w:rPr>
        <w:t>18.</w:t>
      </w:r>
      <w:r w:rsidRPr="00D8166E">
        <w:rPr>
          <w:b/>
          <w:lang w:val="lt-LT"/>
        </w:rPr>
        <w:tab/>
        <w:t>UNIKALUS IDENTIFIKATORIUS – ŽMONĖMS SUPRANTAMI DUOMENYS</w:t>
      </w:r>
    </w:p>
    <w:p w14:paraId="267360A6" w14:textId="77777777" w:rsidR="00082583" w:rsidRPr="00D8166E" w:rsidRDefault="00082583" w:rsidP="00D8166E">
      <w:pPr>
        <w:rPr>
          <w:lang w:val="lt-LT"/>
        </w:rPr>
      </w:pPr>
    </w:p>
    <w:p w14:paraId="334F97BF" w14:textId="77777777" w:rsidR="00082583" w:rsidRPr="00D8166E" w:rsidRDefault="00082583" w:rsidP="00D8166E">
      <w:pPr>
        <w:rPr>
          <w:color w:val="008000"/>
          <w:lang w:val="lt-LT"/>
        </w:rPr>
      </w:pPr>
      <w:r w:rsidRPr="00D8166E">
        <w:rPr>
          <w:lang w:val="lt-LT"/>
        </w:rPr>
        <w:t xml:space="preserve">PC: {numeris} </w:t>
      </w:r>
    </w:p>
    <w:p w14:paraId="0F7D5341" w14:textId="77777777" w:rsidR="00082583" w:rsidRPr="00D8166E" w:rsidRDefault="00082583" w:rsidP="00D8166E">
      <w:pPr>
        <w:rPr>
          <w:lang w:val="lt-LT"/>
        </w:rPr>
      </w:pPr>
      <w:r w:rsidRPr="00D8166E">
        <w:rPr>
          <w:lang w:val="lt-LT"/>
        </w:rPr>
        <w:t>SN: {numeris}</w:t>
      </w:r>
    </w:p>
    <w:p w14:paraId="55EFA86C" w14:textId="77777777" w:rsidR="00082583" w:rsidRPr="00D8166E" w:rsidRDefault="00082583" w:rsidP="00D8166E">
      <w:pPr>
        <w:rPr>
          <w:lang w:val="lt-LT"/>
        </w:rPr>
      </w:pPr>
      <w:r w:rsidRPr="00D8166E">
        <w:rPr>
          <w:highlight w:val="lightGray"/>
          <w:lang w:val="lt-LT"/>
        </w:rPr>
        <w:t xml:space="preserve">NN: {numeris} </w:t>
      </w:r>
    </w:p>
    <w:p w14:paraId="661D1FD5" w14:textId="77777777" w:rsidR="00082583" w:rsidRPr="00D8166E" w:rsidRDefault="00082583" w:rsidP="00D8166E">
      <w:pPr>
        <w:rPr>
          <w:vanish/>
          <w:lang w:val="lt-LT"/>
        </w:rPr>
      </w:pPr>
    </w:p>
    <w:p w14:paraId="065B1E1A" w14:textId="77777777" w:rsidR="00082583" w:rsidRPr="005F48B8" w:rsidRDefault="00082583" w:rsidP="00D8166E">
      <w:pPr>
        <w:rPr>
          <w:szCs w:val="22"/>
          <w:lang w:val="lt-LT"/>
        </w:rPr>
      </w:pPr>
    </w:p>
    <w:p w14:paraId="709E7840" w14:textId="77777777" w:rsidR="00F34163" w:rsidRPr="008612DF" w:rsidRDefault="00F34163" w:rsidP="00D8166E">
      <w:pPr>
        <w:rPr>
          <w:szCs w:val="22"/>
          <w:lang w:val="lt-LT"/>
        </w:rPr>
      </w:pPr>
      <w:r w:rsidRPr="008612DF">
        <w:rPr>
          <w:szCs w:val="22"/>
          <w:lang w:val="lt-LT"/>
        </w:rPr>
        <w:br w:type="page"/>
      </w:r>
    </w:p>
    <w:p w14:paraId="0A7820EB" w14:textId="77777777" w:rsidR="00F34163" w:rsidRPr="002A25EF" w:rsidRDefault="00F34163" w:rsidP="00D8166E">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2A25EF">
        <w:rPr>
          <w:b/>
          <w:noProof/>
          <w:szCs w:val="22"/>
          <w:lang w:val="lt-LT"/>
        </w:rPr>
        <w:lastRenderedPageBreak/>
        <w:t>MINIMALI INFORMACIJA ANT LIZDINIŲ PLOKŠTELIŲ ARBA DVISLUOKSNIŲ JUOSTELIŲ</w:t>
      </w:r>
    </w:p>
    <w:p w14:paraId="3D939FFA" w14:textId="77777777" w:rsidR="00F34163" w:rsidRPr="0061385E" w:rsidRDefault="00F34163" w:rsidP="00D8166E">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636D1408" w14:textId="77777777" w:rsidR="0087679E" w:rsidRPr="00D8166E" w:rsidRDefault="0087679E" w:rsidP="00D8166E">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D8166E">
        <w:rPr>
          <w:b/>
          <w:lang w:val="lt-LT"/>
        </w:rPr>
        <w:t>LIZDINĖ PLOKŠTELĖ</w:t>
      </w:r>
    </w:p>
    <w:p w14:paraId="6AA66B6B" w14:textId="77777777" w:rsidR="00F34163" w:rsidRPr="005F48B8" w:rsidRDefault="00F34163" w:rsidP="00D8166E">
      <w:pPr>
        <w:rPr>
          <w:szCs w:val="22"/>
          <w:lang w:val="lt-LT"/>
        </w:rPr>
      </w:pPr>
    </w:p>
    <w:p w14:paraId="0D73D306" w14:textId="77777777" w:rsidR="00F34163" w:rsidRPr="008612DF" w:rsidRDefault="00F34163" w:rsidP="00D8166E">
      <w:pPr>
        <w:rPr>
          <w:szCs w:val="22"/>
          <w:lang w:val="lt-LT"/>
        </w:rPr>
      </w:pPr>
    </w:p>
    <w:p w14:paraId="2F7336EB"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A25EF">
        <w:rPr>
          <w:b/>
          <w:szCs w:val="22"/>
          <w:lang w:val="lt-LT"/>
        </w:rPr>
        <w:t>1.</w:t>
      </w:r>
      <w:r w:rsidRPr="002A25EF">
        <w:rPr>
          <w:b/>
          <w:szCs w:val="22"/>
          <w:lang w:val="lt-LT"/>
        </w:rPr>
        <w:tab/>
      </w:r>
      <w:r w:rsidRPr="002A25EF">
        <w:rPr>
          <w:b/>
          <w:caps/>
          <w:noProof/>
          <w:szCs w:val="22"/>
          <w:lang w:val="lt-LT"/>
        </w:rPr>
        <w:t>VAISTINIO</w:t>
      </w:r>
      <w:r w:rsidRPr="0061385E">
        <w:rPr>
          <w:b/>
          <w:noProof/>
          <w:szCs w:val="22"/>
          <w:lang w:val="lt-LT"/>
        </w:rPr>
        <w:t xml:space="preserve"> PREPARATO PAVADINIMAS</w:t>
      </w:r>
    </w:p>
    <w:p w14:paraId="720E8F83" w14:textId="77777777" w:rsidR="00F34163" w:rsidRPr="0061385E" w:rsidRDefault="00F34163" w:rsidP="00D8166E">
      <w:pPr>
        <w:rPr>
          <w:szCs w:val="22"/>
          <w:lang w:val="lt-LT"/>
        </w:rPr>
      </w:pPr>
    </w:p>
    <w:p w14:paraId="33A492FF" w14:textId="77777777" w:rsidR="0087679E" w:rsidRPr="00D8166E" w:rsidRDefault="0087679E" w:rsidP="00D8166E">
      <w:pPr>
        <w:spacing w:line="240" w:lineRule="auto"/>
        <w:rPr>
          <w:lang w:val="lt-LT"/>
        </w:rPr>
      </w:pPr>
      <w:proofErr w:type="spellStart"/>
      <w:r w:rsidRPr="00D8166E">
        <w:rPr>
          <w:lang w:val="lt-LT"/>
        </w:rPr>
        <w:t>Tadalafil</w:t>
      </w:r>
      <w:proofErr w:type="spellEnd"/>
      <w:r w:rsidRPr="00D8166E">
        <w:rPr>
          <w:lang w:val="lt-LT"/>
        </w:rPr>
        <w:t xml:space="preserve"> AOP 20</w:t>
      </w:r>
      <w:r w:rsidR="00A67E3B" w:rsidRPr="00D8166E">
        <w:rPr>
          <w:lang w:val="lt-LT"/>
        </w:rPr>
        <w:t> </w:t>
      </w:r>
      <w:r w:rsidRPr="00D8166E">
        <w:rPr>
          <w:lang w:val="lt-LT"/>
        </w:rPr>
        <w:t xml:space="preserve">mg </w:t>
      </w:r>
      <w:r w:rsidR="00A67E3B" w:rsidRPr="00D8166E">
        <w:rPr>
          <w:lang w:val="lt-LT"/>
        </w:rPr>
        <w:t xml:space="preserve">plėvele dengtos </w:t>
      </w:r>
      <w:r w:rsidRPr="00D8166E">
        <w:rPr>
          <w:lang w:val="lt-LT"/>
        </w:rPr>
        <w:t>tabletės</w:t>
      </w:r>
    </w:p>
    <w:p w14:paraId="4BA80499" w14:textId="64CC3504" w:rsidR="0087679E" w:rsidRPr="00D8166E" w:rsidRDefault="00F218C1" w:rsidP="00D8166E">
      <w:pPr>
        <w:spacing w:line="240" w:lineRule="auto"/>
        <w:rPr>
          <w:lang w:val="lt-LT"/>
        </w:rPr>
      </w:pPr>
      <w:proofErr w:type="spellStart"/>
      <w:r>
        <w:rPr>
          <w:lang w:val="lt-LT"/>
        </w:rPr>
        <w:t>t</w:t>
      </w:r>
      <w:r w:rsidR="0087679E" w:rsidRPr="00D8166E">
        <w:rPr>
          <w:lang w:val="lt-LT"/>
        </w:rPr>
        <w:t>adalafilis</w:t>
      </w:r>
      <w:proofErr w:type="spellEnd"/>
    </w:p>
    <w:p w14:paraId="07C531C2" w14:textId="77777777" w:rsidR="00F34163" w:rsidRPr="005F48B8" w:rsidRDefault="00F34163" w:rsidP="00D8166E">
      <w:pPr>
        <w:rPr>
          <w:szCs w:val="22"/>
          <w:lang w:val="lt-LT"/>
        </w:rPr>
      </w:pPr>
    </w:p>
    <w:p w14:paraId="3312A097" w14:textId="77777777" w:rsidR="00F34163" w:rsidRPr="008612DF" w:rsidRDefault="00F34163" w:rsidP="00D8166E">
      <w:pPr>
        <w:rPr>
          <w:szCs w:val="22"/>
          <w:lang w:val="lt-LT"/>
        </w:rPr>
      </w:pPr>
    </w:p>
    <w:p w14:paraId="6CA794C6" w14:textId="77777777" w:rsidR="00F34163" w:rsidRPr="0061385E" w:rsidRDefault="00F34163" w:rsidP="00D816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A25EF">
        <w:rPr>
          <w:b/>
          <w:szCs w:val="22"/>
          <w:lang w:val="lt-LT"/>
        </w:rPr>
        <w:t>2.</w:t>
      </w:r>
      <w:r w:rsidRPr="002A25EF">
        <w:rPr>
          <w:b/>
          <w:szCs w:val="22"/>
          <w:lang w:val="lt-LT"/>
        </w:rPr>
        <w:tab/>
      </w:r>
      <w:r w:rsidR="00461F31" w:rsidRPr="002A25EF">
        <w:rPr>
          <w:b/>
          <w:caps/>
          <w:noProof/>
          <w:szCs w:val="22"/>
          <w:lang w:val="lt-LT"/>
        </w:rPr>
        <w:t>REGISTRUOTOJO</w:t>
      </w:r>
      <w:r w:rsidRPr="0061385E">
        <w:rPr>
          <w:b/>
          <w:caps/>
          <w:noProof/>
          <w:szCs w:val="22"/>
          <w:lang w:val="lt-LT"/>
        </w:rPr>
        <w:t xml:space="preserve"> pavadinimas</w:t>
      </w:r>
    </w:p>
    <w:p w14:paraId="74035A8D" w14:textId="77777777" w:rsidR="00F34163" w:rsidRPr="0061385E" w:rsidRDefault="00F34163" w:rsidP="00D8166E">
      <w:pPr>
        <w:rPr>
          <w:szCs w:val="22"/>
          <w:lang w:val="lt-LT"/>
        </w:rPr>
      </w:pPr>
    </w:p>
    <w:p w14:paraId="3FB5BF58" w14:textId="77777777" w:rsidR="0087679E" w:rsidRPr="00D8166E" w:rsidRDefault="0087679E" w:rsidP="00D8166E">
      <w:pPr>
        <w:spacing w:line="240" w:lineRule="auto"/>
        <w:rPr>
          <w:lang w:val="lt-LT"/>
        </w:rPr>
      </w:pPr>
      <w:bookmarkStart w:id="1" w:name="_Hlk513558971"/>
      <w:bookmarkStart w:id="2" w:name="_Hlk513557329"/>
      <w:r w:rsidRPr="00D8166E">
        <w:rPr>
          <w:lang w:val="lt-LT"/>
        </w:rPr>
        <w:t xml:space="preserve">AOP </w:t>
      </w:r>
      <w:proofErr w:type="spellStart"/>
      <w:r w:rsidRPr="00D8166E">
        <w:rPr>
          <w:lang w:val="lt-LT"/>
        </w:rPr>
        <w:t>Orphan</w:t>
      </w:r>
      <w:bookmarkEnd w:id="1"/>
      <w:proofErr w:type="spellEnd"/>
    </w:p>
    <w:bookmarkEnd w:id="2"/>
    <w:p w14:paraId="3A7A7101" w14:textId="77777777" w:rsidR="00F34163" w:rsidRPr="005F48B8" w:rsidRDefault="00F34163" w:rsidP="00D8166E">
      <w:pPr>
        <w:rPr>
          <w:szCs w:val="22"/>
          <w:lang w:val="lt-LT"/>
        </w:rPr>
      </w:pPr>
      <w:r w:rsidRPr="005F48B8">
        <w:rPr>
          <w:szCs w:val="22"/>
          <w:lang w:val="lt-LT"/>
        </w:rPr>
        <w:t xml:space="preserve"> </w:t>
      </w:r>
    </w:p>
    <w:p w14:paraId="064E0BA2" w14:textId="77777777" w:rsidR="00F34163" w:rsidRPr="008612DF" w:rsidRDefault="00F34163" w:rsidP="00D8166E">
      <w:pPr>
        <w:rPr>
          <w:szCs w:val="22"/>
          <w:lang w:val="lt-LT"/>
        </w:rPr>
      </w:pPr>
    </w:p>
    <w:p w14:paraId="7B20F846" w14:textId="77777777" w:rsidR="00F34163" w:rsidRPr="0061385E" w:rsidRDefault="00F34163" w:rsidP="00D8166E">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2A25EF">
        <w:rPr>
          <w:b/>
          <w:szCs w:val="22"/>
          <w:lang w:val="lt-LT"/>
        </w:rPr>
        <w:t>3.</w:t>
      </w:r>
      <w:r w:rsidRPr="002A25EF">
        <w:rPr>
          <w:b/>
          <w:szCs w:val="22"/>
          <w:lang w:val="lt-LT"/>
        </w:rPr>
        <w:tab/>
      </w:r>
      <w:r w:rsidRPr="002A25EF">
        <w:rPr>
          <w:b/>
          <w:noProof/>
          <w:szCs w:val="22"/>
          <w:lang w:val="lt-LT"/>
        </w:rPr>
        <w:t>TINKAMUMO LAIKAS</w:t>
      </w:r>
    </w:p>
    <w:p w14:paraId="3AE19F00" w14:textId="77777777" w:rsidR="00F34163" w:rsidRPr="0061385E" w:rsidRDefault="00F34163" w:rsidP="00D8166E">
      <w:pPr>
        <w:rPr>
          <w:szCs w:val="22"/>
          <w:lang w:val="lt-LT"/>
        </w:rPr>
      </w:pPr>
    </w:p>
    <w:p w14:paraId="7C9D895B" w14:textId="77777777" w:rsidR="00F34163" w:rsidRPr="005F48B8" w:rsidRDefault="00F34163" w:rsidP="00D8166E">
      <w:pPr>
        <w:rPr>
          <w:szCs w:val="22"/>
          <w:lang w:val="lt-LT"/>
        </w:rPr>
      </w:pPr>
      <w:r w:rsidRPr="0061385E">
        <w:rPr>
          <w:szCs w:val="22"/>
          <w:lang w:val="lt-LT"/>
        </w:rPr>
        <w:t>EXP</w:t>
      </w:r>
      <w:r w:rsidR="00D8166E">
        <w:rPr>
          <w:szCs w:val="22"/>
          <w:lang w:val="lt-LT"/>
        </w:rPr>
        <w:t>: mm/MMMM</w:t>
      </w:r>
    </w:p>
    <w:p w14:paraId="42AB5767" w14:textId="77777777" w:rsidR="00F34163" w:rsidRPr="008612DF" w:rsidRDefault="00F34163" w:rsidP="00D8166E">
      <w:pPr>
        <w:rPr>
          <w:szCs w:val="22"/>
          <w:lang w:val="lt-LT"/>
        </w:rPr>
      </w:pPr>
    </w:p>
    <w:p w14:paraId="4244E143" w14:textId="77777777" w:rsidR="003E6D93" w:rsidRPr="002A25EF" w:rsidRDefault="003E6D93" w:rsidP="00D8166E">
      <w:pPr>
        <w:rPr>
          <w:szCs w:val="22"/>
          <w:lang w:val="lt-LT"/>
        </w:rPr>
      </w:pPr>
    </w:p>
    <w:p w14:paraId="67828ED2" w14:textId="77777777" w:rsidR="00F34163" w:rsidRPr="0061385E" w:rsidRDefault="00F34163" w:rsidP="00D8166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385E">
        <w:rPr>
          <w:b/>
          <w:szCs w:val="22"/>
          <w:lang w:val="lt-LT"/>
        </w:rPr>
        <w:t>4.</w:t>
      </w:r>
      <w:r w:rsidRPr="0061385E">
        <w:rPr>
          <w:b/>
          <w:szCs w:val="22"/>
          <w:lang w:val="lt-LT"/>
        </w:rPr>
        <w:tab/>
      </w:r>
      <w:r w:rsidRPr="0061385E">
        <w:rPr>
          <w:b/>
          <w:noProof/>
          <w:szCs w:val="22"/>
          <w:lang w:val="lt-LT"/>
        </w:rPr>
        <w:t>SERIJOS NUMERIS</w:t>
      </w:r>
    </w:p>
    <w:p w14:paraId="16ADF312" w14:textId="77777777" w:rsidR="00F34163" w:rsidRPr="0061385E" w:rsidRDefault="00F34163" w:rsidP="00D8166E">
      <w:pPr>
        <w:rPr>
          <w:szCs w:val="22"/>
          <w:lang w:val="lt-LT"/>
        </w:rPr>
      </w:pPr>
    </w:p>
    <w:p w14:paraId="2A52B8C8" w14:textId="77777777" w:rsidR="00F34163" w:rsidRPr="0061385E" w:rsidRDefault="00F34163" w:rsidP="00D8166E">
      <w:pPr>
        <w:spacing w:line="240" w:lineRule="auto"/>
        <w:outlineLvl w:val="0"/>
        <w:rPr>
          <w:szCs w:val="22"/>
          <w:lang w:val="lt-LT"/>
        </w:rPr>
      </w:pPr>
      <w:r w:rsidRPr="0061385E">
        <w:rPr>
          <w:szCs w:val="22"/>
          <w:lang w:val="lt-LT"/>
        </w:rPr>
        <w:t>Lot</w:t>
      </w:r>
    </w:p>
    <w:p w14:paraId="42878FD2" w14:textId="77777777" w:rsidR="00F34163" w:rsidRPr="009840AD" w:rsidRDefault="00F34163" w:rsidP="00D8166E">
      <w:pPr>
        <w:rPr>
          <w:szCs w:val="22"/>
          <w:lang w:val="lt-LT"/>
        </w:rPr>
      </w:pPr>
    </w:p>
    <w:p w14:paraId="65A549D9" w14:textId="77777777" w:rsidR="00A67E3B" w:rsidRPr="00F1014D" w:rsidRDefault="00A67E3B" w:rsidP="00D8166E">
      <w:pPr>
        <w:rPr>
          <w:szCs w:val="22"/>
          <w:lang w:val="lt-LT"/>
        </w:rPr>
      </w:pPr>
    </w:p>
    <w:p w14:paraId="110EEC84" w14:textId="77777777" w:rsidR="00F34163" w:rsidRPr="007203A0" w:rsidRDefault="00F34163" w:rsidP="00D816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203A0">
        <w:rPr>
          <w:b/>
          <w:szCs w:val="22"/>
          <w:lang w:val="lt-LT"/>
        </w:rPr>
        <w:t>5.</w:t>
      </w:r>
      <w:r w:rsidRPr="007203A0">
        <w:rPr>
          <w:b/>
          <w:szCs w:val="22"/>
          <w:lang w:val="lt-LT"/>
        </w:rPr>
        <w:tab/>
      </w:r>
      <w:r w:rsidRPr="007203A0">
        <w:rPr>
          <w:b/>
          <w:noProof/>
          <w:szCs w:val="22"/>
          <w:lang w:val="lt-LT"/>
        </w:rPr>
        <w:t>KITA</w:t>
      </w:r>
    </w:p>
    <w:p w14:paraId="04943FE6" w14:textId="77777777" w:rsidR="00F34163" w:rsidRPr="007203A0" w:rsidRDefault="00F34163" w:rsidP="00D8166E">
      <w:pPr>
        <w:rPr>
          <w:szCs w:val="22"/>
          <w:lang w:val="lt-LT"/>
        </w:rPr>
      </w:pPr>
    </w:p>
    <w:p w14:paraId="46641A05" w14:textId="77777777" w:rsidR="00F34163" w:rsidRPr="007203A0" w:rsidRDefault="00F34163" w:rsidP="00D8166E">
      <w:pPr>
        <w:outlineLvl w:val="0"/>
        <w:rPr>
          <w:szCs w:val="22"/>
          <w:lang w:val="lt-LT"/>
        </w:rPr>
      </w:pPr>
    </w:p>
    <w:p w14:paraId="094705E4" w14:textId="77777777" w:rsidR="00F34163" w:rsidRPr="007203A0" w:rsidRDefault="006E1A5F" w:rsidP="00D8166E">
      <w:pPr>
        <w:outlineLvl w:val="0"/>
        <w:rPr>
          <w:szCs w:val="22"/>
          <w:lang w:val="lt-LT"/>
        </w:rPr>
      </w:pPr>
      <w:r w:rsidRPr="007203A0">
        <w:rPr>
          <w:szCs w:val="22"/>
          <w:lang w:val="lt-LT"/>
        </w:rPr>
        <w:br w:type="page"/>
      </w:r>
    </w:p>
    <w:p w14:paraId="04B9A7AA" w14:textId="77777777" w:rsidR="00F34163" w:rsidRPr="007203A0" w:rsidRDefault="00F34163" w:rsidP="00D8166E">
      <w:pPr>
        <w:outlineLvl w:val="0"/>
        <w:rPr>
          <w:szCs w:val="22"/>
          <w:lang w:val="lt-LT"/>
        </w:rPr>
      </w:pPr>
    </w:p>
    <w:p w14:paraId="6161E233" w14:textId="77777777" w:rsidR="00F34163" w:rsidRPr="007203A0" w:rsidRDefault="00F34163" w:rsidP="00D8166E">
      <w:pPr>
        <w:outlineLvl w:val="0"/>
        <w:rPr>
          <w:szCs w:val="22"/>
          <w:lang w:val="lt-LT"/>
        </w:rPr>
      </w:pPr>
    </w:p>
    <w:p w14:paraId="032F9646" w14:textId="77777777" w:rsidR="00F34163" w:rsidRPr="007203A0" w:rsidRDefault="00F34163" w:rsidP="00D8166E">
      <w:pPr>
        <w:outlineLvl w:val="0"/>
        <w:rPr>
          <w:szCs w:val="22"/>
          <w:lang w:val="lt-LT"/>
        </w:rPr>
      </w:pPr>
    </w:p>
    <w:p w14:paraId="53A4A371" w14:textId="77777777" w:rsidR="00F34163" w:rsidRPr="007203A0" w:rsidRDefault="00F34163" w:rsidP="00D8166E">
      <w:pPr>
        <w:outlineLvl w:val="0"/>
        <w:rPr>
          <w:szCs w:val="22"/>
          <w:lang w:val="lt-LT"/>
        </w:rPr>
      </w:pPr>
    </w:p>
    <w:p w14:paraId="6E1EFFBD" w14:textId="77777777" w:rsidR="00F34163" w:rsidRPr="007203A0" w:rsidRDefault="00F34163" w:rsidP="00D8166E">
      <w:pPr>
        <w:outlineLvl w:val="0"/>
        <w:rPr>
          <w:szCs w:val="22"/>
          <w:lang w:val="lt-LT"/>
        </w:rPr>
      </w:pPr>
    </w:p>
    <w:p w14:paraId="3645F6C3" w14:textId="77777777" w:rsidR="00F34163" w:rsidRPr="007203A0" w:rsidRDefault="00F34163" w:rsidP="00D8166E">
      <w:pPr>
        <w:outlineLvl w:val="0"/>
        <w:rPr>
          <w:szCs w:val="22"/>
          <w:lang w:val="lt-LT"/>
        </w:rPr>
      </w:pPr>
    </w:p>
    <w:p w14:paraId="35186F7B" w14:textId="77777777" w:rsidR="00F34163" w:rsidRPr="007203A0" w:rsidRDefault="00F34163" w:rsidP="00D8166E">
      <w:pPr>
        <w:outlineLvl w:val="0"/>
        <w:rPr>
          <w:szCs w:val="22"/>
          <w:lang w:val="lt-LT"/>
        </w:rPr>
      </w:pPr>
    </w:p>
    <w:p w14:paraId="057996F5" w14:textId="77777777" w:rsidR="00F34163" w:rsidRPr="007203A0" w:rsidRDefault="00F34163" w:rsidP="00D8166E">
      <w:pPr>
        <w:outlineLvl w:val="0"/>
        <w:rPr>
          <w:szCs w:val="22"/>
          <w:lang w:val="lt-LT"/>
        </w:rPr>
      </w:pPr>
    </w:p>
    <w:p w14:paraId="24A0DD3E" w14:textId="77777777" w:rsidR="00F34163" w:rsidRPr="007203A0" w:rsidRDefault="00F34163" w:rsidP="00D8166E">
      <w:pPr>
        <w:outlineLvl w:val="0"/>
        <w:rPr>
          <w:szCs w:val="22"/>
          <w:lang w:val="lt-LT"/>
        </w:rPr>
      </w:pPr>
    </w:p>
    <w:p w14:paraId="4A545BC1" w14:textId="77777777" w:rsidR="00F34163" w:rsidRPr="007203A0" w:rsidRDefault="00F34163" w:rsidP="00D8166E">
      <w:pPr>
        <w:outlineLvl w:val="0"/>
        <w:rPr>
          <w:szCs w:val="22"/>
          <w:lang w:val="lt-LT"/>
        </w:rPr>
      </w:pPr>
    </w:p>
    <w:p w14:paraId="2150D8DA" w14:textId="77777777" w:rsidR="00F34163" w:rsidRPr="007203A0" w:rsidRDefault="00F34163" w:rsidP="00D8166E">
      <w:pPr>
        <w:outlineLvl w:val="0"/>
        <w:rPr>
          <w:szCs w:val="22"/>
          <w:lang w:val="lt-LT"/>
        </w:rPr>
      </w:pPr>
    </w:p>
    <w:p w14:paraId="359BDF97" w14:textId="77777777" w:rsidR="00F34163" w:rsidRPr="007203A0" w:rsidRDefault="00F34163" w:rsidP="00D8166E">
      <w:pPr>
        <w:outlineLvl w:val="0"/>
        <w:rPr>
          <w:szCs w:val="22"/>
          <w:lang w:val="lt-LT"/>
        </w:rPr>
      </w:pPr>
    </w:p>
    <w:p w14:paraId="37DD66C4" w14:textId="77777777" w:rsidR="00F34163" w:rsidRPr="007203A0" w:rsidRDefault="00F34163" w:rsidP="00D8166E">
      <w:pPr>
        <w:outlineLvl w:val="0"/>
        <w:rPr>
          <w:szCs w:val="22"/>
          <w:lang w:val="lt-LT"/>
        </w:rPr>
      </w:pPr>
    </w:p>
    <w:p w14:paraId="43BC4EE9" w14:textId="77777777" w:rsidR="00F34163" w:rsidRPr="007203A0" w:rsidRDefault="00F34163" w:rsidP="00D8166E">
      <w:pPr>
        <w:outlineLvl w:val="0"/>
        <w:rPr>
          <w:szCs w:val="22"/>
          <w:lang w:val="lt-LT"/>
        </w:rPr>
      </w:pPr>
    </w:p>
    <w:p w14:paraId="2A2C1517" w14:textId="77777777" w:rsidR="00F34163" w:rsidRPr="007203A0" w:rsidRDefault="00F34163" w:rsidP="00D8166E">
      <w:pPr>
        <w:outlineLvl w:val="0"/>
        <w:rPr>
          <w:szCs w:val="22"/>
          <w:lang w:val="lt-LT"/>
        </w:rPr>
      </w:pPr>
    </w:p>
    <w:p w14:paraId="7831E207" w14:textId="77777777" w:rsidR="00245A81" w:rsidRPr="007203A0" w:rsidRDefault="00245A81" w:rsidP="00D8166E">
      <w:pPr>
        <w:jc w:val="center"/>
        <w:outlineLvl w:val="0"/>
        <w:rPr>
          <w:b/>
          <w:szCs w:val="22"/>
          <w:lang w:val="lt-LT"/>
        </w:rPr>
      </w:pPr>
    </w:p>
    <w:p w14:paraId="2CB91C1B" w14:textId="77777777" w:rsidR="00245A81" w:rsidRPr="007203A0" w:rsidRDefault="00245A81" w:rsidP="00D8166E">
      <w:pPr>
        <w:jc w:val="center"/>
        <w:outlineLvl w:val="0"/>
        <w:rPr>
          <w:b/>
          <w:szCs w:val="22"/>
          <w:lang w:val="lt-LT"/>
        </w:rPr>
      </w:pPr>
    </w:p>
    <w:p w14:paraId="5478117F" w14:textId="77777777" w:rsidR="00245A81" w:rsidRPr="007203A0" w:rsidRDefault="00245A81" w:rsidP="00D8166E">
      <w:pPr>
        <w:jc w:val="center"/>
        <w:outlineLvl w:val="0"/>
        <w:rPr>
          <w:b/>
          <w:szCs w:val="22"/>
          <w:lang w:val="lt-LT"/>
        </w:rPr>
      </w:pPr>
    </w:p>
    <w:p w14:paraId="1D441F3D" w14:textId="77777777" w:rsidR="00245A81" w:rsidRPr="007203A0" w:rsidRDefault="00245A81" w:rsidP="00D8166E">
      <w:pPr>
        <w:jc w:val="center"/>
        <w:outlineLvl w:val="0"/>
        <w:rPr>
          <w:b/>
          <w:szCs w:val="22"/>
          <w:lang w:val="lt-LT"/>
        </w:rPr>
      </w:pPr>
    </w:p>
    <w:p w14:paraId="596F226D" w14:textId="77777777" w:rsidR="00245A81" w:rsidRPr="007203A0" w:rsidRDefault="00245A81" w:rsidP="00D8166E">
      <w:pPr>
        <w:jc w:val="center"/>
        <w:outlineLvl w:val="0"/>
        <w:rPr>
          <w:b/>
          <w:szCs w:val="22"/>
          <w:lang w:val="lt-LT"/>
        </w:rPr>
      </w:pPr>
    </w:p>
    <w:p w14:paraId="1788A371" w14:textId="77777777" w:rsidR="00245A81" w:rsidRPr="007203A0" w:rsidRDefault="00245A81" w:rsidP="00D8166E">
      <w:pPr>
        <w:jc w:val="center"/>
        <w:outlineLvl w:val="0"/>
        <w:rPr>
          <w:b/>
          <w:szCs w:val="22"/>
          <w:lang w:val="lt-LT"/>
        </w:rPr>
      </w:pPr>
    </w:p>
    <w:p w14:paraId="6FF2D27B" w14:textId="77777777" w:rsidR="00245A81" w:rsidRPr="007203A0" w:rsidRDefault="00245A81" w:rsidP="00D8166E">
      <w:pPr>
        <w:jc w:val="center"/>
        <w:outlineLvl w:val="0"/>
        <w:rPr>
          <w:b/>
          <w:szCs w:val="22"/>
          <w:lang w:val="lt-LT"/>
        </w:rPr>
      </w:pPr>
    </w:p>
    <w:p w14:paraId="5181ADDF" w14:textId="77777777" w:rsidR="00F34163" w:rsidRPr="007203A0" w:rsidRDefault="00F34163" w:rsidP="00D8166E">
      <w:pPr>
        <w:jc w:val="center"/>
        <w:outlineLvl w:val="0"/>
        <w:rPr>
          <w:b/>
          <w:szCs w:val="22"/>
          <w:lang w:val="lt-LT"/>
        </w:rPr>
      </w:pPr>
      <w:r w:rsidRPr="007203A0">
        <w:rPr>
          <w:b/>
          <w:szCs w:val="22"/>
          <w:lang w:val="lt-LT"/>
        </w:rPr>
        <w:t>B. PAKUOTĖS LAPELIS</w:t>
      </w:r>
    </w:p>
    <w:p w14:paraId="79365CBB" w14:textId="77777777" w:rsidR="0041096E" w:rsidRPr="007203A0" w:rsidRDefault="00F34163" w:rsidP="0041096E">
      <w:pPr>
        <w:pStyle w:val="Antrat2"/>
        <w:spacing w:before="0" w:after="0" w:line="240" w:lineRule="auto"/>
        <w:jc w:val="center"/>
        <w:rPr>
          <w:rFonts w:ascii="Times New Roman" w:hAnsi="Times New Roman"/>
          <w:bCs w:val="0"/>
          <w:i w:val="0"/>
          <w:iCs w:val="0"/>
          <w:sz w:val="22"/>
          <w:szCs w:val="22"/>
          <w:lang w:val="lt-LT"/>
        </w:rPr>
      </w:pPr>
      <w:r w:rsidRPr="007203A0">
        <w:rPr>
          <w:rFonts w:ascii="Times New Roman" w:hAnsi="Times New Roman"/>
          <w:i w:val="0"/>
          <w:sz w:val="22"/>
          <w:szCs w:val="22"/>
          <w:lang w:val="lt-LT"/>
        </w:rPr>
        <w:br w:type="page"/>
      </w:r>
      <w:r w:rsidR="0041096E" w:rsidRPr="007203A0">
        <w:rPr>
          <w:rFonts w:ascii="Times New Roman" w:hAnsi="Times New Roman"/>
          <w:i w:val="0"/>
          <w:sz w:val="22"/>
          <w:szCs w:val="22"/>
          <w:lang w:val="lt-LT"/>
        </w:rPr>
        <w:lastRenderedPageBreak/>
        <w:t>Pakuotės lapelis:</w:t>
      </w:r>
      <w:r w:rsidR="0041096E" w:rsidRPr="007203A0">
        <w:rPr>
          <w:rFonts w:ascii="Times New Roman" w:hAnsi="Times New Roman"/>
          <w:bCs w:val="0"/>
          <w:i w:val="0"/>
          <w:iCs w:val="0"/>
          <w:sz w:val="22"/>
          <w:szCs w:val="22"/>
          <w:lang w:val="lt-LT"/>
        </w:rPr>
        <w:t xml:space="preserve"> </w:t>
      </w:r>
      <w:r w:rsidR="0041096E" w:rsidRPr="007203A0">
        <w:rPr>
          <w:rFonts w:ascii="Times New Roman" w:hAnsi="Times New Roman"/>
          <w:i w:val="0"/>
          <w:sz w:val="22"/>
          <w:szCs w:val="22"/>
          <w:lang w:val="lt-LT"/>
        </w:rPr>
        <w:t>informacija vartotojui</w:t>
      </w:r>
    </w:p>
    <w:p w14:paraId="35906B3E" w14:textId="77777777" w:rsidR="0041096E" w:rsidRPr="007203A0" w:rsidRDefault="0041096E" w:rsidP="0041096E">
      <w:pPr>
        <w:numPr>
          <w:ilvl w:val="12"/>
          <w:numId w:val="0"/>
        </w:numPr>
        <w:shd w:val="clear" w:color="auto" w:fill="FFFFFF"/>
        <w:tabs>
          <w:tab w:val="clear" w:pos="567"/>
        </w:tabs>
        <w:spacing w:line="240" w:lineRule="auto"/>
        <w:jc w:val="center"/>
        <w:rPr>
          <w:szCs w:val="22"/>
          <w:lang w:val="lt-LT"/>
        </w:rPr>
      </w:pPr>
    </w:p>
    <w:p w14:paraId="006F065D" w14:textId="77777777" w:rsidR="0041096E" w:rsidRPr="007203A0" w:rsidRDefault="0041096E" w:rsidP="0041096E">
      <w:pPr>
        <w:spacing w:line="240" w:lineRule="auto"/>
        <w:jc w:val="center"/>
        <w:rPr>
          <w:b/>
          <w:szCs w:val="22"/>
          <w:lang w:val="lt-LT"/>
        </w:rPr>
      </w:pPr>
      <w:proofErr w:type="spellStart"/>
      <w:r w:rsidRPr="007203A0">
        <w:rPr>
          <w:b/>
          <w:szCs w:val="22"/>
          <w:lang w:val="lt-LT"/>
        </w:rPr>
        <w:t>Tadalafil</w:t>
      </w:r>
      <w:proofErr w:type="spellEnd"/>
      <w:r w:rsidRPr="007203A0">
        <w:rPr>
          <w:b/>
          <w:szCs w:val="22"/>
          <w:lang w:val="lt-LT"/>
        </w:rPr>
        <w:t xml:space="preserve"> AOP 20 mg plėvele dengtos tabletės</w:t>
      </w:r>
    </w:p>
    <w:p w14:paraId="3E53D349" w14:textId="77777777" w:rsidR="0041096E" w:rsidRPr="007203A0" w:rsidRDefault="0041096E" w:rsidP="0041096E">
      <w:pPr>
        <w:numPr>
          <w:ilvl w:val="12"/>
          <w:numId w:val="0"/>
        </w:numPr>
        <w:tabs>
          <w:tab w:val="clear" w:pos="567"/>
        </w:tabs>
        <w:spacing w:line="240" w:lineRule="auto"/>
        <w:jc w:val="center"/>
        <w:rPr>
          <w:szCs w:val="22"/>
          <w:lang w:val="lt-LT"/>
        </w:rPr>
      </w:pPr>
      <w:proofErr w:type="spellStart"/>
      <w:r>
        <w:rPr>
          <w:szCs w:val="22"/>
          <w:lang w:val="lt-LT"/>
        </w:rPr>
        <w:t>t</w:t>
      </w:r>
      <w:r w:rsidRPr="007203A0">
        <w:rPr>
          <w:szCs w:val="22"/>
          <w:lang w:val="lt-LT"/>
        </w:rPr>
        <w:t>adalafilis</w:t>
      </w:r>
      <w:proofErr w:type="spellEnd"/>
    </w:p>
    <w:p w14:paraId="30DD6586" w14:textId="77777777" w:rsidR="0041096E" w:rsidRPr="007203A0" w:rsidRDefault="0041096E" w:rsidP="0041096E">
      <w:pPr>
        <w:tabs>
          <w:tab w:val="clear" w:pos="567"/>
        </w:tabs>
        <w:spacing w:line="240" w:lineRule="auto"/>
        <w:rPr>
          <w:color w:val="008000"/>
          <w:szCs w:val="22"/>
          <w:lang w:val="lt-LT"/>
        </w:rPr>
      </w:pPr>
    </w:p>
    <w:p w14:paraId="388C87FE" w14:textId="77777777" w:rsidR="0041096E" w:rsidRPr="007203A0" w:rsidRDefault="0041096E" w:rsidP="0041096E">
      <w:pPr>
        <w:tabs>
          <w:tab w:val="clear" w:pos="567"/>
        </w:tabs>
        <w:suppressAutoHyphens/>
        <w:spacing w:line="240" w:lineRule="auto"/>
        <w:rPr>
          <w:szCs w:val="22"/>
          <w:lang w:val="lt-LT"/>
        </w:rPr>
      </w:pPr>
      <w:r w:rsidRPr="007203A0">
        <w:rPr>
          <w:b/>
          <w:noProof/>
          <w:szCs w:val="22"/>
          <w:lang w:val="lt-LT"/>
        </w:rPr>
        <w:t>Atidžiai perskaitykite visą šį lapelį, prieš pradėdami vartoti vaistą, nes jame pateikiama Jums svarbi informacija.</w:t>
      </w:r>
    </w:p>
    <w:p w14:paraId="0249EB9A" w14:textId="77777777" w:rsidR="0041096E" w:rsidRPr="007203A0" w:rsidRDefault="0041096E" w:rsidP="0041096E">
      <w:pPr>
        <w:numPr>
          <w:ilvl w:val="0"/>
          <w:numId w:val="3"/>
        </w:numPr>
        <w:tabs>
          <w:tab w:val="clear" w:pos="567"/>
        </w:tabs>
        <w:spacing w:line="240" w:lineRule="auto"/>
        <w:ind w:left="567" w:right="-2" w:hanging="567"/>
        <w:rPr>
          <w:szCs w:val="22"/>
          <w:lang w:val="lt-LT"/>
        </w:rPr>
      </w:pPr>
      <w:r w:rsidRPr="007203A0">
        <w:rPr>
          <w:noProof/>
          <w:szCs w:val="22"/>
          <w:lang w:val="lt-LT"/>
        </w:rPr>
        <w:t>Neišmeskite šio lapelio, nes vėl gali prireikti jį perskaityti.</w:t>
      </w:r>
      <w:r w:rsidRPr="007203A0">
        <w:rPr>
          <w:szCs w:val="22"/>
          <w:lang w:val="lt-LT"/>
        </w:rPr>
        <w:t xml:space="preserve"> </w:t>
      </w:r>
    </w:p>
    <w:p w14:paraId="68E01BA1" w14:textId="77777777" w:rsidR="0041096E" w:rsidRPr="007203A0" w:rsidRDefault="0041096E" w:rsidP="0041096E">
      <w:pPr>
        <w:numPr>
          <w:ilvl w:val="0"/>
          <w:numId w:val="3"/>
        </w:numPr>
        <w:tabs>
          <w:tab w:val="clear" w:pos="567"/>
        </w:tabs>
        <w:spacing w:line="240" w:lineRule="auto"/>
        <w:ind w:left="567" w:right="-2" w:hanging="567"/>
        <w:rPr>
          <w:szCs w:val="22"/>
          <w:lang w:val="lt-LT"/>
        </w:rPr>
      </w:pPr>
      <w:r w:rsidRPr="007203A0">
        <w:rPr>
          <w:noProof/>
          <w:szCs w:val="22"/>
          <w:lang w:val="lt-LT"/>
        </w:rPr>
        <w:t>Jeigu kiltų daugiau klausimų, kreipkitės į gydytoją arba vaistininką.</w:t>
      </w:r>
    </w:p>
    <w:p w14:paraId="7890E187" w14:textId="77777777" w:rsidR="0041096E" w:rsidRPr="007203A0" w:rsidRDefault="0041096E" w:rsidP="0041096E">
      <w:pPr>
        <w:spacing w:line="240" w:lineRule="auto"/>
        <w:ind w:left="567" w:right="-2" w:hanging="567"/>
        <w:rPr>
          <w:szCs w:val="22"/>
          <w:lang w:val="lt-LT"/>
        </w:rPr>
      </w:pPr>
      <w:r w:rsidRPr="007203A0">
        <w:rPr>
          <w:szCs w:val="22"/>
          <w:lang w:val="lt-LT"/>
        </w:rPr>
        <w:t>-</w:t>
      </w:r>
      <w:r w:rsidRPr="007203A0">
        <w:rPr>
          <w:szCs w:val="22"/>
          <w:lang w:val="lt-LT"/>
        </w:rPr>
        <w:tab/>
      </w:r>
      <w:r w:rsidRPr="007203A0">
        <w:rPr>
          <w:noProof/>
          <w:szCs w:val="22"/>
          <w:lang w:val="lt-LT"/>
        </w:rPr>
        <w:t>Šis vaistas skirtas tik Jums, todėl kitiems žmonėms jo duoti negalima.</w:t>
      </w:r>
      <w:r w:rsidRPr="007203A0">
        <w:rPr>
          <w:szCs w:val="22"/>
          <w:lang w:val="lt-LT"/>
        </w:rPr>
        <w:t xml:space="preserve"> </w:t>
      </w:r>
      <w:r w:rsidRPr="007203A0">
        <w:rPr>
          <w:noProof/>
          <w:szCs w:val="22"/>
          <w:lang w:val="lt-LT"/>
        </w:rPr>
        <w:t>Vaistas gali jiems pakenkti (net tiems, kurių ligos požymiai yra tokie patys kaip Jūsų).</w:t>
      </w:r>
      <w:r w:rsidRPr="007203A0">
        <w:rPr>
          <w:color w:val="008000"/>
          <w:szCs w:val="22"/>
          <w:lang w:val="lt-LT"/>
        </w:rPr>
        <w:t xml:space="preserve"> </w:t>
      </w:r>
    </w:p>
    <w:p w14:paraId="6928FA6A" w14:textId="77777777" w:rsidR="0041096E" w:rsidRPr="007203A0" w:rsidRDefault="0041096E" w:rsidP="0041096E">
      <w:pPr>
        <w:numPr>
          <w:ilvl w:val="0"/>
          <w:numId w:val="3"/>
        </w:numPr>
        <w:spacing w:line="240" w:lineRule="auto"/>
        <w:ind w:left="567" w:hanging="567"/>
        <w:rPr>
          <w:szCs w:val="22"/>
          <w:lang w:val="lt-LT"/>
        </w:rPr>
      </w:pPr>
      <w:r w:rsidRPr="007203A0">
        <w:rPr>
          <w:noProof/>
          <w:szCs w:val="22"/>
          <w:lang w:val="lt-LT"/>
        </w:rPr>
        <w:t>Jeigu pasireiškė šalutinis poveikis (net jeigu jis šiame lapelyje nenurodytas), kreipkitės į gydytoją arba vaistininką. Žr. 4 skyrių.</w:t>
      </w:r>
    </w:p>
    <w:p w14:paraId="641BB6CE" w14:textId="77777777" w:rsidR="0041096E" w:rsidRPr="007203A0" w:rsidRDefault="0041096E" w:rsidP="0041096E">
      <w:pPr>
        <w:tabs>
          <w:tab w:val="clear" w:pos="567"/>
        </w:tabs>
        <w:spacing w:line="240" w:lineRule="auto"/>
        <w:ind w:right="-2"/>
        <w:rPr>
          <w:szCs w:val="22"/>
          <w:lang w:val="lt-LT"/>
        </w:rPr>
      </w:pPr>
    </w:p>
    <w:p w14:paraId="1640F82C" w14:textId="77777777" w:rsidR="0041096E" w:rsidRPr="007203A0" w:rsidRDefault="0041096E" w:rsidP="0041096E">
      <w:pPr>
        <w:tabs>
          <w:tab w:val="clear" w:pos="567"/>
        </w:tabs>
        <w:spacing w:line="240" w:lineRule="auto"/>
        <w:ind w:right="-2"/>
        <w:rPr>
          <w:szCs w:val="22"/>
          <w:lang w:val="lt-LT"/>
        </w:rPr>
      </w:pPr>
    </w:p>
    <w:p w14:paraId="557D62B6"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Apie ką rašoma šiame lapelyje?</w:t>
      </w:r>
    </w:p>
    <w:p w14:paraId="4640B8D5" w14:textId="77777777" w:rsidR="0041096E" w:rsidRPr="007203A0" w:rsidRDefault="0041096E" w:rsidP="0041096E">
      <w:pPr>
        <w:numPr>
          <w:ilvl w:val="12"/>
          <w:numId w:val="0"/>
        </w:numPr>
        <w:tabs>
          <w:tab w:val="clear" w:pos="567"/>
        </w:tabs>
        <w:spacing w:line="240" w:lineRule="auto"/>
        <w:ind w:left="284" w:right="-2"/>
        <w:rPr>
          <w:szCs w:val="22"/>
          <w:lang w:val="lt-LT"/>
        </w:rPr>
      </w:pPr>
    </w:p>
    <w:p w14:paraId="3BFF9F9E"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1.</w:t>
      </w:r>
      <w:r w:rsidRPr="007203A0">
        <w:rPr>
          <w:szCs w:val="22"/>
          <w:lang w:val="lt-LT"/>
        </w:rPr>
        <w:tab/>
        <w:t xml:space="preserve">Kas yra </w:t>
      </w:r>
      <w:proofErr w:type="spellStart"/>
      <w:r w:rsidRPr="007203A0">
        <w:rPr>
          <w:snapToGrid/>
          <w:szCs w:val="22"/>
          <w:lang w:val="lt-LT"/>
        </w:rPr>
        <w:t>Tadalafil</w:t>
      </w:r>
      <w:proofErr w:type="spellEnd"/>
      <w:r w:rsidRPr="007203A0">
        <w:rPr>
          <w:snapToGrid/>
          <w:szCs w:val="22"/>
          <w:lang w:val="lt-LT"/>
        </w:rPr>
        <w:t xml:space="preserve"> AOP</w:t>
      </w:r>
      <w:r w:rsidRPr="007203A0">
        <w:rPr>
          <w:szCs w:val="22"/>
          <w:lang w:val="lt-LT"/>
        </w:rPr>
        <w:t xml:space="preserve"> ir kam jis vartojamas </w:t>
      </w:r>
    </w:p>
    <w:p w14:paraId="589B3AE0"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2.</w:t>
      </w:r>
      <w:r w:rsidRPr="007203A0">
        <w:rPr>
          <w:szCs w:val="22"/>
          <w:lang w:val="lt-LT"/>
        </w:rPr>
        <w:tab/>
      </w:r>
      <w:r w:rsidRPr="007203A0">
        <w:rPr>
          <w:noProof/>
          <w:szCs w:val="22"/>
          <w:lang w:val="lt-LT"/>
        </w:rPr>
        <w:t xml:space="preserve">Kas žinotina prieš vartojant </w:t>
      </w:r>
      <w:proofErr w:type="spellStart"/>
      <w:r w:rsidRPr="007203A0">
        <w:rPr>
          <w:szCs w:val="22"/>
          <w:lang w:val="lt-LT"/>
        </w:rPr>
        <w:t>Tadalafil</w:t>
      </w:r>
      <w:proofErr w:type="spellEnd"/>
      <w:r w:rsidRPr="007203A0">
        <w:rPr>
          <w:szCs w:val="22"/>
          <w:lang w:val="lt-LT"/>
        </w:rPr>
        <w:t xml:space="preserve"> AOP </w:t>
      </w:r>
    </w:p>
    <w:p w14:paraId="562E9258"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3.</w:t>
      </w:r>
      <w:r w:rsidRPr="007203A0">
        <w:rPr>
          <w:szCs w:val="22"/>
          <w:lang w:val="lt-LT"/>
        </w:rPr>
        <w:tab/>
      </w:r>
      <w:r w:rsidRPr="007203A0">
        <w:rPr>
          <w:noProof/>
          <w:szCs w:val="22"/>
          <w:lang w:val="lt-LT"/>
        </w:rPr>
        <w:t xml:space="preserve">Kaip vartoti </w:t>
      </w:r>
      <w:proofErr w:type="spellStart"/>
      <w:r w:rsidRPr="007203A0">
        <w:rPr>
          <w:szCs w:val="22"/>
          <w:lang w:val="lt-LT"/>
        </w:rPr>
        <w:t>Tadalafil</w:t>
      </w:r>
      <w:proofErr w:type="spellEnd"/>
      <w:r w:rsidRPr="007203A0">
        <w:rPr>
          <w:szCs w:val="22"/>
          <w:lang w:val="lt-LT"/>
        </w:rPr>
        <w:t xml:space="preserve"> AOP</w:t>
      </w:r>
    </w:p>
    <w:p w14:paraId="53B1142E"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4.</w:t>
      </w:r>
      <w:r w:rsidRPr="007203A0">
        <w:rPr>
          <w:szCs w:val="22"/>
          <w:lang w:val="lt-LT"/>
        </w:rPr>
        <w:tab/>
        <w:t xml:space="preserve">Galimas šalutinis poveikis </w:t>
      </w:r>
    </w:p>
    <w:p w14:paraId="4B601D39"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5.</w:t>
      </w:r>
      <w:r w:rsidRPr="007203A0">
        <w:rPr>
          <w:szCs w:val="22"/>
          <w:lang w:val="lt-LT"/>
        </w:rPr>
        <w:tab/>
        <w:t xml:space="preserve">Kaip laikyti </w:t>
      </w:r>
      <w:proofErr w:type="spellStart"/>
      <w:r w:rsidRPr="007203A0">
        <w:rPr>
          <w:szCs w:val="22"/>
          <w:lang w:val="lt-LT"/>
        </w:rPr>
        <w:t>Tadalafil</w:t>
      </w:r>
      <w:proofErr w:type="spellEnd"/>
      <w:r w:rsidRPr="007203A0">
        <w:rPr>
          <w:szCs w:val="22"/>
          <w:lang w:val="lt-LT"/>
        </w:rPr>
        <w:t xml:space="preserve"> AOP</w:t>
      </w:r>
    </w:p>
    <w:p w14:paraId="414DFEDB"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6.</w:t>
      </w:r>
      <w:r w:rsidRPr="007203A0">
        <w:rPr>
          <w:szCs w:val="22"/>
          <w:lang w:val="lt-LT"/>
        </w:rPr>
        <w:tab/>
      </w:r>
      <w:r w:rsidRPr="007203A0">
        <w:rPr>
          <w:noProof/>
          <w:szCs w:val="22"/>
          <w:lang w:val="lt-LT"/>
        </w:rPr>
        <w:t>Pakuotės turinys ir kita informacija</w:t>
      </w:r>
    </w:p>
    <w:p w14:paraId="6836E7A8" w14:textId="77777777" w:rsidR="0041096E" w:rsidRPr="007203A0" w:rsidRDefault="0041096E" w:rsidP="0041096E">
      <w:pPr>
        <w:numPr>
          <w:ilvl w:val="12"/>
          <w:numId w:val="0"/>
        </w:numPr>
        <w:tabs>
          <w:tab w:val="clear" w:pos="567"/>
        </w:tabs>
        <w:spacing w:line="240" w:lineRule="auto"/>
        <w:ind w:right="-2"/>
        <w:rPr>
          <w:szCs w:val="22"/>
          <w:lang w:val="lt-LT"/>
        </w:rPr>
      </w:pPr>
    </w:p>
    <w:p w14:paraId="1D61F88B" w14:textId="77777777" w:rsidR="0041096E" w:rsidRPr="007203A0" w:rsidRDefault="0041096E" w:rsidP="0041096E">
      <w:pPr>
        <w:numPr>
          <w:ilvl w:val="12"/>
          <w:numId w:val="0"/>
        </w:numPr>
        <w:tabs>
          <w:tab w:val="clear" w:pos="567"/>
        </w:tabs>
        <w:spacing w:line="240" w:lineRule="auto"/>
        <w:ind w:right="-2"/>
        <w:rPr>
          <w:szCs w:val="22"/>
          <w:lang w:val="lt-LT"/>
        </w:rPr>
      </w:pPr>
    </w:p>
    <w:p w14:paraId="52889E2C" w14:textId="77777777" w:rsidR="0041096E" w:rsidRPr="005F48B8"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1.</w:t>
      </w:r>
      <w:r w:rsidRPr="007203A0">
        <w:rPr>
          <w:rFonts w:ascii="Times New Roman" w:hAnsi="Times New Roman"/>
          <w:sz w:val="22"/>
          <w:szCs w:val="22"/>
          <w:lang w:val="lt-LT"/>
        </w:rPr>
        <w:tab/>
        <w:t xml:space="preserve">Kas yra </w:t>
      </w:r>
      <w:r w:rsidRPr="00D8166E">
        <w:rPr>
          <w:rFonts w:ascii="Times New Roman" w:hAnsi="Times New Roman"/>
          <w:sz w:val="22"/>
          <w:lang w:val="lt-LT"/>
        </w:rPr>
        <w:t xml:space="preserve"> </w:t>
      </w:r>
      <w:proofErr w:type="spellStart"/>
      <w:r w:rsidRPr="005F48B8">
        <w:rPr>
          <w:rFonts w:ascii="Times New Roman" w:hAnsi="Times New Roman"/>
          <w:sz w:val="22"/>
          <w:szCs w:val="22"/>
          <w:lang w:val="lt-LT"/>
        </w:rPr>
        <w:t>Tadalafil</w:t>
      </w:r>
      <w:proofErr w:type="spellEnd"/>
      <w:r w:rsidRPr="005F48B8">
        <w:rPr>
          <w:rFonts w:ascii="Times New Roman" w:hAnsi="Times New Roman"/>
          <w:sz w:val="22"/>
          <w:szCs w:val="22"/>
          <w:lang w:val="lt-LT"/>
        </w:rPr>
        <w:t xml:space="preserve"> AOP</w:t>
      </w:r>
      <w:r>
        <w:rPr>
          <w:rFonts w:ascii="Times New Roman" w:hAnsi="Times New Roman"/>
          <w:sz w:val="22"/>
          <w:szCs w:val="22"/>
          <w:lang w:val="lt-LT"/>
        </w:rPr>
        <w:t xml:space="preserve"> </w:t>
      </w:r>
      <w:r w:rsidRPr="005F48B8">
        <w:rPr>
          <w:rFonts w:ascii="Times New Roman" w:hAnsi="Times New Roman"/>
          <w:sz w:val="22"/>
          <w:szCs w:val="22"/>
          <w:lang w:val="lt-LT"/>
        </w:rPr>
        <w:t>ir kam jis vartojamas</w:t>
      </w:r>
    </w:p>
    <w:p w14:paraId="5E28E83B" w14:textId="77777777" w:rsidR="0041096E" w:rsidRPr="008612DF" w:rsidRDefault="0041096E" w:rsidP="0041096E">
      <w:pPr>
        <w:numPr>
          <w:ilvl w:val="12"/>
          <w:numId w:val="0"/>
        </w:numPr>
        <w:tabs>
          <w:tab w:val="clear" w:pos="567"/>
        </w:tabs>
        <w:spacing w:line="240" w:lineRule="auto"/>
        <w:ind w:right="-2"/>
        <w:rPr>
          <w:szCs w:val="22"/>
          <w:lang w:val="lt-LT"/>
        </w:rPr>
      </w:pPr>
    </w:p>
    <w:p w14:paraId="62620F00" w14:textId="77777777" w:rsidR="0041096E" w:rsidRPr="002A25EF" w:rsidRDefault="0041096E" w:rsidP="0041096E">
      <w:pPr>
        <w:widowControl w:val="0"/>
        <w:tabs>
          <w:tab w:val="clear" w:pos="567"/>
        </w:tabs>
        <w:autoSpaceDE w:val="0"/>
        <w:autoSpaceDN w:val="0"/>
        <w:spacing w:before="1" w:line="240" w:lineRule="auto"/>
        <w:rPr>
          <w:snapToGrid/>
          <w:szCs w:val="22"/>
          <w:lang w:val="lt-LT"/>
        </w:rPr>
      </w:pPr>
      <w:proofErr w:type="spellStart"/>
      <w:r w:rsidRPr="002A25EF">
        <w:rPr>
          <w:snapToGrid/>
          <w:szCs w:val="22"/>
          <w:lang w:val="lt-LT"/>
        </w:rPr>
        <w:t>Tadalafil</w:t>
      </w:r>
      <w:proofErr w:type="spellEnd"/>
      <w:r w:rsidRPr="002A25EF">
        <w:rPr>
          <w:snapToGrid/>
          <w:szCs w:val="22"/>
          <w:lang w:val="lt-LT"/>
        </w:rPr>
        <w:t xml:space="preserve"> AOP sudėtyje yra veikliosios medžiagos </w:t>
      </w:r>
      <w:proofErr w:type="spellStart"/>
      <w:r w:rsidRPr="002A25EF">
        <w:rPr>
          <w:snapToGrid/>
          <w:szCs w:val="22"/>
          <w:lang w:val="lt-LT"/>
        </w:rPr>
        <w:t>tadalafilio</w:t>
      </w:r>
      <w:proofErr w:type="spellEnd"/>
      <w:r w:rsidRPr="002A25EF">
        <w:rPr>
          <w:snapToGrid/>
          <w:szCs w:val="22"/>
          <w:lang w:val="lt-LT"/>
        </w:rPr>
        <w:t xml:space="preserve">. </w:t>
      </w:r>
      <w:proofErr w:type="spellStart"/>
      <w:r w:rsidRPr="002A25EF">
        <w:rPr>
          <w:snapToGrid/>
          <w:szCs w:val="22"/>
          <w:lang w:val="lt-LT"/>
        </w:rPr>
        <w:t>Tadalafil</w:t>
      </w:r>
      <w:proofErr w:type="spellEnd"/>
      <w:r w:rsidRPr="002A25EF">
        <w:rPr>
          <w:snapToGrid/>
          <w:szCs w:val="22"/>
          <w:lang w:val="lt-LT"/>
        </w:rPr>
        <w:t xml:space="preserve"> AOP gydoma </w:t>
      </w:r>
      <w:proofErr w:type="spellStart"/>
      <w:r w:rsidRPr="002A25EF">
        <w:rPr>
          <w:snapToGrid/>
          <w:szCs w:val="22"/>
          <w:lang w:val="lt-LT"/>
        </w:rPr>
        <w:t>plautinė</w:t>
      </w:r>
      <w:proofErr w:type="spellEnd"/>
      <w:r w:rsidRPr="002A25EF">
        <w:rPr>
          <w:snapToGrid/>
          <w:szCs w:val="22"/>
          <w:lang w:val="lt-LT"/>
        </w:rPr>
        <w:t xml:space="preserve"> arterinė hipertenzija suaugusiesiems.</w:t>
      </w:r>
    </w:p>
    <w:p w14:paraId="66E65E98" w14:textId="77777777" w:rsidR="0041096E" w:rsidRPr="0061385E" w:rsidRDefault="0041096E" w:rsidP="0041096E">
      <w:pPr>
        <w:widowControl w:val="0"/>
        <w:tabs>
          <w:tab w:val="clear" w:pos="567"/>
        </w:tabs>
        <w:autoSpaceDE w:val="0"/>
        <w:autoSpaceDN w:val="0"/>
        <w:spacing w:before="3" w:line="240" w:lineRule="auto"/>
        <w:rPr>
          <w:snapToGrid/>
          <w:szCs w:val="22"/>
          <w:lang w:val="lt-LT"/>
        </w:rPr>
      </w:pPr>
    </w:p>
    <w:p w14:paraId="2EC7E721"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 xml:space="preserve">Šis vaistas priklauso vaistų, vadinamų 5 tipo </w:t>
      </w:r>
      <w:proofErr w:type="spellStart"/>
      <w:r w:rsidRPr="0061385E">
        <w:rPr>
          <w:snapToGrid/>
          <w:szCs w:val="22"/>
          <w:lang w:val="lt-LT"/>
        </w:rPr>
        <w:t>fosfodiesterazės</w:t>
      </w:r>
      <w:proofErr w:type="spellEnd"/>
      <w:r w:rsidRPr="0061385E">
        <w:rPr>
          <w:snapToGrid/>
          <w:szCs w:val="22"/>
          <w:lang w:val="lt-LT"/>
        </w:rPr>
        <w:t xml:space="preserve"> (FDE5) inhibitoriais, kurie padeda atsipalaiduoti plaučių arterijoms ir pagerina plaučių kraujotaką, grupei. Dėl to pagerėja fizinis aktyvumas.</w:t>
      </w:r>
    </w:p>
    <w:p w14:paraId="45FAA4C5" w14:textId="77777777" w:rsidR="0041096E" w:rsidRPr="009840AD" w:rsidRDefault="0041096E" w:rsidP="0041096E">
      <w:pPr>
        <w:numPr>
          <w:ilvl w:val="12"/>
          <w:numId w:val="0"/>
        </w:numPr>
        <w:tabs>
          <w:tab w:val="clear" w:pos="567"/>
        </w:tabs>
        <w:spacing w:line="240" w:lineRule="auto"/>
        <w:ind w:right="-2"/>
        <w:rPr>
          <w:szCs w:val="22"/>
          <w:lang w:val="lt-LT"/>
        </w:rPr>
      </w:pPr>
    </w:p>
    <w:p w14:paraId="3B8FF3DB" w14:textId="77777777" w:rsidR="0041096E" w:rsidRPr="00F1014D" w:rsidRDefault="0041096E" w:rsidP="0041096E">
      <w:pPr>
        <w:numPr>
          <w:ilvl w:val="12"/>
          <w:numId w:val="0"/>
        </w:numPr>
        <w:tabs>
          <w:tab w:val="clear" w:pos="567"/>
        </w:tabs>
        <w:spacing w:line="240" w:lineRule="auto"/>
        <w:ind w:right="-2"/>
        <w:rPr>
          <w:szCs w:val="22"/>
          <w:lang w:val="lt-LT"/>
        </w:rPr>
      </w:pPr>
    </w:p>
    <w:p w14:paraId="1C8AEDAE" w14:textId="77777777" w:rsidR="0041096E" w:rsidRPr="007203A0" w:rsidRDefault="0041096E" w:rsidP="0041096E">
      <w:pPr>
        <w:pStyle w:val="Antrat4"/>
        <w:spacing w:line="240" w:lineRule="auto"/>
        <w:jc w:val="left"/>
        <w:rPr>
          <w:rFonts w:ascii="Times New Roman" w:hAnsi="Times New Roman"/>
          <w:bCs w:val="0"/>
          <w:snapToGrid/>
          <w:sz w:val="22"/>
          <w:szCs w:val="22"/>
          <w:lang w:val="lt-LT" w:eastAsia="en-US"/>
        </w:rPr>
      </w:pPr>
      <w:r w:rsidRPr="007203A0">
        <w:rPr>
          <w:rFonts w:ascii="Times New Roman" w:hAnsi="Times New Roman"/>
          <w:sz w:val="22"/>
          <w:szCs w:val="22"/>
          <w:lang w:val="lt-LT"/>
        </w:rPr>
        <w:t>2.</w:t>
      </w:r>
      <w:r w:rsidRPr="007203A0">
        <w:rPr>
          <w:rFonts w:ascii="Times New Roman" w:hAnsi="Times New Roman"/>
          <w:sz w:val="22"/>
          <w:szCs w:val="22"/>
          <w:lang w:val="lt-LT"/>
        </w:rPr>
        <w:tab/>
        <w:t xml:space="preserve">Kas žinotina prieš vartojant </w:t>
      </w:r>
      <w:proofErr w:type="spellStart"/>
      <w:r w:rsidRPr="007203A0">
        <w:rPr>
          <w:rFonts w:ascii="Times New Roman" w:hAnsi="Times New Roman"/>
          <w:bCs w:val="0"/>
          <w:snapToGrid/>
          <w:sz w:val="22"/>
          <w:szCs w:val="22"/>
          <w:lang w:val="lt-LT" w:eastAsia="en-US"/>
        </w:rPr>
        <w:t>Tadalafil</w:t>
      </w:r>
      <w:proofErr w:type="spellEnd"/>
      <w:r w:rsidRPr="007203A0">
        <w:rPr>
          <w:rFonts w:ascii="Times New Roman" w:hAnsi="Times New Roman"/>
          <w:bCs w:val="0"/>
          <w:snapToGrid/>
          <w:sz w:val="22"/>
          <w:szCs w:val="22"/>
          <w:lang w:val="lt-LT" w:eastAsia="en-US"/>
        </w:rPr>
        <w:t xml:space="preserve"> AOP </w:t>
      </w:r>
    </w:p>
    <w:p w14:paraId="18CCECE0" w14:textId="77777777" w:rsidR="0041096E" w:rsidRPr="007203A0" w:rsidRDefault="0041096E" w:rsidP="0041096E">
      <w:pPr>
        <w:pStyle w:val="Antrat4"/>
        <w:spacing w:line="240" w:lineRule="auto"/>
        <w:jc w:val="left"/>
        <w:rPr>
          <w:rFonts w:ascii="Times New Roman" w:hAnsi="Times New Roman"/>
          <w:bCs w:val="0"/>
          <w:snapToGrid/>
          <w:sz w:val="22"/>
          <w:szCs w:val="22"/>
          <w:lang w:val="lt-LT" w:eastAsia="en-US"/>
        </w:rPr>
      </w:pPr>
    </w:p>
    <w:p w14:paraId="08A81DDA"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bCs w:val="0"/>
          <w:snapToGrid/>
          <w:sz w:val="22"/>
          <w:szCs w:val="22"/>
          <w:lang w:val="lt-LT" w:eastAsia="en-US"/>
        </w:rPr>
        <w:t>Tadalafil</w:t>
      </w:r>
      <w:proofErr w:type="spellEnd"/>
      <w:r w:rsidRPr="007203A0">
        <w:rPr>
          <w:rFonts w:ascii="Times New Roman" w:hAnsi="Times New Roman"/>
          <w:bCs w:val="0"/>
          <w:snapToGrid/>
          <w:sz w:val="22"/>
          <w:szCs w:val="22"/>
          <w:lang w:val="lt-LT" w:eastAsia="en-US"/>
        </w:rPr>
        <w:t xml:space="preserve"> AOP vartoti negalima,</w:t>
      </w:r>
      <w:r w:rsidRPr="007203A0">
        <w:rPr>
          <w:rFonts w:ascii="Times New Roman" w:hAnsi="Times New Roman"/>
          <w:bCs w:val="0"/>
          <w:snapToGrid/>
          <w:spacing w:val="-5"/>
          <w:sz w:val="22"/>
          <w:szCs w:val="22"/>
          <w:lang w:val="lt-LT" w:eastAsia="en-US"/>
        </w:rPr>
        <w:t xml:space="preserve"> </w:t>
      </w:r>
      <w:r w:rsidRPr="007203A0">
        <w:rPr>
          <w:rFonts w:ascii="Times New Roman" w:hAnsi="Times New Roman"/>
          <w:bCs w:val="0"/>
          <w:snapToGrid/>
          <w:sz w:val="22"/>
          <w:szCs w:val="22"/>
          <w:lang w:val="lt-LT" w:eastAsia="en-US"/>
        </w:rPr>
        <w:t>jeigu</w:t>
      </w:r>
      <w:r w:rsidRPr="007203A0">
        <w:rPr>
          <w:rFonts w:ascii="Times New Roman" w:hAnsi="Times New Roman"/>
          <w:bCs w:val="0"/>
          <w:sz w:val="22"/>
          <w:szCs w:val="22"/>
          <w:lang w:val="lt-LT"/>
        </w:rPr>
        <w:t>:</w:t>
      </w:r>
    </w:p>
    <w:p w14:paraId="348DEAD2" w14:textId="77777777" w:rsidR="0041096E" w:rsidRPr="007203A0" w:rsidRDefault="0041096E" w:rsidP="0041096E">
      <w:pPr>
        <w:numPr>
          <w:ilvl w:val="12"/>
          <w:numId w:val="0"/>
        </w:numPr>
        <w:tabs>
          <w:tab w:val="clear" w:pos="567"/>
        </w:tabs>
        <w:spacing w:line="240" w:lineRule="auto"/>
        <w:ind w:right="-2"/>
        <w:rPr>
          <w:szCs w:val="22"/>
          <w:lang w:val="lt-LT"/>
        </w:rPr>
      </w:pPr>
    </w:p>
    <w:p w14:paraId="43763DBA"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alergija tadalafiliui arba bet kuriai pagalbinei šio vaisto medžiagai (jos išvardytos 6 skyriuje);</w:t>
      </w:r>
    </w:p>
    <w:p w14:paraId="2A2ACE55"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vartojate bet kokios formos nitratų, pavyzdžiui, amilnitrito, kuriais gydomas krūtinės skausmas.</w:t>
      </w:r>
    </w:p>
    <w:p w14:paraId="473A4A7A" w14:textId="77777777" w:rsidR="0041096E" w:rsidRPr="007203A0" w:rsidRDefault="0041096E" w:rsidP="0041096E">
      <w:pPr>
        <w:widowControl w:val="0"/>
        <w:tabs>
          <w:tab w:val="clear" w:pos="567"/>
        </w:tabs>
        <w:autoSpaceDE w:val="0"/>
        <w:autoSpaceDN w:val="0"/>
        <w:spacing w:line="240" w:lineRule="auto"/>
        <w:ind w:left="567" w:right="-2"/>
        <w:rPr>
          <w:noProof/>
          <w:snapToGrid/>
          <w:szCs w:val="22"/>
          <w:lang w:val="lt-LT"/>
        </w:rPr>
      </w:pPr>
      <w:r w:rsidRPr="007203A0">
        <w:rPr>
          <w:noProof/>
          <w:snapToGrid/>
          <w:szCs w:val="22"/>
          <w:lang w:val="lt-LT"/>
        </w:rPr>
        <w:t>Nustatyta, kad Tadalafil AOP stiprina šių vaistų sukeliamą poveikį. Jeigu vartojate kokio nors nitratų preparato arba abejojate, pasakykite gydytojui;</w:t>
      </w:r>
    </w:p>
    <w:p w14:paraId="2247FB9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pasireiškė aklumas – t. y. sutrikimas, kuris dar vadinamas akies insultu, (ne arterito sukelta priekinė išeminė regos nervo neuropatija [angl. NAION]);</w:t>
      </w:r>
    </w:p>
    <w:p w14:paraId="3E8CB94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per praėjusius 3 mėnesius patyrėte širdies priepuolį;</w:t>
      </w:r>
    </w:p>
    <w:p w14:paraId="37ADEE88"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mažas kraujospūdis</w:t>
      </w:r>
      <w:r>
        <w:rPr>
          <w:noProof/>
          <w:snapToGrid/>
          <w:szCs w:val="22"/>
          <w:lang w:val="lt-LT"/>
        </w:rPr>
        <w:t>;</w:t>
      </w:r>
    </w:p>
    <w:p w14:paraId="26A4A14A"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vartojate riociguatą. Šiuo vaistu yra gydoma plautinė arterinė hiperten</w:t>
      </w:r>
      <w:r w:rsidRPr="002A25EF">
        <w:rPr>
          <w:noProof/>
          <w:snapToGrid/>
          <w:szCs w:val="22"/>
          <w:lang w:val="lt-LT"/>
        </w:rPr>
        <w:t>zija (t. y. kraujospūdžio plaučiuose padidėjimas) ir lėtinė tromboembolinė plautinė hipertenzija (t. y. kraujo krešulių sukeltas kraujospūdžio plaučiuose padidėjimas). Į</w:t>
      </w:r>
      <w:r w:rsidRPr="0061385E">
        <w:rPr>
          <w:noProof/>
          <w:snapToGrid/>
          <w:szCs w:val="22"/>
          <w:lang w:val="lt-LT"/>
        </w:rPr>
        <w:t>rodyta, kad FDE5 inhibitoriai (pavyzdžiui, CIALIS) padidina šio vaisto hipotenzinį poveikį. Jeigu vartojate riociguatą arba abejojate dėl to, pasakykite savo gydytojui.</w:t>
      </w:r>
    </w:p>
    <w:p w14:paraId="14CC4B1C" w14:textId="77777777" w:rsidR="0041096E" w:rsidRPr="0061385E" w:rsidRDefault="0041096E" w:rsidP="0041096E">
      <w:pPr>
        <w:numPr>
          <w:ilvl w:val="12"/>
          <w:numId w:val="0"/>
        </w:numPr>
        <w:tabs>
          <w:tab w:val="clear" w:pos="567"/>
        </w:tabs>
        <w:spacing w:line="240" w:lineRule="auto"/>
        <w:ind w:right="-2"/>
        <w:rPr>
          <w:szCs w:val="22"/>
          <w:lang w:val="lt-LT"/>
        </w:rPr>
      </w:pPr>
    </w:p>
    <w:p w14:paraId="7C6A1FA0" w14:textId="77777777" w:rsidR="0041096E" w:rsidRPr="009840AD" w:rsidRDefault="0041096E" w:rsidP="0041096E">
      <w:pPr>
        <w:pStyle w:val="Antrat4"/>
        <w:spacing w:line="240" w:lineRule="auto"/>
        <w:jc w:val="left"/>
        <w:rPr>
          <w:rFonts w:ascii="Times New Roman" w:hAnsi="Times New Roman"/>
          <w:sz w:val="22"/>
          <w:szCs w:val="22"/>
          <w:lang w:val="lt-LT"/>
        </w:rPr>
      </w:pPr>
      <w:r w:rsidRPr="009840AD">
        <w:rPr>
          <w:rFonts w:ascii="Times New Roman" w:hAnsi="Times New Roman"/>
          <w:sz w:val="22"/>
          <w:szCs w:val="22"/>
          <w:lang w:val="lt-LT"/>
        </w:rPr>
        <w:t xml:space="preserve">Įspėjimai ir atsargumo priemonės </w:t>
      </w:r>
    </w:p>
    <w:p w14:paraId="0E4C2EA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F1014D">
        <w:rPr>
          <w:snapToGrid/>
          <w:szCs w:val="22"/>
          <w:lang w:val="lt-LT"/>
        </w:rPr>
        <w:t>Pasitarkite su gydytoju prieš pradėdami vartoti</w:t>
      </w:r>
      <w:r w:rsidRPr="007203A0">
        <w:rPr>
          <w:snapToGrid/>
          <w:szCs w:val="22"/>
          <w:lang w:val="lt-LT"/>
        </w:rPr>
        <w:t xml:space="preserve"> </w:t>
      </w:r>
      <w:proofErr w:type="spellStart"/>
      <w:r w:rsidRPr="007203A0">
        <w:rPr>
          <w:snapToGrid/>
          <w:szCs w:val="22"/>
          <w:lang w:val="lt-LT"/>
        </w:rPr>
        <w:t>Tadalafil</w:t>
      </w:r>
      <w:proofErr w:type="spellEnd"/>
      <w:r w:rsidRPr="007203A0">
        <w:rPr>
          <w:snapToGrid/>
          <w:szCs w:val="22"/>
          <w:lang w:val="lt-LT"/>
        </w:rPr>
        <w:t xml:space="preserve"> AOP. Prieš pradedant gerti tabletes, pasakykite gydytojui, jeigu:</w:t>
      </w:r>
    </w:p>
    <w:p w14:paraId="1BA62A9D"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lastRenderedPageBreak/>
        <w:t>yra kokių nors širdies sutrikimų, kitokių nei plautinė hipertenzija;</w:t>
      </w:r>
    </w:p>
    <w:p w14:paraId="50BD8521"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pasireiškia kraujospūdžio sutrikimas;</w:t>
      </w:r>
    </w:p>
    <w:p w14:paraId="11A91064"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kokia nors paveldima akies liga;</w:t>
      </w:r>
    </w:p>
    <w:p w14:paraId="1DE69828"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raudonųjų kraujo ląstelių sutrikimų (sergate pjautuvine anemija);</w:t>
      </w:r>
    </w:p>
    <w:p w14:paraId="3268097A"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kaulų čiulpų vėžiu (daugine mieloma);</w:t>
      </w:r>
    </w:p>
    <w:p w14:paraId="5C406A15"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baltųjų kraujo ląstelių vėžiu (leukoze);</w:t>
      </w:r>
    </w:p>
    <w:p w14:paraId="2E327C86"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kokių nors varpos deformacijų arba nepageidaujamai pasireiškia arba pasireiškia ilgalaikė erekcija, kuri trunka ilgiau nei 4 valandas;</w:t>
      </w:r>
    </w:p>
    <w:p w14:paraId="61DFF2CD"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sunkus kepenų funkcijos sutrikimas;</w:t>
      </w:r>
    </w:p>
    <w:p w14:paraId="67727F4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sunkus inkstų funkcijos sutrikimas.</w:t>
      </w:r>
    </w:p>
    <w:p w14:paraId="2E8AD590"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1F2FC351"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staigiai susilpnėtų regėjimas ar apaktumėte</w:t>
      </w:r>
      <w:r>
        <w:rPr>
          <w:snapToGrid/>
          <w:szCs w:val="22"/>
          <w:lang w:val="lt-LT"/>
        </w:rPr>
        <w:t xml:space="preserve"> </w:t>
      </w:r>
      <w:r w:rsidRPr="00DF519F">
        <w:rPr>
          <w:lang w:val="lt-LT"/>
        </w:rPr>
        <w:t>ar</w:t>
      </w:r>
      <w:r>
        <w:rPr>
          <w:lang w:val="lt-LT"/>
        </w:rPr>
        <w:t>ba</w:t>
      </w:r>
      <w:r w:rsidRPr="00DF519F">
        <w:rPr>
          <w:lang w:val="lt-LT"/>
        </w:rPr>
        <w:t xml:space="preserve"> būtų matomas iškreiptas, </w:t>
      </w:r>
      <w:r>
        <w:rPr>
          <w:lang w:val="lt-LT"/>
        </w:rPr>
        <w:t>blankus</w:t>
      </w:r>
      <w:r w:rsidRPr="00DF519F">
        <w:rPr>
          <w:lang w:val="lt-LT"/>
        </w:rPr>
        <w:t xml:space="preserve"> vaizdas, nutraukite </w:t>
      </w:r>
      <w:proofErr w:type="spellStart"/>
      <w:r>
        <w:rPr>
          <w:lang w:val="lt-LT"/>
        </w:rPr>
        <w:t>t</w:t>
      </w:r>
      <w:r w:rsidRPr="00DF519F">
        <w:rPr>
          <w:lang w:val="lt-LT"/>
        </w:rPr>
        <w:t>adalafil</w:t>
      </w:r>
      <w:r>
        <w:rPr>
          <w:lang w:val="lt-LT"/>
        </w:rPr>
        <w:t>io</w:t>
      </w:r>
      <w:proofErr w:type="spellEnd"/>
      <w:r w:rsidRPr="00DF519F">
        <w:rPr>
          <w:lang w:val="lt-LT"/>
        </w:rPr>
        <w:t xml:space="preserve"> vartojimą ir</w:t>
      </w:r>
      <w:r w:rsidRPr="007203A0">
        <w:rPr>
          <w:snapToGrid/>
          <w:szCs w:val="22"/>
          <w:lang w:val="lt-LT"/>
        </w:rPr>
        <w:t xml:space="preserve"> nedelsdami kreipkitės į gydytoją.</w:t>
      </w:r>
    </w:p>
    <w:p w14:paraId="0664B147"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FF1A2C5"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Kai kuriems pacientams, vartojusiems </w:t>
      </w:r>
      <w:proofErr w:type="spellStart"/>
      <w:r w:rsidRPr="007203A0">
        <w:rPr>
          <w:snapToGrid/>
          <w:szCs w:val="22"/>
          <w:lang w:val="lt-LT"/>
        </w:rPr>
        <w:t>tadalafilį</w:t>
      </w:r>
      <w:proofErr w:type="spellEnd"/>
      <w:r w:rsidRPr="007203A0">
        <w:rPr>
          <w:snapToGrid/>
          <w:szCs w:val="22"/>
          <w:lang w:val="lt-LT"/>
        </w:rPr>
        <w:t xml:space="preserve">, buvo pastebėta susilpnėjusi klausa arba staigus klausos netekimas. Nors nėra žinoma, ar įvykis yra tiesiogiai susijęs su </w:t>
      </w:r>
      <w:proofErr w:type="spellStart"/>
      <w:r w:rsidRPr="007203A0">
        <w:rPr>
          <w:snapToGrid/>
          <w:szCs w:val="22"/>
          <w:lang w:val="lt-LT"/>
        </w:rPr>
        <w:t>tadalafiliu</w:t>
      </w:r>
      <w:proofErr w:type="spellEnd"/>
      <w:r w:rsidRPr="007203A0">
        <w:rPr>
          <w:snapToGrid/>
          <w:szCs w:val="22"/>
          <w:lang w:val="lt-LT"/>
        </w:rPr>
        <w:t xml:space="preserve">, jei jaučiate, kad klausa susilpnėjo ar staiga netekote klausos, </w:t>
      </w:r>
      <w:proofErr w:type="spellStart"/>
      <w:r w:rsidRPr="007203A0">
        <w:rPr>
          <w:snapToGrid/>
          <w:szCs w:val="22"/>
          <w:lang w:val="lt-LT"/>
        </w:rPr>
        <w:t>Tadalafil</w:t>
      </w:r>
      <w:proofErr w:type="spellEnd"/>
      <w:r w:rsidRPr="007203A0">
        <w:rPr>
          <w:snapToGrid/>
          <w:szCs w:val="22"/>
          <w:lang w:val="lt-LT"/>
        </w:rPr>
        <w:t xml:space="preserve"> AOP vartojimą nutraukite ir nedelsdami kreipkitės į gydytoją.</w:t>
      </w:r>
    </w:p>
    <w:p w14:paraId="53FE3F53" w14:textId="77777777" w:rsidR="0041096E" w:rsidRPr="007203A0" w:rsidRDefault="0041096E" w:rsidP="0041096E">
      <w:pPr>
        <w:numPr>
          <w:ilvl w:val="12"/>
          <w:numId w:val="0"/>
        </w:numPr>
        <w:tabs>
          <w:tab w:val="clear" w:pos="567"/>
        </w:tabs>
        <w:spacing w:line="240" w:lineRule="auto"/>
        <w:ind w:right="-2"/>
        <w:rPr>
          <w:szCs w:val="22"/>
          <w:lang w:val="lt-LT"/>
        </w:rPr>
      </w:pPr>
    </w:p>
    <w:p w14:paraId="5BD0323C"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Vaikams ir paaugliams</w:t>
      </w:r>
    </w:p>
    <w:p w14:paraId="5D2414E4"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neskiriamas vartoti vaikams ir jaunesniems kaip 18 metų paaugliams.</w:t>
      </w:r>
    </w:p>
    <w:p w14:paraId="4C425AA6" w14:textId="77777777" w:rsidR="0041096E" w:rsidRPr="007203A0" w:rsidRDefault="0041096E" w:rsidP="0041096E">
      <w:pPr>
        <w:numPr>
          <w:ilvl w:val="12"/>
          <w:numId w:val="0"/>
        </w:numPr>
        <w:tabs>
          <w:tab w:val="clear" w:pos="567"/>
        </w:tabs>
        <w:spacing w:line="240" w:lineRule="auto"/>
        <w:rPr>
          <w:b/>
          <w:szCs w:val="22"/>
          <w:lang w:val="lt-LT"/>
        </w:rPr>
      </w:pPr>
    </w:p>
    <w:p w14:paraId="289C7AC2"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 xml:space="preserve">Kiti vaistai ir </w:t>
      </w: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w:t>
      </w:r>
    </w:p>
    <w:p w14:paraId="161E1FE6"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vartojate ar neseniai vartojote kitų vaistų, arba dėl to nesate tikri, apie tai pasakykite gydytojui arba vaistininkui.</w:t>
      </w:r>
    </w:p>
    <w:p w14:paraId="1CBA6F9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jau vartojate nitratų, šių tablečių vartoti NEGALIMA.</w:t>
      </w:r>
    </w:p>
    <w:p w14:paraId="375857DD" w14:textId="77777777" w:rsidR="0041096E" w:rsidRPr="00D8166E" w:rsidRDefault="0041096E" w:rsidP="0041096E">
      <w:pPr>
        <w:widowControl w:val="0"/>
        <w:tabs>
          <w:tab w:val="clear" w:pos="567"/>
        </w:tabs>
        <w:autoSpaceDE w:val="0"/>
        <w:autoSpaceDN w:val="0"/>
        <w:spacing w:before="9" w:line="240" w:lineRule="auto"/>
        <w:rPr>
          <w:lang w:val="lt-LT"/>
        </w:rPr>
      </w:pPr>
    </w:p>
    <w:p w14:paraId="532F88DC" w14:textId="77777777" w:rsidR="0041096E" w:rsidRPr="005F48B8"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Tadalafil</w:t>
      </w:r>
      <w:proofErr w:type="spellEnd"/>
      <w:r w:rsidRPr="005F48B8">
        <w:rPr>
          <w:snapToGrid/>
          <w:szCs w:val="22"/>
          <w:lang w:val="lt-LT"/>
        </w:rPr>
        <w:t xml:space="preserve"> AOP gali keisti kai kurių vaistų veikimą arba kiti vaistai gali sutrikdyti </w:t>
      </w:r>
      <w:proofErr w:type="spellStart"/>
      <w:r w:rsidRPr="005F48B8">
        <w:rPr>
          <w:snapToGrid/>
          <w:szCs w:val="22"/>
          <w:lang w:val="lt-LT"/>
        </w:rPr>
        <w:t>Tadalafil</w:t>
      </w:r>
      <w:proofErr w:type="spellEnd"/>
      <w:r w:rsidRPr="005F48B8">
        <w:rPr>
          <w:snapToGrid/>
          <w:szCs w:val="22"/>
          <w:lang w:val="lt-LT"/>
        </w:rPr>
        <w:t xml:space="preserve"> AOP veikimą. Pasakykite gydytojui arba vaistininkui, jeigu vartojate:</w:t>
      </w:r>
    </w:p>
    <w:p w14:paraId="61A23603" w14:textId="77777777" w:rsidR="0041096E" w:rsidRPr="002A25E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bozentaną (kitas vaist</w:t>
      </w:r>
      <w:r w:rsidRPr="002A25EF">
        <w:rPr>
          <w:noProof/>
          <w:snapToGrid/>
          <w:szCs w:val="22"/>
          <w:lang w:val="lt-LT"/>
        </w:rPr>
        <w:t>as nuo plautinės arterinės hipertenzijos);</w:t>
      </w:r>
    </w:p>
    <w:p w14:paraId="26FF05FB"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nitratų (nuo krūtinės skausmo);</w:t>
      </w:r>
    </w:p>
    <w:p w14:paraId="20952F73"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alfa adrenoreceptorių blokatorių, kuriais gydomas kraujospūdžio padidėjimas arba prostatos sutrikimai;</w:t>
      </w:r>
    </w:p>
    <w:p w14:paraId="164A0A46"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riociguatą;</w:t>
      </w:r>
    </w:p>
    <w:p w14:paraId="3178DB73" w14:textId="77777777" w:rsidR="0041096E" w:rsidRPr="009840AD"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9840AD">
        <w:rPr>
          <w:noProof/>
          <w:snapToGrid/>
          <w:szCs w:val="22"/>
          <w:lang w:val="lt-LT"/>
        </w:rPr>
        <w:t>rifampiciną (gydoma nuo bakterijų sukeltos infekcijos);</w:t>
      </w:r>
    </w:p>
    <w:p w14:paraId="04879137"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F1014D">
        <w:rPr>
          <w:noProof/>
          <w:snapToGrid/>
          <w:szCs w:val="22"/>
          <w:lang w:val="lt-LT"/>
        </w:rPr>
        <w:t>ketokon</w:t>
      </w:r>
      <w:r w:rsidRPr="007203A0">
        <w:rPr>
          <w:noProof/>
          <w:snapToGrid/>
          <w:szCs w:val="22"/>
          <w:lang w:val="lt-LT"/>
        </w:rPr>
        <w:t>azolo tablečių (gydoma nuo grybelių sukeltos infekcijos);</w:t>
      </w:r>
    </w:p>
    <w:p w14:paraId="5FDA9490"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ritonavirą (gydoma nuo ŽIV infekcijos);</w:t>
      </w:r>
    </w:p>
    <w:p w14:paraId="5F82513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tablečių nuo erekcijos funkcijos sutrikimų (FDE5 inhibitorių).</w:t>
      </w:r>
    </w:p>
    <w:p w14:paraId="2573BE2C" w14:textId="77777777" w:rsidR="0041096E" w:rsidRPr="007203A0" w:rsidRDefault="0041096E" w:rsidP="0041096E">
      <w:pPr>
        <w:numPr>
          <w:ilvl w:val="12"/>
          <w:numId w:val="0"/>
        </w:numPr>
        <w:tabs>
          <w:tab w:val="clear" w:pos="567"/>
        </w:tabs>
        <w:spacing w:line="240" w:lineRule="auto"/>
        <w:ind w:right="-2"/>
        <w:rPr>
          <w:szCs w:val="22"/>
          <w:lang w:val="lt-LT"/>
        </w:rPr>
      </w:pPr>
    </w:p>
    <w:p w14:paraId="6453611E"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 vartojimas su alkoholiu</w:t>
      </w:r>
    </w:p>
    <w:p w14:paraId="6DC1B282"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Geriant alkoholio, gali trumpam sumažėti kraujospūdis. Jeigu vartojate arba ketinate vartoti </w:t>
      </w:r>
      <w:proofErr w:type="spellStart"/>
      <w:r w:rsidRPr="007203A0">
        <w:rPr>
          <w:snapToGrid/>
          <w:szCs w:val="22"/>
          <w:lang w:val="lt-LT"/>
        </w:rPr>
        <w:t>Tadalafil</w:t>
      </w:r>
      <w:proofErr w:type="spellEnd"/>
      <w:r w:rsidRPr="007203A0">
        <w:rPr>
          <w:snapToGrid/>
          <w:szCs w:val="22"/>
          <w:lang w:val="lt-LT"/>
        </w:rPr>
        <w:t xml:space="preserve"> AOP, negerkite daug alkoholio (daugiau kaip 5 alkoholio vienetus), nes tai gali padidinti svaigulio riziką atsistojus.</w:t>
      </w:r>
    </w:p>
    <w:p w14:paraId="3AEA13AC" w14:textId="77777777" w:rsidR="0041096E" w:rsidRPr="007203A0" w:rsidRDefault="0041096E" w:rsidP="0041096E">
      <w:pPr>
        <w:numPr>
          <w:ilvl w:val="12"/>
          <w:numId w:val="0"/>
        </w:numPr>
        <w:tabs>
          <w:tab w:val="clear" w:pos="567"/>
        </w:tabs>
        <w:spacing w:line="240" w:lineRule="auto"/>
        <w:rPr>
          <w:szCs w:val="22"/>
          <w:lang w:val="lt-LT"/>
        </w:rPr>
      </w:pPr>
    </w:p>
    <w:p w14:paraId="41017D6F"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Nėštumas</w:t>
      </w:r>
      <w:r w:rsidRPr="007203A0">
        <w:rPr>
          <w:rFonts w:ascii="Times New Roman" w:hAnsi="Times New Roman"/>
          <w:bCs w:val="0"/>
          <w:noProof/>
          <w:sz w:val="22"/>
          <w:szCs w:val="22"/>
          <w:lang w:val="lt-LT"/>
        </w:rPr>
        <w:t xml:space="preserve">, </w:t>
      </w:r>
      <w:r w:rsidRPr="007203A0">
        <w:rPr>
          <w:rFonts w:ascii="Times New Roman" w:hAnsi="Times New Roman"/>
          <w:sz w:val="22"/>
          <w:szCs w:val="22"/>
          <w:lang w:val="lt-LT"/>
        </w:rPr>
        <w:t xml:space="preserve"> žindymo laikotarpis ir vaisingumas</w:t>
      </w:r>
    </w:p>
    <w:p w14:paraId="7135DDE4"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Jeigu esate nėščia, žindote kūdikį, manote, kad galbūt esate nėščia arba planuojate pastoti, tai prieš vartodama šį vaistą pasitarkite su savo gydytoju. </w:t>
      </w:r>
      <w:proofErr w:type="spellStart"/>
      <w:r w:rsidRPr="007203A0">
        <w:rPr>
          <w:snapToGrid/>
          <w:szCs w:val="22"/>
          <w:lang w:val="lt-LT"/>
        </w:rPr>
        <w:t>Tadalafil</w:t>
      </w:r>
      <w:proofErr w:type="spellEnd"/>
      <w:r w:rsidRPr="007203A0">
        <w:rPr>
          <w:snapToGrid/>
          <w:szCs w:val="22"/>
          <w:lang w:val="lt-LT"/>
        </w:rPr>
        <w:t xml:space="preserve"> AOP nėštumo metu vartoti negalima, išskyrus atvejus, kai tai neabejotinai būtina ir tai aptarėte su gydytoju.</w:t>
      </w:r>
    </w:p>
    <w:p w14:paraId="3A8E7A7A" w14:textId="77777777" w:rsidR="0041096E" w:rsidRPr="00D8166E" w:rsidRDefault="0041096E" w:rsidP="0041096E">
      <w:pPr>
        <w:widowControl w:val="0"/>
        <w:tabs>
          <w:tab w:val="clear" w:pos="567"/>
        </w:tabs>
        <w:autoSpaceDE w:val="0"/>
        <w:autoSpaceDN w:val="0"/>
        <w:spacing w:before="9" w:line="240" w:lineRule="auto"/>
        <w:rPr>
          <w:lang w:val="lt-LT"/>
        </w:rPr>
      </w:pPr>
    </w:p>
    <w:p w14:paraId="06FD5D89" w14:textId="77777777" w:rsidR="0041096E" w:rsidRPr="008612D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Vartojant šias tabletes, žindyti negalima, nes nežinoma, ar šio vaisto prasiskverbia į motinos pien</w:t>
      </w:r>
      <w:r w:rsidRPr="008612DF">
        <w:rPr>
          <w:snapToGrid/>
          <w:szCs w:val="22"/>
          <w:lang w:val="lt-LT"/>
        </w:rPr>
        <w:t>ą. Prieš vartojant bet kokį vaistą nėštumo metu ar žindymo laikotarpiu, būtina pasitarti su gydytoju arba vaistininku.</w:t>
      </w:r>
    </w:p>
    <w:p w14:paraId="40FA01A0" w14:textId="77777777" w:rsidR="0041096E" w:rsidRPr="002A25EF" w:rsidRDefault="0041096E" w:rsidP="0041096E">
      <w:pPr>
        <w:widowControl w:val="0"/>
        <w:tabs>
          <w:tab w:val="clear" w:pos="567"/>
        </w:tabs>
        <w:autoSpaceDE w:val="0"/>
        <w:autoSpaceDN w:val="0"/>
        <w:spacing w:line="240" w:lineRule="auto"/>
        <w:rPr>
          <w:snapToGrid/>
          <w:szCs w:val="22"/>
          <w:lang w:val="lt-LT"/>
        </w:rPr>
      </w:pPr>
    </w:p>
    <w:p w14:paraId="521D1B16"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r w:rsidRPr="0061385E">
        <w:rPr>
          <w:snapToGrid/>
          <w:szCs w:val="22"/>
          <w:lang w:val="lt-LT"/>
        </w:rPr>
        <w:t>Gydant šiuo vaistu šunis, buvo pranešta apie spermatozoidų vystymosi sėklidėse sumažėjimą. Kai kuriems vyrams buvo pastebėtas spermos kiekio sumažėjimas. Mažai tikėtina, kad šie reiškiniai sutrikdytų vaisingumą.</w:t>
      </w:r>
    </w:p>
    <w:p w14:paraId="41A4EB2A" w14:textId="77777777" w:rsidR="0041096E" w:rsidRPr="0061385E" w:rsidRDefault="0041096E" w:rsidP="0041096E">
      <w:pPr>
        <w:numPr>
          <w:ilvl w:val="12"/>
          <w:numId w:val="0"/>
        </w:numPr>
        <w:tabs>
          <w:tab w:val="clear" w:pos="567"/>
        </w:tabs>
        <w:spacing w:line="240" w:lineRule="auto"/>
        <w:rPr>
          <w:szCs w:val="22"/>
          <w:lang w:val="lt-LT"/>
        </w:rPr>
      </w:pPr>
    </w:p>
    <w:p w14:paraId="6EDE91BB" w14:textId="77777777" w:rsidR="0041096E" w:rsidRPr="0061385E" w:rsidRDefault="0041096E" w:rsidP="0041096E">
      <w:pPr>
        <w:pStyle w:val="Antrat4"/>
        <w:spacing w:line="240" w:lineRule="auto"/>
        <w:jc w:val="left"/>
        <w:rPr>
          <w:rFonts w:ascii="Times New Roman" w:hAnsi="Times New Roman"/>
          <w:sz w:val="22"/>
          <w:szCs w:val="22"/>
          <w:lang w:val="lt-LT"/>
        </w:rPr>
      </w:pPr>
      <w:r w:rsidRPr="0061385E">
        <w:rPr>
          <w:rFonts w:ascii="Times New Roman" w:hAnsi="Times New Roman"/>
          <w:sz w:val="22"/>
          <w:szCs w:val="22"/>
          <w:lang w:val="lt-LT"/>
        </w:rPr>
        <w:lastRenderedPageBreak/>
        <w:t>Vairavimas ir mechanizmų valdymas</w:t>
      </w:r>
    </w:p>
    <w:p w14:paraId="6B89AD3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Pranešta apie svaigulį</w:t>
      </w:r>
      <w:r w:rsidRPr="00F1014D">
        <w:rPr>
          <w:snapToGrid/>
          <w:szCs w:val="22"/>
          <w:lang w:val="lt-LT"/>
        </w:rPr>
        <w:t xml:space="preserve">. Prieš vairavimą </w:t>
      </w:r>
      <w:r w:rsidRPr="007203A0">
        <w:rPr>
          <w:snapToGrid/>
          <w:szCs w:val="22"/>
          <w:lang w:val="lt-LT"/>
        </w:rPr>
        <w:t>ar mechanizmų valdymą atidžiai pasitikrinkite savo reakciją į šį vaistinį preparatą.</w:t>
      </w:r>
    </w:p>
    <w:p w14:paraId="1BC7019B" w14:textId="77777777" w:rsidR="0041096E" w:rsidRPr="007203A0" w:rsidRDefault="0041096E" w:rsidP="0041096E">
      <w:pPr>
        <w:numPr>
          <w:ilvl w:val="12"/>
          <w:numId w:val="0"/>
        </w:numPr>
        <w:tabs>
          <w:tab w:val="clear" w:pos="567"/>
        </w:tabs>
        <w:spacing w:line="240" w:lineRule="auto"/>
        <w:ind w:right="-2"/>
        <w:rPr>
          <w:szCs w:val="22"/>
          <w:lang w:val="lt-LT"/>
        </w:rPr>
      </w:pPr>
    </w:p>
    <w:p w14:paraId="3C955D11" w14:textId="77777777" w:rsidR="0041096E" w:rsidRPr="007203A0" w:rsidRDefault="0041096E" w:rsidP="0041096E">
      <w:pPr>
        <w:widowControl w:val="0"/>
        <w:tabs>
          <w:tab w:val="clear" w:pos="567"/>
        </w:tabs>
        <w:autoSpaceDE w:val="0"/>
        <w:autoSpaceDN w:val="0"/>
        <w:spacing w:line="240" w:lineRule="auto"/>
        <w:outlineLvl w:val="0"/>
        <w:rPr>
          <w:b/>
          <w:bCs/>
          <w:snapToGrid/>
          <w:szCs w:val="22"/>
          <w:lang w:val="lt-LT"/>
        </w:rPr>
      </w:pPr>
      <w:proofErr w:type="spellStart"/>
      <w:r w:rsidRPr="007203A0">
        <w:rPr>
          <w:b/>
          <w:bCs/>
          <w:snapToGrid/>
          <w:szCs w:val="22"/>
          <w:lang w:val="lt-LT"/>
        </w:rPr>
        <w:t>Tadalafil</w:t>
      </w:r>
      <w:proofErr w:type="spellEnd"/>
      <w:r w:rsidRPr="007203A0">
        <w:rPr>
          <w:b/>
          <w:bCs/>
          <w:snapToGrid/>
          <w:szCs w:val="22"/>
          <w:lang w:val="lt-LT"/>
        </w:rPr>
        <w:t xml:space="preserve"> AOP sudėtyje yra laktozės</w:t>
      </w:r>
    </w:p>
    <w:p w14:paraId="49203323" w14:textId="77777777" w:rsidR="0041096E" w:rsidRPr="007203A0" w:rsidRDefault="0041096E" w:rsidP="0041096E">
      <w:pPr>
        <w:widowControl w:val="0"/>
        <w:tabs>
          <w:tab w:val="clear" w:pos="567"/>
        </w:tabs>
        <w:autoSpaceDE w:val="0"/>
        <w:autoSpaceDN w:val="0"/>
        <w:spacing w:before="6" w:line="240" w:lineRule="auto"/>
        <w:rPr>
          <w:snapToGrid/>
          <w:szCs w:val="22"/>
          <w:lang w:val="lt-LT"/>
        </w:rPr>
      </w:pPr>
      <w:r w:rsidRPr="007203A0">
        <w:rPr>
          <w:snapToGrid/>
          <w:szCs w:val="22"/>
          <w:lang w:val="lt-LT"/>
        </w:rPr>
        <w:t>Jeigu gydytojas Jums yra sakęs, kad netoleruojate kokių nors angliavandenių, kreipkitės į jį prieš pradėdami vartoti šį vaistą.</w:t>
      </w:r>
    </w:p>
    <w:p w14:paraId="73569702" w14:textId="77777777" w:rsidR="0041096E" w:rsidRPr="007203A0" w:rsidRDefault="0041096E" w:rsidP="0041096E">
      <w:pPr>
        <w:numPr>
          <w:ilvl w:val="12"/>
          <w:numId w:val="0"/>
        </w:numPr>
        <w:tabs>
          <w:tab w:val="clear" w:pos="567"/>
        </w:tabs>
        <w:spacing w:line="240" w:lineRule="auto"/>
        <w:ind w:right="-2"/>
        <w:rPr>
          <w:szCs w:val="22"/>
          <w:lang w:val="lt-LT"/>
        </w:rPr>
      </w:pPr>
    </w:p>
    <w:p w14:paraId="5BEC2B00" w14:textId="77777777" w:rsidR="0041096E" w:rsidRPr="007203A0" w:rsidRDefault="0041096E" w:rsidP="0041096E">
      <w:pPr>
        <w:numPr>
          <w:ilvl w:val="12"/>
          <w:numId w:val="0"/>
        </w:numPr>
        <w:tabs>
          <w:tab w:val="clear" w:pos="567"/>
        </w:tabs>
        <w:spacing w:line="240" w:lineRule="auto"/>
        <w:ind w:right="-2"/>
        <w:rPr>
          <w:szCs w:val="22"/>
          <w:lang w:val="lt-LT"/>
        </w:rPr>
      </w:pPr>
    </w:p>
    <w:p w14:paraId="0E3A81D5"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3.</w:t>
      </w:r>
      <w:r w:rsidRPr="007203A0">
        <w:rPr>
          <w:rFonts w:ascii="Times New Roman" w:hAnsi="Times New Roman"/>
          <w:sz w:val="22"/>
          <w:szCs w:val="22"/>
          <w:lang w:val="lt-LT"/>
        </w:rPr>
        <w:tab/>
        <w:t xml:space="preserve">Kaip vartoti </w:t>
      </w: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w:t>
      </w:r>
    </w:p>
    <w:p w14:paraId="75939241" w14:textId="77777777" w:rsidR="0041096E" w:rsidRPr="007203A0" w:rsidRDefault="0041096E" w:rsidP="0041096E">
      <w:pPr>
        <w:numPr>
          <w:ilvl w:val="12"/>
          <w:numId w:val="0"/>
        </w:numPr>
        <w:tabs>
          <w:tab w:val="clear" w:pos="567"/>
        </w:tabs>
        <w:spacing w:line="240" w:lineRule="auto"/>
        <w:ind w:right="-2"/>
        <w:rPr>
          <w:szCs w:val="22"/>
          <w:lang w:val="lt-LT"/>
        </w:rPr>
      </w:pPr>
    </w:p>
    <w:p w14:paraId="395ECB90"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Visada vartokite šį vaistą tiksliai kaip nurodė gydytojas. Jeigu abejojate, kreipkitės į savo gydytoją arba vaistininką.</w:t>
      </w:r>
    </w:p>
    <w:p w14:paraId="04B42836" w14:textId="77777777" w:rsidR="0041096E" w:rsidRPr="00D8166E" w:rsidRDefault="0041096E" w:rsidP="0041096E">
      <w:pPr>
        <w:widowControl w:val="0"/>
        <w:tabs>
          <w:tab w:val="clear" w:pos="567"/>
        </w:tabs>
        <w:autoSpaceDE w:val="0"/>
        <w:autoSpaceDN w:val="0"/>
        <w:spacing w:before="10" w:line="240" w:lineRule="auto"/>
        <w:rPr>
          <w:lang w:val="lt-LT"/>
        </w:rPr>
      </w:pPr>
    </w:p>
    <w:p w14:paraId="0E774B61"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r w:rsidRPr="005F48B8">
        <w:rPr>
          <w:snapToGrid/>
          <w:szCs w:val="22"/>
          <w:lang w:val="lt-LT"/>
        </w:rPr>
        <w:t xml:space="preserve">Tiekiamos </w:t>
      </w:r>
      <w:proofErr w:type="spellStart"/>
      <w:r w:rsidRPr="005F48B8">
        <w:rPr>
          <w:snapToGrid/>
          <w:szCs w:val="22"/>
          <w:lang w:val="lt-LT"/>
        </w:rPr>
        <w:t>Tadalafil</w:t>
      </w:r>
      <w:proofErr w:type="spellEnd"/>
      <w:r w:rsidRPr="005F48B8">
        <w:rPr>
          <w:snapToGrid/>
          <w:szCs w:val="22"/>
          <w:lang w:val="lt-LT"/>
        </w:rPr>
        <w:t xml:space="preserve"> AOP 20 </w:t>
      </w:r>
      <w:r w:rsidRPr="002A25EF">
        <w:rPr>
          <w:snapToGrid/>
          <w:szCs w:val="22"/>
          <w:lang w:val="lt-LT"/>
        </w:rPr>
        <w:t xml:space="preserve">mg tabletės. </w:t>
      </w:r>
      <w:r w:rsidRPr="002A25EF">
        <w:rPr>
          <w:b/>
          <w:snapToGrid/>
          <w:szCs w:val="22"/>
          <w:lang w:val="lt-LT"/>
        </w:rPr>
        <w:t xml:space="preserve">Įprasta dozė </w:t>
      </w:r>
      <w:r w:rsidRPr="0061385E">
        <w:rPr>
          <w:snapToGrid/>
          <w:szCs w:val="22"/>
          <w:lang w:val="lt-LT"/>
        </w:rPr>
        <w:t>yra dvi 20 mg tabletės vieną kartą per parą. Abi tabletes reikia išgerti iš karto arba vieną po kitos. Jeigu sergate lengvu ar vidutinio sunkumo kepenų ar inkstų funkcijos sutrikimu, gydytojas gali rekomenduoti gerti tik vieną</w:t>
      </w:r>
      <w:r w:rsidRPr="009840AD">
        <w:rPr>
          <w:snapToGrid/>
          <w:szCs w:val="22"/>
          <w:lang w:val="lt-LT"/>
        </w:rPr>
        <w:t> 20 mg tabletę per parą.</w:t>
      </w:r>
    </w:p>
    <w:p w14:paraId="11937EB7" w14:textId="77777777" w:rsidR="0041096E" w:rsidRPr="00F1014D" w:rsidRDefault="0041096E" w:rsidP="0041096E">
      <w:pPr>
        <w:widowControl w:val="0"/>
        <w:tabs>
          <w:tab w:val="clear" w:pos="567"/>
        </w:tabs>
        <w:autoSpaceDE w:val="0"/>
        <w:autoSpaceDN w:val="0"/>
        <w:spacing w:line="240" w:lineRule="auto"/>
        <w:rPr>
          <w:snapToGrid/>
          <w:szCs w:val="22"/>
          <w:lang w:val="lt-LT"/>
        </w:rPr>
      </w:pPr>
    </w:p>
    <w:p w14:paraId="6270E7FA"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Nurykite nesmulkintas tabletes užgerdami vandeniu. </w:t>
      </w:r>
      <w:proofErr w:type="spellStart"/>
      <w:r w:rsidRPr="007203A0">
        <w:rPr>
          <w:snapToGrid/>
          <w:szCs w:val="22"/>
          <w:lang w:val="lt-LT"/>
        </w:rPr>
        <w:t>Tadalafil</w:t>
      </w:r>
      <w:proofErr w:type="spellEnd"/>
      <w:r w:rsidRPr="007203A0">
        <w:rPr>
          <w:snapToGrid/>
          <w:szCs w:val="22"/>
          <w:lang w:val="lt-LT"/>
        </w:rPr>
        <w:t xml:space="preserve"> AOP galima vartoti valgant arba be maisto.</w:t>
      </w:r>
    </w:p>
    <w:p w14:paraId="20805630" w14:textId="77777777" w:rsidR="0041096E" w:rsidRPr="007203A0" w:rsidRDefault="0041096E" w:rsidP="0041096E">
      <w:pPr>
        <w:widowControl w:val="0"/>
        <w:tabs>
          <w:tab w:val="clear" w:pos="567"/>
        </w:tabs>
        <w:autoSpaceDE w:val="0"/>
        <w:autoSpaceDN w:val="0"/>
        <w:spacing w:before="5" w:line="240" w:lineRule="auto"/>
        <w:rPr>
          <w:snapToGrid/>
          <w:szCs w:val="22"/>
          <w:lang w:val="lt-LT"/>
        </w:rPr>
      </w:pPr>
    </w:p>
    <w:p w14:paraId="76772648" w14:textId="77777777" w:rsidR="0041096E" w:rsidRPr="007203A0" w:rsidRDefault="0041096E" w:rsidP="0041096E">
      <w:pPr>
        <w:widowControl w:val="0"/>
        <w:tabs>
          <w:tab w:val="clear" w:pos="567"/>
        </w:tabs>
        <w:autoSpaceDE w:val="0"/>
        <w:autoSpaceDN w:val="0"/>
        <w:spacing w:before="1" w:line="240" w:lineRule="auto"/>
        <w:outlineLvl w:val="0"/>
        <w:rPr>
          <w:b/>
          <w:bCs/>
          <w:snapToGrid/>
          <w:szCs w:val="22"/>
          <w:lang w:val="lt-LT"/>
        </w:rPr>
      </w:pPr>
      <w:r w:rsidRPr="007203A0">
        <w:rPr>
          <w:b/>
          <w:bCs/>
          <w:snapToGrid/>
          <w:szCs w:val="22"/>
          <w:lang w:val="lt-LT"/>
        </w:rPr>
        <w:t xml:space="preserve">Ką daryti pavartojus per didelę </w:t>
      </w:r>
      <w:proofErr w:type="spellStart"/>
      <w:r w:rsidRPr="007203A0">
        <w:rPr>
          <w:b/>
          <w:bCs/>
          <w:snapToGrid/>
          <w:szCs w:val="22"/>
          <w:lang w:val="lt-LT"/>
        </w:rPr>
        <w:t>Tadalafil</w:t>
      </w:r>
      <w:proofErr w:type="spellEnd"/>
      <w:r w:rsidRPr="007203A0">
        <w:rPr>
          <w:b/>
          <w:bCs/>
          <w:snapToGrid/>
          <w:szCs w:val="22"/>
          <w:lang w:val="lt-LT"/>
        </w:rPr>
        <w:t xml:space="preserve"> AOP dozę</w:t>
      </w:r>
    </w:p>
    <w:p w14:paraId="540496D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Jūs arba kas nors kitas išgėrė daugiau tablečių nei paskirta, pasakykite gydytojui arba nedelsdami vykite į ligoninę, kartu pasiimkite vaistą ir pakuotę. Gali pasireikšti bet kuris šalutinis poveikis, aprašytas 4 skyriuje.</w:t>
      </w:r>
    </w:p>
    <w:p w14:paraId="4F1C55C1" w14:textId="77777777" w:rsidR="0041096E" w:rsidRPr="007203A0" w:rsidRDefault="0041096E" w:rsidP="0041096E">
      <w:pPr>
        <w:widowControl w:val="0"/>
        <w:tabs>
          <w:tab w:val="clear" w:pos="567"/>
        </w:tabs>
        <w:autoSpaceDE w:val="0"/>
        <w:autoSpaceDN w:val="0"/>
        <w:spacing w:before="2" w:line="240" w:lineRule="auto"/>
        <w:rPr>
          <w:snapToGrid/>
          <w:szCs w:val="22"/>
          <w:lang w:val="lt-LT"/>
        </w:rPr>
      </w:pPr>
    </w:p>
    <w:p w14:paraId="0D12B32B" w14:textId="77777777" w:rsidR="0041096E" w:rsidRPr="007203A0" w:rsidRDefault="0041096E" w:rsidP="0041096E">
      <w:pPr>
        <w:widowControl w:val="0"/>
        <w:tabs>
          <w:tab w:val="clear" w:pos="567"/>
        </w:tabs>
        <w:autoSpaceDE w:val="0"/>
        <w:autoSpaceDN w:val="0"/>
        <w:spacing w:line="240" w:lineRule="auto"/>
        <w:outlineLvl w:val="0"/>
        <w:rPr>
          <w:b/>
          <w:bCs/>
          <w:snapToGrid/>
          <w:szCs w:val="22"/>
          <w:lang w:val="lt-LT"/>
        </w:rPr>
      </w:pPr>
      <w:r w:rsidRPr="007203A0">
        <w:rPr>
          <w:b/>
          <w:bCs/>
          <w:snapToGrid/>
          <w:szCs w:val="22"/>
          <w:lang w:val="lt-LT"/>
        </w:rPr>
        <w:t xml:space="preserve">Pamiršus pavartoti </w:t>
      </w:r>
      <w:proofErr w:type="spellStart"/>
      <w:r w:rsidRPr="007203A0">
        <w:rPr>
          <w:b/>
          <w:bCs/>
          <w:snapToGrid/>
          <w:szCs w:val="22"/>
          <w:lang w:val="lt-LT"/>
        </w:rPr>
        <w:t>Tadalafil</w:t>
      </w:r>
      <w:proofErr w:type="spellEnd"/>
      <w:r w:rsidRPr="007203A0">
        <w:rPr>
          <w:b/>
          <w:bCs/>
          <w:snapToGrid/>
          <w:szCs w:val="22"/>
          <w:lang w:val="lt-LT"/>
        </w:rPr>
        <w:t xml:space="preserve"> AOP</w:t>
      </w:r>
    </w:p>
    <w:p w14:paraId="21703B3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Išgerkite dozę, kai tik prisiminsite, jeigu dar nepraėję daugiau kaip 8 valandos po laiko, kada turėjote išgerti vaisto. NEGALIMA vartoti dvigubos dozės norint kompensuoti praleistą dozę.</w:t>
      </w:r>
    </w:p>
    <w:p w14:paraId="699D32A1"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4EAC2F6B" w14:textId="77777777" w:rsidR="0041096E" w:rsidRPr="007203A0" w:rsidRDefault="0041096E" w:rsidP="0041096E">
      <w:pPr>
        <w:widowControl w:val="0"/>
        <w:tabs>
          <w:tab w:val="clear" w:pos="567"/>
        </w:tabs>
        <w:autoSpaceDE w:val="0"/>
        <w:autoSpaceDN w:val="0"/>
        <w:spacing w:before="1" w:line="240" w:lineRule="auto"/>
        <w:outlineLvl w:val="0"/>
        <w:rPr>
          <w:b/>
          <w:bCs/>
          <w:snapToGrid/>
          <w:szCs w:val="22"/>
          <w:lang w:val="lt-LT"/>
        </w:rPr>
      </w:pPr>
      <w:r w:rsidRPr="007203A0">
        <w:rPr>
          <w:b/>
          <w:bCs/>
          <w:snapToGrid/>
          <w:szCs w:val="22"/>
          <w:lang w:val="lt-LT"/>
        </w:rPr>
        <w:t xml:space="preserve">Nustojus vartoti </w:t>
      </w:r>
      <w:proofErr w:type="spellStart"/>
      <w:r w:rsidRPr="007203A0">
        <w:rPr>
          <w:b/>
          <w:bCs/>
          <w:snapToGrid/>
          <w:szCs w:val="22"/>
          <w:lang w:val="lt-LT"/>
        </w:rPr>
        <w:t>Tadalafil</w:t>
      </w:r>
      <w:proofErr w:type="spellEnd"/>
      <w:r w:rsidRPr="007203A0">
        <w:rPr>
          <w:b/>
          <w:bCs/>
          <w:snapToGrid/>
          <w:szCs w:val="22"/>
          <w:lang w:val="lt-LT"/>
        </w:rPr>
        <w:t xml:space="preserve"> AOP</w:t>
      </w:r>
    </w:p>
    <w:p w14:paraId="3EA3E90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Tablečių vartojimo nenutraukite tol, kol kitaip nenurodys gydytojas.</w:t>
      </w:r>
    </w:p>
    <w:p w14:paraId="31304EA5" w14:textId="77777777" w:rsidR="0041096E" w:rsidRPr="00D8166E" w:rsidRDefault="0041096E" w:rsidP="0041096E">
      <w:pPr>
        <w:widowControl w:val="0"/>
        <w:tabs>
          <w:tab w:val="clear" w:pos="567"/>
        </w:tabs>
        <w:autoSpaceDE w:val="0"/>
        <w:autoSpaceDN w:val="0"/>
        <w:spacing w:before="9" w:line="240" w:lineRule="auto"/>
        <w:rPr>
          <w:lang w:val="lt-LT"/>
        </w:rPr>
      </w:pPr>
    </w:p>
    <w:p w14:paraId="2545EF41"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Jeigu kiltų daugiau klausimų dėl šio vaisto vartojimo, kreipkitės į gydytoją arba vaistininką.</w:t>
      </w:r>
    </w:p>
    <w:p w14:paraId="06F845E4" w14:textId="77777777" w:rsidR="0041096E" w:rsidRPr="008612DF" w:rsidRDefault="0041096E" w:rsidP="0041096E">
      <w:pPr>
        <w:numPr>
          <w:ilvl w:val="12"/>
          <w:numId w:val="0"/>
        </w:numPr>
        <w:tabs>
          <w:tab w:val="clear" w:pos="567"/>
        </w:tabs>
        <w:spacing w:line="240" w:lineRule="auto"/>
        <w:rPr>
          <w:szCs w:val="22"/>
          <w:lang w:val="lt-LT"/>
        </w:rPr>
      </w:pPr>
    </w:p>
    <w:p w14:paraId="7D9DF4EC" w14:textId="77777777" w:rsidR="0041096E" w:rsidRPr="002A25EF" w:rsidRDefault="0041096E" w:rsidP="0041096E">
      <w:pPr>
        <w:numPr>
          <w:ilvl w:val="12"/>
          <w:numId w:val="0"/>
        </w:numPr>
        <w:tabs>
          <w:tab w:val="clear" w:pos="567"/>
        </w:tabs>
        <w:spacing w:line="240" w:lineRule="auto"/>
        <w:rPr>
          <w:szCs w:val="22"/>
          <w:lang w:val="lt-LT"/>
        </w:rPr>
      </w:pPr>
    </w:p>
    <w:p w14:paraId="2FC9EB4F" w14:textId="77777777" w:rsidR="0041096E" w:rsidRPr="0061385E" w:rsidRDefault="0041096E" w:rsidP="0041096E">
      <w:pPr>
        <w:pStyle w:val="Antrat3"/>
        <w:spacing w:before="0" w:after="0" w:line="240" w:lineRule="auto"/>
        <w:rPr>
          <w:rFonts w:ascii="Times New Roman" w:hAnsi="Times New Roman"/>
          <w:sz w:val="22"/>
          <w:szCs w:val="22"/>
          <w:lang w:val="lt-LT"/>
        </w:rPr>
      </w:pPr>
      <w:r w:rsidRPr="0061385E">
        <w:rPr>
          <w:rFonts w:ascii="Times New Roman" w:hAnsi="Times New Roman"/>
          <w:sz w:val="22"/>
          <w:szCs w:val="22"/>
          <w:lang w:val="lt-LT"/>
        </w:rPr>
        <w:t>4.</w:t>
      </w:r>
      <w:r w:rsidRPr="0061385E">
        <w:rPr>
          <w:rFonts w:ascii="Times New Roman" w:hAnsi="Times New Roman"/>
          <w:sz w:val="22"/>
          <w:szCs w:val="22"/>
          <w:lang w:val="lt-LT"/>
        </w:rPr>
        <w:tab/>
        <w:t>Galimas šalutinis poveikis</w:t>
      </w:r>
    </w:p>
    <w:p w14:paraId="70550CFD" w14:textId="77777777" w:rsidR="0041096E" w:rsidRPr="0061385E" w:rsidRDefault="0041096E" w:rsidP="0041096E">
      <w:pPr>
        <w:numPr>
          <w:ilvl w:val="12"/>
          <w:numId w:val="0"/>
        </w:numPr>
        <w:tabs>
          <w:tab w:val="clear" w:pos="567"/>
        </w:tabs>
        <w:spacing w:line="240" w:lineRule="auto"/>
        <w:rPr>
          <w:szCs w:val="22"/>
          <w:lang w:val="lt-LT"/>
        </w:rPr>
      </w:pPr>
    </w:p>
    <w:p w14:paraId="09E03735" w14:textId="77777777" w:rsidR="0041096E" w:rsidRPr="00F86E80" w:rsidRDefault="0041096E" w:rsidP="0041096E">
      <w:pPr>
        <w:pStyle w:val="Pagrindinistekstas"/>
        <w:widowControl w:val="0"/>
        <w:autoSpaceDE w:val="0"/>
        <w:autoSpaceDN w:val="0"/>
        <w:rPr>
          <w:rFonts w:eastAsia="Times New Roman"/>
          <w:i w:val="0"/>
          <w:color w:val="auto"/>
          <w:sz w:val="22"/>
          <w:szCs w:val="22"/>
          <w:lang w:val="lt-LT"/>
        </w:rPr>
      </w:pPr>
      <w:r w:rsidRPr="00F86E80">
        <w:rPr>
          <w:rFonts w:eastAsia="Times New Roman"/>
          <w:i w:val="0"/>
          <w:color w:val="auto"/>
          <w:sz w:val="22"/>
          <w:szCs w:val="22"/>
          <w:lang w:val="lt-LT"/>
        </w:rPr>
        <w:t>Šis vaistas, kaip ir visi kiti, gali sukelti šalutinį poveikį, nors jis pasireiškia ne visiems žmonėms. Paprastai toks poveikis būna lengvas arba vidutinio sunkumo.</w:t>
      </w:r>
    </w:p>
    <w:p w14:paraId="79B291F1" w14:textId="77777777" w:rsidR="0041096E" w:rsidRPr="008612DF" w:rsidRDefault="0041096E" w:rsidP="0041096E">
      <w:pPr>
        <w:numPr>
          <w:ilvl w:val="12"/>
          <w:numId w:val="0"/>
        </w:numPr>
        <w:tabs>
          <w:tab w:val="clear" w:pos="567"/>
        </w:tabs>
        <w:spacing w:line="240" w:lineRule="auto"/>
        <w:ind w:right="-29"/>
        <w:rPr>
          <w:szCs w:val="22"/>
          <w:lang w:val="lt-LT"/>
        </w:rPr>
      </w:pPr>
    </w:p>
    <w:p w14:paraId="5295B267" w14:textId="77777777" w:rsidR="0041096E" w:rsidRPr="002A25EF" w:rsidRDefault="0041096E" w:rsidP="0041096E">
      <w:pPr>
        <w:widowControl w:val="0"/>
        <w:tabs>
          <w:tab w:val="clear" w:pos="567"/>
        </w:tabs>
        <w:autoSpaceDE w:val="0"/>
        <w:autoSpaceDN w:val="0"/>
        <w:spacing w:before="1" w:line="240" w:lineRule="auto"/>
        <w:outlineLvl w:val="0"/>
        <w:rPr>
          <w:b/>
          <w:bCs/>
          <w:snapToGrid/>
          <w:szCs w:val="22"/>
          <w:lang w:val="lt-LT"/>
        </w:rPr>
      </w:pPr>
      <w:r w:rsidRPr="002A25EF">
        <w:rPr>
          <w:b/>
          <w:bCs/>
          <w:snapToGrid/>
          <w:szCs w:val="22"/>
          <w:lang w:val="lt-LT"/>
        </w:rPr>
        <w:t>Jeigu pasireiškė kuris nors toliau išvardytas šalutinis poveikis, nutraukite vaisto vartojimą ir nedelsdami kreipkitės medicininės pagalbos:</w:t>
      </w:r>
    </w:p>
    <w:p w14:paraId="53E9E9F7"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alerginės reakcijos, įskaitant odos bėrimus (dažnai);</w:t>
      </w:r>
    </w:p>
    <w:p w14:paraId="4FC18CAF"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krūtinės skausmas – negalima vartoti nitratų, bet reikia nedelsiant kreiptis medicininės pagalbos (dažnai);</w:t>
      </w:r>
    </w:p>
    <w:p w14:paraId="4F3EFB40"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ilgalaikė arba gali būti skau</w:t>
      </w:r>
      <w:r w:rsidRPr="009840AD">
        <w:rPr>
          <w:noProof/>
          <w:snapToGrid/>
          <w:szCs w:val="22"/>
          <w:lang w:val="lt-LT"/>
        </w:rPr>
        <w:t>sminga erekcija (priapizmas), po Tadalafil AOP pavartojimo (nedažnai)</w:t>
      </w:r>
      <w:r>
        <w:rPr>
          <w:noProof/>
          <w:snapToGrid/>
          <w:szCs w:val="22"/>
          <w:lang w:val="lt-LT"/>
        </w:rPr>
        <w:t>;</w:t>
      </w:r>
    </w:p>
    <w:p w14:paraId="3E39B2BF"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Pr>
          <w:noProof/>
          <w:snapToGrid/>
          <w:szCs w:val="22"/>
          <w:lang w:val="lt-LT"/>
        </w:rPr>
        <w:t>j</w:t>
      </w:r>
      <w:r w:rsidRPr="005F48B8">
        <w:rPr>
          <w:noProof/>
          <w:snapToGrid/>
          <w:szCs w:val="22"/>
          <w:lang w:val="lt-LT"/>
        </w:rPr>
        <w:t>eigu pasireiškė tokia erekcija, kuri trunka ilgiau kaip 4 valandas, turite nedelsdami kreiptis į gydytoją;</w:t>
      </w:r>
    </w:p>
    <w:p w14:paraId="468B23D3" w14:textId="77777777" w:rsidR="0041096E" w:rsidRPr="008612D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staigus apakimas (</w:t>
      </w:r>
      <w:r>
        <w:rPr>
          <w:noProof/>
          <w:snapToGrid/>
          <w:szCs w:val="22"/>
          <w:lang w:val="lt-LT"/>
        </w:rPr>
        <w:t>dažnis retas</w:t>
      </w:r>
      <w:r w:rsidRPr="008612DF">
        <w:rPr>
          <w:noProof/>
          <w:snapToGrid/>
          <w:szCs w:val="22"/>
          <w:lang w:val="lt-LT"/>
        </w:rPr>
        <w:t>)</w:t>
      </w:r>
      <w:r>
        <w:rPr>
          <w:noProof/>
          <w:snapToGrid/>
          <w:szCs w:val="22"/>
          <w:lang w:val="lt-LT"/>
        </w:rPr>
        <w:t xml:space="preserve">, </w:t>
      </w:r>
      <w:r w:rsidRPr="00AB64D3">
        <w:rPr>
          <w:lang w:val="lt-LT"/>
        </w:rPr>
        <w:t xml:space="preserve">iškreiptas, </w:t>
      </w:r>
      <w:r>
        <w:rPr>
          <w:lang w:val="lt-LT"/>
        </w:rPr>
        <w:t>blankus</w:t>
      </w:r>
      <w:r w:rsidRPr="00AB64D3">
        <w:rPr>
          <w:lang w:val="lt-LT"/>
        </w:rPr>
        <w:t>, neryškus centrinis matymas arba staigus regos susilpnėjimas (dažnis nežinomas)</w:t>
      </w:r>
      <w:r w:rsidRPr="008612DF">
        <w:rPr>
          <w:noProof/>
          <w:snapToGrid/>
          <w:szCs w:val="22"/>
          <w:lang w:val="lt-LT"/>
        </w:rPr>
        <w:t>.</w:t>
      </w:r>
    </w:p>
    <w:p w14:paraId="62EA38B5" w14:textId="77777777" w:rsidR="0041096E" w:rsidRDefault="0041096E" w:rsidP="0041096E">
      <w:pPr>
        <w:widowControl w:val="0"/>
        <w:tabs>
          <w:tab w:val="clear" w:pos="567"/>
        </w:tabs>
        <w:autoSpaceDE w:val="0"/>
        <w:autoSpaceDN w:val="0"/>
        <w:spacing w:before="1" w:line="240" w:lineRule="auto"/>
        <w:rPr>
          <w:snapToGrid/>
          <w:szCs w:val="22"/>
          <w:lang w:val="lt-LT"/>
        </w:rPr>
      </w:pPr>
    </w:p>
    <w:p w14:paraId="4E8E568A"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r w:rsidRPr="0061385E">
        <w:rPr>
          <w:snapToGrid/>
          <w:szCs w:val="22"/>
          <w:lang w:val="lt-LT"/>
        </w:rPr>
        <w:t xml:space="preserve">Apie toliau išvardytą šalutinį poveikį pacientams, vartojantiems </w:t>
      </w:r>
      <w:proofErr w:type="spellStart"/>
      <w:r w:rsidRPr="0061385E">
        <w:rPr>
          <w:snapToGrid/>
          <w:szCs w:val="22"/>
          <w:lang w:val="lt-LT"/>
        </w:rPr>
        <w:t>Tadalafil</w:t>
      </w:r>
      <w:proofErr w:type="spellEnd"/>
      <w:r w:rsidRPr="0061385E">
        <w:rPr>
          <w:snapToGrid/>
          <w:szCs w:val="22"/>
          <w:lang w:val="lt-LT"/>
        </w:rPr>
        <w:t xml:space="preserve"> AOP, buvo pranešta labai dažnai (gali pasireikšti dažniau kaip 1 iš 10 žmonių): galvos skausmas, veido ir kaklo paraudimas, nosies ir nosies ančių užgulimas (nosies užsikimšimas), pykinimas, </w:t>
      </w:r>
      <w:proofErr w:type="spellStart"/>
      <w:r w:rsidRPr="0061385E">
        <w:rPr>
          <w:snapToGrid/>
          <w:szCs w:val="22"/>
          <w:lang w:val="lt-LT"/>
        </w:rPr>
        <w:t>nevirškinimas</w:t>
      </w:r>
      <w:proofErr w:type="spellEnd"/>
      <w:r w:rsidRPr="0061385E">
        <w:rPr>
          <w:snapToGrid/>
          <w:szCs w:val="22"/>
          <w:lang w:val="lt-LT"/>
        </w:rPr>
        <w:t xml:space="preserve"> (įskaitant pilvo </w:t>
      </w:r>
      <w:r w:rsidRPr="0061385E">
        <w:rPr>
          <w:snapToGrid/>
          <w:szCs w:val="22"/>
          <w:lang w:val="lt-LT"/>
        </w:rPr>
        <w:lastRenderedPageBreak/>
        <w:t>skausmą ar diskomfortą), raumenų diegliai, nugaros skausmas ir galūnių skausmas (įskaitant galūnių diskomfortą).</w:t>
      </w:r>
    </w:p>
    <w:p w14:paraId="459ABD5B"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p>
    <w:p w14:paraId="5C5F2200"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r w:rsidRPr="009840AD">
        <w:rPr>
          <w:snapToGrid/>
          <w:szCs w:val="22"/>
          <w:lang w:val="lt-LT"/>
        </w:rPr>
        <w:t>Gauta pranešimų apie kitą šalutinį poveikį:</w:t>
      </w:r>
    </w:p>
    <w:p w14:paraId="48A840F4" w14:textId="77777777" w:rsidR="0041096E" w:rsidRPr="00D34BC6" w:rsidRDefault="0041096E" w:rsidP="0041096E">
      <w:pPr>
        <w:widowControl w:val="0"/>
        <w:tabs>
          <w:tab w:val="clear" w:pos="567"/>
        </w:tabs>
        <w:autoSpaceDE w:val="0"/>
        <w:autoSpaceDN w:val="0"/>
        <w:spacing w:before="1" w:line="240" w:lineRule="auto"/>
        <w:rPr>
          <w:snapToGrid/>
          <w:szCs w:val="22"/>
          <w:lang w:val="lt-LT"/>
        </w:rPr>
      </w:pPr>
      <w:r w:rsidRPr="00DF519F">
        <w:rPr>
          <w:b/>
          <w:bCs/>
          <w:noProof/>
          <w:szCs w:val="22"/>
          <w:lang w:val="lt-LT"/>
        </w:rPr>
        <w:t>Dažni šalutinio poveikio reiškiniai (gali pasireikšti rečiau kaip 1 iš 10 asmenų)</w:t>
      </w:r>
      <w:r>
        <w:rPr>
          <w:b/>
          <w:bCs/>
          <w:noProof/>
          <w:szCs w:val="22"/>
          <w:lang w:val="lt-LT"/>
        </w:rPr>
        <w:t>:</w:t>
      </w:r>
    </w:p>
    <w:p w14:paraId="79D09A24"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miglotas matymas, kraujospūdžio sumažėjimas, kraujavimas iš nosies, vėmimas, kraujavimo iš gimdos sustiprėjimas arba nenormalus kraujavimas iš gimdos, veido patinimas, rūgšties grįžtamasis tekėjimas, migrena, krūtinės skausmas, nereguliarus širdies plakimas ir apalpimas.</w:t>
      </w:r>
    </w:p>
    <w:p w14:paraId="52B65E8C"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9560A49" w14:textId="77777777" w:rsidR="0041096E" w:rsidRDefault="0041096E" w:rsidP="0041096E">
      <w:pPr>
        <w:widowControl w:val="0"/>
        <w:tabs>
          <w:tab w:val="clear" w:pos="567"/>
        </w:tabs>
        <w:autoSpaceDE w:val="0"/>
        <w:autoSpaceDN w:val="0"/>
        <w:spacing w:before="1" w:line="240" w:lineRule="auto"/>
        <w:rPr>
          <w:snapToGrid/>
          <w:szCs w:val="22"/>
          <w:lang w:val="lt-LT"/>
        </w:rPr>
      </w:pPr>
    </w:p>
    <w:p w14:paraId="34D55BCD" w14:textId="77777777" w:rsidR="0041096E" w:rsidRPr="00D34BC6" w:rsidRDefault="0041096E" w:rsidP="0041096E">
      <w:pPr>
        <w:widowControl w:val="0"/>
        <w:tabs>
          <w:tab w:val="clear" w:pos="567"/>
        </w:tabs>
        <w:autoSpaceDE w:val="0"/>
        <w:autoSpaceDN w:val="0"/>
        <w:spacing w:before="1" w:line="240" w:lineRule="auto"/>
        <w:rPr>
          <w:snapToGrid/>
          <w:szCs w:val="22"/>
          <w:lang w:val="lt-LT"/>
        </w:rPr>
      </w:pPr>
      <w:r w:rsidRPr="00DF519F">
        <w:rPr>
          <w:b/>
          <w:bCs/>
          <w:noProof/>
          <w:szCs w:val="22"/>
          <w:lang w:val="lt-LT"/>
        </w:rPr>
        <w:t>Nedažni šalutinio poveikio reiškiniai (gali pasireikšti rečiau kaip 1 iš 100 asmenų):</w:t>
      </w:r>
    </w:p>
    <w:p w14:paraId="782F93AC"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traukuliai, praeinantis atminties praradimas, dilgėlinė, gausus prakaitavimas, kraujavimas iš varpos, kraujas spermoje ir (arba) šlapime, didelis kraujospūdis, dažnas širdies plakimas. staigi širdinė mirtis ir spengimas ausyse.</w:t>
      </w:r>
    </w:p>
    <w:p w14:paraId="54412345"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61F2FC9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b/>
          <w:snapToGrid/>
          <w:szCs w:val="22"/>
          <w:lang w:val="lt-LT"/>
        </w:rPr>
        <w:t xml:space="preserve">FDE5 inhibitoriais </w:t>
      </w:r>
      <w:r w:rsidRPr="007203A0">
        <w:rPr>
          <w:snapToGrid/>
          <w:szCs w:val="22"/>
          <w:lang w:val="lt-LT"/>
        </w:rPr>
        <w:t>gydomas ir vyrų erekcijos funkcijos sutrikimas. Kai kuriems iš jų retais atvejais pasireiškė toks šalutinis poveikis:</w:t>
      </w:r>
    </w:p>
    <w:p w14:paraId="41D0DD42"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dalinis, laikinas arba ilgalaikis regėjimo viena akimi arba abiem akimis susilpnėjimas arba apakimas ir sunki alerginė reakcija, sukelianti veido ar gerklės patinimą,. Be to, pasireiškė klausos susilpnėjimas arba prikurtimas.</w:t>
      </w:r>
    </w:p>
    <w:p w14:paraId="04C513DB" w14:textId="77777777" w:rsidR="0041096E" w:rsidRPr="00D8166E" w:rsidRDefault="0041096E" w:rsidP="0041096E">
      <w:pPr>
        <w:widowControl w:val="0"/>
        <w:tabs>
          <w:tab w:val="clear" w:pos="567"/>
        </w:tabs>
        <w:autoSpaceDE w:val="0"/>
        <w:autoSpaceDN w:val="0"/>
        <w:spacing w:before="10" w:line="240" w:lineRule="auto"/>
        <w:rPr>
          <w:lang w:val="lt-LT"/>
        </w:rPr>
      </w:pPr>
    </w:p>
    <w:p w14:paraId="17977B19"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Kai kuris šalutinis poveikis pasireiškė vyrams, kurie </w:t>
      </w:r>
      <w:proofErr w:type="spellStart"/>
      <w:r w:rsidRPr="005F48B8">
        <w:rPr>
          <w:snapToGrid/>
          <w:szCs w:val="22"/>
          <w:lang w:val="lt-LT"/>
        </w:rPr>
        <w:t>tadalafiliu</w:t>
      </w:r>
      <w:proofErr w:type="spellEnd"/>
      <w:r w:rsidRPr="005F48B8">
        <w:rPr>
          <w:snapToGrid/>
          <w:szCs w:val="22"/>
          <w:lang w:val="lt-LT"/>
        </w:rPr>
        <w:t xml:space="preserve"> buvo gydyti dėl erekcijos funkcijos sutrikimo. Šie reiškinia</w:t>
      </w:r>
      <w:r w:rsidRPr="008612DF">
        <w:rPr>
          <w:snapToGrid/>
          <w:szCs w:val="22"/>
          <w:lang w:val="lt-LT"/>
        </w:rPr>
        <w:t xml:space="preserve">i klinikinių </w:t>
      </w:r>
      <w:proofErr w:type="spellStart"/>
      <w:r w:rsidRPr="008612DF">
        <w:rPr>
          <w:snapToGrid/>
          <w:szCs w:val="22"/>
          <w:lang w:val="lt-LT"/>
        </w:rPr>
        <w:t>plautinės</w:t>
      </w:r>
      <w:proofErr w:type="spellEnd"/>
      <w:r w:rsidRPr="008612DF">
        <w:rPr>
          <w:snapToGrid/>
          <w:szCs w:val="22"/>
          <w:lang w:val="lt-LT"/>
        </w:rPr>
        <w:t xml:space="preserve"> arterinės hipertenzijos tyrimų metu nepasireiškė</w:t>
      </w:r>
      <w:r>
        <w:rPr>
          <w:snapToGrid/>
          <w:szCs w:val="22"/>
          <w:lang w:val="lt-LT"/>
        </w:rPr>
        <w:t>:</w:t>
      </w:r>
    </w:p>
    <w:p w14:paraId="295A2CF3" w14:textId="77777777" w:rsidR="0041096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2A25EF">
        <w:rPr>
          <w:noProof/>
          <w:snapToGrid/>
          <w:szCs w:val="22"/>
          <w:lang w:val="lt-LT"/>
        </w:rPr>
        <w:t>akių vokų patinimas, akių skausmas, akių paraudimas, širdies priepuolis ir smegenų insultas</w:t>
      </w:r>
      <w:r>
        <w:rPr>
          <w:noProof/>
          <w:snapToGrid/>
          <w:szCs w:val="22"/>
          <w:lang w:val="lt-LT"/>
        </w:rPr>
        <w:t xml:space="preserve"> (dažnis nežinomas);</w:t>
      </w:r>
    </w:p>
    <w:p w14:paraId="037B28F8" w14:textId="77777777" w:rsidR="0041096E" w:rsidRPr="002A25E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231A4B">
        <w:rPr>
          <w:lang w:val="lt-LT"/>
        </w:rPr>
        <w:t xml:space="preserve">iškreiptas, </w:t>
      </w:r>
      <w:r>
        <w:rPr>
          <w:lang w:val="lt-LT"/>
        </w:rPr>
        <w:t>blankus</w:t>
      </w:r>
      <w:r w:rsidRPr="00231A4B">
        <w:rPr>
          <w:lang w:val="lt-LT"/>
        </w:rPr>
        <w:t>, neryškus centrinis matymas arba staigus regos susilpnėjimas (dažnis nežinomas).</w:t>
      </w:r>
    </w:p>
    <w:p w14:paraId="26DF5889" w14:textId="77777777" w:rsidR="0041096E" w:rsidRPr="0061385E" w:rsidRDefault="0041096E" w:rsidP="0041096E">
      <w:pPr>
        <w:tabs>
          <w:tab w:val="clear" w:pos="567"/>
        </w:tabs>
        <w:spacing w:line="240" w:lineRule="auto"/>
        <w:ind w:right="-2"/>
        <w:rPr>
          <w:noProof/>
          <w:snapToGrid/>
          <w:szCs w:val="22"/>
          <w:lang w:val="lt-LT"/>
        </w:rPr>
      </w:pPr>
    </w:p>
    <w:p w14:paraId="61543A36"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 xml:space="preserve">Buvo pranešta, kad dauguma, bet ne visi šių vyrų, kuriems pasireiškė dažnas širdies ritmas, nereguliarus širdies ritmas, širdies priepuolis, smegenų insultas ar staigi širdinė mirtis, turėjo širdies sutrikimų prieš pradedant vartoti </w:t>
      </w:r>
      <w:proofErr w:type="spellStart"/>
      <w:r w:rsidRPr="0061385E">
        <w:rPr>
          <w:snapToGrid/>
          <w:szCs w:val="22"/>
          <w:lang w:val="lt-LT"/>
        </w:rPr>
        <w:t>tadalafilį</w:t>
      </w:r>
      <w:proofErr w:type="spellEnd"/>
      <w:r w:rsidRPr="0061385E">
        <w:rPr>
          <w:snapToGrid/>
          <w:szCs w:val="22"/>
          <w:lang w:val="lt-LT"/>
        </w:rPr>
        <w:t xml:space="preserve">. Ar šie reiškiniai yra tiesiogiai susiję su </w:t>
      </w:r>
      <w:proofErr w:type="spellStart"/>
      <w:r w:rsidRPr="0061385E">
        <w:rPr>
          <w:snapToGrid/>
          <w:szCs w:val="22"/>
          <w:lang w:val="lt-LT"/>
        </w:rPr>
        <w:t>tadalafiliu</w:t>
      </w:r>
      <w:proofErr w:type="spellEnd"/>
      <w:r w:rsidRPr="0061385E">
        <w:rPr>
          <w:snapToGrid/>
          <w:szCs w:val="22"/>
          <w:lang w:val="lt-LT"/>
        </w:rPr>
        <w:t>, nustatyti ne</w:t>
      </w:r>
      <w:r w:rsidRPr="009840AD">
        <w:rPr>
          <w:snapToGrid/>
          <w:szCs w:val="22"/>
          <w:lang w:val="lt-LT"/>
        </w:rPr>
        <w:t>įmanoma.</w:t>
      </w:r>
    </w:p>
    <w:p w14:paraId="774A1D87" w14:textId="77777777" w:rsidR="0041096E" w:rsidRPr="00F1014D" w:rsidRDefault="0041096E" w:rsidP="0041096E">
      <w:pPr>
        <w:spacing w:line="240" w:lineRule="auto"/>
        <w:rPr>
          <w:b/>
          <w:szCs w:val="22"/>
          <w:lang w:val="lt-LT"/>
        </w:rPr>
      </w:pPr>
    </w:p>
    <w:p w14:paraId="715BC42B" w14:textId="77777777" w:rsidR="0041096E" w:rsidRPr="007203A0" w:rsidRDefault="0041096E" w:rsidP="0041096E">
      <w:pPr>
        <w:spacing w:line="240" w:lineRule="auto"/>
        <w:rPr>
          <w:b/>
          <w:szCs w:val="22"/>
          <w:lang w:val="lt-LT"/>
        </w:rPr>
      </w:pPr>
      <w:r w:rsidRPr="007203A0">
        <w:rPr>
          <w:b/>
          <w:noProof/>
          <w:szCs w:val="22"/>
          <w:lang w:val="lt-LT"/>
        </w:rPr>
        <w:t>Pranešimas apie šalutinį poveikį</w:t>
      </w:r>
    </w:p>
    <w:p w14:paraId="688196D6" w14:textId="77777777" w:rsidR="0041096E" w:rsidRDefault="0041096E" w:rsidP="0041096E">
      <w:pPr>
        <w:ind w:right="-1"/>
        <w:rPr>
          <w:lang w:val="lt-LT"/>
        </w:rPr>
      </w:pPr>
      <w:r w:rsidRPr="007203A0">
        <w:rPr>
          <w:szCs w:val="22"/>
          <w:lang w:val="lt-LT"/>
        </w:rPr>
        <w:t xml:space="preserve">Jeigu pasireiškė šalutinis poveikis, įskaitant šiame lapelyje nenurodytą, pasakykite gydytojui arba vaistininkui. </w:t>
      </w:r>
      <w:r w:rsidRPr="00DF519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D34BC6">
          <w:rPr>
            <w:rStyle w:val="Hipersaitas"/>
            <w:rFonts w:eastAsia="SimSun"/>
            <w:lang w:val="lt-LT"/>
          </w:rPr>
          <w:t>https://vapris.vvkt.lt/vvkt-web/public/nrv</w:t>
        </w:r>
      </w:hyperlink>
      <w:r w:rsidRPr="00DF519F">
        <w:rPr>
          <w:lang w:val="lt-LT"/>
        </w:rPr>
        <w:t xml:space="preserve"> arba užpildant Paciento pranešimo apie įtariamą nepageidaujamą reakciją (ĮNR) formą, kuri skelbiama </w:t>
      </w:r>
      <w:hyperlink r:id="rId16" w:history="1">
        <w:r w:rsidRPr="00DF519F">
          <w:rPr>
            <w:rStyle w:val="Hipersaitas"/>
            <w:rFonts w:eastAsia="SimSun"/>
            <w:lang w:val="lt-LT"/>
          </w:rPr>
          <w:t>https://www.vvkt.lt/index.php?4004286486</w:t>
        </w:r>
      </w:hyperlink>
      <w:r w:rsidRPr="00D34BC6">
        <w:rPr>
          <w:lang w:val="lt-LT"/>
        </w:rPr>
        <w:t xml:space="preserve">, ir atsiunčiant elektroniniu paštu (adresu </w:t>
      </w:r>
      <w:hyperlink r:id="rId17" w:history="1">
        <w:r w:rsidRPr="00DF519F">
          <w:rPr>
            <w:rStyle w:val="Hipersaitas"/>
            <w:rFonts w:eastAsia="SimSun"/>
            <w:lang w:val="lt-LT"/>
          </w:rPr>
          <w:t>NepageidaujamaR@vvkt.lt</w:t>
        </w:r>
      </w:hyperlink>
      <w:r w:rsidRPr="00DF519F">
        <w:rPr>
          <w:lang w:val="lt-LT"/>
        </w:rPr>
        <w:t>) arba nemokamu telefonu 8 800 73 568. Pranešdami apie šalutinį poveikį galite mums padėti gauti daugiau informacijos apie šio vaisto saugumą.</w:t>
      </w:r>
    </w:p>
    <w:p w14:paraId="4E847B44" w14:textId="77777777" w:rsidR="0041096E" w:rsidRPr="008612DF" w:rsidRDefault="0041096E" w:rsidP="0041096E">
      <w:pPr>
        <w:spacing w:line="240" w:lineRule="auto"/>
        <w:ind w:right="-449"/>
        <w:rPr>
          <w:noProof/>
          <w:szCs w:val="22"/>
          <w:lang w:val="lt-LT"/>
        </w:rPr>
      </w:pPr>
    </w:p>
    <w:p w14:paraId="4B79AC48" w14:textId="77777777" w:rsidR="0041096E" w:rsidRPr="0061385E" w:rsidRDefault="0041096E" w:rsidP="0041096E">
      <w:pPr>
        <w:spacing w:line="240" w:lineRule="auto"/>
        <w:ind w:right="-449"/>
        <w:rPr>
          <w:noProof/>
          <w:szCs w:val="22"/>
          <w:lang w:val="lt-LT"/>
        </w:rPr>
      </w:pPr>
    </w:p>
    <w:p w14:paraId="15D31210" w14:textId="58DB6139" w:rsidR="0041096E" w:rsidRPr="009840AD" w:rsidRDefault="0041096E" w:rsidP="0041096E">
      <w:pPr>
        <w:pStyle w:val="Antrat3"/>
        <w:spacing w:before="0" w:after="0" w:line="240" w:lineRule="auto"/>
        <w:rPr>
          <w:rFonts w:ascii="Times New Roman" w:hAnsi="Times New Roman"/>
          <w:sz w:val="22"/>
          <w:szCs w:val="22"/>
          <w:lang w:val="lt-LT"/>
        </w:rPr>
      </w:pPr>
      <w:r w:rsidRPr="0061385E">
        <w:rPr>
          <w:rFonts w:ascii="Times New Roman" w:hAnsi="Times New Roman"/>
          <w:sz w:val="22"/>
          <w:szCs w:val="22"/>
          <w:lang w:val="lt-LT"/>
        </w:rPr>
        <w:t>5.</w:t>
      </w:r>
      <w:r w:rsidRPr="0061385E">
        <w:rPr>
          <w:rFonts w:ascii="Times New Roman" w:hAnsi="Times New Roman"/>
          <w:sz w:val="22"/>
          <w:szCs w:val="22"/>
          <w:lang w:val="lt-LT"/>
        </w:rPr>
        <w:tab/>
        <w:t xml:space="preserve">Kaip laikyti </w:t>
      </w:r>
      <w:proofErr w:type="spellStart"/>
      <w:r w:rsidRPr="0061385E">
        <w:rPr>
          <w:rFonts w:ascii="Times New Roman" w:hAnsi="Times New Roman"/>
          <w:sz w:val="22"/>
          <w:szCs w:val="22"/>
          <w:lang w:val="lt-LT"/>
        </w:rPr>
        <w:t>Ta</w:t>
      </w:r>
      <w:r w:rsidR="00DC6895">
        <w:rPr>
          <w:rFonts w:ascii="Times New Roman" w:hAnsi="Times New Roman"/>
          <w:sz w:val="22"/>
          <w:szCs w:val="22"/>
          <w:lang w:val="lt-LT"/>
        </w:rPr>
        <w:t>d</w:t>
      </w:r>
      <w:r w:rsidRPr="0061385E">
        <w:rPr>
          <w:rFonts w:ascii="Times New Roman" w:hAnsi="Times New Roman"/>
          <w:sz w:val="22"/>
          <w:szCs w:val="22"/>
          <w:lang w:val="lt-LT"/>
        </w:rPr>
        <w:t>alafil</w:t>
      </w:r>
      <w:proofErr w:type="spellEnd"/>
      <w:r w:rsidRPr="0061385E">
        <w:rPr>
          <w:rFonts w:ascii="Times New Roman" w:hAnsi="Times New Roman"/>
          <w:sz w:val="22"/>
          <w:szCs w:val="22"/>
          <w:lang w:val="lt-LT"/>
        </w:rPr>
        <w:t xml:space="preserve"> AOP</w:t>
      </w:r>
    </w:p>
    <w:p w14:paraId="5D68A35D" w14:textId="77777777" w:rsidR="0041096E" w:rsidRPr="00F1014D" w:rsidRDefault="0041096E" w:rsidP="0041096E">
      <w:pPr>
        <w:numPr>
          <w:ilvl w:val="12"/>
          <w:numId w:val="0"/>
        </w:numPr>
        <w:tabs>
          <w:tab w:val="clear" w:pos="567"/>
        </w:tabs>
        <w:spacing w:line="240" w:lineRule="auto"/>
        <w:ind w:right="-2"/>
        <w:rPr>
          <w:szCs w:val="22"/>
          <w:lang w:val="lt-LT"/>
        </w:rPr>
      </w:pPr>
    </w:p>
    <w:p w14:paraId="124FFF6E" w14:textId="77777777" w:rsidR="0041096E" w:rsidRPr="007203A0" w:rsidRDefault="0041096E" w:rsidP="0041096E">
      <w:pPr>
        <w:numPr>
          <w:ilvl w:val="12"/>
          <w:numId w:val="0"/>
        </w:numPr>
        <w:tabs>
          <w:tab w:val="clear" w:pos="567"/>
        </w:tabs>
        <w:spacing w:line="240" w:lineRule="auto"/>
        <w:ind w:right="-2"/>
        <w:rPr>
          <w:szCs w:val="22"/>
          <w:lang w:val="lt-LT"/>
        </w:rPr>
      </w:pPr>
      <w:r w:rsidRPr="007203A0">
        <w:rPr>
          <w:noProof/>
          <w:szCs w:val="22"/>
          <w:lang w:val="lt-LT"/>
        </w:rPr>
        <w:t>Šį vaistą laikykite vaikams nepastebimoje ir nepasiekiamoje vietoje.</w:t>
      </w:r>
    </w:p>
    <w:p w14:paraId="2206CDDE" w14:textId="77777777" w:rsidR="0041096E" w:rsidRPr="007203A0" w:rsidRDefault="0041096E" w:rsidP="0041096E">
      <w:pPr>
        <w:numPr>
          <w:ilvl w:val="12"/>
          <w:numId w:val="0"/>
        </w:numPr>
        <w:tabs>
          <w:tab w:val="clear" w:pos="567"/>
        </w:tabs>
        <w:spacing w:line="240" w:lineRule="auto"/>
        <w:ind w:right="-2"/>
        <w:rPr>
          <w:szCs w:val="22"/>
          <w:lang w:val="lt-LT"/>
        </w:rPr>
      </w:pPr>
    </w:p>
    <w:p w14:paraId="7A148C3F"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Ant kartono dėžutės po „Tinka iki“ ir lizdinės plokštelės po „EXP“ nurodytam tinkamumo laikui pasibaigus, šio vaisto vartoti negalima. Vaistas tinkamas vartoti iki paskutinės nurodyto mėnesio dienos.</w:t>
      </w:r>
    </w:p>
    <w:p w14:paraId="01553B7C"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3DD7BB6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Vaistų negalima išmesti į kanalizaciją arba su buitinėmis atliekomis. Kaip išmesti nereikalingus vaistus, klauskite vaistininko. Šios priemonės padės apsaugoti aplinką.</w:t>
      </w:r>
    </w:p>
    <w:p w14:paraId="183DDAA1" w14:textId="77777777" w:rsidR="0041096E" w:rsidRPr="007203A0" w:rsidRDefault="0041096E" w:rsidP="0041096E">
      <w:pPr>
        <w:numPr>
          <w:ilvl w:val="12"/>
          <w:numId w:val="0"/>
        </w:numPr>
        <w:tabs>
          <w:tab w:val="clear" w:pos="567"/>
        </w:tabs>
        <w:spacing w:line="240" w:lineRule="auto"/>
        <w:ind w:right="-2"/>
        <w:rPr>
          <w:noProof/>
          <w:szCs w:val="22"/>
          <w:lang w:val="lt-LT"/>
        </w:rPr>
      </w:pPr>
    </w:p>
    <w:p w14:paraId="17F920DE" w14:textId="77777777" w:rsidR="0041096E" w:rsidRPr="007203A0" w:rsidRDefault="0041096E" w:rsidP="0041096E">
      <w:pPr>
        <w:numPr>
          <w:ilvl w:val="12"/>
          <w:numId w:val="0"/>
        </w:numPr>
        <w:tabs>
          <w:tab w:val="clear" w:pos="567"/>
        </w:tabs>
        <w:spacing w:line="240" w:lineRule="auto"/>
        <w:ind w:right="-2"/>
        <w:rPr>
          <w:noProof/>
          <w:szCs w:val="22"/>
          <w:lang w:val="lt-LT"/>
        </w:rPr>
      </w:pPr>
    </w:p>
    <w:p w14:paraId="4B6E97F9"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lastRenderedPageBreak/>
        <w:t>6.</w:t>
      </w:r>
      <w:r w:rsidRPr="007203A0">
        <w:rPr>
          <w:rFonts w:ascii="Times New Roman" w:hAnsi="Times New Roman"/>
          <w:b w:val="0"/>
          <w:sz w:val="22"/>
          <w:szCs w:val="22"/>
          <w:lang w:val="lt-LT"/>
        </w:rPr>
        <w:tab/>
      </w:r>
      <w:r w:rsidRPr="007203A0">
        <w:rPr>
          <w:rFonts w:ascii="Times New Roman" w:hAnsi="Times New Roman"/>
          <w:sz w:val="22"/>
          <w:szCs w:val="22"/>
          <w:lang w:val="lt-LT"/>
        </w:rPr>
        <w:t>Pakuotės turinys ir kita informacija</w:t>
      </w:r>
    </w:p>
    <w:p w14:paraId="6CC9158E"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794CCA37" w14:textId="77777777" w:rsidR="0041096E" w:rsidRPr="00F86E80" w:rsidRDefault="0041096E" w:rsidP="0041096E">
      <w:pPr>
        <w:widowControl w:val="0"/>
        <w:tabs>
          <w:tab w:val="clear" w:pos="567"/>
        </w:tabs>
        <w:autoSpaceDE w:val="0"/>
        <w:autoSpaceDN w:val="0"/>
        <w:spacing w:line="240" w:lineRule="auto"/>
        <w:rPr>
          <w:b/>
          <w:szCs w:val="22"/>
          <w:lang w:val="lt-LT"/>
        </w:rPr>
      </w:pPr>
      <w:proofErr w:type="spellStart"/>
      <w:r w:rsidRPr="00F86E80">
        <w:rPr>
          <w:b/>
          <w:szCs w:val="22"/>
          <w:lang w:val="lt-LT"/>
        </w:rPr>
        <w:t>Tadalafil</w:t>
      </w:r>
      <w:proofErr w:type="spellEnd"/>
      <w:r w:rsidRPr="00F86E80">
        <w:rPr>
          <w:b/>
          <w:szCs w:val="22"/>
          <w:lang w:val="lt-LT"/>
        </w:rPr>
        <w:t xml:space="preserve"> AOP sudėtis</w:t>
      </w:r>
    </w:p>
    <w:p w14:paraId="11F693E6"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Veiklioji medžiaga yra </w:t>
      </w:r>
      <w:proofErr w:type="spellStart"/>
      <w:r w:rsidRPr="005F48B8">
        <w:rPr>
          <w:snapToGrid/>
          <w:szCs w:val="22"/>
          <w:lang w:val="lt-LT"/>
        </w:rPr>
        <w:t>tadalafilis</w:t>
      </w:r>
      <w:proofErr w:type="spellEnd"/>
      <w:r w:rsidRPr="005F48B8">
        <w:rPr>
          <w:snapToGrid/>
          <w:szCs w:val="22"/>
          <w:lang w:val="lt-LT"/>
        </w:rPr>
        <w:t>. Kiek</w:t>
      </w:r>
      <w:r w:rsidRPr="008612DF">
        <w:rPr>
          <w:snapToGrid/>
          <w:szCs w:val="22"/>
          <w:lang w:val="lt-LT"/>
        </w:rPr>
        <w:t xml:space="preserve">vienoje </w:t>
      </w:r>
      <w:r w:rsidRPr="002A25EF">
        <w:rPr>
          <w:snapToGrid/>
          <w:szCs w:val="22"/>
          <w:lang w:val="lt-LT"/>
        </w:rPr>
        <w:t>tabletėje yra 20</w:t>
      </w:r>
      <w:r w:rsidRPr="0061385E">
        <w:rPr>
          <w:snapToGrid/>
          <w:szCs w:val="22"/>
          <w:lang w:val="lt-LT"/>
        </w:rPr>
        <w:t xml:space="preserve"> mg </w:t>
      </w:r>
      <w:proofErr w:type="spellStart"/>
      <w:r w:rsidRPr="0061385E">
        <w:rPr>
          <w:snapToGrid/>
          <w:szCs w:val="22"/>
          <w:lang w:val="lt-LT"/>
        </w:rPr>
        <w:t>tadalafilio</w:t>
      </w:r>
      <w:proofErr w:type="spellEnd"/>
      <w:r w:rsidRPr="0061385E">
        <w:rPr>
          <w:snapToGrid/>
          <w:szCs w:val="22"/>
          <w:lang w:val="lt-LT"/>
        </w:rPr>
        <w:t xml:space="preserve">. </w:t>
      </w:r>
    </w:p>
    <w:p w14:paraId="3B949208"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Pagalbinės medžiagos yra:</w:t>
      </w:r>
    </w:p>
    <w:p w14:paraId="4DB30E94"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p>
    <w:p w14:paraId="69431D27" w14:textId="77777777" w:rsidR="0041096E" w:rsidRPr="009840AD" w:rsidRDefault="0041096E" w:rsidP="0041096E">
      <w:pPr>
        <w:widowControl w:val="0"/>
        <w:tabs>
          <w:tab w:val="clear" w:pos="567"/>
        </w:tabs>
        <w:autoSpaceDE w:val="0"/>
        <w:autoSpaceDN w:val="0"/>
        <w:spacing w:before="1" w:line="240" w:lineRule="auto"/>
        <w:rPr>
          <w:snapToGrid/>
          <w:szCs w:val="22"/>
          <w:u w:val="single"/>
          <w:lang w:val="lt-LT"/>
        </w:rPr>
      </w:pPr>
      <w:r w:rsidRPr="009840AD">
        <w:rPr>
          <w:snapToGrid/>
          <w:szCs w:val="22"/>
          <w:u w:val="single"/>
          <w:lang w:val="lt-LT"/>
        </w:rPr>
        <w:t>Tabletės branduolys:</w:t>
      </w:r>
    </w:p>
    <w:p w14:paraId="4EC255C1"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9840AD">
        <w:rPr>
          <w:snapToGrid/>
          <w:szCs w:val="22"/>
          <w:lang w:val="lt-LT"/>
        </w:rPr>
        <w:t>L</w:t>
      </w:r>
      <w:r w:rsidRPr="007203A0">
        <w:rPr>
          <w:snapToGrid/>
          <w:szCs w:val="22"/>
          <w:lang w:val="lt-LT"/>
        </w:rPr>
        <w:t>aktozė</w:t>
      </w:r>
    </w:p>
    <w:p w14:paraId="1060BF3B"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Kroskarmeliozės</w:t>
      </w:r>
      <w:proofErr w:type="spellEnd"/>
      <w:r w:rsidRPr="007203A0">
        <w:rPr>
          <w:snapToGrid/>
          <w:szCs w:val="22"/>
          <w:lang w:val="lt-LT"/>
        </w:rPr>
        <w:t xml:space="preserve"> natrio druska</w:t>
      </w:r>
    </w:p>
    <w:p w14:paraId="6A950669"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Natrio </w:t>
      </w:r>
      <w:proofErr w:type="spellStart"/>
      <w:r w:rsidRPr="007203A0">
        <w:rPr>
          <w:snapToGrid/>
          <w:szCs w:val="22"/>
          <w:lang w:val="lt-LT"/>
        </w:rPr>
        <w:t>laurilsulfatas</w:t>
      </w:r>
      <w:proofErr w:type="spellEnd"/>
    </w:p>
    <w:p w14:paraId="7223CB06"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Hidroksipropilceliuliozė</w:t>
      </w:r>
      <w:proofErr w:type="spellEnd"/>
    </w:p>
    <w:p w14:paraId="6230A00F"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Polisorbatas</w:t>
      </w:r>
      <w:proofErr w:type="spellEnd"/>
      <w:r w:rsidRPr="007203A0">
        <w:rPr>
          <w:snapToGrid/>
          <w:szCs w:val="22"/>
          <w:lang w:val="lt-LT"/>
        </w:rPr>
        <w:t xml:space="preserve"> 80</w:t>
      </w:r>
    </w:p>
    <w:p w14:paraId="7E795B74"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Magnio </w:t>
      </w:r>
      <w:proofErr w:type="spellStart"/>
      <w:r w:rsidRPr="007203A0">
        <w:rPr>
          <w:snapToGrid/>
          <w:szCs w:val="22"/>
          <w:lang w:val="lt-LT"/>
        </w:rPr>
        <w:t>stearatas</w:t>
      </w:r>
      <w:proofErr w:type="spellEnd"/>
    </w:p>
    <w:p w14:paraId="10B66296"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3FF0C84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Tabletės plėvelė:</w:t>
      </w:r>
    </w:p>
    <w:p w14:paraId="133FC640"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Hipromeliozė</w:t>
      </w:r>
      <w:proofErr w:type="spellEnd"/>
      <w:r w:rsidRPr="007203A0">
        <w:rPr>
          <w:snapToGrid/>
          <w:szCs w:val="22"/>
          <w:lang w:val="lt-LT"/>
        </w:rPr>
        <w:t xml:space="preserve"> (E464)</w:t>
      </w:r>
    </w:p>
    <w:p w14:paraId="10A54E29"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Laktozė </w:t>
      </w:r>
      <w:proofErr w:type="spellStart"/>
      <w:r w:rsidRPr="007203A0">
        <w:rPr>
          <w:snapToGrid/>
          <w:szCs w:val="22"/>
          <w:lang w:val="lt-LT"/>
        </w:rPr>
        <w:t>monohidratas</w:t>
      </w:r>
      <w:proofErr w:type="spellEnd"/>
    </w:p>
    <w:p w14:paraId="30B42442"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Titano dioksidas (E171)</w:t>
      </w:r>
    </w:p>
    <w:p w14:paraId="09DFB5A5"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Triacetinas</w:t>
      </w:r>
      <w:proofErr w:type="spellEnd"/>
    </w:p>
    <w:p w14:paraId="66484139"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Talkas (E553b)</w:t>
      </w:r>
    </w:p>
    <w:p w14:paraId="7CFB1014"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Geltonasis geležies oksidas (E172)</w:t>
      </w:r>
    </w:p>
    <w:p w14:paraId="46A4D071" w14:textId="77777777" w:rsidR="0041096E" w:rsidRPr="007203A0" w:rsidRDefault="0041096E" w:rsidP="0041096E">
      <w:pPr>
        <w:numPr>
          <w:ilvl w:val="12"/>
          <w:numId w:val="0"/>
        </w:numPr>
        <w:tabs>
          <w:tab w:val="clear" w:pos="567"/>
        </w:tabs>
        <w:spacing w:line="240" w:lineRule="auto"/>
        <w:ind w:right="-2"/>
        <w:rPr>
          <w:szCs w:val="22"/>
          <w:lang w:val="lt-LT"/>
        </w:rPr>
      </w:pPr>
    </w:p>
    <w:p w14:paraId="3BDD5E96"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 išvaizda ir kiekis pakuotėje</w:t>
      </w:r>
    </w:p>
    <w:p w14:paraId="36826AAC" w14:textId="77777777" w:rsidR="0041096E" w:rsidRPr="007203A0" w:rsidRDefault="0041096E" w:rsidP="0041096E">
      <w:pPr>
        <w:widowControl w:val="0"/>
        <w:tabs>
          <w:tab w:val="clear" w:pos="567"/>
        </w:tabs>
        <w:autoSpaceDE w:val="0"/>
        <w:autoSpaceDN w:val="0"/>
        <w:spacing w:line="240" w:lineRule="auto"/>
        <w:rPr>
          <w:snapToGrid/>
          <w:szCs w:val="22"/>
          <w:lang w:val="lt-LT"/>
        </w:rPr>
      </w:pPr>
      <w:bookmarkStart w:id="3" w:name="_Hlk517878253"/>
      <w:r w:rsidRPr="007203A0">
        <w:rPr>
          <w:snapToGrid/>
          <w:szCs w:val="22"/>
          <w:lang w:val="lt-LT"/>
        </w:rPr>
        <w:t>Geltonos spalvos, kapsulės formos, abipus išgaubta plėvele dengta tabletė, vienoje pusėje įspausta "T 20", kita pusė – lygi. Tabletės matmenys 13,5 mm x 6,6 mm.</w:t>
      </w:r>
    </w:p>
    <w:bookmarkEnd w:id="3"/>
    <w:p w14:paraId="44431B94"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D85E776"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20 mg tiekiamos lizdinėse plokštelėse, kuriose yra 28 arba 56 tabletės. Gali būti tiekiamos ne visų dydžių pakuotės.</w:t>
      </w:r>
    </w:p>
    <w:p w14:paraId="750D8CE1"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23E28CF9"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Registruotojas ir gamintojas</w:t>
      </w:r>
    </w:p>
    <w:p w14:paraId="45470266" w14:textId="77777777" w:rsidR="0041096E" w:rsidRPr="007203A0" w:rsidRDefault="0041096E" w:rsidP="0041096E">
      <w:pPr>
        <w:numPr>
          <w:ilvl w:val="12"/>
          <w:numId w:val="0"/>
        </w:numPr>
        <w:tabs>
          <w:tab w:val="clear" w:pos="567"/>
        </w:tabs>
        <w:spacing w:line="240" w:lineRule="auto"/>
        <w:ind w:right="-2"/>
        <w:rPr>
          <w:szCs w:val="22"/>
          <w:lang w:val="lt-LT"/>
        </w:rPr>
      </w:pPr>
    </w:p>
    <w:p w14:paraId="5033EA01"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r w:rsidRPr="00F86E80">
        <w:rPr>
          <w:snapToGrid/>
          <w:szCs w:val="22"/>
          <w:u w:val="single"/>
          <w:lang w:val="lt-LT"/>
        </w:rPr>
        <w:t>Registruotojas</w:t>
      </w:r>
    </w:p>
    <w:p w14:paraId="72A5183A" w14:textId="77777777" w:rsidR="0041096E" w:rsidRPr="00D8166E" w:rsidRDefault="0041096E" w:rsidP="0041096E">
      <w:pPr>
        <w:widowControl w:val="0"/>
        <w:tabs>
          <w:tab w:val="clear" w:pos="567"/>
        </w:tabs>
        <w:autoSpaceDE w:val="0"/>
        <w:autoSpaceDN w:val="0"/>
        <w:spacing w:line="240" w:lineRule="auto"/>
        <w:rPr>
          <w:lang w:val="lt-LT"/>
        </w:rPr>
      </w:pPr>
      <w:bookmarkStart w:id="4" w:name="_Hlk517877266"/>
      <w:r w:rsidRPr="00D8166E">
        <w:rPr>
          <w:lang w:val="lt-LT"/>
        </w:rPr>
        <w:t xml:space="preserve">AOP </w:t>
      </w:r>
      <w:proofErr w:type="spellStart"/>
      <w:r w:rsidRPr="00D8166E">
        <w:rPr>
          <w:lang w:val="lt-LT"/>
        </w:rPr>
        <w:t>Orphan</w:t>
      </w:r>
      <w:proofErr w:type="spellEnd"/>
      <w:r w:rsidRPr="00D8166E">
        <w:rPr>
          <w:lang w:val="lt-LT"/>
        </w:rPr>
        <w:t xml:space="preserve"> </w:t>
      </w:r>
      <w:proofErr w:type="spellStart"/>
      <w:r w:rsidRPr="00D8166E">
        <w:rPr>
          <w:lang w:val="lt-LT"/>
        </w:rPr>
        <w:t>Pharmaceuticals</w:t>
      </w:r>
      <w:proofErr w:type="spellEnd"/>
      <w:r w:rsidRPr="00D8166E">
        <w:rPr>
          <w:lang w:val="lt-LT"/>
        </w:rPr>
        <w:t xml:space="preserve"> </w:t>
      </w:r>
      <w:proofErr w:type="spellStart"/>
      <w:r>
        <w:rPr>
          <w:lang w:val="lt-LT"/>
        </w:rPr>
        <w:t>GmbH</w:t>
      </w:r>
      <w:proofErr w:type="spellEnd"/>
    </w:p>
    <w:p w14:paraId="429F708A"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94747D">
        <w:rPr>
          <w:lang w:val="lt-LT"/>
        </w:rPr>
        <w:t>Leopold-Ungar-Platz</w:t>
      </w:r>
      <w:proofErr w:type="spellEnd"/>
      <w:r w:rsidRPr="0094747D">
        <w:rPr>
          <w:lang w:val="lt-LT"/>
        </w:rPr>
        <w:t xml:space="preserve"> 2</w:t>
      </w:r>
    </w:p>
    <w:p w14:paraId="79AD478E"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11</w:t>
      </w:r>
      <w:r>
        <w:rPr>
          <w:lang w:val="lt-LT"/>
        </w:rPr>
        <w:t>9</w:t>
      </w:r>
      <w:r w:rsidRPr="00D8166E">
        <w:rPr>
          <w:lang w:val="lt-LT"/>
        </w:rPr>
        <w:t xml:space="preserve">0 </w:t>
      </w:r>
      <w:proofErr w:type="spellStart"/>
      <w:r w:rsidRPr="00D8166E">
        <w:rPr>
          <w:lang w:val="lt-LT"/>
        </w:rPr>
        <w:t>Vienna</w:t>
      </w:r>
      <w:proofErr w:type="spellEnd"/>
    </w:p>
    <w:p w14:paraId="079F023C"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Austrija</w:t>
      </w:r>
    </w:p>
    <w:bookmarkEnd w:id="4"/>
    <w:p w14:paraId="7A255DC8"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p>
    <w:p w14:paraId="068BC562"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r w:rsidRPr="00F86E80">
        <w:rPr>
          <w:snapToGrid/>
          <w:szCs w:val="22"/>
          <w:u w:val="single"/>
          <w:lang w:val="lt-LT"/>
        </w:rPr>
        <w:t>Gamintojas</w:t>
      </w:r>
    </w:p>
    <w:p w14:paraId="3B2000AA"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Genepharm</w:t>
      </w:r>
      <w:proofErr w:type="spellEnd"/>
      <w:r w:rsidRPr="00D8166E">
        <w:rPr>
          <w:lang w:val="lt-LT"/>
        </w:rPr>
        <w:t xml:space="preserve"> S.A.</w:t>
      </w:r>
    </w:p>
    <w:p w14:paraId="55C65F36"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18 km </w:t>
      </w:r>
      <w:proofErr w:type="spellStart"/>
      <w:r w:rsidRPr="00D8166E">
        <w:rPr>
          <w:lang w:val="lt-LT"/>
        </w:rPr>
        <w:t>Marathon</w:t>
      </w:r>
      <w:proofErr w:type="spellEnd"/>
      <w:r w:rsidRPr="00D8166E">
        <w:rPr>
          <w:lang w:val="lt-LT"/>
        </w:rPr>
        <w:t xml:space="preserve"> </w:t>
      </w:r>
      <w:proofErr w:type="spellStart"/>
      <w:r w:rsidRPr="00D8166E">
        <w:rPr>
          <w:lang w:val="lt-LT"/>
        </w:rPr>
        <w:t>Avenue</w:t>
      </w:r>
      <w:proofErr w:type="spellEnd"/>
    </w:p>
    <w:p w14:paraId="363F7236"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15351 </w:t>
      </w:r>
      <w:proofErr w:type="spellStart"/>
      <w:r w:rsidRPr="00D8166E">
        <w:rPr>
          <w:lang w:val="lt-LT"/>
        </w:rPr>
        <w:t>Pallini</w:t>
      </w:r>
      <w:proofErr w:type="spellEnd"/>
      <w:r w:rsidRPr="00D8166E">
        <w:rPr>
          <w:lang w:val="lt-LT"/>
        </w:rPr>
        <w:t xml:space="preserve"> </w:t>
      </w:r>
      <w:proofErr w:type="spellStart"/>
      <w:r w:rsidRPr="00D8166E">
        <w:rPr>
          <w:lang w:val="lt-LT"/>
        </w:rPr>
        <w:t>Attikis</w:t>
      </w:r>
      <w:proofErr w:type="spellEnd"/>
    </w:p>
    <w:p w14:paraId="3B0D420E" w14:textId="77777777" w:rsidR="0041096E" w:rsidRPr="00D8166E" w:rsidRDefault="0041096E" w:rsidP="0041096E">
      <w:pPr>
        <w:widowControl w:val="0"/>
        <w:tabs>
          <w:tab w:val="clear" w:pos="567"/>
        </w:tabs>
        <w:autoSpaceDE w:val="0"/>
        <w:autoSpaceDN w:val="0"/>
        <w:spacing w:line="240" w:lineRule="auto"/>
        <w:rPr>
          <w:lang w:val="lt-LT"/>
        </w:rPr>
      </w:pPr>
      <w:r w:rsidRPr="005F48B8">
        <w:rPr>
          <w:noProof/>
          <w:snapToGrid/>
          <w:szCs w:val="22"/>
          <w:lang w:val="lt-LT"/>
        </w:rPr>
        <w:t>Graikija</w:t>
      </w:r>
    </w:p>
    <w:p w14:paraId="06ABF505" w14:textId="77777777" w:rsidR="0041096E" w:rsidRPr="00D8166E" w:rsidRDefault="0041096E" w:rsidP="0041096E">
      <w:pPr>
        <w:widowControl w:val="0"/>
        <w:tabs>
          <w:tab w:val="clear" w:pos="567"/>
        </w:tabs>
        <w:autoSpaceDE w:val="0"/>
        <w:autoSpaceDN w:val="0"/>
        <w:spacing w:line="240" w:lineRule="auto"/>
        <w:rPr>
          <w:lang w:val="lt-LT"/>
        </w:rPr>
      </w:pPr>
    </w:p>
    <w:p w14:paraId="0DE383CE"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arba</w:t>
      </w:r>
    </w:p>
    <w:p w14:paraId="6C443825" w14:textId="77777777" w:rsidR="0041096E" w:rsidRPr="00D8166E" w:rsidRDefault="0041096E" w:rsidP="0041096E">
      <w:pPr>
        <w:widowControl w:val="0"/>
        <w:tabs>
          <w:tab w:val="clear" w:pos="567"/>
        </w:tabs>
        <w:autoSpaceDE w:val="0"/>
        <w:autoSpaceDN w:val="0"/>
        <w:spacing w:line="240" w:lineRule="auto"/>
        <w:rPr>
          <w:lang w:val="lt-LT"/>
        </w:rPr>
      </w:pPr>
    </w:p>
    <w:p w14:paraId="102ADA22"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Pharmadox</w:t>
      </w:r>
      <w:proofErr w:type="spellEnd"/>
      <w:r w:rsidRPr="00D8166E">
        <w:rPr>
          <w:lang w:val="lt-LT"/>
        </w:rPr>
        <w:t xml:space="preserve"> </w:t>
      </w:r>
      <w:proofErr w:type="spellStart"/>
      <w:r w:rsidRPr="00D8166E">
        <w:rPr>
          <w:lang w:val="lt-LT"/>
        </w:rPr>
        <w:t>Healthcare</w:t>
      </w:r>
      <w:proofErr w:type="spellEnd"/>
      <w:r w:rsidRPr="00D8166E">
        <w:rPr>
          <w:lang w:val="lt-LT"/>
        </w:rPr>
        <w:t xml:space="preserve"> Ltd.</w:t>
      </w:r>
    </w:p>
    <w:p w14:paraId="56FEF309"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KW20A </w:t>
      </w:r>
      <w:proofErr w:type="spellStart"/>
      <w:r w:rsidRPr="00D8166E">
        <w:rPr>
          <w:lang w:val="lt-LT"/>
        </w:rPr>
        <w:t>Kordin</w:t>
      </w:r>
      <w:proofErr w:type="spellEnd"/>
      <w:r w:rsidRPr="00D8166E">
        <w:rPr>
          <w:lang w:val="lt-LT"/>
        </w:rPr>
        <w:t xml:space="preserve"> </w:t>
      </w:r>
      <w:proofErr w:type="spellStart"/>
      <w:r w:rsidRPr="00D8166E">
        <w:rPr>
          <w:lang w:val="lt-LT"/>
        </w:rPr>
        <w:t>Industrial</w:t>
      </w:r>
      <w:proofErr w:type="spellEnd"/>
      <w:r w:rsidRPr="00D8166E">
        <w:rPr>
          <w:lang w:val="lt-LT"/>
        </w:rPr>
        <w:t xml:space="preserve"> </w:t>
      </w:r>
      <w:proofErr w:type="spellStart"/>
      <w:r w:rsidRPr="00D8166E">
        <w:rPr>
          <w:lang w:val="lt-LT"/>
        </w:rPr>
        <w:t>Park</w:t>
      </w:r>
      <w:proofErr w:type="spellEnd"/>
      <w:r w:rsidRPr="00D8166E">
        <w:rPr>
          <w:lang w:val="lt-LT"/>
        </w:rPr>
        <w:t>,</w:t>
      </w:r>
    </w:p>
    <w:p w14:paraId="0DBE9250"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Paola</w:t>
      </w:r>
      <w:proofErr w:type="spellEnd"/>
      <w:r w:rsidRPr="00D8166E">
        <w:rPr>
          <w:lang w:val="lt-LT"/>
        </w:rPr>
        <w:t>, PLA 3000</w:t>
      </w:r>
    </w:p>
    <w:p w14:paraId="62FFCC12"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Malta</w:t>
      </w:r>
    </w:p>
    <w:p w14:paraId="0A44B38C" w14:textId="77777777" w:rsidR="0041096E" w:rsidRPr="005F48B8" w:rsidRDefault="0041096E" w:rsidP="0041096E">
      <w:pPr>
        <w:numPr>
          <w:ilvl w:val="12"/>
          <w:numId w:val="0"/>
        </w:numPr>
        <w:spacing w:line="240" w:lineRule="auto"/>
        <w:ind w:right="-2"/>
        <w:rPr>
          <w:noProof/>
          <w:szCs w:val="22"/>
          <w:lang w:val="lt-LT"/>
        </w:rPr>
      </w:pPr>
    </w:p>
    <w:p w14:paraId="08A8AFA5" w14:textId="77777777" w:rsidR="0041096E" w:rsidRPr="002A25EF" w:rsidRDefault="0041096E" w:rsidP="0041096E">
      <w:pPr>
        <w:numPr>
          <w:ilvl w:val="12"/>
          <w:numId w:val="0"/>
        </w:numPr>
        <w:spacing w:line="240" w:lineRule="auto"/>
        <w:ind w:right="-2"/>
        <w:rPr>
          <w:noProof/>
          <w:szCs w:val="22"/>
          <w:lang w:val="lt-LT"/>
        </w:rPr>
      </w:pPr>
      <w:r w:rsidRPr="008612DF">
        <w:rPr>
          <w:noProof/>
          <w:szCs w:val="22"/>
          <w:lang w:val="lt-LT"/>
        </w:rPr>
        <w:t>Jeigu apie šį vaistą norite sužinoti daugiau, kreipkitės į vietinį registruotojo atstovą.</w:t>
      </w:r>
    </w:p>
    <w:p w14:paraId="4A66FFBE" w14:textId="77777777" w:rsidR="0041096E" w:rsidRPr="0061385E" w:rsidRDefault="0041096E" w:rsidP="0041096E">
      <w:pPr>
        <w:spacing w:line="240" w:lineRule="auto"/>
        <w:rPr>
          <w:noProof/>
          <w:szCs w:val="22"/>
          <w:lang w:val="lt-LT"/>
        </w:rPr>
      </w:pPr>
    </w:p>
    <w:p w14:paraId="6C6DFBB4" w14:textId="77777777" w:rsidR="0041096E" w:rsidRPr="00F86E80" w:rsidRDefault="0041096E" w:rsidP="0041096E">
      <w:pPr>
        <w:spacing w:line="240" w:lineRule="auto"/>
        <w:rPr>
          <w:szCs w:val="22"/>
          <w:lang w:val="lt-LT"/>
        </w:rPr>
      </w:pPr>
      <w:r w:rsidRPr="00F86E80">
        <w:rPr>
          <w:szCs w:val="22"/>
          <w:lang w:val="lt-LT"/>
        </w:rPr>
        <w:t xml:space="preserve">AOP </w:t>
      </w:r>
      <w:proofErr w:type="spellStart"/>
      <w:r w:rsidRPr="00F86E80">
        <w:rPr>
          <w:szCs w:val="22"/>
          <w:lang w:val="lt-LT"/>
        </w:rPr>
        <w:t>Orphan</w:t>
      </w:r>
      <w:proofErr w:type="spellEnd"/>
      <w:r w:rsidRPr="00F86E80">
        <w:rPr>
          <w:szCs w:val="22"/>
          <w:lang w:val="lt-LT"/>
        </w:rPr>
        <w:t xml:space="preserve"> </w:t>
      </w:r>
      <w:proofErr w:type="spellStart"/>
      <w:r w:rsidRPr="00F86E80">
        <w:rPr>
          <w:szCs w:val="22"/>
          <w:lang w:val="lt-LT"/>
        </w:rPr>
        <w:t>Pharmaceuticals</w:t>
      </w:r>
      <w:proofErr w:type="spellEnd"/>
      <w:r w:rsidRPr="00F86E80">
        <w:rPr>
          <w:szCs w:val="22"/>
          <w:lang w:val="lt-LT"/>
        </w:rPr>
        <w:t xml:space="preserve"> </w:t>
      </w:r>
      <w:proofErr w:type="spellStart"/>
      <w:r>
        <w:rPr>
          <w:lang w:val="lt-LT"/>
        </w:rPr>
        <w:t>GmbH</w:t>
      </w:r>
      <w:proofErr w:type="spellEnd"/>
      <w:r w:rsidRPr="00F86E80">
        <w:rPr>
          <w:szCs w:val="22"/>
          <w:lang w:val="lt-LT"/>
        </w:rPr>
        <w:t xml:space="preserve"> atstovybė Baltijos šalims</w:t>
      </w:r>
    </w:p>
    <w:p w14:paraId="525E26DE" w14:textId="77777777" w:rsidR="0041096E" w:rsidRDefault="0041096E" w:rsidP="0041096E">
      <w:pPr>
        <w:spacing w:line="240" w:lineRule="auto"/>
        <w:rPr>
          <w:snapToGrid/>
          <w:szCs w:val="22"/>
          <w:lang w:val="lt-LT"/>
        </w:rPr>
      </w:pPr>
      <w:r>
        <w:rPr>
          <w:szCs w:val="22"/>
          <w:lang w:val="lt-LT"/>
        </w:rPr>
        <w:t>Krokuvos 8A-30</w:t>
      </w:r>
    </w:p>
    <w:p w14:paraId="010603DF" w14:textId="77777777" w:rsidR="0041096E" w:rsidRDefault="0041096E" w:rsidP="0041096E">
      <w:pPr>
        <w:spacing w:line="240" w:lineRule="auto"/>
        <w:rPr>
          <w:szCs w:val="22"/>
          <w:lang w:val="lt-LT"/>
        </w:rPr>
      </w:pPr>
      <w:r>
        <w:rPr>
          <w:szCs w:val="22"/>
          <w:lang w:val="lt-LT"/>
        </w:rPr>
        <w:t xml:space="preserve">LT-09314 Vilnius  </w:t>
      </w:r>
    </w:p>
    <w:p w14:paraId="5ECF20BB" w14:textId="77777777" w:rsidR="0041096E" w:rsidRDefault="0041096E" w:rsidP="0041096E">
      <w:pPr>
        <w:spacing w:line="240" w:lineRule="auto"/>
        <w:rPr>
          <w:szCs w:val="22"/>
          <w:lang w:val="lt-LT"/>
        </w:rPr>
      </w:pPr>
      <w:r>
        <w:rPr>
          <w:szCs w:val="22"/>
          <w:lang w:val="lt-LT"/>
        </w:rPr>
        <w:t xml:space="preserve">Lietuva </w:t>
      </w:r>
    </w:p>
    <w:p w14:paraId="4B2791E8" w14:textId="77777777" w:rsidR="0041096E" w:rsidRDefault="0041096E" w:rsidP="0041096E">
      <w:pPr>
        <w:tabs>
          <w:tab w:val="clear" w:pos="567"/>
          <w:tab w:val="left" w:pos="1296"/>
        </w:tabs>
        <w:spacing w:line="240" w:lineRule="auto"/>
        <w:rPr>
          <w:szCs w:val="22"/>
          <w:lang w:val="lt-LT"/>
        </w:rPr>
      </w:pPr>
      <w:r>
        <w:rPr>
          <w:szCs w:val="22"/>
          <w:lang w:val="lt-LT"/>
        </w:rPr>
        <w:t>Tel. +</w:t>
      </w:r>
      <w:r w:rsidRPr="00142F4A">
        <w:rPr>
          <w:szCs w:val="22"/>
          <w:lang w:val="lt-LT"/>
        </w:rPr>
        <w:t>370 672 12222</w:t>
      </w:r>
    </w:p>
    <w:p w14:paraId="48154CC5" w14:textId="77777777" w:rsidR="0041096E" w:rsidRPr="008612DF" w:rsidRDefault="0041096E" w:rsidP="0041096E">
      <w:pPr>
        <w:numPr>
          <w:ilvl w:val="12"/>
          <w:numId w:val="0"/>
        </w:numPr>
        <w:spacing w:line="240" w:lineRule="auto"/>
        <w:ind w:right="-2"/>
        <w:rPr>
          <w:szCs w:val="22"/>
          <w:lang w:val="lt-LT"/>
        </w:rPr>
      </w:pPr>
    </w:p>
    <w:p w14:paraId="742EF316" w14:textId="77777777" w:rsidR="0041096E" w:rsidRPr="0061385E" w:rsidRDefault="0041096E" w:rsidP="0041096E">
      <w:pPr>
        <w:numPr>
          <w:ilvl w:val="12"/>
          <w:numId w:val="0"/>
        </w:numPr>
        <w:spacing w:line="240" w:lineRule="auto"/>
        <w:ind w:right="-2"/>
        <w:rPr>
          <w:szCs w:val="22"/>
          <w:lang w:val="lt-LT"/>
        </w:rPr>
      </w:pPr>
      <w:r w:rsidRPr="002A25EF">
        <w:rPr>
          <w:b/>
          <w:szCs w:val="22"/>
          <w:lang w:val="lt-LT"/>
        </w:rPr>
        <w:t>Ši</w:t>
      </w:r>
      <w:r w:rsidRPr="0061385E">
        <w:rPr>
          <w:b/>
          <w:szCs w:val="22"/>
          <w:lang w:val="lt-LT"/>
        </w:rPr>
        <w:t>s vaistas EEE valstybėse narėse registruotas tokiais pavadinimais</w:t>
      </w:r>
      <w:r w:rsidRPr="0061385E">
        <w:rPr>
          <w:szCs w:val="22"/>
          <w:lang w:val="lt-LT"/>
        </w:rPr>
        <w:t>:</w:t>
      </w:r>
    </w:p>
    <w:p w14:paraId="483084CF" w14:textId="77777777" w:rsidR="0041096E" w:rsidRPr="00D8166E" w:rsidRDefault="0041096E" w:rsidP="0041096E">
      <w:pPr>
        <w:tabs>
          <w:tab w:val="left" w:pos="1701"/>
        </w:tabs>
        <w:spacing w:line="240" w:lineRule="auto"/>
        <w:rPr>
          <w:lang w:val="lt-LT"/>
        </w:rPr>
      </w:pPr>
      <w:r w:rsidRPr="00D8166E">
        <w:rPr>
          <w:lang w:val="lt-LT"/>
        </w:rPr>
        <w:t>Austrija: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Filmtabletten</w:t>
      </w:r>
      <w:proofErr w:type="spellEnd"/>
    </w:p>
    <w:p w14:paraId="0863CFBF" w14:textId="77777777" w:rsidR="0041096E" w:rsidRPr="00D8166E" w:rsidRDefault="0041096E" w:rsidP="0041096E">
      <w:pPr>
        <w:tabs>
          <w:tab w:val="left" w:pos="1701"/>
        </w:tabs>
        <w:spacing w:line="240" w:lineRule="auto"/>
        <w:rPr>
          <w:lang w:val="lt-LT"/>
        </w:rPr>
      </w:pPr>
      <w:r w:rsidRPr="005F48B8">
        <w:rPr>
          <w:noProof/>
          <w:szCs w:val="22"/>
          <w:lang w:val="lt-LT"/>
        </w:rPr>
        <w:t>Kroatija</w:t>
      </w:r>
      <w:r w:rsidRPr="00D8166E">
        <w:rPr>
          <w:lang w:val="lt-LT"/>
        </w:rPr>
        <w:t>:</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w:t>
      </w:r>
      <w:proofErr w:type="spellEnd"/>
      <w:r w:rsidRPr="00D8166E">
        <w:rPr>
          <w:lang w:val="lt-LT"/>
        </w:rPr>
        <w:t xml:space="preserve"> </w:t>
      </w:r>
      <w:proofErr w:type="spellStart"/>
      <w:r w:rsidRPr="00D8166E">
        <w:rPr>
          <w:lang w:val="lt-LT"/>
        </w:rPr>
        <w:t>obložene</w:t>
      </w:r>
      <w:proofErr w:type="spellEnd"/>
      <w:r w:rsidRPr="00D8166E">
        <w:rPr>
          <w:lang w:val="lt-LT"/>
        </w:rPr>
        <w:t xml:space="preserve"> tablete</w:t>
      </w:r>
    </w:p>
    <w:p w14:paraId="78257DFE" w14:textId="77777777" w:rsidR="0041096E" w:rsidRPr="00D8166E" w:rsidRDefault="0041096E" w:rsidP="0041096E">
      <w:pPr>
        <w:tabs>
          <w:tab w:val="left" w:pos="1701"/>
        </w:tabs>
        <w:spacing w:line="240" w:lineRule="auto"/>
        <w:rPr>
          <w:lang w:val="lt-LT"/>
        </w:rPr>
      </w:pPr>
      <w:r w:rsidRPr="00D8166E">
        <w:rPr>
          <w:lang w:val="lt-LT"/>
        </w:rPr>
        <w:t>Čekija:</w:t>
      </w:r>
      <w:r w:rsidRPr="00D8166E">
        <w:rPr>
          <w:lang w:val="lt-LT"/>
        </w:rPr>
        <w:tab/>
      </w:r>
      <w:proofErr w:type="spellStart"/>
      <w:r w:rsidRPr="00D8166E">
        <w:rPr>
          <w:lang w:val="lt-LT"/>
        </w:rPr>
        <w:t>Tadalafil</w:t>
      </w:r>
      <w:proofErr w:type="spellEnd"/>
      <w:r w:rsidRPr="00D8166E">
        <w:rPr>
          <w:lang w:val="lt-LT"/>
        </w:rPr>
        <w:t xml:space="preserve"> AOP </w:t>
      </w:r>
    </w:p>
    <w:p w14:paraId="515F6E89" w14:textId="77777777" w:rsidR="0041096E" w:rsidRPr="00D8166E" w:rsidRDefault="0041096E" w:rsidP="0041096E">
      <w:pPr>
        <w:tabs>
          <w:tab w:val="left" w:pos="1701"/>
        </w:tabs>
        <w:spacing w:line="240" w:lineRule="auto"/>
        <w:rPr>
          <w:lang w:val="lt-LT"/>
        </w:rPr>
      </w:pPr>
      <w:r w:rsidRPr="00D8166E">
        <w:rPr>
          <w:lang w:val="lt-LT"/>
        </w:rPr>
        <w:t>Danija:</w:t>
      </w:r>
      <w:r w:rsidRPr="00D8166E">
        <w:rPr>
          <w:lang w:val="lt-LT"/>
        </w:rPr>
        <w:tab/>
      </w:r>
      <w:proofErr w:type="spellStart"/>
      <w:r w:rsidRPr="00D8166E">
        <w:rPr>
          <w:lang w:val="lt-LT"/>
        </w:rPr>
        <w:t>Tadalafil</w:t>
      </w:r>
      <w:proofErr w:type="spellEnd"/>
      <w:r w:rsidRPr="00D8166E">
        <w:rPr>
          <w:lang w:val="lt-LT"/>
        </w:rPr>
        <w:t xml:space="preserve"> AOP </w:t>
      </w:r>
    </w:p>
    <w:p w14:paraId="552061F3" w14:textId="77777777" w:rsidR="0041096E" w:rsidRPr="00D8166E" w:rsidRDefault="0041096E" w:rsidP="0041096E">
      <w:pPr>
        <w:tabs>
          <w:tab w:val="left" w:pos="1701"/>
        </w:tabs>
        <w:spacing w:line="240" w:lineRule="auto"/>
        <w:rPr>
          <w:lang w:val="lt-LT"/>
        </w:rPr>
      </w:pPr>
      <w:r w:rsidRPr="00D8166E">
        <w:rPr>
          <w:lang w:val="lt-LT"/>
        </w:rPr>
        <w:t>Estija:</w:t>
      </w:r>
      <w:r w:rsidRPr="00D8166E">
        <w:rPr>
          <w:lang w:val="lt-LT"/>
        </w:rPr>
        <w:tab/>
      </w:r>
      <w:r w:rsidRPr="00D8166E">
        <w:rPr>
          <w:lang w:val="lt-LT"/>
        </w:rPr>
        <w:tab/>
      </w:r>
      <w:proofErr w:type="spellStart"/>
      <w:r w:rsidRPr="00D8166E">
        <w:rPr>
          <w:lang w:val="lt-LT"/>
        </w:rPr>
        <w:t>Tadalafil</w:t>
      </w:r>
      <w:proofErr w:type="spellEnd"/>
      <w:r w:rsidRPr="00D8166E">
        <w:rPr>
          <w:lang w:val="lt-LT"/>
        </w:rPr>
        <w:t xml:space="preserve"> AOP </w:t>
      </w:r>
    </w:p>
    <w:p w14:paraId="565A7B7F" w14:textId="77777777" w:rsidR="0041096E" w:rsidRPr="00D8166E" w:rsidRDefault="0041096E" w:rsidP="0041096E">
      <w:pPr>
        <w:tabs>
          <w:tab w:val="left" w:pos="1701"/>
        </w:tabs>
        <w:spacing w:line="240" w:lineRule="auto"/>
        <w:rPr>
          <w:lang w:val="lt-LT"/>
        </w:rPr>
      </w:pPr>
      <w:r w:rsidRPr="00D8166E">
        <w:rPr>
          <w:lang w:val="lt-LT"/>
        </w:rPr>
        <w:t>Suomija: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tabletti</w:t>
      </w:r>
      <w:proofErr w:type="spellEnd"/>
      <w:r w:rsidRPr="00D8166E">
        <w:rPr>
          <w:lang w:val="lt-LT"/>
        </w:rPr>
        <w:t xml:space="preserve">, </w:t>
      </w:r>
      <w:proofErr w:type="spellStart"/>
      <w:r w:rsidRPr="00D8166E">
        <w:rPr>
          <w:lang w:val="lt-LT"/>
        </w:rPr>
        <w:t>kalvopäällysteinen</w:t>
      </w:r>
      <w:proofErr w:type="spellEnd"/>
    </w:p>
    <w:p w14:paraId="68409745" w14:textId="77777777" w:rsidR="0041096E" w:rsidRPr="00D8166E" w:rsidRDefault="0041096E" w:rsidP="0041096E">
      <w:pPr>
        <w:tabs>
          <w:tab w:val="left" w:pos="1701"/>
        </w:tabs>
        <w:spacing w:line="240" w:lineRule="auto"/>
        <w:rPr>
          <w:lang w:val="lt-LT"/>
        </w:rPr>
      </w:pPr>
      <w:r w:rsidRPr="00D8166E">
        <w:rPr>
          <w:lang w:val="lt-LT"/>
        </w:rPr>
        <w:t>Vokietija: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Filmtabletten</w:t>
      </w:r>
      <w:proofErr w:type="spellEnd"/>
    </w:p>
    <w:p w14:paraId="10F80DA2" w14:textId="77777777" w:rsidR="0041096E" w:rsidRPr="00D8166E" w:rsidRDefault="0041096E" w:rsidP="0041096E">
      <w:pPr>
        <w:tabs>
          <w:tab w:val="left" w:pos="1701"/>
        </w:tabs>
        <w:spacing w:line="240" w:lineRule="auto"/>
        <w:rPr>
          <w:lang w:val="lt-LT"/>
        </w:rPr>
      </w:pPr>
      <w:r w:rsidRPr="00D8166E">
        <w:rPr>
          <w:lang w:val="lt-LT"/>
        </w:rPr>
        <w:t>Vengrija: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filmtabletta</w:t>
      </w:r>
      <w:proofErr w:type="spellEnd"/>
    </w:p>
    <w:p w14:paraId="172FB1FB" w14:textId="77777777" w:rsidR="0041096E" w:rsidRPr="00D8166E" w:rsidRDefault="0041096E" w:rsidP="0041096E">
      <w:pPr>
        <w:tabs>
          <w:tab w:val="left" w:pos="1701"/>
        </w:tabs>
        <w:spacing w:line="240" w:lineRule="auto"/>
        <w:rPr>
          <w:lang w:val="lt-LT"/>
        </w:rPr>
      </w:pPr>
      <w:r w:rsidRPr="00D8166E">
        <w:rPr>
          <w:lang w:val="lt-LT"/>
        </w:rPr>
        <w:t>Latvija: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apvalkotās</w:t>
      </w:r>
      <w:proofErr w:type="spellEnd"/>
      <w:r w:rsidRPr="00D8166E">
        <w:rPr>
          <w:lang w:val="lt-LT"/>
        </w:rPr>
        <w:t xml:space="preserve"> tabletes</w:t>
      </w:r>
    </w:p>
    <w:p w14:paraId="1BCBB185" w14:textId="77777777" w:rsidR="0041096E" w:rsidRPr="00D8166E" w:rsidRDefault="0041096E" w:rsidP="0041096E">
      <w:pPr>
        <w:tabs>
          <w:tab w:val="left" w:pos="1701"/>
        </w:tabs>
        <w:spacing w:line="240" w:lineRule="auto"/>
        <w:rPr>
          <w:lang w:val="lt-LT"/>
        </w:rPr>
      </w:pPr>
      <w:r w:rsidRPr="00D8166E">
        <w:rPr>
          <w:lang w:val="lt-LT"/>
        </w:rPr>
        <w:t>Lietuva:</w:t>
      </w:r>
      <w:r w:rsidRPr="00D8166E">
        <w:rPr>
          <w:lang w:val="lt-LT"/>
        </w:rPr>
        <w:tab/>
      </w:r>
      <w:proofErr w:type="spellStart"/>
      <w:r w:rsidRPr="00D8166E">
        <w:rPr>
          <w:lang w:val="lt-LT"/>
        </w:rPr>
        <w:t>Tadalafil</w:t>
      </w:r>
      <w:proofErr w:type="spellEnd"/>
      <w:r w:rsidRPr="00D8166E">
        <w:rPr>
          <w:lang w:val="lt-LT"/>
        </w:rPr>
        <w:t xml:space="preserve"> AOP 20 mg plėvele dengtos tabletės</w:t>
      </w:r>
    </w:p>
    <w:p w14:paraId="7065EBCB" w14:textId="77777777" w:rsidR="0041096E" w:rsidRPr="00D8166E" w:rsidRDefault="0041096E" w:rsidP="0041096E">
      <w:pPr>
        <w:tabs>
          <w:tab w:val="left" w:pos="1701"/>
        </w:tabs>
        <w:spacing w:line="240" w:lineRule="auto"/>
        <w:rPr>
          <w:lang w:val="lt-LT"/>
        </w:rPr>
      </w:pPr>
      <w:r w:rsidRPr="00D8166E">
        <w:rPr>
          <w:lang w:val="lt-LT"/>
        </w:rPr>
        <w:t>Nyderlandai:</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filmomhulde</w:t>
      </w:r>
      <w:proofErr w:type="spellEnd"/>
      <w:r w:rsidRPr="00D8166E">
        <w:rPr>
          <w:lang w:val="lt-LT"/>
        </w:rPr>
        <w:t xml:space="preserve"> </w:t>
      </w:r>
      <w:proofErr w:type="spellStart"/>
      <w:r w:rsidRPr="00D8166E">
        <w:rPr>
          <w:lang w:val="lt-LT"/>
        </w:rPr>
        <w:t>tabletten</w:t>
      </w:r>
      <w:proofErr w:type="spellEnd"/>
    </w:p>
    <w:p w14:paraId="1113B898" w14:textId="77777777" w:rsidR="0041096E" w:rsidRPr="00D8166E" w:rsidRDefault="0041096E" w:rsidP="0041096E">
      <w:pPr>
        <w:tabs>
          <w:tab w:val="left" w:pos="1701"/>
        </w:tabs>
        <w:spacing w:line="240" w:lineRule="auto"/>
        <w:rPr>
          <w:lang w:val="lt-LT"/>
        </w:rPr>
      </w:pPr>
      <w:r w:rsidRPr="00D8166E">
        <w:rPr>
          <w:lang w:val="lt-LT"/>
        </w:rPr>
        <w:t>Norvegija:</w:t>
      </w:r>
      <w:r w:rsidRPr="00D8166E">
        <w:rPr>
          <w:lang w:val="lt-LT"/>
        </w:rPr>
        <w:tab/>
      </w:r>
      <w:proofErr w:type="spellStart"/>
      <w:r w:rsidRPr="00D8166E">
        <w:rPr>
          <w:lang w:val="lt-LT"/>
        </w:rPr>
        <w:t>Tadalafil</w:t>
      </w:r>
      <w:proofErr w:type="spellEnd"/>
      <w:r w:rsidRPr="00D8166E">
        <w:rPr>
          <w:lang w:val="lt-LT"/>
        </w:rPr>
        <w:t xml:space="preserve"> AOP</w:t>
      </w:r>
    </w:p>
    <w:p w14:paraId="3C9D5DC9" w14:textId="77777777" w:rsidR="0041096E" w:rsidRPr="00D8166E" w:rsidRDefault="0041096E" w:rsidP="0041096E">
      <w:pPr>
        <w:tabs>
          <w:tab w:val="left" w:pos="1701"/>
        </w:tabs>
        <w:spacing w:line="240" w:lineRule="auto"/>
        <w:rPr>
          <w:lang w:val="lt-LT"/>
        </w:rPr>
      </w:pPr>
      <w:r w:rsidRPr="00D8166E">
        <w:rPr>
          <w:lang w:val="lt-LT"/>
        </w:rPr>
        <w:t>Lenkija:</w:t>
      </w:r>
      <w:r w:rsidRPr="00D8166E">
        <w:rPr>
          <w:lang w:val="lt-LT"/>
        </w:rPr>
        <w:tab/>
      </w:r>
      <w:proofErr w:type="spellStart"/>
      <w:r w:rsidRPr="00D8166E">
        <w:rPr>
          <w:lang w:val="lt-LT"/>
        </w:rPr>
        <w:t>Tadalafil</w:t>
      </w:r>
      <w:proofErr w:type="spellEnd"/>
      <w:r w:rsidRPr="00D8166E">
        <w:rPr>
          <w:lang w:val="lt-LT"/>
        </w:rPr>
        <w:t xml:space="preserve"> AOP</w:t>
      </w:r>
    </w:p>
    <w:p w14:paraId="7C23B531" w14:textId="77777777" w:rsidR="0041096E" w:rsidRPr="00D8166E" w:rsidRDefault="0041096E" w:rsidP="0041096E">
      <w:pPr>
        <w:tabs>
          <w:tab w:val="left" w:pos="1701"/>
        </w:tabs>
        <w:spacing w:line="240" w:lineRule="auto"/>
        <w:rPr>
          <w:lang w:val="lt-LT"/>
        </w:rPr>
      </w:pPr>
      <w:r w:rsidRPr="00D8166E">
        <w:rPr>
          <w:lang w:val="lt-LT"/>
        </w:rPr>
        <w:t>Rumunija: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comprimate</w:t>
      </w:r>
      <w:proofErr w:type="spellEnd"/>
      <w:r w:rsidRPr="00D8166E">
        <w:rPr>
          <w:lang w:val="lt-LT"/>
        </w:rPr>
        <w:t xml:space="preserve"> </w:t>
      </w:r>
      <w:proofErr w:type="spellStart"/>
      <w:r w:rsidRPr="00D8166E">
        <w:rPr>
          <w:lang w:val="lt-LT"/>
        </w:rPr>
        <w:t>filmate</w:t>
      </w:r>
      <w:proofErr w:type="spellEnd"/>
    </w:p>
    <w:p w14:paraId="00EB1C74" w14:textId="77777777" w:rsidR="0041096E" w:rsidRPr="00D8166E" w:rsidRDefault="0041096E" w:rsidP="0041096E">
      <w:pPr>
        <w:tabs>
          <w:tab w:val="left" w:pos="1701"/>
        </w:tabs>
        <w:spacing w:line="240" w:lineRule="auto"/>
        <w:rPr>
          <w:lang w:val="lt-LT"/>
        </w:rPr>
      </w:pPr>
      <w:r w:rsidRPr="00D8166E">
        <w:rPr>
          <w:lang w:val="lt-LT"/>
        </w:rPr>
        <w:t>Slovakija: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w:t>
      </w:r>
      <w:proofErr w:type="spellEnd"/>
      <w:r w:rsidRPr="00D8166E">
        <w:rPr>
          <w:lang w:val="lt-LT"/>
        </w:rPr>
        <w:t xml:space="preserve"> </w:t>
      </w:r>
      <w:proofErr w:type="spellStart"/>
      <w:r w:rsidRPr="00D8166E">
        <w:rPr>
          <w:lang w:val="lt-LT"/>
        </w:rPr>
        <w:t>obalené</w:t>
      </w:r>
      <w:proofErr w:type="spellEnd"/>
      <w:r w:rsidRPr="00D8166E">
        <w:rPr>
          <w:lang w:val="lt-LT"/>
        </w:rPr>
        <w:t xml:space="preserve"> </w:t>
      </w:r>
      <w:proofErr w:type="spellStart"/>
      <w:r w:rsidRPr="00D8166E">
        <w:rPr>
          <w:lang w:val="lt-LT"/>
        </w:rPr>
        <w:t>tablety</w:t>
      </w:r>
      <w:proofErr w:type="spellEnd"/>
    </w:p>
    <w:p w14:paraId="56AF4729" w14:textId="77777777" w:rsidR="0041096E" w:rsidRPr="00D8166E" w:rsidRDefault="0041096E" w:rsidP="0041096E">
      <w:pPr>
        <w:tabs>
          <w:tab w:val="left" w:pos="1701"/>
        </w:tabs>
        <w:spacing w:line="240" w:lineRule="auto"/>
        <w:rPr>
          <w:lang w:val="lt-LT"/>
        </w:rPr>
      </w:pPr>
      <w:r w:rsidRPr="00D8166E">
        <w:rPr>
          <w:lang w:val="lt-LT"/>
        </w:rPr>
        <w:t>Slovėnija:</w:t>
      </w:r>
      <w:r w:rsidRPr="00D8166E">
        <w:rPr>
          <w:lang w:val="lt-LT"/>
        </w:rPr>
        <w:tab/>
      </w:r>
      <w:proofErr w:type="spellStart"/>
      <w:r w:rsidRPr="00D8166E">
        <w:rPr>
          <w:lang w:val="lt-LT"/>
        </w:rPr>
        <w:t>Tadalafil</w:t>
      </w:r>
      <w:proofErr w:type="spellEnd"/>
      <w:r w:rsidRPr="00D8166E">
        <w:rPr>
          <w:lang w:val="lt-LT"/>
        </w:rPr>
        <w:t xml:space="preserve"> AOP </w:t>
      </w:r>
      <w:proofErr w:type="spellStart"/>
      <w:r w:rsidRPr="00D8166E">
        <w:rPr>
          <w:lang w:val="lt-LT"/>
        </w:rPr>
        <w:t>Orphan</w:t>
      </w:r>
      <w:proofErr w:type="spellEnd"/>
      <w:r w:rsidRPr="00D8166E">
        <w:rPr>
          <w:lang w:val="lt-LT"/>
        </w:rPr>
        <w:t xml:space="preserve"> 20 mg </w:t>
      </w:r>
      <w:proofErr w:type="spellStart"/>
      <w:r w:rsidRPr="00D8166E">
        <w:rPr>
          <w:lang w:val="lt-LT"/>
        </w:rPr>
        <w:t>filmsko</w:t>
      </w:r>
      <w:proofErr w:type="spellEnd"/>
      <w:r w:rsidRPr="00D8166E">
        <w:rPr>
          <w:lang w:val="lt-LT"/>
        </w:rPr>
        <w:t xml:space="preserve"> </w:t>
      </w:r>
      <w:proofErr w:type="spellStart"/>
      <w:r w:rsidRPr="00D8166E">
        <w:rPr>
          <w:lang w:val="lt-LT"/>
        </w:rPr>
        <w:t>obložene</w:t>
      </w:r>
      <w:proofErr w:type="spellEnd"/>
      <w:r w:rsidRPr="00D8166E">
        <w:rPr>
          <w:lang w:val="lt-LT"/>
        </w:rPr>
        <w:t xml:space="preserve"> tablete</w:t>
      </w:r>
    </w:p>
    <w:p w14:paraId="1D49D281" w14:textId="77777777" w:rsidR="0041096E" w:rsidRPr="00D8166E" w:rsidRDefault="0041096E" w:rsidP="0041096E">
      <w:pPr>
        <w:tabs>
          <w:tab w:val="left" w:pos="1701"/>
        </w:tabs>
        <w:spacing w:line="240" w:lineRule="auto"/>
        <w:rPr>
          <w:lang w:val="lt-LT"/>
        </w:rPr>
      </w:pPr>
      <w:r w:rsidRPr="00D8166E">
        <w:rPr>
          <w:lang w:val="lt-LT"/>
        </w:rPr>
        <w:t>Švedija: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filmdragerade</w:t>
      </w:r>
      <w:proofErr w:type="spellEnd"/>
      <w:r w:rsidRPr="00D8166E">
        <w:rPr>
          <w:lang w:val="lt-LT"/>
        </w:rPr>
        <w:t xml:space="preserve"> </w:t>
      </w:r>
      <w:proofErr w:type="spellStart"/>
      <w:r w:rsidRPr="00D8166E">
        <w:rPr>
          <w:lang w:val="lt-LT"/>
        </w:rPr>
        <w:t>tabletter</w:t>
      </w:r>
      <w:proofErr w:type="spellEnd"/>
    </w:p>
    <w:p w14:paraId="341D5F4D" w14:textId="77777777" w:rsidR="0041096E" w:rsidRPr="005F48B8" w:rsidRDefault="0041096E" w:rsidP="0041096E">
      <w:pPr>
        <w:spacing w:line="240" w:lineRule="auto"/>
        <w:ind w:left="567" w:hanging="567"/>
        <w:rPr>
          <w:szCs w:val="22"/>
          <w:lang w:val="lt-LT"/>
        </w:rPr>
      </w:pPr>
    </w:p>
    <w:p w14:paraId="65DDEEE7" w14:textId="3C84B333" w:rsidR="0041096E" w:rsidRPr="0061385E" w:rsidRDefault="0041096E" w:rsidP="0041096E">
      <w:pPr>
        <w:numPr>
          <w:ilvl w:val="12"/>
          <w:numId w:val="0"/>
        </w:numPr>
        <w:tabs>
          <w:tab w:val="clear" w:pos="567"/>
        </w:tabs>
        <w:spacing w:line="240" w:lineRule="auto"/>
        <w:ind w:right="-2"/>
        <w:rPr>
          <w:b/>
          <w:szCs w:val="22"/>
          <w:lang w:val="lt-LT"/>
        </w:rPr>
      </w:pPr>
      <w:r w:rsidRPr="008612DF">
        <w:rPr>
          <w:b/>
          <w:szCs w:val="22"/>
          <w:lang w:val="lt-LT"/>
        </w:rPr>
        <w:t>Šis pakuotės lapelis paskutinį kartą peržiūrėtas</w:t>
      </w:r>
      <w:r w:rsidR="00C60778">
        <w:rPr>
          <w:b/>
          <w:szCs w:val="22"/>
          <w:lang w:val="lt-LT"/>
        </w:rPr>
        <w:t xml:space="preserve"> 2024-05-27</w:t>
      </w:r>
      <w:r>
        <w:rPr>
          <w:b/>
          <w:szCs w:val="22"/>
          <w:lang w:val="lt-LT"/>
        </w:rPr>
        <w:t>.</w:t>
      </w:r>
    </w:p>
    <w:p w14:paraId="0E22FD45" w14:textId="77777777" w:rsidR="0041096E" w:rsidRPr="0061385E" w:rsidRDefault="0041096E" w:rsidP="0041096E">
      <w:pPr>
        <w:numPr>
          <w:ilvl w:val="12"/>
          <w:numId w:val="0"/>
        </w:numPr>
        <w:spacing w:line="240" w:lineRule="auto"/>
        <w:ind w:right="-2"/>
        <w:rPr>
          <w:i/>
          <w:color w:val="008000"/>
          <w:szCs w:val="22"/>
          <w:lang w:val="lt-LT"/>
        </w:rPr>
      </w:pPr>
    </w:p>
    <w:p w14:paraId="6F5B0260" w14:textId="77777777" w:rsidR="0041096E" w:rsidRPr="0061385E" w:rsidRDefault="0041096E" w:rsidP="0041096E">
      <w:pPr>
        <w:numPr>
          <w:ilvl w:val="12"/>
          <w:numId w:val="0"/>
        </w:numPr>
        <w:spacing w:line="240" w:lineRule="auto"/>
        <w:ind w:right="-2"/>
        <w:rPr>
          <w:i/>
          <w:szCs w:val="22"/>
          <w:lang w:val="lt-LT"/>
        </w:rPr>
      </w:pPr>
    </w:p>
    <w:p w14:paraId="11771391" w14:textId="3D79344E" w:rsidR="0041096E" w:rsidRPr="005F48B8" w:rsidRDefault="0041096E" w:rsidP="0041096E">
      <w:pPr>
        <w:numPr>
          <w:ilvl w:val="12"/>
          <w:numId w:val="0"/>
        </w:numPr>
        <w:spacing w:line="240" w:lineRule="auto"/>
        <w:ind w:right="-2"/>
        <w:rPr>
          <w:szCs w:val="22"/>
          <w:lang w:val="lt-LT"/>
        </w:rPr>
      </w:pPr>
      <w:r w:rsidRPr="0061385E">
        <w:rPr>
          <w:szCs w:val="22"/>
          <w:lang w:val="lt-LT"/>
        </w:rPr>
        <w:t xml:space="preserve">Išsami informacija apie šį </w:t>
      </w:r>
      <w:r w:rsidRPr="009840AD">
        <w:rPr>
          <w:szCs w:val="22"/>
          <w:lang w:val="lt-LT"/>
        </w:rPr>
        <w:t>vaistą pateikiama Valstybinės vaistų kontrolės tarnybos prie Lietuvos Respublikos sveikatos apsaugos ministerijos tinklalapyje</w:t>
      </w:r>
      <w:r w:rsidRPr="00F1014D">
        <w:rPr>
          <w:i/>
          <w:szCs w:val="22"/>
          <w:lang w:val="lt-LT"/>
        </w:rPr>
        <w:t xml:space="preserve"> </w:t>
      </w:r>
      <w:hyperlink r:id="rId18" w:history="1">
        <w:r w:rsidR="006A4C84" w:rsidRPr="00B55673">
          <w:rPr>
            <w:rFonts w:eastAsia="SimSun"/>
            <w:color w:val="0000FF"/>
            <w:u w:val="single"/>
            <w:lang w:val="lt-LT"/>
          </w:rPr>
          <w:t>http://www.vvkt.lt</w:t>
        </w:r>
      </w:hyperlink>
      <w:r w:rsidRPr="005F48B8">
        <w:rPr>
          <w:szCs w:val="22"/>
          <w:lang w:val="lt-LT"/>
        </w:rPr>
        <w:t>.</w:t>
      </w:r>
    </w:p>
    <w:p w14:paraId="20364A5D" w14:textId="77777777" w:rsidR="0041096E" w:rsidRPr="00D34BC6" w:rsidRDefault="0041096E" w:rsidP="0041096E">
      <w:pPr>
        <w:numPr>
          <w:ilvl w:val="12"/>
          <w:numId w:val="0"/>
        </w:numPr>
        <w:tabs>
          <w:tab w:val="clear" w:pos="567"/>
        </w:tabs>
        <w:spacing w:line="240" w:lineRule="auto"/>
        <w:ind w:right="-2"/>
        <w:rPr>
          <w:lang w:val="lt-LT"/>
        </w:rPr>
      </w:pPr>
    </w:p>
    <w:p w14:paraId="509F64D8" w14:textId="709E0518" w:rsidR="00EC46F9" w:rsidRPr="0041096E" w:rsidRDefault="00EC46F9" w:rsidP="0041096E">
      <w:pPr>
        <w:pStyle w:val="Antrat2"/>
        <w:spacing w:before="0" w:after="0" w:line="240" w:lineRule="auto"/>
        <w:rPr>
          <w:b w:val="0"/>
          <w:i w:val="0"/>
          <w:lang w:val="lt-LT"/>
        </w:rPr>
      </w:pPr>
    </w:p>
    <w:sectPr w:rsidR="00EC46F9" w:rsidRPr="0041096E" w:rsidSect="00B2196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5A0F"/>
    <w:multiLevelType w:val="multilevel"/>
    <w:tmpl w:val="E4845A9A"/>
    <w:lvl w:ilvl="0">
      <w:start w:val="4"/>
      <w:numFmt w:val="decimal"/>
      <w:lvlText w:val="%1"/>
      <w:lvlJc w:val="left"/>
      <w:pPr>
        <w:ind w:left="858" w:hanging="541"/>
      </w:pPr>
      <w:rPr>
        <w:rFonts w:hint="default"/>
      </w:rPr>
    </w:lvl>
    <w:lvl w:ilvl="1">
      <w:start w:val="5"/>
      <w:numFmt w:val="decimal"/>
      <w:lvlText w:val="%1.%2"/>
      <w:lvlJc w:val="left"/>
      <w:pPr>
        <w:ind w:left="858" w:hanging="541"/>
      </w:pPr>
      <w:rPr>
        <w:rFonts w:ascii="Times New Roman" w:eastAsia="Times New Roman" w:hAnsi="Times New Roman" w:cs="Times New Roman" w:hint="default"/>
        <w:b/>
        <w:bCs/>
        <w:w w:val="100"/>
        <w:sz w:val="22"/>
        <w:szCs w:val="22"/>
      </w:rPr>
    </w:lvl>
    <w:lvl w:ilvl="2">
      <w:numFmt w:val="bullet"/>
      <w:lvlText w:val="•"/>
      <w:lvlJc w:val="left"/>
      <w:pPr>
        <w:ind w:left="2609" w:hanging="541"/>
      </w:pPr>
      <w:rPr>
        <w:rFonts w:hint="default"/>
      </w:rPr>
    </w:lvl>
    <w:lvl w:ilvl="3">
      <w:numFmt w:val="bullet"/>
      <w:lvlText w:val="•"/>
      <w:lvlJc w:val="left"/>
      <w:pPr>
        <w:ind w:left="3483" w:hanging="541"/>
      </w:pPr>
      <w:rPr>
        <w:rFonts w:hint="default"/>
      </w:rPr>
    </w:lvl>
    <w:lvl w:ilvl="4">
      <w:numFmt w:val="bullet"/>
      <w:lvlText w:val="•"/>
      <w:lvlJc w:val="left"/>
      <w:pPr>
        <w:ind w:left="4358" w:hanging="541"/>
      </w:pPr>
      <w:rPr>
        <w:rFonts w:hint="default"/>
      </w:rPr>
    </w:lvl>
    <w:lvl w:ilvl="5">
      <w:numFmt w:val="bullet"/>
      <w:lvlText w:val="•"/>
      <w:lvlJc w:val="left"/>
      <w:pPr>
        <w:ind w:left="5233" w:hanging="541"/>
      </w:pPr>
      <w:rPr>
        <w:rFonts w:hint="default"/>
      </w:rPr>
    </w:lvl>
    <w:lvl w:ilvl="6">
      <w:numFmt w:val="bullet"/>
      <w:lvlText w:val="•"/>
      <w:lvlJc w:val="left"/>
      <w:pPr>
        <w:ind w:left="6107" w:hanging="541"/>
      </w:pPr>
      <w:rPr>
        <w:rFonts w:hint="default"/>
      </w:rPr>
    </w:lvl>
    <w:lvl w:ilvl="7">
      <w:numFmt w:val="bullet"/>
      <w:lvlText w:val="•"/>
      <w:lvlJc w:val="left"/>
      <w:pPr>
        <w:ind w:left="6982" w:hanging="541"/>
      </w:pPr>
      <w:rPr>
        <w:rFonts w:hint="default"/>
      </w:rPr>
    </w:lvl>
    <w:lvl w:ilvl="8">
      <w:numFmt w:val="bullet"/>
      <w:lvlText w:val="•"/>
      <w:lvlJc w:val="left"/>
      <w:pPr>
        <w:ind w:left="7857" w:hanging="541"/>
      </w:pPr>
      <w:rPr>
        <w:rFonts w:hint="default"/>
      </w:rPr>
    </w:lvl>
  </w:abstractNum>
  <w:abstractNum w:abstractNumId="3" w15:restartNumberingAfterBreak="0">
    <w:nsid w:val="50BE4180"/>
    <w:multiLevelType w:val="hybridMultilevel"/>
    <w:tmpl w:val="2722A2DC"/>
    <w:lvl w:ilvl="0" w:tplc="6C9E7B88">
      <w:numFmt w:val="bullet"/>
      <w:lvlText w:val="-"/>
      <w:lvlJc w:val="left"/>
      <w:pPr>
        <w:ind w:left="858" w:hanging="541"/>
      </w:pPr>
      <w:rPr>
        <w:rFonts w:ascii="Times New Roman" w:eastAsia="Times New Roman" w:hAnsi="Times New Roman" w:cs="Times New Roman" w:hint="default"/>
        <w:w w:val="100"/>
        <w:sz w:val="22"/>
        <w:szCs w:val="22"/>
      </w:rPr>
    </w:lvl>
    <w:lvl w:ilvl="1" w:tplc="B0205C22">
      <w:numFmt w:val="bullet"/>
      <w:lvlText w:val="•"/>
      <w:lvlJc w:val="left"/>
      <w:pPr>
        <w:ind w:left="1734" w:hanging="541"/>
      </w:pPr>
      <w:rPr>
        <w:rFonts w:hint="default"/>
      </w:rPr>
    </w:lvl>
    <w:lvl w:ilvl="2" w:tplc="0648791E">
      <w:numFmt w:val="bullet"/>
      <w:lvlText w:val="•"/>
      <w:lvlJc w:val="left"/>
      <w:pPr>
        <w:ind w:left="2609" w:hanging="541"/>
      </w:pPr>
      <w:rPr>
        <w:rFonts w:hint="default"/>
      </w:rPr>
    </w:lvl>
    <w:lvl w:ilvl="3" w:tplc="DD42F0D0">
      <w:numFmt w:val="bullet"/>
      <w:lvlText w:val="•"/>
      <w:lvlJc w:val="left"/>
      <w:pPr>
        <w:ind w:left="3483" w:hanging="541"/>
      </w:pPr>
      <w:rPr>
        <w:rFonts w:hint="default"/>
      </w:rPr>
    </w:lvl>
    <w:lvl w:ilvl="4" w:tplc="F23EEBC4">
      <w:numFmt w:val="bullet"/>
      <w:lvlText w:val="•"/>
      <w:lvlJc w:val="left"/>
      <w:pPr>
        <w:ind w:left="4358" w:hanging="541"/>
      </w:pPr>
      <w:rPr>
        <w:rFonts w:hint="default"/>
      </w:rPr>
    </w:lvl>
    <w:lvl w:ilvl="5" w:tplc="77046828">
      <w:numFmt w:val="bullet"/>
      <w:lvlText w:val="•"/>
      <w:lvlJc w:val="left"/>
      <w:pPr>
        <w:ind w:left="5233" w:hanging="541"/>
      </w:pPr>
      <w:rPr>
        <w:rFonts w:hint="default"/>
      </w:rPr>
    </w:lvl>
    <w:lvl w:ilvl="6" w:tplc="2CF4F2C2">
      <w:numFmt w:val="bullet"/>
      <w:lvlText w:val="•"/>
      <w:lvlJc w:val="left"/>
      <w:pPr>
        <w:ind w:left="6107" w:hanging="541"/>
      </w:pPr>
      <w:rPr>
        <w:rFonts w:hint="default"/>
      </w:rPr>
    </w:lvl>
    <w:lvl w:ilvl="7" w:tplc="89027DA0">
      <w:numFmt w:val="bullet"/>
      <w:lvlText w:val="•"/>
      <w:lvlJc w:val="left"/>
      <w:pPr>
        <w:ind w:left="6982" w:hanging="541"/>
      </w:pPr>
      <w:rPr>
        <w:rFonts w:hint="default"/>
      </w:rPr>
    </w:lvl>
    <w:lvl w:ilvl="8" w:tplc="002E4850">
      <w:numFmt w:val="bullet"/>
      <w:lvlText w:val="•"/>
      <w:lvlJc w:val="left"/>
      <w:pPr>
        <w:ind w:left="7857" w:hanging="541"/>
      </w:pPr>
      <w:rPr>
        <w:rFonts w:hint="default"/>
      </w:rPr>
    </w:lvl>
  </w:abstractNum>
  <w:abstractNum w:abstractNumId="4" w15:restartNumberingAfterBreak="0">
    <w:nsid w:val="6ABF7C7D"/>
    <w:multiLevelType w:val="multilevel"/>
    <w:tmpl w:val="7F4CF3EE"/>
    <w:lvl w:ilvl="0">
      <w:start w:val="4"/>
      <w:numFmt w:val="decimal"/>
      <w:lvlText w:val="%1"/>
      <w:lvlJc w:val="left"/>
      <w:pPr>
        <w:ind w:left="879" w:hanging="562"/>
      </w:pPr>
      <w:rPr>
        <w:rFonts w:hint="default"/>
      </w:rPr>
    </w:lvl>
    <w:lvl w:ilvl="1">
      <w:start w:val="3"/>
      <w:numFmt w:val="decimal"/>
      <w:lvlText w:val="%1.%2"/>
      <w:lvlJc w:val="left"/>
      <w:pPr>
        <w:ind w:left="879" w:hanging="562"/>
      </w:pPr>
      <w:rPr>
        <w:rFonts w:ascii="Times New Roman" w:eastAsia="Times New Roman" w:hAnsi="Times New Roman" w:cs="Times New Roman" w:hint="default"/>
        <w:b/>
        <w:bCs/>
        <w:w w:val="100"/>
        <w:sz w:val="22"/>
        <w:szCs w:val="22"/>
      </w:rPr>
    </w:lvl>
    <w:lvl w:ilvl="2">
      <w:numFmt w:val="bullet"/>
      <w:lvlText w:val="•"/>
      <w:lvlJc w:val="left"/>
      <w:pPr>
        <w:ind w:left="2625" w:hanging="562"/>
      </w:pPr>
      <w:rPr>
        <w:rFonts w:hint="default"/>
      </w:rPr>
    </w:lvl>
    <w:lvl w:ilvl="3">
      <w:numFmt w:val="bullet"/>
      <w:lvlText w:val="•"/>
      <w:lvlJc w:val="left"/>
      <w:pPr>
        <w:ind w:left="3497" w:hanging="562"/>
      </w:pPr>
      <w:rPr>
        <w:rFonts w:hint="default"/>
      </w:rPr>
    </w:lvl>
    <w:lvl w:ilvl="4">
      <w:numFmt w:val="bullet"/>
      <w:lvlText w:val="•"/>
      <w:lvlJc w:val="left"/>
      <w:pPr>
        <w:ind w:left="4370" w:hanging="562"/>
      </w:pPr>
      <w:rPr>
        <w:rFonts w:hint="default"/>
      </w:rPr>
    </w:lvl>
    <w:lvl w:ilvl="5">
      <w:numFmt w:val="bullet"/>
      <w:lvlText w:val="•"/>
      <w:lvlJc w:val="left"/>
      <w:pPr>
        <w:ind w:left="5243" w:hanging="562"/>
      </w:pPr>
      <w:rPr>
        <w:rFonts w:hint="default"/>
      </w:rPr>
    </w:lvl>
    <w:lvl w:ilvl="6">
      <w:numFmt w:val="bullet"/>
      <w:lvlText w:val="•"/>
      <w:lvlJc w:val="left"/>
      <w:pPr>
        <w:ind w:left="6115" w:hanging="562"/>
      </w:pPr>
      <w:rPr>
        <w:rFonts w:hint="default"/>
      </w:rPr>
    </w:lvl>
    <w:lvl w:ilvl="7">
      <w:numFmt w:val="bullet"/>
      <w:lvlText w:val="•"/>
      <w:lvlJc w:val="left"/>
      <w:pPr>
        <w:ind w:left="6988" w:hanging="562"/>
      </w:pPr>
      <w:rPr>
        <w:rFonts w:hint="default"/>
      </w:rPr>
    </w:lvl>
    <w:lvl w:ilvl="8">
      <w:numFmt w:val="bullet"/>
      <w:lvlText w:val="•"/>
      <w:lvlJc w:val="left"/>
      <w:pPr>
        <w:ind w:left="7861" w:hanging="562"/>
      </w:pPr>
      <w:rPr>
        <w:rFonts w:hint="default"/>
      </w:rPr>
    </w:lvl>
  </w:abstractNum>
  <w:abstractNum w:abstractNumId="5" w15:restartNumberingAfterBreak="0">
    <w:nsid w:val="6D774A3A"/>
    <w:multiLevelType w:val="hybridMultilevel"/>
    <w:tmpl w:val="AB5099FC"/>
    <w:lvl w:ilvl="0" w:tplc="2492685A">
      <w:start w:val="1"/>
      <w:numFmt w:val="decimal"/>
      <w:lvlText w:val="%1"/>
      <w:lvlJc w:val="left"/>
      <w:pPr>
        <w:ind w:left="318" w:hanging="315"/>
      </w:pPr>
      <w:rPr>
        <w:rFonts w:ascii="Times New Roman" w:hAnsi="Times New Roman" w:cs="Times New Roman" w:hint="default"/>
        <w:b w:val="0"/>
        <w:i w:val="0"/>
        <w:strike w:val="0"/>
        <w:dstrike w:val="0"/>
        <w:color w:val="000000"/>
        <w:w w:val="100"/>
        <w:sz w:val="22"/>
        <w:szCs w:val="22"/>
        <w:u w:val="none" w:color="000000"/>
        <w:bdr w:val="none" w:sz="0" w:space="0" w:color="auto"/>
        <w:shd w:val="clear" w:color="auto" w:fill="auto"/>
        <w:vertAlign w:val="superscript"/>
      </w:rPr>
    </w:lvl>
    <w:lvl w:ilvl="1" w:tplc="42E481B0">
      <w:numFmt w:val="bullet"/>
      <w:lvlText w:val="•"/>
      <w:lvlJc w:val="left"/>
      <w:pPr>
        <w:ind w:left="1248" w:hanging="315"/>
      </w:pPr>
      <w:rPr>
        <w:rFonts w:hint="default"/>
      </w:rPr>
    </w:lvl>
    <w:lvl w:ilvl="2" w:tplc="D6065E7C">
      <w:numFmt w:val="bullet"/>
      <w:lvlText w:val="•"/>
      <w:lvlJc w:val="left"/>
      <w:pPr>
        <w:ind w:left="2177" w:hanging="315"/>
      </w:pPr>
      <w:rPr>
        <w:rFonts w:hint="default"/>
      </w:rPr>
    </w:lvl>
    <w:lvl w:ilvl="3" w:tplc="3670C40A">
      <w:numFmt w:val="bullet"/>
      <w:lvlText w:val="•"/>
      <w:lvlJc w:val="left"/>
      <w:pPr>
        <w:ind w:left="3105" w:hanging="315"/>
      </w:pPr>
      <w:rPr>
        <w:rFonts w:hint="default"/>
      </w:rPr>
    </w:lvl>
    <w:lvl w:ilvl="4" w:tplc="4038320A">
      <w:numFmt w:val="bullet"/>
      <w:lvlText w:val="•"/>
      <w:lvlJc w:val="left"/>
      <w:pPr>
        <w:ind w:left="4034" w:hanging="315"/>
      </w:pPr>
      <w:rPr>
        <w:rFonts w:hint="default"/>
      </w:rPr>
    </w:lvl>
    <w:lvl w:ilvl="5" w:tplc="22CC64EE">
      <w:numFmt w:val="bullet"/>
      <w:lvlText w:val="•"/>
      <w:lvlJc w:val="left"/>
      <w:pPr>
        <w:ind w:left="4963" w:hanging="315"/>
      </w:pPr>
      <w:rPr>
        <w:rFonts w:hint="default"/>
      </w:rPr>
    </w:lvl>
    <w:lvl w:ilvl="6" w:tplc="7AFE040A">
      <w:numFmt w:val="bullet"/>
      <w:lvlText w:val="•"/>
      <w:lvlJc w:val="left"/>
      <w:pPr>
        <w:ind w:left="5891" w:hanging="315"/>
      </w:pPr>
      <w:rPr>
        <w:rFonts w:hint="default"/>
      </w:rPr>
    </w:lvl>
    <w:lvl w:ilvl="7" w:tplc="6A68B4CC">
      <w:numFmt w:val="bullet"/>
      <w:lvlText w:val="•"/>
      <w:lvlJc w:val="left"/>
      <w:pPr>
        <w:ind w:left="6820" w:hanging="315"/>
      </w:pPr>
      <w:rPr>
        <w:rFonts w:hint="default"/>
      </w:rPr>
    </w:lvl>
    <w:lvl w:ilvl="8" w:tplc="6666C556">
      <w:numFmt w:val="bullet"/>
      <w:lvlText w:val="•"/>
      <w:lvlJc w:val="left"/>
      <w:pPr>
        <w:ind w:left="7749" w:hanging="315"/>
      </w:pPr>
      <w:rPr>
        <w:rFont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DE1385"/>
    <w:multiLevelType w:val="hybridMultilevel"/>
    <w:tmpl w:val="ED56B196"/>
    <w:lvl w:ilvl="0" w:tplc="34D4159A">
      <w:numFmt w:val="bullet"/>
      <w:lvlText w:val="-"/>
      <w:lvlJc w:val="left"/>
      <w:pPr>
        <w:ind w:left="858" w:hanging="541"/>
      </w:pPr>
      <w:rPr>
        <w:rFonts w:ascii="Times New Roman" w:eastAsia="Times New Roman" w:hAnsi="Times New Roman" w:cs="Times New Roman" w:hint="default"/>
        <w:w w:val="100"/>
        <w:sz w:val="22"/>
        <w:szCs w:val="22"/>
      </w:rPr>
    </w:lvl>
    <w:lvl w:ilvl="1" w:tplc="F2BCBD70">
      <w:numFmt w:val="bullet"/>
      <w:lvlText w:val="•"/>
      <w:lvlJc w:val="left"/>
      <w:pPr>
        <w:ind w:left="1734" w:hanging="541"/>
      </w:pPr>
      <w:rPr>
        <w:rFonts w:hint="default"/>
      </w:rPr>
    </w:lvl>
    <w:lvl w:ilvl="2" w:tplc="EFF06EA6">
      <w:numFmt w:val="bullet"/>
      <w:lvlText w:val="•"/>
      <w:lvlJc w:val="left"/>
      <w:pPr>
        <w:ind w:left="2609" w:hanging="541"/>
      </w:pPr>
      <w:rPr>
        <w:rFonts w:hint="default"/>
      </w:rPr>
    </w:lvl>
    <w:lvl w:ilvl="3" w:tplc="37A2B9A0">
      <w:numFmt w:val="bullet"/>
      <w:lvlText w:val="•"/>
      <w:lvlJc w:val="left"/>
      <w:pPr>
        <w:ind w:left="3483" w:hanging="541"/>
      </w:pPr>
      <w:rPr>
        <w:rFonts w:hint="default"/>
      </w:rPr>
    </w:lvl>
    <w:lvl w:ilvl="4" w:tplc="E7E6EBA2">
      <w:numFmt w:val="bullet"/>
      <w:lvlText w:val="•"/>
      <w:lvlJc w:val="left"/>
      <w:pPr>
        <w:ind w:left="4358" w:hanging="541"/>
      </w:pPr>
      <w:rPr>
        <w:rFonts w:hint="default"/>
      </w:rPr>
    </w:lvl>
    <w:lvl w:ilvl="5" w:tplc="288E4FFA">
      <w:numFmt w:val="bullet"/>
      <w:lvlText w:val="•"/>
      <w:lvlJc w:val="left"/>
      <w:pPr>
        <w:ind w:left="5233" w:hanging="541"/>
      </w:pPr>
      <w:rPr>
        <w:rFonts w:hint="default"/>
      </w:rPr>
    </w:lvl>
    <w:lvl w:ilvl="6" w:tplc="8AB81DA0">
      <w:numFmt w:val="bullet"/>
      <w:lvlText w:val="•"/>
      <w:lvlJc w:val="left"/>
      <w:pPr>
        <w:ind w:left="6107" w:hanging="541"/>
      </w:pPr>
      <w:rPr>
        <w:rFonts w:hint="default"/>
      </w:rPr>
    </w:lvl>
    <w:lvl w:ilvl="7" w:tplc="E6E69FAC">
      <w:numFmt w:val="bullet"/>
      <w:lvlText w:val="•"/>
      <w:lvlJc w:val="left"/>
      <w:pPr>
        <w:ind w:left="6982" w:hanging="541"/>
      </w:pPr>
      <w:rPr>
        <w:rFonts w:hint="default"/>
      </w:rPr>
    </w:lvl>
    <w:lvl w:ilvl="8" w:tplc="119E3CAA">
      <w:numFmt w:val="bullet"/>
      <w:lvlText w:val="•"/>
      <w:lvlJc w:val="left"/>
      <w:pPr>
        <w:ind w:left="7857" w:hanging="541"/>
      </w:pPr>
      <w:rPr>
        <w:rFonts w:hint="default"/>
      </w:rPr>
    </w:lvl>
  </w:abstractNum>
  <w:num w:numId="1" w16cid:durableId="363755258">
    <w:abstractNumId w:val="1"/>
  </w:num>
  <w:num w:numId="2" w16cid:durableId="1865895368">
    <w:abstractNumId w:val="6"/>
  </w:num>
  <w:num w:numId="3" w16cid:durableId="278952664">
    <w:abstractNumId w:val="0"/>
    <w:lvlOverride w:ilvl="0">
      <w:lvl w:ilvl="0">
        <w:start w:val="1"/>
        <w:numFmt w:val="bullet"/>
        <w:lvlText w:val="-"/>
        <w:lvlJc w:val="left"/>
        <w:pPr>
          <w:ind w:left="360" w:hanging="360"/>
        </w:pPr>
      </w:lvl>
    </w:lvlOverride>
  </w:num>
  <w:num w:numId="4" w16cid:durableId="751201622">
    <w:abstractNumId w:val="0"/>
    <w:lvlOverride w:ilvl="0">
      <w:lvl w:ilvl="0">
        <w:start w:val="1"/>
        <w:numFmt w:val="bullet"/>
        <w:lvlText w:val=""/>
        <w:lvlJc w:val="left"/>
        <w:pPr>
          <w:ind w:left="360" w:hanging="360"/>
        </w:pPr>
        <w:rPr>
          <w:rFonts w:ascii="Symbol" w:hAnsi="Symbol" w:hint="default"/>
        </w:rPr>
      </w:lvl>
    </w:lvlOverride>
  </w:num>
  <w:num w:numId="5" w16cid:durableId="1991867238">
    <w:abstractNumId w:val="0"/>
    <w:lvlOverride w:ilvl="0">
      <w:lvl w:ilvl="0">
        <w:start w:val="1"/>
        <w:numFmt w:val="bullet"/>
        <w:lvlText w:val="-"/>
        <w:lvlJc w:val="left"/>
        <w:pPr>
          <w:ind w:left="360" w:hanging="360"/>
        </w:pPr>
      </w:lvl>
    </w:lvlOverride>
  </w:num>
  <w:num w:numId="6" w16cid:durableId="312880664">
    <w:abstractNumId w:val="2"/>
  </w:num>
  <w:num w:numId="7" w16cid:durableId="1778796001">
    <w:abstractNumId w:val="7"/>
  </w:num>
  <w:num w:numId="8" w16cid:durableId="1306279068">
    <w:abstractNumId w:val="4"/>
  </w:num>
  <w:num w:numId="9" w16cid:durableId="1120995943">
    <w:abstractNumId w:val="5"/>
  </w:num>
  <w:num w:numId="10" w16cid:durableId="19049506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26CC1"/>
    <w:rsid w:val="00066EFA"/>
    <w:rsid w:val="00082583"/>
    <w:rsid w:val="00091E09"/>
    <w:rsid w:val="000A58F3"/>
    <w:rsid w:val="000A79DC"/>
    <w:rsid w:val="000F54BB"/>
    <w:rsid w:val="00126F6D"/>
    <w:rsid w:val="00142F4A"/>
    <w:rsid w:val="00146B09"/>
    <w:rsid w:val="00154AA9"/>
    <w:rsid w:val="00162D63"/>
    <w:rsid w:val="001A3DF1"/>
    <w:rsid w:val="001A4353"/>
    <w:rsid w:val="001A4C00"/>
    <w:rsid w:val="001B062A"/>
    <w:rsid w:val="001B45CC"/>
    <w:rsid w:val="001B57E5"/>
    <w:rsid w:val="001C1EC0"/>
    <w:rsid w:val="001F10B8"/>
    <w:rsid w:val="00245A81"/>
    <w:rsid w:val="002751D4"/>
    <w:rsid w:val="002812FF"/>
    <w:rsid w:val="002A25EF"/>
    <w:rsid w:val="002B10A5"/>
    <w:rsid w:val="002F0B17"/>
    <w:rsid w:val="002F701F"/>
    <w:rsid w:val="003205C9"/>
    <w:rsid w:val="00331196"/>
    <w:rsid w:val="00335610"/>
    <w:rsid w:val="00344F6B"/>
    <w:rsid w:val="00353D62"/>
    <w:rsid w:val="0036377A"/>
    <w:rsid w:val="003645EA"/>
    <w:rsid w:val="00370792"/>
    <w:rsid w:val="00390957"/>
    <w:rsid w:val="003D2C82"/>
    <w:rsid w:val="003D6265"/>
    <w:rsid w:val="003E5745"/>
    <w:rsid w:val="003E6D93"/>
    <w:rsid w:val="00400F86"/>
    <w:rsid w:val="0041096E"/>
    <w:rsid w:val="004146E0"/>
    <w:rsid w:val="00415243"/>
    <w:rsid w:val="00415BFE"/>
    <w:rsid w:val="004209BE"/>
    <w:rsid w:val="0043567F"/>
    <w:rsid w:val="00444711"/>
    <w:rsid w:val="00445827"/>
    <w:rsid w:val="00447DE7"/>
    <w:rsid w:val="00461F31"/>
    <w:rsid w:val="00464455"/>
    <w:rsid w:val="00477897"/>
    <w:rsid w:val="004928B6"/>
    <w:rsid w:val="004971F6"/>
    <w:rsid w:val="004A0B65"/>
    <w:rsid w:val="004C4999"/>
    <w:rsid w:val="004C4EDE"/>
    <w:rsid w:val="004E58CB"/>
    <w:rsid w:val="004F4A85"/>
    <w:rsid w:val="00503D27"/>
    <w:rsid w:val="00504517"/>
    <w:rsid w:val="00530942"/>
    <w:rsid w:val="00530FE1"/>
    <w:rsid w:val="005434BF"/>
    <w:rsid w:val="00562E0A"/>
    <w:rsid w:val="005803D9"/>
    <w:rsid w:val="005812A1"/>
    <w:rsid w:val="005829CF"/>
    <w:rsid w:val="00585EF2"/>
    <w:rsid w:val="00586790"/>
    <w:rsid w:val="00597B83"/>
    <w:rsid w:val="005D00C0"/>
    <w:rsid w:val="005D0870"/>
    <w:rsid w:val="005F48B8"/>
    <w:rsid w:val="0061385E"/>
    <w:rsid w:val="00644AEF"/>
    <w:rsid w:val="006605BD"/>
    <w:rsid w:val="00671561"/>
    <w:rsid w:val="00684562"/>
    <w:rsid w:val="006A1B81"/>
    <w:rsid w:val="006A3C03"/>
    <w:rsid w:val="006A4C84"/>
    <w:rsid w:val="006D03DA"/>
    <w:rsid w:val="006D2E4A"/>
    <w:rsid w:val="006E1A5F"/>
    <w:rsid w:val="006F331C"/>
    <w:rsid w:val="007046D8"/>
    <w:rsid w:val="00707742"/>
    <w:rsid w:val="007203A0"/>
    <w:rsid w:val="007232E0"/>
    <w:rsid w:val="00746D91"/>
    <w:rsid w:val="00772A60"/>
    <w:rsid w:val="00795EEE"/>
    <w:rsid w:val="007A0359"/>
    <w:rsid w:val="007A5C55"/>
    <w:rsid w:val="007D0B50"/>
    <w:rsid w:val="007D2D93"/>
    <w:rsid w:val="0080684F"/>
    <w:rsid w:val="00826CB6"/>
    <w:rsid w:val="008327FC"/>
    <w:rsid w:val="008612DF"/>
    <w:rsid w:val="00864D3C"/>
    <w:rsid w:val="008735EE"/>
    <w:rsid w:val="0087679E"/>
    <w:rsid w:val="008847D7"/>
    <w:rsid w:val="0089633C"/>
    <w:rsid w:val="008A05F0"/>
    <w:rsid w:val="00902C74"/>
    <w:rsid w:val="009267D6"/>
    <w:rsid w:val="009426AB"/>
    <w:rsid w:val="00943A29"/>
    <w:rsid w:val="00972FD3"/>
    <w:rsid w:val="00973D31"/>
    <w:rsid w:val="009840AD"/>
    <w:rsid w:val="00996422"/>
    <w:rsid w:val="009A25B4"/>
    <w:rsid w:val="009A4A79"/>
    <w:rsid w:val="009B484F"/>
    <w:rsid w:val="009C233C"/>
    <w:rsid w:val="009D0001"/>
    <w:rsid w:val="009E4EB3"/>
    <w:rsid w:val="00A20AC5"/>
    <w:rsid w:val="00A357DD"/>
    <w:rsid w:val="00A428C1"/>
    <w:rsid w:val="00A64840"/>
    <w:rsid w:val="00A67E3B"/>
    <w:rsid w:val="00A76206"/>
    <w:rsid w:val="00AA148B"/>
    <w:rsid w:val="00AC7598"/>
    <w:rsid w:val="00B20660"/>
    <w:rsid w:val="00B21967"/>
    <w:rsid w:val="00B51C06"/>
    <w:rsid w:val="00B84BB6"/>
    <w:rsid w:val="00BA47AB"/>
    <w:rsid w:val="00BD7A74"/>
    <w:rsid w:val="00BD7FA2"/>
    <w:rsid w:val="00C130BE"/>
    <w:rsid w:val="00C15EEE"/>
    <w:rsid w:val="00C27FAC"/>
    <w:rsid w:val="00C37971"/>
    <w:rsid w:val="00C47939"/>
    <w:rsid w:val="00C56F92"/>
    <w:rsid w:val="00C60778"/>
    <w:rsid w:val="00C8680A"/>
    <w:rsid w:val="00C972CE"/>
    <w:rsid w:val="00CA743A"/>
    <w:rsid w:val="00CB7F35"/>
    <w:rsid w:val="00CD7152"/>
    <w:rsid w:val="00CE6EC2"/>
    <w:rsid w:val="00CF1E00"/>
    <w:rsid w:val="00CF3E88"/>
    <w:rsid w:val="00D050B9"/>
    <w:rsid w:val="00D15ECA"/>
    <w:rsid w:val="00D766F0"/>
    <w:rsid w:val="00D8166E"/>
    <w:rsid w:val="00D82130"/>
    <w:rsid w:val="00D83055"/>
    <w:rsid w:val="00D96732"/>
    <w:rsid w:val="00DA63FE"/>
    <w:rsid w:val="00DB5CCC"/>
    <w:rsid w:val="00DC5513"/>
    <w:rsid w:val="00DC6895"/>
    <w:rsid w:val="00DF0ABA"/>
    <w:rsid w:val="00E2116A"/>
    <w:rsid w:val="00E30D41"/>
    <w:rsid w:val="00E4164E"/>
    <w:rsid w:val="00E62E14"/>
    <w:rsid w:val="00E7064A"/>
    <w:rsid w:val="00E84E45"/>
    <w:rsid w:val="00EA0167"/>
    <w:rsid w:val="00EC46F9"/>
    <w:rsid w:val="00EF4122"/>
    <w:rsid w:val="00EF473A"/>
    <w:rsid w:val="00F02ACC"/>
    <w:rsid w:val="00F02E72"/>
    <w:rsid w:val="00F1014D"/>
    <w:rsid w:val="00F218C1"/>
    <w:rsid w:val="00F25AB2"/>
    <w:rsid w:val="00F34163"/>
    <w:rsid w:val="00F403E8"/>
    <w:rsid w:val="00F65C3C"/>
    <w:rsid w:val="00F666CE"/>
    <w:rsid w:val="00F83B82"/>
    <w:rsid w:val="00F86E80"/>
    <w:rsid w:val="00F9072B"/>
    <w:rsid w:val="00FA15A3"/>
    <w:rsid w:val="00FD0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8FD"/>
  <w15:chartTrackingRefBased/>
  <w15:docId w15:val="{60B4B19F-5C57-42EB-8A75-404B9EE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qFormat/>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Neapdorotaspaminjimas1">
    <w:name w:val="Neapdorotas paminėjimas1"/>
    <w:basedOn w:val="Numatytasispastraiposriftas"/>
    <w:uiPriority w:val="99"/>
    <w:semiHidden/>
    <w:unhideWhenUsed/>
    <w:rsid w:val="00410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331330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62029529">
      <w:bodyDiv w:val="1"/>
      <w:marLeft w:val="0"/>
      <w:marRight w:val="0"/>
      <w:marTop w:val="0"/>
      <w:marBottom w:val="0"/>
      <w:divBdr>
        <w:top w:val="none" w:sz="0" w:space="0" w:color="auto"/>
        <w:left w:val="none" w:sz="0" w:space="0" w:color="auto"/>
        <w:bottom w:val="none" w:sz="0" w:space="0" w:color="auto"/>
        <w:right w:val="none" w:sz="0" w:space="0" w:color="auto"/>
      </w:divBdr>
    </w:div>
    <w:div w:id="148153455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831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18" Type="http://schemas.openxmlformats.org/officeDocument/2006/relationships/hyperlink" Target="https://vapris.vvkt.lt/vvkt-web/public/medication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apris.vvkt.lt/vvkt-web/public/nrvSpecialist" TargetMode="Externa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B59BDFFE09644A7FBB5CDA3444A25" ma:contentTypeVersion="2" ma:contentTypeDescription="Create a new document." ma:contentTypeScope="" ma:versionID="86e5276dd21d44ee9041cd53ce4c1b0d">
  <xsd:schema xmlns:xsd="http://www.w3.org/2001/XMLSchema" xmlns:xs="http://www.w3.org/2001/XMLSchema" xmlns:p="http://schemas.microsoft.com/office/2006/metadata/properties" xmlns:ns2="f20ff360-8632-4073-a9f8-45f9d5680a2c" targetNamespace="http://schemas.microsoft.com/office/2006/metadata/properties" ma:root="true" ma:fieldsID="9d767ab112f9c697e8c689cf41c45da3" ns2:_="">
    <xsd:import namespace="f20ff360-8632-4073-a9f8-45f9d5680a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ff360-8632-4073-a9f8-45f9d5680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1B59BDFFE09644A7FBB5CDA3444A25" ma:contentTypeVersion="2" ma:contentTypeDescription="Create a new document." ma:contentTypeScope="" ma:versionID="86e5276dd21d44ee9041cd53ce4c1b0d">
  <xsd:schema xmlns:xsd="http://www.w3.org/2001/XMLSchema" xmlns:xs="http://www.w3.org/2001/XMLSchema" xmlns:p="http://schemas.microsoft.com/office/2006/metadata/properties" xmlns:ns2="f20ff360-8632-4073-a9f8-45f9d5680a2c" targetNamespace="http://schemas.microsoft.com/office/2006/metadata/properties" ma:root="true" ma:fieldsID="9d767ab112f9c697e8c689cf41c45da3" ns2:_="">
    <xsd:import namespace="f20ff360-8632-4073-a9f8-45f9d5680a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ff360-8632-4073-a9f8-45f9d5680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382B4-2BF0-43AB-A800-7BD0AA14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ff360-8632-4073-a9f8-45f9d568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8F1B-5945-4934-8633-92962722DDBE}">
  <ds:schemaRefs>
    <ds:schemaRef ds:uri="http://schemas.openxmlformats.org/officeDocument/2006/bibliography"/>
  </ds:schemaRefs>
</ds:datastoreItem>
</file>

<file path=customXml/itemProps3.xml><?xml version="1.0" encoding="utf-8"?>
<ds:datastoreItem xmlns:ds="http://schemas.openxmlformats.org/officeDocument/2006/customXml" ds:itemID="{4A17FF03-C63E-4B7A-9548-307ECB4B5645}">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f20ff360-8632-4073-a9f8-45f9d5680a2c"/>
  </ds:schemaRefs>
</ds:datastoreItem>
</file>

<file path=customXml/itemProps4.xml><?xml version="1.0" encoding="utf-8"?>
<ds:datastoreItem xmlns:ds="http://schemas.openxmlformats.org/officeDocument/2006/customXml" ds:itemID="{1ECAC3CA-37E0-4FC2-B584-8840E1671435}">
  <ds:schemaRefs>
    <ds:schemaRef ds:uri="http://schemas.microsoft.com/sharepoint/v3/contenttype/forms"/>
  </ds:schemaRefs>
</ds:datastoreItem>
</file>

<file path=customXml/itemProps5.xml><?xml version="1.0" encoding="utf-8"?>
<ds:datastoreItem xmlns:ds="http://schemas.openxmlformats.org/officeDocument/2006/customXml" ds:itemID="{2BB5FB45-43F9-4B24-85D1-4363E466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ff360-8632-4073-a9f8-45f9d568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718EFB-D7F2-48C8-8913-17811A23D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37025</Words>
  <Characters>21105</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58014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5</cp:revision>
  <dcterms:created xsi:type="dcterms:W3CDTF">2024-05-28T04:49:00Z</dcterms:created>
  <dcterms:modified xsi:type="dcterms:W3CDTF">2024-05-28T05:43:00Z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0x0101001D1B59BDFFE09644A7FBB5CDA3444A25</vt:lpwstr>
  </property>
</Properties>
</file>