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</w:p>
    <w:p w:rsidR="007814EC" w:rsidRDefault="007814EC" w:rsidP="007814EC">
      <w:pPr>
        <w:pStyle w:val="Title"/>
        <w:rPr>
          <w:szCs w:val="22"/>
        </w:rPr>
      </w:pPr>
      <w:r>
        <w:rPr>
          <w:szCs w:val="22"/>
        </w:rPr>
        <w:t>A. ŽENKLINIMAS</w:t>
      </w:r>
    </w:p>
    <w:p w:rsidR="007814EC" w:rsidRDefault="007814E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06E0F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06E0F">
        <w:rPr>
          <w:rFonts w:ascii="Times New Roman" w:eastAsia="Times New Roman" w:hAnsi="Times New Roman" w:cs="Times New Roman"/>
          <w:b/>
        </w:rPr>
        <w:t xml:space="preserve">KARTONO DĖŽUTĖ 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1.</w:t>
      </w:r>
      <w:r w:rsidRPr="00B06E0F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AA5F09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Atsimutin</w:t>
      </w:r>
      <w:proofErr w:type="spellEnd"/>
      <w:r w:rsidR="00B06E0F" w:rsidRPr="00B06E0F">
        <w:rPr>
          <w:rFonts w:ascii="Times New Roman" w:eastAsia="Times New Roman" w:hAnsi="Times New Roman" w:cs="Times New Roman"/>
        </w:rPr>
        <w:t xml:space="preserve"> 50 mg plėvele dengtos tabletės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06E0F">
        <w:rPr>
          <w:rFonts w:ascii="Times New Roman" w:eastAsia="Times New Roman" w:hAnsi="Times New Roman" w:cs="Times New Roman"/>
        </w:rPr>
        <w:t>Azatioprin</w:t>
      </w:r>
      <w:r>
        <w:rPr>
          <w:rFonts w:ascii="Times New Roman" w:eastAsia="Times New Roman" w:hAnsi="Times New Roman" w:cs="Times New Roman"/>
        </w:rPr>
        <w:t>as</w:t>
      </w:r>
      <w:proofErr w:type="spellEnd"/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06E0F">
        <w:rPr>
          <w:rFonts w:ascii="Times New Roman" w:eastAsia="Times New Roman" w:hAnsi="Times New Roman" w:cs="Times New Roman"/>
          <w:b/>
        </w:rPr>
        <w:t>2.</w:t>
      </w:r>
      <w:r w:rsidRPr="00B06E0F">
        <w:rPr>
          <w:rFonts w:ascii="Times New Roman" w:eastAsia="Times New Roman" w:hAnsi="Times New Roman" w:cs="Times New Roman"/>
          <w:b/>
        </w:rPr>
        <w:tab/>
        <w:t xml:space="preserve">VEIKLIOJI </w:t>
      </w:r>
      <w:r w:rsidRPr="00B06E0F">
        <w:rPr>
          <w:rFonts w:ascii="Times New Roman" w:eastAsia="Times New Roman" w:hAnsi="Times New Roman" w:cs="Times New Roman"/>
          <w:b/>
          <w:snapToGrid w:val="0"/>
        </w:rPr>
        <w:t xml:space="preserve">(-IOS) </w:t>
      </w:r>
      <w:r w:rsidRPr="00B06E0F">
        <w:rPr>
          <w:rFonts w:ascii="Times New Roman" w:eastAsia="Times New Roman" w:hAnsi="Times New Roman" w:cs="Times New Roman"/>
          <w:b/>
        </w:rPr>
        <w:t xml:space="preserve">MEDŽIAGA </w:t>
      </w:r>
      <w:r w:rsidRPr="00B06E0F">
        <w:rPr>
          <w:rFonts w:ascii="Times New Roman" w:eastAsia="Times New Roman" w:hAnsi="Times New Roman" w:cs="Times New Roman"/>
          <w:b/>
          <w:snapToGrid w:val="0"/>
        </w:rPr>
        <w:t xml:space="preserve">(-OS) </w:t>
      </w:r>
      <w:r w:rsidRPr="00B06E0F">
        <w:rPr>
          <w:rFonts w:ascii="Times New Roman" w:eastAsia="Times New Roman" w:hAnsi="Times New Roman" w:cs="Times New Roman"/>
          <w:b/>
        </w:rPr>
        <w:t xml:space="preserve">IR JOS </w:t>
      </w:r>
      <w:r w:rsidRPr="00B06E0F">
        <w:rPr>
          <w:rFonts w:ascii="Times New Roman" w:eastAsia="Times New Roman" w:hAnsi="Times New Roman" w:cs="Times New Roman"/>
          <w:b/>
          <w:snapToGrid w:val="0"/>
        </w:rPr>
        <w:t xml:space="preserve">(-Ų) </w:t>
      </w:r>
      <w:r w:rsidRPr="00B06E0F">
        <w:rPr>
          <w:rFonts w:ascii="Times New Roman" w:eastAsia="Times New Roman" w:hAnsi="Times New Roman" w:cs="Times New Roman"/>
          <w:b/>
        </w:rPr>
        <w:t>KIEKIS</w:t>
      </w:r>
      <w:r w:rsidRPr="00B06E0F">
        <w:rPr>
          <w:rFonts w:ascii="Times New Roman" w:eastAsia="Times New Roman" w:hAnsi="Times New Roman" w:cs="Times New Roman"/>
          <w:b/>
          <w:snapToGrid w:val="0"/>
        </w:rPr>
        <w:t xml:space="preserve"> (-IAI)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1474BE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Kiekvienoje</w:t>
      </w:r>
      <w:r w:rsidRPr="00B06E0F">
        <w:rPr>
          <w:rFonts w:ascii="Times New Roman" w:eastAsia="Times New Roman" w:hAnsi="Times New Roman" w:cs="Times New Roman"/>
        </w:rPr>
        <w:t xml:space="preserve"> </w:t>
      </w:r>
      <w:r w:rsidR="00B06E0F" w:rsidRPr="00B06E0F">
        <w:rPr>
          <w:rFonts w:ascii="Times New Roman" w:eastAsia="Times New Roman" w:hAnsi="Times New Roman" w:cs="Times New Roman"/>
        </w:rPr>
        <w:t xml:space="preserve">plėvele dengtoje tabletėje yra 50 mg </w:t>
      </w:r>
      <w:proofErr w:type="spellStart"/>
      <w:r w:rsidR="00B06E0F" w:rsidRPr="00B06E0F">
        <w:rPr>
          <w:rFonts w:ascii="Times New Roman" w:eastAsia="Times New Roman" w:hAnsi="Times New Roman" w:cs="Times New Roman"/>
        </w:rPr>
        <w:t>azatioprino</w:t>
      </w:r>
      <w:proofErr w:type="spellEnd"/>
      <w:r w:rsidR="00B06E0F" w:rsidRPr="00B06E0F">
        <w:rPr>
          <w:rFonts w:ascii="Times New Roman" w:eastAsia="Times New Roman" w:hAnsi="Times New Roman" w:cs="Times New Roman"/>
        </w:rPr>
        <w:t>.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B06E0F">
        <w:rPr>
          <w:rFonts w:ascii="Times New Roman" w:eastAsia="Times New Roman" w:hAnsi="Times New Roman" w:cs="Times New Roman"/>
          <w:b/>
        </w:rPr>
        <w:t>3.</w:t>
      </w:r>
      <w:r w:rsidRPr="00B06E0F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>Sudėtyje yra laktozės. Prieš vartojimą perskaitykite pakuotės lapelį.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4.</w:t>
      </w:r>
      <w:r w:rsidRPr="00B06E0F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>100 plėvele dengtų tablečių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B06E0F">
        <w:rPr>
          <w:rFonts w:ascii="Times New Roman" w:eastAsia="Times New Roman" w:hAnsi="Times New Roman" w:cs="Times New Roman"/>
          <w:b/>
        </w:rPr>
        <w:t>5.</w:t>
      </w:r>
      <w:r w:rsidRPr="00B06E0F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>Vartoti per burną.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highlight w:val="lightGray"/>
        </w:rPr>
        <w:t>Prieš vartojimą perskaitykite pakuotės lapelį.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6.</w:t>
      </w:r>
      <w:r w:rsidRPr="00B06E0F">
        <w:rPr>
          <w:rFonts w:ascii="Times New Roman" w:eastAsia="Times New Roman" w:hAnsi="Times New Roman" w:cs="Times New Roman"/>
          <w:b/>
        </w:rPr>
        <w:tab/>
      </w:r>
      <w:r w:rsidRPr="00B06E0F"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 VIETOJE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06E0F">
        <w:rPr>
          <w:rFonts w:ascii="Times New Roman" w:eastAsia="Times New Roman" w:hAnsi="Times New Roman" w:cs="Times New Roman"/>
          <w:iCs/>
        </w:rPr>
        <w:t>Laikyti vaikams nepastebimoje ir nepasiekiamoje vietoje.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B06E0F">
        <w:rPr>
          <w:rFonts w:ascii="Times New Roman" w:eastAsia="Times New Roman" w:hAnsi="Times New Roman" w:cs="Times New Roman"/>
          <w:b/>
        </w:rPr>
        <w:t>7.</w:t>
      </w:r>
      <w:r w:rsidRPr="00B06E0F">
        <w:rPr>
          <w:rFonts w:ascii="Times New Roman" w:eastAsia="Times New Roman" w:hAnsi="Times New Roman" w:cs="Times New Roman"/>
          <w:b/>
        </w:rPr>
        <w:tab/>
      </w:r>
      <w:r w:rsidRPr="00B06E0F">
        <w:rPr>
          <w:rFonts w:ascii="Times New Roman" w:eastAsia="Times New Roman" w:hAnsi="Times New Roman" w:cs="Times New Roman"/>
          <w:b/>
          <w:bCs/>
        </w:rPr>
        <w:t>KITAS (-I) SPECIALUS (-ŪS) ĮSPĖJIMAS (-AI) (JEI REIKIA)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>Tablečių nesmulkinkite.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B06E0F">
        <w:rPr>
          <w:rFonts w:ascii="Times New Roman" w:eastAsia="Times New Roman" w:hAnsi="Times New Roman" w:cs="Times New Roman"/>
          <w:b/>
        </w:rPr>
        <w:t>8.</w:t>
      </w:r>
      <w:r w:rsidRPr="00B06E0F">
        <w:rPr>
          <w:rFonts w:ascii="Times New Roman" w:eastAsia="Times New Roman" w:hAnsi="Times New Roman" w:cs="Times New Roman"/>
          <w:b/>
        </w:rPr>
        <w:tab/>
      </w:r>
      <w:r w:rsidRPr="00B06E0F">
        <w:rPr>
          <w:rFonts w:ascii="Times New Roman" w:eastAsia="Times New Roman" w:hAnsi="Times New Roman" w:cs="Times New Roman"/>
          <w:b/>
          <w:bCs/>
        </w:rPr>
        <w:t>TINKAMUMO LAIKAS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>Tinka iki {mm</w:t>
      </w:r>
      <w:r>
        <w:rPr>
          <w:rFonts w:ascii="Times New Roman" w:eastAsia="Times New Roman" w:hAnsi="Times New Roman" w:cs="Times New Roman"/>
        </w:rPr>
        <w:t>-</w:t>
      </w:r>
      <w:r w:rsidRPr="00B06E0F">
        <w:rPr>
          <w:rFonts w:ascii="Times New Roman" w:eastAsia="Times New Roman" w:hAnsi="Times New Roman" w:cs="Times New Roman"/>
        </w:rPr>
        <w:t>MMMM}</w:t>
      </w:r>
    </w:p>
    <w:p w:rsidR="00B06E0F" w:rsidRPr="00B06E0F" w:rsidRDefault="00AA5F09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93052">
        <w:rPr>
          <w:rFonts w:ascii="Times New Roman" w:eastAsia="Times New Roman" w:hAnsi="Times New Roman" w:cs="Times New Roman"/>
          <w:highlight w:val="lightGray"/>
        </w:rPr>
        <w:t>Tinka iki {MMMM mm}</w:t>
      </w:r>
    </w:p>
    <w:p w:rsid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A5F09" w:rsidRPr="00B06E0F" w:rsidRDefault="00AA5F09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9.</w:t>
      </w:r>
      <w:r w:rsidRPr="00B06E0F">
        <w:rPr>
          <w:rFonts w:ascii="Times New Roman" w:eastAsia="Times New Roman" w:hAnsi="Times New Roman" w:cs="Times New Roman"/>
          <w:b/>
        </w:rPr>
        <w:tab/>
      </w:r>
      <w:r w:rsidRPr="00B06E0F">
        <w:rPr>
          <w:rFonts w:ascii="Times New Roman" w:eastAsia="Times New Roman" w:hAnsi="Times New Roman" w:cs="Times New Roman"/>
          <w:b/>
          <w:caps/>
        </w:rPr>
        <w:t>SPECIALIOS laikymo sąlygos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 xml:space="preserve">Laikyti gamintojo pakuotėje, kad </w:t>
      </w:r>
      <w:r w:rsidR="001D5E6F">
        <w:rPr>
          <w:rFonts w:ascii="Times New Roman" w:eastAsia="Times New Roman" w:hAnsi="Times New Roman" w:cs="Times New Roman"/>
        </w:rPr>
        <w:t>vaistas</w:t>
      </w:r>
      <w:r w:rsidRPr="00B06E0F">
        <w:rPr>
          <w:rFonts w:ascii="Times New Roman" w:eastAsia="Times New Roman" w:hAnsi="Times New Roman" w:cs="Times New Roman"/>
        </w:rPr>
        <w:t xml:space="preserve"> būtų apsaugotas nuo šviesos.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06E0F">
        <w:rPr>
          <w:rFonts w:ascii="Times New Roman" w:eastAsia="Times New Roman" w:hAnsi="Times New Roman" w:cs="Times New Roman"/>
          <w:b/>
        </w:rPr>
        <w:t>10.</w:t>
      </w:r>
      <w:r w:rsidRPr="00B06E0F">
        <w:rPr>
          <w:rFonts w:ascii="Times New Roman" w:eastAsia="Times New Roman" w:hAnsi="Times New Roman" w:cs="Times New Roman"/>
          <w:b/>
        </w:rPr>
        <w:tab/>
      </w:r>
      <w:r w:rsidRPr="00B06E0F">
        <w:rPr>
          <w:rFonts w:ascii="Times New Roman" w:eastAsia="Times New Roman" w:hAnsi="Times New Roman" w:cs="Times New Roman"/>
          <w:b/>
          <w:caps/>
        </w:rPr>
        <w:t xml:space="preserve">specialios atsargumo priemonės DĖL NESUVARTOTO </w:t>
      </w:r>
      <w:r w:rsidRPr="00B06E0F">
        <w:rPr>
          <w:rFonts w:ascii="Times New Roman" w:eastAsia="Times New Roman" w:hAnsi="Times New Roman" w:cs="Times New Roman"/>
          <w:b/>
          <w:bCs/>
          <w:caps/>
        </w:rPr>
        <w:t>VAISTINIO PREPARATO AR JO ATLIEK</w:t>
      </w:r>
      <w:r w:rsidRPr="00B06E0F">
        <w:rPr>
          <w:rFonts w:ascii="Times New Roman" w:eastAsia="Times New Roman" w:hAnsi="Times New Roman" w:cs="Times New Roman"/>
          <w:b/>
        </w:rPr>
        <w:t>Ų</w:t>
      </w:r>
      <w:r w:rsidRPr="00B06E0F">
        <w:rPr>
          <w:rFonts w:ascii="Times New Roman" w:eastAsia="Times New Roman" w:hAnsi="Times New Roman" w:cs="Times New Roman"/>
          <w:caps/>
        </w:rPr>
        <w:t xml:space="preserve"> </w:t>
      </w:r>
      <w:r w:rsidRPr="00B06E0F">
        <w:rPr>
          <w:rFonts w:ascii="Times New Roman" w:eastAsia="Times New Roman" w:hAnsi="Times New Roman" w:cs="Times New Roman"/>
          <w:b/>
          <w:bCs/>
          <w:caps/>
        </w:rPr>
        <w:t>TVARKYMO</w:t>
      </w:r>
      <w:r w:rsidRPr="00B06E0F"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C93052">
      <w:pPr>
        <w:pStyle w:val="PI-1labEMEASMCA"/>
      </w:pPr>
      <w:r w:rsidRPr="00B06E0F">
        <w:t>11.</w:t>
      </w:r>
      <w:r w:rsidRPr="00B06E0F">
        <w:tab/>
      </w:r>
      <w:bookmarkStart w:id="0" w:name="_Hlk486856214"/>
      <w:r>
        <w:rPr>
          <w:noProof w:val="0"/>
        </w:rPr>
        <w:t>LYGIARETUS IMPORTUOTOJAS</w:t>
      </w:r>
      <w:bookmarkEnd w:id="0"/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B06E0F">
        <w:rPr>
          <w:rFonts w:ascii="Times New Roman" w:eastAsia="Times New Roman" w:hAnsi="Times New Roman" w:cs="Times New Roman"/>
          <w:b/>
          <w:szCs w:val="20"/>
        </w:rPr>
        <w:t xml:space="preserve">Lygiagretus importuotojas </w:t>
      </w:r>
    </w:p>
    <w:p w:rsidR="00B06E0F" w:rsidRPr="00B06E0F" w:rsidRDefault="00B06E0F" w:rsidP="00B06E0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06E0F">
        <w:rPr>
          <w:rFonts w:ascii="Times New Roman" w:eastAsia="Times New Roman" w:hAnsi="Times New Roman" w:cs="Times New Roman"/>
          <w:szCs w:val="20"/>
        </w:rPr>
        <w:t>UAB „Actiofarma“</w:t>
      </w:r>
    </w:p>
    <w:p w:rsidR="00B06E0F" w:rsidRPr="00B06E0F" w:rsidRDefault="00B06E0F" w:rsidP="00B06E0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</w:rPr>
      </w:pPr>
      <w:r w:rsidRPr="00B06E0F">
        <w:rPr>
          <w:rFonts w:ascii="Times New Roman" w:eastAsia="Times New Roman" w:hAnsi="Times New Roman" w:cs="Times New Roman"/>
          <w:szCs w:val="20"/>
          <w:highlight w:val="lightGray"/>
        </w:rPr>
        <w:t>Islandijos pl. 209A</w:t>
      </w:r>
    </w:p>
    <w:p w:rsidR="00B06E0F" w:rsidRPr="00B06E0F" w:rsidRDefault="00B06E0F" w:rsidP="00B06E0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06E0F">
        <w:rPr>
          <w:rFonts w:ascii="Times New Roman" w:eastAsia="Times New Roman" w:hAnsi="Times New Roman" w:cs="Times New Roman"/>
          <w:szCs w:val="20"/>
          <w:highlight w:val="lightGray"/>
        </w:rPr>
        <w:t>LT-49163 Kaunas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06E0F">
        <w:rPr>
          <w:rFonts w:ascii="Times New Roman" w:eastAsia="Times New Roman" w:hAnsi="Times New Roman" w:cs="Times New Roman"/>
          <w:b/>
        </w:rPr>
        <w:t>12.</w:t>
      </w:r>
      <w:r w:rsidRPr="00B06E0F">
        <w:rPr>
          <w:rFonts w:ascii="Times New Roman" w:eastAsia="Times New Roman" w:hAnsi="Times New Roman" w:cs="Times New Roman"/>
          <w:b/>
        </w:rPr>
        <w:tab/>
      </w:r>
      <w:bookmarkStart w:id="1" w:name="_Hlk486856223"/>
      <w:r w:rsidRPr="00B06E0F">
        <w:rPr>
          <w:rFonts w:ascii="Times New Roman" w:hAnsi="Times New Roman" w:cs="Times New Roman"/>
          <w:b/>
        </w:rPr>
        <w:t>LYGIAGRETAUS IMPORTO LEIDIMO NUMERIS</w:t>
      </w:r>
      <w:bookmarkEnd w:id="1"/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LT/L/</w:t>
      </w:r>
      <w:r w:rsidR="00C93052">
        <w:rPr>
          <w:rFonts w:ascii="Times New Roman" w:eastAsia="Times New Roman" w:hAnsi="Times New Roman" w:cs="Times New Roman"/>
        </w:rPr>
        <w:t>18/0699/001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13.</w:t>
      </w:r>
      <w:r w:rsidRPr="00B06E0F">
        <w:rPr>
          <w:rFonts w:ascii="Times New Roman" w:eastAsia="Times New Roman" w:hAnsi="Times New Roman" w:cs="Times New Roman"/>
          <w:b/>
        </w:rPr>
        <w:tab/>
        <w:t>SERIJOS NUMERIS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>Serija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14.</w:t>
      </w:r>
      <w:r w:rsidRPr="00B06E0F">
        <w:rPr>
          <w:rFonts w:ascii="Times New Roman" w:eastAsia="Times New Roman" w:hAnsi="Times New Roman" w:cs="Times New Roman"/>
          <w:b/>
        </w:rPr>
        <w:tab/>
        <w:t>PARDAVIMO (IŠDAVIMO)</w:t>
      </w:r>
      <w:r w:rsidRPr="00B06E0F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</w:rPr>
        <w:t>Receptinis vaistas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15.</w:t>
      </w:r>
      <w:r w:rsidRPr="00B06E0F">
        <w:rPr>
          <w:rFonts w:ascii="Times New Roman" w:eastAsia="Times New Roman" w:hAnsi="Times New Roman" w:cs="Times New Roman"/>
          <w:b/>
        </w:rPr>
        <w:tab/>
      </w:r>
      <w:r w:rsidRPr="00B06E0F">
        <w:rPr>
          <w:rFonts w:ascii="Times New Roman" w:eastAsia="Times New Roman" w:hAnsi="Times New Roman" w:cs="Times New Roman"/>
          <w:b/>
          <w:caps/>
        </w:rPr>
        <w:t>vartojimo instrukcijA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B06E0F" w:rsidP="00B06E0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6E0F">
        <w:rPr>
          <w:rFonts w:ascii="Times New Roman" w:eastAsia="Times New Roman" w:hAnsi="Times New Roman" w:cs="Times New Roman"/>
          <w:b/>
        </w:rPr>
        <w:t>16.</w:t>
      </w:r>
      <w:r w:rsidRPr="00B06E0F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B06E0F" w:rsidRPr="00B06E0F" w:rsidRDefault="00B06E0F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06E0F" w:rsidRPr="00B06E0F" w:rsidRDefault="00AA5F09" w:rsidP="00B06E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Atsimutin</w:t>
      </w:r>
      <w:proofErr w:type="spellEnd"/>
      <w:r w:rsidR="00B06E0F" w:rsidRPr="00B06E0F">
        <w:rPr>
          <w:rFonts w:ascii="Times New Roman" w:eastAsia="Times New Roman" w:hAnsi="Times New Roman" w:cs="Times New Roman"/>
        </w:rPr>
        <w:t xml:space="preserve"> 50 mg</w:t>
      </w:r>
    </w:p>
    <w:p w:rsidR="001C4F4C" w:rsidRDefault="001C4F4C" w:rsidP="00B06E0F">
      <w:pPr>
        <w:spacing w:after="0" w:line="240" w:lineRule="auto"/>
        <w:rPr>
          <w:rFonts w:ascii="Times New Roman" w:eastAsia="Calibri" w:hAnsi="Times New Roman" w:cs="Times New Roman"/>
          <w:szCs w:val="20"/>
          <w:lang w:eastAsia="de-DE"/>
        </w:rPr>
      </w:pP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:rsidR="005E1C5F" w:rsidRPr="005E1C5F" w:rsidRDefault="005E1C5F" w:rsidP="005E1C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lang w:val="en-GB"/>
        </w:rPr>
      </w:pPr>
      <w:r w:rsidRPr="005E1C5F">
        <w:rPr>
          <w:rFonts w:ascii="Times New Roman" w:eastAsia="Times New Roman" w:hAnsi="Times New Roman" w:cs="Times New Roman"/>
          <w:b/>
          <w:noProof/>
          <w:lang w:val="en-GB"/>
        </w:rPr>
        <w:t>17.</w:t>
      </w:r>
      <w:r w:rsidRPr="005E1C5F">
        <w:rPr>
          <w:rFonts w:ascii="Times New Roman" w:eastAsia="Times New Roman" w:hAnsi="Times New Roman" w:cs="Times New Roman"/>
          <w:b/>
          <w:noProof/>
          <w:lang w:val="en-GB"/>
        </w:rPr>
        <w:tab/>
        <w:t>UNIKALUS IDENTIFIKATORIUS – 2D BRŪKŠNINIS KODAS</w:t>
      </w: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en-GB"/>
        </w:rPr>
      </w:pPr>
      <w:r w:rsidRPr="005E1C5F">
        <w:rPr>
          <w:rFonts w:ascii="Times New Roman" w:eastAsia="Times New Roman" w:hAnsi="Times New Roman" w:cs="Times New Roman"/>
          <w:noProof/>
          <w:highlight w:val="lightGray"/>
          <w:lang w:val="en-GB"/>
        </w:rPr>
        <w:t>&lt;2D brūkšninis kodas su nurodytu unikaliu identifikatoriumi.&gt;</w:t>
      </w: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en-GB"/>
        </w:rPr>
      </w:pP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</w:p>
    <w:p w:rsidR="005E1C5F" w:rsidRPr="005E1C5F" w:rsidRDefault="005E1C5F" w:rsidP="005E1C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lang w:val="en-GB"/>
        </w:rPr>
      </w:pPr>
      <w:r w:rsidRPr="005E1C5F">
        <w:rPr>
          <w:rFonts w:ascii="Times New Roman" w:eastAsia="Times New Roman" w:hAnsi="Times New Roman" w:cs="Times New Roman"/>
          <w:b/>
          <w:noProof/>
          <w:lang w:val="en-GB"/>
        </w:rPr>
        <w:t>18.</w:t>
      </w:r>
      <w:r w:rsidRPr="005E1C5F">
        <w:rPr>
          <w:rFonts w:ascii="Times New Roman" w:eastAsia="Times New Roman" w:hAnsi="Times New Roman" w:cs="Times New Roman"/>
          <w:b/>
          <w:noProof/>
          <w:lang w:val="en-GB"/>
        </w:rPr>
        <w:tab/>
        <w:t>UNIKALUS IDENTIFIKATORIUS – ŽMONĖMS SUPRANTAMI DUOMENYS</w:t>
      </w: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en-GB"/>
        </w:rPr>
      </w:pPr>
      <w:r w:rsidRPr="005E1C5F">
        <w:rPr>
          <w:rFonts w:ascii="Times New Roman" w:eastAsia="Times New Roman" w:hAnsi="Times New Roman" w:cs="Times New Roman"/>
          <w:lang w:val="en-GB"/>
        </w:rPr>
        <w:t>PC: {</w:t>
      </w:r>
      <w:proofErr w:type="spellStart"/>
      <w:r w:rsidRPr="005E1C5F">
        <w:rPr>
          <w:rFonts w:ascii="Times New Roman" w:eastAsia="Times New Roman" w:hAnsi="Times New Roman" w:cs="Times New Roman"/>
          <w:lang w:val="en-GB"/>
        </w:rPr>
        <w:t>numeris</w:t>
      </w:r>
      <w:proofErr w:type="spellEnd"/>
      <w:r w:rsidRPr="005E1C5F">
        <w:rPr>
          <w:rFonts w:ascii="Times New Roman" w:eastAsia="Times New Roman" w:hAnsi="Times New Roman" w:cs="Times New Roman"/>
          <w:lang w:val="en-GB"/>
        </w:rPr>
        <w:t>}</w:t>
      </w: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5E1C5F">
        <w:rPr>
          <w:rFonts w:ascii="Times New Roman" w:eastAsia="Times New Roman" w:hAnsi="Times New Roman" w:cs="Times New Roman"/>
          <w:lang w:val="en-GB"/>
        </w:rPr>
        <w:t>SN: {</w:t>
      </w:r>
      <w:proofErr w:type="spellStart"/>
      <w:r w:rsidRPr="005E1C5F">
        <w:rPr>
          <w:rFonts w:ascii="Times New Roman" w:eastAsia="Times New Roman" w:hAnsi="Times New Roman" w:cs="Times New Roman"/>
          <w:lang w:val="en-GB"/>
        </w:rPr>
        <w:t>numeris</w:t>
      </w:r>
      <w:proofErr w:type="spellEnd"/>
      <w:r w:rsidRPr="005E1C5F">
        <w:rPr>
          <w:rFonts w:ascii="Times New Roman" w:eastAsia="Times New Roman" w:hAnsi="Times New Roman" w:cs="Times New Roman"/>
          <w:lang w:val="en-GB"/>
        </w:rPr>
        <w:t>}</w:t>
      </w: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5E1C5F">
        <w:rPr>
          <w:rFonts w:ascii="Times New Roman" w:eastAsia="Times New Roman" w:hAnsi="Times New Roman" w:cs="Times New Roman"/>
          <w:highlight w:val="lightGray"/>
          <w:lang w:val="en-GB"/>
        </w:rPr>
        <w:t>NN: {</w:t>
      </w:r>
      <w:proofErr w:type="spellStart"/>
      <w:r w:rsidRPr="005E1C5F">
        <w:rPr>
          <w:rFonts w:ascii="Times New Roman" w:eastAsia="Times New Roman" w:hAnsi="Times New Roman" w:cs="Times New Roman"/>
          <w:highlight w:val="lightGray"/>
          <w:lang w:val="en-GB"/>
        </w:rPr>
        <w:t>numeris</w:t>
      </w:r>
      <w:proofErr w:type="spellEnd"/>
      <w:r w:rsidRPr="005E1C5F">
        <w:rPr>
          <w:rFonts w:ascii="Times New Roman" w:eastAsia="Times New Roman" w:hAnsi="Times New Roman" w:cs="Times New Roman"/>
          <w:highlight w:val="lightGray"/>
          <w:lang w:val="en-GB"/>
        </w:rPr>
        <w:t xml:space="preserve">} </w:t>
      </w: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val="en-GB"/>
        </w:rPr>
      </w:pP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5E1C5F" w:rsidRPr="005E1C5F" w:rsidRDefault="005E1C5F" w:rsidP="00AD2C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E1C5F">
        <w:rPr>
          <w:rFonts w:ascii="Times New Roman" w:eastAsia="Times New Roman" w:hAnsi="Times New Roman" w:cs="Times New Roman"/>
          <w:b/>
          <w:lang w:val="en-GB"/>
        </w:rPr>
        <w:t>Gamintojas</w:t>
      </w:r>
      <w:proofErr w:type="spellEnd"/>
      <w:r w:rsidR="002973AD">
        <w:rPr>
          <w:rFonts w:ascii="Times New Roman" w:eastAsia="Times New Roman" w:hAnsi="Times New Roman" w:cs="Times New Roman"/>
          <w:b/>
          <w:lang w:val="en-GB"/>
        </w:rPr>
        <w:t xml:space="preserve"> </w:t>
      </w:r>
      <w:bookmarkStart w:id="2" w:name="_Hlk508286221"/>
      <w:r w:rsidR="00AD2C1E" w:rsidRPr="001254D5">
        <w:rPr>
          <w:rFonts w:ascii="Times New Roman" w:hAnsi="Times New Roman" w:cs="Times New Roman"/>
          <w:color w:val="231F20"/>
        </w:rPr>
        <w:t xml:space="preserve">TEVA UK </w:t>
      </w:r>
      <w:proofErr w:type="spellStart"/>
      <w:r w:rsidR="00AD2C1E" w:rsidRPr="001254D5">
        <w:rPr>
          <w:rFonts w:ascii="Times New Roman" w:hAnsi="Times New Roman" w:cs="Times New Roman"/>
          <w:color w:val="231F20"/>
        </w:rPr>
        <w:t>Limited</w:t>
      </w:r>
      <w:proofErr w:type="spellEnd"/>
      <w:r w:rsidR="00AD2C1E" w:rsidRPr="001254D5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="00AD2C1E" w:rsidRPr="00C93052">
        <w:rPr>
          <w:rFonts w:ascii="Times New Roman" w:hAnsi="Times New Roman" w:cs="Times New Roman"/>
          <w:color w:val="231F20"/>
          <w:highlight w:val="lightGray"/>
        </w:rPr>
        <w:t>Eastbourne</w:t>
      </w:r>
      <w:proofErr w:type="spellEnd"/>
      <w:r w:rsidR="00AD2C1E" w:rsidRPr="00C93052">
        <w:rPr>
          <w:rFonts w:ascii="Times New Roman" w:hAnsi="Times New Roman" w:cs="Times New Roman"/>
          <w:color w:val="231F20"/>
          <w:highlight w:val="lightGray"/>
        </w:rPr>
        <w:t>, BN22 9AG</w:t>
      </w:r>
      <w:r w:rsidR="00AD2C1E">
        <w:rPr>
          <w:rFonts w:ascii="Times New Roman" w:hAnsi="Times New Roman" w:cs="Times New Roman"/>
          <w:color w:val="231F20"/>
        </w:rPr>
        <w:t xml:space="preserve">, </w:t>
      </w:r>
      <w:r w:rsidR="00AD2C1E" w:rsidRPr="001254D5">
        <w:rPr>
          <w:rFonts w:ascii="Times New Roman" w:eastAsia="Times New Roman" w:hAnsi="Times New Roman" w:cs="Times New Roman"/>
        </w:rPr>
        <w:t>Jungtinė Karalystė</w:t>
      </w:r>
      <w:r w:rsidR="00AD2C1E" w:rsidDel="00AA5F09">
        <w:rPr>
          <w:rFonts w:ascii="Times" w:hAnsi="Times" w:cs="Times"/>
          <w:sz w:val="24"/>
          <w:szCs w:val="24"/>
        </w:rPr>
        <w:t xml:space="preserve"> </w:t>
      </w:r>
      <w:bookmarkEnd w:id="2"/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5E1C5F" w:rsidRPr="005E1C5F" w:rsidRDefault="005E1C5F" w:rsidP="005E1C5F">
      <w:pPr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  <w:proofErr w:type="spellStart"/>
      <w:r w:rsidRPr="005E1C5F">
        <w:rPr>
          <w:rFonts w:ascii="Times New Roman" w:eastAsia="Calibri" w:hAnsi="Times New Roman" w:cs="Times New Roman"/>
          <w:b/>
          <w:lang w:val="en-GB"/>
        </w:rPr>
        <w:t>Perpak</w:t>
      </w:r>
      <w:r w:rsidR="00AA5F09">
        <w:rPr>
          <w:rFonts w:ascii="Times New Roman" w:eastAsia="Calibri" w:hAnsi="Times New Roman" w:cs="Times New Roman"/>
          <w:b/>
          <w:lang w:val="en-GB"/>
        </w:rPr>
        <w:t>avo</w:t>
      </w:r>
      <w:proofErr w:type="spellEnd"/>
      <w:r w:rsidRPr="005E1C5F">
        <w:rPr>
          <w:rFonts w:ascii="Times New Roman" w:eastAsia="Calibri" w:hAnsi="Times New Roman" w:cs="Times New Roman"/>
          <w:lang w:val="en-GB"/>
        </w:rPr>
        <w:t xml:space="preserve"> UAB </w:t>
      </w:r>
      <w:r w:rsidR="00AD2C1E" w:rsidRPr="00B06E0F">
        <w:rPr>
          <w:rFonts w:ascii="Times New Roman" w:eastAsia="Times New Roman" w:hAnsi="Times New Roman" w:cs="Times New Roman"/>
          <w:szCs w:val="20"/>
        </w:rPr>
        <w:t>„</w:t>
      </w:r>
      <w:proofErr w:type="spellStart"/>
      <w:proofErr w:type="gramStart"/>
      <w:r w:rsidRPr="005E1C5F">
        <w:rPr>
          <w:rFonts w:ascii="Times New Roman" w:eastAsia="Calibri" w:hAnsi="Times New Roman" w:cs="Times New Roman"/>
          <w:lang w:val="en-GB"/>
        </w:rPr>
        <w:t>Entafarma</w:t>
      </w:r>
      <w:proofErr w:type="spellEnd"/>
      <w:r w:rsidR="00AD2C1E" w:rsidRPr="00B06E0F">
        <w:rPr>
          <w:rFonts w:ascii="Times New Roman" w:eastAsia="Times New Roman" w:hAnsi="Times New Roman" w:cs="Times New Roman"/>
          <w:szCs w:val="20"/>
        </w:rPr>
        <w:t>“</w:t>
      </w:r>
      <w:proofErr w:type="gramEnd"/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en-GB"/>
        </w:rPr>
      </w:pPr>
    </w:p>
    <w:p w:rsidR="005E1C5F" w:rsidRP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en-GB"/>
        </w:rPr>
      </w:pPr>
      <w:r w:rsidRPr="005E1C5F">
        <w:rPr>
          <w:rFonts w:ascii="Times New Roman" w:eastAsia="Times New Roman" w:hAnsi="Times New Roman" w:cs="Times New Roman"/>
          <w:b/>
          <w:bCs/>
          <w:noProof/>
          <w:lang w:val="en-GB"/>
        </w:rPr>
        <w:t>Perpak. serija</w:t>
      </w:r>
    </w:p>
    <w:p w:rsidR="005E1C5F" w:rsidRDefault="005E1C5F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Pr="005E1C5F" w:rsidRDefault="007814EC" w:rsidP="005E1C5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7814EC" w:rsidRPr="007814EC" w:rsidRDefault="007814EC" w:rsidP="007814EC">
      <w:pPr>
        <w:rPr>
          <w:rFonts w:ascii="Times New Roman" w:eastAsia="Times New Roman" w:hAnsi="Times New Roman" w:cs="Times New Roman"/>
          <w:lang w:val="en-GB"/>
        </w:rPr>
      </w:pPr>
    </w:p>
    <w:p w:rsidR="000841FB" w:rsidRPr="007814EC" w:rsidRDefault="007814EC" w:rsidP="007814EC">
      <w:pPr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7814EC">
        <w:rPr>
          <w:rFonts w:ascii="Times New Roman" w:eastAsia="Times New Roman" w:hAnsi="Times New Roman" w:cs="Times New Roman"/>
          <w:b/>
          <w:lang w:val="en-GB"/>
        </w:rPr>
        <w:t>B. PAKUOTĖS LAPELIS</w:t>
      </w:r>
      <w:r w:rsidR="000841FB" w:rsidRPr="007814EC">
        <w:rPr>
          <w:rFonts w:ascii="Times New Roman" w:eastAsia="Times New Roman" w:hAnsi="Times New Roman" w:cs="Times New Roman"/>
          <w:b/>
          <w:lang w:val="en-GB"/>
        </w:rPr>
        <w:br w:type="page"/>
      </w:r>
    </w:p>
    <w:p w:rsidR="000841FB" w:rsidRPr="004D53BF" w:rsidRDefault="000841FB" w:rsidP="0008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lastRenderedPageBreak/>
        <w:t>Pakuotės lapelis: informacija pacientui</w:t>
      </w:r>
    </w:p>
    <w:p w:rsidR="000841FB" w:rsidRPr="004D53BF" w:rsidRDefault="000841FB" w:rsidP="0008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841FB" w:rsidRPr="004D53BF" w:rsidRDefault="00AA5F09" w:rsidP="00084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  <w:b/>
          <w:bCs/>
        </w:rPr>
        <w:t xml:space="preserve"> 50 mg plėvele dengtos tabletės</w:t>
      </w:r>
    </w:p>
    <w:p w:rsidR="000841FB" w:rsidRPr="004D53BF" w:rsidRDefault="000841FB" w:rsidP="000841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4D53BF">
        <w:rPr>
          <w:rFonts w:ascii="Times New Roman" w:eastAsia="Times New Roman" w:hAnsi="Times New Roman" w:cs="Times New Roman"/>
        </w:rPr>
        <w:t>Azatioprinas</w:t>
      </w:r>
      <w:proofErr w:type="spellEnd"/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:rsidR="000841FB" w:rsidRPr="004D53BF" w:rsidRDefault="000841FB" w:rsidP="00084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0841FB" w:rsidRPr="004D53BF" w:rsidRDefault="000841FB" w:rsidP="000841FB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Apie ką rašoma šiame lapelyje?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1.</w:t>
      </w:r>
      <w:r w:rsidRPr="004D53BF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ir kam jis vartojamas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2.</w:t>
      </w:r>
      <w:r w:rsidRPr="004D53BF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3.</w:t>
      </w:r>
      <w:r w:rsidRPr="004D53BF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4.</w:t>
      </w:r>
      <w:r w:rsidRPr="004D53BF">
        <w:rPr>
          <w:rFonts w:ascii="Times New Roman" w:eastAsia="Times New Roman" w:hAnsi="Times New Roman" w:cs="Times New Roman"/>
        </w:rPr>
        <w:tab/>
        <w:t>Galimas šalutinis poveikis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5.</w:t>
      </w:r>
      <w:r w:rsidRPr="004D53BF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6.</w:t>
      </w:r>
      <w:r w:rsidRPr="004D53BF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4D53BF">
        <w:rPr>
          <w:rFonts w:ascii="Times New Roman" w:eastAsia="Times New Roman" w:hAnsi="Times New Roman" w:cs="Times New Roman"/>
          <w:b/>
        </w:rPr>
        <w:t>1.</w:t>
      </w:r>
      <w:r w:rsidRPr="004D53BF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="00AA5F09">
        <w:rPr>
          <w:rFonts w:ascii="Times New Roman" w:eastAsia="Times New Roman" w:hAnsi="Times New Roman" w:cs="Times New Roman"/>
          <w:b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  <w:b/>
        </w:rPr>
        <w:t xml:space="preserve"> ir kam jis vartojamas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Veiklioji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tablečių medžiaga yra </w:t>
      </w:r>
      <w:proofErr w:type="spellStart"/>
      <w:r w:rsidRPr="004D53BF">
        <w:rPr>
          <w:rFonts w:ascii="Times New Roman" w:eastAsia="Times New Roman" w:hAnsi="Times New Roman" w:cs="Times New Roman"/>
        </w:rPr>
        <w:t>azatioprinas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. Jis priklauso vaistų, vadinamų </w:t>
      </w:r>
      <w:proofErr w:type="spellStart"/>
      <w:r w:rsidRPr="004D53BF">
        <w:rPr>
          <w:rFonts w:ascii="Times New Roman" w:eastAsia="Times New Roman" w:hAnsi="Times New Roman" w:cs="Times New Roman"/>
        </w:rPr>
        <w:t>imunosupresantais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grupei. </w:t>
      </w:r>
      <w:proofErr w:type="spellStart"/>
      <w:r w:rsidRPr="004D53BF">
        <w:rPr>
          <w:rFonts w:ascii="Times New Roman" w:eastAsia="Times New Roman" w:hAnsi="Times New Roman" w:cs="Times New Roman"/>
        </w:rPr>
        <w:t>Imunosupresantai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mažina organizmo imuninės sistemos aktyvumą.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Gydytojas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Jums išrašė dėl kurios nors iš šių priežasčių:</w:t>
      </w:r>
    </w:p>
    <w:p w:rsidR="000841FB" w:rsidRPr="004D53BF" w:rsidRDefault="000841FB" w:rsidP="000841FB">
      <w:pPr>
        <w:numPr>
          <w:ilvl w:val="0"/>
          <w:numId w:val="11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kad vaistas padėtų organizmui priimti persodintą organą;</w:t>
      </w:r>
    </w:p>
    <w:p w:rsidR="000841FB" w:rsidRPr="004D53BF" w:rsidRDefault="000841FB" w:rsidP="000841F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kad vaistas padėtų kontroliuoti ligą, kurios metu Jūsų imuninė sistema veikia prieš Jūsų organizmą.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AA5F09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</w:rPr>
        <w:t xml:space="preserve"> tabletėmis arba jų deriniu su kitais vaistais taip pat galima gydyti sunkų reumatoidinį artritą, sunkų žarnų uždegimą (Krono (</w:t>
      </w:r>
      <w:proofErr w:type="spellStart"/>
      <w:r w:rsidR="000841FB" w:rsidRPr="004D53BF">
        <w:rPr>
          <w:rFonts w:ascii="Times New Roman" w:eastAsia="Times New Roman" w:hAnsi="Times New Roman" w:cs="Times New Roman"/>
          <w:i/>
        </w:rPr>
        <w:t>Crohn</w:t>
      </w:r>
      <w:proofErr w:type="spellEnd"/>
      <w:r w:rsidR="000841FB" w:rsidRPr="004D53BF">
        <w:rPr>
          <w:rFonts w:ascii="Times New Roman" w:eastAsia="Times New Roman" w:hAnsi="Times New Roman" w:cs="Times New Roman"/>
        </w:rPr>
        <w:t xml:space="preserve">) ligą arba opinį kolitą) ar kai kurias ligas, kurių metu imuninė sistema veikia prieš organizmą (autoimunines ligas), įskaitant sunkias uždegimines odos, kepenų ar arterijų ligas ir kai kuriuos kraujo sutrikimus.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4D53BF">
        <w:rPr>
          <w:rFonts w:ascii="Times New Roman" w:eastAsia="Times New Roman" w:hAnsi="Times New Roman" w:cs="Times New Roman"/>
          <w:b/>
        </w:rPr>
        <w:t>2.</w:t>
      </w:r>
      <w:r w:rsidRPr="004D53BF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="00AA5F09">
        <w:rPr>
          <w:rFonts w:ascii="Times New Roman" w:eastAsia="Times New Roman" w:hAnsi="Times New Roman" w:cs="Times New Roman"/>
          <w:b/>
        </w:rPr>
        <w:t>Atsimutin</w:t>
      </w:r>
      <w:proofErr w:type="spellEnd"/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AA5F09" w:rsidP="000841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  <w:b/>
          <w:bCs/>
        </w:rPr>
        <w:t xml:space="preserve"> vartoti negalima: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41FB" w:rsidRPr="004D53BF" w:rsidRDefault="000841FB" w:rsidP="00084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Pr="004D53BF">
        <w:rPr>
          <w:rFonts w:ascii="Times New Roman" w:eastAsia="Times New Roman" w:hAnsi="Times New Roman" w:cs="Times New Roman"/>
        </w:rPr>
        <w:t>azatioprinui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merkaptopurinui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arba bet kuriai pagalbinei šio vaisto medžiagai (jos išvardytos 6 skyriuje). Alerginė reakcija gali pasireikšti išbėrimu, niežuliu, kvėpavimo arba rijimo pasunkėjimu, veido, lūpų, gerklės ar liežuvio sutinimu;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jeigu sergate sunkia infekcine liga;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jeigu yra sunkus kepenų ar kaulų čiulpų veiklos sutrikimas;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jeigu sergate pankreatitu (kasos uždegimu);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jeigu neseniai skiepijotės gyvąja vakcina, pvz., raupų arba geltonosios karštligės;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jeigu esate nėščia (tokiu atveju šio vaisto galima vartoti tik gydytojo leidimu);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jeigu žindote kūdikį.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lastRenderedPageBreak/>
        <w:t xml:space="preserve">Įspėjimai ir atsargumo priemonės </w:t>
      </w:r>
    </w:p>
    <w:p w:rsidR="000841FB" w:rsidRPr="004D53BF" w:rsidRDefault="000841FB" w:rsidP="000841FB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>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AA5F09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</w:rPr>
        <w:t xml:space="preserve"> Jums bus paskirtas tik tuo atveju, jeigu bus galima Jus stebėti dėl šalutinio poveikio.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Jeigu atsiras gerklės opų, karščiavimas, infekcinė liga, kraujosruvų (mėlynių) ar kraujavimas, turite nedelsdami pasakyti gydytojui.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Pasitarkite su gydytoju, prieš pradėdami vartoti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>:</w:t>
      </w:r>
    </w:p>
    <w:p w:rsidR="000841FB" w:rsidRPr="004D53BF" w:rsidRDefault="000841FB" w:rsidP="000841FB">
      <w:pPr>
        <w:numPr>
          <w:ilvl w:val="0"/>
          <w:numId w:val="1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jeigu Jūs ketinate skiepytis, vartodami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>;</w:t>
      </w:r>
    </w:p>
    <w:p w:rsidR="000841FB" w:rsidRPr="004D53BF" w:rsidRDefault="000841FB" w:rsidP="000841F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jeigu Jums yra sutrikimas, kai organizmas gamina per mažai natūralios medžiagos </w:t>
      </w:r>
      <w:proofErr w:type="spellStart"/>
      <w:r w:rsidRPr="004D53BF">
        <w:rPr>
          <w:rFonts w:ascii="Times New Roman" w:eastAsia="Times New Roman" w:hAnsi="Times New Roman" w:cs="Times New Roman"/>
        </w:rPr>
        <w:t>tiopurino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D53BF">
        <w:rPr>
          <w:rFonts w:ascii="Times New Roman" w:eastAsia="Times New Roman" w:hAnsi="Times New Roman" w:cs="Times New Roman"/>
        </w:rPr>
        <w:t>metiltransferazės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(TPMT);</w:t>
      </w:r>
    </w:p>
    <w:p w:rsidR="000841FB" w:rsidRPr="004D53BF" w:rsidRDefault="000841FB" w:rsidP="000841FB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jeigu Jums yra nustatytas </w:t>
      </w:r>
      <w:proofErr w:type="spellStart"/>
      <w:r w:rsidRPr="004D53BF">
        <w:rPr>
          <w:rFonts w:ascii="Times New Roman" w:eastAsia="Times New Roman" w:hAnsi="Times New Roman" w:cs="Times New Roman"/>
        </w:rPr>
        <w:t>Lešo-Nyhano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D53BF">
        <w:rPr>
          <w:rFonts w:ascii="Times New Roman" w:eastAsia="Times New Roman" w:hAnsi="Times New Roman" w:cs="Times New Roman"/>
          <w:i/>
        </w:rPr>
        <w:t>Lesch-Nyhan</w:t>
      </w:r>
      <w:proofErr w:type="spellEnd"/>
      <w:r w:rsidRPr="004D53BF">
        <w:rPr>
          <w:rFonts w:ascii="Times New Roman" w:eastAsia="Times New Roman" w:hAnsi="Times New Roman" w:cs="Times New Roman"/>
        </w:rPr>
        <w:t>) sindromas.</w:t>
      </w: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4D53BF">
        <w:rPr>
          <w:rFonts w:ascii="Times New Roman" w:eastAsia="Calibri" w:hAnsi="Times New Roman" w:cs="Times New Roman"/>
          <w:color w:val="000000"/>
        </w:rPr>
        <w:t xml:space="preserve">Jeigu jums taikoma imunosupresinė terapija, vartojant </w:t>
      </w:r>
      <w:proofErr w:type="spellStart"/>
      <w:r w:rsidR="00AA5F09">
        <w:rPr>
          <w:rFonts w:ascii="Times New Roman" w:eastAsia="Calibri" w:hAnsi="Times New Roman" w:cs="Times New Roman"/>
          <w:color w:val="000000"/>
        </w:rPr>
        <w:t>Atsimutin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, gali padidėti rizika susirgti: </w:t>
      </w:r>
    </w:p>
    <w:p w:rsidR="000841FB" w:rsidRPr="004D53BF" w:rsidRDefault="000841FB" w:rsidP="000841F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4D53BF">
        <w:rPr>
          <w:rFonts w:ascii="Times New Roman" w:eastAsia="Calibri" w:hAnsi="Times New Roman" w:cs="Times New Roman"/>
          <w:color w:val="000000"/>
        </w:rPr>
        <w:t xml:space="preserve">navikinėmis ligomis, įskaitant odos vėžį. Todėl vartojant </w:t>
      </w:r>
      <w:proofErr w:type="spellStart"/>
      <w:r w:rsidR="00AA5F09">
        <w:rPr>
          <w:rFonts w:ascii="Times New Roman" w:eastAsia="Calibri" w:hAnsi="Times New Roman" w:cs="Times New Roman"/>
          <w:color w:val="000000"/>
        </w:rPr>
        <w:t>Atsimutin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, reikėtų vengti ilgai būti saulėkaitoje, taip pat reikėtų dėvėti nuo saulės spindulių apsaugančius drabužius ir vartoti apsaugos nuo saulės priemones, kurių apsaugos nuo saulės faktorius (SPF) yra didelis; </w:t>
      </w:r>
    </w:p>
    <w:p w:rsidR="000841FB" w:rsidRPr="004D53BF" w:rsidRDefault="000841FB" w:rsidP="000841F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proofErr w:type="spellStart"/>
      <w:r w:rsidRPr="004D53BF">
        <w:rPr>
          <w:rFonts w:ascii="Times New Roman" w:eastAsia="Calibri" w:hAnsi="Times New Roman" w:cs="Times New Roman"/>
          <w:color w:val="000000"/>
        </w:rPr>
        <w:t>limfoproliferaciniais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 sutrikimais: </w:t>
      </w:r>
    </w:p>
    <w:p w:rsidR="000841FB" w:rsidRPr="004D53BF" w:rsidRDefault="000841FB" w:rsidP="000841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</w:rPr>
      </w:pPr>
      <w:r w:rsidRPr="004D53BF">
        <w:rPr>
          <w:rFonts w:ascii="Times New Roman" w:eastAsia="Calibri" w:hAnsi="Times New Roman" w:cs="Times New Roman"/>
          <w:color w:val="000000"/>
        </w:rPr>
        <w:t xml:space="preserve">taikant gydymą </w:t>
      </w:r>
      <w:proofErr w:type="spellStart"/>
      <w:r w:rsidR="00AA5F09">
        <w:rPr>
          <w:rFonts w:ascii="Times New Roman" w:eastAsia="Calibri" w:hAnsi="Times New Roman" w:cs="Times New Roman"/>
          <w:color w:val="000000"/>
        </w:rPr>
        <w:t>Atsimutin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, didėja rizika susirgti tam tikros formos vėžiu, vadinamu </w:t>
      </w:r>
      <w:proofErr w:type="spellStart"/>
      <w:r w:rsidRPr="004D53BF">
        <w:rPr>
          <w:rFonts w:ascii="Times New Roman" w:eastAsia="Calibri" w:hAnsi="Times New Roman" w:cs="Times New Roman"/>
          <w:color w:val="000000"/>
        </w:rPr>
        <w:t>limfoproliferaciniu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 sutrikimu. Jeigu taikomas gydymas keliais </w:t>
      </w:r>
      <w:proofErr w:type="spellStart"/>
      <w:r w:rsidRPr="004D53BF">
        <w:rPr>
          <w:rFonts w:ascii="Times New Roman" w:eastAsia="Calibri" w:hAnsi="Times New Roman" w:cs="Times New Roman"/>
          <w:color w:val="000000"/>
        </w:rPr>
        <w:t>imunosupresantais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 (įskaitant </w:t>
      </w:r>
      <w:proofErr w:type="spellStart"/>
      <w:r w:rsidRPr="004D53BF">
        <w:rPr>
          <w:rFonts w:ascii="Times New Roman" w:eastAsia="Calibri" w:hAnsi="Times New Roman" w:cs="Times New Roman"/>
          <w:color w:val="000000"/>
        </w:rPr>
        <w:t>tiopurinus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), tai gali sukelti mirtį; </w:t>
      </w:r>
    </w:p>
    <w:p w:rsidR="000841FB" w:rsidRPr="004D53BF" w:rsidRDefault="000841FB" w:rsidP="000841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</w:rPr>
      </w:pPr>
      <w:r w:rsidRPr="004D53BF">
        <w:rPr>
          <w:rFonts w:ascii="Times New Roman" w:eastAsia="Calibri" w:hAnsi="Times New Roman" w:cs="Times New Roman"/>
          <w:color w:val="000000"/>
        </w:rPr>
        <w:t xml:space="preserve">vienu metu vartojant kelis </w:t>
      </w:r>
      <w:proofErr w:type="spellStart"/>
      <w:r w:rsidRPr="004D53BF">
        <w:rPr>
          <w:rFonts w:ascii="Times New Roman" w:eastAsia="Calibri" w:hAnsi="Times New Roman" w:cs="Times New Roman"/>
          <w:color w:val="000000"/>
        </w:rPr>
        <w:t>imunosupresantus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>, didėja virusinės infekcijos sukeliamų limfinės sistemos sutrikimų (</w:t>
      </w:r>
      <w:proofErr w:type="spellStart"/>
      <w:r w:rsidRPr="004D53BF">
        <w:rPr>
          <w:rFonts w:ascii="Times New Roman" w:eastAsia="Calibri" w:hAnsi="Times New Roman" w:cs="Times New Roman"/>
          <w:color w:val="000000"/>
        </w:rPr>
        <w:t>Epštein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-Baro viruso (EBV) sukeliamų </w:t>
      </w:r>
      <w:proofErr w:type="spellStart"/>
      <w:r w:rsidRPr="004D53BF">
        <w:rPr>
          <w:rFonts w:ascii="Times New Roman" w:eastAsia="Calibri" w:hAnsi="Times New Roman" w:cs="Times New Roman"/>
          <w:color w:val="000000"/>
        </w:rPr>
        <w:t>limfoproliferacinių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 sutrikimų) rizika. </w:t>
      </w: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4D53BF">
        <w:rPr>
          <w:rFonts w:ascii="Times New Roman" w:eastAsia="Calibri" w:hAnsi="Times New Roman" w:cs="Times New Roman"/>
          <w:color w:val="000000"/>
        </w:rPr>
        <w:t xml:space="preserve">Vartojant </w:t>
      </w:r>
      <w:proofErr w:type="spellStart"/>
      <w:r w:rsidR="00AA5F09">
        <w:rPr>
          <w:rFonts w:ascii="Times New Roman" w:eastAsia="Calibri" w:hAnsi="Times New Roman" w:cs="Times New Roman"/>
          <w:color w:val="000000"/>
        </w:rPr>
        <w:t>Atsimutin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, gali padidėti rizika: </w:t>
      </w:r>
    </w:p>
    <w:p w:rsidR="000841FB" w:rsidRPr="004D53BF" w:rsidRDefault="000841FB" w:rsidP="000841F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4D53BF">
        <w:rPr>
          <w:rFonts w:ascii="Times New Roman" w:eastAsia="Calibri" w:hAnsi="Times New Roman" w:cs="Times New Roman"/>
          <w:color w:val="000000"/>
        </w:rPr>
        <w:t xml:space="preserve">susirgti rimta liga, vadinama </w:t>
      </w:r>
      <w:proofErr w:type="spellStart"/>
      <w:r w:rsidRPr="004D53BF">
        <w:rPr>
          <w:rFonts w:ascii="Times New Roman" w:eastAsia="Calibri" w:hAnsi="Times New Roman" w:cs="Times New Roman"/>
          <w:color w:val="000000"/>
        </w:rPr>
        <w:t>makrofagų</w:t>
      </w:r>
      <w:proofErr w:type="spellEnd"/>
      <w:r w:rsidRPr="004D53BF">
        <w:rPr>
          <w:rFonts w:ascii="Times New Roman" w:eastAsia="Calibri" w:hAnsi="Times New Roman" w:cs="Times New Roman"/>
          <w:color w:val="000000"/>
        </w:rPr>
        <w:t xml:space="preserve"> aktyvacijos sindromu (pernelyg stipriai aktyvinami su uždegimu siejami baltieji kraujo kūneliai), kuris paprastai pasireiškia pacientams, sergantiems tam tikrų rūšių artritu.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Tabletę galima dalyti į lygias dozes. Jei tabletė yra padalinama pusiau, reikia vengti odos kontakto su tabletės dulkėmis arba nulaužtu plotu. Tablečių netraiškykite.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53BF">
        <w:rPr>
          <w:rFonts w:ascii="Times New Roman" w:eastAsia="Times New Roman" w:hAnsi="Times New Roman" w:cs="Times New Roman"/>
          <w:b/>
          <w:bCs/>
        </w:rPr>
        <w:t>Kraujo tyrimai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Pirmas 8 gydymo savaites Jums reikės kas savaitę daryti kraujo tyrimus. Dažniau juos reikės daryti, jeigu: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esate senyvas;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vartojate didelę vaisto dozę;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yra sutrikusi Jūsų inkstų arba kepenų veikla;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yra sutrikusi Jūsų kaulų čiulpų veikla;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per daug aktyvi Jūsų blužnies veikla.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53BF">
        <w:rPr>
          <w:rFonts w:ascii="Times New Roman" w:eastAsia="Times New Roman" w:hAnsi="Times New Roman" w:cs="Times New Roman"/>
        </w:rPr>
        <w:t xml:space="preserve">Būtina vartoti veiksmingą kontracepcijos formą (tokią kaip prezervatyvai), kadangi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gali suketi apsigimimus, nesvarbu, ar </w:t>
      </w:r>
      <w:proofErr w:type="spellStart"/>
      <w:r w:rsidRPr="004D53BF">
        <w:rPr>
          <w:rFonts w:ascii="Times New Roman" w:eastAsia="Times New Roman" w:hAnsi="Times New Roman" w:cs="Times New Roman"/>
        </w:rPr>
        <w:t>azatioprino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vartoja vyras, ar moteris.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Perspėjimas</w:t>
      </w:r>
    </w:p>
    <w:p w:rsidR="000841FB" w:rsidRPr="004D53BF" w:rsidRDefault="00AA5F09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</w:rPr>
        <w:t xml:space="preserve"> vartojimo nutraukimas visada turi būti atliekamas atidžiai stebint. Pasitarkite su gydytoju, prieš nutraukdami vaisto vartojimą.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="00AA5F09">
        <w:rPr>
          <w:rFonts w:ascii="Times New Roman" w:eastAsia="Times New Roman" w:hAnsi="Times New Roman" w:cs="Times New Roman"/>
          <w:b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  <w:b/>
        </w:rPr>
        <w:t xml:space="preserve">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Jeigu vartojate arba neseniai vartojote kitų vaistų arba dėl to nesate tikri, apie tai pasakykite gydytojui arba vaistininkui. Jam svarbu pasakyti apie toliau išvardytų vaistų vartojimą. 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</w:r>
      <w:proofErr w:type="spellStart"/>
      <w:r w:rsidRPr="004D53BF">
        <w:rPr>
          <w:rFonts w:ascii="Times New Roman" w:eastAsia="Times New Roman" w:hAnsi="Times New Roman" w:cs="Times New Roman"/>
        </w:rPr>
        <w:t>Alopurinolis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oksipurinolis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tiopurinolis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(vaistai nuo podagros).</w:t>
      </w:r>
    </w:p>
    <w:p w:rsidR="000841FB" w:rsidRPr="004D53BF" w:rsidRDefault="000841FB" w:rsidP="000841FB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 xml:space="preserve">Skeleto raumenis atpalaiduojantys vaistai, tokie kaip </w:t>
      </w:r>
      <w:proofErr w:type="spellStart"/>
      <w:r w:rsidRPr="004D53BF">
        <w:rPr>
          <w:rFonts w:ascii="Times New Roman" w:eastAsia="Times New Roman" w:hAnsi="Times New Roman" w:cs="Times New Roman"/>
        </w:rPr>
        <w:t>kurarė</w:t>
      </w:r>
      <w:proofErr w:type="spellEnd"/>
      <w:r w:rsidRPr="004D53BF">
        <w:rPr>
          <w:rFonts w:ascii="Times New Roman" w:eastAsia="Times New Roman" w:hAnsi="Times New Roman" w:cs="Times New Roman"/>
        </w:rPr>
        <w:t>, d-</w:t>
      </w:r>
      <w:proofErr w:type="spellStart"/>
      <w:r w:rsidRPr="004D53BF">
        <w:rPr>
          <w:rFonts w:ascii="Times New Roman" w:eastAsia="Times New Roman" w:hAnsi="Times New Roman" w:cs="Times New Roman"/>
        </w:rPr>
        <w:t>tubokurarinas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pankuronis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4D53BF">
        <w:rPr>
          <w:rFonts w:ascii="Times New Roman" w:eastAsia="Times New Roman" w:hAnsi="Times New Roman" w:cs="Times New Roman"/>
        </w:rPr>
        <w:t>sukcinilcholinas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. 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lastRenderedPageBreak/>
        <w:t>-</w:t>
      </w:r>
      <w:r w:rsidRPr="004D53BF">
        <w:rPr>
          <w:rFonts w:ascii="Times New Roman" w:eastAsia="Times New Roman" w:hAnsi="Times New Roman" w:cs="Times New Roman"/>
        </w:rPr>
        <w:tab/>
        <w:t xml:space="preserve">Kitokie </w:t>
      </w:r>
      <w:proofErr w:type="spellStart"/>
      <w:r w:rsidRPr="004D53BF">
        <w:rPr>
          <w:rFonts w:ascii="Times New Roman" w:eastAsia="Times New Roman" w:hAnsi="Times New Roman" w:cs="Times New Roman"/>
        </w:rPr>
        <w:t>imunosupresantai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pvz., </w:t>
      </w:r>
      <w:proofErr w:type="spellStart"/>
      <w:r w:rsidRPr="004D53BF">
        <w:rPr>
          <w:rFonts w:ascii="Times New Roman" w:eastAsia="Times New Roman" w:hAnsi="Times New Roman" w:cs="Times New Roman"/>
        </w:rPr>
        <w:t>ciklosporinas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takrolimuzas</w:t>
      </w:r>
      <w:proofErr w:type="spellEnd"/>
      <w:r w:rsidRPr="004D53BF">
        <w:rPr>
          <w:rFonts w:ascii="Times New Roman" w:eastAsia="Times New Roman" w:hAnsi="Times New Roman" w:cs="Times New Roman"/>
        </w:rPr>
        <w:t>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</w:r>
      <w:proofErr w:type="spellStart"/>
      <w:r w:rsidRPr="004D53BF">
        <w:rPr>
          <w:rFonts w:ascii="Times New Roman" w:eastAsia="Times New Roman" w:hAnsi="Times New Roman" w:cs="Times New Roman"/>
        </w:rPr>
        <w:t>Infliksimabas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(vaistas nuo Krono (</w:t>
      </w:r>
      <w:proofErr w:type="spellStart"/>
      <w:r w:rsidRPr="004D53BF">
        <w:rPr>
          <w:rFonts w:ascii="Times New Roman" w:eastAsia="Times New Roman" w:hAnsi="Times New Roman" w:cs="Times New Roman"/>
          <w:i/>
        </w:rPr>
        <w:t>Crohn</w:t>
      </w:r>
      <w:proofErr w:type="spellEnd"/>
      <w:r w:rsidRPr="004D53BF">
        <w:rPr>
          <w:rFonts w:ascii="Times New Roman" w:eastAsia="Times New Roman" w:hAnsi="Times New Roman" w:cs="Times New Roman"/>
        </w:rPr>
        <w:t>) ligos).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</w:r>
      <w:proofErr w:type="spellStart"/>
      <w:r w:rsidRPr="004D53BF">
        <w:rPr>
          <w:rFonts w:ascii="Times New Roman" w:eastAsia="Times New Roman" w:hAnsi="Times New Roman" w:cs="Times New Roman"/>
        </w:rPr>
        <w:t>Olsalazinas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mesalazinas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sulfasalazinas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(vaistai nuo opinio kolito).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 xml:space="preserve">Varfarinas ar </w:t>
      </w:r>
      <w:proofErr w:type="spellStart"/>
      <w:r w:rsidRPr="004D53BF">
        <w:rPr>
          <w:rFonts w:ascii="Times New Roman" w:eastAsia="Times New Roman" w:hAnsi="Times New Roman" w:cs="Times New Roman"/>
        </w:rPr>
        <w:t>fenprokumonas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(kraują skystinantys vaistai).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AKF inhibitoriai (vaistai nuo didelio kraujospūdžio ligos arba širdies nepakankamumo).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</w:r>
      <w:proofErr w:type="spellStart"/>
      <w:r w:rsidRPr="004D53BF">
        <w:rPr>
          <w:rFonts w:ascii="Times New Roman" w:eastAsia="Times New Roman" w:hAnsi="Times New Roman" w:cs="Times New Roman"/>
        </w:rPr>
        <w:t>Trimetoprimas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4D53BF">
        <w:rPr>
          <w:rFonts w:ascii="Times New Roman" w:eastAsia="Times New Roman" w:hAnsi="Times New Roman" w:cs="Times New Roman"/>
        </w:rPr>
        <w:t>sulfametoksazolas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(antimikrobiniai </w:t>
      </w:r>
      <w:r>
        <w:rPr>
          <w:rFonts w:ascii="Times New Roman" w:eastAsia="Times New Roman" w:hAnsi="Times New Roman" w:cs="Times New Roman"/>
        </w:rPr>
        <w:t>vaist</w:t>
      </w:r>
      <w:r w:rsidRPr="004D53BF">
        <w:rPr>
          <w:rFonts w:ascii="Times New Roman" w:eastAsia="Times New Roman" w:hAnsi="Times New Roman" w:cs="Times New Roman"/>
        </w:rPr>
        <w:t>ai).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</w:r>
      <w:proofErr w:type="spellStart"/>
      <w:r w:rsidRPr="004D53BF">
        <w:rPr>
          <w:rFonts w:ascii="Times New Roman" w:eastAsia="Times New Roman" w:hAnsi="Times New Roman" w:cs="Times New Roman"/>
        </w:rPr>
        <w:t>Cimetidinas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(vaistas nuo virškinimo trakto opų).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>Vaistai nuo vėžio bei kraujo ląstelių gamybą lėtinantys arba stabdantys vaistai.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</w:r>
      <w:proofErr w:type="spellStart"/>
      <w:r w:rsidRPr="004D53BF">
        <w:rPr>
          <w:rFonts w:ascii="Times New Roman" w:eastAsia="Times New Roman" w:hAnsi="Times New Roman" w:cs="Times New Roman"/>
        </w:rPr>
        <w:t>Furozemidas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(šlapimo išskyrimą didinantis vaistas širdies nepakankamumui gydyti).</w:t>
      </w:r>
    </w:p>
    <w:p w:rsidR="000841FB" w:rsidRPr="004D53BF" w:rsidRDefault="000841FB" w:rsidP="000841F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53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Bet kokių taip vadinamų „gyvųjų“ vakcinų.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Nėštumas, žindymo laikotarpis ir vaisingumas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 tai prieš vartodama šį vaistą, pasitarkite su gydytoju arba vaistininku. 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Jeigu esate nėščia,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gerti negalima, išskyrus atvejus, kai vaisto vartoti skiria gydytojas. Vaisingo amžiaus vyrams ir moterims būtina naudotis kontraceptinėmis priemonėmis, kitokiomis nei prietaisai į gimdą (pvz., spiralė, </w:t>
      </w:r>
      <w:proofErr w:type="spellStart"/>
      <w:r w:rsidRPr="004D53BF">
        <w:rPr>
          <w:rFonts w:ascii="Times New Roman" w:eastAsia="Times New Roman" w:hAnsi="Times New Roman" w:cs="Times New Roman"/>
        </w:rPr>
        <w:t>Copper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T). Jūs turite tęsti kontracepcijos priemonių naudojimą</w:t>
      </w:r>
      <w:r w:rsidRPr="004D53BF" w:rsidDel="003F510E">
        <w:rPr>
          <w:rFonts w:ascii="Times New Roman" w:eastAsia="Times New Roman" w:hAnsi="Times New Roman" w:cs="Times New Roman"/>
        </w:rPr>
        <w:t xml:space="preserve"> </w:t>
      </w:r>
      <w:r w:rsidRPr="004D53BF">
        <w:rPr>
          <w:rFonts w:ascii="Times New Roman" w:eastAsia="Times New Roman" w:hAnsi="Times New Roman" w:cs="Times New Roman"/>
        </w:rPr>
        <w:t>mažiausiai 3 mėn</w:t>
      </w:r>
      <w:r>
        <w:rPr>
          <w:rFonts w:ascii="Times New Roman" w:eastAsia="Times New Roman" w:hAnsi="Times New Roman" w:cs="Times New Roman"/>
        </w:rPr>
        <w:t>.</w:t>
      </w:r>
      <w:r w:rsidRPr="004D53BF">
        <w:rPr>
          <w:rFonts w:ascii="Times New Roman" w:eastAsia="Times New Roman" w:hAnsi="Times New Roman" w:cs="Times New Roman"/>
        </w:rPr>
        <w:t xml:space="preserve"> po gydymo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 w:rsidDel="003F510E">
        <w:rPr>
          <w:rFonts w:ascii="Times New Roman" w:eastAsia="Times New Roman" w:hAnsi="Times New Roman" w:cs="Times New Roman"/>
        </w:rPr>
        <w:t xml:space="preserve"> </w:t>
      </w:r>
      <w:r w:rsidRPr="004D53BF">
        <w:rPr>
          <w:rFonts w:ascii="Times New Roman" w:eastAsia="Times New Roman" w:hAnsi="Times New Roman" w:cs="Times New Roman"/>
        </w:rPr>
        <w:t>nutraukimo.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Žindyti kūdikio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vartojimo metu negalima, kadangi jo apykaitos produktai gali patekti į pieną ir pakenkti Jūsų vaikui.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Prieš vartojant bet kokį vaistą, būtina pasitarti su gydytoju arba vaistininku.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Vairavimas ir mechanizmų valdymas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Vairuoti ar valdyti mechanizmus vartojant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yra saugu, išskyrus atvejus, kai jaučiate svaigulį. Alkoholis svaigulį gali sustiprinti, todėl negalima vairuoti arba valdyti mechanizmų, jeigu vartojote alkoholio.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AA5F09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Atsimutin</w:t>
      </w:r>
      <w:proofErr w:type="spellEnd"/>
      <w:r w:rsidR="000841FB" w:rsidRPr="004D53BF" w:rsidDel="000F7EBD">
        <w:rPr>
          <w:rFonts w:ascii="Times New Roman" w:eastAsia="Times New Roman" w:hAnsi="Times New Roman" w:cs="Times New Roman"/>
          <w:b/>
        </w:rPr>
        <w:t xml:space="preserve"> </w:t>
      </w:r>
      <w:r w:rsidR="000841FB" w:rsidRPr="004D53BF">
        <w:rPr>
          <w:rFonts w:ascii="Times New Roman" w:eastAsia="Times New Roman" w:hAnsi="Times New Roman" w:cs="Times New Roman"/>
          <w:b/>
        </w:rPr>
        <w:t>sudėtyje yra laktozės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Jeigu gydytojas Jums yra sakęs, kad netoleruojate kokių nors angliavandenių, kreipkitės į jį prieš pradėdami vartoti šį vaistą.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4D53BF">
        <w:rPr>
          <w:rFonts w:ascii="Times New Roman" w:eastAsia="Times New Roman" w:hAnsi="Times New Roman" w:cs="Times New Roman"/>
          <w:b/>
        </w:rPr>
        <w:t>3.</w:t>
      </w:r>
      <w:r w:rsidRPr="004D53BF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="00AA5F09">
        <w:rPr>
          <w:rFonts w:ascii="Times New Roman" w:eastAsia="Times New Roman" w:hAnsi="Times New Roman" w:cs="Times New Roman"/>
          <w:b/>
        </w:rPr>
        <w:t>Atsimutin</w:t>
      </w:r>
      <w:proofErr w:type="spellEnd"/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Visada vartokite šį vaistą tiksliai kaip nurodė gydytojas. Jeigu abejojate, kreipkitės į gydytoją arba vaistininką.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Plėvele dengtos tabletės turi būti vartojamos valgio metu, užsigeriant stikline vandens.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4D53BF">
        <w:rPr>
          <w:rFonts w:ascii="Times New Roman" w:eastAsia="Times New Roman" w:hAnsi="Times New Roman" w:cs="Times New Roman"/>
          <w:b/>
          <w:bCs/>
          <w:iCs/>
        </w:rPr>
        <w:t>Dozavimas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D53BF">
        <w:rPr>
          <w:rFonts w:ascii="Times New Roman" w:eastAsia="Times New Roman" w:hAnsi="Times New Roman" w:cs="Times New Roman"/>
          <w:u w:val="single"/>
        </w:rPr>
        <w:t>Pacientams po organo persodinimo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Įprastinė pirmos paros dozė yra iki 5 mg/kg kūno svorio, tolesnė paros dozė </w:t>
      </w:r>
      <w:r w:rsidRPr="004D53BF">
        <w:rPr>
          <w:rFonts w:ascii="Times New Roman" w:eastAsia="Times New Roman" w:hAnsi="Times New Roman" w:cs="Times New Roman"/>
        </w:rPr>
        <w:sym w:font="Symbol" w:char="F02D"/>
      </w:r>
      <w:r w:rsidRPr="004D53BF">
        <w:rPr>
          <w:rFonts w:ascii="Times New Roman" w:eastAsia="Times New Roman" w:hAnsi="Times New Roman" w:cs="Times New Roman"/>
        </w:rPr>
        <w:t xml:space="preserve"> 1 – 4 mg/kg kūno svorio.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D53BF">
        <w:rPr>
          <w:rFonts w:ascii="Times New Roman" w:eastAsia="Times New Roman" w:hAnsi="Times New Roman" w:cs="Times New Roman"/>
          <w:u w:val="single"/>
        </w:rPr>
        <w:t>Kitos būklės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Įprastinė paros dozė yra 1 – 3 mg/kg kūno svorio.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Vartojimas vaikams ir paaugliams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Nerekomenduojama vartoti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vaikams, jaunesniems kaip 18 metų jaunatviniam lėtiniam artritui, sisteminei raudonajai vilkligei, </w:t>
      </w:r>
      <w:proofErr w:type="spellStart"/>
      <w:r w:rsidRPr="004D53BF">
        <w:rPr>
          <w:rFonts w:ascii="Times New Roman" w:eastAsia="Times New Roman" w:hAnsi="Times New Roman" w:cs="Times New Roman"/>
        </w:rPr>
        <w:t>dermatomiozitui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ir mazginiam </w:t>
      </w:r>
      <w:proofErr w:type="spellStart"/>
      <w:r w:rsidRPr="004D53BF">
        <w:rPr>
          <w:rFonts w:ascii="Times New Roman" w:eastAsia="Times New Roman" w:hAnsi="Times New Roman" w:cs="Times New Roman"/>
        </w:rPr>
        <w:t>poliarteritui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gydyti dėl nepakankamų tyrimų duomenų.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Kitos indikacijos ir joms vartojamos dozės tinka tiek vaikams ir paaugliams, tiek suaugusiems pacientams.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D53BF">
        <w:rPr>
          <w:rFonts w:ascii="Times New Roman" w:eastAsia="Times New Roman" w:hAnsi="Times New Roman" w:cs="Times New Roman"/>
          <w:u w:val="single"/>
        </w:rPr>
        <w:t>Senyviems pacientams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Senyviems pacientams gali reikėti mažesnės dozės.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  <w:u w:val="single"/>
        </w:rPr>
        <w:t>Pacientams, kurių inkstų ar kepenų funkcija sutrikusi</w:t>
      </w:r>
      <w:r w:rsidRPr="004D53BF">
        <w:rPr>
          <w:rFonts w:ascii="Times New Roman" w:eastAsia="Times New Roman" w:hAnsi="Times New Roman" w:cs="Times New Roman"/>
        </w:rPr>
        <w:t xml:space="preserve">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Pacientams, kurių inkstų ar kepenų funkcija sutrikusi,</w:t>
      </w:r>
      <w:r w:rsidRPr="004D53BF" w:rsidDel="005B480E">
        <w:rPr>
          <w:rFonts w:ascii="Times New Roman" w:eastAsia="Times New Roman" w:hAnsi="Times New Roman" w:cs="Times New Roman"/>
        </w:rPr>
        <w:t xml:space="preserve"> </w:t>
      </w:r>
      <w:r w:rsidRPr="004D53BF">
        <w:rPr>
          <w:rFonts w:ascii="Times New Roman" w:eastAsia="Times New Roman" w:hAnsi="Times New Roman" w:cs="Times New Roman"/>
        </w:rPr>
        <w:t xml:space="preserve">gali reikėti mažesnės dozės. Pacientams, kurių kepenų funkcija sutrikusi stipriai,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vartoti draudžiama.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Gydymo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trukmę nustato gydytojas. Jeigu manote, kad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veikia per stipriai arba per silpnai, kreipkitės į gydytoją.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 xml:space="preserve">Pavartojus per didelę </w:t>
      </w:r>
      <w:proofErr w:type="spellStart"/>
      <w:r w:rsidR="00AA5F09">
        <w:rPr>
          <w:rFonts w:ascii="Times New Roman" w:eastAsia="Times New Roman" w:hAnsi="Times New Roman" w:cs="Times New Roman"/>
          <w:b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  <w:b/>
        </w:rPr>
        <w:t xml:space="preserve"> dozę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Nedelsdami susisiekite su savo gydytoju, vaistininku arba vykite į artimiausios ligoninės skubios medicinos pagalbos skyrių.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4D53BF">
        <w:rPr>
          <w:rFonts w:ascii="Times New Roman" w:eastAsia="Times New Roman" w:hAnsi="Times New Roman" w:cs="Times New Roman"/>
          <w:b/>
          <w:caps/>
        </w:rPr>
        <w:t>4.</w:t>
      </w:r>
      <w:r w:rsidRPr="004D53BF">
        <w:rPr>
          <w:rFonts w:ascii="Times New Roman" w:eastAsia="Times New Roman" w:hAnsi="Times New Roman" w:cs="Times New Roman"/>
          <w:b/>
          <w:caps/>
        </w:rPr>
        <w:tab/>
      </w:r>
      <w:r w:rsidRPr="004D53BF">
        <w:rPr>
          <w:rFonts w:ascii="Times New Roman" w:eastAsia="Times New Roman" w:hAnsi="Times New Roman" w:cs="Times New Roman"/>
          <w:b/>
        </w:rPr>
        <w:t>Galimas šalutinis poveikis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Šalutiniai poveikiai yra toliau išdėstyti pagal dažnį. Dažnis apibūdinamas taip: </w:t>
      </w:r>
    </w:p>
    <w:p w:rsidR="000841FB" w:rsidRPr="004D53BF" w:rsidRDefault="000841FB" w:rsidP="000841FB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labai dažnas:</w:t>
      </w:r>
      <w:r w:rsidRPr="004D53BF">
        <w:rPr>
          <w:rFonts w:ascii="Times New Roman" w:eastAsia="Times New Roman" w:hAnsi="Times New Roman" w:cs="Times New Roman"/>
        </w:rPr>
        <w:tab/>
        <w:t xml:space="preserve">pasireiškia daugiau kaip 1 vartotojui iš 10; </w:t>
      </w:r>
    </w:p>
    <w:p w:rsidR="000841FB" w:rsidRPr="004D53BF" w:rsidRDefault="000841FB" w:rsidP="000841FB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4D53BF">
        <w:rPr>
          <w:rFonts w:ascii="Times New Roman" w:eastAsia="Calibri" w:hAnsi="Times New Roman" w:cs="Times New Roman"/>
          <w:lang w:eastAsia="lt-LT"/>
        </w:rPr>
        <w:t>dažnas:</w:t>
      </w:r>
      <w:r w:rsidRPr="004D53BF">
        <w:rPr>
          <w:rFonts w:ascii="Times New Roman" w:eastAsia="Calibri" w:hAnsi="Times New Roman" w:cs="Times New Roman"/>
          <w:lang w:eastAsia="lt-LT"/>
        </w:rPr>
        <w:tab/>
        <w:t>pasireiškia nuo 1 iki 10 vartotojų iš 100;</w:t>
      </w:r>
    </w:p>
    <w:p w:rsidR="000841FB" w:rsidRPr="004D53BF" w:rsidRDefault="000841FB" w:rsidP="000841FB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nedažnas:</w:t>
      </w:r>
      <w:r w:rsidRPr="004D53BF">
        <w:rPr>
          <w:rFonts w:ascii="Times New Roman" w:eastAsia="Times New Roman" w:hAnsi="Times New Roman" w:cs="Times New Roman"/>
        </w:rPr>
        <w:tab/>
        <w:t>pasireiškia nuo 1 iki 10 vartotojų iš 1000;</w:t>
      </w:r>
    </w:p>
    <w:p w:rsidR="000841FB" w:rsidRPr="004D53BF" w:rsidRDefault="000841FB" w:rsidP="000841FB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retas:</w:t>
      </w:r>
      <w:r w:rsidRPr="004D53BF">
        <w:rPr>
          <w:rFonts w:ascii="Times New Roman" w:eastAsia="Times New Roman" w:hAnsi="Times New Roman" w:cs="Times New Roman"/>
        </w:rPr>
        <w:tab/>
        <w:t xml:space="preserve">pasireiškia nuo 1 iki 10 vartotojų iš 10000; </w:t>
      </w:r>
    </w:p>
    <w:p w:rsidR="000841FB" w:rsidRPr="004D53BF" w:rsidRDefault="000841FB" w:rsidP="000841FB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labai retas:</w:t>
      </w:r>
      <w:r w:rsidRPr="004D53BF">
        <w:rPr>
          <w:rFonts w:ascii="Times New Roman" w:eastAsia="Times New Roman" w:hAnsi="Times New Roman" w:cs="Times New Roman"/>
        </w:rPr>
        <w:tab/>
        <w:t xml:space="preserve">pasireiškia mažiau kaip 1 vartotojui iš 10000; </w:t>
      </w:r>
    </w:p>
    <w:p w:rsidR="000841FB" w:rsidRPr="004D53BF" w:rsidRDefault="000841FB" w:rsidP="000841FB">
      <w:pPr>
        <w:tabs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4D53BF">
        <w:rPr>
          <w:rFonts w:ascii="Times New Roman" w:eastAsia="Calibri" w:hAnsi="Times New Roman" w:cs="Times New Roman"/>
          <w:lang w:eastAsia="lt-LT"/>
        </w:rPr>
        <w:t>nežinomas:</w:t>
      </w:r>
      <w:r w:rsidRPr="004D53BF">
        <w:rPr>
          <w:rFonts w:ascii="Times New Roman" w:eastAsia="Calibri" w:hAnsi="Times New Roman" w:cs="Times New Roman"/>
          <w:lang w:eastAsia="lt-LT"/>
        </w:rPr>
        <w:tab/>
        <w:t>negali būti apskaičiuotas pagal turimus duomenis.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Jeigu staiga atsiranda švokštimas, tampa sunku kvėpuoti, patinsta akių vokai, veidas ar lūpos, pasireiškia išbėrimas arba niežulys, ypač apimantis visą kūną, nedelsiant kreipkitės į gydytoją.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Sunkūs šalutiniai poveikiai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Jeigu pasireiškia toliau išvardyti poveikiai, turite nedelsdami kreiptis į gydytoją:</w:t>
      </w:r>
    </w:p>
    <w:p w:rsidR="000841FB" w:rsidRPr="004D53BF" w:rsidRDefault="000841FB" w:rsidP="000841FB">
      <w:pPr>
        <w:numPr>
          <w:ilvl w:val="1"/>
          <w:numId w:val="4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stiprus vėmimas;</w:t>
      </w:r>
    </w:p>
    <w:p w:rsidR="000841FB" w:rsidRPr="004D53BF" w:rsidRDefault="000841FB" w:rsidP="000841FB">
      <w:pPr>
        <w:numPr>
          <w:ilvl w:val="1"/>
          <w:numId w:val="4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viduriavimas;</w:t>
      </w:r>
    </w:p>
    <w:p w:rsidR="000841FB" w:rsidRPr="004D53BF" w:rsidRDefault="000841FB" w:rsidP="000841FB">
      <w:pPr>
        <w:numPr>
          <w:ilvl w:val="1"/>
          <w:numId w:val="4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karščiavimas, </w:t>
      </w:r>
      <w:proofErr w:type="spellStart"/>
      <w:r w:rsidRPr="004D53BF">
        <w:rPr>
          <w:rFonts w:ascii="Times New Roman" w:eastAsia="Times New Roman" w:hAnsi="Times New Roman" w:cs="Times New Roman"/>
        </w:rPr>
        <w:t>šaltkrėtis</w:t>
      </w:r>
      <w:proofErr w:type="spellEnd"/>
      <w:r w:rsidRPr="004D53BF">
        <w:rPr>
          <w:rFonts w:ascii="Times New Roman" w:eastAsia="Times New Roman" w:hAnsi="Times New Roman" w:cs="Times New Roman"/>
        </w:rPr>
        <w:t>;</w:t>
      </w:r>
    </w:p>
    <w:p w:rsidR="000841FB" w:rsidRPr="004D53BF" w:rsidRDefault="000841FB" w:rsidP="000841FB">
      <w:pPr>
        <w:numPr>
          <w:ilvl w:val="1"/>
          <w:numId w:val="4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raumenų ar kaulų skausmas, raumenų stingulys;</w:t>
      </w:r>
    </w:p>
    <w:p w:rsidR="000841FB" w:rsidRPr="004D53BF" w:rsidRDefault="000841FB" w:rsidP="000841FB">
      <w:pPr>
        <w:numPr>
          <w:ilvl w:val="1"/>
          <w:numId w:val="4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nuovargis, svaigulys;</w:t>
      </w:r>
    </w:p>
    <w:p w:rsidR="000841FB" w:rsidRPr="004D53BF" w:rsidRDefault="000841FB" w:rsidP="000841FB">
      <w:pPr>
        <w:numPr>
          <w:ilvl w:val="1"/>
          <w:numId w:val="4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kraujagyslių uždegimas;</w:t>
      </w:r>
    </w:p>
    <w:p w:rsidR="000841FB" w:rsidRPr="004D53BF" w:rsidRDefault="000841FB" w:rsidP="000841FB">
      <w:pPr>
        <w:numPr>
          <w:ilvl w:val="1"/>
          <w:numId w:val="4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inkstų veiklos sutrikimas (jo simptomai gali būti išskiriamo šlapimo kiekio ir spalvos pokytis).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 xml:space="preserve">Pastebėtas kitoks šalutinis poveikis išvardytas toliau. 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Labai dažnas:</w:t>
      </w:r>
    </w:p>
    <w:p w:rsidR="000841FB" w:rsidRPr="004D53BF" w:rsidRDefault="000841FB" w:rsidP="000841FB">
      <w:pPr>
        <w:numPr>
          <w:ilvl w:val="1"/>
          <w:numId w:val="5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virusų, grybelių ar bakterijų sukeltos infekcinės ligos transplantaciją patyrusiems pacientams;</w:t>
      </w:r>
    </w:p>
    <w:p w:rsidR="000841FB" w:rsidRPr="004D53BF" w:rsidRDefault="000841FB" w:rsidP="000841FB">
      <w:pPr>
        <w:numPr>
          <w:ilvl w:val="1"/>
          <w:numId w:val="5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susilpnėjusi Jūsų kaulų čiulpų veikla;</w:t>
      </w:r>
    </w:p>
    <w:p w:rsidR="000841FB" w:rsidRPr="004D53BF" w:rsidRDefault="000841FB" w:rsidP="000841FB">
      <w:pPr>
        <w:numPr>
          <w:ilvl w:val="1"/>
          <w:numId w:val="5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Jūsų kraujo tyrime matomas mažas baltųjų kraujo kūnelių kiekis; tai gali būti infekcinės ligos priežastis;</w:t>
      </w:r>
    </w:p>
    <w:p w:rsidR="000841FB" w:rsidRPr="004D53BF" w:rsidRDefault="000841FB" w:rsidP="000841FB">
      <w:pPr>
        <w:numPr>
          <w:ilvl w:val="1"/>
          <w:numId w:val="5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pykinimas ir vėmimas, apetito praradimas (anoreksija).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Dažnas:</w:t>
      </w:r>
    </w:p>
    <w:p w:rsidR="000841FB" w:rsidRPr="004D53BF" w:rsidRDefault="000841FB" w:rsidP="000841FB">
      <w:pPr>
        <w:numPr>
          <w:ilvl w:val="1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lastRenderedPageBreak/>
        <w:t>mažas kraujo plokštelių kiekis; dėl to gali lengvai atsirasti kraujosruvų (mėlynių) ar pasireikšti kraujavimas.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Nedažnas:</w:t>
      </w:r>
    </w:p>
    <w:p w:rsidR="000841FB" w:rsidRPr="004D53BF" w:rsidRDefault="000841FB" w:rsidP="000841FB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virusų, grybelių ar bakterijų sukeltos infekcinės ligos visiems pacientas, išskyrus patyrusius transplantaciją;</w:t>
      </w:r>
    </w:p>
    <w:p w:rsidR="000841FB" w:rsidRPr="004D53BF" w:rsidRDefault="000841FB" w:rsidP="000841FB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567" w:hanging="578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mažas raudonųjų kraujo kūnelių kiekis; dėl to galite būti išblyškęs, jausti nuovargį, svaigulį, kentėti galvos skausmą, dusti fizinio krūvio metu; </w:t>
      </w:r>
    </w:p>
    <w:p w:rsidR="000841FB" w:rsidRPr="004D53BF" w:rsidRDefault="000841FB" w:rsidP="000841FB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padidėjusio jautrumo reakcijos, kurios gali sukelti bendrąjį negalavimą; svaigulį, pykinimą, vėmimą, viduriavimą, karščiavimą, drebulį, tokias odos reakcijas kaip </w:t>
      </w:r>
      <w:proofErr w:type="spellStart"/>
      <w:r w:rsidRPr="004D53BF">
        <w:rPr>
          <w:rFonts w:ascii="Times New Roman" w:eastAsia="Times New Roman" w:hAnsi="Times New Roman" w:cs="Times New Roman"/>
        </w:rPr>
        <w:t>egzantema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ir bėrimas, kraujagyslių uždegimą, raumenų ir sąnarių skausmą, kraujospūdžio sumažėjimą, inkstų ar kepenų veiklos sutrikimą, žarnyno veiklos sutrikimą;</w:t>
      </w:r>
    </w:p>
    <w:p w:rsidR="000841FB" w:rsidRPr="004D53BF" w:rsidRDefault="000841FB" w:rsidP="000841FB">
      <w:pPr>
        <w:numPr>
          <w:ilvl w:val="0"/>
          <w:numId w:val="7"/>
        </w:numPr>
        <w:tabs>
          <w:tab w:val="left" w:pos="540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kasos uždegimas, galintis sukelti stiprų viršutinės pilvo dalies skausmą, pykinimą ir vėmimą; </w:t>
      </w:r>
    </w:p>
    <w:p w:rsidR="000841FB" w:rsidRPr="004D53BF" w:rsidRDefault="000841FB" w:rsidP="000841FB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kepenų veiklos sutrikimai, dėl kurių išmatos gali tapti baltos, šlapimas – tamsus, pageltonuoja oda ar akių baltymai, niežti odą, pakinta kepenų veiklą atspindinčių tyrimų rodmenys. 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Retas:</w:t>
      </w:r>
    </w:p>
    <w:p w:rsidR="000841FB" w:rsidRPr="004D53BF" w:rsidRDefault="000841FB" w:rsidP="000841FB">
      <w:pPr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kraujo pokyčiai ir kaulų čiulpų veiklos sutrikimai, dėl kurių jaučiamas silpnumas, atsiranda nuovargis, blyškumas, skauda galvą, skauda liežuvį, atsiranda dusulys, kraujosruvos (mėlynės) ar prisideda infekcija;</w:t>
      </w:r>
    </w:p>
    <w:p w:rsidR="000841FB" w:rsidRPr="004D53BF" w:rsidRDefault="000841FB" w:rsidP="000841F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žarnyno veiklos sutrikimai, dėl kurių atsiranda viduriavimas, pilvo skausmas, užkietėja viduriai pykinimas ir vėmimas;</w:t>
      </w:r>
    </w:p>
    <w:p w:rsidR="000841FB" w:rsidRPr="004D53BF" w:rsidRDefault="000841FB" w:rsidP="000841FB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sunkus kepenų pakenkimas, galintis kelti grėsmę gyvybei;</w:t>
      </w:r>
    </w:p>
    <w:p w:rsidR="000841FB" w:rsidRPr="004D53BF" w:rsidRDefault="000841FB" w:rsidP="000841FB">
      <w:pPr>
        <w:numPr>
          <w:ilvl w:val="1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plaukų slinkimas, kuris gali sumažėti net toliau vartojant </w:t>
      </w:r>
      <w:proofErr w:type="spellStart"/>
      <w:r w:rsidR="00AA5F09">
        <w:rPr>
          <w:rFonts w:ascii="Times New Roman" w:eastAsia="Times New Roman" w:hAnsi="Times New Roman" w:cs="Times New Roman"/>
        </w:rPr>
        <w:t>Atsimutin</w:t>
      </w:r>
      <w:proofErr w:type="spellEnd"/>
      <w:r w:rsidRPr="004D53BF">
        <w:rPr>
          <w:rFonts w:ascii="Times New Roman" w:eastAsia="Times New Roman" w:hAnsi="Times New Roman" w:cs="Times New Roman"/>
        </w:rPr>
        <w:t>;</w:t>
      </w:r>
    </w:p>
    <w:p w:rsidR="000841FB" w:rsidRPr="004D53BF" w:rsidRDefault="000841FB" w:rsidP="000841FB">
      <w:pPr>
        <w:numPr>
          <w:ilvl w:val="1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įvairių rūšių vėžys, įskaitant kraujo, limfinės sistemos ir odos vėžį.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Labai retas:</w:t>
      </w:r>
    </w:p>
    <w:p w:rsidR="000841FB" w:rsidRPr="004D53BF" w:rsidRDefault="000841FB" w:rsidP="000841FB">
      <w:pPr>
        <w:numPr>
          <w:ilvl w:val="1"/>
          <w:numId w:val="10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gyvybei pavojingos alerginės reakcijos, lydimos sunkaus odos pažeidimo (</w:t>
      </w:r>
      <w:proofErr w:type="spellStart"/>
      <w:r w:rsidRPr="004D53BF">
        <w:rPr>
          <w:rFonts w:ascii="Times New Roman" w:eastAsia="Times New Roman" w:hAnsi="Times New Roman" w:cs="Times New Roman"/>
        </w:rPr>
        <w:t>Stivenso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–Džonsono (</w:t>
      </w:r>
      <w:proofErr w:type="spellStart"/>
      <w:r w:rsidRPr="004D53BF">
        <w:rPr>
          <w:rFonts w:ascii="Times New Roman" w:eastAsia="Times New Roman" w:hAnsi="Times New Roman" w:cs="Times New Roman"/>
          <w:i/>
        </w:rPr>
        <w:t>Stevens-Johnson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) sindromas ir toksinė epidermio </w:t>
      </w:r>
      <w:proofErr w:type="spellStart"/>
      <w:r w:rsidRPr="004D53BF">
        <w:rPr>
          <w:rFonts w:ascii="Times New Roman" w:eastAsia="Times New Roman" w:hAnsi="Times New Roman" w:cs="Times New Roman"/>
        </w:rPr>
        <w:t>nekrolizė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[</w:t>
      </w:r>
      <w:proofErr w:type="spellStart"/>
      <w:r w:rsidRPr="004D53BF">
        <w:rPr>
          <w:rFonts w:ascii="Times New Roman" w:eastAsia="Times New Roman" w:hAnsi="Times New Roman" w:cs="Times New Roman"/>
        </w:rPr>
        <w:t>Lajelio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D53BF">
        <w:rPr>
          <w:rFonts w:ascii="Times New Roman" w:eastAsia="Times New Roman" w:hAnsi="Times New Roman" w:cs="Times New Roman"/>
          <w:i/>
        </w:rPr>
        <w:t>Lyell</w:t>
      </w:r>
      <w:proofErr w:type="spellEnd"/>
      <w:r w:rsidRPr="004D53BF">
        <w:rPr>
          <w:rFonts w:ascii="Times New Roman" w:eastAsia="Times New Roman" w:hAnsi="Times New Roman" w:cs="Times New Roman"/>
        </w:rPr>
        <w:t>) sindromas]);</w:t>
      </w:r>
    </w:p>
    <w:p w:rsidR="000841FB" w:rsidRPr="004D53BF" w:rsidRDefault="000841FB" w:rsidP="000841FB">
      <w:pPr>
        <w:numPr>
          <w:ilvl w:val="1"/>
          <w:numId w:val="10"/>
        </w:numPr>
        <w:tabs>
          <w:tab w:val="left" w:pos="540"/>
        </w:tabs>
        <w:spacing w:after="0" w:line="240" w:lineRule="auto"/>
        <w:ind w:hanging="1440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plaučių uždegimas, sukeliantis dusulį, kosulį, </w:t>
      </w:r>
      <w:proofErr w:type="spellStart"/>
      <w:r w:rsidRPr="004D53BF">
        <w:rPr>
          <w:rFonts w:ascii="Times New Roman" w:eastAsia="Times New Roman" w:hAnsi="Times New Roman" w:cs="Times New Roman"/>
        </w:rPr>
        <w:t>karčiavimą</w:t>
      </w:r>
      <w:proofErr w:type="spellEnd"/>
      <w:r w:rsidRPr="004D53BF">
        <w:rPr>
          <w:rFonts w:ascii="Times New Roman" w:eastAsia="Times New Roman" w:hAnsi="Times New Roman" w:cs="Times New Roman"/>
        </w:rPr>
        <w:t>;</w:t>
      </w:r>
    </w:p>
    <w:p w:rsidR="000841FB" w:rsidRPr="004D53BF" w:rsidRDefault="000841FB" w:rsidP="000841FB">
      <w:pPr>
        <w:numPr>
          <w:ilvl w:val="1"/>
          <w:numId w:val="10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pacientams, kurie vartojo </w:t>
      </w:r>
      <w:proofErr w:type="spellStart"/>
      <w:r w:rsidRPr="004D53BF">
        <w:rPr>
          <w:rFonts w:ascii="Times New Roman" w:eastAsia="Times New Roman" w:hAnsi="Times New Roman" w:cs="Times New Roman"/>
        </w:rPr>
        <w:t>azatiopriną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kartu su kitais </w:t>
      </w:r>
      <w:proofErr w:type="spellStart"/>
      <w:r w:rsidRPr="004D53BF">
        <w:rPr>
          <w:rFonts w:ascii="Times New Roman" w:eastAsia="Times New Roman" w:hAnsi="Times New Roman" w:cs="Times New Roman"/>
        </w:rPr>
        <w:t>imunosupresantais</w:t>
      </w:r>
      <w:proofErr w:type="spellEnd"/>
      <w:r w:rsidRPr="004D53BF">
        <w:rPr>
          <w:rFonts w:ascii="Times New Roman" w:eastAsia="Times New Roman" w:hAnsi="Times New Roman" w:cs="Times New Roman"/>
        </w:rPr>
        <w:t>, pasireiškė PDL – centrinės nervų sistemos infekcija, susijusi su JC virusu.</w:t>
      </w:r>
    </w:p>
    <w:p w:rsidR="000841FB" w:rsidRPr="004D53BF" w:rsidRDefault="000841FB" w:rsidP="000841F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Pranešimas apie šalutinį poveikį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4D53BF">
        <w:rPr>
          <w:rFonts w:ascii="Times New Roman" w:eastAsia="Times New Roman" w:hAnsi="Times New Roman" w:cs="Times New Roman"/>
          <w:lang w:eastAsia="zh-CN"/>
        </w:rPr>
        <w:t>elefonu 8 800 73568</w:t>
      </w:r>
      <w:r w:rsidRPr="004D53BF">
        <w:rPr>
          <w:rFonts w:ascii="Times New Roman" w:eastAsia="Times New Roman" w:hAnsi="Times New Roman" w:cs="Times New Roman"/>
        </w:rPr>
        <w:t xml:space="preserve"> arba užpildyti interneto svetainėje </w:t>
      </w:r>
      <w:hyperlink r:id="rId7" w:history="1">
        <w:r w:rsidRPr="001254D5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4D53BF">
        <w:rPr>
          <w:rFonts w:ascii="Times New Roman" w:eastAsia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D53BF">
        <w:rPr>
          <w:rFonts w:ascii="Times New Roman" w:eastAsia="Times New Roman" w:hAnsi="Times New Roman" w:cs="Times New Roman"/>
          <w:lang w:eastAsia="zh-CN"/>
        </w:rPr>
        <w:t xml:space="preserve">nemokamu </w:t>
      </w:r>
      <w:r w:rsidRPr="004D53BF">
        <w:rPr>
          <w:rFonts w:ascii="Times New Roman" w:eastAsia="Times New Roman" w:hAnsi="Times New Roman" w:cs="Times New Roman"/>
        </w:rPr>
        <w:t>fakso numeriu 8 800 20131</w:t>
      </w:r>
      <w:r w:rsidRPr="004D53BF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4D53BF">
        <w:rPr>
          <w:rFonts w:ascii="Times New Roman" w:eastAsia="Times New Roman" w:hAnsi="Times New Roman" w:cs="Times New Roman"/>
        </w:rPr>
        <w:t xml:space="preserve">el. paštu </w:t>
      </w:r>
      <w:hyperlink r:id="rId8" w:history="1">
        <w:r w:rsidRPr="001254D5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4D53BF">
        <w:rPr>
          <w:rFonts w:ascii="Times New Roman" w:eastAsia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1254D5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4D53BF">
        <w:rPr>
          <w:rFonts w:ascii="Times New Roman" w:eastAsia="Times New Roman" w:hAnsi="Times New Roman" w:cs="Times New Roman"/>
        </w:rPr>
        <w:t>). Pranešdami apie šalutinį poveikį galite mums padėti gauti daugiau informacijos apie šio vaisto saugumą.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  <w:b/>
        </w:rPr>
        <w:t>5.</w:t>
      </w:r>
      <w:r w:rsidRPr="004D53BF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="00AA5F09">
        <w:rPr>
          <w:rFonts w:ascii="Times New Roman" w:eastAsia="Times New Roman" w:hAnsi="Times New Roman" w:cs="Times New Roman"/>
          <w:b/>
        </w:rPr>
        <w:t>Atsimutin</w:t>
      </w:r>
      <w:proofErr w:type="spellEnd"/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4D53BF">
        <w:rPr>
          <w:rFonts w:ascii="Times New Roman" w:eastAsia="Times New Roman" w:hAnsi="Times New Roman" w:cs="Times New Roman"/>
          <w:iCs/>
        </w:rPr>
        <w:t xml:space="preserve">Ant dėžutės </w:t>
      </w:r>
      <w:r w:rsidR="00AE70C4" w:rsidRPr="004D53BF">
        <w:rPr>
          <w:rFonts w:ascii="Times New Roman" w:eastAsia="Times New Roman" w:hAnsi="Times New Roman" w:cs="Times New Roman"/>
          <w:iCs/>
        </w:rPr>
        <w:t xml:space="preserve">ir lizdinės plokštelės </w:t>
      </w:r>
      <w:r w:rsidRPr="004D53BF">
        <w:rPr>
          <w:rFonts w:ascii="Times New Roman" w:eastAsia="Times New Roman" w:hAnsi="Times New Roman" w:cs="Times New Roman"/>
          <w:iCs/>
        </w:rPr>
        <w:t>po „Tinka iki</w:t>
      </w:r>
      <w:r w:rsidR="00AE70C4">
        <w:rPr>
          <w:rFonts w:ascii="Times New Roman" w:eastAsia="Times New Roman" w:hAnsi="Times New Roman" w:cs="Times New Roman"/>
          <w:iCs/>
        </w:rPr>
        <w:t>/</w:t>
      </w:r>
      <w:r w:rsidR="00AE70C4" w:rsidRPr="00C93052">
        <w:rPr>
          <w:rFonts w:ascii="Times New Roman" w:eastAsia="Times New Roman" w:hAnsi="Times New Roman" w:cs="Times New Roman"/>
          <w:iCs/>
          <w:highlight w:val="lightGray"/>
        </w:rPr>
        <w:t>EXP</w:t>
      </w:r>
      <w:r w:rsidRPr="001254D5">
        <w:rPr>
          <w:rFonts w:ascii="Times New Roman" w:eastAsia="Times New Roman" w:hAnsi="Times New Roman" w:cs="Times New Roman"/>
          <w:iCs/>
        </w:rPr>
        <w:t xml:space="preserve">“ </w:t>
      </w:r>
      <w:r w:rsidRPr="004D53BF">
        <w:rPr>
          <w:rFonts w:ascii="Times New Roman" w:eastAsia="Times New Roman" w:hAnsi="Times New Roman" w:cs="Times New Roman"/>
          <w:iCs/>
        </w:rPr>
        <w:t>nurodytam tinkamumo laikui pasibaigus, šio vaisto vartoti negalima. Vaistas tinkamas vartoti iki paskutinės nurodyto mėnesio dienos.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Lizdinę plokštelę laikyti gamintojo pakuotėje, kad </w:t>
      </w:r>
      <w:r w:rsidRPr="001254D5">
        <w:rPr>
          <w:rFonts w:ascii="Times New Roman" w:eastAsia="Times New Roman" w:hAnsi="Times New Roman" w:cs="Times New Roman"/>
        </w:rPr>
        <w:t>vaistas</w:t>
      </w:r>
      <w:r w:rsidRPr="004D53BF">
        <w:rPr>
          <w:rFonts w:ascii="Times New Roman" w:eastAsia="Times New Roman" w:hAnsi="Times New Roman" w:cs="Times New Roman"/>
        </w:rPr>
        <w:t xml:space="preserve"> būtų apsaugotas nuo šviesos.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lastRenderedPageBreak/>
        <w:t xml:space="preserve">Pastebėjus matomų apgadinimo požymių, </w:t>
      </w:r>
      <w:r w:rsidRPr="004D53BF">
        <w:rPr>
          <w:rFonts w:ascii="Times New Roman" w:eastAsia="Times New Roman" w:hAnsi="Times New Roman" w:cs="Times New Roman"/>
          <w:iCs/>
        </w:rPr>
        <w:t>šio vaisto</w:t>
      </w:r>
      <w:r w:rsidRPr="004D53BF">
        <w:rPr>
          <w:rFonts w:ascii="Times New Roman" w:eastAsia="Times New Roman" w:hAnsi="Times New Roman" w:cs="Times New Roman"/>
        </w:rPr>
        <w:t xml:space="preserve"> vartoti negalima.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6.</w:t>
      </w:r>
      <w:r w:rsidRPr="004D53BF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AA5F09" w:rsidP="000841FB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  <w:b/>
          <w:bCs/>
        </w:rPr>
        <w:t xml:space="preserve"> sudėtis </w:t>
      </w:r>
    </w:p>
    <w:p w:rsidR="000841FB" w:rsidRPr="004D53BF" w:rsidRDefault="000841FB" w:rsidP="000841FB">
      <w:p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>-</w:t>
      </w:r>
      <w:r w:rsidRPr="004D53BF"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 w:rsidRPr="004D53BF">
        <w:rPr>
          <w:rFonts w:ascii="Times New Roman" w:eastAsia="Times New Roman" w:hAnsi="Times New Roman" w:cs="Times New Roman"/>
        </w:rPr>
        <w:t>azatioprinas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. </w:t>
      </w:r>
      <w:r w:rsidRPr="001254D5">
        <w:rPr>
          <w:rFonts w:ascii="Times New Roman" w:eastAsia="Times New Roman" w:hAnsi="Times New Roman" w:cs="Times New Roman"/>
        </w:rPr>
        <w:t>Kiekvienoje</w:t>
      </w:r>
      <w:r w:rsidRPr="004D53BF">
        <w:rPr>
          <w:rFonts w:ascii="Times New Roman" w:eastAsia="Times New Roman" w:hAnsi="Times New Roman" w:cs="Times New Roman"/>
        </w:rPr>
        <w:t xml:space="preserve"> plėvele dengtoje tabletėje yra 50 mg </w:t>
      </w:r>
      <w:proofErr w:type="spellStart"/>
      <w:r w:rsidRPr="004D53BF">
        <w:rPr>
          <w:rFonts w:ascii="Times New Roman" w:eastAsia="Times New Roman" w:hAnsi="Times New Roman" w:cs="Times New Roman"/>
        </w:rPr>
        <w:t>azatioprino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. </w:t>
      </w:r>
    </w:p>
    <w:p w:rsidR="000841FB" w:rsidRPr="004D53BF" w:rsidRDefault="000841FB" w:rsidP="000841FB">
      <w:pPr>
        <w:tabs>
          <w:tab w:val="num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  <w:i/>
        </w:rPr>
        <w:t>-</w:t>
      </w:r>
      <w:r w:rsidRPr="004D53BF">
        <w:rPr>
          <w:rFonts w:ascii="Times New Roman" w:eastAsia="Times New Roman" w:hAnsi="Times New Roman" w:cs="Times New Roman"/>
          <w:i/>
        </w:rPr>
        <w:tab/>
      </w:r>
      <w:r w:rsidRPr="004D53BF">
        <w:rPr>
          <w:rFonts w:ascii="Times New Roman" w:eastAsia="Times New Roman" w:hAnsi="Times New Roman" w:cs="Times New Roman"/>
        </w:rPr>
        <w:t>Pagalbinės medžiagos:</w:t>
      </w:r>
      <w:r w:rsidRPr="004D53BF">
        <w:rPr>
          <w:rFonts w:ascii="Times New Roman" w:eastAsia="Times New Roman" w:hAnsi="Times New Roman" w:cs="Times New Roman"/>
          <w:i/>
        </w:rPr>
        <w:t xml:space="preserve"> </w:t>
      </w:r>
    </w:p>
    <w:p w:rsidR="000841FB" w:rsidRPr="004D53BF" w:rsidRDefault="000841FB" w:rsidP="00C930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4D53BF">
        <w:rPr>
          <w:rFonts w:ascii="Times New Roman" w:eastAsia="Times New Roman" w:hAnsi="Times New Roman" w:cs="Times New Roman"/>
        </w:rPr>
        <w:t xml:space="preserve">Tabletės branduolys: </w:t>
      </w:r>
      <w:r w:rsidRPr="004D53BF">
        <w:rPr>
          <w:rFonts w:ascii="Times New Roman" w:eastAsia="Times New Roman" w:hAnsi="Times New Roman" w:cs="Times New Roman"/>
          <w:iCs/>
        </w:rPr>
        <w:t xml:space="preserve">laktozė 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monohidratas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mikrokristalinė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 celiuliozė, 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karboksimetilkrakmolo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 A natrio druska (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Ph.Eur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.), 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pregelifikuotas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 krakmolas (kukurūzų), 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polisorbatas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 80, 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povidonas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 K30, magnio 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Stearatas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Pr="004D53BF">
        <w:rPr>
          <w:rFonts w:ascii="Times New Roman" w:eastAsia="Times New Roman" w:hAnsi="Times New Roman" w:cs="Times New Roman"/>
          <w:iCs/>
        </w:rPr>
        <w:t>Ph</w:t>
      </w:r>
      <w:proofErr w:type="spellEnd"/>
      <w:r w:rsidRPr="004D53BF">
        <w:rPr>
          <w:rFonts w:ascii="Times New Roman" w:eastAsia="Times New Roman" w:hAnsi="Times New Roman" w:cs="Times New Roman"/>
          <w:iCs/>
        </w:rPr>
        <w:t>. Eur.) [augalinis]</w:t>
      </w:r>
      <w:r w:rsidR="00AE70C4">
        <w:rPr>
          <w:rFonts w:ascii="Times New Roman" w:eastAsia="Times New Roman" w:hAnsi="Times New Roman" w:cs="Times New Roman"/>
          <w:iCs/>
        </w:rPr>
        <w:t>.</w:t>
      </w:r>
    </w:p>
    <w:p w:rsidR="000841FB" w:rsidRPr="004D53BF" w:rsidRDefault="000841FB" w:rsidP="00C930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53BF">
        <w:rPr>
          <w:rFonts w:ascii="Times New Roman" w:eastAsia="Times New Roman" w:hAnsi="Times New Roman" w:cs="Times New Roman"/>
        </w:rPr>
        <w:t xml:space="preserve">Tabletės plėvelė: </w:t>
      </w:r>
      <w:proofErr w:type="spellStart"/>
      <w:r w:rsidRPr="004D53BF">
        <w:rPr>
          <w:rFonts w:ascii="Times New Roman" w:eastAsia="Times New Roman" w:hAnsi="Times New Roman" w:cs="Times New Roman"/>
        </w:rPr>
        <w:t>hipromeliozė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D53BF">
        <w:rPr>
          <w:rFonts w:ascii="Times New Roman" w:eastAsia="Times New Roman" w:hAnsi="Times New Roman" w:cs="Times New Roman"/>
        </w:rPr>
        <w:t>makrogolis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400, </w:t>
      </w:r>
      <w:proofErr w:type="spellStart"/>
      <w:r w:rsidRPr="004D53BF">
        <w:rPr>
          <w:rFonts w:ascii="Times New Roman" w:eastAsia="Times New Roman" w:hAnsi="Times New Roman" w:cs="Times New Roman"/>
        </w:rPr>
        <w:t>makrogolis</w:t>
      </w:r>
      <w:proofErr w:type="spellEnd"/>
      <w:r w:rsidRPr="004D53BF">
        <w:rPr>
          <w:rFonts w:ascii="Times New Roman" w:eastAsia="Times New Roman" w:hAnsi="Times New Roman" w:cs="Times New Roman"/>
        </w:rPr>
        <w:t xml:space="preserve"> 6000.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841FB" w:rsidRPr="004D53BF" w:rsidRDefault="00AA5F09" w:rsidP="000841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54D5">
        <w:rPr>
          <w:rFonts w:ascii="Times New Roman" w:hAnsi="Times New Roman" w:cs="Times New Roman"/>
        </w:rPr>
        <w:t>Blyškiai geltonos spalvos, plėvele dengtos, apvalios, abipus išgaubtos tabletės, kurių vienoje pusėje įspausta „AZ50“, o kitoje pusėje įrėžta vagelė</w:t>
      </w:r>
      <w:r w:rsidRPr="004D53BF">
        <w:rPr>
          <w:rFonts w:ascii="Times New Roman" w:eastAsia="Times New Roman" w:hAnsi="Times New Roman" w:cs="Times New Roman"/>
        </w:rPr>
        <w:t xml:space="preserve">. </w:t>
      </w:r>
    </w:p>
    <w:p w:rsidR="000841FB" w:rsidRPr="004D53BF" w:rsidRDefault="000841FB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0841FB" w:rsidRPr="004D53BF" w:rsidRDefault="00AA5F09" w:rsidP="00084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proofErr w:type="spellStart"/>
      <w:r>
        <w:rPr>
          <w:rFonts w:ascii="Times New Roman" w:eastAsia="Times New Roman" w:hAnsi="Times New Roman" w:cs="Times New Roman"/>
        </w:rPr>
        <w:t>Atsimutin</w:t>
      </w:r>
      <w:proofErr w:type="spellEnd"/>
      <w:r w:rsidR="000841FB" w:rsidRPr="004D53BF">
        <w:rPr>
          <w:rFonts w:ascii="Times New Roman" w:eastAsia="Times New Roman" w:hAnsi="Times New Roman" w:cs="Times New Roman"/>
        </w:rPr>
        <w:t xml:space="preserve"> 50 mg tabletės yra tiekiamos </w:t>
      </w:r>
      <w:r w:rsidR="000841FB" w:rsidRPr="001254D5">
        <w:rPr>
          <w:rFonts w:ascii="Times New Roman" w:eastAsia="Times New Roman" w:hAnsi="Times New Roman" w:cs="Times New Roman"/>
        </w:rPr>
        <w:t xml:space="preserve">po </w:t>
      </w:r>
      <w:r w:rsidR="000841FB" w:rsidRPr="004D53BF">
        <w:rPr>
          <w:rFonts w:ascii="Times New Roman" w:eastAsia="Times New Roman" w:hAnsi="Times New Roman" w:cs="Times New Roman"/>
          <w:iCs/>
        </w:rPr>
        <w:t>100 plėvele dengtų tablečių pakuotėse.</w:t>
      </w: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</w:rPr>
        <w:t>Registruotojas ir gamintojas</w:t>
      </w: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4D53BF">
        <w:rPr>
          <w:rFonts w:ascii="Times New Roman" w:eastAsia="Calibri" w:hAnsi="Times New Roman" w:cs="Times New Roman"/>
          <w:i/>
        </w:rPr>
        <w:t>Registruotojas</w:t>
      </w:r>
    </w:p>
    <w:p w:rsidR="000841FB" w:rsidRPr="001254D5" w:rsidRDefault="000841FB" w:rsidP="000841FB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hAnsi="Times New Roman" w:cs="Times New Roman"/>
        </w:rPr>
      </w:pPr>
      <w:r w:rsidRPr="001254D5">
        <w:rPr>
          <w:rFonts w:ascii="Times New Roman" w:hAnsi="Times New Roman" w:cs="Times New Roman"/>
        </w:rPr>
        <w:t xml:space="preserve">Norton </w:t>
      </w:r>
      <w:proofErr w:type="spellStart"/>
      <w:r w:rsidRPr="001254D5">
        <w:rPr>
          <w:rFonts w:ascii="Times New Roman" w:hAnsi="Times New Roman" w:cs="Times New Roman"/>
        </w:rPr>
        <w:t>Healthcare</w:t>
      </w:r>
      <w:proofErr w:type="spellEnd"/>
      <w:r w:rsidRPr="001254D5">
        <w:rPr>
          <w:rFonts w:ascii="Times New Roman" w:hAnsi="Times New Roman" w:cs="Times New Roman"/>
        </w:rPr>
        <w:t xml:space="preserve"> </w:t>
      </w:r>
      <w:proofErr w:type="spellStart"/>
      <w:r w:rsidRPr="001254D5">
        <w:rPr>
          <w:rFonts w:ascii="Times New Roman" w:hAnsi="Times New Roman" w:cs="Times New Roman"/>
        </w:rPr>
        <w:t>Ltd</w:t>
      </w:r>
      <w:proofErr w:type="spellEnd"/>
      <w:r w:rsidRPr="001254D5">
        <w:rPr>
          <w:rFonts w:ascii="Times New Roman" w:hAnsi="Times New Roman" w:cs="Times New Roman"/>
        </w:rPr>
        <w:t>.,</w:t>
      </w:r>
      <w:proofErr w:type="spellStart"/>
      <w:r w:rsidRPr="001254D5">
        <w:rPr>
          <w:rFonts w:ascii="Times New Roman" w:hAnsi="Times New Roman" w:cs="Times New Roman"/>
        </w:rPr>
        <w:t>Trading</w:t>
      </w:r>
      <w:proofErr w:type="spellEnd"/>
      <w:r w:rsidRPr="001254D5">
        <w:rPr>
          <w:rFonts w:ascii="Times New Roman" w:hAnsi="Times New Roman" w:cs="Times New Roman"/>
        </w:rPr>
        <w:t xml:space="preserve"> </w:t>
      </w:r>
      <w:proofErr w:type="spellStart"/>
      <w:r w:rsidRPr="001254D5">
        <w:rPr>
          <w:rFonts w:ascii="Times New Roman" w:hAnsi="Times New Roman" w:cs="Times New Roman"/>
        </w:rPr>
        <w:t>as</w:t>
      </w:r>
      <w:proofErr w:type="spellEnd"/>
      <w:r w:rsidRPr="001254D5">
        <w:rPr>
          <w:rFonts w:ascii="Times New Roman" w:hAnsi="Times New Roman" w:cs="Times New Roman"/>
        </w:rPr>
        <w:t xml:space="preserve"> </w:t>
      </w:r>
      <w:proofErr w:type="spellStart"/>
      <w:r w:rsidRPr="001254D5">
        <w:rPr>
          <w:rFonts w:ascii="Times New Roman" w:hAnsi="Times New Roman" w:cs="Times New Roman"/>
        </w:rPr>
        <w:t>Ivax</w:t>
      </w:r>
      <w:proofErr w:type="spellEnd"/>
      <w:r w:rsidRPr="001254D5">
        <w:rPr>
          <w:rFonts w:ascii="Times New Roman" w:hAnsi="Times New Roman" w:cs="Times New Roman"/>
        </w:rPr>
        <w:t xml:space="preserve"> </w:t>
      </w:r>
      <w:proofErr w:type="spellStart"/>
      <w:r w:rsidRPr="001254D5">
        <w:rPr>
          <w:rFonts w:ascii="Times New Roman" w:hAnsi="Times New Roman" w:cs="Times New Roman"/>
        </w:rPr>
        <w:t>Pharmaceuticals</w:t>
      </w:r>
      <w:proofErr w:type="spellEnd"/>
      <w:r w:rsidRPr="001254D5">
        <w:rPr>
          <w:rFonts w:ascii="Times New Roman" w:hAnsi="Times New Roman" w:cs="Times New Roman"/>
        </w:rPr>
        <w:t xml:space="preserve">, </w:t>
      </w:r>
    </w:p>
    <w:p w:rsidR="000841FB" w:rsidRPr="001254D5" w:rsidRDefault="000841FB" w:rsidP="000841FB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hAnsi="Times New Roman" w:cs="Times New Roman"/>
        </w:rPr>
      </w:pPr>
      <w:proofErr w:type="spellStart"/>
      <w:r w:rsidRPr="001254D5">
        <w:rPr>
          <w:rFonts w:ascii="Times New Roman" w:hAnsi="Times New Roman" w:cs="Times New Roman"/>
        </w:rPr>
        <w:t>Ridings</w:t>
      </w:r>
      <w:proofErr w:type="spellEnd"/>
      <w:r w:rsidRPr="001254D5">
        <w:rPr>
          <w:rFonts w:ascii="Times New Roman" w:hAnsi="Times New Roman" w:cs="Times New Roman"/>
        </w:rPr>
        <w:t xml:space="preserve"> </w:t>
      </w:r>
      <w:proofErr w:type="spellStart"/>
      <w:r w:rsidRPr="001254D5">
        <w:rPr>
          <w:rFonts w:ascii="Times New Roman" w:hAnsi="Times New Roman" w:cs="Times New Roman"/>
        </w:rPr>
        <w:t>Point</w:t>
      </w:r>
      <w:proofErr w:type="spellEnd"/>
      <w:r w:rsidRPr="001254D5">
        <w:rPr>
          <w:rFonts w:ascii="Times New Roman" w:hAnsi="Times New Roman" w:cs="Times New Roman"/>
        </w:rPr>
        <w:t xml:space="preserve">, </w:t>
      </w:r>
      <w:proofErr w:type="spellStart"/>
      <w:r w:rsidRPr="001254D5">
        <w:rPr>
          <w:rFonts w:ascii="Times New Roman" w:hAnsi="Times New Roman" w:cs="Times New Roman"/>
        </w:rPr>
        <w:t>Whistler</w:t>
      </w:r>
      <w:proofErr w:type="spellEnd"/>
      <w:r w:rsidRPr="001254D5">
        <w:rPr>
          <w:rFonts w:ascii="Times New Roman" w:hAnsi="Times New Roman" w:cs="Times New Roman"/>
        </w:rPr>
        <w:t xml:space="preserve"> </w:t>
      </w:r>
      <w:proofErr w:type="spellStart"/>
      <w:r w:rsidRPr="001254D5">
        <w:rPr>
          <w:rFonts w:ascii="Times New Roman" w:hAnsi="Times New Roman" w:cs="Times New Roman"/>
        </w:rPr>
        <w:t>Drive</w:t>
      </w:r>
      <w:proofErr w:type="spellEnd"/>
      <w:r w:rsidRPr="001254D5">
        <w:rPr>
          <w:rFonts w:ascii="Times New Roman" w:hAnsi="Times New Roman" w:cs="Times New Roman"/>
        </w:rPr>
        <w:t xml:space="preserve">, </w:t>
      </w:r>
    </w:p>
    <w:p w:rsidR="000841FB" w:rsidRPr="001254D5" w:rsidRDefault="000841FB" w:rsidP="000841FB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hAnsi="Times New Roman" w:cs="Times New Roman"/>
        </w:rPr>
      </w:pPr>
      <w:proofErr w:type="spellStart"/>
      <w:r w:rsidRPr="001254D5">
        <w:rPr>
          <w:rFonts w:ascii="Times New Roman" w:hAnsi="Times New Roman" w:cs="Times New Roman"/>
        </w:rPr>
        <w:t>Castleford</w:t>
      </w:r>
      <w:proofErr w:type="spellEnd"/>
      <w:r w:rsidRPr="001254D5">
        <w:rPr>
          <w:rFonts w:ascii="Times New Roman" w:hAnsi="Times New Roman" w:cs="Times New Roman"/>
        </w:rPr>
        <w:t xml:space="preserve">, </w:t>
      </w:r>
      <w:proofErr w:type="spellStart"/>
      <w:r w:rsidRPr="001254D5">
        <w:rPr>
          <w:rFonts w:ascii="Times New Roman" w:hAnsi="Times New Roman" w:cs="Times New Roman"/>
        </w:rPr>
        <w:t>West</w:t>
      </w:r>
      <w:proofErr w:type="spellEnd"/>
      <w:r w:rsidRPr="001254D5">
        <w:rPr>
          <w:rFonts w:ascii="Times New Roman" w:hAnsi="Times New Roman" w:cs="Times New Roman"/>
        </w:rPr>
        <w:t xml:space="preserve"> </w:t>
      </w:r>
      <w:proofErr w:type="spellStart"/>
      <w:r w:rsidRPr="001254D5">
        <w:rPr>
          <w:rFonts w:ascii="Times New Roman" w:hAnsi="Times New Roman" w:cs="Times New Roman"/>
        </w:rPr>
        <w:t>Yorkshire</w:t>
      </w:r>
      <w:proofErr w:type="spellEnd"/>
      <w:r w:rsidRPr="001254D5">
        <w:rPr>
          <w:rFonts w:ascii="Times New Roman" w:hAnsi="Times New Roman" w:cs="Times New Roman"/>
        </w:rPr>
        <w:t xml:space="preserve">, </w:t>
      </w:r>
    </w:p>
    <w:p w:rsidR="000841FB" w:rsidRPr="001254D5" w:rsidRDefault="000841FB" w:rsidP="000841FB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hAnsi="Times New Roman" w:cs="Times New Roman"/>
          <w:color w:val="231F20"/>
        </w:rPr>
      </w:pPr>
      <w:r w:rsidRPr="001254D5">
        <w:rPr>
          <w:rFonts w:ascii="Times New Roman" w:hAnsi="Times New Roman" w:cs="Times New Roman"/>
        </w:rPr>
        <w:t>WF10 5HA</w:t>
      </w:r>
    </w:p>
    <w:p w:rsidR="000841FB" w:rsidRPr="004D53BF" w:rsidRDefault="000841FB" w:rsidP="000841FB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</w:rPr>
      </w:pPr>
      <w:r w:rsidRPr="001254D5">
        <w:rPr>
          <w:rFonts w:ascii="Times New Roman" w:hAnsi="Times New Roman" w:cs="Times New Roman"/>
          <w:color w:val="231F20"/>
        </w:rPr>
        <w:t>Jungtinė Karalystė</w:t>
      </w:r>
    </w:p>
    <w:p w:rsidR="000841FB" w:rsidRPr="004D53BF" w:rsidRDefault="000841FB" w:rsidP="000841FB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i/>
        </w:rPr>
      </w:pPr>
      <w:r w:rsidRPr="004D53BF">
        <w:rPr>
          <w:rFonts w:ascii="Times New Roman" w:eastAsia="Times New Roman" w:hAnsi="Times New Roman" w:cs="Times New Roman"/>
          <w:i/>
        </w:rPr>
        <w:t>Gamintojas</w:t>
      </w:r>
    </w:p>
    <w:p w:rsidR="000841FB" w:rsidRPr="001254D5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 w:rsidRPr="001254D5">
        <w:rPr>
          <w:rFonts w:ascii="Times New Roman" w:hAnsi="Times New Roman" w:cs="Times New Roman"/>
          <w:color w:val="231F20"/>
        </w:rPr>
        <w:t xml:space="preserve">TEVA UK </w:t>
      </w:r>
      <w:proofErr w:type="spellStart"/>
      <w:r w:rsidRPr="001254D5">
        <w:rPr>
          <w:rFonts w:ascii="Times New Roman" w:hAnsi="Times New Roman" w:cs="Times New Roman"/>
          <w:color w:val="231F20"/>
        </w:rPr>
        <w:t>Limited</w:t>
      </w:r>
      <w:proofErr w:type="spellEnd"/>
      <w:r w:rsidRPr="001254D5">
        <w:rPr>
          <w:rFonts w:ascii="Times New Roman" w:hAnsi="Times New Roman" w:cs="Times New Roman"/>
          <w:color w:val="231F20"/>
        </w:rPr>
        <w:t xml:space="preserve">, </w:t>
      </w:r>
    </w:p>
    <w:p w:rsidR="000841FB" w:rsidRPr="001254D5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proofErr w:type="spellStart"/>
      <w:r w:rsidRPr="001254D5">
        <w:rPr>
          <w:rFonts w:ascii="Times New Roman" w:hAnsi="Times New Roman" w:cs="Times New Roman"/>
          <w:color w:val="231F20"/>
        </w:rPr>
        <w:t>Eastbourne</w:t>
      </w:r>
      <w:proofErr w:type="spellEnd"/>
      <w:r w:rsidRPr="001254D5">
        <w:rPr>
          <w:rFonts w:ascii="Times New Roman" w:hAnsi="Times New Roman" w:cs="Times New Roman"/>
          <w:color w:val="231F20"/>
        </w:rPr>
        <w:t>, BN22 9AG</w:t>
      </w:r>
    </w:p>
    <w:p w:rsidR="000841FB" w:rsidRPr="004D53BF" w:rsidRDefault="000841FB" w:rsidP="000841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254D5">
        <w:rPr>
          <w:rFonts w:ascii="Times New Roman" w:eastAsia="Times New Roman" w:hAnsi="Times New Roman" w:cs="Times New Roman"/>
        </w:rPr>
        <w:t>Jungtinė Karalystė</w:t>
      </w:r>
    </w:p>
    <w:p w:rsidR="000841FB" w:rsidRPr="001254D5" w:rsidRDefault="000841FB" w:rsidP="000841F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b/>
          <w:noProof/>
          <w:lang w:eastAsia="fr-FR"/>
        </w:rPr>
        <w:t xml:space="preserve">Lygiagretus importuotojas 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>UAB „Actiofarma“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>Islandijos pl. 209A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>LT-49163, Kaunas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>Lietuva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b/>
          <w:noProof/>
          <w:lang w:eastAsia="fr-FR"/>
        </w:rPr>
        <w:t xml:space="preserve">Perpakavo 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 xml:space="preserve">UAB </w:t>
      </w:r>
      <w:r w:rsidR="00AD2C1E" w:rsidRPr="001254D5">
        <w:rPr>
          <w:rFonts w:ascii="Times New Roman" w:eastAsia="Times New Roman" w:hAnsi="Times New Roman" w:cs="Times New Roman"/>
          <w:noProof/>
          <w:lang w:eastAsia="fr-FR"/>
        </w:rPr>
        <w:t>„</w:t>
      </w:r>
      <w:r w:rsidRPr="001254D5">
        <w:rPr>
          <w:rFonts w:ascii="Times New Roman" w:eastAsia="Times New Roman" w:hAnsi="Times New Roman" w:cs="Times New Roman"/>
          <w:noProof/>
          <w:lang w:eastAsia="fr-FR"/>
        </w:rPr>
        <w:t>Entafarma</w:t>
      </w:r>
      <w:r w:rsidR="00AD2C1E" w:rsidRPr="001254D5">
        <w:rPr>
          <w:rFonts w:ascii="Times New Roman" w:eastAsia="Times New Roman" w:hAnsi="Times New Roman" w:cs="Times New Roman"/>
          <w:noProof/>
          <w:lang w:eastAsia="fr-FR"/>
        </w:rPr>
        <w:t>“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>Klonėnų vs. 1</w:t>
      </w:r>
    </w:p>
    <w:p w:rsidR="000841FB" w:rsidRPr="001254D5" w:rsidRDefault="000841FB" w:rsidP="000841F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noProof/>
          <w:lang w:eastAsia="fr-FR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 xml:space="preserve">LT-19156 Širvintų r. sav., </w:t>
      </w:r>
    </w:p>
    <w:p w:rsidR="000841FB" w:rsidRPr="001254D5" w:rsidRDefault="000841FB" w:rsidP="000841F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54D5">
        <w:rPr>
          <w:rFonts w:ascii="Times New Roman" w:eastAsia="Times New Roman" w:hAnsi="Times New Roman" w:cs="Times New Roman"/>
          <w:noProof/>
          <w:lang w:eastAsia="fr-FR"/>
        </w:rPr>
        <w:t>Lietuva</w:t>
      </w:r>
    </w:p>
    <w:p w:rsidR="000841FB" w:rsidRPr="004D53BF" w:rsidRDefault="000841FB" w:rsidP="000841F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53BF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4D53BF">
        <w:rPr>
          <w:rFonts w:ascii="Times New Roman" w:eastAsia="Times New Roman" w:hAnsi="Times New Roman" w:cs="Times New Roman"/>
          <w:b/>
        </w:rPr>
        <w:t xml:space="preserve">lapelis paskutinį kartą peržiūrėtas </w:t>
      </w:r>
      <w:r w:rsidR="00C93052">
        <w:rPr>
          <w:rFonts w:ascii="Times New Roman" w:eastAsia="Times New Roman" w:hAnsi="Times New Roman" w:cs="Times New Roman"/>
          <w:b/>
        </w:rPr>
        <w:t>2018-07-</w:t>
      </w:r>
      <w:r w:rsidR="00D661A9">
        <w:rPr>
          <w:rFonts w:ascii="Times New Roman" w:eastAsia="Times New Roman" w:hAnsi="Times New Roman" w:cs="Times New Roman"/>
          <w:b/>
        </w:rPr>
        <w:t>05</w:t>
      </w:r>
      <w:bookmarkStart w:id="3" w:name="_GoBack"/>
      <w:bookmarkEnd w:id="3"/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4D53BF" w:rsidRDefault="000841FB" w:rsidP="000841F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41FB" w:rsidRPr="001254D5" w:rsidRDefault="000841FB" w:rsidP="000841FB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  <w:lang w:eastAsia="de-DE"/>
        </w:rPr>
      </w:pPr>
      <w:r w:rsidRPr="004D53BF">
        <w:rPr>
          <w:rFonts w:ascii="Times New Roman" w:eastAsia="Calibri" w:hAnsi="Times New Roman" w:cs="Times New Roman"/>
          <w:lang w:eastAsia="de-DE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1254D5">
          <w:rPr>
            <w:rFonts w:ascii="Times New Roman" w:eastAsia="Calibri" w:hAnsi="Times New Roman" w:cs="Times New Roman"/>
            <w:color w:val="0000FF"/>
            <w:u w:val="single"/>
            <w:lang w:eastAsia="de-DE"/>
          </w:rPr>
          <w:t>http://www.vvkt.lt/</w:t>
        </w:r>
      </w:hyperlink>
    </w:p>
    <w:p w:rsidR="000841FB" w:rsidRPr="004D53BF" w:rsidRDefault="000841FB" w:rsidP="000841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841FB" w:rsidRPr="001254D5" w:rsidRDefault="000841FB" w:rsidP="000841FB">
      <w:pPr>
        <w:rPr>
          <w:rFonts w:ascii="Times New Roman" w:hAnsi="Times New Roman" w:cs="Times New Roman"/>
        </w:rPr>
      </w:pPr>
    </w:p>
    <w:p w:rsidR="005E1C5F" w:rsidRPr="000841FB" w:rsidRDefault="005E1C5F" w:rsidP="005E1C5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E1C5F" w:rsidRPr="000841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CB9" w:rsidRDefault="007C0CB9" w:rsidP="007814EC">
      <w:pPr>
        <w:spacing w:after="0" w:line="240" w:lineRule="auto"/>
      </w:pPr>
      <w:r>
        <w:separator/>
      </w:r>
    </w:p>
  </w:endnote>
  <w:endnote w:type="continuationSeparator" w:id="0">
    <w:p w:rsidR="007C0CB9" w:rsidRDefault="007C0CB9" w:rsidP="0078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CB9" w:rsidRDefault="007C0CB9" w:rsidP="007814EC">
      <w:pPr>
        <w:spacing w:after="0" w:line="240" w:lineRule="auto"/>
      </w:pPr>
      <w:r>
        <w:separator/>
      </w:r>
    </w:p>
  </w:footnote>
  <w:footnote w:type="continuationSeparator" w:id="0">
    <w:p w:rsidR="007C0CB9" w:rsidRDefault="007C0CB9" w:rsidP="0078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865C4A"/>
    <w:multiLevelType w:val="hybridMultilevel"/>
    <w:tmpl w:val="A662ADF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6B5"/>
    <w:multiLevelType w:val="hybridMultilevel"/>
    <w:tmpl w:val="C3F878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7F98"/>
    <w:multiLevelType w:val="hybridMultilevel"/>
    <w:tmpl w:val="984C46B6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531E1"/>
    <w:multiLevelType w:val="hybridMultilevel"/>
    <w:tmpl w:val="7ACC5A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2C8C"/>
    <w:multiLevelType w:val="hybridMultilevel"/>
    <w:tmpl w:val="5F84A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91517"/>
    <w:multiLevelType w:val="hybridMultilevel"/>
    <w:tmpl w:val="78CA6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11C05"/>
    <w:multiLevelType w:val="hybridMultilevel"/>
    <w:tmpl w:val="312E2A02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35EC"/>
    <w:multiLevelType w:val="hybridMultilevel"/>
    <w:tmpl w:val="C1B4B8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B23B4"/>
    <w:multiLevelType w:val="hybridMultilevel"/>
    <w:tmpl w:val="F4CCC2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31A46"/>
    <w:multiLevelType w:val="hybridMultilevel"/>
    <w:tmpl w:val="C240CD88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A0F9D"/>
    <w:multiLevelType w:val="hybridMultilevel"/>
    <w:tmpl w:val="4DD8C2C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8538F"/>
    <w:multiLevelType w:val="hybridMultilevel"/>
    <w:tmpl w:val="B5E479E6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146B3E"/>
    <w:multiLevelType w:val="hybridMultilevel"/>
    <w:tmpl w:val="D402C8EA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E5CD6"/>
    <w:multiLevelType w:val="hybridMultilevel"/>
    <w:tmpl w:val="9D928C02"/>
    <w:lvl w:ilvl="0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0F"/>
    <w:rsid w:val="000470F9"/>
    <w:rsid w:val="000841FB"/>
    <w:rsid w:val="001474BE"/>
    <w:rsid w:val="001C4F4C"/>
    <w:rsid w:val="001D5E6F"/>
    <w:rsid w:val="00287366"/>
    <w:rsid w:val="002973AD"/>
    <w:rsid w:val="002E1CD6"/>
    <w:rsid w:val="00313137"/>
    <w:rsid w:val="00411EFE"/>
    <w:rsid w:val="005E1C5F"/>
    <w:rsid w:val="00701ED5"/>
    <w:rsid w:val="00715332"/>
    <w:rsid w:val="007814EC"/>
    <w:rsid w:val="007C0CB9"/>
    <w:rsid w:val="007E1963"/>
    <w:rsid w:val="00824819"/>
    <w:rsid w:val="009543D3"/>
    <w:rsid w:val="009D38A0"/>
    <w:rsid w:val="00AA5F09"/>
    <w:rsid w:val="00AD2C1E"/>
    <w:rsid w:val="00AE70C4"/>
    <w:rsid w:val="00B06E0F"/>
    <w:rsid w:val="00B37460"/>
    <w:rsid w:val="00C02794"/>
    <w:rsid w:val="00C150CD"/>
    <w:rsid w:val="00C403F7"/>
    <w:rsid w:val="00C57395"/>
    <w:rsid w:val="00C93052"/>
    <w:rsid w:val="00D661A9"/>
    <w:rsid w:val="00DD3345"/>
    <w:rsid w:val="00E35AB9"/>
    <w:rsid w:val="00ED3B28"/>
    <w:rsid w:val="00EE0C60"/>
    <w:rsid w:val="00F30FFD"/>
    <w:rsid w:val="00F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5DEE"/>
  <w15:chartTrackingRefBased/>
  <w15:docId w15:val="{E3B499ED-7E0E-4257-A23D-CB73608D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-1labEMEASMCA">
    <w:name w:val="PI-1_lab EMEA_SMCA"/>
    <w:basedOn w:val="Normal"/>
    <w:autoRedefine/>
    <w:uiPriority w:val="99"/>
    <w:rsid w:val="00B06E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1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EC"/>
  </w:style>
  <w:style w:type="paragraph" w:styleId="Footer">
    <w:name w:val="footer"/>
    <w:basedOn w:val="Normal"/>
    <w:link w:val="FooterChar"/>
    <w:uiPriority w:val="99"/>
    <w:unhideWhenUsed/>
    <w:rsid w:val="00781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EC"/>
  </w:style>
  <w:style w:type="paragraph" w:styleId="Title">
    <w:name w:val="Title"/>
    <w:basedOn w:val="Normal"/>
    <w:link w:val="TitleChar"/>
    <w:autoRedefine/>
    <w:uiPriority w:val="99"/>
    <w:qFormat/>
    <w:rsid w:val="007814E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7814EC"/>
    <w:rPr>
      <w:rFonts w:ascii="Times New Roman" w:eastAsia="Times New Roman" w:hAnsi="Times New Roman" w:cs="Times New Roman"/>
      <w:b/>
      <w:kern w:val="28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10794</Words>
  <Characters>6153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66</dc:creator>
  <cp:keywords/>
  <dc:description/>
  <cp:lastModifiedBy>Gediminas Ruša</cp:lastModifiedBy>
  <cp:revision>6</cp:revision>
  <dcterms:created xsi:type="dcterms:W3CDTF">2018-06-07T13:52:00Z</dcterms:created>
  <dcterms:modified xsi:type="dcterms:W3CDTF">2018-07-11T10:30:00Z</dcterms:modified>
</cp:coreProperties>
</file>