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1DE9" w14:textId="77777777" w:rsidR="00381B7D" w:rsidRPr="00923E74" w:rsidRDefault="00381B7D" w:rsidP="00A31E3A">
      <w:pPr>
        <w:widowControl w:val="0"/>
        <w:tabs>
          <w:tab w:val="clear" w:pos="567"/>
        </w:tabs>
        <w:spacing w:line="240" w:lineRule="auto"/>
        <w:ind w:left="567" w:hanging="567"/>
        <w:jc w:val="center"/>
        <w:rPr>
          <w:b/>
          <w:snapToGrid/>
          <w:szCs w:val="22"/>
          <w:lang w:val="lt-LT" w:eastAsia="sl-SI"/>
        </w:rPr>
      </w:pPr>
      <w:bookmarkStart w:id="0" w:name="Tab"/>
      <w:bookmarkEnd w:id="0"/>
    </w:p>
    <w:p w14:paraId="5EBC5978" w14:textId="77777777" w:rsidR="00381B7D" w:rsidRPr="00923E74" w:rsidRDefault="00381B7D" w:rsidP="00A31E3A">
      <w:pPr>
        <w:widowControl w:val="0"/>
        <w:tabs>
          <w:tab w:val="clear" w:pos="567"/>
        </w:tabs>
        <w:spacing w:line="240" w:lineRule="auto"/>
        <w:ind w:left="567" w:hanging="567"/>
        <w:jc w:val="center"/>
        <w:rPr>
          <w:b/>
          <w:snapToGrid/>
          <w:szCs w:val="22"/>
          <w:lang w:val="lt-LT" w:eastAsia="sl-SI"/>
        </w:rPr>
      </w:pPr>
    </w:p>
    <w:p w14:paraId="7AC14B0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64681DBD"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0949BF8B"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6D45EFD7"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2F0EFBB9"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6CDBC258"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5BB9784"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8B06C02"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32C6663"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960BFC0"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1FA9162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4C36AC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47E405E5"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11C30579"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01B5C04A"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49E7561"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3E09E14F"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1C1560BA"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7B2C8EEB"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7773B4EB"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2CF09CC6"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p>
    <w:p w14:paraId="25BB2615" w14:textId="14D88314" w:rsidR="00381B7D" w:rsidRPr="00923E74" w:rsidRDefault="00381B7D" w:rsidP="007E15ED">
      <w:pPr>
        <w:keepNext/>
        <w:widowControl w:val="0"/>
        <w:spacing w:line="240" w:lineRule="auto"/>
        <w:ind w:left="567" w:hanging="567"/>
        <w:jc w:val="center"/>
        <w:outlineLvl w:val="0"/>
        <w:rPr>
          <w:b/>
          <w:caps/>
          <w:snapToGrid/>
          <w:szCs w:val="22"/>
          <w:lang w:val="lt-LT" w:eastAsia="sl-SI"/>
        </w:rPr>
      </w:pPr>
      <w:bookmarkStart w:id="1" w:name="_Toc129243096"/>
      <w:bookmarkStart w:id="2" w:name="_Toc129243221"/>
      <w:r w:rsidRPr="00923E74">
        <w:rPr>
          <w:b/>
          <w:caps/>
          <w:snapToGrid/>
          <w:szCs w:val="22"/>
          <w:lang w:val="lt-LT" w:eastAsia="sl-SI"/>
        </w:rPr>
        <w:t>I</w:t>
      </w:r>
      <w:r w:rsidR="009E6D16">
        <w:rPr>
          <w:b/>
          <w:caps/>
          <w:snapToGrid/>
          <w:szCs w:val="22"/>
          <w:lang w:val="lt-LT" w:eastAsia="sl-SI"/>
        </w:rPr>
        <w:t> </w:t>
      </w:r>
      <w:r w:rsidRPr="00923E74">
        <w:rPr>
          <w:b/>
          <w:caps/>
          <w:snapToGrid/>
          <w:szCs w:val="22"/>
          <w:lang w:val="lt-LT" w:eastAsia="sl-SI"/>
        </w:rPr>
        <w:t>PRIEDAS</w:t>
      </w:r>
      <w:bookmarkEnd w:id="1"/>
      <w:bookmarkEnd w:id="2"/>
    </w:p>
    <w:p w14:paraId="17B0B86A" w14:textId="77777777" w:rsidR="00381B7D" w:rsidRPr="00923E74" w:rsidRDefault="00381B7D" w:rsidP="007E15ED">
      <w:pPr>
        <w:keepNext/>
        <w:widowControl w:val="0"/>
        <w:tabs>
          <w:tab w:val="clear" w:pos="567"/>
        </w:tabs>
        <w:spacing w:line="240" w:lineRule="auto"/>
        <w:ind w:left="567" w:hanging="567"/>
        <w:jc w:val="center"/>
        <w:rPr>
          <w:snapToGrid/>
          <w:szCs w:val="22"/>
          <w:lang w:val="lt-LT" w:eastAsia="sl-SI"/>
        </w:rPr>
      </w:pPr>
    </w:p>
    <w:p w14:paraId="719F8A9A" w14:textId="77777777" w:rsidR="00381B7D" w:rsidRPr="00923E74" w:rsidRDefault="00381B7D" w:rsidP="00A31E3A">
      <w:pPr>
        <w:widowControl w:val="0"/>
        <w:tabs>
          <w:tab w:val="clear" w:pos="567"/>
        </w:tabs>
        <w:spacing w:line="240" w:lineRule="auto"/>
        <w:ind w:left="567" w:hanging="567"/>
        <w:jc w:val="center"/>
        <w:rPr>
          <w:snapToGrid/>
          <w:szCs w:val="22"/>
          <w:lang w:val="lt-LT" w:eastAsia="sl-SI"/>
        </w:rPr>
      </w:pPr>
      <w:r w:rsidRPr="00923E74">
        <w:rPr>
          <w:b/>
          <w:snapToGrid/>
          <w:szCs w:val="22"/>
          <w:lang w:val="lt-LT" w:eastAsia="sl-SI"/>
        </w:rPr>
        <w:t>PREPARATO CHARAKTERISTIKŲ SANTRAUKA</w:t>
      </w:r>
    </w:p>
    <w:p w14:paraId="484AF5F7" w14:textId="51294818" w:rsidR="00381B7D" w:rsidRPr="00923E74" w:rsidRDefault="00381B7D" w:rsidP="007E15ED">
      <w:pPr>
        <w:keepNext/>
        <w:widowControl w:val="0"/>
        <w:spacing w:line="240" w:lineRule="auto"/>
        <w:rPr>
          <w:b/>
          <w:snapToGrid/>
          <w:szCs w:val="22"/>
          <w:lang w:val="lt-LT" w:eastAsia="sl-SI"/>
        </w:rPr>
      </w:pPr>
      <w:r w:rsidRPr="00923E74">
        <w:rPr>
          <w:snapToGrid/>
          <w:szCs w:val="22"/>
          <w:lang w:val="lt-LT" w:eastAsia="sl-SI"/>
        </w:rPr>
        <w:br w:type="page"/>
      </w:r>
      <w:r w:rsidRPr="00923E74">
        <w:rPr>
          <w:b/>
          <w:snapToGrid/>
          <w:szCs w:val="22"/>
          <w:lang w:val="lt-LT" w:eastAsia="sl-SI"/>
        </w:rPr>
        <w:lastRenderedPageBreak/>
        <w:t>1.</w:t>
      </w:r>
      <w:r w:rsidRPr="00923E74">
        <w:rPr>
          <w:b/>
          <w:snapToGrid/>
          <w:szCs w:val="22"/>
          <w:lang w:val="lt-LT" w:eastAsia="sl-SI"/>
        </w:rPr>
        <w:tab/>
        <w:t>VAISTINIO PREPARATO PAVADINIMAS</w:t>
      </w:r>
    </w:p>
    <w:p w14:paraId="7ECAEEFA" w14:textId="77777777" w:rsidR="00381B7D" w:rsidRPr="00923E74" w:rsidRDefault="00381B7D" w:rsidP="007E15ED">
      <w:pPr>
        <w:keepNext/>
        <w:widowControl w:val="0"/>
        <w:tabs>
          <w:tab w:val="clear" w:pos="567"/>
        </w:tabs>
        <w:spacing w:line="240" w:lineRule="auto"/>
        <w:rPr>
          <w:b/>
          <w:snapToGrid/>
          <w:szCs w:val="22"/>
          <w:lang w:val="lt-LT" w:eastAsia="sl-SI"/>
        </w:rPr>
      </w:pPr>
    </w:p>
    <w:p w14:paraId="4A3EDC63" w14:textId="77777777" w:rsidR="00D77648" w:rsidRPr="00923E74" w:rsidRDefault="00D77648" w:rsidP="00A31E3A">
      <w:pPr>
        <w:spacing w:line="240" w:lineRule="auto"/>
        <w:rPr>
          <w:snapToGrid/>
          <w:szCs w:val="22"/>
          <w:lang w:val="lt-LT"/>
        </w:rPr>
      </w:pPr>
      <w:proofErr w:type="spellStart"/>
      <w:r w:rsidRPr="00923E74">
        <w:rPr>
          <w:snapToGrid/>
          <w:szCs w:val="22"/>
          <w:lang w:val="lt-LT"/>
        </w:rPr>
        <w:t>Torzelip</w:t>
      </w:r>
      <w:proofErr w:type="spellEnd"/>
      <w:r w:rsidR="004744A3" w:rsidRPr="00923E74">
        <w:rPr>
          <w:snapToGrid/>
          <w:szCs w:val="22"/>
          <w:lang w:val="lt-LT"/>
        </w:rPr>
        <w:t xml:space="preserve"> 10</w:t>
      </w:r>
      <w:r w:rsidR="00DB52C7" w:rsidRPr="00923E74">
        <w:rPr>
          <w:snapToGrid/>
          <w:szCs w:val="22"/>
          <w:lang w:val="lt-LT"/>
        </w:rPr>
        <w:t> mg</w:t>
      </w:r>
      <w:r w:rsidR="004744A3" w:rsidRPr="00923E74">
        <w:rPr>
          <w:snapToGrid/>
          <w:szCs w:val="22"/>
          <w:lang w:val="lt-LT"/>
        </w:rPr>
        <w:t>/</w:t>
      </w:r>
      <w:r w:rsidRPr="00923E74">
        <w:rPr>
          <w:snapToGrid/>
          <w:szCs w:val="22"/>
          <w:lang w:val="lt-LT"/>
        </w:rPr>
        <w:t>10</w:t>
      </w:r>
      <w:r w:rsidR="00DB52C7" w:rsidRPr="00923E74">
        <w:rPr>
          <w:snapToGrid/>
          <w:szCs w:val="22"/>
          <w:lang w:val="lt-LT"/>
        </w:rPr>
        <w:t> mg</w:t>
      </w:r>
      <w:r w:rsidRPr="00923E74">
        <w:rPr>
          <w:snapToGrid/>
          <w:szCs w:val="22"/>
          <w:lang w:val="lt-LT"/>
        </w:rPr>
        <w:t xml:space="preserve"> tablet</w:t>
      </w:r>
      <w:r w:rsidR="004744A3" w:rsidRPr="00923E74">
        <w:rPr>
          <w:snapToGrid/>
          <w:szCs w:val="22"/>
          <w:lang w:val="lt-LT"/>
        </w:rPr>
        <w:t>ė</w:t>
      </w:r>
      <w:r w:rsidRPr="00923E74">
        <w:rPr>
          <w:snapToGrid/>
          <w:szCs w:val="22"/>
          <w:lang w:val="lt-LT"/>
        </w:rPr>
        <w:t>s</w:t>
      </w:r>
    </w:p>
    <w:p w14:paraId="6899ADA2" w14:textId="77777777" w:rsidR="00D77648" w:rsidRPr="007A11B7" w:rsidRDefault="00D77648" w:rsidP="00A31E3A">
      <w:pPr>
        <w:spacing w:line="240" w:lineRule="auto"/>
        <w:rPr>
          <w:snapToGrid/>
          <w:szCs w:val="22"/>
          <w:highlight w:val="lightGray"/>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w:t>
      </w:r>
      <w:r w:rsidR="00DB52C7" w:rsidRPr="007A11B7">
        <w:rPr>
          <w:snapToGrid/>
          <w:szCs w:val="22"/>
          <w:highlight w:val="lightGray"/>
          <w:lang w:val="lt-LT"/>
        </w:rPr>
        <w:t> mg</w:t>
      </w:r>
      <w:r w:rsidR="004744A3" w:rsidRPr="007A11B7">
        <w:rPr>
          <w:snapToGrid/>
          <w:szCs w:val="22"/>
          <w:highlight w:val="lightGray"/>
          <w:lang w:val="lt-LT"/>
        </w:rPr>
        <w:t>/</w:t>
      </w:r>
      <w:r w:rsidRPr="007A11B7">
        <w:rPr>
          <w:snapToGrid/>
          <w:szCs w:val="22"/>
          <w:highlight w:val="lightGray"/>
          <w:lang w:val="lt-LT"/>
        </w:rPr>
        <w:t>20</w:t>
      </w:r>
      <w:r w:rsidR="00DB52C7" w:rsidRPr="007A11B7">
        <w:rPr>
          <w:snapToGrid/>
          <w:szCs w:val="22"/>
          <w:highlight w:val="lightGray"/>
          <w:lang w:val="lt-LT"/>
        </w:rPr>
        <w:t> mg</w:t>
      </w:r>
      <w:r w:rsidRPr="007A11B7">
        <w:rPr>
          <w:snapToGrid/>
          <w:szCs w:val="22"/>
          <w:highlight w:val="lightGray"/>
          <w:lang w:val="lt-LT"/>
        </w:rPr>
        <w:t xml:space="preserve"> tablet</w:t>
      </w:r>
      <w:r w:rsidR="004744A3" w:rsidRPr="007A11B7">
        <w:rPr>
          <w:snapToGrid/>
          <w:szCs w:val="22"/>
          <w:highlight w:val="lightGray"/>
          <w:lang w:val="lt-LT"/>
        </w:rPr>
        <w:t>ė</w:t>
      </w:r>
      <w:r w:rsidRPr="007A11B7">
        <w:rPr>
          <w:snapToGrid/>
          <w:szCs w:val="22"/>
          <w:highlight w:val="lightGray"/>
          <w:lang w:val="lt-LT"/>
        </w:rPr>
        <w:t>s</w:t>
      </w:r>
    </w:p>
    <w:p w14:paraId="6AA720BA" w14:textId="77777777" w:rsidR="00D77648" w:rsidRPr="007A11B7" w:rsidRDefault="00D77648" w:rsidP="00A31E3A">
      <w:pPr>
        <w:spacing w:line="240" w:lineRule="auto"/>
        <w:rPr>
          <w:snapToGrid/>
          <w:szCs w:val="22"/>
          <w:highlight w:val="lightGray"/>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w:t>
      </w:r>
      <w:r w:rsidR="00DB52C7" w:rsidRPr="007A11B7">
        <w:rPr>
          <w:snapToGrid/>
          <w:szCs w:val="22"/>
          <w:highlight w:val="lightGray"/>
          <w:lang w:val="lt-LT"/>
        </w:rPr>
        <w:t> mg</w:t>
      </w:r>
      <w:r w:rsidR="004744A3" w:rsidRPr="007A11B7">
        <w:rPr>
          <w:snapToGrid/>
          <w:szCs w:val="22"/>
          <w:highlight w:val="lightGray"/>
          <w:lang w:val="lt-LT"/>
        </w:rPr>
        <w:t>/</w:t>
      </w:r>
      <w:r w:rsidRPr="007A11B7">
        <w:rPr>
          <w:snapToGrid/>
          <w:szCs w:val="22"/>
          <w:highlight w:val="lightGray"/>
          <w:lang w:val="lt-LT"/>
        </w:rPr>
        <w:t>40</w:t>
      </w:r>
      <w:r w:rsidR="00DB52C7" w:rsidRPr="007A11B7">
        <w:rPr>
          <w:snapToGrid/>
          <w:szCs w:val="22"/>
          <w:highlight w:val="lightGray"/>
          <w:lang w:val="lt-LT"/>
        </w:rPr>
        <w:t> mg</w:t>
      </w:r>
      <w:r w:rsidRPr="007A11B7">
        <w:rPr>
          <w:snapToGrid/>
          <w:szCs w:val="22"/>
          <w:highlight w:val="lightGray"/>
          <w:lang w:val="lt-LT"/>
        </w:rPr>
        <w:t xml:space="preserve"> tablet</w:t>
      </w:r>
      <w:r w:rsidR="004744A3" w:rsidRPr="007A11B7">
        <w:rPr>
          <w:snapToGrid/>
          <w:szCs w:val="22"/>
          <w:highlight w:val="lightGray"/>
          <w:lang w:val="lt-LT"/>
        </w:rPr>
        <w:t>ė</w:t>
      </w:r>
      <w:r w:rsidRPr="007A11B7">
        <w:rPr>
          <w:snapToGrid/>
          <w:szCs w:val="22"/>
          <w:highlight w:val="lightGray"/>
          <w:lang w:val="lt-LT"/>
        </w:rPr>
        <w:t>s</w:t>
      </w:r>
    </w:p>
    <w:p w14:paraId="289F6998" w14:textId="77777777" w:rsidR="00D77648" w:rsidRPr="00923E74" w:rsidRDefault="00D77648" w:rsidP="00A31E3A">
      <w:pPr>
        <w:spacing w:line="240" w:lineRule="auto"/>
        <w:rPr>
          <w:snapToGrid/>
          <w:szCs w:val="22"/>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w:t>
      </w:r>
      <w:r w:rsidR="00DB52C7" w:rsidRPr="007A11B7">
        <w:rPr>
          <w:snapToGrid/>
          <w:szCs w:val="22"/>
          <w:highlight w:val="lightGray"/>
          <w:lang w:val="lt-LT"/>
        </w:rPr>
        <w:t> mg</w:t>
      </w:r>
      <w:r w:rsidR="004744A3" w:rsidRPr="007A11B7">
        <w:rPr>
          <w:snapToGrid/>
          <w:szCs w:val="22"/>
          <w:highlight w:val="lightGray"/>
          <w:lang w:val="lt-LT"/>
        </w:rPr>
        <w:t>/</w:t>
      </w:r>
      <w:r w:rsidRPr="007A11B7">
        <w:rPr>
          <w:snapToGrid/>
          <w:szCs w:val="22"/>
          <w:highlight w:val="lightGray"/>
          <w:lang w:val="lt-LT"/>
        </w:rPr>
        <w:t>80</w:t>
      </w:r>
      <w:r w:rsidR="00DB52C7" w:rsidRPr="007A11B7">
        <w:rPr>
          <w:snapToGrid/>
          <w:szCs w:val="22"/>
          <w:highlight w:val="lightGray"/>
          <w:lang w:val="lt-LT"/>
        </w:rPr>
        <w:t> mg</w:t>
      </w:r>
      <w:r w:rsidRPr="007A11B7">
        <w:rPr>
          <w:snapToGrid/>
          <w:szCs w:val="22"/>
          <w:highlight w:val="lightGray"/>
          <w:lang w:val="lt-LT"/>
        </w:rPr>
        <w:t xml:space="preserve"> tablet</w:t>
      </w:r>
      <w:r w:rsidR="004744A3" w:rsidRPr="007A11B7">
        <w:rPr>
          <w:snapToGrid/>
          <w:szCs w:val="22"/>
          <w:highlight w:val="lightGray"/>
          <w:lang w:val="lt-LT"/>
        </w:rPr>
        <w:t>ė</w:t>
      </w:r>
      <w:r w:rsidRPr="007A11B7">
        <w:rPr>
          <w:snapToGrid/>
          <w:szCs w:val="22"/>
          <w:highlight w:val="lightGray"/>
          <w:lang w:val="lt-LT"/>
        </w:rPr>
        <w:t>s</w:t>
      </w:r>
    </w:p>
    <w:p w14:paraId="06A2C6E3" w14:textId="77777777" w:rsidR="00381B7D" w:rsidRPr="00923E74" w:rsidRDefault="00381B7D" w:rsidP="00A31E3A">
      <w:pPr>
        <w:widowControl w:val="0"/>
        <w:tabs>
          <w:tab w:val="clear" w:pos="567"/>
        </w:tabs>
        <w:spacing w:line="240" w:lineRule="auto"/>
        <w:rPr>
          <w:snapToGrid/>
          <w:szCs w:val="22"/>
          <w:lang w:val="lt-LT" w:eastAsia="sl-SI"/>
        </w:rPr>
      </w:pPr>
    </w:p>
    <w:p w14:paraId="2DB49DB3" w14:textId="77777777" w:rsidR="00381B7D" w:rsidRPr="00923E74" w:rsidRDefault="00381B7D" w:rsidP="00A31E3A">
      <w:pPr>
        <w:widowControl w:val="0"/>
        <w:tabs>
          <w:tab w:val="clear" w:pos="567"/>
        </w:tabs>
        <w:spacing w:line="240" w:lineRule="auto"/>
        <w:rPr>
          <w:snapToGrid/>
          <w:szCs w:val="22"/>
          <w:lang w:val="lt-LT" w:eastAsia="sl-SI"/>
        </w:rPr>
      </w:pPr>
    </w:p>
    <w:p w14:paraId="0512AE74"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2.</w:t>
      </w:r>
      <w:r w:rsidRPr="00923E74">
        <w:rPr>
          <w:b/>
          <w:snapToGrid/>
          <w:szCs w:val="22"/>
          <w:lang w:val="lt-LT" w:eastAsia="sl-SI"/>
        </w:rPr>
        <w:tab/>
        <w:t>KOKYBINĖ IR KIEKYBINĖ SUDĖTIS</w:t>
      </w:r>
    </w:p>
    <w:p w14:paraId="38BB4420" w14:textId="77777777" w:rsidR="00381B7D" w:rsidRPr="00923E74" w:rsidRDefault="00381B7D" w:rsidP="007E15ED">
      <w:pPr>
        <w:keepNext/>
        <w:widowControl w:val="0"/>
        <w:tabs>
          <w:tab w:val="clear" w:pos="567"/>
        </w:tabs>
        <w:spacing w:line="240" w:lineRule="auto"/>
        <w:rPr>
          <w:snapToGrid/>
          <w:szCs w:val="22"/>
          <w:lang w:val="lt-LT" w:eastAsia="sl-SI"/>
        </w:rPr>
      </w:pPr>
    </w:p>
    <w:p w14:paraId="03314B02" w14:textId="37BF928B" w:rsidR="004744A3" w:rsidRPr="00923E74" w:rsidRDefault="004744A3" w:rsidP="00A31E3A">
      <w:pPr>
        <w:tabs>
          <w:tab w:val="clear" w:pos="567"/>
        </w:tabs>
        <w:autoSpaceDE w:val="0"/>
        <w:autoSpaceDN w:val="0"/>
        <w:adjustRightInd w:val="0"/>
        <w:spacing w:line="240" w:lineRule="auto"/>
        <w:rPr>
          <w:snapToGrid/>
          <w:szCs w:val="22"/>
          <w:lang w:val="lt-LT"/>
        </w:rPr>
      </w:pPr>
      <w:r w:rsidRPr="00923E74">
        <w:rPr>
          <w:snapToGrid/>
          <w:szCs w:val="22"/>
          <w:lang w:val="lt-LT"/>
        </w:rPr>
        <w:t>Kiekvienoje</w:t>
      </w:r>
      <w:r w:rsidR="009E6D16">
        <w:rPr>
          <w:snapToGrid/>
          <w:szCs w:val="22"/>
          <w:lang w:val="lt-LT"/>
        </w:rPr>
        <w:t> </w:t>
      </w:r>
      <w:r w:rsidRPr="00923E74">
        <w:rPr>
          <w:snapToGrid/>
          <w:szCs w:val="22"/>
          <w:lang w:val="lt-LT"/>
        </w:rPr>
        <w:t>tabletėje yra 10</w:t>
      </w:r>
      <w:r w:rsidR="00DB52C7" w:rsidRPr="00923E74">
        <w:rPr>
          <w:snapToGrid/>
          <w:szCs w:val="22"/>
          <w:lang w:val="lt-LT"/>
        </w:rPr>
        <w:t> mg</w:t>
      </w:r>
      <w:r w:rsidRPr="00923E74">
        <w:rPr>
          <w:snapToGrid/>
          <w:szCs w:val="22"/>
          <w:lang w:val="lt-LT"/>
        </w:rPr>
        <w:t xml:space="preserve"> </w:t>
      </w:r>
      <w:proofErr w:type="spellStart"/>
      <w:r w:rsidRPr="00923E74">
        <w:rPr>
          <w:snapToGrid/>
          <w:szCs w:val="22"/>
          <w:lang w:val="lt-LT"/>
        </w:rPr>
        <w:t>ezetimibo</w:t>
      </w:r>
      <w:proofErr w:type="spellEnd"/>
      <w:r w:rsidRPr="00923E74">
        <w:rPr>
          <w:snapToGrid/>
          <w:szCs w:val="22"/>
          <w:lang w:val="lt-LT"/>
        </w:rPr>
        <w:t xml:space="preserve"> ir 10</w:t>
      </w:r>
      <w:r w:rsidR="00DB52C7" w:rsidRPr="00923E74">
        <w:rPr>
          <w:snapToGrid/>
          <w:szCs w:val="22"/>
          <w:lang w:val="lt-LT"/>
        </w:rPr>
        <w:t> mg</w:t>
      </w:r>
      <w:r w:rsidRPr="007A11B7">
        <w:rPr>
          <w:snapToGrid/>
          <w:szCs w:val="22"/>
          <w:highlight w:val="lightGray"/>
          <w:lang w:val="lt-LT"/>
        </w:rPr>
        <w:t>, 20</w:t>
      </w:r>
      <w:r w:rsidR="00DB52C7" w:rsidRPr="007A11B7">
        <w:rPr>
          <w:snapToGrid/>
          <w:szCs w:val="22"/>
          <w:highlight w:val="lightGray"/>
          <w:lang w:val="lt-LT"/>
        </w:rPr>
        <w:t> mg</w:t>
      </w:r>
      <w:r w:rsidRPr="007A11B7">
        <w:rPr>
          <w:snapToGrid/>
          <w:szCs w:val="22"/>
          <w:highlight w:val="lightGray"/>
          <w:lang w:val="lt-LT"/>
        </w:rPr>
        <w:t>, 40</w:t>
      </w:r>
      <w:r w:rsidR="00DB52C7" w:rsidRPr="007A11B7">
        <w:rPr>
          <w:snapToGrid/>
          <w:szCs w:val="22"/>
          <w:highlight w:val="lightGray"/>
          <w:lang w:val="lt-LT"/>
        </w:rPr>
        <w:t> mg</w:t>
      </w:r>
      <w:r w:rsidRPr="007A11B7">
        <w:rPr>
          <w:snapToGrid/>
          <w:szCs w:val="22"/>
          <w:highlight w:val="lightGray"/>
          <w:lang w:val="lt-LT"/>
        </w:rPr>
        <w:t xml:space="preserve"> arba 80</w:t>
      </w:r>
      <w:r w:rsidR="00DB52C7" w:rsidRPr="007A11B7">
        <w:rPr>
          <w:snapToGrid/>
          <w:szCs w:val="22"/>
          <w:highlight w:val="lightGray"/>
          <w:lang w:val="lt-LT"/>
        </w:rPr>
        <w:t> mg</w:t>
      </w:r>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kalcio</w:t>
      </w:r>
      <w:r w:rsidR="001D317C" w:rsidRPr="00923E74">
        <w:rPr>
          <w:snapToGrid/>
          <w:szCs w:val="22"/>
          <w:lang w:val="lt-LT"/>
        </w:rPr>
        <w:t xml:space="preserve"> druskos </w:t>
      </w:r>
      <w:proofErr w:type="spellStart"/>
      <w:r w:rsidR="001D317C" w:rsidRPr="00923E74">
        <w:rPr>
          <w:snapToGrid/>
          <w:szCs w:val="22"/>
          <w:lang w:val="lt-LT"/>
        </w:rPr>
        <w:t>trihidrato</w:t>
      </w:r>
      <w:proofErr w:type="spellEnd"/>
      <w:r w:rsidR="001D317C" w:rsidRPr="00923E74">
        <w:rPr>
          <w:snapToGrid/>
          <w:szCs w:val="22"/>
          <w:lang w:val="lt-LT"/>
        </w:rPr>
        <w:t xml:space="preserve"> pavidalu).</w:t>
      </w:r>
    </w:p>
    <w:p w14:paraId="151734DD" w14:textId="77777777" w:rsidR="004744A3" w:rsidRPr="00923E74" w:rsidRDefault="004744A3" w:rsidP="00A31E3A">
      <w:pPr>
        <w:tabs>
          <w:tab w:val="clear" w:pos="567"/>
        </w:tabs>
        <w:autoSpaceDE w:val="0"/>
        <w:autoSpaceDN w:val="0"/>
        <w:adjustRightInd w:val="0"/>
        <w:spacing w:line="240" w:lineRule="auto"/>
        <w:rPr>
          <w:snapToGrid/>
          <w:szCs w:val="22"/>
          <w:u w:val="single"/>
          <w:lang w:val="lt-LT"/>
        </w:rPr>
      </w:pPr>
    </w:p>
    <w:p w14:paraId="3653D16A" w14:textId="7FA6BC6D" w:rsidR="004744A3" w:rsidRPr="00923E74" w:rsidRDefault="00E41A89" w:rsidP="007E15ED">
      <w:pPr>
        <w:keepNext/>
        <w:widowControl w:val="0"/>
        <w:tabs>
          <w:tab w:val="clear" w:pos="567"/>
        </w:tabs>
        <w:autoSpaceDE w:val="0"/>
        <w:autoSpaceDN w:val="0"/>
        <w:adjustRightInd w:val="0"/>
        <w:spacing w:line="240" w:lineRule="auto"/>
        <w:rPr>
          <w:bCs/>
          <w:snapToGrid/>
          <w:szCs w:val="22"/>
          <w:u w:val="single"/>
          <w:lang w:val="lt-LT"/>
        </w:rPr>
      </w:pPr>
      <w:r w:rsidRPr="00E41A89">
        <w:rPr>
          <w:szCs w:val="22"/>
          <w:u w:val="single"/>
          <w:lang w:val="lt-LT"/>
        </w:rPr>
        <w:t>Pagalbinė medžiaga, kurios poveikis žinomas</w:t>
      </w:r>
    </w:p>
    <w:p w14:paraId="489592CB" w14:textId="11FDBCBC" w:rsidR="004744A3" w:rsidRPr="00A76D3A" w:rsidRDefault="00751637" w:rsidP="00A31E3A">
      <w:pPr>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10 mg/10 mg tabletės</w:t>
      </w:r>
      <w:r>
        <w:rPr>
          <w:snapToGrid/>
          <w:szCs w:val="22"/>
          <w:lang w:val="lt-LT"/>
        </w:rPr>
        <w:t>:</w:t>
      </w:r>
      <w:r w:rsidRPr="00004BFB">
        <w:rPr>
          <w:snapToGrid/>
          <w:szCs w:val="22"/>
          <w:lang w:val="lt-LT"/>
        </w:rPr>
        <w:t xml:space="preserve"> </w:t>
      </w:r>
      <w:r>
        <w:rPr>
          <w:snapToGrid/>
          <w:szCs w:val="22"/>
          <w:lang w:val="lt-LT"/>
        </w:rPr>
        <w:t>k</w:t>
      </w:r>
      <w:r w:rsidR="004744A3" w:rsidRPr="00004BFB">
        <w:rPr>
          <w:snapToGrid/>
          <w:szCs w:val="22"/>
          <w:lang w:val="lt-LT"/>
        </w:rPr>
        <w:t>iekvienoje tabletėje yra 145</w:t>
      </w:r>
      <w:r w:rsidR="00DB52C7" w:rsidRPr="00004BFB">
        <w:rPr>
          <w:snapToGrid/>
          <w:szCs w:val="22"/>
          <w:lang w:val="lt-LT"/>
        </w:rPr>
        <w:t> m</w:t>
      </w:r>
      <w:r w:rsidR="00DB52C7" w:rsidRPr="00A76D3A">
        <w:rPr>
          <w:snapToGrid/>
          <w:szCs w:val="22"/>
          <w:lang w:val="lt-LT"/>
        </w:rPr>
        <w:t>g</w:t>
      </w:r>
      <w:r w:rsidR="004744A3" w:rsidRPr="00A76D3A">
        <w:rPr>
          <w:snapToGrid/>
          <w:szCs w:val="22"/>
          <w:lang w:val="lt-LT"/>
        </w:rPr>
        <w:t xml:space="preserve"> laktozės.</w:t>
      </w:r>
    </w:p>
    <w:p w14:paraId="2D2D53EF" w14:textId="6FDF2B36" w:rsidR="004744A3" w:rsidRPr="007A11B7" w:rsidRDefault="00751637" w:rsidP="00A31E3A">
      <w:pPr>
        <w:spacing w:line="240" w:lineRule="auto"/>
        <w:rPr>
          <w:snapToGrid/>
          <w:szCs w:val="22"/>
          <w:highlight w:val="lightGray"/>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 mg/20 mg tabletės: k</w:t>
      </w:r>
      <w:r w:rsidR="004744A3" w:rsidRPr="007A11B7">
        <w:rPr>
          <w:snapToGrid/>
          <w:szCs w:val="22"/>
          <w:highlight w:val="lightGray"/>
          <w:lang w:val="lt-LT"/>
        </w:rPr>
        <w:t>iekvienoje tabletėje yra 170</w:t>
      </w:r>
      <w:r w:rsidR="00DB52C7" w:rsidRPr="007A11B7">
        <w:rPr>
          <w:snapToGrid/>
          <w:szCs w:val="22"/>
          <w:highlight w:val="lightGray"/>
          <w:lang w:val="lt-LT"/>
        </w:rPr>
        <w:t> mg</w:t>
      </w:r>
      <w:r w:rsidR="004744A3" w:rsidRPr="007A11B7">
        <w:rPr>
          <w:snapToGrid/>
          <w:szCs w:val="22"/>
          <w:highlight w:val="lightGray"/>
          <w:lang w:val="lt-LT"/>
        </w:rPr>
        <w:t xml:space="preserve"> laktozės.</w:t>
      </w:r>
    </w:p>
    <w:p w14:paraId="3EF9B7AA" w14:textId="7CD91CE9" w:rsidR="004744A3" w:rsidRPr="007A11B7" w:rsidRDefault="00751637" w:rsidP="00A31E3A">
      <w:pPr>
        <w:spacing w:line="240" w:lineRule="auto"/>
        <w:rPr>
          <w:snapToGrid/>
          <w:szCs w:val="22"/>
          <w:highlight w:val="lightGray"/>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 mg/40 mg tabletės: k</w:t>
      </w:r>
      <w:r w:rsidR="004744A3" w:rsidRPr="007A11B7">
        <w:rPr>
          <w:snapToGrid/>
          <w:szCs w:val="22"/>
          <w:highlight w:val="lightGray"/>
          <w:lang w:val="lt-LT"/>
        </w:rPr>
        <w:t>iekvienoje tabletėje yra 219</w:t>
      </w:r>
      <w:r w:rsidR="00DB52C7" w:rsidRPr="007A11B7">
        <w:rPr>
          <w:snapToGrid/>
          <w:szCs w:val="22"/>
          <w:highlight w:val="lightGray"/>
          <w:lang w:val="lt-LT"/>
        </w:rPr>
        <w:t> mg</w:t>
      </w:r>
      <w:r w:rsidR="004744A3" w:rsidRPr="007A11B7">
        <w:rPr>
          <w:snapToGrid/>
          <w:szCs w:val="22"/>
          <w:highlight w:val="lightGray"/>
          <w:lang w:val="lt-LT"/>
        </w:rPr>
        <w:t xml:space="preserve"> laktozės.</w:t>
      </w:r>
    </w:p>
    <w:p w14:paraId="0D07C54F" w14:textId="0E0D468D" w:rsidR="004744A3" w:rsidRPr="00004BFB" w:rsidRDefault="00751637" w:rsidP="00A31E3A">
      <w:pPr>
        <w:spacing w:line="240" w:lineRule="auto"/>
        <w:rPr>
          <w:snapToGrid/>
          <w:szCs w:val="22"/>
          <w:lang w:val="lt-LT"/>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10 mg/80 mg tabletės: k</w:t>
      </w:r>
      <w:r w:rsidR="004744A3" w:rsidRPr="007A11B7">
        <w:rPr>
          <w:snapToGrid/>
          <w:szCs w:val="22"/>
          <w:highlight w:val="lightGray"/>
          <w:lang w:val="lt-LT"/>
        </w:rPr>
        <w:t>iekvienoje tabletėje yra 317</w:t>
      </w:r>
      <w:r w:rsidR="00DB52C7" w:rsidRPr="007A11B7">
        <w:rPr>
          <w:snapToGrid/>
          <w:szCs w:val="22"/>
          <w:highlight w:val="lightGray"/>
          <w:lang w:val="lt-LT"/>
        </w:rPr>
        <w:t> mg</w:t>
      </w:r>
      <w:r w:rsidR="004744A3" w:rsidRPr="007A11B7">
        <w:rPr>
          <w:snapToGrid/>
          <w:szCs w:val="22"/>
          <w:highlight w:val="lightGray"/>
          <w:lang w:val="lt-LT"/>
        </w:rPr>
        <w:t xml:space="preserve"> laktozės.</w:t>
      </w:r>
    </w:p>
    <w:p w14:paraId="7E292549" w14:textId="77777777" w:rsidR="004744A3" w:rsidRPr="00004BFB" w:rsidRDefault="004744A3" w:rsidP="00A31E3A">
      <w:pPr>
        <w:widowControl w:val="0"/>
        <w:tabs>
          <w:tab w:val="clear" w:pos="567"/>
        </w:tabs>
        <w:autoSpaceDE w:val="0"/>
        <w:autoSpaceDN w:val="0"/>
        <w:adjustRightInd w:val="0"/>
        <w:spacing w:line="240" w:lineRule="auto"/>
        <w:rPr>
          <w:snapToGrid/>
          <w:szCs w:val="22"/>
          <w:lang w:val="lt-LT"/>
        </w:rPr>
      </w:pPr>
    </w:p>
    <w:p w14:paraId="0B886D90" w14:textId="77777777" w:rsidR="00381B7D" w:rsidRPr="00923E74" w:rsidRDefault="00381B7D" w:rsidP="00A31E3A">
      <w:pPr>
        <w:widowControl w:val="0"/>
        <w:tabs>
          <w:tab w:val="clear" w:pos="567"/>
        </w:tabs>
        <w:spacing w:line="240" w:lineRule="auto"/>
        <w:rPr>
          <w:snapToGrid/>
          <w:szCs w:val="22"/>
          <w:lang w:val="lt-LT" w:eastAsia="sl-SI"/>
        </w:rPr>
      </w:pPr>
      <w:r w:rsidRPr="00004BFB">
        <w:rPr>
          <w:snapToGrid/>
          <w:szCs w:val="22"/>
          <w:lang w:val="lt-LT" w:eastAsia="sl-SI"/>
        </w:rPr>
        <w:t>Visos pagalbinės medžiagos išvardytos 6.1 skyriuje.</w:t>
      </w:r>
    </w:p>
    <w:p w14:paraId="0BDFF386" w14:textId="77777777" w:rsidR="00381B7D" w:rsidRPr="00923E74" w:rsidRDefault="00381B7D" w:rsidP="00A31E3A">
      <w:pPr>
        <w:widowControl w:val="0"/>
        <w:tabs>
          <w:tab w:val="clear" w:pos="567"/>
        </w:tabs>
        <w:spacing w:line="240" w:lineRule="auto"/>
        <w:rPr>
          <w:snapToGrid/>
          <w:szCs w:val="22"/>
          <w:lang w:val="lt-LT" w:eastAsia="sl-SI"/>
        </w:rPr>
      </w:pPr>
    </w:p>
    <w:p w14:paraId="298E16BA" w14:textId="77777777" w:rsidR="00381B7D" w:rsidRPr="00923E74" w:rsidRDefault="00381B7D" w:rsidP="00A31E3A">
      <w:pPr>
        <w:widowControl w:val="0"/>
        <w:tabs>
          <w:tab w:val="clear" w:pos="567"/>
        </w:tabs>
        <w:spacing w:line="240" w:lineRule="auto"/>
        <w:ind w:left="567" w:hanging="567"/>
        <w:rPr>
          <w:snapToGrid/>
          <w:szCs w:val="22"/>
          <w:lang w:val="lt-LT" w:eastAsia="sl-SI"/>
        </w:rPr>
      </w:pPr>
    </w:p>
    <w:p w14:paraId="4B0A9624"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3.</w:t>
      </w:r>
      <w:r w:rsidRPr="00923E74">
        <w:rPr>
          <w:b/>
          <w:snapToGrid/>
          <w:szCs w:val="22"/>
          <w:lang w:val="lt-LT" w:eastAsia="sl-SI"/>
        </w:rPr>
        <w:tab/>
        <w:t>FARMACINĖ FORMA</w:t>
      </w:r>
    </w:p>
    <w:p w14:paraId="702EC23C" w14:textId="77777777" w:rsidR="00381B7D" w:rsidRPr="00923E74" w:rsidRDefault="00381B7D" w:rsidP="007E15ED">
      <w:pPr>
        <w:keepNext/>
        <w:widowControl w:val="0"/>
        <w:tabs>
          <w:tab w:val="clear" w:pos="567"/>
        </w:tabs>
        <w:spacing w:line="240" w:lineRule="auto"/>
        <w:rPr>
          <w:snapToGrid/>
          <w:szCs w:val="22"/>
          <w:lang w:val="lt-LT" w:eastAsia="sl-SI"/>
        </w:rPr>
      </w:pPr>
    </w:p>
    <w:p w14:paraId="4CDE6BDC" w14:textId="77777777" w:rsidR="00381B7D" w:rsidRPr="00923E74" w:rsidRDefault="00A000A6" w:rsidP="00A31E3A">
      <w:pPr>
        <w:widowControl w:val="0"/>
        <w:tabs>
          <w:tab w:val="clear" w:pos="567"/>
        </w:tabs>
        <w:spacing w:line="240" w:lineRule="auto"/>
        <w:rPr>
          <w:snapToGrid/>
          <w:szCs w:val="22"/>
          <w:lang w:val="lt-LT" w:eastAsia="sl-SI"/>
        </w:rPr>
      </w:pPr>
      <w:r w:rsidRPr="00923E74">
        <w:rPr>
          <w:snapToGrid/>
          <w:szCs w:val="22"/>
          <w:lang w:val="lt-LT" w:eastAsia="sl-SI"/>
        </w:rPr>
        <w:t>Tabletė</w:t>
      </w:r>
      <w:r w:rsidR="00381B7D" w:rsidRPr="00923E74">
        <w:rPr>
          <w:snapToGrid/>
          <w:szCs w:val="22"/>
          <w:lang w:val="lt-LT" w:eastAsia="sl-SI"/>
        </w:rPr>
        <w:t>.</w:t>
      </w:r>
    </w:p>
    <w:p w14:paraId="0BDCBEB3" w14:textId="77777777" w:rsidR="00381B7D" w:rsidRPr="00923E74" w:rsidRDefault="00381B7D" w:rsidP="00A31E3A">
      <w:pPr>
        <w:widowControl w:val="0"/>
        <w:spacing w:line="240" w:lineRule="auto"/>
        <w:rPr>
          <w:snapToGrid/>
          <w:szCs w:val="22"/>
          <w:lang w:val="lt-LT"/>
        </w:rPr>
      </w:pPr>
    </w:p>
    <w:p w14:paraId="2E8CA275" w14:textId="2253F7F2" w:rsidR="00A000A6" w:rsidRPr="00923E74" w:rsidRDefault="0015730D" w:rsidP="00A31E3A">
      <w:pPr>
        <w:spacing w:line="240" w:lineRule="auto"/>
        <w:rPr>
          <w:snapToGrid/>
          <w:szCs w:val="22"/>
          <w:lang w:val="lt-LT" w:eastAsia="x-none"/>
        </w:rPr>
      </w:pPr>
      <w:proofErr w:type="spellStart"/>
      <w:r w:rsidRPr="00923E74">
        <w:rPr>
          <w:snapToGrid/>
          <w:szCs w:val="22"/>
          <w:lang w:val="lt-LT"/>
        </w:rPr>
        <w:t>Torzelip</w:t>
      </w:r>
      <w:proofErr w:type="spellEnd"/>
      <w:r w:rsidRPr="00923E74">
        <w:rPr>
          <w:snapToGrid/>
          <w:szCs w:val="22"/>
          <w:lang w:val="lt-LT"/>
        </w:rPr>
        <w:t xml:space="preserve"> </w:t>
      </w:r>
      <w:r w:rsidR="00A000A6" w:rsidRPr="00923E74">
        <w:rPr>
          <w:snapToGrid/>
          <w:szCs w:val="22"/>
          <w:lang w:val="lt-LT"/>
        </w:rPr>
        <w:t>10</w:t>
      </w:r>
      <w:r w:rsidR="00DB52C7" w:rsidRPr="00923E74">
        <w:rPr>
          <w:snapToGrid/>
          <w:szCs w:val="22"/>
          <w:lang w:val="lt-LT"/>
        </w:rPr>
        <w:t> mg</w:t>
      </w:r>
      <w:r w:rsidR="00A000A6" w:rsidRPr="00923E74">
        <w:rPr>
          <w:snapToGrid/>
          <w:szCs w:val="22"/>
          <w:lang w:val="lt-LT"/>
        </w:rPr>
        <w:t>/10</w:t>
      </w:r>
      <w:r w:rsidR="00DB52C7" w:rsidRPr="00923E74">
        <w:rPr>
          <w:snapToGrid/>
          <w:szCs w:val="22"/>
          <w:lang w:val="lt-LT"/>
        </w:rPr>
        <w:t> mg</w:t>
      </w:r>
      <w:r w:rsidR="00A000A6" w:rsidRPr="00923E74">
        <w:rPr>
          <w:snapToGrid/>
          <w:szCs w:val="22"/>
          <w:lang w:val="lt-LT"/>
        </w:rPr>
        <w:t xml:space="preserve"> tabletė: </w:t>
      </w:r>
      <w:r w:rsidR="00A000A6" w:rsidRPr="00923E74">
        <w:rPr>
          <w:snapToGrid/>
          <w:szCs w:val="22"/>
          <w:lang w:val="lt-LT" w:eastAsia="x-none"/>
        </w:rPr>
        <w:t>baltos arba balkšvos, kapsulės formos tabletės (12,7 mm</w:t>
      </w:r>
      <w:r w:rsidR="009E6D16">
        <w:rPr>
          <w:snapToGrid/>
          <w:szCs w:val="22"/>
          <w:lang w:val="lt-LT" w:eastAsia="x-none"/>
        </w:rPr>
        <w:t> </w:t>
      </w:r>
      <w:r w:rsidR="00A000A6" w:rsidRPr="00923E74">
        <w:rPr>
          <w:snapToGrid/>
          <w:szCs w:val="22"/>
          <w:lang w:val="lt-LT" w:eastAsia="x-none"/>
        </w:rPr>
        <w:t>x</w:t>
      </w:r>
      <w:r w:rsidR="009E6D16">
        <w:rPr>
          <w:snapToGrid/>
          <w:szCs w:val="22"/>
          <w:lang w:val="lt-LT" w:eastAsia="x-none"/>
        </w:rPr>
        <w:t> </w:t>
      </w:r>
      <w:r w:rsidR="00A000A6" w:rsidRPr="00923E74">
        <w:rPr>
          <w:snapToGrid/>
          <w:szCs w:val="22"/>
          <w:lang w:val="lt-LT" w:eastAsia="x-none"/>
        </w:rPr>
        <w:t>5,1 mm), vienoje</w:t>
      </w:r>
      <w:r w:rsidR="009E6D16">
        <w:rPr>
          <w:snapToGrid/>
          <w:szCs w:val="22"/>
          <w:lang w:val="lt-LT" w:eastAsia="x-none"/>
        </w:rPr>
        <w:t> </w:t>
      </w:r>
      <w:r w:rsidR="00A000A6" w:rsidRPr="00923E74">
        <w:rPr>
          <w:snapToGrid/>
          <w:szCs w:val="22"/>
          <w:lang w:val="lt-LT" w:eastAsia="x-none"/>
        </w:rPr>
        <w:t>pusėje įspausta „1“.</w:t>
      </w:r>
    </w:p>
    <w:p w14:paraId="64413CA4" w14:textId="0A5BC161" w:rsidR="00A000A6" w:rsidRPr="007A11B7" w:rsidRDefault="0015730D" w:rsidP="00A31E3A">
      <w:pPr>
        <w:spacing w:line="240" w:lineRule="auto"/>
        <w:rPr>
          <w:snapToGrid/>
          <w:szCs w:val="22"/>
          <w:highlight w:val="lightGray"/>
          <w:lang w:val="lt-LT" w:eastAsia="x-none"/>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w:t>
      </w:r>
      <w:r w:rsidR="00A000A6" w:rsidRPr="007A11B7">
        <w:rPr>
          <w:snapToGrid/>
          <w:szCs w:val="22"/>
          <w:highlight w:val="lightGray"/>
          <w:lang w:val="lt-LT"/>
        </w:rPr>
        <w:t>10</w:t>
      </w:r>
      <w:r w:rsidR="00DB52C7" w:rsidRPr="007A11B7">
        <w:rPr>
          <w:snapToGrid/>
          <w:szCs w:val="22"/>
          <w:highlight w:val="lightGray"/>
          <w:lang w:val="lt-LT"/>
        </w:rPr>
        <w:t> mg</w:t>
      </w:r>
      <w:r w:rsidR="00A000A6" w:rsidRPr="007A11B7">
        <w:rPr>
          <w:snapToGrid/>
          <w:szCs w:val="22"/>
          <w:highlight w:val="lightGray"/>
          <w:lang w:val="lt-LT"/>
        </w:rPr>
        <w:t>/20</w:t>
      </w:r>
      <w:r w:rsidR="00DB52C7" w:rsidRPr="007A11B7">
        <w:rPr>
          <w:snapToGrid/>
          <w:szCs w:val="22"/>
          <w:highlight w:val="lightGray"/>
          <w:lang w:val="lt-LT"/>
        </w:rPr>
        <w:t> mg</w:t>
      </w:r>
      <w:r w:rsidR="00A000A6" w:rsidRPr="007A11B7">
        <w:rPr>
          <w:snapToGrid/>
          <w:szCs w:val="22"/>
          <w:highlight w:val="lightGray"/>
          <w:lang w:val="lt-LT"/>
        </w:rPr>
        <w:t xml:space="preserve"> tabletė: </w:t>
      </w:r>
      <w:r w:rsidR="00A000A6" w:rsidRPr="007A11B7">
        <w:rPr>
          <w:snapToGrid/>
          <w:szCs w:val="22"/>
          <w:highlight w:val="lightGray"/>
          <w:lang w:val="lt-LT" w:eastAsia="x-none"/>
        </w:rPr>
        <w:t>baltos arba balkšvos, kapsulės formos tabletės (14,5 mm</w:t>
      </w:r>
      <w:r w:rsidR="009E6D16" w:rsidRPr="007A11B7">
        <w:rPr>
          <w:snapToGrid/>
          <w:szCs w:val="22"/>
          <w:highlight w:val="lightGray"/>
          <w:lang w:val="lt-LT" w:eastAsia="x-none"/>
        </w:rPr>
        <w:t> </w:t>
      </w:r>
      <w:r w:rsidR="00A000A6" w:rsidRPr="007A11B7">
        <w:rPr>
          <w:snapToGrid/>
          <w:szCs w:val="22"/>
          <w:highlight w:val="lightGray"/>
          <w:lang w:val="lt-LT" w:eastAsia="x-none"/>
        </w:rPr>
        <w:t>x</w:t>
      </w:r>
      <w:r w:rsidR="009E6D16" w:rsidRPr="007A11B7">
        <w:rPr>
          <w:snapToGrid/>
          <w:szCs w:val="22"/>
          <w:highlight w:val="lightGray"/>
          <w:lang w:val="lt-LT" w:eastAsia="x-none"/>
        </w:rPr>
        <w:t> </w:t>
      </w:r>
      <w:r w:rsidR="00A000A6" w:rsidRPr="007A11B7">
        <w:rPr>
          <w:snapToGrid/>
          <w:szCs w:val="22"/>
          <w:highlight w:val="lightGray"/>
          <w:lang w:val="lt-LT" w:eastAsia="x-none"/>
        </w:rPr>
        <w:t>6,8 mm), vienoje</w:t>
      </w:r>
      <w:r w:rsidR="009E6D16" w:rsidRPr="007A11B7">
        <w:rPr>
          <w:snapToGrid/>
          <w:szCs w:val="22"/>
          <w:highlight w:val="lightGray"/>
          <w:lang w:val="lt-LT" w:eastAsia="x-none"/>
        </w:rPr>
        <w:t> </w:t>
      </w:r>
      <w:r w:rsidR="00A000A6" w:rsidRPr="007A11B7">
        <w:rPr>
          <w:snapToGrid/>
          <w:szCs w:val="22"/>
          <w:highlight w:val="lightGray"/>
          <w:lang w:val="lt-LT" w:eastAsia="x-none"/>
        </w:rPr>
        <w:t>pusėje įspausta „2“.</w:t>
      </w:r>
    </w:p>
    <w:p w14:paraId="35C04D20" w14:textId="7960802E" w:rsidR="00A000A6" w:rsidRPr="007A11B7" w:rsidRDefault="0015730D" w:rsidP="00A31E3A">
      <w:pPr>
        <w:spacing w:line="240" w:lineRule="auto"/>
        <w:rPr>
          <w:snapToGrid/>
          <w:szCs w:val="22"/>
          <w:highlight w:val="lightGray"/>
          <w:lang w:val="lt-LT" w:eastAsia="x-none"/>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w:t>
      </w:r>
      <w:r w:rsidR="00A000A6" w:rsidRPr="007A11B7">
        <w:rPr>
          <w:snapToGrid/>
          <w:szCs w:val="22"/>
          <w:highlight w:val="lightGray"/>
          <w:lang w:val="lt-LT"/>
        </w:rPr>
        <w:t>10</w:t>
      </w:r>
      <w:r w:rsidR="00DB52C7" w:rsidRPr="007A11B7">
        <w:rPr>
          <w:snapToGrid/>
          <w:szCs w:val="22"/>
          <w:highlight w:val="lightGray"/>
          <w:lang w:val="lt-LT"/>
        </w:rPr>
        <w:t> mg</w:t>
      </w:r>
      <w:r w:rsidR="00A000A6" w:rsidRPr="007A11B7">
        <w:rPr>
          <w:snapToGrid/>
          <w:szCs w:val="22"/>
          <w:highlight w:val="lightGray"/>
          <w:lang w:val="lt-LT"/>
        </w:rPr>
        <w:t>/40</w:t>
      </w:r>
      <w:r w:rsidR="00DB52C7" w:rsidRPr="007A11B7">
        <w:rPr>
          <w:snapToGrid/>
          <w:szCs w:val="22"/>
          <w:highlight w:val="lightGray"/>
          <w:lang w:val="lt-LT"/>
        </w:rPr>
        <w:t> mg</w:t>
      </w:r>
      <w:r w:rsidR="00A000A6" w:rsidRPr="007A11B7">
        <w:rPr>
          <w:snapToGrid/>
          <w:szCs w:val="22"/>
          <w:highlight w:val="lightGray"/>
          <w:lang w:val="lt-LT"/>
        </w:rPr>
        <w:t xml:space="preserve"> tabletė: </w:t>
      </w:r>
      <w:r w:rsidR="00A000A6" w:rsidRPr="007A11B7">
        <w:rPr>
          <w:snapToGrid/>
          <w:szCs w:val="22"/>
          <w:highlight w:val="lightGray"/>
          <w:lang w:val="lt-LT" w:eastAsia="x-none"/>
        </w:rPr>
        <w:t>baltos arba balkšvos, kapsulės formos tabletės (16,4 mm</w:t>
      </w:r>
      <w:r w:rsidR="009E6D16" w:rsidRPr="007A11B7">
        <w:rPr>
          <w:snapToGrid/>
          <w:szCs w:val="22"/>
          <w:highlight w:val="lightGray"/>
          <w:lang w:val="lt-LT" w:eastAsia="x-none"/>
        </w:rPr>
        <w:t> </w:t>
      </w:r>
      <w:r w:rsidR="00A000A6" w:rsidRPr="007A11B7">
        <w:rPr>
          <w:snapToGrid/>
          <w:szCs w:val="22"/>
          <w:highlight w:val="lightGray"/>
          <w:lang w:val="lt-LT" w:eastAsia="x-none"/>
        </w:rPr>
        <w:t>x</w:t>
      </w:r>
      <w:r w:rsidR="009E6D16" w:rsidRPr="007A11B7">
        <w:rPr>
          <w:snapToGrid/>
          <w:szCs w:val="22"/>
          <w:highlight w:val="lightGray"/>
          <w:lang w:val="lt-LT" w:eastAsia="x-none"/>
        </w:rPr>
        <w:t> </w:t>
      </w:r>
      <w:r w:rsidR="00A000A6" w:rsidRPr="007A11B7">
        <w:rPr>
          <w:snapToGrid/>
          <w:szCs w:val="22"/>
          <w:highlight w:val="lightGray"/>
          <w:lang w:val="lt-LT" w:eastAsia="x-none"/>
        </w:rPr>
        <w:t>6,3 mm), vienoje</w:t>
      </w:r>
      <w:r w:rsidR="009E6D16" w:rsidRPr="007A11B7">
        <w:rPr>
          <w:snapToGrid/>
          <w:szCs w:val="22"/>
          <w:highlight w:val="lightGray"/>
          <w:lang w:val="lt-LT" w:eastAsia="x-none"/>
        </w:rPr>
        <w:t> </w:t>
      </w:r>
      <w:r w:rsidR="00A000A6" w:rsidRPr="007A11B7">
        <w:rPr>
          <w:snapToGrid/>
          <w:szCs w:val="22"/>
          <w:highlight w:val="lightGray"/>
          <w:lang w:val="lt-LT" w:eastAsia="x-none"/>
        </w:rPr>
        <w:t>pusėje įspausta „3“.</w:t>
      </w:r>
    </w:p>
    <w:p w14:paraId="2D5B8D88" w14:textId="47E13248" w:rsidR="00A000A6" w:rsidRPr="007E15ED" w:rsidRDefault="0015730D" w:rsidP="00A31E3A">
      <w:pPr>
        <w:spacing w:line="240" w:lineRule="auto"/>
        <w:rPr>
          <w:snapToGrid/>
          <w:szCs w:val="22"/>
          <w:lang w:val="lt-LT" w:eastAsia="fr-FR"/>
        </w:rPr>
      </w:pPr>
      <w:proofErr w:type="spellStart"/>
      <w:r w:rsidRPr="007A11B7">
        <w:rPr>
          <w:snapToGrid/>
          <w:szCs w:val="22"/>
          <w:highlight w:val="lightGray"/>
          <w:lang w:val="lt-LT"/>
        </w:rPr>
        <w:t>Torzelip</w:t>
      </w:r>
      <w:proofErr w:type="spellEnd"/>
      <w:r w:rsidRPr="007A11B7">
        <w:rPr>
          <w:snapToGrid/>
          <w:szCs w:val="22"/>
          <w:highlight w:val="lightGray"/>
          <w:lang w:val="lt-LT"/>
        </w:rPr>
        <w:t xml:space="preserve"> </w:t>
      </w:r>
      <w:r w:rsidR="00A000A6" w:rsidRPr="007A11B7">
        <w:rPr>
          <w:snapToGrid/>
          <w:szCs w:val="22"/>
          <w:highlight w:val="lightGray"/>
          <w:lang w:val="lt-LT"/>
        </w:rPr>
        <w:t>10</w:t>
      </w:r>
      <w:r w:rsidR="00DB52C7" w:rsidRPr="007A11B7">
        <w:rPr>
          <w:snapToGrid/>
          <w:szCs w:val="22"/>
          <w:highlight w:val="lightGray"/>
          <w:lang w:val="lt-LT"/>
        </w:rPr>
        <w:t> mg</w:t>
      </w:r>
      <w:r w:rsidR="00A000A6" w:rsidRPr="007A11B7">
        <w:rPr>
          <w:snapToGrid/>
          <w:szCs w:val="22"/>
          <w:highlight w:val="lightGray"/>
          <w:lang w:val="lt-LT"/>
        </w:rPr>
        <w:t>/80</w:t>
      </w:r>
      <w:r w:rsidR="00DB52C7" w:rsidRPr="007A11B7">
        <w:rPr>
          <w:snapToGrid/>
          <w:szCs w:val="22"/>
          <w:highlight w:val="lightGray"/>
          <w:lang w:val="lt-LT"/>
        </w:rPr>
        <w:t> mg</w:t>
      </w:r>
      <w:r w:rsidR="00A000A6" w:rsidRPr="007A11B7">
        <w:rPr>
          <w:snapToGrid/>
          <w:szCs w:val="22"/>
          <w:highlight w:val="lightGray"/>
          <w:lang w:val="lt-LT"/>
        </w:rPr>
        <w:t xml:space="preserve"> tabletė: </w:t>
      </w:r>
      <w:r w:rsidR="00A000A6" w:rsidRPr="007A11B7">
        <w:rPr>
          <w:snapToGrid/>
          <w:szCs w:val="22"/>
          <w:highlight w:val="lightGray"/>
          <w:lang w:val="lt-LT" w:eastAsia="fr-FR"/>
        </w:rPr>
        <w:t>baltos arba balkšvos, kapsulės formos tabletės (17,0 mm</w:t>
      </w:r>
      <w:r w:rsidR="009E6D16" w:rsidRPr="007A11B7">
        <w:rPr>
          <w:snapToGrid/>
          <w:szCs w:val="22"/>
          <w:highlight w:val="lightGray"/>
          <w:lang w:val="lt-LT" w:eastAsia="fr-FR"/>
        </w:rPr>
        <w:t> </w:t>
      </w:r>
      <w:r w:rsidR="00A000A6" w:rsidRPr="007A11B7">
        <w:rPr>
          <w:snapToGrid/>
          <w:szCs w:val="22"/>
          <w:highlight w:val="lightGray"/>
          <w:lang w:val="lt-LT" w:eastAsia="fr-FR"/>
        </w:rPr>
        <w:t>x</w:t>
      </w:r>
      <w:r w:rsidR="009E6D16" w:rsidRPr="007A11B7">
        <w:rPr>
          <w:snapToGrid/>
          <w:szCs w:val="22"/>
          <w:highlight w:val="lightGray"/>
          <w:lang w:val="lt-LT" w:eastAsia="fr-FR"/>
        </w:rPr>
        <w:t> </w:t>
      </w:r>
      <w:r w:rsidR="00A000A6" w:rsidRPr="007A11B7">
        <w:rPr>
          <w:snapToGrid/>
          <w:szCs w:val="22"/>
          <w:highlight w:val="lightGray"/>
          <w:lang w:val="lt-LT" w:eastAsia="fr-FR"/>
        </w:rPr>
        <w:t>8,0 mm), vienoje</w:t>
      </w:r>
      <w:r w:rsidR="009E6D16" w:rsidRPr="007A11B7">
        <w:rPr>
          <w:snapToGrid/>
          <w:szCs w:val="22"/>
          <w:highlight w:val="lightGray"/>
          <w:lang w:val="lt-LT" w:eastAsia="fr-FR"/>
        </w:rPr>
        <w:t> </w:t>
      </w:r>
      <w:r w:rsidR="00A000A6" w:rsidRPr="007A11B7">
        <w:rPr>
          <w:snapToGrid/>
          <w:szCs w:val="22"/>
          <w:highlight w:val="lightGray"/>
          <w:lang w:val="lt-LT" w:eastAsia="fr-FR"/>
        </w:rPr>
        <w:t>pusėje įspausta „4“.</w:t>
      </w:r>
    </w:p>
    <w:p w14:paraId="2C516A22" w14:textId="77777777" w:rsidR="00381B7D" w:rsidRPr="00923E74" w:rsidRDefault="00381B7D" w:rsidP="00A31E3A">
      <w:pPr>
        <w:widowControl w:val="0"/>
        <w:spacing w:line="240" w:lineRule="auto"/>
        <w:rPr>
          <w:snapToGrid/>
          <w:szCs w:val="22"/>
          <w:lang w:val="lt-LT" w:eastAsia="sl-SI"/>
        </w:rPr>
      </w:pPr>
    </w:p>
    <w:p w14:paraId="4A615804" w14:textId="77777777" w:rsidR="00381B7D" w:rsidRPr="00923E74" w:rsidRDefault="00381B7D" w:rsidP="00A31E3A">
      <w:pPr>
        <w:widowControl w:val="0"/>
        <w:tabs>
          <w:tab w:val="clear" w:pos="567"/>
        </w:tabs>
        <w:spacing w:line="240" w:lineRule="auto"/>
        <w:rPr>
          <w:snapToGrid/>
          <w:szCs w:val="22"/>
          <w:lang w:val="lt-LT" w:eastAsia="sl-SI"/>
        </w:rPr>
      </w:pPr>
    </w:p>
    <w:p w14:paraId="137A7E1A"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w:t>
      </w:r>
      <w:r w:rsidRPr="00923E74">
        <w:rPr>
          <w:b/>
          <w:snapToGrid/>
          <w:szCs w:val="22"/>
          <w:lang w:val="lt-LT" w:eastAsia="sl-SI"/>
        </w:rPr>
        <w:tab/>
        <w:t>KLINIKINĖ INFORMACIJA</w:t>
      </w:r>
    </w:p>
    <w:p w14:paraId="5D446D75"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p>
    <w:p w14:paraId="2527FC52"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4.1</w:t>
      </w:r>
      <w:r w:rsidRPr="00923E74">
        <w:rPr>
          <w:b/>
          <w:snapToGrid/>
          <w:szCs w:val="22"/>
          <w:lang w:val="lt-LT" w:eastAsia="sl-SI"/>
        </w:rPr>
        <w:tab/>
        <w:t>Terapinės indikacijos</w:t>
      </w:r>
    </w:p>
    <w:p w14:paraId="0A078EF7" w14:textId="77777777" w:rsidR="00381B7D" w:rsidRPr="00923E74" w:rsidRDefault="00381B7D" w:rsidP="007E15ED">
      <w:pPr>
        <w:keepNext/>
        <w:widowControl w:val="0"/>
        <w:tabs>
          <w:tab w:val="clear" w:pos="567"/>
        </w:tabs>
        <w:spacing w:line="240" w:lineRule="auto"/>
        <w:rPr>
          <w:snapToGrid/>
          <w:szCs w:val="22"/>
          <w:lang w:val="lt-LT" w:eastAsia="sl-SI"/>
        </w:rPr>
      </w:pPr>
    </w:p>
    <w:p w14:paraId="74E5722B" w14:textId="097F69BD" w:rsidR="00AE6D88" w:rsidRPr="0054203F" w:rsidRDefault="00AE6D88" w:rsidP="00A31E3A">
      <w:pPr>
        <w:widowControl w:val="0"/>
        <w:snapToGrid w:val="0"/>
        <w:spacing w:line="240" w:lineRule="auto"/>
        <w:rPr>
          <w:snapToGrid/>
          <w:szCs w:val="22"/>
          <w:u w:val="single"/>
          <w:lang w:val="lt-LT"/>
        </w:rPr>
      </w:pPr>
      <w:proofErr w:type="spellStart"/>
      <w:r w:rsidRPr="0054203F">
        <w:rPr>
          <w:snapToGrid/>
          <w:szCs w:val="22"/>
          <w:u w:val="single"/>
          <w:lang w:val="lt-LT"/>
        </w:rPr>
        <w:t>Hipercholesterolemija</w:t>
      </w:r>
      <w:proofErr w:type="spellEnd"/>
    </w:p>
    <w:p w14:paraId="5F043D8B" w14:textId="20764944" w:rsidR="00381B7D" w:rsidRPr="00923E74" w:rsidRDefault="004373BE" w:rsidP="00A31E3A">
      <w:pPr>
        <w:widowControl w:val="0"/>
        <w:snapToGrid w:val="0"/>
        <w:spacing w:line="240" w:lineRule="auto"/>
        <w:rPr>
          <w:snapToGrid/>
          <w:szCs w:val="22"/>
          <w:lang w:val="lt-LT"/>
        </w:rPr>
      </w:pPr>
      <w:proofErr w:type="spellStart"/>
      <w:r w:rsidRPr="00923E74">
        <w:rPr>
          <w:snapToGrid/>
          <w:szCs w:val="22"/>
          <w:lang w:val="lt-LT"/>
        </w:rPr>
        <w:t>Torzelip</w:t>
      </w:r>
      <w:proofErr w:type="spellEnd"/>
      <w:r w:rsidR="00381B7D" w:rsidRPr="00923E74">
        <w:rPr>
          <w:snapToGrid/>
          <w:szCs w:val="22"/>
          <w:lang w:val="lt-LT"/>
        </w:rPr>
        <w:t xml:space="preserve"> skirtas vartoti pakeičiamajam pirminės (</w:t>
      </w:r>
      <w:proofErr w:type="spellStart"/>
      <w:r w:rsidR="00381B7D" w:rsidRPr="00923E74">
        <w:rPr>
          <w:snapToGrid/>
          <w:szCs w:val="22"/>
          <w:lang w:val="lt-LT"/>
        </w:rPr>
        <w:t>heterozigotinės</w:t>
      </w:r>
      <w:proofErr w:type="spellEnd"/>
      <w:r w:rsidR="00381B7D" w:rsidRPr="00923E74">
        <w:rPr>
          <w:snapToGrid/>
          <w:szCs w:val="22"/>
          <w:lang w:val="lt-LT"/>
        </w:rPr>
        <w:t xml:space="preserve"> </w:t>
      </w:r>
      <w:r w:rsidR="001107B7" w:rsidRPr="00923E74">
        <w:rPr>
          <w:snapToGrid/>
          <w:szCs w:val="22"/>
          <w:lang w:val="lt-LT"/>
        </w:rPr>
        <w:t xml:space="preserve">ir </w:t>
      </w:r>
      <w:proofErr w:type="spellStart"/>
      <w:r w:rsidR="001107B7" w:rsidRPr="00923E74">
        <w:rPr>
          <w:snapToGrid/>
          <w:szCs w:val="22"/>
          <w:lang w:val="lt-LT"/>
        </w:rPr>
        <w:t>homozigotinės</w:t>
      </w:r>
      <w:proofErr w:type="spellEnd"/>
      <w:r w:rsidR="001107B7" w:rsidRPr="00923E74">
        <w:rPr>
          <w:snapToGrid/>
          <w:szCs w:val="22"/>
          <w:lang w:val="lt-LT"/>
        </w:rPr>
        <w:t xml:space="preserve"> </w:t>
      </w:r>
      <w:r w:rsidR="00381B7D" w:rsidRPr="00923E74">
        <w:rPr>
          <w:snapToGrid/>
          <w:szCs w:val="22"/>
          <w:lang w:val="lt-LT"/>
        </w:rPr>
        <w:t xml:space="preserve">šeiminės </w:t>
      </w:r>
      <w:r w:rsidR="001107B7" w:rsidRPr="00923E74">
        <w:rPr>
          <w:snapToGrid/>
          <w:szCs w:val="22"/>
          <w:lang w:val="lt-LT"/>
        </w:rPr>
        <w:t>bei</w:t>
      </w:r>
      <w:r w:rsidR="00381B7D" w:rsidRPr="00923E74">
        <w:rPr>
          <w:snapToGrid/>
          <w:szCs w:val="22"/>
          <w:lang w:val="lt-LT"/>
        </w:rPr>
        <w:t xml:space="preserve"> nešeiminės) </w:t>
      </w:r>
      <w:proofErr w:type="spellStart"/>
      <w:r w:rsidR="001107B7" w:rsidRPr="00923E74">
        <w:rPr>
          <w:snapToGrid/>
          <w:szCs w:val="22"/>
          <w:lang w:val="lt-LT"/>
        </w:rPr>
        <w:t>hipercholesterolemijos</w:t>
      </w:r>
      <w:proofErr w:type="spellEnd"/>
      <w:r w:rsidR="001107B7" w:rsidRPr="00923E74">
        <w:rPr>
          <w:snapToGrid/>
          <w:szCs w:val="22"/>
          <w:lang w:val="lt-LT"/>
        </w:rPr>
        <w:t xml:space="preserve"> ar mišrios </w:t>
      </w:r>
      <w:proofErr w:type="spellStart"/>
      <w:r w:rsidR="001107B7" w:rsidRPr="00923E74">
        <w:rPr>
          <w:snapToGrid/>
          <w:szCs w:val="22"/>
          <w:lang w:val="lt-LT"/>
        </w:rPr>
        <w:t>hiperlipidemijos</w:t>
      </w:r>
      <w:proofErr w:type="spellEnd"/>
      <w:r w:rsidR="001107B7" w:rsidRPr="00923E74">
        <w:rPr>
          <w:snapToGrid/>
          <w:szCs w:val="22"/>
          <w:lang w:val="lt-LT"/>
        </w:rPr>
        <w:t xml:space="preserve"> </w:t>
      </w:r>
      <w:r w:rsidR="00381B7D" w:rsidRPr="00923E74">
        <w:rPr>
          <w:snapToGrid/>
          <w:szCs w:val="22"/>
          <w:lang w:val="lt-LT"/>
        </w:rPr>
        <w:t>gydymui papilda</w:t>
      </w:r>
      <w:r w:rsidR="002324E0">
        <w:rPr>
          <w:snapToGrid/>
          <w:szCs w:val="22"/>
          <w:lang w:val="lt-LT"/>
        </w:rPr>
        <w:t>nt</w:t>
      </w:r>
      <w:r w:rsidR="00381B7D" w:rsidRPr="00923E74">
        <w:rPr>
          <w:snapToGrid/>
          <w:szCs w:val="22"/>
          <w:lang w:val="lt-LT"/>
        </w:rPr>
        <w:t xml:space="preserve"> diet</w:t>
      </w:r>
      <w:r w:rsidR="002324E0">
        <w:rPr>
          <w:snapToGrid/>
          <w:szCs w:val="22"/>
          <w:lang w:val="lt-LT"/>
        </w:rPr>
        <w:t>ą</w:t>
      </w:r>
      <w:r w:rsidR="00381B7D" w:rsidRPr="00923E74">
        <w:rPr>
          <w:snapToGrid/>
          <w:szCs w:val="22"/>
          <w:lang w:val="lt-LT"/>
        </w:rPr>
        <w:t xml:space="preserve"> suaugusiesiems, kurių būklė kontroliuojama kartu vartojamais </w:t>
      </w:r>
      <w:r w:rsidR="002A0C86">
        <w:rPr>
          <w:snapToGrid/>
          <w:szCs w:val="22"/>
          <w:lang w:val="lt-LT"/>
        </w:rPr>
        <w:t xml:space="preserve">atskirais </w:t>
      </w:r>
      <w:proofErr w:type="spellStart"/>
      <w:r w:rsidR="001107B7" w:rsidRPr="00923E74">
        <w:rPr>
          <w:snapToGrid/>
          <w:szCs w:val="22"/>
          <w:lang w:val="lt-LT"/>
        </w:rPr>
        <w:t>atorvastatin</w:t>
      </w:r>
      <w:r w:rsidR="002A0C86">
        <w:rPr>
          <w:snapToGrid/>
          <w:szCs w:val="22"/>
          <w:lang w:val="lt-LT"/>
        </w:rPr>
        <w:t>o</w:t>
      </w:r>
      <w:proofErr w:type="spellEnd"/>
      <w:r w:rsidR="001107B7" w:rsidRPr="00923E74">
        <w:rPr>
          <w:snapToGrid/>
          <w:szCs w:val="22"/>
          <w:lang w:val="lt-LT"/>
        </w:rPr>
        <w:t xml:space="preserve"> ir </w:t>
      </w:r>
      <w:proofErr w:type="spellStart"/>
      <w:r w:rsidR="001107B7" w:rsidRPr="00923E74">
        <w:rPr>
          <w:snapToGrid/>
          <w:szCs w:val="22"/>
          <w:lang w:val="lt-LT"/>
        </w:rPr>
        <w:t>ezetimib</w:t>
      </w:r>
      <w:r w:rsidR="002A0C86">
        <w:rPr>
          <w:snapToGrid/>
          <w:szCs w:val="22"/>
          <w:lang w:val="lt-LT"/>
        </w:rPr>
        <w:t>o</w:t>
      </w:r>
      <w:proofErr w:type="spellEnd"/>
      <w:r w:rsidR="002A0C86">
        <w:rPr>
          <w:snapToGrid/>
          <w:szCs w:val="22"/>
          <w:lang w:val="lt-LT"/>
        </w:rPr>
        <w:t xml:space="preserve"> vaistiniais preparatais</w:t>
      </w:r>
      <w:r w:rsidR="00381B7D" w:rsidRPr="00923E74">
        <w:rPr>
          <w:snapToGrid/>
          <w:szCs w:val="22"/>
          <w:lang w:val="lt-LT"/>
        </w:rPr>
        <w:t xml:space="preserve"> tokiomis pačiomis dozėmis</w:t>
      </w:r>
      <w:r w:rsidR="006A4055">
        <w:rPr>
          <w:snapToGrid/>
          <w:szCs w:val="22"/>
          <w:lang w:val="lt-LT"/>
        </w:rPr>
        <w:t>, kokios yra fiksuotų dozių derinyje</w:t>
      </w:r>
      <w:r w:rsidR="00381B7D" w:rsidRPr="00923E74">
        <w:rPr>
          <w:snapToGrid/>
          <w:szCs w:val="22"/>
          <w:lang w:val="lt-LT"/>
        </w:rPr>
        <w:t>.</w:t>
      </w:r>
    </w:p>
    <w:p w14:paraId="40B9F6F5" w14:textId="77777777" w:rsidR="001107B7" w:rsidRDefault="001107B7" w:rsidP="00A31E3A">
      <w:pPr>
        <w:widowControl w:val="0"/>
        <w:tabs>
          <w:tab w:val="clear" w:pos="567"/>
        </w:tabs>
        <w:spacing w:line="240" w:lineRule="auto"/>
        <w:rPr>
          <w:snapToGrid/>
          <w:szCs w:val="22"/>
          <w:lang w:val="lt-LT" w:eastAsia="sl-SI"/>
        </w:rPr>
      </w:pPr>
    </w:p>
    <w:p w14:paraId="5AB34D82" w14:textId="77777777" w:rsidR="00AE6D88" w:rsidRPr="0054203F" w:rsidRDefault="00AE6D88" w:rsidP="00AE6D88">
      <w:pPr>
        <w:widowControl w:val="0"/>
        <w:tabs>
          <w:tab w:val="clear" w:pos="567"/>
        </w:tabs>
        <w:spacing w:line="240" w:lineRule="auto"/>
        <w:rPr>
          <w:snapToGrid/>
          <w:szCs w:val="22"/>
          <w:u w:val="single"/>
          <w:lang w:val="lt-LT" w:eastAsia="sl-SI"/>
        </w:rPr>
      </w:pPr>
      <w:r w:rsidRPr="0054203F">
        <w:rPr>
          <w:snapToGrid/>
          <w:szCs w:val="22"/>
          <w:u w:val="single"/>
          <w:lang w:val="lt-LT" w:eastAsia="sl-SI"/>
        </w:rPr>
        <w:t>Širdies ir kraujagyslių sistemos reiškinių profilaktika</w:t>
      </w:r>
    </w:p>
    <w:p w14:paraId="2A5510AF" w14:textId="031B2743" w:rsidR="00AE6D88" w:rsidRDefault="00AE6D88" w:rsidP="00AE6D88">
      <w:pPr>
        <w:widowControl w:val="0"/>
        <w:tabs>
          <w:tab w:val="clear" w:pos="567"/>
        </w:tabs>
        <w:spacing w:line="240" w:lineRule="auto"/>
        <w:rPr>
          <w:snapToGrid/>
          <w:szCs w:val="22"/>
          <w:lang w:val="lt-LT" w:eastAsia="sl-SI"/>
        </w:rPr>
      </w:pPr>
      <w:proofErr w:type="spellStart"/>
      <w:r>
        <w:rPr>
          <w:snapToGrid/>
          <w:szCs w:val="22"/>
          <w:lang w:val="lt-LT" w:eastAsia="sl-SI"/>
        </w:rPr>
        <w:t>Torzelip</w:t>
      </w:r>
      <w:proofErr w:type="spellEnd"/>
      <w:r w:rsidRPr="00AE6D88">
        <w:rPr>
          <w:snapToGrid/>
          <w:szCs w:val="22"/>
          <w:lang w:val="lt-LT" w:eastAsia="sl-SI"/>
        </w:rPr>
        <w:t xml:space="preserve"> skirtas </w:t>
      </w:r>
      <w:r w:rsidR="00A67F23">
        <w:rPr>
          <w:snapToGrid/>
          <w:szCs w:val="22"/>
          <w:lang w:val="lt-LT" w:eastAsia="sl-SI"/>
        </w:rPr>
        <w:t>vartoti pakeičiamajam g</w:t>
      </w:r>
      <w:r w:rsidR="002A4BA1">
        <w:rPr>
          <w:snapToGrid/>
          <w:szCs w:val="22"/>
          <w:lang w:val="lt-LT" w:eastAsia="sl-SI"/>
        </w:rPr>
        <w:t>ydymui</w:t>
      </w:r>
      <w:r w:rsidR="00A67F23">
        <w:rPr>
          <w:snapToGrid/>
          <w:szCs w:val="22"/>
          <w:lang w:val="lt-LT" w:eastAsia="sl-SI"/>
        </w:rPr>
        <w:t xml:space="preserve"> suaugusiems pacientams</w:t>
      </w:r>
      <w:r w:rsidR="002A4BA1">
        <w:rPr>
          <w:snapToGrid/>
          <w:szCs w:val="22"/>
          <w:lang w:val="lt-LT" w:eastAsia="sl-SI"/>
        </w:rPr>
        <w:t xml:space="preserve">, </w:t>
      </w:r>
      <w:r w:rsidR="00A67F23">
        <w:rPr>
          <w:snapToGrid/>
          <w:szCs w:val="22"/>
          <w:lang w:val="lt-LT" w:eastAsia="sl-SI"/>
        </w:rPr>
        <w:t xml:space="preserve">kurių būklė tinkamai kontroliuojama kartu vartojamais </w:t>
      </w:r>
      <w:proofErr w:type="spellStart"/>
      <w:r w:rsidR="00A67F23">
        <w:rPr>
          <w:snapToGrid/>
          <w:szCs w:val="22"/>
          <w:lang w:val="lt-LT" w:eastAsia="sl-SI"/>
        </w:rPr>
        <w:t>atorvastatinu</w:t>
      </w:r>
      <w:proofErr w:type="spellEnd"/>
      <w:r w:rsidR="00A67F23">
        <w:rPr>
          <w:snapToGrid/>
          <w:szCs w:val="22"/>
          <w:lang w:val="lt-LT" w:eastAsia="sl-SI"/>
        </w:rPr>
        <w:t xml:space="preserve"> ir </w:t>
      </w:r>
      <w:proofErr w:type="spellStart"/>
      <w:r w:rsidR="00A67F23">
        <w:rPr>
          <w:snapToGrid/>
          <w:szCs w:val="22"/>
          <w:lang w:val="lt-LT" w:eastAsia="sl-SI"/>
        </w:rPr>
        <w:t>ezetimibu</w:t>
      </w:r>
      <w:proofErr w:type="spellEnd"/>
      <w:r w:rsidR="00A67F23">
        <w:rPr>
          <w:snapToGrid/>
          <w:szCs w:val="22"/>
          <w:lang w:val="lt-LT" w:eastAsia="sl-SI"/>
        </w:rPr>
        <w:t xml:space="preserve"> tokiomis pačiomis dozėmis, kokios yra fiksuotų dozių derinio vaistiniame preparate, </w:t>
      </w:r>
      <w:r w:rsidR="002A4BA1">
        <w:rPr>
          <w:snapToGrid/>
          <w:szCs w:val="22"/>
          <w:lang w:val="lt-LT" w:eastAsia="sl-SI"/>
        </w:rPr>
        <w:t xml:space="preserve">siekiant </w:t>
      </w:r>
      <w:r w:rsidRPr="00AE6D88">
        <w:rPr>
          <w:snapToGrid/>
          <w:szCs w:val="22"/>
          <w:lang w:val="lt-LT" w:eastAsia="sl-SI"/>
        </w:rPr>
        <w:t xml:space="preserve">sumažinti širdies ir kraujagyslių sistemos reiškinių </w:t>
      </w:r>
      <w:r w:rsidR="00A67F23">
        <w:rPr>
          <w:snapToGrid/>
          <w:szCs w:val="22"/>
          <w:lang w:val="lt-LT" w:eastAsia="sl-SI"/>
        </w:rPr>
        <w:t>pavojų</w:t>
      </w:r>
      <w:r w:rsidRPr="00AE6D88">
        <w:rPr>
          <w:snapToGrid/>
          <w:szCs w:val="22"/>
          <w:lang w:val="lt-LT" w:eastAsia="sl-SI"/>
        </w:rPr>
        <w:t xml:space="preserve"> koronarine širdies liga (KŠL) sergantiems ir ūminį koronar</w:t>
      </w:r>
      <w:r w:rsidR="002A3AD4">
        <w:rPr>
          <w:snapToGrid/>
          <w:szCs w:val="22"/>
          <w:lang w:val="lt-LT" w:eastAsia="sl-SI"/>
        </w:rPr>
        <w:t>inį</w:t>
      </w:r>
      <w:r w:rsidRPr="00AE6D88">
        <w:rPr>
          <w:snapToGrid/>
          <w:szCs w:val="22"/>
          <w:lang w:val="lt-LT" w:eastAsia="sl-SI"/>
        </w:rPr>
        <w:t xml:space="preserve"> sindromą (ŪKS) jau patyrusiems pacientams</w:t>
      </w:r>
      <w:r w:rsidR="00A67F23">
        <w:rPr>
          <w:snapToGrid/>
          <w:szCs w:val="22"/>
          <w:lang w:val="lt-LT" w:eastAsia="sl-SI"/>
        </w:rPr>
        <w:t xml:space="preserve"> </w:t>
      </w:r>
      <w:r w:rsidR="00A67F23" w:rsidRPr="00AE6D88">
        <w:rPr>
          <w:snapToGrid/>
          <w:szCs w:val="22"/>
          <w:lang w:val="lt-LT" w:eastAsia="sl-SI"/>
        </w:rPr>
        <w:t>(žr. 5.1 skyrių)</w:t>
      </w:r>
      <w:r w:rsidR="00A67F23">
        <w:rPr>
          <w:snapToGrid/>
          <w:szCs w:val="22"/>
          <w:lang w:val="lt-LT" w:eastAsia="sl-SI"/>
        </w:rPr>
        <w:t>.</w:t>
      </w:r>
    </w:p>
    <w:p w14:paraId="4B106783" w14:textId="77777777" w:rsidR="00AE6D88" w:rsidRPr="00923E74" w:rsidRDefault="00AE6D88" w:rsidP="00AE6D88">
      <w:pPr>
        <w:widowControl w:val="0"/>
        <w:tabs>
          <w:tab w:val="clear" w:pos="567"/>
        </w:tabs>
        <w:spacing w:line="240" w:lineRule="auto"/>
        <w:rPr>
          <w:snapToGrid/>
          <w:szCs w:val="22"/>
          <w:lang w:val="lt-LT" w:eastAsia="sl-SI"/>
        </w:rPr>
      </w:pPr>
    </w:p>
    <w:p w14:paraId="3943D957"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4.2</w:t>
      </w:r>
      <w:r w:rsidRPr="00923E74">
        <w:rPr>
          <w:b/>
          <w:snapToGrid/>
          <w:szCs w:val="22"/>
          <w:lang w:val="lt-LT" w:eastAsia="sl-SI"/>
        </w:rPr>
        <w:tab/>
        <w:t>Dozavimas ir vartojimo metodas</w:t>
      </w:r>
    </w:p>
    <w:p w14:paraId="7AF5AB41" w14:textId="77777777" w:rsidR="00381B7D" w:rsidRPr="00923E74" w:rsidRDefault="00381B7D" w:rsidP="007E15ED">
      <w:pPr>
        <w:keepNext/>
        <w:widowControl w:val="0"/>
        <w:tabs>
          <w:tab w:val="clear" w:pos="567"/>
        </w:tabs>
        <w:spacing w:line="240" w:lineRule="auto"/>
        <w:rPr>
          <w:snapToGrid/>
          <w:szCs w:val="22"/>
          <w:lang w:val="lt-LT" w:eastAsia="sl-SI"/>
        </w:rPr>
      </w:pPr>
    </w:p>
    <w:p w14:paraId="5093BBC6" w14:textId="1F59283E" w:rsidR="002A10F5" w:rsidRPr="00923E74" w:rsidRDefault="002A10F5" w:rsidP="007E15ED">
      <w:pPr>
        <w:keepNext/>
        <w:tabs>
          <w:tab w:val="clear" w:pos="567"/>
        </w:tabs>
        <w:spacing w:line="240" w:lineRule="auto"/>
        <w:rPr>
          <w:snapToGrid/>
          <w:color w:val="000000"/>
          <w:szCs w:val="22"/>
          <w:lang w:val="lt-LT"/>
        </w:rPr>
      </w:pPr>
      <w:r w:rsidRPr="00923E74">
        <w:rPr>
          <w:snapToGrid/>
          <w:szCs w:val="22"/>
          <w:u w:val="single"/>
          <w:lang w:val="lt-LT"/>
        </w:rPr>
        <w:t>Dozavimas</w:t>
      </w:r>
    </w:p>
    <w:p w14:paraId="255E849C" w14:textId="7FD8C20D" w:rsidR="002A10F5" w:rsidRPr="00923E74" w:rsidRDefault="002A10F5" w:rsidP="007E15ED">
      <w:pPr>
        <w:tabs>
          <w:tab w:val="clear" w:pos="567"/>
        </w:tabs>
        <w:autoSpaceDE w:val="0"/>
        <w:autoSpaceDN w:val="0"/>
        <w:adjustRightInd w:val="0"/>
        <w:spacing w:line="240" w:lineRule="auto"/>
        <w:rPr>
          <w:snapToGrid/>
          <w:color w:val="000000"/>
          <w:szCs w:val="22"/>
          <w:lang w:val="lt-LT" w:eastAsia="en-GB"/>
        </w:rPr>
      </w:pPr>
      <w:r w:rsidRPr="00923E74">
        <w:rPr>
          <w:snapToGrid/>
          <w:szCs w:val="22"/>
          <w:lang w:val="lt-LT" w:eastAsia="sl-SI"/>
        </w:rPr>
        <w:t xml:space="preserve">Rekomenduojama </w:t>
      </w:r>
      <w:proofErr w:type="spellStart"/>
      <w:r w:rsidRPr="00923E74">
        <w:rPr>
          <w:snapToGrid/>
          <w:szCs w:val="22"/>
          <w:lang w:val="lt-LT"/>
        </w:rPr>
        <w:t>Torzelip</w:t>
      </w:r>
      <w:proofErr w:type="spellEnd"/>
      <w:r w:rsidRPr="00923E74">
        <w:rPr>
          <w:snapToGrid/>
          <w:szCs w:val="22"/>
          <w:lang w:val="lt-LT"/>
        </w:rPr>
        <w:t xml:space="preserve"> </w:t>
      </w:r>
      <w:r w:rsidRPr="00923E74">
        <w:rPr>
          <w:snapToGrid/>
          <w:szCs w:val="22"/>
          <w:lang w:val="lt-LT" w:eastAsia="sl-SI"/>
        </w:rPr>
        <w:t xml:space="preserve">dozė yra </w:t>
      </w:r>
      <w:r w:rsidR="00DB52C7" w:rsidRPr="00923E74">
        <w:rPr>
          <w:snapToGrid/>
          <w:szCs w:val="22"/>
          <w:lang w:val="lt-LT" w:eastAsia="sl-SI"/>
        </w:rPr>
        <w:t>1 </w:t>
      </w:r>
      <w:r w:rsidRPr="00923E74">
        <w:rPr>
          <w:snapToGrid/>
          <w:szCs w:val="22"/>
          <w:lang w:val="lt-LT" w:eastAsia="sl-SI"/>
        </w:rPr>
        <w:t>tabletė per</w:t>
      </w:r>
      <w:r w:rsidR="009E6D16">
        <w:rPr>
          <w:snapToGrid/>
          <w:szCs w:val="22"/>
          <w:lang w:val="lt-LT" w:eastAsia="sl-SI"/>
        </w:rPr>
        <w:t> </w:t>
      </w:r>
      <w:r w:rsidRPr="00923E74">
        <w:rPr>
          <w:snapToGrid/>
          <w:szCs w:val="22"/>
          <w:lang w:val="lt-LT" w:eastAsia="sl-SI"/>
        </w:rPr>
        <w:t>parą</w:t>
      </w:r>
      <w:r w:rsidR="003E6C61" w:rsidRPr="00923E74">
        <w:rPr>
          <w:snapToGrid/>
          <w:color w:val="000000"/>
          <w:szCs w:val="22"/>
          <w:lang w:val="lt-LT"/>
        </w:rPr>
        <w:t>.</w:t>
      </w:r>
    </w:p>
    <w:p w14:paraId="6DE63EEE" w14:textId="5030982F" w:rsidR="002A10F5" w:rsidRPr="00923E74" w:rsidRDefault="002A10F5" w:rsidP="00A31E3A">
      <w:pPr>
        <w:shd w:val="clear" w:color="auto" w:fill="FFFFFF"/>
        <w:tabs>
          <w:tab w:val="clear" w:pos="567"/>
        </w:tabs>
        <w:spacing w:line="240" w:lineRule="auto"/>
        <w:rPr>
          <w:snapToGrid/>
          <w:color w:val="000000"/>
          <w:szCs w:val="22"/>
          <w:lang w:val="lt-LT" w:eastAsia="en-GB"/>
        </w:rPr>
      </w:pPr>
      <w:r w:rsidRPr="00923E74">
        <w:rPr>
          <w:snapToGrid/>
          <w:szCs w:val="22"/>
          <w:lang w:val="lt-LT" w:eastAsia="sl-SI"/>
        </w:rPr>
        <w:lastRenderedPageBreak/>
        <w:t xml:space="preserve">Didžiausia rekomenduojama </w:t>
      </w:r>
      <w:proofErr w:type="spellStart"/>
      <w:r w:rsidRPr="00923E74">
        <w:rPr>
          <w:snapToGrid/>
          <w:szCs w:val="22"/>
          <w:lang w:val="lt-LT"/>
        </w:rPr>
        <w:t>Torzelip</w:t>
      </w:r>
      <w:proofErr w:type="spellEnd"/>
      <w:r w:rsidRPr="00923E74">
        <w:rPr>
          <w:snapToGrid/>
          <w:szCs w:val="22"/>
          <w:lang w:val="lt-LT"/>
        </w:rPr>
        <w:t xml:space="preserve"> </w:t>
      </w:r>
      <w:r w:rsidRPr="00923E74">
        <w:rPr>
          <w:snapToGrid/>
          <w:szCs w:val="22"/>
          <w:lang w:val="lt-LT" w:eastAsia="sl-SI"/>
        </w:rPr>
        <w:t xml:space="preserve">dozė yra </w:t>
      </w:r>
      <w:r w:rsidRPr="00923E74">
        <w:rPr>
          <w:snapToGrid/>
          <w:color w:val="000000"/>
          <w:szCs w:val="22"/>
          <w:lang w:val="lt-LT" w:eastAsia="en-GB"/>
        </w:rPr>
        <w:t>10</w:t>
      </w:r>
      <w:r w:rsidR="00DB52C7" w:rsidRPr="00923E74">
        <w:rPr>
          <w:snapToGrid/>
          <w:color w:val="000000"/>
          <w:szCs w:val="22"/>
          <w:lang w:val="lt-LT" w:eastAsia="en-GB"/>
        </w:rPr>
        <w:t> mg</w:t>
      </w:r>
      <w:r w:rsidRPr="00923E74">
        <w:rPr>
          <w:snapToGrid/>
          <w:color w:val="000000"/>
          <w:szCs w:val="22"/>
          <w:lang w:val="lt-LT" w:eastAsia="en-GB"/>
        </w:rPr>
        <w:t>/80</w:t>
      </w:r>
      <w:r w:rsidR="00DB52C7" w:rsidRPr="00923E74">
        <w:rPr>
          <w:snapToGrid/>
          <w:color w:val="000000"/>
          <w:szCs w:val="22"/>
          <w:lang w:val="lt-LT" w:eastAsia="en-GB"/>
        </w:rPr>
        <w:t> mg</w:t>
      </w:r>
      <w:r w:rsidRPr="00923E74">
        <w:rPr>
          <w:snapToGrid/>
          <w:color w:val="000000"/>
          <w:szCs w:val="22"/>
          <w:lang w:val="lt-LT" w:eastAsia="en-GB"/>
        </w:rPr>
        <w:t xml:space="preserve"> </w:t>
      </w:r>
      <w:r w:rsidRPr="00923E74">
        <w:rPr>
          <w:snapToGrid/>
          <w:szCs w:val="22"/>
          <w:lang w:val="lt-LT" w:eastAsia="sl-SI"/>
        </w:rPr>
        <w:t>per</w:t>
      </w:r>
      <w:r w:rsidR="009E6D16">
        <w:rPr>
          <w:snapToGrid/>
          <w:szCs w:val="22"/>
          <w:lang w:val="lt-LT" w:eastAsia="sl-SI"/>
        </w:rPr>
        <w:t> </w:t>
      </w:r>
      <w:r w:rsidRPr="00923E74">
        <w:rPr>
          <w:snapToGrid/>
          <w:szCs w:val="22"/>
          <w:lang w:val="lt-LT" w:eastAsia="sl-SI"/>
        </w:rPr>
        <w:t>parą</w:t>
      </w:r>
      <w:r w:rsidR="003E6C61" w:rsidRPr="00923E74">
        <w:rPr>
          <w:snapToGrid/>
          <w:color w:val="000000"/>
          <w:szCs w:val="22"/>
          <w:lang w:val="lt-LT" w:eastAsia="en-GB"/>
        </w:rPr>
        <w:t>.</w:t>
      </w:r>
    </w:p>
    <w:p w14:paraId="3A217829" w14:textId="734B1BF0" w:rsidR="00DB52C7" w:rsidRPr="00923E74" w:rsidRDefault="002A10F5" w:rsidP="00A31E3A">
      <w:pPr>
        <w:shd w:val="clear" w:color="auto" w:fill="FFFFFF"/>
        <w:tabs>
          <w:tab w:val="clear" w:pos="567"/>
        </w:tabs>
        <w:spacing w:line="240" w:lineRule="auto"/>
        <w:rPr>
          <w:snapToGrid/>
          <w:color w:val="000000"/>
          <w:szCs w:val="22"/>
          <w:lang w:val="lt-LT" w:eastAsia="en-GB"/>
        </w:rPr>
      </w:pPr>
      <w:r w:rsidRPr="00923E74">
        <w:rPr>
          <w:snapToGrid/>
          <w:szCs w:val="22"/>
          <w:lang w:val="lt-LT" w:eastAsia="sl-SI"/>
        </w:rPr>
        <w:t>Pacientas turi laikytis tinkamos lipidų kiekį mažinančios dietos prieš gydymą ir gydymo</w:t>
      </w:r>
      <w:r w:rsidRPr="00923E74">
        <w:rPr>
          <w:snapToGrid/>
          <w:szCs w:val="22"/>
          <w:lang w:val="lt-LT"/>
        </w:rPr>
        <w:t xml:space="preserve"> </w:t>
      </w:r>
      <w:proofErr w:type="spellStart"/>
      <w:r w:rsidRPr="00923E74">
        <w:rPr>
          <w:snapToGrid/>
          <w:szCs w:val="22"/>
          <w:lang w:val="lt-LT"/>
        </w:rPr>
        <w:t>Torzelip</w:t>
      </w:r>
      <w:proofErr w:type="spellEnd"/>
      <w:r w:rsidRPr="00923E74">
        <w:rPr>
          <w:snapToGrid/>
          <w:szCs w:val="22"/>
          <w:lang w:val="lt-LT" w:eastAsia="sl-SI"/>
        </w:rPr>
        <w:t xml:space="preserve"> metu</w:t>
      </w:r>
      <w:r w:rsidR="00DB52C7" w:rsidRPr="00923E74">
        <w:rPr>
          <w:snapToGrid/>
          <w:szCs w:val="22"/>
          <w:lang w:val="lt-LT" w:eastAsia="sl-SI"/>
        </w:rPr>
        <w:t>.</w:t>
      </w:r>
    </w:p>
    <w:p w14:paraId="310B9A42" w14:textId="77777777" w:rsidR="007D279E" w:rsidRPr="00923E74" w:rsidRDefault="007D279E" w:rsidP="00A31E3A">
      <w:pPr>
        <w:widowControl w:val="0"/>
        <w:tabs>
          <w:tab w:val="clear" w:pos="567"/>
        </w:tabs>
        <w:spacing w:line="240" w:lineRule="auto"/>
        <w:rPr>
          <w:snapToGrid/>
          <w:szCs w:val="22"/>
          <w:lang w:val="lt-LT" w:eastAsia="sl-SI"/>
        </w:rPr>
      </w:pPr>
      <w:proofErr w:type="spellStart"/>
      <w:r w:rsidRPr="00923E74">
        <w:rPr>
          <w:snapToGrid/>
          <w:szCs w:val="22"/>
          <w:lang w:val="lt-LT"/>
        </w:rPr>
        <w:t>Torzelip</w:t>
      </w:r>
      <w:proofErr w:type="spellEnd"/>
      <w:r w:rsidRPr="00923E74">
        <w:rPr>
          <w:snapToGrid/>
          <w:szCs w:val="22"/>
          <w:lang w:val="lt-LT"/>
        </w:rPr>
        <w:t xml:space="preserve"> </w:t>
      </w:r>
      <w:r w:rsidRPr="00923E74">
        <w:rPr>
          <w:snapToGrid/>
          <w:szCs w:val="22"/>
          <w:lang w:val="lt-LT" w:eastAsia="sl-SI"/>
        </w:rPr>
        <w:t>netinka pradiniam gydymui. Pradėti gydymą ar keisti dozę (jei reikia) galima tik vartojant atskirų veikliųjų medžiagų, o nustačius tinkamas dozes, jei įmanoma, gydymą galima pakeisti atitinkamo stiprumo fiksuotos dozės deriniu.</w:t>
      </w:r>
    </w:p>
    <w:p w14:paraId="252995E4" w14:textId="77777777" w:rsidR="003E6C61" w:rsidRPr="00923E74" w:rsidRDefault="003E6C61" w:rsidP="00A31E3A">
      <w:pPr>
        <w:tabs>
          <w:tab w:val="clear" w:pos="567"/>
        </w:tabs>
        <w:spacing w:line="240" w:lineRule="auto"/>
        <w:rPr>
          <w:bCs/>
          <w:i/>
          <w:iCs/>
          <w:snapToGrid/>
          <w:szCs w:val="22"/>
          <w:lang w:val="lt-LT"/>
        </w:rPr>
      </w:pPr>
    </w:p>
    <w:p w14:paraId="47682358" w14:textId="5B29A218" w:rsidR="003E6C61" w:rsidRPr="00923E74" w:rsidRDefault="007D279E" w:rsidP="007E15ED">
      <w:pPr>
        <w:keepNext/>
        <w:tabs>
          <w:tab w:val="clear" w:pos="567"/>
        </w:tabs>
        <w:spacing w:line="240" w:lineRule="auto"/>
        <w:rPr>
          <w:bCs/>
          <w:i/>
          <w:iCs/>
          <w:snapToGrid/>
          <w:szCs w:val="22"/>
          <w:lang w:val="lt-LT"/>
        </w:rPr>
      </w:pPr>
      <w:r w:rsidRPr="00923E74">
        <w:rPr>
          <w:bCs/>
          <w:i/>
          <w:iCs/>
          <w:snapToGrid/>
          <w:szCs w:val="22"/>
          <w:lang w:val="lt-LT"/>
        </w:rPr>
        <w:t xml:space="preserve">Senyviems </w:t>
      </w:r>
      <w:r w:rsidR="009E6D16">
        <w:rPr>
          <w:bCs/>
          <w:i/>
          <w:iCs/>
          <w:snapToGrid/>
          <w:szCs w:val="22"/>
          <w:lang w:val="lt-LT"/>
        </w:rPr>
        <w:t>pacie</w:t>
      </w:r>
      <w:r w:rsidR="00DB52C7" w:rsidRPr="00923E74">
        <w:rPr>
          <w:bCs/>
          <w:i/>
          <w:iCs/>
          <w:snapToGrid/>
          <w:szCs w:val="22"/>
          <w:lang w:val="lt-LT"/>
        </w:rPr>
        <w:t>n</w:t>
      </w:r>
      <w:r w:rsidR="009E6D16">
        <w:rPr>
          <w:bCs/>
          <w:i/>
          <w:iCs/>
          <w:snapToGrid/>
          <w:szCs w:val="22"/>
          <w:lang w:val="lt-LT"/>
        </w:rPr>
        <w:t>ta</w:t>
      </w:r>
      <w:r w:rsidR="00DB52C7" w:rsidRPr="00923E74">
        <w:rPr>
          <w:bCs/>
          <w:i/>
          <w:iCs/>
          <w:snapToGrid/>
          <w:szCs w:val="22"/>
          <w:lang w:val="lt-LT"/>
        </w:rPr>
        <w:t>ms</w:t>
      </w:r>
    </w:p>
    <w:p w14:paraId="0120C6CE" w14:textId="673C6967" w:rsidR="003E6C61" w:rsidRPr="00923E74" w:rsidRDefault="007D279E" w:rsidP="00A31E3A">
      <w:pPr>
        <w:tabs>
          <w:tab w:val="clear" w:pos="567"/>
        </w:tabs>
        <w:spacing w:line="240" w:lineRule="auto"/>
        <w:rPr>
          <w:bCs/>
          <w:iCs/>
          <w:snapToGrid/>
          <w:szCs w:val="22"/>
          <w:lang w:val="lt-LT"/>
        </w:rPr>
      </w:pPr>
      <w:r w:rsidRPr="00923E74">
        <w:rPr>
          <w:bCs/>
          <w:iCs/>
          <w:snapToGrid/>
          <w:szCs w:val="22"/>
          <w:lang w:val="lt-LT"/>
        </w:rPr>
        <w:t>Senyviems pacientams dozės koreguoti nereikia</w:t>
      </w:r>
      <w:r w:rsidR="003E6C61" w:rsidRPr="00923E74">
        <w:rPr>
          <w:bCs/>
          <w:iCs/>
          <w:snapToGrid/>
          <w:szCs w:val="22"/>
          <w:lang w:val="lt-LT"/>
        </w:rPr>
        <w:t xml:space="preserve"> (</w:t>
      </w:r>
      <w:r w:rsidRPr="00923E74">
        <w:rPr>
          <w:bCs/>
          <w:iCs/>
          <w:snapToGrid/>
          <w:szCs w:val="22"/>
          <w:lang w:val="lt-LT"/>
        </w:rPr>
        <w:t>žr.</w:t>
      </w:r>
      <w:r w:rsidR="009E6D16">
        <w:rPr>
          <w:bCs/>
          <w:iCs/>
          <w:snapToGrid/>
          <w:szCs w:val="22"/>
          <w:lang w:val="lt-LT"/>
        </w:rPr>
        <w:t> </w:t>
      </w:r>
      <w:r w:rsidR="003E6C61" w:rsidRPr="00923E74">
        <w:rPr>
          <w:bCs/>
          <w:iCs/>
          <w:snapToGrid/>
          <w:szCs w:val="22"/>
          <w:lang w:val="lt-LT"/>
        </w:rPr>
        <w:t>5.2</w:t>
      </w:r>
      <w:r w:rsidRPr="00923E74">
        <w:rPr>
          <w:bCs/>
          <w:iCs/>
          <w:snapToGrid/>
          <w:szCs w:val="22"/>
          <w:lang w:val="lt-LT"/>
        </w:rPr>
        <w:t> skyrių</w:t>
      </w:r>
      <w:r w:rsidR="003E6C61" w:rsidRPr="00923E74">
        <w:rPr>
          <w:bCs/>
          <w:iCs/>
          <w:snapToGrid/>
          <w:szCs w:val="22"/>
          <w:lang w:val="lt-LT"/>
        </w:rPr>
        <w:t>).</w:t>
      </w:r>
    </w:p>
    <w:p w14:paraId="61778C86" w14:textId="77777777" w:rsidR="003E6C61" w:rsidRPr="00923E74" w:rsidRDefault="003E6C61" w:rsidP="00A31E3A">
      <w:pPr>
        <w:tabs>
          <w:tab w:val="clear" w:pos="567"/>
        </w:tabs>
        <w:spacing w:line="240" w:lineRule="auto"/>
        <w:rPr>
          <w:bCs/>
          <w:iCs/>
          <w:snapToGrid/>
          <w:szCs w:val="22"/>
          <w:lang w:val="lt-LT"/>
        </w:rPr>
      </w:pPr>
    </w:p>
    <w:p w14:paraId="4256D9A8" w14:textId="77777777" w:rsidR="003E6C61" w:rsidRPr="00923E74" w:rsidRDefault="007D279E" w:rsidP="007E15ED">
      <w:pPr>
        <w:keepNext/>
        <w:tabs>
          <w:tab w:val="clear" w:pos="567"/>
        </w:tabs>
        <w:spacing w:line="240" w:lineRule="auto"/>
        <w:rPr>
          <w:bCs/>
          <w:i/>
          <w:iCs/>
          <w:snapToGrid/>
          <w:szCs w:val="22"/>
          <w:lang w:val="lt-LT"/>
        </w:rPr>
      </w:pPr>
      <w:r w:rsidRPr="00923E74">
        <w:rPr>
          <w:bCs/>
          <w:i/>
          <w:iCs/>
          <w:snapToGrid/>
          <w:szCs w:val="22"/>
          <w:lang w:val="lt-LT"/>
        </w:rPr>
        <w:t>Vaikų populiacija</w:t>
      </w:r>
    </w:p>
    <w:p w14:paraId="18E8D355" w14:textId="13A489D5" w:rsidR="003E6C61" w:rsidRPr="00923E74" w:rsidRDefault="007D279E" w:rsidP="00A31E3A">
      <w:pPr>
        <w:tabs>
          <w:tab w:val="clear" w:pos="567"/>
        </w:tabs>
        <w:autoSpaceDE w:val="0"/>
        <w:autoSpaceDN w:val="0"/>
        <w:adjustRightInd w:val="0"/>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saugumas ir veiksmingumas vaikams ir paaugliams neištirti (žr.</w:t>
      </w:r>
      <w:r w:rsidR="009E6D16">
        <w:rPr>
          <w:snapToGrid/>
          <w:szCs w:val="22"/>
          <w:lang w:val="lt-LT"/>
        </w:rPr>
        <w:t> </w:t>
      </w:r>
      <w:r w:rsidRPr="00923E74">
        <w:rPr>
          <w:snapToGrid/>
          <w:szCs w:val="22"/>
          <w:lang w:val="lt-LT"/>
        </w:rPr>
        <w:t>5.2 skyrių). Duomenų nėra.</w:t>
      </w:r>
    </w:p>
    <w:p w14:paraId="37001A6D" w14:textId="77777777" w:rsidR="003E6C61" w:rsidRPr="00923E74" w:rsidRDefault="003E6C61" w:rsidP="00A31E3A">
      <w:pPr>
        <w:tabs>
          <w:tab w:val="clear" w:pos="567"/>
        </w:tabs>
        <w:autoSpaceDE w:val="0"/>
        <w:autoSpaceDN w:val="0"/>
        <w:adjustRightInd w:val="0"/>
        <w:spacing w:line="240" w:lineRule="auto"/>
        <w:rPr>
          <w:i/>
          <w:snapToGrid/>
          <w:szCs w:val="22"/>
          <w:lang w:val="lt-LT"/>
        </w:rPr>
      </w:pPr>
    </w:p>
    <w:p w14:paraId="1A02AA6E" w14:textId="77777777" w:rsidR="0031000F" w:rsidRPr="00923E74" w:rsidRDefault="0031000F" w:rsidP="007E15ED">
      <w:pPr>
        <w:keepNext/>
        <w:tabs>
          <w:tab w:val="clear" w:pos="567"/>
        </w:tabs>
        <w:autoSpaceDE w:val="0"/>
        <w:autoSpaceDN w:val="0"/>
        <w:adjustRightInd w:val="0"/>
        <w:spacing w:line="240" w:lineRule="auto"/>
        <w:rPr>
          <w:i/>
          <w:snapToGrid/>
          <w:szCs w:val="22"/>
          <w:lang w:val="lt-LT"/>
        </w:rPr>
      </w:pPr>
      <w:r w:rsidRPr="00923E74">
        <w:rPr>
          <w:i/>
          <w:snapToGrid/>
          <w:szCs w:val="22"/>
          <w:lang w:val="lt-LT"/>
        </w:rPr>
        <w:t>Pacientams, kurių kepenų funkcija sutrikusi</w:t>
      </w:r>
    </w:p>
    <w:p w14:paraId="735107D6" w14:textId="2E584D6A" w:rsidR="0031000F" w:rsidRPr="00923E74" w:rsidRDefault="0031000F" w:rsidP="00A31E3A">
      <w:pPr>
        <w:widowControl w:val="0"/>
        <w:spacing w:line="240" w:lineRule="auto"/>
        <w:rPr>
          <w:iCs/>
          <w:snapToGrid/>
          <w:szCs w:val="22"/>
          <w:lang w:val="lt-LT"/>
        </w:rPr>
      </w:pPr>
      <w:r w:rsidRPr="00923E74">
        <w:rPr>
          <w:iCs/>
          <w:snapToGrid/>
          <w:szCs w:val="22"/>
          <w:lang w:val="lt-LT"/>
        </w:rPr>
        <w:t xml:space="preserve">Pacientams, kuriems yra </w:t>
      </w:r>
      <w:r w:rsidR="00365238" w:rsidRPr="00923E74">
        <w:rPr>
          <w:iCs/>
          <w:snapToGrid/>
          <w:szCs w:val="22"/>
          <w:lang w:val="lt-LT"/>
        </w:rPr>
        <w:t>vidutinio sunkumo ar sunkus</w:t>
      </w:r>
      <w:r w:rsidRPr="00923E74">
        <w:rPr>
          <w:iCs/>
          <w:snapToGrid/>
          <w:szCs w:val="22"/>
          <w:lang w:val="lt-LT"/>
        </w:rPr>
        <w:t xml:space="preserve"> kepenų </w:t>
      </w:r>
      <w:r w:rsidR="00365238" w:rsidRPr="00923E74">
        <w:rPr>
          <w:iCs/>
          <w:snapToGrid/>
          <w:szCs w:val="22"/>
          <w:lang w:val="lt-LT"/>
        </w:rPr>
        <w:t>funkcijos sutrikimas</w:t>
      </w:r>
      <w:r w:rsidRPr="00923E74">
        <w:rPr>
          <w:iCs/>
          <w:snapToGrid/>
          <w:szCs w:val="22"/>
          <w:lang w:val="lt-LT"/>
        </w:rPr>
        <w:t xml:space="preserve"> (įvertinimas pagal </w:t>
      </w:r>
      <w:proofErr w:type="spellStart"/>
      <w:r w:rsidRPr="00923E74">
        <w:rPr>
          <w:i/>
          <w:iCs/>
          <w:snapToGrid/>
          <w:szCs w:val="22"/>
          <w:lang w:val="lt-LT"/>
        </w:rPr>
        <w:t>Child</w:t>
      </w:r>
      <w:r w:rsidR="009E6D16">
        <w:rPr>
          <w:i/>
          <w:iCs/>
          <w:snapToGrid/>
          <w:szCs w:val="22"/>
          <w:lang w:val="lt-LT"/>
        </w:rPr>
        <w:noBreakHyphen/>
      </w:r>
      <w:r w:rsidRPr="00923E74">
        <w:rPr>
          <w:i/>
          <w:iCs/>
          <w:snapToGrid/>
          <w:szCs w:val="22"/>
          <w:lang w:val="lt-LT"/>
        </w:rPr>
        <w:t>Pugh</w:t>
      </w:r>
      <w:proofErr w:type="spellEnd"/>
      <w:r w:rsidRPr="00923E74">
        <w:rPr>
          <w:iCs/>
          <w:snapToGrid/>
          <w:szCs w:val="22"/>
          <w:lang w:val="lt-LT"/>
        </w:rPr>
        <w:t xml:space="preserve"> skalę </w:t>
      </w:r>
      <w:r w:rsidR="00365238" w:rsidRPr="007E15ED">
        <w:rPr>
          <w:snapToGrid/>
          <w:szCs w:val="22"/>
          <w:lang w:val="lt-LT"/>
        </w:rPr>
        <w:t>&gt; </w:t>
      </w:r>
      <w:r w:rsidR="00365238" w:rsidRPr="00923E74">
        <w:rPr>
          <w:snapToGrid/>
          <w:szCs w:val="22"/>
          <w:lang w:val="lt-LT"/>
        </w:rPr>
        <w:t>7, žr.</w:t>
      </w:r>
      <w:r w:rsidR="009E6D16">
        <w:rPr>
          <w:snapToGrid/>
          <w:szCs w:val="22"/>
          <w:lang w:val="lt-LT"/>
        </w:rPr>
        <w:t> </w:t>
      </w:r>
      <w:r w:rsidR="00365238" w:rsidRPr="00923E74">
        <w:rPr>
          <w:snapToGrid/>
          <w:szCs w:val="22"/>
          <w:lang w:val="lt-LT"/>
        </w:rPr>
        <w:t>4.4 ir 5.2 skyri</w:t>
      </w:r>
      <w:r w:rsidR="009301B3">
        <w:rPr>
          <w:snapToGrid/>
          <w:szCs w:val="22"/>
          <w:lang w:val="lt-LT"/>
        </w:rPr>
        <w:t>us</w:t>
      </w:r>
      <w:r w:rsidRPr="00923E74">
        <w:rPr>
          <w:iCs/>
          <w:snapToGrid/>
          <w:szCs w:val="22"/>
          <w:lang w:val="lt-LT"/>
        </w:rPr>
        <w:t xml:space="preserve">), </w:t>
      </w:r>
      <w:proofErr w:type="spellStart"/>
      <w:r w:rsidRPr="00923E74">
        <w:rPr>
          <w:iCs/>
          <w:snapToGrid/>
          <w:szCs w:val="22"/>
          <w:lang w:val="lt-LT"/>
        </w:rPr>
        <w:t>Torzelip</w:t>
      </w:r>
      <w:proofErr w:type="spellEnd"/>
      <w:r w:rsidRPr="00923E74">
        <w:rPr>
          <w:iCs/>
          <w:snapToGrid/>
          <w:szCs w:val="22"/>
          <w:lang w:val="lt-LT"/>
        </w:rPr>
        <w:t xml:space="preserve"> vartoti </w:t>
      </w:r>
      <w:r w:rsidR="00365238" w:rsidRPr="00923E74">
        <w:rPr>
          <w:iCs/>
          <w:snapToGrid/>
          <w:szCs w:val="22"/>
          <w:lang w:val="lt-LT"/>
        </w:rPr>
        <w:t xml:space="preserve">nerekomenduojama. Aktyvia kepenų liga sergantiems pacientams </w:t>
      </w:r>
      <w:proofErr w:type="spellStart"/>
      <w:r w:rsidR="00365238" w:rsidRPr="00923E74">
        <w:rPr>
          <w:iCs/>
          <w:snapToGrid/>
          <w:szCs w:val="22"/>
          <w:lang w:val="lt-LT"/>
        </w:rPr>
        <w:t>Torzelip</w:t>
      </w:r>
      <w:proofErr w:type="spellEnd"/>
      <w:r w:rsidR="00365238" w:rsidRPr="00923E74">
        <w:rPr>
          <w:iCs/>
          <w:snapToGrid/>
          <w:szCs w:val="22"/>
          <w:lang w:val="lt-LT"/>
        </w:rPr>
        <w:t xml:space="preserve"> vartoti negalima </w:t>
      </w:r>
      <w:r w:rsidRPr="00923E74">
        <w:rPr>
          <w:iCs/>
          <w:snapToGrid/>
          <w:szCs w:val="22"/>
          <w:lang w:val="lt-LT"/>
        </w:rPr>
        <w:t>(žr.</w:t>
      </w:r>
      <w:r w:rsidR="009E6D16">
        <w:rPr>
          <w:iCs/>
          <w:snapToGrid/>
          <w:szCs w:val="22"/>
          <w:lang w:val="lt-LT"/>
        </w:rPr>
        <w:t> </w:t>
      </w:r>
      <w:r w:rsidRPr="00923E74">
        <w:rPr>
          <w:iCs/>
          <w:snapToGrid/>
          <w:szCs w:val="22"/>
          <w:lang w:val="lt-LT"/>
        </w:rPr>
        <w:t>4.</w:t>
      </w:r>
      <w:r w:rsidR="00365238" w:rsidRPr="00923E74">
        <w:rPr>
          <w:iCs/>
          <w:snapToGrid/>
          <w:szCs w:val="22"/>
          <w:lang w:val="lt-LT"/>
        </w:rPr>
        <w:t>3 skyrių</w:t>
      </w:r>
      <w:r w:rsidRPr="00923E74">
        <w:rPr>
          <w:iCs/>
          <w:snapToGrid/>
          <w:szCs w:val="22"/>
          <w:lang w:val="lt-LT"/>
        </w:rPr>
        <w:t>).</w:t>
      </w:r>
    </w:p>
    <w:p w14:paraId="06A6A0B2" w14:textId="77777777" w:rsidR="0031000F" w:rsidRPr="00923E74" w:rsidRDefault="0031000F" w:rsidP="00A31E3A">
      <w:pPr>
        <w:tabs>
          <w:tab w:val="clear" w:pos="567"/>
        </w:tabs>
        <w:autoSpaceDE w:val="0"/>
        <w:autoSpaceDN w:val="0"/>
        <w:adjustRightInd w:val="0"/>
        <w:spacing w:line="240" w:lineRule="auto"/>
        <w:rPr>
          <w:snapToGrid/>
          <w:szCs w:val="22"/>
          <w:lang w:val="lt-LT"/>
        </w:rPr>
      </w:pPr>
    </w:p>
    <w:p w14:paraId="416F7B32" w14:textId="77777777" w:rsidR="00365238" w:rsidRPr="00923E74" w:rsidRDefault="00365238" w:rsidP="007E15ED">
      <w:pPr>
        <w:keepNext/>
        <w:tabs>
          <w:tab w:val="clear" w:pos="567"/>
        </w:tabs>
        <w:autoSpaceDE w:val="0"/>
        <w:autoSpaceDN w:val="0"/>
        <w:adjustRightInd w:val="0"/>
        <w:spacing w:line="240" w:lineRule="auto"/>
        <w:rPr>
          <w:i/>
          <w:snapToGrid/>
          <w:szCs w:val="22"/>
          <w:lang w:val="lt-LT"/>
        </w:rPr>
      </w:pPr>
      <w:r w:rsidRPr="00923E74">
        <w:rPr>
          <w:i/>
          <w:snapToGrid/>
          <w:szCs w:val="22"/>
          <w:lang w:val="lt-LT"/>
        </w:rPr>
        <w:t>Pacientams, kurių inkstų funkcija sutrikusi</w:t>
      </w:r>
    </w:p>
    <w:p w14:paraId="6CD5FF48" w14:textId="136AADAE" w:rsidR="003E6C61" w:rsidRPr="00923E74" w:rsidRDefault="00E422CC" w:rsidP="00A31E3A">
      <w:pPr>
        <w:tabs>
          <w:tab w:val="clear" w:pos="567"/>
        </w:tabs>
        <w:spacing w:line="240" w:lineRule="auto"/>
        <w:rPr>
          <w:snapToGrid/>
          <w:szCs w:val="22"/>
          <w:lang w:val="lt-LT"/>
        </w:rPr>
      </w:pPr>
      <w:r w:rsidRPr="00923E74">
        <w:rPr>
          <w:bCs/>
          <w:iCs/>
          <w:snapToGrid/>
          <w:szCs w:val="22"/>
          <w:lang w:val="lt-LT"/>
        </w:rPr>
        <w:t>Pacientams, kurių inkstų funkcija sutrikusi, dozės koreguoti nereikia (žr.</w:t>
      </w:r>
      <w:r w:rsidR="009E6D16">
        <w:rPr>
          <w:bCs/>
          <w:iCs/>
          <w:snapToGrid/>
          <w:szCs w:val="22"/>
          <w:lang w:val="lt-LT"/>
        </w:rPr>
        <w:t> </w:t>
      </w:r>
      <w:r w:rsidRPr="00923E74">
        <w:rPr>
          <w:bCs/>
          <w:iCs/>
          <w:snapToGrid/>
          <w:szCs w:val="22"/>
          <w:lang w:val="lt-LT"/>
        </w:rPr>
        <w:t>5.2 skyrių).</w:t>
      </w:r>
    </w:p>
    <w:p w14:paraId="68AF705B" w14:textId="77777777" w:rsidR="003E6C61" w:rsidRPr="00923E74" w:rsidRDefault="003E6C61" w:rsidP="00A31E3A">
      <w:pPr>
        <w:tabs>
          <w:tab w:val="clear" w:pos="567"/>
        </w:tabs>
        <w:spacing w:line="240" w:lineRule="auto"/>
        <w:rPr>
          <w:snapToGrid/>
          <w:szCs w:val="22"/>
          <w:lang w:val="lt-LT"/>
        </w:rPr>
      </w:pPr>
    </w:p>
    <w:p w14:paraId="2D762EFF" w14:textId="77777777" w:rsidR="00E422CC" w:rsidRPr="007E15ED" w:rsidRDefault="00E422CC" w:rsidP="007E15ED">
      <w:pPr>
        <w:keepNext/>
        <w:tabs>
          <w:tab w:val="clear" w:pos="567"/>
        </w:tabs>
        <w:spacing w:line="240" w:lineRule="auto"/>
        <w:rPr>
          <w:bCs/>
          <w:i/>
          <w:iCs/>
          <w:snapToGrid/>
          <w:szCs w:val="22"/>
          <w:u w:val="single"/>
          <w:lang w:val="lt-LT"/>
        </w:rPr>
      </w:pPr>
      <w:r w:rsidRPr="007E15ED">
        <w:rPr>
          <w:bCs/>
          <w:i/>
          <w:iCs/>
          <w:snapToGrid/>
          <w:szCs w:val="22"/>
          <w:u w:val="single"/>
          <w:lang w:val="lt-LT"/>
        </w:rPr>
        <w:t xml:space="preserve">Vartojimas kartu su tulžies rūgštis surišančiomis </w:t>
      </w:r>
      <w:r w:rsidR="00DB52C7" w:rsidRPr="007E15ED">
        <w:rPr>
          <w:bCs/>
          <w:i/>
          <w:iCs/>
          <w:snapToGrid/>
          <w:szCs w:val="22"/>
          <w:u w:val="single"/>
          <w:lang w:val="lt-LT"/>
        </w:rPr>
        <w:t>medžiagomis</w:t>
      </w:r>
    </w:p>
    <w:p w14:paraId="29F5C19B" w14:textId="7E95A5AD" w:rsidR="00E422CC" w:rsidRPr="00923E74" w:rsidRDefault="00E422CC" w:rsidP="00A31E3A">
      <w:pPr>
        <w:widowControl w:val="0"/>
        <w:spacing w:line="240" w:lineRule="auto"/>
        <w:rPr>
          <w:szCs w:val="22"/>
          <w:lang w:val="lt-LT" w:eastAsia="sl-SI"/>
        </w:rPr>
      </w:pPr>
      <w:proofErr w:type="spellStart"/>
      <w:r w:rsidRPr="00923E74">
        <w:rPr>
          <w:snapToGrid/>
          <w:szCs w:val="22"/>
          <w:lang w:val="lt-LT"/>
        </w:rPr>
        <w:t>Torzelip</w:t>
      </w:r>
      <w:proofErr w:type="spellEnd"/>
      <w:r w:rsidRPr="00923E74">
        <w:rPr>
          <w:snapToGrid/>
          <w:szCs w:val="22"/>
          <w:lang w:val="lt-LT"/>
        </w:rPr>
        <w:t xml:space="preserve"> </w:t>
      </w:r>
      <w:r w:rsidRPr="00923E74">
        <w:rPr>
          <w:szCs w:val="22"/>
          <w:lang w:val="lt-LT" w:eastAsia="sl-SI"/>
        </w:rPr>
        <w:t xml:space="preserve">reikia </w:t>
      </w:r>
      <w:r w:rsidR="009E6D16">
        <w:rPr>
          <w:szCs w:val="22"/>
          <w:lang w:val="lt-LT" w:eastAsia="sl-SI"/>
        </w:rPr>
        <w:t>va</w:t>
      </w:r>
      <w:r w:rsidRPr="00923E74">
        <w:rPr>
          <w:szCs w:val="22"/>
          <w:lang w:val="lt-LT" w:eastAsia="sl-SI"/>
        </w:rPr>
        <w:t>r</w:t>
      </w:r>
      <w:r w:rsidR="009E6D16">
        <w:rPr>
          <w:szCs w:val="22"/>
          <w:lang w:val="lt-LT" w:eastAsia="sl-SI"/>
        </w:rPr>
        <w:t>to</w:t>
      </w:r>
      <w:r w:rsidRPr="00923E74">
        <w:rPr>
          <w:szCs w:val="22"/>
          <w:lang w:val="lt-LT" w:eastAsia="sl-SI"/>
        </w:rPr>
        <w:t xml:space="preserve">ti arba likus ne mažiau kaip 2 valandoms iki tulžies rūgštis surišančių </w:t>
      </w:r>
      <w:r w:rsidR="004E70A9" w:rsidRPr="00923E74">
        <w:rPr>
          <w:szCs w:val="22"/>
          <w:lang w:val="lt-LT" w:eastAsia="sl-SI"/>
        </w:rPr>
        <w:t>medžiagų</w:t>
      </w:r>
      <w:r w:rsidRPr="00923E74">
        <w:rPr>
          <w:szCs w:val="22"/>
          <w:lang w:val="lt-LT" w:eastAsia="sl-SI"/>
        </w:rPr>
        <w:t xml:space="preserve"> vartojimo, arba po jų vartojimo praėjus ne mažiau kaip 4 valandoms.</w:t>
      </w:r>
    </w:p>
    <w:p w14:paraId="54113066" w14:textId="77777777" w:rsidR="003E6C61" w:rsidRPr="00923E74" w:rsidRDefault="003E6C61" w:rsidP="00A31E3A">
      <w:pPr>
        <w:tabs>
          <w:tab w:val="clear" w:pos="567"/>
        </w:tabs>
        <w:autoSpaceDE w:val="0"/>
        <w:autoSpaceDN w:val="0"/>
        <w:adjustRightInd w:val="0"/>
        <w:spacing w:line="240" w:lineRule="auto"/>
        <w:rPr>
          <w:snapToGrid/>
          <w:szCs w:val="22"/>
          <w:lang w:val="lt-LT"/>
        </w:rPr>
      </w:pPr>
    </w:p>
    <w:p w14:paraId="327A91C5" w14:textId="77777777" w:rsidR="003E6C61" w:rsidRPr="007E15ED" w:rsidRDefault="007D279E" w:rsidP="007E15ED">
      <w:pPr>
        <w:keepNext/>
        <w:tabs>
          <w:tab w:val="clear" w:pos="567"/>
        </w:tabs>
        <w:autoSpaceDE w:val="0"/>
        <w:autoSpaceDN w:val="0"/>
        <w:adjustRightInd w:val="0"/>
        <w:spacing w:line="240" w:lineRule="auto"/>
        <w:rPr>
          <w:bCs/>
          <w:i/>
          <w:iCs/>
          <w:snapToGrid/>
          <w:szCs w:val="22"/>
          <w:u w:val="single"/>
          <w:lang w:val="lt-LT"/>
        </w:rPr>
      </w:pPr>
      <w:r w:rsidRPr="007E15ED">
        <w:rPr>
          <w:bCs/>
          <w:i/>
          <w:iCs/>
          <w:snapToGrid/>
          <w:szCs w:val="22"/>
          <w:u w:val="single"/>
          <w:lang w:val="lt-LT"/>
        </w:rPr>
        <w:t>Vartojimas kartu su kitais vaistiniais preparatais</w:t>
      </w:r>
    </w:p>
    <w:p w14:paraId="23370ECE" w14:textId="06D3EE41" w:rsidR="003E6C61" w:rsidRDefault="00E422CC" w:rsidP="00A31E3A">
      <w:pPr>
        <w:tabs>
          <w:tab w:val="clear" w:pos="567"/>
        </w:tabs>
        <w:autoSpaceDE w:val="0"/>
        <w:autoSpaceDN w:val="0"/>
        <w:adjustRightInd w:val="0"/>
        <w:spacing w:line="240" w:lineRule="auto"/>
        <w:rPr>
          <w:bCs/>
          <w:iCs/>
          <w:snapToGrid/>
          <w:szCs w:val="22"/>
          <w:lang w:val="lt-LT"/>
        </w:rPr>
      </w:pPr>
      <w:r w:rsidRPr="00923E74">
        <w:rPr>
          <w:bCs/>
          <w:iCs/>
          <w:snapToGrid/>
          <w:szCs w:val="22"/>
          <w:lang w:val="lt-LT"/>
        </w:rPr>
        <w:t xml:space="preserve">Jei pacientas kartu su </w:t>
      </w:r>
      <w:proofErr w:type="spellStart"/>
      <w:r w:rsidRPr="00923E74">
        <w:rPr>
          <w:bCs/>
          <w:iCs/>
          <w:snapToGrid/>
          <w:szCs w:val="22"/>
          <w:lang w:val="lt-LT"/>
        </w:rPr>
        <w:t>atorvastatinu</w:t>
      </w:r>
      <w:proofErr w:type="spellEnd"/>
      <w:r w:rsidRPr="00923E74">
        <w:rPr>
          <w:bCs/>
          <w:iCs/>
          <w:snapToGrid/>
          <w:szCs w:val="22"/>
          <w:lang w:val="lt-LT"/>
        </w:rPr>
        <w:t xml:space="preserve"> vartoja antivirusinių vaistinių preparatų </w:t>
      </w:r>
      <w:proofErr w:type="spellStart"/>
      <w:r w:rsidR="003E6C61" w:rsidRPr="00923E74">
        <w:rPr>
          <w:bCs/>
          <w:iCs/>
          <w:snapToGrid/>
          <w:szCs w:val="22"/>
          <w:lang w:val="lt-LT"/>
        </w:rPr>
        <w:t>elbasvir</w:t>
      </w:r>
      <w:r w:rsidRPr="00923E74">
        <w:rPr>
          <w:bCs/>
          <w:iCs/>
          <w:snapToGrid/>
          <w:szCs w:val="22"/>
          <w:lang w:val="lt-LT"/>
        </w:rPr>
        <w:t>o</w:t>
      </w:r>
      <w:proofErr w:type="spellEnd"/>
      <w:r w:rsidR="009E6D16">
        <w:rPr>
          <w:bCs/>
          <w:iCs/>
          <w:snapToGrid/>
          <w:szCs w:val="22"/>
          <w:lang w:val="lt-LT"/>
        </w:rPr>
        <w:t xml:space="preserve"> ar </w:t>
      </w:r>
      <w:proofErr w:type="spellStart"/>
      <w:r w:rsidR="003E6C61" w:rsidRPr="00923E74">
        <w:rPr>
          <w:bCs/>
          <w:iCs/>
          <w:snapToGrid/>
          <w:szCs w:val="22"/>
          <w:lang w:val="lt-LT"/>
        </w:rPr>
        <w:t>grazoprevir</w:t>
      </w:r>
      <w:r w:rsidRPr="00923E74">
        <w:rPr>
          <w:bCs/>
          <w:iCs/>
          <w:snapToGrid/>
          <w:szCs w:val="22"/>
          <w:lang w:val="lt-LT"/>
        </w:rPr>
        <w:t>o</w:t>
      </w:r>
      <w:proofErr w:type="spellEnd"/>
      <w:r w:rsidR="003E6C61" w:rsidRPr="00923E74">
        <w:rPr>
          <w:bCs/>
          <w:iCs/>
          <w:snapToGrid/>
          <w:szCs w:val="22"/>
          <w:lang w:val="lt-LT"/>
        </w:rPr>
        <w:t xml:space="preserve"> </w:t>
      </w:r>
      <w:r w:rsidRPr="00923E74">
        <w:rPr>
          <w:bCs/>
          <w:iCs/>
          <w:snapToGrid/>
          <w:szCs w:val="22"/>
          <w:lang w:val="lt-LT"/>
        </w:rPr>
        <w:t>nuo hepatito</w:t>
      </w:r>
      <w:r w:rsidR="009E6D16">
        <w:rPr>
          <w:bCs/>
          <w:iCs/>
          <w:snapToGrid/>
          <w:szCs w:val="22"/>
          <w:lang w:val="lt-LT"/>
        </w:rPr>
        <w:t> </w:t>
      </w:r>
      <w:r w:rsidRPr="00923E74">
        <w:rPr>
          <w:bCs/>
          <w:iCs/>
          <w:snapToGrid/>
          <w:szCs w:val="22"/>
          <w:lang w:val="lt-LT"/>
        </w:rPr>
        <w:t>C</w:t>
      </w:r>
      <w:r w:rsidR="00DE5736" w:rsidRPr="00DE5736">
        <w:rPr>
          <w:bCs/>
          <w:iCs/>
          <w:snapToGrid/>
          <w:szCs w:val="22"/>
          <w:lang w:val="lt-LT"/>
        </w:rPr>
        <w:t xml:space="preserve"> </w:t>
      </w:r>
      <w:r w:rsidR="00DE5736">
        <w:rPr>
          <w:bCs/>
          <w:iCs/>
          <w:snapToGrid/>
          <w:szCs w:val="22"/>
          <w:lang w:val="lt-LT"/>
        </w:rPr>
        <w:t xml:space="preserve">arba </w:t>
      </w:r>
      <w:proofErr w:type="spellStart"/>
      <w:r w:rsidR="00DE5736">
        <w:rPr>
          <w:bCs/>
          <w:iCs/>
          <w:snapToGrid/>
          <w:szCs w:val="22"/>
          <w:lang w:val="lt-LT"/>
        </w:rPr>
        <w:t>letermoviro</w:t>
      </w:r>
      <w:proofErr w:type="spellEnd"/>
      <w:r w:rsidR="00DE5736">
        <w:rPr>
          <w:bCs/>
          <w:iCs/>
          <w:snapToGrid/>
          <w:szCs w:val="22"/>
          <w:lang w:val="lt-LT"/>
        </w:rPr>
        <w:t xml:space="preserve"> </w:t>
      </w:r>
      <w:proofErr w:type="spellStart"/>
      <w:r w:rsidR="00DE5736">
        <w:rPr>
          <w:bCs/>
          <w:iCs/>
          <w:snapToGrid/>
          <w:szCs w:val="22"/>
          <w:lang w:val="lt-LT"/>
        </w:rPr>
        <w:t>citomegaloviruso</w:t>
      </w:r>
      <w:proofErr w:type="spellEnd"/>
      <w:r w:rsidR="00DE5736">
        <w:rPr>
          <w:bCs/>
          <w:iCs/>
          <w:snapToGrid/>
          <w:szCs w:val="22"/>
          <w:lang w:val="lt-LT"/>
        </w:rPr>
        <w:t xml:space="preserve"> infekcijos profilaktikai</w:t>
      </w:r>
      <w:r w:rsidR="003E6C61" w:rsidRPr="00923E74">
        <w:rPr>
          <w:bCs/>
          <w:iCs/>
          <w:snapToGrid/>
          <w:szCs w:val="22"/>
          <w:lang w:val="lt-LT"/>
        </w:rPr>
        <w:t xml:space="preserve">, </w:t>
      </w:r>
      <w:proofErr w:type="spellStart"/>
      <w:r w:rsidRPr="00923E74">
        <w:rPr>
          <w:bCs/>
          <w:iCs/>
          <w:snapToGrid/>
          <w:szCs w:val="22"/>
          <w:lang w:val="lt-LT"/>
        </w:rPr>
        <w:t>atorvastatino</w:t>
      </w:r>
      <w:proofErr w:type="spellEnd"/>
      <w:r w:rsidRPr="00923E74">
        <w:rPr>
          <w:bCs/>
          <w:iCs/>
          <w:snapToGrid/>
          <w:szCs w:val="22"/>
          <w:lang w:val="lt-LT"/>
        </w:rPr>
        <w:t xml:space="preserve"> paros dozė negali būti didesnė kaip 20</w:t>
      </w:r>
      <w:r w:rsidR="00DB52C7" w:rsidRPr="00923E74">
        <w:rPr>
          <w:bCs/>
          <w:iCs/>
          <w:snapToGrid/>
          <w:szCs w:val="22"/>
          <w:lang w:val="lt-LT"/>
        </w:rPr>
        <w:t> mg</w:t>
      </w:r>
      <w:r w:rsidR="003E6C61" w:rsidRPr="00923E74">
        <w:rPr>
          <w:bCs/>
          <w:iCs/>
          <w:snapToGrid/>
          <w:szCs w:val="22"/>
          <w:lang w:val="lt-LT"/>
        </w:rPr>
        <w:t xml:space="preserve"> (</w:t>
      </w:r>
      <w:r w:rsidRPr="00923E74">
        <w:rPr>
          <w:bCs/>
          <w:iCs/>
          <w:snapToGrid/>
          <w:szCs w:val="22"/>
          <w:lang w:val="lt-LT"/>
        </w:rPr>
        <w:t>žr.</w:t>
      </w:r>
      <w:r w:rsidR="009E6D16">
        <w:rPr>
          <w:bCs/>
          <w:iCs/>
          <w:snapToGrid/>
          <w:szCs w:val="22"/>
          <w:lang w:val="lt-LT"/>
        </w:rPr>
        <w:t> </w:t>
      </w:r>
      <w:r w:rsidR="003E6C61" w:rsidRPr="00923E74">
        <w:rPr>
          <w:bCs/>
          <w:iCs/>
          <w:snapToGrid/>
          <w:szCs w:val="22"/>
          <w:lang w:val="lt-LT"/>
        </w:rPr>
        <w:t xml:space="preserve">4.4. </w:t>
      </w:r>
      <w:r w:rsidRPr="00923E74">
        <w:rPr>
          <w:bCs/>
          <w:iCs/>
          <w:snapToGrid/>
          <w:szCs w:val="22"/>
          <w:lang w:val="lt-LT"/>
        </w:rPr>
        <w:t>ir</w:t>
      </w:r>
      <w:r w:rsidR="003E6C61" w:rsidRPr="00923E74">
        <w:rPr>
          <w:bCs/>
          <w:iCs/>
          <w:snapToGrid/>
          <w:szCs w:val="22"/>
          <w:lang w:val="lt-LT"/>
        </w:rPr>
        <w:t xml:space="preserve"> 4.5</w:t>
      </w:r>
      <w:r w:rsidRPr="00923E74">
        <w:rPr>
          <w:bCs/>
          <w:iCs/>
          <w:snapToGrid/>
          <w:szCs w:val="22"/>
          <w:lang w:val="lt-LT"/>
        </w:rPr>
        <w:t> skyrius</w:t>
      </w:r>
      <w:r w:rsidR="003E6C61" w:rsidRPr="00923E74">
        <w:rPr>
          <w:bCs/>
          <w:iCs/>
          <w:snapToGrid/>
          <w:szCs w:val="22"/>
          <w:lang w:val="lt-LT"/>
        </w:rPr>
        <w:t>).</w:t>
      </w:r>
    </w:p>
    <w:p w14:paraId="0B67E9B7" w14:textId="0C9EAC36" w:rsidR="001C4505" w:rsidRPr="00923E74" w:rsidRDefault="001C4505" w:rsidP="00A31E3A">
      <w:pPr>
        <w:tabs>
          <w:tab w:val="clear" w:pos="567"/>
        </w:tabs>
        <w:autoSpaceDE w:val="0"/>
        <w:autoSpaceDN w:val="0"/>
        <w:adjustRightInd w:val="0"/>
        <w:spacing w:line="240" w:lineRule="auto"/>
        <w:rPr>
          <w:bCs/>
          <w:iCs/>
          <w:snapToGrid/>
          <w:szCs w:val="22"/>
          <w:lang w:val="lt-LT"/>
        </w:rPr>
      </w:pPr>
      <w:proofErr w:type="spellStart"/>
      <w:r>
        <w:rPr>
          <w:bCs/>
          <w:iCs/>
          <w:snapToGrid/>
          <w:szCs w:val="22"/>
          <w:lang w:val="lt-LT"/>
        </w:rPr>
        <w:t>Atorvastatino</w:t>
      </w:r>
      <w:proofErr w:type="spellEnd"/>
      <w:r>
        <w:rPr>
          <w:bCs/>
          <w:iCs/>
          <w:snapToGrid/>
          <w:szCs w:val="22"/>
          <w:lang w:val="lt-LT"/>
        </w:rPr>
        <w:t xml:space="preserve"> nerekomenduojama vartoti pacientams, kurie vartoja </w:t>
      </w:r>
      <w:proofErr w:type="spellStart"/>
      <w:r>
        <w:rPr>
          <w:bCs/>
          <w:iCs/>
          <w:snapToGrid/>
          <w:szCs w:val="22"/>
          <w:lang w:val="lt-LT"/>
        </w:rPr>
        <w:t>letermoviro</w:t>
      </w:r>
      <w:proofErr w:type="spellEnd"/>
      <w:r>
        <w:rPr>
          <w:bCs/>
          <w:iCs/>
          <w:snapToGrid/>
          <w:szCs w:val="22"/>
          <w:lang w:val="lt-LT"/>
        </w:rPr>
        <w:t xml:space="preserve"> kartu su </w:t>
      </w:r>
      <w:proofErr w:type="spellStart"/>
      <w:r>
        <w:rPr>
          <w:bCs/>
          <w:iCs/>
          <w:snapToGrid/>
          <w:szCs w:val="22"/>
          <w:lang w:val="lt-LT"/>
        </w:rPr>
        <w:t>ciklosporinu</w:t>
      </w:r>
      <w:proofErr w:type="spellEnd"/>
      <w:r>
        <w:rPr>
          <w:bCs/>
          <w:iCs/>
          <w:snapToGrid/>
          <w:szCs w:val="22"/>
          <w:lang w:val="lt-LT"/>
        </w:rPr>
        <w:t xml:space="preserve"> (žr. 4.4 ir 4.5 skyri</w:t>
      </w:r>
      <w:r w:rsidR="00A71A98">
        <w:rPr>
          <w:bCs/>
          <w:iCs/>
          <w:snapToGrid/>
          <w:szCs w:val="22"/>
          <w:lang w:val="lt-LT"/>
        </w:rPr>
        <w:t>us</w:t>
      </w:r>
      <w:r>
        <w:rPr>
          <w:bCs/>
          <w:iCs/>
          <w:snapToGrid/>
          <w:szCs w:val="22"/>
          <w:lang w:val="lt-LT"/>
        </w:rPr>
        <w:t>)</w:t>
      </w:r>
      <w:r w:rsidR="00F64536">
        <w:rPr>
          <w:bCs/>
          <w:iCs/>
          <w:snapToGrid/>
          <w:szCs w:val="22"/>
          <w:lang w:val="lt-LT"/>
        </w:rPr>
        <w:t>.</w:t>
      </w:r>
    </w:p>
    <w:p w14:paraId="123FBF51" w14:textId="77777777" w:rsidR="003E6C61" w:rsidRPr="00923E74" w:rsidRDefault="003E6C61" w:rsidP="00A31E3A">
      <w:pPr>
        <w:tabs>
          <w:tab w:val="clear" w:pos="567"/>
        </w:tabs>
        <w:autoSpaceDE w:val="0"/>
        <w:autoSpaceDN w:val="0"/>
        <w:adjustRightInd w:val="0"/>
        <w:spacing w:line="240" w:lineRule="auto"/>
        <w:rPr>
          <w:b/>
          <w:i/>
          <w:snapToGrid/>
          <w:szCs w:val="22"/>
          <w:lang w:val="lt-LT"/>
        </w:rPr>
      </w:pPr>
    </w:p>
    <w:p w14:paraId="329B4F08" w14:textId="77777777" w:rsidR="003E6C61" w:rsidRPr="00923E74" w:rsidRDefault="007D279E" w:rsidP="007E15ED">
      <w:pPr>
        <w:keepNext/>
        <w:tabs>
          <w:tab w:val="clear" w:pos="567"/>
        </w:tabs>
        <w:spacing w:line="240" w:lineRule="auto"/>
        <w:rPr>
          <w:snapToGrid/>
          <w:szCs w:val="22"/>
          <w:u w:val="single"/>
          <w:lang w:val="lt-LT"/>
        </w:rPr>
      </w:pPr>
      <w:r w:rsidRPr="00923E74">
        <w:rPr>
          <w:snapToGrid/>
          <w:szCs w:val="22"/>
          <w:u w:val="single"/>
          <w:lang w:val="lt-LT"/>
        </w:rPr>
        <w:t>Vartojimo metodas</w:t>
      </w:r>
    </w:p>
    <w:p w14:paraId="0B33C020" w14:textId="688B9EAF" w:rsidR="003E6C61" w:rsidRPr="00923E74" w:rsidRDefault="00E422CC" w:rsidP="00A31E3A">
      <w:pPr>
        <w:shd w:val="clear" w:color="auto" w:fill="FFFFFF"/>
        <w:tabs>
          <w:tab w:val="clear" w:pos="567"/>
        </w:tabs>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vartojamas per burną</w:t>
      </w:r>
      <w:r w:rsidR="003E6C61" w:rsidRPr="00923E74">
        <w:rPr>
          <w:snapToGrid/>
          <w:szCs w:val="22"/>
          <w:lang w:val="lt-LT"/>
        </w:rPr>
        <w:t xml:space="preserve">. </w:t>
      </w:r>
      <w:r w:rsidRPr="00923E74">
        <w:rPr>
          <w:snapToGrid/>
          <w:szCs w:val="22"/>
          <w:lang w:val="lt-LT"/>
        </w:rPr>
        <w:t>Tabletę reiki nuryti užgeriant pakankamu kiekiu skysčio</w:t>
      </w:r>
      <w:r w:rsidR="003E6C61" w:rsidRPr="00923E74">
        <w:rPr>
          <w:snapToGrid/>
          <w:szCs w:val="22"/>
          <w:lang w:val="lt-LT"/>
        </w:rPr>
        <w:t xml:space="preserve"> </w:t>
      </w:r>
      <w:r w:rsidRPr="00923E74">
        <w:rPr>
          <w:snapToGrid/>
          <w:szCs w:val="22"/>
          <w:lang w:val="lt-LT"/>
        </w:rPr>
        <w:t>(pvz., viena</w:t>
      </w:r>
      <w:r w:rsidR="009E6D16">
        <w:rPr>
          <w:snapToGrid/>
          <w:szCs w:val="22"/>
          <w:lang w:val="lt-LT"/>
        </w:rPr>
        <w:t> </w:t>
      </w:r>
      <w:r w:rsidRPr="00923E74">
        <w:rPr>
          <w:snapToGrid/>
          <w:szCs w:val="22"/>
          <w:lang w:val="lt-LT"/>
        </w:rPr>
        <w:t>stikline vandens).</w:t>
      </w:r>
    </w:p>
    <w:p w14:paraId="5B5E3369" w14:textId="4F5393DD" w:rsidR="003E6C61" w:rsidRPr="00923E74" w:rsidRDefault="00E422CC" w:rsidP="00A31E3A">
      <w:pPr>
        <w:tabs>
          <w:tab w:val="clear" w:pos="567"/>
        </w:tabs>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galima suvartoti kaip vieną</w:t>
      </w:r>
      <w:r w:rsidR="009E6D16">
        <w:rPr>
          <w:snapToGrid/>
          <w:szCs w:val="22"/>
          <w:lang w:val="lt-LT"/>
        </w:rPr>
        <w:t> </w:t>
      </w:r>
      <w:r w:rsidRPr="00923E74">
        <w:rPr>
          <w:snapToGrid/>
          <w:szCs w:val="22"/>
          <w:lang w:val="lt-LT"/>
        </w:rPr>
        <w:t>dozę bet kuriuo (bet, pageidautina, kasdien tuo pačiu) paros metu, pavalgius ar nevalgius</w:t>
      </w:r>
      <w:r w:rsidR="003E6C61" w:rsidRPr="00923E74">
        <w:rPr>
          <w:snapToGrid/>
          <w:szCs w:val="22"/>
          <w:lang w:val="lt-LT"/>
        </w:rPr>
        <w:t>.</w:t>
      </w:r>
    </w:p>
    <w:p w14:paraId="47E72E4B" w14:textId="77777777" w:rsidR="00381B7D" w:rsidRPr="00923E74" w:rsidRDefault="00381B7D" w:rsidP="00A31E3A">
      <w:pPr>
        <w:widowControl w:val="0"/>
        <w:tabs>
          <w:tab w:val="clear" w:pos="567"/>
        </w:tabs>
        <w:spacing w:line="240" w:lineRule="auto"/>
        <w:rPr>
          <w:snapToGrid/>
          <w:szCs w:val="22"/>
          <w:lang w:val="lt-LT" w:eastAsia="sl-SI"/>
        </w:rPr>
      </w:pPr>
    </w:p>
    <w:p w14:paraId="0AE7C359"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4.3</w:t>
      </w:r>
      <w:r w:rsidRPr="00923E74">
        <w:rPr>
          <w:b/>
          <w:snapToGrid/>
          <w:szCs w:val="22"/>
          <w:lang w:val="lt-LT" w:eastAsia="sl-SI"/>
        </w:rPr>
        <w:tab/>
        <w:t>Kontraindikacijos</w:t>
      </w:r>
    </w:p>
    <w:p w14:paraId="783DE779" w14:textId="77777777" w:rsidR="00381B7D" w:rsidRPr="00923E74" w:rsidRDefault="00381B7D" w:rsidP="007E15ED">
      <w:pPr>
        <w:keepNext/>
        <w:widowControl w:val="0"/>
        <w:tabs>
          <w:tab w:val="clear" w:pos="567"/>
        </w:tabs>
        <w:spacing w:line="240" w:lineRule="auto"/>
        <w:rPr>
          <w:snapToGrid/>
          <w:szCs w:val="22"/>
          <w:lang w:val="lt-LT" w:eastAsia="sl-SI"/>
        </w:rPr>
      </w:pPr>
    </w:p>
    <w:p w14:paraId="79E60B5C" w14:textId="77777777" w:rsidR="00EC2337" w:rsidRPr="00923E74" w:rsidRDefault="00EC2337" w:rsidP="00A31E3A">
      <w:pPr>
        <w:spacing w:line="240" w:lineRule="auto"/>
        <w:rPr>
          <w:snapToGrid/>
          <w:szCs w:val="22"/>
          <w:lang w:val="lt-LT"/>
        </w:rPr>
      </w:pPr>
      <w:r w:rsidRPr="00923E74">
        <w:rPr>
          <w:snapToGrid/>
          <w:szCs w:val="22"/>
          <w:lang w:val="lt-LT"/>
        </w:rPr>
        <w:t>Padidėjęs jautrumas veikliosioms medžiagoms arba bet kuriai 6.1 skyriuje nurodytai pagalbinei medžiagai.</w:t>
      </w:r>
    </w:p>
    <w:p w14:paraId="094EB2C0" w14:textId="77777777" w:rsidR="00EC2337" w:rsidRPr="00923E74" w:rsidRDefault="00EC2337" w:rsidP="00A31E3A">
      <w:pPr>
        <w:spacing w:line="240" w:lineRule="auto"/>
        <w:rPr>
          <w:snapToGrid/>
          <w:szCs w:val="22"/>
          <w:lang w:val="lt-LT"/>
        </w:rPr>
      </w:pPr>
    </w:p>
    <w:p w14:paraId="2B2C19A3" w14:textId="545C5B87" w:rsidR="00EC2337" w:rsidRPr="00923E74" w:rsidRDefault="00EC2337" w:rsidP="00A31E3A">
      <w:pPr>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negalima vartoti nėštumo metu, žindymo laikotarpiu ir vaisingoms moterims, kurios nenaudoja tinkamų kontracepcijos priemonių (žr.</w:t>
      </w:r>
      <w:r w:rsidR="009E6D16">
        <w:rPr>
          <w:snapToGrid/>
          <w:szCs w:val="22"/>
          <w:lang w:val="lt-LT"/>
        </w:rPr>
        <w:t> </w:t>
      </w:r>
      <w:r w:rsidRPr="00923E74">
        <w:rPr>
          <w:snapToGrid/>
          <w:szCs w:val="22"/>
          <w:lang w:val="lt-LT"/>
        </w:rPr>
        <w:t>4.6 skyrių).</w:t>
      </w:r>
    </w:p>
    <w:p w14:paraId="55E04A4B" w14:textId="77777777" w:rsidR="00EC2337" w:rsidRPr="00923E74" w:rsidRDefault="00EC2337" w:rsidP="00A31E3A">
      <w:pPr>
        <w:widowControl w:val="0"/>
        <w:snapToGrid w:val="0"/>
        <w:spacing w:line="240" w:lineRule="auto"/>
        <w:rPr>
          <w:snapToGrid/>
          <w:szCs w:val="22"/>
          <w:lang w:val="lt-LT"/>
        </w:rPr>
      </w:pPr>
    </w:p>
    <w:p w14:paraId="188F1569" w14:textId="30420240" w:rsidR="00EC2337" w:rsidRPr="00923E74" w:rsidRDefault="00EC2337" w:rsidP="00A31E3A">
      <w:pPr>
        <w:widowControl w:val="0"/>
        <w:snapToGrid w:val="0"/>
        <w:spacing w:line="240" w:lineRule="auto"/>
        <w:rPr>
          <w:snapToGrid/>
          <w:szCs w:val="22"/>
          <w:lang w:val="lt-LT" w:eastAsia="sl-SI"/>
        </w:rPr>
      </w:pPr>
      <w:proofErr w:type="spellStart"/>
      <w:r w:rsidRPr="00923E74">
        <w:rPr>
          <w:snapToGrid/>
          <w:szCs w:val="22"/>
          <w:lang w:val="lt-LT"/>
        </w:rPr>
        <w:t>Torzelip</w:t>
      </w:r>
      <w:proofErr w:type="spellEnd"/>
      <w:r w:rsidRPr="00923E74">
        <w:rPr>
          <w:snapToGrid/>
          <w:szCs w:val="22"/>
          <w:lang w:val="lt-LT"/>
        </w:rPr>
        <w:t xml:space="preserve"> negalima vartoti pacientams, kurie serga aktyvia kepenų liga, kuriems yra nuolatinis daugiau kaip 3 kartus viršutinę normos ribą (VNR) viršijantis </w:t>
      </w:r>
      <w:proofErr w:type="spellStart"/>
      <w:r w:rsidRPr="00923E74">
        <w:rPr>
          <w:snapToGrid/>
          <w:szCs w:val="22"/>
          <w:lang w:val="lt-LT"/>
        </w:rPr>
        <w:t>transaminazių</w:t>
      </w:r>
      <w:proofErr w:type="spellEnd"/>
      <w:r w:rsidRPr="00923E74">
        <w:rPr>
          <w:snapToGrid/>
          <w:szCs w:val="22"/>
          <w:lang w:val="lt-LT"/>
        </w:rPr>
        <w:t xml:space="preserve"> aktyvumo padidėjimas kraujo serume dėl neaiškios priežasties arba kurie </w:t>
      </w:r>
      <w:r w:rsidRPr="00923E74">
        <w:rPr>
          <w:bCs/>
          <w:iCs/>
          <w:snapToGrid/>
          <w:szCs w:val="22"/>
          <w:lang w:val="lt-LT"/>
        </w:rPr>
        <w:t>vartoja antivi</w:t>
      </w:r>
      <w:r w:rsidRPr="004B48CF">
        <w:rPr>
          <w:bCs/>
          <w:iCs/>
          <w:snapToGrid/>
          <w:szCs w:val="22"/>
          <w:lang w:val="lt-LT"/>
        </w:rPr>
        <w:t xml:space="preserve">rusinių vaistinių preparatų </w:t>
      </w:r>
      <w:proofErr w:type="spellStart"/>
      <w:r w:rsidR="004B48CF" w:rsidRPr="001E32AC">
        <w:rPr>
          <w:rStyle w:val="Emfaz"/>
          <w:rFonts w:eastAsia="SimSun"/>
          <w:bCs/>
          <w:i w:val="0"/>
          <w:iCs w:val="0"/>
          <w:shd w:val="clear" w:color="auto" w:fill="FFFFFF"/>
          <w:lang w:val="lt-LT"/>
        </w:rPr>
        <w:t>glekapreviro</w:t>
      </w:r>
      <w:proofErr w:type="spellEnd"/>
      <w:r w:rsidR="004B48CF" w:rsidRPr="004B48CF" w:rsidDel="004B48CF">
        <w:rPr>
          <w:bCs/>
          <w:iCs/>
          <w:snapToGrid/>
          <w:szCs w:val="22"/>
          <w:lang w:val="lt-LT"/>
        </w:rPr>
        <w:t xml:space="preserve"> </w:t>
      </w:r>
      <w:r w:rsidR="009E6D16">
        <w:rPr>
          <w:bCs/>
          <w:iCs/>
          <w:snapToGrid/>
          <w:szCs w:val="22"/>
          <w:lang w:val="lt-LT"/>
        </w:rPr>
        <w:t>ar</w:t>
      </w:r>
      <w:r w:rsidR="004B48CF" w:rsidRPr="001E32AC">
        <w:rPr>
          <w:rStyle w:val="Antrat1Diagrama"/>
          <w:b w:val="0"/>
          <w:bCs/>
          <w:i/>
          <w:iCs/>
          <w:shd w:val="clear" w:color="auto" w:fill="FFFFFF"/>
          <w:lang w:val="lt-LT"/>
        </w:rPr>
        <w:t xml:space="preserve"> </w:t>
      </w:r>
      <w:proofErr w:type="spellStart"/>
      <w:r w:rsidR="004B48CF" w:rsidRPr="001E32AC">
        <w:rPr>
          <w:rStyle w:val="Emfaz"/>
          <w:rFonts w:eastAsia="SimSun"/>
          <w:bCs/>
          <w:i w:val="0"/>
          <w:iCs w:val="0"/>
          <w:shd w:val="clear" w:color="auto" w:fill="FFFFFF"/>
          <w:lang w:val="lt-LT"/>
        </w:rPr>
        <w:t>pibrentasviro</w:t>
      </w:r>
      <w:proofErr w:type="spellEnd"/>
      <w:r w:rsidRPr="004B48CF">
        <w:rPr>
          <w:bCs/>
          <w:iCs/>
          <w:snapToGrid/>
          <w:szCs w:val="22"/>
          <w:lang w:val="lt-LT"/>
        </w:rPr>
        <w:t xml:space="preserve"> nuo hepatito</w:t>
      </w:r>
      <w:r w:rsidR="009E6D16">
        <w:rPr>
          <w:bCs/>
          <w:iCs/>
          <w:snapToGrid/>
          <w:szCs w:val="22"/>
          <w:lang w:val="lt-LT"/>
        </w:rPr>
        <w:t> </w:t>
      </w:r>
      <w:r w:rsidRPr="004B48CF">
        <w:rPr>
          <w:bCs/>
          <w:iCs/>
          <w:snapToGrid/>
          <w:szCs w:val="22"/>
          <w:lang w:val="lt-LT"/>
        </w:rPr>
        <w:t>C.</w:t>
      </w:r>
    </w:p>
    <w:p w14:paraId="443521C7" w14:textId="77777777" w:rsidR="00381B7D" w:rsidRPr="00923E74" w:rsidRDefault="00381B7D" w:rsidP="00A31E3A">
      <w:pPr>
        <w:widowControl w:val="0"/>
        <w:tabs>
          <w:tab w:val="clear" w:pos="567"/>
        </w:tabs>
        <w:spacing w:line="240" w:lineRule="auto"/>
        <w:rPr>
          <w:snapToGrid/>
          <w:szCs w:val="22"/>
          <w:lang w:val="lt-LT" w:eastAsia="sl-SI"/>
        </w:rPr>
      </w:pPr>
    </w:p>
    <w:p w14:paraId="455DB7D1"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4.4</w:t>
      </w:r>
      <w:r w:rsidRPr="00923E74">
        <w:rPr>
          <w:b/>
          <w:snapToGrid/>
          <w:szCs w:val="22"/>
          <w:lang w:val="lt-LT" w:eastAsia="sl-SI"/>
        </w:rPr>
        <w:tab/>
        <w:t>Specialūs įspėjimai ir atsargumo priemonės</w:t>
      </w:r>
    </w:p>
    <w:p w14:paraId="3761B5AD" w14:textId="77777777" w:rsidR="00381B7D" w:rsidRPr="00923E74" w:rsidRDefault="00381B7D" w:rsidP="007E15ED">
      <w:pPr>
        <w:keepNext/>
        <w:widowControl w:val="0"/>
        <w:tabs>
          <w:tab w:val="clear" w:pos="567"/>
        </w:tabs>
        <w:spacing w:line="240" w:lineRule="auto"/>
        <w:rPr>
          <w:snapToGrid/>
          <w:szCs w:val="22"/>
          <w:lang w:val="lt-LT" w:eastAsia="sl-SI"/>
        </w:rPr>
      </w:pPr>
    </w:p>
    <w:p w14:paraId="3A838524" w14:textId="6F5D0D91" w:rsidR="001818AC" w:rsidRPr="00923E74" w:rsidRDefault="000B6CDF" w:rsidP="007E15ED">
      <w:pPr>
        <w:keepNext/>
        <w:tabs>
          <w:tab w:val="clear" w:pos="567"/>
        </w:tabs>
        <w:spacing w:line="240" w:lineRule="auto"/>
        <w:rPr>
          <w:snapToGrid/>
          <w:szCs w:val="22"/>
          <w:u w:val="single"/>
          <w:lang w:val="lt-LT"/>
        </w:rPr>
      </w:pPr>
      <w:proofErr w:type="spellStart"/>
      <w:r w:rsidRPr="00923E74">
        <w:rPr>
          <w:snapToGrid/>
          <w:szCs w:val="22"/>
          <w:u w:val="single"/>
          <w:lang w:val="lt-LT"/>
        </w:rPr>
        <w:t>Miopatija</w:t>
      </w:r>
      <w:proofErr w:type="spellEnd"/>
      <w:r w:rsidR="004B48CF">
        <w:rPr>
          <w:snapToGrid/>
          <w:szCs w:val="22"/>
          <w:u w:val="single"/>
          <w:lang w:val="lt-LT"/>
        </w:rPr>
        <w:t xml:space="preserve"> </w:t>
      </w:r>
      <w:r w:rsidR="006024AD">
        <w:rPr>
          <w:snapToGrid/>
          <w:szCs w:val="22"/>
          <w:u w:val="single"/>
          <w:lang w:val="lt-LT"/>
        </w:rPr>
        <w:t>i</w:t>
      </w:r>
      <w:r w:rsidR="002A6F65">
        <w:rPr>
          <w:snapToGrid/>
          <w:szCs w:val="22"/>
          <w:u w:val="single"/>
          <w:lang w:val="lt-LT"/>
        </w:rPr>
        <w:t>r</w:t>
      </w:r>
      <w:r w:rsidR="004B48CF">
        <w:rPr>
          <w:snapToGrid/>
          <w:szCs w:val="22"/>
          <w:u w:val="single"/>
          <w:lang w:val="lt-LT"/>
        </w:rPr>
        <w:t xml:space="preserve"> </w:t>
      </w:r>
      <w:proofErr w:type="spellStart"/>
      <w:r w:rsidRPr="00923E74">
        <w:rPr>
          <w:snapToGrid/>
          <w:szCs w:val="22"/>
          <w:u w:val="single"/>
          <w:lang w:val="lt-LT"/>
        </w:rPr>
        <w:t>rabdomiolizė</w:t>
      </w:r>
      <w:proofErr w:type="spellEnd"/>
    </w:p>
    <w:p w14:paraId="62978101" w14:textId="5FDE55FB" w:rsidR="001818AC" w:rsidRPr="00923E74" w:rsidRDefault="000B6CDF" w:rsidP="00A31E3A">
      <w:pPr>
        <w:tabs>
          <w:tab w:val="clear" w:pos="567"/>
        </w:tabs>
        <w:spacing w:line="240" w:lineRule="auto"/>
        <w:rPr>
          <w:snapToGrid/>
          <w:szCs w:val="22"/>
          <w:lang w:val="lt-LT"/>
        </w:rPr>
      </w:pPr>
      <w:r w:rsidRPr="00923E74">
        <w:rPr>
          <w:snapToGrid/>
          <w:szCs w:val="22"/>
          <w:lang w:val="lt-LT"/>
        </w:rPr>
        <w:t xml:space="preserve">Po </w:t>
      </w:r>
      <w:proofErr w:type="spellStart"/>
      <w:r w:rsidRPr="00923E74">
        <w:rPr>
          <w:snapToGrid/>
          <w:szCs w:val="22"/>
          <w:lang w:val="lt-LT"/>
        </w:rPr>
        <w:t>ezetimibo</w:t>
      </w:r>
      <w:proofErr w:type="spellEnd"/>
      <w:r w:rsidRPr="00923E74">
        <w:rPr>
          <w:snapToGrid/>
          <w:szCs w:val="22"/>
          <w:lang w:val="lt-LT"/>
        </w:rPr>
        <w:t xml:space="preserve"> pateikimo į rinką gauta pranešimų apie </w:t>
      </w:r>
      <w:proofErr w:type="spellStart"/>
      <w:r w:rsidRPr="00923E74">
        <w:rPr>
          <w:snapToGrid/>
          <w:szCs w:val="22"/>
          <w:lang w:val="lt-LT"/>
        </w:rPr>
        <w:t>miopatijos</w:t>
      </w:r>
      <w:proofErr w:type="spellEnd"/>
      <w:r w:rsidRPr="00923E74">
        <w:rPr>
          <w:snapToGrid/>
          <w:szCs w:val="22"/>
          <w:lang w:val="lt-LT"/>
        </w:rPr>
        <w:t xml:space="preserve"> ir </w:t>
      </w:r>
      <w:proofErr w:type="spellStart"/>
      <w:r w:rsidRPr="00923E74">
        <w:rPr>
          <w:snapToGrid/>
          <w:szCs w:val="22"/>
          <w:lang w:val="lt-LT"/>
        </w:rPr>
        <w:t>rabdomiolizės</w:t>
      </w:r>
      <w:proofErr w:type="spellEnd"/>
      <w:r w:rsidRPr="00923E74">
        <w:rPr>
          <w:snapToGrid/>
          <w:szCs w:val="22"/>
          <w:lang w:val="lt-LT"/>
        </w:rPr>
        <w:t xml:space="preserve"> atvejus. Dauguma pacientų, kuriems pasireiškė </w:t>
      </w:r>
      <w:proofErr w:type="spellStart"/>
      <w:r w:rsidRPr="00923E74">
        <w:rPr>
          <w:snapToGrid/>
          <w:szCs w:val="22"/>
          <w:lang w:val="lt-LT"/>
        </w:rPr>
        <w:t>rabdomiolizė</w:t>
      </w:r>
      <w:proofErr w:type="spellEnd"/>
      <w:r w:rsidRPr="00923E74">
        <w:rPr>
          <w:snapToGrid/>
          <w:szCs w:val="22"/>
          <w:lang w:val="lt-LT"/>
        </w:rPr>
        <w:t xml:space="preserve">, kartu su </w:t>
      </w:r>
      <w:proofErr w:type="spellStart"/>
      <w:r w:rsidRPr="00923E74">
        <w:rPr>
          <w:snapToGrid/>
          <w:szCs w:val="22"/>
          <w:lang w:val="lt-LT"/>
        </w:rPr>
        <w:t>ezetimibu</w:t>
      </w:r>
      <w:proofErr w:type="spellEnd"/>
      <w:r w:rsidRPr="00923E74">
        <w:rPr>
          <w:snapToGrid/>
          <w:szCs w:val="22"/>
          <w:lang w:val="lt-LT"/>
        </w:rPr>
        <w:t xml:space="preserve"> vartojo ir </w:t>
      </w:r>
      <w:proofErr w:type="spellStart"/>
      <w:r w:rsidRPr="00923E74">
        <w:rPr>
          <w:snapToGrid/>
          <w:szCs w:val="22"/>
          <w:lang w:val="lt-LT"/>
        </w:rPr>
        <w:t>statin</w:t>
      </w:r>
      <w:r w:rsidR="002A6F65">
        <w:rPr>
          <w:snapToGrid/>
          <w:szCs w:val="22"/>
          <w:lang w:val="lt-LT"/>
        </w:rPr>
        <w:t>o</w:t>
      </w:r>
      <w:proofErr w:type="spellEnd"/>
      <w:r w:rsidRPr="00923E74">
        <w:rPr>
          <w:snapToGrid/>
          <w:szCs w:val="22"/>
          <w:lang w:val="lt-LT"/>
        </w:rPr>
        <w:t>. Vis dėlto g</w:t>
      </w:r>
      <w:r w:rsidR="0039435A" w:rsidRPr="00923E74">
        <w:rPr>
          <w:snapToGrid/>
          <w:szCs w:val="22"/>
          <w:lang w:val="lt-LT"/>
        </w:rPr>
        <w:t>a</w:t>
      </w:r>
      <w:r w:rsidRPr="00923E74">
        <w:rPr>
          <w:snapToGrid/>
          <w:szCs w:val="22"/>
          <w:lang w:val="lt-LT"/>
        </w:rPr>
        <w:t xml:space="preserve">uta labai </w:t>
      </w:r>
      <w:r w:rsidRPr="00923E74">
        <w:rPr>
          <w:snapToGrid/>
          <w:szCs w:val="22"/>
          <w:lang w:val="lt-LT"/>
        </w:rPr>
        <w:lastRenderedPageBreak/>
        <w:t xml:space="preserve">retų pranešimų apie </w:t>
      </w:r>
      <w:proofErr w:type="spellStart"/>
      <w:r w:rsidRPr="00923E74">
        <w:rPr>
          <w:snapToGrid/>
          <w:szCs w:val="22"/>
          <w:lang w:val="lt-LT"/>
        </w:rPr>
        <w:t>rabdomiolizę</w:t>
      </w:r>
      <w:proofErr w:type="spellEnd"/>
      <w:r w:rsidRPr="00923E74">
        <w:rPr>
          <w:snapToGrid/>
          <w:szCs w:val="22"/>
          <w:lang w:val="lt-LT"/>
        </w:rPr>
        <w:t xml:space="preserve"> vartojant vien </w:t>
      </w:r>
      <w:proofErr w:type="spellStart"/>
      <w:r w:rsidRPr="00923E74">
        <w:rPr>
          <w:snapToGrid/>
          <w:szCs w:val="22"/>
          <w:lang w:val="lt-LT"/>
        </w:rPr>
        <w:t>ezetimibo</w:t>
      </w:r>
      <w:proofErr w:type="spellEnd"/>
      <w:r w:rsidRPr="00923E74">
        <w:rPr>
          <w:snapToGrid/>
          <w:szCs w:val="22"/>
          <w:lang w:val="lt-LT"/>
        </w:rPr>
        <w:t xml:space="preserve"> ar jo ir kito vaistinio preparato, didinančio </w:t>
      </w:r>
      <w:proofErr w:type="spellStart"/>
      <w:r w:rsidRPr="00923E74">
        <w:rPr>
          <w:snapToGrid/>
          <w:szCs w:val="22"/>
          <w:lang w:val="lt-LT"/>
        </w:rPr>
        <w:t>rabdomiolizės</w:t>
      </w:r>
      <w:proofErr w:type="spellEnd"/>
      <w:r w:rsidRPr="00923E74">
        <w:rPr>
          <w:snapToGrid/>
          <w:szCs w:val="22"/>
          <w:lang w:val="lt-LT"/>
        </w:rPr>
        <w:t xml:space="preserve"> riziką.</w:t>
      </w:r>
    </w:p>
    <w:p w14:paraId="693CF5C7" w14:textId="77777777" w:rsidR="000B6CDF" w:rsidRPr="00923E74" w:rsidRDefault="000B6CDF" w:rsidP="00A31E3A">
      <w:pPr>
        <w:tabs>
          <w:tab w:val="clear" w:pos="567"/>
        </w:tabs>
        <w:spacing w:line="240" w:lineRule="auto"/>
        <w:rPr>
          <w:snapToGrid/>
          <w:szCs w:val="22"/>
          <w:lang w:val="lt-LT"/>
        </w:rPr>
      </w:pPr>
    </w:p>
    <w:p w14:paraId="62ADBB24" w14:textId="775DDB77" w:rsidR="001818AC" w:rsidRPr="00923E74" w:rsidRDefault="000B6CDF" w:rsidP="00A31E3A">
      <w:pPr>
        <w:tabs>
          <w:tab w:val="clear" w:pos="567"/>
        </w:tabs>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kaip ir kiti HMG</w:t>
      </w:r>
      <w:r w:rsidR="002A6F65">
        <w:rPr>
          <w:snapToGrid/>
          <w:szCs w:val="22"/>
          <w:lang w:val="lt-LT"/>
        </w:rPr>
        <w:noBreakHyphen/>
      </w:r>
      <w:proofErr w:type="spellStart"/>
      <w:r w:rsidRPr="00923E74">
        <w:rPr>
          <w:snapToGrid/>
          <w:szCs w:val="22"/>
          <w:lang w:val="lt-LT"/>
        </w:rPr>
        <w:t>KoA</w:t>
      </w:r>
      <w:proofErr w:type="spellEnd"/>
      <w:r w:rsidR="002A6F65">
        <w:rPr>
          <w:snapToGrid/>
          <w:szCs w:val="22"/>
          <w:lang w:val="lt-LT"/>
        </w:rPr>
        <w:t> </w:t>
      </w:r>
      <w:r w:rsidRPr="00923E74">
        <w:rPr>
          <w:snapToGrid/>
          <w:szCs w:val="22"/>
          <w:lang w:val="lt-LT"/>
        </w:rPr>
        <w:t xml:space="preserve">reduktazės inhibitoriai, retais atvejais gali daryti poveikį </w:t>
      </w:r>
      <w:r w:rsidR="003B2789" w:rsidRPr="00923E74">
        <w:rPr>
          <w:snapToGrid/>
          <w:szCs w:val="22"/>
          <w:lang w:val="lt-LT"/>
        </w:rPr>
        <w:t>skeleto</w:t>
      </w:r>
      <w:r w:rsidRPr="00923E74">
        <w:rPr>
          <w:snapToGrid/>
          <w:szCs w:val="22"/>
          <w:lang w:val="lt-LT"/>
        </w:rPr>
        <w:t xml:space="preserve"> raumenims ir sukelti </w:t>
      </w:r>
      <w:proofErr w:type="spellStart"/>
      <w:r w:rsidRPr="00923E74">
        <w:rPr>
          <w:snapToGrid/>
          <w:szCs w:val="22"/>
          <w:lang w:val="lt-LT"/>
        </w:rPr>
        <w:t>mialgiją</w:t>
      </w:r>
      <w:proofErr w:type="spellEnd"/>
      <w:r w:rsidRPr="00923E74">
        <w:rPr>
          <w:snapToGrid/>
          <w:szCs w:val="22"/>
          <w:lang w:val="lt-LT"/>
        </w:rPr>
        <w:t xml:space="preserve">, </w:t>
      </w:r>
      <w:proofErr w:type="spellStart"/>
      <w:r w:rsidRPr="00923E74">
        <w:rPr>
          <w:snapToGrid/>
          <w:szCs w:val="22"/>
          <w:lang w:val="lt-LT"/>
        </w:rPr>
        <w:t>miozitą</w:t>
      </w:r>
      <w:proofErr w:type="spellEnd"/>
      <w:r w:rsidRPr="00923E74">
        <w:rPr>
          <w:snapToGrid/>
          <w:szCs w:val="22"/>
          <w:lang w:val="lt-LT"/>
        </w:rPr>
        <w:t xml:space="preserve"> ar </w:t>
      </w:r>
      <w:proofErr w:type="spellStart"/>
      <w:r w:rsidRPr="00923E74">
        <w:rPr>
          <w:snapToGrid/>
          <w:szCs w:val="22"/>
          <w:lang w:val="lt-LT"/>
        </w:rPr>
        <w:t>miopatiją</w:t>
      </w:r>
      <w:proofErr w:type="spellEnd"/>
      <w:r w:rsidRPr="00923E74">
        <w:rPr>
          <w:snapToGrid/>
          <w:szCs w:val="22"/>
          <w:lang w:val="lt-LT"/>
        </w:rPr>
        <w:t xml:space="preserve">, galinčią progresuoti į </w:t>
      </w:r>
      <w:proofErr w:type="spellStart"/>
      <w:r w:rsidRPr="00923E74">
        <w:rPr>
          <w:snapToGrid/>
          <w:szCs w:val="22"/>
          <w:lang w:val="lt-LT"/>
        </w:rPr>
        <w:t>rabdomiolizę</w:t>
      </w:r>
      <w:proofErr w:type="spellEnd"/>
      <w:r w:rsidRPr="00923E74">
        <w:rPr>
          <w:snapToGrid/>
          <w:szCs w:val="22"/>
          <w:lang w:val="lt-LT"/>
        </w:rPr>
        <w:t>, t.</w:t>
      </w:r>
      <w:r w:rsidR="002A6F65">
        <w:rPr>
          <w:snapToGrid/>
          <w:szCs w:val="22"/>
          <w:lang w:val="lt-LT"/>
        </w:rPr>
        <w:t> </w:t>
      </w:r>
      <w:r w:rsidRPr="00923E74">
        <w:rPr>
          <w:snapToGrid/>
          <w:szCs w:val="22"/>
          <w:lang w:val="lt-LT"/>
        </w:rPr>
        <w:t xml:space="preserve">y. gyvybei pavojingą būklę, pasireiškiančią reikšmingu </w:t>
      </w:r>
      <w:proofErr w:type="spellStart"/>
      <w:r w:rsidRPr="00923E74">
        <w:rPr>
          <w:snapToGrid/>
          <w:szCs w:val="22"/>
          <w:lang w:val="lt-LT"/>
        </w:rPr>
        <w:t>kreatinfosfokinazės</w:t>
      </w:r>
      <w:proofErr w:type="spellEnd"/>
      <w:r w:rsidR="002A6F65">
        <w:rPr>
          <w:snapToGrid/>
          <w:szCs w:val="22"/>
          <w:lang w:val="lt-LT"/>
        </w:rPr>
        <w:t> </w:t>
      </w:r>
      <w:r w:rsidRPr="00923E74">
        <w:rPr>
          <w:snapToGrid/>
          <w:szCs w:val="22"/>
          <w:lang w:val="lt-LT"/>
        </w:rPr>
        <w:t>(KFK) aktyvumo padidėjimu (</w:t>
      </w:r>
      <w:r w:rsidR="0039435A" w:rsidRPr="00923E74">
        <w:rPr>
          <w:snapToGrid/>
          <w:szCs w:val="22"/>
          <w:lang w:val="lt-LT"/>
        </w:rPr>
        <w:t>&gt; </w:t>
      </w:r>
      <w:r w:rsidRPr="00923E74">
        <w:rPr>
          <w:snapToGrid/>
          <w:szCs w:val="22"/>
          <w:lang w:val="lt-LT"/>
        </w:rPr>
        <w:t xml:space="preserve">10 kartų viršijančiu VNR), </w:t>
      </w:r>
      <w:proofErr w:type="spellStart"/>
      <w:r w:rsidRPr="00923E74">
        <w:rPr>
          <w:snapToGrid/>
          <w:szCs w:val="22"/>
          <w:lang w:val="lt-LT"/>
        </w:rPr>
        <w:t>mioglobinemija</w:t>
      </w:r>
      <w:proofErr w:type="spellEnd"/>
      <w:r w:rsidRPr="00923E74">
        <w:rPr>
          <w:snapToGrid/>
          <w:szCs w:val="22"/>
          <w:lang w:val="lt-LT"/>
        </w:rPr>
        <w:t xml:space="preserve"> ir </w:t>
      </w:r>
      <w:proofErr w:type="spellStart"/>
      <w:r w:rsidRPr="00923E74">
        <w:rPr>
          <w:snapToGrid/>
          <w:szCs w:val="22"/>
          <w:lang w:val="lt-LT"/>
        </w:rPr>
        <w:t>mioglobinurija</w:t>
      </w:r>
      <w:proofErr w:type="spellEnd"/>
      <w:r w:rsidRPr="00923E74">
        <w:rPr>
          <w:snapToGrid/>
          <w:szCs w:val="22"/>
          <w:lang w:val="lt-LT"/>
        </w:rPr>
        <w:t>, galinčia sukelti inkstų nepakankamumą.</w:t>
      </w:r>
      <w:r w:rsidRPr="00923E74">
        <w:rPr>
          <w:szCs w:val="22"/>
          <w:lang w:val="lt-LT"/>
        </w:rPr>
        <w:t xml:space="preserve"> </w:t>
      </w:r>
      <w:r w:rsidRPr="00923E74">
        <w:rPr>
          <w:snapToGrid/>
          <w:szCs w:val="22"/>
          <w:lang w:val="lt-LT"/>
        </w:rPr>
        <w:t xml:space="preserve">Gydymo </w:t>
      </w:r>
      <w:r w:rsidR="00A94B42">
        <w:rPr>
          <w:snapToGrid/>
          <w:szCs w:val="22"/>
          <w:lang w:val="lt-LT"/>
        </w:rPr>
        <w:t xml:space="preserve">kai kuriais </w:t>
      </w:r>
      <w:proofErr w:type="spellStart"/>
      <w:r w:rsidRPr="00923E74">
        <w:rPr>
          <w:snapToGrid/>
          <w:szCs w:val="22"/>
          <w:lang w:val="lt-LT"/>
        </w:rPr>
        <w:t>statinais</w:t>
      </w:r>
      <w:proofErr w:type="spellEnd"/>
      <w:r w:rsidRPr="00923E74">
        <w:rPr>
          <w:snapToGrid/>
          <w:szCs w:val="22"/>
          <w:lang w:val="lt-LT"/>
        </w:rPr>
        <w:t xml:space="preserve"> metu arba po gydymo labai retai buvo gauta pranešimų apie su imunine sistema susijusią </w:t>
      </w:r>
      <w:proofErr w:type="spellStart"/>
      <w:r w:rsidRPr="00923E74">
        <w:rPr>
          <w:snapToGrid/>
          <w:szCs w:val="22"/>
          <w:lang w:val="lt-LT"/>
        </w:rPr>
        <w:t>nekro</w:t>
      </w:r>
      <w:r w:rsidR="00DC6D92">
        <w:rPr>
          <w:snapToGrid/>
          <w:szCs w:val="22"/>
          <w:lang w:val="lt-LT"/>
        </w:rPr>
        <w:t>ti</w:t>
      </w:r>
      <w:r w:rsidRPr="00923E74">
        <w:rPr>
          <w:snapToGrid/>
          <w:szCs w:val="22"/>
          <w:lang w:val="lt-LT"/>
        </w:rPr>
        <w:t>z</w:t>
      </w:r>
      <w:r w:rsidR="00DC6D92">
        <w:rPr>
          <w:snapToGrid/>
          <w:szCs w:val="22"/>
          <w:lang w:val="lt-LT"/>
        </w:rPr>
        <w:t>uoja</w:t>
      </w:r>
      <w:r w:rsidRPr="00923E74">
        <w:rPr>
          <w:snapToGrid/>
          <w:szCs w:val="22"/>
          <w:lang w:val="lt-LT"/>
        </w:rPr>
        <w:t>n</w:t>
      </w:r>
      <w:r w:rsidR="00DC6D92">
        <w:rPr>
          <w:snapToGrid/>
          <w:szCs w:val="22"/>
          <w:lang w:val="lt-LT"/>
        </w:rPr>
        <w:t>čią</w:t>
      </w:r>
      <w:proofErr w:type="spellEnd"/>
      <w:r w:rsidRPr="00923E74">
        <w:rPr>
          <w:snapToGrid/>
          <w:szCs w:val="22"/>
          <w:lang w:val="lt-LT"/>
        </w:rPr>
        <w:t xml:space="preserve"> </w:t>
      </w:r>
      <w:proofErr w:type="spellStart"/>
      <w:r w:rsidRPr="00923E74">
        <w:rPr>
          <w:snapToGrid/>
          <w:szCs w:val="22"/>
          <w:lang w:val="lt-LT"/>
        </w:rPr>
        <w:t>miopatiją</w:t>
      </w:r>
      <w:proofErr w:type="spellEnd"/>
      <w:r w:rsidRPr="00923E74">
        <w:rPr>
          <w:snapToGrid/>
          <w:szCs w:val="22"/>
          <w:lang w:val="lt-LT"/>
        </w:rPr>
        <w:t xml:space="preserve"> (angl. </w:t>
      </w:r>
      <w:proofErr w:type="spellStart"/>
      <w:r w:rsidRPr="00923E74">
        <w:rPr>
          <w:i/>
          <w:snapToGrid/>
          <w:szCs w:val="22"/>
          <w:lang w:val="lt-LT"/>
        </w:rPr>
        <w:t>immune</w:t>
      </w:r>
      <w:r w:rsidR="002A6F65">
        <w:rPr>
          <w:i/>
          <w:snapToGrid/>
          <w:szCs w:val="22"/>
          <w:lang w:val="lt-LT"/>
        </w:rPr>
        <w:noBreakHyphen/>
      </w:r>
      <w:r w:rsidRPr="00923E74">
        <w:rPr>
          <w:i/>
          <w:snapToGrid/>
          <w:szCs w:val="22"/>
          <w:lang w:val="lt-LT"/>
        </w:rPr>
        <w:t>mediated</w:t>
      </w:r>
      <w:proofErr w:type="spellEnd"/>
      <w:r w:rsidRPr="00923E74">
        <w:rPr>
          <w:i/>
          <w:snapToGrid/>
          <w:szCs w:val="22"/>
          <w:lang w:val="lt-LT"/>
        </w:rPr>
        <w:t xml:space="preserve"> </w:t>
      </w:r>
      <w:proofErr w:type="spellStart"/>
      <w:r w:rsidRPr="00923E74">
        <w:rPr>
          <w:i/>
          <w:snapToGrid/>
          <w:szCs w:val="22"/>
          <w:lang w:val="lt-LT"/>
        </w:rPr>
        <w:t>necrotising</w:t>
      </w:r>
      <w:proofErr w:type="spellEnd"/>
      <w:r w:rsidRPr="00923E74">
        <w:rPr>
          <w:i/>
          <w:snapToGrid/>
          <w:szCs w:val="22"/>
          <w:lang w:val="lt-LT"/>
        </w:rPr>
        <w:t xml:space="preserve"> </w:t>
      </w:r>
      <w:proofErr w:type="spellStart"/>
      <w:r w:rsidRPr="00923E74">
        <w:rPr>
          <w:i/>
          <w:snapToGrid/>
          <w:szCs w:val="22"/>
          <w:lang w:val="lt-LT"/>
        </w:rPr>
        <w:t>myopathy</w:t>
      </w:r>
      <w:proofErr w:type="spellEnd"/>
      <w:r w:rsidR="002A6F65">
        <w:rPr>
          <w:snapToGrid/>
          <w:szCs w:val="22"/>
          <w:lang w:val="lt-LT"/>
        </w:rPr>
        <w:t xml:space="preserve"> –</w:t>
      </w:r>
      <w:r w:rsidRPr="00923E74">
        <w:rPr>
          <w:snapToGrid/>
          <w:szCs w:val="22"/>
          <w:lang w:val="lt-LT"/>
        </w:rPr>
        <w:t xml:space="preserve"> </w:t>
      </w:r>
      <w:r w:rsidRPr="007E15ED">
        <w:rPr>
          <w:i/>
          <w:snapToGrid/>
          <w:szCs w:val="22"/>
          <w:lang w:val="lt-LT"/>
        </w:rPr>
        <w:t>IMNM</w:t>
      </w:r>
      <w:r w:rsidRPr="00923E74">
        <w:rPr>
          <w:snapToGrid/>
          <w:szCs w:val="22"/>
          <w:lang w:val="lt-LT"/>
        </w:rPr>
        <w:t xml:space="preserve">). IMNM klinikiniai simptomai yra </w:t>
      </w:r>
      <w:r w:rsidR="00C326C4">
        <w:rPr>
          <w:snapToGrid/>
          <w:szCs w:val="22"/>
          <w:lang w:val="lt-LT"/>
        </w:rPr>
        <w:t xml:space="preserve">išliekantis </w:t>
      </w:r>
      <w:r w:rsidRPr="00923E74">
        <w:rPr>
          <w:snapToGrid/>
          <w:szCs w:val="22"/>
          <w:lang w:val="lt-LT"/>
        </w:rPr>
        <w:t xml:space="preserve">proksimalinis raumenų silpnumas ir </w:t>
      </w:r>
      <w:proofErr w:type="spellStart"/>
      <w:r w:rsidRPr="00923E74">
        <w:rPr>
          <w:snapToGrid/>
          <w:szCs w:val="22"/>
          <w:lang w:val="lt-LT"/>
        </w:rPr>
        <w:t>kreatinkinazės</w:t>
      </w:r>
      <w:proofErr w:type="spellEnd"/>
      <w:r w:rsidRPr="00923E74">
        <w:rPr>
          <w:snapToGrid/>
          <w:szCs w:val="22"/>
          <w:lang w:val="lt-LT"/>
        </w:rPr>
        <w:t xml:space="preserve"> aktyvumo kraujo serume padidėjimas, kuris išlieka net ir nutraukus gydymą </w:t>
      </w:r>
      <w:proofErr w:type="spellStart"/>
      <w:r w:rsidRPr="00923E74">
        <w:rPr>
          <w:snapToGrid/>
          <w:szCs w:val="22"/>
          <w:lang w:val="lt-LT"/>
        </w:rPr>
        <w:t>statinais</w:t>
      </w:r>
      <w:proofErr w:type="spellEnd"/>
      <w:r w:rsidR="00AE2B24">
        <w:rPr>
          <w:snapToGrid/>
          <w:szCs w:val="22"/>
          <w:lang w:val="lt-LT"/>
        </w:rPr>
        <w:t xml:space="preserve">, </w:t>
      </w:r>
      <w:r w:rsidR="00AE2B24" w:rsidRPr="00AE2B24">
        <w:rPr>
          <w:snapToGrid/>
          <w:szCs w:val="22"/>
          <w:lang w:val="lt-LT"/>
        </w:rPr>
        <w:t xml:space="preserve">teigiamas </w:t>
      </w:r>
      <w:proofErr w:type="spellStart"/>
      <w:r w:rsidR="00AE2B24" w:rsidRPr="00AE2B24">
        <w:rPr>
          <w:snapToGrid/>
          <w:szCs w:val="22"/>
          <w:lang w:val="lt-LT"/>
        </w:rPr>
        <w:t>anti</w:t>
      </w:r>
      <w:proofErr w:type="spellEnd"/>
      <w:r w:rsidR="00AE2B24" w:rsidRPr="00AE2B24">
        <w:rPr>
          <w:snapToGrid/>
          <w:szCs w:val="22"/>
          <w:lang w:val="lt-LT"/>
        </w:rPr>
        <w:t>-HMG-</w:t>
      </w:r>
      <w:proofErr w:type="spellStart"/>
      <w:r w:rsidR="00AE2B24" w:rsidRPr="00AE2B24">
        <w:rPr>
          <w:snapToGrid/>
          <w:szCs w:val="22"/>
          <w:lang w:val="lt-LT"/>
        </w:rPr>
        <w:t>KoA</w:t>
      </w:r>
      <w:proofErr w:type="spellEnd"/>
      <w:r w:rsidR="00AE2B24" w:rsidRPr="00AE2B24">
        <w:rPr>
          <w:snapToGrid/>
          <w:szCs w:val="22"/>
          <w:lang w:val="lt-LT"/>
        </w:rPr>
        <w:t xml:space="preserve"> reduktazės antikūnų tyrimo rezultatas ir pagerėjimas vartojant </w:t>
      </w:r>
      <w:proofErr w:type="spellStart"/>
      <w:r w:rsidR="00AE2B24" w:rsidRPr="00AE2B24">
        <w:rPr>
          <w:snapToGrid/>
          <w:szCs w:val="22"/>
          <w:lang w:val="lt-LT"/>
        </w:rPr>
        <w:t>imunosupresantų</w:t>
      </w:r>
      <w:proofErr w:type="spellEnd"/>
      <w:r w:rsidR="00AE2B24" w:rsidRPr="00AE2B24">
        <w:rPr>
          <w:snapToGrid/>
          <w:szCs w:val="22"/>
          <w:lang w:val="lt-LT"/>
        </w:rPr>
        <w:t>.</w:t>
      </w:r>
    </w:p>
    <w:p w14:paraId="3DF14AD7" w14:textId="77777777" w:rsidR="00317A17" w:rsidRPr="00923E74" w:rsidRDefault="00317A17" w:rsidP="00A31E3A">
      <w:pPr>
        <w:widowControl w:val="0"/>
        <w:tabs>
          <w:tab w:val="clear" w:pos="567"/>
        </w:tabs>
        <w:spacing w:line="240" w:lineRule="auto"/>
        <w:rPr>
          <w:rFonts w:eastAsia="Calibri"/>
          <w:i/>
          <w:snapToGrid/>
          <w:szCs w:val="22"/>
          <w:lang w:val="lt-LT"/>
        </w:rPr>
      </w:pPr>
    </w:p>
    <w:p w14:paraId="6CD0F01F" w14:textId="77777777" w:rsidR="00317A17" w:rsidRPr="00923E74" w:rsidRDefault="00317A17" w:rsidP="007E15ED">
      <w:pPr>
        <w:keepNext/>
        <w:widowControl w:val="0"/>
        <w:tabs>
          <w:tab w:val="clear" w:pos="567"/>
        </w:tabs>
        <w:spacing w:line="240" w:lineRule="auto"/>
        <w:rPr>
          <w:b/>
          <w:i/>
          <w:snapToGrid/>
          <w:szCs w:val="22"/>
          <w:lang w:val="lt-LT" w:eastAsia="sl-SI"/>
        </w:rPr>
      </w:pPr>
      <w:r w:rsidRPr="00923E74">
        <w:rPr>
          <w:rFonts w:eastAsia="Calibri"/>
          <w:i/>
          <w:snapToGrid/>
          <w:szCs w:val="22"/>
          <w:lang w:val="lt-LT"/>
        </w:rPr>
        <w:t>Prieš gydymą</w:t>
      </w:r>
    </w:p>
    <w:p w14:paraId="2698C32F" w14:textId="218E3008" w:rsidR="00317A17" w:rsidRPr="00923E74" w:rsidRDefault="00317A17" w:rsidP="007E15ED">
      <w:pPr>
        <w:keepNext/>
        <w:widowControl w:val="0"/>
        <w:tabs>
          <w:tab w:val="clear" w:pos="567"/>
        </w:tabs>
        <w:spacing w:line="240" w:lineRule="auto"/>
        <w:rPr>
          <w:b/>
          <w:snapToGrid/>
          <w:szCs w:val="22"/>
          <w:lang w:val="lt-LT" w:eastAsia="sl-SI"/>
        </w:rPr>
      </w:pPr>
      <w:proofErr w:type="spellStart"/>
      <w:r w:rsidRPr="00923E74">
        <w:rPr>
          <w:szCs w:val="22"/>
          <w:lang w:val="lt-LT" w:eastAsia="sl-SI"/>
        </w:rPr>
        <w:t>Torzelip</w:t>
      </w:r>
      <w:proofErr w:type="spellEnd"/>
      <w:r w:rsidRPr="00923E74">
        <w:rPr>
          <w:rFonts w:eastAsia="Calibri"/>
          <w:snapToGrid/>
          <w:szCs w:val="22"/>
          <w:lang w:val="lt-LT"/>
        </w:rPr>
        <w:t xml:space="preserve"> reikia atsargiai skirti vartoti pacientams, kuriems yra nustatyta </w:t>
      </w:r>
      <w:proofErr w:type="spellStart"/>
      <w:r w:rsidRPr="00923E74">
        <w:rPr>
          <w:rFonts w:eastAsia="Calibri"/>
          <w:snapToGrid/>
          <w:szCs w:val="22"/>
          <w:lang w:val="lt-LT"/>
        </w:rPr>
        <w:t>rabdomiolizės</w:t>
      </w:r>
      <w:proofErr w:type="spellEnd"/>
      <w:r w:rsidRPr="00923E74">
        <w:rPr>
          <w:rFonts w:eastAsia="Calibri"/>
          <w:snapToGrid/>
          <w:szCs w:val="22"/>
          <w:lang w:val="lt-LT"/>
        </w:rPr>
        <w:t xml:space="preserve"> rizikos veiksnių. Prieš gydymą KFK</w:t>
      </w:r>
      <w:r w:rsidR="002A6F65">
        <w:rPr>
          <w:rFonts w:eastAsia="Calibri"/>
          <w:snapToGrid/>
          <w:szCs w:val="22"/>
          <w:lang w:val="lt-LT"/>
        </w:rPr>
        <w:t> </w:t>
      </w:r>
      <w:r w:rsidRPr="00923E74">
        <w:rPr>
          <w:rFonts w:eastAsia="Calibri"/>
          <w:snapToGrid/>
          <w:szCs w:val="22"/>
          <w:lang w:val="lt-LT"/>
        </w:rPr>
        <w:t>aktyvumą reikia nustatyti, jeigu:</w:t>
      </w:r>
    </w:p>
    <w:p w14:paraId="4D84A788" w14:textId="77777777" w:rsidR="00317A17" w:rsidRPr="00923E74"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923E74">
        <w:rPr>
          <w:rFonts w:eastAsia="Calibri"/>
          <w:snapToGrid/>
          <w:szCs w:val="22"/>
          <w:lang w:val="lt-LT"/>
        </w:rPr>
        <w:t>yra inkstų funkcijos sutrikimas;</w:t>
      </w:r>
    </w:p>
    <w:p w14:paraId="751BF4DA" w14:textId="77777777" w:rsidR="00317A17" w:rsidRPr="00923E74"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923E74">
        <w:rPr>
          <w:rFonts w:eastAsia="Calibri"/>
          <w:snapToGrid/>
          <w:szCs w:val="22"/>
          <w:lang w:val="lt-LT"/>
        </w:rPr>
        <w:t xml:space="preserve">yra </w:t>
      </w:r>
      <w:proofErr w:type="spellStart"/>
      <w:r w:rsidRPr="00923E74">
        <w:rPr>
          <w:rFonts w:eastAsia="Calibri"/>
          <w:snapToGrid/>
          <w:szCs w:val="22"/>
          <w:lang w:val="lt-LT"/>
        </w:rPr>
        <w:t>hipotirozė</w:t>
      </w:r>
      <w:proofErr w:type="spellEnd"/>
      <w:r w:rsidRPr="00923E74">
        <w:rPr>
          <w:rFonts w:eastAsia="Calibri"/>
          <w:snapToGrid/>
          <w:szCs w:val="22"/>
          <w:lang w:val="lt-LT"/>
        </w:rPr>
        <w:t>;</w:t>
      </w:r>
    </w:p>
    <w:p w14:paraId="4C8D5757" w14:textId="77777777" w:rsidR="00317A17" w:rsidRPr="00923E74"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923E74">
        <w:rPr>
          <w:rFonts w:eastAsia="Calibri"/>
          <w:snapToGrid/>
          <w:szCs w:val="22"/>
          <w:lang w:val="lt-LT"/>
        </w:rPr>
        <w:t>paciento arba jo kraujo giminaičiams diagnozuota paveldimų raumenų sutrikimų;</w:t>
      </w:r>
    </w:p>
    <w:p w14:paraId="655C8017" w14:textId="251FD415" w:rsidR="00317A17" w:rsidRPr="00923E74"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923E74">
        <w:rPr>
          <w:rFonts w:eastAsia="Calibri"/>
          <w:snapToGrid/>
          <w:szCs w:val="22"/>
          <w:lang w:val="lt-LT"/>
        </w:rPr>
        <w:t xml:space="preserve">anksčiau vartojant </w:t>
      </w:r>
      <w:proofErr w:type="spellStart"/>
      <w:r w:rsidRPr="00923E74">
        <w:rPr>
          <w:rFonts w:eastAsia="Calibri"/>
          <w:snapToGrid/>
          <w:szCs w:val="22"/>
          <w:lang w:val="lt-LT"/>
        </w:rPr>
        <w:t>statin</w:t>
      </w:r>
      <w:r w:rsidR="002A6F65">
        <w:rPr>
          <w:rFonts w:eastAsia="Calibri"/>
          <w:snapToGrid/>
          <w:szCs w:val="22"/>
          <w:lang w:val="lt-LT"/>
        </w:rPr>
        <w:t>o</w:t>
      </w:r>
      <w:proofErr w:type="spellEnd"/>
      <w:r w:rsidRPr="00923E74">
        <w:rPr>
          <w:rFonts w:eastAsia="Calibri"/>
          <w:snapToGrid/>
          <w:szCs w:val="22"/>
          <w:lang w:val="lt-LT"/>
        </w:rPr>
        <w:t xml:space="preserve"> arba </w:t>
      </w:r>
      <w:proofErr w:type="spellStart"/>
      <w:r w:rsidRPr="00923E74">
        <w:rPr>
          <w:rFonts w:eastAsia="Calibri"/>
          <w:snapToGrid/>
          <w:szCs w:val="22"/>
          <w:lang w:val="lt-LT"/>
        </w:rPr>
        <w:t>fibrat</w:t>
      </w:r>
      <w:r w:rsidR="002A6F65">
        <w:rPr>
          <w:rFonts w:eastAsia="Calibri"/>
          <w:snapToGrid/>
          <w:szCs w:val="22"/>
          <w:lang w:val="lt-LT"/>
        </w:rPr>
        <w:t>o</w:t>
      </w:r>
      <w:proofErr w:type="spellEnd"/>
      <w:r w:rsidRPr="00923E74">
        <w:rPr>
          <w:rFonts w:eastAsia="Calibri"/>
          <w:snapToGrid/>
          <w:szCs w:val="22"/>
          <w:lang w:val="lt-LT"/>
        </w:rPr>
        <w:t xml:space="preserve"> pasireiškė toksinis poveikis raumenims;</w:t>
      </w:r>
    </w:p>
    <w:p w14:paraId="28AAEA3E" w14:textId="5117E14D" w:rsidR="00317A17" w:rsidRPr="00923E74" w:rsidRDefault="005824AF" w:rsidP="00A31E3A">
      <w:pPr>
        <w:widowControl w:val="0"/>
        <w:numPr>
          <w:ilvl w:val="0"/>
          <w:numId w:val="20"/>
        </w:numPr>
        <w:tabs>
          <w:tab w:val="clear" w:pos="567"/>
        </w:tabs>
        <w:spacing w:line="240" w:lineRule="auto"/>
        <w:ind w:left="567" w:hanging="567"/>
        <w:rPr>
          <w:b/>
          <w:snapToGrid/>
          <w:szCs w:val="22"/>
          <w:lang w:val="lt-LT" w:eastAsia="sl-SI"/>
        </w:rPr>
      </w:pPr>
      <w:r w:rsidRPr="00923E74">
        <w:rPr>
          <w:szCs w:val="22"/>
          <w:lang w:val="lt-LT"/>
        </w:rPr>
        <w:t>pacientas anksčiau sirgo kepenų liga ir</w:t>
      </w:r>
      <w:r w:rsidR="002A6F65">
        <w:rPr>
          <w:szCs w:val="22"/>
          <w:lang w:val="lt-LT"/>
        </w:rPr>
        <w:t> </w:t>
      </w:r>
      <w:r w:rsidRPr="00923E74">
        <w:rPr>
          <w:szCs w:val="22"/>
          <w:lang w:val="lt-LT"/>
        </w:rPr>
        <w:t>(arba) vartoja daug alkoholio</w:t>
      </w:r>
      <w:r w:rsidR="00317A17" w:rsidRPr="00923E74">
        <w:rPr>
          <w:rFonts w:eastAsia="Calibri"/>
          <w:snapToGrid/>
          <w:szCs w:val="22"/>
          <w:lang w:val="lt-LT"/>
        </w:rPr>
        <w:t>;</w:t>
      </w:r>
    </w:p>
    <w:p w14:paraId="3FE917FA" w14:textId="3D5A3FF3" w:rsidR="00317A17" w:rsidRPr="00923E74" w:rsidRDefault="005824AF"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t>pacientas yra senyvas</w:t>
      </w:r>
      <w:r w:rsidR="00317A17" w:rsidRPr="00923E74">
        <w:rPr>
          <w:rFonts w:eastAsia="Calibri"/>
          <w:snapToGrid/>
          <w:szCs w:val="22"/>
          <w:lang w:val="lt-LT"/>
        </w:rPr>
        <w:t xml:space="preserve"> </w:t>
      </w:r>
      <w:r w:rsidRPr="00923E74">
        <w:rPr>
          <w:rFonts w:eastAsia="Calibri"/>
          <w:snapToGrid/>
          <w:szCs w:val="22"/>
          <w:lang w:val="lt-LT"/>
        </w:rPr>
        <w:t>(vyresni</w:t>
      </w:r>
      <w:r w:rsidR="00317A17" w:rsidRPr="00923E74">
        <w:rPr>
          <w:rFonts w:eastAsia="Calibri"/>
          <w:snapToGrid/>
          <w:szCs w:val="22"/>
          <w:lang w:val="lt-LT"/>
        </w:rPr>
        <w:t xml:space="preserve">s </w:t>
      </w:r>
      <w:r w:rsidRPr="00923E74">
        <w:rPr>
          <w:rFonts w:eastAsia="Calibri"/>
          <w:snapToGrid/>
          <w:szCs w:val="22"/>
          <w:lang w:val="lt-LT"/>
        </w:rPr>
        <w:t>kaip</w:t>
      </w:r>
      <w:r w:rsidR="00317A17" w:rsidRPr="00923E74">
        <w:rPr>
          <w:rFonts w:eastAsia="Calibri"/>
          <w:snapToGrid/>
          <w:szCs w:val="22"/>
          <w:lang w:val="lt-LT"/>
        </w:rPr>
        <w:t xml:space="preserve"> 70</w:t>
      </w:r>
      <w:r w:rsidRPr="00923E74">
        <w:rPr>
          <w:rFonts w:eastAsia="Calibri"/>
          <w:snapToGrid/>
          <w:szCs w:val="22"/>
          <w:lang w:val="lt-LT"/>
        </w:rPr>
        <w:t> m</w:t>
      </w:r>
      <w:r w:rsidR="00317A17" w:rsidRPr="00923E74">
        <w:rPr>
          <w:rFonts w:eastAsia="Calibri"/>
          <w:snapToGrid/>
          <w:szCs w:val="22"/>
          <w:lang w:val="lt-LT"/>
        </w:rPr>
        <w:t>etų)</w:t>
      </w:r>
      <w:r w:rsidR="002A6F65">
        <w:rPr>
          <w:rFonts w:eastAsia="Calibri"/>
          <w:snapToGrid/>
          <w:szCs w:val="22"/>
          <w:lang w:val="lt-LT"/>
        </w:rPr>
        <w:t>,</w:t>
      </w:r>
      <w:r w:rsidRPr="00923E74">
        <w:rPr>
          <w:rFonts w:eastAsia="Calibri"/>
          <w:snapToGrid/>
          <w:szCs w:val="22"/>
          <w:lang w:val="lt-LT"/>
        </w:rPr>
        <w:t xml:space="preserve"> </w:t>
      </w:r>
      <w:r w:rsidR="002A6F65" w:rsidRPr="00923E74">
        <w:rPr>
          <w:rFonts w:eastAsia="Calibri"/>
          <w:snapToGrid/>
          <w:szCs w:val="22"/>
          <w:lang w:val="lt-LT"/>
        </w:rPr>
        <w:t>t</w:t>
      </w:r>
      <w:r w:rsidRPr="00923E74">
        <w:rPr>
          <w:rFonts w:eastAsia="Calibri"/>
          <w:snapToGrid/>
          <w:szCs w:val="22"/>
          <w:lang w:val="lt-LT"/>
        </w:rPr>
        <w:t>okiu atveju</w:t>
      </w:r>
      <w:r w:rsidR="00317A17" w:rsidRPr="00923E74">
        <w:rPr>
          <w:rFonts w:eastAsia="Calibri"/>
          <w:snapToGrid/>
          <w:szCs w:val="22"/>
          <w:lang w:val="lt-LT"/>
        </w:rPr>
        <w:t xml:space="preserve"> </w:t>
      </w:r>
      <w:r w:rsidRPr="00923E74">
        <w:rPr>
          <w:rFonts w:eastAsia="Calibri"/>
          <w:snapToGrid/>
          <w:szCs w:val="22"/>
          <w:lang w:val="lt-LT"/>
        </w:rPr>
        <w:t>KFK</w:t>
      </w:r>
      <w:r w:rsidR="002A6F65">
        <w:rPr>
          <w:rFonts w:eastAsia="Calibri"/>
          <w:snapToGrid/>
          <w:szCs w:val="22"/>
          <w:lang w:val="lt-LT"/>
        </w:rPr>
        <w:t> </w:t>
      </w:r>
      <w:r w:rsidRPr="00923E74">
        <w:rPr>
          <w:rFonts w:eastAsia="Calibri"/>
          <w:snapToGrid/>
          <w:szCs w:val="22"/>
          <w:lang w:val="lt-LT"/>
        </w:rPr>
        <w:t>aktyvumo tyrimo</w:t>
      </w:r>
      <w:r w:rsidR="00317A17" w:rsidRPr="00923E74">
        <w:rPr>
          <w:rFonts w:eastAsia="Calibri"/>
          <w:snapToGrid/>
          <w:szCs w:val="22"/>
          <w:lang w:val="lt-LT"/>
        </w:rPr>
        <w:t xml:space="preserve"> reikalingumą reikia apsvarstyti, atsižvelgiant į kitų </w:t>
      </w:r>
      <w:proofErr w:type="spellStart"/>
      <w:r w:rsidR="00317A17" w:rsidRPr="00923E74">
        <w:rPr>
          <w:rFonts w:eastAsia="Calibri"/>
          <w:snapToGrid/>
          <w:szCs w:val="22"/>
          <w:lang w:val="lt-LT"/>
        </w:rPr>
        <w:t>rabdomioliz</w:t>
      </w:r>
      <w:r w:rsidRPr="00923E74">
        <w:rPr>
          <w:rFonts w:eastAsia="Calibri"/>
          <w:snapToGrid/>
          <w:szCs w:val="22"/>
          <w:lang w:val="lt-LT"/>
        </w:rPr>
        <w:t>ės</w:t>
      </w:r>
      <w:proofErr w:type="spellEnd"/>
      <w:r w:rsidR="00317A17" w:rsidRPr="00923E74">
        <w:rPr>
          <w:rFonts w:eastAsia="Calibri"/>
          <w:snapToGrid/>
          <w:szCs w:val="22"/>
          <w:lang w:val="lt-LT"/>
        </w:rPr>
        <w:t xml:space="preserve"> </w:t>
      </w:r>
      <w:r w:rsidRPr="00923E74">
        <w:rPr>
          <w:rFonts w:eastAsia="Calibri"/>
          <w:snapToGrid/>
          <w:szCs w:val="22"/>
          <w:lang w:val="lt-LT"/>
        </w:rPr>
        <w:t>rizikos veiksnių</w:t>
      </w:r>
      <w:r w:rsidR="00317A17" w:rsidRPr="00923E74">
        <w:rPr>
          <w:rFonts w:eastAsia="Calibri"/>
          <w:snapToGrid/>
          <w:szCs w:val="22"/>
          <w:lang w:val="lt-LT"/>
        </w:rPr>
        <w:t xml:space="preserve"> buvimą;</w:t>
      </w:r>
    </w:p>
    <w:p w14:paraId="6C49A849" w14:textId="0853BEF5" w:rsidR="00317A17" w:rsidRPr="00923E74" w:rsidRDefault="00B33F48" w:rsidP="00A31E3A">
      <w:pPr>
        <w:widowControl w:val="0"/>
        <w:numPr>
          <w:ilvl w:val="0"/>
          <w:numId w:val="20"/>
        </w:numPr>
        <w:tabs>
          <w:tab w:val="clear" w:pos="567"/>
        </w:tabs>
        <w:spacing w:line="240" w:lineRule="auto"/>
        <w:ind w:left="567" w:hanging="567"/>
        <w:rPr>
          <w:rFonts w:eastAsia="Calibri"/>
          <w:snapToGrid/>
          <w:szCs w:val="22"/>
          <w:lang w:val="lt-LT"/>
        </w:rPr>
      </w:pPr>
      <w:r>
        <w:rPr>
          <w:rFonts w:eastAsia="Calibri"/>
          <w:snapToGrid/>
          <w:szCs w:val="22"/>
          <w:lang w:val="lt-LT"/>
        </w:rPr>
        <w:t xml:space="preserve">yra </w:t>
      </w:r>
      <w:r w:rsidR="00317A17" w:rsidRPr="00923E74">
        <w:rPr>
          <w:rFonts w:eastAsia="Calibri"/>
          <w:snapToGrid/>
          <w:szCs w:val="22"/>
          <w:lang w:val="lt-LT"/>
        </w:rPr>
        <w:t>aplinkyb</w:t>
      </w:r>
      <w:r w:rsidR="005824AF" w:rsidRPr="00923E74">
        <w:rPr>
          <w:rFonts w:eastAsia="Calibri"/>
          <w:snapToGrid/>
          <w:szCs w:val="22"/>
          <w:lang w:val="lt-LT"/>
        </w:rPr>
        <w:t>ių</w:t>
      </w:r>
      <w:r w:rsidR="00317A17" w:rsidRPr="00923E74">
        <w:rPr>
          <w:rFonts w:eastAsia="Calibri"/>
          <w:snapToGrid/>
          <w:szCs w:val="22"/>
          <w:lang w:val="lt-LT"/>
        </w:rPr>
        <w:t xml:space="preserve">, kai gali padidėti aktyvumas </w:t>
      </w:r>
      <w:r w:rsidR="005824AF" w:rsidRPr="00923E74">
        <w:rPr>
          <w:rFonts w:eastAsia="Calibri"/>
          <w:snapToGrid/>
          <w:szCs w:val="22"/>
          <w:lang w:val="lt-LT"/>
        </w:rPr>
        <w:t xml:space="preserve">kraujo </w:t>
      </w:r>
      <w:r w:rsidR="00317A17" w:rsidRPr="00923E74">
        <w:rPr>
          <w:rFonts w:eastAsia="Calibri"/>
          <w:snapToGrid/>
          <w:szCs w:val="22"/>
          <w:lang w:val="lt-LT"/>
        </w:rPr>
        <w:t>plazmoje, pa</w:t>
      </w:r>
      <w:r w:rsidR="005824AF" w:rsidRPr="00923E74">
        <w:rPr>
          <w:rFonts w:eastAsia="Calibri"/>
          <w:snapToGrid/>
          <w:szCs w:val="22"/>
          <w:lang w:val="lt-LT"/>
        </w:rPr>
        <w:t>vyzdžiui, dėl sąveikos (žr.</w:t>
      </w:r>
      <w:r w:rsidR="002A6F65">
        <w:rPr>
          <w:rFonts w:eastAsia="Calibri"/>
          <w:snapToGrid/>
          <w:szCs w:val="22"/>
          <w:lang w:val="lt-LT"/>
        </w:rPr>
        <w:t> </w:t>
      </w:r>
      <w:r w:rsidR="005824AF" w:rsidRPr="00923E74">
        <w:rPr>
          <w:rFonts w:eastAsia="Calibri"/>
          <w:snapToGrid/>
          <w:szCs w:val="22"/>
          <w:lang w:val="lt-LT"/>
        </w:rPr>
        <w:t>4.5 </w:t>
      </w:r>
      <w:r w:rsidR="00317A17" w:rsidRPr="00923E74">
        <w:rPr>
          <w:rFonts w:eastAsia="Calibri"/>
          <w:snapToGrid/>
          <w:szCs w:val="22"/>
          <w:lang w:val="lt-LT"/>
        </w:rPr>
        <w:t xml:space="preserve">skyrių) ir </w:t>
      </w:r>
      <w:r w:rsidR="002A6F65">
        <w:rPr>
          <w:rFonts w:eastAsia="Calibri"/>
          <w:snapToGrid/>
          <w:szCs w:val="22"/>
          <w:lang w:val="lt-LT"/>
        </w:rPr>
        <w:t>y</w:t>
      </w:r>
      <w:r w:rsidR="00317A17" w:rsidRPr="00923E74">
        <w:rPr>
          <w:rFonts w:eastAsia="Calibri"/>
          <w:snapToGrid/>
          <w:szCs w:val="22"/>
          <w:lang w:val="lt-LT"/>
        </w:rPr>
        <w:t>p</w:t>
      </w:r>
      <w:r w:rsidR="002A6F65">
        <w:rPr>
          <w:rFonts w:eastAsia="Calibri"/>
          <w:snapToGrid/>
          <w:szCs w:val="22"/>
          <w:lang w:val="lt-LT"/>
        </w:rPr>
        <w:t>at</w:t>
      </w:r>
      <w:r w:rsidR="00317A17" w:rsidRPr="00923E74">
        <w:rPr>
          <w:rFonts w:eastAsia="Calibri"/>
          <w:snapToGrid/>
          <w:szCs w:val="22"/>
          <w:lang w:val="lt-LT"/>
        </w:rPr>
        <w:t>i</w:t>
      </w:r>
      <w:r w:rsidR="002A6F65">
        <w:rPr>
          <w:rFonts w:eastAsia="Calibri"/>
          <w:snapToGrid/>
          <w:szCs w:val="22"/>
          <w:lang w:val="lt-LT"/>
        </w:rPr>
        <w:t>ng</w:t>
      </w:r>
      <w:r w:rsidR="00317A17" w:rsidRPr="00923E74">
        <w:rPr>
          <w:rFonts w:eastAsia="Calibri"/>
          <w:snapToGrid/>
          <w:szCs w:val="22"/>
          <w:lang w:val="lt-LT"/>
        </w:rPr>
        <w:t>ų grupių pacientams, įskaitan</w:t>
      </w:r>
      <w:r w:rsidR="005824AF" w:rsidRPr="00923E74">
        <w:rPr>
          <w:rFonts w:eastAsia="Calibri"/>
          <w:snapToGrid/>
          <w:szCs w:val="22"/>
          <w:lang w:val="lt-LT"/>
        </w:rPr>
        <w:t>t genetinius pogrupius (žr.</w:t>
      </w:r>
      <w:r w:rsidR="002A6F65">
        <w:rPr>
          <w:rFonts w:eastAsia="Calibri"/>
          <w:snapToGrid/>
          <w:szCs w:val="22"/>
          <w:lang w:val="lt-LT"/>
        </w:rPr>
        <w:t> </w:t>
      </w:r>
      <w:r w:rsidR="005824AF" w:rsidRPr="00923E74">
        <w:rPr>
          <w:rFonts w:eastAsia="Calibri"/>
          <w:snapToGrid/>
          <w:szCs w:val="22"/>
          <w:lang w:val="lt-LT"/>
        </w:rPr>
        <w:t>5.2 </w:t>
      </w:r>
      <w:r w:rsidR="00317A17" w:rsidRPr="00923E74">
        <w:rPr>
          <w:rFonts w:eastAsia="Calibri"/>
          <w:snapToGrid/>
          <w:szCs w:val="22"/>
          <w:lang w:val="lt-LT"/>
        </w:rPr>
        <w:t>skyrių).</w:t>
      </w:r>
    </w:p>
    <w:p w14:paraId="60C9E9E2" w14:textId="77777777" w:rsidR="00317A17" w:rsidRPr="00923E74" w:rsidRDefault="00317A17" w:rsidP="00A31E3A">
      <w:pPr>
        <w:widowControl w:val="0"/>
        <w:tabs>
          <w:tab w:val="clear" w:pos="567"/>
        </w:tabs>
        <w:spacing w:line="240" w:lineRule="auto"/>
        <w:rPr>
          <w:rFonts w:eastAsia="Calibri"/>
          <w:b/>
          <w:snapToGrid/>
          <w:szCs w:val="22"/>
          <w:lang w:val="lt-LT"/>
        </w:rPr>
      </w:pPr>
    </w:p>
    <w:p w14:paraId="3D1E7C90" w14:textId="77777777" w:rsidR="00CB48FB" w:rsidRPr="00923E74" w:rsidRDefault="00CB48FB" w:rsidP="00A31E3A">
      <w:pPr>
        <w:widowControl w:val="0"/>
        <w:tabs>
          <w:tab w:val="clear" w:pos="567"/>
        </w:tabs>
        <w:spacing w:line="240" w:lineRule="auto"/>
        <w:rPr>
          <w:szCs w:val="22"/>
          <w:lang w:val="lt-LT"/>
        </w:rPr>
      </w:pPr>
      <w:r w:rsidRPr="00923E74">
        <w:rPr>
          <w:szCs w:val="22"/>
          <w:lang w:val="lt-LT"/>
        </w:rPr>
        <w:t>Tokiomis aplinkybėmis g</w:t>
      </w:r>
      <w:r w:rsidR="00317A17" w:rsidRPr="00923E74">
        <w:rPr>
          <w:szCs w:val="22"/>
          <w:lang w:val="lt-LT"/>
        </w:rPr>
        <w:t>ydymo riziką reikia įvertinti atsižvelgiant į galimą naudą, be to, rekomenduojama stebėti klinikinę pacientų būklę.</w:t>
      </w:r>
    </w:p>
    <w:p w14:paraId="559D64A5" w14:textId="77777777" w:rsidR="00CB48FB" w:rsidRPr="00923E74" w:rsidRDefault="00CB48FB" w:rsidP="00A31E3A">
      <w:pPr>
        <w:widowControl w:val="0"/>
        <w:tabs>
          <w:tab w:val="clear" w:pos="567"/>
        </w:tabs>
        <w:spacing w:line="240" w:lineRule="auto"/>
        <w:rPr>
          <w:szCs w:val="22"/>
          <w:lang w:val="lt-LT"/>
        </w:rPr>
      </w:pPr>
    </w:p>
    <w:p w14:paraId="122B00F6" w14:textId="0FD17760" w:rsidR="00317A17" w:rsidRPr="00923E74" w:rsidRDefault="00317A17" w:rsidP="00A31E3A">
      <w:pPr>
        <w:widowControl w:val="0"/>
        <w:tabs>
          <w:tab w:val="clear" w:pos="567"/>
        </w:tabs>
        <w:spacing w:line="240" w:lineRule="auto"/>
        <w:rPr>
          <w:b/>
          <w:snapToGrid/>
          <w:szCs w:val="22"/>
          <w:lang w:val="lt-LT" w:eastAsia="sl-SI"/>
        </w:rPr>
      </w:pPr>
      <w:r w:rsidRPr="00923E74">
        <w:rPr>
          <w:szCs w:val="22"/>
          <w:lang w:val="lt-LT"/>
        </w:rPr>
        <w:t>Jeigu pradinio vertinimo metu K</w:t>
      </w:r>
      <w:r w:rsidR="00CB48FB" w:rsidRPr="00923E74">
        <w:rPr>
          <w:szCs w:val="22"/>
          <w:lang w:val="lt-LT"/>
        </w:rPr>
        <w:t>F</w:t>
      </w:r>
      <w:r w:rsidRPr="00923E74">
        <w:rPr>
          <w:szCs w:val="22"/>
          <w:lang w:val="lt-LT"/>
        </w:rPr>
        <w:t>K</w:t>
      </w:r>
      <w:r w:rsidR="002A6F65">
        <w:rPr>
          <w:szCs w:val="22"/>
          <w:lang w:val="lt-LT"/>
        </w:rPr>
        <w:t> </w:t>
      </w:r>
      <w:r w:rsidRPr="00923E74">
        <w:rPr>
          <w:szCs w:val="22"/>
          <w:lang w:val="lt-LT"/>
        </w:rPr>
        <w:t>aktyvumas yra reikšmingai padidėjęs (&gt;</w:t>
      </w:r>
      <w:r w:rsidR="00DB61E7" w:rsidRPr="00923E74">
        <w:rPr>
          <w:szCs w:val="22"/>
          <w:lang w:val="lt-LT"/>
        </w:rPr>
        <w:t> </w:t>
      </w:r>
      <w:r w:rsidRPr="00923E74">
        <w:rPr>
          <w:szCs w:val="22"/>
          <w:lang w:val="lt-LT"/>
        </w:rPr>
        <w:t>5 kartus viršija VNR), gydymo pradėti negalima</w:t>
      </w:r>
      <w:r w:rsidRPr="00923E74">
        <w:rPr>
          <w:rFonts w:eastAsia="Calibri"/>
          <w:snapToGrid/>
          <w:szCs w:val="22"/>
          <w:lang w:val="lt-LT"/>
        </w:rPr>
        <w:t>.</w:t>
      </w:r>
    </w:p>
    <w:p w14:paraId="16D089E1" w14:textId="77777777" w:rsidR="001818AC" w:rsidRPr="00923E74" w:rsidRDefault="001818AC" w:rsidP="00A31E3A">
      <w:pPr>
        <w:spacing w:line="240" w:lineRule="auto"/>
        <w:rPr>
          <w:snapToGrid/>
          <w:szCs w:val="22"/>
          <w:lang w:val="lt-LT"/>
        </w:rPr>
      </w:pPr>
    </w:p>
    <w:p w14:paraId="59462C2B" w14:textId="77777777" w:rsidR="00DB61E7" w:rsidRPr="00923E74" w:rsidRDefault="00DB61E7" w:rsidP="007E15ED">
      <w:pPr>
        <w:keepNext/>
        <w:widowControl w:val="0"/>
        <w:tabs>
          <w:tab w:val="clear" w:pos="567"/>
        </w:tabs>
        <w:spacing w:line="240" w:lineRule="auto"/>
        <w:rPr>
          <w:b/>
          <w:i/>
          <w:snapToGrid/>
          <w:szCs w:val="22"/>
          <w:lang w:val="lt-LT" w:eastAsia="sl-SI"/>
        </w:rPr>
      </w:pPr>
      <w:proofErr w:type="spellStart"/>
      <w:r w:rsidRPr="00923E74">
        <w:rPr>
          <w:rFonts w:eastAsia="Calibri"/>
          <w:i/>
          <w:snapToGrid/>
          <w:szCs w:val="22"/>
          <w:lang w:val="lt-LT"/>
        </w:rPr>
        <w:t>Kreatinfosfokinazės</w:t>
      </w:r>
      <w:proofErr w:type="spellEnd"/>
      <w:r w:rsidRPr="00923E74">
        <w:rPr>
          <w:rFonts w:eastAsia="Calibri"/>
          <w:i/>
          <w:snapToGrid/>
          <w:szCs w:val="22"/>
          <w:lang w:val="lt-LT"/>
        </w:rPr>
        <w:t xml:space="preserve"> aktyvumo tyrimai</w:t>
      </w:r>
    </w:p>
    <w:p w14:paraId="741946A2" w14:textId="0542E5F0" w:rsidR="00DB61E7" w:rsidRPr="00923E74" w:rsidRDefault="00DB61E7" w:rsidP="00A31E3A">
      <w:pPr>
        <w:widowControl w:val="0"/>
        <w:tabs>
          <w:tab w:val="clear" w:pos="567"/>
        </w:tabs>
        <w:spacing w:line="240" w:lineRule="auto"/>
        <w:rPr>
          <w:b/>
          <w:snapToGrid/>
          <w:szCs w:val="22"/>
          <w:lang w:val="lt-LT" w:eastAsia="sl-SI"/>
        </w:rPr>
      </w:pPr>
      <w:proofErr w:type="spellStart"/>
      <w:r w:rsidRPr="00923E74">
        <w:rPr>
          <w:rFonts w:eastAsia="Calibri"/>
          <w:snapToGrid/>
          <w:szCs w:val="22"/>
          <w:lang w:val="lt-LT"/>
        </w:rPr>
        <w:t>Kreatinfosfokinazės</w:t>
      </w:r>
      <w:proofErr w:type="spellEnd"/>
      <w:r w:rsidR="002A6F65">
        <w:rPr>
          <w:rFonts w:eastAsia="Calibri"/>
          <w:snapToGrid/>
          <w:szCs w:val="22"/>
          <w:lang w:val="lt-LT"/>
        </w:rPr>
        <w:t> </w:t>
      </w:r>
      <w:r w:rsidRPr="00923E74">
        <w:rPr>
          <w:rFonts w:eastAsia="Calibri"/>
          <w:snapToGrid/>
          <w:szCs w:val="22"/>
          <w:lang w:val="lt-LT"/>
        </w:rPr>
        <w:t>(KFK) aktyvumo negalima tirti po didelio fizinio krūvio arba kai yra bet kokia kita priežastis, dėl kurios gali padidėti KFK</w:t>
      </w:r>
      <w:r w:rsidR="002A6F65">
        <w:rPr>
          <w:rFonts w:eastAsia="Calibri"/>
          <w:snapToGrid/>
          <w:szCs w:val="22"/>
          <w:lang w:val="lt-LT"/>
        </w:rPr>
        <w:t> </w:t>
      </w:r>
      <w:r w:rsidRPr="00923E74">
        <w:rPr>
          <w:rFonts w:eastAsia="Calibri"/>
          <w:snapToGrid/>
          <w:szCs w:val="22"/>
          <w:lang w:val="lt-LT"/>
        </w:rPr>
        <w:t>aktyvumas, nes tai gali apsunkinti tyrimo duomenų vertinimą. Jeigu KFK</w:t>
      </w:r>
      <w:r w:rsidR="002A6F65">
        <w:rPr>
          <w:rFonts w:eastAsia="Calibri"/>
          <w:snapToGrid/>
          <w:szCs w:val="22"/>
          <w:lang w:val="lt-LT"/>
        </w:rPr>
        <w:t> </w:t>
      </w:r>
      <w:r w:rsidRPr="00923E74">
        <w:rPr>
          <w:rFonts w:eastAsia="Calibri"/>
          <w:snapToGrid/>
          <w:szCs w:val="22"/>
          <w:lang w:val="lt-LT"/>
        </w:rPr>
        <w:t>aktyvumas yra reikšmingai padidėjęs pradinio vertinimo metu (&gt; 5 kartus viršijama VNR), per 5</w:t>
      </w:r>
      <w:r w:rsidRPr="00923E74">
        <w:rPr>
          <w:rFonts w:eastAsia="Calibri"/>
          <w:snapToGrid/>
          <w:szCs w:val="22"/>
          <w:lang w:val="lt-LT"/>
        </w:rPr>
        <w:noBreakHyphen/>
        <w:t>7 </w:t>
      </w:r>
      <w:r w:rsidR="002A6F65">
        <w:rPr>
          <w:rFonts w:eastAsia="Calibri"/>
          <w:snapToGrid/>
          <w:szCs w:val="22"/>
          <w:lang w:val="lt-LT"/>
        </w:rPr>
        <w:t>par</w:t>
      </w:r>
      <w:r w:rsidRPr="00923E74">
        <w:rPr>
          <w:rFonts w:eastAsia="Calibri"/>
          <w:snapToGrid/>
          <w:szCs w:val="22"/>
          <w:lang w:val="lt-LT"/>
        </w:rPr>
        <w:t>as reikia atlikti kartotinį tyrimą, kad būtų patvirtinti rezultatai.</w:t>
      </w:r>
    </w:p>
    <w:p w14:paraId="08B7ACF7" w14:textId="0DB870FD" w:rsidR="00DB61E7" w:rsidRDefault="00DB61E7" w:rsidP="00A31E3A">
      <w:pPr>
        <w:spacing w:line="240" w:lineRule="auto"/>
        <w:rPr>
          <w:snapToGrid/>
          <w:szCs w:val="22"/>
          <w:lang w:val="lt-LT"/>
        </w:rPr>
      </w:pPr>
    </w:p>
    <w:p w14:paraId="77D34E22" w14:textId="7E88D94E" w:rsidR="00EF5D26" w:rsidRPr="009E5098" w:rsidRDefault="0078303E" w:rsidP="00A31E3A">
      <w:pPr>
        <w:spacing w:line="240" w:lineRule="auto"/>
        <w:rPr>
          <w:i/>
          <w:iCs/>
          <w:snapToGrid/>
          <w:szCs w:val="22"/>
          <w:lang w:val="lt-LT"/>
        </w:rPr>
      </w:pPr>
      <w:proofErr w:type="spellStart"/>
      <w:r>
        <w:rPr>
          <w:i/>
          <w:iCs/>
          <w:snapToGrid/>
          <w:szCs w:val="22"/>
          <w:lang w:val="lt-LT"/>
        </w:rPr>
        <w:t>Generalizuota</w:t>
      </w:r>
      <w:proofErr w:type="spellEnd"/>
      <w:r>
        <w:rPr>
          <w:i/>
          <w:iCs/>
          <w:snapToGrid/>
          <w:szCs w:val="22"/>
          <w:lang w:val="lt-LT"/>
        </w:rPr>
        <w:t xml:space="preserve"> </w:t>
      </w:r>
      <w:proofErr w:type="spellStart"/>
      <w:r w:rsidR="00EF5D26">
        <w:rPr>
          <w:i/>
          <w:iCs/>
          <w:snapToGrid/>
          <w:szCs w:val="22"/>
          <w:lang w:val="lt-LT"/>
        </w:rPr>
        <w:t>miastenija</w:t>
      </w:r>
      <w:proofErr w:type="spellEnd"/>
    </w:p>
    <w:p w14:paraId="2020AA9C" w14:textId="5A79AC75" w:rsidR="00EF5D26" w:rsidRDefault="0078303E" w:rsidP="00A31E3A">
      <w:pPr>
        <w:spacing w:line="240" w:lineRule="auto"/>
        <w:rPr>
          <w:snapToGrid/>
          <w:szCs w:val="22"/>
          <w:lang w:val="lt-LT"/>
        </w:rPr>
      </w:pPr>
      <w:r>
        <w:rPr>
          <w:snapToGrid/>
          <w:szCs w:val="22"/>
          <w:lang w:val="lt-LT"/>
        </w:rPr>
        <w:t>Gauti keli pranešimai</w:t>
      </w:r>
      <w:r w:rsidR="00EF5D26" w:rsidRPr="00EF5D26">
        <w:rPr>
          <w:snapToGrid/>
          <w:szCs w:val="22"/>
          <w:lang w:val="lt-LT"/>
        </w:rPr>
        <w:t xml:space="preserve"> apie tai, kad </w:t>
      </w:r>
      <w:proofErr w:type="spellStart"/>
      <w:r w:rsidR="00EF5D26" w:rsidRPr="00EF5D26">
        <w:rPr>
          <w:snapToGrid/>
          <w:szCs w:val="22"/>
          <w:lang w:val="lt-LT"/>
        </w:rPr>
        <w:t>statinai</w:t>
      </w:r>
      <w:proofErr w:type="spellEnd"/>
      <w:r w:rsidR="00EF5D26" w:rsidRPr="00EF5D26">
        <w:rPr>
          <w:snapToGrid/>
          <w:szCs w:val="22"/>
          <w:lang w:val="lt-LT"/>
        </w:rPr>
        <w:t xml:space="preserve"> </w:t>
      </w:r>
      <w:r w:rsidR="00EF5D26" w:rsidRPr="009E5098">
        <w:rPr>
          <w:i/>
          <w:iCs/>
          <w:snapToGrid/>
          <w:szCs w:val="22"/>
          <w:lang w:val="lt-LT"/>
        </w:rPr>
        <w:t xml:space="preserve">de </w:t>
      </w:r>
      <w:proofErr w:type="spellStart"/>
      <w:r w:rsidR="00EF5D26" w:rsidRPr="009E5098">
        <w:rPr>
          <w:i/>
          <w:iCs/>
          <w:snapToGrid/>
          <w:szCs w:val="22"/>
          <w:lang w:val="lt-LT"/>
        </w:rPr>
        <w:t>novo</w:t>
      </w:r>
      <w:proofErr w:type="spellEnd"/>
      <w:r w:rsidR="00EF5D26" w:rsidRPr="00EF5D26">
        <w:rPr>
          <w:snapToGrid/>
          <w:szCs w:val="22"/>
          <w:lang w:val="lt-LT"/>
        </w:rPr>
        <w:t xml:space="preserve"> sukelia </w:t>
      </w:r>
      <w:proofErr w:type="spellStart"/>
      <w:r>
        <w:rPr>
          <w:snapToGrid/>
          <w:szCs w:val="22"/>
          <w:lang w:val="lt-LT"/>
        </w:rPr>
        <w:t>generalizuotą</w:t>
      </w:r>
      <w:proofErr w:type="spellEnd"/>
      <w:r w:rsidR="00EF5D26" w:rsidRPr="00EF5D26">
        <w:rPr>
          <w:snapToGrid/>
          <w:szCs w:val="22"/>
          <w:lang w:val="lt-LT"/>
        </w:rPr>
        <w:t xml:space="preserve"> </w:t>
      </w:r>
      <w:proofErr w:type="spellStart"/>
      <w:r w:rsidR="00EF5D26" w:rsidRPr="00EF5D26">
        <w:rPr>
          <w:snapToGrid/>
          <w:szCs w:val="22"/>
          <w:lang w:val="lt-LT"/>
        </w:rPr>
        <w:t>miasteniją</w:t>
      </w:r>
      <w:proofErr w:type="spellEnd"/>
      <w:r w:rsidR="00EF5D26" w:rsidRPr="00EF5D26">
        <w:rPr>
          <w:snapToGrid/>
          <w:szCs w:val="22"/>
          <w:lang w:val="lt-LT"/>
        </w:rPr>
        <w:t xml:space="preserve"> ar akių </w:t>
      </w:r>
      <w:proofErr w:type="spellStart"/>
      <w:r w:rsidR="00EF5D26" w:rsidRPr="00EF5D26">
        <w:rPr>
          <w:snapToGrid/>
          <w:szCs w:val="22"/>
          <w:lang w:val="lt-LT"/>
        </w:rPr>
        <w:t>miasteniją</w:t>
      </w:r>
      <w:proofErr w:type="spellEnd"/>
      <w:r w:rsidR="00EF5D26" w:rsidRPr="00EF5D26">
        <w:rPr>
          <w:snapToGrid/>
          <w:szCs w:val="22"/>
          <w:lang w:val="lt-LT"/>
        </w:rPr>
        <w:t xml:space="preserve"> arba pasunkina šiomis ligomis jau sergančių pacientų būklę (žr. 4.8 skyrių). Jeigu ligos simptomai paūmėja, </w:t>
      </w:r>
      <w:proofErr w:type="spellStart"/>
      <w:r w:rsidR="00EF5D26">
        <w:rPr>
          <w:snapToGrid/>
          <w:szCs w:val="22"/>
          <w:lang w:val="lt-LT"/>
        </w:rPr>
        <w:t>Torzelip</w:t>
      </w:r>
      <w:proofErr w:type="spellEnd"/>
      <w:r w:rsidR="00EF5D26" w:rsidRPr="00EF5D26">
        <w:rPr>
          <w:snapToGrid/>
          <w:szCs w:val="22"/>
          <w:lang w:val="lt-LT"/>
        </w:rPr>
        <w:t xml:space="preserve"> vartojimą reikia nutraukti. Gauta pranešimų</w:t>
      </w:r>
      <w:r w:rsidR="00EF5D26">
        <w:rPr>
          <w:snapToGrid/>
          <w:szCs w:val="22"/>
          <w:lang w:val="lt-LT"/>
        </w:rPr>
        <w:t xml:space="preserve"> </w:t>
      </w:r>
      <w:r w:rsidR="00EF5D26" w:rsidRPr="00EF5D26">
        <w:rPr>
          <w:snapToGrid/>
          <w:szCs w:val="22"/>
          <w:lang w:val="lt-LT"/>
        </w:rPr>
        <w:t xml:space="preserve">apie atsinaujinusios ligos atvejus, kai buvo (pakartotinai) vartojamas tas pats arba kitas </w:t>
      </w:r>
      <w:proofErr w:type="spellStart"/>
      <w:r w:rsidR="00EF5D26" w:rsidRPr="00EF5D26">
        <w:rPr>
          <w:snapToGrid/>
          <w:szCs w:val="22"/>
          <w:lang w:val="lt-LT"/>
        </w:rPr>
        <w:t>statinų</w:t>
      </w:r>
      <w:proofErr w:type="spellEnd"/>
      <w:r w:rsidR="00EF5D26" w:rsidRPr="00EF5D26">
        <w:rPr>
          <w:snapToGrid/>
          <w:szCs w:val="22"/>
          <w:lang w:val="lt-LT"/>
        </w:rPr>
        <w:t xml:space="preserve"> grupės vaistinis preparatas.</w:t>
      </w:r>
    </w:p>
    <w:p w14:paraId="66616046" w14:textId="77777777" w:rsidR="00EF5D26" w:rsidRPr="00923E74" w:rsidRDefault="00EF5D26" w:rsidP="00A31E3A">
      <w:pPr>
        <w:spacing w:line="240" w:lineRule="auto"/>
        <w:rPr>
          <w:snapToGrid/>
          <w:szCs w:val="22"/>
          <w:lang w:val="lt-LT"/>
        </w:rPr>
      </w:pPr>
    </w:p>
    <w:p w14:paraId="097339CE" w14:textId="77777777" w:rsidR="00E81633" w:rsidRPr="00923E74" w:rsidRDefault="00E81633" w:rsidP="007E15ED">
      <w:pPr>
        <w:keepNext/>
        <w:spacing w:line="240" w:lineRule="auto"/>
        <w:rPr>
          <w:i/>
          <w:snapToGrid/>
          <w:szCs w:val="22"/>
          <w:lang w:val="lt-LT"/>
        </w:rPr>
      </w:pPr>
      <w:r w:rsidRPr="00923E74">
        <w:rPr>
          <w:i/>
          <w:snapToGrid/>
          <w:szCs w:val="22"/>
          <w:lang w:val="lt-LT"/>
        </w:rPr>
        <w:t>Stebėjimas gydymo metu</w:t>
      </w:r>
    </w:p>
    <w:p w14:paraId="247D3E8C" w14:textId="213BE1D4" w:rsidR="00E81633" w:rsidRPr="00923E74"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t>Pacientų reikia paprašyti, kad nedelsdami praneštų apie raumenų skau</w:t>
      </w:r>
      <w:r w:rsidR="006C54A0" w:rsidRPr="00923E74">
        <w:rPr>
          <w:rFonts w:eastAsia="Calibri"/>
          <w:snapToGrid/>
          <w:szCs w:val="22"/>
          <w:lang w:val="lt-LT"/>
        </w:rPr>
        <w:t>smą, mėšlungį ar silpnumą, ypač</w:t>
      </w:r>
      <w:r w:rsidRPr="00923E74">
        <w:rPr>
          <w:rFonts w:eastAsia="Calibri"/>
          <w:snapToGrid/>
          <w:szCs w:val="22"/>
          <w:lang w:val="lt-LT"/>
        </w:rPr>
        <w:t xml:space="preserve"> jeigu kartu pasireiškia negalavimas ar karščiavimas</w:t>
      </w:r>
      <w:r w:rsidR="006C54A0" w:rsidRPr="00923E74">
        <w:rPr>
          <w:rFonts w:eastAsia="Calibri"/>
          <w:snapToGrid/>
          <w:szCs w:val="22"/>
          <w:lang w:val="lt-LT"/>
        </w:rPr>
        <w:t xml:space="preserve"> arba jei raumenų </w:t>
      </w:r>
      <w:r w:rsidR="00FE7B13" w:rsidRPr="00923E74">
        <w:rPr>
          <w:rFonts w:eastAsia="Calibri"/>
          <w:snapToGrid/>
          <w:szCs w:val="22"/>
          <w:lang w:val="lt-LT"/>
        </w:rPr>
        <w:t>pažaidos</w:t>
      </w:r>
      <w:r w:rsidR="006C54A0" w:rsidRPr="00923E74">
        <w:rPr>
          <w:rFonts w:eastAsia="Calibri"/>
          <w:snapToGrid/>
          <w:szCs w:val="22"/>
          <w:lang w:val="lt-LT"/>
        </w:rPr>
        <w:t xml:space="preserve"> požymiai ir simptomai neišnyksta nutraukus</w:t>
      </w:r>
      <w:r w:rsidR="006C54A0" w:rsidRPr="00923E74">
        <w:rPr>
          <w:szCs w:val="22"/>
          <w:lang w:val="lt-LT" w:eastAsia="sl-SI"/>
        </w:rPr>
        <w:t xml:space="preserve"> </w:t>
      </w:r>
      <w:proofErr w:type="spellStart"/>
      <w:r w:rsidR="006C54A0" w:rsidRPr="00923E74">
        <w:rPr>
          <w:szCs w:val="22"/>
          <w:lang w:val="lt-LT" w:eastAsia="sl-SI"/>
        </w:rPr>
        <w:t>Torzelip</w:t>
      </w:r>
      <w:proofErr w:type="spellEnd"/>
      <w:r w:rsidR="006C54A0" w:rsidRPr="00923E74">
        <w:rPr>
          <w:rFonts w:eastAsia="Calibri"/>
          <w:snapToGrid/>
          <w:szCs w:val="22"/>
          <w:lang w:val="lt-LT"/>
        </w:rPr>
        <w:t xml:space="preserve"> vartojimą</w:t>
      </w:r>
      <w:r w:rsidRPr="00923E74">
        <w:rPr>
          <w:rFonts w:eastAsia="Calibri"/>
          <w:snapToGrid/>
          <w:szCs w:val="22"/>
          <w:lang w:val="lt-LT"/>
        </w:rPr>
        <w:t>.</w:t>
      </w:r>
    </w:p>
    <w:p w14:paraId="73D548DD" w14:textId="2E5BB58D" w:rsidR="00E81633" w:rsidRPr="00923E74"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t xml:space="preserve">Jeigu </w:t>
      </w:r>
      <w:r w:rsidR="00FE7B13" w:rsidRPr="00923E74">
        <w:rPr>
          <w:rFonts w:eastAsia="Calibri"/>
          <w:snapToGrid/>
          <w:szCs w:val="22"/>
          <w:lang w:val="lt-LT"/>
        </w:rPr>
        <w:t>tokių</w:t>
      </w:r>
      <w:r w:rsidRPr="00923E74">
        <w:rPr>
          <w:rFonts w:eastAsia="Calibri"/>
          <w:snapToGrid/>
          <w:szCs w:val="22"/>
          <w:lang w:val="lt-LT"/>
        </w:rPr>
        <w:t xml:space="preserve"> simptomų </w:t>
      </w:r>
      <w:r w:rsidR="002A6F65">
        <w:rPr>
          <w:rFonts w:eastAsia="Calibri"/>
          <w:snapToGrid/>
          <w:szCs w:val="22"/>
          <w:lang w:val="lt-LT"/>
        </w:rPr>
        <w:t>p</w:t>
      </w:r>
      <w:r w:rsidRPr="00923E74">
        <w:rPr>
          <w:rFonts w:eastAsia="Calibri"/>
          <w:snapToGrid/>
          <w:szCs w:val="22"/>
          <w:lang w:val="lt-LT"/>
        </w:rPr>
        <w:t>asir</w:t>
      </w:r>
      <w:r w:rsidR="002A6F65">
        <w:rPr>
          <w:rFonts w:eastAsia="Calibri"/>
          <w:snapToGrid/>
          <w:szCs w:val="22"/>
          <w:lang w:val="lt-LT"/>
        </w:rPr>
        <w:t>eiški</w:t>
      </w:r>
      <w:r w:rsidRPr="00923E74">
        <w:rPr>
          <w:rFonts w:eastAsia="Calibri"/>
          <w:snapToGrid/>
          <w:szCs w:val="22"/>
          <w:lang w:val="lt-LT"/>
        </w:rPr>
        <w:t xml:space="preserve">a vartojant </w:t>
      </w:r>
      <w:proofErr w:type="spellStart"/>
      <w:r w:rsidR="00FE7B13" w:rsidRPr="00923E74">
        <w:rPr>
          <w:szCs w:val="22"/>
          <w:lang w:val="lt-LT" w:eastAsia="sl-SI"/>
        </w:rPr>
        <w:t>Torzelip</w:t>
      </w:r>
      <w:proofErr w:type="spellEnd"/>
      <w:r w:rsidRPr="00923E74">
        <w:rPr>
          <w:rFonts w:eastAsia="Calibri"/>
          <w:snapToGrid/>
          <w:szCs w:val="22"/>
          <w:lang w:val="lt-LT"/>
        </w:rPr>
        <w:t>, reikia išmatuoti K</w:t>
      </w:r>
      <w:r w:rsidR="00FE7B13" w:rsidRPr="00923E74">
        <w:rPr>
          <w:rFonts w:eastAsia="Calibri"/>
          <w:snapToGrid/>
          <w:szCs w:val="22"/>
          <w:lang w:val="lt-LT"/>
        </w:rPr>
        <w:t>F</w:t>
      </w:r>
      <w:r w:rsidRPr="00923E74">
        <w:rPr>
          <w:rFonts w:eastAsia="Calibri"/>
          <w:snapToGrid/>
          <w:szCs w:val="22"/>
          <w:lang w:val="lt-LT"/>
        </w:rPr>
        <w:t>K</w:t>
      </w:r>
      <w:r w:rsidR="002A6F65">
        <w:rPr>
          <w:rFonts w:eastAsia="Calibri"/>
          <w:snapToGrid/>
          <w:szCs w:val="22"/>
          <w:lang w:val="lt-LT"/>
        </w:rPr>
        <w:t> </w:t>
      </w:r>
      <w:r w:rsidR="00FE7B13" w:rsidRPr="00923E74">
        <w:rPr>
          <w:rFonts w:eastAsia="Calibri"/>
          <w:snapToGrid/>
          <w:szCs w:val="22"/>
          <w:lang w:val="lt-LT"/>
        </w:rPr>
        <w:t>aktyvumą</w:t>
      </w:r>
      <w:r w:rsidRPr="00923E74">
        <w:rPr>
          <w:rFonts w:eastAsia="Calibri"/>
          <w:snapToGrid/>
          <w:szCs w:val="22"/>
          <w:lang w:val="lt-LT"/>
        </w:rPr>
        <w:t xml:space="preserve">. Jeigu </w:t>
      </w:r>
      <w:r w:rsidR="00FE7B13" w:rsidRPr="00923E74">
        <w:rPr>
          <w:rFonts w:eastAsia="Calibri"/>
          <w:snapToGrid/>
          <w:szCs w:val="22"/>
          <w:lang w:val="lt-LT"/>
        </w:rPr>
        <w:t>aktyvumas</w:t>
      </w:r>
      <w:r w:rsidRPr="00923E74">
        <w:rPr>
          <w:rFonts w:eastAsia="Calibri"/>
          <w:snapToGrid/>
          <w:szCs w:val="22"/>
          <w:lang w:val="lt-LT"/>
        </w:rPr>
        <w:t xml:space="preserve"> yra reikšmingai padidėjęs (</w:t>
      </w:r>
      <w:r w:rsidR="0039435A" w:rsidRPr="00923E74">
        <w:rPr>
          <w:rFonts w:eastAsia="Calibri"/>
          <w:snapToGrid/>
          <w:szCs w:val="22"/>
          <w:lang w:val="lt-LT"/>
        </w:rPr>
        <w:t>&gt;</w:t>
      </w:r>
      <w:r w:rsidR="002A6F65">
        <w:rPr>
          <w:rFonts w:eastAsia="Calibri"/>
          <w:snapToGrid/>
          <w:szCs w:val="22"/>
          <w:lang w:val="lt-LT"/>
        </w:rPr>
        <w:t> </w:t>
      </w:r>
      <w:r w:rsidRPr="00923E74">
        <w:rPr>
          <w:rFonts w:eastAsia="Calibri"/>
          <w:snapToGrid/>
          <w:szCs w:val="22"/>
          <w:lang w:val="lt-LT"/>
        </w:rPr>
        <w:t>5</w:t>
      </w:r>
      <w:r w:rsidR="00FE7B13" w:rsidRPr="00923E74">
        <w:rPr>
          <w:rFonts w:eastAsia="Calibri"/>
          <w:snapToGrid/>
          <w:szCs w:val="22"/>
          <w:lang w:val="lt-LT"/>
        </w:rPr>
        <w:t> </w:t>
      </w:r>
      <w:r w:rsidRPr="00923E74">
        <w:rPr>
          <w:rFonts w:eastAsia="Calibri"/>
          <w:snapToGrid/>
          <w:szCs w:val="22"/>
          <w:lang w:val="lt-LT"/>
        </w:rPr>
        <w:t>kartus viršija</w:t>
      </w:r>
      <w:r w:rsidR="00FE7B13" w:rsidRPr="00923E74">
        <w:rPr>
          <w:rFonts w:eastAsia="Calibri"/>
          <w:snapToGrid/>
          <w:szCs w:val="22"/>
          <w:lang w:val="lt-LT"/>
        </w:rPr>
        <w:t xml:space="preserve"> VNR), gydymą reikia nutraukti.</w:t>
      </w:r>
    </w:p>
    <w:p w14:paraId="5859357A" w14:textId="0F50B6AC" w:rsidR="00E81633" w:rsidRPr="00923E74"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t xml:space="preserve">Jeigu raumenų pažaidos simptomai </w:t>
      </w:r>
      <w:r w:rsidR="00FE7B13" w:rsidRPr="00923E74">
        <w:rPr>
          <w:rFonts w:eastAsia="Calibri"/>
          <w:snapToGrid/>
          <w:szCs w:val="22"/>
          <w:lang w:val="lt-LT"/>
        </w:rPr>
        <w:t xml:space="preserve">yra </w:t>
      </w:r>
      <w:r w:rsidRPr="00923E74">
        <w:rPr>
          <w:rFonts w:eastAsia="Calibri"/>
          <w:snapToGrid/>
          <w:szCs w:val="22"/>
          <w:lang w:val="lt-LT"/>
        </w:rPr>
        <w:t xml:space="preserve">sunkūs arba sukelia </w:t>
      </w:r>
      <w:r w:rsidR="00FE7B13" w:rsidRPr="00923E74">
        <w:rPr>
          <w:rFonts w:eastAsia="Calibri"/>
          <w:snapToGrid/>
          <w:szCs w:val="22"/>
          <w:lang w:val="lt-LT"/>
        </w:rPr>
        <w:t xml:space="preserve">kasdienį </w:t>
      </w:r>
      <w:r w:rsidRPr="00923E74">
        <w:rPr>
          <w:rFonts w:eastAsia="Calibri"/>
          <w:snapToGrid/>
          <w:szCs w:val="22"/>
          <w:lang w:val="lt-LT"/>
        </w:rPr>
        <w:t>diskomfortą, net jeigu K</w:t>
      </w:r>
      <w:r w:rsidR="00FE7B13" w:rsidRPr="00923E74">
        <w:rPr>
          <w:rFonts w:eastAsia="Calibri"/>
          <w:snapToGrid/>
          <w:szCs w:val="22"/>
          <w:lang w:val="lt-LT"/>
        </w:rPr>
        <w:t>F</w:t>
      </w:r>
      <w:r w:rsidRPr="00923E74">
        <w:rPr>
          <w:rFonts w:eastAsia="Calibri"/>
          <w:snapToGrid/>
          <w:szCs w:val="22"/>
          <w:lang w:val="lt-LT"/>
        </w:rPr>
        <w:t>K</w:t>
      </w:r>
      <w:r w:rsidR="002A6F65">
        <w:rPr>
          <w:rFonts w:eastAsia="Calibri"/>
          <w:snapToGrid/>
          <w:szCs w:val="22"/>
          <w:lang w:val="lt-LT"/>
        </w:rPr>
        <w:t> </w:t>
      </w:r>
      <w:r w:rsidR="00FE7B13" w:rsidRPr="00923E74">
        <w:rPr>
          <w:rFonts w:eastAsia="Calibri"/>
          <w:snapToGrid/>
          <w:szCs w:val="22"/>
          <w:lang w:val="lt-LT"/>
        </w:rPr>
        <w:t>aktyvumo</w:t>
      </w:r>
      <w:r w:rsidRPr="00923E74">
        <w:rPr>
          <w:rFonts w:eastAsia="Calibri"/>
          <w:snapToGrid/>
          <w:szCs w:val="22"/>
          <w:lang w:val="lt-LT"/>
        </w:rPr>
        <w:t xml:space="preserve"> padidėjimas </w:t>
      </w:r>
      <w:r w:rsidR="0039435A" w:rsidRPr="00923E74">
        <w:rPr>
          <w:rFonts w:eastAsia="Calibri"/>
          <w:snapToGrid/>
          <w:szCs w:val="22"/>
          <w:lang w:val="lt-LT"/>
        </w:rPr>
        <w:t>≤ </w:t>
      </w:r>
      <w:r w:rsidRPr="00923E74">
        <w:rPr>
          <w:rFonts w:eastAsia="Calibri"/>
          <w:snapToGrid/>
          <w:szCs w:val="22"/>
          <w:lang w:val="lt-LT"/>
        </w:rPr>
        <w:t>5</w:t>
      </w:r>
      <w:r w:rsidR="0039435A" w:rsidRPr="00923E74">
        <w:rPr>
          <w:rFonts w:eastAsia="Calibri"/>
          <w:snapToGrid/>
          <w:szCs w:val="22"/>
          <w:lang w:val="lt-LT"/>
        </w:rPr>
        <w:t> </w:t>
      </w:r>
      <w:r w:rsidR="009940C2" w:rsidRPr="00923E74">
        <w:rPr>
          <w:rFonts w:eastAsia="Calibri"/>
          <w:snapToGrid/>
          <w:szCs w:val="22"/>
          <w:lang w:val="lt-LT"/>
        </w:rPr>
        <w:t xml:space="preserve">kartus viršija </w:t>
      </w:r>
      <w:r w:rsidRPr="00923E74">
        <w:rPr>
          <w:rFonts w:eastAsia="Calibri"/>
          <w:snapToGrid/>
          <w:szCs w:val="22"/>
          <w:lang w:val="lt-LT"/>
        </w:rPr>
        <w:t xml:space="preserve">VNR, reikia </w:t>
      </w:r>
      <w:r w:rsidR="00FE7B13" w:rsidRPr="00923E74">
        <w:rPr>
          <w:rFonts w:eastAsia="Calibri"/>
          <w:snapToGrid/>
          <w:szCs w:val="22"/>
          <w:lang w:val="lt-LT"/>
        </w:rPr>
        <w:t>apsvarstyti gydymo nutraukimo reikalingumą</w:t>
      </w:r>
      <w:r w:rsidRPr="00923E74">
        <w:rPr>
          <w:rFonts w:eastAsia="Calibri"/>
          <w:snapToGrid/>
          <w:szCs w:val="22"/>
          <w:lang w:val="lt-LT"/>
        </w:rPr>
        <w:t>.</w:t>
      </w:r>
    </w:p>
    <w:p w14:paraId="71657870" w14:textId="13323D50" w:rsidR="00E81633" w:rsidRPr="00923E74"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t>Jeigu simptomai išnyk</w:t>
      </w:r>
      <w:r w:rsidR="007565D3">
        <w:rPr>
          <w:rFonts w:eastAsia="Calibri"/>
          <w:snapToGrid/>
          <w:szCs w:val="22"/>
          <w:lang w:val="lt-LT"/>
        </w:rPr>
        <w:t>s</w:t>
      </w:r>
      <w:r w:rsidRPr="00923E74">
        <w:rPr>
          <w:rFonts w:eastAsia="Calibri"/>
          <w:snapToGrid/>
          <w:szCs w:val="22"/>
          <w:lang w:val="lt-LT"/>
        </w:rPr>
        <w:t>ta ir K</w:t>
      </w:r>
      <w:r w:rsidR="00FE7B13" w:rsidRPr="00923E74">
        <w:rPr>
          <w:rFonts w:eastAsia="Calibri"/>
          <w:snapToGrid/>
          <w:szCs w:val="22"/>
          <w:lang w:val="lt-LT"/>
        </w:rPr>
        <w:t>F</w:t>
      </w:r>
      <w:r w:rsidRPr="00923E74">
        <w:rPr>
          <w:rFonts w:eastAsia="Calibri"/>
          <w:snapToGrid/>
          <w:szCs w:val="22"/>
          <w:lang w:val="lt-LT"/>
        </w:rPr>
        <w:t>K</w:t>
      </w:r>
      <w:r w:rsidR="002A6F65">
        <w:rPr>
          <w:rFonts w:eastAsia="Calibri"/>
          <w:snapToGrid/>
          <w:szCs w:val="22"/>
          <w:lang w:val="lt-LT"/>
        </w:rPr>
        <w:t> </w:t>
      </w:r>
      <w:r w:rsidR="00FE7B13" w:rsidRPr="00923E74">
        <w:rPr>
          <w:rFonts w:eastAsia="Calibri"/>
          <w:snapToGrid/>
          <w:szCs w:val="22"/>
          <w:lang w:val="lt-LT"/>
        </w:rPr>
        <w:t>aktyvumas vėl tampa normalus</w:t>
      </w:r>
      <w:r w:rsidRPr="00923E74">
        <w:rPr>
          <w:rFonts w:eastAsia="Calibri"/>
          <w:snapToGrid/>
          <w:szCs w:val="22"/>
          <w:lang w:val="lt-LT"/>
        </w:rPr>
        <w:t xml:space="preserve">, galima </w:t>
      </w:r>
      <w:r w:rsidR="00FE7B13" w:rsidRPr="00923E74">
        <w:rPr>
          <w:rFonts w:eastAsia="Calibri"/>
          <w:snapToGrid/>
          <w:szCs w:val="22"/>
          <w:lang w:val="lt-LT"/>
        </w:rPr>
        <w:t>ap</w:t>
      </w:r>
      <w:r w:rsidRPr="00923E74">
        <w:rPr>
          <w:rFonts w:eastAsia="Calibri"/>
          <w:snapToGrid/>
          <w:szCs w:val="22"/>
          <w:lang w:val="lt-LT"/>
        </w:rPr>
        <w:t>svarstyti gydym</w:t>
      </w:r>
      <w:r w:rsidR="00FE7B13" w:rsidRPr="00923E74">
        <w:rPr>
          <w:rFonts w:eastAsia="Calibri"/>
          <w:snapToGrid/>
          <w:szCs w:val="22"/>
          <w:lang w:val="lt-LT"/>
        </w:rPr>
        <w:t>o</w:t>
      </w:r>
      <w:r w:rsidRPr="00923E74">
        <w:rPr>
          <w:rFonts w:eastAsia="Calibri"/>
          <w:snapToGrid/>
          <w:szCs w:val="22"/>
          <w:lang w:val="lt-LT"/>
        </w:rPr>
        <w:t xml:space="preserve"> </w:t>
      </w:r>
      <w:proofErr w:type="spellStart"/>
      <w:r w:rsidR="00FE7B13" w:rsidRPr="00923E74">
        <w:rPr>
          <w:szCs w:val="22"/>
          <w:lang w:val="lt-LT" w:eastAsia="sl-SI"/>
        </w:rPr>
        <w:t>Torzelip</w:t>
      </w:r>
      <w:proofErr w:type="spellEnd"/>
      <w:r w:rsidR="00FE7B13" w:rsidRPr="00923E74">
        <w:rPr>
          <w:rFonts w:eastAsia="Calibri"/>
          <w:snapToGrid/>
          <w:szCs w:val="22"/>
          <w:lang w:val="lt-LT"/>
        </w:rPr>
        <w:t xml:space="preserve"> atnaujinim</w:t>
      </w:r>
      <w:r w:rsidR="0044018D" w:rsidRPr="00923E74">
        <w:rPr>
          <w:rFonts w:eastAsia="Calibri"/>
          <w:snapToGrid/>
          <w:szCs w:val="22"/>
          <w:lang w:val="lt-LT"/>
        </w:rPr>
        <w:t>ą</w:t>
      </w:r>
      <w:r w:rsidR="00FE7B13" w:rsidRPr="00923E74">
        <w:rPr>
          <w:rFonts w:eastAsia="Calibri"/>
          <w:snapToGrid/>
          <w:szCs w:val="22"/>
          <w:lang w:val="lt-LT"/>
        </w:rPr>
        <w:t xml:space="preserve"> </w:t>
      </w:r>
      <w:r w:rsidRPr="00923E74">
        <w:rPr>
          <w:rFonts w:eastAsia="Calibri"/>
          <w:snapToGrid/>
          <w:szCs w:val="22"/>
          <w:lang w:val="lt-LT"/>
        </w:rPr>
        <w:t xml:space="preserve">arba </w:t>
      </w:r>
      <w:r w:rsidR="00FE7B13" w:rsidRPr="00923E74">
        <w:rPr>
          <w:rFonts w:eastAsia="Calibri"/>
          <w:snapToGrid/>
          <w:szCs w:val="22"/>
          <w:lang w:val="lt-LT"/>
        </w:rPr>
        <w:t xml:space="preserve">kito </w:t>
      </w:r>
      <w:proofErr w:type="spellStart"/>
      <w:r w:rsidR="00FE7B13" w:rsidRPr="00923E74">
        <w:rPr>
          <w:rFonts w:eastAsia="Calibri"/>
          <w:snapToGrid/>
          <w:szCs w:val="22"/>
          <w:lang w:val="lt-LT"/>
        </w:rPr>
        <w:t>statino</w:t>
      </w:r>
      <w:proofErr w:type="spellEnd"/>
      <w:r w:rsidR="00FE7B13" w:rsidRPr="00923E74">
        <w:rPr>
          <w:rFonts w:eastAsia="Calibri"/>
          <w:snapToGrid/>
          <w:szCs w:val="22"/>
          <w:lang w:val="lt-LT"/>
        </w:rPr>
        <w:t xml:space="preserve"> vartojimo pradėjimą</w:t>
      </w:r>
      <w:r w:rsidRPr="00923E74">
        <w:rPr>
          <w:rFonts w:eastAsia="Calibri"/>
          <w:snapToGrid/>
          <w:szCs w:val="22"/>
          <w:lang w:val="lt-LT"/>
        </w:rPr>
        <w:t xml:space="preserve">, skiriant vartoti mažiausią dozę ir </w:t>
      </w:r>
      <w:r w:rsidRPr="00923E74">
        <w:rPr>
          <w:rFonts w:eastAsia="Calibri"/>
          <w:snapToGrid/>
          <w:szCs w:val="22"/>
          <w:lang w:val="lt-LT"/>
        </w:rPr>
        <w:lastRenderedPageBreak/>
        <w:t>atidžiai stebint paciento būklę.</w:t>
      </w:r>
    </w:p>
    <w:p w14:paraId="5CCA48D6" w14:textId="0966D951" w:rsidR="001818AC" w:rsidRPr="00923E74"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923E74">
        <w:rPr>
          <w:rFonts w:eastAsia="Calibri"/>
          <w:snapToGrid/>
          <w:szCs w:val="22"/>
          <w:lang w:val="lt-LT"/>
        </w:rPr>
        <w:t>Jeigu K</w:t>
      </w:r>
      <w:r w:rsidR="00FE7B13" w:rsidRPr="00923E74">
        <w:rPr>
          <w:rFonts w:eastAsia="Calibri"/>
          <w:snapToGrid/>
          <w:szCs w:val="22"/>
          <w:lang w:val="lt-LT"/>
        </w:rPr>
        <w:t>F</w:t>
      </w:r>
      <w:r w:rsidRPr="00923E74">
        <w:rPr>
          <w:rFonts w:eastAsia="Calibri"/>
          <w:snapToGrid/>
          <w:szCs w:val="22"/>
          <w:lang w:val="lt-LT"/>
        </w:rPr>
        <w:t>K</w:t>
      </w:r>
      <w:r w:rsidR="00DA6FE4">
        <w:rPr>
          <w:rFonts w:eastAsia="Calibri"/>
          <w:snapToGrid/>
          <w:szCs w:val="22"/>
          <w:lang w:val="lt-LT"/>
        </w:rPr>
        <w:t> </w:t>
      </w:r>
      <w:r w:rsidR="0044018D" w:rsidRPr="00923E74">
        <w:rPr>
          <w:rFonts w:eastAsia="Calibri"/>
          <w:snapToGrid/>
          <w:szCs w:val="22"/>
          <w:lang w:val="lt-LT"/>
        </w:rPr>
        <w:t>aktyvumas</w:t>
      </w:r>
      <w:r w:rsidRPr="00923E74">
        <w:rPr>
          <w:rFonts w:eastAsia="Calibri"/>
          <w:snapToGrid/>
          <w:szCs w:val="22"/>
          <w:lang w:val="lt-LT"/>
        </w:rPr>
        <w:t xml:space="preserve"> pa</w:t>
      </w:r>
      <w:r w:rsidR="00FE7B13" w:rsidRPr="00923E74">
        <w:rPr>
          <w:rFonts w:eastAsia="Calibri"/>
          <w:snapToGrid/>
          <w:szCs w:val="22"/>
          <w:lang w:val="lt-LT"/>
        </w:rPr>
        <w:t>didėja kliniškai reikšmingai (&gt; </w:t>
      </w:r>
      <w:r w:rsidR="0044018D" w:rsidRPr="00923E74">
        <w:rPr>
          <w:rFonts w:eastAsia="Calibri"/>
          <w:snapToGrid/>
          <w:szCs w:val="22"/>
          <w:lang w:val="lt-LT"/>
        </w:rPr>
        <w:t>10 </w:t>
      </w:r>
      <w:r w:rsidR="00FE7B13" w:rsidRPr="00923E74">
        <w:rPr>
          <w:rFonts w:eastAsia="Calibri"/>
          <w:snapToGrid/>
          <w:szCs w:val="22"/>
          <w:lang w:val="lt-LT"/>
        </w:rPr>
        <w:t>kartų viršija</w:t>
      </w:r>
      <w:r w:rsidRPr="00923E74">
        <w:rPr>
          <w:rFonts w:eastAsia="Calibri"/>
          <w:snapToGrid/>
          <w:szCs w:val="22"/>
          <w:lang w:val="lt-LT"/>
        </w:rPr>
        <w:t xml:space="preserve"> VNR) arba diagnozuojama ar įtariama </w:t>
      </w:r>
      <w:proofErr w:type="spellStart"/>
      <w:r w:rsidRPr="00923E74">
        <w:rPr>
          <w:rFonts w:eastAsia="Calibri"/>
          <w:snapToGrid/>
          <w:szCs w:val="22"/>
          <w:lang w:val="lt-LT"/>
        </w:rPr>
        <w:t>rabdomiolizė</w:t>
      </w:r>
      <w:proofErr w:type="spellEnd"/>
      <w:r w:rsidRPr="00923E74">
        <w:rPr>
          <w:rFonts w:eastAsia="Calibri"/>
          <w:snapToGrid/>
          <w:szCs w:val="22"/>
          <w:lang w:val="lt-LT"/>
        </w:rPr>
        <w:t xml:space="preserve">, gydymą </w:t>
      </w:r>
      <w:proofErr w:type="spellStart"/>
      <w:r w:rsidR="00FE7B13" w:rsidRPr="00923E74">
        <w:rPr>
          <w:szCs w:val="22"/>
          <w:lang w:val="lt-LT" w:eastAsia="sl-SI"/>
        </w:rPr>
        <w:t>Torzelip</w:t>
      </w:r>
      <w:proofErr w:type="spellEnd"/>
      <w:r w:rsidR="00FE7B13" w:rsidRPr="00923E74">
        <w:rPr>
          <w:rFonts w:eastAsia="Calibri"/>
          <w:snapToGrid/>
          <w:szCs w:val="22"/>
          <w:lang w:val="lt-LT"/>
        </w:rPr>
        <w:t xml:space="preserve"> </w:t>
      </w:r>
      <w:r w:rsidRPr="00923E74">
        <w:rPr>
          <w:rFonts w:eastAsia="Calibri"/>
          <w:snapToGrid/>
          <w:szCs w:val="22"/>
          <w:lang w:val="lt-LT"/>
        </w:rPr>
        <w:t>reikia nutraukti.</w:t>
      </w:r>
    </w:p>
    <w:p w14:paraId="5759262A" w14:textId="77777777" w:rsidR="00E81633" w:rsidRPr="00923E74" w:rsidRDefault="00E81633" w:rsidP="00A31E3A">
      <w:pPr>
        <w:spacing w:line="240" w:lineRule="auto"/>
        <w:rPr>
          <w:snapToGrid/>
          <w:szCs w:val="22"/>
          <w:lang w:val="lt-LT"/>
        </w:rPr>
      </w:pPr>
    </w:p>
    <w:p w14:paraId="1219ECBB" w14:textId="49ABB531" w:rsidR="00600B65" w:rsidRPr="00923E74" w:rsidRDefault="00600B65" w:rsidP="00A31E3A">
      <w:pPr>
        <w:keepNext/>
        <w:keepLines/>
        <w:widowControl w:val="0"/>
        <w:autoSpaceDE w:val="0"/>
        <w:autoSpaceDN w:val="0"/>
        <w:adjustRightInd w:val="0"/>
        <w:spacing w:line="240" w:lineRule="auto"/>
        <w:rPr>
          <w:snapToGrid/>
          <w:szCs w:val="22"/>
          <w:lang w:val="lt-LT"/>
        </w:rPr>
      </w:pPr>
      <w:r w:rsidRPr="00923E74">
        <w:rPr>
          <w:i/>
          <w:szCs w:val="22"/>
          <w:lang w:val="lt-LT"/>
        </w:rPr>
        <w:t>Vartojimas kartu su kitais vaistiniais preparatais</w:t>
      </w:r>
    </w:p>
    <w:p w14:paraId="079B82C0" w14:textId="508B0CDE" w:rsidR="00600B65" w:rsidRPr="00923E74" w:rsidRDefault="000514AB" w:rsidP="00A31E3A">
      <w:pPr>
        <w:spacing w:line="240" w:lineRule="auto"/>
        <w:rPr>
          <w:snapToGrid/>
          <w:szCs w:val="22"/>
          <w:lang w:val="lt-LT"/>
        </w:rPr>
      </w:pPr>
      <w:r w:rsidRPr="00923E74">
        <w:rPr>
          <w:szCs w:val="22"/>
          <w:lang w:val="lt-LT" w:eastAsia="sl-SI"/>
        </w:rPr>
        <w:t xml:space="preserve">Dėl </w:t>
      </w:r>
      <w:proofErr w:type="spellStart"/>
      <w:r w:rsidRPr="00923E74">
        <w:rPr>
          <w:szCs w:val="22"/>
          <w:lang w:val="lt-LT" w:eastAsia="sl-SI"/>
        </w:rPr>
        <w:t>Torzelip</w:t>
      </w:r>
      <w:proofErr w:type="spellEnd"/>
      <w:r w:rsidRPr="00923E74">
        <w:rPr>
          <w:rFonts w:eastAsia="Calibri"/>
          <w:snapToGrid/>
          <w:szCs w:val="22"/>
          <w:lang w:val="lt-LT"/>
        </w:rPr>
        <w:t xml:space="preserve"> sudėtyje esančio </w:t>
      </w:r>
      <w:proofErr w:type="spellStart"/>
      <w:r w:rsidRPr="00923E74">
        <w:rPr>
          <w:snapToGrid/>
          <w:szCs w:val="22"/>
          <w:lang w:val="lt-LT"/>
        </w:rPr>
        <w:t>atorvastatino</w:t>
      </w:r>
      <w:proofErr w:type="spellEnd"/>
      <w:r w:rsidRPr="00923E74">
        <w:rPr>
          <w:snapToGrid/>
          <w:szCs w:val="22"/>
          <w:lang w:val="lt-LT"/>
        </w:rPr>
        <w:t xml:space="preserve"> </w:t>
      </w:r>
      <w:proofErr w:type="spellStart"/>
      <w:r w:rsidRPr="00923E74">
        <w:rPr>
          <w:snapToGrid/>
          <w:szCs w:val="22"/>
          <w:lang w:val="lt-LT"/>
        </w:rPr>
        <w:t>r</w:t>
      </w:r>
      <w:r w:rsidR="00600B65" w:rsidRPr="00923E74">
        <w:rPr>
          <w:snapToGrid/>
          <w:szCs w:val="22"/>
          <w:lang w:val="lt-LT"/>
        </w:rPr>
        <w:t>abdomiolizės</w:t>
      </w:r>
      <w:proofErr w:type="spellEnd"/>
      <w:r w:rsidR="00600B65" w:rsidRPr="00923E74">
        <w:rPr>
          <w:snapToGrid/>
          <w:szCs w:val="22"/>
          <w:lang w:val="lt-LT"/>
        </w:rPr>
        <w:t xml:space="preserve"> rizika didėja, jei kartu su</w:t>
      </w:r>
      <w:r w:rsidR="00DA6FE4">
        <w:rPr>
          <w:snapToGrid/>
          <w:szCs w:val="22"/>
          <w:lang w:val="lt-LT"/>
        </w:rPr>
        <w:t xml:space="preserve"> juo</w:t>
      </w:r>
      <w:r w:rsidR="00600B65" w:rsidRPr="00923E74">
        <w:rPr>
          <w:snapToGrid/>
          <w:szCs w:val="22"/>
          <w:lang w:val="lt-LT"/>
        </w:rPr>
        <w:t xml:space="preserve"> vartojama </w:t>
      </w:r>
      <w:r w:rsidR="0072143F" w:rsidRPr="00923E74">
        <w:rPr>
          <w:snapToGrid/>
          <w:szCs w:val="22"/>
          <w:lang w:val="lt-LT"/>
        </w:rPr>
        <w:t>tam tikrų</w:t>
      </w:r>
      <w:r w:rsidR="00600B65" w:rsidRPr="00923E74">
        <w:rPr>
          <w:snapToGrid/>
          <w:szCs w:val="22"/>
          <w:lang w:val="lt-LT"/>
        </w:rPr>
        <w:t xml:space="preserve"> </w:t>
      </w:r>
      <w:proofErr w:type="spellStart"/>
      <w:r w:rsidR="0072143F" w:rsidRPr="00923E74">
        <w:rPr>
          <w:snapToGrid/>
          <w:szCs w:val="22"/>
          <w:lang w:val="lt-LT"/>
        </w:rPr>
        <w:t>atorvastatino</w:t>
      </w:r>
      <w:proofErr w:type="spellEnd"/>
      <w:r w:rsidR="0072143F" w:rsidRPr="00923E74">
        <w:rPr>
          <w:snapToGrid/>
          <w:szCs w:val="22"/>
          <w:lang w:val="lt-LT"/>
        </w:rPr>
        <w:t xml:space="preserve"> koncentraciją kraujo plazmoje didinti galinčių </w:t>
      </w:r>
      <w:r w:rsidR="00600B65" w:rsidRPr="00923E74">
        <w:rPr>
          <w:snapToGrid/>
          <w:szCs w:val="22"/>
          <w:lang w:val="lt-LT"/>
        </w:rPr>
        <w:t>vaistinių p</w:t>
      </w:r>
      <w:r w:rsidR="0072143F" w:rsidRPr="00923E74">
        <w:rPr>
          <w:snapToGrid/>
          <w:szCs w:val="22"/>
          <w:lang w:val="lt-LT"/>
        </w:rPr>
        <w:t xml:space="preserve">reparatų, </w:t>
      </w:r>
      <w:r w:rsidR="00600B65" w:rsidRPr="00923E74">
        <w:rPr>
          <w:snapToGrid/>
          <w:szCs w:val="22"/>
          <w:lang w:val="lt-LT"/>
        </w:rPr>
        <w:t xml:space="preserve">tokių kaip stiprūs CYP3A4 ar pernašos baltymų inhibitoriai (pvz., </w:t>
      </w:r>
      <w:proofErr w:type="spellStart"/>
      <w:r w:rsidR="00600B65" w:rsidRPr="00923E74">
        <w:rPr>
          <w:snapToGrid/>
          <w:szCs w:val="22"/>
          <w:lang w:val="lt-LT"/>
        </w:rPr>
        <w:t>ciklosporinas</w:t>
      </w:r>
      <w:proofErr w:type="spellEnd"/>
      <w:r w:rsidR="00600B65" w:rsidRPr="00923E74">
        <w:rPr>
          <w:snapToGrid/>
          <w:szCs w:val="22"/>
          <w:lang w:val="lt-LT"/>
        </w:rPr>
        <w:t xml:space="preserve">, </w:t>
      </w:r>
      <w:proofErr w:type="spellStart"/>
      <w:r w:rsidR="00600B65" w:rsidRPr="00923E74">
        <w:rPr>
          <w:snapToGrid/>
          <w:szCs w:val="22"/>
          <w:lang w:val="lt-LT"/>
        </w:rPr>
        <w:t>telitromicinas</w:t>
      </w:r>
      <w:proofErr w:type="spellEnd"/>
      <w:r w:rsidR="00600B65" w:rsidRPr="00923E74">
        <w:rPr>
          <w:snapToGrid/>
          <w:szCs w:val="22"/>
          <w:lang w:val="lt-LT"/>
        </w:rPr>
        <w:t xml:space="preserve">, </w:t>
      </w:r>
      <w:proofErr w:type="spellStart"/>
      <w:r w:rsidR="00600B65" w:rsidRPr="00923E74">
        <w:rPr>
          <w:snapToGrid/>
          <w:szCs w:val="22"/>
          <w:lang w:val="lt-LT"/>
        </w:rPr>
        <w:t>klaritromicinas</w:t>
      </w:r>
      <w:proofErr w:type="spellEnd"/>
      <w:r w:rsidR="00600B65" w:rsidRPr="00923E74">
        <w:rPr>
          <w:snapToGrid/>
          <w:szCs w:val="22"/>
          <w:lang w:val="lt-LT"/>
        </w:rPr>
        <w:t xml:space="preserve">, </w:t>
      </w:r>
      <w:proofErr w:type="spellStart"/>
      <w:r w:rsidR="00600B65" w:rsidRPr="00923E74">
        <w:rPr>
          <w:snapToGrid/>
          <w:szCs w:val="22"/>
          <w:lang w:val="lt-LT"/>
        </w:rPr>
        <w:t>delavirdinas</w:t>
      </w:r>
      <w:proofErr w:type="spellEnd"/>
      <w:r w:rsidR="00600B65" w:rsidRPr="00923E74">
        <w:rPr>
          <w:snapToGrid/>
          <w:szCs w:val="22"/>
          <w:lang w:val="lt-LT"/>
        </w:rPr>
        <w:t xml:space="preserve">, </w:t>
      </w:r>
      <w:proofErr w:type="spellStart"/>
      <w:r w:rsidR="00600B65" w:rsidRPr="00923E74">
        <w:rPr>
          <w:snapToGrid/>
          <w:szCs w:val="22"/>
          <w:lang w:val="lt-LT"/>
        </w:rPr>
        <w:t>stiripentolis</w:t>
      </w:r>
      <w:proofErr w:type="spellEnd"/>
      <w:r w:rsidR="00600B65" w:rsidRPr="00923E74">
        <w:rPr>
          <w:snapToGrid/>
          <w:szCs w:val="22"/>
          <w:lang w:val="lt-LT"/>
        </w:rPr>
        <w:t xml:space="preserve">, </w:t>
      </w:r>
      <w:proofErr w:type="spellStart"/>
      <w:r w:rsidR="00600B65" w:rsidRPr="00923E74">
        <w:rPr>
          <w:snapToGrid/>
          <w:szCs w:val="22"/>
          <w:lang w:val="lt-LT"/>
        </w:rPr>
        <w:t>ketokonazolas</w:t>
      </w:r>
      <w:proofErr w:type="spellEnd"/>
      <w:r w:rsidR="00600B65" w:rsidRPr="00923E74">
        <w:rPr>
          <w:snapToGrid/>
          <w:szCs w:val="22"/>
          <w:lang w:val="lt-LT"/>
        </w:rPr>
        <w:t xml:space="preserve">, </w:t>
      </w:r>
      <w:proofErr w:type="spellStart"/>
      <w:r w:rsidR="00600B65" w:rsidRPr="00923E74">
        <w:rPr>
          <w:snapToGrid/>
          <w:szCs w:val="22"/>
          <w:lang w:val="lt-LT"/>
        </w:rPr>
        <w:t>vorikonazolas</w:t>
      </w:r>
      <w:proofErr w:type="spellEnd"/>
      <w:r w:rsidR="00600B65" w:rsidRPr="00923E74">
        <w:rPr>
          <w:snapToGrid/>
          <w:szCs w:val="22"/>
          <w:lang w:val="lt-LT"/>
        </w:rPr>
        <w:t xml:space="preserve">, </w:t>
      </w:r>
      <w:proofErr w:type="spellStart"/>
      <w:r w:rsidR="00600B65" w:rsidRPr="00923E74">
        <w:rPr>
          <w:snapToGrid/>
          <w:szCs w:val="22"/>
          <w:lang w:val="lt-LT"/>
        </w:rPr>
        <w:t>itrakonazolas</w:t>
      </w:r>
      <w:proofErr w:type="spellEnd"/>
      <w:r w:rsidR="00600B65" w:rsidRPr="00923E74">
        <w:rPr>
          <w:snapToGrid/>
          <w:szCs w:val="22"/>
          <w:lang w:val="lt-LT"/>
        </w:rPr>
        <w:t xml:space="preserve">, </w:t>
      </w:r>
      <w:proofErr w:type="spellStart"/>
      <w:r w:rsidR="00600B65" w:rsidRPr="00923E74">
        <w:rPr>
          <w:snapToGrid/>
          <w:szCs w:val="22"/>
          <w:lang w:val="lt-LT"/>
        </w:rPr>
        <w:t>pozakonazolas</w:t>
      </w:r>
      <w:proofErr w:type="spellEnd"/>
      <w:r w:rsidR="008724D2">
        <w:rPr>
          <w:snapToGrid/>
          <w:szCs w:val="22"/>
          <w:lang w:val="lt-LT"/>
        </w:rPr>
        <w:t xml:space="preserve">, </w:t>
      </w:r>
      <w:proofErr w:type="spellStart"/>
      <w:r w:rsidR="008724D2">
        <w:rPr>
          <w:snapToGrid/>
          <w:szCs w:val="22"/>
          <w:lang w:val="lt-LT"/>
        </w:rPr>
        <w:t>letermoviras</w:t>
      </w:r>
      <w:proofErr w:type="spellEnd"/>
      <w:r w:rsidR="00600B65" w:rsidRPr="00923E74">
        <w:rPr>
          <w:snapToGrid/>
          <w:szCs w:val="22"/>
          <w:lang w:val="lt-LT"/>
        </w:rPr>
        <w:t xml:space="preserve"> ir ŽIV</w:t>
      </w:r>
      <w:r w:rsidR="00DA6FE4">
        <w:rPr>
          <w:snapToGrid/>
          <w:szCs w:val="22"/>
          <w:lang w:val="lt-LT"/>
        </w:rPr>
        <w:t> </w:t>
      </w:r>
      <w:r w:rsidR="00600B65" w:rsidRPr="00923E74">
        <w:rPr>
          <w:snapToGrid/>
          <w:szCs w:val="22"/>
          <w:lang w:val="lt-LT"/>
        </w:rPr>
        <w:t xml:space="preserve">proteazės inhibitoriai, įskaitant ritonavirą, lopinavirą, </w:t>
      </w:r>
      <w:proofErr w:type="spellStart"/>
      <w:r w:rsidR="00600B65" w:rsidRPr="00923E74">
        <w:rPr>
          <w:snapToGrid/>
          <w:szCs w:val="22"/>
          <w:lang w:val="lt-LT"/>
        </w:rPr>
        <w:t>atazanavirą</w:t>
      </w:r>
      <w:proofErr w:type="spellEnd"/>
      <w:r w:rsidR="00600B65" w:rsidRPr="00923E74">
        <w:rPr>
          <w:snapToGrid/>
          <w:szCs w:val="22"/>
          <w:lang w:val="lt-LT"/>
        </w:rPr>
        <w:t xml:space="preserve">, </w:t>
      </w:r>
      <w:proofErr w:type="spellStart"/>
      <w:r w:rsidR="00600B65" w:rsidRPr="00923E74">
        <w:rPr>
          <w:snapToGrid/>
          <w:szCs w:val="22"/>
          <w:lang w:val="lt-LT"/>
        </w:rPr>
        <w:t>indinavirą</w:t>
      </w:r>
      <w:proofErr w:type="spellEnd"/>
      <w:r w:rsidR="00600B65" w:rsidRPr="00923E74">
        <w:rPr>
          <w:snapToGrid/>
          <w:szCs w:val="22"/>
          <w:lang w:val="lt-LT"/>
        </w:rPr>
        <w:t xml:space="preserve">, </w:t>
      </w:r>
      <w:proofErr w:type="spellStart"/>
      <w:r w:rsidR="00600B65" w:rsidRPr="00923E74">
        <w:rPr>
          <w:snapToGrid/>
          <w:szCs w:val="22"/>
          <w:lang w:val="lt-LT"/>
        </w:rPr>
        <w:t>darunavirą</w:t>
      </w:r>
      <w:proofErr w:type="spellEnd"/>
      <w:r w:rsidR="00600B65" w:rsidRPr="00923E74">
        <w:rPr>
          <w:snapToGrid/>
          <w:szCs w:val="22"/>
          <w:lang w:val="lt-LT"/>
        </w:rPr>
        <w:t xml:space="preserve">, </w:t>
      </w:r>
      <w:proofErr w:type="spellStart"/>
      <w:r w:rsidR="00600B65" w:rsidRPr="00923E74">
        <w:rPr>
          <w:snapToGrid/>
          <w:szCs w:val="22"/>
          <w:lang w:val="lt-LT"/>
        </w:rPr>
        <w:t>tipranavirą</w:t>
      </w:r>
      <w:proofErr w:type="spellEnd"/>
      <w:r w:rsidR="00A94DC2">
        <w:rPr>
          <w:snapToGrid/>
          <w:szCs w:val="22"/>
          <w:lang w:val="lt-LT"/>
        </w:rPr>
        <w:t>/</w:t>
      </w:r>
      <w:r w:rsidR="00600B65" w:rsidRPr="00923E74">
        <w:rPr>
          <w:snapToGrid/>
          <w:szCs w:val="22"/>
          <w:lang w:val="lt-LT"/>
        </w:rPr>
        <w:t xml:space="preserve">ritonavirą ir kt.). </w:t>
      </w:r>
      <w:proofErr w:type="spellStart"/>
      <w:r w:rsidR="00600B65" w:rsidRPr="00923E74">
        <w:rPr>
          <w:snapToGrid/>
          <w:szCs w:val="22"/>
          <w:lang w:val="lt-LT"/>
        </w:rPr>
        <w:t>Miopatijos</w:t>
      </w:r>
      <w:proofErr w:type="spellEnd"/>
      <w:r w:rsidR="00600B65" w:rsidRPr="00923E74">
        <w:rPr>
          <w:snapToGrid/>
          <w:szCs w:val="22"/>
          <w:lang w:val="lt-LT"/>
        </w:rPr>
        <w:t xml:space="preserve"> rizika taip pat gali padidėti, jei kartu vartojama </w:t>
      </w:r>
      <w:proofErr w:type="spellStart"/>
      <w:r w:rsidR="00600B65" w:rsidRPr="00923E74">
        <w:rPr>
          <w:snapToGrid/>
          <w:szCs w:val="22"/>
          <w:lang w:val="lt-LT"/>
        </w:rPr>
        <w:t>gemfibrozilio</w:t>
      </w:r>
      <w:proofErr w:type="spellEnd"/>
      <w:r w:rsidR="00600B65" w:rsidRPr="00923E74">
        <w:rPr>
          <w:snapToGrid/>
          <w:szCs w:val="22"/>
          <w:lang w:val="lt-LT"/>
        </w:rPr>
        <w:t xml:space="preserve"> ir kitų fibr</w:t>
      </w:r>
      <w:r w:rsidR="00C73C59">
        <w:rPr>
          <w:snapToGrid/>
          <w:szCs w:val="22"/>
          <w:lang w:val="lt-LT"/>
        </w:rPr>
        <w:t>inės</w:t>
      </w:r>
      <w:r w:rsidR="00600B65" w:rsidRPr="00923E74">
        <w:rPr>
          <w:snapToGrid/>
          <w:szCs w:val="22"/>
          <w:lang w:val="lt-LT"/>
        </w:rPr>
        <w:t xml:space="preserve"> rūgšties darinių, antivirusinių vaistinių preparatų hepatitui</w:t>
      </w:r>
      <w:r w:rsidR="00DA6FE4">
        <w:rPr>
          <w:snapToGrid/>
          <w:szCs w:val="22"/>
          <w:lang w:val="lt-LT"/>
        </w:rPr>
        <w:t> </w:t>
      </w:r>
      <w:r w:rsidR="00600B65" w:rsidRPr="00923E74">
        <w:rPr>
          <w:snapToGrid/>
          <w:szCs w:val="22"/>
          <w:lang w:val="lt-LT"/>
        </w:rPr>
        <w:t>C</w:t>
      </w:r>
      <w:r w:rsidR="00DA6FE4">
        <w:rPr>
          <w:snapToGrid/>
          <w:szCs w:val="22"/>
          <w:lang w:val="lt-LT"/>
        </w:rPr>
        <w:t> </w:t>
      </w:r>
      <w:r w:rsidR="00600B65" w:rsidRPr="00923E74">
        <w:rPr>
          <w:snapToGrid/>
          <w:szCs w:val="22"/>
          <w:lang w:val="lt-LT"/>
        </w:rPr>
        <w:t>(HCV) gydyti (</w:t>
      </w:r>
      <w:proofErr w:type="spellStart"/>
      <w:r w:rsidR="00600B65" w:rsidRPr="00923E74">
        <w:rPr>
          <w:snapToGrid/>
          <w:szCs w:val="22"/>
          <w:lang w:val="lt-LT"/>
        </w:rPr>
        <w:t>bocepreviro</w:t>
      </w:r>
      <w:proofErr w:type="spellEnd"/>
      <w:r w:rsidR="00600B65" w:rsidRPr="00923E74">
        <w:rPr>
          <w:snapToGrid/>
          <w:szCs w:val="22"/>
          <w:lang w:val="lt-LT"/>
        </w:rPr>
        <w:t xml:space="preserve">, </w:t>
      </w:r>
      <w:proofErr w:type="spellStart"/>
      <w:r w:rsidR="00600B65" w:rsidRPr="00923E74">
        <w:rPr>
          <w:snapToGrid/>
          <w:szCs w:val="22"/>
          <w:lang w:val="lt-LT"/>
        </w:rPr>
        <w:t>telapreviro</w:t>
      </w:r>
      <w:proofErr w:type="spellEnd"/>
      <w:r w:rsidR="00600B65" w:rsidRPr="00923E74">
        <w:rPr>
          <w:snapToGrid/>
          <w:szCs w:val="22"/>
          <w:lang w:val="lt-LT"/>
        </w:rPr>
        <w:t xml:space="preserve">, </w:t>
      </w:r>
      <w:proofErr w:type="spellStart"/>
      <w:r w:rsidR="00600B65" w:rsidRPr="00923E74">
        <w:rPr>
          <w:snapToGrid/>
          <w:szCs w:val="22"/>
          <w:lang w:val="lt-LT"/>
        </w:rPr>
        <w:t>elbasviro</w:t>
      </w:r>
      <w:proofErr w:type="spellEnd"/>
      <w:r w:rsidR="00A94DC2">
        <w:rPr>
          <w:snapToGrid/>
          <w:szCs w:val="22"/>
          <w:lang w:val="lt-LT"/>
        </w:rPr>
        <w:t>/</w:t>
      </w:r>
      <w:proofErr w:type="spellStart"/>
      <w:r w:rsidR="00600B65" w:rsidRPr="00923E74">
        <w:rPr>
          <w:snapToGrid/>
          <w:szCs w:val="22"/>
          <w:lang w:val="lt-LT"/>
        </w:rPr>
        <w:t>grazopreviro</w:t>
      </w:r>
      <w:proofErr w:type="spellEnd"/>
      <w:r w:rsidR="00A94DC2">
        <w:rPr>
          <w:snapToGrid/>
          <w:szCs w:val="22"/>
          <w:lang w:val="lt-LT"/>
        </w:rPr>
        <w:t xml:space="preserve">, </w:t>
      </w:r>
      <w:proofErr w:type="spellStart"/>
      <w:r w:rsidR="00A94DC2">
        <w:rPr>
          <w:snapToGrid/>
          <w:szCs w:val="22"/>
          <w:lang w:val="lt-LT"/>
        </w:rPr>
        <w:t>ledipasviro</w:t>
      </w:r>
      <w:proofErr w:type="spellEnd"/>
      <w:r w:rsidR="00A94DC2">
        <w:rPr>
          <w:snapToGrid/>
          <w:szCs w:val="22"/>
          <w:lang w:val="lt-LT"/>
        </w:rPr>
        <w:t>/</w:t>
      </w:r>
      <w:proofErr w:type="spellStart"/>
      <w:r w:rsidR="00A94DC2">
        <w:rPr>
          <w:snapToGrid/>
          <w:szCs w:val="22"/>
          <w:lang w:val="lt-LT"/>
        </w:rPr>
        <w:t>sofosbuviro</w:t>
      </w:r>
      <w:proofErr w:type="spellEnd"/>
      <w:r w:rsidR="00600B65" w:rsidRPr="00923E74">
        <w:rPr>
          <w:snapToGrid/>
          <w:szCs w:val="22"/>
          <w:lang w:val="lt-LT"/>
        </w:rPr>
        <w:t xml:space="preserve">), </w:t>
      </w:r>
      <w:proofErr w:type="spellStart"/>
      <w:r w:rsidR="00EC1808" w:rsidRPr="00923E74">
        <w:rPr>
          <w:snapToGrid/>
          <w:szCs w:val="22"/>
          <w:lang w:val="lt-LT"/>
        </w:rPr>
        <w:t>eritromicino</w:t>
      </w:r>
      <w:proofErr w:type="spellEnd"/>
      <w:r w:rsidR="00EC1808" w:rsidRPr="00923E74">
        <w:rPr>
          <w:snapToGrid/>
          <w:szCs w:val="22"/>
          <w:lang w:val="lt-LT"/>
        </w:rPr>
        <w:t xml:space="preserve"> </w:t>
      </w:r>
      <w:r w:rsidR="00600B65" w:rsidRPr="00923E74">
        <w:rPr>
          <w:snapToGrid/>
          <w:szCs w:val="22"/>
          <w:lang w:val="lt-LT"/>
        </w:rPr>
        <w:t xml:space="preserve">arba </w:t>
      </w:r>
      <w:proofErr w:type="spellStart"/>
      <w:r w:rsidR="00165F8C">
        <w:rPr>
          <w:snapToGrid/>
          <w:szCs w:val="22"/>
          <w:lang w:val="lt-LT"/>
        </w:rPr>
        <w:t>niacino</w:t>
      </w:r>
      <w:proofErr w:type="spellEnd"/>
      <w:r w:rsidR="00600B65" w:rsidRPr="00923E74">
        <w:rPr>
          <w:snapToGrid/>
          <w:szCs w:val="22"/>
          <w:lang w:val="lt-LT"/>
        </w:rPr>
        <w:t>. Jei įmanoma, reikia apsvarstyti šių vaistinių preparatų keitimą kitais (sąveikos nesukeliančiais)</w:t>
      </w:r>
      <w:r w:rsidR="00EC1808" w:rsidRPr="00923E74">
        <w:rPr>
          <w:snapToGrid/>
          <w:szCs w:val="22"/>
          <w:lang w:val="lt-LT"/>
        </w:rPr>
        <w:t xml:space="preserve"> vaistiniais</w:t>
      </w:r>
      <w:r w:rsidR="00600B65" w:rsidRPr="00923E74">
        <w:rPr>
          <w:snapToGrid/>
          <w:szCs w:val="22"/>
          <w:lang w:val="lt-LT"/>
        </w:rPr>
        <w:t xml:space="preserve"> preparatais.</w:t>
      </w:r>
    </w:p>
    <w:p w14:paraId="73F3B7CB" w14:textId="77777777" w:rsidR="00600B65" w:rsidRPr="00923E74" w:rsidRDefault="00600B65" w:rsidP="00A31E3A">
      <w:pPr>
        <w:widowControl w:val="0"/>
        <w:tabs>
          <w:tab w:val="clear" w:pos="567"/>
        </w:tabs>
        <w:autoSpaceDE w:val="0"/>
        <w:autoSpaceDN w:val="0"/>
        <w:adjustRightInd w:val="0"/>
        <w:spacing w:line="240" w:lineRule="auto"/>
        <w:rPr>
          <w:snapToGrid/>
          <w:szCs w:val="22"/>
          <w:lang w:val="lt-LT" w:eastAsia="lt-LT" w:bidi="lt-LT"/>
        </w:rPr>
      </w:pPr>
    </w:p>
    <w:p w14:paraId="67DEE1DA" w14:textId="449395D0" w:rsidR="00600B65" w:rsidRPr="00923E74" w:rsidRDefault="00600B65" w:rsidP="00A31E3A">
      <w:pPr>
        <w:tabs>
          <w:tab w:val="clear" w:pos="567"/>
          <w:tab w:val="left" w:pos="1296"/>
        </w:tabs>
        <w:spacing w:line="240" w:lineRule="auto"/>
        <w:rPr>
          <w:rFonts w:eastAsia="Calibri"/>
          <w:snapToGrid/>
          <w:szCs w:val="22"/>
          <w:lang w:val="lt-LT" w:eastAsia="lt-LT" w:bidi="lt-LT"/>
        </w:rPr>
      </w:pPr>
      <w:r w:rsidRPr="00923E74">
        <w:rPr>
          <w:rFonts w:eastAsia="Calibri"/>
          <w:snapToGrid/>
          <w:szCs w:val="22"/>
          <w:lang w:val="lt-LT" w:eastAsia="lt-LT" w:bidi="lt-LT"/>
        </w:rPr>
        <w:t xml:space="preserve">Jei būtinas </w:t>
      </w:r>
      <w:r w:rsidR="00EC1808" w:rsidRPr="00923E74">
        <w:rPr>
          <w:rFonts w:eastAsia="Calibri"/>
          <w:snapToGrid/>
          <w:szCs w:val="22"/>
          <w:lang w:val="lt-LT" w:eastAsia="lt-LT" w:bidi="lt-LT"/>
        </w:rPr>
        <w:t>kombinuotasis</w:t>
      </w:r>
      <w:r w:rsidRPr="00923E74">
        <w:rPr>
          <w:rFonts w:eastAsia="Calibri"/>
          <w:snapToGrid/>
          <w:szCs w:val="22"/>
          <w:lang w:val="lt-LT" w:eastAsia="lt-LT" w:bidi="lt-LT"/>
        </w:rPr>
        <w:t xml:space="preserve"> gydymas šiais vaistiniais preparatais ir </w:t>
      </w:r>
      <w:proofErr w:type="spellStart"/>
      <w:r w:rsidR="00EC1808" w:rsidRPr="00923E74">
        <w:rPr>
          <w:szCs w:val="22"/>
          <w:lang w:val="lt-LT" w:eastAsia="sl-SI"/>
        </w:rPr>
        <w:t>Torzelip</w:t>
      </w:r>
      <w:proofErr w:type="spellEnd"/>
      <w:r w:rsidRPr="00923E74">
        <w:rPr>
          <w:rFonts w:eastAsia="Calibri"/>
          <w:snapToGrid/>
          <w:szCs w:val="22"/>
          <w:lang w:val="lt-LT" w:eastAsia="lt-LT" w:bidi="lt-LT"/>
        </w:rPr>
        <w:t xml:space="preserve">, reikia atidžiai įvertinti </w:t>
      </w:r>
      <w:r w:rsidR="00EC1808" w:rsidRPr="00923E74">
        <w:rPr>
          <w:rFonts w:eastAsia="Calibri"/>
          <w:snapToGrid/>
          <w:szCs w:val="22"/>
          <w:lang w:val="lt-LT" w:eastAsia="lt-LT" w:bidi="lt-LT"/>
        </w:rPr>
        <w:t xml:space="preserve">tokio gydymo </w:t>
      </w:r>
      <w:r w:rsidRPr="00923E74">
        <w:rPr>
          <w:rFonts w:eastAsia="Calibri"/>
          <w:snapToGrid/>
          <w:szCs w:val="22"/>
          <w:lang w:val="lt-LT" w:eastAsia="lt-LT" w:bidi="lt-LT"/>
        </w:rPr>
        <w:t xml:space="preserve">naudos ir rizikos santykį. Kartu skiriant vaistinių preparatų, dėl kurių didėja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w:t>
      </w:r>
      <w:r w:rsidR="00EC1808" w:rsidRPr="00923E74">
        <w:rPr>
          <w:rFonts w:eastAsia="Calibri"/>
          <w:snapToGrid/>
          <w:szCs w:val="22"/>
          <w:lang w:val="lt-LT" w:eastAsia="lt-LT" w:bidi="lt-LT"/>
        </w:rPr>
        <w:t>koncentracija kraujo plazmoje</w:t>
      </w:r>
      <w:r w:rsidRPr="00923E74">
        <w:rPr>
          <w:rFonts w:eastAsia="Calibri"/>
          <w:snapToGrid/>
          <w:szCs w:val="22"/>
          <w:lang w:val="lt-LT" w:eastAsia="lt-LT" w:bidi="lt-LT"/>
        </w:rPr>
        <w:t xml:space="preserve">, rekomenduojama skirti mažesnę </w:t>
      </w:r>
      <w:r w:rsidR="000514AB" w:rsidRPr="00923E74">
        <w:rPr>
          <w:rFonts w:eastAsia="Calibri"/>
          <w:snapToGrid/>
          <w:szCs w:val="22"/>
          <w:lang w:val="lt-LT" w:eastAsia="lt-LT" w:bidi="lt-LT"/>
        </w:rPr>
        <w:t>didžiausią</w:t>
      </w:r>
      <w:r w:rsidRPr="00923E74">
        <w:rPr>
          <w:rFonts w:eastAsia="Calibri"/>
          <w:snapToGrid/>
          <w:szCs w:val="22"/>
          <w:lang w:val="lt-LT" w:eastAsia="lt-LT" w:bidi="lt-LT"/>
        </w:rPr>
        <w:t xml:space="preserve"> </w:t>
      </w:r>
      <w:proofErr w:type="spellStart"/>
      <w:r w:rsidR="00EC1808" w:rsidRPr="00923E74">
        <w:rPr>
          <w:szCs w:val="22"/>
          <w:lang w:val="lt-LT" w:eastAsia="sl-SI"/>
        </w:rPr>
        <w:t>Torzelip</w:t>
      </w:r>
      <w:proofErr w:type="spellEnd"/>
      <w:r w:rsidR="00EC1808" w:rsidRPr="00923E74">
        <w:rPr>
          <w:rFonts w:eastAsia="Calibri"/>
          <w:snapToGrid/>
          <w:szCs w:val="22"/>
          <w:lang w:val="lt-LT"/>
        </w:rPr>
        <w:t xml:space="preserve"> </w:t>
      </w:r>
      <w:r w:rsidRPr="00923E74">
        <w:rPr>
          <w:rFonts w:eastAsia="Calibri"/>
          <w:snapToGrid/>
          <w:szCs w:val="22"/>
          <w:lang w:val="lt-LT" w:eastAsia="lt-LT" w:bidi="lt-LT"/>
        </w:rPr>
        <w:t>dozę. Be to, jei vartojama stiprių CYP3A4</w:t>
      </w:r>
      <w:r w:rsidR="00DA6FE4">
        <w:rPr>
          <w:rFonts w:eastAsia="Calibri"/>
          <w:snapToGrid/>
          <w:szCs w:val="22"/>
          <w:lang w:val="lt-LT" w:eastAsia="lt-LT" w:bidi="lt-LT"/>
        </w:rPr>
        <w:t> </w:t>
      </w:r>
      <w:r w:rsidRPr="00923E74">
        <w:rPr>
          <w:rFonts w:eastAsia="Calibri"/>
          <w:snapToGrid/>
          <w:szCs w:val="22"/>
          <w:lang w:val="lt-LT" w:eastAsia="lt-LT" w:bidi="lt-LT"/>
        </w:rPr>
        <w:t xml:space="preserve">inhibitorių, reikia apsvarstyti mažesnės pradinės </w:t>
      </w:r>
      <w:proofErr w:type="spellStart"/>
      <w:r w:rsidR="00EC1808" w:rsidRPr="00923E74">
        <w:rPr>
          <w:szCs w:val="22"/>
          <w:lang w:val="lt-LT" w:eastAsia="sl-SI"/>
        </w:rPr>
        <w:t>Torzelip</w:t>
      </w:r>
      <w:proofErr w:type="spellEnd"/>
      <w:r w:rsidR="00EC1808" w:rsidRPr="00923E74">
        <w:rPr>
          <w:rFonts w:eastAsia="Calibri"/>
          <w:snapToGrid/>
          <w:szCs w:val="22"/>
          <w:lang w:val="lt-LT"/>
        </w:rPr>
        <w:t xml:space="preserve"> </w:t>
      </w:r>
      <w:r w:rsidRPr="00923E74">
        <w:rPr>
          <w:rFonts w:eastAsia="Calibri"/>
          <w:snapToGrid/>
          <w:szCs w:val="22"/>
          <w:lang w:val="lt-LT" w:eastAsia="lt-LT" w:bidi="lt-LT"/>
        </w:rPr>
        <w:t xml:space="preserve">dozės vartojimą bei </w:t>
      </w:r>
      <w:r w:rsidR="00EC1808" w:rsidRPr="00923E74">
        <w:rPr>
          <w:rFonts w:eastAsia="Calibri"/>
          <w:snapToGrid/>
          <w:szCs w:val="22"/>
          <w:lang w:val="lt-LT" w:eastAsia="lt-LT" w:bidi="lt-LT"/>
        </w:rPr>
        <w:t xml:space="preserve">rekomenduojama </w:t>
      </w:r>
      <w:r w:rsidRPr="00923E74">
        <w:rPr>
          <w:rFonts w:eastAsia="Calibri"/>
          <w:snapToGrid/>
          <w:szCs w:val="22"/>
          <w:lang w:val="lt-LT" w:eastAsia="lt-LT" w:bidi="lt-LT"/>
        </w:rPr>
        <w:t xml:space="preserve">tinkamai stebėti klinikinę </w:t>
      </w:r>
      <w:r w:rsidR="00EC1808" w:rsidRPr="00923E74">
        <w:rPr>
          <w:rFonts w:eastAsia="Calibri"/>
          <w:snapToGrid/>
          <w:szCs w:val="22"/>
          <w:lang w:val="lt-LT" w:eastAsia="lt-LT" w:bidi="lt-LT"/>
        </w:rPr>
        <w:t xml:space="preserve">tokių </w:t>
      </w:r>
      <w:r w:rsidRPr="00923E74">
        <w:rPr>
          <w:rFonts w:eastAsia="Calibri"/>
          <w:snapToGrid/>
          <w:szCs w:val="22"/>
          <w:lang w:val="lt-LT" w:eastAsia="lt-LT" w:bidi="lt-LT"/>
        </w:rPr>
        <w:t>pacient</w:t>
      </w:r>
      <w:r w:rsidR="00EC1808" w:rsidRPr="00923E74">
        <w:rPr>
          <w:rFonts w:eastAsia="Calibri"/>
          <w:snapToGrid/>
          <w:szCs w:val="22"/>
          <w:lang w:val="lt-LT" w:eastAsia="lt-LT" w:bidi="lt-LT"/>
        </w:rPr>
        <w:t>ų</w:t>
      </w:r>
      <w:r w:rsidRPr="00923E74">
        <w:rPr>
          <w:rFonts w:eastAsia="Calibri"/>
          <w:snapToGrid/>
          <w:szCs w:val="22"/>
          <w:lang w:val="lt-LT" w:eastAsia="lt-LT" w:bidi="lt-LT"/>
        </w:rPr>
        <w:t xml:space="preserve"> būklę (žr.</w:t>
      </w:r>
      <w:r w:rsidR="00DA6FE4">
        <w:rPr>
          <w:rFonts w:eastAsia="Calibri"/>
          <w:snapToGrid/>
          <w:szCs w:val="22"/>
          <w:lang w:val="lt-LT" w:eastAsia="lt-LT" w:bidi="lt-LT"/>
        </w:rPr>
        <w:t> </w:t>
      </w:r>
      <w:r w:rsidRPr="00923E74">
        <w:rPr>
          <w:rFonts w:eastAsia="Calibri"/>
          <w:snapToGrid/>
          <w:szCs w:val="22"/>
          <w:lang w:val="lt-LT" w:eastAsia="lt-LT" w:bidi="lt-LT"/>
        </w:rPr>
        <w:t>4.5 skyrių).</w:t>
      </w:r>
    </w:p>
    <w:p w14:paraId="6C8B52D1" w14:textId="1D5E7BCB" w:rsidR="00782AAD" w:rsidRDefault="00782AAD" w:rsidP="00A31E3A">
      <w:pPr>
        <w:widowControl w:val="0"/>
        <w:snapToGrid w:val="0"/>
        <w:spacing w:line="240" w:lineRule="auto"/>
        <w:rPr>
          <w:szCs w:val="22"/>
          <w:lang w:val="lt-LT" w:eastAsia="sl-SI"/>
        </w:rPr>
      </w:pPr>
    </w:p>
    <w:p w14:paraId="4CBFD7E3" w14:textId="3F927FD1" w:rsidR="00272627" w:rsidRDefault="00272627" w:rsidP="00272627">
      <w:pPr>
        <w:widowControl w:val="0"/>
        <w:snapToGrid w:val="0"/>
        <w:spacing w:line="240" w:lineRule="auto"/>
        <w:rPr>
          <w:szCs w:val="22"/>
          <w:lang w:val="lt-LT" w:eastAsia="sl-SI"/>
        </w:rPr>
      </w:pPr>
      <w:proofErr w:type="spellStart"/>
      <w:r w:rsidRPr="00272627">
        <w:rPr>
          <w:szCs w:val="22"/>
          <w:lang w:val="lt-LT" w:eastAsia="sl-SI"/>
        </w:rPr>
        <w:t>Miopatijos</w:t>
      </w:r>
      <w:proofErr w:type="spellEnd"/>
      <w:r w:rsidRPr="00272627">
        <w:rPr>
          <w:szCs w:val="22"/>
          <w:lang w:val="lt-LT" w:eastAsia="sl-SI"/>
        </w:rPr>
        <w:t xml:space="preserve"> ir (arba) </w:t>
      </w:r>
      <w:proofErr w:type="spellStart"/>
      <w:r w:rsidRPr="00272627">
        <w:rPr>
          <w:szCs w:val="22"/>
          <w:lang w:val="lt-LT" w:eastAsia="sl-SI"/>
        </w:rPr>
        <w:t>rabdomiolizės</w:t>
      </w:r>
      <w:proofErr w:type="spellEnd"/>
      <w:r w:rsidRPr="00272627">
        <w:rPr>
          <w:szCs w:val="22"/>
          <w:lang w:val="lt-LT" w:eastAsia="sl-SI"/>
        </w:rPr>
        <w:t xml:space="preserve"> rizika gali padidėti skiriant HMG-</w:t>
      </w:r>
      <w:proofErr w:type="spellStart"/>
      <w:r w:rsidRPr="00272627">
        <w:rPr>
          <w:szCs w:val="22"/>
          <w:lang w:val="lt-LT" w:eastAsia="sl-SI"/>
        </w:rPr>
        <w:t>KoA</w:t>
      </w:r>
      <w:proofErr w:type="spellEnd"/>
      <w:r w:rsidRPr="00272627">
        <w:rPr>
          <w:szCs w:val="22"/>
          <w:lang w:val="lt-LT" w:eastAsia="sl-SI"/>
        </w:rPr>
        <w:t xml:space="preserve"> reduktazės inhibitorių</w:t>
      </w:r>
      <w:r>
        <w:rPr>
          <w:szCs w:val="22"/>
          <w:lang w:val="lt-LT" w:eastAsia="sl-SI"/>
        </w:rPr>
        <w:t xml:space="preserve"> </w:t>
      </w:r>
      <w:r w:rsidRPr="00272627">
        <w:rPr>
          <w:szCs w:val="22"/>
          <w:lang w:val="lt-LT" w:eastAsia="sl-SI"/>
        </w:rPr>
        <w:t xml:space="preserve">(pvz., </w:t>
      </w:r>
      <w:proofErr w:type="spellStart"/>
      <w:r w:rsidRPr="00272627">
        <w:rPr>
          <w:szCs w:val="22"/>
          <w:lang w:val="lt-LT" w:eastAsia="sl-SI"/>
        </w:rPr>
        <w:t>atorvastatino</w:t>
      </w:r>
      <w:proofErr w:type="spellEnd"/>
      <w:r w:rsidRPr="00272627">
        <w:rPr>
          <w:szCs w:val="22"/>
          <w:lang w:val="lt-LT" w:eastAsia="sl-SI"/>
        </w:rPr>
        <w:t xml:space="preserve">) kartu su </w:t>
      </w:r>
      <w:proofErr w:type="spellStart"/>
      <w:r w:rsidRPr="00272627">
        <w:rPr>
          <w:szCs w:val="22"/>
          <w:lang w:val="lt-LT" w:eastAsia="sl-SI"/>
        </w:rPr>
        <w:t>daptomicinu</w:t>
      </w:r>
      <w:proofErr w:type="spellEnd"/>
      <w:r w:rsidRPr="00272627">
        <w:rPr>
          <w:szCs w:val="22"/>
          <w:lang w:val="lt-LT" w:eastAsia="sl-SI"/>
        </w:rPr>
        <w:t xml:space="preserve"> (žr. 4.5 skyrių). Reikia apsvarstyti galimybę laikinai</w:t>
      </w:r>
      <w:r>
        <w:rPr>
          <w:szCs w:val="22"/>
          <w:lang w:val="lt-LT" w:eastAsia="sl-SI"/>
        </w:rPr>
        <w:t xml:space="preserve"> </w:t>
      </w:r>
      <w:r w:rsidRPr="00272627">
        <w:rPr>
          <w:szCs w:val="22"/>
          <w:lang w:val="lt-LT" w:eastAsia="sl-SI"/>
        </w:rPr>
        <w:t xml:space="preserve">nutraukti </w:t>
      </w:r>
      <w:proofErr w:type="spellStart"/>
      <w:r>
        <w:rPr>
          <w:szCs w:val="22"/>
          <w:lang w:val="lt-LT" w:eastAsia="sl-SI"/>
        </w:rPr>
        <w:t>Torzelip</w:t>
      </w:r>
      <w:proofErr w:type="spellEnd"/>
      <w:r w:rsidRPr="00272627">
        <w:rPr>
          <w:szCs w:val="22"/>
          <w:lang w:val="lt-LT" w:eastAsia="sl-SI"/>
        </w:rPr>
        <w:t xml:space="preserve"> vartojimą pacientams, kurie vartoja </w:t>
      </w:r>
      <w:proofErr w:type="spellStart"/>
      <w:r w:rsidRPr="00272627">
        <w:rPr>
          <w:szCs w:val="22"/>
          <w:lang w:val="lt-LT" w:eastAsia="sl-SI"/>
        </w:rPr>
        <w:t>daptomicin</w:t>
      </w:r>
      <w:r w:rsidR="00C05C6B">
        <w:rPr>
          <w:szCs w:val="22"/>
          <w:lang w:val="lt-LT" w:eastAsia="sl-SI"/>
        </w:rPr>
        <w:t>o</w:t>
      </w:r>
      <w:proofErr w:type="spellEnd"/>
      <w:r w:rsidRPr="00272627">
        <w:rPr>
          <w:szCs w:val="22"/>
          <w:lang w:val="lt-LT" w:eastAsia="sl-SI"/>
        </w:rPr>
        <w:t>,</w:t>
      </w:r>
      <w:r>
        <w:rPr>
          <w:szCs w:val="22"/>
          <w:lang w:val="lt-LT" w:eastAsia="sl-SI"/>
        </w:rPr>
        <w:t xml:space="preserve"> </w:t>
      </w:r>
      <w:r w:rsidRPr="00272627">
        <w:rPr>
          <w:szCs w:val="22"/>
          <w:lang w:val="lt-LT" w:eastAsia="sl-SI"/>
        </w:rPr>
        <w:t>išskyrus atvejus, kai abiejų vaistinių preparatų vartojimo vienu metu nauda viršija riziką. Jei</w:t>
      </w:r>
      <w:r>
        <w:rPr>
          <w:szCs w:val="22"/>
          <w:lang w:val="lt-LT" w:eastAsia="sl-SI"/>
        </w:rPr>
        <w:t xml:space="preserve"> </w:t>
      </w:r>
      <w:r w:rsidRPr="00272627">
        <w:rPr>
          <w:szCs w:val="22"/>
          <w:lang w:val="lt-LT" w:eastAsia="sl-SI"/>
        </w:rPr>
        <w:t>negalima išvengti abiejų vaistinių preparatų vartojimo vienu metu, 2-3 kartus per savaitę</w:t>
      </w:r>
      <w:r>
        <w:rPr>
          <w:szCs w:val="22"/>
          <w:lang w:val="lt-LT" w:eastAsia="sl-SI"/>
        </w:rPr>
        <w:t xml:space="preserve"> </w:t>
      </w:r>
      <w:r w:rsidRPr="00272627">
        <w:rPr>
          <w:szCs w:val="22"/>
          <w:lang w:val="lt-LT" w:eastAsia="sl-SI"/>
        </w:rPr>
        <w:t xml:space="preserve">reikia tirti </w:t>
      </w:r>
      <w:proofErr w:type="spellStart"/>
      <w:r w:rsidRPr="00272627">
        <w:rPr>
          <w:szCs w:val="22"/>
          <w:lang w:val="lt-LT" w:eastAsia="sl-SI"/>
        </w:rPr>
        <w:t>kreatinkinazės</w:t>
      </w:r>
      <w:proofErr w:type="spellEnd"/>
      <w:r w:rsidRPr="00272627">
        <w:rPr>
          <w:szCs w:val="22"/>
          <w:lang w:val="lt-LT" w:eastAsia="sl-SI"/>
        </w:rPr>
        <w:t xml:space="preserve"> (KK) aktyvumą ir atidžiai stebėti, ar pacientams nepasireiškia</w:t>
      </w:r>
      <w:r>
        <w:rPr>
          <w:szCs w:val="22"/>
          <w:lang w:val="lt-LT" w:eastAsia="sl-SI"/>
        </w:rPr>
        <w:t xml:space="preserve"> </w:t>
      </w:r>
      <w:r w:rsidRPr="00272627">
        <w:rPr>
          <w:szCs w:val="22"/>
          <w:lang w:val="lt-LT" w:eastAsia="sl-SI"/>
        </w:rPr>
        <w:t xml:space="preserve">galimų </w:t>
      </w:r>
      <w:proofErr w:type="spellStart"/>
      <w:r w:rsidRPr="00272627">
        <w:rPr>
          <w:szCs w:val="22"/>
          <w:lang w:val="lt-LT" w:eastAsia="sl-SI"/>
        </w:rPr>
        <w:t>miopatijos</w:t>
      </w:r>
      <w:proofErr w:type="spellEnd"/>
      <w:r w:rsidRPr="00272627">
        <w:rPr>
          <w:szCs w:val="22"/>
          <w:lang w:val="lt-LT" w:eastAsia="sl-SI"/>
        </w:rPr>
        <w:t xml:space="preserve"> požymių ar simptomų.</w:t>
      </w:r>
    </w:p>
    <w:p w14:paraId="651EBA02" w14:textId="77777777" w:rsidR="00272627" w:rsidRPr="00923E74" w:rsidRDefault="00272627" w:rsidP="00A31E3A">
      <w:pPr>
        <w:widowControl w:val="0"/>
        <w:snapToGrid w:val="0"/>
        <w:spacing w:line="240" w:lineRule="auto"/>
        <w:rPr>
          <w:szCs w:val="22"/>
          <w:lang w:val="lt-LT" w:eastAsia="sl-SI"/>
        </w:rPr>
      </w:pPr>
    </w:p>
    <w:p w14:paraId="37F507F9" w14:textId="798E1C89" w:rsidR="00782AAD" w:rsidRPr="00923E74" w:rsidRDefault="00782AAD" w:rsidP="00A31E3A">
      <w:pPr>
        <w:widowControl w:val="0"/>
        <w:snapToGrid w:val="0"/>
        <w:spacing w:line="240" w:lineRule="auto"/>
        <w:rPr>
          <w:bCs/>
          <w:snapToGrid/>
          <w:szCs w:val="22"/>
          <w:lang w:val="lt-LT"/>
        </w:rPr>
      </w:pPr>
      <w:proofErr w:type="spellStart"/>
      <w:r w:rsidRPr="00923E74">
        <w:rPr>
          <w:szCs w:val="22"/>
          <w:lang w:val="lt-LT" w:eastAsia="sl-SI"/>
        </w:rPr>
        <w:t>Torzelip</w:t>
      </w:r>
      <w:proofErr w:type="spellEnd"/>
      <w:r w:rsidRPr="00923E74">
        <w:rPr>
          <w:snapToGrid/>
          <w:szCs w:val="22"/>
          <w:lang w:val="lt-LT"/>
        </w:rPr>
        <w:t xml:space="preserve"> negalima vartoti kartu su sisteminio poveikio </w:t>
      </w:r>
      <w:proofErr w:type="spellStart"/>
      <w:r w:rsidRPr="00923E74">
        <w:rPr>
          <w:snapToGrid/>
          <w:szCs w:val="22"/>
          <w:lang w:val="lt-LT"/>
        </w:rPr>
        <w:t>fuzido</w:t>
      </w:r>
      <w:proofErr w:type="spellEnd"/>
      <w:r w:rsidRPr="00923E74">
        <w:rPr>
          <w:snapToGrid/>
          <w:szCs w:val="22"/>
          <w:lang w:val="lt-LT"/>
        </w:rPr>
        <w:t xml:space="preserve"> rūgšties </w:t>
      </w:r>
      <w:r w:rsidR="00DA6FE4">
        <w:rPr>
          <w:snapToGrid/>
          <w:szCs w:val="22"/>
          <w:lang w:val="lt-LT"/>
        </w:rPr>
        <w:t xml:space="preserve">vaistiniais </w:t>
      </w:r>
      <w:r w:rsidRPr="00923E74">
        <w:rPr>
          <w:snapToGrid/>
          <w:szCs w:val="22"/>
          <w:lang w:val="lt-LT"/>
        </w:rPr>
        <w:t>preparatais ir 7 </w:t>
      </w:r>
      <w:r w:rsidR="00DA6FE4">
        <w:rPr>
          <w:snapToGrid/>
          <w:szCs w:val="22"/>
          <w:lang w:val="lt-LT"/>
        </w:rPr>
        <w:t>par</w:t>
      </w:r>
      <w:r w:rsidRPr="00923E74">
        <w:rPr>
          <w:snapToGrid/>
          <w:szCs w:val="22"/>
          <w:lang w:val="lt-LT"/>
        </w:rPr>
        <w:t xml:space="preserve">as po gydymo </w:t>
      </w:r>
      <w:proofErr w:type="spellStart"/>
      <w:r w:rsidRPr="00923E74">
        <w:rPr>
          <w:snapToGrid/>
          <w:szCs w:val="22"/>
          <w:lang w:val="lt-LT"/>
        </w:rPr>
        <w:t>fuzido</w:t>
      </w:r>
      <w:proofErr w:type="spellEnd"/>
      <w:r w:rsidRPr="00923E74">
        <w:rPr>
          <w:snapToGrid/>
          <w:szCs w:val="22"/>
          <w:lang w:val="lt-LT"/>
        </w:rPr>
        <w:t xml:space="preserve"> rūgštimi nutraukimo. </w:t>
      </w:r>
      <w:r w:rsidRPr="00923E74">
        <w:rPr>
          <w:bCs/>
          <w:snapToGrid/>
          <w:szCs w:val="22"/>
          <w:lang w:val="lt-LT"/>
        </w:rPr>
        <w:t xml:space="preserve">Pacientų, kuriems </w:t>
      </w:r>
      <w:r w:rsidRPr="00923E74">
        <w:rPr>
          <w:snapToGrid/>
          <w:szCs w:val="22"/>
          <w:lang w:val="lt-LT"/>
        </w:rPr>
        <w:t xml:space="preserve">sisteminio poveikio </w:t>
      </w:r>
      <w:proofErr w:type="spellStart"/>
      <w:r w:rsidRPr="00923E74">
        <w:rPr>
          <w:snapToGrid/>
          <w:szCs w:val="22"/>
          <w:lang w:val="lt-LT"/>
        </w:rPr>
        <w:t>fuzido</w:t>
      </w:r>
      <w:proofErr w:type="spellEnd"/>
      <w:r w:rsidRPr="00923E74">
        <w:rPr>
          <w:snapToGrid/>
          <w:szCs w:val="22"/>
          <w:lang w:val="lt-LT"/>
        </w:rPr>
        <w:t xml:space="preserve"> rūgšties vaistinių preparatų </w:t>
      </w:r>
      <w:r w:rsidRPr="00923E74">
        <w:rPr>
          <w:bCs/>
          <w:snapToGrid/>
          <w:szCs w:val="22"/>
          <w:lang w:val="lt-LT"/>
        </w:rPr>
        <w:t xml:space="preserve">vartojimas būtinas, gydymas </w:t>
      </w:r>
      <w:proofErr w:type="spellStart"/>
      <w:r w:rsidRPr="00923E74">
        <w:rPr>
          <w:bCs/>
          <w:snapToGrid/>
          <w:szCs w:val="22"/>
          <w:lang w:val="lt-LT"/>
        </w:rPr>
        <w:t>statinais</w:t>
      </w:r>
      <w:proofErr w:type="spellEnd"/>
      <w:r w:rsidRPr="00923E74">
        <w:rPr>
          <w:bCs/>
          <w:snapToGrid/>
          <w:szCs w:val="22"/>
          <w:lang w:val="lt-LT"/>
        </w:rPr>
        <w:t xml:space="preserve"> </w:t>
      </w:r>
      <w:proofErr w:type="spellStart"/>
      <w:r w:rsidRPr="00923E74">
        <w:rPr>
          <w:bCs/>
          <w:snapToGrid/>
          <w:szCs w:val="22"/>
          <w:lang w:val="lt-LT"/>
        </w:rPr>
        <w:t>fuzido</w:t>
      </w:r>
      <w:proofErr w:type="spellEnd"/>
      <w:r w:rsidRPr="00923E74">
        <w:rPr>
          <w:bCs/>
          <w:snapToGrid/>
          <w:szCs w:val="22"/>
          <w:lang w:val="lt-LT"/>
        </w:rPr>
        <w:t xml:space="preserve"> rūgšties vartojimo laikotarpiu turi būti nutrauktas.</w:t>
      </w:r>
      <w:r w:rsidRPr="00923E74">
        <w:rPr>
          <w:snapToGrid/>
          <w:szCs w:val="22"/>
          <w:lang w:val="lt-LT"/>
        </w:rPr>
        <w:t xml:space="preserve"> Pranešta apie </w:t>
      </w:r>
      <w:proofErr w:type="spellStart"/>
      <w:r w:rsidRPr="00923E74">
        <w:rPr>
          <w:bCs/>
          <w:snapToGrid/>
          <w:szCs w:val="22"/>
          <w:lang w:val="lt-LT"/>
        </w:rPr>
        <w:t>rabdomiolizės</w:t>
      </w:r>
      <w:proofErr w:type="spellEnd"/>
      <w:r w:rsidRPr="00923E74">
        <w:rPr>
          <w:bCs/>
          <w:snapToGrid/>
          <w:szCs w:val="22"/>
          <w:lang w:val="lt-LT"/>
        </w:rPr>
        <w:t xml:space="preserve"> atvejus (įskaitant kelis mirties atvejus) pacientams, kurie kartu vartojo </w:t>
      </w:r>
      <w:proofErr w:type="spellStart"/>
      <w:r w:rsidRPr="00923E74">
        <w:rPr>
          <w:bCs/>
          <w:snapToGrid/>
          <w:szCs w:val="22"/>
          <w:lang w:val="lt-LT"/>
        </w:rPr>
        <w:t>fuzido</w:t>
      </w:r>
      <w:proofErr w:type="spellEnd"/>
      <w:r w:rsidRPr="00923E74">
        <w:rPr>
          <w:bCs/>
          <w:snapToGrid/>
          <w:szCs w:val="22"/>
          <w:lang w:val="lt-LT"/>
        </w:rPr>
        <w:t xml:space="preserve"> rūgšties ir </w:t>
      </w:r>
      <w:proofErr w:type="spellStart"/>
      <w:r w:rsidRPr="00923E74">
        <w:rPr>
          <w:bCs/>
          <w:snapToGrid/>
          <w:szCs w:val="22"/>
          <w:lang w:val="lt-LT"/>
        </w:rPr>
        <w:t>statinų</w:t>
      </w:r>
      <w:proofErr w:type="spellEnd"/>
      <w:r w:rsidRPr="00923E74">
        <w:rPr>
          <w:bCs/>
          <w:snapToGrid/>
          <w:szCs w:val="22"/>
          <w:lang w:val="lt-LT"/>
        </w:rPr>
        <w:t xml:space="preserve"> (žr.</w:t>
      </w:r>
      <w:r w:rsidR="00DA6FE4">
        <w:rPr>
          <w:bCs/>
          <w:snapToGrid/>
          <w:szCs w:val="22"/>
          <w:lang w:val="lt-LT"/>
        </w:rPr>
        <w:t> </w:t>
      </w:r>
      <w:r w:rsidRPr="00923E74">
        <w:rPr>
          <w:bCs/>
          <w:snapToGrid/>
          <w:szCs w:val="22"/>
          <w:lang w:val="lt-LT"/>
        </w:rPr>
        <w:t>4.5 skyrių). Pacientas turi būti informuojamas, kad nedelsdamas kreiptųsi medicininės pagalbos, jeigu atsiras bet kokių raumenų silpnumo, skausmo ar jautrumo simptomų.</w:t>
      </w:r>
    </w:p>
    <w:p w14:paraId="4E3FB299" w14:textId="77777777" w:rsidR="00782AAD" w:rsidRPr="00923E74" w:rsidRDefault="00782AAD" w:rsidP="00A31E3A">
      <w:pPr>
        <w:widowControl w:val="0"/>
        <w:snapToGrid w:val="0"/>
        <w:spacing w:line="240" w:lineRule="auto"/>
        <w:rPr>
          <w:bCs/>
          <w:snapToGrid/>
          <w:szCs w:val="22"/>
          <w:lang w:val="lt-LT"/>
        </w:rPr>
      </w:pPr>
    </w:p>
    <w:p w14:paraId="7CB37AEF" w14:textId="309B9E57" w:rsidR="00782AAD" w:rsidRPr="00923E74" w:rsidRDefault="00782AAD" w:rsidP="00A31E3A">
      <w:pPr>
        <w:widowControl w:val="0"/>
        <w:snapToGrid w:val="0"/>
        <w:spacing w:line="240" w:lineRule="auto"/>
        <w:rPr>
          <w:bCs/>
          <w:snapToGrid/>
          <w:szCs w:val="22"/>
          <w:lang w:val="lt-LT"/>
        </w:rPr>
      </w:pPr>
      <w:r w:rsidRPr="00923E74">
        <w:rPr>
          <w:bCs/>
          <w:snapToGrid/>
          <w:szCs w:val="22"/>
          <w:lang w:val="lt-LT"/>
        </w:rPr>
        <w:t xml:space="preserve">Gydymą </w:t>
      </w:r>
      <w:proofErr w:type="spellStart"/>
      <w:r w:rsidRPr="00923E74">
        <w:rPr>
          <w:bCs/>
          <w:snapToGrid/>
          <w:szCs w:val="22"/>
          <w:lang w:val="lt-LT"/>
        </w:rPr>
        <w:t>statinais</w:t>
      </w:r>
      <w:proofErr w:type="spellEnd"/>
      <w:r w:rsidRPr="00923E74">
        <w:rPr>
          <w:bCs/>
          <w:snapToGrid/>
          <w:szCs w:val="22"/>
          <w:lang w:val="lt-LT"/>
        </w:rPr>
        <w:t xml:space="preserve"> galima atnaujinti praėjus septynioms</w:t>
      </w:r>
      <w:r w:rsidR="00DA6FE4">
        <w:rPr>
          <w:bCs/>
          <w:snapToGrid/>
          <w:szCs w:val="22"/>
          <w:lang w:val="lt-LT"/>
        </w:rPr>
        <w:t> par</w:t>
      </w:r>
      <w:r w:rsidRPr="00923E74">
        <w:rPr>
          <w:bCs/>
          <w:snapToGrid/>
          <w:szCs w:val="22"/>
          <w:lang w:val="lt-LT"/>
        </w:rPr>
        <w:t>oms nuo paskutin</w:t>
      </w:r>
      <w:r w:rsidR="00C73C59">
        <w:rPr>
          <w:bCs/>
          <w:snapToGrid/>
          <w:szCs w:val="22"/>
          <w:lang w:val="lt-LT"/>
        </w:rPr>
        <w:t>ė</w:t>
      </w:r>
      <w:r w:rsidRPr="00923E74">
        <w:rPr>
          <w:bCs/>
          <w:snapToGrid/>
          <w:szCs w:val="22"/>
          <w:lang w:val="lt-LT"/>
        </w:rPr>
        <w:t xml:space="preserve">s </w:t>
      </w:r>
      <w:proofErr w:type="spellStart"/>
      <w:r w:rsidRPr="00923E74">
        <w:rPr>
          <w:bCs/>
          <w:snapToGrid/>
          <w:szCs w:val="22"/>
          <w:lang w:val="lt-LT"/>
        </w:rPr>
        <w:t>fuzido</w:t>
      </w:r>
      <w:proofErr w:type="spellEnd"/>
      <w:r w:rsidRPr="00923E74">
        <w:rPr>
          <w:bCs/>
          <w:snapToGrid/>
          <w:szCs w:val="22"/>
          <w:lang w:val="lt-LT"/>
        </w:rPr>
        <w:t xml:space="preserve"> rūgšties dozės pavartojimo.</w:t>
      </w:r>
    </w:p>
    <w:p w14:paraId="0C801D7C" w14:textId="77777777" w:rsidR="00782AAD" w:rsidRPr="00923E74" w:rsidRDefault="00782AAD" w:rsidP="00A31E3A">
      <w:pPr>
        <w:widowControl w:val="0"/>
        <w:snapToGrid w:val="0"/>
        <w:spacing w:line="240" w:lineRule="auto"/>
        <w:rPr>
          <w:bCs/>
          <w:snapToGrid/>
          <w:szCs w:val="22"/>
          <w:lang w:val="lt-LT"/>
        </w:rPr>
      </w:pPr>
    </w:p>
    <w:p w14:paraId="29F7DEDD" w14:textId="77777777" w:rsidR="00782AAD" w:rsidRPr="00923E74" w:rsidRDefault="00782AAD" w:rsidP="00A31E3A">
      <w:pPr>
        <w:widowControl w:val="0"/>
        <w:snapToGrid w:val="0"/>
        <w:spacing w:line="240" w:lineRule="auto"/>
        <w:rPr>
          <w:bCs/>
          <w:snapToGrid/>
          <w:szCs w:val="22"/>
          <w:lang w:val="lt-LT"/>
        </w:rPr>
      </w:pPr>
      <w:r w:rsidRPr="00923E74">
        <w:rPr>
          <w:bCs/>
          <w:snapToGrid/>
          <w:szCs w:val="22"/>
          <w:lang w:val="lt-LT"/>
        </w:rPr>
        <w:t xml:space="preserve">Išimtiniais atvejais, kai reikalingas ilgesnis gydymas sisteminio poveikio </w:t>
      </w:r>
      <w:proofErr w:type="spellStart"/>
      <w:r w:rsidRPr="00923E74">
        <w:rPr>
          <w:bCs/>
          <w:snapToGrid/>
          <w:szCs w:val="22"/>
          <w:lang w:val="lt-LT"/>
        </w:rPr>
        <w:t>fuzido</w:t>
      </w:r>
      <w:proofErr w:type="spellEnd"/>
      <w:r w:rsidRPr="00923E74">
        <w:rPr>
          <w:bCs/>
          <w:snapToGrid/>
          <w:szCs w:val="22"/>
          <w:lang w:val="lt-LT"/>
        </w:rPr>
        <w:t xml:space="preserve"> rūgšties </w:t>
      </w:r>
      <w:r w:rsidR="00DA6FE4">
        <w:rPr>
          <w:bCs/>
          <w:snapToGrid/>
          <w:szCs w:val="22"/>
          <w:lang w:val="lt-LT"/>
        </w:rPr>
        <w:t xml:space="preserve">vaistiniu </w:t>
      </w:r>
      <w:r w:rsidRPr="00923E74">
        <w:rPr>
          <w:bCs/>
          <w:snapToGrid/>
          <w:szCs w:val="22"/>
          <w:lang w:val="lt-LT"/>
        </w:rPr>
        <w:t xml:space="preserve">preparatu, pvz., gydant sunkias infekcines ligas, būtinybė kartu vartoti </w:t>
      </w:r>
      <w:proofErr w:type="spellStart"/>
      <w:r w:rsidRPr="00923E74">
        <w:rPr>
          <w:szCs w:val="22"/>
          <w:lang w:val="lt-LT" w:eastAsia="sl-SI"/>
        </w:rPr>
        <w:t>Torzelip</w:t>
      </w:r>
      <w:proofErr w:type="spellEnd"/>
      <w:r w:rsidRPr="00923E74">
        <w:rPr>
          <w:snapToGrid/>
          <w:szCs w:val="22"/>
          <w:lang w:val="lt-LT"/>
        </w:rPr>
        <w:t xml:space="preserve"> </w:t>
      </w:r>
      <w:r w:rsidRPr="00923E74">
        <w:rPr>
          <w:bCs/>
          <w:snapToGrid/>
          <w:szCs w:val="22"/>
          <w:lang w:val="lt-LT"/>
        </w:rPr>
        <w:t xml:space="preserve">ir </w:t>
      </w:r>
      <w:proofErr w:type="spellStart"/>
      <w:r w:rsidRPr="00923E74">
        <w:rPr>
          <w:bCs/>
          <w:snapToGrid/>
          <w:szCs w:val="22"/>
          <w:lang w:val="lt-LT"/>
        </w:rPr>
        <w:t>fuzido</w:t>
      </w:r>
      <w:proofErr w:type="spellEnd"/>
      <w:r w:rsidRPr="00923E74">
        <w:rPr>
          <w:bCs/>
          <w:snapToGrid/>
          <w:szCs w:val="22"/>
          <w:lang w:val="lt-LT"/>
        </w:rPr>
        <w:t xml:space="preserve"> rūgšties turi būti apsvarstyta kiekvienu atskiru atveju bei esant atidžiai medicininei priežiūrai.</w:t>
      </w:r>
    </w:p>
    <w:p w14:paraId="252D7C55" w14:textId="77777777" w:rsidR="001818AC" w:rsidRPr="00923E74" w:rsidRDefault="001818AC" w:rsidP="00A31E3A">
      <w:pPr>
        <w:spacing w:line="240" w:lineRule="auto"/>
        <w:rPr>
          <w:snapToGrid/>
          <w:szCs w:val="22"/>
          <w:lang w:val="lt-LT"/>
        </w:rPr>
      </w:pPr>
    </w:p>
    <w:p w14:paraId="5D079D9F" w14:textId="77777777" w:rsidR="001818AC" w:rsidRPr="00923E74" w:rsidRDefault="00DA2B35" w:rsidP="007E15ED">
      <w:pPr>
        <w:keepNext/>
        <w:spacing w:line="240" w:lineRule="auto"/>
        <w:rPr>
          <w:snapToGrid/>
          <w:szCs w:val="22"/>
          <w:u w:val="single"/>
          <w:lang w:val="lt-LT"/>
        </w:rPr>
      </w:pPr>
      <w:r w:rsidRPr="00923E74">
        <w:rPr>
          <w:snapToGrid/>
          <w:szCs w:val="22"/>
          <w:u w:val="single"/>
          <w:lang w:val="lt-LT"/>
        </w:rPr>
        <w:t>Kepenų fermentai</w:t>
      </w:r>
    </w:p>
    <w:p w14:paraId="0836C750" w14:textId="5D164F10" w:rsidR="00782AAD" w:rsidRPr="00923E74" w:rsidRDefault="00782AAD" w:rsidP="00A31E3A">
      <w:pPr>
        <w:widowControl w:val="0"/>
        <w:snapToGrid w:val="0"/>
        <w:spacing w:line="240" w:lineRule="auto"/>
        <w:rPr>
          <w:snapToGrid/>
          <w:szCs w:val="22"/>
          <w:lang w:val="lt-LT"/>
        </w:rPr>
      </w:pPr>
      <w:r w:rsidRPr="00923E74">
        <w:rPr>
          <w:snapToGrid/>
          <w:szCs w:val="22"/>
          <w:lang w:val="lt-LT"/>
        </w:rPr>
        <w:t xml:space="preserve">Kontroliuotų kombinuotojo gydymo klinikinių tyrimų metu </w:t>
      </w:r>
      <w:proofErr w:type="spellStart"/>
      <w:r w:rsidRPr="00923E74">
        <w:rPr>
          <w:snapToGrid/>
          <w:szCs w:val="22"/>
          <w:lang w:val="lt-LT"/>
        </w:rPr>
        <w:t>ezetimibo</w:t>
      </w:r>
      <w:proofErr w:type="spellEnd"/>
      <w:r w:rsidRPr="00923E74">
        <w:rPr>
          <w:snapToGrid/>
          <w:szCs w:val="22"/>
          <w:lang w:val="lt-LT"/>
        </w:rPr>
        <w:t xml:space="preserve"> ir</w:t>
      </w:r>
      <w:r w:rsidR="0068414E" w:rsidRPr="00923E74">
        <w:rPr>
          <w:snapToGrid/>
          <w:szCs w:val="22"/>
          <w:lang w:val="lt-LT"/>
        </w:rPr>
        <w:t xml:space="preserve"> </w:t>
      </w:r>
      <w:proofErr w:type="spellStart"/>
      <w:r w:rsidRPr="00923E74">
        <w:rPr>
          <w:snapToGrid/>
          <w:szCs w:val="22"/>
          <w:lang w:val="lt-LT"/>
        </w:rPr>
        <w:t>statino</w:t>
      </w:r>
      <w:proofErr w:type="spellEnd"/>
      <w:r w:rsidRPr="00923E74">
        <w:rPr>
          <w:snapToGrid/>
          <w:szCs w:val="22"/>
          <w:lang w:val="lt-LT"/>
        </w:rPr>
        <w:t xml:space="preserve"> vartojusiems pacientams</w:t>
      </w:r>
      <w:r w:rsidRPr="00923E74">
        <w:rPr>
          <w:szCs w:val="22"/>
          <w:lang w:val="lt-LT" w:eastAsia="sl-SI"/>
        </w:rPr>
        <w:t xml:space="preserve"> buvo nuoseklaus </w:t>
      </w:r>
      <w:proofErr w:type="spellStart"/>
      <w:r w:rsidRPr="00923E74">
        <w:rPr>
          <w:szCs w:val="22"/>
          <w:lang w:val="lt-LT" w:eastAsia="sl-SI"/>
        </w:rPr>
        <w:t>transaminazių</w:t>
      </w:r>
      <w:proofErr w:type="spellEnd"/>
      <w:r w:rsidRPr="00923E74">
        <w:rPr>
          <w:szCs w:val="22"/>
          <w:lang w:val="lt-LT" w:eastAsia="sl-SI"/>
        </w:rPr>
        <w:t xml:space="preserve"> aktyvumo padidėjimo (</w:t>
      </w:r>
      <w:r w:rsidR="000514AB" w:rsidRPr="00923E74">
        <w:rPr>
          <w:szCs w:val="22"/>
          <w:lang w:val="lt-LT" w:eastAsia="sl-SI"/>
        </w:rPr>
        <w:t>≥ </w:t>
      </w:r>
      <w:r w:rsidRPr="00923E74">
        <w:rPr>
          <w:szCs w:val="22"/>
          <w:lang w:val="lt-LT" w:eastAsia="sl-SI"/>
        </w:rPr>
        <w:t>3</w:t>
      </w:r>
      <w:r w:rsidR="000514AB" w:rsidRPr="00923E74">
        <w:rPr>
          <w:szCs w:val="22"/>
          <w:lang w:val="lt-LT" w:eastAsia="sl-SI"/>
        </w:rPr>
        <w:t> </w:t>
      </w:r>
      <w:r w:rsidRPr="00923E74">
        <w:rPr>
          <w:szCs w:val="22"/>
          <w:lang w:val="lt-LT" w:eastAsia="sl-SI"/>
        </w:rPr>
        <w:t xml:space="preserve">kartus </w:t>
      </w:r>
      <w:r w:rsidRPr="00923E74">
        <w:rPr>
          <w:snapToGrid/>
          <w:szCs w:val="22"/>
          <w:lang w:val="lt-LT"/>
        </w:rPr>
        <w:t>viršijančio VNR) atvejų (žr.</w:t>
      </w:r>
      <w:r w:rsidR="00DA6FE4">
        <w:rPr>
          <w:snapToGrid/>
          <w:szCs w:val="22"/>
          <w:lang w:val="lt-LT"/>
        </w:rPr>
        <w:t> </w:t>
      </w:r>
      <w:r w:rsidRPr="00923E74">
        <w:rPr>
          <w:snapToGrid/>
          <w:szCs w:val="22"/>
          <w:lang w:val="lt-LT"/>
        </w:rPr>
        <w:t>4.8 skyrių).</w:t>
      </w:r>
    </w:p>
    <w:p w14:paraId="388906C7" w14:textId="77777777" w:rsidR="001818AC" w:rsidRPr="00923E74" w:rsidRDefault="001818AC" w:rsidP="00A31E3A">
      <w:pPr>
        <w:spacing w:line="240" w:lineRule="auto"/>
        <w:rPr>
          <w:snapToGrid/>
          <w:szCs w:val="22"/>
          <w:lang w:val="lt-LT"/>
        </w:rPr>
      </w:pPr>
    </w:p>
    <w:p w14:paraId="7BD5DB67" w14:textId="1F723B72" w:rsidR="0068414E" w:rsidRPr="00923E74" w:rsidRDefault="0068414E" w:rsidP="00A31E3A">
      <w:pPr>
        <w:widowControl w:val="0"/>
        <w:snapToGrid w:val="0"/>
        <w:spacing w:line="240" w:lineRule="auto"/>
        <w:rPr>
          <w:snapToGrid/>
          <w:szCs w:val="22"/>
          <w:lang w:val="lt-LT"/>
        </w:rPr>
      </w:pPr>
      <w:r w:rsidRPr="00923E74">
        <w:rPr>
          <w:snapToGrid/>
          <w:szCs w:val="22"/>
          <w:lang w:val="lt-LT"/>
        </w:rPr>
        <w:t xml:space="preserve">Kepenų funkcijos tyrimus reikia atlikti prieš pradedant gydymą ir periodiškai jo metu. Jeigu </w:t>
      </w:r>
      <w:r w:rsidR="00DA6FE4">
        <w:rPr>
          <w:snapToGrid/>
          <w:szCs w:val="22"/>
          <w:lang w:val="lt-LT"/>
        </w:rPr>
        <w:t>p</w:t>
      </w:r>
      <w:r w:rsidRPr="00923E74">
        <w:rPr>
          <w:snapToGrid/>
          <w:szCs w:val="22"/>
          <w:lang w:val="lt-LT"/>
        </w:rPr>
        <w:t>asir</w:t>
      </w:r>
      <w:r w:rsidR="00DA6FE4">
        <w:rPr>
          <w:snapToGrid/>
          <w:szCs w:val="22"/>
          <w:lang w:val="lt-LT"/>
        </w:rPr>
        <w:t>eiški</w:t>
      </w:r>
      <w:r w:rsidRPr="00923E74">
        <w:rPr>
          <w:snapToGrid/>
          <w:szCs w:val="22"/>
          <w:lang w:val="lt-LT"/>
        </w:rPr>
        <w:t xml:space="preserve">a bet kokių kepenų pažaidą rodančių požymių ar simptomų, reikia atlikti kepenų funkcijos tyrimus. Jeigu </w:t>
      </w:r>
      <w:proofErr w:type="spellStart"/>
      <w:r w:rsidRPr="00923E74">
        <w:rPr>
          <w:snapToGrid/>
          <w:szCs w:val="22"/>
          <w:lang w:val="lt-LT"/>
        </w:rPr>
        <w:t>transaminazių</w:t>
      </w:r>
      <w:proofErr w:type="spellEnd"/>
      <w:r w:rsidRPr="00923E74">
        <w:rPr>
          <w:snapToGrid/>
          <w:szCs w:val="22"/>
          <w:lang w:val="lt-LT"/>
        </w:rPr>
        <w:t xml:space="preserve"> aktyvumas padidėja, jį būtina stebėti, kol rod</w:t>
      </w:r>
      <w:r w:rsidR="00DA6FE4">
        <w:rPr>
          <w:snapToGrid/>
          <w:szCs w:val="22"/>
          <w:lang w:val="lt-LT"/>
        </w:rPr>
        <w:t>ikliai</w:t>
      </w:r>
      <w:r w:rsidRPr="00923E74">
        <w:rPr>
          <w:snapToGrid/>
          <w:szCs w:val="22"/>
          <w:lang w:val="lt-LT"/>
        </w:rPr>
        <w:t xml:space="preserve"> vėl tampa normalūs. Jeigu išlieka daugiau kaip 3 kartus </w:t>
      </w:r>
      <w:r w:rsidR="000514AB" w:rsidRPr="00923E74">
        <w:rPr>
          <w:snapToGrid/>
          <w:szCs w:val="22"/>
          <w:lang w:val="lt-LT"/>
        </w:rPr>
        <w:t>VNR</w:t>
      </w:r>
      <w:r w:rsidRPr="00923E74">
        <w:rPr>
          <w:snapToGrid/>
          <w:szCs w:val="22"/>
          <w:lang w:val="lt-LT"/>
        </w:rPr>
        <w:t xml:space="preserve"> viršijantis </w:t>
      </w:r>
      <w:proofErr w:type="spellStart"/>
      <w:r w:rsidRPr="00923E74">
        <w:rPr>
          <w:snapToGrid/>
          <w:szCs w:val="22"/>
          <w:lang w:val="lt-LT"/>
        </w:rPr>
        <w:t>transaminazių</w:t>
      </w:r>
      <w:proofErr w:type="spellEnd"/>
      <w:r w:rsidRPr="00923E74">
        <w:rPr>
          <w:snapToGrid/>
          <w:szCs w:val="22"/>
          <w:lang w:val="lt-LT"/>
        </w:rPr>
        <w:t xml:space="preserve"> aktyvumo padidėjimas, reko</w:t>
      </w:r>
      <w:r w:rsidR="000514AB" w:rsidRPr="00923E74">
        <w:rPr>
          <w:snapToGrid/>
          <w:szCs w:val="22"/>
          <w:lang w:val="lt-LT"/>
        </w:rPr>
        <w:t>m</w:t>
      </w:r>
      <w:r w:rsidRPr="00923E74">
        <w:rPr>
          <w:snapToGrid/>
          <w:szCs w:val="22"/>
          <w:lang w:val="lt-LT"/>
        </w:rPr>
        <w:t xml:space="preserve">enduojama sumažinti dozę arba nutraukti </w:t>
      </w:r>
      <w:proofErr w:type="spellStart"/>
      <w:r w:rsidRPr="00923E74">
        <w:rPr>
          <w:snapToGrid/>
          <w:szCs w:val="22"/>
          <w:lang w:val="lt-LT"/>
        </w:rPr>
        <w:t>Torzelip</w:t>
      </w:r>
      <w:proofErr w:type="spellEnd"/>
      <w:r w:rsidRPr="00923E74">
        <w:rPr>
          <w:snapToGrid/>
          <w:szCs w:val="22"/>
          <w:lang w:val="lt-LT"/>
        </w:rPr>
        <w:t xml:space="preserve"> vartojimą.</w:t>
      </w:r>
    </w:p>
    <w:p w14:paraId="564EF9D3" w14:textId="77777777" w:rsidR="001818AC" w:rsidRPr="00923E74" w:rsidRDefault="001818AC" w:rsidP="00A31E3A">
      <w:pPr>
        <w:spacing w:line="240" w:lineRule="auto"/>
        <w:rPr>
          <w:snapToGrid/>
          <w:szCs w:val="22"/>
          <w:lang w:val="lt-LT"/>
        </w:rPr>
      </w:pPr>
    </w:p>
    <w:p w14:paraId="2ED2F3C9" w14:textId="6DFB1FF6" w:rsidR="001818AC" w:rsidRPr="00923E74" w:rsidRDefault="00025F49" w:rsidP="00A31E3A">
      <w:pPr>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reikia atsargiai skirti vartoti pacientams, kurie dideliais kiekiais vartoja alkohol</w:t>
      </w:r>
      <w:r w:rsidR="00DA6FE4">
        <w:rPr>
          <w:snapToGrid/>
          <w:szCs w:val="22"/>
          <w:lang w:val="lt-LT"/>
        </w:rPr>
        <w:t>io</w:t>
      </w:r>
      <w:r w:rsidRPr="00923E74">
        <w:rPr>
          <w:snapToGrid/>
          <w:szCs w:val="22"/>
          <w:lang w:val="lt-LT"/>
        </w:rPr>
        <w:t xml:space="preserve"> ir</w:t>
      </w:r>
      <w:r w:rsidR="00DA6FE4">
        <w:rPr>
          <w:snapToGrid/>
          <w:szCs w:val="22"/>
          <w:lang w:val="lt-LT"/>
        </w:rPr>
        <w:t> </w:t>
      </w:r>
      <w:r w:rsidRPr="00923E74">
        <w:rPr>
          <w:snapToGrid/>
          <w:szCs w:val="22"/>
          <w:lang w:val="lt-LT"/>
        </w:rPr>
        <w:t>(arba) sirgo kepenų liga.</w:t>
      </w:r>
    </w:p>
    <w:p w14:paraId="6DDF4194" w14:textId="77777777" w:rsidR="001818AC" w:rsidRPr="00923E74" w:rsidRDefault="001818AC" w:rsidP="00A31E3A">
      <w:pPr>
        <w:spacing w:line="240" w:lineRule="auto"/>
        <w:rPr>
          <w:snapToGrid/>
          <w:szCs w:val="22"/>
          <w:lang w:val="lt-LT"/>
        </w:rPr>
      </w:pPr>
    </w:p>
    <w:p w14:paraId="28E3C99F" w14:textId="77777777" w:rsidR="001818AC" w:rsidRPr="00923E74" w:rsidRDefault="00ED0C56" w:rsidP="007E15ED">
      <w:pPr>
        <w:keepNext/>
        <w:spacing w:line="240" w:lineRule="auto"/>
        <w:rPr>
          <w:snapToGrid/>
          <w:szCs w:val="22"/>
          <w:u w:val="single"/>
          <w:lang w:val="lt-LT"/>
        </w:rPr>
      </w:pPr>
      <w:r w:rsidRPr="00923E74">
        <w:rPr>
          <w:snapToGrid/>
          <w:szCs w:val="22"/>
          <w:u w:val="single"/>
          <w:lang w:val="lt-LT"/>
        </w:rPr>
        <w:t>Kepenų nepakankamumas</w:t>
      </w:r>
    </w:p>
    <w:p w14:paraId="45BAA02B" w14:textId="56060AFD" w:rsidR="001818AC" w:rsidRPr="00923E74" w:rsidRDefault="006F2713" w:rsidP="00A31E3A">
      <w:pPr>
        <w:spacing w:line="240" w:lineRule="auto"/>
        <w:rPr>
          <w:snapToGrid/>
          <w:szCs w:val="22"/>
          <w:lang w:val="lt-LT"/>
        </w:rPr>
      </w:pPr>
      <w:r w:rsidRPr="00923E74">
        <w:rPr>
          <w:snapToGrid/>
          <w:szCs w:val="22"/>
          <w:lang w:val="lt-LT"/>
        </w:rPr>
        <w:t xml:space="preserve">Padidėjusios </w:t>
      </w:r>
      <w:proofErr w:type="spellStart"/>
      <w:r w:rsidRPr="00923E74">
        <w:rPr>
          <w:snapToGrid/>
          <w:szCs w:val="22"/>
          <w:lang w:val="lt-LT"/>
        </w:rPr>
        <w:t>ezetimibo</w:t>
      </w:r>
      <w:proofErr w:type="spellEnd"/>
      <w:r w:rsidRPr="00923E74">
        <w:rPr>
          <w:snapToGrid/>
          <w:szCs w:val="22"/>
          <w:lang w:val="lt-LT"/>
        </w:rPr>
        <w:t xml:space="preserve"> ekspozicijos poveikis pacientų, kuriems yra vidutinio sunkumo ar sunkus kepenų nepakankamumas, organizme </w:t>
      </w:r>
      <w:r w:rsidR="00F15D25" w:rsidRPr="00923E74">
        <w:rPr>
          <w:snapToGrid/>
          <w:szCs w:val="22"/>
          <w:lang w:val="lt-LT"/>
        </w:rPr>
        <w:t>nėra žinomas</w:t>
      </w:r>
      <w:r w:rsidR="001818AC" w:rsidRPr="00923E74">
        <w:rPr>
          <w:snapToGrid/>
          <w:szCs w:val="22"/>
          <w:lang w:val="lt-LT"/>
        </w:rPr>
        <w:t xml:space="preserve">, </w:t>
      </w:r>
      <w:r w:rsidR="00F15D25" w:rsidRPr="00923E74">
        <w:rPr>
          <w:snapToGrid/>
          <w:szCs w:val="22"/>
          <w:lang w:val="lt-LT"/>
        </w:rPr>
        <w:t>todėl</w:t>
      </w:r>
      <w:r w:rsidRPr="00923E74">
        <w:rPr>
          <w:snapToGrid/>
          <w:szCs w:val="22"/>
          <w:lang w:val="lt-LT"/>
        </w:rPr>
        <w:t xml:space="preserve"> tokiems pacientams </w:t>
      </w:r>
      <w:proofErr w:type="spellStart"/>
      <w:r w:rsidRPr="00923E74">
        <w:rPr>
          <w:snapToGrid/>
          <w:szCs w:val="22"/>
          <w:lang w:val="lt-LT"/>
        </w:rPr>
        <w:t>Torzelip</w:t>
      </w:r>
      <w:proofErr w:type="spellEnd"/>
      <w:r w:rsidRPr="00923E74">
        <w:rPr>
          <w:snapToGrid/>
          <w:szCs w:val="22"/>
          <w:lang w:val="lt-LT"/>
        </w:rPr>
        <w:t xml:space="preserve"> vartoti nerekomenduojama </w:t>
      </w:r>
      <w:r w:rsidR="001818AC" w:rsidRPr="00923E74">
        <w:rPr>
          <w:snapToGrid/>
          <w:szCs w:val="22"/>
          <w:lang w:val="lt-LT"/>
        </w:rPr>
        <w:t>(</w:t>
      </w:r>
      <w:r w:rsidR="00B34F29" w:rsidRPr="00923E74">
        <w:rPr>
          <w:snapToGrid/>
          <w:szCs w:val="22"/>
          <w:lang w:val="lt-LT"/>
        </w:rPr>
        <w:t>žr.</w:t>
      </w:r>
      <w:r w:rsidR="00DA6FE4">
        <w:rPr>
          <w:snapToGrid/>
          <w:szCs w:val="22"/>
          <w:lang w:val="lt-LT"/>
        </w:rPr>
        <w:t> </w:t>
      </w:r>
      <w:r w:rsidR="001818AC" w:rsidRPr="00923E74">
        <w:rPr>
          <w:snapToGrid/>
          <w:szCs w:val="22"/>
          <w:lang w:val="lt-LT"/>
        </w:rPr>
        <w:t>5.2</w:t>
      </w:r>
      <w:r w:rsidR="00B34F29" w:rsidRPr="00923E74">
        <w:rPr>
          <w:snapToGrid/>
          <w:szCs w:val="22"/>
          <w:lang w:val="lt-LT"/>
        </w:rPr>
        <w:t> skyrių</w:t>
      </w:r>
      <w:r w:rsidR="001818AC" w:rsidRPr="00923E74">
        <w:rPr>
          <w:snapToGrid/>
          <w:szCs w:val="22"/>
          <w:lang w:val="lt-LT"/>
        </w:rPr>
        <w:t>).</w:t>
      </w:r>
    </w:p>
    <w:p w14:paraId="239F6F6F" w14:textId="77777777" w:rsidR="001818AC" w:rsidRPr="00923E74" w:rsidRDefault="001818AC" w:rsidP="00A31E3A">
      <w:pPr>
        <w:spacing w:line="240" w:lineRule="auto"/>
        <w:rPr>
          <w:snapToGrid/>
          <w:szCs w:val="22"/>
          <w:lang w:val="lt-LT"/>
        </w:rPr>
      </w:pPr>
    </w:p>
    <w:p w14:paraId="3682B8B0" w14:textId="77777777" w:rsidR="001818AC" w:rsidRPr="00923E74" w:rsidRDefault="001818AC" w:rsidP="007E15ED">
      <w:pPr>
        <w:keepNext/>
        <w:spacing w:line="240" w:lineRule="auto"/>
        <w:rPr>
          <w:snapToGrid/>
          <w:szCs w:val="22"/>
          <w:u w:val="single"/>
          <w:lang w:val="lt-LT"/>
        </w:rPr>
      </w:pPr>
      <w:proofErr w:type="spellStart"/>
      <w:r w:rsidRPr="00923E74">
        <w:rPr>
          <w:snapToGrid/>
          <w:szCs w:val="22"/>
          <w:u w:val="single"/>
          <w:lang w:val="lt-LT"/>
        </w:rPr>
        <w:t>Fibrat</w:t>
      </w:r>
      <w:r w:rsidR="00025F49" w:rsidRPr="00923E74">
        <w:rPr>
          <w:snapToGrid/>
          <w:szCs w:val="22"/>
          <w:u w:val="single"/>
          <w:lang w:val="lt-LT"/>
        </w:rPr>
        <w:t>ai</w:t>
      </w:r>
      <w:proofErr w:type="spellEnd"/>
    </w:p>
    <w:p w14:paraId="4FF3F6BA" w14:textId="77777777" w:rsidR="001818AC" w:rsidRPr="00923E74" w:rsidRDefault="002C72EB" w:rsidP="00A31E3A">
      <w:pPr>
        <w:spacing w:line="240" w:lineRule="auto"/>
        <w:rPr>
          <w:snapToGrid/>
          <w:szCs w:val="22"/>
          <w:lang w:val="lt-LT"/>
        </w:rPr>
      </w:pPr>
      <w:r w:rsidRPr="00923E74">
        <w:rPr>
          <w:snapToGrid/>
          <w:szCs w:val="22"/>
          <w:lang w:val="lt-LT"/>
        </w:rPr>
        <w:t xml:space="preserve">Ar saugu ir veiksminga </w:t>
      </w:r>
      <w:proofErr w:type="spellStart"/>
      <w:r w:rsidRPr="00923E74">
        <w:rPr>
          <w:snapToGrid/>
          <w:szCs w:val="22"/>
          <w:lang w:val="lt-LT"/>
        </w:rPr>
        <w:t>ezetimibo</w:t>
      </w:r>
      <w:proofErr w:type="spellEnd"/>
      <w:r w:rsidRPr="00923E74">
        <w:rPr>
          <w:snapToGrid/>
          <w:szCs w:val="22"/>
          <w:lang w:val="lt-LT"/>
        </w:rPr>
        <w:t xml:space="preserve"> vartoti kartu su </w:t>
      </w:r>
      <w:proofErr w:type="spellStart"/>
      <w:r w:rsidRPr="00923E74">
        <w:rPr>
          <w:snapToGrid/>
          <w:szCs w:val="22"/>
          <w:lang w:val="lt-LT"/>
        </w:rPr>
        <w:t>fibratais</w:t>
      </w:r>
      <w:proofErr w:type="spellEnd"/>
      <w:r w:rsidRPr="00923E74">
        <w:rPr>
          <w:snapToGrid/>
          <w:szCs w:val="22"/>
          <w:lang w:val="lt-LT"/>
        </w:rPr>
        <w:t>, nenustatyta</w:t>
      </w:r>
      <w:r w:rsidR="001818AC" w:rsidRPr="00923E74">
        <w:rPr>
          <w:snapToGrid/>
          <w:szCs w:val="22"/>
          <w:lang w:val="lt-LT"/>
        </w:rPr>
        <w:t xml:space="preserve">. </w:t>
      </w:r>
      <w:r w:rsidRPr="00923E74">
        <w:rPr>
          <w:snapToGrid/>
          <w:szCs w:val="22"/>
          <w:lang w:val="lt-LT"/>
        </w:rPr>
        <w:t xml:space="preserve">Dėl to </w:t>
      </w:r>
      <w:proofErr w:type="spellStart"/>
      <w:r w:rsidRPr="00923E74">
        <w:rPr>
          <w:snapToGrid/>
          <w:szCs w:val="22"/>
          <w:lang w:val="lt-LT"/>
        </w:rPr>
        <w:t>Torzelip</w:t>
      </w:r>
      <w:proofErr w:type="spellEnd"/>
      <w:r w:rsidRPr="00923E74">
        <w:rPr>
          <w:snapToGrid/>
          <w:szCs w:val="22"/>
          <w:lang w:val="lt-LT"/>
        </w:rPr>
        <w:t xml:space="preserve"> vartoti kartu su </w:t>
      </w:r>
      <w:proofErr w:type="spellStart"/>
      <w:r w:rsidRPr="00923E74">
        <w:rPr>
          <w:snapToGrid/>
          <w:szCs w:val="22"/>
          <w:lang w:val="lt-LT"/>
        </w:rPr>
        <w:t>fibratais</w:t>
      </w:r>
      <w:proofErr w:type="spellEnd"/>
      <w:r w:rsidRPr="00923E74">
        <w:rPr>
          <w:snapToGrid/>
          <w:szCs w:val="22"/>
          <w:lang w:val="lt-LT"/>
        </w:rPr>
        <w:t xml:space="preserve"> nerekomenduojama </w:t>
      </w:r>
      <w:r w:rsidR="001818AC" w:rsidRPr="00923E74">
        <w:rPr>
          <w:snapToGrid/>
          <w:szCs w:val="22"/>
          <w:lang w:val="lt-LT"/>
        </w:rPr>
        <w:t>(</w:t>
      </w:r>
      <w:r w:rsidRPr="00923E74">
        <w:rPr>
          <w:snapToGrid/>
          <w:szCs w:val="22"/>
          <w:lang w:val="lt-LT"/>
        </w:rPr>
        <w:t>žr.</w:t>
      </w:r>
      <w:r w:rsidR="00DA6FE4">
        <w:rPr>
          <w:snapToGrid/>
          <w:szCs w:val="22"/>
          <w:lang w:val="lt-LT"/>
        </w:rPr>
        <w:t> </w:t>
      </w:r>
      <w:r w:rsidR="001818AC" w:rsidRPr="00923E74">
        <w:rPr>
          <w:snapToGrid/>
          <w:szCs w:val="22"/>
          <w:lang w:val="lt-LT"/>
        </w:rPr>
        <w:t>4.5</w:t>
      </w:r>
      <w:r w:rsidRPr="00923E74">
        <w:rPr>
          <w:snapToGrid/>
          <w:szCs w:val="22"/>
          <w:lang w:val="lt-LT"/>
        </w:rPr>
        <w:t> skyrių</w:t>
      </w:r>
      <w:r w:rsidR="001818AC" w:rsidRPr="00923E74">
        <w:rPr>
          <w:snapToGrid/>
          <w:szCs w:val="22"/>
          <w:lang w:val="lt-LT"/>
        </w:rPr>
        <w:t>).</w:t>
      </w:r>
    </w:p>
    <w:p w14:paraId="5D4D1FA6" w14:textId="77777777" w:rsidR="001818AC" w:rsidRPr="00923E74" w:rsidRDefault="001818AC" w:rsidP="00A31E3A">
      <w:pPr>
        <w:spacing w:line="240" w:lineRule="auto"/>
        <w:rPr>
          <w:snapToGrid/>
          <w:szCs w:val="22"/>
          <w:lang w:val="lt-LT"/>
        </w:rPr>
      </w:pPr>
    </w:p>
    <w:p w14:paraId="72C41A96" w14:textId="77777777" w:rsidR="001818AC" w:rsidRPr="00923E74" w:rsidRDefault="001818AC" w:rsidP="007E15ED">
      <w:pPr>
        <w:keepNext/>
        <w:spacing w:line="240" w:lineRule="auto"/>
        <w:rPr>
          <w:snapToGrid/>
          <w:szCs w:val="22"/>
          <w:u w:val="single"/>
          <w:lang w:val="lt-LT"/>
        </w:rPr>
      </w:pPr>
      <w:proofErr w:type="spellStart"/>
      <w:r w:rsidRPr="00923E74">
        <w:rPr>
          <w:snapToGrid/>
          <w:szCs w:val="22"/>
          <w:u w:val="single"/>
          <w:lang w:val="lt-LT"/>
        </w:rPr>
        <w:t>Ci</w:t>
      </w:r>
      <w:r w:rsidR="00025F49" w:rsidRPr="00923E74">
        <w:rPr>
          <w:snapToGrid/>
          <w:szCs w:val="22"/>
          <w:u w:val="single"/>
          <w:lang w:val="lt-LT"/>
        </w:rPr>
        <w:t>k</w:t>
      </w:r>
      <w:r w:rsidRPr="00923E74">
        <w:rPr>
          <w:snapToGrid/>
          <w:szCs w:val="22"/>
          <w:u w:val="single"/>
          <w:lang w:val="lt-LT"/>
        </w:rPr>
        <w:t>losporin</w:t>
      </w:r>
      <w:r w:rsidR="00025F49" w:rsidRPr="00923E74">
        <w:rPr>
          <w:snapToGrid/>
          <w:szCs w:val="22"/>
          <w:u w:val="single"/>
          <w:lang w:val="lt-LT"/>
        </w:rPr>
        <w:t>as</w:t>
      </w:r>
      <w:proofErr w:type="spellEnd"/>
    </w:p>
    <w:p w14:paraId="683CF349" w14:textId="40E07808" w:rsidR="001818AC" w:rsidRPr="00923E74" w:rsidRDefault="00B864EB" w:rsidP="00A31E3A">
      <w:pPr>
        <w:spacing w:line="240" w:lineRule="auto"/>
        <w:rPr>
          <w:snapToGrid/>
          <w:szCs w:val="22"/>
          <w:lang w:val="lt-LT"/>
        </w:rPr>
      </w:pPr>
      <w:proofErr w:type="spellStart"/>
      <w:r w:rsidRPr="00923E74">
        <w:rPr>
          <w:snapToGrid/>
          <w:szCs w:val="22"/>
          <w:lang w:val="lt-LT"/>
        </w:rPr>
        <w:t>Ciklosporino</w:t>
      </w:r>
      <w:proofErr w:type="spellEnd"/>
      <w:r w:rsidRPr="00923E74">
        <w:rPr>
          <w:snapToGrid/>
          <w:szCs w:val="22"/>
          <w:lang w:val="lt-LT"/>
        </w:rPr>
        <w:t xml:space="preserve"> vartojantiems paci</w:t>
      </w:r>
      <w:r w:rsidR="00907DCE" w:rsidRPr="00923E74">
        <w:rPr>
          <w:snapToGrid/>
          <w:szCs w:val="22"/>
          <w:lang w:val="lt-LT"/>
        </w:rPr>
        <w:t xml:space="preserve">entams pradėti skirti </w:t>
      </w:r>
      <w:proofErr w:type="spellStart"/>
      <w:r w:rsidR="00907DCE" w:rsidRPr="00923E74">
        <w:rPr>
          <w:snapToGrid/>
          <w:szCs w:val="22"/>
          <w:lang w:val="lt-LT"/>
        </w:rPr>
        <w:t>Torzelip</w:t>
      </w:r>
      <w:proofErr w:type="spellEnd"/>
      <w:r w:rsidR="00907DCE" w:rsidRPr="00923E74">
        <w:rPr>
          <w:snapToGrid/>
          <w:szCs w:val="22"/>
          <w:lang w:val="lt-LT"/>
        </w:rPr>
        <w:t xml:space="preserve"> </w:t>
      </w:r>
      <w:r w:rsidRPr="00923E74">
        <w:rPr>
          <w:snapToGrid/>
          <w:szCs w:val="22"/>
          <w:lang w:val="lt-LT"/>
        </w:rPr>
        <w:t xml:space="preserve">būtina atsargiai. Būtina stebėti kartu su </w:t>
      </w:r>
      <w:proofErr w:type="spellStart"/>
      <w:r w:rsidRPr="00923E74">
        <w:rPr>
          <w:snapToGrid/>
          <w:szCs w:val="22"/>
          <w:lang w:val="lt-LT"/>
        </w:rPr>
        <w:t>Torzelip</w:t>
      </w:r>
      <w:proofErr w:type="spellEnd"/>
      <w:r w:rsidRPr="00923E74">
        <w:rPr>
          <w:snapToGrid/>
          <w:szCs w:val="22"/>
          <w:lang w:val="lt-LT"/>
        </w:rPr>
        <w:t xml:space="preserve"> vartojamo </w:t>
      </w:r>
      <w:proofErr w:type="spellStart"/>
      <w:r w:rsidRPr="00923E74">
        <w:rPr>
          <w:snapToGrid/>
          <w:szCs w:val="22"/>
          <w:lang w:val="lt-LT"/>
        </w:rPr>
        <w:t>ciklosporino</w:t>
      </w:r>
      <w:proofErr w:type="spellEnd"/>
      <w:r w:rsidRPr="00923E74">
        <w:rPr>
          <w:snapToGrid/>
          <w:szCs w:val="22"/>
          <w:lang w:val="lt-LT"/>
        </w:rPr>
        <w:t xml:space="preserve"> koncentraciją </w:t>
      </w:r>
      <w:r w:rsidR="001818AC" w:rsidRPr="00923E74">
        <w:rPr>
          <w:snapToGrid/>
          <w:szCs w:val="22"/>
          <w:lang w:val="lt-LT"/>
        </w:rPr>
        <w:t>(</w:t>
      </w:r>
      <w:r w:rsidRPr="00923E74">
        <w:rPr>
          <w:snapToGrid/>
          <w:szCs w:val="22"/>
          <w:lang w:val="lt-LT"/>
        </w:rPr>
        <w:t>žr.</w:t>
      </w:r>
      <w:r w:rsidR="00DA6FE4">
        <w:rPr>
          <w:snapToGrid/>
          <w:szCs w:val="22"/>
          <w:lang w:val="lt-LT"/>
        </w:rPr>
        <w:t> </w:t>
      </w:r>
      <w:r w:rsidR="001818AC" w:rsidRPr="00923E74">
        <w:rPr>
          <w:snapToGrid/>
          <w:szCs w:val="22"/>
          <w:lang w:val="lt-LT"/>
        </w:rPr>
        <w:t>4.5</w:t>
      </w:r>
      <w:r w:rsidRPr="00923E74">
        <w:rPr>
          <w:snapToGrid/>
          <w:szCs w:val="22"/>
          <w:lang w:val="lt-LT"/>
        </w:rPr>
        <w:t> skyrių</w:t>
      </w:r>
      <w:r w:rsidR="001818AC" w:rsidRPr="00923E74">
        <w:rPr>
          <w:snapToGrid/>
          <w:szCs w:val="22"/>
          <w:lang w:val="lt-LT"/>
        </w:rPr>
        <w:t>).</w:t>
      </w:r>
    </w:p>
    <w:p w14:paraId="054E2F09" w14:textId="77777777" w:rsidR="001818AC" w:rsidRPr="00923E74" w:rsidRDefault="001818AC" w:rsidP="00A31E3A">
      <w:pPr>
        <w:spacing w:line="240" w:lineRule="auto"/>
        <w:rPr>
          <w:snapToGrid/>
          <w:szCs w:val="22"/>
          <w:lang w:val="lt-LT"/>
        </w:rPr>
      </w:pPr>
    </w:p>
    <w:p w14:paraId="236F14E2" w14:textId="77777777" w:rsidR="001818AC" w:rsidRPr="00923E74" w:rsidRDefault="00025F49" w:rsidP="007E15ED">
      <w:pPr>
        <w:keepNext/>
        <w:spacing w:line="240" w:lineRule="auto"/>
        <w:rPr>
          <w:snapToGrid/>
          <w:szCs w:val="22"/>
          <w:u w:val="single"/>
          <w:lang w:val="lt-LT"/>
        </w:rPr>
      </w:pPr>
      <w:r w:rsidRPr="00923E74">
        <w:rPr>
          <w:snapToGrid/>
          <w:szCs w:val="22"/>
          <w:u w:val="single"/>
          <w:lang w:val="lt-LT"/>
        </w:rPr>
        <w:t>Antikoaguliantai</w:t>
      </w:r>
    </w:p>
    <w:p w14:paraId="7780E6CF" w14:textId="7E69A8DD" w:rsidR="002C72EB" w:rsidRPr="00923E74" w:rsidRDefault="002C72EB" w:rsidP="00A31E3A">
      <w:pPr>
        <w:widowControl w:val="0"/>
        <w:snapToGrid w:val="0"/>
        <w:spacing w:line="240" w:lineRule="auto"/>
        <w:rPr>
          <w:snapToGrid/>
          <w:szCs w:val="22"/>
          <w:lang w:val="lt-LT"/>
        </w:rPr>
      </w:pPr>
      <w:r w:rsidRPr="00923E74">
        <w:rPr>
          <w:snapToGrid/>
          <w:szCs w:val="22"/>
          <w:lang w:val="lt-LT"/>
        </w:rPr>
        <w:t xml:space="preserve">Jei </w:t>
      </w:r>
      <w:proofErr w:type="spellStart"/>
      <w:r w:rsidRPr="00923E74">
        <w:rPr>
          <w:snapToGrid/>
          <w:szCs w:val="22"/>
          <w:lang w:val="lt-LT"/>
        </w:rPr>
        <w:t>Torzelip</w:t>
      </w:r>
      <w:proofErr w:type="spellEnd"/>
      <w:r w:rsidRPr="00923E74">
        <w:rPr>
          <w:snapToGrid/>
          <w:szCs w:val="22"/>
          <w:lang w:val="lt-LT"/>
        </w:rPr>
        <w:t xml:space="preserve"> pradedama vartoti kartu su varfarinu, kitu kumarino grupės antikoaguliantu ar </w:t>
      </w:r>
      <w:proofErr w:type="spellStart"/>
      <w:r w:rsidRPr="00923E74">
        <w:rPr>
          <w:snapToGrid/>
          <w:szCs w:val="22"/>
          <w:lang w:val="lt-LT"/>
        </w:rPr>
        <w:t>fluindionu</w:t>
      </w:r>
      <w:proofErr w:type="spellEnd"/>
      <w:r w:rsidRPr="00923E74">
        <w:rPr>
          <w:snapToGrid/>
          <w:szCs w:val="22"/>
          <w:lang w:val="lt-LT"/>
        </w:rPr>
        <w:t>, reikia tinkamai stebėti tarptautinį normalizuotą santykį (TNS) (žr.</w:t>
      </w:r>
      <w:r w:rsidR="00DA6FE4">
        <w:rPr>
          <w:snapToGrid/>
          <w:szCs w:val="22"/>
          <w:lang w:val="lt-LT"/>
        </w:rPr>
        <w:t> </w:t>
      </w:r>
      <w:r w:rsidRPr="00923E74">
        <w:rPr>
          <w:snapToGrid/>
          <w:szCs w:val="22"/>
          <w:lang w:val="lt-LT"/>
        </w:rPr>
        <w:t>4.5 skyrių).</w:t>
      </w:r>
    </w:p>
    <w:p w14:paraId="272382B2" w14:textId="77777777" w:rsidR="001818AC" w:rsidRPr="00923E74" w:rsidRDefault="001818AC" w:rsidP="00A31E3A">
      <w:pPr>
        <w:spacing w:line="240" w:lineRule="auto"/>
        <w:rPr>
          <w:snapToGrid/>
          <w:szCs w:val="22"/>
          <w:lang w:val="lt-LT"/>
        </w:rPr>
      </w:pPr>
    </w:p>
    <w:p w14:paraId="1859A4EF" w14:textId="36801DF2" w:rsidR="00BF0B37" w:rsidRPr="00923E74" w:rsidRDefault="00BF0B37" w:rsidP="007E15ED">
      <w:pPr>
        <w:keepNext/>
        <w:keepLines/>
        <w:spacing w:line="240" w:lineRule="auto"/>
        <w:rPr>
          <w:snapToGrid/>
          <w:szCs w:val="22"/>
          <w:u w:val="single"/>
          <w:lang w:val="lt-LT"/>
        </w:rPr>
      </w:pPr>
      <w:r w:rsidRPr="00923E74">
        <w:rPr>
          <w:snapToGrid/>
          <w:szCs w:val="22"/>
          <w:u w:val="single"/>
          <w:lang w:val="lt-LT"/>
        </w:rPr>
        <w:t xml:space="preserve">Insulto profilaktika intensyviai mažinant cholesterolio kiekį (angl. </w:t>
      </w:r>
      <w:proofErr w:type="spellStart"/>
      <w:r w:rsidRPr="00923E74">
        <w:rPr>
          <w:i/>
          <w:snapToGrid/>
          <w:szCs w:val="22"/>
          <w:u w:val="single"/>
          <w:lang w:val="lt-LT"/>
        </w:rPr>
        <w:t>Stroke</w:t>
      </w:r>
      <w:proofErr w:type="spellEnd"/>
      <w:r w:rsidRPr="00923E74">
        <w:rPr>
          <w:i/>
          <w:snapToGrid/>
          <w:szCs w:val="22"/>
          <w:u w:val="single"/>
          <w:lang w:val="lt-LT"/>
        </w:rPr>
        <w:t xml:space="preserve"> </w:t>
      </w:r>
      <w:proofErr w:type="spellStart"/>
      <w:r w:rsidRPr="00923E74">
        <w:rPr>
          <w:i/>
          <w:snapToGrid/>
          <w:szCs w:val="22"/>
          <w:u w:val="single"/>
          <w:lang w:val="lt-LT"/>
        </w:rPr>
        <w:t>Prevention</w:t>
      </w:r>
      <w:proofErr w:type="spellEnd"/>
      <w:r w:rsidRPr="00923E74">
        <w:rPr>
          <w:i/>
          <w:snapToGrid/>
          <w:szCs w:val="22"/>
          <w:u w:val="single"/>
          <w:lang w:val="lt-LT"/>
        </w:rPr>
        <w:t xml:space="preserve"> </w:t>
      </w:r>
      <w:proofErr w:type="spellStart"/>
      <w:r w:rsidRPr="00923E74">
        <w:rPr>
          <w:i/>
          <w:snapToGrid/>
          <w:szCs w:val="22"/>
          <w:u w:val="single"/>
          <w:lang w:val="lt-LT"/>
        </w:rPr>
        <w:t>by</w:t>
      </w:r>
      <w:proofErr w:type="spellEnd"/>
      <w:r w:rsidRPr="00923E74">
        <w:rPr>
          <w:i/>
          <w:snapToGrid/>
          <w:szCs w:val="22"/>
          <w:u w:val="single"/>
          <w:lang w:val="lt-LT"/>
        </w:rPr>
        <w:t xml:space="preserve"> </w:t>
      </w:r>
      <w:proofErr w:type="spellStart"/>
      <w:r w:rsidRPr="00923E74">
        <w:rPr>
          <w:i/>
          <w:snapToGrid/>
          <w:szCs w:val="22"/>
          <w:u w:val="single"/>
          <w:lang w:val="lt-LT"/>
        </w:rPr>
        <w:t>Aggressive</w:t>
      </w:r>
      <w:proofErr w:type="spellEnd"/>
      <w:r w:rsidRPr="00923E74">
        <w:rPr>
          <w:i/>
          <w:snapToGrid/>
          <w:szCs w:val="22"/>
          <w:u w:val="single"/>
          <w:lang w:val="lt-LT"/>
        </w:rPr>
        <w:t xml:space="preserve"> </w:t>
      </w:r>
      <w:proofErr w:type="spellStart"/>
      <w:r w:rsidRPr="00923E74">
        <w:rPr>
          <w:i/>
          <w:snapToGrid/>
          <w:szCs w:val="22"/>
          <w:u w:val="single"/>
          <w:lang w:val="lt-LT"/>
        </w:rPr>
        <w:t>Reduction</w:t>
      </w:r>
      <w:proofErr w:type="spellEnd"/>
      <w:r w:rsidRPr="00923E74">
        <w:rPr>
          <w:i/>
          <w:snapToGrid/>
          <w:szCs w:val="22"/>
          <w:u w:val="single"/>
          <w:lang w:val="lt-LT"/>
        </w:rPr>
        <w:t xml:space="preserve"> </w:t>
      </w:r>
      <w:proofErr w:type="spellStart"/>
      <w:r w:rsidRPr="00923E74">
        <w:rPr>
          <w:i/>
          <w:snapToGrid/>
          <w:szCs w:val="22"/>
          <w:u w:val="single"/>
          <w:lang w:val="lt-LT"/>
        </w:rPr>
        <w:t>in</w:t>
      </w:r>
      <w:proofErr w:type="spellEnd"/>
      <w:r w:rsidRPr="00923E74">
        <w:rPr>
          <w:i/>
          <w:snapToGrid/>
          <w:szCs w:val="22"/>
          <w:u w:val="single"/>
          <w:lang w:val="lt-LT"/>
        </w:rPr>
        <w:t xml:space="preserve"> </w:t>
      </w:r>
      <w:proofErr w:type="spellStart"/>
      <w:r w:rsidRPr="00923E74">
        <w:rPr>
          <w:i/>
          <w:snapToGrid/>
          <w:szCs w:val="22"/>
          <w:u w:val="single"/>
          <w:lang w:val="lt-LT"/>
        </w:rPr>
        <w:t>Cholesterol</w:t>
      </w:r>
      <w:proofErr w:type="spellEnd"/>
      <w:r w:rsidRPr="00923E74">
        <w:rPr>
          <w:i/>
          <w:snapToGrid/>
          <w:szCs w:val="22"/>
          <w:u w:val="single"/>
          <w:lang w:val="lt-LT"/>
        </w:rPr>
        <w:t xml:space="preserve"> </w:t>
      </w:r>
      <w:proofErr w:type="spellStart"/>
      <w:r w:rsidRPr="00923E74">
        <w:rPr>
          <w:i/>
          <w:snapToGrid/>
          <w:szCs w:val="22"/>
          <w:u w:val="single"/>
          <w:lang w:val="lt-LT"/>
        </w:rPr>
        <w:t>Levels</w:t>
      </w:r>
      <w:proofErr w:type="spellEnd"/>
      <w:r w:rsidR="00DA6FE4">
        <w:rPr>
          <w:snapToGrid/>
          <w:szCs w:val="22"/>
          <w:u w:val="single"/>
          <w:lang w:val="lt-LT"/>
        </w:rPr>
        <w:t xml:space="preserve"> –</w:t>
      </w:r>
      <w:r w:rsidRPr="00923E74">
        <w:rPr>
          <w:snapToGrid/>
          <w:szCs w:val="22"/>
          <w:u w:val="single"/>
          <w:lang w:val="lt-LT"/>
        </w:rPr>
        <w:t xml:space="preserve"> </w:t>
      </w:r>
      <w:r w:rsidRPr="007E15ED">
        <w:rPr>
          <w:i/>
          <w:snapToGrid/>
          <w:szCs w:val="22"/>
          <w:u w:val="single"/>
          <w:lang w:val="lt-LT"/>
        </w:rPr>
        <w:t>SPARCL</w:t>
      </w:r>
      <w:r w:rsidRPr="00923E74">
        <w:rPr>
          <w:snapToGrid/>
          <w:szCs w:val="22"/>
          <w:u w:val="single"/>
          <w:lang w:val="lt-LT"/>
        </w:rPr>
        <w:t>)</w:t>
      </w:r>
    </w:p>
    <w:p w14:paraId="42191621" w14:textId="49C7C65A" w:rsidR="001818AC" w:rsidRPr="00923E74" w:rsidRDefault="00BF0B37" w:rsidP="00A31E3A">
      <w:pPr>
        <w:spacing w:line="240" w:lineRule="auto"/>
        <w:rPr>
          <w:snapToGrid/>
          <w:szCs w:val="22"/>
          <w:lang w:val="lt-LT"/>
        </w:rPr>
      </w:pPr>
      <w:r w:rsidRPr="00923E74">
        <w:rPr>
          <w:snapToGrid/>
          <w:szCs w:val="22"/>
          <w:lang w:val="lt-LT"/>
        </w:rPr>
        <w:t>Insulto pogrupių pacientų, kurie nesirgo išemine širdies liga (IŠL) ir neseniai patyrė insultą arba</w:t>
      </w:r>
      <w:r w:rsidR="006344A7" w:rsidRPr="00923E74">
        <w:rPr>
          <w:snapToGrid/>
          <w:szCs w:val="22"/>
          <w:lang w:val="lt-LT"/>
        </w:rPr>
        <w:t xml:space="preserve"> </w:t>
      </w:r>
      <w:r w:rsidRPr="00923E74">
        <w:rPr>
          <w:snapToGrid/>
          <w:szCs w:val="22"/>
          <w:lang w:val="lt-LT"/>
        </w:rPr>
        <w:t xml:space="preserve">praeinantįjį smegenų išemijos priepuolį (PSIP), duomenų </w:t>
      </w:r>
      <w:proofErr w:type="spellStart"/>
      <w:r w:rsidRPr="00923E74">
        <w:rPr>
          <w:i/>
          <w:snapToGrid/>
          <w:szCs w:val="22"/>
          <w:lang w:val="lt-LT"/>
        </w:rPr>
        <w:t>post</w:t>
      </w:r>
      <w:r w:rsidR="00DA6FE4">
        <w:rPr>
          <w:i/>
          <w:snapToGrid/>
          <w:szCs w:val="22"/>
          <w:lang w:val="lt-LT"/>
        </w:rPr>
        <w:noBreakHyphen/>
      </w:r>
      <w:r w:rsidRPr="00923E74">
        <w:rPr>
          <w:i/>
          <w:snapToGrid/>
          <w:szCs w:val="22"/>
          <w:lang w:val="lt-LT"/>
        </w:rPr>
        <w:t>hoc</w:t>
      </w:r>
      <w:proofErr w:type="spellEnd"/>
      <w:r w:rsidRPr="00923E74">
        <w:rPr>
          <w:snapToGrid/>
          <w:szCs w:val="22"/>
          <w:lang w:val="lt-LT"/>
        </w:rPr>
        <w:t xml:space="preserve"> analizė parodė, kad pacientams,</w:t>
      </w:r>
      <w:r w:rsidR="006344A7" w:rsidRPr="00923E74">
        <w:rPr>
          <w:snapToGrid/>
          <w:szCs w:val="22"/>
          <w:lang w:val="lt-LT"/>
        </w:rPr>
        <w:t xml:space="preserve"> </w:t>
      </w:r>
      <w:r w:rsidRPr="00923E74">
        <w:rPr>
          <w:snapToGrid/>
          <w:szCs w:val="22"/>
          <w:lang w:val="lt-LT"/>
        </w:rPr>
        <w:t>kurių gydymas buvo pradėtas 80</w:t>
      </w:r>
      <w:r w:rsidR="00DB52C7" w:rsidRPr="00923E74">
        <w:rPr>
          <w:snapToGrid/>
          <w:szCs w:val="22"/>
          <w:lang w:val="lt-LT"/>
        </w:rPr>
        <w:t> mg</w:t>
      </w:r>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doze, palyginti su placebu, hemoraginis insultas</w:t>
      </w:r>
      <w:r w:rsidR="006344A7" w:rsidRPr="00923E74">
        <w:rPr>
          <w:snapToGrid/>
          <w:szCs w:val="22"/>
          <w:lang w:val="lt-LT"/>
        </w:rPr>
        <w:t xml:space="preserve"> </w:t>
      </w:r>
      <w:r w:rsidRPr="00923E74">
        <w:rPr>
          <w:snapToGrid/>
          <w:szCs w:val="22"/>
          <w:lang w:val="lt-LT"/>
        </w:rPr>
        <w:t>pasireiškė dažniau. Pastebėta, kad rizika ypač padidėjo pacientams, kurie prieš pradedant tyrimą jau</w:t>
      </w:r>
      <w:r w:rsidR="006344A7" w:rsidRPr="00923E74">
        <w:rPr>
          <w:snapToGrid/>
          <w:szCs w:val="22"/>
          <w:lang w:val="lt-LT"/>
        </w:rPr>
        <w:t xml:space="preserve"> </w:t>
      </w:r>
      <w:r w:rsidRPr="00923E74">
        <w:rPr>
          <w:snapToGrid/>
          <w:szCs w:val="22"/>
          <w:lang w:val="lt-LT"/>
        </w:rPr>
        <w:t xml:space="preserve">buvo patyrę hemoraginį insultą arba </w:t>
      </w:r>
      <w:proofErr w:type="spellStart"/>
      <w:r w:rsidRPr="00923E74">
        <w:rPr>
          <w:snapToGrid/>
          <w:szCs w:val="22"/>
          <w:lang w:val="lt-LT"/>
        </w:rPr>
        <w:t>lakūninį</w:t>
      </w:r>
      <w:proofErr w:type="spellEnd"/>
      <w:r w:rsidRPr="00923E74">
        <w:rPr>
          <w:snapToGrid/>
          <w:szCs w:val="22"/>
          <w:lang w:val="lt-LT"/>
        </w:rPr>
        <w:t xml:space="preserve"> infarktą. Pacientams, kurie anksčiau buvo patyrę</w:t>
      </w:r>
      <w:r w:rsidR="006344A7" w:rsidRPr="00923E74">
        <w:rPr>
          <w:snapToGrid/>
          <w:szCs w:val="22"/>
          <w:lang w:val="lt-LT"/>
        </w:rPr>
        <w:t xml:space="preserve"> </w:t>
      </w:r>
      <w:r w:rsidRPr="00923E74">
        <w:rPr>
          <w:snapToGrid/>
          <w:szCs w:val="22"/>
          <w:lang w:val="lt-LT"/>
        </w:rPr>
        <w:t xml:space="preserve">hemoraginį insultą arba </w:t>
      </w:r>
      <w:proofErr w:type="spellStart"/>
      <w:r w:rsidRPr="00923E74">
        <w:rPr>
          <w:snapToGrid/>
          <w:szCs w:val="22"/>
          <w:lang w:val="lt-LT"/>
        </w:rPr>
        <w:t>lakūninį</w:t>
      </w:r>
      <w:proofErr w:type="spellEnd"/>
      <w:r w:rsidRPr="00923E74">
        <w:rPr>
          <w:snapToGrid/>
          <w:szCs w:val="22"/>
          <w:lang w:val="lt-LT"/>
        </w:rPr>
        <w:t xml:space="preserve"> infarktą, 80</w:t>
      </w:r>
      <w:r w:rsidR="00DB52C7" w:rsidRPr="00923E74">
        <w:rPr>
          <w:snapToGrid/>
          <w:szCs w:val="22"/>
          <w:lang w:val="lt-LT"/>
        </w:rPr>
        <w:t> mg</w:t>
      </w:r>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w:t>
      </w:r>
      <w:r w:rsidR="006344A7" w:rsidRPr="00923E74">
        <w:rPr>
          <w:snapToGrid/>
          <w:szCs w:val="22"/>
          <w:lang w:val="lt-LT"/>
        </w:rPr>
        <w:t xml:space="preserve">dozės vartojimo </w:t>
      </w:r>
      <w:r w:rsidRPr="00923E74">
        <w:rPr>
          <w:snapToGrid/>
          <w:szCs w:val="22"/>
          <w:lang w:val="lt-LT"/>
        </w:rPr>
        <w:t>rizikos ir naudos santykis yra neaiškus,</w:t>
      </w:r>
      <w:r w:rsidR="006344A7" w:rsidRPr="00923E74">
        <w:rPr>
          <w:snapToGrid/>
          <w:szCs w:val="22"/>
          <w:lang w:val="lt-LT"/>
        </w:rPr>
        <w:t xml:space="preserve"> </w:t>
      </w:r>
      <w:r w:rsidRPr="00923E74">
        <w:rPr>
          <w:snapToGrid/>
          <w:szCs w:val="22"/>
          <w:lang w:val="lt-LT"/>
        </w:rPr>
        <w:t>todėl prieš pradedant gydymą reikia atidžiai įvertinti galimą hemoraginio insulto riziką (žr.</w:t>
      </w:r>
      <w:r w:rsidR="009E3B70">
        <w:rPr>
          <w:snapToGrid/>
          <w:szCs w:val="22"/>
          <w:lang w:val="lt-LT"/>
        </w:rPr>
        <w:t> </w:t>
      </w:r>
      <w:r w:rsidRPr="00923E74">
        <w:rPr>
          <w:snapToGrid/>
          <w:szCs w:val="22"/>
          <w:lang w:val="lt-LT"/>
        </w:rPr>
        <w:t>5.1 skyrių).</w:t>
      </w:r>
    </w:p>
    <w:p w14:paraId="5772B765" w14:textId="77777777" w:rsidR="00BF0B37" w:rsidRPr="00923E74" w:rsidRDefault="00BF0B37" w:rsidP="00A31E3A">
      <w:pPr>
        <w:spacing w:line="240" w:lineRule="auto"/>
        <w:rPr>
          <w:snapToGrid/>
          <w:szCs w:val="22"/>
          <w:lang w:val="lt-LT"/>
        </w:rPr>
      </w:pPr>
    </w:p>
    <w:p w14:paraId="66F27B80" w14:textId="77777777" w:rsidR="006C2CD7" w:rsidRPr="00923E74" w:rsidRDefault="006C2CD7" w:rsidP="007E15ED">
      <w:pPr>
        <w:keepNext/>
        <w:widowControl w:val="0"/>
        <w:tabs>
          <w:tab w:val="clear" w:pos="567"/>
          <w:tab w:val="left" w:pos="1296"/>
        </w:tabs>
        <w:autoSpaceDE w:val="0"/>
        <w:autoSpaceDN w:val="0"/>
        <w:adjustRightInd w:val="0"/>
        <w:snapToGrid w:val="0"/>
        <w:spacing w:line="240" w:lineRule="auto"/>
        <w:rPr>
          <w:iCs/>
          <w:snapToGrid/>
          <w:szCs w:val="22"/>
          <w:u w:val="single"/>
          <w:lang w:val="lt-LT" w:eastAsia="sl-SI"/>
        </w:rPr>
      </w:pPr>
      <w:proofErr w:type="spellStart"/>
      <w:r w:rsidRPr="00923E74">
        <w:rPr>
          <w:iCs/>
          <w:snapToGrid/>
          <w:szCs w:val="22"/>
          <w:u w:val="single"/>
          <w:lang w:val="lt-LT" w:eastAsia="sl-SI"/>
        </w:rPr>
        <w:t>Intersticinė</w:t>
      </w:r>
      <w:proofErr w:type="spellEnd"/>
      <w:r w:rsidRPr="00923E74">
        <w:rPr>
          <w:iCs/>
          <w:snapToGrid/>
          <w:szCs w:val="22"/>
          <w:u w:val="single"/>
          <w:lang w:val="lt-LT" w:eastAsia="sl-SI"/>
        </w:rPr>
        <w:t xml:space="preserve"> plaučių liga</w:t>
      </w:r>
    </w:p>
    <w:p w14:paraId="7F78C738" w14:textId="043C6DE4" w:rsidR="006C2CD7" w:rsidRPr="00923E74" w:rsidRDefault="006C2CD7" w:rsidP="00A31E3A">
      <w:pPr>
        <w:widowControl w:val="0"/>
        <w:snapToGrid w:val="0"/>
        <w:spacing w:line="240" w:lineRule="auto"/>
        <w:rPr>
          <w:snapToGrid/>
          <w:szCs w:val="22"/>
          <w:lang w:val="lt-LT"/>
        </w:rPr>
      </w:pPr>
      <w:r w:rsidRPr="00923E74">
        <w:rPr>
          <w:snapToGrid/>
          <w:szCs w:val="22"/>
          <w:lang w:val="lt-LT"/>
        </w:rPr>
        <w:t xml:space="preserve">Vartojant kai kurių </w:t>
      </w:r>
      <w:proofErr w:type="spellStart"/>
      <w:r w:rsidRPr="00923E74">
        <w:rPr>
          <w:snapToGrid/>
          <w:szCs w:val="22"/>
          <w:lang w:val="lt-LT"/>
        </w:rPr>
        <w:t>statinų</w:t>
      </w:r>
      <w:proofErr w:type="spellEnd"/>
      <w:r w:rsidRPr="00923E74">
        <w:rPr>
          <w:snapToGrid/>
          <w:szCs w:val="22"/>
          <w:lang w:val="lt-LT"/>
        </w:rPr>
        <w:t>, ypač gydant ilgai, buvo pranešta apie</w:t>
      </w:r>
      <w:r w:rsidR="00907DCE" w:rsidRPr="00923E74">
        <w:rPr>
          <w:snapToGrid/>
          <w:szCs w:val="22"/>
          <w:lang w:val="lt-LT"/>
        </w:rPr>
        <w:t xml:space="preserve"> išimtinius</w:t>
      </w:r>
      <w:r w:rsidRPr="00923E74">
        <w:rPr>
          <w:snapToGrid/>
          <w:szCs w:val="22"/>
          <w:lang w:val="lt-LT"/>
        </w:rPr>
        <w:t xml:space="preserve"> </w:t>
      </w:r>
      <w:proofErr w:type="spellStart"/>
      <w:r w:rsidRPr="00923E74">
        <w:rPr>
          <w:snapToGrid/>
          <w:szCs w:val="22"/>
          <w:lang w:val="lt-LT"/>
        </w:rPr>
        <w:t>intersticinės</w:t>
      </w:r>
      <w:proofErr w:type="spellEnd"/>
      <w:r w:rsidRPr="00923E74">
        <w:rPr>
          <w:snapToGrid/>
          <w:szCs w:val="22"/>
          <w:lang w:val="lt-LT"/>
        </w:rPr>
        <w:t xml:space="preserve"> plaučių ligos atvejus (žr.</w:t>
      </w:r>
      <w:r w:rsidR="009E3B70">
        <w:rPr>
          <w:snapToGrid/>
          <w:szCs w:val="22"/>
          <w:lang w:val="lt-LT"/>
        </w:rPr>
        <w:t> </w:t>
      </w:r>
      <w:r w:rsidRPr="00923E74">
        <w:rPr>
          <w:snapToGrid/>
          <w:szCs w:val="22"/>
          <w:lang w:val="lt-LT"/>
        </w:rPr>
        <w:t xml:space="preserve">4.8 skyrių). Gali pasireikšti dusulys, neproduktyvus kosulys ir bendrosios sveikatos būklės pablogėjimas (nuovargis, kūno </w:t>
      </w:r>
      <w:r w:rsidR="00F30C43">
        <w:rPr>
          <w:snapToGrid/>
          <w:szCs w:val="22"/>
          <w:lang w:val="lt-LT"/>
        </w:rPr>
        <w:t>ma</w:t>
      </w:r>
      <w:r w:rsidRPr="00923E74">
        <w:rPr>
          <w:snapToGrid/>
          <w:szCs w:val="22"/>
          <w:lang w:val="lt-LT"/>
        </w:rPr>
        <w:t>s</w:t>
      </w:r>
      <w:r w:rsidR="00F30C43">
        <w:rPr>
          <w:snapToGrid/>
          <w:szCs w:val="22"/>
          <w:lang w:val="lt-LT"/>
        </w:rPr>
        <w:t>ės</w:t>
      </w:r>
      <w:r w:rsidRPr="00923E74">
        <w:rPr>
          <w:snapToGrid/>
          <w:szCs w:val="22"/>
          <w:lang w:val="lt-LT"/>
        </w:rPr>
        <w:t xml:space="preserve"> mažėjimas ir karščiavimas). Jeigu įtariama, kad pacientui pasireiškė </w:t>
      </w:r>
      <w:proofErr w:type="spellStart"/>
      <w:r w:rsidRPr="00923E74">
        <w:rPr>
          <w:snapToGrid/>
          <w:szCs w:val="22"/>
          <w:lang w:val="lt-LT"/>
        </w:rPr>
        <w:t>intersticinė</w:t>
      </w:r>
      <w:proofErr w:type="spellEnd"/>
      <w:r w:rsidRPr="00923E74">
        <w:rPr>
          <w:snapToGrid/>
          <w:szCs w:val="22"/>
          <w:lang w:val="lt-LT"/>
        </w:rPr>
        <w:t xml:space="preserve"> plaučių liga, gydymą </w:t>
      </w:r>
      <w:proofErr w:type="spellStart"/>
      <w:r w:rsidRPr="00923E74">
        <w:rPr>
          <w:snapToGrid/>
          <w:szCs w:val="22"/>
          <w:lang w:val="lt-LT"/>
        </w:rPr>
        <w:t>statinais</w:t>
      </w:r>
      <w:proofErr w:type="spellEnd"/>
      <w:r w:rsidRPr="00923E74">
        <w:rPr>
          <w:snapToGrid/>
          <w:szCs w:val="22"/>
          <w:lang w:val="lt-LT"/>
        </w:rPr>
        <w:t xml:space="preserve"> reikia nutraukti.</w:t>
      </w:r>
    </w:p>
    <w:p w14:paraId="577FBADC" w14:textId="77777777" w:rsidR="006C2CD7" w:rsidRPr="00923E74" w:rsidRDefault="006C2CD7" w:rsidP="00A31E3A">
      <w:pPr>
        <w:widowControl w:val="0"/>
        <w:tabs>
          <w:tab w:val="clear" w:pos="567"/>
          <w:tab w:val="left" w:pos="1296"/>
        </w:tabs>
        <w:autoSpaceDE w:val="0"/>
        <w:autoSpaceDN w:val="0"/>
        <w:adjustRightInd w:val="0"/>
        <w:snapToGrid w:val="0"/>
        <w:spacing w:line="240" w:lineRule="auto"/>
        <w:rPr>
          <w:iCs/>
          <w:snapToGrid/>
          <w:szCs w:val="22"/>
          <w:lang w:val="lt-LT" w:eastAsia="sl-SI"/>
        </w:rPr>
      </w:pPr>
    </w:p>
    <w:p w14:paraId="5A306C27" w14:textId="77777777" w:rsidR="006C2CD7" w:rsidRPr="00923E74" w:rsidRDefault="006C2CD7" w:rsidP="007E15ED">
      <w:pPr>
        <w:keepNext/>
        <w:widowControl w:val="0"/>
        <w:tabs>
          <w:tab w:val="clear" w:pos="567"/>
          <w:tab w:val="left" w:pos="1296"/>
        </w:tabs>
        <w:autoSpaceDE w:val="0"/>
        <w:autoSpaceDN w:val="0"/>
        <w:adjustRightInd w:val="0"/>
        <w:snapToGrid w:val="0"/>
        <w:spacing w:line="240" w:lineRule="auto"/>
        <w:rPr>
          <w:snapToGrid/>
          <w:szCs w:val="22"/>
          <w:u w:val="single"/>
          <w:lang w:val="lt-LT" w:eastAsia="sl-SI"/>
        </w:rPr>
      </w:pPr>
      <w:r w:rsidRPr="00923E74">
        <w:rPr>
          <w:snapToGrid/>
          <w:szCs w:val="22"/>
          <w:u w:val="single"/>
          <w:lang w:val="lt-LT" w:eastAsia="sl-SI"/>
        </w:rPr>
        <w:t>Cukrinis diabetas</w:t>
      </w:r>
    </w:p>
    <w:p w14:paraId="0EB1F308" w14:textId="6755A120" w:rsidR="006C2CD7" w:rsidRPr="00923E74" w:rsidRDefault="006C2CD7" w:rsidP="00A31E3A">
      <w:pPr>
        <w:widowControl w:val="0"/>
        <w:snapToGrid w:val="0"/>
        <w:spacing w:line="240" w:lineRule="auto"/>
        <w:rPr>
          <w:snapToGrid/>
          <w:szCs w:val="22"/>
          <w:lang w:val="lt-LT"/>
        </w:rPr>
      </w:pPr>
      <w:r w:rsidRPr="00923E74">
        <w:rPr>
          <w:snapToGrid/>
          <w:szCs w:val="22"/>
          <w:lang w:val="lt-LT"/>
        </w:rPr>
        <w:t xml:space="preserve">Yra tam tikrų duomenų, kad </w:t>
      </w:r>
      <w:proofErr w:type="spellStart"/>
      <w:r w:rsidRPr="00923E74">
        <w:rPr>
          <w:snapToGrid/>
          <w:szCs w:val="22"/>
          <w:lang w:val="lt-LT"/>
        </w:rPr>
        <w:t>statinai</w:t>
      </w:r>
      <w:proofErr w:type="spellEnd"/>
      <w:r w:rsidRPr="00923E74">
        <w:rPr>
          <w:snapToGrid/>
          <w:szCs w:val="22"/>
          <w:lang w:val="lt-LT"/>
        </w:rPr>
        <w:t xml:space="preserve"> (kaip klasė) didina gliukozės </w:t>
      </w:r>
      <w:proofErr w:type="spellStart"/>
      <w:r w:rsidRPr="00923E74">
        <w:rPr>
          <w:snapToGrid/>
          <w:szCs w:val="22"/>
          <w:lang w:val="lt-LT"/>
        </w:rPr>
        <w:t>k</w:t>
      </w:r>
      <w:r w:rsidR="009E3B70">
        <w:rPr>
          <w:snapToGrid/>
          <w:szCs w:val="22"/>
          <w:lang w:val="lt-LT"/>
        </w:rPr>
        <w:t>onc</w:t>
      </w:r>
      <w:r w:rsidRPr="00923E74">
        <w:rPr>
          <w:snapToGrid/>
          <w:szCs w:val="22"/>
          <w:lang w:val="lt-LT"/>
        </w:rPr>
        <w:t>e</w:t>
      </w:r>
      <w:r w:rsidR="009E3B70">
        <w:rPr>
          <w:snapToGrid/>
          <w:szCs w:val="22"/>
          <w:lang w:val="lt-LT"/>
        </w:rPr>
        <w:t>traciją</w:t>
      </w:r>
      <w:proofErr w:type="spellEnd"/>
      <w:r w:rsidRPr="00923E74">
        <w:rPr>
          <w:snapToGrid/>
          <w:szCs w:val="22"/>
          <w:lang w:val="lt-LT"/>
        </w:rPr>
        <w:t xml:space="preserve"> kraujyje ir kai kuriems pacientams, turintiems padid</w:t>
      </w:r>
      <w:r w:rsidR="00F30C43">
        <w:rPr>
          <w:snapToGrid/>
          <w:szCs w:val="22"/>
          <w:lang w:val="lt-LT"/>
        </w:rPr>
        <w:t>ėjusi</w:t>
      </w:r>
      <w:r w:rsidRPr="00923E74">
        <w:rPr>
          <w:snapToGrid/>
          <w:szCs w:val="22"/>
          <w:lang w:val="lt-LT"/>
        </w:rPr>
        <w:t xml:space="preserve">ą cukrinio diabeto pasireiškimo riziką, gali sukelti hiperglikemiją, kuri pagal gaires turi būti gydoma kaip cukrinis diabetas. Vis dėlto šią riziką persveria </w:t>
      </w:r>
      <w:proofErr w:type="spellStart"/>
      <w:r w:rsidRPr="00923E74">
        <w:rPr>
          <w:snapToGrid/>
          <w:szCs w:val="22"/>
          <w:lang w:val="lt-LT"/>
        </w:rPr>
        <w:t>statinų</w:t>
      </w:r>
      <w:proofErr w:type="spellEnd"/>
      <w:r w:rsidRPr="00923E74">
        <w:rPr>
          <w:snapToGrid/>
          <w:szCs w:val="22"/>
          <w:lang w:val="lt-LT"/>
        </w:rPr>
        <w:t xml:space="preserve"> sukeliamas kraujagyslinės rizikos sumažėjimas ir tai neturi būti gydymo nutraukimo priežastis. Turi būti stebima rizikos grupės pacientų (gliukozės </w:t>
      </w:r>
      <w:proofErr w:type="spellStart"/>
      <w:r w:rsidRPr="00923E74">
        <w:rPr>
          <w:snapToGrid/>
          <w:szCs w:val="22"/>
          <w:lang w:val="lt-LT"/>
        </w:rPr>
        <w:t>k</w:t>
      </w:r>
      <w:r w:rsidR="009E3B70">
        <w:rPr>
          <w:snapToGrid/>
          <w:szCs w:val="22"/>
          <w:lang w:val="lt-LT"/>
        </w:rPr>
        <w:t>once</w:t>
      </w:r>
      <w:r w:rsidRPr="00923E74">
        <w:rPr>
          <w:snapToGrid/>
          <w:szCs w:val="22"/>
          <w:lang w:val="lt-LT"/>
        </w:rPr>
        <w:t>e</w:t>
      </w:r>
      <w:r w:rsidR="009E3B70">
        <w:rPr>
          <w:snapToGrid/>
          <w:szCs w:val="22"/>
          <w:lang w:val="lt-LT"/>
        </w:rPr>
        <w:t>ntrac</w:t>
      </w:r>
      <w:r w:rsidRPr="00923E74">
        <w:rPr>
          <w:snapToGrid/>
          <w:szCs w:val="22"/>
          <w:lang w:val="lt-LT"/>
        </w:rPr>
        <w:t>i</w:t>
      </w:r>
      <w:r w:rsidR="009E3B70">
        <w:rPr>
          <w:snapToGrid/>
          <w:szCs w:val="22"/>
          <w:lang w:val="lt-LT"/>
        </w:rPr>
        <w:t>ja</w:t>
      </w:r>
      <w:proofErr w:type="spellEnd"/>
      <w:r w:rsidRPr="00923E74">
        <w:rPr>
          <w:snapToGrid/>
          <w:szCs w:val="22"/>
          <w:lang w:val="lt-LT"/>
        </w:rPr>
        <w:t xml:space="preserve"> nevalgius 5,6</w:t>
      </w:r>
      <w:r w:rsidRPr="00923E74">
        <w:rPr>
          <w:snapToGrid/>
          <w:szCs w:val="22"/>
          <w:lang w:val="lt-LT"/>
        </w:rPr>
        <w:noBreakHyphen/>
        <w:t>6,9 </w:t>
      </w:r>
      <w:proofErr w:type="spellStart"/>
      <w:r w:rsidRPr="00923E74">
        <w:rPr>
          <w:snapToGrid/>
          <w:szCs w:val="22"/>
          <w:lang w:val="lt-LT"/>
        </w:rPr>
        <w:t>mmol</w:t>
      </w:r>
      <w:proofErr w:type="spellEnd"/>
      <w:r w:rsidRPr="00923E74">
        <w:rPr>
          <w:snapToGrid/>
          <w:szCs w:val="22"/>
          <w:lang w:val="lt-LT"/>
        </w:rPr>
        <w:t>/l, kūno masės indeksas (KMI) &gt;</w:t>
      </w:r>
      <w:r w:rsidR="009E3B70">
        <w:rPr>
          <w:snapToGrid/>
          <w:szCs w:val="22"/>
          <w:lang w:val="lt-LT"/>
        </w:rPr>
        <w:t> </w:t>
      </w:r>
      <w:r w:rsidRPr="00923E74">
        <w:rPr>
          <w:snapToGrid/>
          <w:szCs w:val="22"/>
          <w:lang w:val="lt-LT"/>
        </w:rPr>
        <w:t>30 kg/m</w:t>
      </w:r>
      <w:r w:rsidRPr="00923E74">
        <w:rPr>
          <w:snapToGrid/>
          <w:szCs w:val="22"/>
          <w:vertAlign w:val="superscript"/>
          <w:lang w:val="lt-LT"/>
        </w:rPr>
        <w:t>2</w:t>
      </w:r>
      <w:r w:rsidRPr="00923E74">
        <w:rPr>
          <w:snapToGrid/>
          <w:szCs w:val="22"/>
          <w:lang w:val="lt-LT"/>
        </w:rPr>
        <w:t>, padidėj</w:t>
      </w:r>
      <w:r w:rsidR="009E3B70">
        <w:rPr>
          <w:snapToGrid/>
          <w:szCs w:val="22"/>
          <w:lang w:val="lt-LT"/>
        </w:rPr>
        <w:t>u</w:t>
      </w:r>
      <w:r w:rsidRPr="00923E74">
        <w:rPr>
          <w:snapToGrid/>
          <w:szCs w:val="22"/>
          <w:lang w:val="lt-LT"/>
        </w:rPr>
        <w:t>s</w:t>
      </w:r>
      <w:r w:rsidR="009E3B70">
        <w:rPr>
          <w:snapToGrid/>
          <w:szCs w:val="22"/>
          <w:lang w:val="lt-LT"/>
        </w:rPr>
        <w:t>i</w:t>
      </w:r>
      <w:r w:rsidRPr="00923E74">
        <w:rPr>
          <w:snapToGrid/>
          <w:szCs w:val="22"/>
          <w:lang w:val="lt-LT"/>
        </w:rPr>
        <w:t xml:space="preserve"> trigliceridų k</w:t>
      </w:r>
      <w:r w:rsidR="009E3B70">
        <w:rPr>
          <w:snapToGrid/>
          <w:szCs w:val="22"/>
          <w:lang w:val="lt-LT"/>
        </w:rPr>
        <w:t>onc</w:t>
      </w:r>
      <w:r w:rsidRPr="00923E74">
        <w:rPr>
          <w:snapToGrid/>
          <w:szCs w:val="22"/>
          <w:lang w:val="lt-LT"/>
        </w:rPr>
        <w:t>e</w:t>
      </w:r>
      <w:r w:rsidR="009E3B70">
        <w:rPr>
          <w:snapToGrid/>
          <w:szCs w:val="22"/>
          <w:lang w:val="lt-LT"/>
        </w:rPr>
        <w:t>ntrac</w:t>
      </w:r>
      <w:r w:rsidRPr="00923E74">
        <w:rPr>
          <w:snapToGrid/>
          <w:szCs w:val="22"/>
          <w:lang w:val="lt-LT"/>
        </w:rPr>
        <w:t>i</w:t>
      </w:r>
      <w:r w:rsidR="009E3B70">
        <w:rPr>
          <w:snapToGrid/>
          <w:szCs w:val="22"/>
          <w:lang w:val="lt-LT"/>
        </w:rPr>
        <w:t>ja</w:t>
      </w:r>
      <w:r w:rsidRPr="00923E74">
        <w:rPr>
          <w:snapToGrid/>
          <w:szCs w:val="22"/>
          <w:lang w:val="lt-LT"/>
        </w:rPr>
        <w:t>, hipertenzija) klinikinė būklė ir biocheminiai rod</w:t>
      </w:r>
      <w:r w:rsidR="009E3B70">
        <w:rPr>
          <w:snapToGrid/>
          <w:szCs w:val="22"/>
          <w:lang w:val="lt-LT"/>
        </w:rPr>
        <w:t>ikliai</w:t>
      </w:r>
      <w:r w:rsidRPr="00923E74">
        <w:rPr>
          <w:snapToGrid/>
          <w:szCs w:val="22"/>
          <w:lang w:val="lt-LT"/>
        </w:rPr>
        <w:t xml:space="preserve"> (remiantis nacionalinėmis gairėmis).</w:t>
      </w:r>
    </w:p>
    <w:p w14:paraId="5BC52BBB" w14:textId="77777777" w:rsidR="006C2CD7" w:rsidRPr="00923E74" w:rsidRDefault="006C2CD7" w:rsidP="00A31E3A">
      <w:pPr>
        <w:spacing w:line="240" w:lineRule="auto"/>
        <w:rPr>
          <w:snapToGrid/>
          <w:szCs w:val="22"/>
          <w:lang w:val="lt-LT"/>
        </w:rPr>
      </w:pPr>
    </w:p>
    <w:p w14:paraId="362B9D1F" w14:textId="77777777" w:rsidR="001818AC" w:rsidRPr="00923E74" w:rsidRDefault="003B0A49" w:rsidP="007E15ED">
      <w:pPr>
        <w:keepNext/>
        <w:spacing w:line="240" w:lineRule="auto"/>
        <w:rPr>
          <w:snapToGrid/>
          <w:szCs w:val="22"/>
          <w:u w:val="single"/>
          <w:lang w:val="lt-LT"/>
        </w:rPr>
      </w:pPr>
      <w:r w:rsidRPr="00923E74">
        <w:rPr>
          <w:snapToGrid/>
          <w:szCs w:val="22"/>
          <w:u w:val="single"/>
          <w:lang w:val="lt-LT"/>
        </w:rPr>
        <w:t>Pagalbinės medžiagos</w:t>
      </w:r>
    </w:p>
    <w:p w14:paraId="42376F3A" w14:textId="0D5C6483" w:rsidR="001818AC" w:rsidRPr="007E15ED" w:rsidRDefault="003B0A49" w:rsidP="007E15ED">
      <w:pPr>
        <w:keepNext/>
        <w:spacing w:line="240" w:lineRule="auto"/>
        <w:rPr>
          <w:i/>
          <w:snapToGrid/>
          <w:szCs w:val="22"/>
          <w:lang w:val="lt-LT"/>
        </w:rPr>
      </w:pPr>
      <w:proofErr w:type="spellStart"/>
      <w:r w:rsidRPr="007E15ED">
        <w:rPr>
          <w:i/>
          <w:snapToGrid/>
          <w:szCs w:val="22"/>
          <w:lang w:val="lt-LT"/>
        </w:rPr>
        <w:t>Torzelip</w:t>
      </w:r>
      <w:proofErr w:type="spellEnd"/>
      <w:r w:rsidRPr="007E15ED">
        <w:rPr>
          <w:i/>
          <w:snapToGrid/>
          <w:szCs w:val="22"/>
          <w:lang w:val="lt-LT"/>
        </w:rPr>
        <w:t xml:space="preserve"> sudėtyje yra laktozės</w:t>
      </w:r>
    </w:p>
    <w:p w14:paraId="63B2CA0D" w14:textId="77777777" w:rsidR="001818AC" w:rsidRPr="00923E74" w:rsidRDefault="00505F7D" w:rsidP="00A31E3A">
      <w:pPr>
        <w:spacing w:line="240" w:lineRule="auto"/>
        <w:rPr>
          <w:snapToGrid/>
          <w:szCs w:val="22"/>
          <w:lang w:val="lt-LT"/>
        </w:rPr>
      </w:pPr>
      <w:r w:rsidRPr="00923E74">
        <w:rPr>
          <w:snapToGrid/>
          <w:szCs w:val="22"/>
          <w:lang w:val="lt-LT"/>
        </w:rPr>
        <w:t xml:space="preserve">Šio vaistinio preparato negalima vartoti pacientams, kuriems nustatytas retas paveldimas sutrikimas – </w:t>
      </w:r>
      <w:proofErr w:type="spellStart"/>
      <w:r w:rsidRPr="00923E74">
        <w:rPr>
          <w:snapToGrid/>
          <w:szCs w:val="22"/>
          <w:lang w:val="lt-LT"/>
        </w:rPr>
        <w:t>galaktozės</w:t>
      </w:r>
      <w:proofErr w:type="spellEnd"/>
      <w:r w:rsidRPr="00923E74">
        <w:rPr>
          <w:snapToGrid/>
          <w:szCs w:val="22"/>
          <w:lang w:val="lt-LT"/>
        </w:rPr>
        <w:t xml:space="preserve"> netoleravimas, visiškas laktazės stygius arba gliukozės ir </w:t>
      </w:r>
      <w:proofErr w:type="spellStart"/>
      <w:r w:rsidRPr="00923E74">
        <w:rPr>
          <w:snapToGrid/>
          <w:szCs w:val="22"/>
          <w:lang w:val="lt-LT"/>
        </w:rPr>
        <w:t>galaktozės</w:t>
      </w:r>
      <w:proofErr w:type="spellEnd"/>
      <w:r w:rsidRPr="00923E74">
        <w:rPr>
          <w:snapToGrid/>
          <w:szCs w:val="22"/>
          <w:lang w:val="lt-LT"/>
        </w:rPr>
        <w:t xml:space="preserve"> </w:t>
      </w:r>
      <w:proofErr w:type="spellStart"/>
      <w:r w:rsidRPr="00923E74">
        <w:rPr>
          <w:snapToGrid/>
          <w:szCs w:val="22"/>
          <w:lang w:val="lt-LT"/>
        </w:rPr>
        <w:t>malabsorbcija</w:t>
      </w:r>
      <w:proofErr w:type="spellEnd"/>
      <w:r w:rsidR="00E41A89">
        <w:rPr>
          <w:snapToGrid/>
          <w:szCs w:val="22"/>
          <w:lang w:val="lt-LT"/>
        </w:rPr>
        <w:t>.</w:t>
      </w:r>
    </w:p>
    <w:p w14:paraId="5CFE4796" w14:textId="77777777" w:rsidR="00505F7D" w:rsidRPr="00923E74" w:rsidRDefault="00505F7D" w:rsidP="00A31E3A">
      <w:pPr>
        <w:spacing w:line="240" w:lineRule="auto"/>
        <w:rPr>
          <w:snapToGrid/>
          <w:szCs w:val="22"/>
          <w:lang w:val="lt-LT"/>
        </w:rPr>
      </w:pPr>
    </w:p>
    <w:p w14:paraId="220D30CB" w14:textId="10C52E9F" w:rsidR="003B0A49" w:rsidRPr="007E15ED" w:rsidRDefault="003B0A49" w:rsidP="007E15ED">
      <w:pPr>
        <w:keepNext/>
        <w:spacing w:line="240" w:lineRule="auto"/>
        <w:rPr>
          <w:i/>
          <w:snapToGrid/>
          <w:szCs w:val="22"/>
          <w:lang w:val="lt-LT"/>
        </w:rPr>
      </w:pPr>
      <w:proofErr w:type="spellStart"/>
      <w:r w:rsidRPr="007E15ED">
        <w:rPr>
          <w:i/>
          <w:snapToGrid/>
          <w:szCs w:val="22"/>
          <w:lang w:val="lt-LT"/>
        </w:rPr>
        <w:t>Torzelip</w:t>
      </w:r>
      <w:proofErr w:type="spellEnd"/>
      <w:r w:rsidRPr="007E15ED">
        <w:rPr>
          <w:i/>
          <w:snapToGrid/>
          <w:szCs w:val="22"/>
          <w:lang w:val="lt-LT"/>
        </w:rPr>
        <w:t xml:space="preserve"> sudėtyje yra natrio</w:t>
      </w:r>
    </w:p>
    <w:p w14:paraId="6F15936A" w14:textId="2ECCA305" w:rsidR="00505F7D" w:rsidRPr="00923E74" w:rsidRDefault="00E7260E" w:rsidP="00A31E3A">
      <w:pPr>
        <w:widowControl w:val="0"/>
        <w:tabs>
          <w:tab w:val="clear" w:pos="567"/>
        </w:tabs>
        <w:spacing w:line="240" w:lineRule="auto"/>
        <w:rPr>
          <w:snapToGrid/>
          <w:szCs w:val="22"/>
          <w:lang w:val="lt-LT" w:eastAsia="sl-SI"/>
        </w:rPr>
      </w:pPr>
      <w:r>
        <w:rPr>
          <w:snapToGrid/>
          <w:szCs w:val="22"/>
          <w:lang w:val="lt-LT"/>
        </w:rPr>
        <w:t>Šio vaistinio preparato</w:t>
      </w:r>
      <w:r w:rsidR="00505F7D" w:rsidRPr="00923E74">
        <w:rPr>
          <w:snapToGrid/>
          <w:szCs w:val="22"/>
          <w:lang w:val="lt-LT"/>
        </w:rPr>
        <w:t xml:space="preserve"> </w:t>
      </w:r>
      <w:r w:rsidR="00505F7D" w:rsidRPr="00923E74">
        <w:rPr>
          <w:snapToGrid/>
          <w:szCs w:val="22"/>
          <w:lang w:val="lt-LT" w:eastAsia="sl-SI"/>
        </w:rPr>
        <w:t>tabletėje yra mažiau kaip 1 </w:t>
      </w:r>
      <w:proofErr w:type="spellStart"/>
      <w:r w:rsidR="00505F7D" w:rsidRPr="00923E74">
        <w:rPr>
          <w:snapToGrid/>
          <w:szCs w:val="22"/>
          <w:lang w:val="lt-LT" w:eastAsia="sl-SI"/>
        </w:rPr>
        <w:t>mmol</w:t>
      </w:r>
      <w:proofErr w:type="spellEnd"/>
      <w:r w:rsidR="00505F7D" w:rsidRPr="00923E74">
        <w:rPr>
          <w:snapToGrid/>
          <w:szCs w:val="22"/>
          <w:lang w:val="lt-LT" w:eastAsia="sl-SI"/>
        </w:rPr>
        <w:t xml:space="preserve"> (23</w:t>
      </w:r>
      <w:r w:rsidR="00DB52C7" w:rsidRPr="00923E74">
        <w:rPr>
          <w:snapToGrid/>
          <w:szCs w:val="22"/>
          <w:lang w:val="lt-LT" w:eastAsia="sl-SI"/>
        </w:rPr>
        <w:t> mg</w:t>
      </w:r>
      <w:r w:rsidR="00505F7D" w:rsidRPr="00923E74">
        <w:rPr>
          <w:snapToGrid/>
          <w:szCs w:val="22"/>
          <w:lang w:val="lt-LT" w:eastAsia="sl-SI"/>
        </w:rPr>
        <w:t>) natrio, t.</w:t>
      </w:r>
      <w:r w:rsidR="009E3B70">
        <w:rPr>
          <w:snapToGrid/>
          <w:szCs w:val="22"/>
          <w:lang w:val="lt-LT" w:eastAsia="sl-SI"/>
        </w:rPr>
        <w:t> </w:t>
      </w:r>
      <w:r w:rsidR="00505F7D" w:rsidRPr="00923E74">
        <w:rPr>
          <w:snapToGrid/>
          <w:szCs w:val="22"/>
          <w:lang w:val="lt-LT" w:eastAsia="sl-SI"/>
        </w:rPr>
        <w:t>y. jis beveik neturi reikšmės.</w:t>
      </w:r>
    </w:p>
    <w:p w14:paraId="29C54823" w14:textId="77777777" w:rsidR="00381B7D" w:rsidRPr="00923E74" w:rsidRDefault="00381B7D" w:rsidP="00A31E3A">
      <w:pPr>
        <w:widowControl w:val="0"/>
        <w:tabs>
          <w:tab w:val="clear" w:pos="567"/>
        </w:tabs>
        <w:spacing w:line="240" w:lineRule="auto"/>
        <w:rPr>
          <w:snapToGrid/>
          <w:szCs w:val="22"/>
          <w:lang w:val="lt-LT" w:eastAsia="sl-SI"/>
        </w:rPr>
      </w:pPr>
    </w:p>
    <w:p w14:paraId="106D3FA8"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lastRenderedPageBreak/>
        <w:t>4.5</w:t>
      </w:r>
      <w:r w:rsidRPr="00923E74">
        <w:rPr>
          <w:b/>
          <w:snapToGrid/>
          <w:szCs w:val="22"/>
          <w:lang w:val="lt-LT" w:eastAsia="sl-SI"/>
        </w:rPr>
        <w:tab/>
        <w:t>Sąveika su kitais vistiniais preparatais ir kitokia sąveika</w:t>
      </w:r>
    </w:p>
    <w:p w14:paraId="4A2FDACF" w14:textId="77777777" w:rsidR="00381B7D" w:rsidRPr="00923E74" w:rsidRDefault="00381B7D" w:rsidP="007E15ED">
      <w:pPr>
        <w:keepNext/>
        <w:widowControl w:val="0"/>
        <w:tabs>
          <w:tab w:val="clear" w:pos="567"/>
        </w:tabs>
        <w:spacing w:line="240" w:lineRule="auto"/>
        <w:rPr>
          <w:snapToGrid/>
          <w:szCs w:val="22"/>
          <w:lang w:val="lt-LT" w:eastAsia="sl-SI"/>
        </w:rPr>
      </w:pPr>
    </w:p>
    <w:p w14:paraId="28EA1BAE" w14:textId="77777777" w:rsidR="00F93DE4" w:rsidRPr="00923E74" w:rsidRDefault="00AC7D66" w:rsidP="007E15ED">
      <w:pPr>
        <w:keepNext/>
        <w:spacing w:line="240" w:lineRule="auto"/>
        <w:ind w:left="567" w:hanging="567"/>
        <w:rPr>
          <w:snapToGrid/>
          <w:szCs w:val="22"/>
          <w:u w:val="single"/>
          <w:lang w:val="lt-LT"/>
        </w:rPr>
      </w:pPr>
      <w:proofErr w:type="spellStart"/>
      <w:r w:rsidRPr="00923E74">
        <w:rPr>
          <w:snapToGrid/>
          <w:szCs w:val="22"/>
          <w:u w:val="single"/>
          <w:lang w:val="lt-LT"/>
        </w:rPr>
        <w:t>Farmakodinaminė</w:t>
      </w:r>
      <w:proofErr w:type="spellEnd"/>
      <w:r w:rsidRPr="00923E74">
        <w:rPr>
          <w:snapToGrid/>
          <w:szCs w:val="22"/>
          <w:u w:val="single"/>
          <w:lang w:val="lt-LT"/>
        </w:rPr>
        <w:t xml:space="preserve"> sąveika</w:t>
      </w:r>
    </w:p>
    <w:p w14:paraId="3834ABF1" w14:textId="31D28CE5" w:rsidR="00F01FC0" w:rsidRPr="00923E74" w:rsidRDefault="00F01FC0" w:rsidP="00A31E3A">
      <w:pPr>
        <w:spacing w:line="240" w:lineRule="auto"/>
        <w:rPr>
          <w:snapToGrid/>
          <w:szCs w:val="22"/>
          <w:lang w:val="lt-LT"/>
        </w:rPr>
      </w:pPr>
      <w:r w:rsidRPr="00923E74">
        <w:rPr>
          <w:snapToGrid/>
          <w:szCs w:val="22"/>
          <w:lang w:val="lt-LT"/>
        </w:rPr>
        <w:t xml:space="preserve">Galimą sąveiką su </w:t>
      </w:r>
      <w:r w:rsidR="00F93DE4" w:rsidRPr="00923E74">
        <w:rPr>
          <w:snapToGrid/>
          <w:szCs w:val="22"/>
          <w:lang w:val="lt-LT"/>
        </w:rPr>
        <w:t>HMG</w:t>
      </w:r>
      <w:r w:rsidR="009E3B70">
        <w:rPr>
          <w:snapToGrid/>
          <w:szCs w:val="22"/>
          <w:lang w:val="lt-LT"/>
        </w:rPr>
        <w:t> </w:t>
      </w:r>
      <w:r w:rsidR="00500CA7" w:rsidRPr="00923E74">
        <w:rPr>
          <w:snapToGrid/>
          <w:szCs w:val="22"/>
          <w:lang w:val="lt-LT"/>
        </w:rPr>
        <w:t>K</w:t>
      </w:r>
      <w:r w:rsidR="00F93DE4" w:rsidRPr="00923E74">
        <w:rPr>
          <w:snapToGrid/>
          <w:szCs w:val="22"/>
          <w:lang w:val="lt-LT"/>
        </w:rPr>
        <w:t>o</w:t>
      </w:r>
      <w:r w:rsidR="009E3B70">
        <w:rPr>
          <w:snapToGrid/>
          <w:szCs w:val="22"/>
          <w:lang w:val="lt-LT"/>
        </w:rPr>
        <w:noBreakHyphen/>
      </w:r>
      <w:r w:rsidR="00F93DE4" w:rsidRPr="00923E74">
        <w:rPr>
          <w:snapToGrid/>
          <w:szCs w:val="22"/>
          <w:lang w:val="lt-LT"/>
        </w:rPr>
        <w:t>A</w:t>
      </w:r>
      <w:r w:rsidR="009E3B70">
        <w:rPr>
          <w:snapToGrid/>
          <w:szCs w:val="22"/>
          <w:lang w:val="lt-LT"/>
        </w:rPr>
        <w:t> </w:t>
      </w:r>
      <w:r w:rsidR="00F93DE4" w:rsidRPr="00923E74">
        <w:rPr>
          <w:snapToGrid/>
          <w:szCs w:val="22"/>
          <w:lang w:val="lt-LT"/>
        </w:rPr>
        <w:t>redu</w:t>
      </w:r>
      <w:r w:rsidR="009E3B70">
        <w:rPr>
          <w:snapToGrid/>
          <w:szCs w:val="22"/>
          <w:lang w:val="lt-LT"/>
        </w:rPr>
        <w:t>k</w:t>
      </w:r>
      <w:r w:rsidR="00F93DE4" w:rsidRPr="00923E74">
        <w:rPr>
          <w:snapToGrid/>
          <w:szCs w:val="22"/>
          <w:lang w:val="lt-LT"/>
        </w:rPr>
        <w:t>ta</w:t>
      </w:r>
      <w:r w:rsidRPr="00923E74">
        <w:rPr>
          <w:snapToGrid/>
          <w:szCs w:val="22"/>
          <w:lang w:val="lt-LT"/>
        </w:rPr>
        <w:t xml:space="preserve">zės inhibitoriais gali </w:t>
      </w:r>
      <w:r w:rsidR="00500CA7" w:rsidRPr="00923E74">
        <w:rPr>
          <w:snapToGrid/>
          <w:szCs w:val="22"/>
          <w:lang w:val="lt-LT"/>
        </w:rPr>
        <w:t>sukelti</w:t>
      </w:r>
      <w:r w:rsidRPr="00923E74">
        <w:rPr>
          <w:snapToGrid/>
          <w:szCs w:val="22"/>
          <w:lang w:val="lt-LT"/>
        </w:rPr>
        <w:t xml:space="preserve"> įvairūs mechanizmai. Vaistiniai ar augaliniai </w:t>
      </w:r>
      <w:r w:rsidR="009E3B70">
        <w:rPr>
          <w:snapToGrid/>
          <w:szCs w:val="22"/>
          <w:lang w:val="lt-LT"/>
        </w:rPr>
        <w:t xml:space="preserve">vaistiniai </w:t>
      </w:r>
      <w:r w:rsidRPr="00923E74">
        <w:rPr>
          <w:snapToGrid/>
          <w:szCs w:val="22"/>
          <w:lang w:val="lt-LT"/>
        </w:rPr>
        <w:t xml:space="preserve">preparatai, kurie slopina kai kuriuos fermentus (pvz., </w:t>
      </w:r>
      <w:r w:rsidR="00F93DE4" w:rsidRPr="00923E74">
        <w:rPr>
          <w:snapToGrid/>
          <w:szCs w:val="22"/>
          <w:lang w:val="lt-LT"/>
        </w:rPr>
        <w:t xml:space="preserve">CYP3A4) </w:t>
      </w:r>
      <w:r w:rsidRPr="00923E74">
        <w:rPr>
          <w:snapToGrid/>
          <w:szCs w:val="22"/>
          <w:lang w:val="lt-LT"/>
        </w:rPr>
        <w:t>ir</w:t>
      </w:r>
      <w:r w:rsidR="009E3B70">
        <w:rPr>
          <w:snapToGrid/>
          <w:szCs w:val="22"/>
          <w:lang w:val="lt-LT"/>
        </w:rPr>
        <w:t> </w:t>
      </w:r>
      <w:r w:rsidRPr="00923E74">
        <w:rPr>
          <w:snapToGrid/>
          <w:szCs w:val="22"/>
          <w:lang w:val="lt-LT"/>
        </w:rPr>
        <w:t xml:space="preserve">(arba) </w:t>
      </w:r>
      <w:proofErr w:type="spellStart"/>
      <w:r w:rsidRPr="00923E74">
        <w:rPr>
          <w:snapToGrid/>
          <w:szCs w:val="22"/>
          <w:lang w:val="lt-LT"/>
        </w:rPr>
        <w:t>pernešiklius</w:t>
      </w:r>
      <w:proofErr w:type="spellEnd"/>
      <w:r w:rsidR="00F93DE4" w:rsidRPr="00923E74">
        <w:rPr>
          <w:snapToGrid/>
          <w:szCs w:val="22"/>
          <w:lang w:val="lt-LT"/>
        </w:rPr>
        <w:t xml:space="preserve"> (</w:t>
      </w:r>
      <w:r w:rsidRPr="00923E74">
        <w:rPr>
          <w:snapToGrid/>
          <w:szCs w:val="22"/>
          <w:lang w:val="lt-LT"/>
        </w:rPr>
        <w:t xml:space="preserve">pvz., OATP1B), gali didinti </w:t>
      </w:r>
      <w:proofErr w:type="spellStart"/>
      <w:r w:rsidR="00F93DE4" w:rsidRPr="00923E74">
        <w:rPr>
          <w:snapToGrid/>
          <w:szCs w:val="22"/>
          <w:lang w:val="lt-LT"/>
        </w:rPr>
        <w:t>atorvastatin</w:t>
      </w:r>
      <w:r w:rsidRPr="00923E74">
        <w:rPr>
          <w:snapToGrid/>
          <w:szCs w:val="22"/>
          <w:lang w:val="lt-LT"/>
        </w:rPr>
        <w:t>o</w:t>
      </w:r>
      <w:proofErr w:type="spellEnd"/>
      <w:r w:rsidRPr="00923E74">
        <w:rPr>
          <w:snapToGrid/>
          <w:szCs w:val="22"/>
          <w:lang w:val="lt-LT"/>
        </w:rPr>
        <w:t xml:space="preserve"> koncentraciją kraujo plazmoje ir dėl to gali padidėti </w:t>
      </w:r>
      <w:proofErr w:type="spellStart"/>
      <w:r w:rsidRPr="00923E74">
        <w:rPr>
          <w:snapToGrid/>
          <w:szCs w:val="22"/>
          <w:lang w:val="lt-LT"/>
        </w:rPr>
        <w:t>miopatijos</w:t>
      </w:r>
      <w:proofErr w:type="spellEnd"/>
      <w:r w:rsidRPr="00923E74">
        <w:rPr>
          <w:snapToGrid/>
          <w:szCs w:val="22"/>
          <w:lang w:val="lt-LT"/>
        </w:rPr>
        <w:t xml:space="preserve"> ar </w:t>
      </w:r>
      <w:proofErr w:type="spellStart"/>
      <w:r w:rsidRPr="00923E74">
        <w:rPr>
          <w:snapToGrid/>
          <w:szCs w:val="22"/>
          <w:lang w:val="lt-LT"/>
        </w:rPr>
        <w:t>rabdomiolizės</w:t>
      </w:r>
      <w:proofErr w:type="spellEnd"/>
      <w:r w:rsidRPr="00923E74">
        <w:rPr>
          <w:snapToGrid/>
          <w:szCs w:val="22"/>
          <w:lang w:val="lt-LT"/>
        </w:rPr>
        <w:t xml:space="preserve"> pasireiškimo rizika.</w:t>
      </w:r>
    </w:p>
    <w:p w14:paraId="57B50C33" w14:textId="7573E815" w:rsidR="00F01FC0" w:rsidRPr="007E15ED" w:rsidRDefault="00F01FC0" w:rsidP="00A31E3A">
      <w:pPr>
        <w:spacing w:line="240" w:lineRule="auto"/>
        <w:rPr>
          <w:snapToGrid/>
          <w:szCs w:val="22"/>
          <w:lang w:val="lt-LT"/>
        </w:rPr>
      </w:pPr>
      <w:r w:rsidRPr="007E15ED">
        <w:rPr>
          <w:snapToGrid/>
          <w:szCs w:val="22"/>
          <w:lang w:val="lt-LT"/>
        </w:rPr>
        <w:t xml:space="preserve">Būtina peržiūrėti visų kartu vartojamų vaistinių preparatų informacinius dokumentus, kad būtų gauta papildomos informacijos apie galimą sąveiką su </w:t>
      </w:r>
      <w:proofErr w:type="spellStart"/>
      <w:r w:rsidRPr="007E15ED">
        <w:rPr>
          <w:snapToGrid/>
          <w:szCs w:val="22"/>
          <w:lang w:val="lt-LT"/>
        </w:rPr>
        <w:t>atorvastatinu</w:t>
      </w:r>
      <w:proofErr w:type="spellEnd"/>
      <w:r w:rsidRPr="007E15ED">
        <w:rPr>
          <w:snapToGrid/>
          <w:szCs w:val="22"/>
          <w:lang w:val="lt-LT"/>
        </w:rPr>
        <w:t xml:space="preserve"> ir</w:t>
      </w:r>
      <w:r w:rsidR="009E3B70">
        <w:rPr>
          <w:snapToGrid/>
          <w:szCs w:val="22"/>
          <w:lang w:val="lt-LT"/>
        </w:rPr>
        <w:t> </w:t>
      </w:r>
      <w:r w:rsidRPr="007E15ED">
        <w:rPr>
          <w:snapToGrid/>
          <w:szCs w:val="22"/>
          <w:lang w:val="lt-LT"/>
        </w:rPr>
        <w:t xml:space="preserve">(arba) galimus fermentų ar </w:t>
      </w:r>
      <w:proofErr w:type="spellStart"/>
      <w:r w:rsidRPr="007E15ED">
        <w:rPr>
          <w:snapToGrid/>
          <w:szCs w:val="22"/>
          <w:lang w:val="lt-LT"/>
        </w:rPr>
        <w:t>pernešiklių</w:t>
      </w:r>
      <w:proofErr w:type="spellEnd"/>
      <w:r w:rsidRPr="007E15ED">
        <w:rPr>
          <w:snapToGrid/>
          <w:szCs w:val="22"/>
          <w:lang w:val="lt-LT"/>
        </w:rPr>
        <w:t xml:space="preserve"> pokyčius b</w:t>
      </w:r>
      <w:r w:rsidR="00500CA7" w:rsidRPr="007E15ED">
        <w:rPr>
          <w:snapToGrid/>
          <w:szCs w:val="22"/>
          <w:lang w:val="lt-LT"/>
        </w:rPr>
        <w:t>e</w:t>
      </w:r>
      <w:r w:rsidRPr="007E15ED">
        <w:rPr>
          <w:snapToGrid/>
          <w:szCs w:val="22"/>
          <w:lang w:val="lt-LT"/>
        </w:rPr>
        <w:t>i galimą dozės ir vartojimo schemos koregavimą.</w:t>
      </w:r>
    </w:p>
    <w:p w14:paraId="57A1DD96" w14:textId="77777777" w:rsidR="00F93DE4" w:rsidRPr="00923E74" w:rsidRDefault="00F93DE4" w:rsidP="00A31E3A">
      <w:pPr>
        <w:spacing w:line="240" w:lineRule="auto"/>
        <w:rPr>
          <w:snapToGrid/>
          <w:szCs w:val="22"/>
          <w:lang w:val="lt-LT"/>
        </w:rPr>
      </w:pPr>
    </w:p>
    <w:p w14:paraId="77BEB442" w14:textId="77777777" w:rsidR="00F93DE4" w:rsidRPr="00923E74" w:rsidRDefault="00AC7D66" w:rsidP="007E15ED">
      <w:pPr>
        <w:keepNext/>
        <w:spacing w:line="240" w:lineRule="auto"/>
        <w:rPr>
          <w:snapToGrid/>
          <w:szCs w:val="22"/>
          <w:u w:val="single"/>
          <w:lang w:val="lt-LT"/>
        </w:rPr>
      </w:pPr>
      <w:proofErr w:type="spellStart"/>
      <w:r w:rsidRPr="00923E74">
        <w:rPr>
          <w:snapToGrid/>
          <w:szCs w:val="22"/>
          <w:u w:val="single"/>
          <w:lang w:val="lt-LT"/>
        </w:rPr>
        <w:t>Farmakokinetinė</w:t>
      </w:r>
      <w:proofErr w:type="spellEnd"/>
      <w:r w:rsidRPr="00923E74">
        <w:rPr>
          <w:snapToGrid/>
          <w:szCs w:val="22"/>
          <w:u w:val="single"/>
          <w:lang w:val="lt-LT"/>
        </w:rPr>
        <w:t xml:space="preserve"> sąveika</w:t>
      </w:r>
    </w:p>
    <w:p w14:paraId="6A162FFA" w14:textId="7A9B64FD" w:rsidR="00F05AC5" w:rsidRPr="00923E74" w:rsidRDefault="00F05AC5" w:rsidP="00A31E3A">
      <w:pPr>
        <w:spacing w:line="240" w:lineRule="auto"/>
        <w:rPr>
          <w:snapToGrid/>
          <w:szCs w:val="22"/>
          <w:lang w:val="lt-LT"/>
        </w:rPr>
      </w:pPr>
      <w:proofErr w:type="spellStart"/>
      <w:r w:rsidRPr="00923E74">
        <w:rPr>
          <w:snapToGrid/>
          <w:szCs w:val="22"/>
          <w:lang w:val="lt-LT"/>
        </w:rPr>
        <w:t>Ezetimib</w:t>
      </w:r>
      <w:r w:rsidR="009E3B70">
        <w:rPr>
          <w:snapToGrid/>
          <w:szCs w:val="22"/>
          <w:lang w:val="lt-LT"/>
        </w:rPr>
        <w:t>o</w:t>
      </w:r>
      <w:proofErr w:type="spellEnd"/>
      <w:r w:rsidRPr="00923E74">
        <w:rPr>
          <w:snapToGrid/>
          <w:szCs w:val="22"/>
          <w:lang w:val="lt-LT"/>
        </w:rPr>
        <w:t xml:space="preserve"> vartojant kartu su </w:t>
      </w:r>
      <w:proofErr w:type="spellStart"/>
      <w:r w:rsidRPr="00923E74">
        <w:rPr>
          <w:snapToGrid/>
          <w:szCs w:val="22"/>
          <w:lang w:val="lt-LT"/>
        </w:rPr>
        <w:t>atorvastatinu</w:t>
      </w:r>
      <w:proofErr w:type="spellEnd"/>
      <w:r w:rsidRPr="00923E74">
        <w:rPr>
          <w:snapToGrid/>
          <w:szCs w:val="22"/>
          <w:lang w:val="lt-LT"/>
        </w:rPr>
        <w:t xml:space="preserve">, kliniškai reikšmingos </w:t>
      </w:r>
      <w:proofErr w:type="spellStart"/>
      <w:r w:rsidRPr="00923E74">
        <w:rPr>
          <w:snapToGrid/>
          <w:szCs w:val="22"/>
          <w:lang w:val="lt-LT"/>
        </w:rPr>
        <w:t>farmakokinetinės</w:t>
      </w:r>
      <w:proofErr w:type="spellEnd"/>
      <w:r w:rsidRPr="00923E74">
        <w:rPr>
          <w:snapToGrid/>
          <w:szCs w:val="22"/>
          <w:lang w:val="lt-LT"/>
        </w:rPr>
        <w:t xml:space="preserve"> sąveikos nenustatyta.</w:t>
      </w:r>
    </w:p>
    <w:p w14:paraId="703B6827" w14:textId="77777777" w:rsidR="00F93DE4" w:rsidRPr="00923E74" w:rsidRDefault="00F93DE4" w:rsidP="00A31E3A">
      <w:pPr>
        <w:spacing w:line="240" w:lineRule="auto"/>
        <w:rPr>
          <w:snapToGrid/>
          <w:szCs w:val="22"/>
          <w:lang w:val="lt-LT"/>
        </w:rPr>
      </w:pPr>
    </w:p>
    <w:p w14:paraId="4DA16328" w14:textId="367E2563" w:rsidR="00F93DE4" w:rsidRPr="00923E74" w:rsidRDefault="00AC7D66" w:rsidP="007E15ED">
      <w:pPr>
        <w:keepNext/>
        <w:spacing w:line="240" w:lineRule="auto"/>
        <w:rPr>
          <w:i/>
          <w:snapToGrid/>
          <w:szCs w:val="22"/>
          <w:lang w:val="lt-LT"/>
        </w:rPr>
      </w:pPr>
      <w:r w:rsidRPr="00923E74">
        <w:rPr>
          <w:snapToGrid/>
          <w:szCs w:val="22"/>
          <w:u w:val="single"/>
          <w:lang w:val="lt-LT"/>
        </w:rPr>
        <w:t xml:space="preserve">Kitų vaistinių preparatų poveikis </w:t>
      </w:r>
      <w:proofErr w:type="spellStart"/>
      <w:r w:rsidRPr="00923E74">
        <w:rPr>
          <w:snapToGrid/>
          <w:szCs w:val="22"/>
          <w:u w:val="single"/>
          <w:lang w:val="lt-LT"/>
        </w:rPr>
        <w:t>Torzelip</w:t>
      </w:r>
      <w:proofErr w:type="spellEnd"/>
    </w:p>
    <w:p w14:paraId="31C8F898" w14:textId="206D1AF6" w:rsidR="00F93DE4" w:rsidRPr="00923E74" w:rsidRDefault="00F93DE4" w:rsidP="007E15ED">
      <w:pPr>
        <w:keepNext/>
        <w:spacing w:line="240" w:lineRule="auto"/>
        <w:rPr>
          <w:i/>
          <w:snapToGrid/>
          <w:szCs w:val="22"/>
          <w:lang w:val="lt-LT"/>
        </w:rPr>
      </w:pPr>
      <w:proofErr w:type="spellStart"/>
      <w:r w:rsidRPr="007E15ED">
        <w:rPr>
          <w:i/>
          <w:snapToGrid/>
          <w:szCs w:val="22"/>
          <w:u w:val="single"/>
          <w:lang w:val="lt-LT"/>
        </w:rPr>
        <w:t>Ezetimib</w:t>
      </w:r>
      <w:r w:rsidR="00AC7D66" w:rsidRPr="007E15ED">
        <w:rPr>
          <w:i/>
          <w:snapToGrid/>
          <w:szCs w:val="22"/>
          <w:u w:val="single"/>
          <w:lang w:val="lt-LT"/>
        </w:rPr>
        <w:t>as</w:t>
      </w:r>
      <w:proofErr w:type="spellEnd"/>
    </w:p>
    <w:p w14:paraId="05F5A342" w14:textId="77777777" w:rsidR="009E3B70" w:rsidRDefault="00F93DE4" w:rsidP="007E15ED">
      <w:pPr>
        <w:keepNext/>
        <w:spacing w:line="240" w:lineRule="auto"/>
        <w:rPr>
          <w:i/>
          <w:snapToGrid/>
          <w:szCs w:val="22"/>
          <w:lang w:val="lt-LT"/>
        </w:rPr>
      </w:pPr>
      <w:proofErr w:type="spellStart"/>
      <w:r w:rsidRPr="00923E74">
        <w:rPr>
          <w:i/>
          <w:snapToGrid/>
          <w:szCs w:val="22"/>
          <w:lang w:val="lt-LT"/>
        </w:rPr>
        <w:t>Antacid</w:t>
      </w:r>
      <w:r w:rsidR="00FA3B6E" w:rsidRPr="00923E74">
        <w:rPr>
          <w:i/>
          <w:snapToGrid/>
          <w:szCs w:val="22"/>
          <w:lang w:val="lt-LT"/>
        </w:rPr>
        <w:t>iniai</w:t>
      </w:r>
      <w:proofErr w:type="spellEnd"/>
      <w:r w:rsidR="00FA3B6E" w:rsidRPr="00923E74">
        <w:rPr>
          <w:i/>
          <w:snapToGrid/>
          <w:szCs w:val="22"/>
          <w:lang w:val="lt-LT"/>
        </w:rPr>
        <w:t xml:space="preserve"> vaistiniai preparatai</w:t>
      </w:r>
    </w:p>
    <w:p w14:paraId="3B84CBC1" w14:textId="42F92125" w:rsidR="00F93DE4" w:rsidRPr="00923E74" w:rsidRDefault="00FA3B6E" w:rsidP="00A31E3A">
      <w:pPr>
        <w:spacing w:line="240" w:lineRule="auto"/>
        <w:rPr>
          <w:snapToGrid/>
          <w:szCs w:val="22"/>
          <w:lang w:val="lt-LT"/>
        </w:rPr>
      </w:pPr>
      <w:r w:rsidRPr="00923E74">
        <w:rPr>
          <w:snapToGrid/>
          <w:szCs w:val="22"/>
          <w:lang w:val="lt-LT"/>
        </w:rPr>
        <w:t xml:space="preserve">Kartu vartojami </w:t>
      </w:r>
      <w:proofErr w:type="spellStart"/>
      <w:r w:rsidRPr="00923E74">
        <w:rPr>
          <w:snapToGrid/>
          <w:szCs w:val="22"/>
          <w:lang w:val="lt-LT"/>
        </w:rPr>
        <w:t>antacidiniai</w:t>
      </w:r>
      <w:proofErr w:type="spellEnd"/>
      <w:r w:rsidRPr="00923E74">
        <w:rPr>
          <w:snapToGrid/>
          <w:szCs w:val="22"/>
          <w:lang w:val="lt-LT"/>
        </w:rPr>
        <w:t xml:space="preserve"> vaistiniai preparatai mažina </w:t>
      </w:r>
      <w:proofErr w:type="spellStart"/>
      <w:r w:rsidRPr="00923E74">
        <w:rPr>
          <w:snapToGrid/>
          <w:szCs w:val="22"/>
          <w:lang w:val="lt-LT"/>
        </w:rPr>
        <w:t>ezetimibo</w:t>
      </w:r>
      <w:proofErr w:type="spellEnd"/>
      <w:r w:rsidRPr="00923E74">
        <w:rPr>
          <w:snapToGrid/>
          <w:szCs w:val="22"/>
          <w:lang w:val="lt-LT"/>
        </w:rPr>
        <w:t xml:space="preserve"> absorbcijos greitį, tačiau biologinio prieinamumo neveikia. Laikoma, kad absorbcija sulėtėja kliniškai nereikšmingai.</w:t>
      </w:r>
    </w:p>
    <w:p w14:paraId="70898E77" w14:textId="77777777" w:rsidR="00F93DE4" w:rsidRPr="00923E74" w:rsidRDefault="00F93DE4" w:rsidP="00A31E3A">
      <w:pPr>
        <w:spacing w:line="240" w:lineRule="auto"/>
        <w:rPr>
          <w:snapToGrid/>
          <w:szCs w:val="22"/>
          <w:lang w:val="lt-LT"/>
        </w:rPr>
      </w:pPr>
    </w:p>
    <w:p w14:paraId="682B65E3" w14:textId="77777777" w:rsidR="009E3B70" w:rsidRDefault="002D6184" w:rsidP="007E15ED">
      <w:pPr>
        <w:keepNext/>
        <w:widowControl w:val="0"/>
        <w:tabs>
          <w:tab w:val="clear" w:pos="567"/>
        </w:tabs>
        <w:spacing w:line="240" w:lineRule="auto"/>
        <w:rPr>
          <w:snapToGrid/>
          <w:szCs w:val="22"/>
          <w:lang w:val="lt-LT" w:eastAsia="sl-SI"/>
        </w:rPr>
      </w:pPr>
      <w:proofErr w:type="spellStart"/>
      <w:r w:rsidRPr="00923E74">
        <w:rPr>
          <w:i/>
          <w:snapToGrid/>
          <w:szCs w:val="22"/>
          <w:lang w:val="lt-LT" w:eastAsia="sl-SI"/>
        </w:rPr>
        <w:t>Kolestiraminas</w:t>
      </w:r>
      <w:proofErr w:type="spellEnd"/>
    </w:p>
    <w:p w14:paraId="63F09CA4" w14:textId="0E5CB461" w:rsidR="002D6184" w:rsidRPr="00923E74" w:rsidRDefault="002D6184" w:rsidP="00A31E3A">
      <w:pPr>
        <w:widowControl w:val="0"/>
        <w:tabs>
          <w:tab w:val="clear" w:pos="567"/>
        </w:tabs>
        <w:spacing w:line="240" w:lineRule="auto"/>
        <w:rPr>
          <w:snapToGrid/>
          <w:szCs w:val="22"/>
          <w:lang w:val="lt-LT" w:eastAsia="sl-SI"/>
        </w:rPr>
      </w:pPr>
      <w:proofErr w:type="spellStart"/>
      <w:r w:rsidRPr="00923E74">
        <w:rPr>
          <w:snapToGrid/>
          <w:szCs w:val="22"/>
          <w:lang w:val="lt-LT" w:eastAsia="sl-SI"/>
        </w:rPr>
        <w:t>Kolestiraminas</w:t>
      </w:r>
      <w:proofErr w:type="spellEnd"/>
      <w:r w:rsidRPr="00923E74">
        <w:rPr>
          <w:snapToGrid/>
          <w:szCs w:val="22"/>
          <w:lang w:val="lt-LT" w:eastAsia="sl-SI"/>
        </w:rPr>
        <w:t xml:space="preserve"> kartu vartojamo </w:t>
      </w:r>
      <w:proofErr w:type="spellStart"/>
      <w:r w:rsidRPr="00923E74">
        <w:rPr>
          <w:snapToGrid/>
          <w:szCs w:val="22"/>
          <w:lang w:val="lt-LT" w:eastAsia="sl-SI"/>
        </w:rPr>
        <w:t>ezetimibo</w:t>
      </w:r>
      <w:proofErr w:type="spellEnd"/>
      <w:r w:rsidRPr="00923E74">
        <w:rPr>
          <w:snapToGrid/>
          <w:szCs w:val="22"/>
          <w:lang w:val="lt-LT" w:eastAsia="sl-SI"/>
        </w:rPr>
        <w:t xml:space="preserve"> vidutinį bendrąjį (</w:t>
      </w:r>
      <w:proofErr w:type="spellStart"/>
      <w:r w:rsidRPr="00923E74">
        <w:rPr>
          <w:snapToGrid/>
          <w:szCs w:val="22"/>
          <w:lang w:val="lt-LT" w:eastAsia="sl-SI"/>
        </w:rPr>
        <w:t>ezetimibo</w:t>
      </w:r>
      <w:proofErr w:type="spellEnd"/>
      <w:r w:rsidRPr="00923E74">
        <w:rPr>
          <w:snapToGrid/>
          <w:szCs w:val="22"/>
          <w:lang w:val="lt-LT" w:eastAsia="sl-SI"/>
        </w:rPr>
        <w:t xml:space="preserve"> ir </w:t>
      </w:r>
      <w:proofErr w:type="spellStart"/>
      <w:r w:rsidRPr="00923E74">
        <w:rPr>
          <w:snapToGrid/>
          <w:szCs w:val="22"/>
          <w:lang w:val="lt-LT" w:eastAsia="sl-SI"/>
        </w:rPr>
        <w:t>ezetimibo</w:t>
      </w:r>
      <w:proofErr w:type="spellEnd"/>
      <w:r w:rsidRPr="00923E74">
        <w:rPr>
          <w:snapToGrid/>
          <w:szCs w:val="22"/>
          <w:lang w:val="lt-LT" w:eastAsia="sl-SI"/>
        </w:rPr>
        <w:t xml:space="preserve"> </w:t>
      </w:r>
      <w:proofErr w:type="spellStart"/>
      <w:r w:rsidRPr="00923E74">
        <w:rPr>
          <w:snapToGrid/>
          <w:szCs w:val="22"/>
          <w:lang w:val="lt-LT" w:eastAsia="sl-SI"/>
        </w:rPr>
        <w:t>gliukuronido</w:t>
      </w:r>
      <w:proofErr w:type="spellEnd"/>
      <w:r w:rsidRPr="00923E74">
        <w:rPr>
          <w:snapToGrid/>
          <w:szCs w:val="22"/>
          <w:lang w:val="lt-LT" w:eastAsia="sl-SI"/>
        </w:rPr>
        <w:t>) plotą po koncentracijos ir laiko kreive (AUC) sumažino a</w:t>
      </w:r>
      <w:r w:rsidR="009E3B70">
        <w:rPr>
          <w:snapToGrid/>
          <w:szCs w:val="22"/>
          <w:lang w:val="lt-LT" w:eastAsia="sl-SI"/>
        </w:rPr>
        <w:t>pytiksli</w:t>
      </w:r>
      <w:r w:rsidRPr="00923E74">
        <w:rPr>
          <w:snapToGrid/>
          <w:szCs w:val="22"/>
          <w:lang w:val="lt-LT" w:eastAsia="sl-SI"/>
        </w:rPr>
        <w:t>a</w:t>
      </w:r>
      <w:r w:rsidR="009E3B70">
        <w:rPr>
          <w:snapToGrid/>
          <w:szCs w:val="22"/>
          <w:lang w:val="lt-LT" w:eastAsia="sl-SI"/>
        </w:rPr>
        <w:t>i</w:t>
      </w:r>
      <w:r w:rsidRPr="00923E74">
        <w:rPr>
          <w:snapToGrid/>
          <w:szCs w:val="22"/>
          <w:lang w:val="lt-LT" w:eastAsia="sl-SI"/>
        </w:rPr>
        <w:t xml:space="preserve"> 55 %. Dėl šios sąveikos, kartu su </w:t>
      </w:r>
      <w:proofErr w:type="spellStart"/>
      <w:r w:rsidRPr="00923E74">
        <w:rPr>
          <w:snapToGrid/>
          <w:szCs w:val="22"/>
          <w:lang w:val="lt-LT" w:eastAsia="sl-SI"/>
        </w:rPr>
        <w:t>kolestiraminu</w:t>
      </w:r>
      <w:proofErr w:type="spellEnd"/>
      <w:r w:rsidRPr="00923E74">
        <w:rPr>
          <w:snapToGrid/>
          <w:szCs w:val="22"/>
          <w:lang w:val="lt-LT" w:eastAsia="sl-SI"/>
        </w:rPr>
        <w:t xml:space="preserve"> pradėjus vartoti </w:t>
      </w:r>
      <w:proofErr w:type="spellStart"/>
      <w:r w:rsidRPr="00923E74">
        <w:rPr>
          <w:snapToGrid/>
          <w:szCs w:val="22"/>
          <w:lang w:val="lt-LT" w:eastAsia="sl-SI"/>
        </w:rPr>
        <w:t>ezetimib</w:t>
      </w:r>
      <w:r w:rsidR="009E3B70">
        <w:rPr>
          <w:snapToGrid/>
          <w:szCs w:val="22"/>
          <w:lang w:val="lt-LT" w:eastAsia="sl-SI"/>
        </w:rPr>
        <w:t>o</w:t>
      </w:r>
      <w:proofErr w:type="spellEnd"/>
      <w:r w:rsidRPr="00923E74">
        <w:rPr>
          <w:snapToGrid/>
          <w:szCs w:val="22"/>
          <w:lang w:val="lt-LT" w:eastAsia="sl-SI"/>
        </w:rPr>
        <w:t>, gali sulėtėti mažo tankio lipoproteinų cholesterolio (MTL</w:t>
      </w:r>
      <w:r w:rsidR="009E3B70">
        <w:rPr>
          <w:snapToGrid/>
          <w:szCs w:val="22"/>
          <w:lang w:val="lt-LT" w:eastAsia="sl-SI"/>
        </w:rPr>
        <w:noBreakHyphen/>
      </w:r>
      <w:r w:rsidRPr="00923E74">
        <w:rPr>
          <w:snapToGrid/>
          <w:szCs w:val="22"/>
          <w:lang w:val="lt-LT" w:eastAsia="sl-SI"/>
        </w:rPr>
        <w:t>C) k</w:t>
      </w:r>
      <w:r w:rsidR="009E3B70">
        <w:rPr>
          <w:snapToGrid/>
          <w:szCs w:val="22"/>
          <w:lang w:val="lt-LT" w:eastAsia="sl-SI"/>
        </w:rPr>
        <w:t>onc</w:t>
      </w:r>
      <w:r w:rsidRPr="00923E74">
        <w:rPr>
          <w:snapToGrid/>
          <w:szCs w:val="22"/>
          <w:lang w:val="lt-LT" w:eastAsia="sl-SI"/>
        </w:rPr>
        <w:t>e</w:t>
      </w:r>
      <w:r w:rsidR="009E3B70">
        <w:rPr>
          <w:snapToGrid/>
          <w:szCs w:val="22"/>
          <w:lang w:val="lt-LT" w:eastAsia="sl-SI"/>
        </w:rPr>
        <w:t>ntrac</w:t>
      </w:r>
      <w:r w:rsidRPr="00923E74">
        <w:rPr>
          <w:snapToGrid/>
          <w:szCs w:val="22"/>
          <w:lang w:val="lt-LT" w:eastAsia="sl-SI"/>
        </w:rPr>
        <w:t>i</w:t>
      </w:r>
      <w:r w:rsidR="009E3B70">
        <w:rPr>
          <w:snapToGrid/>
          <w:szCs w:val="22"/>
          <w:lang w:val="lt-LT" w:eastAsia="sl-SI"/>
        </w:rPr>
        <w:t>j</w:t>
      </w:r>
      <w:r w:rsidRPr="00923E74">
        <w:rPr>
          <w:snapToGrid/>
          <w:szCs w:val="22"/>
          <w:lang w:val="lt-LT" w:eastAsia="sl-SI"/>
        </w:rPr>
        <w:t>o</w:t>
      </w:r>
      <w:r w:rsidR="009E3B70">
        <w:rPr>
          <w:snapToGrid/>
          <w:szCs w:val="22"/>
          <w:lang w:val="lt-LT" w:eastAsia="sl-SI"/>
        </w:rPr>
        <w:t>s</w:t>
      </w:r>
      <w:r w:rsidRPr="00923E74">
        <w:rPr>
          <w:snapToGrid/>
          <w:szCs w:val="22"/>
          <w:lang w:val="lt-LT" w:eastAsia="sl-SI"/>
        </w:rPr>
        <w:t xml:space="preserve"> mažėjimas (žr.</w:t>
      </w:r>
      <w:r w:rsidR="009E3B70">
        <w:rPr>
          <w:snapToGrid/>
          <w:szCs w:val="22"/>
          <w:lang w:val="lt-LT" w:eastAsia="sl-SI"/>
        </w:rPr>
        <w:t> </w:t>
      </w:r>
      <w:r w:rsidRPr="00923E74">
        <w:rPr>
          <w:snapToGrid/>
          <w:szCs w:val="22"/>
          <w:lang w:val="lt-LT" w:eastAsia="sl-SI"/>
        </w:rPr>
        <w:t>4.2 skyrių).</w:t>
      </w:r>
    </w:p>
    <w:p w14:paraId="20B61DFD" w14:textId="77777777" w:rsidR="00F93DE4" w:rsidRPr="00923E74" w:rsidRDefault="00F93DE4" w:rsidP="00A31E3A">
      <w:pPr>
        <w:spacing w:line="240" w:lineRule="auto"/>
        <w:rPr>
          <w:snapToGrid/>
          <w:szCs w:val="22"/>
          <w:lang w:val="lt-LT"/>
        </w:rPr>
      </w:pPr>
    </w:p>
    <w:p w14:paraId="05A947A8" w14:textId="77777777" w:rsidR="009E3B70" w:rsidRDefault="00F93DE4" w:rsidP="007E15ED">
      <w:pPr>
        <w:keepNext/>
        <w:spacing w:line="240" w:lineRule="auto"/>
        <w:rPr>
          <w:i/>
          <w:snapToGrid/>
          <w:szCs w:val="22"/>
          <w:lang w:val="lt-LT"/>
        </w:rPr>
      </w:pPr>
      <w:proofErr w:type="spellStart"/>
      <w:r w:rsidRPr="00923E74">
        <w:rPr>
          <w:i/>
          <w:snapToGrid/>
          <w:szCs w:val="22"/>
          <w:lang w:val="lt-LT"/>
        </w:rPr>
        <w:t>Ci</w:t>
      </w:r>
      <w:r w:rsidR="001056E2" w:rsidRPr="00923E74">
        <w:rPr>
          <w:i/>
          <w:snapToGrid/>
          <w:szCs w:val="22"/>
          <w:lang w:val="lt-LT"/>
        </w:rPr>
        <w:t>k</w:t>
      </w:r>
      <w:r w:rsidRPr="00923E74">
        <w:rPr>
          <w:i/>
          <w:snapToGrid/>
          <w:szCs w:val="22"/>
          <w:lang w:val="lt-LT"/>
        </w:rPr>
        <w:t>losporin</w:t>
      </w:r>
      <w:r w:rsidR="001056E2" w:rsidRPr="00923E74">
        <w:rPr>
          <w:i/>
          <w:snapToGrid/>
          <w:szCs w:val="22"/>
          <w:lang w:val="lt-LT"/>
        </w:rPr>
        <w:t>as</w:t>
      </w:r>
      <w:proofErr w:type="spellEnd"/>
    </w:p>
    <w:p w14:paraId="4A2EBC37" w14:textId="49358E99" w:rsidR="00647409" w:rsidRPr="00923E74" w:rsidRDefault="00647409" w:rsidP="00A31E3A">
      <w:pPr>
        <w:spacing w:line="240" w:lineRule="auto"/>
        <w:rPr>
          <w:snapToGrid/>
          <w:szCs w:val="22"/>
          <w:lang w:val="lt-LT"/>
        </w:rPr>
      </w:pPr>
      <w:r w:rsidRPr="00923E74">
        <w:rPr>
          <w:snapToGrid/>
          <w:szCs w:val="22"/>
          <w:lang w:val="lt-LT" w:eastAsia="sl-SI"/>
        </w:rPr>
        <w:t xml:space="preserve">Tyrimo, kuriame dalyvavę aštuoni pacientai, kuriems buvo persodintas inkstas ir kurių kreatinino klirensas buvo didesnis kaip 50 ml/min., vartojo stabilią </w:t>
      </w:r>
      <w:proofErr w:type="spellStart"/>
      <w:r w:rsidRPr="00923E74">
        <w:rPr>
          <w:snapToGrid/>
          <w:szCs w:val="22"/>
          <w:lang w:val="lt-LT" w:eastAsia="sl-SI"/>
        </w:rPr>
        <w:t>ciklosporino</w:t>
      </w:r>
      <w:proofErr w:type="spellEnd"/>
      <w:r w:rsidRPr="00923E74">
        <w:rPr>
          <w:snapToGrid/>
          <w:szCs w:val="22"/>
          <w:lang w:val="lt-LT" w:eastAsia="sl-SI"/>
        </w:rPr>
        <w:t xml:space="preserve"> dozę, metu vienkartinė 10</w:t>
      </w:r>
      <w:r w:rsidR="00DB52C7" w:rsidRPr="00923E74">
        <w:rPr>
          <w:snapToGrid/>
          <w:szCs w:val="22"/>
          <w:lang w:val="lt-LT" w:eastAsia="sl-SI"/>
        </w:rPr>
        <w:t> mg</w:t>
      </w:r>
      <w:r w:rsidRPr="00923E74">
        <w:rPr>
          <w:snapToGrid/>
          <w:szCs w:val="22"/>
          <w:lang w:val="lt-LT" w:eastAsia="sl-SI"/>
        </w:rPr>
        <w:t xml:space="preserve"> </w:t>
      </w:r>
      <w:proofErr w:type="spellStart"/>
      <w:r w:rsidRPr="00923E74">
        <w:rPr>
          <w:snapToGrid/>
          <w:szCs w:val="22"/>
          <w:lang w:val="lt-LT" w:eastAsia="sl-SI"/>
        </w:rPr>
        <w:t>ezetimibo</w:t>
      </w:r>
      <w:proofErr w:type="spellEnd"/>
      <w:r w:rsidRPr="00923E74">
        <w:rPr>
          <w:snapToGrid/>
          <w:szCs w:val="22"/>
          <w:lang w:val="lt-LT" w:eastAsia="sl-SI"/>
        </w:rPr>
        <w:t xml:space="preserve"> dozė 3,4</w:t>
      </w:r>
      <w:r w:rsidR="009E3B70">
        <w:rPr>
          <w:snapToGrid/>
          <w:szCs w:val="22"/>
          <w:lang w:val="lt-LT" w:eastAsia="sl-SI"/>
        </w:rPr>
        <w:t> </w:t>
      </w:r>
      <w:r w:rsidRPr="00923E74">
        <w:rPr>
          <w:snapToGrid/>
          <w:szCs w:val="22"/>
          <w:lang w:val="lt-LT" w:eastAsia="sl-SI"/>
        </w:rPr>
        <w:t>(2,3</w:t>
      </w:r>
      <w:r w:rsidRPr="00923E74">
        <w:rPr>
          <w:snapToGrid/>
          <w:szCs w:val="22"/>
          <w:lang w:val="lt-LT" w:eastAsia="sl-SI"/>
        </w:rPr>
        <w:noBreakHyphen/>
        <w:t>7,9)</w:t>
      </w:r>
      <w:r w:rsidR="009E3B70">
        <w:rPr>
          <w:snapToGrid/>
          <w:szCs w:val="22"/>
          <w:lang w:val="lt-LT" w:eastAsia="sl-SI"/>
        </w:rPr>
        <w:t> </w:t>
      </w:r>
      <w:r w:rsidRPr="00923E74">
        <w:rPr>
          <w:snapToGrid/>
          <w:szCs w:val="22"/>
          <w:lang w:val="lt-LT" w:eastAsia="sl-SI"/>
        </w:rPr>
        <w:t xml:space="preserve">karto padidino vidutinį bendrąjį </w:t>
      </w:r>
      <w:proofErr w:type="spellStart"/>
      <w:r w:rsidRPr="00923E74">
        <w:rPr>
          <w:snapToGrid/>
          <w:szCs w:val="22"/>
          <w:lang w:val="lt-LT" w:eastAsia="sl-SI"/>
        </w:rPr>
        <w:t>ezetimibo</w:t>
      </w:r>
      <w:proofErr w:type="spellEnd"/>
      <w:r w:rsidRPr="00923E74">
        <w:rPr>
          <w:snapToGrid/>
          <w:szCs w:val="22"/>
          <w:lang w:val="lt-LT" w:eastAsia="sl-SI"/>
        </w:rPr>
        <w:t xml:space="preserve"> AUC (duomenys lyginti su kito tyrimo, kurio metu sveiki kontrolinės grupės tiriamieji (n</w:t>
      </w:r>
      <w:r w:rsidR="009E3B70">
        <w:rPr>
          <w:snapToGrid/>
          <w:szCs w:val="22"/>
          <w:lang w:val="lt-LT" w:eastAsia="sl-SI"/>
        </w:rPr>
        <w:t> </w:t>
      </w:r>
      <w:r w:rsidRPr="00923E74">
        <w:rPr>
          <w:snapToGrid/>
          <w:szCs w:val="22"/>
          <w:lang w:val="lt-LT" w:eastAsia="sl-SI"/>
        </w:rPr>
        <w:t>=</w:t>
      </w:r>
      <w:r w:rsidR="009E3B70">
        <w:rPr>
          <w:snapToGrid/>
          <w:szCs w:val="22"/>
          <w:lang w:val="lt-LT" w:eastAsia="sl-SI"/>
        </w:rPr>
        <w:t> </w:t>
      </w:r>
      <w:r w:rsidRPr="00923E74">
        <w:rPr>
          <w:snapToGrid/>
          <w:szCs w:val="22"/>
          <w:lang w:val="lt-LT" w:eastAsia="sl-SI"/>
        </w:rPr>
        <w:t xml:space="preserve">17) vartojo vien </w:t>
      </w:r>
      <w:proofErr w:type="spellStart"/>
      <w:r w:rsidRPr="00923E74">
        <w:rPr>
          <w:snapToGrid/>
          <w:szCs w:val="22"/>
          <w:lang w:val="lt-LT" w:eastAsia="sl-SI"/>
        </w:rPr>
        <w:t>ezetimibo</w:t>
      </w:r>
      <w:proofErr w:type="spellEnd"/>
      <w:r w:rsidRPr="00923E74">
        <w:rPr>
          <w:snapToGrid/>
          <w:szCs w:val="22"/>
          <w:lang w:val="lt-LT" w:eastAsia="sl-SI"/>
        </w:rPr>
        <w:t xml:space="preserve">, duomenimis). Kito tyrimo metu pacientui (jam buvo persodintas inkstas), kuriam buvo sunkus inkstų nepakankamumas ir kuris vartojo </w:t>
      </w:r>
      <w:proofErr w:type="spellStart"/>
      <w:r w:rsidRPr="00923E74">
        <w:rPr>
          <w:snapToGrid/>
          <w:szCs w:val="22"/>
          <w:lang w:val="lt-LT" w:eastAsia="sl-SI"/>
        </w:rPr>
        <w:t>ciklosporino</w:t>
      </w:r>
      <w:proofErr w:type="spellEnd"/>
      <w:r w:rsidRPr="00923E74">
        <w:rPr>
          <w:snapToGrid/>
          <w:szCs w:val="22"/>
          <w:lang w:val="lt-LT" w:eastAsia="sl-SI"/>
        </w:rPr>
        <w:t xml:space="preserve"> ir daug kitokių vaistinių preparatų, bendroji </w:t>
      </w:r>
      <w:proofErr w:type="spellStart"/>
      <w:r w:rsidRPr="00923E74">
        <w:rPr>
          <w:snapToGrid/>
          <w:szCs w:val="22"/>
          <w:lang w:val="lt-LT" w:eastAsia="sl-SI"/>
        </w:rPr>
        <w:t>ezetimibo</w:t>
      </w:r>
      <w:proofErr w:type="spellEnd"/>
      <w:r w:rsidRPr="00923E74">
        <w:rPr>
          <w:snapToGrid/>
          <w:szCs w:val="22"/>
          <w:lang w:val="lt-LT" w:eastAsia="sl-SI"/>
        </w:rPr>
        <w:t xml:space="preserve"> ekspozicija padidėjo 12 kartų, palyginti su kontrolinės grupės pacientais, kurie vartojo tik </w:t>
      </w:r>
      <w:proofErr w:type="spellStart"/>
      <w:r w:rsidRPr="00923E74">
        <w:rPr>
          <w:snapToGrid/>
          <w:szCs w:val="22"/>
          <w:lang w:val="lt-LT" w:eastAsia="sl-SI"/>
        </w:rPr>
        <w:t>ezetimibo</w:t>
      </w:r>
      <w:proofErr w:type="spellEnd"/>
      <w:r w:rsidRPr="00923E74">
        <w:rPr>
          <w:snapToGrid/>
          <w:szCs w:val="22"/>
          <w:lang w:val="lt-LT" w:eastAsia="sl-SI"/>
        </w:rPr>
        <w:t>. Dviejų</w:t>
      </w:r>
      <w:r w:rsidR="009E3B70">
        <w:rPr>
          <w:snapToGrid/>
          <w:szCs w:val="22"/>
          <w:lang w:val="lt-LT" w:eastAsia="sl-SI"/>
        </w:rPr>
        <w:t> </w:t>
      </w:r>
      <w:r w:rsidRPr="00923E74">
        <w:rPr>
          <w:snapToGrid/>
          <w:szCs w:val="22"/>
          <w:lang w:val="lt-LT" w:eastAsia="sl-SI"/>
        </w:rPr>
        <w:t xml:space="preserve">periodų kryžminiame tyrime, kuriame dalyvavo dvylika sveikų asmenų, </w:t>
      </w:r>
      <w:r w:rsidR="00070492">
        <w:rPr>
          <w:snapToGrid/>
          <w:szCs w:val="22"/>
          <w:lang w:val="lt-LT" w:eastAsia="sl-SI"/>
        </w:rPr>
        <w:t>t</w:t>
      </w:r>
      <w:r w:rsidRPr="00923E74">
        <w:rPr>
          <w:snapToGrid/>
          <w:szCs w:val="22"/>
          <w:lang w:val="lt-LT" w:eastAsia="sl-SI"/>
        </w:rPr>
        <w:t>i</w:t>
      </w:r>
      <w:r w:rsidR="00070492">
        <w:rPr>
          <w:snapToGrid/>
          <w:szCs w:val="22"/>
          <w:lang w:val="lt-LT" w:eastAsia="sl-SI"/>
        </w:rPr>
        <w:t>ri</w:t>
      </w:r>
      <w:r w:rsidRPr="00923E74">
        <w:rPr>
          <w:snapToGrid/>
          <w:szCs w:val="22"/>
          <w:lang w:val="lt-LT" w:eastAsia="sl-SI"/>
        </w:rPr>
        <w:t>a</w:t>
      </w:r>
      <w:r w:rsidR="00070492">
        <w:rPr>
          <w:snapToGrid/>
          <w:szCs w:val="22"/>
          <w:lang w:val="lt-LT" w:eastAsia="sl-SI"/>
        </w:rPr>
        <w:t>miesie</w:t>
      </w:r>
      <w:r w:rsidRPr="00923E74">
        <w:rPr>
          <w:snapToGrid/>
          <w:szCs w:val="22"/>
          <w:lang w:val="lt-LT" w:eastAsia="sl-SI"/>
        </w:rPr>
        <w:t>ms, vartojusiesiems 20</w:t>
      </w:r>
      <w:r w:rsidR="00DB52C7" w:rsidRPr="00923E74">
        <w:rPr>
          <w:snapToGrid/>
          <w:szCs w:val="22"/>
          <w:lang w:val="lt-LT" w:eastAsia="sl-SI"/>
        </w:rPr>
        <w:t> mg</w:t>
      </w:r>
      <w:r w:rsidRPr="00923E74">
        <w:rPr>
          <w:snapToGrid/>
          <w:szCs w:val="22"/>
          <w:lang w:val="lt-LT" w:eastAsia="sl-SI"/>
        </w:rPr>
        <w:t xml:space="preserve"> </w:t>
      </w:r>
      <w:proofErr w:type="spellStart"/>
      <w:r w:rsidRPr="00923E74">
        <w:rPr>
          <w:snapToGrid/>
          <w:szCs w:val="22"/>
          <w:lang w:val="lt-LT" w:eastAsia="sl-SI"/>
        </w:rPr>
        <w:t>ezetimibo</w:t>
      </w:r>
      <w:proofErr w:type="spellEnd"/>
      <w:r w:rsidRPr="00923E74">
        <w:rPr>
          <w:snapToGrid/>
          <w:szCs w:val="22"/>
          <w:lang w:val="lt-LT" w:eastAsia="sl-SI"/>
        </w:rPr>
        <w:t xml:space="preserve"> 8 </w:t>
      </w:r>
      <w:r w:rsidR="009E3B70">
        <w:rPr>
          <w:snapToGrid/>
          <w:szCs w:val="22"/>
          <w:lang w:val="lt-LT" w:eastAsia="sl-SI"/>
        </w:rPr>
        <w:t>par</w:t>
      </w:r>
      <w:r w:rsidRPr="00923E74">
        <w:rPr>
          <w:snapToGrid/>
          <w:szCs w:val="22"/>
          <w:lang w:val="lt-LT" w:eastAsia="sl-SI"/>
        </w:rPr>
        <w:t>as kartu su vienkartine 100</w:t>
      </w:r>
      <w:r w:rsidR="00DB52C7" w:rsidRPr="00923E74">
        <w:rPr>
          <w:snapToGrid/>
          <w:szCs w:val="22"/>
          <w:lang w:val="lt-LT" w:eastAsia="sl-SI"/>
        </w:rPr>
        <w:t> mg</w:t>
      </w:r>
      <w:r w:rsidRPr="00923E74">
        <w:rPr>
          <w:snapToGrid/>
          <w:szCs w:val="22"/>
          <w:lang w:val="lt-LT" w:eastAsia="sl-SI"/>
        </w:rPr>
        <w:t xml:space="preserve"> </w:t>
      </w:r>
      <w:proofErr w:type="spellStart"/>
      <w:r w:rsidRPr="00923E74">
        <w:rPr>
          <w:snapToGrid/>
          <w:szCs w:val="22"/>
          <w:lang w:val="lt-LT" w:eastAsia="sl-SI"/>
        </w:rPr>
        <w:t>ciklosporino</w:t>
      </w:r>
      <w:proofErr w:type="spellEnd"/>
      <w:r w:rsidRPr="00923E74">
        <w:rPr>
          <w:snapToGrid/>
          <w:szCs w:val="22"/>
          <w:lang w:val="lt-LT" w:eastAsia="sl-SI"/>
        </w:rPr>
        <w:t xml:space="preserve"> doze septintąją</w:t>
      </w:r>
      <w:r w:rsidR="009E3B70">
        <w:rPr>
          <w:snapToGrid/>
          <w:szCs w:val="22"/>
          <w:lang w:val="lt-LT" w:eastAsia="sl-SI"/>
        </w:rPr>
        <w:t> par</w:t>
      </w:r>
      <w:r w:rsidRPr="00923E74">
        <w:rPr>
          <w:snapToGrid/>
          <w:szCs w:val="22"/>
          <w:lang w:val="lt-LT" w:eastAsia="sl-SI"/>
        </w:rPr>
        <w:t xml:space="preserve">ą, </w:t>
      </w:r>
      <w:proofErr w:type="spellStart"/>
      <w:r w:rsidRPr="00923E74">
        <w:rPr>
          <w:snapToGrid/>
          <w:szCs w:val="22"/>
          <w:lang w:val="lt-LT" w:eastAsia="sl-SI"/>
        </w:rPr>
        <w:t>ciklosporino</w:t>
      </w:r>
      <w:proofErr w:type="spellEnd"/>
      <w:r w:rsidR="009E3B70">
        <w:rPr>
          <w:snapToGrid/>
          <w:szCs w:val="22"/>
          <w:lang w:val="lt-LT" w:eastAsia="sl-SI"/>
        </w:rPr>
        <w:t> </w:t>
      </w:r>
      <w:r w:rsidRPr="00923E74">
        <w:rPr>
          <w:snapToGrid/>
          <w:szCs w:val="22"/>
          <w:lang w:val="lt-LT" w:eastAsia="sl-SI"/>
        </w:rPr>
        <w:t xml:space="preserve">AUC padidėjo vidutiniškai 15 % (svyravo nuo 10 % sumažėjimo iki 51 % padidėjimo), palyginti su vartojusiaisiais vien </w:t>
      </w:r>
      <w:proofErr w:type="spellStart"/>
      <w:r w:rsidRPr="00923E74">
        <w:rPr>
          <w:snapToGrid/>
          <w:szCs w:val="22"/>
          <w:lang w:val="lt-LT" w:eastAsia="sl-SI"/>
        </w:rPr>
        <w:t>ciklosporino</w:t>
      </w:r>
      <w:proofErr w:type="spellEnd"/>
      <w:r w:rsidRPr="00923E74">
        <w:rPr>
          <w:snapToGrid/>
          <w:szCs w:val="22"/>
          <w:lang w:val="lt-LT" w:eastAsia="sl-SI"/>
        </w:rPr>
        <w:t xml:space="preserve"> vienkartinę 100</w:t>
      </w:r>
      <w:r w:rsidR="00DB52C7" w:rsidRPr="00923E74">
        <w:rPr>
          <w:snapToGrid/>
          <w:szCs w:val="22"/>
          <w:lang w:val="lt-LT" w:eastAsia="sl-SI"/>
        </w:rPr>
        <w:t> mg</w:t>
      </w:r>
      <w:r w:rsidRPr="00923E74">
        <w:rPr>
          <w:snapToGrid/>
          <w:szCs w:val="22"/>
          <w:lang w:val="lt-LT" w:eastAsia="sl-SI"/>
        </w:rPr>
        <w:t xml:space="preserve"> dozę. Kontroliuojamo tyrimo, siekiant įvertinti kartu vartojamo </w:t>
      </w:r>
      <w:proofErr w:type="spellStart"/>
      <w:r w:rsidRPr="00923E74">
        <w:rPr>
          <w:snapToGrid/>
          <w:szCs w:val="22"/>
          <w:lang w:val="lt-LT" w:eastAsia="sl-SI"/>
        </w:rPr>
        <w:t>ezetimibo</w:t>
      </w:r>
      <w:proofErr w:type="spellEnd"/>
      <w:r w:rsidRPr="00923E74">
        <w:rPr>
          <w:snapToGrid/>
          <w:szCs w:val="22"/>
          <w:lang w:val="lt-LT" w:eastAsia="sl-SI"/>
        </w:rPr>
        <w:t xml:space="preserve"> poveikį </w:t>
      </w:r>
      <w:proofErr w:type="spellStart"/>
      <w:r w:rsidRPr="00923E74">
        <w:rPr>
          <w:snapToGrid/>
          <w:szCs w:val="22"/>
          <w:lang w:val="lt-LT" w:eastAsia="sl-SI"/>
        </w:rPr>
        <w:t>ciklosporino</w:t>
      </w:r>
      <w:proofErr w:type="spellEnd"/>
      <w:r w:rsidRPr="00923E74">
        <w:rPr>
          <w:snapToGrid/>
          <w:szCs w:val="22"/>
          <w:lang w:val="lt-LT" w:eastAsia="sl-SI"/>
        </w:rPr>
        <w:t xml:space="preserve"> ekspozicijai pacientų, kuriems persodintas inkstas, organizme, neatlikta.</w:t>
      </w:r>
      <w:r w:rsidRPr="00923E74">
        <w:rPr>
          <w:snapToGrid/>
          <w:szCs w:val="22"/>
          <w:lang w:val="lt-LT"/>
        </w:rPr>
        <w:t xml:space="preserve"> </w:t>
      </w:r>
      <w:r w:rsidR="005B20C8">
        <w:rPr>
          <w:snapToGrid/>
          <w:szCs w:val="22"/>
          <w:lang w:val="lt-LT"/>
        </w:rPr>
        <w:t xml:space="preserve">Vartojant </w:t>
      </w:r>
      <w:proofErr w:type="spellStart"/>
      <w:r w:rsidR="005B20C8">
        <w:rPr>
          <w:snapToGrid/>
          <w:szCs w:val="22"/>
          <w:lang w:val="lt-LT"/>
        </w:rPr>
        <w:t>ciklosporino</w:t>
      </w:r>
      <w:proofErr w:type="spellEnd"/>
      <w:r w:rsidR="005B20C8">
        <w:rPr>
          <w:snapToGrid/>
          <w:szCs w:val="22"/>
          <w:lang w:val="lt-LT"/>
        </w:rPr>
        <w:t xml:space="preserve">, pradėti vartoti </w:t>
      </w:r>
      <w:proofErr w:type="spellStart"/>
      <w:r w:rsidR="005B20C8">
        <w:rPr>
          <w:snapToGrid/>
          <w:szCs w:val="22"/>
          <w:lang w:val="lt-LT"/>
        </w:rPr>
        <w:t>Torzelip</w:t>
      </w:r>
      <w:proofErr w:type="spellEnd"/>
      <w:r w:rsidR="005B20C8">
        <w:rPr>
          <w:snapToGrid/>
          <w:szCs w:val="22"/>
          <w:lang w:val="lt-LT"/>
        </w:rPr>
        <w:t xml:space="preserve"> reikia atsargiai. </w:t>
      </w:r>
      <w:r w:rsidRPr="00923E74">
        <w:rPr>
          <w:snapToGrid/>
          <w:szCs w:val="22"/>
          <w:lang w:val="lt-LT"/>
        </w:rPr>
        <w:t xml:space="preserve">Būtina stebėti kartu su </w:t>
      </w:r>
      <w:proofErr w:type="spellStart"/>
      <w:r w:rsidRPr="00923E74">
        <w:rPr>
          <w:snapToGrid/>
          <w:szCs w:val="22"/>
          <w:lang w:val="lt-LT"/>
        </w:rPr>
        <w:t>Torzelip</w:t>
      </w:r>
      <w:proofErr w:type="spellEnd"/>
      <w:r w:rsidRPr="00923E74">
        <w:rPr>
          <w:snapToGrid/>
          <w:szCs w:val="22"/>
          <w:lang w:val="lt-LT"/>
        </w:rPr>
        <w:t xml:space="preserve"> vartojamo </w:t>
      </w:r>
      <w:proofErr w:type="spellStart"/>
      <w:r w:rsidRPr="00923E74">
        <w:rPr>
          <w:snapToGrid/>
          <w:szCs w:val="22"/>
          <w:lang w:val="lt-LT"/>
        </w:rPr>
        <w:t>ciklosporino</w:t>
      </w:r>
      <w:proofErr w:type="spellEnd"/>
      <w:r w:rsidRPr="00923E74">
        <w:rPr>
          <w:snapToGrid/>
          <w:szCs w:val="22"/>
          <w:lang w:val="lt-LT"/>
        </w:rPr>
        <w:t xml:space="preserve"> koncentraciją (žr.</w:t>
      </w:r>
      <w:r w:rsidR="009E3B70">
        <w:rPr>
          <w:snapToGrid/>
          <w:szCs w:val="22"/>
          <w:lang w:val="lt-LT"/>
        </w:rPr>
        <w:t> </w:t>
      </w:r>
      <w:r w:rsidRPr="00923E74">
        <w:rPr>
          <w:snapToGrid/>
          <w:szCs w:val="22"/>
          <w:lang w:val="lt-LT"/>
        </w:rPr>
        <w:t>4.4 skyrių).</w:t>
      </w:r>
    </w:p>
    <w:p w14:paraId="7DF76F0E" w14:textId="77777777" w:rsidR="00F93DE4" w:rsidRPr="00923E74" w:rsidRDefault="00F93DE4" w:rsidP="00A31E3A">
      <w:pPr>
        <w:spacing w:line="240" w:lineRule="auto"/>
        <w:rPr>
          <w:snapToGrid/>
          <w:szCs w:val="22"/>
          <w:lang w:val="lt-LT"/>
        </w:rPr>
      </w:pPr>
    </w:p>
    <w:p w14:paraId="186C6D91" w14:textId="77777777" w:rsidR="009E3B70" w:rsidRDefault="00F93DE4" w:rsidP="007E15ED">
      <w:pPr>
        <w:keepNext/>
        <w:spacing w:line="240" w:lineRule="auto"/>
        <w:rPr>
          <w:i/>
          <w:snapToGrid/>
          <w:szCs w:val="22"/>
          <w:lang w:val="lt-LT"/>
        </w:rPr>
      </w:pPr>
      <w:proofErr w:type="spellStart"/>
      <w:r w:rsidRPr="00923E74">
        <w:rPr>
          <w:i/>
          <w:snapToGrid/>
          <w:szCs w:val="22"/>
          <w:lang w:val="lt-LT"/>
        </w:rPr>
        <w:t>Fibrat</w:t>
      </w:r>
      <w:r w:rsidR="006A62F4" w:rsidRPr="00923E74">
        <w:rPr>
          <w:i/>
          <w:snapToGrid/>
          <w:szCs w:val="22"/>
          <w:lang w:val="lt-LT"/>
        </w:rPr>
        <w:t>ai</w:t>
      </w:r>
      <w:proofErr w:type="spellEnd"/>
    </w:p>
    <w:p w14:paraId="12B4025C" w14:textId="7BF3AB61" w:rsidR="006A62F4" w:rsidRPr="00923E74" w:rsidRDefault="006A62F4" w:rsidP="00A31E3A">
      <w:pPr>
        <w:spacing w:line="240" w:lineRule="auto"/>
        <w:rPr>
          <w:snapToGrid/>
          <w:szCs w:val="22"/>
          <w:lang w:val="lt-LT"/>
        </w:rPr>
      </w:pPr>
      <w:r w:rsidRPr="00923E74">
        <w:rPr>
          <w:snapToGrid/>
          <w:szCs w:val="22"/>
          <w:lang w:val="lt-LT"/>
        </w:rPr>
        <w:t xml:space="preserve">Kartu su </w:t>
      </w:r>
      <w:proofErr w:type="spellStart"/>
      <w:r w:rsidRPr="00923E74">
        <w:rPr>
          <w:snapToGrid/>
          <w:szCs w:val="22"/>
          <w:lang w:val="lt-LT"/>
        </w:rPr>
        <w:t>ezetimibu</w:t>
      </w:r>
      <w:proofErr w:type="spellEnd"/>
      <w:r w:rsidRPr="00923E74">
        <w:rPr>
          <w:snapToGrid/>
          <w:szCs w:val="22"/>
          <w:lang w:val="lt-LT"/>
        </w:rPr>
        <w:t xml:space="preserve"> vartojamas </w:t>
      </w:r>
      <w:proofErr w:type="spellStart"/>
      <w:r w:rsidRPr="00923E74">
        <w:rPr>
          <w:snapToGrid/>
          <w:szCs w:val="22"/>
          <w:lang w:val="lt-LT"/>
        </w:rPr>
        <w:t>fenofibratas</w:t>
      </w:r>
      <w:proofErr w:type="spellEnd"/>
      <w:r w:rsidRPr="00923E74">
        <w:rPr>
          <w:snapToGrid/>
          <w:szCs w:val="22"/>
          <w:lang w:val="lt-LT"/>
        </w:rPr>
        <w:t xml:space="preserve"> ar </w:t>
      </w:r>
      <w:proofErr w:type="spellStart"/>
      <w:r w:rsidRPr="00923E74">
        <w:rPr>
          <w:snapToGrid/>
          <w:szCs w:val="22"/>
          <w:lang w:val="lt-LT"/>
        </w:rPr>
        <w:t>gemfibrozilis</w:t>
      </w:r>
      <w:proofErr w:type="spellEnd"/>
      <w:r w:rsidRPr="00923E74">
        <w:rPr>
          <w:snapToGrid/>
          <w:szCs w:val="22"/>
          <w:lang w:val="lt-LT"/>
        </w:rPr>
        <w:t xml:space="preserve"> šiek tiek didin</w:t>
      </w:r>
      <w:r w:rsidR="00AD33AC" w:rsidRPr="00923E74">
        <w:rPr>
          <w:snapToGrid/>
          <w:szCs w:val="22"/>
          <w:lang w:val="lt-LT"/>
        </w:rPr>
        <w:t>o</w:t>
      </w:r>
      <w:r w:rsidRPr="00923E74">
        <w:rPr>
          <w:snapToGrid/>
          <w:szCs w:val="22"/>
          <w:lang w:val="lt-LT"/>
        </w:rPr>
        <w:t xml:space="preserve"> bendrąją </w:t>
      </w:r>
      <w:proofErr w:type="spellStart"/>
      <w:r w:rsidRPr="00923E74">
        <w:rPr>
          <w:snapToGrid/>
          <w:szCs w:val="22"/>
          <w:lang w:val="lt-LT"/>
        </w:rPr>
        <w:t>ezetimibo</w:t>
      </w:r>
      <w:proofErr w:type="spellEnd"/>
      <w:r w:rsidRPr="00923E74">
        <w:rPr>
          <w:snapToGrid/>
          <w:szCs w:val="22"/>
          <w:lang w:val="lt-LT"/>
        </w:rPr>
        <w:t xml:space="preserve"> koncentraciją (atitinkamai </w:t>
      </w:r>
      <w:proofErr w:type="spellStart"/>
      <w:r w:rsidRPr="00923E74">
        <w:rPr>
          <w:snapToGrid/>
          <w:szCs w:val="22"/>
          <w:lang w:val="lt-LT"/>
        </w:rPr>
        <w:t>a</w:t>
      </w:r>
      <w:r w:rsidR="009E3B70">
        <w:rPr>
          <w:snapToGrid/>
          <w:szCs w:val="22"/>
          <w:lang w:val="lt-LT"/>
        </w:rPr>
        <w:t>pytiskli</w:t>
      </w:r>
      <w:r w:rsidRPr="00923E74">
        <w:rPr>
          <w:snapToGrid/>
          <w:szCs w:val="22"/>
          <w:lang w:val="lt-LT"/>
        </w:rPr>
        <w:t>a</w:t>
      </w:r>
      <w:r w:rsidR="009E3B70">
        <w:rPr>
          <w:snapToGrid/>
          <w:szCs w:val="22"/>
          <w:lang w:val="lt-LT"/>
        </w:rPr>
        <w:t>i</w:t>
      </w:r>
      <w:proofErr w:type="spellEnd"/>
      <w:r w:rsidRPr="00923E74">
        <w:rPr>
          <w:snapToGrid/>
          <w:szCs w:val="22"/>
          <w:lang w:val="lt-LT"/>
        </w:rPr>
        <w:t xml:space="preserve"> 1,5 ir 1,7 karto). Nors toks padidėjimas nėra laikomas kliniškai reikšmingu, </w:t>
      </w:r>
      <w:proofErr w:type="spellStart"/>
      <w:r w:rsidRPr="00923E74">
        <w:rPr>
          <w:snapToGrid/>
          <w:szCs w:val="22"/>
          <w:lang w:val="lt-LT"/>
        </w:rPr>
        <w:t>Torzelip</w:t>
      </w:r>
      <w:proofErr w:type="spellEnd"/>
      <w:r w:rsidRPr="00923E74">
        <w:rPr>
          <w:snapToGrid/>
          <w:szCs w:val="22"/>
          <w:lang w:val="lt-LT"/>
        </w:rPr>
        <w:t xml:space="preserve"> skirti vartoti kartu su </w:t>
      </w:r>
      <w:proofErr w:type="spellStart"/>
      <w:r w:rsidRPr="00923E74">
        <w:rPr>
          <w:snapToGrid/>
          <w:szCs w:val="22"/>
          <w:lang w:val="lt-LT"/>
        </w:rPr>
        <w:t>fibratais</w:t>
      </w:r>
      <w:proofErr w:type="spellEnd"/>
      <w:r w:rsidRPr="00923E74">
        <w:rPr>
          <w:snapToGrid/>
          <w:szCs w:val="22"/>
          <w:lang w:val="lt-LT"/>
        </w:rPr>
        <w:t xml:space="preserve"> nerekomenduojama.</w:t>
      </w:r>
    </w:p>
    <w:p w14:paraId="1ECB3D1E" w14:textId="77777777" w:rsidR="006A62F4" w:rsidRPr="00923E74" w:rsidRDefault="006A62F4" w:rsidP="00A31E3A">
      <w:pPr>
        <w:spacing w:line="240" w:lineRule="auto"/>
        <w:rPr>
          <w:snapToGrid/>
          <w:szCs w:val="22"/>
          <w:lang w:val="lt-LT"/>
        </w:rPr>
      </w:pPr>
    </w:p>
    <w:p w14:paraId="3F58CA63" w14:textId="4E0292CA" w:rsidR="00F93DE4" w:rsidRPr="007E15ED" w:rsidRDefault="00F93DE4" w:rsidP="007E15ED">
      <w:pPr>
        <w:keepNext/>
        <w:spacing w:line="240" w:lineRule="auto"/>
        <w:rPr>
          <w:i/>
          <w:snapToGrid/>
          <w:szCs w:val="22"/>
          <w:u w:val="single"/>
          <w:lang w:val="lt-LT"/>
        </w:rPr>
      </w:pPr>
      <w:proofErr w:type="spellStart"/>
      <w:r w:rsidRPr="007E15ED">
        <w:rPr>
          <w:i/>
          <w:snapToGrid/>
          <w:szCs w:val="22"/>
          <w:u w:val="single"/>
          <w:lang w:val="lt-LT"/>
        </w:rPr>
        <w:t>Atorvastatin</w:t>
      </w:r>
      <w:r w:rsidR="004B0D89" w:rsidRPr="007E15ED">
        <w:rPr>
          <w:i/>
          <w:snapToGrid/>
          <w:szCs w:val="22"/>
          <w:u w:val="single"/>
          <w:lang w:val="lt-LT"/>
        </w:rPr>
        <w:t>as</w:t>
      </w:r>
      <w:proofErr w:type="spellEnd"/>
    </w:p>
    <w:p w14:paraId="0D387E1A" w14:textId="53C6252D" w:rsidR="00F93DE4" w:rsidRPr="00365984" w:rsidRDefault="00B959E5" w:rsidP="007E15ED">
      <w:pPr>
        <w:keepNext/>
        <w:spacing w:line="240" w:lineRule="auto"/>
        <w:rPr>
          <w:i/>
          <w:snapToGrid/>
          <w:szCs w:val="22"/>
          <w:lang w:val="lt-LT"/>
        </w:rPr>
      </w:pPr>
      <w:r w:rsidRPr="007E15ED">
        <w:rPr>
          <w:i/>
          <w:snapToGrid/>
          <w:szCs w:val="22"/>
          <w:lang w:val="lt-LT"/>
        </w:rPr>
        <w:t>Kartu vartojamų vaistinių preparatų poveikis</w:t>
      </w:r>
      <w:r w:rsidR="00F93DE4" w:rsidRPr="007E15ED">
        <w:rPr>
          <w:i/>
          <w:snapToGrid/>
          <w:szCs w:val="22"/>
          <w:lang w:val="lt-LT"/>
        </w:rPr>
        <w:t xml:space="preserve"> </w:t>
      </w:r>
      <w:proofErr w:type="spellStart"/>
      <w:r w:rsidR="00F93DE4" w:rsidRPr="007E15ED">
        <w:rPr>
          <w:i/>
          <w:snapToGrid/>
          <w:szCs w:val="22"/>
          <w:lang w:val="lt-LT"/>
        </w:rPr>
        <w:t>atorvastatin</w:t>
      </w:r>
      <w:r w:rsidRPr="007E15ED">
        <w:rPr>
          <w:i/>
          <w:snapToGrid/>
          <w:szCs w:val="22"/>
          <w:lang w:val="lt-LT"/>
        </w:rPr>
        <w:t>ui</w:t>
      </w:r>
      <w:proofErr w:type="spellEnd"/>
    </w:p>
    <w:p w14:paraId="4B4A612B" w14:textId="026DA96D" w:rsidR="00F93DE4" w:rsidRPr="00923E74" w:rsidRDefault="00B14CD9" w:rsidP="00A31E3A">
      <w:pPr>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xml:space="preserve"> </w:t>
      </w:r>
      <w:proofErr w:type="spellStart"/>
      <w:r w:rsidRPr="00923E74">
        <w:rPr>
          <w:snapToGrid/>
          <w:szCs w:val="22"/>
          <w:lang w:val="lt-LT"/>
        </w:rPr>
        <w:t>metabolizuojamas</w:t>
      </w:r>
      <w:proofErr w:type="spellEnd"/>
      <w:r w:rsidRPr="00923E74">
        <w:rPr>
          <w:snapToGrid/>
          <w:szCs w:val="22"/>
          <w:lang w:val="lt-LT"/>
        </w:rPr>
        <w:t xml:space="preserve"> </w:t>
      </w:r>
      <w:proofErr w:type="spellStart"/>
      <w:r w:rsidRPr="00923E74">
        <w:rPr>
          <w:snapToGrid/>
          <w:szCs w:val="22"/>
          <w:lang w:val="lt-LT"/>
        </w:rPr>
        <w:t>citochromo</w:t>
      </w:r>
      <w:proofErr w:type="spellEnd"/>
      <w:r w:rsidR="00365984">
        <w:rPr>
          <w:snapToGrid/>
          <w:szCs w:val="22"/>
          <w:lang w:val="lt-LT"/>
        </w:rPr>
        <w:t> </w:t>
      </w:r>
      <w:r w:rsidRPr="00923E74">
        <w:rPr>
          <w:snapToGrid/>
          <w:szCs w:val="22"/>
          <w:lang w:val="lt-LT"/>
        </w:rPr>
        <w:t>P450</w:t>
      </w:r>
      <w:r w:rsidR="00365984">
        <w:rPr>
          <w:snapToGrid/>
          <w:szCs w:val="22"/>
          <w:lang w:val="lt-LT"/>
        </w:rPr>
        <w:t> </w:t>
      </w:r>
      <w:r w:rsidRPr="00923E74">
        <w:rPr>
          <w:snapToGrid/>
          <w:szCs w:val="22"/>
          <w:lang w:val="lt-LT"/>
        </w:rPr>
        <w:t>3A4</w:t>
      </w:r>
      <w:r w:rsidR="00365984">
        <w:rPr>
          <w:snapToGrid/>
          <w:szCs w:val="22"/>
          <w:lang w:val="lt-LT"/>
        </w:rPr>
        <w:t> </w:t>
      </w:r>
      <w:r w:rsidRPr="00923E74">
        <w:rPr>
          <w:snapToGrid/>
          <w:szCs w:val="22"/>
          <w:lang w:val="lt-LT"/>
        </w:rPr>
        <w:t xml:space="preserve">(CYP3A4) ir yra kepenų </w:t>
      </w:r>
      <w:proofErr w:type="spellStart"/>
      <w:r w:rsidRPr="00923E74">
        <w:rPr>
          <w:snapToGrid/>
          <w:szCs w:val="22"/>
          <w:lang w:val="lt-LT"/>
        </w:rPr>
        <w:t>pernešiklių</w:t>
      </w:r>
      <w:proofErr w:type="spellEnd"/>
      <w:r w:rsidRPr="00923E74">
        <w:rPr>
          <w:snapToGrid/>
          <w:szCs w:val="22"/>
          <w:lang w:val="lt-LT"/>
        </w:rPr>
        <w:t xml:space="preserve"> substratas, organinių anijonų pernašos </w:t>
      </w:r>
      <w:proofErr w:type="spellStart"/>
      <w:r w:rsidRPr="00923E74">
        <w:rPr>
          <w:snapToGrid/>
          <w:szCs w:val="22"/>
          <w:lang w:val="lt-LT"/>
        </w:rPr>
        <w:t>polipeptidų</w:t>
      </w:r>
      <w:proofErr w:type="spellEnd"/>
      <w:r w:rsidR="00365984">
        <w:rPr>
          <w:snapToGrid/>
          <w:szCs w:val="22"/>
          <w:lang w:val="lt-LT"/>
        </w:rPr>
        <w:t> </w:t>
      </w:r>
      <w:r w:rsidRPr="00923E74">
        <w:rPr>
          <w:snapToGrid/>
          <w:szCs w:val="22"/>
          <w:lang w:val="lt-LT"/>
        </w:rPr>
        <w:t>1B1</w:t>
      </w:r>
      <w:r w:rsidR="00365984">
        <w:rPr>
          <w:snapToGrid/>
          <w:szCs w:val="22"/>
          <w:lang w:val="lt-LT"/>
        </w:rPr>
        <w:t> </w:t>
      </w:r>
      <w:r w:rsidRPr="00923E74">
        <w:rPr>
          <w:snapToGrid/>
          <w:szCs w:val="22"/>
          <w:lang w:val="lt-LT"/>
        </w:rPr>
        <w:t>(OATP1B1) ir 1B3</w:t>
      </w:r>
      <w:r w:rsidR="00365984">
        <w:rPr>
          <w:snapToGrid/>
          <w:szCs w:val="22"/>
          <w:lang w:val="lt-LT"/>
        </w:rPr>
        <w:t> </w:t>
      </w:r>
      <w:r w:rsidRPr="00923E74">
        <w:rPr>
          <w:snapToGrid/>
          <w:szCs w:val="22"/>
          <w:lang w:val="lt-LT"/>
        </w:rPr>
        <w:t xml:space="preserve">(OATP1B3) </w:t>
      </w:r>
      <w:proofErr w:type="spellStart"/>
      <w:r w:rsidRPr="00923E74">
        <w:rPr>
          <w:snapToGrid/>
          <w:szCs w:val="22"/>
          <w:lang w:val="lt-LT"/>
        </w:rPr>
        <w:t>pernešiklis</w:t>
      </w:r>
      <w:proofErr w:type="spellEnd"/>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metabolitai yra OATP1B1</w:t>
      </w:r>
      <w:r w:rsidR="00365984">
        <w:rPr>
          <w:snapToGrid/>
          <w:szCs w:val="22"/>
          <w:lang w:val="lt-LT"/>
        </w:rPr>
        <w:t> </w:t>
      </w:r>
      <w:r w:rsidRPr="00923E74">
        <w:rPr>
          <w:snapToGrid/>
          <w:szCs w:val="22"/>
          <w:lang w:val="lt-LT"/>
        </w:rPr>
        <w:t xml:space="preserve">substratai. Taip pat nustatyta, kad </w:t>
      </w:r>
      <w:proofErr w:type="spellStart"/>
      <w:r w:rsidRPr="00923E74">
        <w:rPr>
          <w:snapToGrid/>
          <w:szCs w:val="22"/>
          <w:lang w:val="lt-LT"/>
        </w:rPr>
        <w:t>atorvastatinas</w:t>
      </w:r>
      <w:proofErr w:type="spellEnd"/>
      <w:r w:rsidRPr="00923E74">
        <w:rPr>
          <w:snapToGrid/>
          <w:szCs w:val="22"/>
          <w:lang w:val="lt-LT"/>
        </w:rPr>
        <w:t xml:space="preserve"> yra daugeliui vaistinių preparatų atsparumą lemiančio baltymo</w:t>
      </w:r>
      <w:r w:rsidR="00365984">
        <w:rPr>
          <w:snapToGrid/>
          <w:szCs w:val="22"/>
          <w:lang w:val="lt-LT"/>
        </w:rPr>
        <w:t> </w:t>
      </w:r>
      <w:r w:rsidRPr="00923E74">
        <w:rPr>
          <w:snapToGrid/>
          <w:szCs w:val="22"/>
          <w:lang w:val="lt-LT"/>
        </w:rPr>
        <w:t xml:space="preserve">1 (MDR1) ir krūties vėžio atsparumo baltymo (BCRP) substratas, todėl gali sumažėti </w:t>
      </w:r>
      <w:proofErr w:type="spellStart"/>
      <w:r w:rsidRPr="00923E74">
        <w:rPr>
          <w:snapToGrid/>
          <w:szCs w:val="22"/>
          <w:lang w:val="lt-LT"/>
        </w:rPr>
        <w:t>atorvastatino</w:t>
      </w:r>
      <w:proofErr w:type="spellEnd"/>
      <w:r w:rsidRPr="00923E74">
        <w:rPr>
          <w:snapToGrid/>
          <w:szCs w:val="22"/>
          <w:lang w:val="lt-LT"/>
        </w:rPr>
        <w:t xml:space="preserve"> absorbcija žarn</w:t>
      </w:r>
      <w:r w:rsidR="004D27E8">
        <w:rPr>
          <w:snapToGrid/>
          <w:szCs w:val="22"/>
          <w:lang w:val="lt-LT"/>
        </w:rPr>
        <w:t>yn</w:t>
      </w:r>
      <w:r w:rsidRPr="00923E74">
        <w:rPr>
          <w:snapToGrid/>
          <w:szCs w:val="22"/>
          <w:lang w:val="lt-LT"/>
        </w:rPr>
        <w:t>e ir klirensas per tulžį (žr.</w:t>
      </w:r>
      <w:r w:rsidR="00365984">
        <w:rPr>
          <w:snapToGrid/>
          <w:szCs w:val="22"/>
          <w:lang w:val="lt-LT"/>
        </w:rPr>
        <w:t> </w:t>
      </w:r>
      <w:r w:rsidRPr="00923E74">
        <w:rPr>
          <w:snapToGrid/>
          <w:szCs w:val="22"/>
          <w:lang w:val="lt-LT"/>
        </w:rPr>
        <w:t>5.2</w:t>
      </w:r>
      <w:r w:rsidR="00365984">
        <w:rPr>
          <w:snapToGrid/>
          <w:szCs w:val="22"/>
          <w:lang w:val="lt-LT"/>
        </w:rPr>
        <w:t> </w:t>
      </w:r>
      <w:r w:rsidRPr="00923E74">
        <w:rPr>
          <w:snapToGrid/>
          <w:szCs w:val="22"/>
          <w:lang w:val="lt-LT"/>
        </w:rPr>
        <w:t>skyrių). Vartojant kartu su vaistiniais preparatais, kurie slopina</w:t>
      </w:r>
      <w:r w:rsidR="00365984">
        <w:rPr>
          <w:snapToGrid/>
          <w:szCs w:val="22"/>
          <w:lang w:val="lt-LT"/>
        </w:rPr>
        <w:t> </w:t>
      </w:r>
      <w:r w:rsidRPr="00923E74">
        <w:rPr>
          <w:snapToGrid/>
          <w:szCs w:val="22"/>
          <w:lang w:val="lt-LT"/>
        </w:rPr>
        <w:t xml:space="preserve">CYP3A4 ar pernašos baltymus, gali padidėti </w:t>
      </w:r>
      <w:proofErr w:type="spellStart"/>
      <w:r w:rsidRPr="00923E74">
        <w:rPr>
          <w:snapToGrid/>
          <w:szCs w:val="22"/>
          <w:lang w:val="lt-LT"/>
        </w:rPr>
        <w:t>atorvastatino</w:t>
      </w:r>
      <w:proofErr w:type="spellEnd"/>
      <w:r w:rsidRPr="00923E74">
        <w:rPr>
          <w:snapToGrid/>
          <w:szCs w:val="22"/>
          <w:lang w:val="lt-LT"/>
        </w:rPr>
        <w:t xml:space="preserve"> koncentracija kraujo plazmoje ir </w:t>
      </w:r>
      <w:proofErr w:type="spellStart"/>
      <w:r w:rsidRPr="00923E74">
        <w:rPr>
          <w:snapToGrid/>
          <w:szCs w:val="22"/>
          <w:lang w:val="lt-LT"/>
        </w:rPr>
        <w:t>miopatijos</w:t>
      </w:r>
      <w:proofErr w:type="spellEnd"/>
      <w:r w:rsidRPr="00923E74">
        <w:rPr>
          <w:snapToGrid/>
          <w:szCs w:val="22"/>
          <w:lang w:val="lt-LT"/>
        </w:rPr>
        <w:t xml:space="preserve"> rizika. Be to, rizika gali padidėti </w:t>
      </w:r>
      <w:proofErr w:type="spellStart"/>
      <w:r w:rsidRPr="00923E74">
        <w:rPr>
          <w:snapToGrid/>
          <w:szCs w:val="22"/>
          <w:lang w:val="lt-LT"/>
        </w:rPr>
        <w:lastRenderedPageBreak/>
        <w:t>atorvastatin</w:t>
      </w:r>
      <w:r w:rsidR="00365984">
        <w:rPr>
          <w:snapToGrid/>
          <w:szCs w:val="22"/>
          <w:lang w:val="lt-LT"/>
        </w:rPr>
        <w:t>o</w:t>
      </w:r>
      <w:proofErr w:type="spellEnd"/>
      <w:r w:rsidRPr="00923E74">
        <w:rPr>
          <w:snapToGrid/>
          <w:szCs w:val="22"/>
          <w:lang w:val="lt-LT"/>
        </w:rPr>
        <w:t xml:space="preserve"> vartojant kartu su kitais vaistiniais preparatais, kurie gali sukelti </w:t>
      </w:r>
      <w:proofErr w:type="spellStart"/>
      <w:r w:rsidRPr="00923E74">
        <w:rPr>
          <w:snapToGrid/>
          <w:szCs w:val="22"/>
          <w:lang w:val="lt-LT"/>
        </w:rPr>
        <w:t>miopatiją</w:t>
      </w:r>
      <w:proofErr w:type="spellEnd"/>
      <w:r w:rsidRPr="00923E74">
        <w:rPr>
          <w:snapToGrid/>
          <w:szCs w:val="22"/>
          <w:lang w:val="lt-LT"/>
        </w:rPr>
        <w:t>, pvz., fibr</w:t>
      </w:r>
      <w:r w:rsidR="004D27E8">
        <w:rPr>
          <w:snapToGrid/>
          <w:szCs w:val="22"/>
          <w:lang w:val="lt-LT"/>
        </w:rPr>
        <w:t>inės</w:t>
      </w:r>
      <w:r w:rsidRPr="00923E74">
        <w:rPr>
          <w:snapToGrid/>
          <w:szCs w:val="22"/>
          <w:lang w:val="lt-LT"/>
        </w:rPr>
        <w:t xml:space="preserve"> rūgšties dariniais ir </w:t>
      </w:r>
      <w:proofErr w:type="spellStart"/>
      <w:r w:rsidRPr="00923E74">
        <w:rPr>
          <w:snapToGrid/>
          <w:szCs w:val="22"/>
          <w:lang w:val="lt-LT"/>
        </w:rPr>
        <w:t>ezetimibu</w:t>
      </w:r>
      <w:proofErr w:type="spellEnd"/>
      <w:r w:rsidRPr="00923E74">
        <w:rPr>
          <w:snapToGrid/>
          <w:szCs w:val="22"/>
          <w:lang w:val="lt-LT"/>
        </w:rPr>
        <w:t xml:space="preserve"> (žr.</w:t>
      </w:r>
      <w:r w:rsidR="00365984">
        <w:rPr>
          <w:snapToGrid/>
          <w:szCs w:val="22"/>
          <w:lang w:val="lt-LT"/>
        </w:rPr>
        <w:t> </w:t>
      </w:r>
      <w:r w:rsidRPr="00923E74">
        <w:rPr>
          <w:snapToGrid/>
          <w:szCs w:val="22"/>
          <w:lang w:val="lt-LT"/>
        </w:rPr>
        <w:t>4.3 ir 4.4</w:t>
      </w:r>
      <w:r w:rsidR="000C234A">
        <w:rPr>
          <w:snapToGrid/>
          <w:szCs w:val="22"/>
          <w:lang w:val="lt-LT"/>
        </w:rPr>
        <w:t> </w:t>
      </w:r>
      <w:r w:rsidRPr="00923E74">
        <w:rPr>
          <w:snapToGrid/>
          <w:szCs w:val="22"/>
          <w:lang w:val="lt-LT"/>
        </w:rPr>
        <w:t>skyrius).</w:t>
      </w:r>
    </w:p>
    <w:p w14:paraId="7F7E9186" w14:textId="77777777" w:rsidR="00B14CD9" w:rsidRPr="00923E74" w:rsidRDefault="00B14CD9" w:rsidP="00A31E3A">
      <w:pPr>
        <w:spacing w:line="240" w:lineRule="auto"/>
        <w:rPr>
          <w:snapToGrid/>
          <w:szCs w:val="22"/>
          <w:lang w:val="lt-LT"/>
        </w:rPr>
      </w:pPr>
    </w:p>
    <w:p w14:paraId="35A1B8E4" w14:textId="44097F02" w:rsidR="00365984" w:rsidRDefault="00F93DE4" w:rsidP="007E15ED">
      <w:pPr>
        <w:keepNext/>
        <w:spacing w:line="240" w:lineRule="auto"/>
        <w:rPr>
          <w:i/>
          <w:snapToGrid/>
          <w:szCs w:val="22"/>
          <w:lang w:val="lt-LT"/>
        </w:rPr>
      </w:pPr>
      <w:r w:rsidRPr="00923E74">
        <w:rPr>
          <w:i/>
          <w:snapToGrid/>
          <w:szCs w:val="22"/>
          <w:lang w:val="lt-LT"/>
        </w:rPr>
        <w:t>CYP3A4</w:t>
      </w:r>
      <w:r w:rsidR="00365984">
        <w:rPr>
          <w:snapToGrid/>
          <w:szCs w:val="22"/>
          <w:lang w:val="lt-LT"/>
        </w:rPr>
        <w:t> </w:t>
      </w:r>
      <w:r w:rsidRPr="00923E74">
        <w:rPr>
          <w:i/>
          <w:snapToGrid/>
          <w:szCs w:val="22"/>
          <w:lang w:val="lt-LT"/>
        </w:rPr>
        <w:t>inhibitor</w:t>
      </w:r>
      <w:r w:rsidR="00CA0635" w:rsidRPr="00923E74">
        <w:rPr>
          <w:i/>
          <w:snapToGrid/>
          <w:szCs w:val="22"/>
          <w:lang w:val="lt-LT"/>
        </w:rPr>
        <w:t>iai</w:t>
      </w:r>
    </w:p>
    <w:p w14:paraId="183EDC5F" w14:textId="5A59541A" w:rsidR="00571E65" w:rsidRPr="00923E74" w:rsidRDefault="006D0F4B" w:rsidP="00A31E3A">
      <w:pPr>
        <w:spacing w:line="240" w:lineRule="auto"/>
        <w:rPr>
          <w:snapToGrid/>
          <w:szCs w:val="22"/>
          <w:lang w:val="lt-LT"/>
        </w:rPr>
      </w:pPr>
      <w:r w:rsidRPr="00923E74">
        <w:rPr>
          <w:snapToGrid/>
          <w:szCs w:val="22"/>
          <w:lang w:val="lt-LT"/>
        </w:rPr>
        <w:t>Nustatyta, kad stipraus poveikio CYP3A4</w:t>
      </w:r>
      <w:r w:rsidR="00365984">
        <w:rPr>
          <w:snapToGrid/>
          <w:szCs w:val="22"/>
          <w:lang w:val="lt-LT"/>
        </w:rPr>
        <w:t> </w:t>
      </w:r>
      <w:r w:rsidRPr="00923E74">
        <w:rPr>
          <w:snapToGrid/>
          <w:szCs w:val="22"/>
          <w:lang w:val="lt-LT"/>
        </w:rPr>
        <w:t xml:space="preserve">inhibitoriai reikšmingai padidina </w:t>
      </w:r>
      <w:proofErr w:type="spellStart"/>
      <w:r w:rsidRPr="00923E74">
        <w:rPr>
          <w:snapToGrid/>
          <w:szCs w:val="22"/>
          <w:lang w:val="lt-LT"/>
        </w:rPr>
        <w:t>atorvastatino</w:t>
      </w:r>
      <w:proofErr w:type="spellEnd"/>
      <w:r w:rsidRPr="00923E74">
        <w:rPr>
          <w:snapToGrid/>
          <w:szCs w:val="22"/>
          <w:lang w:val="lt-LT"/>
        </w:rPr>
        <w:t xml:space="preserve"> koncentraciją (žr.</w:t>
      </w:r>
      <w:r w:rsidR="00365984">
        <w:rPr>
          <w:snapToGrid/>
          <w:szCs w:val="22"/>
          <w:lang w:val="lt-LT"/>
        </w:rPr>
        <w:t> </w:t>
      </w:r>
      <w:r w:rsidRPr="00923E74">
        <w:rPr>
          <w:snapToGrid/>
          <w:szCs w:val="22"/>
          <w:lang w:val="lt-LT"/>
        </w:rPr>
        <w:t>1</w:t>
      </w:r>
      <w:r w:rsidR="00365984">
        <w:rPr>
          <w:snapToGrid/>
          <w:szCs w:val="22"/>
          <w:lang w:val="lt-LT"/>
        </w:rPr>
        <w:t> </w:t>
      </w:r>
      <w:r w:rsidRPr="00923E74">
        <w:rPr>
          <w:snapToGrid/>
          <w:szCs w:val="22"/>
          <w:lang w:val="lt-LT"/>
        </w:rPr>
        <w:t xml:space="preserve">lentelę ir toliau esančią specifinę informaciją). Jeigu įmanoma, </w:t>
      </w:r>
      <w:r w:rsidR="00AD33AC" w:rsidRPr="00923E74">
        <w:rPr>
          <w:snapToGrid/>
          <w:szCs w:val="22"/>
          <w:lang w:val="lt-LT"/>
        </w:rPr>
        <w:t>rekomenduojama</w:t>
      </w:r>
      <w:r w:rsidRPr="00923E74">
        <w:rPr>
          <w:snapToGrid/>
          <w:szCs w:val="22"/>
          <w:lang w:val="lt-LT"/>
        </w:rPr>
        <w:t xml:space="preserve"> kartu nevartoti stipraus poveikio CYP3A4</w:t>
      </w:r>
      <w:r w:rsidR="00365984">
        <w:rPr>
          <w:snapToGrid/>
          <w:szCs w:val="22"/>
          <w:lang w:val="lt-LT"/>
        </w:rPr>
        <w:t> </w:t>
      </w:r>
      <w:r w:rsidRPr="00923E74">
        <w:rPr>
          <w:snapToGrid/>
          <w:szCs w:val="22"/>
          <w:lang w:val="lt-LT"/>
        </w:rPr>
        <w:t xml:space="preserve">inhibitorių (pvz., </w:t>
      </w:r>
      <w:proofErr w:type="spellStart"/>
      <w:r w:rsidRPr="00923E74">
        <w:rPr>
          <w:snapToGrid/>
          <w:szCs w:val="22"/>
          <w:lang w:val="lt-LT"/>
        </w:rPr>
        <w:t>ciklosporino</w:t>
      </w:r>
      <w:proofErr w:type="spellEnd"/>
      <w:r w:rsidRPr="00923E74">
        <w:rPr>
          <w:snapToGrid/>
          <w:szCs w:val="22"/>
          <w:lang w:val="lt-LT"/>
        </w:rPr>
        <w:t xml:space="preserve">, </w:t>
      </w:r>
      <w:proofErr w:type="spellStart"/>
      <w:r w:rsidRPr="00923E74">
        <w:rPr>
          <w:snapToGrid/>
          <w:szCs w:val="22"/>
          <w:lang w:val="lt-LT"/>
        </w:rPr>
        <w:t>telitromicino</w:t>
      </w:r>
      <w:proofErr w:type="spellEnd"/>
      <w:r w:rsidRPr="00923E74">
        <w:rPr>
          <w:snapToGrid/>
          <w:szCs w:val="22"/>
          <w:lang w:val="lt-LT"/>
        </w:rPr>
        <w:t xml:space="preserve">, </w:t>
      </w:r>
      <w:proofErr w:type="spellStart"/>
      <w:r w:rsidRPr="00923E74">
        <w:rPr>
          <w:snapToGrid/>
          <w:szCs w:val="22"/>
          <w:lang w:val="lt-LT"/>
        </w:rPr>
        <w:t>klaritromicino</w:t>
      </w:r>
      <w:proofErr w:type="spellEnd"/>
      <w:r w:rsidRPr="00923E74">
        <w:rPr>
          <w:snapToGrid/>
          <w:szCs w:val="22"/>
          <w:lang w:val="lt-LT"/>
        </w:rPr>
        <w:t xml:space="preserve">, </w:t>
      </w:r>
      <w:proofErr w:type="spellStart"/>
      <w:r w:rsidRPr="00923E74">
        <w:rPr>
          <w:snapToGrid/>
          <w:szCs w:val="22"/>
          <w:lang w:val="lt-LT"/>
        </w:rPr>
        <w:t>delavirdino</w:t>
      </w:r>
      <w:proofErr w:type="spellEnd"/>
      <w:r w:rsidRPr="00923E74">
        <w:rPr>
          <w:snapToGrid/>
          <w:szCs w:val="22"/>
          <w:lang w:val="lt-LT"/>
        </w:rPr>
        <w:t xml:space="preserve">, </w:t>
      </w:r>
      <w:proofErr w:type="spellStart"/>
      <w:r w:rsidRPr="00923E74">
        <w:rPr>
          <w:snapToGrid/>
          <w:szCs w:val="22"/>
          <w:lang w:val="lt-LT"/>
        </w:rPr>
        <w:t>stiripentolio</w:t>
      </w:r>
      <w:proofErr w:type="spellEnd"/>
      <w:r w:rsidRPr="00923E74">
        <w:rPr>
          <w:snapToGrid/>
          <w:szCs w:val="22"/>
          <w:lang w:val="lt-LT"/>
        </w:rPr>
        <w:t xml:space="preserve">, </w:t>
      </w:r>
      <w:proofErr w:type="spellStart"/>
      <w:r w:rsidRPr="00923E74">
        <w:rPr>
          <w:snapToGrid/>
          <w:szCs w:val="22"/>
          <w:lang w:val="lt-LT"/>
        </w:rPr>
        <w:t>ketokonazolo</w:t>
      </w:r>
      <w:proofErr w:type="spellEnd"/>
      <w:r w:rsidRPr="00923E74">
        <w:rPr>
          <w:snapToGrid/>
          <w:szCs w:val="22"/>
          <w:lang w:val="lt-LT"/>
        </w:rPr>
        <w:t xml:space="preserve">, </w:t>
      </w:r>
      <w:proofErr w:type="spellStart"/>
      <w:r w:rsidRPr="00923E74">
        <w:rPr>
          <w:snapToGrid/>
          <w:szCs w:val="22"/>
          <w:lang w:val="lt-LT"/>
        </w:rPr>
        <w:t>vorikonazolo</w:t>
      </w:r>
      <w:proofErr w:type="spellEnd"/>
      <w:r w:rsidRPr="00923E74">
        <w:rPr>
          <w:snapToGrid/>
          <w:szCs w:val="22"/>
          <w:lang w:val="lt-LT"/>
        </w:rPr>
        <w:t xml:space="preserve">, </w:t>
      </w:r>
      <w:proofErr w:type="spellStart"/>
      <w:r w:rsidRPr="00923E74">
        <w:rPr>
          <w:snapToGrid/>
          <w:szCs w:val="22"/>
          <w:lang w:val="lt-LT"/>
        </w:rPr>
        <w:t>itrakonazolo</w:t>
      </w:r>
      <w:proofErr w:type="spellEnd"/>
      <w:r w:rsidRPr="00923E74">
        <w:rPr>
          <w:snapToGrid/>
          <w:szCs w:val="22"/>
          <w:lang w:val="lt-LT"/>
        </w:rPr>
        <w:t xml:space="preserve">, </w:t>
      </w:r>
      <w:proofErr w:type="spellStart"/>
      <w:r w:rsidRPr="00923E74">
        <w:rPr>
          <w:snapToGrid/>
          <w:szCs w:val="22"/>
          <w:lang w:val="lt-LT"/>
        </w:rPr>
        <w:t>pozakonazolo</w:t>
      </w:r>
      <w:proofErr w:type="spellEnd"/>
      <w:r w:rsidRPr="00923E74">
        <w:rPr>
          <w:snapToGrid/>
          <w:szCs w:val="22"/>
          <w:lang w:val="lt-LT"/>
        </w:rPr>
        <w:t xml:space="preserve">, tam tikrų HCV gydyti skirtų antivirusinių vaistinių preparatų (pvz., </w:t>
      </w:r>
      <w:proofErr w:type="spellStart"/>
      <w:r w:rsidRPr="00923E74">
        <w:rPr>
          <w:snapToGrid/>
          <w:szCs w:val="22"/>
          <w:lang w:val="lt-LT"/>
        </w:rPr>
        <w:t>elbasviro</w:t>
      </w:r>
      <w:proofErr w:type="spellEnd"/>
      <w:r w:rsidR="00E8719B">
        <w:rPr>
          <w:snapToGrid/>
          <w:szCs w:val="22"/>
          <w:lang w:val="lt-LT"/>
        </w:rPr>
        <w:t xml:space="preserve"> </w:t>
      </w:r>
      <w:r w:rsidRPr="00923E74">
        <w:rPr>
          <w:snapToGrid/>
          <w:szCs w:val="22"/>
          <w:lang w:val="lt-LT"/>
        </w:rPr>
        <w:t>/</w:t>
      </w:r>
      <w:r w:rsidR="00E8719B">
        <w:rPr>
          <w:snapToGrid/>
          <w:szCs w:val="22"/>
          <w:lang w:val="lt-LT"/>
        </w:rPr>
        <w:t xml:space="preserve"> </w:t>
      </w:r>
      <w:proofErr w:type="spellStart"/>
      <w:r w:rsidRPr="00923E74">
        <w:rPr>
          <w:snapToGrid/>
          <w:szCs w:val="22"/>
          <w:lang w:val="lt-LT"/>
        </w:rPr>
        <w:t>grazopreviro</w:t>
      </w:r>
      <w:proofErr w:type="spellEnd"/>
      <w:r w:rsidRPr="00923E74">
        <w:rPr>
          <w:snapToGrid/>
          <w:szCs w:val="22"/>
          <w:lang w:val="lt-LT"/>
        </w:rPr>
        <w:t>) ir ŽIV</w:t>
      </w:r>
      <w:r w:rsidR="00365984">
        <w:rPr>
          <w:snapToGrid/>
          <w:szCs w:val="22"/>
          <w:lang w:val="lt-LT"/>
        </w:rPr>
        <w:t> </w:t>
      </w:r>
      <w:r w:rsidRPr="00923E74">
        <w:rPr>
          <w:snapToGrid/>
          <w:szCs w:val="22"/>
          <w:lang w:val="lt-LT"/>
        </w:rPr>
        <w:t xml:space="preserve">proteazės inhibitorių, įskaitant ritonavirą, lopinavirą, </w:t>
      </w:r>
      <w:proofErr w:type="spellStart"/>
      <w:r w:rsidRPr="00923E74">
        <w:rPr>
          <w:snapToGrid/>
          <w:szCs w:val="22"/>
          <w:lang w:val="lt-LT"/>
        </w:rPr>
        <w:t>atazanavirą</w:t>
      </w:r>
      <w:proofErr w:type="spellEnd"/>
      <w:r w:rsidRPr="00923E74">
        <w:rPr>
          <w:snapToGrid/>
          <w:szCs w:val="22"/>
          <w:lang w:val="lt-LT"/>
        </w:rPr>
        <w:t xml:space="preserve">, </w:t>
      </w:r>
      <w:proofErr w:type="spellStart"/>
      <w:r w:rsidRPr="00923E74">
        <w:rPr>
          <w:snapToGrid/>
          <w:szCs w:val="22"/>
          <w:lang w:val="lt-LT"/>
        </w:rPr>
        <w:t>indinavirą</w:t>
      </w:r>
      <w:proofErr w:type="spellEnd"/>
      <w:r w:rsidRPr="00923E74">
        <w:rPr>
          <w:snapToGrid/>
          <w:szCs w:val="22"/>
          <w:lang w:val="lt-LT"/>
        </w:rPr>
        <w:t xml:space="preserve">, </w:t>
      </w:r>
      <w:proofErr w:type="spellStart"/>
      <w:r w:rsidRPr="00923E74">
        <w:rPr>
          <w:snapToGrid/>
          <w:szCs w:val="22"/>
          <w:lang w:val="lt-LT"/>
        </w:rPr>
        <w:t>darunavirą</w:t>
      </w:r>
      <w:proofErr w:type="spellEnd"/>
      <w:r w:rsidRPr="00923E74">
        <w:rPr>
          <w:snapToGrid/>
          <w:szCs w:val="22"/>
          <w:lang w:val="lt-LT"/>
        </w:rPr>
        <w:t xml:space="preserve"> ir kt.). Tais atvejais, kai šių vaistinių preparatų vartojimo kartu su </w:t>
      </w:r>
      <w:proofErr w:type="spellStart"/>
      <w:r w:rsidRPr="00923E74">
        <w:rPr>
          <w:snapToGrid/>
          <w:szCs w:val="22"/>
          <w:lang w:val="lt-LT"/>
        </w:rPr>
        <w:t>atorvastatinu</w:t>
      </w:r>
      <w:proofErr w:type="spellEnd"/>
      <w:r w:rsidRPr="00923E74">
        <w:rPr>
          <w:snapToGrid/>
          <w:szCs w:val="22"/>
          <w:lang w:val="lt-LT"/>
        </w:rPr>
        <w:t xml:space="preserve"> išvengti neįmanoma, reikia apsvarstyti mažesnės pradinės bei didžiausios </w:t>
      </w:r>
      <w:proofErr w:type="spellStart"/>
      <w:r w:rsidRPr="00923E74">
        <w:rPr>
          <w:snapToGrid/>
          <w:szCs w:val="22"/>
          <w:lang w:val="lt-LT"/>
        </w:rPr>
        <w:t>atorvastatino</w:t>
      </w:r>
      <w:proofErr w:type="spellEnd"/>
      <w:r w:rsidRPr="00923E74">
        <w:rPr>
          <w:snapToGrid/>
          <w:szCs w:val="22"/>
          <w:lang w:val="lt-LT"/>
        </w:rPr>
        <w:t xml:space="preserve"> dozės skyrimo galimybę ir tinkamai stebėti paciento klinikinę būklę (žr.</w:t>
      </w:r>
      <w:r w:rsidR="00365984">
        <w:rPr>
          <w:snapToGrid/>
          <w:szCs w:val="22"/>
          <w:lang w:val="lt-LT"/>
        </w:rPr>
        <w:t> </w:t>
      </w:r>
      <w:r w:rsidRPr="00923E74">
        <w:rPr>
          <w:snapToGrid/>
          <w:szCs w:val="22"/>
          <w:lang w:val="lt-LT"/>
        </w:rPr>
        <w:t>1</w:t>
      </w:r>
      <w:r w:rsidR="000C234A">
        <w:rPr>
          <w:snapToGrid/>
          <w:szCs w:val="22"/>
          <w:lang w:val="lt-LT"/>
        </w:rPr>
        <w:t> </w:t>
      </w:r>
      <w:r w:rsidRPr="00923E74">
        <w:rPr>
          <w:snapToGrid/>
          <w:szCs w:val="22"/>
          <w:lang w:val="lt-LT"/>
        </w:rPr>
        <w:t>lentelę).</w:t>
      </w:r>
    </w:p>
    <w:p w14:paraId="3E98DE50" w14:textId="77777777" w:rsidR="00571E65" w:rsidRPr="00923E74" w:rsidRDefault="00571E65" w:rsidP="00A31E3A">
      <w:pPr>
        <w:spacing w:line="240" w:lineRule="auto"/>
        <w:rPr>
          <w:snapToGrid/>
          <w:szCs w:val="22"/>
          <w:lang w:val="lt-LT"/>
        </w:rPr>
      </w:pPr>
    </w:p>
    <w:p w14:paraId="09956694" w14:textId="18CB5068" w:rsidR="00F93DE4" w:rsidRPr="00923E74" w:rsidRDefault="00571E65" w:rsidP="00A31E3A">
      <w:pPr>
        <w:spacing w:line="240" w:lineRule="auto"/>
        <w:rPr>
          <w:snapToGrid/>
          <w:szCs w:val="22"/>
          <w:lang w:val="lt-LT"/>
        </w:rPr>
      </w:pPr>
      <w:r w:rsidRPr="00923E74">
        <w:rPr>
          <w:snapToGrid/>
          <w:szCs w:val="22"/>
          <w:lang w:val="lt-LT"/>
        </w:rPr>
        <w:t>Vidutinio stiprumo CYP3A4</w:t>
      </w:r>
      <w:r w:rsidR="00365984">
        <w:rPr>
          <w:snapToGrid/>
          <w:szCs w:val="22"/>
          <w:lang w:val="lt-LT"/>
        </w:rPr>
        <w:t> </w:t>
      </w:r>
      <w:r w:rsidRPr="00923E74">
        <w:rPr>
          <w:snapToGrid/>
          <w:szCs w:val="22"/>
          <w:lang w:val="lt-LT"/>
        </w:rPr>
        <w:t xml:space="preserve">inhibitoriai (pvz., </w:t>
      </w:r>
      <w:proofErr w:type="spellStart"/>
      <w:r w:rsidRPr="00923E74">
        <w:rPr>
          <w:snapToGrid/>
          <w:szCs w:val="22"/>
          <w:lang w:val="lt-LT"/>
        </w:rPr>
        <w:t>eritromicinas</w:t>
      </w:r>
      <w:proofErr w:type="spellEnd"/>
      <w:r w:rsidRPr="00923E74">
        <w:rPr>
          <w:snapToGrid/>
          <w:szCs w:val="22"/>
          <w:lang w:val="lt-LT"/>
        </w:rPr>
        <w:t xml:space="preserve">, </w:t>
      </w:r>
      <w:proofErr w:type="spellStart"/>
      <w:r w:rsidRPr="00923E74">
        <w:rPr>
          <w:snapToGrid/>
          <w:szCs w:val="22"/>
          <w:lang w:val="lt-LT"/>
        </w:rPr>
        <w:t>diltiazemas</w:t>
      </w:r>
      <w:proofErr w:type="spellEnd"/>
      <w:r w:rsidRPr="00923E74">
        <w:rPr>
          <w:snapToGrid/>
          <w:szCs w:val="22"/>
          <w:lang w:val="lt-LT"/>
        </w:rPr>
        <w:t xml:space="preserve">, </w:t>
      </w:r>
      <w:proofErr w:type="spellStart"/>
      <w:r w:rsidRPr="00923E74">
        <w:rPr>
          <w:snapToGrid/>
          <w:szCs w:val="22"/>
          <w:lang w:val="lt-LT"/>
        </w:rPr>
        <w:t>verapamilis</w:t>
      </w:r>
      <w:proofErr w:type="spellEnd"/>
      <w:r w:rsidRPr="00923E74">
        <w:rPr>
          <w:snapToGrid/>
          <w:szCs w:val="22"/>
          <w:lang w:val="lt-LT"/>
        </w:rPr>
        <w:t xml:space="preserve"> ir </w:t>
      </w:r>
      <w:proofErr w:type="spellStart"/>
      <w:r w:rsidRPr="00923E74">
        <w:rPr>
          <w:snapToGrid/>
          <w:szCs w:val="22"/>
          <w:lang w:val="lt-LT"/>
        </w:rPr>
        <w:t>flukonazolas</w:t>
      </w:r>
      <w:proofErr w:type="spellEnd"/>
      <w:r w:rsidRPr="00923E74">
        <w:rPr>
          <w:snapToGrid/>
          <w:szCs w:val="22"/>
          <w:lang w:val="lt-LT"/>
        </w:rPr>
        <w:t xml:space="preserve">) gali didinti </w:t>
      </w:r>
      <w:proofErr w:type="spellStart"/>
      <w:r w:rsidRPr="00923E74">
        <w:rPr>
          <w:snapToGrid/>
          <w:szCs w:val="22"/>
          <w:lang w:val="lt-LT"/>
        </w:rPr>
        <w:t>atorvastatino</w:t>
      </w:r>
      <w:proofErr w:type="spellEnd"/>
      <w:r w:rsidRPr="00923E74">
        <w:rPr>
          <w:snapToGrid/>
          <w:szCs w:val="22"/>
          <w:lang w:val="lt-LT"/>
        </w:rPr>
        <w:t xml:space="preserve"> koncentraciją kraujo plazmoje (žr.</w:t>
      </w:r>
      <w:r w:rsidR="00365984">
        <w:rPr>
          <w:snapToGrid/>
          <w:szCs w:val="22"/>
          <w:lang w:val="lt-LT"/>
        </w:rPr>
        <w:t> </w:t>
      </w:r>
      <w:r w:rsidRPr="00923E74">
        <w:rPr>
          <w:snapToGrid/>
          <w:szCs w:val="22"/>
          <w:lang w:val="lt-LT"/>
        </w:rPr>
        <w:t>1</w:t>
      </w:r>
      <w:r w:rsidR="006F75AA">
        <w:rPr>
          <w:snapToGrid/>
          <w:szCs w:val="22"/>
          <w:lang w:val="lt-LT"/>
        </w:rPr>
        <w:t> </w:t>
      </w:r>
      <w:r w:rsidRPr="00923E74">
        <w:rPr>
          <w:snapToGrid/>
          <w:szCs w:val="22"/>
          <w:lang w:val="lt-LT"/>
        </w:rPr>
        <w:t xml:space="preserve">lentelę). </w:t>
      </w:r>
      <w:proofErr w:type="spellStart"/>
      <w:r w:rsidRPr="00923E74">
        <w:rPr>
          <w:snapToGrid/>
          <w:szCs w:val="22"/>
          <w:lang w:val="lt-LT"/>
        </w:rPr>
        <w:t>Eritromicin</w:t>
      </w:r>
      <w:r w:rsidR="00365984">
        <w:rPr>
          <w:snapToGrid/>
          <w:szCs w:val="22"/>
          <w:lang w:val="lt-LT"/>
        </w:rPr>
        <w:t>o</w:t>
      </w:r>
      <w:proofErr w:type="spellEnd"/>
      <w:r w:rsidRPr="00923E74">
        <w:rPr>
          <w:snapToGrid/>
          <w:szCs w:val="22"/>
          <w:lang w:val="lt-LT"/>
        </w:rPr>
        <w:t xml:space="preserve"> vartojant kartu su </w:t>
      </w:r>
      <w:proofErr w:type="spellStart"/>
      <w:r w:rsidRPr="00923E74">
        <w:rPr>
          <w:snapToGrid/>
          <w:szCs w:val="22"/>
          <w:lang w:val="lt-LT"/>
        </w:rPr>
        <w:t>statinais</w:t>
      </w:r>
      <w:proofErr w:type="spellEnd"/>
      <w:r w:rsidRPr="00923E74">
        <w:rPr>
          <w:snapToGrid/>
          <w:szCs w:val="22"/>
          <w:lang w:val="lt-LT"/>
        </w:rPr>
        <w:t xml:space="preserve">, pastebėtas </w:t>
      </w:r>
      <w:proofErr w:type="spellStart"/>
      <w:r w:rsidRPr="00923E74">
        <w:rPr>
          <w:snapToGrid/>
          <w:szCs w:val="22"/>
          <w:lang w:val="lt-LT"/>
        </w:rPr>
        <w:t>miopatijos</w:t>
      </w:r>
      <w:proofErr w:type="spellEnd"/>
      <w:r w:rsidRPr="00923E74">
        <w:rPr>
          <w:snapToGrid/>
          <w:szCs w:val="22"/>
          <w:lang w:val="lt-LT"/>
        </w:rPr>
        <w:t xml:space="preserve"> rizikos padidėjimas. Sąveikos tyrimų, kuriais būtų įvertintas </w:t>
      </w:r>
      <w:proofErr w:type="spellStart"/>
      <w:r w:rsidRPr="00923E74">
        <w:rPr>
          <w:snapToGrid/>
          <w:szCs w:val="22"/>
          <w:lang w:val="lt-LT"/>
        </w:rPr>
        <w:t>amjodarono</w:t>
      </w:r>
      <w:proofErr w:type="spellEnd"/>
      <w:r w:rsidRPr="00923E74">
        <w:rPr>
          <w:snapToGrid/>
          <w:szCs w:val="22"/>
          <w:lang w:val="lt-LT"/>
        </w:rPr>
        <w:t xml:space="preserve"> ar </w:t>
      </w:r>
      <w:proofErr w:type="spellStart"/>
      <w:r w:rsidRPr="00923E74">
        <w:rPr>
          <w:snapToGrid/>
          <w:szCs w:val="22"/>
          <w:lang w:val="lt-LT"/>
        </w:rPr>
        <w:t>verapamilio</w:t>
      </w:r>
      <w:proofErr w:type="spellEnd"/>
      <w:r w:rsidRPr="00923E74">
        <w:rPr>
          <w:snapToGrid/>
          <w:szCs w:val="22"/>
          <w:lang w:val="lt-LT"/>
        </w:rPr>
        <w:t xml:space="preserve"> poveikis </w:t>
      </w:r>
      <w:proofErr w:type="spellStart"/>
      <w:r w:rsidRPr="00923E74">
        <w:rPr>
          <w:snapToGrid/>
          <w:szCs w:val="22"/>
          <w:lang w:val="lt-LT"/>
        </w:rPr>
        <w:t>atorvastatinui</w:t>
      </w:r>
      <w:proofErr w:type="spellEnd"/>
      <w:r w:rsidRPr="00923E74">
        <w:rPr>
          <w:snapToGrid/>
          <w:szCs w:val="22"/>
          <w:lang w:val="lt-LT"/>
        </w:rPr>
        <w:t xml:space="preserve">, neatlikta. Žinoma, kad ir </w:t>
      </w:r>
      <w:proofErr w:type="spellStart"/>
      <w:r w:rsidRPr="00923E74">
        <w:rPr>
          <w:snapToGrid/>
          <w:szCs w:val="22"/>
          <w:lang w:val="lt-LT"/>
        </w:rPr>
        <w:t>verapamilis</w:t>
      </w:r>
      <w:proofErr w:type="spellEnd"/>
      <w:r w:rsidRPr="00923E74">
        <w:rPr>
          <w:snapToGrid/>
          <w:szCs w:val="22"/>
          <w:lang w:val="lt-LT"/>
        </w:rPr>
        <w:t xml:space="preserve">, ir </w:t>
      </w:r>
      <w:proofErr w:type="spellStart"/>
      <w:r w:rsidRPr="00923E74">
        <w:rPr>
          <w:snapToGrid/>
          <w:szCs w:val="22"/>
          <w:lang w:val="lt-LT"/>
        </w:rPr>
        <w:t>amjodaronas</w:t>
      </w:r>
      <w:proofErr w:type="spellEnd"/>
      <w:r w:rsidRPr="00923E74">
        <w:rPr>
          <w:snapToGrid/>
          <w:szCs w:val="22"/>
          <w:lang w:val="lt-LT"/>
        </w:rPr>
        <w:t xml:space="preserve"> slopina CYP3A4</w:t>
      </w:r>
      <w:r w:rsidR="00365984">
        <w:rPr>
          <w:snapToGrid/>
          <w:szCs w:val="22"/>
          <w:lang w:val="lt-LT"/>
        </w:rPr>
        <w:t> </w:t>
      </w:r>
      <w:r w:rsidRPr="00923E74">
        <w:rPr>
          <w:snapToGrid/>
          <w:szCs w:val="22"/>
          <w:lang w:val="lt-LT"/>
        </w:rPr>
        <w:t xml:space="preserve">aktyvumą ir, vartojami kartu su </w:t>
      </w:r>
      <w:proofErr w:type="spellStart"/>
      <w:r w:rsidRPr="00923E74">
        <w:rPr>
          <w:snapToGrid/>
          <w:szCs w:val="22"/>
          <w:lang w:val="lt-LT"/>
        </w:rPr>
        <w:t>Torzelip</w:t>
      </w:r>
      <w:proofErr w:type="spellEnd"/>
      <w:r w:rsidRPr="00923E74">
        <w:rPr>
          <w:snapToGrid/>
          <w:szCs w:val="22"/>
          <w:lang w:val="lt-LT"/>
        </w:rPr>
        <w:t xml:space="preserve">, gali padidinti </w:t>
      </w:r>
      <w:proofErr w:type="spellStart"/>
      <w:r w:rsidRPr="00923E74">
        <w:rPr>
          <w:snapToGrid/>
          <w:szCs w:val="22"/>
          <w:lang w:val="lt-LT"/>
        </w:rPr>
        <w:t>atorvastatino</w:t>
      </w:r>
      <w:proofErr w:type="spellEnd"/>
      <w:r w:rsidRPr="00923E74">
        <w:rPr>
          <w:snapToGrid/>
          <w:szCs w:val="22"/>
          <w:lang w:val="lt-LT"/>
        </w:rPr>
        <w:t xml:space="preserve"> ekspoziciją. Todėl, jei pacientai kartu vartoja vidutinio stiprumo CYP3A4</w:t>
      </w:r>
      <w:r w:rsidR="00365984">
        <w:rPr>
          <w:snapToGrid/>
          <w:szCs w:val="22"/>
          <w:lang w:val="lt-LT"/>
        </w:rPr>
        <w:t> </w:t>
      </w:r>
      <w:r w:rsidRPr="00923E74">
        <w:rPr>
          <w:snapToGrid/>
          <w:szCs w:val="22"/>
          <w:lang w:val="lt-LT"/>
        </w:rPr>
        <w:t xml:space="preserve">inhibitorių, reikia apsvarstyti mažesnės didžiausios </w:t>
      </w:r>
      <w:proofErr w:type="spellStart"/>
      <w:r w:rsidRPr="00923E74">
        <w:rPr>
          <w:snapToGrid/>
          <w:szCs w:val="22"/>
          <w:lang w:val="lt-LT"/>
        </w:rPr>
        <w:t>Torzelip</w:t>
      </w:r>
      <w:proofErr w:type="spellEnd"/>
      <w:r w:rsidRPr="00923E74">
        <w:rPr>
          <w:snapToGrid/>
          <w:szCs w:val="22"/>
          <w:lang w:val="lt-LT"/>
        </w:rPr>
        <w:t xml:space="preserve"> dozės skyrimo galimybę, be to, rekomenduojama tinkamai stebėti klinikinę paciento būklę. Pradėjus vartoti inhibitorių arba pakeitus jo dozę, rekomenduojama tinkamai stebėti klinikinę paciento būklę.</w:t>
      </w:r>
    </w:p>
    <w:p w14:paraId="438CE221" w14:textId="77777777" w:rsidR="00571E65" w:rsidRPr="00923E74" w:rsidRDefault="00571E65" w:rsidP="00A31E3A">
      <w:pPr>
        <w:spacing w:line="240" w:lineRule="auto"/>
        <w:rPr>
          <w:snapToGrid/>
          <w:szCs w:val="22"/>
          <w:lang w:val="lt-LT"/>
        </w:rPr>
      </w:pPr>
    </w:p>
    <w:p w14:paraId="0ECBE5D5" w14:textId="4AD8737B" w:rsidR="003610D0" w:rsidRPr="00923E74" w:rsidRDefault="003610D0" w:rsidP="007E15ED">
      <w:pPr>
        <w:keepNext/>
        <w:spacing w:line="240" w:lineRule="auto"/>
        <w:rPr>
          <w:i/>
          <w:snapToGrid/>
          <w:szCs w:val="22"/>
          <w:lang w:val="lt-LT"/>
        </w:rPr>
      </w:pPr>
      <w:r w:rsidRPr="00923E74">
        <w:rPr>
          <w:i/>
          <w:snapToGrid/>
          <w:szCs w:val="22"/>
          <w:lang w:val="lt-LT"/>
        </w:rPr>
        <w:t xml:space="preserve">Atsparumo krūties vėžiui baltymo (angl. </w:t>
      </w:r>
      <w:proofErr w:type="spellStart"/>
      <w:r w:rsidRPr="00923E74">
        <w:rPr>
          <w:i/>
          <w:snapToGrid/>
          <w:szCs w:val="22"/>
          <w:lang w:val="lt-LT"/>
        </w:rPr>
        <w:t>Breast</w:t>
      </w:r>
      <w:proofErr w:type="spellEnd"/>
      <w:r w:rsidRPr="00923E74">
        <w:rPr>
          <w:i/>
          <w:snapToGrid/>
          <w:szCs w:val="22"/>
          <w:lang w:val="lt-LT"/>
        </w:rPr>
        <w:t xml:space="preserve"> </w:t>
      </w:r>
      <w:proofErr w:type="spellStart"/>
      <w:r w:rsidRPr="00923E74">
        <w:rPr>
          <w:i/>
          <w:snapToGrid/>
          <w:szCs w:val="22"/>
          <w:lang w:val="lt-LT"/>
        </w:rPr>
        <w:t>Cancer</w:t>
      </w:r>
      <w:proofErr w:type="spellEnd"/>
      <w:r w:rsidRPr="00923E74">
        <w:rPr>
          <w:i/>
          <w:snapToGrid/>
          <w:szCs w:val="22"/>
          <w:lang w:val="lt-LT"/>
        </w:rPr>
        <w:t xml:space="preserve"> </w:t>
      </w:r>
      <w:proofErr w:type="spellStart"/>
      <w:r w:rsidRPr="00923E74">
        <w:rPr>
          <w:i/>
          <w:snapToGrid/>
          <w:szCs w:val="22"/>
          <w:lang w:val="lt-LT"/>
        </w:rPr>
        <w:t>Resistant</w:t>
      </w:r>
      <w:proofErr w:type="spellEnd"/>
      <w:r w:rsidRPr="00923E74">
        <w:rPr>
          <w:i/>
          <w:snapToGrid/>
          <w:szCs w:val="22"/>
          <w:lang w:val="lt-LT"/>
        </w:rPr>
        <w:t xml:space="preserve"> </w:t>
      </w:r>
      <w:proofErr w:type="spellStart"/>
      <w:r w:rsidRPr="00923E74">
        <w:rPr>
          <w:i/>
          <w:snapToGrid/>
          <w:szCs w:val="22"/>
          <w:lang w:val="lt-LT"/>
        </w:rPr>
        <w:t>Protein</w:t>
      </w:r>
      <w:proofErr w:type="spellEnd"/>
      <w:r w:rsidR="00365984">
        <w:rPr>
          <w:i/>
          <w:snapToGrid/>
          <w:szCs w:val="22"/>
          <w:lang w:val="lt-LT"/>
        </w:rPr>
        <w:t xml:space="preserve"> –</w:t>
      </w:r>
      <w:r w:rsidRPr="00923E74">
        <w:rPr>
          <w:i/>
          <w:snapToGrid/>
          <w:szCs w:val="22"/>
          <w:lang w:val="lt-LT"/>
        </w:rPr>
        <w:t xml:space="preserve"> BCRP) </w:t>
      </w:r>
      <w:proofErr w:type="spellStart"/>
      <w:r w:rsidRPr="00923E74">
        <w:rPr>
          <w:i/>
          <w:snapToGrid/>
          <w:szCs w:val="22"/>
          <w:lang w:val="lt-LT"/>
        </w:rPr>
        <w:t>inhbitoriai</w:t>
      </w:r>
      <w:proofErr w:type="spellEnd"/>
    </w:p>
    <w:p w14:paraId="3F3CC7B0" w14:textId="7B96C44A" w:rsidR="00F93DE4" w:rsidRPr="00923E74" w:rsidRDefault="003610D0" w:rsidP="00A31E3A">
      <w:pPr>
        <w:spacing w:line="240" w:lineRule="auto"/>
        <w:rPr>
          <w:snapToGrid/>
          <w:szCs w:val="22"/>
          <w:lang w:val="lt-LT"/>
        </w:rPr>
      </w:pPr>
      <w:r w:rsidRPr="00923E74">
        <w:rPr>
          <w:snapToGrid/>
          <w:szCs w:val="22"/>
          <w:lang w:val="lt-LT"/>
        </w:rPr>
        <w:t>Vartojant kartu su vaistiniais preparatais, kurie yra BCRP</w:t>
      </w:r>
      <w:r w:rsidR="00365984">
        <w:rPr>
          <w:snapToGrid/>
          <w:szCs w:val="22"/>
          <w:lang w:val="lt-LT"/>
        </w:rPr>
        <w:t> </w:t>
      </w:r>
      <w:r w:rsidRPr="00923E74">
        <w:rPr>
          <w:snapToGrid/>
          <w:szCs w:val="22"/>
          <w:lang w:val="lt-LT"/>
        </w:rPr>
        <w:t xml:space="preserve">inhibitoriai (pvz., </w:t>
      </w:r>
      <w:proofErr w:type="spellStart"/>
      <w:r w:rsidRPr="00923E74">
        <w:rPr>
          <w:snapToGrid/>
          <w:szCs w:val="22"/>
          <w:lang w:val="lt-LT"/>
        </w:rPr>
        <w:t>elbasviru</w:t>
      </w:r>
      <w:proofErr w:type="spellEnd"/>
      <w:r w:rsidRPr="00923E74">
        <w:rPr>
          <w:snapToGrid/>
          <w:szCs w:val="22"/>
          <w:lang w:val="lt-LT"/>
        </w:rPr>
        <w:t xml:space="preserve"> ir </w:t>
      </w:r>
      <w:proofErr w:type="spellStart"/>
      <w:r w:rsidRPr="00923E74">
        <w:rPr>
          <w:snapToGrid/>
          <w:szCs w:val="22"/>
          <w:lang w:val="lt-LT"/>
        </w:rPr>
        <w:t>grazopreviru</w:t>
      </w:r>
      <w:proofErr w:type="spellEnd"/>
      <w:r w:rsidRPr="00923E74">
        <w:rPr>
          <w:snapToGrid/>
          <w:szCs w:val="22"/>
          <w:lang w:val="lt-LT"/>
        </w:rPr>
        <w:t xml:space="preserve">), gali padidėti </w:t>
      </w:r>
      <w:proofErr w:type="spellStart"/>
      <w:r w:rsidRPr="00923E74">
        <w:rPr>
          <w:snapToGrid/>
          <w:szCs w:val="22"/>
          <w:lang w:val="lt-LT"/>
        </w:rPr>
        <w:t>atorvastatino</w:t>
      </w:r>
      <w:proofErr w:type="spellEnd"/>
      <w:r w:rsidRPr="00923E74">
        <w:rPr>
          <w:snapToGrid/>
          <w:szCs w:val="22"/>
          <w:lang w:val="lt-LT"/>
        </w:rPr>
        <w:t xml:space="preserve"> koncentracij</w:t>
      </w:r>
      <w:r w:rsidR="00240F47">
        <w:rPr>
          <w:snapToGrid/>
          <w:szCs w:val="22"/>
          <w:lang w:val="lt-LT"/>
        </w:rPr>
        <w:t>os</w:t>
      </w:r>
      <w:r w:rsidRPr="00923E74">
        <w:rPr>
          <w:snapToGrid/>
          <w:szCs w:val="22"/>
          <w:lang w:val="lt-LT"/>
        </w:rPr>
        <w:t xml:space="preserve"> kraujo plazmoje ir </w:t>
      </w:r>
      <w:proofErr w:type="spellStart"/>
      <w:r w:rsidRPr="00923E74">
        <w:rPr>
          <w:snapToGrid/>
          <w:szCs w:val="22"/>
          <w:lang w:val="lt-LT"/>
        </w:rPr>
        <w:t>miopatijos</w:t>
      </w:r>
      <w:proofErr w:type="spellEnd"/>
      <w:r w:rsidRPr="00923E74">
        <w:rPr>
          <w:snapToGrid/>
          <w:szCs w:val="22"/>
          <w:lang w:val="lt-LT"/>
        </w:rPr>
        <w:t xml:space="preserve"> rizika</w:t>
      </w:r>
      <w:r w:rsidR="004D27E8">
        <w:rPr>
          <w:snapToGrid/>
          <w:szCs w:val="22"/>
          <w:lang w:val="lt-LT"/>
        </w:rPr>
        <w:t>,</w:t>
      </w:r>
      <w:r w:rsidRPr="00923E74">
        <w:rPr>
          <w:snapToGrid/>
          <w:szCs w:val="22"/>
          <w:lang w:val="lt-LT"/>
        </w:rPr>
        <w:t xml:space="preserve"> todėl reikia apsvarstyti </w:t>
      </w:r>
      <w:proofErr w:type="spellStart"/>
      <w:r w:rsidR="00AD6C48" w:rsidRPr="00923E74">
        <w:rPr>
          <w:snapToGrid/>
          <w:szCs w:val="22"/>
          <w:lang w:val="lt-LT"/>
        </w:rPr>
        <w:t>atorvastatino</w:t>
      </w:r>
      <w:proofErr w:type="spellEnd"/>
      <w:r w:rsidR="00AD6C48" w:rsidRPr="00923E74">
        <w:rPr>
          <w:snapToGrid/>
          <w:szCs w:val="22"/>
          <w:lang w:val="lt-LT"/>
        </w:rPr>
        <w:t xml:space="preserve"> </w:t>
      </w:r>
      <w:r w:rsidRPr="00923E74">
        <w:rPr>
          <w:snapToGrid/>
          <w:szCs w:val="22"/>
          <w:lang w:val="lt-LT"/>
        </w:rPr>
        <w:t xml:space="preserve">dozės koregavimo poreikį atsižvelgiant į paskirtą dozę. </w:t>
      </w:r>
      <w:proofErr w:type="spellStart"/>
      <w:r w:rsidRPr="00923E74">
        <w:rPr>
          <w:snapToGrid/>
          <w:szCs w:val="22"/>
          <w:lang w:val="lt-LT"/>
        </w:rPr>
        <w:t>Elbasvir</w:t>
      </w:r>
      <w:r w:rsidR="00AD6C48" w:rsidRPr="00923E74">
        <w:rPr>
          <w:snapToGrid/>
          <w:szCs w:val="22"/>
          <w:lang w:val="lt-LT"/>
        </w:rPr>
        <w:t>as</w:t>
      </w:r>
      <w:proofErr w:type="spellEnd"/>
      <w:r w:rsidRPr="00923E74">
        <w:rPr>
          <w:snapToGrid/>
          <w:szCs w:val="22"/>
          <w:lang w:val="lt-LT"/>
        </w:rPr>
        <w:t xml:space="preserve"> ir </w:t>
      </w:r>
      <w:proofErr w:type="spellStart"/>
      <w:r w:rsidRPr="00923E74">
        <w:rPr>
          <w:snapToGrid/>
          <w:szCs w:val="22"/>
          <w:lang w:val="lt-LT"/>
        </w:rPr>
        <w:t>grazoprevir</w:t>
      </w:r>
      <w:r w:rsidR="00AD6C48" w:rsidRPr="00923E74">
        <w:rPr>
          <w:snapToGrid/>
          <w:szCs w:val="22"/>
          <w:lang w:val="lt-LT"/>
        </w:rPr>
        <w:t>as</w:t>
      </w:r>
      <w:proofErr w:type="spellEnd"/>
      <w:r w:rsidR="00AD6C48" w:rsidRPr="00923E74">
        <w:rPr>
          <w:snapToGrid/>
          <w:szCs w:val="22"/>
          <w:lang w:val="lt-LT"/>
        </w:rPr>
        <w:t xml:space="preserve"> kartu vartojamo</w:t>
      </w:r>
      <w:r w:rsidRPr="00923E74">
        <w:rPr>
          <w:snapToGrid/>
          <w:szCs w:val="22"/>
          <w:lang w:val="lt-LT"/>
        </w:rPr>
        <w:t xml:space="preserve"> </w:t>
      </w:r>
      <w:proofErr w:type="spellStart"/>
      <w:r w:rsidR="00AD6C48" w:rsidRPr="00923E74">
        <w:rPr>
          <w:snapToGrid/>
          <w:szCs w:val="22"/>
          <w:lang w:val="lt-LT"/>
        </w:rPr>
        <w:t>atorvastatino</w:t>
      </w:r>
      <w:proofErr w:type="spellEnd"/>
      <w:r w:rsidR="00AD6C48" w:rsidRPr="00923E74">
        <w:rPr>
          <w:snapToGrid/>
          <w:szCs w:val="22"/>
          <w:lang w:val="lt-LT"/>
        </w:rPr>
        <w:t xml:space="preserve"> koncentraciją plazmoje didina 1</w:t>
      </w:r>
      <w:r w:rsidR="00AD33AC" w:rsidRPr="00923E74">
        <w:rPr>
          <w:snapToGrid/>
          <w:szCs w:val="22"/>
          <w:lang w:val="lt-LT"/>
        </w:rPr>
        <w:t>,</w:t>
      </w:r>
      <w:r w:rsidR="00AD6C48" w:rsidRPr="00923E74">
        <w:rPr>
          <w:snapToGrid/>
          <w:szCs w:val="22"/>
          <w:lang w:val="lt-LT"/>
        </w:rPr>
        <w:t>9 karto (žr.</w:t>
      </w:r>
      <w:r w:rsidR="00365984">
        <w:rPr>
          <w:snapToGrid/>
          <w:szCs w:val="22"/>
          <w:lang w:val="lt-LT"/>
        </w:rPr>
        <w:t> </w:t>
      </w:r>
      <w:r w:rsidR="00AD6C48" w:rsidRPr="00923E74">
        <w:rPr>
          <w:snapToGrid/>
          <w:szCs w:val="22"/>
          <w:lang w:val="lt-LT"/>
        </w:rPr>
        <w:t>1</w:t>
      </w:r>
      <w:r w:rsidR="006F75AA">
        <w:rPr>
          <w:snapToGrid/>
          <w:szCs w:val="22"/>
          <w:lang w:val="lt-LT"/>
        </w:rPr>
        <w:t> </w:t>
      </w:r>
      <w:r w:rsidR="00AD6C48" w:rsidRPr="00923E74">
        <w:rPr>
          <w:snapToGrid/>
          <w:szCs w:val="22"/>
          <w:lang w:val="lt-LT"/>
        </w:rPr>
        <w:t>lentelę)</w:t>
      </w:r>
      <w:r w:rsidR="00365984">
        <w:rPr>
          <w:snapToGrid/>
          <w:szCs w:val="22"/>
          <w:lang w:val="lt-LT"/>
        </w:rPr>
        <w:t>,</w:t>
      </w:r>
      <w:r w:rsidRPr="00923E74">
        <w:rPr>
          <w:snapToGrid/>
          <w:szCs w:val="22"/>
          <w:lang w:val="lt-LT"/>
        </w:rPr>
        <w:t xml:space="preserve"> </w:t>
      </w:r>
      <w:r w:rsidR="00AD6C48" w:rsidRPr="00923E74">
        <w:rPr>
          <w:snapToGrid/>
          <w:szCs w:val="22"/>
          <w:lang w:val="lt-LT"/>
        </w:rPr>
        <w:t xml:space="preserve">dėl to pacientams, kurie tuo pat metu vartoja vaistinių preparatų, kurių sudėtyje yra </w:t>
      </w:r>
      <w:proofErr w:type="spellStart"/>
      <w:r w:rsidR="00AD6C48" w:rsidRPr="00923E74">
        <w:rPr>
          <w:snapToGrid/>
          <w:szCs w:val="22"/>
          <w:lang w:val="lt-LT"/>
        </w:rPr>
        <w:t>elbasviro</w:t>
      </w:r>
      <w:proofErr w:type="spellEnd"/>
      <w:r w:rsidR="00AD6C48" w:rsidRPr="00923E74">
        <w:rPr>
          <w:snapToGrid/>
          <w:szCs w:val="22"/>
          <w:lang w:val="lt-LT"/>
        </w:rPr>
        <w:t xml:space="preserve"> arba </w:t>
      </w:r>
      <w:proofErr w:type="spellStart"/>
      <w:r w:rsidR="00AD6C48" w:rsidRPr="00923E74">
        <w:rPr>
          <w:snapToGrid/>
          <w:szCs w:val="22"/>
          <w:lang w:val="lt-LT"/>
        </w:rPr>
        <w:t>grazopreviro</w:t>
      </w:r>
      <w:proofErr w:type="spellEnd"/>
      <w:r w:rsidR="00AD6C48" w:rsidRPr="00923E74">
        <w:rPr>
          <w:snapToGrid/>
          <w:szCs w:val="22"/>
          <w:lang w:val="lt-LT"/>
        </w:rPr>
        <w:t xml:space="preserve">, </w:t>
      </w:r>
      <w:proofErr w:type="spellStart"/>
      <w:r w:rsidR="00AD6C48" w:rsidRPr="00923E74">
        <w:rPr>
          <w:snapToGrid/>
          <w:szCs w:val="22"/>
          <w:lang w:val="lt-LT"/>
        </w:rPr>
        <w:t>Torzelip</w:t>
      </w:r>
      <w:proofErr w:type="spellEnd"/>
      <w:r w:rsidR="00AD6C48" w:rsidRPr="00923E74">
        <w:rPr>
          <w:snapToGrid/>
          <w:szCs w:val="22"/>
          <w:lang w:val="lt-LT"/>
        </w:rPr>
        <w:t xml:space="preserve"> paros </w:t>
      </w:r>
      <w:r w:rsidRPr="00923E74">
        <w:rPr>
          <w:snapToGrid/>
          <w:szCs w:val="22"/>
          <w:lang w:val="lt-LT"/>
        </w:rPr>
        <w:t xml:space="preserve">dozė </w:t>
      </w:r>
      <w:r w:rsidR="00AD6C48" w:rsidRPr="00923E74">
        <w:rPr>
          <w:snapToGrid/>
          <w:szCs w:val="22"/>
          <w:lang w:val="lt-LT"/>
        </w:rPr>
        <w:t>negali būti didesnė kaip</w:t>
      </w:r>
      <w:r w:rsidRPr="00923E74">
        <w:rPr>
          <w:snapToGrid/>
          <w:szCs w:val="22"/>
          <w:lang w:val="lt-LT"/>
        </w:rPr>
        <w:t xml:space="preserve"> </w:t>
      </w:r>
      <w:r w:rsidR="00AD6C48" w:rsidRPr="00923E74">
        <w:rPr>
          <w:snapToGrid/>
          <w:szCs w:val="22"/>
          <w:lang w:val="lt-LT"/>
        </w:rPr>
        <w:t>10/</w:t>
      </w:r>
      <w:r w:rsidRPr="00923E74">
        <w:rPr>
          <w:snapToGrid/>
          <w:szCs w:val="22"/>
          <w:lang w:val="lt-LT"/>
        </w:rPr>
        <w:t>20</w:t>
      </w:r>
      <w:r w:rsidR="00DB52C7" w:rsidRPr="00923E74">
        <w:rPr>
          <w:snapToGrid/>
          <w:szCs w:val="22"/>
          <w:lang w:val="lt-LT"/>
        </w:rPr>
        <w:t> mg</w:t>
      </w:r>
      <w:r w:rsidRPr="00923E74">
        <w:rPr>
          <w:snapToGrid/>
          <w:szCs w:val="22"/>
          <w:lang w:val="lt-LT"/>
        </w:rPr>
        <w:t xml:space="preserve"> (žr.</w:t>
      </w:r>
      <w:r w:rsidR="00365984">
        <w:rPr>
          <w:snapToGrid/>
          <w:szCs w:val="22"/>
          <w:lang w:val="lt-LT"/>
        </w:rPr>
        <w:t> </w:t>
      </w:r>
      <w:r w:rsidRPr="00923E74">
        <w:rPr>
          <w:snapToGrid/>
          <w:szCs w:val="22"/>
          <w:lang w:val="lt-LT"/>
        </w:rPr>
        <w:t>4.</w:t>
      </w:r>
      <w:r w:rsidR="00AD6C48" w:rsidRPr="00923E74">
        <w:rPr>
          <w:snapToGrid/>
          <w:szCs w:val="22"/>
          <w:lang w:val="lt-LT"/>
        </w:rPr>
        <w:t>2 ir 4.4</w:t>
      </w:r>
      <w:r w:rsidR="006F75AA">
        <w:rPr>
          <w:snapToGrid/>
          <w:szCs w:val="22"/>
          <w:lang w:val="lt-LT"/>
        </w:rPr>
        <w:t> </w:t>
      </w:r>
      <w:r w:rsidRPr="00923E74">
        <w:rPr>
          <w:snapToGrid/>
          <w:szCs w:val="22"/>
          <w:lang w:val="lt-LT"/>
        </w:rPr>
        <w:t>skyri</w:t>
      </w:r>
      <w:r w:rsidR="00AD6C48" w:rsidRPr="00923E74">
        <w:rPr>
          <w:snapToGrid/>
          <w:szCs w:val="22"/>
          <w:lang w:val="lt-LT"/>
        </w:rPr>
        <w:t>us</w:t>
      </w:r>
      <w:r w:rsidRPr="00923E74">
        <w:rPr>
          <w:snapToGrid/>
          <w:szCs w:val="22"/>
          <w:lang w:val="lt-LT"/>
        </w:rPr>
        <w:t>).</w:t>
      </w:r>
      <w:r w:rsidRPr="00923E74">
        <w:rPr>
          <w:snapToGrid/>
          <w:szCs w:val="22"/>
          <w:lang w:val="lt-LT"/>
        </w:rPr>
        <w:cr/>
      </w:r>
    </w:p>
    <w:p w14:paraId="19C58454" w14:textId="0BDCDA5F" w:rsidR="00365984" w:rsidRDefault="004235AB" w:rsidP="007E15ED">
      <w:pPr>
        <w:keepNext/>
        <w:spacing w:line="240" w:lineRule="auto"/>
        <w:rPr>
          <w:i/>
          <w:snapToGrid/>
          <w:szCs w:val="22"/>
          <w:lang w:val="lt-LT"/>
        </w:rPr>
      </w:pPr>
      <w:proofErr w:type="spellStart"/>
      <w:r w:rsidRPr="00923E74">
        <w:rPr>
          <w:i/>
          <w:snapToGrid/>
          <w:szCs w:val="22"/>
          <w:lang w:val="lt-LT"/>
        </w:rPr>
        <w:t>Citochromo</w:t>
      </w:r>
      <w:proofErr w:type="spellEnd"/>
      <w:r w:rsidR="00365984">
        <w:rPr>
          <w:i/>
          <w:snapToGrid/>
          <w:szCs w:val="22"/>
          <w:lang w:val="lt-LT"/>
        </w:rPr>
        <w:t> </w:t>
      </w:r>
      <w:r w:rsidR="00F93DE4" w:rsidRPr="00923E74">
        <w:rPr>
          <w:i/>
          <w:snapToGrid/>
          <w:szCs w:val="22"/>
          <w:lang w:val="lt-LT"/>
        </w:rPr>
        <w:t>P450</w:t>
      </w:r>
      <w:r w:rsidR="00365984">
        <w:rPr>
          <w:i/>
          <w:snapToGrid/>
          <w:szCs w:val="22"/>
          <w:lang w:val="lt-LT"/>
        </w:rPr>
        <w:t> </w:t>
      </w:r>
      <w:r w:rsidR="00F93DE4" w:rsidRPr="00923E74">
        <w:rPr>
          <w:i/>
          <w:snapToGrid/>
          <w:szCs w:val="22"/>
          <w:lang w:val="lt-LT"/>
        </w:rPr>
        <w:t>3A4</w:t>
      </w:r>
      <w:r w:rsidRPr="00923E74">
        <w:rPr>
          <w:i/>
          <w:snapToGrid/>
          <w:szCs w:val="22"/>
          <w:lang w:val="lt-LT"/>
        </w:rPr>
        <w:t xml:space="preserve"> </w:t>
      </w:r>
      <w:proofErr w:type="spellStart"/>
      <w:r w:rsidRPr="00923E74">
        <w:rPr>
          <w:i/>
          <w:snapToGrid/>
          <w:szCs w:val="22"/>
          <w:lang w:val="lt-LT"/>
        </w:rPr>
        <w:t>induktoriai</w:t>
      </w:r>
      <w:proofErr w:type="spellEnd"/>
    </w:p>
    <w:p w14:paraId="497258BE" w14:textId="5D93B674" w:rsidR="00F93DE4" w:rsidRPr="00923E74" w:rsidRDefault="004235AB" w:rsidP="00A31E3A">
      <w:pPr>
        <w:spacing w:line="240" w:lineRule="auto"/>
        <w:rPr>
          <w:snapToGrid/>
          <w:szCs w:val="22"/>
          <w:lang w:val="lt-LT"/>
        </w:rPr>
      </w:pPr>
      <w:proofErr w:type="spellStart"/>
      <w:r w:rsidRPr="00923E74">
        <w:rPr>
          <w:snapToGrid/>
          <w:szCs w:val="22"/>
          <w:lang w:val="lt-LT"/>
        </w:rPr>
        <w:t>Atorvastatin</w:t>
      </w:r>
      <w:r w:rsidR="00365984">
        <w:rPr>
          <w:snapToGrid/>
          <w:szCs w:val="22"/>
          <w:lang w:val="lt-LT"/>
        </w:rPr>
        <w:t>o</w:t>
      </w:r>
      <w:proofErr w:type="spellEnd"/>
      <w:r w:rsidRPr="00923E74">
        <w:rPr>
          <w:snapToGrid/>
          <w:szCs w:val="22"/>
          <w:lang w:val="lt-LT"/>
        </w:rPr>
        <w:t xml:space="preserve"> vartojant kartu su </w:t>
      </w:r>
      <w:proofErr w:type="spellStart"/>
      <w:r w:rsidRPr="00923E74">
        <w:rPr>
          <w:snapToGrid/>
          <w:szCs w:val="22"/>
          <w:lang w:val="lt-LT"/>
        </w:rPr>
        <w:t>citochromo</w:t>
      </w:r>
      <w:proofErr w:type="spellEnd"/>
      <w:r w:rsidR="00365984">
        <w:rPr>
          <w:snapToGrid/>
          <w:szCs w:val="22"/>
          <w:lang w:val="lt-LT"/>
        </w:rPr>
        <w:t> </w:t>
      </w:r>
      <w:r w:rsidRPr="00923E74">
        <w:rPr>
          <w:snapToGrid/>
          <w:szCs w:val="22"/>
          <w:lang w:val="lt-LT"/>
        </w:rPr>
        <w:t>P450</w:t>
      </w:r>
      <w:r w:rsidR="00365984">
        <w:rPr>
          <w:snapToGrid/>
          <w:szCs w:val="22"/>
          <w:lang w:val="lt-LT"/>
        </w:rPr>
        <w:t> </w:t>
      </w:r>
      <w:r w:rsidRPr="00923E74">
        <w:rPr>
          <w:snapToGrid/>
          <w:szCs w:val="22"/>
          <w:lang w:val="lt-LT"/>
        </w:rPr>
        <w:t xml:space="preserve">3A4 </w:t>
      </w:r>
      <w:proofErr w:type="spellStart"/>
      <w:r w:rsidRPr="00923E74">
        <w:rPr>
          <w:snapToGrid/>
          <w:szCs w:val="22"/>
          <w:lang w:val="lt-LT"/>
        </w:rPr>
        <w:t>induktoriais</w:t>
      </w:r>
      <w:proofErr w:type="spellEnd"/>
      <w:r w:rsidRPr="00923E74">
        <w:rPr>
          <w:snapToGrid/>
          <w:szCs w:val="22"/>
          <w:lang w:val="lt-LT"/>
        </w:rPr>
        <w:t xml:space="preserve"> (pvz., </w:t>
      </w:r>
      <w:proofErr w:type="spellStart"/>
      <w:r w:rsidRPr="00923E74">
        <w:rPr>
          <w:snapToGrid/>
          <w:szCs w:val="22"/>
          <w:lang w:val="lt-LT"/>
        </w:rPr>
        <w:t>efavirenzu</w:t>
      </w:r>
      <w:proofErr w:type="spellEnd"/>
      <w:r w:rsidRPr="00923E74">
        <w:rPr>
          <w:snapToGrid/>
          <w:szCs w:val="22"/>
          <w:lang w:val="lt-LT"/>
        </w:rPr>
        <w:t xml:space="preserve">, </w:t>
      </w:r>
      <w:proofErr w:type="spellStart"/>
      <w:r w:rsidRPr="00923E74">
        <w:rPr>
          <w:snapToGrid/>
          <w:szCs w:val="22"/>
          <w:lang w:val="lt-LT"/>
        </w:rPr>
        <w:t>rifampicinu</w:t>
      </w:r>
      <w:proofErr w:type="spellEnd"/>
      <w:r w:rsidRPr="00923E74">
        <w:rPr>
          <w:snapToGrid/>
          <w:szCs w:val="22"/>
          <w:lang w:val="lt-LT"/>
        </w:rPr>
        <w:t xml:space="preserve">, paprastųjų jonažolių </w:t>
      </w:r>
      <w:r w:rsidR="00365984">
        <w:rPr>
          <w:snapToGrid/>
          <w:szCs w:val="22"/>
          <w:lang w:val="lt-LT"/>
        </w:rPr>
        <w:t xml:space="preserve">vaistiniais </w:t>
      </w:r>
      <w:r w:rsidRPr="00923E74">
        <w:rPr>
          <w:snapToGrid/>
          <w:szCs w:val="22"/>
          <w:lang w:val="lt-LT"/>
        </w:rPr>
        <w:t xml:space="preserve">preparatais), gali įvairiai sumažėti </w:t>
      </w:r>
      <w:proofErr w:type="spellStart"/>
      <w:r w:rsidRPr="00923E74">
        <w:rPr>
          <w:snapToGrid/>
          <w:szCs w:val="22"/>
          <w:lang w:val="lt-LT"/>
        </w:rPr>
        <w:t>atorvastatino</w:t>
      </w:r>
      <w:proofErr w:type="spellEnd"/>
      <w:r w:rsidRPr="00923E74">
        <w:rPr>
          <w:snapToGrid/>
          <w:szCs w:val="22"/>
          <w:lang w:val="lt-LT"/>
        </w:rPr>
        <w:t xml:space="preserve"> koncentracija kraujo plazmoje. Dėl dvigubo sąveikos su </w:t>
      </w:r>
      <w:proofErr w:type="spellStart"/>
      <w:r w:rsidRPr="00923E74">
        <w:rPr>
          <w:snapToGrid/>
          <w:szCs w:val="22"/>
          <w:lang w:val="lt-LT"/>
        </w:rPr>
        <w:t>rifampicinu</w:t>
      </w:r>
      <w:proofErr w:type="spellEnd"/>
      <w:r w:rsidRPr="00923E74">
        <w:rPr>
          <w:snapToGrid/>
          <w:szCs w:val="22"/>
          <w:lang w:val="lt-LT"/>
        </w:rPr>
        <w:t xml:space="preserve"> mechanizmo (</w:t>
      </w:r>
      <w:proofErr w:type="spellStart"/>
      <w:r w:rsidRPr="00923E74">
        <w:rPr>
          <w:snapToGrid/>
          <w:szCs w:val="22"/>
          <w:lang w:val="lt-LT"/>
        </w:rPr>
        <w:t>citochromo</w:t>
      </w:r>
      <w:proofErr w:type="spellEnd"/>
      <w:r w:rsidR="00365984">
        <w:rPr>
          <w:snapToGrid/>
          <w:szCs w:val="22"/>
          <w:lang w:val="lt-LT"/>
        </w:rPr>
        <w:t> </w:t>
      </w:r>
      <w:r w:rsidRPr="00923E74">
        <w:rPr>
          <w:snapToGrid/>
          <w:szCs w:val="22"/>
          <w:lang w:val="lt-LT"/>
        </w:rPr>
        <w:t>P450</w:t>
      </w:r>
      <w:r w:rsidR="00365984">
        <w:rPr>
          <w:snapToGrid/>
          <w:szCs w:val="22"/>
          <w:lang w:val="lt-LT"/>
        </w:rPr>
        <w:t> </w:t>
      </w:r>
      <w:r w:rsidRPr="00923E74">
        <w:rPr>
          <w:snapToGrid/>
          <w:szCs w:val="22"/>
          <w:lang w:val="lt-LT"/>
        </w:rPr>
        <w:t>3A</w:t>
      </w:r>
      <w:r w:rsidR="00AD33AC" w:rsidRPr="00923E74">
        <w:rPr>
          <w:snapToGrid/>
          <w:szCs w:val="22"/>
          <w:lang w:val="lt-LT"/>
        </w:rPr>
        <w:t>4</w:t>
      </w:r>
      <w:r w:rsidRPr="00923E74">
        <w:rPr>
          <w:snapToGrid/>
          <w:szCs w:val="22"/>
          <w:lang w:val="lt-LT"/>
        </w:rPr>
        <w:t xml:space="preserve"> sužadinimo ir </w:t>
      </w:r>
      <w:r w:rsidR="005D7ED0" w:rsidRPr="00923E74">
        <w:rPr>
          <w:snapToGrid/>
          <w:szCs w:val="22"/>
          <w:lang w:val="lt-LT"/>
        </w:rPr>
        <w:t xml:space="preserve">pasisavinimo </w:t>
      </w:r>
      <w:proofErr w:type="spellStart"/>
      <w:r w:rsidR="005D7ED0" w:rsidRPr="00923E74">
        <w:rPr>
          <w:snapToGrid/>
          <w:szCs w:val="22"/>
          <w:lang w:val="lt-LT"/>
        </w:rPr>
        <w:t>hepatocituose</w:t>
      </w:r>
      <w:proofErr w:type="spellEnd"/>
      <w:r w:rsidRPr="00923E74">
        <w:rPr>
          <w:snapToGrid/>
          <w:szCs w:val="22"/>
          <w:lang w:val="lt-LT"/>
        </w:rPr>
        <w:t xml:space="preserve"> </w:t>
      </w:r>
      <w:proofErr w:type="spellStart"/>
      <w:r w:rsidRPr="00923E74">
        <w:rPr>
          <w:snapToGrid/>
          <w:szCs w:val="22"/>
          <w:lang w:val="lt-LT"/>
        </w:rPr>
        <w:t>pernešiklio</w:t>
      </w:r>
      <w:proofErr w:type="spellEnd"/>
      <w:r w:rsidR="00365984">
        <w:rPr>
          <w:snapToGrid/>
          <w:szCs w:val="22"/>
          <w:lang w:val="lt-LT"/>
        </w:rPr>
        <w:t> </w:t>
      </w:r>
      <w:r w:rsidRPr="00923E74">
        <w:rPr>
          <w:snapToGrid/>
          <w:szCs w:val="22"/>
          <w:lang w:val="lt-LT"/>
        </w:rPr>
        <w:t xml:space="preserve">OATP1B1 slopinimo) </w:t>
      </w:r>
      <w:proofErr w:type="spellStart"/>
      <w:r w:rsidRPr="00923E74">
        <w:rPr>
          <w:snapToGrid/>
          <w:szCs w:val="22"/>
          <w:lang w:val="lt-LT"/>
        </w:rPr>
        <w:t>rifampicino</w:t>
      </w:r>
      <w:proofErr w:type="spellEnd"/>
      <w:r w:rsidRPr="00923E74">
        <w:rPr>
          <w:snapToGrid/>
          <w:szCs w:val="22"/>
          <w:lang w:val="lt-LT"/>
        </w:rPr>
        <w:t xml:space="preserve"> </w:t>
      </w:r>
      <w:r w:rsidRPr="00365984">
        <w:rPr>
          <w:snapToGrid/>
          <w:szCs w:val="22"/>
          <w:lang w:val="lt-LT"/>
        </w:rPr>
        <w:t>rekomenduojama</w:t>
      </w:r>
      <w:r w:rsidRPr="00923E74">
        <w:rPr>
          <w:snapToGrid/>
          <w:szCs w:val="22"/>
          <w:lang w:val="lt-LT"/>
        </w:rPr>
        <w:t xml:space="preserve"> vartoti kartu su </w:t>
      </w:r>
      <w:proofErr w:type="spellStart"/>
      <w:r w:rsidRPr="00923E74">
        <w:rPr>
          <w:snapToGrid/>
          <w:szCs w:val="22"/>
          <w:lang w:val="lt-LT"/>
        </w:rPr>
        <w:t>atorvastatinu</w:t>
      </w:r>
      <w:proofErr w:type="spellEnd"/>
      <w:r w:rsidRPr="00923E74">
        <w:rPr>
          <w:snapToGrid/>
          <w:szCs w:val="22"/>
          <w:lang w:val="lt-LT"/>
        </w:rPr>
        <w:t xml:space="preserve">, nes </w:t>
      </w:r>
      <w:proofErr w:type="spellStart"/>
      <w:r w:rsidRPr="00923E74">
        <w:rPr>
          <w:snapToGrid/>
          <w:szCs w:val="22"/>
          <w:lang w:val="lt-LT"/>
        </w:rPr>
        <w:t>atorvastatino</w:t>
      </w:r>
      <w:proofErr w:type="spellEnd"/>
      <w:r w:rsidRPr="00923E74">
        <w:rPr>
          <w:snapToGrid/>
          <w:szCs w:val="22"/>
          <w:lang w:val="lt-LT"/>
        </w:rPr>
        <w:t xml:space="preserve"> vartojimas po </w:t>
      </w:r>
      <w:proofErr w:type="spellStart"/>
      <w:r w:rsidRPr="00923E74">
        <w:rPr>
          <w:snapToGrid/>
          <w:szCs w:val="22"/>
          <w:lang w:val="lt-LT"/>
        </w:rPr>
        <w:t>rifampicino</w:t>
      </w:r>
      <w:proofErr w:type="spellEnd"/>
      <w:r w:rsidRPr="00923E74">
        <w:rPr>
          <w:snapToGrid/>
          <w:szCs w:val="22"/>
          <w:lang w:val="lt-LT"/>
        </w:rPr>
        <w:t xml:space="preserve"> pavartojimo buvo susijęs su reikšmingu </w:t>
      </w:r>
      <w:proofErr w:type="spellStart"/>
      <w:r w:rsidRPr="00923E74">
        <w:rPr>
          <w:snapToGrid/>
          <w:szCs w:val="22"/>
          <w:lang w:val="lt-LT"/>
        </w:rPr>
        <w:t>atorvastatino</w:t>
      </w:r>
      <w:proofErr w:type="spellEnd"/>
      <w:r w:rsidRPr="00923E74">
        <w:rPr>
          <w:snapToGrid/>
          <w:szCs w:val="22"/>
          <w:lang w:val="lt-LT"/>
        </w:rPr>
        <w:t xml:space="preserve"> koncentracijos kraujo plazmoje sumažėjimu. Vis dėlto </w:t>
      </w:r>
      <w:proofErr w:type="spellStart"/>
      <w:r w:rsidRPr="00923E74">
        <w:rPr>
          <w:snapToGrid/>
          <w:szCs w:val="22"/>
          <w:lang w:val="lt-LT"/>
        </w:rPr>
        <w:t>rifampicino</w:t>
      </w:r>
      <w:proofErr w:type="spellEnd"/>
      <w:r w:rsidRPr="00923E74">
        <w:rPr>
          <w:snapToGrid/>
          <w:szCs w:val="22"/>
          <w:lang w:val="lt-LT"/>
        </w:rPr>
        <w:t xml:space="preserve"> poveikis </w:t>
      </w:r>
      <w:proofErr w:type="spellStart"/>
      <w:r w:rsidRPr="00923E74">
        <w:rPr>
          <w:snapToGrid/>
          <w:szCs w:val="22"/>
          <w:lang w:val="lt-LT"/>
        </w:rPr>
        <w:t>atorvastatino</w:t>
      </w:r>
      <w:proofErr w:type="spellEnd"/>
      <w:r w:rsidRPr="00923E74">
        <w:rPr>
          <w:snapToGrid/>
          <w:szCs w:val="22"/>
          <w:lang w:val="lt-LT"/>
        </w:rPr>
        <w:t xml:space="preserve"> koncentracijai kepenų ląstelėse nežinomas ir, jeigu kombinuoto vartojimo išvengti neįmanoma, reikia atidžiai stebėti poveikio veiksmingumą.</w:t>
      </w:r>
    </w:p>
    <w:p w14:paraId="42C33CC7" w14:textId="77777777" w:rsidR="00F93DE4" w:rsidRPr="00923E74" w:rsidRDefault="00F93DE4" w:rsidP="00A31E3A">
      <w:pPr>
        <w:spacing w:line="240" w:lineRule="auto"/>
        <w:rPr>
          <w:snapToGrid/>
          <w:szCs w:val="22"/>
          <w:lang w:val="lt-LT"/>
        </w:rPr>
      </w:pPr>
    </w:p>
    <w:p w14:paraId="56FF6A45" w14:textId="6CA7AB72" w:rsidR="00F93DE4" w:rsidRPr="00923E74" w:rsidRDefault="00A94DC2" w:rsidP="007E15ED">
      <w:pPr>
        <w:keepNext/>
        <w:spacing w:line="240" w:lineRule="auto"/>
        <w:rPr>
          <w:snapToGrid/>
          <w:szCs w:val="22"/>
          <w:lang w:val="lt-LT"/>
        </w:rPr>
      </w:pPr>
      <w:r>
        <w:rPr>
          <w:i/>
          <w:snapToGrid/>
          <w:szCs w:val="22"/>
          <w:lang w:val="lt-LT"/>
        </w:rPr>
        <w:t xml:space="preserve">Nešiklių </w:t>
      </w:r>
      <w:r w:rsidR="004235AB" w:rsidRPr="00923E74">
        <w:rPr>
          <w:i/>
          <w:snapToGrid/>
          <w:szCs w:val="22"/>
          <w:lang w:val="lt-LT"/>
        </w:rPr>
        <w:t>inhibitoriai</w:t>
      </w:r>
    </w:p>
    <w:p w14:paraId="1F9CB9F3" w14:textId="5AFF20CA" w:rsidR="005D7ED0" w:rsidRPr="00923E74" w:rsidRDefault="005D7ED0" w:rsidP="00A31E3A">
      <w:pPr>
        <w:widowControl w:val="0"/>
        <w:autoSpaceDE w:val="0"/>
        <w:autoSpaceDN w:val="0"/>
        <w:adjustRightInd w:val="0"/>
        <w:spacing w:line="240" w:lineRule="auto"/>
        <w:rPr>
          <w:szCs w:val="22"/>
          <w:lang w:val="lt-LT"/>
        </w:rPr>
      </w:pPr>
      <w:r w:rsidRPr="00923E74">
        <w:rPr>
          <w:szCs w:val="22"/>
          <w:lang w:val="lt-LT"/>
        </w:rPr>
        <w:t xml:space="preserve">Pernašos baltymų inhibitoriai gali didinti </w:t>
      </w:r>
      <w:proofErr w:type="spellStart"/>
      <w:r w:rsidRPr="00923E74">
        <w:rPr>
          <w:szCs w:val="22"/>
          <w:lang w:val="lt-LT"/>
        </w:rPr>
        <w:t>atorvastatino</w:t>
      </w:r>
      <w:proofErr w:type="spellEnd"/>
      <w:r w:rsidRPr="00923E74">
        <w:rPr>
          <w:szCs w:val="22"/>
          <w:lang w:val="lt-LT"/>
        </w:rPr>
        <w:t xml:space="preserve"> sisteminę ekspoziciją. </w:t>
      </w:r>
      <w:proofErr w:type="spellStart"/>
      <w:r w:rsidR="00A94DC2">
        <w:rPr>
          <w:szCs w:val="22"/>
          <w:lang w:val="lt-LT"/>
        </w:rPr>
        <w:t>Ciklosporinas</w:t>
      </w:r>
      <w:proofErr w:type="spellEnd"/>
      <w:r w:rsidR="00A94DC2">
        <w:rPr>
          <w:szCs w:val="22"/>
          <w:lang w:val="lt-LT"/>
        </w:rPr>
        <w:t xml:space="preserve"> ir </w:t>
      </w:r>
      <w:proofErr w:type="spellStart"/>
      <w:r w:rsidR="00A94DC2">
        <w:rPr>
          <w:szCs w:val="22"/>
          <w:lang w:val="lt-LT"/>
        </w:rPr>
        <w:t>letermoviras</w:t>
      </w:r>
      <w:proofErr w:type="spellEnd"/>
      <w:r w:rsidR="00A94DC2">
        <w:rPr>
          <w:szCs w:val="22"/>
          <w:lang w:val="lt-LT"/>
        </w:rPr>
        <w:t xml:space="preserve"> yra nešiklių</w:t>
      </w:r>
      <w:r w:rsidR="00F2211A">
        <w:rPr>
          <w:szCs w:val="22"/>
          <w:lang w:val="lt-LT"/>
        </w:rPr>
        <w:t xml:space="preserve">, dalyvaujančių </w:t>
      </w:r>
      <w:proofErr w:type="spellStart"/>
      <w:r w:rsidR="00F2211A">
        <w:rPr>
          <w:szCs w:val="22"/>
          <w:lang w:val="lt-LT"/>
        </w:rPr>
        <w:t>atorvastatino</w:t>
      </w:r>
      <w:proofErr w:type="spellEnd"/>
      <w:r w:rsidR="00F2211A">
        <w:rPr>
          <w:szCs w:val="22"/>
          <w:lang w:val="lt-LT"/>
        </w:rPr>
        <w:t xml:space="preserve"> pasiskirstyme (t. y. OATP1B1/1B3, P -</w:t>
      </w:r>
      <w:proofErr w:type="spellStart"/>
      <w:r w:rsidR="00F2211A">
        <w:rPr>
          <w:szCs w:val="22"/>
          <w:lang w:val="lt-LT"/>
        </w:rPr>
        <w:t>gp</w:t>
      </w:r>
      <w:proofErr w:type="spellEnd"/>
      <w:r w:rsidR="00F2211A">
        <w:rPr>
          <w:szCs w:val="22"/>
          <w:lang w:val="lt-LT"/>
        </w:rPr>
        <w:t xml:space="preserve"> ir BCRP), inhibitoriai, didinantys sisteminę </w:t>
      </w:r>
      <w:proofErr w:type="spellStart"/>
      <w:r w:rsidR="00F2211A">
        <w:rPr>
          <w:szCs w:val="22"/>
          <w:lang w:val="lt-LT"/>
        </w:rPr>
        <w:t>atorvastatino</w:t>
      </w:r>
      <w:proofErr w:type="spellEnd"/>
      <w:r w:rsidR="00F2211A">
        <w:rPr>
          <w:szCs w:val="22"/>
          <w:lang w:val="lt-LT"/>
        </w:rPr>
        <w:t xml:space="preserve"> ekspoziciją (žr. 1 lentelę). </w:t>
      </w:r>
      <w:r w:rsidRPr="00923E74">
        <w:rPr>
          <w:szCs w:val="22"/>
          <w:lang w:val="lt-LT"/>
        </w:rPr>
        <w:t xml:space="preserve">Pasisavinimo kepenyse nešiklių slopinimo įtaka </w:t>
      </w:r>
      <w:proofErr w:type="spellStart"/>
      <w:r w:rsidRPr="00923E74">
        <w:rPr>
          <w:szCs w:val="22"/>
          <w:lang w:val="lt-LT"/>
        </w:rPr>
        <w:t>atorvastatino</w:t>
      </w:r>
      <w:proofErr w:type="spellEnd"/>
      <w:r w:rsidRPr="00923E74">
        <w:rPr>
          <w:szCs w:val="22"/>
          <w:lang w:val="lt-LT"/>
        </w:rPr>
        <w:t xml:space="preserve"> </w:t>
      </w:r>
      <w:r w:rsidR="00F2211A">
        <w:rPr>
          <w:szCs w:val="22"/>
          <w:lang w:val="lt-LT"/>
        </w:rPr>
        <w:t>ekspozicijai</w:t>
      </w:r>
      <w:r w:rsidRPr="00923E74">
        <w:rPr>
          <w:szCs w:val="22"/>
          <w:lang w:val="lt-LT"/>
        </w:rPr>
        <w:t xml:space="preserve"> </w:t>
      </w:r>
      <w:proofErr w:type="spellStart"/>
      <w:r w:rsidRPr="00923E74">
        <w:rPr>
          <w:szCs w:val="22"/>
          <w:lang w:val="lt-LT"/>
        </w:rPr>
        <w:t>hepatocituose</w:t>
      </w:r>
      <w:proofErr w:type="spellEnd"/>
      <w:r w:rsidRPr="00923E74">
        <w:rPr>
          <w:szCs w:val="22"/>
          <w:lang w:val="lt-LT"/>
        </w:rPr>
        <w:t xml:space="preserve"> nežinoma. Jeigu vartojimo kartu išvengti neįmanoma, rekomenduojama sumažinti </w:t>
      </w:r>
      <w:proofErr w:type="spellStart"/>
      <w:r w:rsidRPr="00923E74">
        <w:rPr>
          <w:snapToGrid/>
          <w:szCs w:val="22"/>
          <w:lang w:val="lt-LT"/>
        </w:rPr>
        <w:t>Torzelip</w:t>
      </w:r>
      <w:proofErr w:type="spellEnd"/>
      <w:r w:rsidRPr="00923E74">
        <w:rPr>
          <w:snapToGrid/>
          <w:szCs w:val="22"/>
          <w:lang w:val="lt-LT"/>
        </w:rPr>
        <w:t xml:space="preserve"> </w:t>
      </w:r>
      <w:r w:rsidRPr="00923E74">
        <w:rPr>
          <w:szCs w:val="22"/>
          <w:lang w:val="lt-LT"/>
        </w:rPr>
        <w:t>dozę ir stebėti klinikinį veiksmingumą (žr.</w:t>
      </w:r>
      <w:r w:rsidR="00373D71">
        <w:rPr>
          <w:szCs w:val="22"/>
          <w:lang w:val="lt-LT"/>
        </w:rPr>
        <w:t> </w:t>
      </w:r>
      <w:r w:rsidRPr="00923E74">
        <w:rPr>
          <w:szCs w:val="22"/>
          <w:lang w:val="lt-LT"/>
        </w:rPr>
        <w:t>1 lentelę).</w:t>
      </w:r>
    </w:p>
    <w:p w14:paraId="24A7B2DB" w14:textId="50852EE2" w:rsidR="00F64536" w:rsidRPr="00923E74" w:rsidRDefault="00F64536" w:rsidP="00F64536">
      <w:pPr>
        <w:tabs>
          <w:tab w:val="clear" w:pos="567"/>
        </w:tabs>
        <w:autoSpaceDE w:val="0"/>
        <w:autoSpaceDN w:val="0"/>
        <w:adjustRightInd w:val="0"/>
        <w:spacing w:line="240" w:lineRule="auto"/>
        <w:rPr>
          <w:bCs/>
          <w:iCs/>
          <w:snapToGrid/>
          <w:szCs w:val="22"/>
          <w:lang w:val="lt-LT"/>
        </w:rPr>
      </w:pPr>
      <w:proofErr w:type="spellStart"/>
      <w:r>
        <w:rPr>
          <w:bCs/>
          <w:iCs/>
          <w:snapToGrid/>
          <w:szCs w:val="22"/>
          <w:lang w:val="lt-LT"/>
        </w:rPr>
        <w:t>Atorvastatino</w:t>
      </w:r>
      <w:proofErr w:type="spellEnd"/>
      <w:r>
        <w:rPr>
          <w:bCs/>
          <w:iCs/>
          <w:snapToGrid/>
          <w:szCs w:val="22"/>
          <w:lang w:val="lt-LT"/>
        </w:rPr>
        <w:t xml:space="preserve"> nerekomenduojama vartoti pacientams, kurie vartoja </w:t>
      </w:r>
      <w:proofErr w:type="spellStart"/>
      <w:r>
        <w:rPr>
          <w:bCs/>
          <w:iCs/>
          <w:snapToGrid/>
          <w:szCs w:val="22"/>
          <w:lang w:val="lt-LT"/>
        </w:rPr>
        <w:t>letermoviro</w:t>
      </w:r>
      <w:proofErr w:type="spellEnd"/>
      <w:r>
        <w:rPr>
          <w:bCs/>
          <w:iCs/>
          <w:snapToGrid/>
          <w:szCs w:val="22"/>
          <w:lang w:val="lt-LT"/>
        </w:rPr>
        <w:t xml:space="preserve"> kartu su </w:t>
      </w:r>
      <w:proofErr w:type="spellStart"/>
      <w:r>
        <w:rPr>
          <w:bCs/>
          <w:iCs/>
          <w:snapToGrid/>
          <w:szCs w:val="22"/>
          <w:lang w:val="lt-LT"/>
        </w:rPr>
        <w:t>ciklosporinu</w:t>
      </w:r>
      <w:proofErr w:type="spellEnd"/>
      <w:r>
        <w:rPr>
          <w:bCs/>
          <w:iCs/>
          <w:snapToGrid/>
          <w:szCs w:val="22"/>
          <w:lang w:val="lt-LT"/>
        </w:rPr>
        <w:t xml:space="preserve"> (žr. 4.4 skyrių).</w:t>
      </w:r>
    </w:p>
    <w:p w14:paraId="5A9673CC" w14:textId="77777777" w:rsidR="005D7ED0" w:rsidRPr="00923E74" w:rsidRDefault="005D7ED0" w:rsidP="00A31E3A">
      <w:pPr>
        <w:widowControl w:val="0"/>
        <w:autoSpaceDE w:val="0"/>
        <w:autoSpaceDN w:val="0"/>
        <w:adjustRightInd w:val="0"/>
        <w:spacing w:line="240" w:lineRule="auto"/>
        <w:rPr>
          <w:snapToGrid/>
          <w:szCs w:val="22"/>
          <w:lang w:val="lt-LT"/>
        </w:rPr>
      </w:pPr>
    </w:p>
    <w:p w14:paraId="58E52EC0" w14:textId="1D0919A7" w:rsidR="00373D71" w:rsidRDefault="005D7ED0" w:rsidP="007E15ED">
      <w:pPr>
        <w:keepNext/>
        <w:widowControl w:val="0"/>
        <w:autoSpaceDE w:val="0"/>
        <w:autoSpaceDN w:val="0"/>
        <w:adjustRightInd w:val="0"/>
        <w:spacing w:line="240" w:lineRule="auto"/>
        <w:rPr>
          <w:i/>
          <w:szCs w:val="22"/>
          <w:lang w:val="lt-LT"/>
        </w:rPr>
      </w:pPr>
      <w:proofErr w:type="spellStart"/>
      <w:r w:rsidRPr="00923E74">
        <w:rPr>
          <w:i/>
          <w:szCs w:val="22"/>
          <w:lang w:val="lt-LT"/>
        </w:rPr>
        <w:t>Gemfibrozilis</w:t>
      </w:r>
      <w:proofErr w:type="spellEnd"/>
      <w:r w:rsidR="006F75AA">
        <w:rPr>
          <w:i/>
          <w:szCs w:val="22"/>
          <w:lang w:val="lt-LT"/>
        </w:rPr>
        <w:t xml:space="preserve"> </w:t>
      </w:r>
      <w:r w:rsidR="00373D71">
        <w:rPr>
          <w:i/>
          <w:szCs w:val="22"/>
          <w:lang w:val="lt-LT"/>
        </w:rPr>
        <w:t>ar</w:t>
      </w:r>
      <w:r w:rsidR="006F75AA">
        <w:rPr>
          <w:i/>
          <w:szCs w:val="22"/>
          <w:lang w:val="lt-LT"/>
        </w:rPr>
        <w:t xml:space="preserve"> </w:t>
      </w:r>
      <w:r w:rsidRPr="00923E74">
        <w:rPr>
          <w:i/>
          <w:szCs w:val="22"/>
          <w:lang w:val="lt-LT"/>
        </w:rPr>
        <w:t>fibr</w:t>
      </w:r>
      <w:r w:rsidR="00C767F7">
        <w:rPr>
          <w:i/>
          <w:szCs w:val="22"/>
          <w:lang w:val="lt-LT"/>
        </w:rPr>
        <w:t>inės</w:t>
      </w:r>
      <w:r w:rsidRPr="00923E74">
        <w:rPr>
          <w:i/>
          <w:szCs w:val="22"/>
          <w:lang w:val="lt-LT"/>
        </w:rPr>
        <w:t xml:space="preserve"> rūgšties dariniai</w:t>
      </w:r>
    </w:p>
    <w:p w14:paraId="6B3F6D30" w14:textId="58D541DB" w:rsidR="005D7ED0" w:rsidRPr="00923E74" w:rsidRDefault="005D7ED0" w:rsidP="00A31E3A">
      <w:pPr>
        <w:widowControl w:val="0"/>
        <w:autoSpaceDE w:val="0"/>
        <w:autoSpaceDN w:val="0"/>
        <w:adjustRightInd w:val="0"/>
        <w:spacing w:line="240" w:lineRule="auto"/>
        <w:rPr>
          <w:szCs w:val="22"/>
          <w:lang w:val="lt-LT"/>
        </w:rPr>
      </w:pPr>
      <w:r w:rsidRPr="00923E74">
        <w:rPr>
          <w:szCs w:val="22"/>
          <w:lang w:val="lt-LT"/>
        </w:rPr>
        <w:t xml:space="preserve">Vien </w:t>
      </w:r>
      <w:proofErr w:type="spellStart"/>
      <w:r w:rsidRPr="00923E74">
        <w:rPr>
          <w:szCs w:val="22"/>
          <w:lang w:val="lt-LT"/>
        </w:rPr>
        <w:t>fibratų</w:t>
      </w:r>
      <w:proofErr w:type="spellEnd"/>
      <w:r w:rsidRPr="00923E74">
        <w:rPr>
          <w:szCs w:val="22"/>
          <w:lang w:val="lt-LT"/>
        </w:rPr>
        <w:t xml:space="preserve"> vartojimas kartais buvo susijęs su raumenų sutrikimais, įskaitant </w:t>
      </w:r>
      <w:proofErr w:type="spellStart"/>
      <w:r w:rsidRPr="00923E74">
        <w:rPr>
          <w:szCs w:val="22"/>
          <w:lang w:val="lt-LT"/>
        </w:rPr>
        <w:t>rabdomiolizę</w:t>
      </w:r>
      <w:proofErr w:type="spellEnd"/>
      <w:r w:rsidRPr="00923E74">
        <w:rPr>
          <w:szCs w:val="22"/>
          <w:lang w:val="lt-LT"/>
        </w:rPr>
        <w:t>. Tokių reiškinių rizika gali padidėti kartu vartojant fibr</w:t>
      </w:r>
      <w:r w:rsidR="00C767F7">
        <w:rPr>
          <w:szCs w:val="22"/>
          <w:lang w:val="lt-LT"/>
        </w:rPr>
        <w:t>inės</w:t>
      </w:r>
      <w:r w:rsidRPr="00923E74">
        <w:rPr>
          <w:szCs w:val="22"/>
          <w:lang w:val="lt-LT"/>
        </w:rPr>
        <w:t xml:space="preserve"> rūgšties darinių ir </w:t>
      </w:r>
      <w:proofErr w:type="spellStart"/>
      <w:r w:rsidRPr="00923E74">
        <w:rPr>
          <w:szCs w:val="22"/>
          <w:lang w:val="lt-LT"/>
        </w:rPr>
        <w:t>atorvastatino</w:t>
      </w:r>
      <w:proofErr w:type="spellEnd"/>
      <w:r w:rsidRPr="00923E74">
        <w:rPr>
          <w:szCs w:val="22"/>
          <w:lang w:val="lt-LT"/>
        </w:rPr>
        <w:t>.</w:t>
      </w:r>
    </w:p>
    <w:p w14:paraId="7B4CCAC9" w14:textId="77777777" w:rsidR="005D7ED0" w:rsidRPr="00923E74" w:rsidRDefault="005D7ED0" w:rsidP="00A31E3A">
      <w:pPr>
        <w:widowControl w:val="0"/>
        <w:autoSpaceDE w:val="0"/>
        <w:autoSpaceDN w:val="0"/>
        <w:adjustRightInd w:val="0"/>
        <w:spacing w:line="240" w:lineRule="auto"/>
        <w:rPr>
          <w:szCs w:val="22"/>
          <w:lang w:val="lt-LT"/>
        </w:rPr>
      </w:pPr>
    </w:p>
    <w:p w14:paraId="4C0C8711" w14:textId="77777777" w:rsidR="00373D71" w:rsidRDefault="00F93DE4" w:rsidP="007E15ED">
      <w:pPr>
        <w:keepNext/>
        <w:spacing w:line="240" w:lineRule="auto"/>
        <w:rPr>
          <w:i/>
          <w:snapToGrid/>
          <w:szCs w:val="22"/>
          <w:lang w:val="lt-LT"/>
        </w:rPr>
      </w:pPr>
      <w:proofErr w:type="spellStart"/>
      <w:r w:rsidRPr="00923E74">
        <w:rPr>
          <w:i/>
          <w:snapToGrid/>
          <w:szCs w:val="22"/>
          <w:lang w:val="lt-LT"/>
        </w:rPr>
        <w:lastRenderedPageBreak/>
        <w:t>Ezetimib</w:t>
      </w:r>
      <w:r w:rsidR="005D7ED0" w:rsidRPr="00923E74">
        <w:rPr>
          <w:i/>
          <w:snapToGrid/>
          <w:szCs w:val="22"/>
          <w:lang w:val="lt-LT"/>
        </w:rPr>
        <w:t>as</w:t>
      </w:r>
      <w:proofErr w:type="spellEnd"/>
    </w:p>
    <w:p w14:paraId="17A66F5F" w14:textId="0B55AC83" w:rsidR="00F93DE4" w:rsidRPr="00923E74" w:rsidRDefault="00BA6990" w:rsidP="00A31E3A">
      <w:pPr>
        <w:spacing w:line="240" w:lineRule="auto"/>
        <w:rPr>
          <w:snapToGrid/>
          <w:szCs w:val="22"/>
          <w:lang w:val="lt-LT"/>
        </w:rPr>
      </w:pPr>
      <w:r w:rsidRPr="00923E74">
        <w:rPr>
          <w:snapToGrid/>
          <w:szCs w:val="22"/>
          <w:lang w:val="lt-LT"/>
        </w:rPr>
        <w:t xml:space="preserve">Vien </w:t>
      </w:r>
      <w:proofErr w:type="spellStart"/>
      <w:r w:rsidRPr="00923E74">
        <w:rPr>
          <w:snapToGrid/>
          <w:szCs w:val="22"/>
          <w:lang w:val="lt-LT"/>
        </w:rPr>
        <w:t>ezetimibo</w:t>
      </w:r>
      <w:proofErr w:type="spellEnd"/>
      <w:r w:rsidRPr="00923E74">
        <w:rPr>
          <w:snapToGrid/>
          <w:szCs w:val="22"/>
          <w:lang w:val="lt-LT"/>
        </w:rPr>
        <w:t xml:space="preserve"> vartojimas yra susijęs su raumenų sutrikimais, įskaitant </w:t>
      </w:r>
      <w:proofErr w:type="spellStart"/>
      <w:r w:rsidRPr="00923E74">
        <w:rPr>
          <w:snapToGrid/>
          <w:szCs w:val="22"/>
          <w:lang w:val="lt-LT"/>
        </w:rPr>
        <w:t>rabdomiolizę</w:t>
      </w:r>
      <w:proofErr w:type="spellEnd"/>
      <w:r w:rsidRPr="00923E74">
        <w:rPr>
          <w:snapToGrid/>
          <w:szCs w:val="22"/>
          <w:lang w:val="lt-LT"/>
        </w:rPr>
        <w:t xml:space="preserve">. Tokių reiškinių rizika gali padidėti kartu vartojant </w:t>
      </w:r>
      <w:proofErr w:type="spellStart"/>
      <w:r w:rsidRPr="00923E74">
        <w:rPr>
          <w:snapToGrid/>
          <w:szCs w:val="22"/>
          <w:lang w:val="lt-LT"/>
        </w:rPr>
        <w:t>ezetimib</w:t>
      </w:r>
      <w:r w:rsidR="00373D71">
        <w:rPr>
          <w:snapToGrid/>
          <w:szCs w:val="22"/>
          <w:lang w:val="lt-LT"/>
        </w:rPr>
        <w:t>o</w:t>
      </w:r>
      <w:proofErr w:type="spellEnd"/>
      <w:r w:rsidRPr="00923E74">
        <w:rPr>
          <w:snapToGrid/>
          <w:szCs w:val="22"/>
          <w:lang w:val="lt-LT"/>
        </w:rPr>
        <w:t xml:space="preserve"> ir </w:t>
      </w:r>
      <w:proofErr w:type="spellStart"/>
      <w:r w:rsidRPr="00923E74">
        <w:rPr>
          <w:snapToGrid/>
          <w:szCs w:val="22"/>
          <w:lang w:val="lt-LT"/>
        </w:rPr>
        <w:t>atorvastatin</w:t>
      </w:r>
      <w:r w:rsidR="00373D71">
        <w:rPr>
          <w:snapToGrid/>
          <w:szCs w:val="22"/>
          <w:lang w:val="lt-LT"/>
        </w:rPr>
        <w:t>o</w:t>
      </w:r>
      <w:proofErr w:type="spellEnd"/>
      <w:r w:rsidRPr="00923E74">
        <w:rPr>
          <w:snapToGrid/>
          <w:szCs w:val="22"/>
          <w:lang w:val="lt-LT"/>
        </w:rPr>
        <w:t>. Rekomenduojama tinkamai stebėti klinikinę tokių pacientų būklę.</w:t>
      </w:r>
    </w:p>
    <w:p w14:paraId="670B3AF8" w14:textId="77777777" w:rsidR="00F93DE4" w:rsidRPr="00923E74" w:rsidRDefault="00F93DE4" w:rsidP="00A31E3A">
      <w:pPr>
        <w:spacing w:line="240" w:lineRule="auto"/>
        <w:rPr>
          <w:snapToGrid/>
          <w:szCs w:val="22"/>
          <w:lang w:val="lt-LT"/>
        </w:rPr>
      </w:pPr>
    </w:p>
    <w:p w14:paraId="34E2236C" w14:textId="77777777" w:rsidR="00BB691A" w:rsidRPr="00923E74" w:rsidRDefault="00BB691A" w:rsidP="007E15ED">
      <w:pPr>
        <w:keepNext/>
        <w:widowControl w:val="0"/>
        <w:tabs>
          <w:tab w:val="clear" w:pos="567"/>
        </w:tabs>
        <w:autoSpaceDE w:val="0"/>
        <w:autoSpaceDN w:val="0"/>
        <w:adjustRightInd w:val="0"/>
        <w:spacing w:line="240" w:lineRule="auto"/>
        <w:rPr>
          <w:rFonts w:eastAsia="Calibri"/>
          <w:i/>
          <w:snapToGrid/>
          <w:szCs w:val="22"/>
          <w:lang w:val="lt-LT" w:eastAsia="lt-LT" w:bidi="lt-LT"/>
        </w:rPr>
      </w:pPr>
      <w:proofErr w:type="spellStart"/>
      <w:r w:rsidRPr="00923E74">
        <w:rPr>
          <w:rFonts w:eastAsia="Calibri"/>
          <w:i/>
          <w:snapToGrid/>
          <w:szCs w:val="22"/>
          <w:lang w:val="lt-LT" w:eastAsia="lt-LT" w:bidi="lt-LT"/>
        </w:rPr>
        <w:t>Kolestipolis</w:t>
      </w:r>
      <w:proofErr w:type="spellEnd"/>
    </w:p>
    <w:p w14:paraId="6275AC37" w14:textId="2EB0518D" w:rsidR="00BB691A" w:rsidRPr="00923E74" w:rsidRDefault="00BB691A" w:rsidP="00A31E3A">
      <w:pPr>
        <w:widowControl w:val="0"/>
        <w:tabs>
          <w:tab w:val="clear" w:pos="567"/>
        </w:tabs>
        <w:autoSpaceDE w:val="0"/>
        <w:autoSpaceDN w:val="0"/>
        <w:adjustRightInd w:val="0"/>
        <w:spacing w:line="240" w:lineRule="auto"/>
        <w:rPr>
          <w:rFonts w:eastAsia="Calibri"/>
          <w:snapToGrid/>
          <w:szCs w:val="22"/>
          <w:lang w:val="lt-LT" w:eastAsia="lt-LT" w:bidi="lt-LT"/>
        </w:rPr>
      </w:pPr>
      <w:r w:rsidRPr="00923E74">
        <w:rPr>
          <w:rFonts w:eastAsia="Calibri"/>
          <w:snapToGrid/>
          <w:szCs w:val="22"/>
          <w:lang w:val="lt-LT" w:eastAsia="lt-LT" w:bidi="lt-LT"/>
        </w:rPr>
        <w:t xml:space="preserve">Kartu su </w:t>
      </w:r>
      <w:proofErr w:type="spellStart"/>
      <w:r w:rsidRPr="00923E74">
        <w:rPr>
          <w:rFonts w:eastAsia="Calibri"/>
          <w:snapToGrid/>
          <w:szCs w:val="22"/>
          <w:lang w:val="lt-LT" w:eastAsia="lt-LT" w:bidi="lt-LT"/>
        </w:rPr>
        <w:t>kolestipoli</w:t>
      </w:r>
      <w:r w:rsidR="00373D71">
        <w:rPr>
          <w:rFonts w:eastAsia="Calibri"/>
          <w:snapToGrid/>
          <w:szCs w:val="22"/>
          <w:lang w:val="lt-LT" w:eastAsia="lt-LT" w:bidi="lt-LT"/>
        </w:rPr>
        <w:t>u</w:t>
      </w:r>
      <w:proofErr w:type="spellEnd"/>
      <w:r w:rsidRPr="00923E74">
        <w:rPr>
          <w:rFonts w:eastAsia="Calibri"/>
          <w:snapToGrid/>
          <w:szCs w:val="22"/>
          <w:lang w:val="lt-LT" w:eastAsia="lt-LT" w:bidi="lt-LT"/>
        </w:rPr>
        <w:t xml:space="preserve"> vartojamo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ir jo</w:t>
      </w:r>
      <w:r w:rsidR="009C5009" w:rsidRPr="00923E74">
        <w:rPr>
          <w:rFonts w:eastAsia="Calibri"/>
          <w:snapToGrid/>
          <w:szCs w:val="22"/>
          <w:lang w:val="lt-LT" w:eastAsia="lt-LT" w:bidi="lt-LT"/>
        </w:rPr>
        <w:t xml:space="preserve"> veikliųjų </w:t>
      </w:r>
      <w:r w:rsidRPr="00923E74">
        <w:rPr>
          <w:rFonts w:eastAsia="Calibri"/>
          <w:snapToGrid/>
          <w:szCs w:val="22"/>
          <w:lang w:val="lt-LT" w:eastAsia="lt-LT" w:bidi="lt-LT"/>
        </w:rPr>
        <w:t xml:space="preserve">metabolitų </w:t>
      </w:r>
      <w:r w:rsidR="009C5009" w:rsidRPr="00923E74">
        <w:rPr>
          <w:rFonts w:eastAsia="Calibri"/>
          <w:snapToGrid/>
          <w:szCs w:val="22"/>
          <w:lang w:val="lt-LT" w:eastAsia="lt-LT" w:bidi="lt-LT"/>
        </w:rPr>
        <w:t>koncentracija</w:t>
      </w:r>
      <w:r w:rsidRPr="00923E74">
        <w:rPr>
          <w:rFonts w:eastAsia="Calibri"/>
          <w:snapToGrid/>
          <w:szCs w:val="22"/>
          <w:lang w:val="lt-LT" w:eastAsia="lt-LT" w:bidi="lt-LT"/>
        </w:rPr>
        <w:t xml:space="preserve"> kraujo plazmoje </w:t>
      </w:r>
      <w:r w:rsidR="009C5009" w:rsidRPr="00923E74">
        <w:rPr>
          <w:rFonts w:eastAsia="Calibri"/>
          <w:snapToGrid/>
          <w:szCs w:val="22"/>
          <w:lang w:val="lt-LT" w:eastAsia="lt-LT" w:bidi="lt-LT"/>
        </w:rPr>
        <w:t>buvo mažesnė</w:t>
      </w:r>
      <w:r w:rsidRPr="00923E74">
        <w:rPr>
          <w:rFonts w:eastAsia="Calibri"/>
          <w:snapToGrid/>
          <w:szCs w:val="22"/>
          <w:lang w:val="lt-LT" w:eastAsia="lt-LT" w:bidi="lt-LT"/>
        </w:rPr>
        <w:t xml:space="preserve">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koncentracijos </w:t>
      </w:r>
      <w:r w:rsidR="009C5009" w:rsidRPr="00923E74">
        <w:rPr>
          <w:rFonts w:eastAsia="Calibri"/>
          <w:snapToGrid/>
          <w:szCs w:val="22"/>
          <w:lang w:val="lt-LT" w:eastAsia="lt-LT" w:bidi="lt-LT"/>
        </w:rPr>
        <w:t>santykis</w:t>
      </w:r>
      <w:r w:rsidRPr="00923E74">
        <w:rPr>
          <w:rFonts w:eastAsia="Calibri"/>
          <w:snapToGrid/>
          <w:szCs w:val="22"/>
          <w:lang w:val="lt-LT" w:eastAsia="lt-LT" w:bidi="lt-LT"/>
        </w:rPr>
        <w:t xml:space="preserve">: 0,74). Vis dėlto </w:t>
      </w:r>
      <w:proofErr w:type="spellStart"/>
      <w:r w:rsidRPr="00923E74">
        <w:rPr>
          <w:rFonts w:eastAsia="Calibri"/>
          <w:snapToGrid/>
          <w:szCs w:val="22"/>
          <w:lang w:val="lt-LT" w:eastAsia="lt-LT" w:bidi="lt-LT"/>
        </w:rPr>
        <w:t>atorvastatin</w:t>
      </w:r>
      <w:r w:rsidR="00373D71">
        <w:rPr>
          <w:rFonts w:eastAsia="Calibri"/>
          <w:snapToGrid/>
          <w:szCs w:val="22"/>
          <w:lang w:val="lt-LT" w:eastAsia="lt-LT" w:bidi="lt-LT"/>
        </w:rPr>
        <w:t>o</w:t>
      </w:r>
      <w:proofErr w:type="spellEnd"/>
      <w:r w:rsidRPr="00923E74">
        <w:rPr>
          <w:rFonts w:eastAsia="Calibri"/>
          <w:snapToGrid/>
          <w:szCs w:val="22"/>
          <w:lang w:val="lt-LT" w:eastAsia="lt-LT" w:bidi="lt-LT"/>
        </w:rPr>
        <w:t xml:space="preserve"> vartojant kartu su </w:t>
      </w:r>
      <w:proofErr w:type="spellStart"/>
      <w:r w:rsidRPr="00923E74">
        <w:rPr>
          <w:rFonts w:eastAsia="Calibri"/>
          <w:snapToGrid/>
          <w:szCs w:val="22"/>
          <w:lang w:val="lt-LT" w:eastAsia="lt-LT" w:bidi="lt-LT"/>
        </w:rPr>
        <w:t>kolestipoliu</w:t>
      </w:r>
      <w:proofErr w:type="spellEnd"/>
      <w:r w:rsidRPr="00923E74">
        <w:rPr>
          <w:rFonts w:eastAsia="Calibri"/>
          <w:snapToGrid/>
          <w:szCs w:val="22"/>
          <w:lang w:val="lt-LT" w:eastAsia="lt-LT" w:bidi="lt-LT"/>
        </w:rPr>
        <w:t>, lipid</w:t>
      </w:r>
      <w:r w:rsidR="009C5009" w:rsidRPr="00923E74">
        <w:rPr>
          <w:rFonts w:eastAsia="Calibri"/>
          <w:snapToGrid/>
          <w:szCs w:val="22"/>
          <w:lang w:val="lt-LT" w:eastAsia="lt-LT" w:bidi="lt-LT"/>
        </w:rPr>
        <w:t>ų k</w:t>
      </w:r>
      <w:r w:rsidR="00373D71">
        <w:rPr>
          <w:rFonts w:eastAsia="Calibri"/>
          <w:snapToGrid/>
          <w:szCs w:val="22"/>
          <w:lang w:val="lt-LT" w:eastAsia="lt-LT" w:bidi="lt-LT"/>
        </w:rPr>
        <w:t>onc</w:t>
      </w:r>
      <w:r w:rsidR="009C5009" w:rsidRPr="00923E74">
        <w:rPr>
          <w:rFonts w:eastAsia="Calibri"/>
          <w:snapToGrid/>
          <w:szCs w:val="22"/>
          <w:lang w:val="lt-LT" w:eastAsia="lt-LT" w:bidi="lt-LT"/>
        </w:rPr>
        <w:t>e</w:t>
      </w:r>
      <w:r w:rsidR="00373D71">
        <w:rPr>
          <w:rFonts w:eastAsia="Calibri"/>
          <w:snapToGrid/>
          <w:szCs w:val="22"/>
          <w:lang w:val="lt-LT" w:eastAsia="lt-LT" w:bidi="lt-LT"/>
        </w:rPr>
        <w:t>ntraciją</w:t>
      </w:r>
      <w:r w:rsidR="009C5009" w:rsidRPr="00923E74">
        <w:rPr>
          <w:rFonts w:eastAsia="Calibri"/>
          <w:snapToGrid/>
          <w:szCs w:val="22"/>
          <w:lang w:val="lt-LT" w:eastAsia="lt-LT" w:bidi="lt-LT"/>
        </w:rPr>
        <w:t xml:space="preserve"> mažinantis poveikis </w:t>
      </w:r>
      <w:r w:rsidRPr="00923E74">
        <w:rPr>
          <w:rFonts w:eastAsia="Calibri"/>
          <w:snapToGrid/>
          <w:szCs w:val="22"/>
          <w:lang w:val="lt-LT" w:eastAsia="lt-LT" w:bidi="lt-LT"/>
        </w:rPr>
        <w:t>buvo stipresnis nei vartojant kiekvie</w:t>
      </w:r>
      <w:r w:rsidR="009C5009" w:rsidRPr="00923E74">
        <w:rPr>
          <w:rFonts w:eastAsia="Calibri"/>
          <w:snapToGrid/>
          <w:szCs w:val="22"/>
          <w:lang w:val="lt-LT" w:eastAsia="lt-LT" w:bidi="lt-LT"/>
        </w:rPr>
        <w:t>n</w:t>
      </w:r>
      <w:r w:rsidR="00C767F7">
        <w:rPr>
          <w:rFonts w:eastAsia="Calibri"/>
          <w:snapToGrid/>
          <w:szCs w:val="22"/>
          <w:lang w:val="lt-LT" w:eastAsia="lt-LT" w:bidi="lt-LT"/>
        </w:rPr>
        <w:t>o</w:t>
      </w:r>
      <w:r w:rsidR="009C5009" w:rsidRPr="00923E74">
        <w:rPr>
          <w:rFonts w:eastAsia="Calibri"/>
          <w:snapToGrid/>
          <w:szCs w:val="22"/>
          <w:lang w:val="lt-LT" w:eastAsia="lt-LT" w:bidi="lt-LT"/>
        </w:rPr>
        <w:t xml:space="preserve"> vaistin</w:t>
      </w:r>
      <w:r w:rsidR="00C767F7">
        <w:rPr>
          <w:rFonts w:eastAsia="Calibri"/>
          <w:snapToGrid/>
          <w:szCs w:val="22"/>
          <w:lang w:val="lt-LT" w:eastAsia="lt-LT" w:bidi="lt-LT"/>
        </w:rPr>
        <w:t>io</w:t>
      </w:r>
      <w:r w:rsidR="009C5009" w:rsidRPr="00923E74">
        <w:rPr>
          <w:rFonts w:eastAsia="Calibri"/>
          <w:snapToGrid/>
          <w:szCs w:val="22"/>
          <w:lang w:val="lt-LT" w:eastAsia="lt-LT" w:bidi="lt-LT"/>
        </w:rPr>
        <w:t xml:space="preserve"> preparat</w:t>
      </w:r>
      <w:r w:rsidR="00C767F7">
        <w:rPr>
          <w:rFonts w:eastAsia="Calibri"/>
          <w:snapToGrid/>
          <w:szCs w:val="22"/>
          <w:lang w:val="lt-LT" w:eastAsia="lt-LT" w:bidi="lt-LT"/>
        </w:rPr>
        <w:t>o</w:t>
      </w:r>
      <w:r w:rsidR="009C5009" w:rsidRPr="00923E74">
        <w:rPr>
          <w:rFonts w:eastAsia="Calibri"/>
          <w:snapToGrid/>
          <w:szCs w:val="22"/>
          <w:lang w:val="lt-LT" w:eastAsia="lt-LT" w:bidi="lt-LT"/>
        </w:rPr>
        <w:t xml:space="preserve"> atskirai.</w:t>
      </w:r>
    </w:p>
    <w:p w14:paraId="575CACD8" w14:textId="77777777" w:rsidR="009C5009" w:rsidRPr="00923E74" w:rsidRDefault="009C5009" w:rsidP="00A31E3A">
      <w:pPr>
        <w:widowControl w:val="0"/>
        <w:tabs>
          <w:tab w:val="clear" w:pos="567"/>
        </w:tabs>
        <w:autoSpaceDE w:val="0"/>
        <w:autoSpaceDN w:val="0"/>
        <w:adjustRightInd w:val="0"/>
        <w:spacing w:line="240" w:lineRule="auto"/>
        <w:rPr>
          <w:snapToGrid/>
          <w:szCs w:val="22"/>
          <w:lang w:val="lt-LT" w:eastAsia="lt-LT" w:bidi="lt-LT"/>
        </w:rPr>
      </w:pPr>
    </w:p>
    <w:p w14:paraId="195FC5C5" w14:textId="77777777" w:rsidR="00373D71" w:rsidRDefault="00BB691A" w:rsidP="007E15ED">
      <w:pPr>
        <w:keepNext/>
        <w:widowControl w:val="0"/>
        <w:tabs>
          <w:tab w:val="clear" w:pos="567"/>
        </w:tabs>
        <w:autoSpaceDE w:val="0"/>
        <w:autoSpaceDN w:val="0"/>
        <w:adjustRightInd w:val="0"/>
        <w:spacing w:line="240" w:lineRule="auto"/>
        <w:rPr>
          <w:rFonts w:eastAsia="Calibri"/>
          <w:i/>
          <w:snapToGrid/>
          <w:szCs w:val="22"/>
          <w:lang w:val="lt-LT" w:eastAsia="lt-LT" w:bidi="lt-LT"/>
        </w:rPr>
      </w:pPr>
      <w:proofErr w:type="spellStart"/>
      <w:r w:rsidRPr="00923E74">
        <w:rPr>
          <w:rFonts w:eastAsia="Calibri"/>
          <w:i/>
          <w:snapToGrid/>
          <w:szCs w:val="22"/>
          <w:lang w:val="lt-LT" w:eastAsia="lt-LT" w:bidi="lt-LT"/>
        </w:rPr>
        <w:t>Fuzido</w:t>
      </w:r>
      <w:proofErr w:type="spellEnd"/>
      <w:r w:rsidRPr="00923E74">
        <w:rPr>
          <w:rFonts w:eastAsia="Calibri"/>
          <w:i/>
          <w:snapToGrid/>
          <w:szCs w:val="22"/>
          <w:lang w:val="lt-LT" w:eastAsia="lt-LT" w:bidi="lt-LT"/>
        </w:rPr>
        <w:t xml:space="preserve"> rūgštis</w:t>
      </w:r>
    </w:p>
    <w:p w14:paraId="0A32CE3E" w14:textId="429A2C34" w:rsidR="00BB691A" w:rsidRPr="00923E74" w:rsidRDefault="00BB691A" w:rsidP="00A31E3A">
      <w:pPr>
        <w:widowControl w:val="0"/>
        <w:tabs>
          <w:tab w:val="clear" w:pos="567"/>
        </w:tabs>
        <w:autoSpaceDE w:val="0"/>
        <w:autoSpaceDN w:val="0"/>
        <w:adjustRightInd w:val="0"/>
        <w:spacing w:line="240" w:lineRule="auto"/>
        <w:rPr>
          <w:rFonts w:eastAsia="SimSun"/>
          <w:snapToGrid/>
          <w:szCs w:val="22"/>
          <w:lang w:val="lt-LT" w:eastAsia="zh-CN"/>
        </w:rPr>
      </w:pPr>
      <w:proofErr w:type="spellStart"/>
      <w:r w:rsidRPr="00923E74">
        <w:rPr>
          <w:rFonts w:eastAsia="SimSun"/>
          <w:snapToGrid/>
          <w:szCs w:val="22"/>
          <w:lang w:val="lt-LT" w:eastAsia="zh-CN"/>
        </w:rPr>
        <w:t>Miopatijos</w:t>
      </w:r>
      <w:proofErr w:type="spellEnd"/>
      <w:r w:rsidRPr="00923E74">
        <w:rPr>
          <w:rFonts w:eastAsia="SimSun"/>
          <w:snapToGrid/>
          <w:szCs w:val="22"/>
          <w:lang w:val="lt-LT" w:eastAsia="zh-CN"/>
        </w:rPr>
        <w:t xml:space="preserve">, įskaitant </w:t>
      </w:r>
      <w:proofErr w:type="spellStart"/>
      <w:r w:rsidRPr="00923E74">
        <w:rPr>
          <w:rFonts w:eastAsia="SimSun"/>
          <w:snapToGrid/>
          <w:szCs w:val="22"/>
          <w:lang w:val="lt-LT" w:eastAsia="zh-CN"/>
        </w:rPr>
        <w:t>rabdomiolizę</w:t>
      </w:r>
      <w:proofErr w:type="spellEnd"/>
      <w:r w:rsidRPr="00923E74">
        <w:rPr>
          <w:rFonts w:eastAsia="SimSun"/>
          <w:snapToGrid/>
          <w:szCs w:val="22"/>
          <w:lang w:val="lt-LT" w:eastAsia="zh-CN"/>
        </w:rPr>
        <w:t>, rizika gali padidėti sistemini</w:t>
      </w:r>
      <w:r w:rsidR="009C5009" w:rsidRPr="00923E74">
        <w:rPr>
          <w:rFonts w:eastAsia="SimSun"/>
          <w:snapToGrid/>
          <w:szCs w:val="22"/>
          <w:lang w:val="lt-LT" w:eastAsia="zh-CN"/>
        </w:rPr>
        <w:t>o poveikio</w:t>
      </w:r>
      <w:r w:rsidRPr="00923E74">
        <w:rPr>
          <w:rFonts w:eastAsia="SimSun"/>
          <w:snapToGrid/>
          <w:szCs w:val="22"/>
          <w:lang w:val="lt-LT" w:eastAsia="zh-CN"/>
        </w:rPr>
        <w:t xml:space="preserve"> </w:t>
      </w:r>
      <w:proofErr w:type="spellStart"/>
      <w:r w:rsidRPr="00923E74">
        <w:rPr>
          <w:rFonts w:eastAsia="SimSun"/>
          <w:snapToGrid/>
          <w:szCs w:val="22"/>
          <w:lang w:val="lt-LT" w:eastAsia="zh-CN"/>
        </w:rPr>
        <w:t>fuzido</w:t>
      </w:r>
      <w:proofErr w:type="spellEnd"/>
      <w:r w:rsidRPr="00923E74">
        <w:rPr>
          <w:rFonts w:eastAsia="SimSun"/>
          <w:snapToGrid/>
          <w:szCs w:val="22"/>
          <w:lang w:val="lt-LT" w:eastAsia="zh-CN"/>
        </w:rPr>
        <w:t xml:space="preserve"> rūgšties vartojant kartu su </w:t>
      </w:r>
      <w:proofErr w:type="spellStart"/>
      <w:r w:rsidRPr="00923E74">
        <w:rPr>
          <w:rFonts w:eastAsia="SimSun"/>
          <w:snapToGrid/>
          <w:szCs w:val="22"/>
          <w:lang w:val="lt-LT" w:eastAsia="zh-CN"/>
        </w:rPr>
        <w:t>statinais</w:t>
      </w:r>
      <w:proofErr w:type="spellEnd"/>
      <w:r w:rsidRPr="00923E74">
        <w:rPr>
          <w:rFonts w:eastAsia="SimSun"/>
          <w:snapToGrid/>
          <w:szCs w:val="22"/>
          <w:lang w:val="lt-LT" w:eastAsia="zh-CN"/>
        </w:rPr>
        <w:t xml:space="preserve">. Šios sąveikos mechanizmas (ar jis </w:t>
      </w:r>
      <w:proofErr w:type="spellStart"/>
      <w:r w:rsidRPr="00923E74">
        <w:rPr>
          <w:rFonts w:eastAsia="SimSun"/>
          <w:snapToGrid/>
          <w:szCs w:val="22"/>
          <w:lang w:val="lt-LT" w:eastAsia="zh-CN"/>
        </w:rPr>
        <w:t>farmakodinaminis</w:t>
      </w:r>
      <w:proofErr w:type="spellEnd"/>
      <w:r w:rsidRPr="00923E74">
        <w:rPr>
          <w:rFonts w:eastAsia="SimSun"/>
          <w:snapToGrid/>
          <w:szCs w:val="22"/>
          <w:lang w:val="lt-LT" w:eastAsia="zh-CN"/>
        </w:rPr>
        <w:t xml:space="preserve">, </w:t>
      </w:r>
      <w:proofErr w:type="spellStart"/>
      <w:r w:rsidRPr="00923E74">
        <w:rPr>
          <w:rFonts w:eastAsia="SimSun"/>
          <w:snapToGrid/>
          <w:szCs w:val="22"/>
          <w:lang w:val="lt-LT" w:eastAsia="zh-CN"/>
        </w:rPr>
        <w:t>farmakokinetinis</w:t>
      </w:r>
      <w:proofErr w:type="spellEnd"/>
      <w:r w:rsidRPr="00923E74">
        <w:rPr>
          <w:rFonts w:eastAsia="SimSun"/>
          <w:snapToGrid/>
          <w:szCs w:val="22"/>
          <w:lang w:val="lt-LT" w:eastAsia="zh-CN"/>
        </w:rPr>
        <w:t xml:space="preserve">, ar jų derinys) dar </w:t>
      </w:r>
      <w:r w:rsidR="009C5009" w:rsidRPr="00923E74">
        <w:rPr>
          <w:rFonts w:eastAsia="SimSun"/>
          <w:snapToGrid/>
          <w:szCs w:val="22"/>
          <w:lang w:val="lt-LT" w:eastAsia="zh-CN"/>
        </w:rPr>
        <w:t>nėra ž</w:t>
      </w:r>
      <w:r w:rsidRPr="00923E74">
        <w:rPr>
          <w:rFonts w:eastAsia="SimSun"/>
          <w:snapToGrid/>
          <w:szCs w:val="22"/>
          <w:lang w:val="lt-LT" w:eastAsia="zh-CN"/>
        </w:rPr>
        <w:t>inomas. Gauta pranešimų apie šių vaistinių preparatų derin</w:t>
      </w:r>
      <w:r w:rsidR="00C767F7">
        <w:rPr>
          <w:rFonts w:eastAsia="SimSun"/>
          <w:snapToGrid/>
          <w:szCs w:val="22"/>
          <w:lang w:val="lt-LT" w:eastAsia="zh-CN"/>
        </w:rPr>
        <w:t>io</w:t>
      </w:r>
      <w:r w:rsidRPr="00923E74">
        <w:rPr>
          <w:rFonts w:eastAsia="SimSun"/>
          <w:snapToGrid/>
          <w:szCs w:val="22"/>
          <w:lang w:val="lt-LT" w:eastAsia="zh-CN"/>
        </w:rPr>
        <w:t xml:space="preserve"> vartojusiems pacientams </w:t>
      </w:r>
      <w:r w:rsidR="009C5009" w:rsidRPr="00923E74">
        <w:rPr>
          <w:rFonts w:eastAsia="SimSun"/>
          <w:snapToGrid/>
          <w:szCs w:val="22"/>
          <w:lang w:val="lt-LT" w:eastAsia="zh-CN"/>
        </w:rPr>
        <w:t>pasireiškusią</w:t>
      </w:r>
      <w:r w:rsidRPr="00923E74">
        <w:rPr>
          <w:rFonts w:eastAsia="SimSun"/>
          <w:snapToGrid/>
          <w:szCs w:val="22"/>
          <w:lang w:val="lt-LT" w:eastAsia="zh-CN"/>
        </w:rPr>
        <w:t xml:space="preserve"> </w:t>
      </w:r>
      <w:proofErr w:type="spellStart"/>
      <w:r w:rsidRPr="00923E74">
        <w:rPr>
          <w:rFonts w:eastAsia="SimSun"/>
          <w:snapToGrid/>
          <w:szCs w:val="22"/>
          <w:lang w:val="lt-LT" w:eastAsia="zh-CN"/>
        </w:rPr>
        <w:t>rabdomiolizę</w:t>
      </w:r>
      <w:proofErr w:type="spellEnd"/>
      <w:r w:rsidRPr="00923E74">
        <w:rPr>
          <w:rFonts w:eastAsia="SimSun"/>
          <w:snapToGrid/>
          <w:szCs w:val="22"/>
          <w:lang w:val="lt-LT" w:eastAsia="zh-CN"/>
        </w:rPr>
        <w:t xml:space="preserve"> (įskaitant kelis </w:t>
      </w:r>
      <w:r w:rsidR="009C5009" w:rsidRPr="00923E74">
        <w:rPr>
          <w:rFonts w:eastAsia="SimSun"/>
          <w:snapToGrid/>
          <w:szCs w:val="22"/>
          <w:lang w:val="lt-LT" w:eastAsia="zh-CN"/>
        </w:rPr>
        <w:t>mirtinus</w:t>
      </w:r>
      <w:r w:rsidRPr="00923E74">
        <w:rPr>
          <w:rFonts w:eastAsia="SimSun"/>
          <w:snapToGrid/>
          <w:szCs w:val="22"/>
          <w:lang w:val="lt-LT" w:eastAsia="zh-CN"/>
        </w:rPr>
        <w:t xml:space="preserve"> atvejus).</w:t>
      </w:r>
      <w:r w:rsidR="009C5009" w:rsidRPr="00923E74">
        <w:rPr>
          <w:rFonts w:eastAsia="SimSun"/>
          <w:snapToGrid/>
          <w:szCs w:val="22"/>
          <w:lang w:val="lt-LT" w:eastAsia="zh-CN"/>
        </w:rPr>
        <w:t xml:space="preserve"> </w:t>
      </w:r>
      <w:r w:rsidRPr="00923E74">
        <w:rPr>
          <w:rFonts w:eastAsia="SimSun"/>
          <w:snapToGrid/>
          <w:szCs w:val="22"/>
          <w:lang w:val="lt-LT" w:eastAsia="zh-CN"/>
        </w:rPr>
        <w:t>Jeigu sistemin</w:t>
      </w:r>
      <w:r w:rsidR="009C5009" w:rsidRPr="00923E74">
        <w:rPr>
          <w:rFonts w:eastAsia="SimSun"/>
          <w:snapToGrid/>
          <w:szCs w:val="22"/>
          <w:lang w:val="lt-LT" w:eastAsia="zh-CN"/>
        </w:rPr>
        <w:t>io</w:t>
      </w:r>
      <w:r w:rsidRPr="00923E74">
        <w:rPr>
          <w:rFonts w:eastAsia="SimSun"/>
          <w:snapToGrid/>
          <w:szCs w:val="22"/>
          <w:lang w:val="lt-LT" w:eastAsia="zh-CN"/>
        </w:rPr>
        <w:t xml:space="preserve"> </w:t>
      </w:r>
      <w:r w:rsidR="009C5009" w:rsidRPr="00923E74">
        <w:rPr>
          <w:rFonts w:eastAsia="SimSun"/>
          <w:snapToGrid/>
          <w:szCs w:val="22"/>
          <w:lang w:val="lt-LT" w:eastAsia="zh-CN"/>
        </w:rPr>
        <w:t xml:space="preserve">poveikio </w:t>
      </w:r>
      <w:proofErr w:type="spellStart"/>
      <w:r w:rsidR="009C5009" w:rsidRPr="00923E74">
        <w:rPr>
          <w:rFonts w:eastAsia="SimSun"/>
          <w:snapToGrid/>
          <w:szCs w:val="22"/>
          <w:lang w:val="lt-LT" w:eastAsia="zh-CN"/>
        </w:rPr>
        <w:t>fuzido</w:t>
      </w:r>
      <w:proofErr w:type="spellEnd"/>
      <w:r w:rsidR="009C5009" w:rsidRPr="00923E74">
        <w:rPr>
          <w:rFonts w:eastAsia="SimSun"/>
          <w:snapToGrid/>
          <w:szCs w:val="22"/>
          <w:lang w:val="lt-LT" w:eastAsia="zh-CN"/>
        </w:rPr>
        <w:t xml:space="preserve"> rūgštį </w:t>
      </w:r>
      <w:r w:rsidRPr="00923E74">
        <w:rPr>
          <w:rFonts w:eastAsia="SimSun"/>
          <w:snapToGrid/>
          <w:szCs w:val="22"/>
          <w:lang w:val="lt-LT" w:eastAsia="zh-CN"/>
        </w:rPr>
        <w:t xml:space="preserve">vartoti būtina, gydymo </w:t>
      </w:r>
      <w:proofErr w:type="spellStart"/>
      <w:r w:rsidRPr="00923E74">
        <w:rPr>
          <w:rFonts w:eastAsia="SimSun"/>
          <w:snapToGrid/>
          <w:szCs w:val="22"/>
          <w:lang w:val="lt-LT" w:eastAsia="zh-CN"/>
        </w:rPr>
        <w:t>fuzido</w:t>
      </w:r>
      <w:proofErr w:type="spellEnd"/>
      <w:r w:rsidRPr="00923E74">
        <w:rPr>
          <w:rFonts w:eastAsia="SimSun"/>
          <w:snapToGrid/>
          <w:szCs w:val="22"/>
          <w:lang w:val="lt-LT" w:eastAsia="zh-CN"/>
        </w:rPr>
        <w:t xml:space="preserve"> rūgštimi metu </w:t>
      </w:r>
      <w:proofErr w:type="spellStart"/>
      <w:r w:rsidR="009C5009" w:rsidRPr="00923E74">
        <w:rPr>
          <w:rFonts w:eastAsia="SimSun"/>
          <w:snapToGrid/>
          <w:szCs w:val="22"/>
          <w:lang w:val="lt-LT" w:eastAsia="zh-CN"/>
        </w:rPr>
        <w:t>atorvastatino</w:t>
      </w:r>
      <w:proofErr w:type="spellEnd"/>
      <w:r w:rsidR="009C5009" w:rsidRPr="00923E74">
        <w:rPr>
          <w:rFonts w:eastAsia="SimSun"/>
          <w:snapToGrid/>
          <w:szCs w:val="22"/>
          <w:lang w:val="lt-LT" w:eastAsia="zh-CN"/>
        </w:rPr>
        <w:t xml:space="preserve"> vartojimą </w:t>
      </w:r>
      <w:r w:rsidRPr="00923E74">
        <w:rPr>
          <w:rFonts w:eastAsia="SimSun"/>
          <w:snapToGrid/>
          <w:szCs w:val="22"/>
          <w:lang w:val="lt-LT" w:eastAsia="zh-CN"/>
        </w:rPr>
        <w:t>reikia nutraukti (žr.</w:t>
      </w:r>
      <w:r w:rsidR="00373D71">
        <w:rPr>
          <w:rFonts w:eastAsia="SimSun"/>
          <w:snapToGrid/>
          <w:szCs w:val="22"/>
          <w:lang w:val="lt-LT" w:eastAsia="zh-CN"/>
        </w:rPr>
        <w:t> </w:t>
      </w:r>
      <w:r w:rsidRPr="00923E74">
        <w:rPr>
          <w:rFonts w:eastAsia="SimSun"/>
          <w:snapToGrid/>
          <w:szCs w:val="22"/>
          <w:lang w:val="lt-LT" w:eastAsia="zh-CN"/>
        </w:rPr>
        <w:t>4.4 skyrių).</w:t>
      </w:r>
    </w:p>
    <w:p w14:paraId="5A1ED26D" w14:textId="77777777" w:rsidR="00BB691A" w:rsidRPr="00923E74" w:rsidRDefault="00BB691A" w:rsidP="00A31E3A">
      <w:pPr>
        <w:widowControl w:val="0"/>
        <w:tabs>
          <w:tab w:val="clear" w:pos="567"/>
        </w:tabs>
        <w:autoSpaceDE w:val="0"/>
        <w:autoSpaceDN w:val="0"/>
        <w:adjustRightInd w:val="0"/>
        <w:spacing w:line="240" w:lineRule="auto"/>
        <w:rPr>
          <w:snapToGrid/>
          <w:szCs w:val="22"/>
          <w:lang w:val="lt-LT" w:eastAsia="lt-LT" w:bidi="lt-LT"/>
        </w:rPr>
      </w:pPr>
    </w:p>
    <w:p w14:paraId="6B7B7863" w14:textId="77777777" w:rsidR="00373D71" w:rsidRDefault="00BB691A" w:rsidP="007E15ED">
      <w:pPr>
        <w:keepNext/>
        <w:tabs>
          <w:tab w:val="clear" w:pos="567"/>
        </w:tabs>
        <w:autoSpaceDE w:val="0"/>
        <w:autoSpaceDN w:val="0"/>
        <w:adjustRightInd w:val="0"/>
        <w:spacing w:line="240" w:lineRule="auto"/>
        <w:rPr>
          <w:rFonts w:eastAsia="Calibri"/>
          <w:i/>
          <w:snapToGrid/>
          <w:szCs w:val="22"/>
          <w:lang w:val="lt-LT" w:eastAsia="lt-LT" w:bidi="lt-LT"/>
        </w:rPr>
      </w:pPr>
      <w:proofErr w:type="spellStart"/>
      <w:r w:rsidRPr="00923E74">
        <w:rPr>
          <w:rFonts w:eastAsia="Calibri"/>
          <w:i/>
          <w:snapToGrid/>
          <w:szCs w:val="22"/>
          <w:lang w:val="lt-LT" w:eastAsia="lt-LT" w:bidi="lt-LT"/>
        </w:rPr>
        <w:t>Kolchicinas</w:t>
      </w:r>
      <w:proofErr w:type="spellEnd"/>
    </w:p>
    <w:p w14:paraId="7AC6512B" w14:textId="2F9E927F" w:rsidR="00BB691A" w:rsidRPr="00923E74" w:rsidRDefault="00BB691A" w:rsidP="00A31E3A">
      <w:pPr>
        <w:tabs>
          <w:tab w:val="clear" w:pos="567"/>
        </w:tabs>
        <w:autoSpaceDE w:val="0"/>
        <w:autoSpaceDN w:val="0"/>
        <w:adjustRightInd w:val="0"/>
        <w:spacing w:line="240" w:lineRule="auto"/>
        <w:rPr>
          <w:rFonts w:eastAsia="Calibri"/>
          <w:snapToGrid/>
          <w:szCs w:val="22"/>
          <w:lang w:val="lt-LT" w:eastAsia="sl-SI" w:bidi="lt-LT"/>
        </w:rPr>
      </w:pPr>
      <w:proofErr w:type="spellStart"/>
      <w:r w:rsidRPr="00923E74">
        <w:rPr>
          <w:rFonts w:eastAsia="Calibri"/>
          <w:snapToGrid/>
          <w:szCs w:val="22"/>
          <w:lang w:val="lt-LT" w:eastAsia="sl-SI" w:bidi="lt-LT"/>
        </w:rPr>
        <w:t>Atorvastatino</w:t>
      </w:r>
      <w:proofErr w:type="spellEnd"/>
      <w:r w:rsidRPr="00923E74">
        <w:rPr>
          <w:rFonts w:eastAsia="Calibri"/>
          <w:snapToGrid/>
          <w:szCs w:val="22"/>
          <w:lang w:val="lt-LT" w:eastAsia="sl-SI" w:bidi="lt-LT"/>
        </w:rPr>
        <w:t xml:space="preserve"> ir </w:t>
      </w:r>
      <w:proofErr w:type="spellStart"/>
      <w:r w:rsidRPr="00923E74">
        <w:rPr>
          <w:rFonts w:eastAsia="Calibri"/>
          <w:snapToGrid/>
          <w:szCs w:val="22"/>
          <w:lang w:val="lt-LT" w:eastAsia="sl-SI" w:bidi="lt-LT"/>
        </w:rPr>
        <w:t>kolchicino</w:t>
      </w:r>
      <w:proofErr w:type="spellEnd"/>
      <w:r w:rsidRPr="00923E74">
        <w:rPr>
          <w:rFonts w:eastAsia="Calibri"/>
          <w:snapToGrid/>
          <w:szCs w:val="22"/>
          <w:lang w:val="lt-LT" w:eastAsia="sl-SI" w:bidi="lt-LT"/>
        </w:rPr>
        <w:t xml:space="preserve"> sąveikos tyrimų neatlikta, tačiau gauta pranešimų apie </w:t>
      </w:r>
      <w:proofErr w:type="spellStart"/>
      <w:r w:rsidRPr="00923E74">
        <w:rPr>
          <w:rFonts w:eastAsia="Calibri"/>
          <w:snapToGrid/>
          <w:szCs w:val="22"/>
          <w:lang w:val="lt-LT" w:eastAsia="sl-SI" w:bidi="lt-LT"/>
        </w:rPr>
        <w:t>miopatijos</w:t>
      </w:r>
      <w:proofErr w:type="spellEnd"/>
      <w:r w:rsidRPr="00923E74">
        <w:rPr>
          <w:rFonts w:eastAsia="Calibri"/>
          <w:snapToGrid/>
          <w:szCs w:val="22"/>
          <w:lang w:val="lt-LT" w:eastAsia="sl-SI" w:bidi="lt-LT"/>
        </w:rPr>
        <w:t xml:space="preserve"> atvejus </w:t>
      </w:r>
      <w:proofErr w:type="spellStart"/>
      <w:r w:rsidR="009C5009" w:rsidRPr="00923E74">
        <w:rPr>
          <w:rFonts w:eastAsia="Calibri"/>
          <w:snapToGrid/>
          <w:szCs w:val="22"/>
          <w:lang w:val="lt-LT" w:eastAsia="sl-SI" w:bidi="lt-LT"/>
        </w:rPr>
        <w:t>atorvastatino</w:t>
      </w:r>
      <w:proofErr w:type="spellEnd"/>
      <w:r w:rsidR="009C5009" w:rsidRPr="00923E74">
        <w:rPr>
          <w:rFonts w:eastAsia="Calibri"/>
          <w:snapToGrid/>
          <w:szCs w:val="22"/>
          <w:lang w:val="lt-LT" w:eastAsia="sl-SI" w:bidi="lt-LT"/>
        </w:rPr>
        <w:t xml:space="preserve"> ir </w:t>
      </w:r>
      <w:proofErr w:type="spellStart"/>
      <w:r w:rsidR="009C5009" w:rsidRPr="00923E74">
        <w:rPr>
          <w:rFonts w:eastAsia="Calibri"/>
          <w:snapToGrid/>
          <w:szCs w:val="22"/>
          <w:lang w:val="lt-LT" w:eastAsia="sl-SI" w:bidi="lt-LT"/>
        </w:rPr>
        <w:t>kolchicino</w:t>
      </w:r>
      <w:proofErr w:type="spellEnd"/>
      <w:r w:rsidR="009C5009" w:rsidRPr="00923E74">
        <w:rPr>
          <w:rFonts w:eastAsia="Calibri"/>
          <w:snapToGrid/>
          <w:szCs w:val="22"/>
          <w:lang w:val="lt-LT" w:eastAsia="sl-SI" w:bidi="lt-LT"/>
        </w:rPr>
        <w:t xml:space="preserve"> </w:t>
      </w:r>
      <w:r w:rsidRPr="00923E74">
        <w:rPr>
          <w:rFonts w:eastAsia="Calibri"/>
          <w:snapToGrid/>
          <w:szCs w:val="22"/>
          <w:lang w:val="lt-LT" w:eastAsia="sl-SI" w:bidi="lt-LT"/>
        </w:rPr>
        <w:t>kartu vartoj</w:t>
      </w:r>
      <w:r w:rsidR="009C5009" w:rsidRPr="00923E74">
        <w:rPr>
          <w:rFonts w:eastAsia="Calibri"/>
          <w:snapToGrid/>
          <w:szCs w:val="22"/>
          <w:lang w:val="lt-LT" w:eastAsia="sl-SI" w:bidi="lt-LT"/>
        </w:rPr>
        <w:t>usie</w:t>
      </w:r>
      <w:r w:rsidRPr="00923E74">
        <w:rPr>
          <w:rFonts w:eastAsia="Calibri"/>
          <w:snapToGrid/>
          <w:szCs w:val="22"/>
          <w:lang w:val="lt-LT" w:eastAsia="sl-SI" w:bidi="lt-LT"/>
        </w:rPr>
        <w:t xml:space="preserve">ms pacientams, todėl </w:t>
      </w:r>
      <w:proofErr w:type="spellStart"/>
      <w:r w:rsidRPr="00923E74">
        <w:rPr>
          <w:rFonts w:eastAsia="Calibri"/>
          <w:snapToGrid/>
          <w:szCs w:val="22"/>
          <w:lang w:val="lt-LT" w:eastAsia="sl-SI" w:bidi="lt-LT"/>
        </w:rPr>
        <w:t>atorvastatino</w:t>
      </w:r>
      <w:proofErr w:type="spellEnd"/>
      <w:r w:rsidRPr="00923E74">
        <w:rPr>
          <w:rFonts w:eastAsia="Calibri"/>
          <w:snapToGrid/>
          <w:szCs w:val="22"/>
          <w:lang w:val="lt-LT" w:eastAsia="sl-SI" w:bidi="lt-LT"/>
        </w:rPr>
        <w:t xml:space="preserve"> kartu su </w:t>
      </w:r>
      <w:proofErr w:type="spellStart"/>
      <w:r w:rsidRPr="00923E74">
        <w:rPr>
          <w:rFonts w:eastAsia="Calibri"/>
          <w:snapToGrid/>
          <w:szCs w:val="22"/>
          <w:lang w:val="lt-LT" w:eastAsia="sl-SI" w:bidi="lt-LT"/>
        </w:rPr>
        <w:t>kolchicinu</w:t>
      </w:r>
      <w:proofErr w:type="spellEnd"/>
      <w:r w:rsidRPr="00923E74">
        <w:rPr>
          <w:rFonts w:eastAsia="Calibri"/>
          <w:snapToGrid/>
          <w:szCs w:val="22"/>
          <w:lang w:val="lt-LT" w:eastAsia="sl-SI" w:bidi="lt-LT"/>
        </w:rPr>
        <w:t xml:space="preserve"> būtina </w:t>
      </w:r>
      <w:r w:rsidR="00A34F4A" w:rsidRPr="00923E74">
        <w:rPr>
          <w:rFonts w:eastAsia="Calibri"/>
          <w:snapToGrid/>
          <w:szCs w:val="22"/>
          <w:lang w:val="lt-LT" w:eastAsia="sl-SI" w:bidi="lt-LT"/>
        </w:rPr>
        <w:t xml:space="preserve">skirti </w:t>
      </w:r>
      <w:r w:rsidRPr="00923E74">
        <w:rPr>
          <w:rFonts w:eastAsia="Calibri"/>
          <w:snapToGrid/>
          <w:szCs w:val="22"/>
          <w:lang w:val="lt-LT" w:eastAsia="sl-SI" w:bidi="lt-LT"/>
        </w:rPr>
        <w:t>vartoti atsargiai.</w:t>
      </w:r>
    </w:p>
    <w:p w14:paraId="2524CB58" w14:textId="2C2DF59B" w:rsidR="00F93DE4" w:rsidRDefault="00F93DE4" w:rsidP="00A31E3A">
      <w:pPr>
        <w:spacing w:line="240" w:lineRule="auto"/>
        <w:rPr>
          <w:snapToGrid/>
          <w:szCs w:val="22"/>
          <w:lang w:val="lt-LT"/>
        </w:rPr>
      </w:pPr>
    </w:p>
    <w:p w14:paraId="3E6DCF49" w14:textId="77777777" w:rsidR="00272627" w:rsidRDefault="00272627" w:rsidP="00272627">
      <w:pPr>
        <w:spacing w:line="240" w:lineRule="auto"/>
        <w:rPr>
          <w:snapToGrid/>
          <w:szCs w:val="22"/>
          <w:lang w:val="lt-LT"/>
        </w:rPr>
      </w:pPr>
      <w:proofErr w:type="spellStart"/>
      <w:r w:rsidRPr="00235505">
        <w:rPr>
          <w:i/>
          <w:iCs/>
          <w:snapToGrid/>
          <w:szCs w:val="22"/>
          <w:lang w:val="lt-LT"/>
        </w:rPr>
        <w:t>Daptomicinas</w:t>
      </w:r>
      <w:proofErr w:type="spellEnd"/>
      <w:r w:rsidRPr="00272627">
        <w:rPr>
          <w:snapToGrid/>
          <w:szCs w:val="22"/>
          <w:lang w:val="lt-LT"/>
        </w:rPr>
        <w:t xml:space="preserve"> </w:t>
      </w:r>
    </w:p>
    <w:p w14:paraId="7A340EC7" w14:textId="52FC36F5" w:rsidR="00272627" w:rsidRDefault="00272627" w:rsidP="00272627">
      <w:pPr>
        <w:spacing w:line="240" w:lineRule="auto"/>
        <w:rPr>
          <w:snapToGrid/>
          <w:szCs w:val="22"/>
          <w:lang w:val="lt-LT"/>
        </w:rPr>
      </w:pPr>
      <w:r w:rsidRPr="00272627">
        <w:rPr>
          <w:snapToGrid/>
          <w:szCs w:val="22"/>
          <w:lang w:val="lt-LT"/>
        </w:rPr>
        <w:t xml:space="preserve">Gauta pranešimų apie </w:t>
      </w:r>
      <w:proofErr w:type="spellStart"/>
      <w:r w:rsidRPr="00272627">
        <w:rPr>
          <w:snapToGrid/>
          <w:szCs w:val="22"/>
          <w:lang w:val="lt-LT"/>
        </w:rPr>
        <w:t>miopatijos</w:t>
      </w:r>
      <w:proofErr w:type="spellEnd"/>
      <w:r w:rsidRPr="00272627">
        <w:rPr>
          <w:snapToGrid/>
          <w:szCs w:val="22"/>
          <w:lang w:val="lt-LT"/>
        </w:rPr>
        <w:t xml:space="preserve"> ir (arba) </w:t>
      </w:r>
      <w:proofErr w:type="spellStart"/>
      <w:r w:rsidRPr="00272627">
        <w:rPr>
          <w:snapToGrid/>
          <w:szCs w:val="22"/>
          <w:lang w:val="lt-LT"/>
        </w:rPr>
        <w:t>rabdomiolizės</w:t>
      </w:r>
      <w:proofErr w:type="spellEnd"/>
      <w:r w:rsidRPr="00272627">
        <w:rPr>
          <w:snapToGrid/>
          <w:szCs w:val="22"/>
          <w:lang w:val="lt-LT"/>
        </w:rPr>
        <w:t xml:space="preserve"> atvejus HMG-</w:t>
      </w:r>
      <w:proofErr w:type="spellStart"/>
      <w:r w:rsidRPr="00272627">
        <w:rPr>
          <w:snapToGrid/>
          <w:szCs w:val="22"/>
          <w:lang w:val="lt-LT"/>
        </w:rPr>
        <w:t>KoA</w:t>
      </w:r>
      <w:proofErr w:type="spellEnd"/>
      <w:r>
        <w:rPr>
          <w:snapToGrid/>
          <w:szCs w:val="22"/>
          <w:lang w:val="lt-LT"/>
        </w:rPr>
        <w:t xml:space="preserve"> </w:t>
      </w:r>
      <w:r w:rsidRPr="00272627">
        <w:rPr>
          <w:snapToGrid/>
          <w:szCs w:val="22"/>
          <w:lang w:val="lt-LT"/>
        </w:rPr>
        <w:t xml:space="preserve">reduktazės inhibitorių (pvz., </w:t>
      </w:r>
      <w:proofErr w:type="spellStart"/>
      <w:r w:rsidRPr="00272627">
        <w:rPr>
          <w:snapToGrid/>
          <w:szCs w:val="22"/>
          <w:lang w:val="lt-LT"/>
        </w:rPr>
        <w:t>atorvastatino</w:t>
      </w:r>
      <w:proofErr w:type="spellEnd"/>
      <w:r w:rsidRPr="00272627">
        <w:rPr>
          <w:snapToGrid/>
          <w:szCs w:val="22"/>
          <w:lang w:val="lt-LT"/>
        </w:rPr>
        <w:t xml:space="preserve">) vartojant kartu su </w:t>
      </w:r>
      <w:proofErr w:type="spellStart"/>
      <w:r w:rsidRPr="00272627">
        <w:rPr>
          <w:snapToGrid/>
          <w:szCs w:val="22"/>
          <w:lang w:val="lt-LT"/>
        </w:rPr>
        <w:t>daptociminu</w:t>
      </w:r>
      <w:proofErr w:type="spellEnd"/>
      <w:r w:rsidRPr="00272627">
        <w:rPr>
          <w:snapToGrid/>
          <w:szCs w:val="22"/>
          <w:lang w:val="lt-LT"/>
        </w:rPr>
        <w:t>. Jei negalima</w:t>
      </w:r>
      <w:r>
        <w:rPr>
          <w:snapToGrid/>
          <w:szCs w:val="22"/>
          <w:lang w:val="lt-LT"/>
        </w:rPr>
        <w:t xml:space="preserve"> </w:t>
      </w:r>
      <w:r w:rsidRPr="00272627">
        <w:rPr>
          <w:snapToGrid/>
          <w:szCs w:val="22"/>
          <w:lang w:val="lt-LT"/>
        </w:rPr>
        <w:t>išvengti abiejų vaistinių preparatų vartojimo vienu metu, rekomenduojama taikyti tinkamą</w:t>
      </w:r>
      <w:r>
        <w:rPr>
          <w:snapToGrid/>
          <w:szCs w:val="22"/>
          <w:lang w:val="lt-LT"/>
        </w:rPr>
        <w:t xml:space="preserve"> </w:t>
      </w:r>
      <w:r w:rsidRPr="00272627">
        <w:rPr>
          <w:snapToGrid/>
          <w:szCs w:val="22"/>
          <w:lang w:val="lt-LT"/>
        </w:rPr>
        <w:t xml:space="preserve">klinikinį </w:t>
      </w:r>
      <w:r w:rsidR="00204EAC">
        <w:rPr>
          <w:snapToGrid/>
          <w:szCs w:val="22"/>
          <w:lang w:val="lt-LT"/>
        </w:rPr>
        <w:t xml:space="preserve">paciento </w:t>
      </w:r>
      <w:r w:rsidRPr="00272627">
        <w:rPr>
          <w:snapToGrid/>
          <w:szCs w:val="22"/>
          <w:lang w:val="lt-LT"/>
        </w:rPr>
        <w:t>stebėjimą (žr. 4.4 skyrių).</w:t>
      </w:r>
    </w:p>
    <w:p w14:paraId="77EE7BF6" w14:textId="77777777" w:rsidR="00272627" w:rsidRPr="00923E74" w:rsidRDefault="00272627" w:rsidP="00A31E3A">
      <w:pPr>
        <w:spacing w:line="240" w:lineRule="auto"/>
        <w:rPr>
          <w:snapToGrid/>
          <w:szCs w:val="22"/>
          <w:lang w:val="lt-LT"/>
        </w:rPr>
      </w:pPr>
    </w:p>
    <w:p w14:paraId="0F99B807" w14:textId="77777777" w:rsidR="00373D71" w:rsidRDefault="00F93DE4" w:rsidP="007E15ED">
      <w:pPr>
        <w:keepNext/>
        <w:spacing w:line="240" w:lineRule="auto"/>
        <w:rPr>
          <w:i/>
          <w:snapToGrid/>
          <w:szCs w:val="22"/>
          <w:lang w:val="lt-LT"/>
        </w:rPr>
      </w:pPr>
      <w:proofErr w:type="spellStart"/>
      <w:r w:rsidRPr="00923E74">
        <w:rPr>
          <w:i/>
          <w:snapToGrid/>
          <w:szCs w:val="22"/>
          <w:lang w:val="lt-LT"/>
        </w:rPr>
        <w:t>Boceprevir</w:t>
      </w:r>
      <w:r w:rsidR="004C0197" w:rsidRPr="00923E74">
        <w:rPr>
          <w:i/>
          <w:snapToGrid/>
          <w:szCs w:val="22"/>
          <w:lang w:val="lt-LT"/>
        </w:rPr>
        <w:t>as</w:t>
      </w:r>
      <w:proofErr w:type="spellEnd"/>
    </w:p>
    <w:p w14:paraId="17359BD8" w14:textId="7166D02D" w:rsidR="00F93DE4" w:rsidRDefault="008D2B63" w:rsidP="00A31E3A">
      <w:pPr>
        <w:spacing w:line="240" w:lineRule="auto"/>
        <w:rPr>
          <w:snapToGrid/>
          <w:szCs w:val="22"/>
          <w:lang w:val="lt-LT"/>
        </w:rPr>
      </w:pPr>
      <w:r w:rsidRPr="00923E74">
        <w:rPr>
          <w:snapToGrid/>
          <w:szCs w:val="22"/>
          <w:lang w:val="lt-LT"/>
        </w:rPr>
        <w:t xml:space="preserve">Kartu su </w:t>
      </w:r>
      <w:proofErr w:type="spellStart"/>
      <w:r w:rsidRPr="00923E74">
        <w:rPr>
          <w:snapToGrid/>
          <w:szCs w:val="22"/>
          <w:lang w:val="lt-LT"/>
        </w:rPr>
        <w:t>bocepreviru</w:t>
      </w:r>
      <w:proofErr w:type="spellEnd"/>
      <w:r w:rsidRPr="00923E74">
        <w:rPr>
          <w:snapToGrid/>
          <w:szCs w:val="22"/>
          <w:lang w:val="lt-LT"/>
        </w:rPr>
        <w:t xml:space="preserve"> vartojamo </w:t>
      </w:r>
      <w:proofErr w:type="spellStart"/>
      <w:r w:rsidR="00F93DE4" w:rsidRPr="00923E74">
        <w:rPr>
          <w:snapToGrid/>
          <w:szCs w:val="22"/>
          <w:lang w:val="lt-LT"/>
        </w:rPr>
        <w:t>atorvastatin</w:t>
      </w:r>
      <w:r w:rsidRPr="00923E74">
        <w:rPr>
          <w:snapToGrid/>
          <w:szCs w:val="22"/>
          <w:lang w:val="lt-LT"/>
        </w:rPr>
        <w:t>o</w:t>
      </w:r>
      <w:proofErr w:type="spellEnd"/>
      <w:r w:rsidR="00F93DE4" w:rsidRPr="00923E74">
        <w:rPr>
          <w:snapToGrid/>
          <w:szCs w:val="22"/>
          <w:lang w:val="lt-LT"/>
        </w:rPr>
        <w:t xml:space="preserve"> </w:t>
      </w:r>
      <w:r w:rsidRPr="00923E74">
        <w:rPr>
          <w:snapToGrid/>
          <w:szCs w:val="22"/>
          <w:lang w:val="lt-LT"/>
        </w:rPr>
        <w:t>ekspozicija padidėja</w:t>
      </w:r>
      <w:r w:rsidR="00F93DE4" w:rsidRPr="00923E74">
        <w:rPr>
          <w:snapToGrid/>
          <w:szCs w:val="22"/>
          <w:lang w:val="lt-LT"/>
        </w:rPr>
        <w:t xml:space="preserve">. </w:t>
      </w:r>
      <w:r w:rsidRPr="00923E74">
        <w:rPr>
          <w:snapToGrid/>
          <w:szCs w:val="22"/>
          <w:lang w:val="lt-LT"/>
        </w:rPr>
        <w:t xml:space="preserve">Jei jo būtina vartoti kartu su </w:t>
      </w:r>
      <w:proofErr w:type="spellStart"/>
      <w:r w:rsidRPr="00923E74">
        <w:rPr>
          <w:snapToGrid/>
          <w:szCs w:val="22"/>
          <w:lang w:val="lt-LT"/>
        </w:rPr>
        <w:t>Torzelip</w:t>
      </w:r>
      <w:proofErr w:type="spellEnd"/>
      <w:r w:rsidR="00F93DE4" w:rsidRPr="00923E74">
        <w:rPr>
          <w:snapToGrid/>
          <w:szCs w:val="22"/>
          <w:lang w:val="lt-LT"/>
        </w:rPr>
        <w:t>,</w:t>
      </w:r>
      <w:r w:rsidRPr="00923E74">
        <w:rPr>
          <w:snapToGrid/>
          <w:szCs w:val="22"/>
          <w:lang w:val="lt-LT"/>
        </w:rPr>
        <w:t xml:space="preserve"> būtina </w:t>
      </w:r>
      <w:r w:rsidR="00DB0680" w:rsidRPr="00923E74">
        <w:rPr>
          <w:snapToGrid/>
          <w:szCs w:val="22"/>
          <w:lang w:val="lt-LT"/>
        </w:rPr>
        <w:t xml:space="preserve">apsvarstyti mažiausios galimos </w:t>
      </w:r>
      <w:proofErr w:type="spellStart"/>
      <w:r w:rsidR="00DB0680" w:rsidRPr="00923E74">
        <w:rPr>
          <w:snapToGrid/>
          <w:szCs w:val="22"/>
          <w:lang w:val="lt-LT"/>
        </w:rPr>
        <w:t>Torzelip</w:t>
      </w:r>
      <w:proofErr w:type="spellEnd"/>
      <w:r w:rsidR="00DB0680" w:rsidRPr="00923E74">
        <w:rPr>
          <w:snapToGrid/>
          <w:szCs w:val="22"/>
          <w:lang w:val="lt-LT"/>
        </w:rPr>
        <w:t xml:space="preserve"> dozės vartojimo pradėjimą ir jos didinimą iki reikiamo klinikinio poveikio (stebint saugumą)</w:t>
      </w:r>
      <w:r w:rsidR="00A34F4A" w:rsidRPr="00923E74">
        <w:rPr>
          <w:snapToGrid/>
          <w:szCs w:val="22"/>
          <w:lang w:val="lt-LT"/>
        </w:rPr>
        <w:t>,</w:t>
      </w:r>
      <w:r w:rsidR="00DB0680" w:rsidRPr="00923E74">
        <w:rPr>
          <w:snapToGrid/>
          <w:szCs w:val="22"/>
          <w:lang w:val="lt-LT"/>
        </w:rPr>
        <w:t xml:space="preserve"> paros dozė negali būti didesnė kaip</w:t>
      </w:r>
      <w:r w:rsidR="00F93DE4" w:rsidRPr="00923E74">
        <w:rPr>
          <w:snapToGrid/>
          <w:szCs w:val="22"/>
          <w:lang w:val="lt-LT"/>
        </w:rPr>
        <w:t xml:space="preserve"> 10/20</w:t>
      </w:r>
      <w:r w:rsidR="00DB52C7" w:rsidRPr="00923E74">
        <w:rPr>
          <w:snapToGrid/>
          <w:szCs w:val="22"/>
          <w:lang w:val="lt-LT"/>
        </w:rPr>
        <w:t> mg</w:t>
      </w:r>
      <w:r w:rsidR="00F93DE4" w:rsidRPr="00923E74">
        <w:rPr>
          <w:snapToGrid/>
          <w:szCs w:val="22"/>
          <w:lang w:val="lt-LT"/>
        </w:rPr>
        <w:t xml:space="preserve">. </w:t>
      </w:r>
      <w:proofErr w:type="spellStart"/>
      <w:r w:rsidR="00DB0680" w:rsidRPr="00923E74">
        <w:rPr>
          <w:snapToGrid/>
          <w:szCs w:val="22"/>
          <w:lang w:val="lt-LT"/>
        </w:rPr>
        <w:t>Torzelip</w:t>
      </w:r>
      <w:proofErr w:type="spellEnd"/>
      <w:r w:rsidR="00DB0680" w:rsidRPr="00923E74">
        <w:rPr>
          <w:snapToGrid/>
          <w:szCs w:val="22"/>
          <w:lang w:val="lt-LT"/>
        </w:rPr>
        <w:t xml:space="preserve"> vartojantiems pacientams </w:t>
      </w:r>
      <w:proofErr w:type="spellStart"/>
      <w:r w:rsidR="00DB0680" w:rsidRPr="00923E74">
        <w:rPr>
          <w:snapToGrid/>
          <w:szCs w:val="22"/>
          <w:lang w:val="lt-LT"/>
        </w:rPr>
        <w:t>bocepreviro</w:t>
      </w:r>
      <w:proofErr w:type="spellEnd"/>
      <w:r w:rsidR="00DB0680" w:rsidRPr="00923E74">
        <w:rPr>
          <w:snapToGrid/>
          <w:szCs w:val="22"/>
          <w:lang w:val="lt-LT"/>
        </w:rPr>
        <w:t xml:space="preserve"> vartojimo laikotarpiu </w:t>
      </w:r>
      <w:proofErr w:type="spellStart"/>
      <w:r w:rsidR="00DB0680" w:rsidRPr="00923E74">
        <w:rPr>
          <w:snapToGrid/>
          <w:szCs w:val="22"/>
          <w:lang w:val="lt-LT"/>
        </w:rPr>
        <w:t>Torzelip</w:t>
      </w:r>
      <w:proofErr w:type="spellEnd"/>
      <w:r w:rsidR="00DB0680" w:rsidRPr="00923E74">
        <w:rPr>
          <w:snapToGrid/>
          <w:szCs w:val="22"/>
          <w:lang w:val="lt-LT"/>
        </w:rPr>
        <w:t xml:space="preserve"> paros dozė negali būti didesnė kaip </w:t>
      </w:r>
      <w:r w:rsidR="00F93DE4" w:rsidRPr="00923E74">
        <w:rPr>
          <w:snapToGrid/>
          <w:szCs w:val="22"/>
          <w:lang w:val="lt-LT"/>
        </w:rPr>
        <w:t>10/20</w:t>
      </w:r>
      <w:r w:rsidR="00DB52C7" w:rsidRPr="00923E74">
        <w:rPr>
          <w:snapToGrid/>
          <w:szCs w:val="22"/>
          <w:lang w:val="lt-LT"/>
        </w:rPr>
        <w:t> mg</w:t>
      </w:r>
      <w:r w:rsidR="00F93DE4" w:rsidRPr="00923E74">
        <w:rPr>
          <w:snapToGrid/>
          <w:szCs w:val="22"/>
          <w:lang w:val="lt-LT"/>
        </w:rPr>
        <w:t>.</w:t>
      </w:r>
    </w:p>
    <w:p w14:paraId="7EA862E4" w14:textId="77777777" w:rsidR="00D23078" w:rsidRPr="00923E74" w:rsidRDefault="00D23078" w:rsidP="00A31E3A">
      <w:pPr>
        <w:spacing w:line="240" w:lineRule="auto"/>
        <w:rPr>
          <w:snapToGrid/>
          <w:szCs w:val="22"/>
          <w:lang w:val="lt-LT"/>
        </w:rPr>
      </w:pPr>
    </w:p>
    <w:p w14:paraId="5950160A" w14:textId="104D377A" w:rsidR="00F93DE4" w:rsidRPr="00923E74" w:rsidRDefault="004C0197" w:rsidP="007E15ED">
      <w:pPr>
        <w:keepNext/>
        <w:spacing w:line="240" w:lineRule="auto"/>
        <w:rPr>
          <w:i/>
          <w:snapToGrid/>
          <w:szCs w:val="22"/>
          <w:lang w:val="lt-LT"/>
        </w:rPr>
      </w:pPr>
      <w:proofErr w:type="spellStart"/>
      <w:r w:rsidRPr="00923E74">
        <w:rPr>
          <w:snapToGrid/>
          <w:szCs w:val="22"/>
          <w:u w:val="single"/>
          <w:lang w:val="lt-LT"/>
        </w:rPr>
        <w:t>Torzelip</w:t>
      </w:r>
      <w:proofErr w:type="spellEnd"/>
      <w:r w:rsidRPr="00923E74">
        <w:rPr>
          <w:snapToGrid/>
          <w:szCs w:val="22"/>
          <w:u w:val="single"/>
          <w:lang w:val="lt-LT"/>
        </w:rPr>
        <w:t xml:space="preserve"> poveikis kitų vaistinių preparatų farmakokinetikai</w:t>
      </w:r>
    </w:p>
    <w:p w14:paraId="3A62B1DD" w14:textId="7D55F0CC" w:rsidR="00F93DE4" w:rsidRPr="00923E74" w:rsidRDefault="00F93DE4" w:rsidP="007E15ED">
      <w:pPr>
        <w:keepNext/>
        <w:spacing w:line="240" w:lineRule="auto"/>
        <w:rPr>
          <w:i/>
          <w:snapToGrid/>
          <w:szCs w:val="22"/>
          <w:lang w:val="lt-LT"/>
        </w:rPr>
      </w:pPr>
      <w:proofErr w:type="spellStart"/>
      <w:r w:rsidRPr="007E15ED">
        <w:rPr>
          <w:i/>
          <w:snapToGrid/>
          <w:szCs w:val="22"/>
          <w:u w:val="single"/>
          <w:lang w:val="lt-LT"/>
        </w:rPr>
        <w:t>Ezetimib</w:t>
      </w:r>
      <w:r w:rsidR="004C0197" w:rsidRPr="007E15ED">
        <w:rPr>
          <w:i/>
          <w:snapToGrid/>
          <w:szCs w:val="22"/>
          <w:u w:val="single"/>
          <w:lang w:val="lt-LT"/>
        </w:rPr>
        <w:t>as</w:t>
      </w:r>
      <w:proofErr w:type="spellEnd"/>
    </w:p>
    <w:p w14:paraId="774E38AF" w14:textId="787AF7C0" w:rsidR="00F93DE4" w:rsidRPr="00923E74" w:rsidRDefault="00A100B5" w:rsidP="00A31E3A">
      <w:pPr>
        <w:spacing w:line="240" w:lineRule="auto"/>
        <w:rPr>
          <w:snapToGrid/>
          <w:szCs w:val="22"/>
          <w:lang w:val="lt-LT"/>
        </w:rPr>
      </w:pPr>
      <w:proofErr w:type="spellStart"/>
      <w:r w:rsidRPr="00923E74">
        <w:rPr>
          <w:snapToGrid/>
          <w:szCs w:val="22"/>
          <w:lang w:val="lt-LT"/>
        </w:rPr>
        <w:t>Ikiklinikinių</w:t>
      </w:r>
      <w:proofErr w:type="spellEnd"/>
      <w:r w:rsidRPr="00923E74">
        <w:rPr>
          <w:snapToGrid/>
          <w:szCs w:val="22"/>
          <w:lang w:val="lt-LT"/>
        </w:rPr>
        <w:t xml:space="preserve"> tyri</w:t>
      </w:r>
      <w:r w:rsidR="00A34F4A" w:rsidRPr="00923E74">
        <w:rPr>
          <w:snapToGrid/>
          <w:szCs w:val="22"/>
          <w:lang w:val="lt-LT"/>
        </w:rPr>
        <w:t>m</w:t>
      </w:r>
      <w:r w:rsidRPr="00923E74">
        <w:rPr>
          <w:snapToGrid/>
          <w:szCs w:val="22"/>
          <w:lang w:val="lt-LT"/>
        </w:rPr>
        <w:t xml:space="preserve">ų metu nustatyta, kad </w:t>
      </w:r>
      <w:proofErr w:type="spellStart"/>
      <w:r w:rsidR="00F93DE4" w:rsidRPr="00923E74">
        <w:rPr>
          <w:snapToGrid/>
          <w:szCs w:val="22"/>
          <w:lang w:val="lt-LT"/>
        </w:rPr>
        <w:t>ezetimib</w:t>
      </w:r>
      <w:r w:rsidRPr="00923E74">
        <w:rPr>
          <w:snapToGrid/>
          <w:szCs w:val="22"/>
          <w:lang w:val="lt-LT"/>
        </w:rPr>
        <w:t>as</w:t>
      </w:r>
      <w:proofErr w:type="spellEnd"/>
      <w:r w:rsidR="00F93DE4" w:rsidRPr="00923E74">
        <w:rPr>
          <w:snapToGrid/>
          <w:szCs w:val="22"/>
          <w:lang w:val="lt-LT"/>
        </w:rPr>
        <w:t xml:space="preserve"> </w:t>
      </w:r>
      <w:r w:rsidRPr="00923E74">
        <w:rPr>
          <w:snapToGrid/>
          <w:szCs w:val="22"/>
          <w:lang w:val="lt-LT"/>
        </w:rPr>
        <w:t xml:space="preserve">nesužadina vaistinius preparatus </w:t>
      </w:r>
      <w:proofErr w:type="spellStart"/>
      <w:r w:rsidRPr="00923E74">
        <w:rPr>
          <w:snapToGrid/>
          <w:szCs w:val="22"/>
          <w:lang w:val="lt-LT"/>
        </w:rPr>
        <w:t>metabolizuojančių</w:t>
      </w:r>
      <w:proofErr w:type="spellEnd"/>
      <w:r w:rsidR="00F93DE4" w:rsidRPr="00923E74">
        <w:rPr>
          <w:snapToGrid/>
          <w:szCs w:val="22"/>
          <w:lang w:val="lt-LT"/>
        </w:rPr>
        <w:t xml:space="preserve"> </w:t>
      </w:r>
      <w:proofErr w:type="spellStart"/>
      <w:r w:rsidR="00F93DE4" w:rsidRPr="00923E74">
        <w:rPr>
          <w:snapToGrid/>
          <w:szCs w:val="22"/>
          <w:lang w:val="lt-LT"/>
        </w:rPr>
        <w:t>c</w:t>
      </w:r>
      <w:r w:rsidRPr="00923E74">
        <w:rPr>
          <w:snapToGrid/>
          <w:szCs w:val="22"/>
          <w:lang w:val="lt-LT"/>
        </w:rPr>
        <w:t>i</w:t>
      </w:r>
      <w:r w:rsidR="00F93DE4" w:rsidRPr="00923E74">
        <w:rPr>
          <w:snapToGrid/>
          <w:szCs w:val="22"/>
          <w:lang w:val="lt-LT"/>
        </w:rPr>
        <w:t>tochrom</w:t>
      </w:r>
      <w:r w:rsidRPr="00923E74">
        <w:rPr>
          <w:snapToGrid/>
          <w:szCs w:val="22"/>
          <w:lang w:val="lt-LT"/>
        </w:rPr>
        <w:t>o</w:t>
      </w:r>
      <w:proofErr w:type="spellEnd"/>
      <w:r w:rsidR="00373D71">
        <w:rPr>
          <w:snapToGrid/>
          <w:szCs w:val="22"/>
          <w:lang w:val="lt-LT"/>
        </w:rPr>
        <w:t> </w:t>
      </w:r>
      <w:r w:rsidR="00F93DE4" w:rsidRPr="00923E74">
        <w:rPr>
          <w:snapToGrid/>
          <w:szCs w:val="22"/>
          <w:lang w:val="lt-LT"/>
        </w:rPr>
        <w:t xml:space="preserve">P450 </w:t>
      </w:r>
      <w:r w:rsidRPr="00923E74">
        <w:rPr>
          <w:snapToGrid/>
          <w:szCs w:val="22"/>
          <w:lang w:val="lt-LT"/>
        </w:rPr>
        <w:t>fermentų</w:t>
      </w:r>
      <w:r w:rsidR="00F93DE4" w:rsidRPr="00923E74">
        <w:rPr>
          <w:snapToGrid/>
          <w:szCs w:val="22"/>
          <w:lang w:val="lt-LT"/>
        </w:rPr>
        <w:t xml:space="preserve">. </w:t>
      </w:r>
      <w:r w:rsidR="00E505E6" w:rsidRPr="00923E74">
        <w:rPr>
          <w:snapToGrid/>
          <w:szCs w:val="22"/>
          <w:lang w:val="lt-LT"/>
        </w:rPr>
        <w:t xml:space="preserve">Kliniškai reikšmingos </w:t>
      </w:r>
      <w:proofErr w:type="spellStart"/>
      <w:r w:rsidR="00E505E6" w:rsidRPr="00923E74">
        <w:rPr>
          <w:snapToGrid/>
          <w:szCs w:val="22"/>
          <w:lang w:val="lt-LT"/>
        </w:rPr>
        <w:t>farmakokinetinės</w:t>
      </w:r>
      <w:proofErr w:type="spellEnd"/>
      <w:r w:rsidR="00E505E6" w:rsidRPr="00923E74">
        <w:rPr>
          <w:snapToGrid/>
          <w:szCs w:val="22"/>
          <w:lang w:val="lt-LT"/>
        </w:rPr>
        <w:t xml:space="preserve"> </w:t>
      </w:r>
      <w:proofErr w:type="spellStart"/>
      <w:r w:rsidR="00E505E6" w:rsidRPr="00923E74">
        <w:rPr>
          <w:snapToGrid/>
          <w:szCs w:val="22"/>
          <w:lang w:val="lt-LT"/>
        </w:rPr>
        <w:t>ezetimibo</w:t>
      </w:r>
      <w:proofErr w:type="spellEnd"/>
      <w:r w:rsidR="00E505E6" w:rsidRPr="00923E74">
        <w:rPr>
          <w:snapToGrid/>
          <w:szCs w:val="22"/>
          <w:lang w:val="lt-LT"/>
        </w:rPr>
        <w:t xml:space="preserve"> ir </w:t>
      </w:r>
      <w:proofErr w:type="spellStart"/>
      <w:r w:rsidR="00E505E6" w:rsidRPr="00923E74">
        <w:rPr>
          <w:snapToGrid/>
          <w:szCs w:val="22"/>
          <w:lang w:val="lt-LT"/>
        </w:rPr>
        <w:t>citochromų</w:t>
      </w:r>
      <w:proofErr w:type="spellEnd"/>
      <w:r w:rsidR="00373D71">
        <w:rPr>
          <w:snapToGrid/>
          <w:szCs w:val="22"/>
          <w:lang w:val="lt-LT"/>
        </w:rPr>
        <w:t> </w:t>
      </w:r>
      <w:r w:rsidR="00F93DE4" w:rsidRPr="00923E74">
        <w:rPr>
          <w:snapToGrid/>
          <w:szCs w:val="22"/>
          <w:lang w:val="lt-LT"/>
        </w:rPr>
        <w:t>P450</w:t>
      </w:r>
      <w:r w:rsidR="00373D71">
        <w:rPr>
          <w:snapToGrid/>
          <w:szCs w:val="22"/>
          <w:lang w:val="lt-LT"/>
        </w:rPr>
        <w:t> </w:t>
      </w:r>
      <w:r w:rsidR="00F93DE4" w:rsidRPr="00923E74">
        <w:rPr>
          <w:snapToGrid/>
          <w:szCs w:val="22"/>
          <w:lang w:val="lt-LT"/>
        </w:rPr>
        <w:t xml:space="preserve">1A2, 2D6, 2C8, 2C9 </w:t>
      </w:r>
      <w:r w:rsidR="00E505E6" w:rsidRPr="00923E74">
        <w:rPr>
          <w:snapToGrid/>
          <w:szCs w:val="22"/>
          <w:lang w:val="lt-LT"/>
        </w:rPr>
        <w:t>bei</w:t>
      </w:r>
      <w:r w:rsidR="00F93DE4" w:rsidRPr="00923E74">
        <w:rPr>
          <w:snapToGrid/>
          <w:szCs w:val="22"/>
          <w:lang w:val="lt-LT"/>
        </w:rPr>
        <w:t xml:space="preserve"> 3A4</w:t>
      </w:r>
      <w:r w:rsidR="00E505E6" w:rsidRPr="00923E74">
        <w:rPr>
          <w:snapToGrid/>
          <w:szCs w:val="22"/>
          <w:lang w:val="lt-LT"/>
        </w:rPr>
        <w:t xml:space="preserve"> a</w:t>
      </w:r>
      <w:r w:rsidR="00F93DE4" w:rsidRPr="00923E74">
        <w:rPr>
          <w:snapToGrid/>
          <w:szCs w:val="22"/>
          <w:lang w:val="lt-LT"/>
        </w:rPr>
        <w:t>r N</w:t>
      </w:r>
      <w:r w:rsidR="00373D71">
        <w:rPr>
          <w:snapToGrid/>
          <w:szCs w:val="22"/>
          <w:lang w:val="lt-LT"/>
        </w:rPr>
        <w:noBreakHyphen/>
      </w:r>
      <w:proofErr w:type="spellStart"/>
      <w:r w:rsidR="00F93DE4" w:rsidRPr="00923E74">
        <w:rPr>
          <w:snapToGrid/>
          <w:szCs w:val="22"/>
          <w:lang w:val="lt-LT"/>
        </w:rPr>
        <w:t>acet</w:t>
      </w:r>
      <w:r w:rsidR="00E505E6" w:rsidRPr="00923E74">
        <w:rPr>
          <w:snapToGrid/>
          <w:szCs w:val="22"/>
          <w:lang w:val="lt-LT"/>
        </w:rPr>
        <w:t>i</w:t>
      </w:r>
      <w:r w:rsidR="00F93DE4" w:rsidRPr="00923E74">
        <w:rPr>
          <w:snapToGrid/>
          <w:szCs w:val="22"/>
          <w:lang w:val="lt-LT"/>
        </w:rPr>
        <w:t>ltransfera</w:t>
      </w:r>
      <w:r w:rsidR="00E505E6" w:rsidRPr="00923E74">
        <w:rPr>
          <w:snapToGrid/>
          <w:szCs w:val="22"/>
          <w:lang w:val="lt-LT"/>
        </w:rPr>
        <w:t>zės</w:t>
      </w:r>
      <w:proofErr w:type="spellEnd"/>
      <w:r w:rsidR="00C767F7">
        <w:rPr>
          <w:snapToGrid/>
          <w:szCs w:val="22"/>
          <w:lang w:val="lt-LT"/>
        </w:rPr>
        <w:t xml:space="preserve"> </w:t>
      </w:r>
      <w:proofErr w:type="spellStart"/>
      <w:r w:rsidR="00C767F7">
        <w:rPr>
          <w:snapToGrid/>
          <w:szCs w:val="22"/>
          <w:lang w:val="lt-LT"/>
        </w:rPr>
        <w:t>metabolizuojamų</w:t>
      </w:r>
      <w:proofErr w:type="spellEnd"/>
      <w:r w:rsidR="00C767F7">
        <w:rPr>
          <w:snapToGrid/>
          <w:szCs w:val="22"/>
          <w:lang w:val="lt-LT"/>
        </w:rPr>
        <w:t xml:space="preserve"> vaistinių preparatų</w:t>
      </w:r>
      <w:r w:rsidR="00E505E6" w:rsidRPr="00923E74">
        <w:rPr>
          <w:snapToGrid/>
          <w:szCs w:val="22"/>
          <w:lang w:val="lt-LT"/>
        </w:rPr>
        <w:t xml:space="preserve"> sąveikos nepasireiškė.</w:t>
      </w:r>
    </w:p>
    <w:p w14:paraId="0EE183C5" w14:textId="77777777" w:rsidR="00722687" w:rsidRPr="00923E74" w:rsidRDefault="00E505E6" w:rsidP="00A31E3A">
      <w:pPr>
        <w:spacing w:line="240" w:lineRule="auto"/>
        <w:rPr>
          <w:snapToGrid/>
          <w:szCs w:val="22"/>
          <w:lang w:val="lt-LT"/>
        </w:rPr>
      </w:pPr>
      <w:r w:rsidRPr="00923E74">
        <w:rPr>
          <w:snapToGrid/>
          <w:szCs w:val="22"/>
          <w:lang w:val="lt-LT"/>
        </w:rPr>
        <w:t xml:space="preserve">Klinikinių sąveikos tyrimų metu </w:t>
      </w:r>
      <w:proofErr w:type="spellStart"/>
      <w:r w:rsidRPr="00923E74">
        <w:rPr>
          <w:snapToGrid/>
          <w:szCs w:val="22"/>
          <w:lang w:val="lt-LT"/>
        </w:rPr>
        <w:t>ezetimibas</w:t>
      </w:r>
      <w:proofErr w:type="spellEnd"/>
      <w:r w:rsidRPr="00923E74">
        <w:rPr>
          <w:snapToGrid/>
          <w:szCs w:val="22"/>
          <w:lang w:val="lt-LT"/>
        </w:rPr>
        <w:t xml:space="preserve"> neveikė kartu vartojamų </w:t>
      </w:r>
      <w:proofErr w:type="spellStart"/>
      <w:r w:rsidRPr="00923E74">
        <w:rPr>
          <w:snapToGrid/>
          <w:szCs w:val="22"/>
          <w:lang w:val="lt-LT"/>
        </w:rPr>
        <w:t>dapsono</w:t>
      </w:r>
      <w:proofErr w:type="spellEnd"/>
      <w:r w:rsidRPr="00923E74">
        <w:rPr>
          <w:snapToGrid/>
          <w:szCs w:val="22"/>
          <w:lang w:val="lt-LT"/>
        </w:rPr>
        <w:t xml:space="preserve">, </w:t>
      </w:r>
      <w:proofErr w:type="spellStart"/>
      <w:r w:rsidRPr="00923E74">
        <w:rPr>
          <w:snapToGrid/>
          <w:szCs w:val="22"/>
          <w:lang w:val="lt-LT"/>
        </w:rPr>
        <w:t>dekstrometorfano</w:t>
      </w:r>
      <w:proofErr w:type="spellEnd"/>
      <w:r w:rsidRPr="00923E74">
        <w:rPr>
          <w:snapToGrid/>
          <w:szCs w:val="22"/>
          <w:lang w:val="lt-LT"/>
        </w:rPr>
        <w:t xml:space="preserve">, </w:t>
      </w:r>
      <w:proofErr w:type="spellStart"/>
      <w:r w:rsidRPr="00923E74">
        <w:rPr>
          <w:snapToGrid/>
          <w:szCs w:val="22"/>
          <w:lang w:val="lt-LT"/>
        </w:rPr>
        <w:t>digoksino</w:t>
      </w:r>
      <w:proofErr w:type="spellEnd"/>
      <w:r w:rsidRPr="00923E74">
        <w:rPr>
          <w:snapToGrid/>
          <w:szCs w:val="22"/>
          <w:lang w:val="lt-LT"/>
        </w:rPr>
        <w:t>, geriamųjų kontraceptikų (</w:t>
      </w:r>
      <w:proofErr w:type="spellStart"/>
      <w:r w:rsidRPr="00923E74">
        <w:rPr>
          <w:snapToGrid/>
          <w:szCs w:val="22"/>
          <w:lang w:val="lt-LT"/>
        </w:rPr>
        <w:t>etinilestradiolio</w:t>
      </w:r>
      <w:proofErr w:type="spellEnd"/>
      <w:r w:rsidRPr="00923E74">
        <w:rPr>
          <w:snapToGrid/>
          <w:szCs w:val="22"/>
          <w:lang w:val="lt-LT"/>
        </w:rPr>
        <w:t xml:space="preserve"> ir </w:t>
      </w:r>
      <w:proofErr w:type="spellStart"/>
      <w:r w:rsidRPr="00923E74">
        <w:rPr>
          <w:snapToGrid/>
          <w:szCs w:val="22"/>
          <w:lang w:val="lt-LT"/>
        </w:rPr>
        <w:t>levonorgestrelio</w:t>
      </w:r>
      <w:proofErr w:type="spellEnd"/>
      <w:r w:rsidRPr="00923E74">
        <w:rPr>
          <w:snapToGrid/>
          <w:szCs w:val="22"/>
          <w:lang w:val="lt-LT"/>
        </w:rPr>
        <w:t xml:space="preserve">), </w:t>
      </w:r>
      <w:proofErr w:type="spellStart"/>
      <w:r w:rsidRPr="00923E74">
        <w:rPr>
          <w:snapToGrid/>
          <w:szCs w:val="22"/>
          <w:lang w:val="lt-LT"/>
        </w:rPr>
        <w:t>glipizido</w:t>
      </w:r>
      <w:proofErr w:type="spellEnd"/>
      <w:r w:rsidRPr="00923E74">
        <w:rPr>
          <w:snapToGrid/>
          <w:szCs w:val="22"/>
          <w:lang w:val="lt-LT"/>
        </w:rPr>
        <w:t xml:space="preserve">, </w:t>
      </w:r>
      <w:proofErr w:type="spellStart"/>
      <w:r w:rsidRPr="00923E74">
        <w:rPr>
          <w:snapToGrid/>
          <w:szCs w:val="22"/>
          <w:lang w:val="lt-LT"/>
        </w:rPr>
        <w:t>tolbutamido</w:t>
      </w:r>
      <w:proofErr w:type="spellEnd"/>
      <w:r w:rsidRPr="00923E74">
        <w:rPr>
          <w:snapToGrid/>
          <w:szCs w:val="22"/>
          <w:lang w:val="lt-LT"/>
        </w:rPr>
        <w:t xml:space="preserve"> ar </w:t>
      </w:r>
      <w:proofErr w:type="spellStart"/>
      <w:r w:rsidRPr="00923E74">
        <w:rPr>
          <w:snapToGrid/>
          <w:szCs w:val="22"/>
          <w:lang w:val="lt-LT"/>
        </w:rPr>
        <w:t>midazolamo</w:t>
      </w:r>
      <w:proofErr w:type="spellEnd"/>
      <w:r w:rsidRPr="00923E74">
        <w:rPr>
          <w:snapToGrid/>
          <w:szCs w:val="22"/>
          <w:lang w:val="lt-LT"/>
        </w:rPr>
        <w:t xml:space="preserve"> farmakokinetikos. </w:t>
      </w:r>
      <w:proofErr w:type="spellStart"/>
      <w:r w:rsidRPr="00923E74">
        <w:rPr>
          <w:snapToGrid/>
          <w:szCs w:val="22"/>
          <w:lang w:val="lt-LT"/>
        </w:rPr>
        <w:t>Cimetidinas</w:t>
      </w:r>
      <w:proofErr w:type="spellEnd"/>
      <w:r w:rsidR="00722687" w:rsidRPr="00923E74">
        <w:rPr>
          <w:snapToGrid/>
          <w:szCs w:val="22"/>
          <w:lang w:val="lt-LT"/>
        </w:rPr>
        <w:t xml:space="preserve"> neturėjo įtakos kartu vartojamo </w:t>
      </w:r>
      <w:proofErr w:type="spellStart"/>
      <w:r w:rsidRPr="00923E74">
        <w:rPr>
          <w:snapToGrid/>
          <w:szCs w:val="22"/>
          <w:lang w:val="lt-LT"/>
        </w:rPr>
        <w:t>ezetimib</w:t>
      </w:r>
      <w:r w:rsidR="00722687" w:rsidRPr="00923E74">
        <w:rPr>
          <w:snapToGrid/>
          <w:szCs w:val="22"/>
          <w:lang w:val="lt-LT"/>
        </w:rPr>
        <w:t>o</w:t>
      </w:r>
      <w:proofErr w:type="spellEnd"/>
      <w:r w:rsidRPr="00923E74">
        <w:rPr>
          <w:snapToGrid/>
          <w:szCs w:val="22"/>
          <w:lang w:val="lt-LT"/>
        </w:rPr>
        <w:t xml:space="preserve"> biologini</w:t>
      </w:r>
      <w:r w:rsidR="00722687" w:rsidRPr="00923E74">
        <w:rPr>
          <w:snapToGrid/>
          <w:szCs w:val="22"/>
          <w:lang w:val="lt-LT"/>
        </w:rPr>
        <w:t>am prieinamumui.</w:t>
      </w:r>
    </w:p>
    <w:p w14:paraId="7C88C925" w14:textId="77777777" w:rsidR="00F93DE4" w:rsidRPr="00923E74" w:rsidRDefault="00F93DE4" w:rsidP="00A31E3A">
      <w:pPr>
        <w:spacing w:line="240" w:lineRule="auto"/>
        <w:rPr>
          <w:snapToGrid/>
          <w:szCs w:val="22"/>
          <w:lang w:val="lt-LT"/>
        </w:rPr>
      </w:pPr>
    </w:p>
    <w:p w14:paraId="26999391" w14:textId="77777777" w:rsidR="00373D71" w:rsidRDefault="008771F4" w:rsidP="007E15ED">
      <w:pPr>
        <w:keepNext/>
        <w:spacing w:line="240" w:lineRule="auto"/>
        <w:rPr>
          <w:i/>
          <w:snapToGrid/>
          <w:szCs w:val="22"/>
          <w:lang w:val="lt-LT"/>
        </w:rPr>
      </w:pPr>
      <w:r w:rsidRPr="00923E74">
        <w:rPr>
          <w:i/>
          <w:snapToGrid/>
          <w:szCs w:val="22"/>
          <w:lang w:val="lt-LT"/>
        </w:rPr>
        <w:t>Antikoaguliantai</w:t>
      </w:r>
    </w:p>
    <w:p w14:paraId="6CBEF6B8" w14:textId="5B1AD3FD" w:rsidR="00F93DE4" w:rsidRPr="00923E74" w:rsidRDefault="00E53256" w:rsidP="00A31E3A">
      <w:pPr>
        <w:spacing w:line="240" w:lineRule="auto"/>
        <w:rPr>
          <w:snapToGrid/>
          <w:szCs w:val="22"/>
          <w:lang w:val="lt-LT"/>
        </w:rPr>
      </w:pPr>
      <w:r w:rsidRPr="00923E74">
        <w:rPr>
          <w:snapToGrid/>
          <w:szCs w:val="22"/>
          <w:lang w:val="lt-LT"/>
        </w:rPr>
        <w:t xml:space="preserve">Tyrimo, kuriame dalyvavo dvylika sveikų suaugusių vyrų, metu </w:t>
      </w:r>
      <w:proofErr w:type="spellStart"/>
      <w:r w:rsidRPr="00923E74">
        <w:rPr>
          <w:snapToGrid/>
          <w:szCs w:val="22"/>
          <w:lang w:val="lt-LT"/>
        </w:rPr>
        <w:t>ezetimibas</w:t>
      </w:r>
      <w:proofErr w:type="spellEnd"/>
      <w:r w:rsidRPr="00923E74">
        <w:rPr>
          <w:snapToGrid/>
          <w:szCs w:val="22"/>
          <w:lang w:val="lt-LT"/>
        </w:rPr>
        <w:t xml:space="preserve"> (10</w:t>
      </w:r>
      <w:r w:rsidR="00DB52C7" w:rsidRPr="00923E74">
        <w:rPr>
          <w:snapToGrid/>
          <w:szCs w:val="22"/>
          <w:lang w:val="lt-LT"/>
        </w:rPr>
        <w:t> mg</w:t>
      </w:r>
      <w:r w:rsidRPr="00923E74">
        <w:rPr>
          <w:snapToGrid/>
          <w:szCs w:val="22"/>
          <w:lang w:val="lt-LT"/>
        </w:rPr>
        <w:t xml:space="preserve"> dozė, vartota kartą per</w:t>
      </w:r>
      <w:r w:rsidR="00373D71">
        <w:rPr>
          <w:snapToGrid/>
          <w:szCs w:val="22"/>
          <w:lang w:val="lt-LT"/>
        </w:rPr>
        <w:t> </w:t>
      </w:r>
      <w:r w:rsidRPr="00923E74">
        <w:rPr>
          <w:snapToGrid/>
          <w:szCs w:val="22"/>
          <w:lang w:val="lt-LT"/>
        </w:rPr>
        <w:t xml:space="preserve">parą) kartu vartojamo varfarino biologinio prieinamumo ir </w:t>
      </w:r>
      <w:proofErr w:type="spellStart"/>
      <w:r w:rsidRPr="00923E74">
        <w:rPr>
          <w:snapToGrid/>
          <w:szCs w:val="22"/>
          <w:lang w:val="lt-LT"/>
        </w:rPr>
        <w:t>protrombino</w:t>
      </w:r>
      <w:proofErr w:type="spellEnd"/>
      <w:r w:rsidRPr="00923E74">
        <w:rPr>
          <w:snapToGrid/>
          <w:szCs w:val="22"/>
          <w:lang w:val="lt-LT"/>
        </w:rPr>
        <w:t xml:space="preserve"> laiko reikšmingai neveikė. Vis dėlto po vaistinio preparato pateikimo į rinką gauta pranešimų apie padidėjusį tarptautinį normalizuotą santykį (TNS) pacientams, vartojusiems </w:t>
      </w:r>
      <w:proofErr w:type="spellStart"/>
      <w:r w:rsidRPr="00923E74">
        <w:rPr>
          <w:snapToGrid/>
          <w:szCs w:val="22"/>
          <w:lang w:val="lt-LT"/>
        </w:rPr>
        <w:t>ezetimibo</w:t>
      </w:r>
      <w:proofErr w:type="spellEnd"/>
      <w:r w:rsidRPr="00923E74">
        <w:rPr>
          <w:snapToGrid/>
          <w:szCs w:val="22"/>
          <w:lang w:val="lt-LT"/>
        </w:rPr>
        <w:t xml:space="preserve"> kartu su varfarinu ar </w:t>
      </w:r>
      <w:proofErr w:type="spellStart"/>
      <w:r w:rsidRPr="00923E74">
        <w:rPr>
          <w:snapToGrid/>
          <w:szCs w:val="22"/>
          <w:lang w:val="lt-LT"/>
        </w:rPr>
        <w:t>fluindionu</w:t>
      </w:r>
      <w:proofErr w:type="spellEnd"/>
      <w:r w:rsidRPr="00923E74">
        <w:rPr>
          <w:snapToGrid/>
          <w:szCs w:val="22"/>
          <w:lang w:val="lt-LT"/>
        </w:rPr>
        <w:t xml:space="preserve">. Jei </w:t>
      </w:r>
      <w:proofErr w:type="spellStart"/>
      <w:r w:rsidRPr="00923E74">
        <w:rPr>
          <w:snapToGrid/>
          <w:szCs w:val="22"/>
          <w:lang w:val="lt-LT"/>
        </w:rPr>
        <w:t>Torzelip</w:t>
      </w:r>
      <w:proofErr w:type="spellEnd"/>
      <w:r w:rsidRPr="00923E74">
        <w:rPr>
          <w:snapToGrid/>
          <w:szCs w:val="22"/>
          <w:lang w:val="lt-LT"/>
        </w:rPr>
        <w:t xml:space="preserve"> </w:t>
      </w:r>
      <w:r w:rsidR="008162CA" w:rsidRPr="00923E74">
        <w:rPr>
          <w:snapToGrid/>
          <w:szCs w:val="22"/>
          <w:lang w:val="lt-LT"/>
        </w:rPr>
        <w:t>skiriamas</w:t>
      </w:r>
      <w:r w:rsidRPr="00923E74">
        <w:rPr>
          <w:snapToGrid/>
          <w:szCs w:val="22"/>
          <w:lang w:val="lt-LT"/>
        </w:rPr>
        <w:t xml:space="preserve"> varfarinu, kitu kumarino grupės antikoaguliantu ar </w:t>
      </w:r>
      <w:proofErr w:type="spellStart"/>
      <w:r w:rsidRPr="00923E74">
        <w:rPr>
          <w:snapToGrid/>
          <w:szCs w:val="22"/>
          <w:lang w:val="lt-LT"/>
        </w:rPr>
        <w:t>fluindionu</w:t>
      </w:r>
      <w:proofErr w:type="spellEnd"/>
      <w:r w:rsidR="008162CA" w:rsidRPr="00923E74">
        <w:rPr>
          <w:snapToGrid/>
          <w:szCs w:val="22"/>
          <w:lang w:val="lt-LT"/>
        </w:rPr>
        <w:t xml:space="preserve"> gydomam pacientui</w:t>
      </w:r>
      <w:r w:rsidRPr="00923E74">
        <w:rPr>
          <w:snapToGrid/>
          <w:szCs w:val="22"/>
          <w:lang w:val="lt-LT"/>
        </w:rPr>
        <w:t>, reikia tinkamai stebėti TNS (žr.</w:t>
      </w:r>
      <w:r w:rsidR="00373D71">
        <w:rPr>
          <w:snapToGrid/>
          <w:szCs w:val="22"/>
          <w:lang w:val="lt-LT"/>
        </w:rPr>
        <w:t> </w:t>
      </w:r>
      <w:r w:rsidRPr="00923E74">
        <w:rPr>
          <w:snapToGrid/>
          <w:szCs w:val="22"/>
          <w:lang w:val="lt-LT"/>
        </w:rPr>
        <w:t>4.4</w:t>
      </w:r>
      <w:r w:rsidR="00375648">
        <w:rPr>
          <w:snapToGrid/>
          <w:szCs w:val="22"/>
          <w:lang w:val="lt-LT"/>
        </w:rPr>
        <w:t> </w:t>
      </w:r>
      <w:r w:rsidRPr="00923E74">
        <w:rPr>
          <w:snapToGrid/>
          <w:szCs w:val="22"/>
          <w:lang w:val="lt-LT"/>
        </w:rPr>
        <w:t>skyrių).</w:t>
      </w:r>
    </w:p>
    <w:p w14:paraId="750BD0E6" w14:textId="77777777" w:rsidR="00F93DE4" w:rsidRPr="00923E74" w:rsidRDefault="00F93DE4" w:rsidP="00A31E3A">
      <w:pPr>
        <w:spacing w:line="240" w:lineRule="auto"/>
        <w:rPr>
          <w:snapToGrid/>
          <w:szCs w:val="22"/>
          <w:lang w:val="lt-LT"/>
        </w:rPr>
      </w:pPr>
    </w:p>
    <w:p w14:paraId="5524F804" w14:textId="2F4373D1" w:rsidR="00F93DE4" w:rsidRPr="00923E74" w:rsidRDefault="00F93DE4" w:rsidP="007E15ED">
      <w:pPr>
        <w:keepNext/>
        <w:spacing w:line="240" w:lineRule="auto"/>
        <w:rPr>
          <w:i/>
          <w:snapToGrid/>
          <w:szCs w:val="22"/>
          <w:lang w:val="lt-LT"/>
        </w:rPr>
      </w:pPr>
      <w:proofErr w:type="spellStart"/>
      <w:r w:rsidRPr="007E15ED">
        <w:rPr>
          <w:i/>
          <w:snapToGrid/>
          <w:szCs w:val="22"/>
          <w:u w:val="single"/>
          <w:lang w:val="lt-LT"/>
        </w:rPr>
        <w:lastRenderedPageBreak/>
        <w:t>Atorvastatin</w:t>
      </w:r>
      <w:r w:rsidR="008771F4" w:rsidRPr="007E15ED">
        <w:rPr>
          <w:i/>
          <w:snapToGrid/>
          <w:szCs w:val="22"/>
          <w:u w:val="single"/>
          <w:lang w:val="lt-LT"/>
        </w:rPr>
        <w:t>as</w:t>
      </w:r>
      <w:proofErr w:type="spellEnd"/>
    </w:p>
    <w:p w14:paraId="064B9D81" w14:textId="77777777" w:rsidR="00373D71" w:rsidRDefault="002B23B0" w:rsidP="007E15ED">
      <w:pPr>
        <w:keepNext/>
        <w:widowControl w:val="0"/>
        <w:autoSpaceDE w:val="0"/>
        <w:autoSpaceDN w:val="0"/>
        <w:adjustRightInd w:val="0"/>
        <w:spacing w:line="240" w:lineRule="auto"/>
        <w:rPr>
          <w:i/>
          <w:szCs w:val="22"/>
          <w:lang w:val="lt-LT"/>
        </w:rPr>
      </w:pPr>
      <w:proofErr w:type="spellStart"/>
      <w:r w:rsidRPr="00923E74">
        <w:rPr>
          <w:i/>
          <w:szCs w:val="22"/>
          <w:lang w:val="lt-LT"/>
        </w:rPr>
        <w:t>Digoksinas</w:t>
      </w:r>
      <w:proofErr w:type="spellEnd"/>
    </w:p>
    <w:p w14:paraId="1DE60E7F" w14:textId="3C1B2A65" w:rsidR="002B23B0" w:rsidRPr="00923E74" w:rsidRDefault="002B23B0" w:rsidP="00A31E3A">
      <w:pPr>
        <w:widowControl w:val="0"/>
        <w:autoSpaceDE w:val="0"/>
        <w:autoSpaceDN w:val="0"/>
        <w:adjustRightInd w:val="0"/>
        <w:spacing w:line="240" w:lineRule="auto"/>
        <w:rPr>
          <w:szCs w:val="22"/>
          <w:lang w:val="lt-LT"/>
        </w:rPr>
      </w:pPr>
      <w:r w:rsidRPr="00923E74">
        <w:rPr>
          <w:szCs w:val="22"/>
          <w:lang w:val="lt-LT"/>
        </w:rPr>
        <w:t xml:space="preserve">Kartotines </w:t>
      </w:r>
      <w:proofErr w:type="spellStart"/>
      <w:r w:rsidRPr="00923E74">
        <w:rPr>
          <w:szCs w:val="22"/>
          <w:lang w:val="lt-LT"/>
        </w:rPr>
        <w:t>digoksino</w:t>
      </w:r>
      <w:proofErr w:type="spellEnd"/>
      <w:r w:rsidRPr="00923E74">
        <w:rPr>
          <w:szCs w:val="22"/>
          <w:lang w:val="lt-LT"/>
        </w:rPr>
        <w:t xml:space="preserve"> dozes pavartojus kartu su 10</w:t>
      </w:r>
      <w:r w:rsidR="00DB52C7" w:rsidRPr="00923E74">
        <w:rPr>
          <w:szCs w:val="22"/>
          <w:lang w:val="lt-LT"/>
        </w:rPr>
        <w:t> mg</w:t>
      </w:r>
      <w:r w:rsidRPr="00923E74">
        <w:rPr>
          <w:szCs w:val="22"/>
          <w:lang w:val="lt-LT"/>
        </w:rPr>
        <w:t xml:space="preserve"> </w:t>
      </w:r>
      <w:proofErr w:type="spellStart"/>
      <w:r w:rsidRPr="00923E74">
        <w:rPr>
          <w:szCs w:val="22"/>
          <w:lang w:val="lt-LT"/>
        </w:rPr>
        <w:t>atorvastatino</w:t>
      </w:r>
      <w:proofErr w:type="spellEnd"/>
      <w:r w:rsidRPr="00923E74">
        <w:rPr>
          <w:szCs w:val="22"/>
          <w:lang w:val="lt-LT"/>
        </w:rPr>
        <w:t xml:space="preserve"> doze, </w:t>
      </w:r>
      <w:proofErr w:type="spellStart"/>
      <w:r w:rsidRPr="00923E74">
        <w:rPr>
          <w:szCs w:val="22"/>
          <w:lang w:val="lt-LT"/>
        </w:rPr>
        <w:t>digoksino</w:t>
      </w:r>
      <w:proofErr w:type="spellEnd"/>
      <w:r w:rsidRPr="00923E74">
        <w:rPr>
          <w:szCs w:val="22"/>
          <w:lang w:val="lt-LT"/>
        </w:rPr>
        <w:t xml:space="preserve"> pusiausvyros </w:t>
      </w:r>
      <w:r w:rsidR="008162CA" w:rsidRPr="00923E74">
        <w:rPr>
          <w:szCs w:val="22"/>
          <w:lang w:val="lt-LT"/>
        </w:rPr>
        <w:t xml:space="preserve">apykaitos </w:t>
      </w:r>
      <w:r w:rsidRPr="00923E74">
        <w:rPr>
          <w:szCs w:val="22"/>
          <w:lang w:val="lt-LT"/>
        </w:rPr>
        <w:t xml:space="preserve">koncentracija šiek tiek padidėjo. </w:t>
      </w:r>
      <w:proofErr w:type="spellStart"/>
      <w:r w:rsidRPr="00923E74">
        <w:rPr>
          <w:szCs w:val="22"/>
          <w:lang w:val="lt-LT"/>
        </w:rPr>
        <w:t>Digoksino</w:t>
      </w:r>
      <w:proofErr w:type="spellEnd"/>
      <w:r w:rsidRPr="00923E74">
        <w:rPr>
          <w:szCs w:val="22"/>
          <w:lang w:val="lt-LT"/>
        </w:rPr>
        <w:t xml:space="preserve"> vartojančius pacientus būtina </w:t>
      </w:r>
      <w:r w:rsidR="008162CA" w:rsidRPr="00923E74">
        <w:rPr>
          <w:szCs w:val="22"/>
          <w:lang w:val="lt-LT"/>
        </w:rPr>
        <w:t>tinkamai</w:t>
      </w:r>
      <w:r w:rsidRPr="00923E74">
        <w:rPr>
          <w:szCs w:val="22"/>
          <w:lang w:val="lt-LT"/>
        </w:rPr>
        <w:t xml:space="preserve"> stebėti.</w:t>
      </w:r>
    </w:p>
    <w:p w14:paraId="1DC6CD32" w14:textId="77777777" w:rsidR="002B23B0" w:rsidRPr="00923E74" w:rsidRDefault="002B23B0" w:rsidP="00A31E3A">
      <w:pPr>
        <w:widowControl w:val="0"/>
        <w:autoSpaceDE w:val="0"/>
        <w:autoSpaceDN w:val="0"/>
        <w:adjustRightInd w:val="0"/>
        <w:spacing w:line="240" w:lineRule="auto"/>
        <w:rPr>
          <w:szCs w:val="22"/>
          <w:lang w:val="lt-LT"/>
        </w:rPr>
      </w:pPr>
    </w:p>
    <w:p w14:paraId="6EBAAD56" w14:textId="77777777" w:rsidR="00373D71" w:rsidRDefault="002B23B0" w:rsidP="007E15ED">
      <w:pPr>
        <w:keepNext/>
        <w:widowControl w:val="0"/>
        <w:autoSpaceDE w:val="0"/>
        <w:autoSpaceDN w:val="0"/>
        <w:adjustRightInd w:val="0"/>
        <w:spacing w:line="240" w:lineRule="auto"/>
        <w:rPr>
          <w:i/>
          <w:szCs w:val="22"/>
          <w:lang w:val="lt-LT"/>
        </w:rPr>
      </w:pPr>
      <w:r w:rsidRPr="00923E74">
        <w:rPr>
          <w:i/>
          <w:szCs w:val="22"/>
          <w:lang w:val="lt-LT"/>
        </w:rPr>
        <w:t>Geriamieji kontraceptikai</w:t>
      </w:r>
    </w:p>
    <w:p w14:paraId="0A98A299" w14:textId="32B347B0" w:rsidR="002B23B0" w:rsidRPr="00923E74" w:rsidRDefault="002B23B0" w:rsidP="00A31E3A">
      <w:pPr>
        <w:widowControl w:val="0"/>
        <w:autoSpaceDE w:val="0"/>
        <w:autoSpaceDN w:val="0"/>
        <w:adjustRightInd w:val="0"/>
        <w:spacing w:line="240" w:lineRule="auto"/>
        <w:rPr>
          <w:szCs w:val="22"/>
          <w:lang w:val="lt-LT"/>
        </w:rPr>
      </w:pPr>
      <w:proofErr w:type="spellStart"/>
      <w:r w:rsidRPr="00923E74">
        <w:rPr>
          <w:szCs w:val="22"/>
          <w:lang w:val="lt-LT"/>
        </w:rPr>
        <w:t>Atorvastatin</w:t>
      </w:r>
      <w:r w:rsidR="00373D71">
        <w:rPr>
          <w:szCs w:val="22"/>
          <w:lang w:val="lt-LT"/>
        </w:rPr>
        <w:t>o</w:t>
      </w:r>
      <w:proofErr w:type="spellEnd"/>
      <w:r w:rsidRPr="00923E74">
        <w:rPr>
          <w:szCs w:val="22"/>
          <w:lang w:val="lt-LT"/>
        </w:rPr>
        <w:t xml:space="preserve"> vartojant kartu su geriamaisiais kontraceptikais, </w:t>
      </w:r>
      <w:proofErr w:type="spellStart"/>
      <w:r w:rsidRPr="00923E74">
        <w:rPr>
          <w:szCs w:val="22"/>
          <w:lang w:val="lt-LT"/>
        </w:rPr>
        <w:t>noret</w:t>
      </w:r>
      <w:r w:rsidR="001D603E" w:rsidRPr="00923E74">
        <w:rPr>
          <w:szCs w:val="22"/>
          <w:lang w:val="lt-LT"/>
        </w:rPr>
        <w:t>isterono</w:t>
      </w:r>
      <w:proofErr w:type="spellEnd"/>
      <w:r w:rsidRPr="00923E74">
        <w:rPr>
          <w:szCs w:val="22"/>
          <w:lang w:val="lt-LT"/>
        </w:rPr>
        <w:t xml:space="preserve"> ir </w:t>
      </w:r>
      <w:proofErr w:type="spellStart"/>
      <w:r w:rsidRPr="00923E74">
        <w:rPr>
          <w:szCs w:val="22"/>
          <w:lang w:val="lt-LT"/>
        </w:rPr>
        <w:t>etinilestradiolio</w:t>
      </w:r>
      <w:proofErr w:type="spellEnd"/>
      <w:r w:rsidRPr="00923E74">
        <w:rPr>
          <w:szCs w:val="22"/>
          <w:lang w:val="lt-LT"/>
        </w:rPr>
        <w:t xml:space="preserve"> koncentracija kraujo plazmoje padidėjo.</w:t>
      </w:r>
    </w:p>
    <w:p w14:paraId="1CA27FDB" w14:textId="77777777" w:rsidR="002B23B0" w:rsidRPr="00923E74" w:rsidRDefault="002B23B0" w:rsidP="00A31E3A">
      <w:pPr>
        <w:widowControl w:val="0"/>
        <w:autoSpaceDE w:val="0"/>
        <w:autoSpaceDN w:val="0"/>
        <w:adjustRightInd w:val="0"/>
        <w:spacing w:line="240" w:lineRule="auto"/>
        <w:rPr>
          <w:i/>
          <w:iCs/>
          <w:szCs w:val="22"/>
          <w:u w:val="single"/>
          <w:lang w:val="lt-LT"/>
        </w:rPr>
      </w:pPr>
    </w:p>
    <w:p w14:paraId="210FB7D9" w14:textId="77777777" w:rsidR="00373D71" w:rsidRDefault="002B23B0" w:rsidP="007E15ED">
      <w:pPr>
        <w:keepNext/>
        <w:widowControl w:val="0"/>
        <w:autoSpaceDE w:val="0"/>
        <w:autoSpaceDN w:val="0"/>
        <w:adjustRightInd w:val="0"/>
        <w:spacing w:line="240" w:lineRule="auto"/>
        <w:rPr>
          <w:i/>
          <w:szCs w:val="22"/>
          <w:lang w:val="lt-LT"/>
        </w:rPr>
      </w:pPr>
      <w:r w:rsidRPr="00923E74">
        <w:rPr>
          <w:i/>
          <w:szCs w:val="22"/>
          <w:lang w:val="lt-LT"/>
        </w:rPr>
        <w:t>Varfarinas</w:t>
      </w:r>
    </w:p>
    <w:p w14:paraId="730CB7A7" w14:textId="6B8E7A3C" w:rsidR="002B23B0" w:rsidRPr="00923E74" w:rsidRDefault="002B23B0" w:rsidP="00A31E3A">
      <w:pPr>
        <w:widowControl w:val="0"/>
        <w:autoSpaceDE w:val="0"/>
        <w:autoSpaceDN w:val="0"/>
        <w:adjustRightInd w:val="0"/>
        <w:spacing w:line="240" w:lineRule="auto"/>
        <w:rPr>
          <w:szCs w:val="22"/>
          <w:lang w:val="lt-LT"/>
        </w:rPr>
      </w:pPr>
      <w:r w:rsidRPr="00923E74">
        <w:rPr>
          <w:szCs w:val="22"/>
          <w:lang w:val="lt-LT"/>
        </w:rPr>
        <w:t>Klinikinių tyrimų, kuriuose dalyvavo pacientai, kuriems taikytas ilgalaikis gydymas varfarinu, duomenimis, 80</w:t>
      </w:r>
      <w:r w:rsidR="00DB52C7" w:rsidRPr="00923E74">
        <w:rPr>
          <w:szCs w:val="22"/>
          <w:lang w:val="lt-LT"/>
        </w:rPr>
        <w:t> mg</w:t>
      </w:r>
      <w:r w:rsidRPr="00923E74">
        <w:rPr>
          <w:szCs w:val="22"/>
          <w:lang w:val="lt-LT"/>
        </w:rPr>
        <w:t xml:space="preserve"> </w:t>
      </w:r>
      <w:proofErr w:type="spellStart"/>
      <w:r w:rsidRPr="00923E74">
        <w:rPr>
          <w:szCs w:val="22"/>
          <w:lang w:val="lt-LT"/>
        </w:rPr>
        <w:t>atorvastatino</w:t>
      </w:r>
      <w:proofErr w:type="spellEnd"/>
      <w:r w:rsidRPr="00923E74">
        <w:rPr>
          <w:szCs w:val="22"/>
          <w:lang w:val="lt-LT"/>
        </w:rPr>
        <w:t xml:space="preserve"> paros dozės vartojimas kartu su varfarinu sukėlė nedidelį </w:t>
      </w:r>
      <w:proofErr w:type="spellStart"/>
      <w:r w:rsidRPr="00923E74">
        <w:rPr>
          <w:szCs w:val="22"/>
          <w:lang w:val="lt-LT"/>
        </w:rPr>
        <w:t>protrombino</w:t>
      </w:r>
      <w:proofErr w:type="spellEnd"/>
      <w:r w:rsidRPr="00923E74">
        <w:rPr>
          <w:szCs w:val="22"/>
          <w:lang w:val="lt-LT"/>
        </w:rPr>
        <w:t xml:space="preserve"> laiko pailgėjimą a</w:t>
      </w:r>
      <w:r w:rsidR="00373D71">
        <w:rPr>
          <w:szCs w:val="22"/>
          <w:lang w:val="lt-LT"/>
        </w:rPr>
        <w:t>pytiksli</w:t>
      </w:r>
      <w:r w:rsidRPr="00923E74">
        <w:rPr>
          <w:szCs w:val="22"/>
          <w:lang w:val="lt-LT"/>
        </w:rPr>
        <w:t>a</w:t>
      </w:r>
      <w:r w:rsidR="00373D71">
        <w:rPr>
          <w:szCs w:val="22"/>
          <w:lang w:val="lt-LT"/>
        </w:rPr>
        <w:t>i</w:t>
      </w:r>
      <w:r w:rsidRPr="00923E74">
        <w:rPr>
          <w:szCs w:val="22"/>
          <w:lang w:val="lt-LT"/>
        </w:rPr>
        <w:t xml:space="preserve"> 1,7 sekundės pirmosiomis 4</w:t>
      </w:r>
      <w:r w:rsidR="00373D71">
        <w:rPr>
          <w:szCs w:val="22"/>
          <w:lang w:val="lt-LT"/>
        </w:rPr>
        <w:noBreakHyphen/>
        <w:t xml:space="preserve">iomis </w:t>
      </w:r>
      <w:r w:rsidRPr="00923E74">
        <w:rPr>
          <w:szCs w:val="22"/>
          <w:lang w:val="lt-LT"/>
        </w:rPr>
        <w:t xml:space="preserve">vartojimo paromis; </w:t>
      </w:r>
      <w:proofErr w:type="spellStart"/>
      <w:r w:rsidRPr="00923E74">
        <w:rPr>
          <w:szCs w:val="22"/>
          <w:lang w:val="lt-LT"/>
        </w:rPr>
        <w:t>protrombino</w:t>
      </w:r>
      <w:proofErr w:type="spellEnd"/>
      <w:r w:rsidRPr="00923E74">
        <w:rPr>
          <w:szCs w:val="22"/>
          <w:lang w:val="lt-LT"/>
        </w:rPr>
        <w:t xml:space="preserve"> laikas vėl tapo normalus per 15</w:t>
      </w:r>
      <w:r w:rsidR="00373D71">
        <w:rPr>
          <w:szCs w:val="22"/>
          <w:lang w:val="lt-LT"/>
        </w:rPr>
        <w:t xml:space="preserve"> </w:t>
      </w:r>
      <w:r w:rsidRPr="00923E74">
        <w:rPr>
          <w:szCs w:val="22"/>
          <w:lang w:val="lt-LT"/>
        </w:rPr>
        <w:t xml:space="preserve">gydymo </w:t>
      </w:r>
      <w:proofErr w:type="spellStart"/>
      <w:r w:rsidRPr="00923E74">
        <w:rPr>
          <w:szCs w:val="22"/>
          <w:lang w:val="lt-LT"/>
        </w:rPr>
        <w:t>atorvastatinu</w:t>
      </w:r>
      <w:proofErr w:type="spellEnd"/>
      <w:r w:rsidRPr="00923E74">
        <w:rPr>
          <w:szCs w:val="22"/>
          <w:lang w:val="lt-LT"/>
        </w:rPr>
        <w:t xml:space="preserve"> </w:t>
      </w:r>
      <w:r w:rsidR="00373D71">
        <w:rPr>
          <w:szCs w:val="22"/>
          <w:lang w:val="lt-LT"/>
        </w:rPr>
        <w:t>par</w:t>
      </w:r>
      <w:r w:rsidRPr="00923E74">
        <w:rPr>
          <w:szCs w:val="22"/>
          <w:lang w:val="lt-LT"/>
        </w:rPr>
        <w:t>ų.</w:t>
      </w:r>
    </w:p>
    <w:p w14:paraId="49EE67DF" w14:textId="53F44356" w:rsidR="002B23B0" w:rsidRPr="00923E74" w:rsidRDefault="002B23B0" w:rsidP="00A31E3A">
      <w:pPr>
        <w:widowControl w:val="0"/>
        <w:autoSpaceDE w:val="0"/>
        <w:autoSpaceDN w:val="0"/>
        <w:adjustRightInd w:val="0"/>
        <w:spacing w:line="240" w:lineRule="auto"/>
        <w:rPr>
          <w:szCs w:val="22"/>
          <w:lang w:val="lt-LT"/>
        </w:rPr>
      </w:pPr>
      <w:r w:rsidRPr="00923E74">
        <w:rPr>
          <w:szCs w:val="22"/>
          <w:lang w:val="lt-LT"/>
        </w:rPr>
        <w:t xml:space="preserve">Nors pranešta tik apie labai retus kliniškai reikšmingos sąveikos su antikoaguliantais atvejus, prieš pradedant pacientų, kurie vartoja kumarinų grupės antikoaguliantų, gydymą </w:t>
      </w:r>
      <w:proofErr w:type="spellStart"/>
      <w:r w:rsidRPr="00923E74">
        <w:rPr>
          <w:szCs w:val="22"/>
          <w:lang w:val="lt-LT"/>
        </w:rPr>
        <w:t>atorvastatinu</w:t>
      </w:r>
      <w:proofErr w:type="spellEnd"/>
      <w:r w:rsidRPr="00923E74">
        <w:rPr>
          <w:szCs w:val="22"/>
          <w:lang w:val="lt-LT"/>
        </w:rPr>
        <w:t xml:space="preserve">, reikia nustatyti </w:t>
      </w:r>
      <w:proofErr w:type="spellStart"/>
      <w:r w:rsidRPr="00923E74">
        <w:rPr>
          <w:szCs w:val="22"/>
          <w:lang w:val="lt-LT"/>
        </w:rPr>
        <w:t>protrombino</w:t>
      </w:r>
      <w:proofErr w:type="spellEnd"/>
      <w:r w:rsidRPr="00923E74">
        <w:rPr>
          <w:szCs w:val="22"/>
          <w:lang w:val="lt-LT"/>
        </w:rPr>
        <w:t xml:space="preserve"> laiką ir jį pakankamai dažnai tirti ankstyvuoju gydymo laikotarpiu, kad būtų užtikrinta, jog neatsiranda reikšmingų </w:t>
      </w:r>
      <w:proofErr w:type="spellStart"/>
      <w:r w:rsidRPr="00923E74">
        <w:rPr>
          <w:szCs w:val="22"/>
          <w:lang w:val="lt-LT"/>
        </w:rPr>
        <w:t>protrombino</w:t>
      </w:r>
      <w:proofErr w:type="spellEnd"/>
      <w:r w:rsidRPr="00923E74">
        <w:rPr>
          <w:szCs w:val="22"/>
          <w:lang w:val="lt-LT"/>
        </w:rPr>
        <w:t xml:space="preserve"> laiko pokyčių. Kai tik nustatoma, kad </w:t>
      </w:r>
      <w:proofErr w:type="spellStart"/>
      <w:r w:rsidRPr="00923E74">
        <w:rPr>
          <w:szCs w:val="22"/>
          <w:lang w:val="lt-LT"/>
        </w:rPr>
        <w:t>protrombino</w:t>
      </w:r>
      <w:proofErr w:type="spellEnd"/>
      <w:r w:rsidRPr="00923E74">
        <w:rPr>
          <w:szCs w:val="22"/>
          <w:lang w:val="lt-LT"/>
        </w:rPr>
        <w:t xml:space="preserve"> laikas tampa stabilus, </w:t>
      </w:r>
      <w:proofErr w:type="spellStart"/>
      <w:r w:rsidRPr="00923E74">
        <w:rPr>
          <w:szCs w:val="22"/>
          <w:lang w:val="lt-LT"/>
        </w:rPr>
        <w:t>protrombino</w:t>
      </w:r>
      <w:proofErr w:type="spellEnd"/>
      <w:r w:rsidRPr="00923E74">
        <w:rPr>
          <w:szCs w:val="22"/>
          <w:lang w:val="lt-LT"/>
        </w:rPr>
        <w:t xml:space="preserve"> laiką galima matuoti intervalais, kurie paprastai rekomenduojami kumarinų grupės antikoaguliantais gydomiems pacientams. Pakeitus </w:t>
      </w:r>
      <w:proofErr w:type="spellStart"/>
      <w:r w:rsidRPr="00923E74">
        <w:rPr>
          <w:szCs w:val="22"/>
          <w:lang w:val="lt-LT"/>
        </w:rPr>
        <w:t>atorvastatino</w:t>
      </w:r>
      <w:proofErr w:type="spellEnd"/>
      <w:r w:rsidRPr="00923E74">
        <w:rPr>
          <w:szCs w:val="22"/>
          <w:lang w:val="lt-LT"/>
        </w:rPr>
        <w:t xml:space="preserve"> dozę arba nutraukus jo vartojimą, reikia pakartoti tą pačią procedūrą. Gydymas </w:t>
      </w:r>
      <w:proofErr w:type="spellStart"/>
      <w:r w:rsidRPr="00923E74">
        <w:rPr>
          <w:szCs w:val="22"/>
          <w:lang w:val="lt-LT"/>
        </w:rPr>
        <w:t>atorvastatinu</w:t>
      </w:r>
      <w:proofErr w:type="spellEnd"/>
      <w:r w:rsidRPr="00923E74">
        <w:rPr>
          <w:szCs w:val="22"/>
          <w:lang w:val="lt-LT"/>
        </w:rPr>
        <w:t xml:space="preserve"> nebuvo susijęs su kraujavimu arba </w:t>
      </w:r>
      <w:proofErr w:type="spellStart"/>
      <w:r w:rsidRPr="00923E74">
        <w:rPr>
          <w:szCs w:val="22"/>
          <w:lang w:val="lt-LT"/>
        </w:rPr>
        <w:t>protrombino</w:t>
      </w:r>
      <w:proofErr w:type="spellEnd"/>
      <w:r w:rsidRPr="00923E74">
        <w:rPr>
          <w:szCs w:val="22"/>
          <w:lang w:val="lt-LT"/>
        </w:rPr>
        <w:t xml:space="preserve"> laiko pokyčiais pacientams, kurie </w:t>
      </w:r>
      <w:r w:rsidR="001D603E" w:rsidRPr="00923E74">
        <w:rPr>
          <w:szCs w:val="22"/>
          <w:lang w:val="lt-LT"/>
        </w:rPr>
        <w:t xml:space="preserve">antikoaguliantų </w:t>
      </w:r>
      <w:r w:rsidRPr="00923E74">
        <w:rPr>
          <w:szCs w:val="22"/>
          <w:lang w:val="lt-LT"/>
        </w:rPr>
        <w:t>nevartoja.</w:t>
      </w:r>
    </w:p>
    <w:p w14:paraId="5A13A68F" w14:textId="77777777" w:rsidR="00F93DE4" w:rsidRPr="00923E74" w:rsidRDefault="00F93DE4" w:rsidP="00A31E3A">
      <w:pPr>
        <w:spacing w:line="240" w:lineRule="auto"/>
        <w:rPr>
          <w:snapToGrid/>
          <w:szCs w:val="22"/>
          <w:lang w:val="lt-LT"/>
        </w:rPr>
      </w:pPr>
    </w:p>
    <w:p w14:paraId="3EE99FE7" w14:textId="77777777" w:rsidR="00F93DE4" w:rsidRDefault="00F93DE4" w:rsidP="007E15ED">
      <w:pPr>
        <w:keepNext/>
        <w:tabs>
          <w:tab w:val="clear" w:pos="567"/>
        </w:tabs>
        <w:spacing w:line="240" w:lineRule="auto"/>
        <w:rPr>
          <w:b/>
          <w:snapToGrid/>
          <w:color w:val="000000"/>
          <w:szCs w:val="22"/>
          <w:lang w:val="lt-LT" w:eastAsia="en-GB"/>
        </w:rPr>
      </w:pPr>
      <w:r w:rsidRPr="007E15ED">
        <w:rPr>
          <w:b/>
          <w:snapToGrid/>
          <w:color w:val="000000"/>
          <w:szCs w:val="22"/>
          <w:lang w:val="lt-LT" w:eastAsia="en-GB"/>
        </w:rPr>
        <w:t>1</w:t>
      </w:r>
      <w:r w:rsidR="009956FC" w:rsidRPr="007E15ED">
        <w:rPr>
          <w:b/>
          <w:snapToGrid/>
          <w:color w:val="000000"/>
          <w:szCs w:val="22"/>
          <w:lang w:val="lt-LT" w:eastAsia="en-GB"/>
        </w:rPr>
        <w:t> lentelė.</w:t>
      </w:r>
      <w:r w:rsidR="001310CD" w:rsidRPr="007E15ED">
        <w:rPr>
          <w:b/>
          <w:snapToGrid/>
          <w:color w:val="000000"/>
          <w:szCs w:val="22"/>
          <w:lang w:val="lt-LT" w:eastAsia="en-GB"/>
        </w:rPr>
        <w:t xml:space="preserve"> Kartu vartojamų vaistinių preparatų poveikis </w:t>
      </w:r>
      <w:proofErr w:type="spellStart"/>
      <w:r w:rsidR="001310CD" w:rsidRPr="007E15ED">
        <w:rPr>
          <w:b/>
          <w:snapToGrid/>
          <w:color w:val="000000"/>
          <w:szCs w:val="22"/>
          <w:lang w:val="lt-LT" w:eastAsia="en-GB"/>
        </w:rPr>
        <w:t>atorvastatino</w:t>
      </w:r>
      <w:proofErr w:type="spellEnd"/>
      <w:r w:rsidR="001310CD" w:rsidRPr="007E15ED">
        <w:rPr>
          <w:b/>
          <w:snapToGrid/>
          <w:color w:val="000000"/>
          <w:szCs w:val="22"/>
          <w:lang w:val="lt-LT" w:eastAsia="en-GB"/>
        </w:rPr>
        <w:t xml:space="preserve"> farmakokinetikai</w:t>
      </w:r>
    </w:p>
    <w:p w14:paraId="23A84699" w14:textId="77777777" w:rsidR="00373D71" w:rsidRPr="007E15ED" w:rsidRDefault="00373D71" w:rsidP="007E15ED">
      <w:pPr>
        <w:keepNext/>
        <w:tabs>
          <w:tab w:val="clear" w:pos="567"/>
        </w:tabs>
        <w:spacing w:line="240" w:lineRule="auto"/>
        <w:rPr>
          <w:b/>
          <w:snapToGrid/>
          <w:color w:val="000000"/>
          <w:szCs w:val="22"/>
          <w:lang w:val="lt-LT" w:eastAsia="en-GB"/>
        </w:rPr>
      </w:pPr>
    </w:p>
    <w:tbl>
      <w:tblPr>
        <w:tblW w:w="9289"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074"/>
        <w:gridCol w:w="1979"/>
        <w:gridCol w:w="1483"/>
        <w:gridCol w:w="2753"/>
      </w:tblGrid>
      <w:tr w:rsidR="00E563E4" w:rsidRPr="00923E74" w14:paraId="055D716E" w14:textId="77777777" w:rsidTr="007E15ED">
        <w:trPr>
          <w:tblHeader/>
        </w:trPr>
        <w:tc>
          <w:tcPr>
            <w:tcW w:w="1655" w:type="pct"/>
            <w:vMerge w:val="restart"/>
            <w:tcBorders>
              <w:top w:val="outset" w:sz="6" w:space="0" w:color="7B7B7B"/>
              <w:left w:val="outset" w:sz="6" w:space="0" w:color="7B7B7B"/>
              <w:bottom w:val="outset" w:sz="6" w:space="0" w:color="7B7B7B"/>
              <w:right w:val="outset" w:sz="6" w:space="0" w:color="7B7B7B"/>
            </w:tcBorders>
            <w:vAlign w:val="center"/>
            <w:hideMark/>
          </w:tcPr>
          <w:p w14:paraId="09A921B8" w14:textId="77777777" w:rsidR="00F93DE4" w:rsidRPr="007E15ED" w:rsidRDefault="00B03EE5" w:rsidP="007E15ED">
            <w:pPr>
              <w:keepNext/>
              <w:tabs>
                <w:tab w:val="clear" w:pos="567"/>
              </w:tabs>
              <w:spacing w:line="240" w:lineRule="auto"/>
              <w:jc w:val="center"/>
              <w:rPr>
                <w:b/>
                <w:snapToGrid/>
                <w:color w:val="000000"/>
                <w:szCs w:val="22"/>
                <w:lang w:val="lt-LT" w:eastAsia="en-GB"/>
              </w:rPr>
            </w:pPr>
            <w:r w:rsidRPr="007E15ED">
              <w:rPr>
                <w:b/>
                <w:szCs w:val="22"/>
                <w:lang w:val="lt-LT" w:eastAsia="sl-SI"/>
              </w:rPr>
              <w:t>Kartu vartojami vaistiniai preparatai ir dozavimo schemos</w:t>
            </w:r>
          </w:p>
        </w:tc>
        <w:tc>
          <w:tcPr>
            <w:tcW w:w="3345" w:type="pct"/>
            <w:gridSpan w:val="3"/>
            <w:tcBorders>
              <w:top w:val="outset" w:sz="6" w:space="0" w:color="7B7B7B"/>
              <w:left w:val="outset" w:sz="6" w:space="0" w:color="7B7B7B"/>
              <w:bottom w:val="outset" w:sz="6" w:space="0" w:color="7B7B7B"/>
              <w:right w:val="outset" w:sz="6" w:space="0" w:color="7B7B7B"/>
            </w:tcBorders>
            <w:vAlign w:val="center"/>
            <w:hideMark/>
          </w:tcPr>
          <w:p w14:paraId="387F43EB" w14:textId="77777777" w:rsidR="00F93DE4" w:rsidRPr="007E15ED" w:rsidRDefault="00F93DE4" w:rsidP="007E15ED">
            <w:pPr>
              <w:keepNext/>
              <w:tabs>
                <w:tab w:val="clear" w:pos="567"/>
              </w:tabs>
              <w:spacing w:line="240" w:lineRule="auto"/>
              <w:jc w:val="center"/>
              <w:rPr>
                <w:b/>
                <w:snapToGrid/>
                <w:color w:val="000000"/>
                <w:szCs w:val="22"/>
                <w:lang w:val="lt-LT" w:eastAsia="en-GB"/>
              </w:rPr>
            </w:pPr>
            <w:proofErr w:type="spellStart"/>
            <w:r w:rsidRPr="007E15ED">
              <w:rPr>
                <w:b/>
                <w:snapToGrid/>
                <w:color w:val="000000"/>
                <w:szCs w:val="22"/>
                <w:lang w:val="lt-LT" w:eastAsia="en-GB"/>
              </w:rPr>
              <w:t>Atorvastatin</w:t>
            </w:r>
            <w:r w:rsidR="00163A81" w:rsidRPr="007E15ED">
              <w:rPr>
                <w:b/>
                <w:snapToGrid/>
                <w:color w:val="000000"/>
                <w:szCs w:val="22"/>
                <w:lang w:val="lt-LT" w:eastAsia="en-GB"/>
              </w:rPr>
              <w:t>as</w:t>
            </w:r>
            <w:proofErr w:type="spellEnd"/>
          </w:p>
        </w:tc>
      </w:tr>
      <w:tr w:rsidR="004D0FB2" w:rsidRPr="00923E74" w14:paraId="41333CA4" w14:textId="77777777" w:rsidTr="007E15ED">
        <w:trPr>
          <w:tblHeader/>
        </w:trPr>
        <w:tc>
          <w:tcPr>
            <w:tcW w:w="1655" w:type="pct"/>
            <w:vMerge/>
            <w:tcBorders>
              <w:top w:val="outset" w:sz="6" w:space="0" w:color="7B7B7B"/>
              <w:left w:val="outset" w:sz="6" w:space="0" w:color="7B7B7B"/>
              <w:bottom w:val="outset" w:sz="6" w:space="0" w:color="7B7B7B"/>
              <w:right w:val="outset" w:sz="6" w:space="0" w:color="7B7B7B"/>
            </w:tcBorders>
            <w:vAlign w:val="center"/>
            <w:hideMark/>
          </w:tcPr>
          <w:p w14:paraId="6CD54161" w14:textId="77777777" w:rsidR="00F93DE4" w:rsidRPr="007E15ED" w:rsidRDefault="00F93DE4" w:rsidP="007E15ED">
            <w:pPr>
              <w:keepNext/>
              <w:tabs>
                <w:tab w:val="clear" w:pos="567"/>
              </w:tabs>
              <w:spacing w:line="240" w:lineRule="auto"/>
              <w:jc w:val="center"/>
              <w:rPr>
                <w:b/>
                <w:snapToGrid/>
                <w:color w:val="000000"/>
                <w:szCs w:val="22"/>
                <w:lang w:val="lt-LT" w:eastAsia="en-GB"/>
              </w:rPr>
            </w:pPr>
          </w:p>
        </w:tc>
        <w:tc>
          <w:tcPr>
            <w:tcW w:w="1065" w:type="pct"/>
            <w:tcBorders>
              <w:top w:val="outset" w:sz="6" w:space="0" w:color="7B7B7B"/>
              <w:left w:val="outset" w:sz="6" w:space="0" w:color="7B7B7B"/>
              <w:bottom w:val="outset" w:sz="6" w:space="0" w:color="7B7B7B"/>
              <w:right w:val="outset" w:sz="6" w:space="0" w:color="7B7B7B"/>
            </w:tcBorders>
            <w:vAlign w:val="center"/>
            <w:hideMark/>
          </w:tcPr>
          <w:p w14:paraId="4C3A1DD3" w14:textId="5CC817AD" w:rsidR="00F93DE4" w:rsidRPr="007E15ED" w:rsidRDefault="00F93DE4"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Do</w:t>
            </w:r>
            <w:r w:rsidR="00B03EE5" w:rsidRPr="007E15ED">
              <w:rPr>
                <w:b/>
                <w:snapToGrid/>
                <w:color w:val="000000"/>
                <w:szCs w:val="22"/>
                <w:lang w:val="lt-LT" w:eastAsia="en-GB"/>
              </w:rPr>
              <w:t>zė</w:t>
            </w:r>
            <w:r w:rsidR="00CE0667" w:rsidRPr="007E15ED">
              <w:rPr>
                <w:b/>
                <w:snapToGrid/>
                <w:color w:val="000000"/>
                <w:szCs w:val="22"/>
                <w:lang w:val="lt-LT" w:eastAsia="en-GB"/>
              </w:rPr>
              <w:t> </w:t>
            </w:r>
            <w:r w:rsidRPr="007E15ED">
              <w:rPr>
                <w:b/>
                <w:snapToGrid/>
                <w:color w:val="000000"/>
                <w:szCs w:val="22"/>
                <w:lang w:val="lt-LT" w:eastAsia="en-GB"/>
              </w:rPr>
              <w:t>(mg)</w:t>
            </w:r>
          </w:p>
        </w:tc>
        <w:tc>
          <w:tcPr>
            <w:tcW w:w="798" w:type="pct"/>
            <w:tcBorders>
              <w:top w:val="outset" w:sz="6" w:space="0" w:color="7B7B7B"/>
              <w:left w:val="outset" w:sz="6" w:space="0" w:color="7B7B7B"/>
              <w:bottom w:val="outset" w:sz="6" w:space="0" w:color="7B7B7B"/>
              <w:right w:val="outset" w:sz="6" w:space="0" w:color="7B7B7B"/>
            </w:tcBorders>
            <w:vAlign w:val="center"/>
            <w:hideMark/>
          </w:tcPr>
          <w:p w14:paraId="6C96FD98" w14:textId="03413519" w:rsidR="00F93DE4" w:rsidRPr="007E15ED" w:rsidRDefault="00F93DE4"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AUC</w:t>
            </w:r>
            <w:r w:rsidR="00CE0667" w:rsidRPr="007E15ED">
              <w:rPr>
                <w:b/>
                <w:snapToGrid/>
                <w:color w:val="000000"/>
                <w:szCs w:val="22"/>
                <w:lang w:val="lt-LT" w:eastAsia="en-GB"/>
              </w:rPr>
              <w:t> </w:t>
            </w:r>
            <w:r w:rsidR="00B03EE5" w:rsidRPr="007E15ED">
              <w:rPr>
                <w:b/>
                <w:snapToGrid/>
                <w:color w:val="000000"/>
                <w:szCs w:val="22"/>
                <w:lang w:val="lt-LT" w:eastAsia="en-GB"/>
              </w:rPr>
              <w:t>santykis</w:t>
            </w:r>
            <w:r w:rsidRPr="007E15ED">
              <w:rPr>
                <w:b/>
                <w:snapToGrid/>
                <w:color w:val="000000"/>
                <w:szCs w:val="22"/>
                <w:vertAlign w:val="superscript"/>
                <w:lang w:val="lt-LT" w:eastAsia="en-GB"/>
              </w:rPr>
              <w:t>&amp;</w:t>
            </w:r>
          </w:p>
        </w:tc>
        <w:tc>
          <w:tcPr>
            <w:tcW w:w="1480" w:type="pct"/>
            <w:tcBorders>
              <w:top w:val="outset" w:sz="6" w:space="0" w:color="7B7B7B"/>
              <w:left w:val="outset" w:sz="6" w:space="0" w:color="7B7B7B"/>
              <w:bottom w:val="outset" w:sz="6" w:space="0" w:color="7B7B7B"/>
              <w:right w:val="outset" w:sz="6" w:space="0" w:color="7B7B7B"/>
            </w:tcBorders>
            <w:vAlign w:val="center"/>
            <w:hideMark/>
          </w:tcPr>
          <w:p w14:paraId="778B972B" w14:textId="77777777" w:rsidR="00F93DE4" w:rsidRPr="007E15ED" w:rsidRDefault="00B03EE5"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Klinikinės rekomendacijos</w:t>
            </w:r>
            <w:r w:rsidR="00F93DE4" w:rsidRPr="007E15ED">
              <w:rPr>
                <w:b/>
                <w:snapToGrid/>
                <w:color w:val="000000"/>
                <w:szCs w:val="22"/>
                <w:vertAlign w:val="superscript"/>
                <w:lang w:val="lt-LT" w:eastAsia="en-GB"/>
              </w:rPr>
              <w:t>#</w:t>
            </w:r>
          </w:p>
        </w:tc>
      </w:tr>
      <w:tr w:rsidR="004D0FB2" w:rsidRPr="00024E27" w14:paraId="21076BED"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65AA2855" w14:textId="26CD38E4" w:rsidR="00F93DE4" w:rsidRPr="007E15ED" w:rsidRDefault="005B4465" w:rsidP="005B4465">
            <w:pPr>
              <w:autoSpaceDE w:val="0"/>
              <w:autoSpaceDN w:val="0"/>
              <w:adjustRightInd w:val="0"/>
              <w:spacing w:line="240" w:lineRule="auto"/>
              <w:rPr>
                <w:szCs w:val="22"/>
                <w:lang w:val="lt-LT" w:eastAsia="sl-SI"/>
              </w:rPr>
            </w:pPr>
            <w:proofErr w:type="spellStart"/>
            <w:r w:rsidRPr="00923E74">
              <w:rPr>
                <w:szCs w:val="22"/>
                <w:lang w:val="lt-LT" w:eastAsia="sl-SI"/>
              </w:rPr>
              <w:t>Tipranaviras</w:t>
            </w:r>
            <w:proofErr w:type="spellEnd"/>
            <w:r w:rsidRPr="00923E74">
              <w:rPr>
                <w:szCs w:val="22"/>
                <w:lang w:val="lt-LT" w:eastAsia="sl-SI"/>
              </w:rPr>
              <w:t xml:space="preserve"> </w:t>
            </w:r>
            <w:r w:rsidR="00A31E3A" w:rsidRPr="00923E74">
              <w:rPr>
                <w:szCs w:val="22"/>
                <w:lang w:val="lt-LT" w:eastAsia="sl-SI"/>
              </w:rPr>
              <w:t>500</w:t>
            </w:r>
            <w:r w:rsidR="00DB52C7" w:rsidRPr="00923E74">
              <w:rPr>
                <w:szCs w:val="22"/>
                <w:lang w:val="lt-LT" w:eastAsia="sl-SI"/>
              </w:rPr>
              <w:t> mg</w:t>
            </w:r>
            <w:r w:rsidR="00CE0667">
              <w:rPr>
                <w:szCs w:val="22"/>
                <w:lang w:val="lt-LT" w:eastAsia="sl-SI"/>
              </w:rPr>
              <w:t> </w:t>
            </w:r>
            <w:r w:rsidR="00A31E3A" w:rsidRPr="00923E74">
              <w:rPr>
                <w:szCs w:val="22"/>
                <w:lang w:val="lt-LT" w:eastAsia="sl-SI"/>
              </w:rPr>
              <w:t>DKP</w:t>
            </w:r>
            <w:r w:rsidR="00CE0667">
              <w:rPr>
                <w:szCs w:val="22"/>
                <w:lang w:val="lt-LT" w:eastAsia="sl-SI"/>
              </w:rPr>
              <w:t xml:space="preserve"> ir</w:t>
            </w:r>
            <w:r w:rsidR="001237B9">
              <w:rPr>
                <w:szCs w:val="22"/>
                <w:lang w:val="lt-LT" w:eastAsia="sl-SI"/>
              </w:rPr>
              <w:t xml:space="preserve"> </w:t>
            </w:r>
            <w:r w:rsidRPr="00923E74">
              <w:rPr>
                <w:szCs w:val="22"/>
                <w:lang w:val="lt-LT" w:eastAsia="sl-SI"/>
              </w:rPr>
              <w:t xml:space="preserve">ritonaviras </w:t>
            </w:r>
            <w:r w:rsidR="00A31E3A" w:rsidRPr="00923E74">
              <w:rPr>
                <w:szCs w:val="22"/>
                <w:lang w:val="lt-LT" w:eastAsia="sl-SI"/>
              </w:rPr>
              <w:t>200</w:t>
            </w:r>
            <w:r w:rsidR="00DB52C7" w:rsidRPr="00923E74">
              <w:rPr>
                <w:szCs w:val="22"/>
                <w:lang w:val="lt-LT" w:eastAsia="sl-SI"/>
              </w:rPr>
              <w:t> mg</w:t>
            </w:r>
            <w:r w:rsidR="00CE0667">
              <w:rPr>
                <w:szCs w:val="22"/>
                <w:lang w:val="lt-LT" w:eastAsia="sl-SI"/>
              </w:rPr>
              <w:t> </w:t>
            </w:r>
            <w:r w:rsidR="00A31E3A" w:rsidRPr="00923E74">
              <w:rPr>
                <w:szCs w:val="22"/>
                <w:lang w:val="lt-LT" w:eastAsia="sl-SI"/>
              </w:rPr>
              <w:t>DKP, 8 </w:t>
            </w:r>
            <w:r w:rsidR="00CE0667">
              <w:rPr>
                <w:szCs w:val="22"/>
                <w:lang w:val="lt-LT" w:eastAsia="sl-SI"/>
              </w:rPr>
              <w:t>par</w:t>
            </w:r>
            <w:r w:rsidR="00A31E3A" w:rsidRPr="00923E74">
              <w:rPr>
                <w:szCs w:val="22"/>
                <w:lang w:val="lt-LT" w:eastAsia="sl-SI"/>
              </w:rPr>
              <w:t>as (14</w:t>
            </w:r>
            <w:r w:rsidR="00A31E3A" w:rsidRPr="00923E74">
              <w:rPr>
                <w:szCs w:val="22"/>
                <w:lang w:val="lt-LT" w:eastAsia="sl-SI"/>
              </w:rPr>
              <w:noBreakHyphen/>
              <w:t>21 </w:t>
            </w:r>
            <w:r w:rsidR="00807F24">
              <w:rPr>
                <w:szCs w:val="22"/>
                <w:lang w:val="lt-LT" w:eastAsia="sl-SI"/>
              </w:rPr>
              <w:t>par</w:t>
            </w:r>
            <w:r w:rsidR="00A31E3A" w:rsidRPr="00923E74">
              <w:rPr>
                <w:szCs w:val="22"/>
                <w:lang w:val="lt-LT" w:eastAsia="sl-SI"/>
              </w:rPr>
              <w:t>omis)</w:t>
            </w:r>
          </w:p>
        </w:tc>
        <w:tc>
          <w:tcPr>
            <w:tcW w:w="1065" w:type="pct"/>
            <w:tcBorders>
              <w:top w:val="outset" w:sz="6" w:space="0" w:color="7B7B7B"/>
              <w:left w:val="outset" w:sz="6" w:space="0" w:color="7B7B7B"/>
              <w:bottom w:val="outset" w:sz="6" w:space="0" w:color="7B7B7B"/>
              <w:right w:val="outset" w:sz="6" w:space="0" w:color="7B7B7B"/>
            </w:tcBorders>
            <w:hideMark/>
          </w:tcPr>
          <w:p w14:paraId="4BDA2D07" w14:textId="35A270EF"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Pr="00923E74">
              <w:rPr>
                <w:snapToGrid/>
                <w:color w:val="000000"/>
                <w:szCs w:val="22"/>
                <w:lang w:val="lt-LT" w:eastAsia="en-GB"/>
              </w:rPr>
              <w:t xml:space="preserve"> 1</w:t>
            </w:r>
            <w:r w:rsidR="00585D76">
              <w:rPr>
                <w:snapToGrid/>
                <w:color w:val="000000"/>
                <w:szCs w:val="22"/>
                <w:lang w:val="lt-LT" w:eastAsia="en-GB"/>
              </w:rPr>
              <w:noBreakHyphen/>
              <w:t>ąją</w:t>
            </w:r>
            <w:r w:rsidR="00A31E3A" w:rsidRPr="00923E74">
              <w:rPr>
                <w:snapToGrid/>
                <w:color w:val="000000"/>
                <w:szCs w:val="22"/>
                <w:lang w:val="lt-LT" w:eastAsia="en-GB"/>
              </w:rPr>
              <w:t> </w:t>
            </w:r>
            <w:r w:rsidR="00CE0667">
              <w:rPr>
                <w:snapToGrid/>
                <w:color w:val="000000"/>
                <w:szCs w:val="22"/>
                <w:lang w:val="lt-LT" w:eastAsia="en-GB"/>
              </w:rPr>
              <w:t>par</w:t>
            </w:r>
            <w:r w:rsidR="00A31E3A" w:rsidRPr="00923E74">
              <w:rPr>
                <w:snapToGrid/>
                <w:color w:val="000000"/>
                <w:szCs w:val="22"/>
                <w:lang w:val="lt-LT" w:eastAsia="en-GB"/>
              </w:rPr>
              <w:t>ą</w:t>
            </w:r>
            <w:r w:rsidRPr="00923E74">
              <w:rPr>
                <w:snapToGrid/>
                <w:color w:val="000000"/>
                <w:szCs w:val="22"/>
                <w:lang w:val="lt-LT" w:eastAsia="en-GB"/>
              </w:rPr>
              <w:t>, 10</w:t>
            </w:r>
            <w:r w:rsidR="00DB52C7" w:rsidRPr="00923E74">
              <w:rPr>
                <w:snapToGrid/>
                <w:color w:val="000000"/>
                <w:szCs w:val="22"/>
                <w:lang w:val="lt-LT" w:eastAsia="en-GB"/>
              </w:rPr>
              <w:t> mg</w:t>
            </w:r>
            <w:r w:rsidRPr="00923E74">
              <w:rPr>
                <w:snapToGrid/>
                <w:color w:val="000000"/>
                <w:szCs w:val="22"/>
                <w:lang w:val="lt-LT" w:eastAsia="en-GB"/>
              </w:rPr>
              <w:t xml:space="preserve"> 20</w:t>
            </w:r>
            <w:r w:rsidR="00585D76">
              <w:rPr>
                <w:snapToGrid/>
                <w:color w:val="000000"/>
                <w:szCs w:val="22"/>
                <w:lang w:val="lt-LT" w:eastAsia="en-GB"/>
              </w:rPr>
              <w:noBreakHyphen/>
              <w:t>ąją</w:t>
            </w:r>
            <w:r w:rsidR="00A31E3A" w:rsidRPr="00923E74">
              <w:rPr>
                <w:snapToGrid/>
                <w:color w:val="000000"/>
                <w:szCs w:val="22"/>
                <w:lang w:val="lt-LT" w:eastAsia="en-GB"/>
              </w:rPr>
              <w:t> </w:t>
            </w:r>
            <w:r w:rsidR="00CE0667">
              <w:rPr>
                <w:snapToGrid/>
                <w:color w:val="000000"/>
                <w:szCs w:val="22"/>
                <w:lang w:val="lt-LT" w:eastAsia="en-GB"/>
              </w:rPr>
              <w:t>par</w:t>
            </w:r>
            <w:r w:rsidR="00A31E3A" w:rsidRPr="00923E74">
              <w:rPr>
                <w:snapToGrid/>
                <w:color w:val="000000"/>
                <w:szCs w:val="22"/>
                <w:lang w:val="lt-LT" w:eastAsia="en-GB"/>
              </w:rPr>
              <w:t>ą</w:t>
            </w:r>
          </w:p>
        </w:tc>
        <w:tc>
          <w:tcPr>
            <w:tcW w:w="798" w:type="pct"/>
            <w:tcBorders>
              <w:top w:val="outset" w:sz="6" w:space="0" w:color="7B7B7B"/>
              <w:left w:val="outset" w:sz="6" w:space="0" w:color="7B7B7B"/>
              <w:bottom w:val="outset" w:sz="6" w:space="0" w:color="7B7B7B"/>
              <w:right w:val="outset" w:sz="6" w:space="0" w:color="7B7B7B"/>
            </w:tcBorders>
            <w:hideMark/>
          </w:tcPr>
          <w:p w14:paraId="0BFE51D1"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9</w:t>
            </w:r>
            <w:r w:rsidR="00A31E3A" w:rsidRPr="00923E74">
              <w:rPr>
                <w:snapToGrid/>
                <w:color w:val="000000"/>
                <w:szCs w:val="22"/>
                <w:lang w:val="lt-LT" w:eastAsia="en-GB"/>
              </w:rPr>
              <w:t>,</w:t>
            </w:r>
            <w:r w:rsidRPr="00923E74">
              <w:rPr>
                <w:snapToGrid/>
                <w:color w:val="000000"/>
                <w:szCs w:val="22"/>
                <w:lang w:val="lt-LT" w:eastAsia="en-GB"/>
              </w:rPr>
              <w:t>4</w:t>
            </w:r>
          </w:p>
        </w:tc>
        <w:tc>
          <w:tcPr>
            <w:tcW w:w="1480" w:type="pct"/>
            <w:vMerge w:val="restart"/>
            <w:tcBorders>
              <w:top w:val="outset" w:sz="6" w:space="0" w:color="7B7B7B"/>
              <w:left w:val="outset" w:sz="6" w:space="0" w:color="7B7B7B"/>
              <w:bottom w:val="outset" w:sz="6" w:space="0" w:color="7B7B7B"/>
              <w:right w:val="outset" w:sz="6" w:space="0" w:color="7B7B7B"/>
            </w:tcBorders>
            <w:hideMark/>
          </w:tcPr>
          <w:p w14:paraId="36958476" w14:textId="77777777" w:rsidR="00F93DE4" w:rsidRPr="00923E74" w:rsidRDefault="00A31E3A"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Jeigu vartoti kartu su </w:t>
            </w:r>
            <w:proofErr w:type="spellStart"/>
            <w:r w:rsidRPr="00923E74">
              <w:rPr>
                <w:snapToGrid/>
                <w:color w:val="000000"/>
                <w:szCs w:val="22"/>
                <w:lang w:val="lt-LT" w:eastAsia="en-GB"/>
              </w:rPr>
              <w:t>atorvastatinu</w:t>
            </w:r>
            <w:proofErr w:type="spellEnd"/>
            <w:r w:rsidRPr="00923E74">
              <w:rPr>
                <w:snapToGrid/>
                <w:color w:val="000000"/>
                <w:szCs w:val="22"/>
                <w:lang w:val="lt-LT" w:eastAsia="en-GB"/>
              </w:rPr>
              <w:t xml:space="preserve"> būtina, negalima viršyti 10</w:t>
            </w:r>
            <w:r w:rsidR="00DB52C7" w:rsidRPr="00923E74">
              <w:rPr>
                <w:snapToGrid/>
                <w:color w:val="000000"/>
                <w:szCs w:val="22"/>
                <w:lang w:val="lt-LT" w:eastAsia="en-GB"/>
              </w:rPr>
              <w:t> mg</w:t>
            </w:r>
            <w:r w:rsidRPr="00923E74">
              <w:rPr>
                <w:snapToGrid/>
                <w:color w:val="000000"/>
                <w:szCs w:val="22"/>
                <w:lang w:val="lt-LT" w:eastAsia="en-GB"/>
              </w:rPr>
              <w:t xml:space="preserve">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paros dozės. Rekomenduojama stebėti klinikinę tokių pacientų būklę</w:t>
            </w:r>
            <w:r w:rsidR="00F93DE4" w:rsidRPr="00923E74">
              <w:rPr>
                <w:snapToGrid/>
                <w:color w:val="000000"/>
                <w:szCs w:val="22"/>
                <w:lang w:val="lt-LT" w:eastAsia="en-GB"/>
              </w:rPr>
              <w:t>.</w:t>
            </w:r>
          </w:p>
        </w:tc>
      </w:tr>
      <w:tr w:rsidR="004D0FB2" w:rsidRPr="00923E74" w14:paraId="4F6AC987"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34C41A65" w14:textId="33D35652" w:rsidR="00F93DE4" w:rsidRPr="00923E74" w:rsidRDefault="005B4465" w:rsidP="005B4465">
            <w:pPr>
              <w:tabs>
                <w:tab w:val="clear" w:pos="567"/>
              </w:tabs>
              <w:spacing w:line="240" w:lineRule="auto"/>
              <w:rPr>
                <w:snapToGrid/>
                <w:color w:val="000000"/>
                <w:szCs w:val="22"/>
                <w:lang w:val="lt-LT" w:eastAsia="en-GB"/>
              </w:rPr>
            </w:pPr>
            <w:proofErr w:type="spellStart"/>
            <w:r w:rsidRPr="00923E74">
              <w:rPr>
                <w:szCs w:val="22"/>
                <w:lang w:val="lt-LT" w:eastAsia="sl-SI"/>
              </w:rPr>
              <w:t>Telapreviras</w:t>
            </w:r>
            <w:proofErr w:type="spellEnd"/>
            <w:r w:rsidRPr="00923E74">
              <w:rPr>
                <w:szCs w:val="22"/>
                <w:lang w:val="lt-LT" w:eastAsia="sl-SI"/>
              </w:rPr>
              <w:t xml:space="preserve"> </w:t>
            </w:r>
            <w:r w:rsidR="00A31E3A" w:rsidRPr="00923E74">
              <w:rPr>
                <w:szCs w:val="22"/>
                <w:lang w:val="lt-LT" w:eastAsia="sl-SI"/>
              </w:rPr>
              <w:t>750</w:t>
            </w:r>
            <w:r w:rsidR="00DB52C7" w:rsidRPr="00923E74">
              <w:rPr>
                <w:szCs w:val="22"/>
                <w:lang w:val="lt-LT" w:eastAsia="sl-SI"/>
              </w:rPr>
              <w:t> mg</w:t>
            </w:r>
            <w:r w:rsidR="00A31E3A" w:rsidRPr="00923E74">
              <w:rPr>
                <w:szCs w:val="22"/>
                <w:lang w:val="lt-LT" w:eastAsia="sl-SI"/>
              </w:rPr>
              <w:t xml:space="preserve"> kas 8 val., 10 </w:t>
            </w:r>
            <w:r w:rsidR="00807F24">
              <w:rPr>
                <w:szCs w:val="22"/>
                <w:lang w:val="lt-LT" w:eastAsia="sl-SI"/>
              </w:rPr>
              <w:t>par</w:t>
            </w:r>
            <w:r w:rsidR="00A31E3A" w:rsidRPr="00923E74">
              <w:rPr>
                <w:szCs w:val="22"/>
                <w:lang w:val="lt-LT" w:eastAsia="sl-SI"/>
              </w:rPr>
              <w:t>ų</w:t>
            </w:r>
          </w:p>
        </w:tc>
        <w:tc>
          <w:tcPr>
            <w:tcW w:w="1065" w:type="pct"/>
            <w:tcBorders>
              <w:top w:val="outset" w:sz="6" w:space="0" w:color="7B7B7B"/>
              <w:left w:val="outset" w:sz="6" w:space="0" w:color="7B7B7B"/>
              <w:bottom w:val="outset" w:sz="6" w:space="0" w:color="7B7B7B"/>
              <w:right w:val="outset" w:sz="6" w:space="0" w:color="7B7B7B"/>
            </w:tcBorders>
            <w:hideMark/>
          </w:tcPr>
          <w:p w14:paraId="6235707A" w14:textId="0B9840B2"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20</w:t>
            </w:r>
            <w:r w:rsidR="00DB52C7" w:rsidRPr="00923E74">
              <w:rPr>
                <w:snapToGrid/>
                <w:color w:val="000000"/>
                <w:szCs w:val="22"/>
                <w:lang w:val="lt-LT" w:eastAsia="en-GB"/>
              </w:rPr>
              <w:t> mg</w:t>
            </w:r>
            <w:r w:rsidR="00CE0667">
              <w:rPr>
                <w:snapToGrid/>
                <w:color w:val="000000"/>
                <w:szCs w:val="22"/>
                <w:lang w:val="lt-LT" w:eastAsia="en-GB"/>
              </w:rPr>
              <w:t> </w:t>
            </w:r>
            <w:r w:rsidR="00A31E3A"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hideMark/>
          </w:tcPr>
          <w:p w14:paraId="3728E5B7"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7</w:t>
            </w:r>
            <w:r w:rsidR="00A31E3A" w:rsidRPr="00923E74">
              <w:rPr>
                <w:snapToGrid/>
                <w:color w:val="000000"/>
                <w:szCs w:val="22"/>
                <w:lang w:val="lt-LT" w:eastAsia="en-GB"/>
              </w:rPr>
              <w:t>,</w:t>
            </w:r>
            <w:r w:rsidRPr="00923E74">
              <w:rPr>
                <w:snapToGrid/>
                <w:color w:val="000000"/>
                <w:szCs w:val="22"/>
                <w:lang w:val="lt-LT" w:eastAsia="en-GB"/>
              </w:rPr>
              <w:t>9</w:t>
            </w:r>
          </w:p>
        </w:tc>
        <w:tc>
          <w:tcPr>
            <w:tcW w:w="1480" w:type="pct"/>
            <w:vMerge/>
            <w:tcBorders>
              <w:top w:val="outset" w:sz="6" w:space="0" w:color="7B7B7B"/>
              <w:left w:val="outset" w:sz="6" w:space="0" w:color="7B7B7B"/>
              <w:bottom w:val="outset" w:sz="6" w:space="0" w:color="7B7B7B"/>
              <w:right w:val="outset" w:sz="6" w:space="0" w:color="7B7B7B"/>
            </w:tcBorders>
            <w:hideMark/>
          </w:tcPr>
          <w:p w14:paraId="37017ED0"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923E74" w14:paraId="259F5EDA"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4EC22353" w14:textId="70FC93E3" w:rsidR="00F93DE4" w:rsidRPr="00923E74" w:rsidRDefault="005B4465" w:rsidP="005B4465">
            <w:pPr>
              <w:tabs>
                <w:tab w:val="clear" w:pos="567"/>
              </w:tabs>
              <w:spacing w:line="240" w:lineRule="auto"/>
              <w:rPr>
                <w:snapToGrid/>
                <w:color w:val="000000"/>
                <w:szCs w:val="22"/>
                <w:lang w:val="lt-LT" w:eastAsia="en-GB"/>
              </w:rPr>
            </w:pPr>
            <w:proofErr w:type="spellStart"/>
            <w:r w:rsidRPr="00923E74">
              <w:rPr>
                <w:szCs w:val="22"/>
                <w:lang w:val="lt-LT" w:eastAsia="sl-SI"/>
              </w:rPr>
              <w:t>Ciklosporinas</w:t>
            </w:r>
            <w:proofErr w:type="spellEnd"/>
            <w:r w:rsidRPr="00923E74">
              <w:rPr>
                <w:szCs w:val="22"/>
                <w:lang w:val="lt-LT" w:eastAsia="sl-SI"/>
              </w:rPr>
              <w:t xml:space="preserve"> </w:t>
            </w:r>
            <w:r w:rsidR="00A31E3A" w:rsidRPr="00923E74">
              <w:rPr>
                <w:szCs w:val="22"/>
                <w:lang w:val="lt-LT" w:eastAsia="sl-SI"/>
              </w:rPr>
              <w:t>5,2</w:t>
            </w:r>
            <w:r w:rsidR="00DB52C7" w:rsidRPr="00923E74">
              <w:rPr>
                <w:szCs w:val="22"/>
                <w:lang w:val="lt-LT" w:eastAsia="sl-SI"/>
              </w:rPr>
              <w:t> mg</w:t>
            </w:r>
            <w:r w:rsidR="00A31E3A" w:rsidRPr="00923E74">
              <w:rPr>
                <w:szCs w:val="22"/>
                <w:lang w:val="lt-LT" w:eastAsia="sl-SI"/>
              </w:rPr>
              <w:t>/kg</w:t>
            </w:r>
            <w:r w:rsidR="00807F24">
              <w:rPr>
                <w:szCs w:val="22"/>
                <w:lang w:val="lt-LT" w:eastAsia="sl-SI"/>
              </w:rPr>
              <w:t> </w:t>
            </w:r>
            <w:r w:rsidR="00A31E3A" w:rsidRPr="00923E74">
              <w:rPr>
                <w:szCs w:val="22"/>
                <w:lang w:val="lt-LT" w:eastAsia="sl-SI"/>
              </w:rPr>
              <w:t>kūno</w:t>
            </w:r>
            <w:r w:rsidR="00807F24">
              <w:rPr>
                <w:szCs w:val="22"/>
                <w:lang w:val="lt-LT" w:eastAsia="sl-SI"/>
              </w:rPr>
              <w:t> </w:t>
            </w:r>
            <w:r w:rsidR="00A31E3A" w:rsidRPr="00923E74">
              <w:rPr>
                <w:szCs w:val="22"/>
                <w:lang w:val="lt-LT" w:eastAsia="sl-SI"/>
              </w:rPr>
              <w:t>svorio per</w:t>
            </w:r>
            <w:r w:rsidR="00807F24">
              <w:rPr>
                <w:szCs w:val="22"/>
                <w:lang w:val="lt-LT" w:eastAsia="sl-SI"/>
              </w:rPr>
              <w:t> </w:t>
            </w:r>
            <w:r w:rsidR="00A31E3A" w:rsidRPr="00923E74">
              <w:rPr>
                <w:szCs w:val="22"/>
                <w:lang w:val="lt-LT" w:eastAsia="sl-SI"/>
              </w:rPr>
              <w:t>parą, pastovi dozė</w:t>
            </w:r>
          </w:p>
        </w:tc>
        <w:tc>
          <w:tcPr>
            <w:tcW w:w="1065" w:type="pct"/>
            <w:tcBorders>
              <w:top w:val="outset" w:sz="6" w:space="0" w:color="7B7B7B"/>
              <w:left w:val="outset" w:sz="6" w:space="0" w:color="7B7B7B"/>
              <w:bottom w:val="outset" w:sz="6" w:space="0" w:color="7B7B7B"/>
              <w:right w:val="outset" w:sz="6" w:space="0" w:color="7B7B7B"/>
            </w:tcBorders>
            <w:hideMark/>
          </w:tcPr>
          <w:p w14:paraId="08D1F47B" w14:textId="4EFA4FB4"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A31E3A" w:rsidRPr="00923E74">
              <w:rPr>
                <w:snapToGrid/>
                <w:color w:val="000000"/>
                <w:szCs w:val="22"/>
                <w:lang w:val="lt-LT" w:eastAsia="en-GB"/>
              </w:rPr>
              <w:t>KP</w:t>
            </w:r>
            <w:r w:rsidR="001D603E" w:rsidRPr="00923E74">
              <w:rPr>
                <w:snapToGrid/>
                <w:color w:val="000000"/>
                <w:szCs w:val="22"/>
                <w:lang w:val="lt-LT" w:eastAsia="en-GB"/>
              </w:rPr>
              <w:t xml:space="preserve"> 28 </w:t>
            </w:r>
            <w:r w:rsidR="00CE0667">
              <w:rPr>
                <w:snapToGrid/>
                <w:color w:val="000000"/>
                <w:szCs w:val="22"/>
                <w:lang w:val="lt-LT" w:eastAsia="en-GB"/>
              </w:rPr>
              <w:t>par</w:t>
            </w:r>
            <w:r w:rsidR="00A31E3A"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hideMark/>
          </w:tcPr>
          <w:p w14:paraId="799CD78A"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8</w:t>
            </w:r>
            <w:r w:rsidR="00A31E3A" w:rsidRPr="00923E74">
              <w:rPr>
                <w:snapToGrid/>
                <w:color w:val="000000"/>
                <w:szCs w:val="22"/>
                <w:lang w:val="lt-LT" w:eastAsia="en-GB"/>
              </w:rPr>
              <w:t>,</w:t>
            </w:r>
            <w:r w:rsidRPr="00923E74">
              <w:rPr>
                <w:snapToGrid/>
                <w:color w:val="000000"/>
                <w:szCs w:val="22"/>
                <w:lang w:val="lt-LT" w:eastAsia="en-GB"/>
              </w:rPr>
              <w:t>7</w:t>
            </w:r>
          </w:p>
        </w:tc>
        <w:tc>
          <w:tcPr>
            <w:tcW w:w="1480" w:type="pct"/>
            <w:vMerge/>
            <w:tcBorders>
              <w:top w:val="outset" w:sz="6" w:space="0" w:color="7B7B7B"/>
              <w:left w:val="outset" w:sz="6" w:space="0" w:color="7B7B7B"/>
              <w:bottom w:val="outset" w:sz="6" w:space="0" w:color="7B7B7B"/>
              <w:right w:val="outset" w:sz="6" w:space="0" w:color="7B7B7B"/>
            </w:tcBorders>
            <w:hideMark/>
          </w:tcPr>
          <w:p w14:paraId="1105C691"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E906E9" w14:paraId="5FBABBA2"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6E06912E" w14:textId="740880EB" w:rsidR="00F93DE4" w:rsidRPr="007E15ED" w:rsidRDefault="005B4465" w:rsidP="005B4465">
            <w:pPr>
              <w:autoSpaceDE w:val="0"/>
              <w:autoSpaceDN w:val="0"/>
              <w:adjustRightInd w:val="0"/>
              <w:spacing w:line="240" w:lineRule="auto"/>
              <w:rPr>
                <w:szCs w:val="22"/>
                <w:lang w:val="lt-LT" w:eastAsia="sl-SI"/>
              </w:rPr>
            </w:pPr>
            <w:r w:rsidRPr="00923E74">
              <w:rPr>
                <w:szCs w:val="22"/>
                <w:lang w:val="lt-LT" w:eastAsia="sl-SI"/>
              </w:rPr>
              <w:t xml:space="preserve">Lopinaviras </w:t>
            </w:r>
            <w:r w:rsidR="00A31E3A" w:rsidRPr="00923E74">
              <w:rPr>
                <w:szCs w:val="22"/>
                <w:lang w:val="lt-LT" w:eastAsia="sl-SI"/>
              </w:rPr>
              <w:t>400</w:t>
            </w:r>
            <w:r w:rsidR="00DB52C7" w:rsidRPr="00923E74">
              <w:rPr>
                <w:szCs w:val="22"/>
                <w:lang w:val="lt-LT" w:eastAsia="sl-SI"/>
              </w:rPr>
              <w:t> mg</w:t>
            </w:r>
            <w:r w:rsidR="00807F24">
              <w:rPr>
                <w:szCs w:val="22"/>
                <w:lang w:val="lt-LT" w:eastAsia="sl-SI"/>
              </w:rPr>
              <w:t> </w:t>
            </w:r>
            <w:r w:rsidR="00A31E3A" w:rsidRPr="00923E74">
              <w:rPr>
                <w:szCs w:val="22"/>
                <w:lang w:val="lt-LT" w:eastAsia="sl-SI"/>
              </w:rPr>
              <w:t>DKP</w:t>
            </w:r>
            <w:r w:rsidR="00807F24">
              <w:rPr>
                <w:szCs w:val="22"/>
                <w:lang w:val="lt-LT" w:eastAsia="sl-SI"/>
              </w:rPr>
              <w:t xml:space="preserve"> ir</w:t>
            </w:r>
            <w:r w:rsidR="001237B9">
              <w:rPr>
                <w:szCs w:val="22"/>
                <w:lang w:val="lt-LT" w:eastAsia="sl-SI"/>
              </w:rPr>
              <w:t xml:space="preserve"> </w:t>
            </w:r>
            <w:r w:rsidRPr="00923E74">
              <w:rPr>
                <w:szCs w:val="22"/>
                <w:lang w:val="lt-LT" w:eastAsia="sl-SI"/>
              </w:rPr>
              <w:t xml:space="preserve">ritonaviras </w:t>
            </w:r>
            <w:r w:rsidR="00A31E3A" w:rsidRPr="00923E74">
              <w:rPr>
                <w:szCs w:val="22"/>
                <w:lang w:val="lt-LT" w:eastAsia="sl-SI"/>
              </w:rPr>
              <w:t>100</w:t>
            </w:r>
            <w:r w:rsidR="00DB52C7" w:rsidRPr="00923E74">
              <w:rPr>
                <w:szCs w:val="22"/>
                <w:lang w:val="lt-LT" w:eastAsia="sl-SI"/>
              </w:rPr>
              <w:t> mg</w:t>
            </w:r>
            <w:r w:rsidR="00807F24">
              <w:rPr>
                <w:szCs w:val="22"/>
                <w:lang w:val="lt-LT" w:eastAsia="sl-SI"/>
              </w:rPr>
              <w:t> </w:t>
            </w:r>
            <w:r w:rsidR="00A31E3A" w:rsidRPr="00923E74">
              <w:rPr>
                <w:szCs w:val="22"/>
                <w:lang w:val="lt-LT" w:eastAsia="sl-SI"/>
              </w:rPr>
              <w:t xml:space="preserve">DKP, </w:t>
            </w:r>
            <w:r w:rsidR="00A31E3A" w:rsidRPr="00923E74">
              <w:rPr>
                <w:snapToGrid/>
                <w:color w:val="000000"/>
                <w:szCs w:val="22"/>
                <w:lang w:val="lt-LT" w:eastAsia="en-GB"/>
              </w:rPr>
              <w:t>14 </w:t>
            </w:r>
            <w:r w:rsidR="00807F24">
              <w:rPr>
                <w:snapToGrid/>
                <w:color w:val="000000"/>
                <w:szCs w:val="22"/>
                <w:lang w:val="lt-LT" w:eastAsia="en-GB"/>
              </w:rPr>
              <w:t>par</w:t>
            </w:r>
            <w:r w:rsidR="00A31E3A"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hideMark/>
          </w:tcPr>
          <w:p w14:paraId="0CFC9690" w14:textId="028210CF"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20</w:t>
            </w:r>
            <w:r w:rsidR="00DB52C7" w:rsidRPr="00923E74">
              <w:rPr>
                <w:snapToGrid/>
                <w:color w:val="000000"/>
                <w:szCs w:val="22"/>
                <w:lang w:val="lt-LT" w:eastAsia="en-GB"/>
              </w:rPr>
              <w:t> mg</w:t>
            </w:r>
            <w:r w:rsidR="00CE0667">
              <w:rPr>
                <w:snapToGrid/>
                <w:color w:val="000000"/>
                <w:szCs w:val="22"/>
                <w:lang w:val="lt-LT" w:eastAsia="en-GB"/>
              </w:rPr>
              <w:t> </w:t>
            </w:r>
            <w:r w:rsidR="00A31E3A" w:rsidRPr="00923E74">
              <w:rPr>
                <w:snapToGrid/>
                <w:color w:val="000000"/>
                <w:szCs w:val="22"/>
                <w:lang w:val="lt-LT" w:eastAsia="en-GB"/>
              </w:rPr>
              <w:t>KP</w:t>
            </w:r>
            <w:r w:rsidRPr="00923E74">
              <w:rPr>
                <w:snapToGrid/>
                <w:color w:val="000000"/>
                <w:szCs w:val="22"/>
                <w:lang w:val="lt-LT" w:eastAsia="en-GB"/>
              </w:rPr>
              <w:t xml:space="preserve"> 4</w:t>
            </w:r>
            <w:r w:rsidR="00A31E3A" w:rsidRPr="00923E74">
              <w:rPr>
                <w:snapToGrid/>
                <w:color w:val="000000"/>
                <w:szCs w:val="22"/>
                <w:lang w:val="lt-LT" w:eastAsia="en-GB"/>
              </w:rPr>
              <w:t> </w:t>
            </w:r>
            <w:r w:rsidR="00CE0667">
              <w:rPr>
                <w:snapToGrid/>
                <w:color w:val="000000"/>
                <w:szCs w:val="22"/>
                <w:lang w:val="lt-LT" w:eastAsia="en-GB"/>
              </w:rPr>
              <w:t>par</w:t>
            </w:r>
            <w:r w:rsidR="00A31E3A"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hideMark/>
          </w:tcPr>
          <w:p w14:paraId="5128C7BC"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5</w:t>
            </w:r>
            <w:r w:rsidR="00A31E3A" w:rsidRPr="00923E74">
              <w:rPr>
                <w:snapToGrid/>
                <w:color w:val="000000"/>
                <w:szCs w:val="22"/>
                <w:lang w:val="lt-LT" w:eastAsia="en-GB"/>
              </w:rPr>
              <w:t>,</w:t>
            </w:r>
            <w:r w:rsidRPr="00923E74">
              <w:rPr>
                <w:snapToGrid/>
                <w:color w:val="000000"/>
                <w:szCs w:val="22"/>
                <w:lang w:val="lt-LT" w:eastAsia="en-GB"/>
              </w:rPr>
              <w:t>9</w:t>
            </w:r>
          </w:p>
        </w:tc>
        <w:tc>
          <w:tcPr>
            <w:tcW w:w="1480" w:type="pct"/>
            <w:vMerge w:val="restart"/>
            <w:tcBorders>
              <w:top w:val="outset" w:sz="6" w:space="0" w:color="7B7B7B"/>
              <w:left w:val="outset" w:sz="6" w:space="0" w:color="7B7B7B"/>
              <w:bottom w:val="outset" w:sz="6" w:space="0" w:color="7B7B7B"/>
              <w:right w:val="outset" w:sz="6" w:space="0" w:color="7B7B7B"/>
            </w:tcBorders>
            <w:hideMark/>
          </w:tcPr>
          <w:p w14:paraId="248364B2" w14:textId="77777777" w:rsidR="00F93DE4" w:rsidRPr="00923E74" w:rsidRDefault="005B4465"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Jeigu vartoti kartu su </w:t>
            </w:r>
            <w:proofErr w:type="spellStart"/>
            <w:r w:rsidRPr="00923E74">
              <w:rPr>
                <w:snapToGrid/>
                <w:color w:val="000000"/>
                <w:szCs w:val="22"/>
                <w:lang w:val="lt-LT" w:eastAsia="en-GB"/>
              </w:rPr>
              <w:t>atorvastatinu</w:t>
            </w:r>
            <w:proofErr w:type="spellEnd"/>
            <w:r w:rsidRPr="00923E74">
              <w:rPr>
                <w:snapToGrid/>
                <w:color w:val="000000"/>
                <w:szCs w:val="22"/>
                <w:lang w:val="lt-LT" w:eastAsia="en-GB"/>
              </w:rPr>
              <w:t xml:space="preserve"> būtina, rekomenduojama vartoti mažesnę palaikomąją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dozę. Vartojant didesnes kaip 20</w:t>
            </w:r>
            <w:r w:rsidR="00DB52C7" w:rsidRPr="00923E74">
              <w:rPr>
                <w:snapToGrid/>
                <w:color w:val="000000"/>
                <w:szCs w:val="22"/>
                <w:lang w:val="lt-LT" w:eastAsia="en-GB"/>
              </w:rPr>
              <w:t> mg</w:t>
            </w:r>
            <w:r w:rsidRPr="00923E74">
              <w:rPr>
                <w:snapToGrid/>
                <w:color w:val="000000"/>
                <w:szCs w:val="22"/>
                <w:lang w:val="lt-LT" w:eastAsia="en-GB"/>
              </w:rPr>
              <w:t xml:space="preserve">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paros dozes, rekomenduojama stebėti klinikinę tokių pacientų būklę</w:t>
            </w:r>
            <w:r w:rsidR="00F93DE4" w:rsidRPr="00923E74">
              <w:rPr>
                <w:i/>
                <w:iCs/>
                <w:snapToGrid/>
                <w:color w:val="000000"/>
                <w:szCs w:val="22"/>
                <w:lang w:val="lt-LT" w:eastAsia="en-GB"/>
              </w:rPr>
              <w:t>.</w:t>
            </w:r>
          </w:p>
        </w:tc>
      </w:tr>
      <w:tr w:rsidR="004D0FB2" w:rsidRPr="00923E74" w14:paraId="75E94CF9"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19BD0DD2" w14:textId="65CE4071" w:rsidR="00F93DE4" w:rsidRPr="00923E74" w:rsidRDefault="005B4465" w:rsidP="005B4465">
            <w:pPr>
              <w:tabs>
                <w:tab w:val="clear" w:pos="567"/>
              </w:tabs>
              <w:spacing w:line="240" w:lineRule="auto"/>
              <w:rPr>
                <w:snapToGrid/>
                <w:color w:val="000000"/>
                <w:szCs w:val="22"/>
                <w:lang w:val="lt-LT" w:eastAsia="en-GB"/>
              </w:rPr>
            </w:pPr>
            <w:proofErr w:type="spellStart"/>
            <w:r w:rsidRPr="00923E74">
              <w:rPr>
                <w:szCs w:val="22"/>
                <w:lang w:val="lt-LT" w:eastAsia="sl-SI"/>
              </w:rPr>
              <w:t>Klaritromicinas</w:t>
            </w:r>
            <w:proofErr w:type="spellEnd"/>
            <w:r w:rsidRPr="00923E74">
              <w:rPr>
                <w:szCs w:val="22"/>
                <w:lang w:val="lt-LT" w:eastAsia="sl-SI"/>
              </w:rPr>
              <w:t xml:space="preserve"> </w:t>
            </w:r>
            <w:r w:rsidR="00A31E3A" w:rsidRPr="00923E74">
              <w:rPr>
                <w:szCs w:val="22"/>
                <w:lang w:val="lt-LT" w:eastAsia="sl-SI"/>
              </w:rPr>
              <w:t>500</w:t>
            </w:r>
            <w:r w:rsidR="00DB52C7" w:rsidRPr="00923E74">
              <w:rPr>
                <w:szCs w:val="22"/>
                <w:lang w:val="lt-LT" w:eastAsia="sl-SI"/>
              </w:rPr>
              <w:t> mg</w:t>
            </w:r>
            <w:r w:rsidR="00807F24">
              <w:rPr>
                <w:szCs w:val="22"/>
                <w:lang w:val="lt-LT" w:eastAsia="sl-SI"/>
              </w:rPr>
              <w:t> </w:t>
            </w:r>
            <w:r w:rsidR="00A31E3A" w:rsidRPr="00923E74">
              <w:rPr>
                <w:szCs w:val="22"/>
                <w:lang w:val="lt-LT" w:eastAsia="sl-SI"/>
              </w:rPr>
              <w:t>DKP</w:t>
            </w:r>
            <w:r w:rsidR="00A31E3A" w:rsidRPr="00923E74">
              <w:rPr>
                <w:snapToGrid/>
                <w:color w:val="000000"/>
                <w:szCs w:val="22"/>
                <w:lang w:val="lt-LT" w:eastAsia="en-GB"/>
              </w:rPr>
              <w:t>, 9 </w:t>
            </w:r>
            <w:r w:rsidR="00807F24">
              <w:rPr>
                <w:snapToGrid/>
                <w:color w:val="000000"/>
                <w:szCs w:val="22"/>
                <w:lang w:val="lt-LT" w:eastAsia="en-GB"/>
              </w:rPr>
              <w:t>par</w:t>
            </w:r>
            <w:r w:rsidR="00A31E3A"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hideMark/>
          </w:tcPr>
          <w:p w14:paraId="04C7EE36" w14:textId="57FA40CE" w:rsidR="00F93DE4" w:rsidRPr="00923E74" w:rsidRDefault="00A31E3A" w:rsidP="00A31E3A">
            <w:pPr>
              <w:tabs>
                <w:tab w:val="clear" w:pos="567"/>
              </w:tabs>
              <w:spacing w:line="240" w:lineRule="auto"/>
              <w:rPr>
                <w:snapToGrid/>
                <w:color w:val="000000"/>
                <w:szCs w:val="22"/>
                <w:lang w:val="lt-LT" w:eastAsia="en-GB"/>
              </w:rPr>
            </w:pPr>
            <w:r w:rsidRPr="00923E74">
              <w:rPr>
                <w:snapToGrid/>
                <w:color w:val="000000"/>
                <w:szCs w:val="22"/>
                <w:lang w:val="lt-LT" w:eastAsia="en-GB"/>
              </w:rPr>
              <w:t>80</w:t>
            </w:r>
            <w:r w:rsidR="00DB52C7" w:rsidRPr="00923E74">
              <w:rPr>
                <w:snapToGrid/>
                <w:color w:val="000000"/>
                <w:szCs w:val="22"/>
                <w:lang w:val="lt-LT" w:eastAsia="en-GB"/>
              </w:rPr>
              <w:t> mg</w:t>
            </w:r>
            <w:r w:rsidR="00CE0667">
              <w:rPr>
                <w:snapToGrid/>
                <w:color w:val="000000"/>
                <w:szCs w:val="22"/>
                <w:lang w:val="lt-LT" w:eastAsia="en-GB"/>
              </w:rPr>
              <w:t> </w:t>
            </w:r>
            <w:r w:rsidRPr="00923E74">
              <w:rPr>
                <w:snapToGrid/>
                <w:color w:val="000000"/>
                <w:szCs w:val="22"/>
                <w:lang w:val="lt-LT" w:eastAsia="en-GB"/>
              </w:rPr>
              <w:t>KP 8 </w:t>
            </w:r>
            <w:r w:rsidR="00CE0667">
              <w:rPr>
                <w:snapToGrid/>
                <w:color w:val="000000"/>
                <w:szCs w:val="22"/>
                <w:lang w:val="lt-LT" w:eastAsia="en-GB"/>
              </w:rPr>
              <w:t>par</w:t>
            </w:r>
            <w:r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hideMark/>
          </w:tcPr>
          <w:p w14:paraId="050A3495"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4</w:t>
            </w:r>
            <w:r w:rsidR="00A31E3A" w:rsidRPr="00923E74">
              <w:rPr>
                <w:snapToGrid/>
                <w:color w:val="000000"/>
                <w:szCs w:val="22"/>
                <w:lang w:val="lt-LT" w:eastAsia="en-GB"/>
              </w:rPr>
              <w:t>,</w:t>
            </w:r>
            <w:r w:rsidRPr="00923E74">
              <w:rPr>
                <w:snapToGrid/>
                <w:color w:val="000000"/>
                <w:szCs w:val="22"/>
                <w:lang w:val="lt-LT" w:eastAsia="en-GB"/>
              </w:rPr>
              <w:t>5</w:t>
            </w:r>
          </w:p>
        </w:tc>
        <w:tc>
          <w:tcPr>
            <w:tcW w:w="1480" w:type="pct"/>
            <w:vMerge/>
            <w:tcBorders>
              <w:top w:val="outset" w:sz="6" w:space="0" w:color="7B7B7B"/>
              <w:left w:val="outset" w:sz="6" w:space="0" w:color="7B7B7B"/>
              <w:bottom w:val="outset" w:sz="6" w:space="0" w:color="7B7B7B"/>
              <w:right w:val="outset" w:sz="6" w:space="0" w:color="7B7B7B"/>
            </w:tcBorders>
            <w:hideMark/>
          </w:tcPr>
          <w:p w14:paraId="738FFCFC"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E906E9" w14:paraId="6B37DCE5"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123AEF5C" w14:textId="4C5CDDC3" w:rsidR="00F93DE4" w:rsidRPr="00923E74" w:rsidRDefault="00F93DE4" w:rsidP="00922EE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Sa</w:t>
            </w:r>
            <w:r w:rsidR="00CE20DB" w:rsidRPr="00923E74">
              <w:rPr>
                <w:snapToGrid/>
                <w:color w:val="000000"/>
                <w:szCs w:val="22"/>
                <w:lang w:val="lt-LT" w:eastAsia="en-GB"/>
              </w:rPr>
              <w:t>kv</w:t>
            </w:r>
            <w:r w:rsidRPr="00923E74">
              <w:rPr>
                <w:snapToGrid/>
                <w:color w:val="000000"/>
                <w:szCs w:val="22"/>
                <w:lang w:val="lt-LT" w:eastAsia="en-GB"/>
              </w:rPr>
              <w:t>inavir</w:t>
            </w:r>
            <w:r w:rsidR="00CE20DB" w:rsidRPr="00923E74">
              <w:rPr>
                <w:snapToGrid/>
                <w:color w:val="000000"/>
                <w:szCs w:val="22"/>
                <w:lang w:val="lt-LT" w:eastAsia="en-GB"/>
              </w:rPr>
              <w:t>as</w:t>
            </w:r>
            <w:proofErr w:type="spellEnd"/>
            <w:r w:rsidRPr="00923E74">
              <w:rPr>
                <w:snapToGrid/>
                <w:color w:val="000000"/>
                <w:szCs w:val="22"/>
                <w:lang w:val="lt-LT" w:eastAsia="en-GB"/>
              </w:rPr>
              <w:t xml:space="preserve"> 400</w:t>
            </w:r>
            <w:r w:rsidR="00DB52C7" w:rsidRPr="00923E74">
              <w:rPr>
                <w:snapToGrid/>
                <w:color w:val="000000"/>
                <w:szCs w:val="22"/>
                <w:lang w:val="lt-LT" w:eastAsia="en-GB"/>
              </w:rPr>
              <w:t> mg</w:t>
            </w:r>
            <w:r w:rsidR="00807F24">
              <w:rPr>
                <w:snapToGrid/>
                <w:color w:val="000000"/>
                <w:szCs w:val="22"/>
                <w:lang w:val="lt-LT" w:eastAsia="en-GB"/>
              </w:rPr>
              <w:t> </w:t>
            </w:r>
            <w:r w:rsidR="00CE20DB" w:rsidRPr="00923E74">
              <w:rPr>
                <w:snapToGrid/>
                <w:color w:val="000000"/>
                <w:szCs w:val="22"/>
                <w:lang w:val="lt-LT" w:eastAsia="en-GB"/>
              </w:rPr>
              <w:t>DKP</w:t>
            </w:r>
            <w:r w:rsidRPr="00923E74">
              <w:rPr>
                <w:snapToGrid/>
                <w:color w:val="000000"/>
                <w:szCs w:val="22"/>
                <w:lang w:val="lt-LT" w:eastAsia="en-GB"/>
              </w:rPr>
              <w:t xml:space="preserve"> </w:t>
            </w:r>
            <w:r w:rsidR="00807F24">
              <w:rPr>
                <w:snapToGrid/>
                <w:color w:val="000000"/>
                <w:szCs w:val="22"/>
                <w:lang w:val="lt-LT" w:eastAsia="en-GB"/>
              </w:rPr>
              <w:t>ir</w:t>
            </w:r>
            <w:r w:rsidR="001237B9">
              <w:rPr>
                <w:snapToGrid/>
                <w:color w:val="000000"/>
                <w:szCs w:val="22"/>
                <w:lang w:val="lt-LT" w:eastAsia="en-GB"/>
              </w:rPr>
              <w:t xml:space="preserve"> </w:t>
            </w:r>
            <w:r w:rsidR="00CE20DB" w:rsidRPr="00923E74">
              <w:rPr>
                <w:snapToGrid/>
                <w:color w:val="000000"/>
                <w:szCs w:val="22"/>
                <w:lang w:val="lt-LT" w:eastAsia="en-GB"/>
              </w:rPr>
              <w:t>r</w:t>
            </w:r>
            <w:r w:rsidRPr="00923E74">
              <w:rPr>
                <w:snapToGrid/>
                <w:color w:val="000000"/>
                <w:szCs w:val="22"/>
                <w:lang w:val="lt-LT" w:eastAsia="en-GB"/>
              </w:rPr>
              <w:t>itonavir</w:t>
            </w:r>
            <w:r w:rsidR="00CE20DB" w:rsidRPr="00923E74">
              <w:rPr>
                <w:snapToGrid/>
                <w:color w:val="000000"/>
                <w:szCs w:val="22"/>
                <w:lang w:val="lt-LT" w:eastAsia="en-GB"/>
              </w:rPr>
              <w:t>as</w:t>
            </w:r>
            <w:r w:rsidRPr="00923E74">
              <w:rPr>
                <w:snapToGrid/>
                <w:color w:val="000000"/>
                <w:szCs w:val="22"/>
                <w:lang w:val="lt-LT" w:eastAsia="en-GB"/>
              </w:rPr>
              <w:t xml:space="preserve"> 300</w:t>
            </w:r>
            <w:r w:rsidR="00DB52C7" w:rsidRPr="00923E74">
              <w:rPr>
                <w:snapToGrid/>
                <w:color w:val="000000"/>
                <w:szCs w:val="22"/>
                <w:lang w:val="lt-LT" w:eastAsia="en-GB"/>
              </w:rPr>
              <w:t> mg</w:t>
            </w:r>
            <w:r w:rsidR="00807F24">
              <w:rPr>
                <w:snapToGrid/>
                <w:color w:val="000000"/>
                <w:szCs w:val="22"/>
                <w:lang w:val="lt-LT" w:eastAsia="en-GB"/>
              </w:rPr>
              <w:t> </w:t>
            </w:r>
            <w:r w:rsidR="00CE20DB" w:rsidRPr="00923E74">
              <w:rPr>
                <w:snapToGrid/>
                <w:color w:val="000000"/>
                <w:szCs w:val="22"/>
                <w:lang w:val="lt-LT" w:eastAsia="en-GB"/>
              </w:rPr>
              <w:t>DKP</w:t>
            </w:r>
            <w:r w:rsidRPr="00923E74">
              <w:rPr>
                <w:snapToGrid/>
                <w:color w:val="000000"/>
                <w:szCs w:val="22"/>
                <w:lang w:val="lt-LT" w:eastAsia="en-GB"/>
              </w:rPr>
              <w:t xml:space="preserve"> 5</w:t>
            </w:r>
            <w:r w:rsidR="00CE20DB" w:rsidRPr="00923E74">
              <w:rPr>
                <w:snapToGrid/>
                <w:color w:val="000000"/>
                <w:szCs w:val="22"/>
                <w:lang w:val="lt-LT" w:eastAsia="en-GB"/>
              </w:rPr>
              <w:noBreakHyphen/>
            </w:r>
            <w:r w:rsidRPr="00923E74">
              <w:rPr>
                <w:snapToGrid/>
                <w:color w:val="000000"/>
                <w:szCs w:val="22"/>
                <w:lang w:val="lt-LT" w:eastAsia="en-GB"/>
              </w:rPr>
              <w:t>7</w:t>
            </w:r>
            <w:r w:rsidR="00CE20DB" w:rsidRPr="00923E74">
              <w:rPr>
                <w:snapToGrid/>
                <w:color w:val="000000"/>
                <w:szCs w:val="22"/>
                <w:lang w:val="lt-LT" w:eastAsia="en-GB"/>
              </w:rPr>
              <w:t> </w:t>
            </w:r>
            <w:r w:rsidR="00807F24">
              <w:rPr>
                <w:snapToGrid/>
                <w:color w:val="000000"/>
                <w:szCs w:val="22"/>
                <w:lang w:val="lt-LT" w:eastAsia="en-GB"/>
              </w:rPr>
              <w:t>par</w:t>
            </w:r>
            <w:r w:rsidR="00CE20DB" w:rsidRPr="00923E74">
              <w:rPr>
                <w:snapToGrid/>
                <w:color w:val="000000"/>
                <w:szCs w:val="22"/>
                <w:lang w:val="lt-LT" w:eastAsia="en-GB"/>
              </w:rPr>
              <w:t>omis</w:t>
            </w:r>
            <w:r w:rsidRPr="00923E74">
              <w:rPr>
                <w:snapToGrid/>
                <w:color w:val="000000"/>
                <w:szCs w:val="22"/>
                <w:lang w:val="lt-LT" w:eastAsia="en-GB"/>
              </w:rPr>
              <w:t xml:space="preserve">, </w:t>
            </w:r>
            <w:r w:rsidR="00CE20DB" w:rsidRPr="00923E74">
              <w:rPr>
                <w:snapToGrid/>
                <w:color w:val="000000"/>
                <w:szCs w:val="22"/>
                <w:lang w:val="lt-LT" w:eastAsia="en-GB"/>
              </w:rPr>
              <w:t>padidinant iki</w:t>
            </w:r>
            <w:r w:rsidRPr="00923E74">
              <w:rPr>
                <w:snapToGrid/>
                <w:color w:val="000000"/>
                <w:szCs w:val="22"/>
                <w:lang w:val="lt-LT" w:eastAsia="en-GB"/>
              </w:rPr>
              <w:t xml:space="preserve"> 400</w:t>
            </w:r>
            <w:r w:rsidR="00DB52C7" w:rsidRPr="00923E74">
              <w:rPr>
                <w:snapToGrid/>
                <w:color w:val="000000"/>
                <w:szCs w:val="22"/>
                <w:lang w:val="lt-LT" w:eastAsia="en-GB"/>
              </w:rPr>
              <w:t> mg</w:t>
            </w:r>
            <w:r w:rsidR="00807F24">
              <w:rPr>
                <w:snapToGrid/>
                <w:color w:val="000000"/>
                <w:szCs w:val="22"/>
                <w:lang w:val="lt-LT" w:eastAsia="en-GB"/>
              </w:rPr>
              <w:t> </w:t>
            </w:r>
            <w:r w:rsidR="00CE20DB" w:rsidRPr="00923E74">
              <w:rPr>
                <w:snapToGrid/>
                <w:color w:val="000000"/>
                <w:szCs w:val="22"/>
                <w:lang w:val="lt-LT" w:eastAsia="en-GB"/>
              </w:rPr>
              <w:t>DKP</w:t>
            </w:r>
            <w:r w:rsidRPr="00923E74">
              <w:rPr>
                <w:snapToGrid/>
                <w:color w:val="000000"/>
                <w:szCs w:val="22"/>
                <w:lang w:val="lt-LT" w:eastAsia="en-GB"/>
              </w:rPr>
              <w:t xml:space="preserve"> 8</w:t>
            </w:r>
            <w:r w:rsidR="00CE20DB" w:rsidRPr="00923E74">
              <w:rPr>
                <w:snapToGrid/>
                <w:color w:val="000000"/>
                <w:szCs w:val="22"/>
                <w:lang w:val="lt-LT" w:eastAsia="en-GB"/>
              </w:rPr>
              <w:t> </w:t>
            </w:r>
            <w:r w:rsidR="00807F24">
              <w:rPr>
                <w:snapToGrid/>
                <w:color w:val="000000"/>
                <w:szCs w:val="22"/>
                <w:lang w:val="lt-LT" w:eastAsia="en-GB"/>
              </w:rPr>
              <w:t>par</w:t>
            </w:r>
            <w:r w:rsidR="00CE20DB" w:rsidRPr="00923E74">
              <w:rPr>
                <w:snapToGrid/>
                <w:color w:val="000000"/>
                <w:szCs w:val="22"/>
                <w:lang w:val="lt-LT" w:eastAsia="en-GB"/>
              </w:rPr>
              <w:t>ą</w:t>
            </w:r>
            <w:r w:rsidRPr="00923E74">
              <w:rPr>
                <w:snapToGrid/>
                <w:color w:val="000000"/>
                <w:szCs w:val="22"/>
                <w:lang w:val="lt-LT" w:eastAsia="en-GB"/>
              </w:rPr>
              <w:t>, 4</w:t>
            </w:r>
            <w:r w:rsidR="00CE20DB" w:rsidRPr="00923E74">
              <w:rPr>
                <w:snapToGrid/>
                <w:color w:val="000000"/>
                <w:szCs w:val="22"/>
                <w:lang w:val="lt-LT" w:eastAsia="en-GB"/>
              </w:rPr>
              <w:noBreakHyphen/>
            </w:r>
            <w:r w:rsidRPr="00923E74">
              <w:rPr>
                <w:snapToGrid/>
                <w:color w:val="000000"/>
                <w:szCs w:val="22"/>
                <w:lang w:val="lt-LT" w:eastAsia="en-GB"/>
              </w:rPr>
              <w:t>18</w:t>
            </w:r>
            <w:r w:rsidR="00CE20DB" w:rsidRPr="00923E74">
              <w:rPr>
                <w:snapToGrid/>
                <w:color w:val="000000"/>
                <w:szCs w:val="22"/>
                <w:lang w:val="lt-LT" w:eastAsia="en-GB"/>
              </w:rPr>
              <w:t> </w:t>
            </w:r>
            <w:r w:rsidR="00807F24">
              <w:rPr>
                <w:snapToGrid/>
                <w:color w:val="000000"/>
                <w:szCs w:val="22"/>
                <w:lang w:val="lt-LT" w:eastAsia="en-GB"/>
              </w:rPr>
              <w:t>par</w:t>
            </w:r>
            <w:r w:rsidR="00CE20DB" w:rsidRPr="00923E74">
              <w:rPr>
                <w:snapToGrid/>
                <w:color w:val="000000"/>
                <w:szCs w:val="22"/>
                <w:lang w:val="lt-LT" w:eastAsia="en-GB"/>
              </w:rPr>
              <w:t>omis</w:t>
            </w:r>
            <w:r w:rsidRPr="00923E74">
              <w:rPr>
                <w:snapToGrid/>
                <w:color w:val="000000"/>
                <w:szCs w:val="22"/>
                <w:lang w:val="lt-LT" w:eastAsia="en-GB"/>
              </w:rPr>
              <w:t>, 30</w:t>
            </w:r>
            <w:r w:rsidR="00922EE3" w:rsidRPr="00923E74">
              <w:rPr>
                <w:snapToGrid/>
                <w:color w:val="000000"/>
                <w:szCs w:val="22"/>
                <w:lang w:val="lt-LT" w:eastAsia="en-GB"/>
              </w:rPr>
              <w:t> </w:t>
            </w:r>
            <w:r w:rsidRPr="00923E74">
              <w:rPr>
                <w:snapToGrid/>
                <w:color w:val="000000"/>
                <w:szCs w:val="22"/>
                <w:lang w:val="lt-LT" w:eastAsia="en-GB"/>
              </w:rPr>
              <w:t>min</w:t>
            </w:r>
            <w:r w:rsidR="00CE20DB" w:rsidRPr="00923E74">
              <w:rPr>
                <w:snapToGrid/>
                <w:color w:val="000000"/>
                <w:szCs w:val="22"/>
                <w:lang w:val="lt-LT" w:eastAsia="en-GB"/>
              </w:rPr>
              <w:t>.</w:t>
            </w:r>
            <w:r w:rsidRPr="00923E74">
              <w:rPr>
                <w:snapToGrid/>
                <w:color w:val="000000"/>
                <w:szCs w:val="22"/>
                <w:lang w:val="lt-LT" w:eastAsia="en-GB"/>
              </w:rPr>
              <w:t xml:space="preserve"> </w:t>
            </w:r>
            <w:r w:rsidR="00CE20DB" w:rsidRPr="00923E74">
              <w:rPr>
                <w:snapToGrid/>
                <w:color w:val="000000"/>
                <w:szCs w:val="22"/>
                <w:lang w:val="lt-LT" w:eastAsia="en-GB"/>
              </w:rPr>
              <w:t>po</w:t>
            </w:r>
            <w:r w:rsidRPr="00923E74">
              <w:rPr>
                <w:snapToGrid/>
                <w:color w:val="000000"/>
                <w:szCs w:val="22"/>
                <w:lang w:val="lt-LT" w:eastAsia="en-GB"/>
              </w:rPr>
              <w:t xml:space="preserve"> </w:t>
            </w:r>
            <w:proofErr w:type="spellStart"/>
            <w:r w:rsidRPr="00923E74">
              <w:rPr>
                <w:snapToGrid/>
                <w:color w:val="000000"/>
                <w:szCs w:val="22"/>
                <w:lang w:val="lt-LT" w:eastAsia="en-GB"/>
              </w:rPr>
              <w:t>atorvastatin</w:t>
            </w:r>
            <w:r w:rsidR="00CE20DB" w:rsidRPr="00923E74">
              <w:rPr>
                <w:snapToGrid/>
                <w:color w:val="000000"/>
                <w:szCs w:val="22"/>
                <w:lang w:val="lt-LT" w:eastAsia="en-GB"/>
              </w:rPr>
              <w:t>o</w:t>
            </w:r>
            <w:proofErr w:type="spellEnd"/>
            <w:r w:rsidRPr="00923E74">
              <w:rPr>
                <w:snapToGrid/>
                <w:color w:val="000000"/>
                <w:szCs w:val="22"/>
                <w:lang w:val="lt-LT" w:eastAsia="en-GB"/>
              </w:rPr>
              <w:t xml:space="preserve"> do</w:t>
            </w:r>
            <w:r w:rsidR="00CE20DB" w:rsidRPr="00923E74">
              <w:rPr>
                <w:snapToGrid/>
                <w:color w:val="000000"/>
                <w:szCs w:val="22"/>
                <w:lang w:val="lt-LT" w:eastAsia="en-GB"/>
              </w:rPr>
              <w:t>zės pavartojimo</w:t>
            </w:r>
          </w:p>
        </w:tc>
        <w:tc>
          <w:tcPr>
            <w:tcW w:w="1065" w:type="pct"/>
            <w:tcBorders>
              <w:top w:val="outset" w:sz="6" w:space="0" w:color="7B7B7B"/>
              <w:left w:val="outset" w:sz="6" w:space="0" w:color="7B7B7B"/>
              <w:bottom w:val="outset" w:sz="6" w:space="0" w:color="7B7B7B"/>
              <w:right w:val="outset" w:sz="6" w:space="0" w:color="7B7B7B"/>
            </w:tcBorders>
            <w:hideMark/>
          </w:tcPr>
          <w:p w14:paraId="79FD5C7B" w14:textId="1D7067EE" w:rsidR="00F93DE4" w:rsidRPr="00923E74" w:rsidRDefault="00F93DE4" w:rsidP="00922EE3">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922EE3" w:rsidRPr="00923E74">
              <w:rPr>
                <w:snapToGrid/>
                <w:color w:val="000000"/>
                <w:szCs w:val="22"/>
                <w:lang w:val="lt-LT" w:eastAsia="en-GB"/>
              </w:rPr>
              <w:t>4 </w:t>
            </w:r>
            <w:r w:rsidR="00CE0667">
              <w:rPr>
                <w:snapToGrid/>
                <w:color w:val="000000"/>
                <w:szCs w:val="22"/>
                <w:lang w:val="lt-LT" w:eastAsia="en-GB"/>
              </w:rPr>
              <w:t>par</w:t>
            </w:r>
            <w:r w:rsidR="00922EE3"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hideMark/>
          </w:tcPr>
          <w:p w14:paraId="07D1E681"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3</w:t>
            </w:r>
            <w:r w:rsidR="00A31E3A" w:rsidRPr="00923E74">
              <w:rPr>
                <w:snapToGrid/>
                <w:color w:val="000000"/>
                <w:szCs w:val="22"/>
                <w:lang w:val="lt-LT" w:eastAsia="en-GB"/>
              </w:rPr>
              <w:t>,</w:t>
            </w:r>
            <w:r w:rsidRPr="00923E74">
              <w:rPr>
                <w:snapToGrid/>
                <w:color w:val="000000"/>
                <w:szCs w:val="22"/>
                <w:lang w:val="lt-LT" w:eastAsia="en-GB"/>
              </w:rPr>
              <w:t>9</w:t>
            </w:r>
          </w:p>
        </w:tc>
        <w:tc>
          <w:tcPr>
            <w:tcW w:w="1480" w:type="pct"/>
            <w:vMerge w:val="restart"/>
            <w:tcBorders>
              <w:top w:val="outset" w:sz="6" w:space="0" w:color="7B7B7B"/>
              <w:left w:val="outset" w:sz="6" w:space="0" w:color="7B7B7B"/>
              <w:bottom w:val="outset" w:sz="6" w:space="0" w:color="7B7B7B"/>
              <w:right w:val="outset" w:sz="6" w:space="0" w:color="7B7B7B"/>
            </w:tcBorders>
            <w:hideMark/>
          </w:tcPr>
          <w:p w14:paraId="1A84943E" w14:textId="77777777" w:rsidR="00F93DE4" w:rsidRPr="00923E74" w:rsidRDefault="00E01CB0" w:rsidP="00E01CB0">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Jeigu vartoti kartu su </w:t>
            </w:r>
            <w:proofErr w:type="spellStart"/>
            <w:r w:rsidRPr="00923E74">
              <w:rPr>
                <w:snapToGrid/>
                <w:color w:val="000000"/>
                <w:szCs w:val="22"/>
                <w:lang w:val="lt-LT" w:eastAsia="en-GB"/>
              </w:rPr>
              <w:t>atorvastatinu</w:t>
            </w:r>
            <w:proofErr w:type="spellEnd"/>
            <w:r w:rsidRPr="00923E74">
              <w:rPr>
                <w:snapToGrid/>
                <w:color w:val="000000"/>
                <w:szCs w:val="22"/>
                <w:lang w:val="lt-LT" w:eastAsia="en-GB"/>
              </w:rPr>
              <w:t xml:space="preserve"> būtina, rekomenduojama vartoti mažesnę palaikomąją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dozę. Vartojant didesnes kaip 40</w:t>
            </w:r>
            <w:r w:rsidR="00DB52C7" w:rsidRPr="00923E74">
              <w:rPr>
                <w:snapToGrid/>
                <w:color w:val="000000"/>
                <w:szCs w:val="22"/>
                <w:lang w:val="lt-LT" w:eastAsia="en-GB"/>
              </w:rPr>
              <w:t> mg</w:t>
            </w:r>
            <w:r w:rsidRPr="00923E74">
              <w:rPr>
                <w:snapToGrid/>
                <w:color w:val="000000"/>
                <w:szCs w:val="22"/>
                <w:lang w:val="lt-LT" w:eastAsia="en-GB"/>
              </w:rPr>
              <w:t xml:space="preserve">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paros dozes, rekomenduojama stebėti klinikinę tokių pacientų būklę</w:t>
            </w:r>
            <w:r w:rsidRPr="00923E74">
              <w:rPr>
                <w:i/>
                <w:iCs/>
                <w:snapToGrid/>
                <w:color w:val="000000"/>
                <w:szCs w:val="22"/>
                <w:lang w:val="lt-LT" w:eastAsia="en-GB"/>
              </w:rPr>
              <w:t>.</w:t>
            </w:r>
          </w:p>
        </w:tc>
      </w:tr>
      <w:tr w:rsidR="004D0FB2" w:rsidRPr="00923E74" w14:paraId="7926B29E"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59223D3E" w14:textId="33096E30" w:rsidR="00F93DE4" w:rsidRPr="00923E74" w:rsidRDefault="00F93DE4" w:rsidP="00922EE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Darunavir</w:t>
            </w:r>
            <w:r w:rsidR="00922EE3" w:rsidRPr="00923E74">
              <w:rPr>
                <w:snapToGrid/>
                <w:color w:val="000000"/>
                <w:szCs w:val="22"/>
                <w:lang w:val="lt-LT" w:eastAsia="en-GB"/>
              </w:rPr>
              <w:t>as</w:t>
            </w:r>
            <w:proofErr w:type="spellEnd"/>
            <w:r w:rsidRPr="00923E74">
              <w:rPr>
                <w:snapToGrid/>
                <w:color w:val="000000"/>
                <w:szCs w:val="22"/>
                <w:lang w:val="lt-LT" w:eastAsia="en-GB"/>
              </w:rPr>
              <w:t xml:space="preserve"> 300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Pr="00923E74">
              <w:rPr>
                <w:snapToGrid/>
                <w:color w:val="000000"/>
                <w:szCs w:val="22"/>
                <w:lang w:val="lt-LT" w:eastAsia="en-GB"/>
              </w:rPr>
              <w:t xml:space="preserve"> </w:t>
            </w:r>
            <w:r w:rsidR="00807F24">
              <w:rPr>
                <w:snapToGrid/>
                <w:color w:val="000000"/>
                <w:szCs w:val="22"/>
                <w:lang w:val="lt-LT" w:eastAsia="en-GB"/>
              </w:rPr>
              <w:t>ir</w:t>
            </w:r>
            <w:r w:rsidR="001237B9">
              <w:rPr>
                <w:snapToGrid/>
                <w:color w:val="000000"/>
                <w:szCs w:val="22"/>
                <w:lang w:val="lt-LT" w:eastAsia="en-GB"/>
              </w:rPr>
              <w:t xml:space="preserve"> </w:t>
            </w:r>
            <w:r w:rsidR="00922EE3" w:rsidRPr="00923E74">
              <w:rPr>
                <w:snapToGrid/>
                <w:color w:val="000000"/>
                <w:szCs w:val="22"/>
                <w:lang w:val="lt-LT" w:eastAsia="en-GB"/>
              </w:rPr>
              <w:t>r</w:t>
            </w:r>
            <w:r w:rsidRPr="00923E74">
              <w:rPr>
                <w:snapToGrid/>
                <w:color w:val="000000"/>
                <w:szCs w:val="22"/>
                <w:lang w:val="lt-LT" w:eastAsia="en-GB"/>
              </w:rPr>
              <w:t>itonavir</w:t>
            </w:r>
            <w:r w:rsidR="00922EE3" w:rsidRPr="00923E74">
              <w:rPr>
                <w:snapToGrid/>
                <w:color w:val="000000"/>
                <w:szCs w:val="22"/>
                <w:lang w:val="lt-LT" w:eastAsia="en-GB"/>
              </w:rPr>
              <w:t>as</w:t>
            </w:r>
            <w:r w:rsidRPr="00923E74">
              <w:rPr>
                <w:snapToGrid/>
                <w:color w:val="000000"/>
                <w:szCs w:val="22"/>
                <w:lang w:val="lt-LT" w:eastAsia="en-GB"/>
              </w:rPr>
              <w:t xml:space="preserve"> 100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Pr="00923E74">
              <w:rPr>
                <w:snapToGrid/>
                <w:color w:val="000000"/>
                <w:szCs w:val="22"/>
                <w:lang w:val="lt-LT" w:eastAsia="en-GB"/>
              </w:rPr>
              <w:t>, 9</w:t>
            </w:r>
            <w:r w:rsidR="00922EE3" w:rsidRPr="00923E74">
              <w:rPr>
                <w:snapToGrid/>
                <w:color w:val="000000"/>
                <w:szCs w:val="22"/>
                <w:lang w:val="lt-LT" w:eastAsia="en-GB"/>
              </w:rPr>
              <w:t> </w:t>
            </w:r>
            <w:r w:rsidR="00807F24">
              <w:rPr>
                <w:snapToGrid/>
                <w:color w:val="000000"/>
                <w:szCs w:val="22"/>
                <w:lang w:val="lt-LT" w:eastAsia="en-GB"/>
              </w:rPr>
              <w:t>par</w:t>
            </w:r>
            <w:r w:rsidR="00922EE3"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hideMark/>
          </w:tcPr>
          <w:p w14:paraId="11945DB3" w14:textId="05B2F190"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922EE3" w:rsidRPr="00923E74">
              <w:rPr>
                <w:snapToGrid/>
                <w:color w:val="000000"/>
                <w:szCs w:val="22"/>
                <w:lang w:val="lt-LT" w:eastAsia="en-GB"/>
              </w:rPr>
              <w:t>4 </w:t>
            </w:r>
            <w:r w:rsidR="00CE0667">
              <w:rPr>
                <w:snapToGrid/>
                <w:color w:val="000000"/>
                <w:szCs w:val="22"/>
                <w:lang w:val="lt-LT" w:eastAsia="en-GB"/>
              </w:rPr>
              <w:t>par</w:t>
            </w:r>
            <w:r w:rsidR="00922EE3"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hideMark/>
          </w:tcPr>
          <w:p w14:paraId="03DB5E45"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3</w:t>
            </w:r>
            <w:r w:rsidR="00A31E3A" w:rsidRPr="00923E74">
              <w:rPr>
                <w:snapToGrid/>
                <w:color w:val="000000"/>
                <w:szCs w:val="22"/>
                <w:lang w:val="lt-LT" w:eastAsia="en-GB"/>
              </w:rPr>
              <w:t>,</w:t>
            </w:r>
            <w:r w:rsidRPr="00923E74">
              <w:rPr>
                <w:snapToGrid/>
                <w:color w:val="000000"/>
                <w:szCs w:val="22"/>
                <w:lang w:val="lt-LT" w:eastAsia="en-GB"/>
              </w:rPr>
              <w:t>4</w:t>
            </w:r>
          </w:p>
        </w:tc>
        <w:tc>
          <w:tcPr>
            <w:tcW w:w="1480" w:type="pct"/>
            <w:vMerge/>
            <w:tcBorders>
              <w:top w:val="outset" w:sz="6" w:space="0" w:color="7B7B7B"/>
              <w:left w:val="outset" w:sz="6" w:space="0" w:color="7B7B7B"/>
              <w:bottom w:val="outset" w:sz="6" w:space="0" w:color="7B7B7B"/>
              <w:right w:val="outset" w:sz="6" w:space="0" w:color="7B7B7B"/>
            </w:tcBorders>
            <w:hideMark/>
          </w:tcPr>
          <w:p w14:paraId="11BC2010"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923E74" w14:paraId="0852E41F"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5C9F4910" w14:textId="1F83CE3F" w:rsidR="00F93DE4" w:rsidRPr="00923E74" w:rsidRDefault="00F93DE4" w:rsidP="00E01CB0">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Itra</w:t>
            </w:r>
            <w:r w:rsidR="00E01CB0" w:rsidRPr="00923E74">
              <w:rPr>
                <w:snapToGrid/>
                <w:color w:val="000000"/>
                <w:szCs w:val="22"/>
                <w:lang w:val="lt-LT" w:eastAsia="en-GB"/>
              </w:rPr>
              <w:t>k</w:t>
            </w:r>
            <w:r w:rsidRPr="00923E74">
              <w:rPr>
                <w:snapToGrid/>
                <w:color w:val="000000"/>
                <w:szCs w:val="22"/>
                <w:lang w:val="lt-LT" w:eastAsia="en-GB"/>
              </w:rPr>
              <w:t>onazol</w:t>
            </w:r>
            <w:r w:rsidR="00E01CB0" w:rsidRPr="00923E74">
              <w:rPr>
                <w:snapToGrid/>
                <w:color w:val="000000"/>
                <w:szCs w:val="22"/>
                <w:lang w:val="lt-LT" w:eastAsia="en-GB"/>
              </w:rPr>
              <w:t>as</w:t>
            </w:r>
            <w:proofErr w:type="spellEnd"/>
            <w:r w:rsidRPr="00923E74">
              <w:rPr>
                <w:snapToGrid/>
                <w:color w:val="000000"/>
                <w:szCs w:val="22"/>
                <w:lang w:val="lt-LT" w:eastAsia="en-GB"/>
              </w:rPr>
              <w:t xml:space="preserve"> 200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4</w:t>
            </w:r>
            <w:r w:rsidR="00922EE3" w:rsidRPr="00923E74">
              <w:rPr>
                <w:snapToGrid/>
                <w:color w:val="000000"/>
                <w:szCs w:val="22"/>
                <w:lang w:val="lt-LT" w:eastAsia="en-GB"/>
              </w:rPr>
              <w:t> </w:t>
            </w:r>
            <w:r w:rsidR="00807F24">
              <w:rPr>
                <w:snapToGrid/>
                <w:color w:val="000000"/>
                <w:szCs w:val="22"/>
                <w:lang w:val="lt-LT" w:eastAsia="en-GB"/>
              </w:rPr>
              <w:t>par</w:t>
            </w:r>
            <w:r w:rsidR="00922EE3"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hideMark/>
          </w:tcPr>
          <w:p w14:paraId="65C2D9C8" w14:textId="1E8C1C3B"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hideMark/>
          </w:tcPr>
          <w:p w14:paraId="7F29A7DE"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3</w:t>
            </w:r>
            <w:r w:rsidR="00A31E3A" w:rsidRPr="00923E74">
              <w:rPr>
                <w:snapToGrid/>
                <w:color w:val="000000"/>
                <w:szCs w:val="22"/>
                <w:lang w:val="lt-LT" w:eastAsia="en-GB"/>
              </w:rPr>
              <w:t>,</w:t>
            </w:r>
            <w:r w:rsidRPr="00923E74">
              <w:rPr>
                <w:snapToGrid/>
                <w:color w:val="000000"/>
                <w:szCs w:val="22"/>
                <w:lang w:val="lt-LT" w:eastAsia="en-GB"/>
              </w:rPr>
              <w:t>3</w:t>
            </w:r>
          </w:p>
        </w:tc>
        <w:tc>
          <w:tcPr>
            <w:tcW w:w="1480" w:type="pct"/>
            <w:vMerge/>
            <w:tcBorders>
              <w:top w:val="outset" w:sz="6" w:space="0" w:color="7B7B7B"/>
              <w:left w:val="outset" w:sz="6" w:space="0" w:color="7B7B7B"/>
              <w:bottom w:val="outset" w:sz="6" w:space="0" w:color="7B7B7B"/>
              <w:right w:val="outset" w:sz="6" w:space="0" w:color="7B7B7B"/>
            </w:tcBorders>
            <w:hideMark/>
          </w:tcPr>
          <w:p w14:paraId="7C19E429"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923E74" w14:paraId="5C6D6A7F"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6F062A0A" w14:textId="487370CC" w:rsidR="00F93DE4" w:rsidRPr="00923E74" w:rsidRDefault="00F93DE4" w:rsidP="00E01CB0">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lastRenderedPageBreak/>
              <w:t>Fosamprenavir</w:t>
            </w:r>
            <w:r w:rsidR="00E01CB0" w:rsidRPr="00923E74">
              <w:rPr>
                <w:snapToGrid/>
                <w:color w:val="000000"/>
                <w:szCs w:val="22"/>
                <w:lang w:val="lt-LT" w:eastAsia="en-GB"/>
              </w:rPr>
              <w:t>as</w:t>
            </w:r>
            <w:proofErr w:type="spellEnd"/>
            <w:r w:rsidRPr="00923E74">
              <w:rPr>
                <w:snapToGrid/>
                <w:color w:val="000000"/>
                <w:szCs w:val="22"/>
                <w:lang w:val="lt-LT" w:eastAsia="en-GB"/>
              </w:rPr>
              <w:t xml:space="preserve"> 700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00807F24">
              <w:rPr>
                <w:snapToGrid/>
                <w:color w:val="000000"/>
                <w:szCs w:val="22"/>
                <w:lang w:val="lt-LT" w:eastAsia="en-GB"/>
              </w:rPr>
              <w:t xml:space="preserve"> ir</w:t>
            </w:r>
            <w:r w:rsidRPr="00923E74">
              <w:rPr>
                <w:snapToGrid/>
                <w:color w:val="000000"/>
                <w:szCs w:val="22"/>
                <w:lang w:val="lt-LT" w:eastAsia="en-GB"/>
              </w:rPr>
              <w:t xml:space="preserve"> </w:t>
            </w:r>
            <w:r w:rsidR="00E01CB0" w:rsidRPr="00923E74">
              <w:rPr>
                <w:snapToGrid/>
                <w:color w:val="000000"/>
                <w:szCs w:val="22"/>
                <w:lang w:val="lt-LT" w:eastAsia="en-GB"/>
              </w:rPr>
              <w:t>r</w:t>
            </w:r>
            <w:r w:rsidRPr="00923E74">
              <w:rPr>
                <w:snapToGrid/>
                <w:color w:val="000000"/>
                <w:szCs w:val="22"/>
                <w:lang w:val="lt-LT" w:eastAsia="en-GB"/>
              </w:rPr>
              <w:t>itonavir</w:t>
            </w:r>
            <w:r w:rsidR="00E01CB0" w:rsidRPr="00923E74">
              <w:rPr>
                <w:snapToGrid/>
                <w:color w:val="000000"/>
                <w:szCs w:val="22"/>
                <w:lang w:val="lt-LT" w:eastAsia="en-GB"/>
              </w:rPr>
              <w:t>as</w:t>
            </w:r>
            <w:r w:rsidRPr="00923E74">
              <w:rPr>
                <w:snapToGrid/>
                <w:color w:val="000000"/>
                <w:szCs w:val="22"/>
                <w:lang w:val="lt-LT" w:eastAsia="en-GB"/>
              </w:rPr>
              <w:t xml:space="preserve"> 100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 14 </w:t>
            </w:r>
            <w:r w:rsidR="00807F24">
              <w:rPr>
                <w:snapToGrid/>
                <w:color w:val="000000"/>
                <w:szCs w:val="22"/>
                <w:lang w:val="lt-LT" w:eastAsia="en-GB"/>
              </w:rPr>
              <w:t>par</w:t>
            </w:r>
            <w:r w:rsidR="00922EE3"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hideMark/>
          </w:tcPr>
          <w:p w14:paraId="5A87A4FD" w14:textId="16ADBC27"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922EE3" w:rsidRPr="00923E74">
              <w:rPr>
                <w:snapToGrid/>
                <w:color w:val="000000"/>
                <w:szCs w:val="22"/>
                <w:lang w:val="lt-LT" w:eastAsia="en-GB"/>
              </w:rPr>
              <w:t>4 </w:t>
            </w:r>
            <w:r w:rsidR="00CE0667">
              <w:rPr>
                <w:snapToGrid/>
                <w:color w:val="000000"/>
                <w:szCs w:val="22"/>
                <w:lang w:val="lt-LT" w:eastAsia="en-GB"/>
              </w:rPr>
              <w:t>par</w:t>
            </w:r>
            <w:r w:rsidR="00922EE3"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hideMark/>
          </w:tcPr>
          <w:p w14:paraId="20D1525B"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2</w:t>
            </w:r>
            <w:r w:rsidR="00A31E3A" w:rsidRPr="00923E74">
              <w:rPr>
                <w:snapToGrid/>
                <w:color w:val="000000"/>
                <w:szCs w:val="22"/>
                <w:lang w:val="lt-LT" w:eastAsia="en-GB"/>
              </w:rPr>
              <w:t>,</w:t>
            </w:r>
            <w:r w:rsidRPr="00923E74">
              <w:rPr>
                <w:snapToGrid/>
                <w:color w:val="000000"/>
                <w:szCs w:val="22"/>
                <w:lang w:val="lt-LT" w:eastAsia="en-GB"/>
              </w:rPr>
              <w:t>5</w:t>
            </w:r>
          </w:p>
        </w:tc>
        <w:tc>
          <w:tcPr>
            <w:tcW w:w="1480" w:type="pct"/>
            <w:vMerge/>
            <w:tcBorders>
              <w:top w:val="outset" w:sz="6" w:space="0" w:color="7B7B7B"/>
              <w:left w:val="outset" w:sz="6" w:space="0" w:color="7B7B7B"/>
              <w:bottom w:val="outset" w:sz="6" w:space="0" w:color="7B7B7B"/>
              <w:right w:val="outset" w:sz="6" w:space="0" w:color="7B7B7B"/>
            </w:tcBorders>
            <w:hideMark/>
          </w:tcPr>
          <w:p w14:paraId="19513BBC"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923E74" w14:paraId="170E6796"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6C9B63C0" w14:textId="094DF462" w:rsidR="00F93DE4" w:rsidRPr="00923E74" w:rsidRDefault="00F93DE4" w:rsidP="00922EE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Fosamprenavir</w:t>
            </w:r>
            <w:r w:rsidR="00E01CB0" w:rsidRPr="00923E74">
              <w:rPr>
                <w:snapToGrid/>
                <w:color w:val="000000"/>
                <w:szCs w:val="22"/>
                <w:lang w:val="lt-LT" w:eastAsia="en-GB"/>
              </w:rPr>
              <w:t>as</w:t>
            </w:r>
            <w:proofErr w:type="spellEnd"/>
            <w:r w:rsidRPr="00923E74">
              <w:rPr>
                <w:snapToGrid/>
                <w:color w:val="000000"/>
                <w:szCs w:val="22"/>
                <w:lang w:val="lt-LT" w:eastAsia="en-GB"/>
              </w:rPr>
              <w:t xml:space="preserve"> 1</w:t>
            </w:r>
            <w:r w:rsidR="0026190D">
              <w:rPr>
                <w:snapToGrid/>
                <w:color w:val="000000"/>
                <w:szCs w:val="22"/>
                <w:lang w:val="lt-LT" w:eastAsia="en-GB"/>
              </w:rPr>
              <w:t> </w:t>
            </w:r>
            <w:r w:rsidRPr="00923E74">
              <w:rPr>
                <w:snapToGrid/>
                <w:color w:val="000000"/>
                <w:szCs w:val="22"/>
                <w:lang w:val="lt-LT" w:eastAsia="en-GB"/>
              </w:rPr>
              <w:t>400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Pr="00923E74">
              <w:rPr>
                <w:snapToGrid/>
                <w:color w:val="000000"/>
                <w:szCs w:val="22"/>
                <w:lang w:val="lt-LT" w:eastAsia="en-GB"/>
              </w:rPr>
              <w:t>, 14</w:t>
            </w:r>
            <w:r w:rsidR="00922EE3" w:rsidRPr="00923E74">
              <w:rPr>
                <w:snapToGrid/>
                <w:color w:val="000000"/>
                <w:szCs w:val="22"/>
                <w:lang w:val="lt-LT" w:eastAsia="en-GB"/>
              </w:rPr>
              <w:t> </w:t>
            </w:r>
            <w:r w:rsidR="00807F24">
              <w:rPr>
                <w:snapToGrid/>
                <w:color w:val="000000"/>
                <w:szCs w:val="22"/>
                <w:lang w:val="lt-LT" w:eastAsia="en-GB"/>
              </w:rPr>
              <w:t>par</w:t>
            </w:r>
            <w:r w:rsidR="00922EE3" w:rsidRPr="00923E74">
              <w:rPr>
                <w:snapToGrid/>
                <w:color w:val="000000"/>
                <w:szCs w:val="22"/>
                <w:lang w:val="lt-LT" w:eastAsia="en-GB"/>
              </w:rPr>
              <w:t>ų</w:t>
            </w:r>
            <w:r w:rsidRPr="00923E74">
              <w:rPr>
                <w:snapToGrid/>
                <w:color w:val="000000"/>
                <w:szCs w:val="22"/>
                <w:lang w:val="lt-LT" w:eastAsia="en-GB"/>
              </w:rPr>
              <w:t xml:space="preserve"> </w:t>
            </w:r>
          </w:p>
        </w:tc>
        <w:tc>
          <w:tcPr>
            <w:tcW w:w="1065" w:type="pct"/>
            <w:tcBorders>
              <w:top w:val="outset" w:sz="6" w:space="0" w:color="7B7B7B"/>
              <w:left w:val="outset" w:sz="6" w:space="0" w:color="7B7B7B"/>
              <w:bottom w:val="outset" w:sz="6" w:space="0" w:color="7B7B7B"/>
              <w:right w:val="outset" w:sz="6" w:space="0" w:color="7B7B7B"/>
            </w:tcBorders>
            <w:hideMark/>
          </w:tcPr>
          <w:p w14:paraId="204E9FE2" w14:textId="6B248669"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922EE3" w:rsidRPr="00923E74">
              <w:rPr>
                <w:snapToGrid/>
                <w:color w:val="000000"/>
                <w:szCs w:val="22"/>
                <w:lang w:val="lt-LT" w:eastAsia="en-GB"/>
              </w:rPr>
              <w:t>4 </w:t>
            </w:r>
            <w:r w:rsidR="00CE0667">
              <w:rPr>
                <w:snapToGrid/>
                <w:color w:val="000000"/>
                <w:szCs w:val="22"/>
                <w:lang w:val="lt-LT" w:eastAsia="en-GB"/>
              </w:rPr>
              <w:t>par</w:t>
            </w:r>
            <w:r w:rsidR="00922EE3"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hideMark/>
          </w:tcPr>
          <w:p w14:paraId="03586092"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2</w:t>
            </w:r>
            <w:r w:rsidR="00A31E3A" w:rsidRPr="00923E74">
              <w:rPr>
                <w:snapToGrid/>
                <w:color w:val="000000"/>
                <w:szCs w:val="22"/>
                <w:lang w:val="lt-LT" w:eastAsia="en-GB"/>
              </w:rPr>
              <w:t>,</w:t>
            </w:r>
            <w:r w:rsidRPr="00923E74">
              <w:rPr>
                <w:snapToGrid/>
                <w:color w:val="000000"/>
                <w:szCs w:val="22"/>
                <w:lang w:val="lt-LT" w:eastAsia="en-GB"/>
              </w:rPr>
              <w:t>3</w:t>
            </w:r>
          </w:p>
        </w:tc>
        <w:tc>
          <w:tcPr>
            <w:tcW w:w="1480" w:type="pct"/>
            <w:vMerge/>
            <w:tcBorders>
              <w:top w:val="outset" w:sz="6" w:space="0" w:color="7B7B7B"/>
              <w:left w:val="outset" w:sz="6" w:space="0" w:color="7B7B7B"/>
              <w:bottom w:val="outset" w:sz="6" w:space="0" w:color="7B7B7B"/>
              <w:right w:val="outset" w:sz="6" w:space="0" w:color="7B7B7B"/>
            </w:tcBorders>
            <w:hideMark/>
          </w:tcPr>
          <w:p w14:paraId="707D6EBE"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923E74" w14:paraId="50B5B49C"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1EA8A303" w14:textId="47449E91" w:rsidR="00F93DE4" w:rsidRPr="00923E74" w:rsidRDefault="00F93DE4" w:rsidP="00922EE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Nelfinavir</w:t>
            </w:r>
            <w:r w:rsidR="00E01CB0" w:rsidRPr="00923E74">
              <w:rPr>
                <w:snapToGrid/>
                <w:color w:val="000000"/>
                <w:szCs w:val="22"/>
                <w:lang w:val="lt-LT" w:eastAsia="en-GB"/>
              </w:rPr>
              <w:t>as</w:t>
            </w:r>
            <w:proofErr w:type="spellEnd"/>
            <w:r w:rsidRPr="00923E74">
              <w:rPr>
                <w:snapToGrid/>
                <w:color w:val="000000"/>
                <w:szCs w:val="22"/>
                <w:lang w:val="lt-LT" w:eastAsia="en-GB"/>
              </w:rPr>
              <w:t xml:space="preserve"> 1</w:t>
            </w:r>
            <w:r w:rsidR="007B280E">
              <w:rPr>
                <w:snapToGrid/>
                <w:color w:val="000000"/>
                <w:szCs w:val="22"/>
                <w:lang w:val="lt-LT" w:eastAsia="en-GB"/>
              </w:rPr>
              <w:t> </w:t>
            </w:r>
            <w:r w:rsidRPr="00923E74">
              <w:rPr>
                <w:snapToGrid/>
                <w:color w:val="000000"/>
                <w:szCs w:val="22"/>
                <w:lang w:val="lt-LT" w:eastAsia="en-GB"/>
              </w:rPr>
              <w:t>250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Pr="00923E74">
              <w:rPr>
                <w:snapToGrid/>
                <w:color w:val="000000"/>
                <w:szCs w:val="22"/>
                <w:lang w:val="lt-LT" w:eastAsia="en-GB"/>
              </w:rPr>
              <w:t>, 14</w:t>
            </w:r>
            <w:r w:rsidR="00922EE3" w:rsidRPr="00923E74">
              <w:rPr>
                <w:snapToGrid/>
                <w:color w:val="000000"/>
                <w:szCs w:val="22"/>
                <w:lang w:val="lt-LT" w:eastAsia="en-GB"/>
              </w:rPr>
              <w:t> </w:t>
            </w:r>
            <w:r w:rsidR="00807F24">
              <w:rPr>
                <w:snapToGrid/>
                <w:color w:val="000000"/>
                <w:szCs w:val="22"/>
                <w:lang w:val="lt-LT" w:eastAsia="en-GB"/>
              </w:rPr>
              <w:t>par</w:t>
            </w:r>
            <w:r w:rsidR="00922EE3"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hideMark/>
          </w:tcPr>
          <w:p w14:paraId="46826270" w14:textId="1895E6F9" w:rsidR="00F93DE4" w:rsidRPr="00923E74" w:rsidRDefault="00F93DE4" w:rsidP="00922EE3">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922EE3" w:rsidRPr="00923E74">
              <w:rPr>
                <w:snapToGrid/>
                <w:color w:val="000000"/>
                <w:szCs w:val="22"/>
                <w:lang w:val="lt-LT" w:eastAsia="en-GB"/>
              </w:rPr>
              <w:t>28 </w:t>
            </w:r>
            <w:r w:rsidR="00CE0667">
              <w:rPr>
                <w:snapToGrid/>
                <w:color w:val="000000"/>
                <w:szCs w:val="22"/>
                <w:lang w:val="lt-LT" w:eastAsia="en-GB"/>
              </w:rPr>
              <w:t>par</w:t>
            </w:r>
            <w:r w:rsidR="00922EE3"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hideMark/>
          </w:tcPr>
          <w:p w14:paraId="13072CF2"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74</w:t>
            </w:r>
          </w:p>
        </w:tc>
        <w:tc>
          <w:tcPr>
            <w:tcW w:w="1480" w:type="pct"/>
            <w:tcBorders>
              <w:top w:val="outset" w:sz="6" w:space="0" w:color="7B7B7B"/>
              <w:left w:val="outset" w:sz="6" w:space="0" w:color="7B7B7B"/>
              <w:bottom w:val="outset" w:sz="6" w:space="0" w:color="7B7B7B"/>
              <w:right w:val="outset" w:sz="6" w:space="0" w:color="7B7B7B"/>
            </w:tcBorders>
            <w:hideMark/>
          </w:tcPr>
          <w:p w14:paraId="1553F39E" w14:textId="77777777" w:rsidR="00F93DE4" w:rsidRPr="00923E74" w:rsidRDefault="00E01CB0" w:rsidP="00A31E3A">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r w:rsidR="00F93DE4" w:rsidRPr="00923E74">
              <w:rPr>
                <w:snapToGrid/>
                <w:color w:val="000000"/>
                <w:szCs w:val="22"/>
                <w:lang w:val="lt-LT" w:eastAsia="en-GB"/>
              </w:rPr>
              <w:t>.</w:t>
            </w:r>
          </w:p>
        </w:tc>
      </w:tr>
      <w:tr w:rsidR="004D0FB2" w:rsidRPr="00E906E9" w14:paraId="191E0762" w14:textId="77777777" w:rsidTr="007E15ED">
        <w:tc>
          <w:tcPr>
            <w:tcW w:w="1655" w:type="pct"/>
            <w:tcBorders>
              <w:top w:val="outset" w:sz="6" w:space="0" w:color="7B7B7B"/>
              <w:left w:val="outset" w:sz="6" w:space="0" w:color="7B7B7B"/>
              <w:bottom w:val="outset" w:sz="6" w:space="0" w:color="7B7B7B"/>
              <w:right w:val="outset" w:sz="6" w:space="0" w:color="7B7B7B"/>
            </w:tcBorders>
          </w:tcPr>
          <w:p w14:paraId="65DEB80F" w14:textId="7BFF8779" w:rsidR="00807F24" w:rsidRDefault="00F93DE4" w:rsidP="00A25A18">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Elbasvir</w:t>
            </w:r>
            <w:r w:rsidR="00A25A18" w:rsidRPr="00923E74">
              <w:rPr>
                <w:snapToGrid/>
                <w:color w:val="000000"/>
                <w:szCs w:val="22"/>
                <w:lang w:val="lt-LT" w:eastAsia="en-GB"/>
              </w:rPr>
              <w:t>as</w:t>
            </w:r>
            <w:proofErr w:type="spellEnd"/>
            <w:r w:rsidRPr="00923E74">
              <w:rPr>
                <w:snapToGrid/>
                <w:color w:val="000000"/>
                <w:szCs w:val="22"/>
                <w:lang w:val="lt-LT" w:eastAsia="en-GB"/>
              </w:rPr>
              <w:t xml:space="preserve"> 50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807F24">
              <w:rPr>
                <w:snapToGrid/>
                <w:color w:val="000000"/>
                <w:szCs w:val="22"/>
                <w:lang w:val="lt-LT" w:eastAsia="en-GB"/>
              </w:rPr>
              <w:t>ir</w:t>
            </w:r>
          </w:p>
          <w:p w14:paraId="2C480D2A" w14:textId="17C3A492" w:rsidR="00F93DE4" w:rsidRPr="00923E74" w:rsidRDefault="00A25A18" w:rsidP="00A25A18">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g</w:t>
            </w:r>
            <w:r w:rsidR="00F93DE4" w:rsidRPr="00923E74">
              <w:rPr>
                <w:snapToGrid/>
                <w:color w:val="000000"/>
                <w:szCs w:val="22"/>
                <w:lang w:val="lt-LT" w:eastAsia="en-GB"/>
              </w:rPr>
              <w:t>razoprevir</w:t>
            </w:r>
            <w:r w:rsidRPr="00923E74">
              <w:rPr>
                <w:snapToGrid/>
                <w:color w:val="000000"/>
                <w:szCs w:val="22"/>
                <w:lang w:val="lt-LT" w:eastAsia="en-GB"/>
              </w:rPr>
              <w:t>as</w:t>
            </w:r>
            <w:proofErr w:type="spellEnd"/>
            <w:r w:rsidR="00F93DE4" w:rsidRPr="00923E74">
              <w:rPr>
                <w:snapToGrid/>
                <w:color w:val="000000"/>
                <w:szCs w:val="22"/>
                <w:lang w:val="lt-LT" w:eastAsia="en-GB"/>
              </w:rPr>
              <w:t xml:space="preserve"> 200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13 </w:t>
            </w:r>
            <w:r w:rsidR="00807F24">
              <w:rPr>
                <w:snapToGrid/>
                <w:color w:val="000000"/>
                <w:szCs w:val="22"/>
                <w:lang w:val="lt-LT" w:eastAsia="en-GB"/>
              </w:rPr>
              <w:t>par</w:t>
            </w:r>
            <w:r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tcPr>
          <w:p w14:paraId="632DC572" w14:textId="478D315B"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tcPr>
          <w:p w14:paraId="6DFC814D"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95</w:t>
            </w:r>
          </w:p>
        </w:tc>
        <w:tc>
          <w:tcPr>
            <w:tcW w:w="1480" w:type="pct"/>
            <w:tcBorders>
              <w:top w:val="outset" w:sz="6" w:space="0" w:color="7B7B7B"/>
              <w:left w:val="outset" w:sz="6" w:space="0" w:color="7B7B7B"/>
              <w:bottom w:val="outset" w:sz="6" w:space="0" w:color="7B7B7B"/>
              <w:right w:val="outset" w:sz="6" w:space="0" w:color="7B7B7B"/>
            </w:tcBorders>
          </w:tcPr>
          <w:p w14:paraId="0AF94D7A" w14:textId="77777777" w:rsidR="00F93DE4" w:rsidRPr="00923E74" w:rsidRDefault="0013328A" w:rsidP="0013328A">
            <w:pPr>
              <w:tabs>
                <w:tab w:val="clear" w:pos="567"/>
              </w:tabs>
              <w:spacing w:line="240" w:lineRule="auto"/>
              <w:rPr>
                <w:snapToGrid/>
                <w:color w:val="000000"/>
                <w:szCs w:val="22"/>
                <w:lang w:val="lt-LT" w:eastAsia="en-GB"/>
              </w:rPr>
            </w:pPr>
            <w:r w:rsidRPr="00923E74">
              <w:rPr>
                <w:bCs/>
                <w:szCs w:val="22"/>
                <w:lang w:val="lt-LT"/>
              </w:rPr>
              <w:t xml:space="preserve">Skiriant kartu su vaistiniais preparatais, kurių sudėtyje yra </w:t>
            </w:r>
            <w:proofErr w:type="spellStart"/>
            <w:r w:rsidRPr="00923E74">
              <w:rPr>
                <w:bCs/>
                <w:szCs w:val="22"/>
                <w:lang w:val="lt-LT"/>
              </w:rPr>
              <w:t>elbasviro</w:t>
            </w:r>
            <w:proofErr w:type="spellEnd"/>
            <w:r w:rsidRPr="00923E74">
              <w:rPr>
                <w:bCs/>
                <w:szCs w:val="22"/>
                <w:lang w:val="lt-LT"/>
              </w:rPr>
              <w:t xml:space="preserve"> arba </w:t>
            </w:r>
            <w:proofErr w:type="spellStart"/>
            <w:r w:rsidRPr="00923E74">
              <w:rPr>
                <w:bCs/>
                <w:szCs w:val="22"/>
                <w:lang w:val="lt-LT"/>
              </w:rPr>
              <w:t>grazopreviro</w:t>
            </w:r>
            <w:proofErr w:type="spellEnd"/>
            <w:r w:rsidRPr="00923E74">
              <w:rPr>
                <w:bCs/>
                <w:szCs w:val="22"/>
                <w:lang w:val="lt-LT"/>
              </w:rPr>
              <w:t xml:space="preserve">, </w:t>
            </w:r>
            <w:proofErr w:type="spellStart"/>
            <w:r w:rsidRPr="00923E74">
              <w:rPr>
                <w:bCs/>
                <w:szCs w:val="22"/>
                <w:lang w:val="lt-LT"/>
              </w:rPr>
              <w:t>atorvastatino</w:t>
            </w:r>
            <w:proofErr w:type="spellEnd"/>
            <w:r w:rsidRPr="00923E74">
              <w:rPr>
                <w:bCs/>
                <w:szCs w:val="22"/>
                <w:lang w:val="lt-LT"/>
              </w:rPr>
              <w:t xml:space="preserve"> paros dozė negali būti didesnė kaip 20</w:t>
            </w:r>
            <w:r w:rsidR="00DB52C7" w:rsidRPr="00923E74">
              <w:rPr>
                <w:bCs/>
                <w:szCs w:val="22"/>
                <w:lang w:val="lt-LT"/>
              </w:rPr>
              <w:t> mg</w:t>
            </w:r>
            <w:r w:rsidRPr="00923E74">
              <w:rPr>
                <w:bCs/>
                <w:szCs w:val="22"/>
                <w:lang w:val="lt-LT"/>
              </w:rPr>
              <w:t>.</w:t>
            </w:r>
          </w:p>
        </w:tc>
      </w:tr>
      <w:tr w:rsidR="008A1034" w:rsidRPr="00E906E9" w14:paraId="31BB6154" w14:textId="77777777" w:rsidTr="007E15ED">
        <w:tc>
          <w:tcPr>
            <w:tcW w:w="1655" w:type="pct"/>
            <w:tcBorders>
              <w:top w:val="outset" w:sz="6" w:space="0" w:color="7B7B7B"/>
              <w:left w:val="outset" w:sz="6" w:space="0" w:color="7B7B7B"/>
              <w:bottom w:val="outset" w:sz="6" w:space="0" w:color="7B7B7B"/>
              <w:right w:val="outset" w:sz="6" w:space="0" w:color="7B7B7B"/>
            </w:tcBorders>
          </w:tcPr>
          <w:p w14:paraId="1D4C756A" w14:textId="01D232B6" w:rsidR="008A1034" w:rsidRPr="00923E74" w:rsidRDefault="008A1034" w:rsidP="008A1034">
            <w:pPr>
              <w:tabs>
                <w:tab w:val="clear" w:pos="567"/>
              </w:tabs>
              <w:spacing w:line="240" w:lineRule="auto"/>
              <w:rPr>
                <w:snapToGrid/>
                <w:color w:val="000000"/>
                <w:szCs w:val="22"/>
                <w:lang w:val="lt-LT" w:eastAsia="en-GB"/>
              </w:rPr>
            </w:pPr>
            <w:bookmarkStart w:id="3" w:name="_Hlk58058704"/>
            <w:proofErr w:type="spellStart"/>
            <w:r>
              <w:rPr>
                <w:snapToGrid/>
                <w:color w:val="000000"/>
                <w:szCs w:val="22"/>
                <w:lang w:val="lt-LT" w:eastAsia="en-GB"/>
              </w:rPr>
              <w:t>Letermoviras</w:t>
            </w:r>
            <w:proofErr w:type="spellEnd"/>
            <w:r w:rsidRPr="00923E74">
              <w:rPr>
                <w:snapToGrid/>
                <w:color w:val="000000"/>
                <w:szCs w:val="22"/>
                <w:lang w:val="lt-LT" w:eastAsia="en-GB"/>
              </w:rPr>
              <w:t xml:space="preserve"> </w:t>
            </w:r>
            <w:r>
              <w:rPr>
                <w:snapToGrid/>
                <w:color w:val="000000"/>
                <w:szCs w:val="22"/>
                <w:lang w:val="lt-LT" w:eastAsia="en-GB"/>
              </w:rPr>
              <w:t>48</w:t>
            </w:r>
            <w:r w:rsidRPr="00923E74">
              <w:rPr>
                <w:snapToGrid/>
                <w:color w:val="000000"/>
                <w:szCs w:val="22"/>
                <w:lang w:val="lt-LT" w:eastAsia="en-GB"/>
              </w:rPr>
              <w:t>0 mg</w:t>
            </w:r>
            <w:r>
              <w:rPr>
                <w:snapToGrid/>
                <w:color w:val="000000"/>
                <w:szCs w:val="22"/>
                <w:lang w:val="lt-LT" w:eastAsia="en-GB"/>
              </w:rPr>
              <w:t> </w:t>
            </w:r>
            <w:r w:rsidRPr="00923E74">
              <w:rPr>
                <w:snapToGrid/>
                <w:color w:val="000000"/>
                <w:szCs w:val="22"/>
                <w:lang w:val="lt-LT" w:eastAsia="en-GB"/>
              </w:rPr>
              <w:t>KP, 1</w:t>
            </w:r>
            <w:r>
              <w:rPr>
                <w:snapToGrid/>
                <w:color w:val="000000"/>
                <w:szCs w:val="22"/>
                <w:lang w:val="lt-LT" w:eastAsia="en-GB"/>
              </w:rPr>
              <w:t>0</w:t>
            </w:r>
            <w:r w:rsidRPr="00923E74">
              <w:rPr>
                <w:snapToGrid/>
                <w:color w:val="000000"/>
                <w:szCs w:val="22"/>
                <w:lang w:val="lt-LT" w:eastAsia="en-GB"/>
              </w:rPr>
              <w:t> </w:t>
            </w:r>
            <w:r>
              <w:rPr>
                <w:snapToGrid/>
                <w:color w:val="000000"/>
                <w:szCs w:val="22"/>
                <w:lang w:val="lt-LT" w:eastAsia="en-GB"/>
              </w:rPr>
              <w:t>par</w:t>
            </w:r>
            <w:r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tcPr>
          <w:p w14:paraId="1941358F" w14:textId="3AE78EA4" w:rsidR="008A1034" w:rsidRPr="00923E74" w:rsidRDefault="008A1034" w:rsidP="00A31E3A">
            <w:pPr>
              <w:tabs>
                <w:tab w:val="clear" w:pos="567"/>
              </w:tabs>
              <w:spacing w:line="240" w:lineRule="auto"/>
              <w:rPr>
                <w:snapToGrid/>
                <w:color w:val="000000"/>
                <w:szCs w:val="22"/>
                <w:lang w:val="lt-LT" w:eastAsia="en-GB"/>
              </w:rPr>
            </w:pPr>
            <w:r>
              <w:rPr>
                <w:snapToGrid/>
                <w:color w:val="000000"/>
                <w:szCs w:val="22"/>
                <w:lang w:val="lt-LT" w:eastAsia="en-GB"/>
              </w:rPr>
              <w:t>2</w:t>
            </w:r>
            <w:r w:rsidRPr="00923E74">
              <w:rPr>
                <w:snapToGrid/>
                <w:color w:val="000000"/>
                <w:szCs w:val="22"/>
                <w:lang w:val="lt-LT" w:eastAsia="en-GB"/>
              </w:rPr>
              <w:t>0 mg</w:t>
            </w:r>
            <w:r>
              <w:rPr>
                <w:snapToGrid/>
                <w:color w:val="000000"/>
                <w:szCs w:val="22"/>
                <w:lang w:val="lt-LT" w:eastAsia="en-GB"/>
              </w:rPr>
              <w:t> </w:t>
            </w:r>
            <w:r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tcPr>
          <w:p w14:paraId="75B05E73" w14:textId="7574FF66" w:rsidR="008A1034" w:rsidRPr="00923E74" w:rsidRDefault="008A1034" w:rsidP="007E15ED">
            <w:pPr>
              <w:tabs>
                <w:tab w:val="clear" w:pos="567"/>
              </w:tabs>
              <w:spacing w:line="240" w:lineRule="auto"/>
              <w:jc w:val="center"/>
              <w:rPr>
                <w:snapToGrid/>
                <w:color w:val="000000"/>
                <w:szCs w:val="22"/>
                <w:lang w:val="lt-LT" w:eastAsia="en-GB"/>
              </w:rPr>
            </w:pPr>
            <w:r>
              <w:rPr>
                <w:snapToGrid/>
                <w:color w:val="000000"/>
                <w:szCs w:val="22"/>
                <w:lang w:val="lt-LT" w:eastAsia="en-GB"/>
              </w:rPr>
              <w:t>3,29</w:t>
            </w:r>
          </w:p>
        </w:tc>
        <w:tc>
          <w:tcPr>
            <w:tcW w:w="1480" w:type="pct"/>
            <w:tcBorders>
              <w:top w:val="outset" w:sz="6" w:space="0" w:color="7B7B7B"/>
              <w:left w:val="outset" w:sz="6" w:space="0" w:color="7B7B7B"/>
              <w:bottom w:val="outset" w:sz="6" w:space="0" w:color="7B7B7B"/>
              <w:right w:val="outset" w:sz="6" w:space="0" w:color="7B7B7B"/>
            </w:tcBorders>
          </w:tcPr>
          <w:p w14:paraId="0A246821" w14:textId="5D244914" w:rsidR="008A1034" w:rsidRPr="00923E74" w:rsidRDefault="008A1034" w:rsidP="0013328A">
            <w:pPr>
              <w:tabs>
                <w:tab w:val="clear" w:pos="567"/>
              </w:tabs>
              <w:spacing w:line="240" w:lineRule="auto"/>
              <w:rPr>
                <w:bCs/>
                <w:szCs w:val="22"/>
                <w:lang w:val="lt-LT"/>
              </w:rPr>
            </w:pPr>
            <w:r w:rsidRPr="00923E74">
              <w:rPr>
                <w:bCs/>
                <w:szCs w:val="22"/>
                <w:lang w:val="lt-LT"/>
              </w:rPr>
              <w:t xml:space="preserve">Skiriant kartu su vaistiniais preparatais, kurių sudėtyje yra </w:t>
            </w:r>
            <w:proofErr w:type="spellStart"/>
            <w:r>
              <w:rPr>
                <w:bCs/>
                <w:szCs w:val="22"/>
                <w:lang w:val="lt-LT"/>
              </w:rPr>
              <w:t>letermoviro</w:t>
            </w:r>
            <w:proofErr w:type="spellEnd"/>
            <w:r w:rsidRPr="00923E74">
              <w:rPr>
                <w:bCs/>
                <w:szCs w:val="22"/>
                <w:lang w:val="lt-LT"/>
              </w:rPr>
              <w:t xml:space="preserve">, </w:t>
            </w:r>
            <w:proofErr w:type="spellStart"/>
            <w:r w:rsidRPr="00923E74">
              <w:rPr>
                <w:bCs/>
                <w:szCs w:val="22"/>
                <w:lang w:val="lt-LT"/>
              </w:rPr>
              <w:t>atorvastatino</w:t>
            </w:r>
            <w:proofErr w:type="spellEnd"/>
            <w:r w:rsidRPr="00923E74">
              <w:rPr>
                <w:bCs/>
                <w:szCs w:val="22"/>
                <w:lang w:val="lt-LT"/>
              </w:rPr>
              <w:t xml:space="preserve"> paros dozė negali būti didesnė kaip 20 mg.</w:t>
            </w:r>
          </w:p>
        </w:tc>
      </w:tr>
      <w:bookmarkEnd w:id="3"/>
      <w:tr w:rsidR="004D0FB2" w:rsidRPr="00E906E9" w14:paraId="70BBD678" w14:textId="77777777" w:rsidTr="007E15ED">
        <w:tc>
          <w:tcPr>
            <w:tcW w:w="1655" w:type="pct"/>
            <w:tcBorders>
              <w:top w:val="outset" w:sz="6" w:space="0" w:color="7B7B7B"/>
              <w:left w:val="outset" w:sz="6" w:space="0" w:color="7B7B7B"/>
              <w:bottom w:val="outset" w:sz="6" w:space="0" w:color="7B7B7B"/>
              <w:right w:val="outset" w:sz="6" w:space="0" w:color="7B7B7B"/>
            </w:tcBorders>
          </w:tcPr>
          <w:p w14:paraId="300DE7B6" w14:textId="5D839F9C" w:rsidR="00807F24" w:rsidRDefault="00F93DE4" w:rsidP="001E673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Gle</w:t>
            </w:r>
            <w:r w:rsidR="001E6731" w:rsidRPr="00923E74">
              <w:rPr>
                <w:snapToGrid/>
                <w:color w:val="000000"/>
                <w:szCs w:val="22"/>
                <w:lang w:val="lt-LT" w:eastAsia="en-GB"/>
              </w:rPr>
              <w:t>k</w:t>
            </w:r>
            <w:r w:rsidRPr="00923E74">
              <w:rPr>
                <w:snapToGrid/>
                <w:color w:val="000000"/>
                <w:szCs w:val="22"/>
                <w:lang w:val="lt-LT" w:eastAsia="en-GB"/>
              </w:rPr>
              <w:t>aprevir</w:t>
            </w:r>
            <w:r w:rsidR="001E6731" w:rsidRPr="00923E74">
              <w:rPr>
                <w:snapToGrid/>
                <w:color w:val="000000"/>
                <w:szCs w:val="22"/>
                <w:lang w:val="lt-LT" w:eastAsia="en-GB"/>
              </w:rPr>
              <w:t>as</w:t>
            </w:r>
            <w:proofErr w:type="spellEnd"/>
            <w:r w:rsidRPr="00923E74">
              <w:rPr>
                <w:snapToGrid/>
                <w:color w:val="000000"/>
                <w:szCs w:val="22"/>
                <w:lang w:val="lt-LT" w:eastAsia="en-GB"/>
              </w:rPr>
              <w:t xml:space="preserve"> 400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001E6731" w:rsidRPr="00923E74">
              <w:rPr>
                <w:snapToGrid/>
                <w:color w:val="000000"/>
                <w:szCs w:val="22"/>
                <w:lang w:val="lt-LT" w:eastAsia="en-GB"/>
              </w:rPr>
              <w:t xml:space="preserve"> </w:t>
            </w:r>
            <w:r w:rsidR="00807F24">
              <w:rPr>
                <w:snapToGrid/>
                <w:color w:val="000000"/>
                <w:szCs w:val="22"/>
                <w:lang w:val="lt-LT" w:eastAsia="en-GB"/>
              </w:rPr>
              <w:t>ir</w:t>
            </w:r>
          </w:p>
          <w:p w14:paraId="207EF1EF" w14:textId="31A63E2B" w:rsidR="00F93DE4" w:rsidRPr="00923E74" w:rsidRDefault="001E6731" w:rsidP="001E673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p</w:t>
            </w:r>
            <w:r w:rsidR="00F93DE4" w:rsidRPr="00923E74">
              <w:rPr>
                <w:snapToGrid/>
                <w:color w:val="000000"/>
                <w:szCs w:val="22"/>
                <w:lang w:val="lt-LT" w:eastAsia="en-GB"/>
              </w:rPr>
              <w:t>ibrentasvir</w:t>
            </w:r>
            <w:r w:rsidRPr="00923E74">
              <w:rPr>
                <w:snapToGrid/>
                <w:color w:val="000000"/>
                <w:szCs w:val="22"/>
                <w:lang w:val="lt-LT" w:eastAsia="en-GB"/>
              </w:rPr>
              <w:t>as</w:t>
            </w:r>
            <w:proofErr w:type="spellEnd"/>
            <w:r w:rsidR="00F93DE4" w:rsidRPr="00923E74">
              <w:rPr>
                <w:snapToGrid/>
                <w:color w:val="000000"/>
                <w:szCs w:val="22"/>
                <w:lang w:val="lt-LT" w:eastAsia="en-GB"/>
              </w:rPr>
              <w:t xml:space="preserve"> 120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00F93DE4" w:rsidRPr="00923E74">
              <w:rPr>
                <w:snapToGrid/>
                <w:color w:val="000000"/>
                <w:szCs w:val="22"/>
                <w:lang w:val="lt-LT" w:eastAsia="en-GB"/>
              </w:rPr>
              <w:t>,</w:t>
            </w:r>
            <w:r w:rsidRPr="00923E74">
              <w:rPr>
                <w:snapToGrid/>
                <w:color w:val="000000"/>
                <w:szCs w:val="22"/>
                <w:lang w:val="lt-LT" w:eastAsia="en-GB"/>
              </w:rPr>
              <w:t xml:space="preserve"> 7 </w:t>
            </w:r>
            <w:r w:rsidR="00807F24">
              <w:rPr>
                <w:snapToGrid/>
                <w:color w:val="000000"/>
                <w:szCs w:val="22"/>
                <w:lang w:val="lt-LT" w:eastAsia="en-GB"/>
              </w:rPr>
              <w:t>par</w:t>
            </w:r>
            <w:r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tcPr>
          <w:p w14:paraId="411415DF" w14:textId="473EF129" w:rsidR="00F93DE4" w:rsidRPr="00923E74" w:rsidRDefault="00F93DE4" w:rsidP="001E6731">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1E6731" w:rsidRPr="00923E74">
              <w:rPr>
                <w:snapToGrid/>
                <w:color w:val="000000"/>
                <w:szCs w:val="22"/>
                <w:lang w:val="lt-LT" w:eastAsia="en-GB"/>
              </w:rPr>
              <w:t>7 </w:t>
            </w:r>
            <w:r w:rsidR="00CE0667">
              <w:rPr>
                <w:snapToGrid/>
                <w:color w:val="000000"/>
                <w:szCs w:val="22"/>
                <w:lang w:val="lt-LT" w:eastAsia="en-GB"/>
              </w:rPr>
              <w:t>par</w:t>
            </w:r>
            <w:r w:rsidR="001E6731"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tcPr>
          <w:p w14:paraId="3A97E0C2"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8</w:t>
            </w:r>
            <w:r w:rsidR="00A31E3A" w:rsidRPr="00923E74">
              <w:rPr>
                <w:snapToGrid/>
                <w:color w:val="000000"/>
                <w:szCs w:val="22"/>
                <w:lang w:val="lt-LT" w:eastAsia="en-GB"/>
              </w:rPr>
              <w:t>,</w:t>
            </w:r>
            <w:r w:rsidRPr="00923E74">
              <w:rPr>
                <w:snapToGrid/>
                <w:color w:val="000000"/>
                <w:szCs w:val="22"/>
                <w:lang w:val="lt-LT" w:eastAsia="en-GB"/>
              </w:rPr>
              <w:t>3</w:t>
            </w:r>
          </w:p>
        </w:tc>
        <w:tc>
          <w:tcPr>
            <w:tcW w:w="1480" w:type="pct"/>
            <w:tcBorders>
              <w:top w:val="outset" w:sz="6" w:space="0" w:color="7B7B7B"/>
              <w:left w:val="outset" w:sz="6" w:space="0" w:color="7B7B7B"/>
              <w:bottom w:val="outset" w:sz="6" w:space="0" w:color="7B7B7B"/>
              <w:right w:val="outset" w:sz="6" w:space="0" w:color="7B7B7B"/>
            </w:tcBorders>
          </w:tcPr>
          <w:p w14:paraId="6F9636A9" w14:textId="7A15BD39" w:rsidR="00F93DE4" w:rsidRPr="00923E74" w:rsidRDefault="001E6731"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Skirti su vaistiniais preparatais, kurių sudėtyje yra </w:t>
            </w:r>
            <w:proofErr w:type="spellStart"/>
            <w:r w:rsidRPr="00923E74">
              <w:rPr>
                <w:snapToGrid/>
                <w:color w:val="000000"/>
                <w:szCs w:val="22"/>
                <w:lang w:val="lt-LT" w:eastAsia="en-GB"/>
              </w:rPr>
              <w:t>glekapreviro</w:t>
            </w:r>
            <w:proofErr w:type="spellEnd"/>
            <w:r w:rsidRPr="00923E74">
              <w:rPr>
                <w:snapToGrid/>
                <w:color w:val="000000"/>
                <w:szCs w:val="22"/>
                <w:lang w:val="lt-LT" w:eastAsia="en-GB"/>
              </w:rPr>
              <w:t xml:space="preserve"> arba </w:t>
            </w:r>
            <w:proofErr w:type="spellStart"/>
            <w:r w:rsidRPr="00923E74">
              <w:rPr>
                <w:snapToGrid/>
                <w:color w:val="000000"/>
                <w:szCs w:val="22"/>
                <w:lang w:val="lt-LT" w:eastAsia="en-GB"/>
              </w:rPr>
              <w:t>pibrentasviro</w:t>
            </w:r>
            <w:proofErr w:type="spellEnd"/>
            <w:r w:rsidRPr="00923E74">
              <w:rPr>
                <w:snapToGrid/>
                <w:color w:val="000000"/>
                <w:szCs w:val="22"/>
                <w:lang w:val="lt-LT" w:eastAsia="en-GB"/>
              </w:rPr>
              <w:t>, draudžiama (žr.</w:t>
            </w:r>
            <w:r w:rsidR="00807F24">
              <w:rPr>
                <w:snapToGrid/>
                <w:color w:val="000000"/>
                <w:szCs w:val="22"/>
                <w:lang w:val="lt-LT" w:eastAsia="en-GB"/>
              </w:rPr>
              <w:t> </w:t>
            </w:r>
            <w:r w:rsidRPr="00923E74">
              <w:rPr>
                <w:snapToGrid/>
                <w:color w:val="000000"/>
                <w:szCs w:val="22"/>
                <w:lang w:val="lt-LT" w:eastAsia="en-GB"/>
              </w:rPr>
              <w:t>4.3</w:t>
            </w:r>
            <w:r w:rsidR="00807F24">
              <w:rPr>
                <w:snapToGrid/>
                <w:color w:val="000000"/>
                <w:szCs w:val="22"/>
                <w:lang w:val="lt-LT" w:eastAsia="en-GB"/>
              </w:rPr>
              <w:t> </w:t>
            </w:r>
            <w:r w:rsidRPr="00923E74">
              <w:rPr>
                <w:snapToGrid/>
                <w:color w:val="000000"/>
                <w:szCs w:val="22"/>
                <w:lang w:val="lt-LT" w:eastAsia="en-GB"/>
              </w:rPr>
              <w:t>skyrių).</w:t>
            </w:r>
          </w:p>
        </w:tc>
      </w:tr>
      <w:tr w:rsidR="004D0FB2" w:rsidRPr="00E906E9" w14:paraId="675DF0FA"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711FBB24" w14:textId="104435F2" w:rsidR="00F93DE4" w:rsidRPr="00923E74" w:rsidRDefault="002F439F" w:rsidP="002F439F">
            <w:pPr>
              <w:tabs>
                <w:tab w:val="clear" w:pos="567"/>
              </w:tabs>
              <w:spacing w:line="240" w:lineRule="auto"/>
              <w:rPr>
                <w:snapToGrid/>
                <w:color w:val="000000"/>
                <w:szCs w:val="22"/>
                <w:lang w:val="lt-LT" w:eastAsia="en-GB"/>
              </w:rPr>
            </w:pPr>
            <w:r w:rsidRPr="00923E74">
              <w:rPr>
                <w:snapToGrid/>
                <w:color w:val="000000"/>
                <w:szCs w:val="22"/>
                <w:lang w:val="lt-LT" w:eastAsia="en-GB"/>
              </w:rPr>
              <w:t>Greipfrutų sultys</w:t>
            </w:r>
            <w:r w:rsidR="00F93DE4" w:rsidRPr="00923E74">
              <w:rPr>
                <w:snapToGrid/>
                <w:color w:val="000000"/>
                <w:szCs w:val="22"/>
                <w:lang w:val="lt-LT" w:eastAsia="en-GB"/>
              </w:rPr>
              <w:t>, 240</w:t>
            </w:r>
            <w:r w:rsidRPr="00923E74">
              <w:rPr>
                <w:snapToGrid/>
                <w:color w:val="000000"/>
                <w:szCs w:val="22"/>
                <w:lang w:val="lt-LT" w:eastAsia="en-GB"/>
              </w:rPr>
              <w:t> </w:t>
            </w:r>
            <w:r w:rsidR="00F93DE4" w:rsidRPr="00923E74">
              <w:rPr>
                <w:snapToGrid/>
                <w:color w:val="000000"/>
                <w:szCs w:val="22"/>
                <w:lang w:val="lt-LT" w:eastAsia="en-GB"/>
              </w:rPr>
              <w:t>m</w:t>
            </w:r>
            <w:r w:rsidRPr="00923E74">
              <w:rPr>
                <w:snapToGrid/>
                <w:color w:val="000000"/>
                <w:szCs w:val="22"/>
                <w:lang w:val="lt-LT" w:eastAsia="en-GB"/>
              </w:rPr>
              <w:t>l</w:t>
            </w:r>
            <w:r w:rsidR="00807F24">
              <w:rPr>
                <w:snapToGrid/>
                <w:color w:val="000000"/>
                <w:szCs w:val="22"/>
                <w:lang w:val="lt-LT" w:eastAsia="en-GB"/>
              </w:rPr>
              <w:t> </w:t>
            </w:r>
            <w:r w:rsidR="00922EE3" w:rsidRPr="00923E74">
              <w:rPr>
                <w:snapToGrid/>
                <w:color w:val="000000"/>
                <w:szCs w:val="22"/>
                <w:lang w:val="lt-LT" w:eastAsia="en-GB"/>
              </w:rPr>
              <w:t>KP</w:t>
            </w:r>
            <w:r w:rsidR="00F93DE4" w:rsidRPr="00923E74">
              <w:rPr>
                <w:snapToGrid/>
                <w:color w:val="000000"/>
                <w:szCs w:val="22"/>
                <w:lang w:val="lt-LT" w:eastAsia="en-GB"/>
              </w:rPr>
              <w:t>*</w:t>
            </w:r>
          </w:p>
        </w:tc>
        <w:tc>
          <w:tcPr>
            <w:tcW w:w="1065" w:type="pct"/>
            <w:tcBorders>
              <w:top w:val="outset" w:sz="6" w:space="0" w:color="7B7B7B"/>
              <w:left w:val="outset" w:sz="6" w:space="0" w:color="7B7B7B"/>
              <w:bottom w:val="outset" w:sz="6" w:space="0" w:color="7B7B7B"/>
              <w:right w:val="outset" w:sz="6" w:space="0" w:color="7B7B7B"/>
            </w:tcBorders>
            <w:hideMark/>
          </w:tcPr>
          <w:p w14:paraId="695B5687" w14:textId="6C3B4620"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hideMark/>
          </w:tcPr>
          <w:p w14:paraId="70135C05"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37</w:t>
            </w:r>
          </w:p>
        </w:tc>
        <w:tc>
          <w:tcPr>
            <w:tcW w:w="1480" w:type="pct"/>
            <w:tcBorders>
              <w:top w:val="outset" w:sz="6" w:space="0" w:color="7B7B7B"/>
              <w:left w:val="outset" w:sz="6" w:space="0" w:color="7B7B7B"/>
              <w:bottom w:val="outset" w:sz="6" w:space="0" w:color="7B7B7B"/>
              <w:right w:val="outset" w:sz="6" w:space="0" w:color="7B7B7B"/>
            </w:tcBorders>
            <w:hideMark/>
          </w:tcPr>
          <w:p w14:paraId="31BE29FF" w14:textId="77777777" w:rsidR="00F93DE4" w:rsidRPr="00923E74" w:rsidRDefault="002F439F"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Vartojant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nerekomenduojama gerti daug greipfrutų sulčių</w:t>
            </w:r>
            <w:r w:rsidR="00F93DE4" w:rsidRPr="00923E74">
              <w:rPr>
                <w:snapToGrid/>
                <w:color w:val="000000"/>
                <w:szCs w:val="22"/>
                <w:lang w:val="lt-LT" w:eastAsia="en-GB"/>
              </w:rPr>
              <w:t>.</w:t>
            </w:r>
          </w:p>
        </w:tc>
      </w:tr>
      <w:tr w:rsidR="004D0FB2" w:rsidRPr="00E906E9" w14:paraId="6A922090"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19F2A2C1" w14:textId="0C8A255B" w:rsidR="00F93DE4" w:rsidRPr="00923E74" w:rsidRDefault="00F93DE4" w:rsidP="002F439F">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Diltiazem</w:t>
            </w:r>
            <w:r w:rsidR="002F439F" w:rsidRPr="00923E74">
              <w:rPr>
                <w:snapToGrid/>
                <w:color w:val="000000"/>
                <w:szCs w:val="22"/>
                <w:lang w:val="lt-LT" w:eastAsia="en-GB"/>
              </w:rPr>
              <w:t>as</w:t>
            </w:r>
            <w:proofErr w:type="spellEnd"/>
            <w:r w:rsidRPr="00923E74">
              <w:rPr>
                <w:snapToGrid/>
                <w:color w:val="000000"/>
                <w:szCs w:val="22"/>
                <w:lang w:val="lt-LT" w:eastAsia="en-GB"/>
              </w:rPr>
              <w:t xml:space="preserve"> 240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002F439F" w:rsidRPr="00923E74">
              <w:rPr>
                <w:snapToGrid/>
                <w:color w:val="000000"/>
                <w:szCs w:val="22"/>
                <w:lang w:val="lt-LT" w:eastAsia="en-GB"/>
              </w:rPr>
              <w:t>, 28 </w:t>
            </w:r>
            <w:r w:rsidR="00807F24">
              <w:rPr>
                <w:snapToGrid/>
                <w:color w:val="000000"/>
                <w:szCs w:val="22"/>
                <w:lang w:val="lt-LT" w:eastAsia="en-GB"/>
              </w:rPr>
              <w:t>par</w:t>
            </w:r>
            <w:r w:rsidR="002F439F"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hideMark/>
          </w:tcPr>
          <w:p w14:paraId="0C5A8A3A" w14:textId="4BA956AD"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hideMark/>
          </w:tcPr>
          <w:p w14:paraId="08758AD2"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51</w:t>
            </w:r>
          </w:p>
        </w:tc>
        <w:tc>
          <w:tcPr>
            <w:tcW w:w="1480" w:type="pct"/>
            <w:tcBorders>
              <w:top w:val="outset" w:sz="6" w:space="0" w:color="7B7B7B"/>
              <w:left w:val="outset" w:sz="6" w:space="0" w:color="7B7B7B"/>
              <w:bottom w:val="outset" w:sz="6" w:space="0" w:color="7B7B7B"/>
              <w:right w:val="outset" w:sz="6" w:space="0" w:color="7B7B7B"/>
            </w:tcBorders>
            <w:hideMark/>
          </w:tcPr>
          <w:p w14:paraId="205B5329" w14:textId="77777777" w:rsidR="00F93DE4" w:rsidRPr="00923E74" w:rsidRDefault="002F439F" w:rsidP="00A31E3A">
            <w:pPr>
              <w:tabs>
                <w:tab w:val="clear" w:pos="567"/>
              </w:tabs>
              <w:spacing w:line="240" w:lineRule="auto"/>
              <w:rPr>
                <w:snapToGrid/>
                <w:color w:val="000000"/>
                <w:szCs w:val="22"/>
                <w:lang w:val="lt-LT" w:eastAsia="en-GB"/>
              </w:rPr>
            </w:pPr>
            <w:r w:rsidRPr="00923E74">
              <w:rPr>
                <w:szCs w:val="22"/>
                <w:lang w:val="lt-LT" w:eastAsia="sl-SI"/>
              </w:rPr>
              <w:t xml:space="preserve">Pradėjus vartoti </w:t>
            </w:r>
            <w:proofErr w:type="spellStart"/>
            <w:r w:rsidRPr="00923E74">
              <w:rPr>
                <w:szCs w:val="22"/>
                <w:lang w:val="lt-LT" w:eastAsia="sl-SI"/>
              </w:rPr>
              <w:t>diltiazemo</w:t>
            </w:r>
            <w:proofErr w:type="spellEnd"/>
            <w:r w:rsidRPr="00923E74">
              <w:rPr>
                <w:szCs w:val="22"/>
                <w:lang w:val="lt-LT" w:eastAsia="sl-SI"/>
              </w:rPr>
              <w:t xml:space="preserve"> arba pakeitus jo dozę, rekomenduojama tinkamai stebėti klinikinę tokių pacientų būklę.</w:t>
            </w:r>
          </w:p>
        </w:tc>
      </w:tr>
      <w:tr w:rsidR="004D0FB2" w:rsidRPr="00E906E9" w14:paraId="3C0935CC"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02F817E5" w14:textId="50D9FCAF" w:rsidR="00F93DE4" w:rsidRPr="00923E74" w:rsidRDefault="002F439F" w:rsidP="002F439F">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Eritromicinas</w:t>
            </w:r>
            <w:proofErr w:type="spellEnd"/>
            <w:r w:rsidRPr="00923E74">
              <w:rPr>
                <w:snapToGrid/>
                <w:color w:val="000000"/>
                <w:szCs w:val="22"/>
                <w:lang w:val="lt-LT" w:eastAsia="en-GB"/>
              </w:rPr>
              <w:t xml:space="preserve"> 500</w:t>
            </w:r>
            <w:r w:rsidR="00DB52C7" w:rsidRPr="00923E74">
              <w:rPr>
                <w:snapToGrid/>
                <w:color w:val="000000"/>
                <w:szCs w:val="22"/>
                <w:lang w:val="lt-LT" w:eastAsia="en-GB"/>
              </w:rPr>
              <w:t> mg</w:t>
            </w:r>
            <w:r w:rsidR="00807F24">
              <w:rPr>
                <w:snapToGrid/>
                <w:color w:val="000000"/>
                <w:szCs w:val="22"/>
                <w:lang w:val="lt-LT" w:eastAsia="en-GB"/>
              </w:rPr>
              <w:t> </w:t>
            </w:r>
            <w:r w:rsidRPr="00923E74">
              <w:rPr>
                <w:snapToGrid/>
                <w:color w:val="000000"/>
                <w:szCs w:val="22"/>
                <w:lang w:val="lt-LT" w:eastAsia="en-GB"/>
              </w:rPr>
              <w:t>KKP, 7 </w:t>
            </w:r>
            <w:r w:rsidR="00807F24">
              <w:rPr>
                <w:snapToGrid/>
                <w:color w:val="000000"/>
                <w:szCs w:val="22"/>
                <w:lang w:val="lt-LT" w:eastAsia="en-GB"/>
              </w:rPr>
              <w:t>par</w:t>
            </w:r>
            <w:r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hideMark/>
          </w:tcPr>
          <w:p w14:paraId="02B96F08" w14:textId="36A37108"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hideMark/>
          </w:tcPr>
          <w:p w14:paraId="1EE53A49"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33</w:t>
            </w:r>
          </w:p>
        </w:tc>
        <w:tc>
          <w:tcPr>
            <w:tcW w:w="1480" w:type="pct"/>
            <w:tcBorders>
              <w:top w:val="outset" w:sz="6" w:space="0" w:color="7B7B7B"/>
              <w:left w:val="outset" w:sz="6" w:space="0" w:color="7B7B7B"/>
              <w:bottom w:val="outset" w:sz="6" w:space="0" w:color="7B7B7B"/>
              <w:right w:val="outset" w:sz="6" w:space="0" w:color="7B7B7B"/>
            </w:tcBorders>
            <w:hideMark/>
          </w:tcPr>
          <w:p w14:paraId="5AF9CBB8" w14:textId="77777777" w:rsidR="00F93DE4" w:rsidRPr="00923E74" w:rsidRDefault="002F439F" w:rsidP="00A31E3A">
            <w:pPr>
              <w:tabs>
                <w:tab w:val="clear" w:pos="567"/>
              </w:tabs>
              <w:spacing w:line="240" w:lineRule="auto"/>
              <w:rPr>
                <w:snapToGrid/>
                <w:color w:val="000000"/>
                <w:szCs w:val="22"/>
                <w:lang w:val="lt-LT" w:eastAsia="en-GB"/>
              </w:rPr>
            </w:pPr>
            <w:r w:rsidRPr="00923E74">
              <w:rPr>
                <w:szCs w:val="22"/>
                <w:lang w:val="lt-LT" w:eastAsia="sl-SI"/>
              </w:rPr>
              <w:t>Rekomenduojama mažesnė didžiausia dozė ir klinikinės tokių pacientų būklės stebėjimas.</w:t>
            </w:r>
          </w:p>
        </w:tc>
      </w:tr>
      <w:tr w:rsidR="004D0FB2" w:rsidRPr="00923E74" w14:paraId="7BCD3262"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4861B8C9" w14:textId="2AB77B8A" w:rsidR="00FD267A" w:rsidRPr="00923E74" w:rsidRDefault="00FD267A" w:rsidP="0099729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Amlodipin</w:t>
            </w:r>
            <w:r w:rsidR="00997293" w:rsidRPr="00923E74">
              <w:rPr>
                <w:snapToGrid/>
                <w:color w:val="000000"/>
                <w:szCs w:val="22"/>
                <w:lang w:val="lt-LT" w:eastAsia="en-GB"/>
              </w:rPr>
              <w:t>as</w:t>
            </w:r>
            <w:proofErr w:type="spellEnd"/>
            <w:r w:rsidRPr="00923E74">
              <w:rPr>
                <w:snapToGrid/>
                <w:color w:val="000000"/>
                <w:szCs w:val="22"/>
                <w:lang w:val="lt-LT" w:eastAsia="en-GB"/>
              </w:rPr>
              <w:t xml:space="preserve"> 10</w:t>
            </w:r>
            <w:r w:rsidR="00DB52C7" w:rsidRPr="00923E74">
              <w:rPr>
                <w:snapToGrid/>
                <w:color w:val="000000"/>
                <w:szCs w:val="22"/>
                <w:lang w:val="lt-LT" w:eastAsia="en-GB"/>
              </w:rPr>
              <w:t> mg</w:t>
            </w:r>
            <w:r w:rsidR="006C2A48">
              <w:rPr>
                <w:snapToGrid/>
                <w:color w:val="000000"/>
                <w:szCs w:val="22"/>
                <w:lang w:val="lt-LT" w:eastAsia="en-GB"/>
              </w:rPr>
              <w:t> </w:t>
            </w:r>
            <w:r w:rsidR="006C2A48" w:rsidRPr="00923E74">
              <w:rPr>
                <w:snapToGrid/>
                <w:color w:val="000000"/>
                <w:szCs w:val="22"/>
                <w:lang w:val="lt-LT" w:eastAsia="en-GB"/>
              </w:rPr>
              <w:t>VD</w:t>
            </w:r>
          </w:p>
        </w:tc>
        <w:tc>
          <w:tcPr>
            <w:tcW w:w="1065" w:type="pct"/>
            <w:tcBorders>
              <w:top w:val="outset" w:sz="6" w:space="0" w:color="7B7B7B"/>
              <w:left w:val="outset" w:sz="6" w:space="0" w:color="7B7B7B"/>
              <w:bottom w:val="outset" w:sz="6" w:space="0" w:color="7B7B7B"/>
              <w:right w:val="outset" w:sz="6" w:space="0" w:color="7B7B7B"/>
            </w:tcBorders>
            <w:hideMark/>
          </w:tcPr>
          <w:p w14:paraId="67FAE383" w14:textId="32ED1B4A" w:rsidR="00FD267A" w:rsidRPr="00923E74" w:rsidRDefault="00FD267A" w:rsidP="00FD267A">
            <w:pPr>
              <w:tabs>
                <w:tab w:val="clear" w:pos="567"/>
              </w:tabs>
              <w:spacing w:line="240" w:lineRule="auto"/>
              <w:rPr>
                <w:snapToGrid/>
                <w:color w:val="000000"/>
                <w:szCs w:val="22"/>
                <w:lang w:val="lt-LT" w:eastAsia="en-GB"/>
              </w:rPr>
            </w:pPr>
            <w:r w:rsidRPr="00923E74">
              <w:rPr>
                <w:snapToGrid/>
                <w:color w:val="000000"/>
                <w:szCs w:val="22"/>
                <w:lang w:val="lt-LT" w:eastAsia="en-GB"/>
              </w:rPr>
              <w:t>80</w:t>
            </w:r>
            <w:r w:rsidR="00DB52C7" w:rsidRPr="00923E74">
              <w:rPr>
                <w:snapToGrid/>
                <w:color w:val="000000"/>
                <w:szCs w:val="22"/>
                <w:lang w:val="lt-LT" w:eastAsia="en-GB"/>
              </w:rPr>
              <w:t> mg</w:t>
            </w:r>
            <w:r w:rsidR="00CE0667">
              <w:rPr>
                <w:snapToGrid/>
                <w:color w:val="000000"/>
                <w:szCs w:val="22"/>
                <w:lang w:val="lt-LT" w:eastAsia="en-GB"/>
              </w:rPr>
              <w:t> </w:t>
            </w:r>
            <w:r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hideMark/>
          </w:tcPr>
          <w:p w14:paraId="1EF71965" w14:textId="77777777" w:rsidR="00FD267A" w:rsidRPr="00923E74" w:rsidRDefault="00FD267A"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1,18</w:t>
            </w:r>
          </w:p>
        </w:tc>
        <w:tc>
          <w:tcPr>
            <w:tcW w:w="1480" w:type="pct"/>
            <w:tcBorders>
              <w:top w:val="outset" w:sz="6" w:space="0" w:color="7B7B7B"/>
              <w:left w:val="outset" w:sz="6" w:space="0" w:color="7B7B7B"/>
              <w:bottom w:val="outset" w:sz="6" w:space="0" w:color="7B7B7B"/>
              <w:right w:val="outset" w:sz="6" w:space="0" w:color="7B7B7B"/>
            </w:tcBorders>
            <w:hideMark/>
          </w:tcPr>
          <w:p w14:paraId="0895F463" w14:textId="77777777" w:rsidR="00FD267A" w:rsidRPr="00923E74" w:rsidRDefault="00FD267A" w:rsidP="00FD267A">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4D0FB2" w:rsidRPr="00923E74" w14:paraId="65D94271"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0A12D131" w14:textId="4D3CAE57" w:rsidR="00FD267A" w:rsidRPr="00923E74" w:rsidRDefault="00FD267A" w:rsidP="00997293">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Cimetidin</w:t>
            </w:r>
            <w:r w:rsidR="00997293" w:rsidRPr="00923E74">
              <w:rPr>
                <w:snapToGrid/>
                <w:color w:val="000000"/>
                <w:szCs w:val="22"/>
                <w:lang w:val="lt-LT" w:eastAsia="en-GB"/>
              </w:rPr>
              <w:t>as</w:t>
            </w:r>
            <w:proofErr w:type="spellEnd"/>
            <w:r w:rsidRPr="00923E74">
              <w:rPr>
                <w:snapToGrid/>
                <w:color w:val="000000"/>
                <w:szCs w:val="22"/>
                <w:lang w:val="lt-LT" w:eastAsia="en-GB"/>
              </w:rPr>
              <w:t xml:space="preserve"> 300</w:t>
            </w:r>
            <w:r w:rsidR="00DB52C7" w:rsidRPr="00923E74">
              <w:rPr>
                <w:snapToGrid/>
                <w:color w:val="000000"/>
                <w:szCs w:val="22"/>
                <w:lang w:val="lt-LT" w:eastAsia="en-GB"/>
              </w:rPr>
              <w:t> mg</w:t>
            </w:r>
            <w:r w:rsidR="00807F24">
              <w:rPr>
                <w:snapToGrid/>
                <w:color w:val="000000"/>
                <w:szCs w:val="22"/>
                <w:lang w:val="lt-LT" w:eastAsia="en-GB"/>
              </w:rPr>
              <w:t> </w:t>
            </w:r>
            <w:r w:rsidR="002F439F" w:rsidRPr="00923E74">
              <w:rPr>
                <w:snapToGrid/>
                <w:color w:val="000000"/>
                <w:szCs w:val="22"/>
                <w:lang w:val="lt-LT" w:eastAsia="en-GB"/>
              </w:rPr>
              <w:t>KKP</w:t>
            </w:r>
            <w:r w:rsidR="00997293" w:rsidRPr="00923E74">
              <w:rPr>
                <w:snapToGrid/>
                <w:color w:val="000000"/>
                <w:szCs w:val="22"/>
                <w:lang w:val="lt-LT" w:eastAsia="en-GB"/>
              </w:rPr>
              <w:t>, 2 savaites</w:t>
            </w:r>
          </w:p>
        </w:tc>
        <w:tc>
          <w:tcPr>
            <w:tcW w:w="1065" w:type="pct"/>
            <w:tcBorders>
              <w:top w:val="outset" w:sz="6" w:space="0" w:color="7B7B7B"/>
              <w:left w:val="outset" w:sz="6" w:space="0" w:color="7B7B7B"/>
              <w:bottom w:val="outset" w:sz="6" w:space="0" w:color="7B7B7B"/>
              <w:right w:val="outset" w:sz="6" w:space="0" w:color="7B7B7B"/>
            </w:tcBorders>
            <w:hideMark/>
          </w:tcPr>
          <w:p w14:paraId="0EEFF462" w14:textId="2BF90BE2" w:rsidR="00FD267A" w:rsidRPr="00923E74" w:rsidRDefault="00FD267A" w:rsidP="00852485">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Pr="00923E74">
              <w:rPr>
                <w:snapToGrid/>
                <w:color w:val="000000"/>
                <w:szCs w:val="22"/>
                <w:lang w:val="lt-LT" w:eastAsia="en-GB"/>
              </w:rPr>
              <w:t>KP 2</w:t>
            </w:r>
            <w:r w:rsidR="00852485" w:rsidRPr="00923E74">
              <w:rPr>
                <w:snapToGrid/>
                <w:color w:val="000000"/>
                <w:szCs w:val="22"/>
                <w:lang w:val="lt-LT" w:eastAsia="en-GB"/>
              </w:rPr>
              <w:t> savaites</w:t>
            </w:r>
          </w:p>
        </w:tc>
        <w:tc>
          <w:tcPr>
            <w:tcW w:w="798" w:type="pct"/>
            <w:tcBorders>
              <w:top w:val="outset" w:sz="6" w:space="0" w:color="7B7B7B"/>
              <w:left w:val="outset" w:sz="6" w:space="0" w:color="7B7B7B"/>
              <w:bottom w:val="outset" w:sz="6" w:space="0" w:color="7B7B7B"/>
              <w:right w:val="outset" w:sz="6" w:space="0" w:color="7B7B7B"/>
            </w:tcBorders>
            <w:hideMark/>
          </w:tcPr>
          <w:p w14:paraId="267F1431" w14:textId="77777777" w:rsidR="00FD267A" w:rsidRPr="00923E74" w:rsidRDefault="00FD267A"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1,00</w:t>
            </w:r>
          </w:p>
        </w:tc>
        <w:tc>
          <w:tcPr>
            <w:tcW w:w="1480" w:type="pct"/>
            <w:tcBorders>
              <w:top w:val="outset" w:sz="6" w:space="0" w:color="7B7B7B"/>
              <w:left w:val="outset" w:sz="6" w:space="0" w:color="7B7B7B"/>
              <w:bottom w:val="outset" w:sz="6" w:space="0" w:color="7B7B7B"/>
              <w:right w:val="outset" w:sz="6" w:space="0" w:color="7B7B7B"/>
            </w:tcBorders>
            <w:hideMark/>
          </w:tcPr>
          <w:p w14:paraId="7436654D" w14:textId="77777777" w:rsidR="00FD267A" w:rsidRPr="00923E74" w:rsidRDefault="00FD267A" w:rsidP="00FD267A">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4D0FB2" w:rsidRPr="00923E74" w14:paraId="43450376"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5AD6D279" w14:textId="49ED1620" w:rsidR="00FD267A" w:rsidRPr="00923E74" w:rsidRDefault="00997293" w:rsidP="007E15ED">
            <w:pPr>
              <w:keepLines/>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K</w:t>
            </w:r>
            <w:r w:rsidR="00FD267A" w:rsidRPr="00923E74">
              <w:rPr>
                <w:snapToGrid/>
                <w:color w:val="000000"/>
                <w:szCs w:val="22"/>
                <w:lang w:val="lt-LT" w:eastAsia="en-GB"/>
              </w:rPr>
              <w:t>olestipol</w:t>
            </w:r>
            <w:r w:rsidRPr="00923E74">
              <w:rPr>
                <w:snapToGrid/>
                <w:color w:val="000000"/>
                <w:szCs w:val="22"/>
                <w:lang w:val="lt-LT" w:eastAsia="en-GB"/>
              </w:rPr>
              <w:t>is</w:t>
            </w:r>
            <w:proofErr w:type="spellEnd"/>
            <w:r w:rsidR="00FD267A" w:rsidRPr="00923E74">
              <w:rPr>
                <w:snapToGrid/>
                <w:color w:val="000000"/>
                <w:szCs w:val="22"/>
                <w:lang w:val="lt-LT" w:eastAsia="en-GB"/>
              </w:rPr>
              <w:t xml:space="preserve"> 10</w:t>
            </w:r>
            <w:r w:rsidR="00807F24">
              <w:rPr>
                <w:snapToGrid/>
                <w:color w:val="000000"/>
                <w:szCs w:val="22"/>
                <w:lang w:val="lt-LT" w:eastAsia="en-GB"/>
              </w:rPr>
              <w:t> </w:t>
            </w:r>
            <w:r w:rsidR="00FD267A" w:rsidRPr="00923E74">
              <w:rPr>
                <w:snapToGrid/>
                <w:color w:val="000000"/>
                <w:szCs w:val="22"/>
                <w:lang w:val="lt-LT" w:eastAsia="en-GB"/>
              </w:rPr>
              <w:t>g</w:t>
            </w:r>
            <w:r w:rsidR="00807F24">
              <w:rPr>
                <w:snapToGrid/>
                <w:color w:val="000000"/>
                <w:szCs w:val="22"/>
                <w:lang w:val="lt-LT" w:eastAsia="en-GB"/>
              </w:rPr>
              <w:t> </w:t>
            </w:r>
            <w:r w:rsidR="00FD267A" w:rsidRPr="00923E74">
              <w:rPr>
                <w:snapToGrid/>
                <w:color w:val="000000"/>
                <w:szCs w:val="22"/>
                <w:lang w:val="lt-LT" w:eastAsia="en-GB"/>
              </w:rPr>
              <w:t>DKP</w:t>
            </w:r>
            <w:r w:rsidRPr="00923E74">
              <w:rPr>
                <w:snapToGrid/>
                <w:color w:val="000000"/>
                <w:szCs w:val="22"/>
                <w:lang w:val="lt-LT" w:eastAsia="en-GB"/>
              </w:rPr>
              <w:t>, 2</w:t>
            </w:r>
            <w:r w:rsidR="006C2A48">
              <w:rPr>
                <w:snapToGrid/>
                <w:color w:val="000000"/>
                <w:szCs w:val="22"/>
                <w:lang w:val="lt-LT" w:eastAsia="en-GB"/>
              </w:rPr>
              <w:t>4</w:t>
            </w:r>
            <w:r w:rsidRPr="00923E74">
              <w:rPr>
                <w:snapToGrid/>
                <w:color w:val="000000"/>
                <w:szCs w:val="22"/>
                <w:lang w:val="lt-LT" w:eastAsia="en-GB"/>
              </w:rPr>
              <w:t> savaites</w:t>
            </w:r>
          </w:p>
        </w:tc>
        <w:tc>
          <w:tcPr>
            <w:tcW w:w="1065" w:type="pct"/>
            <w:tcBorders>
              <w:top w:val="outset" w:sz="6" w:space="0" w:color="7B7B7B"/>
              <w:left w:val="outset" w:sz="6" w:space="0" w:color="7B7B7B"/>
              <w:bottom w:val="outset" w:sz="6" w:space="0" w:color="7B7B7B"/>
              <w:right w:val="outset" w:sz="6" w:space="0" w:color="7B7B7B"/>
            </w:tcBorders>
            <w:hideMark/>
          </w:tcPr>
          <w:p w14:paraId="7E555B99" w14:textId="0ED7047C" w:rsidR="00FD267A" w:rsidRPr="00923E74" w:rsidRDefault="00FD267A" w:rsidP="007E15ED">
            <w:pPr>
              <w:keepLines/>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Pr="00923E74">
              <w:rPr>
                <w:snapToGrid/>
                <w:color w:val="000000"/>
                <w:szCs w:val="22"/>
                <w:lang w:val="lt-LT" w:eastAsia="en-GB"/>
              </w:rPr>
              <w:t xml:space="preserve">KP </w:t>
            </w:r>
            <w:r w:rsidR="00852485" w:rsidRPr="00923E74">
              <w:rPr>
                <w:snapToGrid/>
                <w:color w:val="000000"/>
                <w:szCs w:val="22"/>
                <w:lang w:val="lt-LT" w:eastAsia="en-GB"/>
              </w:rPr>
              <w:t>8 savaites</w:t>
            </w:r>
          </w:p>
        </w:tc>
        <w:tc>
          <w:tcPr>
            <w:tcW w:w="798" w:type="pct"/>
            <w:tcBorders>
              <w:top w:val="outset" w:sz="6" w:space="0" w:color="7B7B7B"/>
              <w:left w:val="outset" w:sz="6" w:space="0" w:color="7B7B7B"/>
              <w:bottom w:val="outset" w:sz="6" w:space="0" w:color="7B7B7B"/>
              <w:right w:val="outset" w:sz="6" w:space="0" w:color="7B7B7B"/>
            </w:tcBorders>
            <w:hideMark/>
          </w:tcPr>
          <w:p w14:paraId="2BA7EF26" w14:textId="77777777" w:rsidR="00FD267A" w:rsidRPr="00923E74" w:rsidRDefault="00FD267A" w:rsidP="007E15ED">
            <w:pPr>
              <w:keepLines/>
              <w:tabs>
                <w:tab w:val="clear" w:pos="567"/>
              </w:tabs>
              <w:spacing w:line="240" w:lineRule="auto"/>
              <w:jc w:val="center"/>
              <w:rPr>
                <w:snapToGrid/>
                <w:color w:val="000000"/>
                <w:szCs w:val="22"/>
                <w:lang w:val="lt-LT" w:eastAsia="en-GB"/>
              </w:rPr>
            </w:pPr>
            <w:r w:rsidRPr="00923E74">
              <w:rPr>
                <w:snapToGrid/>
                <w:color w:val="000000"/>
                <w:szCs w:val="22"/>
                <w:lang w:val="lt-LT" w:eastAsia="en-GB"/>
              </w:rPr>
              <w:t>0,74**</w:t>
            </w:r>
          </w:p>
        </w:tc>
        <w:tc>
          <w:tcPr>
            <w:tcW w:w="1480" w:type="pct"/>
            <w:tcBorders>
              <w:top w:val="outset" w:sz="6" w:space="0" w:color="7B7B7B"/>
              <w:left w:val="outset" w:sz="6" w:space="0" w:color="7B7B7B"/>
              <w:bottom w:val="outset" w:sz="6" w:space="0" w:color="7B7B7B"/>
              <w:right w:val="outset" w:sz="6" w:space="0" w:color="7B7B7B"/>
            </w:tcBorders>
            <w:hideMark/>
          </w:tcPr>
          <w:p w14:paraId="648E544D" w14:textId="77777777" w:rsidR="00FD267A" w:rsidRPr="00923E74" w:rsidRDefault="00FD267A" w:rsidP="007E15ED">
            <w:pPr>
              <w:keepLines/>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4D0FB2" w:rsidRPr="00923E74" w14:paraId="792CA0E9"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49A29883" w14:textId="7B952B1B" w:rsidR="00FD267A" w:rsidRPr="00923E74" w:rsidRDefault="00852485" w:rsidP="00852485">
            <w:pPr>
              <w:autoSpaceDE w:val="0"/>
              <w:autoSpaceDN w:val="0"/>
              <w:adjustRightInd w:val="0"/>
              <w:spacing w:line="240" w:lineRule="auto"/>
              <w:ind w:right="-11"/>
              <w:rPr>
                <w:snapToGrid/>
                <w:szCs w:val="22"/>
                <w:lang w:val="lt-LT"/>
              </w:rPr>
            </w:pPr>
            <w:proofErr w:type="spellStart"/>
            <w:r w:rsidRPr="00923E74">
              <w:rPr>
                <w:szCs w:val="22"/>
                <w:lang w:val="lt-LT"/>
              </w:rPr>
              <w:t>Antacidinė</w:t>
            </w:r>
            <w:proofErr w:type="spellEnd"/>
            <w:r w:rsidRPr="00923E74">
              <w:rPr>
                <w:szCs w:val="22"/>
                <w:lang w:val="lt-LT"/>
              </w:rPr>
              <w:t xml:space="preserve"> magnio ir aliuminio hidroksidų suspensija, 30 ml</w:t>
            </w:r>
            <w:r w:rsidR="00807F24">
              <w:rPr>
                <w:szCs w:val="22"/>
                <w:lang w:val="lt-LT"/>
              </w:rPr>
              <w:t> </w:t>
            </w:r>
            <w:r w:rsidRPr="00923E74">
              <w:rPr>
                <w:szCs w:val="22"/>
                <w:lang w:val="lt-LT"/>
              </w:rPr>
              <w:t>KKP</w:t>
            </w:r>
            <w:r w:rsidR="00FD267A" w:rsidRPr="00923E74">
              <w:rPr>
                <w:snapToGrid/>
                <w:color w:val="000000"/>
                <w:szCs w:val="22"/>
                <w:lang w:val="lt-LT" w:eastAsia="en-GB"/>
              </w:rPr>
              <w:t>, 17</w:t>
            </w:r>
            <w:r w:rsidRPr="00923E74">
              <w:rPr>
                <w:snapToGrid/>
                <w:color w:val="000000"/>
                <w:szCs w:val="22"/>
                <w:lang w:val="lt-LT" w:eastAsia="en-GB"/>
              </w:rPr>
              <w:t> </w:t>
            </w:r>
            <w:r w:rsidR="00807F24">
              <w:rPr>
                <w:snapToGrid/>
                <w:color w:val="000000"/>
                <w:szCs w:val="22"/>
                <w:lang w:val="lt-LT" w:eastAsia="en-GB"/>
              </w:rPr>
              <w:t>par</w:t>
            </w:r>
            <w:r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hideMark/>
          </w:tcPr>
          <w:p w14:paraId="7DC1C0D6" w14:textId="35BC25A6" w:rsidR="00FD267A" w:rsidRPr="00923E74" w:rsidRDefault="00FD267A" w:rsidP="00852485">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CE0667">
              <w:rPr>
                <w:snapToGrid/>
                <w:color w:val="000000"/>
                <w:szCs w:val="22"/>
                <w:lang w:val="lt-LT" w:eastAsia="en-GB"/>
              </w:rPr>
              <w:t> </w:t>
            </w:r>
            <w:r w:rsidRPr="00923E74">
              <w:rPr>
                <w:snapToGrid/>
                <w:color w:val="000000"/>
                <w:szCs w:val="22"/>
                <w:lang w:val="lt-LT" w:eastAsia="en-GB"/>
              </w:rPr>
              <w:t>KP 15</w:t>
            </w:r>
            <w:r w:rsidR="00852485" w:rsidRPr="00923E74">
              <w:rPr>
                <w:snapToGrid/>
                <w:color w:val="000000"/>
                <w:szCs w:val="22"/>
                <w:lang w:val="lt-LT" w:eastAsia="en-GB"/>
              </w:rPr>
              <w:t> </w:t>
            </w:r>
            <w:r w:rsidR="00CE0667">
              <w:rPr>
                <w:snapToGrid/>
                <w:color w:val="000000"/>
                <w:szCs w:val="22"/>
                <w:lang w:val="lt-LT" w:eastAsia="en-GB"/>
              </w:rPr>
              <w:t>par</w:t>
            </w:r>
            <w:r w:rsidR="00852485" w:rsidRPr="00923E74">
              <w:rPr>
                <w:snapToGrid/>
                <w:color w:val="000000"/>
                <w:szCs w:val="22"/>
                <w:lang w:val="lt-LT" w:eastAsia="en-GB"/>
              </w:rPr>
              <w:t>ų</w:t>
            </w:r>
          </w:p>
        </w:tc>
        <w:tc>
          <w:tcPr>
            <w:tcW w:w="798" w:type="pct"/>
            <w:tcBorders>
              <w:top w:val="outset" w:sz="6" w:space="0" w:color="7B7B7B"/>
              <w:left w:val="outset" w:sz="6" w:space="0" w:color="7B7B7B"/>
              <w:bottom w:val="outset" w:sz="6" w:space="0" w:color="7B7B7B"/>
              <w:right w:val="outset" w:sz="6" w:space="0" w:color="7B7B7B"/>
            </w:tcBorders>
            <w:hideMark/>
          </w:tcPr>
          <w:p w14:paraId="0D0FDD7D" w14:textId="77777777" w:rsidR="00FD267A" w:rsidRPr="00923E74" w:rsidRDefault="00FD267A"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0,66</w:t>
            </w:r>
          </w:p>
        </w:tc>
        <w:tc>
          <w:tcPr>
            <w:tcW w:w="1480" w:type="pct"/>
            <w:tcBorders>
              <w:top w:val="outset" w:sz="6" w:space="0" w:color="7B7B7B"/>
              <w:left w:val="outset" w:sz="6" w:space="0" w:color="7B7B7B"/>
              <w:bottom w:val="outset" w:sz="6" w:space="0" w:color="7B7B7B"/>
              <w:right w:val="outset" w:sz="6" w:space="0" w:color="7B7B7B"/>
            </w:tcBorders>
            <w:hideMark/>
          </w:tcPr>
          <w:p w14:paraId="34B0AEBF" w14:textId="77777777" w:rsidR="00FD267A" w:rsidRPr="00923E74" w:rsidRDefault="00FD267A" w:rsidP="00FD267A">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4D0FB2" w:rsidRPr="00923E74" w14:paraId="2ED52AC6"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40260E72" w14:textId="428CF1B6" w:rsidR="00FD267A" w:rsidRPr="00923E74" w:rsidRDefault="00FD267A" w:rsidP="00852485">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Efavirenz</w:t>
            </w:r>
            <w:r w:rsidR="00740351" w:rsidRPr="00923E74">
              <w:rPr>
                <w:snapToGrid/>
                <w:color w:val="000000"/>
                <w:szCs w:val="22"/>
                <w:lang w:val="lt-LT" w:eastAsia="en-GB"/>
              </w:rPr>
              <w:t>as</w:t>
            </w:r>
            <w:proofErr w:type="spellEnd"/>
            <w:r w:rsidRPr="00923E74">
              <w:rPr>
                <w:snapToGrid/>
                <w:color w:val="000000"/>
                <w:szCs w:val="22"/>
                <w:lang w:val="lt-LT" w:eastAsia="en-GB"/>
              </w:rPr>
              <w:t xml:space="preserve"> 600</w:t>
            </w:r>
            <w:r w:rsidR="00DB52C7" w:rsidRPr="00923E74">
              <w:rPr>
                <w:snapToGrid/>
                <w:color w:val="000000"/>
                <w:szCs w:val="22"/>
                <w:lang w:val="lt-LT" w:eastAsia="en-GB"/>
              </w:rPr>
              <w:t> mg</w:t>
            </w:r>
            <w:r w:rsidR="00807F24">
              <w:rPr>
                <w:snapToGrid/>
                <w:color w:val="000000"/>
                <w:szCs w:val="22"/>
                <w:lang w:val="lt-LT" w:eastAsia="en-GB"/>
              </w:rPr>
              <w:t> </w:t>
            </w:r>
            <w:r w:rsidRPr="00923E74">
              <w:rPr>
                <w:snapToGrid/>
                <w:color w:val="000000"/>
                <w:szCs w:val="22"/>
                <w:lang w:val="lt-LT" w:eastAsia="en-GB"/>
              </w:rPr>
              <w:t>KP</w:t>
            </w:r>
            <w:r w:rsidR="00852485" w:rsidRPr="00923E74">
              <w:rPr>
                <w:snapToGrid/>
                <w:color w:val="000000"/>
                <w:szCs w:val="22"/>
                <w:lang w:val="lt-LT" w:eastAsia="en-GB"/>
              </w:rPr>
              <w:t>, 14 </w:t>
            </w:r>
            <w:r w:rsidR="00807F24">
              <w:rPr>
                <w:snapToGrid/>
                <w:color w:val="000000"/>
                <w:szCs w:val="22"/>
                <w:lang w:val="lt-LT" w:eastAsia="en-GB"/>
              </w:rPr>
              <w:t>par</w:t>
            </w:r>
            <w:r w:rsidR="00852485" w:rsidRPr="00923E74">
              <w:rPr>
                <w:snapToGrid/>
                <w:color w:val="000000"/>
                <w:szCs w:val="22"/>
                <w:lang w:val="lt-LT" w:eastAsia="en-GB"/>
              </w:rPr>
              <w:t>ų</w:t>
            </w:r>
          </w:p>
        </w:tc>
        <w:tc>
          <w:tcPr>
            <w:tcW w:w="1065" w:type="pct"/>
            <w:tcBorders>
              <w:top w:val="outset" w:sz="6" w:space="0" w:color="7B7B7B"/>
              <w:left w:val="outset" w:sz="6" w:space="0" w:color="7B7B7B"/>
              <w:bottom w:val="outset" w:sz="6" w:space="0" w:color="7B7B7B"/>
              <w:right w:val="outset" w:sz="6" w:space="0" w:color="7B7B7B"/>
            </w:tcBorders>
            <w:hideMark/>
          </w:tcPr>
          <w:p w14:paraId="0F04F260" w14:textId="3421AA2F" w:rsidR="00FD267A" w:rsidRPr="00923E74" w:rsidRDefault="00FD267A" w:rsidP="00852485">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Pr="00923E74">
              <w:rPr>
                <w:snapToGrid/>
                <w:color w:val="000000"/>
                <w:szCs w:val="22"/>
                <w:lang w:val="lt-LT" w:eastAsia="en-GB"/>
              </w:rPr>
              <w:t xml:space="preserve"> </w:t>
            </w:r>
            <w:r w:rsidR="00852485" w:rsidRPr="00923E74">
              <w:rPr>
                <w:snapToGrid/>
                <w:color w:val="000000"/>
                <w:szCs w:val="22"/>
                <w:lang w:val="lt-LT" w:eastAsia="en-GB"/>
              </w:rPr>
              <w:t>3 </w:t>
            </w:r>
            <w:r w:rsidR="00CE0667">
              <w:rPr>
                <w:snapToGrid/>
                <w:color w:val="000000"/>
                <w:szCs w:val="22"/>
                <w:lang w:val="lt-LT" w:eastAsia="en-GB"/>
              </w:rPr>
              <w:t>par</w:t>
            </w:r>
            <w:r w:rsidR="00852485" w:rsidRPr="00923E74">
              <w:rPr>
                <w:snapToGrid/>
                <w:color w:val="000000"/>
                <w:szCs w:val="22"/>
                <w:lang w:val="lt-LT" w:eastAsia="en-GB"/>
              </w:rPr>
              <w:t>as</w:t>
            </w:r>
          </w:p>
        </w:tc>
        <w:tc>
          <w:tcPr>
            <w:tcW w:w="798" w:type="pct"/>
            <w:tcBorders>
              <w:top w:val="outset" w:sz="6" w:space="0" w:color="7B7B7B"/>
              <w:left w:val="outset" w:sz="6" w:space="0" w:color="7B7B7B"/>
              <w:bottom w:val="outset" w:sz="6" w:space="0" w:color="7B7B7B"/>
              <w:right w:val="outset" w:sz="6" w:space="0" w:color="7B7B7B"/>
            </w:tcBorders>
            <w:hideMark/>
          </w:tcPr>
          <w:p w14:paraId="4BD300E0" w14:textId="77777777" w:rsidR="00FD267A" w:rsidRPr="00923E74" w:rsidRDefault="00FD267A"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0,59</w:t>
            </w:r>
          </w:p>
        </w:tc>
        <w:tc>
          <w:tcPr>
            <w:tcW w:w="1480" w:type="pct"/>
            <w:tcBorders>
              <w:top w:val="outset" w:sz="6" w:space="0" w:color="7B7B7B"/>
              <w:left w:val="outset" w:sz="6" w:space="0" w:color="7B7B7B"/>
              <w:bottom w:val="outset" w:sz="6" w:space="0" w:color="7B7B7B"/>
              <w:right w:val="outset" w:sz="6" w:space="0" w:color="7B7B7B"/>
            </w:tcBorders>
            <w:hideMark/>
          </w:tcPr>
          <w:p w14:paraId="78D56D75" w14:textId="77777777" w:rsidR="00FD267A" w:rsidRPr="00923E74" w:rsidRDefault="00FD267A" w:rsidP="00FD267A">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4D0FB2" w:rsidRPr="00E906E9" w14:paraId="53C8B540"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42D6BEC7" w14:textId="39DC6CE2" w:rsidR="00F93DE4" w:rsidRPr="00923E74" w:rsidRDefault="00F93DE4" w:rsidP="0074035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Rifampi</w:t>
            </w:r>
            <w:r w:rsidR="00B0594B">
              <w:rPr>
                <w:snapToGrid/>
                <w:color w:val="000000"/>
                <w:szCs w:val="22"/>
                <w:lang w:val="lt-LT" w:eastAsia="en-GB"/>
              </w:rPr>
              <w:t>ci</w:t>
            </w:r>
            <w:r w:rsidRPr="00923E74">
              <w:rPr>
                <w:snapToGrid/>
                <w:color w:val="000000"/>
                <w:szCs w:val="22"/>
                <w:lang w:val="lt-LT" w:eastAsia="en-GB"/>
              </w:rPr>
              <w:t>n</w:t>
            </w:r>
            <w:r w:rsidR="00740351" w:rsidRPr="00923E74">
              <w:rPr>
                <w:snapToGrid/>
                <w:color w:val="000000"/>
                <w:szCs w:val="22"/>
                <w:lang w:val="lt-LT" w:eastAsia="en-GB"/>
              </w:rPr>
              <w:t>as</w:t>
            </w:r>
            <w:proofErr w:type="spellEnd"/>
            <w:r w:rsidRPr="00923E74">
              <w:rPr>
                <w:snapToGrid/>
                <w:color w:val="000000"/>
                <w:szCs w:val="22"/>
                <w:lang w:val="lt-LT" w:eastAsia="en-GB"/>
              </w:rPr>
              <w:t xml:space="preserve"> 600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00740351" w:rsidRPr="00923E74">
              <w:rPr>
                <w:snapToGrid/>
                <w:color w:val="000000"/>
                <w:szCs w:val="22"/>
                <w:lang w:val="lt-LT" w:eastAsia="en-GB"/>
              </w:rPr>
              <w:t>, 7 </w:t>
            </w:r>
            <w:r w:rsidR="00807F24">
              <w:rPr>
                <w:snapToGrid/>
                <w:color w:val="000000"/>
                <w:szCs w:val="22"/>
                <w:lang w:val="lt-LT" w:eastAsia="en-GB"/>
              </w:rPr>
              <w:t>par</w:t>
            </w:r>
            <w:r w:rsidR="00740351" w:rsidRPr="00923E74">
              <w:rPr>
                <w:snapToGrid/>
                <w:color w:val="000000"/>
                <w:szCs w:val="22"/>
                <w:lang w:val="lt-LT" w:eastAsia="en-GB"/>
              </w:rPr>
              <w:t xml:space="preserve">as </w:t>
            </w:r>
            <w:r w:rsidRPr="00923E74">
              <w:rPr>
                <w:snapToGrid/>
                <w:color w:val="000000"/>
                <w:szCs w:val="22"/>
                <w:lang w:val="lt-LT" w:eastAsia="en-GB"/>
              </w:rPr>
              <w:t>(</w:t>
            </w:r>
            <w:r w:rsidR="00740351" w:rsidRPr="00923E74">
              <w:rPr>
                <w:snapToGrid/>
                <w:color w:val="000000"/>
                <w:szCs w:val="22"/>
                <w:lang w:val="lt-LT" w:eastAsia="en-GB"/>
              </w:rPr>
              <w:t>vartojant kartu</w:t>
            </w:r>
            <w:r w:rsidRPr="00923E74">
              <w:rPr>
                <w:snapToGrid/>
                <w:color w:val="000000"/>
                <w:szCs w:val="22"/>
                <w:lang w:val="lt-LT" w:eastAsia="en-GB"/>
              </w:rPr>
              <w:t>)</w:t>
            </w:r>
          </w:p>
        </w:tc>
        <w:tc>
          <w:tcPr>
            <w:tcW w:w="1065" w:type="pct"/>
            <w:tcBorders>
              <w:top w:val="outset" w:sz="6" w:space="0" w:color="7B7B7B"/>
              <w:left w:val="outset" w:sz="6" w:space="0" w:color="7B7B7B"/>
              <w:bottom w:val="outset" w:sz="6" w:space="0" w:color="7B7B7B"/>
              <w:right w:val="outset" w:sz="6" w:space="0" w:color="7B7B7B"/>
            </w:tcBorders>
            <w:hideMark/>
          </w:tcPr>
          <w:p w14:paraId="4361B1C2" w14:textId="5849F510"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hideMark/>
          </w:tcPr>
          <w:p w14:paraId="15ED34AC"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12</w:t>
            </w:r>
          </w:p>
        </w:tc>
        <w:tc>
          <w:tcPr>
            <w:tcW w:w="1480" w:type="pct"/>
            <w:vMerge w:val="restart"/>
            <w:tcBorders>
              <w:top w:val="outset" w:sz="6" w:space="0" w:color="7B7B7B"/>
              <w:left w:val="outset" w:sz="6" w:space="0" w:color="7B7B7B"/>
              <w:bottom w:val="outset" w:sz="6" w:space="0" w:color="7B7B7B"/>
              <w:right w:val="outset" w:sz="6" w:space="0" w:color="7B7B7B"/>
            </w:tcBorders>
            <w:hideMark/>
          </w:tcPr>
          <w:p w14:paraId="480A721E" w14:textId="284B5449" w:rsidR="00F93DE4" w:rsidRPr="00923E74" w:rsidRDefault="00740351" w:rsidP="001D603E">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Jeigu vartojimo kartu išvengti neįmanoma, </w:t>
            </w:r>
            <w:proofErr w:type="spellStart"/>
            <w:r w:rsidRPr="00923E74">
              <w:rPr>
                <w:snapToGrid/>
                <w:color w:val="000000"/>
                <w:szCs w:val="22"/>
                <w:lang w:val="lt-LT" w:eastAsia="en-GB"/>
              </w:rPr>
              <w:t>atorvastatin</w:t>
            </w:r>
            <w:r w:rsidR="00807F24">
              <w:rPr>
                <w:snapToGrid/>
                <w:color w:val="000000"/>
                <w:szCs w:val="22"/>
                <w:lang w:val="lt-LT" w:eastAsia="en-GB"/>
              </w:rPr>
              <w:t>o</w:t>
            </w:r>
            <w:proofErr w:type="spellEnd"/>
            <w:r w:rsidRPr="00923E74">
              <w:rPr>
                <w:snapToGrid/>
                <w:color w:val="000000"/>
                <w:szCs w:val="22"/>
                <w:lang w:val="lt-LT" w:eastAsia="en-GB"/>
              </w:rPr>
              <w:t xml:space="preserve"> </w:t>
            </w:r>
            <w:r w:rsidR="001D603E" w:rsidRPr="00923E74">
              <w:rPr>
                <w:snapToGrid/>
                <w:color w:val="000000"/>
                <w:szCs w:val="22"/>
                <w:lang w:val="lt-LT" w:eastAsia="en-GB"/>
              </w:rPr>
              <w:t xml:space="preserve">rekomenduojama </w:t>
            </w:r>
            <w:r w:rsidRPr="00923E74">
              <w:rPr>
                <w:snapToGrid/>
                <w:color w:val="000000"/>
                <w:szCs w:val="22"/>
                <w:lang w:val="lt-LT" w:eastAsia="en-GB"/>
              </w:rPr>
              <w:t xml:space="preserve">vartoti kartu su </w:t>
            </w:r>
            <w:proofErr w:type="spellStart"/>
            <w:r w:rsidRPr="00923E74">
              <w:rPr>
                <w:snapToGrid/>
                <w:color w:val="000000"/>
                <w:szCs w:val="22"/>
                <w:lang w:val="lt-LT" w:eastAsia="en-GB"/>
              </w:rPr>
              <w:t>rifampicinu</w:t>
            </w:r>
            <w:proofErr w:type="spellEnd"/>
            <w:r w:rsidRPr="00923E74">
              <w:rPr>
                <w:snapToGrid/>
                <w:color w:val="000000"/>
                <w:szCs w:val="22"/>
                <w:lang w:val="lt-LT" w:eastAsia="en-GB"/>
              </w:rPr>
              <w:t xml:space="preserve"> stebint paciento klinikinę būklę</w:t>
            </w:r>
            <w:r w:rsidR="00F93DE4" w:rsidRPr="00923E74">
              <w:rPr>
                <w:snapToGrid/>
                <w:color w:val="000000"/>
                <w:szCs w:val="22"/>
                <w:lang w:val="lt-LT" w:eastAsia="en-GB"/>
              </w:rPr>
              <w:t>.</w:t>
            </w:r>
          </w:p>
        </w:tc>
      </w:tr>
      <w:tr w:rsidR="004D0FB2" w:rsidRPr="00923E74" w14:paraId="4EC9FED1"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55DE359C" w14:textId="634EFA59" w:rsidR="00F93DE4" w:rsidRPr="00923E74" w:rsidRDefault="00F93DE4" w:rsidP="0074035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Rifampi</w:t>
            </w:r>
            <w:r w:rsidR="00B0594B">
              <w:rPr>
                <w:snapToGrid/>
                <w:color w:val="000000"/>
                <w:szCs w:val="22"/>
                <w:lang w:val="lt-LT" w:eastAsia="en-GB"/>
              </w:rPr>
              <w:t>ci</w:t>
            </w:r>
            <w:r w:rsidRPr="00923E74">
              <w:rPr>
                <w:snapToGrid/>
                <w:color w:val="000000"/>
                <w:szCs w:val="22"/>
                <w:lang w:val="lt-LT" w:eastAsia="en-GB"/>
              </w:rPr>
              <w:t>n</w:t>
            </w:r>
            <w:r w:rsidR="00740351" w:rsidRPr="00923E74">
              <w:rPr>
                <w:snapToGrid/>
                <w:color w:val="000000"/>
                <w:szCs w:val="22"/>
                <w:lang w:val="lt-LT" w:eastAsia="en-GB"/>
              </w:rPr>
              <w:t>as</w:t>
            </w:r>
            <w:proofErr w:type="spellEnd"/>
            <w:r w:rsidRPr="00923E74">
              <w:rPr>
                <w:snapToGrid/>
                <w:color w:val="000000"/>
                <w:szCs w:val="22"/>
                <w:lang w:val="lt-LT" w:eastAsia="en-GB"/>
              </w:rPr>
              <w:t xml:space="preserve"> 600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00740351" w:rsidRPr="00923E74">
              <w:rPr>
                <w:snapToGrid/>
                <w:color w:val="000000"/>
                <w:szCs w:val="22"/>
                <w:lang w:val="lt-LT" w:eastAsia="en-GB"/>
              </w:rPr>
              <w:t>, 5 </w:t>
            </w:r>
            <w:r w:rsidR="00807F24">
              <w:rPr>
                <w:snapToGrid/>
                <w:color w:val="000000"/>
                <w:szCs w:val="22"/>
                <w:lang w:val="lt-LT" w:eastAsia="en-GB"/>
              </w:rPr>
              <w:t>par</w:t>
            </w:r>
            <w:r w:rsidR="00740351" w:rsidRPr="00923E74">
              <w:rPr>
                <w:snapToGrid/>
                <w:color w:val="000000"/>
                <w:szCs w:val="22"/>
                <w:lang w:val="lt-LT" w:eastAsia="en-GB"/>
              </w:rPr>
              <w:t xml:space="preserve">as </w:t>
            </w:r>
            <w:r w:rsidRPr="00923E74">
              <w:rPr>
                <w:snapToGrid/>
                <w:color w:val="000000"/>
                <w:szCs w:val="22"/>
                <w:lang w:val="lt-LT" w:eastAsia="en-GB"/>
              </w:rPr>
              <w:t>(</w:t>
            </w:r>
            <w:r w:rsidR="00740351" w:rsidRPr="00923E74">
              <w:rPr>
                <w:snapToGrid/>
                <w:color w:val="000000"/>
                <w:szCs w:val="22"/>
                <w:lang w:val="lt-LT" w:eastAsia="en-GB"/>
              </w:rPr>
              <w:t>dozes vartojant ne kartu</w:t>
            </w:r>
            <w:r w:rsidRPr="00923E74">
              <w:rPr>
                <w:snapToGrid/>
                <w:color w:val="000000"/>
                <w:szCs w:val="22"/>
                <w:lang w:val="lt-LT" w:eastAsia="en-GB"/>
              </w:rPr>
              <w:t>)</w:t>
            </w:r>
          </w:p>
        </w:tc>
        <w:tc>
          <w:tcPr>
            <w:tcW w:w="1065" w:type="pct"/>
            <w:tcBorders>
              <w:top w:val="outset" w:sz="6" w:space="0" w:color="7B7B7B"/>
              <w:left w:val="outset" w:sz="6" w:space="0" w:color="7B7B7B"/>
              <w:bottom w:val="outset" w:sz="6" w:space="0" w:color="7B7B7B"/>
              <w:right w:val="outset" w:sz="6" w:space="0" w:color="7B7B7B"/>
            </w:tcBorders>
            <w:hideMark/>
          </w:tcPr>
          <w:p w14:paraId="48BB87F3" w14:textId="67E70C0F"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hideMark/>
          </w:tcPr>
          <w:p w14:paraId="5D5B4CCB"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0</w:t>
            </w:r>
            <w:r w:rsidR="00A31E3A" w:rsidRPr="00923E74">
              <w:rPr>
                <w:snapToGrid/>
                <w:color w:val="000000"/>
                <w:szCs w:val="22"/>
                <w:lang w:val="lt-LT" w:eastAsia="en-GB"/>
              </w:rPr>
              <w:t>,</w:t>
            </w:r>
            <w:r w:rsidRPr="00923E74">
              <w:rPr>
                <w:snapToGrid/>
                <w:color w:val="000000"/>
                <w:szCs w:val="22"/>
                <w:lang w:val="lt-LT" w:eastAsia="en-GB"/>
              </w:rPr>
              <w:t>20</w:t>
            </w:r>
          </w:p>
        </w:tc>
        <w:tc>
          <w:tcPr>
            <w:tcW w:w="1480" w:type="pct"/>
            <w:vMerge/>
            <w:tcBorders>
              <w:top w:val="outset" w:sz="6" w:space="0" w:color="7B7B7B"/>
              <w:left w:val="outset" w:sz="6" w:space="0" w:color="7B7B7B"/>
              <w:bottom w:val="outset" w:sz="6" w:space="0" w:color="7B7B7B"/>
              <w:right w:val="outset" w:sz="6" w:space="0" w:color="7B7B7B"/>
            </w:tcBorders>
            <w:hideMark/>
          </w:tcPr>
          <w:p w14:paraId="129DE795" w14:textId="77777777" w:rsidR="00F93DE4" w:rsidRPr="00923E74" w:rsidRDefault="00F93DE4" w:rsidP="00A31E3A">
            <w:pPr>
              <w:tabs>
                <w:tab w:val="clear" w:pos="567"/>
              </w:tabs>
              <w:spacing w:line="240" w:lineRule="auto"/>
              <w:rPr>
                <w:snapToGrid/>
                <w:color w:val="000000"/>
                <w:szCs w:val="22"/>
                <w:lang w:val="lt-LT" w:eastAsia="en-GB"/>
              </w:rPr>
            </w:pPr>
          </w:p>
        </w:tc>
      </w:tr>
      <w:tr w:rsidR="004D0FB2" w:rsidRPr="00E906E9" w14:paraId="75F1FC66"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364180E7" w14:textId="4DF256FD" w:rsidR="00F93DE4" w:rsidRPr="00923E74" w:rsidRDefault="00F93DE4" w:rsidP="0074035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lastRenderedPageBreak/>
              <w:t>Gemfibrozil</w:t>
            </w:r>
            <w:r w:rsidR="00740351" w:rsidRPr="00923E74">
              <w:rPr>
                <w:snapToGrid/>
                <w:color w:val="000000"/>
                <w:szCs w:val="22"/>
                <w:lang w:val="lt-LT" w:eastAsia="en-GB"/>
              </w:rPr>
              <w:t>is</w:t>
            </w:r>
            <w:proofErr w:type="spellEnd"/>
            <w:r w:rsidRPr="00923E74">
              <w:rPr>
                <w:snapToGrid/>
                <w:color w:val="000000"/>
                <w:szCs w:val="22"/>
                <w:lang w:val="lt-LT" w:eastAsia="en-GB"/>
              </w:rPr>
              <w:t xml:space="preserve"> 600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DKP</w:t>
            </w:r>
            <w:r w:rsidR="00740351" w:rsidRPr="00923E74">
              <w:rPr>
                <w:snapToGrid/>
                <w:color w:val="000000"/>
                <w:szCs w:val="22"/>
                <w:lang w:val="lt-LT" w:eastAsia="en-GB"/>
              </w:rPr>
              <w:t>, 7 </w:t>
            </w:r>
            <w:r w:rsidR="00807F24">
              <w:rPr>
                <w:snapToGrid/>
                <w:color w:val="000000"/>
                <w:szCs w:val="22"/>
                <w:lang w:val="lt-LT" w:eastAsia="en-GB"/>
              </w:rPr>
              <w:t>par</w:t>
            </w:r>
            <w:r w:rsidR="00740351"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hideMark/>
          </w:tcPr>
          <w:p w14:paraId="09FAE3C1" w14:textId="4C3BD554"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CE0667">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hideMark/>
          </w:tcPr>
          <w:p w14:paraId="790021AD"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35</w:t>
            </w:r>
          </w:p>
        </w:tc>
        <w:tc>
          <w:tcPr>
            <w:tcW w:w="1480" w:type="pct"/>
            <w:tcBorders>
              <w:top w:val="outset" w:sz="6" w:space="0" w:color="7B7B7B"/>
              <w:left w:val="outset" w:sz="6" w:space="0" w:color="7B7B7B"/>
              <w:bottom w:val="outset" w:sz="6" w:space="0" w:color="7B7B7B"/>
              <w:right w:val="outset" w:sz="6" w:space="0" w:color="7B7B7B"/>
            </w:tcBorders>
            <w:hideMark/>
          </w:tcPr>
          <w:p w14:paraId="1518DD64" w14:textId="77777777" w:rsidR="00F93DE4" w:rsidRPr="00923E74" w:rsidRDefault="00740351" w:rsidP="00A31E3A">
            <w:pPr>
              <w:tabs>
                <w:tab w:val="clear" w:pos="567"/>
              </w:tabs>
              <w:spacing w:line="240" w:lineRule="auto"/>
              <w:rPr>
                <w:snapToGrid/>
                <w:color w:val="000000"/>
                <w:szCs w:val="22"/>
                <w:lang w:val="lt-LT" w:eastAsia="en-GB"/>
              </w:rPr>
            </w:pPr>
            <w:r w:rsidRPr="00923E74">
              <w:rPr>
                <w:snapToGrid/>
                <w:color w:val="000000"/>
                <w:szCs w:val="22"/>
                <w:lang w:val="lt-LT" w:eastAsia="en-GB"/>
              </w:rPr>
              <w:t>Tokiems pacientams rekomenduojama mažesnė pradinė dozė ir klinikinės būklės stebėjimas.</w:t>
            </w:r>
          </w:p>
        </w:tc>
      </w:tr>
      <w:tr w:rsidR="004D0FB2" w:rsidRPr="00E906E9" w14:paraId="44DFBFA1"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5F6CC24C" w14:textId="2AB512EF" w:rsidR="00F93DE4" w:rsidRPr="00923E74" w:rsidRDefault="00F93DE4" w:rsidP="0074035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Fenofibrat</w:t>
            </w:r>
            <w:r w:rsidR="00740351" w:rsidRPr="00923E74">
              <w:rPr>
                <w:snapToGrid/>
                <w:color w:val="000000"/>
                <w:szCs w:val="22"/>
                <w:lang w:val="lt-LT" w:eastAsia="en-GB"/>
              </w:rPr>
              <w:t>as</w:t>
            </w:r>
            <w:proofErr w:type="spellEnd"/>
            <w:r w:rsidRPr="00923E74">
              <w:rPr>
                <w:snapToGrid/>
                <w:color w:val="000000"/>
                <w:szCs w:val="22"/>
                <w:lang w:val="lt-LT" w:eastAsia="en-GB"/>
              </w:rPr>
              <w:t xml:space="preserve"> 160</w:t>
            </w:r>
            <w:r w:rsidR="00DB52C7" w:rsidRPr="00923E74">
              <w:rPr>
                <w:snapToGrid/>
                <w:color w:val="000000"/>
                <w:szCs w:val="22"/>
                <w:lang w:val="lt-LT" w:eastAsia="en-GB"/>
              </w:rPr>
              <w:t> mg</w:t>
            </w:r>
            <w:r w:rsidR="00807F24">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7</w:t>
            </w:r>
            <w:r w:rsidR="00852485" w:rsidRPr="00923E74">
              <w:rPr>
                <w:snapToGrid/>
                <w:color w:val="000000"/>
                <w:szCs w:val="22"/>
                <w:lang w:val="lt-LT" w:eastAsia="en-GB"/>
              </w:rPr>
              <w:t> </w:t>
            </w:r>
            <w:r w:rsidR="00807F24">
              <w:rPr>
                <w:snapToGrid/>
                <w:color w:val="000000"/>
                <w:szCs w:val="22"/>
                <w:lang w:val="lt-LT" w:eastAsia="en-GB"/>
              </w:rPr>
              <w:t>par</w:t>
            </w:r>
            <w:r w:rsidR="00852485"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hideMark/>
          </w:tcPr>
          <w:p w14:paraId="6A66D784" w14:textId="555ABF69"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8C4E7D">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hideMark/>
          </w:tcPr>
          <w:p w14:paraId="0666D11A"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A31E3A" w:rsidRPr="00923E74">
              <w:rPr>
                <w:snapToGrid/>
                <w:color w:val="000000"/>
                <w:szCs w:val="22"/>
                <w:lang w:val="lt-LT" w:eastAsia="en-GB"/>
              </w:rPr>
              <w:t>,</w:t>
            </w:r>
            <w:r w:rsidRPr="00923E74">
              <w:rPr>
                <w:snapToGrid/>
                <w:color w:val="000000"/>
                <w:szCs w:val="22"/>
                <w:lang w:val="lt-LT" w:eastAsia="en-GB"/>
              </w:rPr>
              <w:t>03</w:t>
            </w:r>
          </w:p>
        </w:tc>
        <w:tc>
          <w:tcPr>
            <w:tcW w:w="1480" w:type="pct"/>
            <w:tcBorders>
              <w:top w:val="outset" w:sz="6" w:space="0" w:color="7B7B7B"/>
              <w:left w:val="outset" w:sz="6" w:space="0" w:color="7B7B7B"/>
              <w:bottom w:val="outset" w:sz="6" w:space="0" w:color="7B7B7B"/>
              <w:right w:val="outset" w:sz="6" w:space="0" w:color="7B7B7B"/>
            </w:tcBorders>
            <w:hideMark/>
          </w:tcPr>
          <w:p w14:paraId="3170865F" w14:textId="77777777" w:rsidR="00F93DE4" w:rsidRPr="00923E74" w:rsidRDefault="00740351" w:rsidP="00A31E3A">
            <w:pPr>
              <w:tabs>
                <w:tab w:val="clear" w:pos="567"/>
              </w:tabs>
              <w:spacing w:line="240" w:lineRule="auto"/>
              <w:rPr>
                <w:snapToGrid/>
                <w:color w:val="000000"/>
                <w:szCs w:val="22"/>
                <w:lang w:val="lt-LT" w:eastAsia="en-GB"/>
              </w:rPr>
            </w:pPr>
            <w:r w:rsidRPr="00923E74">
              <w:rPr>
                <w:snapToGrid/>
                <w:color w:val="000000"/>
                <w:szCs w:val="22"/>
                <w:lang w:val="lt-LT" w:eastAsia="en-GB"/>
              </w:rPr>
              <w:t>Tokiems pacientams rekomenduojama mažesnė pradinė dozė ir klinikinės būklės stebėjimas.</w:t>
            </w:r>
          </w:p>
        </w:tc>
      </w:tr>
      <w:tr w:rsidR="004D0FB2" w:rsidRPr="00E906E9" w14:paraId="72B85D37" w14:textId="77777777" w:rsidTr="007E15ED">
        <w:tc>
          <w:tcPr>
            <w:tcW w:w="1655" w:type="pct"/>
            <w:tcBorders>
              <w:top w:val="outset" w:sz="6" w:space="0" w:color="7B7B7B"/>
              <w:left w:val="outset" w:sz="6" w:space="0" w:color="7B7B7B"/>
              <w:bottom w:val="outset" w:sz="6" w:space="0" w:color="7B7B7B"/>
              <w:right w:val="outset" w:sz="6" w:space="0" w:color="7B7B7B"/>
            </w:tcBorders>
            <w:hideMark/>
          </w:tcPr>
          <w:p w14:paraId="56C76A83" w14:textId="360FB791" w:rsidR="00F93DE4" w:rsidRPr="00923E74" w:rsidRDefault="00852485" w:rsidP="00740351">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Boceprevir</w:t>
            </w:r>
            <w:r w:rsidR="00740351" w:rsidRPr="00923E74">
              <w:rPr>
                <w:snapToGrid/>
                <w:color w:val="000000"/>
                <w:szCs w:val="22"/>
                <w:lang w:val="lt-LT" w:eastAsia="en-GB"/>
              </w:rPr>
              <w:t>as</w:t>
            </w:r>
            <w:proofErr w:type="spellEnd"/>
            <w:r w:rsidRPr="00923E74">
              <w:rPr>
                <w:snapToGrid/>
                <w:color w:val="000000"/>
                <w:szCs w:val="22"/>
                <w:lang w:val="lt-LT" w:eastAsia="en-GB"/>
              </w:rPr>
              <w:t xml:space="preserve"> 800</w:t>
            </w:r>
            <w:r w:rsidR="00DB52C7" w:rsidRPr="00923E74">
              <w:rPr>
                <w:snapToGrid/>
                <w:color w:val="000000"/>
                <w:szCs w:val="22"/>
                <w:lang w:val="lt-LT" w:eastAsia="en-GB"/>
              </w:rPr>
              <w:t> mg</w:t>
            </w:r>
            <w:r w:rsidR="00807F24">
              <w:rPr>
                <w:snapToGrid/>
                <w:color w:val="000000"/>
                <w:szCs w:val="22"/>
                <w:lang w:val="lt-LT" w:eastAsia="en-GB"/>
              </w:rPr>
              <w:t> </w:t>
            </w:r>
            <w:r w:rsidR="00740351" w:rsidRPr="00923E74">
              <w:rPr>
                <w:snapToGrid/>
                <w:color w:val="000000"/>
                <w:szCs w:val="22"/>
                <w:lang w:val="lt-LT" w:eastAsia="en-GB"/>
              </w:rPr>
              <w:t>TKP</w:t>
            </w:r>
            <w:r w:rsidRPr="00923E74">
              <w:rPr>
                <w:snapToGrid/>
                <w:color w:val="000000"/>
                <w:szCs w:val="22"/>
                <w:lang w:val="lt-LT" w:eastAsia="en-GB"/>
              </w:rPr>
              <w:t>, 7 </w:t>
            </w:r>
            <w:r w:rsidR="00807F24">
              <w:rPr>
                <w:snapToGrid/>
                <w:color w:val="000000"/>
                <w:szCs w:val="22"/>
                <w:lang w:val="lt-LT" w:eastAsia="en-GB"/>
              </w:rPr>
              <w:t>par</w:t>
            </w:r>
            <w:r w:rsidRPr="00923E74">
              <w:rPr>
                <w:snapToGrid/>
                <w:color w:val="000000"/>
                <w:szCs w:val="22"/>
                <w:lang w:val="lt-LT" w:eastAsia="en-GB"/>
              </w:rPr>
              <w:t>as</w:t>
            </w:r>
          </w:p>
        </w:tc>
        <w:tc>
          <w:tcPr>
            <w:tcW w:w="1065" w:type="pct"/>
            <w:tcBorders>
              <w:top w:val="outset" w:sz="6" w:space="0" w:color="7B7B7B"/>
              <w:left w:val="outset" w:sz="6" w:space="0" w:color="7B7B7B"/>
              <w:bottom w:val="outset" w:sz="6" w:space="0" w:color="7B7B7B"/>
              <w:right w:val="outset" w:sz="6" w:space="0" w:color="7B7B7B"/>
            </w:tcBorders>
            <w:hideMark/>
          </w:tcPr>
          <w:p w14:paraId="3B4E1A6D" w14:textId="1401FF7C"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8C4E7D">
              <w:rPr>
                <w:snapToGrid/>
                <w:color w:val="000000"/>
                <w:szCs w:val="22"/>
                <w:lang w:val="lt-LT" w:eastAsia="en-GB"/>
              </w:rPr>
              <w:t> </w:t>
            </w:r>
            <w:r w:rsidR="00922EE3" w:rsidRPr="00923E74">
              <w:rPr>
                <w:snapToGrid/>
                <w:color w:val="000000"/>
                <w:szCs w:val="22"/>
                <w:lang w:val="lt-LT" w:eastAsia="en-GB"/>
              </w:rPr>
              <w:t>VD</w:t>
            </w:r>
          </w:p>
        </w:tc>
        <w:tc>
          <w:tcPr>
            <w:tcW w:w="798" w:type="pct"/>
            <w:tcBorders>
              <w:top w:val="outset" w:sz="6" w:space="0" w:color="7B7B7B"/>
              <w:left w:val="outset" w:sz="6" w:space="0" w:color="7B7B7B"/>
              <w:bottom w:val="outset" w:sz="6" w:space="0" w:color="7B7B7B"/>
              <w:right w:val="outset" w:sz="6" w:space="0" w:color="7B7B7B"/>
            </w:tcBorders>
            <w:hideMark/>
          </w:tcPr>
          <w:p w14:paraId="3E58A496"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2</w:t>
            </w:r>
            <w:r w:rsidR="00A31E3A" w:rsidRPr="00923E74">
              <w:rPr>
                <w:snapToGrid/>
                <w:color w:val="000000"/>
                <w:szCs w:val="22"/>
                <w:lang w:val="lt-LT" w:eastAsia="en-GB"/>
              </w:rPr>
              <w:t>,</w:t>
            </w:r>
            <w:r w:rsidRPr="00923E74">
              <w:rPr>
                <w:snapToGrid/>
                <w:color w:val="000000"/>
                <w:szCs w:val="22"/>
                <w:lang w:val="lt-LT" w:eastAsia="en-GB"/>
              </w:rPr>
              <w:t>3</w:t>
            </w:r>
          </w:p>
        </w:tc>
        <w:tc>
          <w:tcPr>
            <w:tcW w:w="1480" w:type="pct"/>
            <w:tcBorders>
              <w:top w:val="outset" w:sz="6" w:space="0" w:color="7B7B7B"/>
              <w:left w:val="outset" w:sz="6" w:space="0" w:color="7B7B7B"/>
              <w:bottom w:val="outset" w:sz="6" w:space="0" w:color="7B7B7B"/>
              <w:right w:val="outset" w:sz="6" w:space="0" w:color="7B7B7B"/>
            </w:tcBorders>
            <w:hideMark/>
          </w:tcPr>
          <w:p w14:paraId="69AED1ED" w14:textId="77777777" w:rsidR="00F93DE4" w:rsidRPr="00923E74" w:rsidRDefault="00740351"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Tokiems pacientams rekomenduojama mažesnė pradinė dozė ir klinikinės būklės stebėjimas. Kartu su </w:t>
            </w:r>
            <w:proofErr w:type="spellStart"/>
            <w:r w:rsidRPr="00923E74">
              <w:rPr>
                <w:snapToGrid/>
                <w:color w:val="000000"/>
                <w:szCs w:val="22"/>
                <w:lang w:val="lt-LT" w:eastAsia="en-GB"/>
              </w:rPr>
              <w:t>bocepreviru</w:t>
            </w:r>
            <w:proofErr w:type="spellEnd"/>
            <w:r w:rsidRPr="00923E74">
              <w:rPr>
                <w:snapToGrid/>
                <w:color w:val="000000"/>
                <w:szCs w:val="22"/>
                <w:lang w:val="lt-LT" w:eastAsia="en-GB"/>
              </w:rPr>
              <w:t xml:space="preserve"> vartojamo </w:t>
            </w:r>
            <w:proofErr w:type="spellStart"/>
            <w:r w:rsidRPr="00923E74">
              <w:rPr>
                <w:snapToGrid/>
                <w:color w:val="000000"/>
                <w:szCs w:val="22"/>
                <w:lang w:val="lt-LT" w:eastAsia="en-GB"/>
              </w:rPr>
              <w:t>atorvastatino</w:t>
            </w:r>
            <w:proofErr w:type="spellEnd"/>
            <w:r w:rsidRPr="00923E74">
              <w:rPr>
                <w:snapToGrid/>
                <w:color w:val="000000"/>
                <w:szCs w:val="22"/>
                <w:lang w:val="lt-LT" w:eastAsia="en-GB"/>
              </w:rPr>
              <w:t xml:space="preserve"> paros dozė negali viršyti 20</w:t>
            </w:r>
            <w:r w:rsidR="00DB52C7" w:rsidRPr="00923E74">
              <w:rPr>
                <w:snapToGrid/>
                <w:color w:val="000000"/>
                <w:szCs w:val="22"/>
                <w:lang w:val="lt-LT" w:eastAsia="en-GB"/>
              </w:rPr>
              <w:t> mg</w:t>
            </w:r>
            <w:r w:rsidRPr="00923E74">
              <w:rPr>
                <w:snapToGrid/>
                <w:color w:val="000000"/>
                <w:szCs w:val="22"/>
                <w:lang w:val="lt-LT" w:eastAsia="en-GB"/>
              </w:rPr>
              <w:t>.</w:t>
            </w:r>
          </w:p>
        </w:tc>
      </w:tr>
    </w:tbl>
    <w:p w14:paraId="25DD0B4E" w14:textId="77777777"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vertAlign w:val="superscript"/>
          <w:lang w:val="lt-LT" w:eastAsia="en-GB"/>
        </w:rPr>
        <w:t>&amp;</w:t>
      </w:r>
      <w:r w:rsidRPr="00923E74">
        <w:rPr>
          <w:snapToGrid/>
          <w:color w:val="000000"/>
          <w:szCs w:val="22"/>
          <w:lang w:val="lt-LT" w:eastAsia="en-GB"/>
        </w:rPr>
        <w:t xml:space="preserve"> </w:t>
      </w:r>
      <w:r w:rsidR="00A5770B" w:rsidRPr="00923E74">
        <w:rPr>
          <w:snapToGrid/>
          <w:color w:val="000000"/>
          <w:szCs w:val="22"/>
          <w:lang w:val="lt-LT" w:eastAsia="en-GB"/>
        </w:rPr>
        <w:t xml:space="preserve">Rodo gydymų santykį (kartu skiriamas vaistinis preparatas ir </w:t>
      </w:r>
      <w:proofErr w:type="spellStart"/>
      <w:r w:rsidR="00A5770B" w:rsidRPr="00923E74">
        <w:rPr>
          <w:snapToGrid/>
          <w:color w:val="000000"/>
          <w:szCs w:val="22"/>
          <w:lang w:val="lt-LT" w:eastAsia="en-GB"/>
        </w:rPr>
        <w:t>atorvastatinas</w:t>
      </w:r>
      <w:proofErr w:type="spellEnd"/>
      <w:r w:rsidR="00A5770B" w:rsidRPr="00923E74">
        <w:rPr>
          <w:snapToGrid/>
          <w:color w:val="000000"/>
          <w:szCs w:val="22"/>
          <w:lang w:val="lt-LT" w:eastAsia="en-GB"/>
        </w:rPr>
        <w:t xml:space="preserve">, palyginti su tik </w:t>
      </w:r>
      <w:proofErr w:type="spellStart"/>
      <w:r w:rsidR="00A5770B" w:rsidRPr="00923E74">
        <w:rPr>
          <w:snapToGrid/>
          <w:color w:val="000000"/>
          <w:szCs w:val="22"/>
          <w:lang w:val="lt-LT" w:eastAsia="en-GB"/>
        </w:rPr>
        <w:t>atorvastatinu</w:t>
      </w:r>
      <w:proofErr w:type="spellEnd"/>
      <w:r w:rsidR="00A5770B" w:rsidRPr="00923E74">
        <w:rPr>
          <w:snapToGrid/>
          <w:color w:val="000000"/>
          <w:szCs w:val="22"/>
          <w:lang w:val="lt-LT" w:eastAsia="en-GB"/>
        </w:rPr>
        <w:t>).</w:t>
      </w:r>
    </w:p>
    <w:p w14:paraId="2C0780C9" w14:textId="0986AAEB"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vertAlign w:val="superscript"/>
          <w:lang w:val="lt-LT" w:eastAsia="en-GB"/>
        </w:rPr>
        <w:t>#</w:t>
      </w:r>
      <w:r w:rsidRPr="00923E74">
        <w:rPr>
          <w:snapToGrid/>
          <w:color w:val="000000"/>
          <w:szCs w:val="22"/>
          <w:lang w:val="lt-LT" w:eastAsia="en-GB"/>
        </w:rPr>
        <w:t xml:space="preserve"> </w:t>
      </w:r>
      <w:r w:rsidR="001D603E" w:rsidRPr="00923E74">
        <w:rPr>
          <w:snapToGrid/>
          <w:color w:val="000000"/>
          <w:szCs w:val="22"/>
          <w:lang w:val="lt-LT" w:eastAsia="en-GB"/>
        </w:rPr>
        <w:t>Apie k</w:t>
      </w:r>
      <w:r w:rsidR="00A5770B" w:rsidRPr="00923E74">
        <w:rPr>
          <w:snapToGrid/>
          <w:color w:val="000000"/>
          <w:szCs w:val="22"/>
          <w:lang w:val="lt-LT" w:eastAsia="en-GB"/>
        </w:rPr>
        <w:t>linikinę reikšmę žr.</w:t>
      </w:r>
      <w:r w:rsidR="006024AD">
        <w:rPr>
          <w:snapToGrid/>
          <w:color w:val="000000"/>
          <w:szCs w:val="22"/>
          <w:lang w:val="lt-LT" w:eastAsia="en-GB"/>
        </w:rPr>
        <w:t> </w:t>
      </w:r>
      <w:r w:rsidR="00A5770B" w:rsidRPr="00923E74">
        <w:rPr>
          <w:snapToGrid/>
          <w:color w:val="000000"/>
          <w:szCs w:val="22"/>
          <w:lang w:val="lt-LT" w:eastAsia="en-GB"/>
        </w:rPr>
        <w:t>4.4 ir 4.5</w:t>
      </w:r>
      <w:r w:rsidR="005A1153">
        <w:rPr>
          <w:snapToGrid/>
          <w:color w:val="000000"/>
          <w:szCs w:val="22"/>
          <w:lang w:val="lt-LT" w:eastAsia="en-GB"/>
        </w:rPr>
        <w:t> </w:t>
      </w:r>
      <w:r w:rsidR="00A5770B" w:rsidRPr="00923E74">
        <w:rPr>
          <w:snapToGrid/>
          <w:color w:val="000000"/>
          <w:szCs w:val="22"/>
          <w:lang w:val="lt-LT" w:eastAsia="en-GB"/>
        </w:rPr>
        <w:t>skyriuose</w:t>
      </w:r>
      <w:r w:rsidRPr="00923E74">
        <w:rPr>
          <w:snapToGrid/>
          <w:color w:val="000000"/>
          <w:szCs w:val="22"/>
          <w:lang w:val="lt-LT" w:eastAsia="en-GB"/>
        </w:rPr>
        <w:t>.</w:t>
      </w:r>
    </w:p>
    <w:p w14:paraId="36E46381" w14:textId="528BC448"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 </w:t>
      </w:r>
      <w:r w:rsidR="0066683E" w:rsidRPr="00923E74">
        <w:rPr>
          <w:snapToGrid/>
          <w:color w:val="000000"/>
          <w:szCs w:val="22"/>
          <w:lang w:val="lt-LT" w:eastAsia="en-GB"/>
        </w:rPr>
        <w:t xml:space="preserve">Sudėtyje yra viena arba daugiau medžiagų, kurios slopina CYP3A4 ir gali didinti vaistinių preparatų, kurių metabolizmą veikia CYP3A4, koncentraciją kraujo plazmoje. Išgėrus vieną 240 ml stiklinę greipfrutų sulčių, veikliojo </w:t>
      </w:r>
      <w:proofErr w:type="spellStart"/>
      <w:r w:rsidR="0066683E" w:rsidRPr="00923E74">
        <w:rPr>
          <w:snapToGrid/>
          <w:color w:val="000000"/>
          <w:szCs w:val="22"/>
          <w:lang w:val="lt-LT" w:eastAsia="en-GB"/>
        </w:rPr>
        <w:t>ortohidroksimetabolito</w:t>
      </w:r>
      <w:proofErr w:type="spellEnd"/>
      <w:r w:rsidR="006024AD">
        <w:rPr>
          <w:snapToGrid/>
          <w:color w:val="000000"/>
          <w:szCs w:val="22"/>
          <w:lang w:val="lt-LT" w:eastAsia="en-GB"/>
        </w:rPr>
        <w:t> </w:t>
      </w:r>
      <w:r w:rsidR="0066683E" w:rsidRPr="00923E74">
        <w:rPr>
          <w:snapToGrid/>
          <w:color w:val="000000"/>
          <w:szCs w:val="22"/>
          <w:lang w:val="lt-LT" w:eastAsia="en-GB"/>
        </w:rPr>
        <w:t>AUC sumažėjo 20,4 %. Dideli greipfrutų sulčių kiekiai (daugiau kaip 1,2 l per</w:t>
      </w:r>
      <w:r w:rsidR="006024AD">
        <w:rPr>
          <w:snapToGrid/>
          <w:color w:val="000000"/>
          <w:szCs w:val="22"/>
          <w:lang w:val="lt-LT" w:eastAsia="en-GB"/>
        </w:rPr>
        <w:t> par</w:t>
      </w:r>
      <w:r w:rsidR="0066683E" w:rsidRPr="00923E74">
        <w:rPr>
          <w:snapToGrid/>
          <w:color w:val="000000"/>
          <w:szCs w:val="22"/>
          <w:lang w:val="lt-LT" w:eastAsia="en-GB"/>
        </w:rPr>
        <w:t>ą 5 </w:t>
      </w:r>
      <w:r w:rsidR="006024AD">
        <w:rPr>
          <w:snapToGrid/>
          <w:color w:val="000000"/>
          <w:szCs w:val="22"/>
          <w:lang w:val="lt-LT" w:eastAsia="en-GB"/>
        </w:rPr>
        <w:t>par</w:t>
      </w:r>
      <w:r w:rsidR="0066683E" w:rsidRPr="00923E74">
        <w:rPr>
          <w:snapToGrid/>
          <w:color w:val="000000"/>
          <w:szCs w:val="22"/>
          <w:lang w:val="lt-LT" w:eastAsia="en-GB"/>
        </w:rPr>
        <w:t xml:space="preserve">as) </w:t>
      </w:r>
      <w:proofErr w:type="spellStart"/>
      <w:r w:rsidR="0066683E" w:rsidRPr="00923E74">
        <w:rPr>
          <w:snapToGrid/>
          <w:color w:val="000000"/>
          <w:szCs w:val="22"/>
          <w:lang w:val="lt-LT" w:eastAsia="en-GB"/>
        </w:rPr>
        <w:t>atorvastatino</w:t>
      </w:r>
      <w:proofErr w:type="spellEnd"/>
      <w:r w:rsidR="006024AD">
        <w:rPr>
          <w:snapToGrid/>
          <w:color w:val="000000"/>
          <w:szCs w:val="22"/>
          <w:lang w:val="lt-LT" w:eastAsia="en-GB"/>
        </w:rPr>
        <w:t> </w:t>
      </w:r>
      <w:r w:rsidR="0066683E" w:rsidRPr="00923E74">
        <w:rPr>
          <w:snapToGrid/>
          <w:color w:val="000000"/>
          <w:szCs w:val="22"/>
          <w:lang w:val="lt-LT" w:eastAsia="en-GB"/>
        </w:rPr>
        <w:t xml:space="preserve">AUC </w:t>
      </w:r>
      <w:r w:rsidR="001D603E" w:rsidRPr="00923E74">
        <w:rPr>
          <w:snapToGrid/>
          <w:color w:val="000000"/>
          <w:szCs w:val="22"/>
          <w:lang w:val="lt-LT" w:eastAsia="en-GB"/>
        </w:rPr>
        <w:t xml:space="preserve">padidino </w:t>
      </w:r>
      <w:r w:rsidR="0066683E" w:rsidRPr="00923E74">
        <w:rPr>
          <w:snapToGrid/>
          <w:color w:val="000000"/>
          <w:szCs w:val="22"/>
          <w:lang w:val="lt-LT" w:eastAsia="en-GB"/>
        </w:rPr>
        <w:t>2,5 karto ir veikliųjų (</w:t>
      </w:r>
      <w:proofErr w:type="spellStart"/>
      <w:r w:rsidR="0066683E" w:rsidRPr="00923E74">
        <w:rPr>
          <w:snapToGrid/>
          <w:color w:val="000000"/>
          <w:szCs w:val="22"/>
          <w:lang w:val="lt-LT" w:eastAsia="en-GB"/>
        </w:rPr>
        <w:t>atorvastatino</w:t>
      </w:r>
      <w:proofErr w:type="spellEnd"/>
      <w:r w:rsidR="0066683E" w:rsidRPr="00923E74">
        <w:rPr>
          <w:snapToGrid/>
          <w:color w:val="000000"/>
          <w:szCs w:val="22"/>
          <w:lang w:val="lt-LT" w:eastAsia="en-GB"/>
        </w:rPr>
        <w:t xml:space="preserve"> ir metabolitų) HMG</w:t>
      </w:r>
      <w:r w:rsidR="006024AD">
        <w:rPr>
          <w:snapToGrid/>
          <w:color w:val="000000"/>
          <w:szCs w:val="22"/>
          <w:lang w:val="lt-LT" w:eastAsia="en-GB"/>
        </w:rPr>
        <w:noBreakHyphen/>
      </w:r>
      <w:proofErr w:type="spellStart"/>
      <w:r w:rsidR="0066683E" w:rsidRPr="00923E74">
        <w:rPr>
          <w:snapToGrid/>
          <w:color w:val="000000"/>
          <w:szCs w:val="22"/>
          <w:lang w:val="lt-LT" w:eastAsia="en-GB"/>
        </w:rPr>
        <w:t>CoA</w:t>
      </w:r>
      <w:proofErr w:type="spellEnd"/>
      <w:r w:rsidR="006024AD">
        <w:rPr>
          <w:snapToGrid/>
          <w:color w:val="000000"/>
          <w:szCs w:val="22"/>
          <w:lang w:val="lt-LT" w:eastAsia="en-GB"/>
        </w:rPr>
        <w:t> </w:t>
      </w:r>
      <w:r w:rsidR="0066683E" w:rsidRPr="00923E74">
        <w:rPr>
          <w:snapToGrid/>
          <w:color w:val="000000"/>
          <w:szCs w:val="22"/>
          <w:lang w:val="lt-LT" w:eastAsia="en-GB"/>
        </w:rPr>
        <w:t>reduktazės inhibitorių</w:t>
      </w:r>
      <w:r w:rsidR="006024AD">
        <w:rPr>
          <w:snapToGrid/>
          <w:color w:val="000000"/>
          <w:szCs w:val="22"/>
          <w:lang w:val="lt-LT" w:eastAsia="en-GB"/>
        </w:rPr>
        <w:t> </w:t>
      </w:r>
      <w:r w:rsidR="0066683E" w:rsidRPr="00923E74">
        <w:rPr>
          <w:snapToGrid/>
          <w:color w:val="000000"/>
          <w:szCs w:val="22"/>
          <w:lang w:val="lt-LT" w:eastAsia="en-GB"/>
        </w:rPr>
        <w:t>AUC padidino 1,3 karto</w:t>
      </w:r>
      <w:r w:rsidR="005A1153">
        <w:rPr>
          <w:snapToGrid/>
          <w:color w:val="000000"/>
          <w:szCs w:val="22"/>
          <w:lang w:val="lt-LT" w:eastAsia="en-GB"/>
        </w:rPr>
        <w:t>.</w:t>
      </w:r>
    </w:p>
    <w:p w14:paraId="72CA2673" w14:textId="3126FAE7"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 </w:t>
      </w:r>
      <w:r w:rsidR="00A5770B" w:rsidRPr="00923E74">
        <w:rPr>
          <w:snapToGrid/>
          <w:color w:val="000000"/>
          <w:szCs w:val="22"/>
          <w:lang w:val="lt-LT" w:eastAsia="en-GB"/>
        </w:rPr>
        <w:t>Santykis paremtas vienu</w:t>
      </w:r>
      <w:r w:rsidR="006024AD">
        <w:rPr>
          <w:snapToGrid/>
          <w:color w:val="000000"/>
          <w:szCs w:val="22"/>
          <w:lang w:val="lt-LT" w:eastAsia="en-GB"/>
        </w:rPr>
        <w:t> </w:t>
      </w:r>
      <w:r w:rsidR="00A5770B" w:rsidRPr="00923E74">
        <w:rPr>
          <w:snapToGrid/>
          <w:color w:val="000000"/>
          <w:szCs w:val="22"/>
          <w:lang w:val="lt-LT" w:eastAsia="en-GB"/>
        </w:rPr>
        <w:t>mėginiu, paimtu praėjus 8</w:t>
      </w:r>
      <w:r w:rsidR="006024AD">
        <w:rPr>
          <w:snapToGrid/>
          <w:color w:val="000000"/>
          <w:szCs w:val="22"/>
          <w:lang w:val="lt-LT" w:eastAsia="en-GB"/>
        </w:rPr>
        <w:noBreakHyphen/>
      </w:r>
      <w:r w:rsidR="00A5770B" w:rsidRPr="00923E74">
        <w:rPr>
          <w:snapToGrid/>
          <w:color w:val="000000"/>
          <w:szCs w:val="22"/>
          <w:lang w:val="lt-LT" w:eastAsia="en-GB"/>
        </w:rPr>
        <w:t>16 val. po dozės pavartojimo</w:t>
      </w:r>
      <w:r w:rsidRPr="00923E74">
        <w:rPr>
          <w:snapToGrid/>
          <w:color w:val="000000"/>
          <w:szCs w:val="22"/>
          <w:lang w:val="lt-LT" w:eastAsia="en-GB"/>
        </w:rPr>
        <w:t>.</w:t>
      </w:r>
    </w:p>
    <w:p w14:paraId="5031FAC5" w14:textId="1F27EDDE" w:rsidR="006024AD" w:rsidRDefault="00A5770B"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KP </w:t>
      </w:r>
      <w:r w:rsidR="006024AD">
        <w:rPr>
          <w:snapToGrid/>
          <w:color w:val="000000"/>
          <w:szCs w:val="22"/>
          <w:lang w:val="lt-LT" w:eastAsia="en-GB"/>
        </w:rPr>
        <w:t>–</w:t>
      </w:r>
      <w:r w:rsidRPr="00923E74">
        <w:rPr>
          <w:snapToGrid/>
          <w:color w:val="000000"/>
          <w:szCs w:val="22"/>
          <w:lang w:val="lt-LT" w:eastAsia="en-GB"/>
        </w:rPr>
        <w:t xml:space="preserve"> kartą per</w:t>
      </w:r>
      <w:r w:rsidR="006024AD">
        <w:rPr>
          <w:snapToGrid/>
          <w:color w:val="000000"/>
          <w:szCs w:val="22"/>
          <w:lang w:val="lt-LT" w:eastAsia="en-GB"/>
        </w:rPr>
        <w:t> </w:t>
      </w:r>
      <w:r w:rsidRPr="00923E74">
        <w:rPr>
          <w:snapToGrid/>
          <w:color w:val="000000"/>
          <w:szCs w:val="22"/>
          <w:lang w:val="lt-LT" w:eastAsia="en-GB"/>
        </w:rPr>
        <w:t>parą</w:t>
      </w:r>
      <w:r w:rsidR="006024AD">
        <w:rPr>
          <w:snapToGrid/>
          <w:color w:val="000000"/>
          <w:szCs w:val="22"/>
          <w:lang w:val="lt-LT" w:eastAsia="en-GB"/>
        </w:rPr>
        <w:t>.</w:t>
      </w:r>
    </w:p>
    <w:p w14:paraId="286E2E1C" w14:textId="3F3D7E53" w:rsidR="006024AD" w:rsidRDefault="00A5770B"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VD </w:t>
      </w:r>
      <w:r w:rsidR="006024AD">
        <w:rPr>
          <w:snapToGrid/>
          <w:color w:val="000000"/>
          <w:szCs w:val="22"/>
          <w:lang w:val="lt-LT" w:eastAsia="en-GB"/>
        </w:rPr>
        <w:t>–</w:t>
      </w:r>
      <w:r w:rsidRPr="00923E74">
        <w:rPr>
          <w:snapToGrid/>
          <w:color w:val="000000"/>
          <w:szCs w:val="22"/>
          <w:lang w:val="lt-LT" w:eastAsia="en-GB"/>
        </w:rPr>
        <w:t xml:space="preserve"> vienkartinė dozė</w:t>
      </w:r>
      <w:r w:rsidR="006024AD">
        <w:rPr>
          <w:snapToGrid/>
          <w:color w:val="000000"/>
          <w:szCs w:val="22"/>
          <w:lang w:val="lt-LT" w:eastAsia="en-GB"/>
        </w:rPr>
        <w:t>.</w:t>
      </w:r>
    </w:p>
    <w:p w14:paraId="25EBBA25" w14:textId="3422BC6D" w:rsidR="006024AD" w:rsidRDefault="00A5770B"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DKP </w:t>
      </w:r>
      <w:r w:rsidR="006024AD">
        <w:rPr>
          <w:snapToGrid/>
          <w:color w:val="000000"/>
          <w:szCs w:val="22"/>
          <w:lang w:val="lt-LT" w:eastAsia="en-GB"/>
        </w:rPr>
        <w:t>–</w:t>
      </w:r>
      <w:r w:rsidRPr="00923E74">
        <w:rPr>
          <w:snapToGrid/>
          <w:color w:val="000000"/>
          <w:szCs w:val="22"/>
          <w:lang w:val="lt-LT" w:eastAsia="en-GB"/>
        </w:rPr>
        <w:t xml:space="preserve"> du</w:t>
      </w:r>
      <w:r w:rsidR="006024AD">
        <w:rPr>
          <w:snapToGrid/>
          <w:color w:val="000000"/>
          <w:szCs w:val="22"/>
          <w:lang w:val="lt-LT" w:eastAsia="en-GB"/>
        </w:rPr>
        <w:t> </w:t>
      </w:r>
      <w:r w:rsidRPr="00923E74">
        <w:rPr>
          <w:snapToGrid/>
          <w:color w:val="000000"/>
          <w:szCs w:val="22"/>
          <w:lang w:val="lt-LT" w:eastAsia="en-GB"/>
        </w:rPr>
        <w:t>kartus per</w:t>
      </w:r>
      <w:r w:rsidR="006024AD">
        <w:rPr>
          <w:snapToGrid/>
          <w:color w:val="000000"/>
          <w:szCs w:val="22"/>
          <w:lang w:val="lt-LT" w:eastAsia="en-GB"/>
        </w:rPr>
        <w:t> </w:t>
      </w:r>
      <w:r w:rsidRPr="00923E74">
        <w:rPr>
          <w:snapToGrid/>
          <w:color w:val="000000"/>
          <w:szCs w:val="22"/>
          <w:lang w:val="lt-LT" w:eastAsia="en-GB"/>
        </w:rPr>
        <w:t>parą</w:t>
      </w:r>
      <w:r w:rsidR="006024AD">
        <w:rPr>
          <w:snapToGrid/>
          <w:color w:val="000000"/>
          <w:szCs w:val="22"/>
          <w:lang w:val="lt-LT" w:eastAsia="en-GB"/>
        </w:rPr>
        <w:t>.</w:t>
      </w:r>
    </w:p>
    <w:p w14:paraId="5F50EC57" w14:textId="72BCF00A" w:rsidR="006024AD" w:rsidRDefault="00A5770B"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TKP </w:t>
      </w:r>
      <w:r w:rsidR="006024AD">
        <w:rPr>
          <w:snapToGrid/>
          <w:color w:val="000000"/>
          <w:szCs w:val="22"/>
          <w:lang w:val="lt-LT" w:eastAsia="en-GB"/>
        </w:rPr>
        <w:t>–</w:t>
      </w:r>
      <w:r w:rsidRPr="00923E74">
        <w:rPr>
          <w:snapToGrid/>
          <w:color w:val="000000"/>
          <w:szCs w:val="22"/>
          <w:lang w:val="lt-LT" w:eastAsia="en-GB"/>
        </w:rPr>
        <w:t xml:space="preserve"> tris</w:t>
      </w:r>
      <w:r w:rsidR="006024AD">
        <w:rPr>
          <w:snapToGrid/>
          <w:color w:val="000000"/>
          <w:szCs w:val="22"/>
          <w:lang w:val="lt-LT" w:eastAsia="en-GB"/>
        </w:rPr>
        <w:t> </w:t>
      </w:r>
      <w:r w:rsidRPr="00923E74">
        <w:rPr>
          <w:snapToGrid/>
          <w:color w:val="000000"/>
          <w:szCs w:val="22"/>
          <w:lang w:val="lt-LT" w:eastAsia="en-GB"/>
        </w:rPr>
        <w:t>kartus per</w:t>
      </w:r>
      <w:r w:rsidR="006024AD">
        <w:rPr>
          <w:snapToGrid/>
          <w:color w:val="000000"/>
          <w:szCs w:val="22"/>
          <w:lang w:val="lt-LT" w:eastAsia="en-GB"/>
        </w:rPr>
        <w:t> </w:t>
      </w:r>
      <w:r w:rsidRPr="00923E74">
        <w:rPr>
          <w:snapToGrid/>
          <w:color w:val="000000"/>
          <w:szCs w:val="22"/>
          <w:lang w:val="lt-LT" w:eastAsia="en-GB"/>
        </w:rPr>
        <w:t>parą</w:t>
      </w:r>
      <w:r w:rsidR="006024AD">
        <w:rPr>
          <w:snapToGrid/>
          <w:color w:val="000000"/>
          <w:szCs w:val="22"/>
          <w:lang w:val="lt-LT" w:eastAsia="en-GB"/>
        </w:rPr>
        <w:t>.</w:t>
      </w:r>
    </w:p>
    <w:p w14:paraId="3E87A9B6" w14:textId="35D1AF64" w:rsidR="00F93DE4" w:rsidRPr="00923E74" w:rsidRDefault="00A5770B" w:rsidP="00A31E3A">
      <w:pPr>
        <w:tabs>
          <w:tab w:val="clear" w:pos="567"/>
        </w:tabs>
        <w:spacing w:line="240" w:lineRule="auto"/>
        <w:rPr>
          <w:snapToGrid/>
          <w:color w:val="000000"/>
          <w:szCs w:val="22"/>
          <w:lang w:val="lt-LT" w:eastAsia="en-GB"/>
        </w:rPr>
      </w:pPr>
      <w:r w:rsidRPr="00923E74">
        <w:rPr>
          <w:snapToGrid/>
          <w:color w:val="000000"/>
          <w:szCs w:val="22"/>
          <w:lang w:val="lt-LT" w:eastAsia="en-GB"/>
        </w:rPr>
        <w:t xml:space="preserve">KKP </w:t>
      </w:r>
      <w:r w:rsidR="006024AD">
        <w:rPr>
          <w:snapToGrid/>
          <w:color w:val="000000"/>
          <w:szCs w:val="22"/>
          <w:lang w:val="lt-LT" w:eastAsia="en-GB"/>
        </w:rPr>
        <w:t>–</w:t>
      </w:r>
      <w:r w:rsidRPr="00923E74">
        <w:rPr>
          <w:snapToGrid/>
          <w:color w:val="000000"/>
          <w:szCs w:val="22"/>
          <w:lang w:val="lt-LT" w:eastAsia="en-GB"/>
        </w:rPr>
        <w:t xml:space="preserve"> keturis</w:t>
      </w:r>
      <w:r w:rsidR="006024AD">
        <w:rPr>
          <w:snapToGrid/>
          <w:color w:val="000000"/>
          <w:szCs w:val="22"/>
          <w:lang w:val="lt-LT" w:eastAsia="en-GB"/>
        </w:rPr>
        <w:t> </w:t>
      </w:r>
      <w:r w:rsidRPr="00923E74">
        <w:rPr>
          <w:snapToGrid/>
          <w:color w:val="000000"/>
          <w:szCs w:val="22"/>
          <w:lang w:val="lt-LT" w:eastAsia="en-GB"/>
        </w:rPr>
        <w:t>kartus per</w:t>
      </w:r>
      <w:r w:rsidR="006024AD">
        <w:rPr>
          <w:snapToGrid/>
          <w:color w:val="000000"/>
          <w:szCs w:val="22"/>
          <w:lang w:val="lt-LT" w:eastAsia="en-GB"/>
        </w:rPr>
        <w:t> </w:t>
      </w:r>
      <w:r w:rsidRPr="00923E74">
        <w:rPr>
          <w:snapToGrid/>
          <w:color w:val="000000"/>
          <w:szCs w:val="22"/>
          <w:lang w:val="lt-LT" w:eastAsia="en-GB"/>
        </w:rPr>
        <w:t>parą</w:t>
      </w:r>
      <w:r w:rsidR="00F93DE4" w:rsidRPr="00923E74">
        <w:rPr>
          <w:snapToGrid/>
          <w:color w:val="000000"/>
          <w:szCs w:val="22"/>
          <w:lang w:val="lt-LT" w:eastAsia="en-GB"/>
        </w:rPr>
        <w:t>.</w:t>
      </w:r>
    </w:p>
    <w:p w14:paraId="7586785E" w14:textId="77777777" w:rsidR="00F93DE4" w:rsidRPr="00923E74" w:rsidRDefault="00F93DE4" w:rsidP="00A31E3A">
      <w:pPr>
        <w:tabs>
          <w:tab w:val="clear" w:pos="567"/>
          <w:tab w:val="left" w:pos="0"/>
        </w:tabs>
        <w:spacing w:line="240" w:lineRule="auto"/>
        <w:rPr>
          <w:snapToGrid/>
          <w:szCs w:val="22"/>
          <w:highlight w:val="yellow"/>
          <w:lang w:val="lt-LT"/>
        </w:rPr>
      </w:pPr>
    </w:p>
    <w:p w14:paraId="42C49267" w14:textId="77777777" w:rsidR="00F93DE4" w:rsidRPr="007E15ED" w:rsidRDefault="00F93DE4" w:rsidP="007E15ED">
      <w:pPr>
        <w:keepNext/>
        <w:tabs>
          <w:tab w:val="clear" w:pos="567"/>
        </w:tabs>
        <w:spacing w:line="240" w:lineRule="auto"/>
        <w:rPr>
          <w:b/>
          <w:szCs w:val="22"/>
          <w:lang w:val="lt-LT"/>
        </w:rPr>
      </w:pPr>
      <w:r w:rsidRPr="007E15ED">
        <w:rPr>
          <w:b/>
          <w:snapToGrid/>
          <w:color w:val="000000"/>
          <w:szCs w:val="22"/>
          <w:lang w:val="lt-LT" w:eastAsia="en-GB"/>
        </w:rPr>
        <w:t>2</w:t>
      </w:r>
      <w:r w:rsidR="00A5770B" w:rsidRPr="007E15ED">
        <w:rPr>
          <w:b/>
          <w:snapToGrid/>
          <w:color w:val="000000"/>
          <w:szCs w:val="22"/>
          <w:lang w:val="lt-LT" w:eastAsia="en-GB"/>
        </w:rPr>
        <w:t> lentelė.</w:t>
      </w:r>
      <w:r w:rsidRPr="007E15ED">
        <w:rPr>
          <w:b/>
          <w:snapToGrid/>
          <w:color w:val="000000"/>
          <w:szCs w:val="22"/>
          <w:lang w:val="lt-LT" w:eastAsia="en-GB"/>
        </w:rPr>
        <w:t xml:space="preserve"> </w:t>
      </w:r>
      <w:proofErr w:type="spellStart"/>
      <w:r w:rsidR="00156323" w:rsidRPr="007E15ED">
        <w:rPr>
          <w:rFonts w:eastAsia="Arial Unicode MS"/>
          <w:b/>
          <w:szCs w:val="22"/>
          <w:lang w:val="lt-LT"/>
        </w:rPr>
        <w:t>Atorvastatino</w:t>
      </w:r>
      <w:proofErr w:type="spellEnd"/>
      <w:r w:rsidR="00156323" w:rsidRPr="007E15ED">
        <w:rPr>
          <w:rFonts w:eastAsia="Arial Unicode MS"/>
          <w:b/>
          <w:szCs w:val="22"/>
          <w:lang w:val="lt-LT"/>
        </w:rPr>
        <w:t xml:space="preserve"> poveikis kartu vartojamų vaistinių preparatų </w:t>
      </w:r>
      <w:r w:rsidR="00156323" w:rsidRPr="007E15ED">
        <w:rPr>
          <w:b/>
          <w:szCs w:val="22"/>
          <w:lang w:val="lt-LT"/>
        </w:rPr>
        <w:t>farmakokinetikai</w:t>
      </w:r>
    </w:p>
    <w:p w14:paraId="0A3154C2" w14:textId="77777777" w:rsidR="00373D71" w:rsidRPr="00373D71" w:rsidRDefault="00373D71" w:rsidP="007E15ED">
      <w:pPr>
        <w:keepNext/>
        <w:tabs>
          <w:tab w:val="clear" w:pos="567"/>
        </w:tabs>
        <w:spacing w:line="240" w:lineRule="auto"/>
        <w:rPr>
          <w:snapToGrid/>
          <w:color w:val="000000"/>
          <w:szCs w:val="22"/>
          <w:lang w:val="lt-LT" w:eastAsia="en-GB"/>
        </w:rPr>
      </w:pPr>
    </w:p>
    <w:tbl>
      <w:tblPr>
        <w:tblW w:w="9290"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938"/>
        <w:gridCol w:w="3225"/>
        <w:gridCol w:w="1479"/>
        <w:gridCol w:w="2642"/>
        <w:gridCol w:w="6"/>
      </w:tblGrid>
      <w:tr w:rsidR="00BD6574" w:rsidRPr="00923E74" w14:paraId="0B8BAFF3" w14:textId="77777777" w:rsidTr="007E15ED">
        <w:trPr>
          <w:gridAfter w:val="1"/>
          <w:wAfter w:w="3" w:type="pct"/>
          <w:tblHeader/>
        </w:trPr>
        <w:tc>
          <w:tcPr>
            <w:tcW w:w="1043" w:type="pct"/>
            <w:vMerge w:val="restart"/>
            <w:tcBorders>
              <w:top w:val="outset" w:sz="6" w:space="0" w:color="7B7B7B"/>
              <w:left w:val="outset" w:sz="6" w:space="0" w:color="7B7B7B"/>
              <w:bottom w:val="outset" w:sz="6" w:space="0" w:color="7B7B7B"/>
              <w:right w:val="outset" w:sz="6" w:space="0" w:color="7B7B7B"/>
            </w:tcBorders>
            <w:vAlign w:val="center"/>
            <w:hideMark/>
          </w:tcPr>
          <w:p w14:paraId="218D5A10" w14:textId="77777777" w:rsidR="00F93DE4" w:rsidRPr="007E15ED" w:rsidRDefault="00156323" w:rsidP="007E15ED">
            <w:pPr>
              <w:keepNext/>
              <w:tabs>
                <w:tab w:val="clear" w:pos="567"/>
              </w:tabs>
              <w:spacing w:line="240" w:lineRule="auto"/>
              <w:jc w:val="center"/>
              <w:rPr>
                <w:b/>
                <w:snapToGrid/>
                <w:color w:val="000000"/>
                <w:szCs w:val="22"/>
                <w:lang w:val="lt-LT" w:eastAsia="en-GB"/>
              </w:rPr>
            </w:pPr>
            <w:proofErr w:type="spellStart"/>
            <w:r w:rsidRPr="007E15ED">
              <w:rPr>
                <w:b/>
                <w:snapToGrid/>
                <w:color w:val="000000"/>
                <w:szCs w:val="22"/>
                <w:lang w:val="lt-LT" w:eastAsia="en-GB"/>
              </w:rPr>
              <w:t>Atorvastatino</w:t>
            </w:r>
            <w:proofErr w:type="spellEnd"/>
            <w:r w:rsidRPr="007E15ED">
              <w:rPr>
                <w:b/>
                <w:snapToGrid/>
                <w:color w:val="000000"/>
                <w:szCs w:val="22"/>
                <w:lang w:val="lt-LT" w:eastAsia="en-GB"/>
              </w:rPr>
              <w:t xml:space="preserve"> dozė ir dozavimo schema</w:t>
            </w:r>
          </w:p>
        </w:tc>
        <w:tc>
          <w:tcPr>
            <w:tcW w:w="3954" w:type="pct"/>
            <w:gridSpan w:val="3"/>
            <w:tcBorders>
              <w:top w:val="outset" w:sz="6" w:space="0" w:color="7B7B7B"/>
              <w:left w:val="outset" w:sz="6" w:space="0" w:color="7B7B7B"/>
              <w:bottom w:val="outset" w:sz="6" w:space="0" w:color="7B7B7B"/>
              <w:right w:val="outset" w:sz="6" w:space="0" w:color="7B7B7B"/>
            </w:tcBorders>
            <w:vAlign w:val="center"/>
            <w:hideMark/>
          </w:tcPr>
          <w:p w14:paraId="46C4EB82" w14:textId="77777777" w:rsidR="00F93DE4" w:rsidRPr="007E15ED" w:rsidRDefault="00156323" w:rsidP="007E15ED">
            <w:pPr>
              <w:keepNext/>
              <w:tabs>
                <w:tab w:val="clear" w:pos="567"/>
              </w:tabs>
              <w:spacing w:line="240" w:lineRule="auto"/>
              <w:jc w:val="center"/>
              <w:rPr>
                <w:b/>
                <w:snapToGrid/>
                <w:color w:val="000000"/>
                <w:szCs w:val="22"/>
                <w:lang w:val="lt-LT" w:eastAsia="en-GB"/>
              </w:rPr>
            </w:pPr>
            <w:r w:rsidRPr="007E15ED">
              <w:rPr>
                <w:b/>
                <w:szCs w:val="22"/>
                <w:lang w:val="lt-LT"/>
              </w:rPr>
              <w:t>Kartu vartojamas vaistinis preparatas</w:t>
            </w:r>
          </w:p>
        </w:tc>
      </w:tr>
      <w:tr w:rsidR="00BD6574" w:rsidRPr="00923E74" w14:paraId="4C83C4E3" w14:textId="77777777" w:rsidTr="007E15ED">
        <w:trPr>
          <w:tblHeader/>
        </w:trPr>
        <w:tc>
          <w:tcPr>
            <w:tcW w:w="1043" w:type="pct"/>
            <w:vMerge/>
            <w:tcBorders>
              <w:top w:val="outset" w:sz="6" w:space="0" w:color="7B7B7B"/>
              <w:left w:val="outset" w:sz="6" w:space="0" w:color="7B7B7B"/>
              <w:bottom w:val="outset" w:sz="6" w:space="0" w:color="7B7B7B"/>
              <w:right w:val="outset" w:sz="6" w:space="0" w:color="7B7B7B"/>
            </w:tcBorders>
            <w:vAlign w:val="center"/>
            <w:hideMark/>
          </w:tcPr>
          <w:p w14:paraId="08E9A8F7" w14:textId="77777777" w:rsidR="00F93DE4" w:rsidRPr="007E15ED" w:rsidRDefault="00F93DE4" w:rsidP="007E15ED">
            <w:pPr>
              <w:keepNext/>
              <w:tabs>
                <w:tab w:val="clear" w:pos="567"/>
              </w:tabs>
              <w:spacing w:line="240" w:lineRule="auto"/>
              <w:jc w:val="center"/>
              <w:rPr>
                <w:b/>
                <w:snapToGrid/>
                <w:color w:val="000000"/>
                <w:szCs w:val="22"/>
                <w:lang w:val="lt-LT" w:eastAsia="en-GB"/>
              </w:rPr>
            </w:pPr>
          </w:p>
        </w:tc>
        <w:tc>
          <w:tcPr>
            <w:tcW w:w="1736" w:type="pct"/>
            <w:tcBorders>
              <w:top w:val="outset" w:sz="6" w:space="0" w:color="7B7B7B"/>
              <w:left w:val="outset" w:sz="6" w:space="0" w:color="7B7B7B"/>
              <w:bottom w:val="outset" w:sz="6" w:space="0" w:color="7B7B7B"/>
              <w:right w:val="outset" w:sz="6" w:space="0" w:color="7B7B7B"/>
            </w:tcBorders>
            <w:vAlign w:val="center"/>
            <w:hideMark/>
          </w:tcPr>
          <w:p w14:paraId="0703BB3D" w14:textId="36FA4618" w:rsidR="00F93DE4" w:rsidRPr="007E15ED" w:rsidRDefault="00E01836"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Vaistinis preparatas</w:t>
            </w:r>
            <w:r w:rsidR="003E722C" w:rsidRPr="007E15ED">
              <w:rPr>
                <w:b/>
                <w:snapToGrid/>
                <w:color w:val="000000"/>
                <w:szCs w:val="22"/>
                <w:lang w:val="lt-LT" w:eastAsia="en-GB"/>
              </w:rPr>
              <w:t xml:space="preserve"> </w:t>
            </w:r>
            <w:r w:rsidR="006024AD" w:rsidRPr="007E15ED">
              <w:rPr>
                <w:b/>
                <w:snapToGrid/>
                <w:color w:val="000000"/>
                <w:szCs w:val="22"/>
                <w:lang w:val="lt-LT" w:eastAsia="en-GB"/>
              </w:rPr>
              <w:t>ir</w:t>
            </w:r>
            <w:r w:rsidR="003E722C" w:rsidRPr="007E15ED">
              <w:rPr>
                <w:b/>
                <w:snapToGrid/>
                <w:color w:val="000000"/>
                <w:szCs w:val="22"/>
                <w:lang w:val="lt-LT" w:eastAsia="en-GB"/>
              </w:rPr>
              <w:t xml:space="preserve"> </w:t>
            </w:r>
            <w:r w:rsidRPr="007E15ED">
              <w:rPr>
                <w:b/>
                <w:snapToGrid/>
                <w:color w:val="000000"/>
                <w:szCs w:val="22"/>
                <w:lang w:val="lt-LT" w:eastAsia="en-GB"/>
              </w:rPr>
              <w:t>dozė</w:t>
            </w:r>
            <w:r w:rsidR="006024AD" w:rsidRPr="007E15ED">
              <w:rPr>
                <w:b/>
                <w:snapToGrid/>
                <w:color w:val="000000"/>
                <w:szCs w:val="22"/>
                <w:lang w:val="lt-LT" w:eastAsia="en-GB"/>
              </w:rPr>
              <w:t> </w:t>
            </w:r>
            <w:r w:rsidR="00F93DE4" w:rsidRPr="007E15ED">
              <w:rPr>
                <w:b/>
                <w:snapToGrid/>
                <w:color w:val="000000"/>
                <w:szCs w:val="22"/>
                <w:lang w:val="lt-LT" w:eastAsia="en-GB"/>
              </w:rPr>
              <w:t>(mg)</w:t>
            </w:r>
          </w:p>
        </w:tc>
        <w:tc>
          <w:tcPr>
            <w:tcW w:w="796" w:type="pct"/>
            <w:tcBorders>
              <w:top w:val="outset" w:sz="6" w:space="0" w:color="7B7B7B"/>
              <w:left w:val="outset" w:sz="6" w:space="0" w:color="7B7B7B"/>
              <w:bottom w:val="outset" w:sz="6" w:space="0" w:color="7B7B7B"/>
              <w:right w:val="outset" w:sz="6" w:space="0" w:color="7B7B7B"/>
            </w:tcBorders>
            <w:vAlign w:val="center"/>
            <w:hideMark/>
          </w:tcPr>
          <w:p w14:paraId="3532CCC8" w14:textId="0C2534E4" w:rsidR="00F93DE4" w:rsidRPr="007E15ED" w:rsidRDefault="00E01836"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AUC</w:t>
            </w:r>
            <w:r w:rsidR="006024AD" w:rsidRPr="007E15ED">
              <w:rPr>
                <w:b/>
                <w:snapToGrid/>
                <w:color w:val="000000"/>
                <w:szCs w:val="22"/>
                <w:lang w:val="lt-LT" w:eastAsia="en-GB"/>
              </w:rPr>
              <w:t> </w:t>
            </w:r>
            <w:r w:rsidRPr="007E15ED">
              <w:rPr>
                <w:b/>
                <w:snapToGrid/>
                <w:color w:val="000000"/>
                <w:szCs w:val="22"/>
                <w:lang w:val="lt-LT" w:eastAsia="en-GB"/>
              </w:rPr>
              <w:t>santykis</w:t>
            </w:r>
            <w:r w:rsidR="00F93DE4" w:rsidRPr="007E15ED">
              <w:rPr>
                <w:b/>
                <w:snapToGrid/>
                <w:color w:val="000000"/>
                <w:szCs w:val="22"/>
                <w:vertAlign w:val="superscript"/>
                <w:lang w:val="lt-LT" w:eastAsia="en-GB"/>
              </w:rPr>
              <w:t>&amp;</w:t>
            </w:r>
          </w:p>
        </w:tc>
        <w:tc>
          <w:tcPr>
            <w:tcW w:w="1426" w:type="pct"/>
            <w:gridSpan w:val="2"/>
            <w:tcBorders>
              <w:top w:val="outset" w:sz="6" w:space="0" w:color="7B7B7B"/>
              <w:left w:val="outset" w:sz="6" w:space="0" w:color="7B7B7B"/>
              <w:bottom w:val="outset" w:sz="6" w:space="0" w:color="7B7B7B"/>
              <w:right w:val="outset" w:sz="6" w:space="0" w:color="7B7B7B"/>
            </w:tcBorders>
            <w:vAlign w:val="center"/>
            <w:hideMark/>
          </w:tcPr>
          <w:p w14:paraId="78E6E247" w14:textId="77777777" w:rsidR="00F93DE4" w:rsidRPr="007E15ED" w:rsidRDefault="00E01836" w:rsidP="007E15ED">
            <w:pPr>
              <w:keepNext/>
              <w:tabs>
                <w:tab w:val="clear" w:pos="567"/>
              </w:tabs>
              <w:spacing w:line="240" w:lineRule="auto"/>
              <w:jc w:val="center"/>
              <w:rPr>
                <w:b/>
                <w:snapToGrid/>
                <w:color w:val="000000"/>
                <w:szCs w:val="22"/>
                <w:lang w:val="lt-LT" w:eastAsia="en-GB"/>
              </w:rPr>
            </w:pPr>
            <w:r w:rsidRPr="007E15ED">
              <w:rPr>
                <w:b/>
                <w:snapToGrid/>
                <w:color w:val="000000"/>
                <w:szCs w:val="22"/>
                <w:lang w:val="lt-LT" w:eastAsia="en-GB"/>
              </w:rPr>
              <w:t>Klinikinės rekomendacijos</w:t>
            </w:r>
          </w:p>
        </w:tc>
      </w:tr>
      <w:tr w:rsidR="00BD6574" w:rsidRPr="00E906E9" w14:paraId="3D19D4C6" w14:textId="77777777" w:rsidTr="007E15ED">
        <w:tc>
          <w:tcPr>
            <w:tcW w:w="1043" w:type="pct"/>
            <w:tcBorders>
              <w:top w:val="outset" w:sz="6" w:space="0" w:color="7B7B7B"/>
              <w:left w:val="outset" w:sz="6" w:space="0" w:color="7B7B7B"/>
              <w:bottom w:val="outset" w:sz="6" w:space="0" w:color="7B7B7B"/>
              <w:right w:val="outset" w:sz="6" w:space="0" w:color="7B7B7B"/>
            </w:tcBorders>
            <w:hideMark/>
          </w:tcPr>
          <w:p w14:paraId="7625257C" w14:textId="3D175739" w:rsidR="00F93DE4" w:rsidRPr="00923E74" w:rsidRDefault="00F93DE4" w:rsidP="00CB7C84">
            <w:pPr>
              <w:tabs>
                <w:tab w:val="clear" w:pos="567"/>
              </w:tabs>
              <w:spacing w:line="240" w:lineRule="auto"/>
              <w:rPr>
                <w:snapToGrid/>
                <w:color w:val="000000"/>
                <w:szCs w:val="22"/>
                <w:lang w:val="lt-LT" w:eastAsia="en-GB"/>
              </w:rPr>
            </w:pPr>
            <w:r w:rsidRPr="00923E74">
              <w:rPr>
                <w:snapToGrid/>
                <w:color w:val="000000"/>
                <w:szCs w:val="22"/>
                <w:lang w:val="lt-LT" w:eastAsia="en-GB"/>
              </w:rPr>
              <w:t>80</w:t>
            </w:r>
            <w:r w:rsidR="00DB52C7" w:rsidRPr="00923E74">
              <w:rPr>
                <w:snapToGrid/>
                <w:color w:val="000000"/>
                <w:szCs w:val="22"/>
                <w:lang w:val="lt-LT" w:eastAsia="en-GB"/>
              </w:rPr>
              <w:t> mg</w:t>
            </w:r>
            <w:r w:rsidR="006024AD">
              <w:rPr>
                <w:snapToGrid/>
                <w:color w:val="000000"/>
                <w:szCs w:val="22"/>
                <w:lang w:val="lt-LT" w:eastAsia="en-GB"/>
              </w:rPr>
              <w:t> </w:t>
            </w:r>
            <w:r w:rsidR="00922EE3" w:rsidRPr="00923E74">
              <w:rPr>
                <w:snapToGrid/>
                <w:color w:val="000000"/>
                <w:szCs w:val="22"/>
                <w:lang w:val="lt-LT" w:eastAsia="en-GB"/>
              </w:rPr>
              <w:t>KP</w:t>
            </w:r>
            <w:r w:rsidRPr="00923E74">
              <w:rPr>
                <w:snapToGrid/>
                <w:color w:val="000000"/>
                <w:szCs w:val="22"/>
                <w:lang w:val="lt-LT" w:eastAsia="en-GB"/>
              </w:rPr>
              <w:t xml:space="preserve"> </w:t>
            </w:r>
            <w:r w:rsidR="00CB7C84" w:rsidRPr="00923E74">
              <w:rPr>
                <w:snapToGrid/>
                <w:color w:val="000000"/>
                <w:szCs w:val="22"/>
                <w:lang w:val="lt-LT" w:eastAsia="en-GB"/>
              </w:rPr>
              <w:t>10 </w:t>
            </w:r>
            <w:r w:rsidR="006024AD">
              <w:rPr>
                <w:snapToGrid/>
                <w:color w:val="000000"/>
                <w:szCs w:val="22"/>
                <w:lang w:val="lt-LT" w:eastAsia="en-GB"/>
              </w:rPr>
              <w:t>par</w:t>
            </w:r>
            <w:r w:rsidR="00CB7C84" w:rsidRPr="00923E74">
              <w:rPr>
                <w:snapToGrid/>
                <w:color w:val="000000"/>
                <w:szCs w:val="22"/>
                <w:lang w:val="lt-LT" w:eastAsia="en-GB"/>
              </w:rPr>
              <w:t>ų</w:t>
            </w:r>
          </w:p>
        </w:tc>
        <w:tc>
          <w:tcPr>
            <w:tcW w:w="1736" w:type="pct"/>
            <w:tcBorders>
              <w:top w:val="outset" w:sz="6" w:space="0" w:color="7B7B7B"/>
              <w:left w:val="outset" w:sz="6" w:space="0" w:color="7B7B7B"/>
              <w:bottom w:val="outset" w:sz="6" w:space="0" w:color="7B7B7B"/>
              <w:right w:val="outset" w:sz="6" w:space="0" w:color="7B7B7B"/>
            </w:tcBorders>
            <w:hideMark/>
          </w:tcPr>
          <w:p w14:paraId="0A1BEAE7" w14:textId="3A618EA0" w:rsidR="00F93DE4" w:rsidRPr="00923E74" w:rsidRDefault="00F93DE4" w:rsidP="00CB7C84">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Digo</w:t>
            </w:r>
            <w:r w:rsidR="00CB7C84" w:rsidRPr="00923E74">
              <w:rPr>
                <w:snapToGrid/>
                <w:color w:val="000000"/>
                <w:szCs w:val="22"/>
                <w:lang w:val="lt-LT" w:eastAsia="en-GB"/>
              </w:rPr>
              <w:t>ks</w:t>
            </w:r>
            <w:r w:rsidRPr="00923E74">
              <w:rPr>
                <w:snapToGrid/>
                <w:color w:val="000000"/>
                <w:szCs w:val="22"/>
                <w:lang w:val="lt-LT" w:eastAsia="en-GB"/>
              </w:rPr>
              <w:t>in</w:t>
            </w:r>
            <w:r w:rsidR="00CB7C84" w:rsidRPr="00923E74">
              <w:rPr>
                <w:snapToGrid/>
                <w:color w:val="000000"/>
                <w:szCs w:val="22"/>
                <w:lang w:val="lt-LT" w:eastAsia="en-GB"/>
              </w:rPr>
              <w:t>as</w:t>
            </w:r>
            <w:proofErr w:type="spellEnd"/>
            <w:r w:rsidRPr="00923E74">
              <w:rPr>
                <w:snapToGrid/>
                <w:color w:val="000000"/>
                <w:szCs w:val="22"/>
                <w:lang w:val="lt-LT" w:eastAsia="en-GB"/>
              </w:rPr>
              <w:t xml:space="preserve"> 0</w:t>
            </w:r>
            <w:r w:rsidR="00CB7C84" w:rsidRPr="00923E74">
              <w:rPr>
                <w:snapToGrid/>
                <w:color w:val="000000"/>
                <w:szCs w:val="22"/>
                <w:lang w:val="lt-LT" w:eastAsia="en-GB"/>
              </w:rPr>
              <w:t>,</w:t>
            </w:r>
            <w:r w:rsidRPr="00923E74">
              <w:rPr>
                <w:snapToGrid/>
                <w:color w:val="000000"/>
                <w:szCs w:val="22"/>
                <w:lang w:val="lt-LT" w:eastAsia="en-GB"/>
              </w:rPr>
              <w:t>25</w:t>
            </w:r>
            <w:r w:rsidR="00DB52C7" w:rsidRPr="00923E74">
              <w:rPr>
                <w:snapToGrid/>
                <w:color w:val="000000"/>
                <w:szCs w:val="22"/>
                <w:lang w:val="lt-LT" w:eastAsia="en-GB"/>
              </w:rPr>
              <w:t> mg</w:t>
            </w:r>
            <w:r w:rsidR="006024AD">
              <w:rPr>
                <w:snapToGrid/>
                <w:color w:val="000000"/>
                <w:szCs w:val="22"/>
                <w:lang w:val="lt-LT" w:eastAsia="en-GB"/>
              </w:rPr>
              <w:t> </w:t>
            </w:r>
            <w:r w:rsidR="00922EE3" w:rsidRPr="00923E74">
              <w:rPr>
                <w:snapToGrid/>
                <w:color w:val="000000"/>
                <w:szCs w:val="22"/>
                <w:lang w:val="lt-LT" w:eastAsia="en-GB"/>
              </w:rPr>
              <w:t>KP</w:t>
            </w:r>
            <w:r w:rsidR="00CB7C84" w:rsidRPr="00923E74">
              <w:rPr>
                <w:snapToGrid/>
                <w:color w:val="000000"/>
                <w:szCs w:val="22"/>
                <w:lang w:val="lt-LT" w:eastAsia="en-GB"/>
              </w:rPr>
              <w:t>, 20 </w:t>
            </w:r>
            <w:r w:rsidR="006024AD">
              <w:rPr>
                <w:snapToGrid/>
                <w:color w:val="000000"/>
                <w:szCs w:val="22"/>
                <w:lang w:val="lt-LT" w:eastAsia="en-GB"/>
              </w:rPr>
              <w:t>par</w:t>
            </w:r>
            <w:r w:rsidR="00CB7C84" w:rsidRPr="00923E74">
              <w:rPr>
                <w:snapToGrid/>
                <w:color w:val="000000"/>
                <w:szCs w:val="22"/>
                <w:lang w:val="lt-LT" w:eastAsia="en-GB"/>
              </w:rPr>
              <w:t>ų</w:t>
            </w:r>
          </w:p>
        </w:tc>
        <w:tc>
          <w:tcPr>
            <w:tcW w:w="796" w:type="pct"/>
            <w:tcBorders>
              <w:top w:val="outset" w:sz="6" w:space="0" w:color="7B7B7B"/>
              <w:left w:val="outset" w:sz="6" w:space="0" w:color="7B7B7B"/>
              <w:bottom w:val="outset" w:sz="6" w:space="0" w:color="7B7B7B"/>
              <w:right w:val="outset" w:sz="6" w:space="0" w:color="7B7B7B"/>
            </w:tcBorders>
            <w:hideMark/>
          </w:tcPr>
          <w:p w14:paraId="6C0F6646" w14:textId="77777777" w:rsidR="00F93DE4" w:rsidRPr="00923E74" w:rsidRDefault="00F93DE4"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w:t>
            </w:r>
            <w:r w:rsidR="00E01836" w:rsidRPr="00923E74">
              <w:rPr>
                <w:snapToGrid/>
                <w:color w:val="000000"/>
                <w:szCs w:val="22"/>
                <w:lang w:val="lt-LT" w:eastAsia="en-GB"/>
              </w:rPr>
              <w:t>,</w:t>
            </w:r>
            <w:r w:rsidRPr="00923E74">
              <w:rPr>
                <w:snapToGrid/>
                <w:color w:val="000000"/>
                <w:szCs w:val="22"/>
                <w:lang w:val="lt-LT" w:eastAsia="en-GB"/>
              </w:rPr>
              <w:t>15</w:t>
            </w:r>
          </w:p>
        </w:tc>
        <w:tc>
          <w:tcPr>
            <w:tcW w:w="1426" w:type="pct"/>
            <w:gridSpan w:val="2"/>
            <w:tcBorders>
              <w:top w:val="outset" w:sz="6" w:space="0" w:color="7B7B7B"/>
              <w:left w:val="outset" w:sz="6" w:space="0" w:color="7B7B7B"/>
              <w:bottom w:val="outset" w:sz="6" w:space="0" w:color="7B7B7B"/>
              <w:right w:val="outset" w:sz="6" w:space="0" w:color="7B7B7B"/>
            </w:tcBorders>
            <w:hideMark/>
          </w:tcPr>
          <w:p w14:paraId="25D37AC6" w14:textId="77777777" w:rsidR="00F93DE4" w:rsidRPr="00923E74" w:rsidRDefault="00E01836" w:rsidP="00E01836">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Digoksino</w:t>
            </w:r>
            <w:proofErr w:type="spellEnd"/>
            <w:r w:rsidRPr="00923E74">
              <w:rPr>
                <w:snapToGrid/>
                <w:color w:val="000000"/>
                <w:szCs w:val="22"/>
                <w:lang w:val="lt-LT" w:eastAsia="en-GB"/>
              </w:rPr>
              <w:t xml:space="preserve"> vartojančius pacientus būtina tinkamai stebėti</w:t>
            </w:r>
            <w:r w:rsidR="00F93DE4" w:rsidRPr="00923E74">
              <w:rPr>
                <w:snapToGrid/>
                <w:color w:val="000000"/>
                <w:szCs w:val="22"/>
                <w:lang w:val="lt-LT" w:eastAsia="en-GB"/>
              </w:rPr>
              <w:t>.</w:t>
            </w:r>
          </w:p>
        </w:tc>
      </w:tr>
      <w:tr w:rsidR="00BD6574" w:rsidRPr="00923E74" w14:paraId="3952C768" w14:textId="77777777" w:rsidTr="007E15ED">
        <w:trPr>
          <w:cantSplit/>
        </w:trPr>
        <w:tc>
          <w:tcPr>
            <w:tcW w:w="1043" w:type="pct"/>
            <w:tcBorders>
              <w:top w:val="outset" w:sz="6" w:space="0" w:color="7B7B7B"/>
              <w:left w:val="outset" w:sz="6" w:space="0" w:color="7B7B7B"/>
              <w:bottom w:val="outset" w:sz="6" w:space="0" w:color="7B7B7B"/>
              <w:right w:val="outset" w:sz="6" w:space="0" w:color="7B7B7B"/>
            </w:tcBorders>
            <w:hideMark/>
          </w:tcPr>
          <w:p w14:paraId="2304776A" w14:textId="3EAECAC1" w:rsidR="00E01836" w:rsidRPr="00923E74" w:rsidRDefault="00E01836" w:rsidP="00CB7C84">
            <w:pPr>
              <w:tabs>
                <w:tab w:val="clear" w:pos="567"/>
              </w:tabs>
              <w:spacing w:line="240" w:lineRule="auto"/>
              <w:rPr>
                <w:snapToGrid/>
                <w:color w:val="000000"/>
                <w:szCs w:val="22"/>
                <w:lang w:val="lt-LT" w:eastAsia="en-GB"/>
              </w:rPr>
            </w:pPr>
            <w:r w:rsidRPr="00923E74">
              <w:rPr>
                <w:snapToGrid/>
                <w:color w:val="000000"/>
                <w:szCs w:val="22"/>
                <w:lang w:val="lt-LT" w:eastAsia="en-GB"/>
              </w:rPr>
              <w:t>40</w:t>
            </w:r>
            <w:r w:rsidR="00DB52C7" w:rsidRPr="00923E74">
              <w:rPr>
                <w:snapToGrid/>
                <w:color w:val="000000"/>
                <w:szCs w:val="22"/>
                <w:lang w:val="lt-LT" w:eastAsia="en-GB"/>
              </w:rPr>
              <w:t> mg</w:t>
            </w:r>
            <w:r w:rsidR="006024AD">
              <w:rPr>
                <w:snapToGrid/>
                <w:color w:val="000000"/>
                <w:szCs w:val="22"/>
                <w:lang w:val="lt-LT" w:eastAsia="en-GB"/>
              </w:rPr>
              <w:t> </w:t>
            </w:r>
            <w:r w:rsidRPr="00923E74">
              <w:rPr>
                <w:snapToGrid/>
                <w:color w:val="000000"/>
                <w:szCs w:val="22"/>
                <w:lang w:val="lt-LT" w:eastAsia="en-GB"/>
              </w:rPr>
              <w:t xml:space="preserve">KP </w:t>
            </w:r>
            <w:r w:rsidR="00CB7C84" w:rsidRPr="00923E74">
              <w:rPr>
                <w:snapToGrid/>
                <w:color w:val="000000"/>
                <w:szCs w:val="22"/>
                <w:lang w:val="lt-LT" w:eastAsia="en-GB"/>
              </w:rPr>
              <w:t>22 </w:t>
            </w:r>
            <w:r w:rsidR="006024AD">
              <w:rPr>
                <w:snapToGrid/>
                <w:color w:val="000000"/>
                <w:szCs w:val="22"/>
                <w:lang w:val="lt-LT" w:eastAsia="en-GB"/>
              </w:rPr>
              <w:t>par</w:t>
            </w:r>
            <w:r w:rsidR="00CB7C84" w:rsidRPr="00923E74">
              <w:rPr>
                <w:snapToGrid/>
                <w:color w:val="000000"/>
                <w:szCs w:val="22"/>
                <w:lang w:val="lt-LT" w:eastAsia="en-GB"/>
              </w:rPr>
              <w:t>as</w:t>
            </w:r>
          </w:p>
        </w:tc>
        <w:tc>
          <w:tcPr>
            <w:tcW w:w="1736" w:type="pct"/>
            <w:tcBorders>
              <w:top w:val="outset" w:sz="6" w:space="0" w:color="7B7B7B"/>
              <w:left w:val="outset" w:sz="6" w:space="0" w:color="7B7B7B"/>
              <w:bottom w:val="outset" w:sz="6" w:space="0" w:color="7B7B7B"/>
              <w:right w:val="outset" w:sz="6" w:space="0" w:color="7B7B7B"/>
            </w:tcBorders>
            <w:hideMark/>
          </w:tcPr>
          <w:p w14:paraId="7D65DBEB" w14:textId="77777777" w:rsidR="00E01836" w:rsidRPr="00923E74" w:rsidRDefault="00CB7C84" w:rsidP="007E15ED">
            <w:pPr>
              <w:keepNext/>
              <w:tabs>
                <w:tab w:val="clear" w:pos="567"/>
              </w:tabs>
              <w:spacing w:line="240" w:lineRule="auto"/>
              <w:rPr>
                <w:snapToGrid/>
                <w:color w:val="000000"/>
                <w:szCs w:val="22"/>
                <w:lang w:val="lt-LT" w:eastAsia="en-GB"/>
              </w:rPr>
            </w:pPr>
            <w:r w:rsidRPr="00923E74">
              <w:rPr>
                <w:szCs w:val="22"/>
                <w:lang w:val="lt-LT"/>
              </w:rPr>
              <w:t xml:space="preserve">Geriamieji kontraceptikai </w:t>
            </w:r>
            <w:r w:rsidR="00E01836" w:rsidRPr="00923E74">
              <w:rPr>
                <w:snapToGrid/>
                <w:color w:val="000000"/>
                <w:szCs w:val="22"/>
                <w:lang w:val="lt-LT" w:eastAsia="en-GB"/>
              </w:rPr>
              <w:t>KP</w:t>
            </w:r>
            <w:r w:rsidRPr="00923E74">
              <w:rPr>
                <w:snapToGrid/>
                <w:color w:val="000000"/>
                <w:szCs w:val="22"/>
                <w:lang w:val="lt-LT" w:eastAsia="en-GB"/>
              </w:rPr>
              <w:t>, 2 mėnesius</w:t>
            </w:r>
            <w:r w:rsidR="006024AD">
              <w:rPr>
                <w:snapToGrid/>
                <w:color w:val="000000"/>
                <w:szCs w:val="22"/>
                <w:lang w:val="lt-LT" w:eastAsia="en-GB"/>
              </w:rPr>
              <w:t>:</w:t>
            </w:r>
          </w:p>
          <w:p w14:paraId="47B2D256"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- 1</w:t>
            </w:r>
            <w:r w:rsidR="00DB52C7" w:rsidRPr="00923E74">
              <w:rPr>
                <w:snapToGrid/>
                <w:color w:val="000000"/>
                <w:szCs w:val="22"/>
                <w:lang w:val="lt-LT" w:eastAsia="en-GB"/>
              </w:rPr>
              <w:t> mg</w:t>
            </w:r>
            <w:r w:rsidR="00CB7C84" w:rsidRPr="00923E74">
              <w:rPr>
                <w:snapToGrid/>
                <w:color w:val="000000"/>
                <w:szCs w:val="22"/>
                <w:lang w:val="lt-LT" w:eastAsia="en-GB"/>
              </w:rPr>
              <w:t xml:space="preserve"> </w:t>
            </w:r>
            <w:proofErr w:type="spellStart"/>
            <w:r w:rsidR="00CB7C84" w:rsidRPr="00923E74">
              <w:rPr>
                <w:szCs w:val="22"/>
                <w:lang w:val="lt-LT"/>
              </w:rPr>
              <w:t>noretindrono</w:t>
            </w:r>
            <w:proofErr w:type="spellEnd"/>
          </w:p>
          <w:p w14:paraId="323C12C5" w14:textId="77777777" w:rsidR="00E01836" w:rsidRPr="00923E74" w:rsidRDefault="00E01836" w:rsidP="00CB7C84">
            <w:pPr>
              <w:tabs>
                <w:tab w:val="clear" w:pos="567"/>
              </w:tabs>
              <w:spacing w:line="240" w:lineRule="auto"/>
              <w:rPr>
                <w:snapToGrid/>
                <w:color w:val="000000"/>
                <w:szCs w:val="22"/>
                <w:lang w:val="lt-LT" w:eastAsia="en-GB"/>
              </w:rPr>
            </w:pPr>
            <w:r w:rsidRPr="00923E74">
              <w:rPr>
                <w:snapToGrid/>
                <w:color w:val="000000"/>
                <w:szCs w:val="22"/>
                <w:lang w:val="lt-LT" w:eastAsia="en-GB"/>
              </w:rPr>
              <w:t>- 35</w:t>
            </w:r>
            <w:r w:rsidR="00CB7C84" w:rsidRPr="00923E74">
              <w:rPr>
                <w:snapToGrid/>
                <w:color w:val="000000"/>
                <w:szCs w:val="22"/>
                <w:lang w:val="lt-LT" w:eastAsia="en-GB"/>
              </w:rPr>
              <w:t> </w:t>
            </w:r>
            <w:r w:rsidRPr="00923E74">
              <w:rPr>
                <w:snapToGrid/>
                <w:color w:val="000000"/>
                <w:szCs w:val="22"/>
                <w:lang w:val="lt-LT" w:eastAsia="en-GB"/>
              </w:rPr>
              <w:t>µg</w:t>
            </w:r>
            <w:r w:rsidR="006F7483" w:rsidRPr="00923E74">
              <w:rPr>
                <w:snapToGrid/>
                <w:color w:val="000000"/>
                <w:szCs w:val="22"/>
                <w:lang w:val="lt-LT" w:eastAsia="en-GB"/>
              </w:rPr>
              <w:t xml:space="preserve"> </w:t>
            </w:r>
            <w:proofErr w:type="spellStart"/>
            <w:r w:rsidR="00CB7C84" w:rsidRPr="00923E74">
              <w:rPr>
                <w:szCs w:val="22"/>
                <w:lang w:val="lt-LT"/>
              </w:rPr>
              <w:t>etinilestradiolio</w:t>
            </w:r>
            <w:proofErr w:type="spellEnd"/>
          </w:p>
        </w:tc>
        <w:tc>
          <w:tcPr>
            <w:tcW w:w="796" w:type="pct"/>
            <w:tcBorders>
              <w:top w:val="outset" w:sz="6" w:space="0" w:color="7B7B7B"/>
              <w:left w:val="outset" w:sz="6" w:space="0" w:color="7B7B7B"/>
              <w:bottom w:val="outset" w:sz="6" w:space="0" w:color="7B7B7B"/>
              <w:right w:val="outset" w:sz="6" w:space="0" w:color="7B7B7B"/>
            </w:tcBorders>
            <w:vAlign w:val="bottom"/>
            <w:hideMark/>
          </w:tcPr>
          <w:p w14:paraId="45A8EE20"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1,28</w:t>
            </w:r>
          </w:p>
          <w:p w14:paraId="7CC4244D"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1,19</w:t>
            </w:r>
          </w:p>
        </w:tc>
        <w:tc>
          <w:tcPr>
            <w:tcW w:w="1426" w:type="pct"/>
            <w:gridSpan w:val="2"/>
            <w:tcBorders>
              <w:top w:val="outset" w:sz="6" w:space="0" w:color="7B7B7B"/>
              <w:left w:val="outset" w:sz="6" w:space="0" w:color="7B7B7B"/>
              <w:bottom w:val="outset" w:sz="6" w:space="0" w:color="7B7B7B"/>
              <w:right w:val="outset" w:sz="6" w:space="0" w:color="7B7B7B"/>
            </w:tcBorders>
            <w:hideMark/>
          </w:tcPr>
          <w:p w14:paraId="0BB1A6A5"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BD6574" w:rsidRPr="00923E74" w14:paraId="7E39DC17" w14:textId="77777777" w:rsidTr="007E15ED">
        <w:tc>
          <w:tcPr>
            <w:tcW w:w="1043" w:type="pct"/>
            <w:tcBorders>
              <w:top w:val="outset" w:sz="6" w:space="0" w:color="7B7B7B"/>
              <w:left w:val="outset" w:sz="6" w:space="0" w:color="7B7B7B"/>
              <w:bottom w:val="outset" w:sz="6" w:space="0" w:color="7B7B7B"/>
              <w:right w:val="outset" w:sz="6" w:space="0" w:color="7B7B7B"/>
            </w:tcBorders>
            <w:hideMark/>
          </w:tcPr>
          <w:p w14:paraId="37B8B4DA" w14:textId="24EC2DF6" w:rsidR="00E01836" w:rsidRPr="00923E74" w:rsidRDefault="00E01836" w:rsidP="00CB7C84">
            <w:pPr>
              <w:tabs>
                <w:tab w:val="clear" w:pos="567"/>
              </w:tabs>
              <w:spacing w:line="240" w:lineRule="auto"/>
              <w:rPr>
                <w:snapToGrid/>
                <w:color w:val="000000"/>
                <w:szCs w:val="22"/>
                <w:lang w:val="lt-LT" w:eastAsia="en-GB"/>
              </w:rPr>
            </w:pPr>
            <w:r w:rsidRPr="00923E74">
              <w:rPr>
                <w:snapToGrid/>
                <w:color w:val="000000"/>
                <w:szCs w:val="22"/>
                <w:lang w:val="lt-LT" w:eastAsia="en-GB"/>
              </w:rPr>
              <w:t>80</w:t>
            </w:r>
            <w:r w:rsidR="00DB52C7" w:rsidRPr="00923E74">
              <w:rPr>
                <w:snapToGrid/>
                <w:color w:val="000000"/>
                <w:szCs w:val="22"/>
                <w:lang w:val="lt-LT" w:eastAsia="en-GB"/>
              </w:rPr>
              <w:t> mg</w:t>
            </w:r>
            <w:r w:rsidR="006024AD">
              <w:rPr>
                <w:snapToGrid/>
                <w:color w:val="000000"/>
                <w:szCs w:val="22"/>
                <w:lang w:val="lt-LT" w:eastAsia="en-GB"/>
              </w:rPr>
              <w:t> </w:t>
            </w:r>
            <w:r w:rsidRPr="00923E74">
              <w:rPr>
                <w:snapToGrid/>
                <w:color w:val="000000"/>
                <w:szCs w:val="22"/>
                <w:lang w:val="lt-LT" w:eastAsia="en-GB"/>
              </w:rPr>
              <w:t xml:space="preserve">KP </w:t>
            </w:r>
            <w:r w:rsidR="00CB7C84" w:rsidRPr="00923E74">
              <w:rPr>
                <w:snapToGrid/>
                <w:color w:val="000000"/>
                <w:szCs w:val="22"/>
                <w:lang w:val="lt-LT" w:eastAsia="en-GB"/>
              </w:rPr>
              <w:t>15 </w:t>
            </w:r>
            <w:r w:rsidR="006024AD">
              <w:rPr>
                <w:snapToGrid/>
                <w:color w:val="000000"/>
                <w:szCs w:val="22"/>
                <w:lang w:val="lt-LT" w:eastAsia="en-GB"/>
              </w:rPr>
              <w:t>par</w:t>
            </w:r>
            <w:r w:rsidR="00CB7C84" w:rsidRPr="00923E74">
              <w:rPr>
                <w:snapToGrid/>
                <w:color w:val="000000"/>
                <w:szCs w:val="22"/>
                <w:lang w:val="lt-LT" w:eastAsia="en-GB"/>
              </w:rPr>
              <w:t>ų</w:t>
            </w:r>
          </w:p>
        </w:tc>
        <w:tc>
          <w:tcPr>
            <w:tcW w:w="1736" w:type="pct"/>
            <w:tcBorders>
              <w:top w:val="outset" w:sz="6" w:space="0" w:color="7B7B7B"/>
              <w:left w:val="outset" w:sz="6" w:space="0" w:color="7B7B7B"/>
              <w:bottom w:val="outset" w:sz="6" w:space="0" w:color="7B7B7B"/>
              <w:right w:val="outset" w:sz="6" w:space="0" w:color="7B7B7B"/>
            </w:tcBorders>
            <w:hideMark/>
          </w:tcPr>
          <w:p w14:paraId="43FEE164" w14:textId="483C125A" w:rsidR="00E01836" w:rsidRPr="00923E74" w:rsidRDefault="00CB7C84" w:rsidP="00CB7C84">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F</w:t>
            </w:r>
            <w:r w:rsidR="00E01836" w:rsidRPr="00923E74">
              <w:rPr>
                <w:snapToGrid/>
                <w:color w:val="000000"/>
                <w:szCs w:val="22"/>
                <w:lang w:val="lt-LT" w:eastAsia="en-GB"/>
              </w:rPr>
              <w:t>enazon</w:t>
            </w:r>
            <w:r w:rsidRPr="00923E74">
              <w:rPr>
                <w:snapToGrid/>
                <w:color w:val="000000"/>
                <w:szCs w:val="22"/>
                <w:lang w:val="lt-LT" w:eastAsia="en-GB"/>
              </w:rPr>
              <w:t>as</w:t>
            </w:r>
            <w:proofErr w:type="spellEnd"/>
            <w:r w:rsidR="00BD6574">
              <w:rPr>
                <w:snapToGrid/>
                <w:color w:val="000000"/>
                <w:szCs w:val="22"/>
                <w:lang w:val="lt-LT" w:eastAsia="en-GB"/>
              </w:rPr>
              <w:t>*</w:t>
            </w:r>
            <w:r w:rsidR="00E01836" w:rsidRPr="00923E74">
              <w:rPr>
                <w:snapToGrid/>
                <w:color w:val="000000"/>
                <w:szCs w:val="22"/>
                <w:lang w:val="lt-LT" w:eastAsia="en-GB"/>
              </w:rPr>
              <w:t xml:space="preserve"> 600</w:t>
            </w:r>
            <w:r w:rsidR="00DB52C7" w:rsidRPr="00923E74">
              <w:rPr>
                <w:snapToGrid/>
                <w:color w:val="000000"/>
                <w:szCs w:val="22"/>
                <w:lang w:val="lt-LT" w:eastAsia="en-GB"/>
              </w:rPr>
              <w:t> mg</w:t>
            </w:r>
            <w:r w:rsidR="00BD6574">
              <w:rPr>
                <w:snapToGrid/>
                <w:color w:val="000000"/>
                <w:szCs w:val="22"/>
                <w:lang w:val="lt-LT" w:eastAsia="en-GB"/>
              </w:rPr>
              <w:t> </w:t>
            </w:r>
            <w:r w:rsidR="00E01836" w:rsidRPr="00923E74">
              <w:rPr>
                <w:snapToGrid/>
                <w:color w:val="000000"/>
                <w:szCs w:val="22"/>
                <w:lang w:val="lt-LT" w:eastAsia="en-GB"/>
              </w:rPr>
              <w:t>VD</w:t>
            </w:r>
          </w:p>
        </w:tc>
        <w:tc>
          <w:tcPr>
            <w:tcW w:w="796" w:type="pct"/>
            <w:tcBorders>
              <w:top w:val="outset" w:sz="6" w:space="0" w:color="7B7B7B"/>
              <w:left w:val="outset" w:sz="6" w:space="0" w:color="7B7B7B"/>
              <w:bottom w:val="outset" w:sz="6" w:space="0" w:color="7B7B7B"/>
              <w:right w:val="outset" w:sz="6" w:space="0" w:color="7B7B7B"/>
            </w:tcBorders>
            <w:hideMark/>
          </w:tcPr>
          <w:p w14:paraId="24199D22"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1,03</w:t>
            </w:r>
          </w:p>
        </w:tc>
        <w:tc>
          <w:tcPr>
            <w:tcW w:w="1426" w:type="pct"/>
            <w:gridSpan w:val="2"/>
            <w:tcBorders>
              <w:top w:val="outset" w:sz="6" w:space="0" w:color="7B7B7B"/>
              <w:left w:val="outset" w:sz="6" w:space="0" w:color="7B7B7B"/>
              <w:bottom w:val="outset" w:sz="6" w:space="0" w:color="7B7B7B"/>
              <w:right w:val="outset" w:sz="6" w:space="0" w:color="7B7B7B"/>
            </w:tcBorders>
            <w:hideMark/>
          </w:tcPr>
          <w:p w14:paraId="05ADF919"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BD6574" w:rsidRPr="00923E74" w14:paraId="2F64ABE9" w14:textId="77777777" w:rsidTr="007E15ED">
        <w:tc>
          <w:tcPr>
            <w:tcW w:w="1043" w:type="pct"/>
            <w:tcBorders>
              <w:top w:val="outset" w:sz="6" w:space="0" w:color="7B7B7B"/>
              <w:left w:val="outset" w:sz="6" w:space="0" w:color="7B7B7B"/>
              <w:bottom w:val="outset" w:sz="6" w:space="0" w:color="7B7B7B"/>
              <w:right w:val="outset" w:sz="6" w:space="0" w:color="7B7B7B"/>
            </w:tcBorders>
            <w:hideMark/>
          </w:tcPr>
          <w:p w14:paraId="0CBD5E69" w14:textId="4398E40E" w:rsidR="00E01836" w:rsidRPr="00923E74" w:rsidRDefault="00E01836" w:rsidP="00CB7C84">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6024AD">
              <w:rPr>
                <w:snapToGrid/>
                <w:color w:val="000000"/>
                <w:szCs w:val="22"/>
                <w:lang w:val="lt-LT" w:eastAsia="en-GB"/>
              </w:rPr>
              <w:t> </w:t>
            </w:r>
            <w:r w:rsidRPr="00923E74">
              <w:rPr>
                <w:snapToGrid/>
                <w:color w:val="000000"/>
                <w:szCs w:val="22"/>
                <w:lang w:val="lt-LT" w:eastAsia="en-GB"/>
              </w:rPr>
              <w:t>VD</w:t>
            </w:r>
          </w:p>
        </w:tc>
        <w:tc>
          <w:tcPr>
            <w:tcW w:w="1736" w:type="pct"/>
            <w:tcBorders>
              <w:top w:val="outset" w:sz="6" w:space="0" w:color="7B7B7B"/>
              <w:left w:val="outset" w:sz="6" w:space="0" w:color="7B7B7B"/>
              <w:bottom w:val="outset" w:sz="6" w:space="0" w:color="7B7B7B"/>
              <w:right w:val="outset" w:sz="6" w:space="0" w:color="7B7B7B"/>
            </w:tcBorders>
            <w:hideMark/>
          </w:tcPr>
          <w:p w14:paraId="57DBA5F4" w14:textId="37A247E4" w:rsidR="00E01836" w:rsidRPr="00923E74" w:rsidRDefault="00E01836" w:rsidP="00CB7C84">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Tipranavir</w:t>
            </w:r>
            <w:r w:rsidR="00CB7C84" w:rsidRPr="00923E74">
              <w:rPr>
                <w:snapToGrid/>
                <w:color w:val="000000"/>
                <w:szCs w:val="22"/>
                <w:lang w:val="lt-LT" w:eastAsia="en-GB"/>
              </w:rPr>
              <w:t>as</w:t>
            </w:r>
            <w:proofErr w:type="spellEnd"/>
            <w:r w:rsidRPr="00923E74">
              <w:rPr>
                <w:snapToGrid/>
                <w:color w:val="000000"/>
                <w:szCs w:val="22"/>
                <w:lang w:val="lt-LT" w:eastAsia="en-GB"/>
              </w:rPr>
              <w:t xml:space="preserve"> 500</w:t>
            </w:r>
            <w:r w:rsidR="00DB52C7" w:rsidRPr="00923E74">
              <w:rPr>
                <w:snapToGrid/>
                <w:color w:val="000000"/>
                <w:szCs w:val="22"/>
                <w:lang w:val="lt-LT" w:eastAsia="en-GB"/>
              </w:rPr>
              <w:t> mg</w:t>
            </w:r>
            <w:r w:rsidR="00BD6574">
              <w:rPr>
                <w:snapToGrid/>
                <w:color w:val="000000"/>
                <w:szCs w:val="22"/>
                <w:lang w:val="lt-LT" w:eastAsia="en-GB"/>
              </w:rPr>
              <w:t> </w:t>
            </w:r>
            <w:r w:rsidRPr="00923E74">
              <w:rPr>
                <w:snapToGrid/>
                <w:color w:val="000000"/>
                <w:szCs w:val="22"/>
                <w:lang w:val="lt-LT" w:eastAsia="en-GB"/>
              </w:rPr>
              <w:t>DKP</w:t>
            </w:r>
            <w:r w:rsidR="003E722C">
              <w:rPr>
                <w:snapToGrid/>
                <w:color w:val="000000"/>
                <w:szCs w:val="22"/>
                <w:lang w:val="lt-LT" w:eastAsia="en-GB"/>
              </w:rPr>
              <w:t xml:space="preserve"> </w:t>
            </w:r>
            <w:r w:rsidR="00BD6574">
              <w:rPr>
                <w:snapToGrid/>
                <w:color w:val="000000"/>
                <w:szCs w:val="22"/>
                <w:lang w:val="lt-LT" w:eastAsia="en-GB"/>
              </w:rPr>
              <w:t>ir</w:t>
            </w:r>
            <w:r w:rsidR="00CB7C84" w:rsidRPr="00923E74">
              <w:rPr>
                <w:snapToGrid/>
                <w:color w:val="000000"/>
                <w:szCs w:val="22"/>
                <w:lang w:val="lt-LT" w:eastAsia="en-GB"/>
              </w:rPr>
              <w:t xml:space="preserve"> </w:t>
            </w:r>
            <w:r w:rsidRPr="00923E74">
              <w:rPr>
                <w:snapToGrid/>
                <w:color w:val="000000"/>
                <w:szCs w:val="22"/>
                <w:lang w:val="lt-LT" w:eastAsia="en-GB"/>
              </w:rPr>
              <w:t>ritonavir</w:t>
            </w:r>
            <w:r w:rsidR="00CB7C84" w:rsidRPr="00923E74">
              <w:rPr>
                <w:snapToGrid/>
                <w:color w:val="000000"/>
                <w:szCs w:val="22"/>
                <w:lang w:val="lt-LT" w:eastAsia="en-GB"/>
              </w:rPr>
              <w:t>as</w:t>
            </w:r>
            <w:r w:rsidRPr="00923E74">
              <w:rPr>
                <w:snapToGrid/>
                <w:color w:val="000000"/>
                <w:szCs w:val="22"/>
                <w:lang w:val="lt-LT" w:eastAsia="en-GB"/>
              </w:rPr>
              <w:t xml:space="preserve"> 200</w:t>
            </w:r>
            <w:r w:rsidR="00DB52C7" w:rsidRPr="00923E74">
              <w:rPr>
                <w:snapToGrid/>
                <w:color w:val="000000"/>
                <w:szCs w:val="22"/>
                <w:lang w:val="lt-LT" w:eastAsia="en-GB"/>
              </w:rPr>
              <w:t> mg</w:t>
            </w:r>
            <w:r w:rsidR="00BD6574">
              <w:rPr>
                <w:snapToGrid/>
                <w:color w:val="000000"/>
                <w:szCs w:val="22"/>
                <w:lang w:val="lt-LT" w:eastAsia="en-GB"/>
              </w:rPr>
              <w:t> </w:t>
            </w:r>
            <w:r w:rsidRPr="00923E74">
              <w:rPr>
                <w:snapToGrid/>
                <w:color w:val="000000"/>
                <w:szCs w:val="22"/>
                <w:lang w:val="lt-LT" w:eastAsia="en-GB"/>
              </w:rPr>
              <w:t>DKP</w:t>
            </w:r>
            <w:r w:rsidR="00CB7C84" w:rsidRPr="00923E74">
              <w:rPr>
                <w:snapToGrid/>
                <w:color w:val="000000"/>
                <w:szCs w:val="22"/>
                <w:lang w:val="lt-LT" w:eastAsia="en-GB"/>
              </w:rPr>
              <w:t>, 7 </w:t>
            </w:r>
            <w:r w:rsidR="00BD6574">
              <w:rPr>
                <w:snapToGrid/>
                <w:color w:val="000000"/>
                <w:szCs w:val="22"/>
                <w:lang w:val="lt-LT" w:eastAsia="en-GB"/>
              </w:rPr>
              <w:t>par</w:t>
            </w:r>
            <w:r w:rsidR="00CB7C84" w:rsidRPr="00923E74">
              <w:rPr>
                <w:snapToGrid/>
                <w:color w:val="000000"/>
                <w:szCs w:val="22"/>
                <w:lang w:val="lt-LT" w:eastAsia="en-GB"/>
              </w:rPr>
              <w:t>as</w:t>
            </w:r>
          </w:p>
        </w:tc>
        <w:tc>
          <w:tcPr>
            <w:tcW w:w="796" w:type="pct"/>
            <w:tcBorders>
              <w:top w:val="outset" w:sz="6" w:space="0" w:color="7B7B7B"/>
              <w:left w:val="outset" w:sz="6" w:space="0" w:color="7B7B7B"/>
              <w:bottom w:val="outset" w:sz="6" w:space="0" w:color="7B7B7B"/>
              <w:right w:val="outset" w:sz="6" w:space="0" w:color="7B7B7B"/>
            </w:tcBorders>
            <w:hideMark/>
          </w:tcPr>
          <w:p w14:paraId="207A6A3E"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1,08</w:t>
            </w:r>
          </w:p>
        </w:tc>
        <w:tc>
          <w:tcPr>
            <w:tcW w:w="1426" w:type="pct"/>
            <w:gridSpan w:val="2"/>
            <w:tcBorders>
              <w:top w:val="outset" w:sz="6" w:space="0" w:color="7B7B7B"/>
              <w:left w:val="outset" w:sz="6" w:space="0" w:color="7B7B7B"/>
              <w:bottom w:val="outset" w:sz="6" w:space="0" w:color="7B7B7B"/>
              <w:right w:val="outset" w:sz="6" w:space="0" w:color="7B7B7B"/>
            </w:tcBorders>
            <w:hideMark/>
          </w:tcPr>
          <w:p w14:paraId="134A95E2"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BD6574" w:rsidRPr="00923E74" w14:paraId="79C4B558" w14:textId="77777777" w:rsidTr="007E15ED">
        <w:tc>
          <w:tcPr>
            <w:tcW w:w="1043" w:type="pct"/>
            <w:tcBorders>
              <w:top w:val="outset" w:sz="6" w:space="0" w:color="7B7B7B"/>
              <w:left w:val="outset" w:sz="6" w:space="0" w:color="7B7B7B"/>
              <w:bottom w:val="outset" w:sz="6" w:space="0" w:color="7B7B7B"/>
              <w:right w:val="outset" w:sz="6" w:space="0" w:color="7B7B7B"/>
            </w:tcBorders>
            <w:hideMark/>
          </w:tcPr>
          <w:p w14:paraId="4423D4F3" w14:textId="682C8CE2" w:rsidR="00E01836" w:rsidRPr="00923E74" w:rsidRDefault="00E01836" w:rsidP="00CB7C84">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6024AD">
              <w:rPr>
                <w:snapToGrid/>
                <w:color w:val="000000"/>
                <w:szCs w:val="22"/>
                <w:lang w:val="lt-LT" w:eastAsia="en-GB"/>
              </w:rPr>
              <w:t> </w:t>
            </w:r>
            <w:r w:rsidRPr="00923E74">
              <w:rPr>
                <w:snapToGrid/>
                <w:color w:val="000000"/>
                <w:szCs w:val="22"/>
                <w:lang w:val="lt-LT" w:eastAsia="en-GB"/>
              </w:rPr>
              <w:t xml:space="preserve">KP </w:t>
            </w:r>
            <w:r w:rsidR="00CB7C84" w:rsidRPr="00923E74">
              <w:rPr>
                <w:snapToGrid/>
                <w:color w:val="000000"/>
                <w:szCs w:val="22"/>
                <w:lang w:val="lt-LT" w:eastAsia="en-GB"/>
              </w:rPr>
              <w:t>4 </w:t>
            </w:r>
            <w:r w:rsidR="006024AD">
              <w:rPr>
                <w:snapToGrid/>
                <w:color w:val="000000"/>
                <w:szCs w:val="22"/>
                <w:lang w:val="lt-LT" w:eastAsia="en-GB"/>
              </w:rPr>
              <w:t>par</w:t>
            </w:r>
            <w:r w:rsidR="00CB7C84" w:rsidRPr="00923E74">
              <w:rPr>
                <w:snapToGrid/>
                <w:color w:val="000000"/>
                <w:szCs w:val="22"/>
                <w:lang w:val="lt-LT" w:eastAsia="en-GB"/>
              </w:rPr>
              <w:t>as</w:t>
            </w:r>
          </w:p>
        </w:tc>
        <w:tc>
          <w:tcPr>
            <w:tcW w:w="1736" w:type="pct"/>
            <w:tcBorders>
              <w:top w:val="outset" w:sz="6" w:space="0" w:color="7B7B7B"/>
              <w:left w:val="outset" w:sz="6" w:space="0" w:color="7B7B7B"/>
              <w:bottom w:val="outset" w:sz="6" w:space="0" w:color="7B7B7B"/>
              <w:right w:val="outset" w:sz="6" w:space="0" w:color="7B7B7B"/>
            </w:tcBorders>
            <w:hideMark/>
          </w:tcPr>
          <w:p w14:paraId="2DAD36CF" w14:textId="0E52C316" w:rsidR="00E01836" w:rsidRPr="00923E74" w:rsidRDefault="00E01836" w:rsidP="00CB7C84">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Fosamprenavir</w:t>
            </w:r>
            <w:r w:rsidR="00CB7C84" w:rsidRPr="00923E74">
              <w:rPr>
                <w:snapToGrid/>
                <w:color w:val="000000"/>
                <w:szCs w:val="22"/>
                <w:lang w:val="lt-LT" w:eastAsia="en-GB"/>
              </w:rPr>
              <w:t>as</w:t>
            </w:r>
            <w:proofErr w:type="spellEnd"/>
            <w:r w:rsidRPr="00923E74">
              <w:rPr>
                <w:snapToGrid/>
                <w:color w:val="000000"/>
                <w:szCs w:val="22"/>
                <w:lang w:val="lt-LT" w:eastAsia="en-GB"/>
              </w:rPr>
              <w:t xml:space="preserve"> 1</w:t>
            </w:r>
            <w:r w:rsidR="0026190D">
              <w:rPr>
                <w:snapToGrid/>
                <w:color w:val="000000"/>
                <w:szCs w:val="22"/>
                <w:lang w:val="lt-LT" w:eastAsia="en-GB"/>
              </w:rPr>
              <w:t> </w:t>
            </w:r>
            <w:r w:rsidRPr="00923E74">
              <w:rPr>
                <w:snapToGrid/>
                <w:color w:val="000000"/>
                <w:szCs w:val="22"/>
                <w:lang w:val="lt-LT" w:eastAsia="en-GB"/>
              </w:rPr>
              <w:t>400</w:t>
            </w:r>
            <w:r w:rsidR="00DB52C7" w:rsidRPr="00923E74">
              <w:rPr>
                <w:snapToGrid/>
                <w:color w:val="000000"/>
                <w:szCs w:val="22"/>
                <w:lang w:val="lt-LT" w:eastAsia="en-GB"/>
              </w:rPr>
              <w:t> mg</w:t>
            </w:r>
            <w:r w:rsidR="00BD6574">
              <w:rPr>
                <w:snapToGrid/>
                <w:color w:val="000000"/>
                <w:szCs w:val="22"/>
                <w:lang w:val="lt-LT" w:eastAsia="en-GB"/>
              </w:rPr>
              <w:t> </w:t>
            </w:r>
            <w:r w:rsidRPr="00923E74">
              <w:rPr>
                <w:snapToGrid/>
                <w:color w:val="000000"/>
                <w:szCs w:val="22"/>
                <w:lang w:val="lt-LT" w:eastAsia="en-GB"/>
              </w:rPr>
              <w:t>DKP</w:t>
            </w:r>
            <w:r w:rsidR="00CB7C84" w:rsidRPr="00923E74">
              <w:rPr>
                <w:snapToGrid/>
                <w:color w:val="000000"/>
                <w:szCs w:val="22"/>
                <w:lang w:val="lt-LT" w:eastAsia="en-GB"/>
              </w:rPr>
              <w:t>, 14 </w:t>
            </w:r>
            <w:r w:rsidR="00BD6574">
              <w:rPr>
                <w:snapToGrid/>
                <w:color w:val="000000"/>
                <w:szCs w:val="22"/>
                <w:lang w:val="lt-LT" w:eastAsia="en-GB"/>
              </w:rPr>
              <w:t>par</w:t>
            </w:r>
            <w:r w:rsidR="00CB7C84" w:rsidRPr="00923E74">
              <w:rPr>
                <w:snapToGrid/>
                <w:color w:val="000000"/>
                <w:szCs w:val="22"/>
                <w:lang w:val="lt-LT" w:eastAsia="en-GB"/>
              </w:rPr>
              <w:t>ų</w:t>
            </w:r>
          </w:p>
        </w:tc>
        <w:tc>
          <w:tcPr>
            <w:tcW w:w="796" w:type="pct"/>
            <w:tcBorders>
              <w:top w:val="outset" w:sz="6" w:space="0" w:color="7B7B7B"/>
              <w:left w:val="outset" w:sz="6" w:space="0" w:color="7B7B7B"/>
              <w:bottom w:val="outset" w:sz="6" w:space="0" w:color="7B7B7B"/>
              <w:right w:val="outset" w:sz="6" w:space="0" w:color="7B7B7B"/>
            </w:tcBorders>
            <w:hideMark/>
          </w:tcPr>
          <w:p w14:paraId="691C7671"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0,73</w:t>
            </w:r>
          </w:p>
        </w:tc>
        <w:tc>
          <w:tcPr>
            <w:tcW w:w="1426" w:type="pct"/>
            <w:gridSpan w:val="2"/>
            <w:tcBorders>
              <w:top w:val="outset" w:sz="6" w:space="0" w:color="7B7B7B"/>
              <w:left w:val="outset" w:sz="6" w:space="0" w:color="7B7B7B"/>
              <w:bottom w:val="outset" w:sz="6" w:space="0" w:color="7B7B7B"/>
              <w:right w:val="outset" w:sz="6" w:space="0" w:color="7B7B7B"/>
            </w:tcBorders>
            <w:hideMark/>
          </w:tcPr>
          <w:p w14:paraId="03F8C5B0"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r w:rsidR="00BD6574" w:rsidRPr="00923E74" w14:paraId="157913FF" w14:textId="77777777" w:rsidTr="007E15ED">
        <w:tc>
          <w:tcPr>
            <w:tcW w:w="1043" w:type="pct"/>
            <w:tcBorders>
              <w:top w:val="outset" w:sz="6" w:space="0" w:color="7B7B7B"/>
              <w:left w:val="outset" w:sz="6" w:space="0" w:color="7B7B7B"/>
              <w:bottom w:val="outset" w:sz="6" w:space="0" w:color="7B7B7B"/>
              <w:right w:val="outset" w:sz="6" w:space="0" w:color="7B7B7B"/>
            </w:tcBorders>
            <w:hideMark/>
          </w:tcPr>
          <w:p w14:paraId="0A6DEAF5" w14:textId="263EC552"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10</w:t>
            </w:r>
            <w:r w:rsidR="00DB52C7" w:rsidRPr="00923E74">
              <w:rPr>
                <w:snapToGrid/>
                <w:color w:val="000000"/>
                <w:szCs w:val="22"/>
                <w:lang w:val="lt-LT" w:eastAsia="en-GB"/>
              </w:rPr>
              <w:t> mg</w:t>
            </w:r>
            <w:r w:rsidR="006024AD">
              <w:rPr>
                <w:snapToGrid/>
                <w:color w:val="000000"/>
                <w:szCs w:val="22"/>
                <w:lang w:val="lt-LT" w:eastAsia="en-GB"/>
              </w:rPr>
              <w:t> </w:t>
            </w:r>
            <w:r w:rsidRPr="00923E74">
              <w:rPr>
                <w:snapToGrid/>
                <w:color w:val="000000"/>
                <w:szCs w:val="22"/>
                <w:lang w:val="lt-LT" w:eastAsia="en-GB"/>
              </w:rPr>
              <w:t xml:space="preserve">KP </w:t>
            </w:r>
            <w:r w:rsidR="00CB7C84" w:rsidRPr="00923E74">
              <w:rPr>
                <w:snapToGrid/>
                <w:color w:val="000000"/>
                <w:szCs w:val="22"/>
                <w:lang w:val="lt-LT" w:eastAsia="en-GB"/>
              </w:rPr>
              <w:t>4 </w:t>
            </w:r>
            <w:r w:rsidR="006024AD">
              <w:rPr>
                <w:snapToGrid/>
                <w:color w:val="000000"/>
                <w:szCs w:val="22"/>
                <w:lang w:val="lt-LT" w:eastAsia="en-GB"/>
              </w:rPr>
              <w:t>par</w:t>
            </w:r>
            <w:r w:rsidR="00CB7C84" w:rsidRPr="00923E74">
              <w:rPr>
                <w:snapToGrid/>
                <w:color w:val="000000"/>
                <w:szCs w:val="22"/>
                <w:lang w:val="lt-LT" w:eastAsia="en-GB"/>
              </w:rPr>
              <w:t>as</w:t>
            </w:r>
          </w:p>
        </w:tc>
        <w:tc>
          <w:tcPr>
            <w:tcW w:w="1736" w:type="pct"/>
            <w:tcBorders>
              <w:top w:val="outset" w:sz="6" w:space="0" w:color="7B7B7B"/>
              <w:left w:val="outset" w:sz="6" w:space="0" w:color="7B7B7B"/>
              <w:bottom w:val="outset" w:sz="6" w:space="0" w:color="7B7B7B"/>
              <w:right w:val="outset" w:sz="6" w:space="0" w:color="7B7B7B"/>
            </w:tcBorders>
            <w:hideMark/>
          </w:tcPr>
          <w:p w14:paraId="35DB6164" w14:textId="7DFE1812" w:rsidR="00E01836" w:rsidRPr="00923E74" w:rsidRDefault="00E01836" w:rsidP="00CB7C84">
            <w:pPr>
              <w:tabs>
                <w:tab w:val="clear" w:pos="567"/>
              </w:tabs>
              <w:spacing w:line="240" w:lineRule="auto"/>
              <w:rPr>
                <w:snapToGrid/>
                <w:color w:val="000000"/>
                <w:szCs w:val="22"/>
                <w:lang w:val="lt-LT" w:eastAsia="en-GB"/>
              </w:rPr>
            </w:pPr>
            <w:proofErr w:type="spellStart"/>
            <w:r w:rsidRPr="00923E74">
              <w:rPr>
                <w:snapToGrid/>
                <w:color w:val="000000"/>
                <w:szCs w:val="22"/>
                <w:lang w:val="lt-LT" w:eastAsia="en-GB"/>
              </w:rPr>
              <w:t>Fosamprenavir</w:t>
            </w:r>
            <w:r w:rsidR="00CB7C84" w:rsidRPr="00923E74">
              <w:rPr>
                <w:snapToGrid/>
                <w:color w:val="000000"/>
                <w:szCs w:val="22"/>
                <w:lang w:val="lt-LT" w:eastAsia="en-GB"/>
              </w:rPr>
              <w:t>as</w:t>
            </w:r>
            <w:proofErr w:type="spellEnd"/>
            <w:r w:rsidRPr="00923E74">
              <w:rPr>
                <w:snapToGrid/>
                <w:color w:val="000000"/>
                <w:szCs w:val="22"/>
                <w:lang w:val="lt-LT" w:eastAsia="en-GB"/>
              </w:rPr>
              <w:t xml:space="preserve"> 700</w:t>
            </w:r>
            <w:r w:rsidR="00DB52C7" w:rsidRPr="00923E74">
              <w:rPr>
                <w:snapToGrid/>
                <w:color w:val="000000"/>
                <w:szCs w:val="22"/>
                <w:lang w:val="lt-LT" w:eastAsia="en-GB"/>
              </w:rPr>
              <w:t> mg</w:t>
            </w:r>
            <w:r w:rsidR="00BD6574">
              <w:rPr>
                <w:snapToGrid/>
                <w:color w:val="000000"/>
                <w:szCs w:val="22"/>
                <w:lang w:val="lt-LT" w:eastAsia="en-GB"/>
              </w:rPr>
              <w:t> </w:t>
            </w:r>
            <w:r w:rsidRPr="00923E74">
              <w:rPr>
                <w:snapToGrid/>
                <w:color w:val="000000"/>
                <w:szCs w:val="22"/>
                <w:lang w:val="lt-LT" w:eastAsia="en-GB"/>
              </w:rPr>
              <w:t>DKP</w:t>
            </w:r>
            <w:r w:rsidR="003E722C">
              <w:rPr>
                <w:snapToGrid/>
                <w:color w:val="000000"/>
                <w:szCs w:val="22"/>
                <w:lang w:val="lt-LT" w:eastAsia="en-GB"/>
              </w:rPr>
              <w:t xml:space="preserve"> </w:t>
            </w:r>
            <w:r w:rsidR="00BD6574">
              <w:rPr>
                <w:snapToGrid/>
                <w:color w:val="000000"/>
                <w:szCs w:val="22"/>
                <w:lang w:val="lt-LT" w:eastAsia="en-GB"/>
              </w:rPr>
              <w:t>ir</w:t>
            </w:r>
            <w:r w:rsidR="003E722C">
              <w:rPr>
                <w:snapToGrid/>
                <w:color w:val="000000"/>
                <w:szCs w:val="22"/>
                <w:lang w:val="lt-LT" w:eastAsia="en-GB"/>
              </w:rPr>
              <w:t xml:space="preserve"> </w:t>
            </w:r>
            <w:r w:rsidRPr="00923E74">
              <w:rPr>
                <w:snapToGrid/>
                <w:color w:val="000000"/>
                <w:szCs w:val="22"/>
                <w:lang w:val="lt-LT" w:eastAsia="en-GB"/>
              </w:rPr>
              <w:t>ritonavir</w:t>
            </w:r>
            <w:r w:rsidR="00CB7C84" w:rsidRPr="00923E74">
              <w:rPr>
                <w:snapToGrid/>
                <w:color w:val="000000"/>
                <w:szCs w:val="22"/>
                <w:lang w:val="lt-LT" w:eastAsia="en-GB"/>
              </w:rPr>
              <w:t>as</w:t>
            </w:r>
            <w:r w:rsidRPr="00923E74">
              <w:rPr>
                <w:snapToGrid/>
                <w:color w:val="000000"/>
                <w:szCs w:val="22"/>
                <w:lang w:val="lt-LT" w:eastAsia="en-GB"/>
              </w:rPr>
              <w:t xml:space="preserve"> 100</w:t>
            </w:r>
            <w:r w:rsidR="00DB52C7" w:rsidRPr="00923E74">
              <w:rPr>
                <w:snapToGrid/>
                <w:color w:val="000000"/>
                <w:szCs w:val="22"/>
                <w:lang w:val="lt-LT" w:eastAsia="en-GB"/>
              </w:rPr>
              <w:t> mg</w:t>
            </w:r>
            <w:r w:rsidR="00BD6574">
              <w:rPr>
                <w:snapToGrid/>
                <w:color w:val="000000"/>
                <w:szCs w:val="22"/>
                <w:lang w:val="lt-LT" w:eastAsia="en-GB"/>
              </w:rPr>
              <w:t> </w:t>
            </w:r>
            <w:r w:rsidRPr="00923E74">
              <w:rPr>
                <w:snapToGrid/>
                <w:color w:val="000000"/>
                <w:szCs w:val="22"/>
                <w:lang w:val="lt-LT" w:eastAsia="en-GB"/>
              </w:rPr>
              <w:t>DKP</w:t>
            </w:r>
            <w:r w:rsidR="00CB7C84" w:rsidRPr="00923E74">
              <w:rPr>
                <w:snapToGrid/>
                <w:color w:val="000000"/>
                <w:szCs w:val="22"/>
                <w:lang w:val="lt-LT" w:eastAsia="en-GB"/>
              </w:rPr>
              <w:t>, 14 </w:t>
            </w:r>
            <w:r w:rsidR="00BD6574">
              <w:rPr>
                <w:snapToGrid/>
                <w:color w:val="000000"/>
                <w:szCs w:val="22"/>
                <w:lang w:val="lt-LT" w:eastAsia="en-GB"/>
              </w:rPr>
              <w:t>par</w:t>
            </w:r>
            <w:r w:rsidR="00CB7C84" w:rsidRPr="00923E74">
              <w:rPr>
                <w:snapToGrid/>
                <w:color w:val="000000"/>
                <w:szCs w:val="22"/>
                <w:lang w:val="lt-LT" w:eastAsia="en-GB"/>
              </w:rPr>
              <w:t>ų</w:t>
            </w:r>
          </w:p>
        </w:tc>
        <w:tc>
          <w:tcPr>
            <w:tcW w:w="796" w:type="pct"/>
            <w:tcBorders>
              <w:top w:val="outset" w:sz="6" w:space="0" w:color="7B7B7B"/>
              <w:left w:val="outset" w:sz="6" w:space="0" w:color="7B7B7B"/>
              <w:bottom w:val="outset" w:sz="6" w:space="0" w:color="7B7B7B"/>
              <w:right w:val="outset" w:sz="6" w:space="0" w:color="7B7B7B"/>
            </w:tcBorders>
            <w:hideMark/>
          </w:tcPr>
          <w:p w14:paraId="3C340F7F" w14:textId="77777777" w:rsidR="00E01836" w:rsidRPr="00923E74" w:rsidRDefault="00E01836" w:rsidP="007E15ED">
            <w:pPr>
              <w:tabs>
                <w:tab w:val="clear" w:pos="567"/>
              </w:tabs>
              <w:spacing w:line="240" w:lineRule="auto"/>
              <w:jc w:val="center"/>
              <w:rPr>
                <w:snapToGrid/>
                <w:color w:val="000000"/>
                <w:szCs w:val="22"/>
                <w:lang w:val="lt-LT" w:eastAsia="en-GB"/>
              </w:rPr>
            </w:pPr>
            <w:r w:rsidRPr="00923E74">
              <w:rPr>
                <w:snapToGrid/>
                <w:color w:val="000000"/>
                <w:szCs w:val="22"/>
                <w:lang w:val="lt-LT" w:eastAsia="en-GB"/>
              </w:rPr>
              <w:t>0,99</w:t>
            </w:r>
          </w:p>
        </w:tc>
        <w:tc>
          <w:tcPr>
            <w:tcW w:w="1426" w:type="pct"/>
            <w:gridSpan w:val="2"/>
            <w:tcBorders>
              <w:top w:val="outset" w:sz="6" w:space="0" w:color="7B7B7B"/>
              <w:left w:val="outset" w:sz="6" w:space="0" w:color="7B7B7B"/>
              <w:bottom w:val="outset" w:sz="6" w:space="0" w:color="7B7B7B"/>
              <w:right w:val="outset" w:sz="6" w:space="0" w:color="7B7B7B"/>
            </w:tcBorders>
            <w:hideMark/>
          </w:tcPr>
          <w:p w14:paraId="344350A2" w14:textId="77777777" w:rsidR="00E01836" w:rsidRPr="00923E74" w:rsidRDefault="00E01836" w:rsidP="00E01836">
            <w:pPr>
              <w:tabs>
                <w:tab w:val="clear" w:pos="567"/>
              </w:tabs>
              <w:spacing w:line="240" w:lineRule="auto"/>
              <w:rPr>
                <w:snapToGrid/>
                <w:color w:val="000000"/>
                <w:szCs w:val="22"/>
                <w:lang w:val="lt-LT" w:eastAsia="en-GB"/>
              </w:rPr>
            </w:pPr>
            <w:r w:rsidRPr="00923E74">
              <w:rPr>
                <w:snapToGrid/>
                <w:color w:val="000000"/>
                <w:szCs w:val="22"/>
                <w:lang w:val="lt-LT" w:eastAsia="en-GB"/>
              </w:rPr>
              <w:t>Specifinių rekomendacijų nėra.</w:t>
            </w:r>
          </w:p>
        </w:tc>
      </w:tr>
    </w:tbl>
    <w:p w14:paraId="6100D981" w14:textId="77777777"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vertAlign w:val="superscript"/>
          <w:lang w:val="lt-LT" w:eastAsia="en-GB"/>
        </w:rPr>
        <w:t xml:space="preserve">&amp; </w:t>
      </w:r>
      <w:r w:rsidR="003E054C" w:rsidRPr="00923E74">
        <w:rPr>
          <w:snapToGrid/>
          <w:color w:val="000000"/>
          <w:szCs w:val="22"/>
          <w:lang w:val="lt-LT" w:eastAsia="en-GB"/>
        </w:rPr>
        <w:t xml:space="preserve">Rodo gydymų santykį </w:t>
      </w:r>
      <w:r w:rsidRPr="00923E74">
        <w:rPr>
          <w:snapToGrid/>
          <w:color w:val="000000"/>
          <w:szCs w:val="22"/>
          <w:lang w:val="lt-LT" w:eastAsia="en-GB"/>
        </w:rPr>
        <w:t>(</w:t>
      </w:r>
      <w:r w:rsidR="003E054C" w:rsidRPr="00923E74">
        <w:rPr>
          <w:szCs w:val="22"/>
          <w:lang w:val="lt-LT"/>
        </w:rPr>
        <w:t xml:space="preserve">kartu skiriamas vaistinis preparatas ir </w:t>
      </w:r>
      <w:proofErr w:type="spellStart"/>
      <w:r w:rsidR="003E054C" w:rsidRPr="00923E74">
        <w:rPr>
          <w:szCs w:val="22"/>
          <w:lang w:val="lt-LT"/>
        </w:rPr>
        <w:t>atorvastatinas</w:t>
      </w:r>
      <w:proofErr w:type="spellEnd"/>
      <w:r w:rsidR="003E054C" w:rsidRPr="00923E74">
        <w:rPr>
          <w:szCs w:val="22"/>
          <w:lang w:val="lt-LT"/>
        </w:rPr>
        <w:t xml:space="preserve">, palyginti su tik </w:t>
      </w:r>
      <w:proofErr w:type="spellStart"/>
      <w:r w:rsidR="003E054C" w:rsidRPr="00923E74">
        <w:rPr>
          <w:szCs w:val="22"/>
          <w:lang w:val="lt-LT"/>
        </w:rPr>
        <w:t>atorvastatinu</w:t>
      </w:r>
      <w:proofErr w:type="spellEnd"/>
      <w:r w:rsidRPr="00923E74">
        <w:rPr>
          <w:snapToGrid/>
          <w:color w:val="000000"/>
          <w:szCs w:val="22"/>
          <w:lang w:val="lt-LT" w:eastAsia="en-GB"/>
        </w:rPr>
        <w:t>).</w:t>
      </w:r>
    </w:p>
    <w:p w14:paraId="78A508B8" w14:textId="77777777" w:rsidR="00F93DE4" w:rsidRPr="00923E74" w:rsidRDefault="00F93DE4" w:rsidP="00A31E3A">
      <w:pPr>
        <w:tabs>
          <w:tab w:val="clear" w:pos="567"/>
        </w:tabs>
        <w:spacing w:line="240" w:lineRule="auto"/>
        <w:rPr>
          <w:snapToGrid/>
          <w:color w:val="000000"/>
          <w:szCs w:val="22"/>
          <w:lang w:val="lt-LT" w:eastAsia="en-GB"/>
        </w:rPr>
      </w:pPr>
      <w:r w:rsidRPr="00923E74">
        <w:rPr>
          <w:snapToGrid/>
          <w:color w:val="000000"/>
          <w:szCs w:val="22"/>
          <w:lang w:val="lt-LT" w:eastAsia="en-GB"/>
        </w:rPr>
        <w:lastRenderedPageBreak/>
        <w:t xml:space="preserve">* </w:t>
      </w:r>
      <w:r w:rsidR="003E054C" w:rsidRPr="00923E74">
        <w:rPr>
          <w:snapToGrid/>
          <w:color w:val="000000"/>
          <w:szCs w:val="22"/>
          <w:lang w:val="lt-LT" w:eastAsia="en-GB"/>
        </w:rPr>
        <w:t xml:space="preserve">Kartotines </w:t>
      </w:r>
      <w:proofErr w:type="spellStart"/>
      <w:r w:rsidR="003E054C" w:rsidRPr="00923E74">
        <w:rPr>
          <w:snapToGrid/>
          <w:color w:val="000000"/>
          <w:szCs w:val="22"/>
          <w:lang w:val="lt-LT" w:eastAsia="en-GB"/>
        </w:rPr>
        <w:t>atorvastatino</w:t>
      </w:r>
      <w:proofErr w:type="spellEnd"/>
      <w:r w:rsidR="003E054C" w:rsidRPr="00923E74">
        <w:rPr>
          <w:snapToGrid/>
          <w:color w:val="000000"/>
          <w:szCs w:val="22"/>
          <w:lang w:val="lt-LT" w:eastAsia="en-GB"/>
        </w:rPr>
        <w:t xml:space="preserve"> dozes vartojant kartu su </w:t>
      </w:r>
      <w:proofErr w:type="spellStart"/>
      <w:r w:rsidR="003E054C" w:rsidRPr="00923E74">
        <w:rPr>
          <w:snapToGrid/>
          <w:color w:val="000000"/>
          <w:szCs w:val="22"/>
          <w:lang w:val="lt-LT" w:eastAsia="en-GB"/>
        </w:rPr>
        <w:t>fenazonu</w:t>
      </w:r>
      <w:proofErr w:type="spellEnd"/>
      <w:r w:rsidR="003E054C" w:rsidRPr="00923E74">
        <w:rPr>
          <w:snapToGrid/>
          <w:color w:val="000000"/>
          <w:szCs w:val="22"/>
          <w:lang w:val="lt-LT" w:eastAsia="en-GB"/>
        </w:rPr>
        <w:t xml:space="preserve">, poveikio </w:t>
      </w:r>
      <w:proofErr w:type="spellStart"/>
      <w:r w:rsidR="003E054C" w:rsidRPr="00923E74">
        <w:rPr>
          <w:snapToGrid/>
          <w:color w:val="000000"/>
          <w:szCs w:val="22"/>
          <w:lang w:val="lt-LT" w:eastAsia="en-GB"/>
        </w:rPr>
        <w:t>fenazono</w:t>
      </w:r>
      <w:proofErr w:type="spellEnd"/>
      <w:r w:rsidR="003E054C" w:rsidRPr="00923E74">
        <w:rPr>
          <w:snapToGrid/>
          <w:color w:val="000000"/>
          <w:szCs w:val="22"/>
          <w:lang w:val="lt-LT" w:eastAsia="en-GB"/>
        </w:rPr>
        <w:t xml:space="preserve"> klirensui nebuvo arba pasireiškė neišmatuojamas poveikis</w:t>
      </w:r>
      <w:r w:rsidRPr="00923E74">
        <w:rPr>
          <w:snapToGrid/>
          <w:color w:val="000000"/>
          <w:szCs w:val="22"/>
          <w:lang w:val="lt-LT" w:eastAsia="en-GB"/>
        </w:rPr>
        <w:t>.</w:t>
      </w:r>
    </w:p>
    <w:p w14:paraId="6E4C7965" w14:textId="4DD61942" w:rsidR="00BD6574" w:rsidRDefault="003E054C" w:rsidP="00A31E3A">
      <w:pPr>
        <w:tabs>
          <w:tab w:val="clear" w:pos="567"/>
        </w:tabs>
        <w:spacing w:line="240" w:lineRule="auto"/>
        <w:rPr>
          <w:rFonts w:eastAsia="Arial Unicode MS"/>
          <w:szCs w:val="22"/>
          <w:lang w:val="lt-LT"/>
        </w:rPr>
      </w:pPr>
      <w:r w:rsidRPr="00923E74">
        <w:rPr>
          <w:rFonts w:eastAsia="Arial Unicode MS"/>
          <w:szCs w:val="22"/>
          <w:lang w:val="lt-LT"/>
        </w:rPr>
        <w:t xml:space="preserve">KP </w:t>
      </w:r>
      <w:r w:rsidR="00BD6574">
        <w:rPr>
          <w:rFonts w:eastAsia="Arial Unicode MS"/>
          <w:szCs w:val="22"/>
          <w:lang w:val="lt-LT"/>
        </w:rPr>
        <w:t>–</w:t>
      </w:r>
      <w:r w:rsidRPr="00923E74">
        <w:rPr>
          <w:rFonts w:eastAsia="Arial Unicode MS"/>
          <w:szCs w:val="22"/>
          <w:lang w:val="lt-LT"/>
        </w:rPr>
        <w:t xml:space="preserve"> kartą per</w:t>
      </w:r>
      <w:r w:rsidR="00BD6574">
        <w:rPr>
          <w:rFonts w:eastAsia="Arial Unicode MS"/>
          <w:szCs w:val="22"/>
          <w:lang w:val="lt-LT"/>
        </w:rPr>
        <w:t> </w:t>
      </w:r>
      <w:r w:rsidRPr="00923E74">
        <w:rPr>
          <w:rFonts w:eastAsia="Arial Unicode MS"/>
          <w:szCs w:val="22"/>
          <w:lang w:val="lt-LT"/>
        </w:rPr>
        <w:t>parą</w:t>
      </w:r>
      <w:r w:rsidR="00BD6574">
        <w:rPr>
          <w:rFonts w:eastAsia="Arial Unicode MS"/>
          <w:szCs w:val="22"/>
          <w:lang w:val="lt-LT"/>
        </w:rPr>
        <w:t>.</w:t>
      </w:r>
    </w:p>
    <w:p w14:paraId="06DA0FF5" w14:textId="395FCFAA" w:rsidR="00BD6574" w:rsidRDefault="003E054C" w:rsidP="00A31E3A">
      <w:pPr>
        <w:tabs>
          <w:tab w:val="clear" w:pos="567"/>
        </w:tabs>
        <w:spacing w:line="240" w:lineRule="auto"/>
        <w:rPr>
          <w:rFonts w:eastAsia="Arial Unicode MS"/>
          <w:szCs w:val="22"/>
          <w:lang w:val="lt-LT"/>
        </w:rPr>
      </w:pPr>
      <w:r w:rsidRPr="00923E74">
        <w:rPr>
          <w:rFonts w:eastAsia="Arial Unicode MS"/>
          <w:szCs w:val="22"/>
          <w:lang w:val="lt-LT"/>
        </w:rPr>
        <w:t xml:space="preserve">VD </w:t>
      </w:r>
      <w:r w:rsidR="00BD6574">
        <w:rPr>
          <w:rFonts w:eastAsia="Arial Unicode MS"/>
          <w:szCs w:val="22"/>
          <w:lang w:val="lt-LT"/>
        </w:rPr>
        <w:t>–</w:t>
      </w:r>
      <w:r w:rsidRPr="00923E74">
        <w:rPr>
          <w:rFonts w:eastAsia="Arial Unicode MS"/>
          <w:szCs w:val="22"/>
          <w:lang w:val="lt-LT"/>
        </w:rPr>
        <w:t xml:space="preserve"> vienkartinė dozė</w:t>
      </w:r>
      <w:r w:rsidR="00BD6574">
        <w:rPr>
          <w:rFonts w:eastAsia="Arial Unicode MS"/>
          <w:szCs w:val="22"/>
          <w:lang w:val="lt-LT"/>
        </w:rPr>
        <w:t>.</w:t>
      </w:r>
    </w:p>
    <w:p w14:paraId="76A2CBA5" w14:textId="734A7A64" w:rsidR="00F93DE4" w:rsidRPr="00923E74" w:rsidRDefault="003E054C" w:rsidP="00A31E3A">
      <w:pPr>
        <w:tabs>
          <w:tab w:val="clear" w:pos="567"/>
        </w:tabs>
        <w:spacing w:line="240" w:lineRule="auto"/>
        <w:rPr>
          <w:snapToGrid/>
          <w:color w:val="000000"/>
          <w:szCs w:val="22"/>
          <w:lang w:val="lt-LT" w:eastAsia="en-GB"/>
        </w:rPr>
      </w:pPr>
      <w:r w:rsidRPr="00923E74">
        <w:rPr>
          <w:rFonts w:eastAsia="Arial Unicode MS"/>
          <w:szCs w:val="22"/>
          <w:lang w:val="lt-LT"/>
        </w:rPr>
        <w:t xml:space="preserve">DKP </w:t>
      </w:r>
      <w:r w:rsidR="00BD6574">
        <w:rPr>
          <w:rFonts w:eastAsia="Arial Unicode MS"/>
          <w:szCs w:val="22"/>
          <w:lang w:val="lt-LT"/>
        </w:rPr>
        <w:t>–</w:t>
      </w:r>
      <w:r w:rsidRPr="00923E74">
        <w:rPr>
          <w:rFonts w:eastAsia="Arial Unicode MS"/>
          <w:szCs w:val="22"/>
          <w:lang w:val="lt-LT"/>
        </w:rPr>
        <w:t xml:space="preserve"> du</w:t>
      </w:r>
      <w:r w:rsidR="00BD6574">
        <w:rPr>
          <w:rFonts w:eastAsia="Arial Unicode MS"/>
          <w:szCs w:val="22"/>
          <w:lang w:val="lt-LT"/>
        </w:rPr>
        <w:t> </w:t>
      </w:r>
      <w:r w:rsidRPr="00923E74">
        <w:rPr>
          <w:rFonts w:eastAsia="Arial Unicode MS"/>
          <w:szCs w:val="22"/>
          <w:lang w:val="lt-LT"/>
        </w:rPr>
        <w:t>kartus per</w:t>
      </w:r>
      <w:r w:rsidR="00BD6574">
        <w:rPr>
          <w:rFonts w:eastAsia="Arial Unicode MS"/>
          <w:szCs w:val="22"/>
          <w:lang w:val="lt-LT"/>
        </w:rPr>
        <w:t> </w:t>
      </w:r>
      <w:r w:rsidRPr="00923E74">
        <w:rPr>
          <w:rFonts w:eastAsia="Arial Unicode MS"/>
          <w:szCs w:val="22"/>
          <w:lang w:val="lt-LT"/>
        </w:rPr>
        <w:t>parą</w:t>
      </w:r>
      <w:r w:rsidR="00F93DE4" w:rsidRPr="00923E74">
        <w:rPr>
          <w:snapToGrid/>
          <w:color w:val="000000"/>
          <w:szCs w:val="22"/>
          <w:lang w:val="lt-LT" w:eastAsia="en-GB"/>
        </w:rPr>
        <w:t>.</w:t>
      </w:r>
    </w:p>
    <w:p w14:paraId="5E6B6822" w14:textId="77777777" w:rsidR="00381B7D" w:rsidRPr="00923E74" w:rsidRDefault="00381B7D" w:rsidP="00A31E3A">
      <w:pPr>
        <w:widowControl w:val="0"/>
        <w:tabs>
          <w:tab w:val="clear" w:pos="567"/>
        </w:tabs>
        <w:spacing w:line="240" w:lineRule="auto"/>
        <w:rPr>
          <w:snapToGrid/>
          <w:szCs w:val="22"/>
          <w:lang w:val="lt-LT" w:eastAsia="sl-SI"/>
        </w:rPr>
      </w:pPr>
    </w:p>
    <w:p w14:paraId="5986CF78"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4.6</w:t>
      </w:r>
      <w:r w:rsidRPr="00923E74">
        <w:rPr>
          <w:b/>
          <w:snapToGrid/>
          <w:szCs w:val="22"/>
          <w:lang w:val="lt-LT" w:eastAsia="sl-SI"/>
        </w:rPr>
        <w:tab/>
        <w:t>Vaisingumas, nėštumo ir žindymo laikotarpis</w:t>
      </w:r>
    </w:p>
    <w:p w14:paraId="23D216BF" w14:textId="77777777" w:rsidR="00381B7D" w:rsidRPr="00923E74" w:rsidRDefault="00381B7D" w:rsidP="007E15ED">
      <w:pPr>
        <w:keepNext/>
        <w:widowControl w:val="0"/>
        <w:tabs>
          <w:tab w:val="clear" w:pos="567"/>
        </w:tabs>
        <w:spacing w:line="240" w:lineRule="auto"/>
        <w:rPr>
          <w:snapToGrid/>
          <w:szCs w:val="22"/>
          <w:lang w:val="lt-LT" w:eastAsia="sl-SI"/>
        </w:rPr>
      </w:pPr>
    </w:p>
    <w:p w14:paraId="4DBF634B" w14:textId="77777777" w:rsidR="00114F89" w:rsidRPr="007E15ED" w:rsidRDefault="00114F89" w:rsidP="007E15ED">
      <w:pPr>
        <w:keepNext/>
        <w:spacing w:line="240" w:lineRule="auto"/>
        <w:rPr>
          <w:snapToGrid/>
          <w:szCs w:val="22"/>
          <w:u w:val="single"/>
          <w:lang w:val="lt-LT"/>
        </w:rPr>
      </w:pPr>
      <w:r w:rsidRPr="007E15ED">
        <w:rPr>
          <w:snapToGrid/>
          <w:szCs w:val="22"/>
          <w:u w:val="single"/>
          <w:lang w:val="lt-LT"/>
        </w:rPr>
        <w:t>Vaisingos moterys</w:t>
      </w:r>
    </w:p>
    <w:p w14:paraId="42512025" w14:textId="0B464DB6" w:rsidR="00114F89" w:rsidRPr="00923E74" w:rsidRDefault="00114F89" w:rsidP="00114F89">
      <w:pPr>
        <w:spacing w:line="240" w:lineRule="auto"/>
        <w:rPr>
          <w:snapToGrid/>
          <w:szCs w:val="22"/>
          <w:lang w:val="lt-LT"/>
        </w:rPr>
      </w:pPr>
      <w:r w:rsidRPr="00923E74">
        <w:rPr>
          <w:szCs w:val="22"/>
          <w:lang w:val="lt-LT"/>
        </w:rPr>
        <w:t>Vaisingos moterys gydymo laikotarpiu turi naudoti veiksmingas kontracepcijos priemones</w:t>
      </w:r>
      <w:r w:rsidRPr="00923E74">
        <w:rPr>
          <w:snapToGrid/>
          <w:szCs w:val="22"/>
          <w:lang w:val="lt-LT"/>
        </w:rPr>
        <w:t xml:space="preserve"> (žr.</w:t>
      </w:r>
      <w:r w:rsidR="00BD6574">
        <w:rPr>
          <w:snapToGrid/>
          <w:szCs w:val="22"/>
          <w:lang w:val="lt-LT"/>
        </w:rPr>
        <w:t> </w:t>
      </w:r>
      <w:r w:rsidRPr="00923E74">
        <w:rPr>
          <w:snapToGrid/>
          <w:szCs w:val="22"/>
          <w:lang w:val="lt-LT"/>
        </w:rPr>
        <w:t>4.3 skyrių).</w:t>
      </w:r>
    </w:p>
    <w:p w14:paraId="3D4AF47F" w14:textId="77777777" w:rsidR="00114F89" w:rsidRPr="00923E74" w:rsidRDefault="00114F89" w:rsidP="00114F89">
      <w:pPr>
        <w:spacing w:line="240" w:lineRule="auto"/>
        <w:rPr>
          <w:i/>
          <w:snapToGrid/>
          <w:szCs w:val="22"/>
          <w:lang w:val="lt-LT"/>
        </w:rPr>
      </w:pPr>
    </w:p>
    <w:p w14:paraId="7F9289CB" w14:textId="77777777" w:rsidR="00114F89" w:rsidRPr="00923E74" w:rsidRDefault="00114F89" w:rsidP="007E15ED">
      <w:pPr>
        <w:keepNext/>
        <w:tabs>
          <w:tab w:val="clear" w:pos="567"/>
        </w:tabs>
        <w:spacing w:line="240" w:lineRule="auto"/>
        <w:rPr>
          <w:snapToGrid/>
          <w:szCs w:val="22"/>
          <w:u w:val="single"/>
          <w:lang w:val="lt-LT"/>
        </w:rPr>
      </w:pPr>
      <w:r w:rsidRPr="00923E74">
        <w:rPr>
          <w:snapToGrid/>
          <w:szCs w:val="22"/>
          <w:u w:val="single"/>
          <w:lang w:val="lt-LT"/>
        </w:rPr>
        <w:t>Nėštumas</w:t>
      </w:r>
    </w:p>
    <w:p w14:paraId="33BD32E6" w14:textId="4842F1D4" w:rsidR="00114F89" w:rsidRPr="00923E74" w:rsidRDefault="00114F89" w:rsidP="00114F89">
      <w:pPr>
        <w:tabs>
          <w:tab w:val="clear" w:pos="567"/>
        </w:tabs>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w:t>
      </w:r>
      <w:r w:rsidR="00482F76">
        <w:rPr>
          <w:snapToGrid/>
          <w:szCs w:val="22"/>
          <w:lang w:val="lt-LT"/>
        </w:rPr>
        <w:t xml:space="preserve">negalima vartoti </w:t>
      </w:r>
      <w:r w:rsidRPr="00923E74">
        <w:rPr>
          <w:snapToGrid/>
          <w:szCs w:val="22"/>
          <w:lang w:val="lt-LT"/>
        </w:rPr>
        <w:t xml:space="preserve">nėštumo </w:t>
      </w:r>
      <w:r w:rsidR="00482F76">
        <w:rPr>
          <w:snapToGrid/>
          <w:szCs w:val="22"/>
          <w:lang w:val="lt-LT"/>
        </w:rPr>
        <w:t>me</w:t>
      </w:r>
      <w:r w:rsidR="002F4994" w:rsidRPr="00923E74">
        <w:rPr>
          <w:snapToGrid/>
          <w:szCs w:val="22"/>
          <w:lang w:val="lt-LT"/>
        </w:rPr>
        <w:t>tu</w:t>
      </w:r>
      <w:r w:rsidRPr="00923E74">
        <w:rPr>
          <w:snapToGrid/>
          <w:szCs w:val="22"/>
          <w:lang w:val="lt-LT"/>
        </w:rPr>
        <w:t xml:space="preserve"> (žr.</w:t>
      </w:r>
      <w:r w:rsidR="00BD6574">
        <w:rPr>
          <w:snapToGrid/>
          <w:szCs w:val="22"/>
          <w:lang w:val="lt-LT"/>
        </w:rPr>
        <w:t> </w:t>
      </w:r>
      <w:r w:rsidRPr="00923E74">
        <w:rPr>
          <w:snapToGrid/>
          <w:szCs w:val="22"/>
          <w:lang w:val="lt-LT"/>
        </w:rPr>
        <w:t xml:space="preserve">4.3 skyrių). Klinikinių duomenų apie </w:t>
      </w:r>
      <w:proofErr w:type="spellStart"/>
      <w:r w:rsidRPr="00923E74">
        <w:rPr>
          <w:snapToGrid/>
          <w:szCs w:val="22"/>
          <w:lang w:val="lt-LT"/>
        </w:rPr>
        <w:t>Torzelip</w:t>
      </w:r>
      <w:proofErr w:type="spellEnd"/>
      <w:r w:rsidRPr="00923E74">
        <w:rPr>
          <w:snapToGrid/>
          <w:szCs w:val="22"/>
          <w:lang w:val="lt-LT"/>
        </w:rPr>
        <w:t xml:space="preserve"> vartojimą nėštumo </w:t>
      </w:r>
      <w:r w:rsidR="00482F76">
        <w:rPr>
          <w:snapToGrid/>
          <w:szCs w:val="22"/>
          <w:lang w:val="lt-LT"/>
        </w:rPr>
        <w:t>me</w:t>
      </w:r>
      <w:r w:rsidRPr="00923E74">
        <w:rPr>
          <w:snapToGrid/>
          <w:szCs w:val="22"/>
          <w:lang w:val="lt-LT"/>
        </w:rPr>
        <w:t>tu nėra.</w:t>
      </w:r>
    </w:p>
    <w:p w14:paraId="7C5668A9" w14:textId="77777777" w:rsidR="00114F89" w:rsidRPr="00923E74" w:rsidRDefault="00114F89" w:rsidP="00114F89">
      <w:pPr>
        <w:tabs>
          <w:tab w:val="clear" w:pos="567"/>
        </w:tabs>
        <w:spacing w:line="240" w:lineRule="auto"/>
        <w:rPr>
          <w:snapToGrid/>
          <w:szCs w:val="22"/>
          <w:lang w:val="lt-LT"/>
        </w:rPr>
      </w:pPr>
    </w:p>
    <w:p w14:paraId="19FA03B3" w14:textId="77777777" w:rsidR="00114F89" w:rsidRPr="00923E74" w:rsidRDefault="00114F89" w:rsidP="007E15ED">
      <w:pPr>
        <w:keepNext/>
        <w:tabs>
          <w:tab w:val="clear" w:pos="567"/>
        </w:tabs>
        <w:spacing w:line="240" w:lineRule="auto"/>
        <w:rPr>
          <w:i/>
          <w:snapToGrid/>
          <w:szCs w:val="22"/>
          <w:lang w:val="lt-LT"/>
        </w:rPr>
      </w:pPr>
      <w:proofErr w:type="spellStart"/>
      <w:r w:rsidRPr="00923E74">
        <w:rPr>
          <w:i/>
          <w:snapToGrid/>
          <w:szCs w:val="22"/>
          <w:lang w:val="lt-LT"/>
        </w:rPr>
        <w:t>Atorvastatinas</w:t>
      </w:r>
      <w:proofErr w:type="spellEnd"/>
    </w:p>
    <w:p w14:paraId="276C9783" w14:textId="7179A3DA" w:rsidR="00322C7B" w:rsidRPr="00923E74" w:rsidRDefault="00322C7B" w:rsidP="00322C7B">
      <w:pPr>
        <w:tabs>
          <w:tab w:val="clear" w:pos="567"/>
        </w:tabs>
        <w:spacing w:line="240" w:lineRule="auto"/>
        <w:rPr>
          <w:snapToGrid/>
          <w:szCs w:val="22"/>
          <w:lang w:val="lt-LT"/>
        </w:rPr>
      </w:pPr>
      <w:proofErr w:type="spellStart"/>
      <w:r w:rsidRPr="00923E74">
        <w:rPr>
          <w:snapToGrid/>
          <w:szCs w:val="22"/>
          <w:lang w:val="lt-LT"/>
        </w:rPr>
        <w:t>Atorvastatino</w:t>
      </w:r>
      <w:proofErr w:type="spellEnd"/>
      <w:r w:rsidRPr="00923E74">
        <w:rPr>
          <w:snapToGrid/>
          <w:szCs w:val="22"/>
          <w:lang w:val="lt-LT"/>
        </w:rPr>
        <w:t xml:space="preserve"> saugumas nėščiosioms nenustatytas. Kontroliuojamųjų </w:t>
      </w:r>
      <w:proofErr w:type="spellStart"/>
      <w:r w:rsidRPr="00923E74">
        <w:rPr>
          <w:snapToGrid/>
          <w:szCs w:val="22"/>
          <w:lang w:val="lt-LT"/>
        </w:rPr>
        <w:t>atorvastatino</w:t>
      </w:r>
      <w:proofErr w:type="spellEnd"/>
      <w:r w:rsidRPr="00923E74">
        <w:rPr>
          <w:snapToGrid/>
          <w:szCs w:val="22"/>
          <w:lang w:val="lt-LT"/>
        </w:rPr>
        <w:t xml:space="preserve"> klinikinių tyrimų su nėščiomis moterimis neatlikta. Gauta retų pranešimų apie apsigimimus po HMG</w:t>
      </w:r>
      <w:r w:rsidR="007B280E">
        <w:rPr>
          <w:snapToGrid/>
          <w:szCs w:val="22"/>
          <w:lang w:val="lt-LT"/>
        </w:rPr>
        <w:noBreakHyphen/>
      </w:r>
      <w:proofErr w:type="spellStart"/>
      <w:r w:rsidRPr="00923E74">
        <w:rPr>
          <w:snapToGrid/>
          <w:szCs w:val="22"/>
          <w:lang w:val="lt-LT"/>
        </w:rPr>
        <w:t>KoA</w:t>
      </w:r>
      <w:proofErr w:type="spellEnd"/>
      <w:r w:rsidR="007B280E">
        <w:rPr>
          <w:snapToGrid/>
          <w:szCs w:val="22"/>
          <w:lang w:val="lt-LT"/>
        </w:rPr>
        <w:t> </w:t>
      </w:r>
      <w:r w:rsidRPr="00923E74">
        <w:rPr>
          <w:snapToGrid/>
          <w:szCs w:val="22"/>
          <w:lang w:val="lt-LT"/>
        </w:rPr>
        <w:t xml:space="preserve">reduktazės inhibitorių </w:t>
      </w:r>
      <w:r w:rsidR="003B2789" w:rsidRPr="00923E74">
        <w:rPr>
          <w:snapToGrid/>
          <w:szCs w:val="22"/>
          <w:lang w:val="lt-LT"/>
        </w:rPr>
        <w:t>pavartojimo nėštumo</w:t>
      </w:r>
      <w:r w:rsidRPr="00923E74">
        <w:rPr>
          <w:snapToGrid/>
          <w:szCs w:val="22"/>
          <w:lang w:val="lt-LT"/>
        </w:rPr>
        <w:t xml:space="preserve"> laikotarpiu. Su gyvūnais atlikti tyrimai parodė toksinį poveikį reprodukcijai (žr.</w:t>
      </w:r>
      <w:r w:rsidR="007B280E">
        <w:rPr>
          <w:snapToGrid/>
          <w:szCs w:val="22"/>
          <w:lang w:val="lt-LT"/>
        </w:rPr>
        <w:t> </w:t>
      </w:r>
      <w:r w:rsidRPr="00923E74">
        <w:rPr>
          <w:snapToGrid/>
          <w:szCs w:val="22"/>
          <w:lang w:val="lt-LT"/>
        </w:rPr>
        <w:t>5.3</w:t>
      </w:r>
      <w:r w:rsidR="005A1153">
        <w:rPr>
          <w:snapToGrid/>
          <w:szCs w:val="22"/>
          <w:lang w:val="lt-LT"/>
        </w:rPr>
        <w:t> </w:t>
      </w:r>
      <w:r w:rsidRPr="00923E74">
        <w:rPr>
          <w:snapToGrid/>
          <w:szCs w:val="22"/>
          <w:lang w:val="lt-LT"/>
        </w:rPr>
        <w:t>skyrių).</w:t>
      </w:r>
    </w:p>
    <w:p w14:paraId="0BFD39E2" w14:textId="409A86AB" w:rsidR="002F4994" w:rsidRPr="00923E74" w:rsidRDefault="00322C7B" w:rsidP="00322C7B">
      <w:pPr>
        <w:tabs>
          <w:tab w:val="clear" w:pos="567"/>
        </w:tabs>
        <w:spacing w:line="240" w:lineRule="auto"/>
        <w:rPr>
          <w:snapToGrid/>
          <w:szCs w:val="22"/>
          <w:lang w:val="lt-LT"/>
        </w:rPr>
      </w:pPr>
      <w:r w:rsidRPr="00923E74">
        <w:rPr>
          <w:snapToGrid/>
          <w:szCs w:val="22"/>
          <w:lang w:val="lt-LT"/>
        </w:rPr>
        <w:t xml:space="preserve">Motiną gydant </w:t>
      </w:r>
      <w:proofErr w:type="spellStart"/>
      <w:r w:rsidRPr="00923E74">
        <w:rPr>
          <w:snapToGrid/>
          <w:szCs w:val="22"/>
          <w:lang w:val="lt-LT"/>
        </w:rPr>
        <w:t>atorvastatinu</w:t>
      </w:r>
      <w:proofErr w:type="spellEnd"/>
      <w:r w:rsidRPr="00923E74">
        <w:rPr>
          <w:snapToGrid/>
          <w:szCs w:val="22"/>
          <w:lang w:val="lt-LT"/>
        </w:rPr>
        <w:t xml:space="preserve">, gali sumažėti </w:t>
      </w:r>
      <w:proofErr w:type="spellStart"/>
      <w:r w:rsidRPr="00923E74">
        <w:rPr>
          <w:snapToGrid/>
          <w:szCs w:val="22"/>
          <w:lang w:val="lt-LT"/>
        </w:rPr>
        <w:t>mevalonato</w:t>
      </w:r>
      <w:proofErr w:type="spellEnd"/>
      <w:r w:rsidRPr="00923E74">
        <w:rPr>
          <w:snapToGrid/>
          <w:szCs w:val="22"/>
          <w:lang w:val="lt-LT"/>
        </w:rPr>
        <w:t xml:space="preserve"> (cholesterolio </w:t>
      </w:r>
      <w:proofErr w:type="spellStart"/>
      <w:r w:rsidRPr="00923E74">
        <w:rPr>
          <w:snapToGrid/>
          <w:szCs w:val="22"/>
          <w:lang w:val="lt-LT"/>
        </w:rPr>
        <w:t>biosintezės</w:t>
      </w:r>
      <w:proofErr w:type="spellEnd"/>
      <w:r w:rsidRPr="00923E74">
        <w:rPr>
          <w:snapToGrid/>
          <w:szCs w:val="22"/>
          <w:lang w:val="lt-LT"/>
        </w:rPr>
        <w:t xml:space="preserve"> pirmtako) kiekis vaisiaus organizme. Aterosklerozė yra lėtinis procesas, todėl laikinas lipidų k</w:t>
      </w:r>
      <w:r w:rsidR="007B280E">
        <w:rPr>
          <w:snapToGrid/>
          <w:szCs w:val="22"/>
          <w:lang w:val="lt-LT"/>
        </w:rPr>
        <w:t>oncentrac</w:t>
      </w:r>
      <w:r w:rsidRPr="00923E74">
        <w:rPr>
          <w:snapToGrid/>
          <w:szCs w:val="22"/>
          <w:lang w:val="lt-LT"/>
        </w:rPr>
        <w:t>i</w:t>
      </w:r>
      <w:r w:rsidR="007B280E">
        <w:rPr>
          <w:snapToGrid/>
          <w:szCs w:val="22"/>
          <w:lang w:val="lt-LT"/>
        </w:rPr>
        <w:t>ją</w:t>
      </w:r>
      <w:r w:rsidRPr="00923E74">
        <w:rPr>
          <w:snapToGrid/>
          <w:szCs w:val="22"/>
          <w:lang w:val="lt-LT"/>
        </w:rPr>
        <w:t xml:space="preserve"> kraujyje mažinančių vaistinių preparatų vartojimo nutraukimas nėštumo metu nesukels didelės įtakos ilgalaikei rizikai, susijusiai su pirmine</w:t>
      </w:r>
      <w:r w:rsidR="007B280E">
        <w:rPr>
          <w:snapToGrid/>
          <w:szCs w:val="22"/>
          <w:lang w:val="lt-LT"/>
        </w:rPr>
        <w:t> </w:t>
      </w:r>
      <w:proofErr w:type="spellStart"/>
      <w:r w:rsidRPr="00923E74">
        <w:rPr>
          <w:snapToGrid/>
          <w:szCs w:val="22"/>
          <w:lang w:val="lt-LT"/>
        </w:rPr>
        <w:t>hipercholesterolemija</w:t>
      </w:r>
      <w:proofErr w:type="spellEnd"/>
      <w:r w:rsidRPr="00923E74">
        <w:rPr>
          <w:snapToGrid/>
          <w:szCs w:val="22"/>
          <w:lang w:val="lt-LT"/>
        </w:rPr>
        <w:t>.</w:t>
      </w:r>
    </w:p>
    <w:p w14:paraId="0CA25CE9" w14:textId="77777777" w:rsidR="00322C7B" w:rsidRPr="00923E74" w:rsidRDefault="00322C7B" w:rsidP="00322C7B">
      <w:pPr>
        <w:tabs>
          <w:tab w:val="clear" w:pos="567"/>
        </w:tabs>
        <w:spacing w:line="240" w:lineRule="auto"/>
        <w:rPr>
          <w:snapToGrid/>
          <w:szCs w:val="22"/>
          <w:lang w:val="lt-LT"/>
        </w:rPr>
      </w:pPr>
    </w:p>
    <w:p w14:paraId="4BD306E6" w14:textId="77777777" w:rsidR="00114F89" w:rsidRPr="00923E74" w:rsidRDefault="00114F89" w:rsidP="007E15ED">
      <w:pPr>
        <w:keepNext/>
        <w:tabs>
          <w:tab w:val="clear" w:pos="567"/>
        </w:tabs>
        <w:spacing w:line="240" w:lineRule="auto"/>
        <w:rPr>
          <w:i/>
          <w:snapToGrid/>
          <w:szCs w:val="22"/>
          <w:lang w:val="lt-LT"/>
        </w:rPr>
      </w:pPr>
      <w:proofErr w:type="spellStart"/>
      <w:r w:rsidRPr="00923E74">
        <w:rPr>
          <w:i/>
          <w:snapToGrid/>
          <w:szCs w:val="22"/>
          <w:lang w:val="lt-LT"/>
        </w:rPr>
        <w:t>Ezetimib</w:t>
      </w:r>
      <w:r w:rsidR="002F4994" w:rsidRPr="00923E74">
        <w:rPr>
          <w:i/>
          <w:snapToGrid/>
          <w:szCs w:val="22"/>
          <w:lang w:val="lt-LT"/>
        </w:rPr>
        <w:t>as</w:t>
      </w:r>
      <w:proofErr w:type="spellEnd"/>
    </w:p>
    <w:p w14:paraId="79BC7E7E" w14:textId="74B68D4E" w:rsidR="00114F89" w:rsidRPr="00923E74" w:rsidRDefault="002F4994" w:rsidP="00114F89">
      <w:pPr>
        <w:tabs>
          <w:tab w:val="clear" w:pos="567"/>
        </w:tabs>
        <w:spacing w:line="240" w:lineRule="auto"/>
        <w:rPr>
          <w:snapToGrid/>
          <w:szCs w:val="22"/>
          <w:lang w:val="lt-LT"/>
        </w:rPr>
      </w:pPr>
      <w:r w:rsidRPr="00923E74">
        <w:rPr>
          <w:snapToGrid/>
          <w:szCs w:val="22"/>
          <w:lang w:val="lt-LT"/>
        </w:rPr>
        <w:t xml:space="preserve">Klinikinių duomenų apie </w:t>
      </w:r>
      <w:proofErr w:type="spellStart"/>
      <w:r w:rsidRPr="00923E74">
        <w:rPr>
          <w:snapToGrid/>
          <w:szCs w:val="22"/>
          <w:lang w:val="lt-LT"/>
        </w:rPr>
        <w:t>ezetimibo</w:t>
      </w:r>
      <w:proofErr w:type="spellEnd"/>
      <w:r w:rsidRPr="00923E74">
        <w:rPr>
          <w:snapToGrid/>
          <w:szCs w:val="22"/>
          <w:lang w:val="lt-LT"/>
        </w:rPr>
        <w:t xml:space="preserve"> vartojimą nėštumo </w:t>
      </w:r>
      <w:r w:rsidR="00482F76">
        <w:rPr>
          <w:snapToGrid/>
          <w:szCs w:val="22"/>
          <w:lang w:val="lt-LT"/>
        </w:rPr>
        <w:t>me</w:t>
      </w:r>
      <w:r w:rsidRPr="00923E74">
        <w:rPr>
          <w:snapToGrid/>
          <w:szCs w:val="22"/>
          <w:lang w:val="lt-LT"/>
        </w:rPr>
        <w:t>tu nėra</w:t>
      </w:r>
      <w:r w:rsidR="00114F89" w:rsidRPr="00923E74">
        <w:rPr>
          <w:snapToGrid/>
          <w:szCs w:val="22"/>
          <w:lang w:val="lt-LT"/>
        </w:rPr>
        <w:t>.</w:t>
      </w:r>
    </w:p>
    <w:p w14:paraId="4F4D98EA" w14:textId="77777777" w:rsidR="00114F89" w:rsidRPr="00923E74" w:rsidRDefault="00114F89" w:rsidP="00114F89">
      <w:pPr>
        <w:tabs>
          <w:tab w:val="clear" w:pos="567"/>
        </w:tabs>
        <w:spacing w:line="240" w:lineRule="auto"/>
        <w:rPr>
          <w:snapToGrid/>
          <w:szCs w:val="22"/>
          <w:lang w:val="lt-LT"/>
        </w:rPr>
      </w:pPr>
    </w:p>
    <w:p w14:paraId="6EF02DA2" w14:textId="4B3E76B5" w:rsidR="00114F89" w:rsidRPr="00923E74" w:rsidRDefault="006F7483" w:rsidP="00114F89">
      <w:pPr>
        <w:tabs>
          <w:tab w:val="clear" w:pos="567"/>
        </w:tabs>
        <w:spacing w:line="240" w:lineRule="auto"/>
        <w:rPr>
          <w:snapToGrid/>
          <w:szCs w:val="22"/>
          <w:lang w:val="lt-LT"/>
        </w:rPr>
      </w:pPr>
      <w:r w:rsidRPr="00923E74">
        <w:rPr>
          <w:snapToGrid/>
          <w:szCs w:val="22"/>
          <w:lang w:val="lt-LT"/>
        </w:rPr>
        <w:t xml:space="preserve">Vaikingoms žiurkėms kartu skiriant </w:t>
      </w:r>
      <w:proofErr w:type="spellStart"/>
      <w:r w:rsidR="00114F89" w:rsidRPr="00923E74">
        <w:rPr>
          <w:snapToGrid/>
          <w:szCs w:val="22"/>
          <w:lang w:val="lt-LT"/>
        </w:rPr>
        <w:t>ezetimib</w:t>
      </w:r>
      <w:r w:rsidRPr="00923E74">
        <w:rPr>
          <w:snapToGrid/>
          <w:szCs w:val="22"/>
          <w:lang w:val="lt-LT"/>
        </w:rPr>
        <w:t>o</w:t>
      </w:r>
      <w:proofErr w:type="spellEnd"/>
      <w:r w:rsidRPr="00923E74">
        <w:rPr>
          <w:snapToGrid/>
          <w:szCs w:val="22"/>
          <w:lang w:val="lt-LT"/>
        </w:rPr>
        <w:t xml:space="preserve"> ir</w:t>
      </w:r>
      <w:r w:rsidR="00114F89" w:rsidRPr="00923E74">
        <w:rPr>
          <w:snapToGrid/>
          <w:szCs w:val="22"/>
          <w:lang w:val="lt-LT"/>
        </w:rPr>
        <w:t xml:space="preserve"> </w:t>
      </w:r>
      <w:proofErr w:type="spellStart"/>
      <w:r w:rsidR="00114F89" w:rsidRPr="00923E74">
        <w:rPr>
          <w:snapToGrid/>
          <w:szCs w:val="22"/>
          <w:lang w:val="lt-LT"/>
        </w:rPr>
        <w:t>atorvastatin</w:t>
      </w:r>
      <w:r w:rsidRPr="00923E74">
        <w:rPr>
          <w:snapToGrid/>
          <w:szCs w:val="22"/>
          <w:lang w:val="lt-LT"/>
        </w:rPr>
        <w:t>o</w:t>
      </w:r>
      <w:proofErr w:type="spellEnd"/>
      <w:r w:rsidRPr="00923E74">
        <w:rPr>
          <w:snapToGrid/>
          <w:szCs w:val="22"/>
          <w:lang w:val="lt-LT"/>
        </w:rPr>
        <w:t xml:space="preserve"> nustatyta, kad didelės </w:t>
      </w:r>
      <w:proofErr w:type="spellStart"/>
      <w:r w:rsidRPr="00923E74">
        <w:rPr>
          <w:snapToGrid/>
          <w:szCs w:val="22"/>
          <w:lang w:val="lt-LT"/>
        </w:rPr>
        <w:t>ezetimibo</w:t>
      </w:r>
      <w:proofErr w:type="spellEnd"/>
      <w:r w:rsidR="005A1153">
        <w:rPr>
          <w:snapToGrid/>
          <w:szCs w:val="22"/>
          <w:lang w:val="lt-LT"/>
        </w:rPr>
        <w:t xml:space="preserve"> </w:t>
      </w:r>
      <w:r w:rsidR="007B280E">
        <w:rPr>
          <w:snapToGrid/>
          <w:szCs w:val="22"/>
          <w:lang w:val="lt-LT"/>
        </w:rPr>
        <w:t>ir</w:t>
      </w:r>
      <w:r w:rsidR="005A1153">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dozės grupėje padaugėjo su tirtu vaistiniu preparatu susijusių </w:t>
      </w:r>
      <w:r w:rsidR="00851AC0" w:rsidRPr="00923E74">
        <w:rPr>
          <w:snapToGrid/>
          <w:szCs w:val="22"/>
          <w:lang w:val="lt-LT"/>
        </w:rPr>
        <w:t xml:space="preserve">skeleto pokyčių </w:t>
      </w:r>
      <w:r w:rsidR="00AD2FC0" w:rsidRPr="00923E74">
        <w:rPr>
          <w:snapToGrid/>
          <w:szCs w:val="22"/>
          <w:lang w:val="lt-LT"/>
        </w:rPr>
        <w:t>(</w:t>
      </w:r>
      <w:r w:rsidR="009C51D4" w:rsidRPr="00923E74">
        <w:rPr>
          <w:snapToGrid/>
          <w:szCs w:val="22"/>
          <w:lang w:val="lt-LT"/>
        </w:rPr>
        <w:t>sumažėjęs krūtinkaulio kaulėjimas)</w:t>
      </w:r>
      <w:r w:rsidR="00114F89" w:rsidRPr="00923E74">
        <w:rPr>
          <w:snapToGrid/>
          <w:szCs w:val="22"/>
          <w:lang w:val="lt-LT"/>
        </w:rPr>
        <w:t xml:space="preserve">. </w:t>
      </w:r>
      <w:r w:rsidR="009C51D4" w:rsidRPr="00923E74">
        <w:rPr>
          <w:snapToGrid/>
          <w:szCs w:val="22"/>
          <w:lang w:val="lt-LT"/>
        </w:rPr>
        <w:t xml:space="preserve">Tai gali būti susiję su nustatytu vaisiaus kūno </w:t>
      </w:r>
      <w:r w:rsidR="00D12264">
        <w:rPr>
          <w:snapToGrid/>
          <w:szCs w:val="22"/>
          <w:lang w:val="lt-LT"/>
        </w:rPr>
        <w:t>ma</w:t>
      </w:r>
      <w:r w:rsidR="009C51D4" w:rsidRPr="00923E74">
        <w:rPr>
          <w:snapToGrid/>
          <w:szCs w:val="22"/>
          <w:lang w:val="lt-LT"/>
        </w:rPr>
        <w:t>s</w:t>
      </w:r>
      <w:r w:rsidR="00D12264">
        <w:rPr>
          <w:snapToGrid/>
          <w:szCs w:val="22"/>
          <w:lang w:val="lt-LT"/>
        </w:rPr>
        <w:t>ės</w:t>
      </w:r>
      <w:r w:rsidR="009C51D4" w:rsidRPr="00923E74">
        <w:rPr>
          <w:snapToGrid/>
          <w:szCs w:val="22"/>
          <w:lang w:val="lt-LT"/>
        </w:rPr>
        <w:t xml:space="preserve"> sumažėjimu</w:t>
      </w:r>
      <w:r w:rsidR="00114F89" w:rsidRPr="00923E74">
        <w:rPr>
          <w:snapToGrid/>
          <w:szCs w:val="22"/>
          <w:lang w:val="lt-LT"/>
        </w:rPr>
        <w:t xml:space="preserve">. </w:t>
      </w:r>
      <w:r w:rsidR="009C51D4" w:rsidRPr="00923E74">
        <w:rPr>
          <w:snapToGrid/>
          <w:szCs w:val="22"/>
          <w:lang w:val="lt-LT"/>
        </w:rPr>
        <w:t xml:space="preserve">Vaikingoms triušių patelėms nustatytas nedidelis </w:t>
      </w:r>
      <w:r w:rsidR="003B2789" w:rsidRPr="00923E74">
        <w:rPr>
          <w:snapToGrid/>
          <w:szCs w:val="22"/>
          <w:lang w:val="lt-LT"/>
        </w:rPr>
        <w:t>skeleto</w:t>
      </w:r>
      <w:r w:rsidR="009C51D4" w:rsidRPr="00923E74">
        <w:rPr>
          <w:snapToGrid/>
          <w:szCs w:val="22"/>
          <w:lang w:val="lt-LT"/>
        </w:rPr>
        <w:t xml:space="preserve"> deformacijų </w:t>
      </w:r>
      <w:r w:rsidR="00114F89" w:rsidRPr="00923E74">
        <w:rPr>
          <w:snapToGrid/>
          <w:szCs w:val="22"/>
          <w:lang w:val="lt-LT"/>
        </w:rPr>
        <w:t>(</w:t>
      </w:r>
      <w:r w:rsidR="009C51D4" w:rsidRPr="00923E74">
        <w:rPr>
          <w:snapToGrid/>
          <w:szCs w:val="22"/>
          <w:lang w:val="lt-LT"/>
        </w:rPr>
        <w:t>suaugusių krūtinkaulių</w:t>
      </w:r>
      <w:r w:rsidR="00114F89" w:rsidRPr="00923E74">
        <w:rPr>
          <w:snapToGrid/>
          <w:szCs w:val="22"/>
          <w:lang w:val="lt-LT"/>
        </w:rPr>
        <w:t xml:space="preserve">, </w:t>
      </w:r>
      <w:r w:rsidR="009C51D4" w:rsidRPr="00923E74">
        <w:rPr>
          <w:snapToGrid/>
          <w:szCs w:val="22"/>
          <w:lang w:val="lt-LT"/>
        </w:rPr>
        <w:t>suaugusių uodeginių slankstelių ir nesimetrinių krūtinkaulio pokyčių)</w:t>
      </w:r>
      <w:r w:rsidR="00114F89" w:rsidRPr="00923E74">
        <w:rPr>
          <w:snapToGrid/>
          <w:szCs w:val="22"/>
          <w:lang w:val="lt-LT"/>
        </w:rPr>
        <w:t xml:space="preserve"> </w:t>
      </w:r>
      <w:r w:rsidR="009C51D4" w:rsidRPr="00923E74">
        <w:rPr>
          <w:snapToGrid/>
          <w:szCs w:val="22"/>
          <w:lang w:val="lt-LT"/>
        </w:rPr>
        <w:t>dažnis</w:t>
      </w:r>
      <w:r w:rsidR="00114F89" w:rsidRPr="00923E74">
        <w:rPr>
          <w:snapToGrid/>
          <w:szCs w:val="22"/>
          <w:lang w:val="lt-LT"/>
        </w:rPr>
        <w:t>.</w:t>
      </w:r>
    </w:p>
    <w:p w14:paraId="0F139DE2" w14:textId="77777777" w:rsidR="00114F89" w:rsidRPr="00923E74" w:rsidRDefault="00114F89" w:rsidP="00114F89">
      <w:pPr>
        <w:tabs>
          <w:tab w:val="clear" w:pos="567"/>
        </w:tabs>
        <w:spacing w:line="240" w:lineRule="auto"/>
        <w:rPr>
          <w:snapToGrid/>
          <w:szCs w:val="22"/>
          <w:lang w:val="lt-LT"/>
        </w:rPr>
      </w:pPr>
    </w:p>
    <w:p w14:paraId="7E9CAEA8" w14:textId="77777777" w:rsidR="00114F89" w:rsidRPr="00923E74" w:rsidRDefault="002F4994" w:rsidP="007E15ED">
      <w:pPr>
        <w:keepNext/>
        <w:tabs>
          <w:tab w:val="clear" w:pos="567"/>
        </w:tabs>
        <w:spacing w:line="240" w:lineRule="auto"/>
        <w:rPr>
          <w:snapToGrid/>
          <w:szCs w:val="22"/>
          <w:u w:val="single"/>
          <w:lang w:val="lt-LT"/>
        </w:rPr>
      </w:pPr>
      <w:r w:rsidRPr="00923E74">
        <w:rPr>
          <w:snapToGrid/>
          <w:szCs w:val="22"/>
          <w:u w:val="single"/>
          <w:lang w:val="lt-LT"/>
        </w:rPr>
        <w:t>Žindymas</w:t>
      </w:r>
    </w:p>
    <w:p w14:paraId="5BE54EC7" w14:textId="37001488" w:rsidR="00114F89" w:rsidRPr="00923E74" w:rsidRDefault="002F4994" w:rsidP="00114F89">
      <w:pPr>
        <w:tabs>
          <w:tab w:val="clear" w:pos="567"/>
        </w:tabs>
        <w:spacing w:line="240" w:lineRule="auto"/>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w:t>
      </w:r>
      <w:r w:rsidR="00D12264">
        <w:rPr>
          <w:snapToGrid/>
          <w:szCs w:val="22"/>
          <w:lang w:val="lt-LT"/>
        </w:rPr>
        <w:t xml:space="preserve">negalima vartoti </w:t>
      </w:r>
      <w:r w:rsidRPr="00923E74">
        <w:rPr>
          <w:snapToGrid/>
          <w:szCs w:val="22"/>
          <w:lang w:val="lt-LT"/>
        </w:rPr>
        <w:t xml:space="preserve">žindymo </w:t>
      </w:r>
      <w:r w:rsidR="00D12264">
        <w:rPr>
          <w:snapToGrid/>
          <w:szCs w:val="22"/>
          <w:lang w:val="lt-LT"/>
        </w:rPr>
        <w:t>me</w:t>
      </w:r>
      <w:r w:rsidRPr="00923E74">
        <w:rPr>
          <w:snapToGrid/>
          <w:szCs w:val="22"/>
          <w:lang w:val="lt-LT"/>
        </w:rPr>
        <w:t>tu</w:t>
      </w:r>
      <w:r w:rsidR="00114F89" w:rsidRPr="00923E74">
        <w:rPr>
          <w:snapToGrid/>
          <w:szCs w:val="22"/>
          <w:lang w:val="lt-LT"/>
        </w:rPr>
        <w:t>.</w:t>
      </w:r>
    </w:p>
    <w:p w14:paraId="070C09EE" w14:textId="77777777" w:rsidR="00114F89" w:rsidRPr="00923E74" w:rsidRDefault="00114F89" w:rsidP="00114F89">
      <w:pPr>
        <w:tabs>
          <w:tab w:val="clear" w:pos="567"/>
        </w:tabs>
        <w:spacing w:line="240" w:lineRule="auto"/>
        <w:rPr>
          <w:snapToGrid/>
          <w:szCs w:val="22"/>
          <w:lang w:val="lt-LT"/>
        </w:rPr>
      </w:pPr>
    </w:p>
    <w:p w14:paraId="73E59692" w14:textId="77777777" w:rsidR="00114F89" w:rsidRPr="00923E74" w:rsidRDefault="00114F89" w:rsidP="007E15ED">
      <w:pPr>
        <w:keepNext/>
        <w:spacing w:line="240" w:lineRule="auto"/>
        <w:ind w:left="567" w:hanging="567"/>
        <w:rPr>
          <w:i/>
          <w:snapToGrid/>
          <w:szCs w:val="22"/>
          <w:lang w:val="lt-LT"/>
        </w:rPr>
      </w:pPr>
      <w:proofErr w:type="spellStart"/>
      <w:r w:rsidRPr="00923E74">
        <w:rPr>
          <w:i/>
          <w:snapToGrid/>
          <w:szCs w:val="22"/>
          <w:lang w:val="lt-LT"/>
        </w:rPr>
        <w:t>Atorvastatin</w:t>
      </w:r>
      <w:r w:rsidR="002F4994" w:rsidRPr="00923E74">
        <w:rPr>
          <w:i/>
          <w:snapToGrid/>
          <w:szCs w:val="22"/>
          <w:lang w:val="lt-LT"/>
        </w:rPr>
        <w:t>as</w:t>
      </w:r>
      <w:proofErr w:type="spellEnd"/>
    </w:p>
    <w:p w14:paraId="49CE5833" w14:textId="0EE90419" w:rsidR="00114F89" w:rsidRPr="00923E74" w:rsidRDefault="00D12264" w:rsidP="00114F89">
      <w:pPr>
        <w:tabs>
          <w:tab w:val="clear" w:pos="567"/>
        </w:tabs>
        <w:spacing w:line="240" w:lineRule="auto"/>
        <w:rPr>
          <w:snapToGrid/>
          <w:szCs w:val="22"/>
          <w:lang w:val="lt-LT"/>
        </w:rPr>
      </w:pPr>
      <w:r>
        <w:rPr>
          <w:snapToGrid/>
          <w:szCs w:val="22"/>
          <w:lang w:val="lt-LT"/>
        </w:rPr>
        <w:t xml:space="preserve">Nežinoma, </w:t>
      </w:r>
      <w:r w:rsidRPr="00923E74">
        <w:rPr>
          <w:snapToGrid/>
          <w:szCs w:val="22"/>
          <w:lang w:val="lt-LT"/>
        </w:rPr>
        <w:t>a</w:t>
      </w:r>
      <w:r w:rsidR="00E27FF7" w:rsidRPr="00923E74">
        <w:rPr>
          <w:snapToGrid/>
          <w:szCs w:val="22"/>
          <w:lang w:val="lt-LT"/>
        </w:rPr>
        <w:t xml:space="preserve">r </w:t>
      </w:r>
      <w:proofErr w:type="spellStart"/>
      <w:r w:rsidR="00E27FF7" w:rsidRPr="00923E74">
        <w:rPr>
          <w:snapToGrid/>
          <w:szCs w:val="22"/>
          <w:lang w:val="lt-LT"/>
        </w:rPr>
        <w:t>atorvastatino</w:t>
      </w:r>
      <w:proofErr w:type="spellEnd"/>
      <w:r w:rsidR="00E27FF7" w:rsidRPr="00923E74">
        <w:rPr>
          <w:snapToGrid/>
          <w:szCs w:val="22"/>
          <w:lang w:val="lt-LT"/>
        </w:rPr>
        <w:t xml:space="preserve"> ar jo metabolitų </w:t>
      </w:r>
      <w:r>
        <w:rPr>
          <w:snapToGrid/>
          <w:szCs w:val="22"/>
          <w:lang w:val="lt-LT"/>
        </w:rPr>
        <w:t>išsis</w:t>
      </w:r>
      <w:r w:rsidR="00E27FF7" w:rsidRPr="00923E74">
        <w:rPr>
          <w:snapToGrid/>
          <w:szCs w:val="22"/>
          <w:lang w:val="lt-LT"/>
        </w:rPr>
        <w:t>k</w:t>
      </w:r>
      <w:r>
        <w:rPr>
          <w:snapToGrid/>
          <w:szCs w:val="22"/>
          <w:lang w:val="lt-LT"/>
        </w:rPr>
        <w:t>iri</w:t>
      </w:r>
      <w:r w:rsidR="00E27FF7" w:rsidRPr="00923E74">
        <w:rPr>
          <w:snapToGrid/>
          <w:szCs w:val="22"/>
          <w:lang w:val="lt-LT"/>
        </w:rPr>
        <w:t>a į mot</w:t>
      </w:r>
      <w:r>
        <w:rPr>
          <w:snapToGrid/>
          <w:szCs w:val="22"/>
          <w:lang w:val="lt-LT"/>
        </w:rPr>
        <w:t>ino</w:t>
      </w:r>
      <w:r w:rsidR="00E27FF7" w:rsidRPr="00923E74">
        <w:rPr>
          <w:snapToGrid/>
          <w:szCs w:val="22"/>
          <w:lang w:val="lt-LT"/>
        </w:rPr>
        <w:t xml:space="preserve">s pieną. Žiurkių kraujo plazmoje ir piene </w:t>
      </w:r>
      <w:proofErr w:type="spellStart"/>
      <w:r w:rsidR="00E27FF7" w:rsidRPr="00923E74">
        <w:rPr>
          <w:snapToGrid/>
          <w:szCs w:val="22"/>
          <w:lang w:val="lt-LT"/>
        </w:rPr>
        <w:t>atorvastatino</w:t>
      </w:r>
      <w:proofErr w:type="spellEnd"/>
      <w:r w:rsidR="00E27FF7" w:rsidRPr="00923E74">
        <w:rPr>
          <w:snapToGrid/>
          <w:szCs w:val="22"/>
          <w:lang w:val="lt-LT"/>
        </w:rPr>
        <w:t xml:space="preserve"> bei veiklių jo metabolitų koncentracija buvo panaši (žr.</w:t>
      </w:r>
      <w:r w:rsidR="007B280E">
        <w:rPr>
          <w:snapToGrid/>
          <w:szCs w:val="22"/>
          <w:lang w:val="lt-LT"/>
        </w:rPr>
        <w:t> </w:t>
      </w:r>
      <w:r w:rsidR="00E27FF7" w:rsidRPr="00923E74">
        <w:rPr>
          <w:snapToGrid/>
          <w:szCs w:val="22"/>
          <w:lang w:val="lt-LT"/>
        </w:rPr>
        <w:t>5.3</w:t>
      </w:r>
      <w:r w:rsidR="005A1153">
        <w:rPr>
          <w:snapToGrid/>
          <w:szCs w:val="22"/>
          <w:lang w:val="lt-LT"/>
        </w:rPr>
        <w:t> </w:t>
      </w:r>
      <w:r w:rsidR="00E27FF7" w:rsidRPr="00923E74">
        <w:rPr>
          <w:snapToGrid/>
          <w:szCs w:val="22"/>
          <w:lang w:val="lt-LT"/>
        </w:rPr>
        <w:t xml:space="preserve">skyrių). Dėl sunkių nepageidaujamų reakcijų rizikos </w:t>
      </w:r>
      <w:proofErr w:type="spellStart"/>
      <w:r w:rsidR="00E27FF7" w:rsidRPr="00923E74">
        <w:rPr>
          <w:snapToGrid/>
          <w:szCs w:val="22"/>
          <w:lang w:val="lt-LT"/>
        </w:rPr>
        <w:t>Torzelip</w:t>
      </w:r>
      <w:proofErr w:type="spellEnd"/>
      <w:r w:rsidR="00E27FF7" w:rsidRPr="00923E74">
        <w:rPr>
          <w:snapToGrid/>
          <w:szCs w:val="22"/>
          <w:lang w:val="lt-LT"/>
        </w:rPr>
        <w:t xml:space="preserve"> vartojančioms motinoms kūdikio žindyti negalima (žr.</w:t>
      </w:r>
      <w:r w:rsidR="007B280E">
        <w:rPr>
          <w:snapToGrid/>
          <w:szCs w:val="22"/>
          <w:lang w:val="lt-LT"/>
        </w:rPr>
        <w:t> </w:t>
      </w:r>
      <w:r w:rsidR="00E27FF7" w:rsidRPr="00923E74">
        <w:rPr>
          <w:snapToGrid/>
          <w:szCs w:val="22"/>
          <w:lang w:val="lt-LT"/>
        </w:rPr>
        <w:t>4.3</w:t>
      </w:r>
      <w:r w:rsidR="005A1153">
        <w:rPr>
          <w:snapToGrid/>
          <w:szCs w:val="22"/>
          <w:lang w:val="lt-LT"/>
        </w:rPr>
        <w:t> </w:t>
      </w:r>
      <w:r w:rsidR="00E27FF7" w:rsidRPr="00923E74">
        <w:rPr>
          <w:snapToGrid/>
          <w:szCs w:val="22"/>
          <w:lang w:val="lt-LT"/>
        </w:rPr>
        <w:t xml:space="preserve">skyrių). </w:t>
      </w:r>
      <w:proofErr w:type="spellStart"/>
      <w:r w:rsidR="00E27FF7" w:rsidRPr="00923E74">
        <w:rPr>
          <w:snapToGrid/>
          <w:szCs w:val="22"/>
          <w:lang w:val="lt-LT"/>
        </w:rPr>
        <w:t>Atorvastatino</w:t>
      </w:r>
      <w:proofErr w:type="spellEnd"/>
      <w:r w:rsidR="00E27FF7" w:rsidRPr="00923E74">
        <w:rPr>
          <w:snapToGrid/>
          <w:szCs w:val="22"/>
          <w:lang w:val="lt-LT"/>
        </w:rPr>
        <w:t xml:space="preserve"> </w:t>
      </w:r>
      <w:r>
        <w:rPr>
          <w:snapToGrid/>
          <w:szCs w:val="22"/>
          <w:lang w:val="lt-LT"/>
        </w:rPr>
        <w:t xml:space="preserve">negalima vartoti </w:t>
      </w:r>
      <w:r w:rsidR="00C14FB2" w:rsidRPr="00923E74">
        <w:rPr>
          <w:snapToGrid/>
          <w:szCs w:val="22"/>
          <w:lang w:val="lt-LT"/>
        </w:rPr>
        <w:t>žindymo metu</w:t>
      </w:r>
      <w:r w:rsidR="00E27FF7" w:rsidRPr="00923E74">
        <w:rPr>
          <w:snapToGrid/>
          <w:szCs w:val="22"/>
          <w:lang w:val="lt-LT"/>
        </w:rPr>
        <w:t xml:space="preserve"> (žr.</w:t>
      </w:r>
      <w:r w:rsidR="007B280E">
        <w:rPr>
          <w:snapToGrid/>
          <w:szCs w:val="22"/>
          <w:lang w:val="lt-LT"/>
        </w:rPr>
        <w:t> </w:t>
      </w:r>
      <w:r w:rsidR="00E27FF7" w:rsidRPr="00923E74">
        <w:rPr>
          <w:snapToGrid/>
          <w:szCs w:val="22"/>
          <w:lang w:val="lt-LT"/>
        </w:rPr>
        <w:t>4.3</w:t>
      </w:r>
      <w:r w:rsidR="00C14FB2" w:rsidRPr="00923E74">
        <w:rPr>
          <w:snapToGrid/>
          <w:szCs w:val="22"/>
          <w:lang w:val="lt-LT"/>
        </w:rPr>
        <w:t> </w:t>
      </w:r>
      <w:r w:rsidR="00E27FF7" w:rsidRPr="00923E74">
        <w:rPr>
          <w:snapToGrid/>
          <w:szCs w:val="22"/>
          <w:lang w:val="lt-LT"/>
        </w:rPr>
        <w:t>skyrių).</w:t>
      </w:r>
    </w:p>
    <w:p w14:paraId="0C1A6B6E" w14:textId="77777777" w:rsidR="00114F89" w:rsidRPr="00923E74" w:rsidRDefault="00114F89" w:rsidP="00114F89">
      <w:pPr>
        <w:tabs>
          <w:tab w:val="clear" w:pos="567"/>
        </w:tabs>
        <w:spacing w:line="240" w:lineRule="auto"/>
        <w:rPr>
          <w:snapToGrid/>
          <w:szCs w:val="22"/>
          <w:lang w:val="lt-LT"/>
        </w:rPr>
      </w:pPr>
    </w:p>
    <w:p w14:paraId="6C9818B3" w14:textId="77777777" w:rsidR="00114F89" w:rsidRPr="00923E74" w:rsidRDefault="00114F89" w:rsidP="007E15ED">
      <w:pPr>
        <w:keepNext/>
        <w:tabs>
          <w:tab w:val="clear" w:pos="567"/>
        </w:tabs>
        <w:spacing w:line="240" w:lineRule="auto"/>
        <w:rPr>
          <w:i/>
          <w:snapToGrid/>
          <w:szCs w:val="22"/>
          <w:lang w:val="lt-LT"/>
        </w:rPr>
      </w:pPr>
      <w:proofErr w:type="spellStart"/>
      <w:r w:rsidRPr="00923E74">
        <w:rPr>
          <w:i/>
          <w:snapToGrid/>
          <w:szCs w:val="22"/>
          <w:lang w:val="lt-LT"/>
        </w:rPr>
        <w:t>Ezetimib</w:t>
      </w:r>
      <w:r w:rsidR="002F4994" w:rsidRPr="00923E74">
        <w:rPr>
          <w:i/>
          <w:snapToGrid/>
          <w:szCs w:val="22"/>
          <w:lang w:val="lt-LT"/>
        </w:rPr>
        <w:t>as</w:t>
      </w:r>
      <w:proofErr w:type="spellEnd"/>
    </w:p>
    <w:p w14:paraId="21F87EA5" w14:textId="2B7771C4" w:rsidR="00114F89" w:rsidRPr="00923E74" w:rsidRDefault="00114F89" w:rsidP="007E15ED">
      <w:pPr>
        <w:widowControl w:val="0"/>
        <w:tabs>
          <w:tab w:val="clear" w:pos="567"/>
        </w:tabs>
        <w:spacing w:line="240" w:lineRule="auto"/>
        <w:rPr>
          <w:snapToGrid/>
          <w:szCs w:val="22"/>
          <w:lang w:val="lt-LT"/>
        </w:rPr>
      </w:pPr>
      <w:proofErr w:type="spellStart"/>
      <w:r w:rsidRPr="00923E74">
        <w:rPr>
          <w:snapToGrid/>
          <w:color w:val="000000"/>
          <w:szCs w:val="22"/>
          <w:lang w:val="lt-LT"/>
        </w:rPr>
        <w:t>Ezet</w:t>
      </w:r>
      <w:r w:rsidR="00BA4B0A">
        <w:rPr>
          <w:snapToGrid/>
          <w:color w:val="000000"/>
          <w:szCs w:val="22"/>
          <w:lang w:val="lt-LT"/>
        </w:rPr>
        <w:t>i</w:t>
      </w:r>
      <w:r w:rsidRPr="00923E74">
        <w:rPr>
          <w:snapToGrid/>
          <w:color w:val="000000"/>
          <w:szCs w:val="22"/>
          <w:lang w:val="lt-LT"/>
        </w:rPr>
        <w:t>mib</w:t>
      </w:r>
      <w:r w:rsidR="00322C7B" w:rsidRPr="00923E74">
        <w:rPr>
          <w:snapToGrid/>
          <w:color w:val="000000"/>
          <w:szCs w:val="22"/>
          <w:lang w:val="lt-LT"/>
        </w:rPr>
        <w:t>as</w:t>
      </w:r>
      <w:proofErr w:type="spellEnd"/>
      <w:r w:rsidR="00322C7B" w:rsidRPr="00923E74">
        <w:rPr>
          <w:snapToGrid/>
          <w:color w:val="000000"/>
          <w:szCs w:val="22"/>
          <w:lang w:val="lt-LT"/>
        </w:rPr>
        <w:t xml:space="preserve"> neturi būti vartojamas žindymo </w:t>
      </w:r>
      <w:r w:rsidR="00D12264">
        <w:rPr>
          <w:snapToGrid/>
          <w:color w:val="000000"/>
          <w:szCs w:val="22"/>
          <w:lang w:val="lt-LT"/>
        </w:rPr>
        <w:t>me</w:t>
      </w:r>
      <w:r w:rsidR="00322C7B" w:rsidRPr="00923E74">
        <w:rPr>
          <w:snapToGrid/>
          <w:color w:val="000000"/>
          <w:szCs w:val="22"/>
          <w:lang w:val="lt-LT"/>
        </w:rPr>
        <w:t>tu</w:t>
      </w:r>
      <w:r w:rsidRPr="00923E74">
        <w:rPr>
          <w:snapToGrid/>
          <w:color w:val="000000"/>
          <w:szCs w:val="22"/>
          <w:lang w:val="lt-LT"/>
        </w:rPr>
        <w:t xml:space="preserve">. </w:t>
      </w:r>
      <w:r w:rsidR="00322C7B" w:rsidRPr="00923E74">
        <w:rPr>
          <w:snapToGrid/>
          <w:color w:val="000000"/>
          <w:szCs w:val="22"/>
          <w:lang w:val="lt-LT"/>
        </w:rPr>
        <w:t xml:space="preserve">Tyrimų su žiurkėmis </w:t>
      </w:r>
      <w:r w:rsidR="00D12264">
        <w:rPr>
          <w:snapToGrid/>
          <w:color w:val="000000"/>
          <w:szCs w:val="22"/>
          <w:lang w:val="lt-LT"/>
        </w:rPr>
        <w:t>d</w:t>
      </w:r>
      <w:r w:rsidR="00322C7B" w:rsidRPr="00923E74">
        <w:rPr>
          <w:snapToGrid/>
          <w:color w:val="000000"/>
          <w:szCs w:val="22"/>
          <w:lang w:val="lt-LT"/>
        </w:rPr>
        <w:t>u</w:t>
      </w:r>
      <w:r w:rsidR="00D12264">
        <w:rPr>
          <w:snapToGrid/>
          <w:color w:val="000000"/>
          <w:szCs w:val="22"/>
          <w:lang w:val="lt-LT"/>
        </w:rPr>
        <w:t>ome</w:t>
      </w:r>
      <w:r w:rsidR="00322C7B" w:rsidRPr="00923E74">
        <w:rPr>
          <w:snapToGrid/>
          <w:color w:val="000000"/>
          <w:szCs w:val="22"/>
          <w:lang w:val="lt-LT"/>
        </w:rPr>
        <w:t>ny</w:t>
      </w:r>
      <w:r w:rsidR="00D12264">
        <w:rPr>
          <w:snapToGrid/>
          <w:color w:val="000000"/>
          <w:szCs w:val="22"/>
          <w:lang w:val="lt-LT"/>
        </w:rPr>
        <w:t>s rodo</w:t>
      </w:r>
      <w:r w:rsidR="00322C7B" w:rsidRPr="00923E74">
        <w:rPr>
          <w:snapToGrid/>
          <w:color w:val="000000"/>
          <w:szCs w:val="22"/>
          <w:lang w:val="lt-LT"/>
        </w:rPr>
        <w:t xml:space="preserve">, kad </w:t>
      </w:r>
      <w:proofErr w:type="spellStart"/>
      <w:r w:rsidR="00322C7B" w:rsidRPr="00923E74">
        <w:rPr>
          <w:snapToGrid/>
          <w:color w:val="000000"/>
          <w:szCs w:val="22"/>
          <w:lang w:val="lt-LT"/>
        </w:rPr>
        <w:t>ezetimibo</w:t>
      </w:r>
      <w:proofErr w:type="spellEnd"/>
      <w:r w:rsidR="00322C7B" w:rsidRPr="00923E74">
        <w:rPr>
          <w:snapToGrid/>
          <w:color w:val="000000"/>
          <w:szCs w:val="22"/>
          <w:lang w:val="lt-LT"/>
        </w:rPr>
        <w:t xml:space="preserve"> išsiskiria į patelių pieną. </w:t>
      </w:r>
      <w:r w:rsidR="00D12264">
        <w:rPr>
          <w:snapToGrid/>
          <w:color w:val="000000"/>
          <w:szCs w:val="22"/>
          <w:lang w:val="lt-LT"/>
        </w:rPr>
        <w:t xml:space="preserve">Nežinoma, </w:t>
      </w:r>
      <w:r w:rsidR="00D12264" w:rsidRPr="00923E74">
        <w:rPr>
          <w:snapToGrid/>
          <w:color w:val="000000"/>
          <w:szCs w:val="22"/>
          <w:lang w:val="lt-LT"/>
        </w:rPr>
        <w:t>a</w:t>
      </w:r>
      <w:r w:rsidR="00322C7B" w:rsidRPr="00923E74">
        <w:rPr>
          <w:snapToGrid/>
          <w:color w:val="000000"/>
          <w:szCs w:val="22"/>
          <w:lang w:val="lt-LT"/>
        </w:rPr>
        <w:t xml:space="preserve">r </w:t>
      </w:r>
      <w:proofErr w:type="spellStart"/>
      <w:r w:rsidR="00322C7B" w:rsidRPr="00923E74">
        <w:rPr>
          <w:snapToGrid/>
          <w:color w:val="000000"/>
          <w:szCs w:val="22"/>
          <w:lang w:val="lt-LT"/>
        </w:rPr>
        <w:t>ezetimibo</w:t>
      </w:r>
      <w:proofErr w:type="spellEnd"/>
      <w:r w:rsidR="00322C7B" w:rsidRPr="00923E74">
        <w:rPr>
          <w:snapToGrid/>
          <w:color w:val="000000"/>
          <w:szCs w:val="22"/>
          <w:lang w:val="lt-LT"/>
        </w:rPr>
        <w:t xml:space="preserve"> </w:t>
      </w:r>
      <w:r w:rsidR="00D12264">
        <w:rPr>
          <w:snapToGrid/>
          <w:color w:val="000000"/>
          <w:szCs w:val="22"/>
          <w:lang w:val="lt-LT"/>
        </w:rPr>
        <w:t>išsis</w:t>
      </w:r>
      <w:r w:rsidR="00322C7B" w:rsidRPr="00923E74">
        <w:rPr>
          <w:snapToGrid/>
          <w:color w:val="000000"/>
          <w:szCs w:val="22"/>
          <w:lang w:val="lt-LT"/>
        </w:rPr>
        <w:t>k</w:t>
      </w:r>
      <w:r w:rsidR="00D12264">
        <w:rPr>
          <w:snapToGrid/>
          <w:color w:val="000000"/>
          <w:szCs w:val="22"/>
          <w:lang w:val="lt-LT"/>
        </w:rPr>
        <w:t>iri</w:t>
      </w:r>
      <w:r w:rsidR="00322C7B" w:rsidRPr="00923E74">
        <w:rPr>
          <w:snapToGrid/>
          <w:color w:val="000000"/>
          <w:szCs w:val="22"/>
          <w:lang w:val="lt-LT"/>
        </w:rPr>
        <w:t>a į mot</w:t>
      </w:r>
      <w:r w:rsidR="00D12264">
        <w:rPr>
          <w:snapToGrid/>
          <w:color w:val="000000"/>
          <w:szCs w:val="22"/>
          <w:lang w:val="lt-LT"/>
        </w:rPr>
        <w:t>ino</w:t>
      </w:r>
      <w:r w:rsidR="00322C7B" w:rsidRPr="00923E74">
        <w:rPr>
          <w:snapToGrid/>
          <w:color w:val="000000"/>
          <w:szCs w:val="22"/>
          <w:lang w:val="lt-LT"/>
        </w:rPr>
        <w:t>s pieną</w:t>
      </w:r>
      <w:r w:rsidRPr="00923E74">
        <w:rPr>
          <w:snapToGrid/>
          <w:color w:val="000000"/>
          <w:szCs w:val="22"/>
          <w:lang w:val="lt-LT"/>
        </w:rPr>
        <w:t>.</w:t>
      </w:r>
    </w:p>
    <w:p w14:paraId="551F3DE8" w14:textId="77777777" w:rsidR="00114F89" w:rsidRPr="00923E74" w:rsidRDefault="00114F89" w:rsidP="00114F89">
      <w:pPr>
        <w:tabs>
          <w:tab w:val="clear" w:pos="567"/>
        </w:tabs>
        <w:spacing w:line="240" w:lineRule="auto"/>
        <w:rPr>
          <w:snapToGrid/>
          <w:szCs w:val="22"/>
          <w:lang w:val="lt-LT"/>
        </w:rPr>
      </w:pPr>
    </w:p>
    <w:p w14:paraId="2A96CF70" w14:textId="77777777" w:rsidR="00114F89" w:rsidRPr="00923E74" w:rsidRDefault="002F4994" w:rsidP="007E15ED">
      <w:pPr>
        <w:keepNext/>
        <w:tabs>
          <w:tab w:val="clear" w:pos="567"/>
        </w:tabs>
        <w:spacing w:line="240" w:lineRule="auto"/>
        <w:rPr>
          <w:snapToGrid/>
          <w:szCs w:val="22"/>
          <w:u w:val="single"/>
          <w:lang w:val="lt-LT"/>
        </w:rPr>
      </w:pPr>
      <w:r w:rsidRPr="00923E74">
        <w:rPr>
          <w:snapToGrid/>
          <w:szCs w:val="22"/>
          <w:u w:val="single"/>
          <w:lang w:val="lt-LT"/>
        </w:rPr>
        <w:t>Vaisingumas</w:t>
      </w:r>
    </w:p>
    <w:p w14:paraId="76A0D393" w14:textId="77777777" w:rsidR="00114F89" w:rsidRPr="00923E74" w:rsidRDefault="002F4994" w:rsidP="00114F89">
      <w:pPr>
        <w:spacing w:line="240" w:lineRule="auto"/>
        <w:ind w:left="567" w:hanging="567"/>
        <w:rPr>
          <w:snapToGrid/>
          <w:szCs w:val="22"/>
          <w:lang w:val="lt-LT"/>
        </w:rPr>
      </w:pPr>
      <w:proofErr w:type="spellStart"/>
      <w:r w:rsidRPr="00923E74">
        <w:rPr>
          <w:snapToGrid/>
          <w:szCs w:val="22"/>
          <w:lang w:val="lt-LT"/>
        </w:rPr>
        <w:t>Torzelip</w:t>
      </w:r>
      <w:proofErr w:type="spellEnd"/>
      <w:r w:rsidRPr="00923E74">
        <w:rPr>
          <w:snapToGrid/>
          <w:szCs w:val="22"/>
          <w:lang w:val="lt-LT"/>
        </w:rPr>
        <w:t xml:space="preserve"> poveikio vaisingumui tyrimų neatlikta</w:t>
      </w:r>
      <w:r w:rsidR="00114F89" w:rsidRPr="00923E74">
        <w:rPr>
          <w:snapToGrid/>
          <w:szCs w:val="22"/>
          <w:lang w:val="lt-LT"/>
        </w:rPr>
        <w:t>.</w:t>
      </w:r>
    </w:p>
    <w:p w14:paraId="12E1B115" w14:textId="77777777" w:rsidR="00114F89" w:rsidRPr="00923E74" w:rsidRDefault="00114F89" w:rsidP="00114F89">
      <w:pPr>
        <w:spacing w:line="240" w:lineRule="auto"/>
        <w:ind w:left="567" w:hanging="567"/>
        <w:rPr>
          <w:snapToGrid/>
          <w:szCs w:val="22"/>
          <w:lang w:val="lt-LT"/>
        </w:rPr>
      </w:pPr>
    </w:p>
    <w:p w14:paraId="77531DB6" w14:textId="77777777" w:rsidR="00114F89" w:rsidRPr="00923E74" w:rsidRDefault="00114F89" w:rsidP="007E15ED">
      <w:pPr>
        <w:keepNext/>
        <w:spacing w:line="240" w:lineRule="auto"/>
        <w:ind w:left="567" w:hanging="567"/>
        <w:rPr>
          <w:i/>
          <w:snapToGrid/>
          <w:szCs w:val="22"/>
          <w:lang w:val="lt-LT"/>
        </w:rPr>
      </w:pPr>
      <w:proofErr w:type="spellStart"/>
      <w:r w:rsidRPr="00923E74">
        <w:rPr>
          <w:i/>
          <w:snapToGrid/>
          <w:szCs w:val="22"/>
          <w:lang w:val="lt-LT"/>
        </w:rPr>
        <w:t>Atorvastatin</w:t>
      </w:r>
      <w:r w:rsidR="00F017A5" w:rsidRPr="00923E74">
        <w:rPr>
          <w:i/>
          <w:snapToGrid/>
          <w:szCs w:val="22"/>
          <w:lang w:val="lt-LT"/>
        </w:rPr>
        <w:t>as</w:t>
      </w:r>
      <w:proofErr w:type="spellEnd"/>
    </w:p>
    <w:p w14:paraId="4AA7B9F7" w14:textId="5E3920A1" w:rsidR="00114F89" w:rsidRPr="00923E74" w:rsidRDefault="00C14FB2" w:rsidP="00114F89">
      <w:pPr>
        <w:spacing w:line="240" w:lineRule="auto"/>
        <w:ind w:left="567" w:hanging="567"/>
        <w:rPr>
          <w:snapToGrid/>
          <w:szCs w:val="22"/>
          <w:lang w:val="lt-LT"/>
        </w:rPr>
      </w:pPr>
      <w:r w:rsidRPr="00923E74">
        <w:rPr>
          <w:snapToGrid/>
          <w:szCs w:val="22"/>
          <w:lang w:val="lt-LT"/>
        </w:rPr>
        <w:t xml:space="preserve">Tyrimų su gyvūnais metu </w:t>
      </w:r>
      <w:proofErr w:type="spellStart"/>
      <w:r w:rsidR="00114F89" w:rsidRPr="00923E74">
        <w:rPr>
          <w:snapToGrid/>
          <w:szCs w:val="22"/>
          <w:lang w:val="lt-LT"/>
        </w:rPr>
        <w:t>atorvastatin</w:t>
      </w:r>
      <w:r w:rsidRPr="00923E74">
        <w:rPr>
          <w:snapToGrid/>
          <w:szCs w:val="22"/>
          <w:lang w:val="lt-LT"/>
        </w:rPr>
        <w:t>as</w:t>
      </w:r>
      <w:proofErr w:type="spellEnd"/>
      <w:r w:rsidRPr="00923E74">
        <w:rPr>
          <w:snapToGrid/>
          <w:szCs w:val="22"/>
          <w:lang w:val="lt-LT" w:eastAsia="sl-SI"/>
        </w:rPr>
        <w:t xml:space="preserve"> </w:t>
      </w:r>
      <w:r w:rsidR="00687802" w:rsidRPr="00923E74">
        <w:rPr>
          <w:snapToGrid/>
          <w:szCs w:val="22"/>
          <w:lang w:val="lt-LT" w:eastAsia="sl-SI"/>
        </w:rPr>
        <w:t>poveikio</w:t>
      </w:r>
      <w:r w:rsidRPr="00923E74">
        <w:rPr>
          <w:snapToGrid/>
          <w:szCs w:val="22"/>
          <w:lang w:val="lt-LT" w:eastAsia="sl-SI"/>
        </w:rPr>
        <w:t xml:space="preserve"> patinų ir patelių vislumui nesukėlė</w:t>
      </w:r>
      <w:r w:rsidR="00FD3A79" w:rsidRPr="00923E74">
        <w:rPr>
          <w:snapToGrid/>
          <w:szCs w:val="22"/>
          <w:lang w:val="lt-LT"/>
        </w:rPr>
        <w:t xml:space="preserve"> (žr.</w:t>
      </w:r>
      <w:r w:rsidR="00FD3A79">
        <w:rPr>
          <w:snapToGrid/>
          <w:szCs w:val="22"/>
          <w:lang w:val="lt-LT"/>
        </w:rPr>
        <w:t> </w:t>
      </w:r>
      <w:r w:rsidR="00FD3A79" w:rsidRPr="00923E74">
        <w:rPr>
          <w:snapToGrid/>
          <w:szCs w:val="22"/>
          <w:lang w:val="lt-LT"/>
        </w:rPr>
        <w:t>5.3</w:t>
      </w:r>
      <w:r w:rsidR="00FD3A79">
        <w:rPr>
          <w:snapToGrid/>
          <w:szCs w:val="22"/>
          <w:lang w:val="lt-LT"/>
        </w:rPr>
        <w:t> </w:t>
      </w:r>
      <w:r w:rsidR="00FD3A79" w:rsidRPr="00923E74">
        <w:rPr>
          <w:snapToGrid/>
          <w:szCs w:val="22"/>
          <w:lang w:val="lt-LT"/>
        </w:rPr>
        <w:t>skyrių)</w:t>
      </w:r>
      <w:r w:rsidR="00114F89" w:rsidRPr="00923E74">
        <w:rPr>
          <w:snapToGrid/>
          <w:szCs w:val="22"/>
          <w:lang w:val="lt-LT"/>
        </w:rPr>
        <w:t>.</w:t>
      </w:r>
    </w:p>
    <w:p w14:paraId="1F961379" w14:textId="77777777" w:rsidR="00114F89" w:rsidRPr="00923E74" w:rsidRDefault="00114F89" w:rsidP="00114F89">
      <w:pPr>
        <w:spacing w:line="240" w:lineRule="auto"/>
        <w:ind w:left="567" w:hanging="567"/>
        <w:rPr>
          <w:snapToGrid/>
          <w:szCs w:val="22"/>
          <w:lang w:val="lt-LT"/>
        </w:rPr>
      </w:pPr>
    </w:p>
    <w:p w14:paraId="5B75BB28" w14:textId="77777777" w:rsidR="00114F89" w:rsidRPr="00923E74" w:rsidRDefault="00114F89" w:rsidP="007E15ED">
      <w:pPr>
        <w:keepNext/>
        <w:spacing w:line="240" w:lineRule="auto"/>
        <w:ind w:left="567" w:hanging="567"/>
        <w:rPr>
          <w:i/>
          <w:snapToGrid/>
          <w:szCs w:val="22"/>
          <w:lang w:val="lt-LT"/>
        </w:rPr>
      </w:pPr>
      <w:proofErr w:type="spellStart"/>
      <w:r w:rsidRPr="00923E74">
        <w:rPr>
          <w:i/>
          <w:snapToGrid/>
          <w:szCs w:val="22"/>
          <w:lang w:val="lt-LT"/>
        </w:rPr>
        <w:t>Ezetimib</w:t>
      </w:r>
      <w:r w:rsidR="00F017A5" w:rsidRPr="00923E74">
        <w:rPr>
          <w:i/>
          <w:snapToGrid/>
          <w:szCs w:val="22"/>
          <w:lang w:val="lt-LT"/>
        </w:rPr>
        <w:t>as</w:t>
      </w:r>
      <w:proofErr w:type="spellEnd"/>
    </w:p>
    <w:p w14:paraId="4E99E232" w14:textId="50A5B5AD" w:rsidR="00114F89" w:rsidRPr="00923E74" w:rsidRDefault="004A23BD" w:rsidP="00114F89">
      <w:pPr>
        <w:spacing w:line="240" w:lineRule="auto"/>
        <w:ind w:left="567" w:hanging="567"/>
        <w:rPr>
          <w:snapToGrid/>
          <w:szCs w:val="22"/>
          <w:lang w:val="lt-LT"/>
        </w:rPr>
      </w:pPr>
      <w:proofErr w:type="spellStart"/>
      <w:r w:rsidRPr="00923E74">
        <w:rPr>
          <w:snapToGrid/>
          <w:szCs w:val="22"/>
          <w:lang w:val="lt-LT" w:eastAsia="sl-SI"/>
        </w:rPr>
        <w:t>Ezetimibas</w:t>
      </w:r>
      <w:proofErr w:type="spellEnd"/>
      <w:r w:rsidRPr="00923E74">
        <w:rPr>
          <w:snapToGrid/>
          <w:szCs w:val="22"/>
          <w:lang w:val="lt-LT" w:eastAsia="sl-SI"/>
        </w:rPr>
        <w:t xml:space="preserve"> poveikio žiurkių patinų ir patelių vislumui nesukėlė</w:t>
      </w:r>
      <w:r w:rsidR="00FD3A79" w:rsidRPr="00923E74">
        <w:rPr>
          <w:snapToGrid/>
          <w:szCs w:val="22"/>
          <w:lang w:val="lt-LT"/>
        </w:rPr>
        <w:t xml:space="preserve"> (žr.</w:t>
      </w:r>
      <w:r w:rsidR="00FD3A79">
        <w:rPr>
          <w:snapToGrid/>
          <w:szCs w:val="22"/>
          <w:lang w:val="lt-LT"/>
        </w:rPr>
        <w:t> </w:t>
      </w:r>
      <w:r w:rsidR="00FD3A79" w:rsidRPr="00923E74">
        <w:rPr>
          <w:snapToGrid/>
          <w:szCs w:val="22"/>
          <w:lang w:val="lt-LT"/>
        </w:rPr>
        <w:t>5.3</w:t>
      </w:r>
      <w:r w:rsidR="00FD3A79">
        <w:rPr>
          <w:snapToGrid/>
          <w:szCs w:val="22"/>
          <w:lang w:val="lt-LT"/>
        </w:rPr>
        <w:t> </w:t>
      </w:r>
      <w:r w:rsidR="00FD3A79" w:rsidRPr="00923E74">
        <w:rPr>
          <w:snapToGrid/>
          <w:szCs w:val="22"/>
          <w:lang w:val="lt-LT"/>
        </w:rPr>
        <w:t>skyrių)</w:t>
      </w:r>
      <w:r w:rsidR="00114F89" w:rsidRPr="00923E74">
        <w:rPr>
          <w:snapToGrid/>
          <w:szCs w:val="22"/>
          <w:lang w:val="lt-LT"/>
        </w:rPr>
        <w:t>.</w:t>
      </w:r>
    </w:p>
    <w:p w14:paraId="00876AE4" w14:textId="77777777" w:rsidR="00381B7D" w:rsidRPr="00923E74" w:rsidRDefault="00381B7D" w:rsidP="00A31E3A">
      <w:pPr>
        <w:widowControl w:val="0"/>
        <w:tabs>
          <w:tab w:val="clear" w:pos="567"/>
        </w:tabs>
        <w:spacing w:line="240" w:lineRule="auto"/>
        <w:rPr>
          <w:snapToGrid/>
          <w:szCs w:val="22"/>
          <w:lang w:val="lt-LT" w:eastAsia="sl-SI"/>
        </w:rPr>
      </w:pPr>
    </w:p>
    <w:p w14:paraId="661C4E52"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lastRenderedPageBreak/>
        <w:t>4.7</w:t>
      </w:r>
      <w:r w:rsidRPr="00923E74">
        <w:rPr>
          <w:b/>
          <w:snapToGrid/>
          <w:szCs w:val="22"/>
          <w:lang w:val="lt-LT" w:eastAsia="sl-SI"/>
        </w:rPr>
        <w:tab/>
        <w:t>Poveikis gebėjimui vairuoti ir valdyti mechanizmus</w:t>
      </w:r>
    </w:p>
    <w:p w14:paraId="66F5810C" w14:textId="77777777" w:rsidR="00381B7D" w:rsidRPr="00923E74" w:rsidRDefault="00381B7D" w:rsidP="007E15ED">
      <w:pPr>
        <w:keepNext/>
        <w:widowControl w:val="0"/>
        <w:tabs>
          <w:tab w:val="clear" w:pos="567"/>
        </w:tabs>
        <w:spacing w:line="240" w:lineRule="auto"/>
        <w:rPr>
          <w:snapToGrid/>
          <w:szCs w:val="22"/>
          <w:lang w:val="lt-LT" w:eastAsia="sl-SI"/>
        </w:rPr>
      </w:pPr>
    </w:p>
    <w:p w14:paraId="736485D1" w14:textId="5F0EB551" w:rsidR="00381B7D" w:rsidRPr="00923E74" w:rsidRDefault="00687802" w:rsidP="00A31E3A">
      <w:pPr>
        <w:widowControl w:val="0"/>
        <w:tabs>
          <w:tab w:val="clear" w:pos="567"/>
        </w:tabs>
        <w:spacing w:line="240" w:lineRule="auto"/>
        <w:rPr>
          <w:snapToGrid/>
          <w:szCs w:val="22"/>
          <w:lang w:val="lt-LT" w:eastAsia="sl-SI"/>
        </w:rPr>
      </w:pPr>
      <w:proofErr w:type="spellStart"/>
      <w:r w:rsidRPr="00923E74">
        <w:rPr>
          <w:snapToGrid/>
          <w:szCs w:val="22"/>
          <w:lang w:val="lt-LT"/>
        </w:rPr>
        <w:t>Torzelip</w:t>
      </w:r>
      <w:proofErr w:type="spellEnd"/>
      <w:r w:rsidRPr="00923E74">
        <w:rPr>
          <w:snapToGrid/>
          <w:szCs w:val="22"/>
          <w:lang w:val="lt-LT"/>
        </w:rPr>
        <w:t xml:space="preserve"> </w:t>
      </w:r>
      <w:r w:rsidRPr="00923E74">
        <w:rPr>
          <w:snapToGrid/>
          <w:szCs w:val="22"/>
          <w:lang w:val="lt-LT" w:eastAsia="sl-SI"/>
        </w:rPr>
        <w:t xml:space="preserve">gebėjimą vairuoti ir valdyti mechanizmus veikia nereikšmingai. </w:t>
      </w:r>
      <w:r w:rsidR="00381B7D" w:rsidRPr="00923E74">
        <w:rPr>
          <w:snapToGrid/>
          <w:szCs w:val="22"/>
          <w:lang w:val="lt-LT" w:eastAsia="sl-SI"/>
        </w:rPr>
        <w:t xml:space="preserve">Vis dėlto vairuojant ir valdant mechanizmus reikia </w:t>
      </w:r>
      <w:r w:rsidRPr="00923E74">
        <w:rPr>
          <w:snapToGrid/>
          <w:szCs w:val="22"/>
          <w:lang w:val="lt-LT" w:eastAsia="sl-SI"/>
        </w:rPr>
        <w:t>atsižvelgti į tai</w:t>
      </w:r>
      <w:r w:rsidR="00381B7D" w:rsidRPr="00923E74">
        <w:rPr>
          <w:snapToGrid/>
          <w:szCs w:val="22"/>
          <w:lang w:val="lt-LT" w:eastAsia="sl-SI"/>
        </w:rPr>
        <w:t>, kad buvo pranešta apie svaigulio atvejus.</w:t>
      </w:r>
    </w:p>
    <w:p w14:paraId="726EA8AC" w14:textId="77777777" w:rsidR="00381B7D" w:rsidRPr="00923E74" w:rsidRDefault="00381B7D" w:rsidP="00A31E3A">
      <w:pPr>
        <w:widowControl w:val="0"/>
        <w:tabs>
          <w:tab w:val="clear" w:pos="567"/>
        </w:tabs>
        <w:spacing w:line="240" w:lineRule="auto"/>
        <w:rPr>
          <w:snapToGrid/>
          <w:szCs w:val="22"/>
          <w:lang w:val="lt-LT" w:eastAsia="sl-SI"/>
        </w:rPr>
      </w:pPr>
    </w:p>
    <w:p w14:paraId="1A49B12B"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4.8</w:t>
      </w:r>
      <w:r w:rsidRPr="00923E74">
        <w:rPr>
          <w:b/>
          <w:snapToGrid/>
          <w:szCs w:val="22"/>
          <w:lang w:val="lt-LT" w:eastAsia="sl-SI"/>
        </w:rPr>
        <w:tab/>
        <w:t>Nepageidaujamas poveikis</w:t>
      </w:r>
    </w:p>
    <w:p w14:paraId="181E7AA4" w14:textId="77777777" w:rsidR="00381B7D" w:rsidRPr="00923E74" w:rsidRDefault="00381B7D" w:rsidP="007E15ED">
      <w:pPr>
        <w:keepNext/>
        <w:widowControl w:val="0"/>
        <w:tabs>
          <w:tab w:val="clear" w:pos="567"/>
        </w:tabs>
        <w:spacing w:line="240" w:lineRule="auto"/>
        <w:rPr>
          <w:snapToGrid/>
          <w:szCs w:val="22"/>
          <w:lang w:val="lt-LT" w:eastAsia="sl-SI"/>
        </w:rPr>
      </w:pPr>
    </w:p>
    <w:p w14:paraId="78FABF09" w14:textId="524ECA67" w:rsidR="00476BD6" w:rsidRPr="00923E74" w:rsidRDefault="00476BD6" w:rsidP="007E15ED">
      <w:pPr>
        <w:keepNext/>
        <w:spacing w:line="240" w:lineRule="auto"/>
        <w:rPr>
          <w:snapToGrid/>
          <w:szCs w:val="22"/>
          <w:u w:val="single"/>
          <w:lang w:val="lt-LT"/>
        </w:rPr>
      </w:pPr>
      <w:r w:rsidRPr="00923E74">
        <w:rPr>
          <w:iCs/>
          <w:szCs w:val="22"/>
          <w:u w:val="single"/>
          <w:lang w:val="lt-LT" w:eastAsia="lt-LT"/>
        </w:rPr>
        <w:t>Nepageidaujamų reakcijų santrauka lentelėje</w:t>
      </w:r>
    </w:p>
    <w:p w14:paraId="467FB534" w14:textId="064C999C" w:rsidR="00476BD6" w:rsidRPr="00923E74" w:rsidRDefault="00476BD6" w:rsidP="00476BD6">
      <w:pPr>
        <w:spacing w:line="240" w:lineRule="auto"/>
        <w:rPr>
          <w:snapToGrid/>
          <w:szCs w:val="22"/>
          <w:lang w:val="lt-LT"/>
        </w:rPr>
      </w:pPr>
      <w:r w:rsidRPr="00923E74">
        <w:rPr>
          <w:szCs w:val="22"/>
          <w:lang w:val="lt-LT"/>
        </w:rPr>
        <w:t>Nepageidaujamo poveikio dažnis apibūdinamas taip: labai dažnas (≥ 1/10), dažnas (nuo ≥ 1/100 iki &lt; 1/10), nedažnas (nuo ≥ 1/1</w:t>
      </w:r>
      <w:r w:rsidR="007B280E">
        <w:rPr>
          <w:szCs w:val="22"/>
          <w:lang w:val="lt-LT"/>
        </w:rPr>
        <w:t> </w:t>
      </w:r>
      <w:r w:rsidRPr="00923E74">
        <w:rPr>
          <w:szCs w:val="22"/>
          <w:lang w:val="lt-LT"/>
        </w:rPr>
        <w:t>000 iki &lt; 1/100), retas (nuo ≥ 1/10</w:t>
      </w:r>
      <w:r w:rsidR="007B280E">
        <w:rPr>
          <w:szCs w:val="22"/>
          <w:lang w:val="lt-LT"/>
        </w:rPr>
        <w:t> </w:t>
      </w:r>
      <w:r w:rsidRPr="00923E74">
        <w:rPr>
          <w:szCs w:val="22"/>
          <w:lang w:val="lt-LT"/>
        </w:rPr>
        <w:t>000 iki &lt; 1/1</w:t>
      </w:r>
      <w:r w:rsidR="008E23C5">
        <w:rPr>
          <w:szCs w:val="22"/>
          <w:lang w:val="lt-LT"/>
        </w:rPr>
        <w:t> </w:t>
      </w:r>
      <w:r w:rsidRPr="00923E74">
        <w:rPr>
          <w:szCs w:val="22"/>
          <w:lang w:val="lt-LT"/>
        </w:rPr>
        <w:t>000), labai retas (&lt; 1/10</w:t>
      </w:r>
      <w:r w:rsidR="007B280E">
        <w:rPr>
          <w:szCs w:val="22"/>
          <w:lang w:val="lt-LT"/>
        </w:rPr>
        <w:t> </w:t>
      </w:r>
      <w:r w:rsidRPr="00923E74">
        <w:rPr>
          <w:szCs w:val="22"/>
          <w:lang w:val="lt-LT"/>
        </w:rPr>
        <w:t>000) ir nežinomas (negali būti apskaičiuotas pagal turimus duomenis)</w:t>
      </w:r>
      <w:r w:rsidR="007B280E">
        <w:rPr>
          <w:szCs w:val="22"/>
          <w:lang w:val="lt-LT"/>
        </w:rPr>
        <w:t>.</w:t>
      </w:r>
    </w:p>
    <w:p w14:paraId="2C576C53" w14:textId="77777777" w:rsidR="00476BD6" w:rsidRPr="00923E74" w:rsidRDefault="00476BD6" w:rsidP="00476BD6">
      <w:pPr>
        <w:spacing w:line="240" w:lineRule="auto"/>
        <w:rPr>
          <w:snapToGrid/>
          <w:szCs w:val="22"/>
          <w:lang w:val="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801"/>
        <w:gridCol w:w="1525"/>
        <w:gridCol w:w="1355"/>
        <w:gridCol w:w="1230"/>
      </w:tblGrid>
      <w:tr w:rsidR="00C6142E" w:rsidRPr="00923E74" w14:paraId="61C6A1D6" w14:textId="77777777" w:rsidTr="007E15ED">
        <w:trPr>
          <w:tblHeader/>
        </w:trPr>
        <w:tc>
          <w:tcPr>
            <w:tcW w:w="2375" w:type="dxa"/>
            <w:vMerge w:val="restart"/>
            <w:vAlign w:val="center"/>
          </w:tcPr>
          <w:p w14:paraId="30E37D3A" w14:textId="77777777" w:rsidR="00476BD6" w:rsidRPr="00923E74" w:rsidRDefault="00476BD6" w:rsidP="007E15ED">
            <w:pPr>
              <w:keepNext/>
              <w:spacing w:line="240" w:lineRule="auto"/>
              <w:jc w:val="center"/>
              <w:rPr>
                <w:rFonts w:eastAsia="Calibri"/>
                <w:snapToGrid/>
                <w:szCs w:val="22"/>
                <w:lang w:val="lt-LT"/>
              </w:rPr>
            </w:pPr>
            <w:r w:rsidRPr="00923E74">
              <w:rPr>
                <w:rFonts w:eastAsia="Calibri"/>
                <w:b/>
                <w:bCs/>
                <w:snapToGrid/>
                <w:szCs w:val="22"/>
                <w:lang w:val="lt-LT"/>
              </w:rPr>
              <w:t>Organų sistemų klasė</w:t>
            </w:r>
          </w:p>
        </w:tc>
        <w:tc>
          <w:tcPr>
            <w:tcW w:w="2801" w:type="dxa"/>
            <w:vMerge w:val="restart"/>
            <w:vAlign w:val="center"/>
          </w:tcPr>
          <w:p w14:paraId="2247E214" w14:textId="77777777" w:rsidR="00476BD6" w:rsidRPr="00923E74" w:rsidRDefault="00476BD6" w:rsidP="007E15ED">
            <w:pPr>
              <w:keepNext/>
              <w:spacing w:line="240" w:lineRule="auto"/>
              <w:jc w:val="center"/>
              <w:rPr>
                <w:rFonts w:eastAsia="Calibri"/>
                <w:snapToGrid/>
                <w:szCs w:val="22"/>
                <w:lang w:val="lt-LT"/>
              </w:rPr>
            </w:pPr>
            <w:r w:rsidRPr="00923E74">
              <w:rPr>
                <w:rFonts w:eastAsia="Calibri"/>
                <w:b/>
                <w:bCs/>
                <w:snapToGrid/>
                <w:spacing w:val="-1"/>
                <w:szCs w:val="22"/>
                <w:lang w:val="lt-LT"/>
              </w:rPr>
              <w:t>Nepageidaujamas poveikis</w:t>
            </w:r>
          </w:p>
        </w:tc>
        <w:tc>
          <w:tcPr>
            <w:tcW w:w="4110" w:type="dxa"/>
            <w:gridSpan w:val="3"/>
            <w:vAlign w:val="center"/>
          </w:tcPr>
          <w:p w14:paraId="3AB8E219" w14:textId="77777777" w:rsidR="00476BD6" w:rsidRPr="00923E74" w:rsidRDefault="00476BD6" w:rsidP="007E15ED">
            <w:pPr>
              <w:keepNext/>
              <w:spacing w:line="240" w:lineRule="auto"/>
              <w:jc w:val="center"/>
              <w:rPr>
                <w:rFonts w:eastAsia="Calibri"/>
                <w:snapToGrid/>
                <w:szCs w:val="22"/>
                <w:lang w:val="lt-LT"/>
              </w:rPr>
            </w:pPr>
            <w:r w:rsidRPr="00923E74">
              <w:rPr>
                <w:rFonts w:eastAsia="Calibri"/>
                <w:b/>
                <w:bCs/>
                <w:snapToGrid/>
                <w:spacing w:val="2"/>
                <w:szCs w:val="22"/>
                <w:lang w:val="lt-LT"/>
              </w:rPr>
              <w:t>Dažnis</w:t>
            </w:r>
          </w:p>
        </w:tc>
      </w:tr>
      <w:tr w:rsidR="00C6142E" w:rsidRPr="00923E74" w14:paraId="0FBB1E3B" w14:textId="77777777" w:rsidTr="007E15ED">
        <w:trPr>
          <w:tblHeader/>
        </w:trPr>
        <w:tc>
          <w:tcPr>
            <w:tcW w:w="2375" w:type="dxa"/>
            <w:vMerge/>
            <w:vAlign w:val="center"/>
          </w:tcPr>
          <w:p w14:paraId="1C3B76E5" w14:textId="77777777" w:rsidR="00476BD6" w:rsidRPr="00923E74" w:rsidRDefault="00476BD6" w:rsidP="007E15ED">
            <w:pPr>
              <w:keepNext/>
              <w:spacing w:line="240" w:lineRule="auto"/>
              <w:jc w:val="center"/>
              <w:rPr>
                <w:rFonts w:eastAsia="Calibri"/>
                <w:snapToGrid/>
                <w:szCs w:val="22"/>
                <w:lang w:val="lt-LT"/>
              </w:rPr>
            </w:pPr>
          </w:p>
        </w:tc>
        <w:tc>
          <w:tcPr>
            <w:tcW w:w="2801" w:type="dxa"/>
            <w:vMerge/>
            <w:vAlign w:val="center"/>
          </w:tcPr>
          <w:p w14:paraId="304CF51A" w14:textId="77777777" w:rsidR="00476BD6" w:rsidRPr="00923E74" w:rsidRDefault="00476BD6" w:rsidP="007E15ED">
            <w:pPr>
              <w:keepNext/>
              <w:spacing w:line="240" w:lineRule="auto"/>
              <w:jc w:val="center"/>
              <w:rPr>
                <w:rFonts w:eastAsia="Calibri"/>
                <w:snapToGrid/>
                <w:szCs w:val="22"/>
                <w:lang w:val="lt-LT"/>
              </w:rPr>
            </w:pPr>
          </w:p>
        </w:tc>
        <w:tc>
          <w:tcPr>
            <w:tcW w:w="1525" w:type="dxa"/>
            <w:vAlign w:val="center"/>
          </w:tcPr>
          <w:p w14:paraId="1363ABFB" w14:textId="77777777" w:rsidR="00476BD6" w:rsidRPr="00923E74" w:rsidRDefault="00476BD6" w:rsidP="007E15ED">
            <w:pPr>
              <w:keepNext/>
              <w:spacing w:line="240" w:lineRule="auto"/>
              <w:jc w:val="center"/>
              <w:rPr>
                <w:rFonts w:eastAsia="Calibri"/>
                <w:snapToGrid/>
                <w:szCs w:val="22"/>
                <w:lang w:val="lt-LT"/>
              </w:rPr>
            </w:pPr>
            <w:proofErr w:type="spellStart"/>
            <w:r w:rsidRPr="00923E74">
              <w:rPr>
                <w:rFonts w:eastAsia="Calibri"/>
                <w:snapToGrid/>
                <w:color w:val="000000"/>
                <w:szCs w:val="22"/>
                <w:lang w:val="lt-LT" w:eastAsia="en-GB"/>
              </w:rPr>
              <w:t>Atorvastatinas</w:t>
            </w:r>
            <w:proofErr w:type="spellEnd"/>
          </w:p>
        </w:tc>
        <w:tc>
          <w:tcPr>
            <w:tcW w:w="1355" w:type="dxa"/>
            <w:vAlign w:val="center"/>
          </w:tcPr>
          <w:p w14:paraId="71C9853C" w14:textId="77777777" w:rsidR="00476BD6" w:rsidRPr="00923E74" w:rsidRDefault="00476BD6" w:rsidP="007E15ED">
            <w:pPr>
              <w:keepNext/>
              <w:spacing w:line="240" w:lineRule="auto"/>
              <w:jc w:val="center"/>
              <w:rPr>
                <w:rFonts w:eastAsia="Calibri"/>
                <w:snapToGrid/>
                <w:szCs w:val="22"/>
                <w:lang w:val="lt-LT"/>
              </w:rPr>
            </w:pPr>
            <w:proofErr w:type="spellStart"/>
            <w:r w:rsidRPr="00923E74">
              <w:rPr>
                <w:rFonts w:eastAsia="Calibri"/>
                <w:snapToGrid/>
                <w:szCs w:val="22"/>
                <w:lang w:val="lt-LT"/>
              </w:rPr>
              <w:t>Ezetimibas</w:t>
            </w:r>
            <w:proofErr w:type="spellEnd"/>
          </w:p>
        </w:tc>
        <w:tc>
          <w:tcPr>
            <w:tcW w:w="1230" w:type="dxa"/>
            <w:vAlign w:val="center"/>
          </w:tcPr>
          <w:p w14:paraId="5B0952D2" w14:textId="77777777" w:rsidR="00476BD6" w:rsidRPr="00923E74" w:rsidRDefault="00476BD6" w:rsidP="007E15ED">
            <w:pPr>
              <w:keepNext/>
              <w:spacing w:line="240" w:lineRule="auto"/>
              <w:jc w:val="center"/>
              <w:rPr>
                <w:rFonts w:eastAsia="Calibri"/>
                <w:snapToGrid/>
                <w:szCs w:val="22"/>
                <w:lang w:val="lt-LT"/>
              </w:rPr>
            </w:pPr>
            <w:proofErr w:type="spellStart"/>
            <w:r w:rsidRPr="00923E74">
              <w:rPr>
                <w:rFonts w:eastAsia="Calibri"/>
                <w:snapToGrid/>
                <w:color w:val="000000"/>
                <w:szCs w:val="22"/>
                <w:lang w:val="lt-LT" w:eastAsia="en-GB"/>
              </w:rPr>
              <w:t>Ezetimibas</w:t>
            </w:r>
            <w:proofErr w:type="spellEnd"/>
            <w:r w:rsidRPr="00923E74">
              <w:rPr>
                <w:rFonts w:eastAsia="Calibri"/>
                <w:snapToGrid/>
                <w:color w:val="000000"/>
                <w:szCs w:val="22"/>
                <w:lang w:val="lt-LT" w:eastAsia="en-GB"/>
              </w:rPr>
              <w:t xml:space="preserve"> + </w:t>
            </w:r>
            <w:proofErr w:type="spellStart"/>
            <w:r w:rsidRPr="00923E74">
              <w:rPr>
                <w:rFonts w:eastAsia="Calibri"/>
                <w:snapToGrid/>
                <w:color w:val="000000"/>
                <w:szCs w:val="22"/>
                <w:lang w:val="lt-LT" w:eastAsia="en-GB"/>
              </w:rPr>
              <w:t>statinas</w:t>
            </w:r>
            <w:proofErr w:type="spellEnd"/>
          </w:p>
        </w:tc>
      </w:tr>
      <w:tr w:rsidR="00C6142E" w:rsidRPr="00923E74" w14:paraId="1B5D9BCC" w14:textId="77777777" w:rsidTr="007E15ED">
        <w:tc>
          <w:tcPr>
            <w:tcW w:w="2375" w:type="dxa"/>
          </w:tcPr>
          <w:p w14:paraId="18836C0B" w14:textId="77777777" w:rsidR="00476BD6" w:rsidRPr="007E15ED" w:rsidRDefault="001D317C" w:rsidP="00476BD6">
            <w:pPr>
              <w:spacing w:line="240" w:lineRule="auto"/>
              <w:rPr>
                <w:i/>
                <w:snapToGrid/>
                <w:szCs w:val="22"/>
                <w:lang w:val="lt-LT"/>
              </w:rPr>
            </w:pPr>
            <w:r w:rsidRPr="007E15ED">
              <w:rPr>
                <w:i/>
                <w:snapToGrid/>
                <w:szCs w:val="22"/>
                <w:lang w:val="lt-LT"/>
              </w:rPr>
              <w:t xml:space="preserve">Infekcijos ir </w:t>
            </w:r>
            <w:proofErr w:type="spellStart"/>
            <w:r w:rsidRPr="007E15ED">
              <w:rPr>
                <w:i/>
                <w:snapToGrid/>
                <w:szCs w:val="22"/>
                <w:lang w:val="lt-LT"/>
              </w:rPr>
              <w:t>infestacijos</w:t>
            </w:r>
            <w:proofErr w:type="spellEnd"/>
          </w:p>
        </w:tc>
        <w:tc>
          <w:tcPr>
            <w:tcW w:w="2801" w:type="dxa"/>
          </w:tcPr>
          <w:p w14:paraId="04D494BA" w14:textId="77777777" w:rsidR="00476BD6" w:rsidRPr="00923E74" w:rsidRDefault="001D317C" w:rsidP="00476BD6">
            <w:pPr>
              <w:spacing w:line="240" w:lineRule="auto"/>
              <w:rPr>
                <w:rFonts w:eastAsia="Calibri"/>
                <w:snapToGrid/>
                <w:szCs w:val="22"/>
                <w:lang w:val="lt-LT"/>
              </w:rPr>
            </w:pPr>
            <w:proofErr w:type="spellStart"/>
            <w:r w:rsidRPr="00923E74">
              <w:rPr>
                <w:color w:val="000000"/>
                <w:szCs w:val="22"/>
                <w:lang w:val="lt-LT"/>
              </w:rPr>
              <w:t>Nazofaringitas</w:t>
            </w:r>
            <w:proofErr w:type="spellEnd"/>
          </w:p>
        </w:tc>
        <w:tc>
          <w:tcPr>
            <w:tcW w:w="1525" w:type="dxa"/>
          </w:tcPr>
          <w:p w14:paraId="6A5A55EB" w14:textId="33B7B36D" w:rsidR="00476BD6" w:rsidRPr="00923E74" w:rsidRDefault="00476BD6" w:rsidP="007E15ED">
            <w:pPr>
              <w:spacing w:line="240" w:lineRule="auto"/>
              <w:jc w:val="center"/>
              <w:rPr>
                <w:rFonts w:eastAsia="Calibri"/>
                <w:snapToGrid/>
                <w:szCs w:val="22"/>
                <w:lang w:val="lt-LT"/>
              </w:rPr>
            </w:pPr>
            <w:r w:rsidRPr="00923E74">
              <w:rPr>
                <w:rFonts w:eastAsia="Calibri"/>
                <w:snapToGrid/>
                <w:spacing w:val="-1"/>
                <w:szCs w:val="22"/>
                <w:lang w:val="lt-LT"/>
              </w:rPr>
              <w:t>Dažn</w:t>
            </w:r>
            <w:r w:rsidR="007B280E">
              <w:rPr>
                <w:rFonts w:eastAsia="Calibri"/>
                <w:snapToGrid/>
                <w:spacing w:val="-1"/>
                <w:szCs w:val="22"/>
                <w:lang w:val="lt-LT"/>
              </w:rPr>
              <w:t>as</w:t>
            </w:r>
          </w:p>
        </w:tc>
        <w:tc>
          <w:tcPr>
            <w:tcW w:w="1355" w:type="dxa"/>
          </w:tcPr>
          <w:p w14:paraId="269F1AF9" w14:textId="77777777" w:rsidR="00476BD6" w:rsidRPr="00923E74" w:rsidRDefault="00476BD6" w:rsidP="007E15ED">
            <w:pPr>
              <w:spacing w:line="240" w:lineRule="auto"/>
              <w:jc w:val="center"/>
              <w:rPr>
                <w:rFonts w:eastAsia="Calibri"/>
                <w:snapToGrid/>
                <w:szCs w:val="22"/>
                <w:lang w:val="lt-LT"/>
              </w:rPr>
            </w:pPr>
          </w:p>
        </w:tc>
        <w:tc>
          <w:tcPr>
            <w:tcW w:w="1230" w:type="dxa"/>
          </w:tcPr>
          <w:p w14:paraId="40DA8CF0" w14:textId="77777777" w:rsidR="00476BD6" w:rsidRPr="00923E74" w:rsidRDefault="00476BD6" w:rsidP="007E15ED">
            <w:pPr>
              <w:spacing w:line="240" w:lineRule="auto"/>
              <w:jc w:val="center"/>
              <w:rPr>
                <w:rFonts w:eastAsia="Calibri"/>
                <w:snapToGrid/>
                <w:szCs w:val="22"/>
                <w:lang w:val="lt-LT"/>
              </w:rPr>
            </w:pPr>
          </w:p>
        </w:tc>
      </w:tr>
      <w:tr w:rsidR="00C6142E" w:rsidRPr="00923E74" w14:paraId="5BD94A9B" w14:textId="77777777" w:rsidTr="007E15ED">
        <w:tc>
          <w:tcPr>
            <w:tcW w:w="2375" w:type="dxa"/>
          </w:tcPr>
          <w:p w14:paraId="712E94F5" w14:textId="77777777" w:rsidR="00476BD6" w:rsidRPr="007E15ED" w:rsidRDefault="001D317C" w:rsidP="00476BD6">
            <w:pPr>
              <w:spacing w:line="240" w:lineRule="auto"/>
              <w:rPr>
                <w:i/>
                <w:snapToGrid/>
                <w:szCs w:val="22"/>
                <w:lang w:val="lt-LT"/>
              </w:rPr>
            </w:pPr>
            <w:r w:rsidRPr="007E15ED">
              <w:rPr>
                <w:i/>
                <w:snapToGrid/>
                <w:szCs w:val="22"/>
                <w:lang w:val="lt-LT"/>
              </w:rPr>
              <w:t>Kraujo ir limfinės sistemos sutrikimai</w:t>
            </w:r>
          </w:p>
        </w:tc>
        <w:tc>
          <w:tcPr>
            <w:tcW w:w="2801" w:type="dxa"/>
          </w:tcPr>
          <w:p w14:paraId="23156F85" w14:textId="77777777" w:rsidR="00476BD6" w:rsidRPr="00923E74" w:rsidRDefault="001D317C" w:rsidP="00476BD6">
            <w:pPr>
              <w:spacing w:line="240" w:lineRule="auto"/>
              <w:rPr>
                <w:rFonts w:eastAsia="Calibri"/>
                <w:snapToGrid/>
                <w:szCs w:val="22"/>
                <w:lang w:val="lt-LT"/>
              </w:rPr>
            </w:pPr>
            <w:proofErr w:type="spellStart"/>
            <w:r w:rsidRPr="00923E74">
              <w:rPr>
                <w:color w:val="000000"/>
                <w:szCs w:val="22"/>
                <w:lang w:val="lt-LT"/>
              </w:rPr>
              <w:t>Trombocitopenija</w:t>
            </w:r>
            <w:proofErr w:type="spellEnd"/>
          </w:p>
        </w:tc>
        <w:tc>
          <w:tcPr>
            <w:tcW w:w="1525" w:type="dxa"/>
          </w:tcPr>
          <w:p w14:paraId="0864062E" w14:textId="296B268E" w:rsidR="00476BD6" w:rsidRPr="00923E74" w:rsidRDefault="005A1153" w:rsidP="007E15ED">
            <w:pPr>
              <w:spacing w:line="240" w:lineRule="auto"/>
              <w:jc w:val="center"/>
              <w:rPr>
                <w:rFonts w:eastAsia="Calibri"/>
                <w:snapToGrid/>
                <w:szCs w:val="22"/>
                <w:lang w:val="lt-LT"/>
              </w:rPr>
            </w:pPr>
            <w:r>
              <w:rPr>
                <w:snapToGrid/>
                <w:szCs w:val="22"/>
                <w:lang w:val="lt-LT"/>
              </w:rPr>
              <w:t>Ret</w:t>
            </w:r>
            <w:r w:rsidR="007B280E">
              <w:rPr>
                <w:snapToGrid/>
                <w:szCs w:val="22"/>
                <w:lang w:val="lt-LT"/>
              </w:rPr>
              <w:t>as</w:t>
            </w:r>
          </w:p>
        </w:tc>
        <w:tc>
          <w:tcPr>
            <w:tcW w:w="1355" w:type="dxa"/>
          </w:tcPr>
          <w:p w14:paraId="004DC36B"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424E95E5" w14:textId="77777777" w:rsidR="00476BD6" w:rsidRPr="00923E74" w:rsidRDefault="00476BD6" w:rsidP="007E15ED">
            <w:pPr>
              <w:spacing w:line="240" w:lineRule="auto"/>
              <w:jc w:val="center"/>
              <w:rPr>
                <w:rFonts w:eastAsia="Calibri"/>
                <w:snapToGrid/>
                <w:szCs w:val="22"/>
                <w:lang w:val="lt-LT"/>
              </w:rPr>
            </w:pPr>
          </w:p>
        </w:tc>
      </w:tr>
      <w:tr w:rsidR="00C6142E" w:rsidRPr="00923E74" w14:paraId="3C21E021" w14:textId="77777777" w:rsidTr="007E15ED">
        <w:tc>
          <w:tcPr>
            <w:tcW w:w="2375" w:type="dxa"/>
            <w:vMerge w:val="restart"/>
          </w:tcPr>
          <w:p w14:paraId="3A10116C" w14:textId="77777777" w:rsidR="00476BD6" w:rsidRPr="007E15ED" w:rsidRDefault="001D317C" w:rsidP="001D317C">
            <w:pPr>
              <w:spacing w:line="240" w:lineRule="auto"/>
              <w:rPr>
                <w:i/>
                <w:snapToGrid/>
                <w:szCs w:val="22"/>
                <w:lang w:val="lt-LT"/>
              </w:rPr>
            </w:pPr>
            <w:r w:rsidRPr="007E15ED">
              <w:rPr>
                <w:i/>
                <w:snapToGrid/>
                <w:szCs w:val="22"/>
                <w:lang w:val="lt-LT"/>
              </w:rPr>
              <w:t>Imuninės sistemos sutrikimai</w:t>
            </w:r>
          </w:p>
        </w:tc>
        <w:tc>
          <w:tcPr>
            <w:tcW w:w="2801" w:type="dxa"/>
          </w:tcPr>
          <w:p w14:paraId="15793268" w14:textId="77777777" w:rsidR="00476BD6" w:rsidRPr="00923E74" w:rsidRDefault="001D317C" w:rsidP="001D317C">
            <w:pPr>
              <w:spacing w:line="240" w:lineRule="auto"/>
              <w:rPr>
                <w:rFonts w:eastAsia="Calibri"/>
                <w:snapToGrid/>
                <w:szCs w:val="22"/>
                <w:lang w:val="lt-LT"/>
              </w:rPr>
            </w:pPr>
            <w:r w:rsidRPr="00923E74">
              <w:rPr>
                <w:color w:val="000000"/>
                <w:szCs w:val="22"/>
                <w:lang w:val="lt-LT"/>
              </w:rPr>
              <w:t>Alerginės reakcijos</w:t>
            </w:r>
          </w:p>
        </w:tc>
        <w:tc>
          <w:tcPr>
            <w:tcW w:w="1525" w:type="dxa"/>
          </w:tcPr>
          <w:p w14:paraId="658F6EE9" w14:textId="0EB2D3C8" w:rsidR="00476BD6" w:rsidRPr="00923E74" w:rsidRDefault="00476BD6" w:rsidP="007E15ED">
            <w:pPr>
              <w:spacing w:line="240" w:lineRule="auto"/>
              <w:jc w:val="center"/>
              <w:rPr>
                <w:rFonts w:eastAsia="Calibri"/>
                <w:snapToGrid/>
                <w:szCs w:val="22"/>
                <w:lang w:val="lt-LT"/>
              </w:rPr>
            </w:pPr>
            <w:r w:rsidRPr="00923E74">
              <w:rPr>
                <w:rFonts w:eastAsia="Calibri"/>
                <w:snapToGrid/>
                <w:spacing w:val="-1"/>
                <w:szCs w:val="22"/>
                <w:lang w:val="lt-LT"/>
              </w:rPr>
              <w:t>Dažn</w:t>
            </w:r>
            <w:r w:rsidR="007B280E">
              <w:rPr>
                <w:rFonts w:eastAsia="Calibri"/>
                <w:snapToGrid/>
                <w:spacing w:val="-1"/>
                <w:szCs w:val="22"/>
                <w:lang w:val="lt-LT"/>
              </w:rPr>
              <w:t>as</w:t>
            </w:r>
          </w:p>
        </w:tc>
        <w:tc>
          <w:tcPr>
            <w:tcW w:w="1355" w:type="dxa"/>
          </w:tcPr>
          <w:p w14:paraId="4A9EC426" w14:textId="77777777" w:rsidR="00476BD6" w:rsidRPr="00923E74" w:rsidRDefault="00476BD6" w:rsidP="007E15ED">
            <w:pPr>
              <w:spacing w:line="240" w:lineRule="auto"/>
              <w:jc w:val="center"/>
              <w:rPr>
                <w:rFonts w:eastAsia="Calibri"/>
                <w:snapToGrid/>
                <w:szCs w:val="22"/>
                <w:lang w:val="lt-LT"/>
              </w:rPr>
            </w:pPr>
          </w:p>
        </w:tc>
        <w:tc>
          <w:tcPr>
            <w:tcW w:w="1230" w:type="dxa"/>
          </w:tcPr>
          <w:p w14:paraId="47D7C809" w14:textId="77777777" w:rsidR="00476BD6" w:rsidRPr="00923E74" w:rsidRDefault="00476BD6" w:rsidP="007E15ED">
            <w:pPr>
              <w:spacing w:line="240" w:lineRule="auto"/>
              <w:jc w:val="center"/>
              <w:rPr>
                <w:rFonts w:eastAsia="Calibri"/>
                <w:snapToGrid/>
                <w:szCs w:val="22"/>
                <w:lang w:val="lt-LT"/>
              </w:rPr>
            </w:pPr>
          </w:p>
        </w:tc>
      </w:tr>
      <w:tr w:rsidR="00C6142E" w:rsidRPr="00923E74" w14:paraId="5768E238" w14:textId="77777777" w:rsidTr="007E15ED">
        <w:tc>
          <w:tcPr>
            <w:tcW w:w="2375" w:type="dxa"/>
            <w:vMerge/>
          </w:tcPr>
          <w:p w14:paraId="7AA02A2D" w14:textId="77777777" w:rsidR="00476BD6" w:rsidRPr="00923E74" w:rsidRDefault="00476BD6" w:rsidP="00476BD6">
            <w:pPr>
              <w:spacing w:line="240" w:lineRule="auto"/>
              <w:rPr>
                <w:rFonts w:eastAsia="Calibri"/>
                <w:snapToGrid/>
                <w:szCs w:val="22"/>
                <w:lang w:val="lt-LT"/>
              </w:rPr>
            </w:pPr>
          </w:p>
        </w:tc>
        <w:tc>
          <w:tcPr>
            <w:tcW w:w="2801" w:type="dxa"/>
          </w:tcPr>
          <w:p w14:paraId="6D7EF888" w14:textId="77777777" w:rsidR="00476BD6" w:rsidRPr="00923E74" w:rsidRDefault="001D317C" w:rsidP="00476BD6">
            <w:pPr>
              <w:spacing w:line="240" w:lineRule="auto"/>
              <w:rPr>
                <w:rFonts w:eastAsia="Calibri"/>
                <w:snapToGrid/>
                <w:szCs w:val="22"/>
                <w:lang w:val="lt-LT"/>
              </w:rPr>
            </w:pPr>
            <w:r w:rsidRPr="00923E74">
              <w:rPr>
                <w:snapToGrid/>
                <w:szCs w:val="22"/>
                <w:lang w:val="lt-LT"/>
              </w:rPr>
              <w:t>Anafilaksinės reakcijos</w:t>
            </w:r>
          </w:p>
        </w:tc>
        <w:tc>
          <w:tcPr>
            <w:tcW w:w="1525" w:type="dxa"/>
          </w:tcPr>
          <w:p w14:paraId="3B1160BC" w14:textId="7D7349FD" w:rsidR="00476BD6" w:rsidRPr="00923E74" w:rsidRDefault="001D317C" w:rsidP="007E15ED">
            <w:pPr>
              <w:spacing w:line="240" w:lineRule="auto"/>
              <w:jc w:val="center"/>
              <w:rPr>
                <w:rFonts w:eastAsia="Calibri"/>
                <w:snapToGrid/>
                <w:szCs w:val="22"/>
                <w:lang w:val="lt-LT"/>
              </w:rPr>
            </w:pPr>
            <w:r w:rsidRPr="00923E74">
              <w:rPr>
                <w:snapToGrid/>
                <w:szCs w:val="22"/>
                <w:lang w:val="lt-LT"/>
              </w:rPr>
              <w:t>Labai ret</w:t>
            </w:r>
            <w:r w:rsidR="007B280E">
              <w:rPr>
                <w:snapToGrid/>
                <w:szCs w:val="22"/>
                <w:lang w:val="lt-LT"/>
              </w:rPr>
              <w:t>as</w:t>
            </w:r>
          </w:p>
        </w:tc>
        <w:tc>
          <w:tcPr>
            <w:tcW w:w="1355" w:type="dxa"/>
          </w:tcPr>
          <w:p w14:paraId="24B8D25B" w14:textId="77777777" w:rsidR="00476BD6" w:rsidRPr="00923E74" w:rsidRDefault="00476BD6" w:rsidP="007E15ED">
            <w:pPr>
              <w:spacing w:line="240" w:lineRule="auto"/>
              <w:jc w:val="center"/>
              <w:rPr>
                <w:rFonts w:eastAsia="Calibri"/>
                <w:snapToGrid/>
                <w:szCs w:val="22"/>
                <w:lang w:val="lt-LT"/>
              </w:rPr>
            </w:pPr>
          </w:p>
        </w:tc>
        <w:tc>
          <w:tcPr>
            <w:tcW w:w="1230" w:type="dxa"/>
          </w:tcPr>
          <w:p w14:paraId="616AC087" w14:textId="77777777" w:rsidR="00476BD6" w:rsidRPr="00923E74" w:rsidRDefault="00476BD6" w:rsidP="007E15ED">
            <w:pPr>
              <w:spacing w:line="240" w:lineRule="auto"/>
              <w:jc w:val="center"/>
              <w:rPr>
                <w:rFonts w:eastAsia="Calibri"/>
                <w:snapToGrid/>
                <w:szCs w:val="22"/>
                <w:lang w:val="lt-LT"/>
              </w:rPr>
            </w:pPr>
          </w:p>
        </w:tc>
      </w:tr>
      <w:tr w:rsidR="00C6142E" w:rsidRPr="00923E74" w14:paraId="2B2B5E03" w14:textId="77777777" w:rsidTr="007E15ED">
        <w:tc>
          <w:tcPr>
            <w:tcW w:w="2375" w:type="dxa"/>
            <w:vMerge/>
          </w:tcPr>
          <w:p w14:paraId="6DBB5CC0" w14:textId="77777777" w:rsidR="00476BD6" w:rsidRPr="00923E74" w:rsidRDefault="00476BD6" w:rsidP="00476BD6">
            <w:pPr>
              <w:spacing w:line="240" w:lineRule="auto"/>
              <w:rPr>
                <w:rFonts w:eastAsia="Calibri"/>
                <w:snapToGrid/>
                <w:szCs w:val="22"/>
                <w:lang w:val="lt-LT"/>
              </w:rPr>
            </w:pPr>
          </w:p>
        </w:tc>
        <w:tc>
          <w:tcPr>
            <w:tcW w:w="2801" w:type="dxa"/>
          </w:tcPr>
          <w:p w14:paraId="47E22CDB" w14:textId="77777777" w:rsidR="00476BD6" w:rsidRPr="00923E74" w:rsidRDefault="001D317C" w:rsidP="001D317C">
            <w:pPr>
              <w:spacing w:line="240" w:lineRule="auto"/>
              <w:rPr>
                <w:rFonts w:eastAsia="Calibri"/>
                <w:snapToGrid/>
                <w:szCs w:val="22"/>
                <w:lang w:val="lt-LT"/>
              </w:rPr>
            </w:pPr>
            <w:r w:rsidRPr="00923E74">
              <w:rPr>
                <w:snapToGrid/>
                <w:szCs w:val="22"/>
                <w:lang w:val="lt-LT"/>
              </w:rPr>
              <w:t xml:space="preserve">Padidėjęs jautrumas, įskaitant išbėrimą, dilgėlinę, </w:t>
            </w:r>
            <w:proofErr w:type="spellStart"/>
            <w:r w:rsidRPr="00923E74">
              <w:rPr>
                <w:snapToGrid/>
                <w:szCs w:val="22"/>
                <w:lang w:val="lt-LT"/>
              </w:rPr>
              <w:t>anafilaksiją</w:t>
            </w:r>
            <w:proofErr w:type="spellEnd"/>
            <w:r w:rsidRPr="00923E74">
              <w:rPr>
                <w:snapToGrid/>
                <w:szCs w:val="22"/>
                <w:lang w:val="lt-LT"/>
              </w:rPr>
              <w:t xml:space="preserve"> ir </w:t>
            </w:r>
            <w:proofErr w:type="spellStart"/>
            <w:r w:rsidRPr="00923E74">
              <w:rPr>
                <w:snapToGrid/>
                <w:szCs w:val="22"/>
                <w:lang w:val="lt-LT"/>
              </w:rPr>
              <w:t>angioneurozinę</w:t>
            </w:r>
            <w:proofErr w:type="spellEnd"/>
            <w:r w:rsidRPr="00923E74">
              <w:rPr>
                <w:snapToGrid/>
                <w:szCs w:val="22"/>
                <w:lang w:val="lt-LT"/>
              </w:rPr>
              <w:t xml:space="preserve"> edemą</w:t>
            </w:r>
          </w:p>
        </w:tc>
        <w:tc>
          <w:tcPr>
            <w:tcW w:w="1525" w:type="dxa"/>
          </w:tcPr>
          <w:p w14:paraId="4ADFB82E" w14:textId="77777777" w:rsidR="00476BD6" w:rsidRPr="00923E74" w:rsidRDefault="00476BD6" w:rsidP="007E15ED">
            <w:pPr>
              <w:spacing w:line="240" w:lineRule="auto"/>
              <w:jc w:val="center"/>
              <w:rPr>
                <w:rFonts w:eastAsia="Calibri"/>
                <w:snapToGrid/>
                <w:szCs w:val="22"/>
                <w:lang w:val="lt-LT"/>
              </w:rPr>
            </w:pPr>
          </w:p>
        </w:tc>
        <w:tc>
          <w:tcPr>
            <w:tcW w:w="1355" w:type="dxa"/>
          </w:tcPr>
          <w:p w14:paraId="03A9A8C3"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1EBBF178" w14:textId="77777777" w:rsidR="00476BD6" w:rsidRPr="00923E74" w:rsidRDefault="00476BD6" w:rsidP="007E15ED">
            <w:pPr>
              <w:spacing w:line="240" w:lineRule="auto"/>
              <w:jc w:val="center"/>
              <w:rPr>
                <w:rFonts w:eastAsia="Calibri"/>
                <w:snapToGrid/>
                <w:szCs w:val="22"/>
                <w:lang w:val="lt-LT"/>
              </w:rPr>
            </w:pPr>
          </w:p>
        </w:tc>
      </w:tr>
      <w:tr w:rsidR="00C6142E" w:rsidRPr="00923E74" w14:paraId="4B32F5DD" w14:textId="77777777" w:rsidTr="007E15ED">
        <w:tc>
          <w:tcPr>
            <w:tcW w:w="2375" w:type="dxa"/>
            <w:vMerge w:val="restart"/>
          </w:tcPr>
          <w:p w14:paraId="39C275A1" w14:textId="77777777" w:rsidR="00476BD6" w:rsidRPr="007E15ED" w:rsidRDefault="001D317C" w:rsidP="00476BD6">
            <w:pPr>
              <w:spacing w:line="240" w:lineRule="auto"/>
              <w:rPr>
                <w:rFonts w:eastAsia="Calibri"/>
                <w:i/>
                <w:snapToGrid/>
                <w:szCs w:val="22"/>
                <w:lang w:val="lt-LT"/>
              </w:rPr>
            </w:pPr>
            <w:r w:rsidRPr="007E15ED">
              <w:rPr>
                <w:i/>
                <w:snapToGrid/>
                <w:szCs w:val="22"/>
                <w:lang w:val="lt-LT"/>
              </w:rPr>
              <w:t>Metabolizmo ir mitybos sutrikimai</w:t>
            </w:r>
          </w:p>
        </w:tc>
        <w:tc>
          <w:tcPr>
            <w:tcW w:w="2801" w:type="dxa"/>
          </w:tcPr>
          <w:p w14:paraId="74276179" w14:textId="77777777" w:rsidR="00476BD6" w:rsidRPr="00923E74" w:rsidRDefault="001D317C" w:rsidP="00476BD6">
            <w:pPr>
              <w:spacing w:line="240" w:lineRule="auto"/>
              <w:rPr>
                <w:rFonts w:eastAsia="Calibri"/>
                <w:snapToGrid/>
                <w:szCs w:val="22"/>
                <w:lang w:val="lt-LT"/>
              </w:rPr>
            </w:pPr>
            <w:r w:rsidRPr="00923E74">
              <w:rPr>
                <w:color w:val="000000"/>
                <w:szCs w:val="22"/>
                <w:lang w:val="lt-LT"/>
              </w:rPr>
              <w:t>Hiperglikemija</w:t>
            </w:r>
          </w:p>
        </w:tc>
        <w:tc>
          <w:tcPr>
            <w:tcW w:w="1525" w:type="dxa"/>
          </w:tcPr>
          <w:p w14:paraId="25D363CF" w14:textId="4AEA60CD" w:rsidR="00476BD6" w:rsidRPr="00923E74" w:rsidRDefault="00476BD6" w:rsidP="007E15ED">
            <w:pPr>
              <w:spacing w:line="240" w:lineRule="auto"/>
              <w:jc w:val="center"/>
              <w:rPr>
                <w:rFonts w:eastAsia="Calibri"/>
                <w:snapToGrid/>
                <w:szCs w:val="22"/>
                <w:lang w:val="lt-LT"/>
              </w:rPr>
            </w:pPr>
            <w:r w:rsidRPr="00923E74">
              <w:rPr>
                <w:rFonts w:eastAsia="Calibri"/>
                <w:snapToGrid/>
                <w:spacing w:val="-1"/>
                <w:szCs w:val="22"/>
                <w:lang w:val="lt-LT"/>
              </w:rPr>
              <w:t>Dažn</w:t>
            </w:r>
            <w:r w:rsidR="007B280E">
              <w:rPr>
                <w:rFonts w:eastAsia="Calibri"/>
                <w:snapToGrid/>
                <w:spacing w:val="-1"/>
                <w:szCs w:val="22"/>
                <w:lang w:val="lt-LT"/>
              </w:rPr>
              <w:t>as</w:t>
            </w:r>
          </w:p>
        </w:tc>
        <w:tc>
          <w:tcPr>
            <w:tcW w:w="1355" w:type="dxa"/>
          </w:tcPr>
          <w:p w14:paraId="39A8B1A0" w14:textId="77777777" w:rsidR="00476BD6" w:rsidRPr="00923E74" w:rsidRDefault="00476BD6" w:rsidP="007E15ED">
            <w:pPr>
              <w:spacing w:line="240" w:lineRule="auto"/>
              <w:jc w:val="center"/>
              <w:rPr>
                <w:rFonts w:eastAsia="Calibri"/>
                <w:snapToGrid/>
                <w:szCs w:val="22"/>
                <w:lang w:val="lt-LT"/>
              </w:rPr>
            </w:pPr>
          </w:p>
        </w:tc>
        <w:tc>
          <w:tcPr>
            <w:tcW w:w="1230" w:type="dxa"/>
          </w:tcPr>
          <w:p w14:paraId="17B30E29" w14:textId="77777777" w:rsidR="00476BD6" w:rsidRPr="00923E74" w:rsidRDefault="00476BD6" w:rsidP="007E15ED">
            <w:pPr>
              <w:spacing w:line="240" w:lineRule="auto"/>
              <w:jc w:val="center"/>
              <w:rPr>
                <w:rFonts w:eastAsia="Calibri"/>
                <w:snapToGrid/>
                <w:szCs w:val="22"/>
                <w:lang w:val="lt-LT"/>
              </w:rPr>
            </w:pPr>
          </w:p>
        </w:tc>
      </w:tr>
      <w:tr w:rsidR="00C6142E" w:rsidRPr="00923E74" w14:paraId="083BDF40" w14:textId="77777777" w:rsidTr="007E15ED">
        <w:tc>
          <w:tcPr>
            <w:tcW w:w="2375" w:type="dxa"/>
            <w:vMerge/>
          </w:tcPr>
          <w:p w14:paraId="7D0EF73F" w14:textId="77777777" w:rsidR="00476BD6" w:rsidRPr="00923E74" w:rsidRDefault="00476BD6" w:rsidP="00476BD6">
            <w:pPr>
              <w:spacing w:line="240" w:lineRule="auto"/>
              <w:rPr>
                <w:rFonts w:eastAsia="Calibri"/>
                <w:snapToGrid/>
                <w:szCs w:val="22"/>
                <w:lang w:val="lt-LT"/>
              </w:rPr>
            </w:pPr>
          </w:p>
        </w:tc>
        <w:tc>
          <w:tcPr>
            <w:tcW w:w="2801" w:type="dxa"/>
          </w:tcPr>
          <w:p w14:paraId="42303588" w14:textId="6D083286" w:rsidR="00476BD6" w:rsidRPr="00923E74" w:rsidRDefault="001D317C" w:rsidP="001D317C">
            <w:pPr>
              <w:spacing w:line="240" w:lineRule="auto"/>
              <w:rPr>
                <w:rFonts w:eastAsia="Calibri"/>
                <w:snapToGrid/>
                <w:szCs w:val="22"/>
                <w:lang w:val="lt-LT"/>
              </w:rPr>
            </w:pPr>
            <w:r w:rsidRPr="00923E74">
              <w:rPr>
                <w:color w:val="000000"/>
                <w:szCs w:val="22"/>
                <w:lang w:val="lt-LT"/>
              </w:rPr>
              <w:t xml:space="preserve">Hipoglikemija, </w:t>
            </w:r>
            <w:r w:rsidR="00D2618F">
              <w:rPr>
                <w:color w:val="000000"/>
                <w:szCs w:val="22"/>
                <w:lang w:val="lt-LT"/>
              </w:rPr>
              <w:t>kūno m</w:t>
            </w:r>
            <w:r w:rsidRPr="00923E74">
              <w:rPr>
                <w:color w:val="000000"/>
                <w:szCs w:val="22"/>
                <w:lang w:val="lt-LT"/>
              </w:rPr>
              <w:t>a</w:t>
            </w:r>
            <w:r w:rsidR="00D2618F">
              <w:rPr>
                <w:color w:val="000000"/>
                <w:szCs w:val="22"/>
                <w:lang w:val="lt-LT"/>
              </w:rPr>
              <w:t xml:space="preserve">sės </w:t>
            </w:r>
            <w:r w:rsidRPr="00923E74">
              <w:rPr>
                <w:color w:val="000000"/>
                <w:szCs w:val="22"/>
                <w:lang w:val="lt-LT"/>
              </w:rPr>
              <w:t>didėji</w:t>
            </w:r>
            <w:r w:rsidR="00D2618F">
              <w:rPr>
                <w:color w:val="000000"/>
                <w:szCs w:val="22"/>
                <w:lang w:val="lt-LT"/>
              </w:rPr>
              <w:t>ma</w:t>
            </w:r>
            <w:r w:rsidRPr="00923E74">
              <w:rPr>
                <w:color w:val="000000"/>
                <w:szCs w:val="22"/>
                <w:lang w:val="lt-LT"/>
              </w:rPr>
              <w:t>s, anoreksija</w:t>
            </w:r>
          </w:p>
        </w:tc>
        <w:tc>
          <w:tcPr>
            <w:tcW w:w="1525" w:type="dxa"/>
          </w:tcPr>
          <w:p w14:paraId="4E826FCE" w14:textId="6E873870"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7B280E">
              <w:rPr>
                <w:snapToGrid/>
                <w:szCs w:val="22"/>
                <w:lang w:val="lt-LT"/>
              </w:rPr>
              <w:t>as</w:t>
            </w:r>
          </w:p>
        </w:tc>
        <w:tc>
          <w:tcPr>
            <w:tcW w:w="1355" w:type="dxa"/>
          </w:tcPr>
          <w:p w14:paraId="7D082406" w14:textId="77777777" w:rsidR="00476BD6" w:rsidRPr="00923E74" w:rsidRDefault="00476BD6" w:rsidP="007E15ED">
            <w:pPr>
              <w:spacing w:line="240" w:lineRule="auto"/>
              <w:jc w:val="center"/>
              <w:rPr>
                <w:rFonts w:eastAsia="Calibri"/>
                <w:snapToGrid/>
                <w:szCs w:val="22"/>
                <w:lang w:val="lt-LT"/>
              </w:rPr>
            </w:pPr>
          </w:p>
        </w:tc>
        <w:tc>
          <w:tcPr>
            <w:tcW w:w="1230" w:type="dxa"/>
          </w:tcPr>
          <w:p w14:paraId="3C5AF37D" w14:textId="77777777" w:rsidR="00476BD6" w:rsidRPr="00923E74" w:rsidRDefault="00476BD6" w:rsidP="007E15ED">
            <w:pPr>
              <w:spacing w:line="240" w:lineRule="auto"/>
              <w:jc w:val="center"/>
              <w:rPr>
                <w:rFonts w:eastAsia="Calibri"/>
                <w:snapToGrid/>
                <w:szCs w:val="22"/>
                <w:lang w:val="lt-LT"/>
              </w:rPr>
            </w:pPr>
          </w:p>
        </w:tc>
      </w:tr>
      <w:tr w:rsidR="00C6142E" w:rsidRPr="00923E74" w14:paraId="4869E0E0" w14:textId="77777777" w:rsidTr="007E15ED">
        <w:tc>
          <w:tcPr>
            <w:tcW w:w="2375" w:type="dxa"/>
            <w:vMerge/>
          </w:tcPr>
          <w:p w14:paraId="7BF04FBF" w14:textId="77777777" w:rsidR="00476BD6" w:rsidRPr="00923E74" w:rsidRDefault="00476BD6" w:rsidP="00476BD6">
            <w:pPr>
              <w:spacing w:line="240" w:lineRule="auto"/>
              <w:rPr>
                <w:rFonts w:eastAsia="Calibri"/>
                <w:snapToGrid/>
                <w:szCs w:val="22"/>
                <w:lang w:val="lt-LT"/>
              </w:rPr>
            </w:pPr>
          </w:p>
        </w:tc>
        <w:tc>
          <w:tcPr>
            <w:tcW w:w="2801" w:type="dxa"/>
          </w:tcPr>
          <w:p w14:paraId="4D3046C0" w14:textId="77777777" w:rsidR="00476BD6" w:rsidRPr="00923E74" w:rsidRDefault="001D317C" w:rsidP="00476BD6">
            <w:pPr>
              <w:spacing w:line="240" w:lineRule="auto"/>
              <w:rPr>
                <w:rFonts w:eastAsia="Calibri"/>
                <w:snapToGrid/>
                <w:szCs w:val="22"/>
                <w:lang w:val="lt-LT"/>
              </w:rPr>
            </w:pPr>
            <w:r w:rsidRPr="00923E74">
              <w:rPr>
                <w:snapToGrid/>
                <w:szCs w:val="22"/>
                <w:lang w:val="lt-LT"/>
              </w:rPr>
              <w:t>Sumažėjęs apetitas</w:t>
            </w:r>
          </w:p>
        </w:tc>
        <w:tc>
          <w:tcPr>
            <w:tcW w:w="1525" w:type="dxa"/>
          </w:tcPr>
          <w:p w14:paraId="50171109" w14:textId="77777777" w:rsidR="00476BD6" w:rsidRPr="00923E74" w:rsidRDefault="00476BD6" w:rsidP="007E15ED">
            <w:pPr>
              <w:spacing w:line="240" w:lineRule="auto"/>
              <w:jc w:val="center"/>
              <w:rPr>
                <w:rFonts w:eastAsia="Calibri"/>
                <w:snapToGrid/>
                <w:szCs w:val="22"/>
                <w:lang w:val="lt-LT"/>
              </w:rPr>
            </w:pPr>
          </w:p>
        </w:tc>
        <w:tc>
          <w:tcPr>
            <w:tcW w:w="1355" w:type="dxa"/>
          </w:tcPr>
          <w:p w14:paraId="1FF56595" w14:textId="548D00F8"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7B280E">
              <w:rPr>
                <w:snapToGrid/>
                <w:szCs w:val="22"/>
                <w:lang w:val="lt-LT"/>
              </w:rPr>
              <w:t>as</w:t>
            </w:r>
          </w:p>
        </w:tc>
        <w:tc>
          <w:tcPr>
            <w:tcW w:w="1230" w:type="dxa"/>
          </w:tcPr>
          <w:p w14:paraId="2446BA68" w14:textId="77777777" w:rsidR="00476BD6" w:rsidRPr="00923E74" w:rsidRDefault="00476BD6" w:rsidP="007E15ED">
            <w:pPr>
              <w:spacing w:line="240" w:lineRule="auto"/>
              <w:jc w:val="center"/>
              <w:rPr>
                <w:rFonts w:eastAsia="Calibri"/>
                <w:snapToGrid/>
                <w:szCs w:val="22"/>
                <w:lang w:val="lt-LT"/>
              </w:rPr>
            </w:pPr>
          </w:p>
        </w:tc>
      </w:tr>
      <w:tr w:rsidR="00C6142E" w:rsidRPr="00923E74" w14:paraId="50AD5D47" w14:textId="77777777" w:rsidTr="007E15ED">
        <w:tc>
          <w:tcPr>
            <w:tcW w:w="2375" w:type="dxa"/>
            <w:vMerge w:val="restart"/>
          </w:tcPr>
          <w:p w14:paraId="20E4DAF4" w14:textId="77777777" w:rsidR="00476BD6" w:rsidRPr="007E15ED" w:rsidRDefault="00401F1F" w:rsidP="00476BD6">
            <w:pPr>
              <w:spacing w:line="240" w:lineRule="auto"/>
              <w:rPr>
                <w:rFonts w:eastAsia="Calibri"/>
                <w:i/>
                <w:snapToGrid/>
                <w:szCs w:val="22"/>
                <w:lang w:val="lt-LT"/>
              </w:rPr>
            </w:pPr>
            <w:r w:rsidRPr="007E15ED">
              <w:rPr>
                <w:i/>
                <w:snapToGrid/>
                <w:szCs w:val="22"/>
                <w:lang w:val="lt-LT"/>
              </w:rPr>
              <w:t>Psichikos sutrikimai</w:t>
            </w:r>
          </w:p>
        </w:tc>
        <w:tc>
          <w:tcPr>
            <w:tcW w:w="2801" w:type="dxa"/>
          </w:tcPr>
          <w:p w14:paraId="06B0737F" w14:textId="77777777" w:rsidR="00476BD6" w:rsidRPr="00923E74" w:rsidRDefault="00401F1F" w:rsidP="00476BD6">
            <w:pPr>
              <w:spacing w:line="240" w:lineRule="auto"/>
              <w:rPr>
                <w:rFonts w:eastAsia="Calibri"/>
                <w:snapToGrid/>
                <w:szCs w:val="22"/>
                <w:lang w:val="lt-LT"/>
              </w:rPr>
            </w:pPr>
            <w:r w:rsidRPr="00923E74">
              <w:rPr>
                <w:snapToGrid/>
                <w:szCs w:val="22"/>
                <w:lang w:val="lt-LT"/>
              </w:rPr>
              <w:t>Košmariški sapnai, nemiga</w:t>
            </w:r>
          </w:p>
        </w:tc>
        <w:tc>
          <w:tcPr>
            <w:tcW w:w="1525" w:type="dxa"/>
          </w:tcPr>
          <w:p w14:paraId="3A4B9319" w14:textId="406B13AB"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7B280E">
              <w:rPr>
                <w:snapToGrid/>
                <w:szCs w:val="22"/>
                <w:lang w:val="lt-LT"/>
              </w:rPr>
              <w:t>as</w:t>
            </w:r>
          </w:p>
        </w:tc>
        <w:tc>
          <w:tcPr>
            <w:tcW w:w="1355" w:type="dxa"/>
          </w:tcPr>
          <w:p w14:paraId="0056F642" w14:textId="77777777" w:rsidR="00476BD6" w:rsidRPr="00923E74" w:rsidRDefault="00476BD6" w:rsidP="007E15ED">
            <w:pPr>
              <w:spacing w:line="240" w:lineRule="auto"/>
              <w:jc w:val="center"/>
              <w:rPr>
                <w:rFonts w:eastAsia="Calibri"/>
                <w:snapToGrid/>
                <w:szCs w:val="22"/>
                <w:lang w:val="lt-LT"/>
              </w:rPr>
            </w:pPr>
          </w:p>
        </w:tc>
        <w:tc>
          <w:tcPr>
            <w:tcW w:w="1230" w:type="dxa"/>
          </w:tcPr>
          <w:p w14:paraId="23320317" w14:textId="77777777" w:rsidR="00476BD6" w:rsidRPr="00923E74" w:rsidRDefault="00476BD6" w:rsidP="007E15ED">
            <w:pPr>
              <w:spacing w:line="240" w:lineRule="auto"/>
              <w:jc w:val="center"/>
              <w:rPr>
                <w:rFonts w:eastAsia="Calibri"/>
                <w:snapToGrid/>
                <w:szCs w:val="22"/>
                <w:lang w:val="lt-LT"/>
              </w:rPr>
            </w:pPr>
          </w:p>
        </w:tc>
      </w:tr>
      <w:tr w:rsidR="00C6142E" w:rsidRPr="00923E74" w14:paraId="1F9F39F7" w14:textId="77777777" w:rsidTr="007E15ED">
        <w:tc>
          <w:tcPr>
            <w:tcW w:w="2375" w:type="dxa"/>
            <w:vMerge/>
          </w:tcPr>
          <w:p w14:paraId="25E03F71" w14:textId="77777777" w:rsidR="00476BD6" w:rsidRPr="00923E74" w:rsidRDefault="00476BD6" w:rsidP="00476BD6">
            <w:pPr>
              <w:spacing w:line="240" w:lineRule="auto"/>
              <w:rPr>
                <w:rFonts w:eastAsia="Calibri"/>
                <w:snapToGrid/>
                <w:szCs w:val="22"/>
                <w:lang w:val="lt-LT"/>
              </w:rPr>
            </w:pPr>
          </w:p>
        </w:tc>
        <w:tc>
          <w:tcPr>
            <w:tcW w:w="2801" w:type="dxa"/>
          </w:tcPr>
          <w:p w14:paraId="26EE92F1" w14:textId="77777777" w:rsidR="00476BD6" w:rsidRPr="00923E74" w:rsidRDefault="00476BD6" w:rsidP="00401F1F">
            <w:pPr>
              <w:spacing w:line="240" w:lineRule="auto"/>
              <w:rPr>
                <w:rFonts w:eastAsia="Calibri"/>
                <w:snapToGrid/>
                <w:szCs w:val="22"/>
                <w:lang w:val="lt-LT"/>
              </w:rPr>
            </w:pPr>
            <w:r w:rsidRPr="00923E74">
              <w:rPr>
                <w:snapToGrid/>
                <w:szCs w:val="22"/>
                <w:lang w:val="lt-LT"/>
              </w:rPr>
              <w:t>Depres</w:t>
            </w:r>
            <w:r w:rsidR="00401F1F" w:rsidRPr="00923E74">
              <w:rPr>
                <w:snapToGrid/>
                <w:szCs w:val="22"/>
                <w:lang w:val="lt-LT"/>
              </w:rPr>
              <w:t>ija</w:t>
            </w:r>
          </w:p>
        </w:tc>
        <w:tc>
          <w:tcPr>
            <w:tcW w:w="1525" w:type="dxa"/>
          </w:tcPr>
          <w:p w14:paraId="2987E691" w14:textId="77777777" w:rsidR="00476BD6" w:rsidRPr="00923E74" w:rsidRDefault="00476BD6" w:rsidP="007E15ED">
            <w:pPr>
              <w:spacing w:line="240" w:lineRule="auto"/>
              <w:jc w:val="center"/>
              <w:rPr>
                <w:rFonts w:eastAsia="Calibri"/>
                <w:snapToGrid/>
                <w:szCs w:val="22"/>
                <w:lang w:val="lt-LT"/>
              </w:rPr>
            </w:pPr>
          </w:p>
        </w:tc>
        <w:tc>
          <w:tcPr>
            <w:tcW w:w="1355" w:type="dxa"/>
          </w:tcPr>
          <w:p w14:paraId="5DA5194C"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21C86389" w14:textId="77777777" w:rsidR="00476BD6" w:rsidRPr="00923E74" w:rsidRDefault="00476BD6" w:rsidP="007E15ED">
            <w:pPr>
              <w:spacing w:line="240" w:lineRule="auto"/>
              <w:jc w:val="center"/>
              <w:rPr>
                <w:rFonts w:eastAsia="Calibri"/>
                <w:snapToGrid/>
                <w:szCs w:val="22"/>
                <w:lang w:val="lt-LT"/>
              </w:rPr>
            </w:pPr>
          </w:p>
        </w:tc>
      </w:tr>
      <w:tr w:rsidR="00EF5D26" w:rsidRPr="00923E74" w14:paraId="6F467061" w14:textId="77777777" w:rsidTr="007E15ED">
        <w:tc>
          <w:tcPr>
            <w:tcW w:w="2375" w:type="dxa"/>
            <w:vMerge w:val="restart"/>
          </w:tcPr>
          <w:p w14:paraId="3A7F7F3D" w14:textId="77777777" w:rsidR="00EF5D26" w:rsidRPr="007E15ED" w:rsidRDefault="00EF5D26" w:rsidP="003B2789">
            <w:pPr>
              <w:spacing w:line="240" w:lineRule="auto"/>
              <w:rPr>
                <w:rFonts w:eastAsia="Calibri"/>
                <w:i/>
                <w:snapToGrid/>
                <w:szCs w:val="22"/>
                <w:lang w:val="lt-LT"/>
              </w:rPr>
            </w:pPr>
            <w:r w:rsidRPr="007E15ED">
              <w:rPr>
                <w:i/>
                <w:snapToGrid/>
                <w:szCs w:val="22"/>
                <w:lang w:val="lt-LT"/>
              </w:rPr>
              <w:t>Nervų sistemos sutrikimai</w:t>
            </w:r>
          </w:p>
        </w:tc>
        <w:tc>
          <w:tcPr>
            <w:tcW w:w="2801" w:type="dxa"/>
          </w:tcPr>
          <w:p w14:paraId="48411E14" w14:textId="77777777" w:rsidR="00EF5D26" w:rsidRPr="00923E74" w:rsidRDefault="00EF5D26" w:rsidP="00476BD6">
            <w:pPr>
              <w:spacing w:line="240" w:lineRule="auto"/>
              <w:rPr>
                <w:rFonts w:eastAsia="Calibri"/>
                <w:snapToGrid/>
                <w:szCs w:val="22"/>
                <w:lang w:val="lt-LT"/>
              </w:rPr>
            </w:pPr>
            <w:r w:rsidRPr="00923E74">
              <w:rPr>
                <w:color w:val="000000"/>
                <w:szCs w:val="22"/>
                <w:lang w:val="lt-LT"/>
              </w:rPr>
              <w:t>Galvos skausmas</w:t>
            </w:r>
          </w:p>
        </w:tc>
        <w:tc>
          <w:tcPr>
            <w:tcW w:w="1525" w:type="dxa"/>
          </w:tcPr>
          <w:p w14:paraId="052BB3B8" w14:textId="66DE5E56" w:rsidR="00EF5D26" w:rsidRPr="00923E74" w:rsidRDefault="00EF5D26" w:rsidP="007E15ED">
            <w:pPr>
              <w:spacing w:line="240" w:lineRule="auto"/>
              <w:jc w:val="center"/>
              <w:rPr>
                <w:rFonts w:eastAsia="Calibri"/>
                <w:snapToGrid/>
                <w:szCs w:val="22"/>
                <w:lang w:val="lt-LT"/>
              </w:rPr>
            </w:pPr>
            <w:r w:rsidRPr="00923E74">
              <w:rPr>
                <w:snapToGrid/>
                <w:szCs w:val="22"/>
                <w:lang w:val="lt-LT"/>
              </w:rPr>
              <w:t>Dažn</w:t>
            </w:r>
            <w:r>
              <w:rPr>
                <w:snapToGrid/>
                <w:szCs w:val="22"/>
                <w:lang w:val="lt-LT"/>
              </w:rPr>
              <w:t>as</w:t>
            </w:r>
          </w:p>
        </w:tc>
        <w:tc>
          <w:tcPr>
            <w:tcW w:w="1355" w:type="dxa"/>
          </w:tcPr>
          <w:p w14:paraId="789A5423" w14:textId="77777777" w:rsidR="00EF5D26" w:rsidRPr="00923E74" w:rsidRDefault="00EF5D26" w:rsidP="007E15ED">
            <w:pPr>
              <w:spacing w:line="240" w:lineRule="auto"/>
              <w:jc w:val="center"/>
              <w:rPr>
                <w:rFonts w:eastAsia="Calibri"/>
                <w:snapToGrid/>
                <w:szCs w:val="22"/>
                <w:lang w:val="lt-LT"/>
              </w:rPr>
            </w:pPr>
          </w:p>
        </w:tc>
        <w:tc>
          <w:tcPr>
            <w:tcW w:w="1230" w:type="dxa"/>
          </w:tcPr>
          <w:p w14:paraId="539AA8B1" w14:textId="7BD5F390" w:rsidR="00EF5D26" w:rsidRPr="00923E74" w:rsidRDefault="00EF5D26" w:rsidP="007E15ED">
            <w:pPr>
              <w:spacing w:line="240" w:lineRule="auto"/>
              <w:jc w:val="center"/>
              <w:rPr>
                <w:rFonts w:eastAsia="Calibri"/>
                <w:snapToGrid/>
                <w:szCs w:val="22"/>
                <w:lang w:val="lt-LT"/>
              </w:rPr>
            </w:pPr>
            <w:r w:rsidRPr="00923E74">
              <w:rPr>
                <w:snapToGrid/>
                <w:szCs w:val="22"/>
                <w:lang w:val="lt-LT"/>
              </w:rPr>
              <w:t>Dažn</w:t>
            </w:r>
            <w:r>
              <w:rPr>
                <w:snapToGrid/>
                <w:szCs w:val="22"/>
                <w:lang w:val="lt-LT"/>
              </w:rPr>
              <w:t>as</w:t>
            </w:r>
          </w:p>
        </w:tc>
      </w:tr>
      <w:tr w:rsidR="00EF5D26" w:rsidRPr="00923E74" w14:paraId="5D849EB7" w14:textId="77777777" w:rsidTr="007E15ED">
        <w:tc>
          <w:tcPr>
            <w:tcW w:w="2375" w:type="dxa"/>
            <w:vMerge/>
          </w:tcPr>
          <w:p w14:paraId="7C523085" w14:textId="77777777" w:rsidR="00EF5D26" w:rsidRPr="00923E74" w:rsidRDefault="00EF5D26" w:rsidP="00476BD6">
            <w:pPr>
              <w:spacing w:line="240" w:lineRule="auto"/>
              <w:rPr>
                <w:rFonts w:eastAsia="Calibri"/>
                <w:snapToGrid/>
                <w:szCs w:val="22"/>
                <w:lang w:val="lt-LT"/>
              </w:rPr>
            </w:pPr>
          </w:p>
        </w:tc>
        <w:tc>
          <w:tcPr>
            <w:tcW w:w="2801" w:type="dxa"/>
          </w:tcPr>
          <w:p w14:paraId="781C651C" w14:textId="77777777" w:rsidR="00EF5D26" w:rsidRPr="00923E74" w:rsidRDefault="00EF5D26" w:rsidP="00476BD6">
            <w:pPr>
              <w:spacing w:line="240" w:lineRule="auto"/>
              <w:rPr>
                <w:rFonts w:eastAsia="Calibri"/>
                <w:snapToGrid/>
                <w:szCs w:val="22"/>
                <w:lang w:val="lt-LT"/>
              </w:rPr>
            </w:pPr>
            <w:r w:rsidRPr="00923E74">
              <w:rPr>
                <w:snapToGrid/>
                <w:szCs w:val="22"/>
                <w:lang w:val="lt-LT"/>
              </w:rPr>
              <w:t>Svaigulys</w:t>
            </w:r>
          </w:p>
        </w:tc>
        <w:tc>
          <w:tcPr>
            <w:tcW w:w="1525" w:type="dxa"/>
          </w:tcPr>
          <w:p w14:paraId="745FDAAE" w14:textId="59EDD1D9" w:rsidR="00EF5D26" w:rsidRPr="00923E74" w:rsidRDefault="00EF5D26"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355" w:type="dxa"/>
          </w:tcPr>
          <w:p w14:paraId="1C553AA0" w14:textId="77777777" w:rsidR="00EF5D26" w:rsidRPr="00923E74" w:rsidRDefault="00EF5D2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0CB6D7E2" w14:textId="77777777" w:rsidR="00EF5D26" w:rsidRPr="00923E74" w:rsidRDefault="00EF5D26" w:rsidP="007E15ED">
            <w:pPr>
              <w:spacing w:line="240" w:lineRule="auto"/>
              <w:jc w:val="center"/>
              <w:rPr>
                <w:rFonts w:eastAsia="Calibri"/>
                <w:snapToGrid/>
                <w:szCs w:val="22"/>
                <w:lang w:val="lt-LT"/>
              </w:rPr>
            </w:pPr>
          </w:p>
        </w:tc>
      </w:tr>
      <w:tr w:rsidR="00EF5D26" w:rsidRPr="00923E74" w14:paraId="40E54620" w14:textId="77777777" w:rsidTr="007E15ED">
        <w:tc>
          <w:tcPr>
            <w:tcW w:w="2375" w:type="dxa"/>
            <w:vMerge/>
          </w:tcPr>
          <w:p w14:paraId="43C9B35D" w14:textId="77777777" w:rsidR="00EF5D26" w:rsidRPr="00923E74" w:rsidRDefault="00EF5D26" w:rsidP="00476BD6">
            <w:pPr>
              <w:spacing w:line="240" w:lineRule="auto"/>
              <w:rPr>
                <w:rFonts w:eastAsia="Calibri"/>
                <w:snapToGrid/>
                <w:szCs w:val="22"/>
                <w:lang w:val="lt-LT"/>
              </w:rPr>
            </w:pPr>
          </w:p>
        </w:tc>
        <w:tc>
          <w:tcPr>
            <w:tcW w:w="2801" w:type="dxa"/>
          </w:tcPr>
          <w:p w14:paraId="2BF2CB4E" w14:textId="77777777" w:rsidR="00EF5D26" w:rsidRPr="00923E74" w:rsidRDefault="00EF5D26" w:rsidP="00476BD6">
            <w:pPr>
              <w:spacing w:line="240" w:lineRule="auto"/>
              <w:rPr>
                <w:rFonts w:eastAsia="Calibri"/>
                <w:snapToGrid/>
                <w:szCs w:val="22"/>
                <w:lang w:val="lt-LT"/>
              </w:rPr>
            </w:pPr>
            <w:proofErr w:type="spellStart"/>
            <w:r w:rsidRPr="00923E74">
              <w:rPr>
                <w:color w:val="000000"/>
                <w:szCs w:val="22"/>
                <w:lang w:val="lt-LT"/>
              </w:rPr>
              <w:t>Hipestezija</w:t>
            </w:r>
            <w:proofErr w:type="spellEnd"/>
            <w:r w:rsidRPr="00923E74">
              <w:rPr>
                <w:color w:val="000000"/>
                <w:szCs w:val="22"/>
                <w:lang w:val="lt-LT"/>
              </w:rPr>
              <w:t>, skonio pojūčio sutrikimas, amnezija</w:t>
            </w:r>
          </w:p>
        </w:tc>
        <w:tc>
          <w:tcPr>
            <w:tcW w:w="1525" w:type="dxa"/>
          </w:tcPr>
          <w:p w14:paraId="1C6E44FB" w14:textId="13985976" w:rsidR="00EF5D26" w:rsidRPr="00923E74" w:rsidRDefault="00EF5D26"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355" w:type="dxa"/>
          </w:tcPr>
          <w:p w14:paraId="4D591C43" w14:textId="77777777" w:rsidR="00EF5D26" w:rsidRPr="00923E74" w:rsidRDefault="00EF5D26" w:rsidP="007E15ED">
            <w:pPr>
              <w:spacing w:line="240" w:lineRule="auto"/>
              <w:jc w:val="center"/>
              <w:rPr>
                <w:rFonts w:eastAsia="Calibri"/>
                <w:snapToGrid/>
                <w:szCs w:val="22"/>
                <w:lang w:val="lt-LT"/>
              </w:rPr>
            </w:pPr>
          </w:p>
        </w:tc>
        <w:tc>
          <w:tcPr>
            <w:tcW w:w="1230" w:type="dxa"/>
          </w:tcPr>
          <w:p w14:paraId="6E9E1054" w14:textId="77777777" w:rsidR="00EF5D26" w:rsidRPr="00923E74" w:rsidRDefault="00EF5D26" w:rsidP="007E15ED">
            <w:pPr>
              <w:spacing w:line="240" w:lineRule="auto"/>
              <w:jc w:val="center"/>
              <w:rPr>
                <w:rFonts w:eastAsia="Calibri"/>
                <w:snapToGrid/>
                <w:szCs w:val="22"/>
                <w:lang w:val="lt-LT"/>
              </w:rPr>
            </w:pPr>
          </w:p>
        </w:tc>
      </w:tr>
      <w:tr w:rsidR="00EF5D26" w:rsidRPr="00923E74" w14:paraId="40BE322C" w14:textId="77777777" w:rsidTr="007E15ED">
        <w:tc>
          <w:tcPr>
            <w:tcW w:w="2375" w:type="dxa"/>
            <w:vMerge/>
          </w:tcPr>
          <w:p w14:paraId="36C00AC6" w14:textId="77777777" w:rsidR="00EF5D26" w:rsidRPr="00923E74" w:rsidRDefault="00EF5D26" w:rsidP="00476BD6">
            <w:pPr>
              <w:spacing w:line="240" w:lineRule="auto"/>
              <w:rPr>
                <w:rFonts w:eastAsia="Calibri"/>
                <w:snapToGrid/>
                <w:szCs w:val="22"/>
                <w:lang w:val="lt-LT"/>
              </w:rPr>
            </w:pPr>
          </w:p>
        </w:tc>
        <w:tc>
          <w:tcPr>
            <w:tcW w:w="2801" w:type="dxa"/>
          </w:tcPr>
          <w:p w14:paraId="006A1CE9" w14:textId="77777777" w:rsidR="00EF5D26" w:rsidRPr="00923E74" w:rsidRDefault="00EF5D26" w:rsidP="00401F1F">
            <w:pPr>
              <w:spacing w:line="240" w:lineRule="auto"/>
              <w:rPr>
                <w:rFonts w:eastAsia="Calibri"/>
                <w:snapToGrid/>
                <w:szCs w:val="22"/>
                <w:lang w:val="lt-LT"/>
              </w:rPr>
            </w:pPr>
            <w:proofErr w:type="spellStart"/>
            <w:r w:rsidRPr="00923E74">
              <w:rPr>
                <w:snapToGrid/>
                <w:szCs w:val="22"/>
                <w:lang w:val="lt-LT"/>
              </w:rPr>
              <w:t>Parestezija</w:t>
            </w:r>
            <w:proofErr w:type="spellEnd"/>
          </w:p>
        </w:tc>
        <w:tc>
          <w:tcPr>
            <w:tcW w:w="1525" w:type="dxa"/>
          </w:tcPr>
          <w:p w14:paraId="01E3B4FF" w14:textId="56ACBF5C" w:rsidR="00EF5D26" w:rsidRPr="00923E74" w:rsidRDefault="00EF5D26"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355" w:type="dxa"/>
          </w:tcPr>
          <w:p w14:paraId="17A33D68" w14:textId="77777777" w:rsidR="00EF5D26" w:rsidRPr="00923E74" w:rsidRDefault="00EF5D2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6C77888B" w14:textId="3C360ECE" w:rsidR="00EF5D26" w:rsidRPr="00923E74" w:rsidRDefault="00EF5D26"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r>
      <w:tr w:rsidR="00EF5D26" w:rsidRPr="00923E74" w14:paraId="1C6D5463" w14:textId="77777777" w:rsidTr="007E15ED">
        <w:tc>
          <w:tcPr>
            <w:tcW w:w="2375" w:type="dxa"/>
            <w:vMerge/>
          </w:tcPr>
          <w:p w14:paraId="5B9792FB" w14:textId="77777777" w:rsidR="00EF5D26" w:rsidRPr="00923E74" w:rsidRDefault="00EF5D26" w:rsidP="00476BD6">
            <w:pPr>
              <w:spacing w:line="240" w:lineRule="auto"/>
              <w:ind w:firstLine="567"/>
              <w:rPr>
                <w:rFonts w:eastAsia="Calibri"/>
                <w:snapToGrid/>
                <w:szCs w:val="22"/>
                <w:lang w:val="lt-LT"/>
              </w:rPr>
            </w:pPr>
          </w:p>
        </w:tc>
        <w:tc>
          <w:tcPr>
            <w:tcW w:w="2801" w:type="dxa"/>
          </w:tcPr>
          <w:p w14:paraId="60EE8E95" w14:textId="77777777" w:rsidR="00EF5D26" w:rsidRPr="00923E74" w:rsidRDefault="00EF5D26" w:rsidP="00401F1F">
            <w:pPr>
              <w:spacing w:line="240" w:lineRule="auto"/>
              <w:rPr>
                <w:rFonts w:eastAsia="Calibri"/>
                <w:snapToGrid/>
                <w:szCs w:val="22"/>
                <w:lang w:val="lt-LT"/>
              </w:rPr>
            </w:pPr>
            <w:r w:rsidRPr="00923E74">
              <w:rPr>
                <w:color w:val="000000"/>
                <w:szCs w:val="22"/>
                <w:lang w:val="lt-LT"/>
              </w:rPr>
              <w:t>Periferinė neuropatija</w:t>
            </w:r>
          </w:p>
        </w:tc>
        <w:tc>
          <w:tcPr>
            <w:tcW w:w="1525" w:type="dxa"/>
          </w:tcPr>
          <w:p w14:paraId="3AE0DD72" w14:textId="00E2BB46" w:rsidR="00EF5D26" w:rsidRPr="00923E74" w:rsidRDefault="00EF5D26" w:rsidP="007E15ED">
            <w:pPr>
              <w:spacing w:line="240" w:lineRule="auto"/>
              <w:jc w:val="center"/>
              <w:rPr>
                <w:rFonts w:eastAsia="Calibri"/>
                <w:snapToGrid/>
                <w:szCs w:val="22"/>
                <w:lang w:val="lt-LT"/>
              </w:rPr>
            </w:pPr>
            <w:r w:rsidRPr="00923E74">
              <w:rPr>
                <w:snapToGrid/>
                <w:szCs w:val="22"/>
                <w:lang w:val="lt-LT"/>
              </w:rPr>
              <w:t>Ret</w:t>
            </w:r>
            <w:r>
              <w:rPr>
                <w:snapToGrid/>
                <w:szCs w:val="22"/>
                <w:lang w:val="lt-LT"/>
              </w:rPr>
              <w:t>as</w:t>
            </w:r>
          </w:p>
        </w:tc>
        <w:tc>
          <w:tcPr>
            <w:tcW w:w="1355" w:type="dxa"/>
          </w:tcPr>
          <w:p w14:paraId="5F9C26CB" w14:textId="77777777" w:rsidR="00EF5D26" w:rsidRPr="00923E74" w:rsidRDefault="00EF5D26" w:rsidP="007E15ED">
            <w:pPr>
              <w:spacing w:line="240" w:lineRule="auto"/>
              <w:jc w:val="center"/>
              <w:rPr>
                <w:rFonts w:eastAsia="Calibri"/>
                <w:snapToGrid/>
                <w:szCs w:val="22"/>
                <w:lang w:val="lt-LT"/>
              </w:rPr>
            </w:pPr>
          </w:p>
        </w:tc>
        <w:tc>
          <w:tcPr>
            <w:tcW w:w="1230" w:type="dxa"/>
          </w:tcPr>
          <w:p w14:paraId="0489256C" w14:textId="77777777" w:rsidR="00EF5D26" w:rsidRPr="00923E74" w:rsidRDefault="00EF5D26" w:rsidP="007E15ED">
            <w:pPr>
              <w:spacing w:line="240" w:lineRule="auto"/>
              <w:jc w:val="center"/>
              <w:rPr>
                <w:rFonts w:eastAsia="Calibri"/>
                <w:snapToGrid/>
                <w:szCs w:val="22"/>
                <w:lang w:val="lt-LT"/>
              </w:rPr>
            </w:pPr>
          </w:p>
        </w:tc>
      </w:tr>
      <w:tr w:rsidR="00EF5D26" w:rsidRPr="00923E74" w14:paraId="1171C454" w14:textId="77777777" w:rsidTr="007E15ED">
        <w:tc>
          <w:tcPr>
            <w:tcW w:w="2375" w:type="dxa"/>
            <w:vMerge/>
          </w:tcPr>
          <w:p w14:paraId="3AA0B986" w14:textId="77777777" w:rsidR="00EF5D26" w:rsidRPr="00923E74" w:rsidRDefault="00EF5D26" w:rsidP="00476BD6">
            <w:pPr>
              <w:spacing w:line="240" w:lineRule="auto"/>
              <w:ind w:firstLine="567"/>
              <w:rPr>
                <w:rFonts w:eastAsia="Calibri"/>
                <w:snapToGrid/>
                <w:szCs w:val="22"/>
                <w:lang w:val="lt-LT"/>
              </w:rPr>
            </w:pPr>
          </w:p>
        </w:tc>
        <w:tc>
          <w:tcPr>
            <w:tcW w:w="2801" w:type="dxa"/>
          </w:tcPr>
          <w:p w14:paraId="42FA14E8" w14:textId="37C29E93" w:rsidR="00EF5D26" w:rsidRPr="00923E74" w:rsidRDefault="0078303E" w:rsidP="00401F1F">
            <w:pPr>
              <w:spacing w:line="240" w:lineRule="auto"/>
              <w:rPr>
                <w:color w:val="000000"/>
                <w:szCs w:val="22"/>
                <w:lang w:val="lt-LT"/>
              </w:rPr>
            </w:pPr>
            <w:proofErr w:type="spellStart"/>
            <w:r>
              <w:rPr>
                <w:color w:val="000000"/>
                <w:szCs w:val="22"/>
                <w:lang w:val="lt-LT"/>
              </w:rPr>
              <w:t>Generalizuota</w:t>
            </w:r>
            <w:proofErr w:type="spellEnd"/>
            <w:r w:rsidR="00EF5D26">
              <w:rPr>
                <w:color w:val="000000"/>
                <w:szCs w:val="22"/>
                <w:lang w:val="lt-LT"/>
              </w:rPr>
              <w:t xml:space="preserve"> </w:t>
            </w:r>
            <w:proofErr w:type="spellStart"/>
            <w:r w:rsidR="00EF5D26">
              <w:rPr>
                <w:color w:val="000000"/>
                <w:szCs w:val="22"/>
                <w:lang w:val="lt-LT"/>
              </w:rPr>
              <w:t>miastenija</w:t>
            </w:r>
            <w:proofErr w:type="spellEnd"/>
          </w:p>
        </w:tc>
        <w:tc>
          <w:tcPr>
            <w:tcW w:w="1525" w:type="dxa"/>
          </w:tcPr>
          <w:p w14:paraId="0F00F036" w14:textId="2EC68E0D" w:rsidR="00EF5D26" w:rsidRPr="00923E74" w:rsidRDefault="00EF5D26" w:rsidP="007E15ED">
            <w:pPr>
              <w:spacing w:line="240" w:lineRule="auto"/>
              <w:jc w:val="center"/>
              <w:rPr>
                <w:snapToGrid/>
                <w:szCs w:val="22"/>
                <w:lang w:val="lt-LT"/>
              </w:rPr>
            </w:pPr>
            <w:r>
              <w:rPr>
                <w:snapToGrid/>
                <w:szCs w:val="22"/>
                <w:lang w:val="lt-LT"/>
              </w:rPr>
              <w:t>Nežinomas</w:t>
            </w:r>
          </w:p>
        </w:tc>
        <w:tc>
          <w:tcPr>
            <w:tcW w:w="1355" w:type="dxa"/>
          </w:tcPr>
          <w:p w14:paraId="320BF89F" w14:textId="77777777" w:rsidR="00EF5D26" w:rsidRPr="00923E74" w:rsidRDefault="00EF5D26" w:rsidP="007E15ED">
            <w:pPr>
              <w:spacing w:line="240" w:lineRule="auto"/>
              <w:jc w:val="center"/>
              <w:rPr>
                <w:rFonts w:eastAsia="Calibri"/>
                <w:snapToGrid/>
                <w:szCs w:val="22"/>
                <w:lang w:val="lt-LT"/>
              </w:rPr>
            </w:pPr>
          </w:p>
        </w:tc>
        <w:tc>
          <w:tcPr>
            <w:tcW w:w="1230" w:type="dxa"/>
          </w:tcPr>
          <w:p w14:paraId="104DBDA9" w14:textId="77777777" w:rsidR="00EF5D26" w:rsidRPr="00923E74" w:rsidRDefault="00EF5D26" w:rsidP="007E15ED">
            <w:pPr>
              <w:spacing w:line="240" w:lineRule="auto"/>
              <w:jc w:val="center"/>
              <w:rPr>
                <w:rFonts w:eastAsia="Calibri"/>
                <w:snapToGrid/>
                <w:szCs w:val="22"/>
                <w:lang w:val="lt-LT"/>
              </w:rPr>
            </w:pPr>
          </w:p>
        </w:tc>
      </w:tr>
      <w:tr w:rsidR="00EF5D26" w:rsidRPr="00923E74" w14:paraId="1FCCD67D" w14:textId="77777777" w:rsidTr="007E15ED">
        <w:tc>
          <w:tcPr>
            <w:tcW w:w="2375" w:type="dxa"/>
            <w:vMerge w:val="restart"/>
          </w:tcPr>
          <w:p w14:paraId="294B1DA0" w14:textId="77777777" w:rsidR="00EF5D26" w:rsidRPr="007E15ED" w:rsidRDefault="00EF5D26" w:rsidP="007E15ED">
            <w:pPr>
              <w:keepNext/>
              <w:spacing w:line="240" w:lineRule="auto"/>
              <w:rPr>
                <w:rFonts w:eastAsia="Calibri"/>
                <w:i/>
                <w:snapToGrid/>
                <w:szCs w:val="22"/>
                <w:lang w:val="lt-LT"/>
              </w:rPr>
            </w:pPr>
            <w:r w:rsidRPr="007E15ED">
              <w:rPr>
                <w:i/>
                <w:snapToGrid/>
                <w:szCs w:val="22"/>
                <w:lang w:val="lt-LT"/>
              </w:rPr>
              <w:t>Akių sutrikimai</w:t>
            </w:r>
          </w:p>
        </w:tc>
        <w:tc>
          <w:tcPr>
            <w:tcW w:w="2801" w:type="dxa"/>
          </w:tcPr>
          <w:p w14:paraId="41BC5DCA" w14:textId="77777777" w:rsidR="00EF5D26" w:rsidRPr="00923E74" w:rsidRDefault="00EF5D26" w:rsidP="007E15ED">
            <w:pPr>
              <w:keepNext/>
              <w:spacing w:line="240" w:lineRule="auto"/>
              <w:rPr>
                <w:rFonts w:eastAsia="Calibri"/>
                <w:snapToGrid/>
                <w:szCs w:val="22"/>
                <w:lang w:val="lt-LT"/>
              </w:rPr>
            </w:pPr>
            <w:r w:rsidRPr="00923E74">
              <w:rPr>
                <w:snapToGrid/>
                <w:szCs w:val="22"/>
                <w:lang w:val="lt-LT"/>
              </w:rPr>
              <w:t xml:space="preserve">Matomo vaizdo </w:t>
            </w:r>
            <w:proofErr w:type="spellStart"/>
            <w:r w:rsidRPr="00923E74">
              <w:rPr>
                <w:snapToGrid/>
                <w:szCs w:val="22"/>
                <w:lang w:val="lt-LT"/>
              </w:rPr>
              <w:t>neryškumas</w:t>
            </w:r>
            <w:proofErr w:type="spellEnd"/>
          </w:p>
        </w:tc>
        <w:tc>
          <w:tcPr>
            <w:tcW w:w="1525" w:type="dxa"/>
          </w:tcPr>
          <w:p w14:paraId="7266DFFA" w14:textId="15371605" w:rsidR="00EF5D26" w:rsidRPr="00923E74" w:rsidRDefault="00EF5D26" w:rsidP="007E15ED">
            <w:pPr>
              <w:keepNext/>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355" w:type="dxa"/>
          </w:tcPr>
          <w:p w14:paraId="6FAB729A" w14:textId="77777777" w:rsidR="00EF5D26" w:rsidRPr="00923E74" w:rsidRDefault="00EF5D26" w:rsidP="007E15ED">
            <w:pPr>
              <w:keepNext/>
              <w:spacing w:line="240" w:lineRule="auto"/>
              <w:jc w:val="center"/>
              <w:rPr>
                <w:rFonts w:eastAsia="Calibri"/>
                <w:snapToGrid/>
                <w:szCs w:val="22"/>
                <w:lang w:val="lt-LT"/>
              </w:rPr>
            </w:pPr>
          </w:p>
        </w:tc>
        <w:tc>
          <w:tcPr>
            <w:tcW w:w="1230" w:type="dxa"/>
          </w:tcPr>
          <w:p w14:paraId="1F5876A8" w14:textId="77777777" w:rsidR="00EF5D26" w:rsidRPr="00923E74" w:rsidRDefault="00EF5D26" w:rsidP="007E15ED">
            <w:pPr>
              <w:keepNext/>
              <w:spacing w:line="240" w:lineRule="auto"/>
              <w:jc w:val="center"/>
              <w:rPr>
                <w:rFonts w:eastAsia="Calibri"/>
                <w:snapToGrid/>
                <w:szCs w:val="22"/>
                <w:lang w:val="lt-LT"/>
              </w:rPr>
            </w:pPr>
          </w:p>
        </w:tc>
      </w:tr>
      <w:tr w:rsidR="00EF5D26" w:rsidRPr="00923E74" w14:paraId="0D15745F" w14:textId="77777777" w:rsidTr="007E15ED">
        <w:tc>
          <w:tcPr>
            <w:tcW w:w="2375" w:type="dxa"/>
            <w:vMerge/>
          </w:tcPr>
          <w:p w14:paraId="104D2984" w14:textId="77777777" w:rsidR="00EF5D26" w:rsidRPr="00923E74" w:rsidRDefault="00EF5D26" w:rsidP="00476BD6">
            <w:pPr>
              <w:spacing w:line="240" w:lineRule="auto"/>
              <w:rPr>
                <w:rFonts w:eastAsia="Calibri"/>
                <w:snapToGrid/>
                <w:szCs w:val="22"/>
                <w:lang w:val="lt-LT"/>
              </w:rPr>
            </w:pPr>
          </w:p>
        </w:tc>
        <w:tc>
          <w:tcPr>
            <w:tcW w:w="2801" w:type="dxa"/>
          </w:tcPr>
          <w:p w14:paraId="7B3E77F4" w14:textId="77777777" w:rsidR="00EF5D26" w:rsidRPr="00923E74" w:rsidRDefault="00EF5D26" w:rsidP="00476BD6">
            <w:pPr>
              <w:spacing w:line="240" w:lineRule="auto"/>
              <w:rPr>
                <w:rFonts w:eastAsia="Calibri"/>
                <w:snapToGrid/>
                <w:szCs w:val="22"/>
                <w:lang w:val="lt-LT"/>
              </w:rPr>
            </w:pPr>
            <w:r w:rsidRPr="00923E74">
              <w:rPr>
                <w:snapToGrid/>
                <w:szCs w:val="22"/>
                <w:lang w:val="lt-LT"/>
              </w:rPr>
              <w:t>Regos sutrikimas</w:t>
            </w:r>
          </w:p>
        </w:tc>
        <w:tc>
          <w:tcPr>
            <w:tcW w:w="1525" w:type="dxa"/>
          </w:tcPr>
          <w:p w14:paraId="268CC507" w14:textId="7D546A06" w:rsidR="00EF5D26" w:rsidRPr="00923E74" w:rsidRDefault="00EF5D26" w:rsidP="007E15ED">
            <w:pPr>
              <w:spacing w:line="240" w:lineRule="auto"/>
              <w:jc w:val="center"/>
              <w:rPr>
                <w:rFonts w:eastAsia="Calibri"/>
                <w:snapToGrid/>
                <w:szCs w:val="22"/>
                <w:lang w:val="lt-LT"/>
              </w:rPr>
            </w:pPr>
            <w:r w:rsidRPr="00923E74">
              <w:rPr>
                <w:snapToGrid/>
                <w:szCs w:val="22"/>
                <w:lang w:val="lt-LT"/>
              </w:rPr>
              <w:t>Ret</w:t>
            </w:r>
            <w:r>
              <w:rPr>
                <w:snapToGrid/>
                <w:szCs w:val="22"/>
                <w:lang w:val="lt-LT"/>
              </w:rPr>
              <w:t>as</w:t>
            </w:r>
          </w:p>
        </w:tc>
        <w:tc>
          <w:tcPr>
            <w:tcW w:w="1355" w:type="dxa"/>
          </w:tcPr>
          <w:p w14:paraId="016F5AEA" w14:textId="77777777" w:rsidR="00EF5D26" w:rsidRPr="00923E74" w:rsidRDefault="00EF5D26" w:rsidP="007E15ED">
            <w:pPr>
              <w:spacing w:line="240" w:lineRule="auto"/>
              <w:jc w:val="center"/>
              <w:rPr>
                <w:rFonts w:eastAsia="Calibri"/>
                <w:snapToGrid/>
                <w:szCs w:val="22"/>
                <w:lang w:val="lt-LT"/>
              </w:rPr>
            </w:pPr>
          </w:p>
        </w:tc>
        <w:tc>
          <w:tcPr>
            <w:tcW w:w="1230" w:type="dxa"/>
          </w:tcPr>
          <w:p w14:paraId="27FF6D6B" w14:textId="77777777" w:rsidR="00EF5D26" w:rsidRPr="00923E74" w:rsidRDefault="00EF5D26" w:rsidP="007E15ED">
            <w:pPr>
              <w:spacing w:line="240" w:lineRule="auto"/>
              <w:jc w:val="center"/>
              <w:rPr>
                <w:rFonts w:eastAsia="Calibri"/>
                <w:snapToGrid/>
                <w:szCs w:val="22"/>
                <w:lang w:val="lt-LT"/>
              </w:rPr>
            </w:pPr>
          </w:p>
        </w:tc>
      </w:tr>
      <w:tr w:rsidR="00EF5D26" w:rsidRPr="00923E74" w14:paraId="5FB4119E" w14:textId="77777777" w:rsidTr="007E15ED">
        <w:tc>
          <w:tcPr>
            <w:tcW w:w="2375" w:type="dxa"/>
            <w:vMerge/>
          </w:tcPr>
          <w:p w14:paraId="5A61081D" w14:textId="77777777" w:rsidR="00EF5D26" w:rsidRPr="00923E74" w:rsidRDefault="00EF5D26" w:rsidP="00476BD6">
            <w:pPr>
              <w:spacing w:line="240" w:lineRule="auto"/>
              <w:rPr>
                <w:rFonts w:eastAsia="Calibri"/>
                <w:snapToGrid/>
                <w:szCs w:val="22"/>
                <w:lang w:val="lt-LT"/>
              </w:rPr>
            </w:pPr>
          </w:p>
        </w:tc>
        <w:tc>
          <w:tcPr>
            <w:tcW w:w="2801" w:type="dxa"/>
          </w:tcPr>
          <w:p w14:paraId="57811CEC" w14:textId="1B5C1224" w:rsidR="00EF5D26" w:rsidRPr="00923E74" w:rsidRDefault="00EF5D26" w:rsidP="00476BD6">
            <w:pPr>
              <w:spacing w:line="240" w:lineRule="auto"/>
              <w:rPr>
                <w:snapToGrid/>
                <w:szCs w:val="22"/>
                <w:lang w:val="lt-LT"/>
              </w:rPr>
            </w:pPr>
            <w:r>
              <w:rPr>
                <w:snapToGrid/>
                <w:szCs w:val="22"/>
                <w:lang w:val="lt-LT"/>
              </w:rPr>
              <w:t xml:space="preserve">Akių </w:t>
            </w:r>
            <w:proofErr w:type="spellStart"/>
            <w:r>
              <w:rPr>
                <w:snapToGrid/>
                <w:szCs w:val="22"/>
                <w:lang w:val="lt-LT"/>
              </w:rPr>
              <w:t>miastenija</w:t>
            </w:r>
            <w:proofErr w:type="spellEnd"/>
          </w:p>
        </w:tc>
        <w:tc>
          <w:tcPr>
            <w:tcW w:w="1525" w:type="dxa"/>
          </w:tcPr>
          <w:p w14:paraId="0F3F6227" w14:textId="7FEF3A16" w:rsidR="00EF5D26" w:rsidRPr="00923E74" w:rsidRDefault="00EF5D26" w:rsidP="007E15ED">
            <w:pPr>
              <w:spacing w:line="240" w:lineRule="auto"/>
              <w:jc w:val="center"/>
              <w:rPr>
                <w:snapToGrid/>
                <w:szCs w:val="22"/>
                <w:lang w:val="lt-LT"/>
              </w:rPr>
            </w:pPr>
            <w:r>
              <w:rPr>
                <w:snapToGrid/>
                <w:szCs w:val="22"/>
                <w:lang w:val="lt-LT"/>
              </w:rPr>
              <w:t>Nežinomas</w:t>
            </w:r>
          </w:p>
        </w:tc>
        <w:tc>
          <w:tcPr>
            <w:tcW w:w="1355" w:type="dxa"/>
          </w:tcPr>
          <w:p w14:paraId="0DA53289" w14:textId="77777777" w:rsidR="00EF5D26" w:rsidRPr="00923E74" w:rsidRDefault="00EF5D26" w:rsidP="007E15ED">
            <w:pPr>
              <w:spacing w:line="240" w:lineRule="auto"/>
              <w:jc w:val="center"/>
              <w:rPr>
                <w:rFonts w:eastAsia="Calibri"/>
                <w:snapToGrid/>
                <w:szCs w:val="22"/>
                <w:lang w:val="lt-LT"/>
              </w:rPr>
            </w:pPr>
          </w:p>
        </w:tc>
        <w:tc>
          <w:tcPr>
            <w:tcW w:w="1230" w:type="dxa"/>
          </w:tcPr>
          <w:p w14:paraId="1590665F" w14:textId="77777777" w:rsidR="00EF5D26" w:rsidRPr="00923E74" w:rsidRDefault="00EF5D26" w:rsidP="007E15ED">
            <w:pPr>
              <w:spacing w:line="240" w:lineRule="auto"/>
              <w:jc w:val="center"/>
              <w:rPr>
                <w:rFonts w:eastAsia="Calibri"/>
                <w:snapToGrid/>
                <w:szCs w:val="22"/>
                <w:lang w:val="lt-LT"/>
              </w:rPr>
            </w:pPr>
          </w:p>
        </w:tc>
      </w:tr>
      <w:tr w:rsidR="00C6142E" w:rsidRPr="001E189D" w14:paraId="005EFBF6" w14:textId="77777777" w:rsidTr="007E15ED">
        <w:tc>
          <w:tcPr>
            <w:tcW w:w="2375" w:type="dxa"/>
            <w:vMerge w:val="restart"/>
          </w:tcPr>
          <w:p w14:paraId="0B1E1EF8" w14:textId="77777777" w:rsidR="00476BD6" w:rsidRPr="007E15ED" w:rsidRDefault="00401F1F" w:rsidP="00476BD6">
            <w:pPr>
              <w:spacing w:line="240" w:lineRule="auto"/>
              <w:rPr>
                <w:rFonts w:eastAsia="Calibri"/>
                <w:i/>
                <w:snapToGrid/>
                <w:szCs w:val="22"/>
                <w:lang w:val="lt-LT"/>
              </w:rPr>
            </w:pPr>
            <w:r w:rsidRPr="007E15ED">
              <w:rPr>
                <w:i/>
                <w:snapToGrid/>
                <w:szCs w:val="22"/>
                <w:lang w:val="lt-LT"/>
              </w:rPr>
              <w:t>Ausų ir labirintų sutrikimai</w:t>
            </w:r>
          </w:p>
        </w:tc>
        <w:tc>
          <w:tcPr>
            <w:tcW w:w="2801" w:type="dxa"/>
          </w:tcPr>
          <w:p w14:paraId="1D96BFA3" w14:textId="77777777" w:rsidR="00476BD6" w:rsidRPr="00923E74" w:rsidRDefault="00401F1F" w:rsidP="00401F1F">
            <w:pPr>
              <w:spacing w:line="240" w:lineRule="auto"/>
              <w:rPr>
                <w:rFonts w:eastAsia="Calibri"/>
                <w:snapToGrid/>
                <w:szCs w:val="22"/>
                <w:lang w:val="lt-LT"/>
              </w:rPr>
            </w:pPr>
            <w:r w:rsidRPr="00923E74">
              <w:rPr>
                <w:snapToGrid/>
                <w:szCs w:val="22"/>
                <w:lang w:val="lt-LT"/>
              </w:rPr>
              <w:t>Ūžesys (</w:t>
            </w:r>
            <w:r w:rsidR="007B280E">
              <w:rPr>
                <w:snapToGrid/>
                <w:szCs w:val="22"/>
                <w:lang w:val="lt-LT"/>
              </w:rPr>
              <w:t xml:space="preserve">lot. </w:t>
            </w:r>
            <w:proofErr w:type="spellStart"/>
            <w:r w:rsidRPr="00923E74">
              <w:rPr>
                <w:i/>
                <w:snapToGrid/>
                <w:szCs w:val="22"/>
                <w:lang w:val="lt-LT"/>
              </w:rPr>
              <w:t>t</w:t>
            </w:r>
            <w:r w:rsidR="00476BD6" w:rsidRPr="00923E74">
              <w:rPr>
                <w:i/>
                <w:snapToGrid/>
                <w:szCs w:val="22"/>
                <w:lang w:val="lt-LT"/>
              </w:rPr>
              <w:t>innitus</w:t>
            </w:r>
            <w:proofErr w:type="spellEnd"/>
            <w:r w:rsidRPr="00923E74">
              <w:rPr>
                <w:snapToGrid/>
                <w:szCs w:val="22"/>
                <w:lang w:val="lt-LT"/>
              </w:rPr>
              <w:t>)</w:t>
            </w:r>
          </w:p>
        </w:tc>
        <w:tc>
          <w:tcPr>
            <w:tcW w:w="1525" w:type="dxa"/>
          </w:tcPr>
          <w:p w14:paraId="3B42A080" w14:textId="2A7453F7"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7B280E">
              <w:rPr>
                <w:snapToGrid/>
                <w:szCs w:val="22"/>
                <w:lang w:val="lt-LT"/>
              </w:rPr>
              <w:t>as</w:t>
            </w:r>
          </w:p>
        </w:tc>
        <w:tc>
          <w:tcPr>
            <w:tcW w:w="1355" w:type="dxa"/>
          </w:tcPr>
          <w:p w14:paraId="06142D40" w14:textId="77777777" w:rsidR="00476BD6" w:rsidRPr="00923E74" w:rsidRDefault="00476BD6" w:rsidP="007E15ED">
            <w:pPr>
              <w:spacing w:line="240" w:lineRule="auto"/>
              <w:jc w:val="center"/>
              <w:rPr>
                <w:rFonts w:eastAsia="Calibri"/>
                <w:snapToGrid/>
                <w:szCs w:val="22"/>
                <w:lang w:val="lt-LT"/>
              </w:rPr>
            </w:pPr>
          </w:p>
        </w:tc>
        <w:tc>
          <w:tcPr>
            <w:tcW w:w="1230" w:type="dxa"/>
          </w:tcPr>
          <w:p w14:paraId="4F18AAD8" w14:textId="77777777" w:rsidR="00476BD6" w:rsidRPr="00923E74" w:rsidRDefault="00476BD6" w:rsidP="007E15ED">
            <w:pPr>
              <w:spacing w:line="240" w:lineRule="auto"/>
              <w:jc w:val="center"/>
              <w:rPr>
                <w:rFonts w:eastAsia="Calibri"/>
                <w:snapToGrid/>
                <w:szCs w:val="22"/>
                <w:lang w:val="lt-LT"/>
              </w:rPr>
            </w:pPr>
          </w:p>
        </w:tc>
      </w:tr>
      <w:tr w:rsidR="00C6142E" w:rsidRPr="001E189D" w14:paraId="6C89544A" w14:textId="77777777" w:rsidTr="007E15ED">
        <w:tc>
          <w:tcPr>
            <w:tcW w:w="2375" w:type="dxa"/>
            <w:vMerge/>
          </w:tcPr>
          <w:p w14:paraId="56F4B786" w14:textId="77777777" w:rsidR="00476BD6" w:rsidRPr="00923E74" w:rsidRDefault="00476BD6" w:rsidP="00476BD6">
            <w:pPr>
              <w:spacing w:line="240" w:lineRule="auto"/>
              <w:rPr>
                <w:rFonts w:eastAsia="Calibri"/>
                <w:snapToGrid/>
                <w:szCs w:val="22"/>
                <w:lang w:val="lt-LT"/>
              </w:rPr>
            </w:pPr>
          </w:p>
        </w:tc>
        <w:tc>
          <w:tcPr>
            <w:tcW w:w="2801" w:type="dxa"/>
          </w:tcPr>
          <w:p w14:paraId="05318180" w14:textId="4BC5FCA0" w:rsidR="00476BD6" w:rsidRPr="00923E74" w:rsidRDefault="00A94FB9" w:rsidP="00476BD6">
            <w:pPr>
              <w:spacing w:line="240" w:lineRule="auto"/>
              <w:rPr>
                <w:rFonts w:eastAsia="Calibri"/>
                <w:snapToGrid/>
                <w:szCs w:val="22"/>
                <w:lang w:val="lt-LT"/>
              </w:rPr>
            </w:pPr>
            <w:r w:rsidRPr="00923E74">
              <w:rPr>
                <w:snapToGrid/>
                <w:szCs w:val="22"/>
                <w:lang w:val="lt-LT"/>
              </w:rPr>
              <w:t>P</w:t>
            </w:r>
            <w:r>
              <w:rPr>
                <w:snapToGrid/>
                <w:szCs w:val="22"/>
                <w:lang w:val="lt-LT"/>
              </w:rPr>
              <w:t>ri</w:t>
            </w:r>
            <w:r w:rsidR="00401F1F" w:rsidRPr="00923E74">
              <w:rPr>
                <w:snapToGrid/>
                <w:szCs w:val="22"/>
                <w:lang w:val="lt-LT"/>
              </w:rPr>
              <w:t>kurtimas</w:t>
            </w:r>
          </w:p>
        </w:tc>
        <w:tc>
          <w:tcPr>
            <w:tcW w:w="1525" w:type="dxa"/>
          </w:tcPr>
          <w:p w14:paraId="5741C9FD" w14:textId="0579746C" w:rsidR="00476BD6" w:rsidRPr="00923E74" w:rsidRDefault="001D317C" w:rsidP="007E15ED">
            <w:pPr>
              <w:autoSpaceDE w:val="0"/>
              <w:autoSpaceDN w:val="0"/>
              <w:adjustRightInd w:val="0"/>
              <w:spacing w:line="240" w:lineRule="auto"/>
              <w:jc w:val="center"/>
              <w:rPr>
                <w:snapToGrid/>
                <w:szCs w:val="22"/>
                <w:lang w:val="lt-LT"/>
              </w:rPr>
            </w:pPr>
            <w:r w:rsidRPr="00923E74">
              <w:rPr>
                <w:snapToGrid/>
                <w:szCs w:val="22"/>
                <w:lang w:val="lt-LT"/>
              </w:rPr>
              <w:t>Labai ret</w:t>
            </w:r>
            <w:r w:rsidR="007B280E">
              <w:rPr>
                <w:snapToGrid/>
                <w:szCs w:val="22"/>
                <w:lang w:val="lt-LT"/>
              </w:rPr>
              <w:t>as</w:t>
            </w:r>
          </w:p>
        </w:tc>
        <w:tc>
          <w:tcPr>
            <w:tcW w:w="1355" w:type="dxa"/>
          </w:tcPr>
          <w:p w14:paraId="11EEDB7C" w14:textId="77777777" w:rsidR="00476BD6" w:rsidRPr="00923E74" w:rsidRDefault="00476BD6" w:rsidP="007E15ED">
            <w:pPr>
              <w:spacing w:line="240" w:lineRule="auto"/>
              <w:jc w:val="center"/>
              <w:rPr>
                <w:rFonts w:eastAsia="Calibri"/>
                <w:snapToGrid/>
                <w:szCs w:val="22"/>
                <w:lang w:val="lt-LT"/>
              </w:rPr>
            </w:pPr>
          </w:p>
        </w:tc>
        <w:tc>
          <w:tcPr>
            <w:tcW w:w="1230" w:type="dxa"/>
          </w:tcPr>
          <w:p w14:paraId="1366DF18" w14:textId="77777777" w:rsidR="00476BD6" w:rsidRPr="00923E74" w:rsidRDefault="00476BD6" w:rsidP="007E15ED">
            <w:pPr>
              <w:spacing w:line="240" w:lineRule="auto"/>
              <w:jc w:val="center"/>
              <w:rPr>
                <w:rFonts w:eastAsia="Calibri"/>
                <w:snapToGrid/>
                <w:szCs w:val="22"/>
                <w:lang w:val="lt-LT"/>
              </w:rPr>
            </w:pPr>
          </w:p>
        </w:tc>
      </w:tr>
      <w:tr w:rsidR="00272627" w:rsidRPr="001E189D" w14:paraId="2A37F0BA" w14:textId="77777777" w:rsidTr="007E15ED">
        <w:tc>
          <w:tcPr>
            <w:tcW w:w="2375" w:type="dxa"/>
            <w:vMerge w:val="restart"/>
          </w:tcPr>
          <w:p w14:paraId="12A9A129" w14:textId="0993C727" w:rsidR="00272627" w:rsidRPr="001925A0" w:rsidRDefault="00272627" w:rsidP="00476BD6">
            <w:pPr>
              <w:spacing w:line="240" w:lineRule="auto"/>
              <w:rPr>
                <w:rFonts w:eastAsia="Calibri"/>
                <w:snapToGrid/>
                <w:szCs w:val="22"/>
                <w:lang w:val="lt-LT"/>
              </w:rPr>
            </w:pPr>
            <w:r w:rsidRPr="00B8030E">
              <w:rPr>
                <w:rFonts w:eastAsia="Calibri"/>
                <w:i/>
                <w:iCs/>
                <w:snapToGrid/>
                <w:szCs w:val="22"/>
                <w:lang w:val="lt-LT"/>
              </w:rPr>
              <w:t>Kraujagyslių sutrikimai</w:t>
            </w:r>
          </w:p>
        </w:tc>
        <w:tc>
          <w:tcPr>
            <w:tcW w:w="2801" w:type="dxa"/>
          </w:tcPr>
          <w:p w14:paraId="10984DF5" w14:textId="26535398" w:rsidR="00272627" w:rsidRPr="00923E74" w:rsidRDefault="00272627" w:rsidP="00476BD6">
            <w:pPr>
              <w:spacing w:line="240" w:lineRule="auto"/>
              <w:rPr>
                <w:snapToGrid/>
                <w:szCs w:val="22"/>
                <w:lang w:val="lt-LT"/>
              </w:rPr>
            </w:pPr>
            <w:r>
              <w:rPr>
                <w:snapToGrid/>
                <w:szCs w:val="22"/>
                <w:lang w:val="lt-LT"/>
              </w:rPr>
              <w:t>Paraudimas su karščio pojūčiu, hipertenzija</w:t>
            </w:r>
          </w:p>
        </w:tc>
        <w:tc>
          <w:tcPr>
            <w:tcW w:w="1525" w:type="dxa"/>
          </w:tcPr>
          <w:p w14:paraId="3DF35BFD" w14:textId="77777777" w:rsidR="00272627" w:rsidRPr="00923E74" w:rsidRDefault="00272627" w:rsidP="007E15ED">
            <w:pPr>
              <w:autoSpaceDE w:val="0"/>
              <w:autoSpaceDN w:val="0"/>
              <w:adjustRightInd w:val="0"/>
              <w:spacing w:line="240" w:lineRule="auto"/>
              <w:jc w:val="center"/>
              <w:rPr>
                <w:snapToGrid/>
                <w:szCs w:val="22"/>
                <w:lang w:val="lt-LT"/>
              </w:rPr>
            </w:pPr>
          </w:p>
        </w:tc>
        <w:tc>
          <w:tcPr>
            <w:tcW w:w="1355" w:type="dxa"/>
          </w:tcPr>
          <w:p w14:paraId="3C1CC44A" w14:textId="144D1CAC" w:rsidR="00272627" w:rsidRPr="00923E74" w:rsidRDefault="00272627" w:rsidP="007E15ED">
            <w:pPr>
              <w:spacing w:line="240" w:lineRule="auto"/>
              <w:jc w:val="center"/>
              <w:rPr>
                <w:rFonts w:eastAsia="Calibri"/>
                <w:snapToGrid/>
                <w:szCs w:val="22"/>
                <w:lang w:val="lt-LT"/>
              </w:rPr>
            </w:pPr>
            <w:r>
              <w:rPr>
                <w:rFonts w:eastAsia="Calibri"/>
                <w:snapToGrid/>
                <w:szCs w:val="22"/>
                <w:lang w:val="lt-LT"/>
              </w:rPr>
              <w:t>Nedažnas</w:t>
            </w:r>
          </w:p>
        </w:tc>
        <w:tc>
          <w:tcPr>
            <w:tcW w:w="1230" w:type="dxa"/>
          </w:tcPr>
          <w:p w14:paraId="36A31A62" w14:textId="77777777" w:rsidR="00272627" w:rsidRPr="00923E74" w:rsidRDefault="00272627" w:rsidP="007E15ED">
            <w:pPr>
              <w:spacing w:line="240" w:lineRule="auto"/>
              <w:jc w:val="center"/>
              <w:rPr>
                <w:rFonts w:eastAsia="Calibri"/>
                <w:snapToGrid/>
                <w:szCs w:val="22"/>
                <w:lang w:val="lt-LT"/>
              </w:rPr>
            </w:pPr>
          </w:p>
        </w:tc>
      </w:tr>
      <w:tr w:rsidR="00272627" w:rsidRPr="001E189D" w14:paraId="7C617549" w14:textId="77777777" w:rsidTr="007E15ED">
        <w:tc>
          <w:tcPr>
            <w:tcW w:w="2375" w:type="dxa"/>
            <w:vMerge/>
          </w:tcPr>
          <w:p w14:paraId="1D19FBAF" w14:textId="77777777" w:rsidR="00272627" w:rsidRPr="00B8030E" w:rsidRDefault="00272627" w:rsidP="00476BD6">
            <w:pPr>
              <w:spacing w:line="240" w:lineRule="auto"/>
              <w:rPr>
                <w:rFonts w:eastAsia="Calibri"/>
                <w:i/>
                <w:iCs/>
                <w:snapToGrid/>
                <w:szCs w:val="22"/>
                <w:lang w:val="lt-LT"/>
              </w:rPr>
            </w:pPr>
          </w:p>
        </w:tc>
        <w:tc>
          <w:tcPr>
            <w:tcW w:w="2801" w:type="dxa"/>
          </w:tcPr>
          <w:p w14:paraId="08D92D83" w14:textId="1FAB9C06" w:rsidR="00272627" w:rsidRDefault="00272627" w:rsidP="00476BD6">
            <w:pPr>
              <w:spacing w:line="240" w:lineRule="auto"/>
              <w:rPr>
                <w:snapToGrid/>
                <w:szCs w:val="22"/>
                <w:lang w:val="lt-LT"/>
              </w:rPr>
            </w:pPr>
            <w:proofErr w:type="spellStart"/>
            <w:r>
              <w:rPr>
                <w:snapToGrid/>
                <w:szCs w:val="22"/>
                <w:lang w:val="lt-LT"/>
              </w:rPr>
              <w:t>Vaskulitas</w:t>
            </w:r>
            <w:proofErr w:type="spellEnd"/>
          </w:p>
        </w:tc>
        <w:tc>
          <w:tcPr>
            <w:tcW w:w="1525" w:type="dxa"/>
          </w:tcPr>
          <w:p w14:paraId="0EB3B244" w14:textId="2B09E96B" w:rsidR="00272627" w:rsidRPr="00923E74" w:rsidRDefault="00272627" w:rsidP="007E15ED">
            <w:pPr>
              <w:autoSpaceDE w:val="0"/>
              <w:autoSpaceDN w:val="0"/>
              <w:adjustRightInd w:val="0"/>
              <w:spacing w:line="240" w:lineRule="auto"/>
              <w:jc w:val="center"/>
              <w:rPr>
                <w:snapToGrid/>
                <w:szCs w:val="22"/>
                <w:lang w:val="lt-LT"/>
              </w:rPr>
            </w:pPr>
            <w:r>
              <w:rPr>
                <w:snapToGrid/>
                <w:szCs w:val="22"/>
                <w:lang w:val="lt-LT"/>
              </w:rPr>
              <w:t>Retas</w:t>
            </w:r>
          </w:p>
        </w:tc>
        <w:tc>
          <w:tcPr>
            <w:tcW w:w="1355" w:type="dxa"/>
          </w:tcPr>
          <w:p w14:paraId="1ECA8C9C" w14:textId="77777777" w:rsidR="00272627" w:rsidRDefault="00272627" w:rsidP="007E15ED">
            <w:pPr>
              <w:spacing w:line="240" w:lineRule="auto"/>
              <w:jc w:val="center"/>
              <w:rPr>
                <w:rFonts w:eastAsia="Calibri"/>
                <w:snapToGrid/>
                <w:szCs w:val="22"/>
                <w:lang w:val="lt-LT"/>
              </w:rPr>
            </w:pPr>
          </w:p>
        </w:tc>
        <w:tc>
          <w:tcPr>
            <w:tcW w:w="1230" w:type="dxa"/>
          </w:tcPr>
          <w:p w14:paraId="5B80EF19" w14:textId="77777777" w:rsidR="00272627" w:rsidRPr="00923E74" w:rsidRDefault="00272627" w:rsidP="007E15ED">
            <w:pPr>
              <w:spacing w:line="240" w:lineRule="auto"/>
              <w:jc w:val="center"/>
              <w:rPr>
                <w:rFonts w:eastAsia="Calibri"/>
                <w:snapToGrid/>
                <w:szCs w:val="22"/>
                <w:lang w:val="lt-LT"/>
              </w:rPr>
            </w:pPr>
          </w:p>
        </w:tc>
      </w:tr>
      <w:tr w:rsidR="00C6142E" w:rsidRPr="00923E74" w14:paraId="149F6D93" w14:textId="77777777" w:rsidTr="007E15ED">
        <w:tc>
          <w:tcPr>
            <w:tcW w:w="2375" w:type="dxa"/>
            <w:vMerge w:val="restart"/>
          </w:tcPr>
          <w:p w14:paraId="6B737A0A" w14:textId="77777777" w:rsidR="00476BD6" w:rsidRPr="007E15ED" w:rsidRDefault="003434DB" w:rsidP="00476BD6">
            <w:pPr>
              <w:spacing w:line="240" w:lineRule="auto"/>
              <w:rPr>
                <w:rFonts w:eastAsia="Calibri"/>
                <w:i/>
                <w:snapToGrid/>
                <w:szCs w:val="22"/>
                <w:lang w:val="lt-LT"/>
              </w:rPr>
            </w:pPr>
            <w:r w:rsidRPr="007E15ED">
              <w:rPr>
                <w:i/>
                <w:snapToGrid/>
                <w:szCs w:val="22"/>
                <w:lang w:val="lt-LT"/>
              </w:rPr>
              <w:t>Kvėpavimo sistemos, krūtinės ląstos ir tarpuplaučio sutrikimai</w:t>
            </w:r>
          </w:p>
        </w:tc>
        <w:tc>
          <w:tcPr>
            <w:tcW w:w="2801" w:type="dxa"/>
          </w:tcPr>
          <w:p w14:paraId="481DC5D9" w14:textId="77777777" w:rsidR="00476BD6" w:rsidRPr="00923E74" w:rsidRDefault="003434DB" w:rsidP="003434DB">
            <w:pPr>
              <w:spacing w:line="240" w:lineRule="auto"/>
              <w:rPr>
                <w:rFonts w:eastAsia="Calibri"/>
                <w:snapToGrid/>
                <w:szCs w:val="22"/>
                <w:lang w:val="lt-LT"/>
              </w:rPr>
            </w:pPr>
            <w:r w:rsidRPr="00923E74">
              <w:rPr>
                <w:snapToGrid/>
                <w:szCs w:val="22"/>
                <w:lang w:val="lt-LT"/>
              </w:rPr>
              <w:t>Ryklės ir gerklų skausmas, kraujavimas iš nosies</w:t>
            </w:r>
          </w:p>
        </w:tc>
        <w:tc>
          <w:tcPr>
            <w:tcW w:w="1525" w:type="dxa"/>
          </w:tcPr>
          <w:p w14:paraId="393BE52F" w14:textId="1F741519" w:rsidR="00476BD6" w:rsidRPr="00923E74" w:rsidRDefault="00476BD6" w:rsidP="007E15ED">
            <w:pPr>
              <w:spacing w:line="240" w:lineRule="auto"/>
              <w:jc w:val="center"/>
              <w:rPr>
                <w:rFonts w:eastAsia="Calibri"/>
                <w:snapToGrid/>
                <w:szCs w:val="22"/>
                <w:lang w:val="lt-LT"/>
              </w:rPr>
            </w:pPr>
            <w:r w:rsidRPr="00923E74">
              <w:rPr>
                <w:snapToGrid/>
                <w:szCs w:val="22"/>
                <w:lang w:val="lt-LT"/>
              </w:rPr>
              <w:t>Dažn</w:t>
            </w:r>
            <w:r w:rsidR="007B280E">
              <w:rPr>
                <w:snapToGrid/>
                <w:szCs w:val="22"/>
                <w:lang w:val="lt-LT"/>
              </w:rPr>
              <w:t>as</w:t>
            </w:r>
          </w:p>
        </w:tc>
        <w:tc>
          <w:tcPr>
            <w:tcW w:w="1355" w:type="dxa"/>
          </w:tcPr>
          <w:p w14:paraId="49D3FD43" w14:textId="77777777" w:rsidR="00476BD6" w:rsidRPr="00923E74" w:rsidRDefault="00476BD6" w:rsidP="007E15ED">
            <w:pPr>
              <w:spacing w:line="240" w:lineRule="auto"/>
              <w:jc w:val="center"/>
              <w:rPr>
                <w:rFonts w:eastAsia="Calibri"/>
                <w:snapToGrid/>
                <w:szCs w:val="22"/>
                <w:lang w:val="lt-LT"/>
              </w:rPr>
            </w:pPr>
          </w:p>
        </w:tc>
        <w:tc>
          <w:tcPr>
            <w:tcW w:w="1230" w:type="dxa"/>
          </w:tcPr>
          <w:p w14:paraId="64A7CE3A" w14:textId="77777777" w:rsidR="00476BD6" w:rsidRPr="00923E74" w:rsidRDefault="00476BD6" w:rsidP="007E15ED">
            <w:pPr>
              <w:spacing w:line="240" w:lineRule="auto"/>
              <w:jc w:val="center"/>
              <w:rPr>
                <w:rFonts w:eastAsia="Calibri"/>
                <w:snapToGrid/>
                <w:szCs w:val="22"/>
                <w:lang w:val="lt-LT"/>
              </w:rPr>
            </w:pPr>
          </w:p>
        </w:tc>
      </w:tr>
      <w:tr w:rsidR="00C6142E" w:rsidRPr="00923E74" w14:paraId="73E0A91A" w14:textId="77777777" w:rsidTr="007E15ED">
        <w:tc>
          <w:tcPr>
            <w:tcW w:w="2375" w:type="dxa"/>
            <w:vMerge/>
          </w:tcPr>
          <w:p w14:paraId="433B6676" w14:textId="77777777" w:rsidR="00476BD6" w:rsidRPr="00923E74" w:rsidRDefault="00476BD6" w:rsidP="00476BD6">
            <w:pPr>
              <w:spacing w:line="240" w:lineRule="auto"/>
              <w:rPr>
                <w:rFonts w:eastAsia="Calibri"/>
                <w:snapToGrid/>
                <w:szCs w:val="22"/>
                <w:lang w:val="lt-LT"/>
              </w:rPr>
            </w:pPr>
          </w:p>
        </w:tc>
        <w:tc>
          <w:tcPr>
            <w:tcW w:w="2801" w:type="dxa"/>
          </w:tcPr>
          <w:p w14:paraId="58D69056" w14:textId="77777777" w:rsidR="00476BD6" w:rsidRPr="00923E74" w:rsidRDefault="003434DB" w:rsidP="00476BD6">
            <w:pPr>
              <w:spacing w:line="240" w:lineRule="auto"/>
              <w:rPr>
                <w:rFonts w:eastAsia="Calibri"/>
                <w:snapToGrid/>
                <w:szCs w:val="22"/>
                <w:lang w:val="lt-LT"/>
              </w:rPr>
            </w:pPr>
            <w:r w:rsidRPr="00923E74">
              <w:rPr>
                <w:snapToGrid/>
                <w:color w:val="000000"/>
                <w:szCs w:val="22"/>
                <w:lang w:val="lt-LT"/>
              </w:rPr>
              <w:t>Kosulys</w:t>
            </w:r>
          </w:p>
        </w:tc>
        <w:tc>
          <w:tcPr>
            <w:tcW w:w="1525" w:type="dxa"/>
          </w:tcPr>
          <w:p w14:paraId="3A6C1A6B" w14:textId="77777777" w:rsidR="00476BD6" w:rsidRPr="00923E74" w:rsidRDefault="00476BD6" w:rsidP="007E15ED">
            <w:pPr>
              <w:spacing w:line="240" w:lineRule="auto"/>
              <w:jc w:val="center"/>
              <w:rPr>
                <w:rFonts w:eastAsia="Calibri"/>
                <w:snapToGrid/>
                <w:szCs w:val="22"/>
                <w:lang w:val="lt-LT"/>
              </w:rPr>
            </w:pPr>
          </w:p>
        </w:tc>
        <w:tc>
          <w:tcPr>
            <w:tcW w:w="1355" w:type="dxa"/>
          </w:tcPr>
          <w:p w14:paraId="603E5947" w14:textId="435A2CF5" w:rsidR="00476BD6" w:rsidRPr="00923E74" w:rsidRDefault="00476BD6" w:rsidP="007E15ED">
            <w:pPr>
              <w:spacing w:line="240" w:lineRule="auto"/>
              <w:jc w:val="center"/>
              <w:rPr>
                <w:rFonts w:eastAsia="Calibri"/>
                <w:snapToGrid/>
                <w:szCs w:val="22"/>
                <w:lang w:val="lt-LT"/>
              </w:rPr>
            </w:pPr>
            <w:r w:rsidRPr="00923E74">
              <w:rPr>
                <w:snapToGrid/>
                <w:color w:val="000000"/>
                <w:szCs w:val="22"/>
                <w:lang w:val="lt-LT"/>
              </w:rPr>
              <w:t>Nedažn</w:t>
            </w:r>
            <w:r w:rsidR="007B280E">
              <w:rPr>
                <w:snapToGrid/>
                <w:color w:val="000000"/>
                <w:szCs w:val="22"/>
                <w:lang w:val="lt-LT"/>
              </w:rPr>
              <w:t>as</w:t>
            </w:r>
          </w:p>
        </w:tc>
        <w:tc>
          <w:tcPr>
            <w:tcW w:w="1230" w:type="dxa"/>
          </w:tcPr>
          <w:p w14:paraId="52F3F3E6" w14:textId="77777777" w:rsidR="00476BD6" w:rsidRPr="00923E74" w:rsidRDefault="00476BD6" w:rsidP="007E15ED">
            <w:pPr>
              <w:spacing w:line="240" w:lineRule="auto"/>
              <w:jc w:val="center"/>
              <w:rPr>
                <w:rFonts w:eastAsia="Calibri"/>
                <w:snapToGrid/>
                <w:szCs w:val="22"/>
                <w:lang w:val="lt-LT"/>
              </w:rPr>
            </w:pPr>
          </w:p>
        </w:tc>
      </w:tr>
      <w:tr w:rsidR="00C6142E" w:rsidRPr="00923E74" w14:paraId="5EC133EC" w14:textId="77777777" w:rsidTr="007E15ED">
        <w:tc>
          <w:tcPr>
            <w:tcW w:w="2375" w:type="dxa"/>
            <w:vMerge/>
          </w:tcPr>
          <w:p w14:paraId="0CC42F87" w14:textId="77777777" w:rsidR="00476BD6" w:rsidRPr="00923E74" w:rsidRDefault="00476BD6" w:rsidP="00476BD6">
            <w:pPr>
              <w:spacing w:line="240" w:lineRule="auto"/>
              <w:rPr>
                <w:rFonts w:eastAsia="Calibri"/>
                <w:snapToGrid/>
                <w:szCs w:val="22"/>
                <w:lang w:val="lt-LT"/>
              </w:rPr>
            </w:pPr>
          </w:p>
        </w:tc>
        <w:tc>
          <w:tcPr>
            <w:tcW w:w="2801" w:type="dxa"/>
          </w:tcPr>
          <w:p w14:paraId="5D6002DE" w14:textId="77777777" w:rsidR="00476BD6" w:rsidRPr="00923E74" w:rsidRDefault="003434DB" w:rsidP="00476BD6">
            <w:pPr>
              <w:autoSpaceDE w:val="0"/>
              <w:autoSpaceDN w:val="0"/>
              <w:adjustRightInd w:val="0"/>
              <w:spacing w:line="240" w:lineRule="auto"/>
              <w:rPr>
                <w:snapToGrid/>
                <w:szCs w:val="22"/>
                <w:lang w:val="lt-LT"/>
              </w:rPr>
            </w:pPr>
            <w:r w:rsidRPr="00923E74">
              <w:rPr>
                <w:snapToGrid/>
                <w:szCs w:val="22"/>
                <w:lang w:val="lt-LT"/>
              </w:rPr>
              <w:t>Dusulys</w:t>
            </w:r>
          </w:p>
        </w:tc>
        <w:tc>
          <w:tcPr>
            <w:tcW w:w="1525" w:type="dxa"/>
          </w:tcPr>
          <w:p w14:paraId="475ADAA9" w14:textId="77777777" w:rsidR="00476BD6" w:rsidRPr="00923E74" w:rsidRDefault="00476BD6" w:rsidP="007E15ED">
            <w:pPr>
              <w:autoSpaceDE w:val="0"/>
              <w:autoSpaceDN w:val="0"/>
              <w:adjustRightInd w:val="0"/>
              <w:spacing w:line="240" w:lineRule="auto"/>
              <w:jc w:val="center"/>
              <w:rPr>
                <w:snapToGrid/>
                <w:szCs w:val="22"/>
                <w:lang w:val="lt-LT"/>
              </w:rPr>
            </w:pPr>
          </w:p>
        </w:tc>
        <w:tc>
          <w:tcPr>
            <w:tcW w:w="1355" w:type="dxa"/>
          </w:tcPr>
          <w:p w14:paraId="03836156"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6239CED9" w14:textId="77777777" w:rsidR="00476BD6" w:rsidRPr="00923E74" w:rsidRDefault="00476BD6" w:rsidP="007E15ED">
            <w:pPr>
              <w:spacing w:line="240" w:lineRule="auto"/>
              <w:jc w:val="center"/>
              <w:rPr>
                <w:rFonts w:eastAsia="Calibri"/>
                <w:snapToGrid/>
                <w:szCs w:val="22"/>
                <w:lang w:val="lt-LT"/>
              </w:rPr>
            </w:pPr>
          </w:p>
        </w:tc>
      </w:tr>
      <w:tr w:rsidR="00C6142E" w:rsidRPr="00923E74" w14:paraId="060C4B60" w14:textId="77777777" w:rsidTr="007E15ED">
        <w:trPr>
          <w:cantSplit/>
        </w:trPr>
        <w:tc>
          <w:tcPr>
            <w:tcW w:w="2375" w:type="dxa"/>
            <w:vMerge w:val="restart"/>
          </w:tcPr>
          <w:p w14:paraId="34F1BD73" w14:textId="757B9AC7" w:rsidR="00476BD6" w:rsidRPr="007E15ED" w:rsidRDefault="003434DB" w:rsidP="00476BD6">
            <w:pPr>
              <w:spacing w:line="240" w:lineRule="auto"/>
              <w:rPr>
                <w:rFonts w:eastAsia="Calibri"/>
                <w:i/>
                <w:snapToGrid/>
                <w:szCs w:val="22"/>
                <w:lang w:val="lt-LT"/>
              </w:rPr>
            </w:pPr>
            <w:r w:rsidRPr="007E15ED">
              <w:rPr>
                <w:i/>
                <w:snapToGrid/>
                <w:color w:val="000000"/>
                <w:szCs w:val="22"/>
                <w:lang w:val="lt-LT"/>
              </w:rPr>
              <w:t>Virškinimo trakto sutrikimai</w:t>
            </w:r>
          </w:p>
        </w:tc>
        <w:tc>
          <w:tcPr>
            <w:tcW w:w="2801" w:type="dxa"/>
          </w:tcPr>
          <w:p w14:paraId="38FDC104" w14:textId="77777777" w:rsidR="00476BD6" w:rsidRPr="00923E74" w:rsidRDefault="003434DB" w:rsidP="003434DB">
            <w:pPr>
              <w:autoSpaceDE w:val="0"/>
              <w:autoSpaceDN w:val="0"/>
              <w:adjustRightInd w:val="0"/>
              <w:spacing w:line="240" w:lineRule="auto"/>
              <w:rPr>
                <w:snapToGrid/>
                <w:szCs w:val="22"/>
                <w:lang w:val="lt-LT"/>
              </w:rPr>
            </w:pPr>
            <w:r w:rsidRPr="00923E74">
              <w:rPr>
                <w:color w:val="000000"/>
                <w:szCs w:val="22"/>
                <w:lang w:val="lt-LT"/>
              </w:rPr>
              <w:t>Dujų kaupimasis virškinimo trakte</w:t>
            </w:r>
            <w:r w:rsidR="00476BD6" w:rsidRPr="00923E74">
              <w:rPr>
                <w:snapToGrid/>
                <w:szCs w:val="22"/>
                <w:lang w:val="lt-LT"/>
              </w:rPr>
              <w:t xml:space="preserve">, </w:t>
            </w:r>
            <w:r w:rsidRPr="00923E74">
              <w:rPr>
                <w:snapToGrid/>
                <w:szCs w:val="22"/>
                <w:lang w:val="lt-LT"/>
              </w:rPr>
              <w:t>viduriavimas</w:t>
            </w:r>
          </w:p>
        </w:tc>
        <w:tc>
          <w:tcPr>
            <w:tcW w:w="1525" w:type="dxa"/>
          </w:tcPr>
          <w:p w14:paraId="79E280EE" w14:textId="21EDB417"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7B280E">
              <w:rPr>
                <w:snapToGrid/>
                <w:szCs w:val="22"/>
                <w:lang w:val="lt-LT"/>
              </w:rPr>
              <w:t>as</w:t>
            </w:r>
          </w:p>
        </w:tc>
        <w:tc>
          <w:tcPr>
            <w:tcW w:w="1355" w:type="dxa"/>
          </w:tcPr>
          <w:p w14:paraId="0179196F" w14:textId="37228A22" w:rsidR="00476BD6" w:rsidRPr="00923E74" w:rsidRDefault="00476BD6" w:rsidP="007E15ED">
            <w:pPr>
              <w:spacing w:line="240" w:lineRule="auto"/>
              <w:jc w:val="center"/>
              <w:rPr>
                <w:rFonts w:eastAsia="Calibri"/>
                <w:snapToGrid/>
                <w:szCs w:val="22"/>
                <w:lang w:val="lt-LT"/>
              </w:rPr>
            </w:pPr>
            <w:r w:rsidRPr="00923E74">
              <w:rPr>
                <w:snapToGrid/>
                <w:szCs w:val="22"/>
                <w:lang w:val="lt-LT"/>
              </w:rPr>
              <w:t>Dažn</w:t>
            </w:r>
            <w:r w:rsidR="007B280E">
              <w:rPr>
                <w:snapToGrid/>
                <w:szCs w:val="22"/>
                <w:lang w:val="lt-LT"/>
              </w:rPr>
              <w:t>as</w:t>
            </w:r>
          </w:p>
        </w:tc>
        <w:tc>
          <w:tcPr>
            <w:tcW w:w="1230" w:type="dxa"/>
          </w:tcPr>
          <w:p w14:paraId="1DD16B40" w14:textId="77777777" w:rsidR="00476BD6" w:rsidRPr="00923E74" w:rsidRDefault="00476BD6" w:rsidP="007E15ED">
            <w:pPr>
              <w:spacing w:line="240" w:lineRule="auto"/>
              <w:jc w:val="center"/>
              <w:rPr>
                <w:rFonts w:eastAsia="Calibri"/>
                <w:snapToGrid/>
                <w:szCs w:val="22"/>
                <w:lang w:val="lt-LT"/>
              </w:rPr>
            </w:pPr>
          </w:p>
        </w:tc>
      </w:tr>
      <w:tr w:rsidR="00C6142E" w:rsidRPr="00923E74" w14:paraId="0A6593D9" w14:textId="77777777" w:rsidTr="007E15ED">
        <w:tc>
          <w:tcPr>
            <w:tcW w:w="2375" w:type="dxa"/>
            <w:vMerge/>
          </w:tcPr>
          <w:p w14:paraId="20B447AE" w14:textId="77777777" w:rsidR="00476BD6" w:rsidRPr="00923E74" w:rsidRDefault="00476BD6" w:rsidP="00476BD6">
            <w:pPr>
              <w:spacing w:line="240" w:lineRule="auto"/>
              <w:rPr>
                <w:rFonts w:eastAsia="Calibri"/>
                <w:snapToGrid/>
                <w:szCs w:val="22"/>
                <w:lang w:val="lt-LT"/>
              </w:rPr>
            </w:pPr>
          </w:p>
        </w:tc>
        <w:tc>
          <w:tcPr>
            <w:tcW w:w="2801" w:type="dxa"/>
          </w:tcPr>
          <w:p w14:paraId="3F2E96F8" w14:textId="77777777" w:rsidR="00476BD6" w:rsidRPr="00923E74" w:rsidRDefault="003434DB" w:rsidP="003434DB">
            <w:pPr>
              <w:autoSpaceDE w:val="0"/>
              <w:autoSpaceDN w:val="0"/>
              <w:adjustRightInd w:val="0"/>
              <w:spacing w:line="240" w:lineRule="auto"/>
              <w:rPr>
                <w:snapToGrid/>
                <w:szCs w:val="22"/>
                <w:lang w:val="lt-LT"/>
              </w:rPr>
            </w:pPr>
            <w:r w:rsidRPr="00923E74">
              <w:rPr>
                <w:color w:val="000000"/>
                <w:szCs w:val="22"/>
                <w:lang w:val="lt-LT"/>
              </w:rPr>
              <w:t>Vidurių užkietėjimas</w:t>
            </w:r>
          </w:p>
        </w:tc>
        <w:tc>
          <w:tcPr>
            <w:tcW w:w="1525" w:type="dxa"/>
          </w:tcPr>
          <w:p w14:paraId="7962857D" w14:textId="431A0189"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7B280E">
              <w:rPr>
                <w:snapToGrid/>
                <w:szCs w:val="22"/>
                <w:lang w:val="lt-LT"/>
              </w:rPr>
              <w:t>as</w:t>
            </w:r>
          </w:p>
        </w:tc>
        <w:tc>
          <w:tcPr>
            <w:tcW w:w="1355" w:type="dxa"/>
          </w:tcPr>
          <w:p w14:paraId="53A80964"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707D1A44" w14:textId="77777777" w:rsidR="00476BD6" w:rsidRPr="00923E74" w:rsidRDefault="00476BD6" w:rsidP="007E15ED">
            <w:pPr>
              <w:spacing w:line="240" w:lineRule="auto"/>
              <w:jc w:val="center"/>
              <w:rPr>
                <w:rFonts w:eastAsia="Calibri"/>
                <w:snapToGrid/>
                <w:szCs w:val="22"/>
                <w:lang w:val="lt-LT"/>
              </w:rPr>
            </w:pPr>
          </w:p>
        </w:tc>
      </w:tr>
      <w:tr w:rsidR="00C6142E" w:rsidRPr="00923E74" w14:paraId="3ABEB813" w14:textId="77777777" w:rsidTr="007E15ED">
        <w:tc>
          <w:tcPr>
            <w:tcW w:w="2375" w:type="dxa"/>
            <w:vMerge/>
          </w:tcPr>
          <w:p w14:paraId="75E5AA18" w14:textId="77777777" w:rsidR="00476BD6" w:rsidRPr="00923E74" w:rsidRDefault="00476BD6" w:rsidP="00476BD6">
            <w:pPr>
              <w:spacing w:line="240" w:lineRule="auto"/>
              <w:rPr>
                <w:rFonts w:eastAsia="Calibri"/>
                <w:snapToGrid/>
                <w:szCs w:val="22"/>
                <w:lang w:val="lt-LT"/>
              </w:rPr>
            </w:pPr>
          </w:p>
        </w:tc>
        <w:tc>
          <w:tcPr>
            <w:tcW w:w="2801" w:type="dxa"/>
          </w:tcPr>
          <w:p w14:paraId="06BB58C1" w14:textId="77777777" w:rsidR="00476BD6" w:rsidRPr="00923E74" w:rsidRDefault="003434DB" w:rsidP="00476BD6">
            <w:pPr>
              <w:autoSpaceDE w:val="0"/>
              <w:autoSpaceDN w:val="0"/>
              <w:adjustRightInd w:val="0"/>
              <w:spacing w:line="240" w:lineRule="auto"/>
              <w:rPr>
                <w:snapToGrid/>
                <w:szCs w:val="22"/>
                <w:lang w:val="lt-LT"/>
              </w:rPr>
            </w:pPr>
            <w:r w:rsidRPr="00923E74">
              <w:rPr>
                <w:snapToGrid/>
                <w:szCs w:val="22"/>
                <w:lang w:val="lt-LT"/>
              </w:rPr>
              <w:t>Pykinimas, dispepsija</w:t>
            </w:r>
          </w:p>
        </w:tc>
        <w:tc>
          <w:tcPr>
            <w:tcW w:w="1525" w:type="dxa"/>
          </w:tcPr>
          <w:p w14:paraId="5C48854E" w14:textId="57B9ADAC"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7B280E">
              <w:rPr>
                <w:snapToGrid/>
                <w:szCs w:val="22"/>
                <w:lang w:val="lt-LT"/>
              </w:rPr>
              <w:t>as</w:t>
            </w:r>
          </w:p>
        </w:tc>
        <w:tc>
          <w:tcPr>
            <w:tcW w:w="1355" w:type="dxa"/>
          </w:tcPr>
          <w:p w14:paraId="652EED15" w14:textId="09489593" w:rsidR="00476BD6" w:rsidRPr="00923E74" w:rsidRDefault="00476BD6" w:rsidP="007E15ED">
            <w:pPr>
              <w:spacing w:line="240" w:lineRule="auto"/>
              <w:jc w:val="center"/>
              <w:rPr>
                <w:rFonts w:eastAsia="Calibri"/>
                <w:snapToGrid/>
                <w:szCs w:val="22"/>
                <w:lang w:val="lt-LT"/>
              </w:rPr>
            </w:pPr>
            <w:r w:rsidRPr="00923E74">
              <w:rPr>
                <w:snapToGrid/>
                <w:color w:val="000000"/>
                <w:szCs w:val="22"/>
                <w:lang w:val="lt-LT"/>
              </w:rPr>
              <w:t>Nedažn</w:t>
            </w:r>
            <w:r w:rsidR="007B280E">
              <w:rPr>
                <w:snapToGrid/>
                <w:color w:val="000000"/>
                <w:szCs w:val="22"/>
                <w:lang w:val="lt-LT"/>
              </w:rPr>
              <w:t>as</w:t>
            </w:r>
          </w:p>
        </w:tc>
        <w:tc>
          <w:tcPr>
            <w:tcW w:w="1230" w:type="dxa"/>
          </w:tcPr>
          <w:p w14:paraId="544A201C" w14:textId="77777777" w:rsidR="00476BD6" w:rsidRPr="00923E74" w:rsidRDefault="00476BD6" w:rsidP="007E15ED">
            <w:pPr>
              <w:spacing w:line="240" w:lineRule="auto"/>
              <w:jc w:val="center"/>
              <w:rPr>
                <w:rFonts w:eastAsia="Calibri"/>
                <w:snapToGrid/>
                <w:szCs w:val="22"/>
                <w:lang w:val="lt-LT"/>
              </w:rPr>
            </w:pPr>
          </w:p>
        </w:tc>
      </w:tr>
      <w:tr w:rsidR="00C6142E" w:rsidRPr="00923E74" w14:paraId="6C19672A" w14:textId="77777777" w:rsidTr="007E15ED">
        <w:tc>
          <w:tcPr>
            <w:tcW w:w="2375" w:type="dxa"/>
            <w:vMerge/>
          </w:tcPr>
          <w:p w14:paraId="41A88BF1" w14:textId="77777777" w:rsidR="00476BD6" w:rsidRPr="00923E74" w:rsidRDefault="00476BD6" w:rsidP="00476BD6">
            <w:pPr>
              <w:spacing w:line="240" w:lineRule="auto"/>
              <w:rPr>
                <w:rFonts w:eastAsia="Calibri"/>
                <w:snapToGrid/>
                <w:szCs w:val="22"/>
                <w:lang w:val="lt-LT"/>
              </w:rPr>
            </w:pPr>
          </w:p>
        </w:tc>
        <w:tc>
          <w:tcPr>
            <w:tcW w:w="2801" w:type="dxa"/>
          </w:tcPr>
          <w:p w14:paraId="7A0D6A9F" w14:textId="2AED06D3" w:rsidR="00476BD6" w:rsidRPr="00923E74" w:rsidRDefault="003434DB" w:rsidP="009C7D09">
            <w:pPr>
              <w:autoSpaceDE w:val="0"/>
              <w:autoSpaceDN w:val="0"/>
              <w:adjustRightInd w:val="0"/>
              <w:spacing w:line="240" w:lineRule="auto"/>
              <w:rPr>
                <w:snapToGrid/>
                <w:szCs w:val="22"/>
                <w:lang w:val="lt-LT"/>
              </w:rPr>
            </w:pPr>
            <w:r w:rsidRPr="00923E74">
              <w:rPr>
                <w:snapToGrid/>
                <w:szCs w:val="22"/>
                <w:lang w:val="lt-LT"/>
              </w:rPr>
              <w:t xml:space="preserve">Vėmimas, </w:t>
            </w:r>
            <w:r w:rsidR="00A94FB9">
              <w:rPr>
                <w:snapToGrid/>
                <w:szCs w:val="22"/>
                <w:lang w:val="lt-LT"/>
              </w:rPr>
              <w:t>atsi</w:t>
            </w:r>
            <w:r w:rsidRPr="00923E74">
              <w:rPr>
                <w:snapToGrid/>
                <w:szCs w:val="22"/>
                <w:lang w:val="lt-LT"/>
              </w:rPr>
              <w:t>r</w:t>
            </w:r>
            <w:r w:rsidR="00A94FB9">
              <w:rPr>
                <w:snapToGrid/>
                <w:szCs w:val="22"/>
                <w:lang w:val="lt-LT"/>
              </w:rPr>
              <w:t>ū</w:t>
            </w:r>
            <w:r w:rsidRPr="00923E74">
              <w:rPr>
                <w:snapToGrid/>
                <w:szCs w:val="22"/>
                <w:lang w:val="lt-LT"/>
              </w:rPr>
              <w:t>gimas</w:t>
            </w:r>
            <w:r w:rsidR="00476BD6" w:rsidRPr="00923E74">
              <w:rPr>
                <w:snapToGrid/>
                <w:szCs w:val="22"/>
                <w:lang w:val="lt-LT"/>
              </w:rPr>
              <w:t xml:space="preserve"> </w:t>
            </w:r>
          </w:p>
        </w:tc>
        <w:tc>
          <w:tcPr>
            <w:tcW w:w="1525" w:type="dxa"/>
          </w:tcPr>
          <w:p w14:paraId="6FC0604D" w14:textId="622B8EAA"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7B280E">
              <w:rPr>
                <w:snapToGrid/>
                <w:szCs w:val="22"/>
                <w:lang w:val="lt-LT"/>
              </w:rPr>
              <w:t>as</w:t>
            </w:r>
          </w:p>
        </w:tc>
        <w:tc>
          <w:tcPr>
            <w:tcW w:w="1355" w:type="dxa"/>
          </w:tcPr>
          <w:p w14:paraId="423B64A1" w14:textId="77777777" w:rsidR="00476BD6" w:rsidRPr="00923E74" w:rsidRDefault="00476BD6" w:rsidP="007E15ED">
            <w:pPr>
              <w:spacing w:line="240" w:lineRule="auto"/>
              <w:jc w:val="center"/>
              <w:rPr>
                <w:rFonts w:eastAsia="Calibri"/>
                <w:snapToGrid/>
                <w:szCs w:val="22"/>
                <w:lang w:val="lt-LT"/>
              </w:rPr>
            </w:pPr>
          </w:p>
        </w:tc>
        <w:tc>
          <w:tcPr>
            <w:tcW w:w="1230" w:type="dxa"/>
          </w:tcPr>
          <w:p w14:paraId="7B905BA9" w14:textId="77777777" w:rsidR="00476BD6" w:rsidRPr="00923E74" w:rsidRDefault="00476BD6" w:rsidP="007E15ED">
            <w:pPr>
              <w:spacing w:line="240" w:lineRule="auto"/>
              <w:jc w:val="center"/>
              <w:rPr>
                <w:rFonts w:eastAsia="Calibri"/>
                <w:snapToGrid/>
                <w:szCs w:val="22"/>
                <w:lang w:val="lt-LT"/>
              </w:rPr>
            </w:pPr>
          </w:p>
        </w:tc>
      </w:tr>
      <w:tr w:rsidR="00C6142E" w:rsidRPr="00923E74" w14:paraId="5A79A57A" w14:textId="77777777" w:rsidTr="007E15ED">
        <w:tc>
          <w:tcPr>
            <w:tcW w:w="2375" w:type="dxa"/>
            <w:vMerge/>
          </w:tcPr>
          <w:p w14:paraId="2597B15E" w14:textId="77777777" w:rsidR="00476BD6" w:rsidRPr="00923E74" w:rsidRDefault="00476BD6" w:rsidP="00476BD6">
            <w:pPr>
              <w:spacing w:line="240" w:lineRule="auto"/>
              <w:rPr>
                <w:rFonts w:eastAsia="Calibri"/>
                <w:snapToGrid/>
                <w:szCs w:val="22"/>
                <w:lang w:val="lt-LT"/>
              </w:rPr>
            </w:pPr>
          </w:p>
        </w:tc>
        <w:tc>
          <w:tcPr>
            <w:tcW w:w="2801" w:type="dxa"/>
          </w:tcPr>
          <w:p w14:paraId="477C2768" w14:textId="77777777" w:rsidR="00476BD6" w:rsidRPr="00923E74" w:rsidRDefault="003434DB" w:rsidP="00476BD6">
            <w:pPr>
              <w:autoSpaceDE w:val="0"/>
              <w:autoSpaceDN w:val="0"/>
              <w:adjustRightInd w:val="0"/>
              <w:spacing w:line="240" w:lineRule="auto"/>
              <w:rPr>
                <w:snapToGrid/>
                <w:szCs w:val="22"/>
                <w:lang w:val="lt-LT"/>
              </w:rPr>
            </w:pPr>
            <w:r w:rsidRPr="00923E74">
              <w:rPr>
                <w:snapToGrid/>
                <w:szCs w:val="22"/>
                <w:lang w:val="lt-LT"/>
              </w:rPr>
              <w:t>Pankreatitas</w:t>
            </w:r>
          </w:p>
        </w:tc>
        <w:tc>
          <w:tcPr>
            <w:tcW w:w="1525" w:type="dxa"/>
          </w:tcPr>
          <w:p w14:paraId="0100ACD5" w14:textId="3C0CEA92"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7B280E">
              <w:rPr>
                <w:snapToGrid/>
                <w:szCs w:val="22"/>
                <w:lang w:val="lt-LT"/>
              </w:rPr>
              <w:t>as</w:t>
            </w:r>
          </w:p>
        </w:tc>
        <w:tc>
          <w:tcPr>
            <w:tcW w:w="1355" w:type="dxa"/>
          </w:tcPr>
          <w:p w14:paraId="11F31803"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35ECDA26" w14:textId="77777777" w:rsidR="00476BD6" w:rsidRPr="00923E74" w:rsidRDefault="00476BD6" w:rsidP="007E15ED">
            <w:pPr>
              <w:spacing w:line="240" w:lineRule="auto"/>
              <w:jc w:val="center"/>
              <w:rPr>
                <w:rFonts w:eastAsia="Calibri"/>
                <w:snapToGrid/>
                <w:szCs w:val="22"/>
                <w:lang w:val="lt-LT"/>
              </w:rPr>
            </w:pPr>
          </w:p>
        </w:tc>
      </w:tr>
      <w:tr w:rsidR="00C6142E" w:rsidRPr="00923E74" w14:paraId="0514AD01" w14:textId="77777777" w:rsidTr="007E15ED">
        <w:tc>
          <w:tcPr>
            <w:tcW w:w="2375" w:type="dxa"/>
            <w:vMerge/>
          </w:tcPr>
          <w:p w14:paraId="07CE2E5D" w14:textId="77777777" w:rsidR="00476BD6" w:rsidRPr="00923E74" w:rsidRDefault="00476BD6" w:rsidP="00476BD6">
            <w:pPr>
              <w:spacing w:line="240" w:lineRule="auto"/>
              <w:rPr>
                <w:rFonts w:eastAsia="Calibri"/>
                <w:snapToGrid/>
                <w:szCs w:val="22"/>
                <w:lang w:val="lt-LT"/>
              </w:rPr>
            </w:pPr>
          </w:p>
        </w:tc>
        <w:tc>
          <w:tcPr>
            <w:tcW w:w="2801" w:type="dxa"/>
          </w:tcPr>
          <w:p w14:paraId="0BD54EA0" w14:textId="77777777" w:rsidR="00476BD6" w:rsidRPr="00923E74" w:rsidRDefault="003434DB" w:rsidP="00476BD6">
            <w:pPr>
              <w:spacing w:line="240" w:lineRule="auto"/>
              <w:rPr>
                <w:snapToGrid/>
                <w:szCs w:val="22"/>
                <w:lang w:val="lt-LT"/>
              </w:rPr>
            </w:pPr>
            <w:r w:rsidRPr="00923E74">
              <w:rPr>
                <w:snapToGrid/>
                <w:szCs w:val="22"/>
                <w:lang w:val="lt-LT"/>
              </w:rPr>
              <w:t>Pilvo skausmas</w:t>
            </w:r>
          </w:p>
        </w:tc>
        <w:tc>
          <w:tcPr>
            <w:tcW w:w="1525" w:type="dxa"/>
          </w:tcPr>
          <w:p w14:paraId="11360361" w14:textId="568FC292" w:rsidR="00476BD6" w:rsidRPr="00923E74" w:rsidRDefault="00476BD6" w:rsidP="007E15ED">
            <w:pPr>
              <w:spacing w:line="240" w:lineRule="auto"/>
              <w:jc w:val="center"/>
              <w:rPr>
                <w:snapToGrid/>
                <w:szCs w:val="22"/>
                <w:lang w:val="lt-LT"/>
              </w:rPr>
            </w:pPr>
            <w:r w:rsidRPr="00923E74">
              <w:rPr>
                <w:snapToGrid/>
                <w:szCs w:val="22"/>
                <w:lang w:val="lt-LT"/>
              </w:rPr>
              <w:t>Nedažn</w:t>
            </w:r>
            <w:r w:rsidR="007B280E">
              <w:rPr>
                <w:snapToGrid/>
                <w:szCs w:val="22"/>
                <w:lang w:val="lt-LT"/>
              </w:rPr>
              <w:t>as</w:t>
            </w:r>
          </w:p>
        </w:tc>
        <w:tc>
          <w:tcPr>
            <w:tcW w:w="1355" w:type="dxa"/>
          </w:tcPr>
          <w:p w14:paraId="602C5D01" w14:textId="64284B94" w:rsidR="00476BD6" w:rsidRPr="00923E74" w:rsidRDefault="00476BD6" w:rsidP="007E15ED">
            <w:pPr>
              <w:spacing w:line="240" w:lineRule="auto"/>
              <w:jc w:val="center"/>
              <w:rPr>
                <w:snapToGrid/>
                <w:szCs w:val="22"/>
                <w:lang w:val="lt-LT"/>
              </w:rPr>
            </w:pPr>
            <w:r w:rsidRPr="00923E74">
              <w:rPr>
                <w:snapToGrid/>
                <w:szCs w:val="22"/>
                <w:lang w:val="lt-LT"/>
              </w:rPr>
              <w:t>Dažn</w:t>
            </w:r>
            <w:r w:rsidR="007B280E">
              <w:rPr>
                <w:snapToGrid/>
                <w:szCs w:val="22"/>
                <w:lang w:val="lt-LT"/>
              </w:rPr>
              <w:t>as</w:t>
            </w:r>
          </w:p>
        </w:tc>
        <w:tc>
          <w:tcPr>
            <w:tcW w:w="1230" w:type="dxa"/>
          </w:tcPr>
          <w:p w14:paraId="20F8D51E" w14:textId="77777777" w:rsidR="00476BD6" w:rsidRPr="00923E74" w:rsidRDefault="00476BD6" w:rsidP="007E15ED">
            <w:pPr>
              <w:spacing w:line="240" w:lineRule="auto"/>
              <w:jc w:val="center"/>
              <w:rPr>
                <w:rFonts w:eastAsia="Calibri"/>
                <w:snapToGrid/>
                <w:szCs w:val="22"/>
                <w:lang w:val="lt-LT"/>
              </w:rPr>
            </w:pPr>
          </w:p>
        </w:tc>
      </w:tr>
      <w:tr w:rsidR="00C6142E" w:rsidRPr="00923E74" w14:paraId="612C2171" w14:textId="77777777" w:rsidTr="007E15ED">
        <w:tc>
          <w:tcPr>
            <w:tcW w:w="2375" w:type="dxa"/>
            <w:vMerge/>
          </w:tcPr>
          <w:p w14:paraId="053DAF52" w14:textId="77777777" w:rsidR="00476BD6" w:rsidRPr="00923E74" w:rsidRDefault="00476BD6" w:rsidP="00476BD6">
            <w:pPr>
              <w:spacing w:line="240" w:lineRule="auto"/>
              <w:rPr>
                <w:rFonts w:eastAsia="Calibri"/>
                <w:snapToGrid/>
                <w:szCs w:val="22"/>
                <w:lang w:val="lt-LT"/>
              </w:rPr>
            </w:pPr>
          </w:p>
        </w:tc>
        <w:tc>
          <w:tcPr>
            <w:tcW w:w="2801" w:type="dxa"/>
          </w:tcPr>
          <w:p w14:paraId="2A7B99DB" w14:textId="77777777" w:rsidR="00476BD6" w:rsidRPr="00923E74" w:rsidRDefault="003434DB" w:rsidP="00476BD6">
            <w:pPr>
              <w:spacing w:line="240" w:lineRule="auto"/>
              <w:rPr>
                <w:rFonts w:eastAsia="Calibri"/>
                <w:snapToGrid/>
                <w:szCs w:val="22"/>
                <w:lang w:val="lt-LT"/>
              </w:rPr>
            </w:pPr>
            <w:proofErr w:type="spellStart"/>
            <w:r w:rsidRPr="00923E74">
              <w:rPr>
                <w:snapToGrid/>
                <w:szCs w:val="22"/>
                <w:lang w:val="lt-LT"/>
              </w:rPr>
              <w:t>Gastroezofaginio</w:t>
            </w:r>
            <w:proofErr w:type="spellEnd"/>
            <w:r w:rsidRPr="00923E74">
              <w:rPr>
                <w:snapToGrid/>
                <w:szCs w:val="22"/>
                <w:lang w:val="lt-LT"/>
              </w:rPr>
              <w:t xml:space="preserve"> </w:t>
            </w:r>
            <w:proofErr w:type="spellStart"/>
            <w:r w:rsidRPr="00923E74">
              <w:rPr>
                <w:snapToGrid/>
                <w:szCs w:val="22"/>
                <w:lang w:val="lt-LT"/>
              </w:rPr>
              <w:t>refliukso</w:t>
            </w:r>
            <w:proofErr w:type="spellEnd"/>
            <w:r w:rsidRPr="00923E74">
              <w:rPr>
                <w:snapToGrid/>
                <w:szCs w:val="22"/>
                <w:lang w:val="lt-LT"/>
              </w:rPr>
              <w:t xml:space="preserve"> liga</w:t>
            </w:r>
          </w:p>
        </w:tc>
        <w:tc>
          <w:tcPr>
            <w:tcW w:w="1525" w:type="dxa"/>
          </w:tcPr>
          <w:p w14:paraId="62CA41D2" w14:textId="77777777" w:rsidR="00476BD6" w:rsidRPr="00923E74" w:rsidRDefault="00476BD6" w:rsidP="007E15ED">
            <w:pPr>
              <w:spacing w:line="240" w:lineRule="auto"/>
              <w:jc w:val="center"/>
              <w:rPr>
                <w:rFonts w:eastAsia="Calibri"/>
                <w:snapToGrid/>
                <w:szCs w:val="22"/>
                <w:lang w:val="lt-LT"/>
              </w:rPr>
            </w:pPr>
          </w:p>
        </w:tc>
        <w:tc>
          <w:tcPr>
            <w:tcW w:w="1355" w:type="dxa"/>
          </w:tcPr>
          <w:p w14:paraId="044BF846" w14:textId="78E86639"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7B280E">
              <w:rPr>
                <w:snapToGrid/>
                <w:szCs w:val="22"/>
                <w:lang w:val="lt-LT"/>
              </w:rPr>
              <w:t>as</w:t>
            </w:r>
          </w:p>
        </w:tc>
        <w:tc>
          <w:tcPr>
            <w:tcW w:w="1230" w:type="dxa"/>
          </w:tcPr>
          <w:p w14:paraId="718046E1" w14:textId="77777777" w:rsidR="00476BD6" w:rsidRPr="00923E74" w:rsidRDefault="00476BD6" w:rsidP="007E15ED">
            <w:pPr>
              <w:spacing w:line="240" w:lineRule="auto"/>
              <w:jc w:val="center"/>
              <w:rPr>
                <w:rFonts w:eastAsia="Calibri"/>
                <w:snapToGrid/>
                <w:szCs w:val="22"/>
                <w:lang w:val="lt-LT"/>
              </w:rPr>
            </w:pPr>
          </w:p>
        </w:tc>
      </w:tr>
      <w:tr w:rsidR="00C6142E" w:rsidRPr="00923E74" w14:paraId="405326A4" w14:textId="77777777" w:rsidTr="007E15ED">
        <w:trPr>
          <w:trHeight w:val="222"/>
        </w:trPr>
        <w:tc>
          <w:tcPr>
            <w:tcW w:w="2375" w:type="dxa"/>
            <w:vMerge/>
          </w:tcPr>
          <w:p w14:paraId="750BE80E" w14:textId="77777777" w:rsidR="00476BD6" w:rsidRPr="00923E74" w:rsidRDefault="00476BD6" w:rsidP="00476BD6">
            <w:pPr>
              <w:spacing w:line="240" w:lineRule="auto"/>
              <w:rPr>
                <w:rFonts w:eastAsia="Calibri"/>
                <w:snapToGrid/>
                <w:szCs w:val="22"/>
                <w:lang w:val="lt-LT"/>
              </w:rPr>
            </w:pPr>
          </w:p>
        </w:tc>
        <w:tc>
          <w:tcPr>
            <w:tcW w:w="2801" w:type="dxa"/>
          </w:tcPr>
          <w:p w14:paraId="64D25287" w14:textId="3D0BF96F" w:rsidR="00476BD6" w:rsidRPr="00923E74" w:rsidRDefault="007B280E" w:rsidP="00476BD6">
            <w:pPr>
              <w:spacing w:line="240" w:lineRule="auto"/>
              <w:rPr>
                <w:snapToGrid/>
                <w:szCs w:val="22"/>
                <w:lang w:val="lt-LT"/>
              </w:rPr>
            </w:pPr>
            <w:r>
              <w:rPr>
                <w:snapToGrid/>
                <w:szCs w:val="22"/>
                <w:lang w:val="lt-LT"/>
              </w:rPr>
              <w:t xml:space="preserve">Sausa </w:t>
            </w:r>
            <w:r w:rsidRPr="00923E74">
              <w:rPr>
                <w:snapToGrid/>
                <w:szCs w:val="22"/>
                <w:lang w:val="lt-LT"/>
              </w:rPr>
              <w:t>b</w:t>
            </w:r>
            <w:r w:rsidR="003434DB" w:rsidRPr="00923E74">
              <w:rPr>
                <w:snapToGrid/>
                <w:szCs w:val="22"/>
                <w:lang w:val="lt-LT"/>
              </w:rPr>
              <w:t>urna</w:t>
            </w:r>
            <w:r w:rsidR="00476BD6" w:rsidRPr="00923E74">
              <w:rPr>
                <w:snapToGrid/>
                <w:szCs w:val="22"/>
                <w:lang w:val="lt-LT"/>
              </w:rPr>
              <w:t xml:space="preserve">, </w:t>
            </w:r>
            <w:r w:rsidR="003434DB" w:rsidRPr="00923E74">
              <w:rPr>
                <w:snapToGrid/>
                <w:szCs w:val="22"/>
                <w:lang w:val="lt-LT"/>
              </w:rPr>
              <w:t>gastritas</w:t>
            </w:r>
          </w:p>
        </w:tc>
        <w:tc>
          <w:tcPr>
            <w:tcW w:w="1525" w:type="dxa"/>
          </w:tcPr>
          <w:p w14:paraId="73B4DF2E" w14:textId="77777777" w:rsidR="00476BD6" w:rsidRPr="00923E74" w:rsidRDefault="00476BD6" w:rsidP="007E15ED">
            <w:pPr>
              <w:spacing w:line="240" w:lineRule="auto"/>
              <w:jc w:val="center"/>
              <w:rPr>
                <w:rFonts w:eastAsia="Calibri"/>
                <w:snapToGrid/>
                <w:szCs w:val="22"/>
                <w:lang w:val="lt-LT"/>
              </w:rPr>
            </w:pPr>
          </w:p>
        </w:tc>
        <w:tc>
          <w:tcPr>
            <w:tcW w:w="1355" w:type="dxa"/>
          </w:tcPr>
          <w:p w14:paraId="7CE2D541" w14:textId="77777777" w:rsidR="00476BD6" w:rsidRPr="00923E74" w:rsidRDefault="00476BD6" w:rsidP="007E15ED">
            <w:pPr>
              <w:spacing w:line="240" w:lineRule="auto"/>
              <w:jc w:val="center"/>
              <w:rPr>
                <w:rFonts w:eastAsia="Calibri"/>
                <w:snapToGrid/>
                <w:szCs w:val="22"/>
                <w:lang w:val="lt-LT"/>
              </w:rPr>
            </w:pPr>
          </w:p>
        </w:tc>
        <w:tc>
          <w:tcPr>
            <w:tcW w:w="1230" w:type="dxa"/>
          </w:tcPr>
          <w:p w14:paraId="251C0E09" w14:textId="0F6CEA33" w:rsidR="00476BD6" w:rsidRPr="00923E74" w:rsidRDefault="00476BD6" w:rsidP="007E15ED">
            <w:pPr>
              <w:spacing w:line="240" w:lineRule="auto"/>
              <w:jc w:val="center"/>
              <w:rPr>
                <w:rFonts w:eastAsia="Calibri"/>
                <w:snapToGrid/>
                <w:szCs w:val="22"/>
                <w:lang w:val="lt-LT"/>
              </w:rPr>
            </w:pPr>
            <w:r w:rsidRPr="00923E74">
              <w:rPr>
                <w:snapToGrid/>
                <w:color w:val="000000"/>
                <w:szCs w:val="22"/>
                <w:lang w:val="lt-LT"/>
              </w:rPr>
              <w:t>Nedažn</w:t>
            </w:r>
            <w:r w:rsidR="007B280E">
              <w:rPr>
                <w:snapToGrid/>
                <w:color w:val="000000"/>
                <w:szCs w:val="22"/>
                <w:lang w:val="lt-LT"/>
              </w:rPr>
              <w:t>as</w:t>
            </w:r>
          </w:p>
        </w:tc>
      </w:tr>
      <w:tr w:rsidR="00C6142E" w:rsidRPr="00923E74" w14:paraId="419EA4EE" w14:textId="77777777" w:rsidTr="007E15ED">
        <w:tc>
          <w:tcPr>
            <w:tcW w:w="2375" w:type="dxa"/>
            <w:vMerge w:val="restart"/>
          </w:tcPr>
          <w:p w14:paraId="50FE4455" w14:textId="77777777" w:rsidR="00476BD6" w:rsidRPr="007E15ED" w:rsidRDefault="004458BF" w:rsidP="00476BD6">
            <w:pPr>
              <w:spacing w:line="240" w:lineRule="auto"/>
              <w:rPr>
                <w:rFonts w:eastAsia="Calibri"/>
                <w:i/>
                <w:snapToGrid/>
                <w:szCs w:val="22"/>
                <w:lang w:val="lt-LT"/>
              </w:rPr>
            </w:pPr>
            <w:r w:rsidRPr="007E15ED">
              <w:rPr>
                <w:i/>
                <w:snapToGrid/>
                <w:szCs w:val="22"/>
                <w:lang w:val="lt-LT"/>
              </w:rPr>
              <w:t>Kepenų, tulžies pūslės ir latakų sutrikimai</w:t>
            </w:r>
          </w:p>
        </w:tc>
        <w:tc>
          <w:tcPr>
            <w:tcW w:w="2801" w:type="dxa"/>
          </w:tcPr>
          <w:p w14:paraId="45905A27" w14:textId="77777777" w:rsidR="00476BD6" w:rsidRPr="00923E74" w:rsidRDefault="004458BF" w:rsidP="00476BD6">
            <w:pPr>
              <w:autoSpaceDE w:val="0"/>
              <w:autoSpaceDN w:val="0"/>
              <w:adjustRightInd w:val="0"/>
              <w:spacing w:line="240" w:lineRule="auto"/>
              <w:rPr>
                <w:snapToGrid/>
                <w:szCs w:val="22"/>
                <w:lang w:val="lt-LT"/>
              </w:rPr>
            </w:pPr>
            <w:r w:rsidRPr="00923E74">
              <w:rPr>
                <w:snapToGrid/>
                <w:szCs w:val="22"/>
                <w:lang w:val="lt-LT"/>
              </w:rPr>
              <w:t>Hepatitas</w:t>
            </w:r>
          </w:p>
        </w:tc>
        <w:tc>
          <w:tcPr>
            <w:tcW w:w="1525" w:type="dxa"/>
          </w:tcPr>
          <w:p w14:paraId="4DDF6BE0" w14:textId="606155F5"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7B280E">
              <w:rPr>
                <w:snapToGrid/>
                <w:szCs w:val="22"/>
                <w:lang w:val="lt-LT"/>
              </w:rPr>
              <w:t>as</w:t>
            </w:r>
          </w:p>
        </w:tc>
        <w:tc>
          <w:tcPr>
            <w:tcW w:w="1355" w:type="dxa"/>
          </w:tcPr>
          <w:p w14:paraId="0F3A44D3"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496EFAF7" w14:textId="77777777" w:rsidR="00476BD6" w:rsidRPr="00923E74" w:rsidRDefault="00476BD6" w:rsidP="007E15ED">
            <w:pPr>
              <w:spacing w:line="240" w:lineRule="auto"/>
              <w:jc w:val="center"/>
              <w:rPr>
                <w:rFonts w:eastAsia="Calibri"/>
                <w:snapToGrid/>
                <w:szCs w:val="22"/>
                <w:lang w:val="lt-LT"/>
              </w:rPr>
            </w:pPr>
          </w:p>
        </w:tc>
      </w:tr>
      <w:tr w:rsidR="00C6142E" w:rsidRPr="00923E74" w14:paraId="4F9C87C6" w14:textId="77777777" w:rsidTr="007E15ED">
        <w:tc>
          <w:tcPr>
            <w:tcW w:w="2375" w:type="dxa"/>
            <w:vMerge/>
          </w:tcPr>
          <w:p w14:paraId="7E2A1812" w14:textId="77777777" w:rsidR="00476BD6" w:rsidRPr="00923E74" w:rsidRDefault="00476BD6" w:rsidP="00476BD6">
            <w:pPr>
              <w:spacing w:line="240" w:lineRule="auto"/>
              <w:rPr>
                <w:rFonts w:eastAsia="Calibri"/>
                <w:snapToGrid/>
                <w:szCs w:val="22"/>
                <w:lang w:val="lt-LT"/>
              </w:rPr>
            </w:pPr>
          </w:p>
        </w:tc>
        <w:tc>
          <w:tcPr>
            <w:tcW w:w="2801" w:type="dxa"/>
          </w:tcPr>
          <w:p w14:paraId="2FEA7409" w14:textId="77777777" w:rsidR="00476BD6" w:rsidRPr="00923E74" w:rsidRDefault="00476BD6" w:rsidP="004458BF">
            <w:pPr>
              <w:spacing w:line="240" w:lineRule="auto"/>
              <w:rPr>
                <w:rFonts w:eastAsia="Calibri"/>
                <w:snapToGrid/>
                <w:szCs w:val="22"/>
                <w:lang w:val="lt-LT"/>
              </w:rPr>
            </w:pPr>
            <w:proofErr w:type="spellStart"/>
            <w:r w:rsidRPr="00923E74">
              <w:rPr>
                <w:snapToGrid/>
                <w:szCs w:val="22"/>
                <w:lang w:val="lt-LT"/>
              </w:rPr>
              <w:t>Cholesta</w:t>
            </w:r>
            <w:r w:rsidR="004458BF" w:rsidRPr="00923E74">
              <w:rPr>
                <w:snapToGrid/>
                <w:szCs w:val="22"/>
                <w:lang w:val="lt-LT"/>
              </w:rPr>
              <w:t>zė</w:t>
            </w:r>
            <w:proofErr w:type="spellEnd"/>
          </w:p>
        </w:tc>
        <w:tc>
          <w:tcPr>
            <w:tcW w:w="1525" w:type="dxa"/>
          </w:tcPr>
          <w:p w14:paraId="50723CBC" w14:textId="112B7106" w:rsidR="00476BD6" w:rsidRPr="00923E74" w:rsidRDefault="00476BD6" w:rsidP="007E15ED">
            <w:pPr>
              <w:spacing w:line="240" w:lineRule="auto"/>
              <w:jc w:val="center"/>
              <w:rPr>
                <w:rFonts w:eastAsia="Calibri"/>
                <w:snapToGrid/>
                <w:szCs w:val="22"/>
                <w:lang w:val="lt-LT"/>
              </w:rPr>
            </w:pPr>
            <w:r w:rsidRPr="00923E74">
              <w:rPr>
                <w:snapToGrid/>
                <w:szCs w:val="22"/>
                <w:lang w:val="lt-LT"/>
              </w:rPr>
              <w:t>R</w:t>
            </w:r>
            <w:r w:rsidR="004458BF" w:rsidRPr="00923E74">
              <w:rPr>
                <w:snapToGrid/>
                <w:szCs w:val="22"/>
                <w:lang w:val="lt-LT"/>
              </w:rPr>
              <w:t>et</w:t>
            </w:r>
            <w:r w:rsidR="007B280E">
              <w:rPr>
                <w:snapToGrid/>
                <w:szCs w:val="22"/>
                <w:lang w:val="lt-LT"/>
              </w:rPr>
              <w:t>as</w:t>
            </w:r>
          </w:p>
        </w:tc>
        <w:tc>
          <w:tcPr>
            <w:tcW w:w="1355" w:type="dxa"/>
          </w:tcPr>
          <w:p w14:paraId="4990CC5E" w14:textId="77777777" w:rsidR="00476BD6" w:rsidRPr="00923E74" w:rsidRDefault="00476BD6" w:rsidP="007E15ED">
            <w:pPr>
              <w:spacing w:line="240" w:lineRule="auto"/>
              <w:jc w:val="center"/>
              <w:rPr>
                <w:rFonts w:eastAsia="Calibri"/>
                <w:snapToGrid/>
                <w:szCs w:val="22"/>
                <w:lang w:val="lt-LT"/>
              </w:rPr>
            </w:pPr>
          </w:p>
        </w:tc>
        <w:tc>
          <w:tcPr>
            <w:tcW w:w="1230" w:type="dxa"/>
          </w:tcPr>
          <w:p w14:paraId="52FD0458" w14:textId="77777777" w:rsidR="00476BD6" w:rsidRPr="00923E74" w:rsidRDefault="00476BD6" w:rsidP="007E15ED">
            <w:pPr>
              <w:spacing w:line="240" w:lineRule="auto"/>
              <w:jc w:val="center"/>
              <w:rPr>
                <w:rFonts w:eastAsia="Calibri"/>
                <w:snapToGrid/>
                <w:szCs w:val="22"/>
                <w:lang w:val="lt-LT"/>
              </w:rPr>
            </w:pPr>
          </w:p>
        </w:tc>
      </w:tr>
      <w:tr w:rsidR="00C6142E" w:rsidRPr="00923E74" w14:paraId="5AA65600" w14:textId="77777777" w:rsidTr="007E15ED">
        <w:tc>
          <w:tcPr>
            <w:tcW w:w="2375" w:type="dxa"/>
            <w:vMerge/>
          </w:tcPr>
          <w:p w14:paraId="43118EAC" w14:textId="77777777" w:rsidR="00476BD6" w:rsidRPr="00923E74" w:rsidRDefault="00476BD6" w:rsidP="00476BD6">
            <w:pPr>
              <w:spacing w:line="240" w:lineRule="auto"/>
              <w:rPr>
                <w:rFonts w:eastAsia="Calibri"/>
                <w:snapToGrid/>
                <w:szCs w:val="22"/>
                <w:lang w:val="lt-LT"/>
              </w:rPr>
            </w:pPr>
          </w:p>
        </w:tc>
        <w:tc>
          <w:tcPr>
            <w:tcW w:w="2801" w:type="dxa"/>
          </w:tcPr>
          <w:p w14:paraId="139B2ADD" w14:textId="77777777" w:rsidR="00476BD6" w:rsidRPr="00923E74" w:rsidRDefault="004458BF" w:rsidP="00476BD6">
            <w:pPr>
              <w:autoSpaceDE w:val="0"/>
              <w:autoSpaceDN w:val="0"/>
              <w:adjustRightInd w:val="0"/>
              <w:spacing w:line="240" w:lineRule="auto"/>
              <w:rPr>
                <w:snapToGrid/>
                <w:szCs w:val="22"/>
                <w:lang w:val="lt-LT"/>
              </w:rPr>
            </w:pPr>
            <w:r w:rsidRPr="00923E74">
              <w:rPr>
                <w:snapToGrid/>
                <w:szCs w:val="22"/>
                <w:lang w:val="lt-LT"/>
              </w:rPr>
              <w:t>Kepenų nepakankamumas</w:t>
            </w:r>
          </w:p>
        </w:tc>
        <w:tc>
          <w:tcPr>
            <w:tcW w:w="1525" w:type="dxa"/>
          </w:tcPr>
          <w:p w14:paraId="42C8139C" w14:textId="4A9B9E90" w:rsidR="00476BD6" w:rsidRPr="00923E74" w:rsidRDefault="001D317C" w:rsidP="007E15ED">
            <w:pPr>
              <w:autoSpaceDE w:val="0"/>
              <w:autoSpaceDN w:val="0"/>
              <w:adjustRightInd w:val="0"/>
              <w:spacing w:line="240" w:lineRule="auto"/>
              <w:jc w:val="center"/>
              <w:rPr>
                <w:snapToGrid/>
                <w:szCs w:val="22"/>
                <w:lang w:val="lt-LT"/>
              </w:rPr>
            </w:pPr>
            <w:r w:rsidRPr="00923E74">
              <w:rPr>
                <w:snapToGrid/>
                <w:szCs w:val="22"/>
                <w:lang w:val="lt-LT"/>
              </w:rPr>
              <w:t>Labai ret</w:t>
            </w:r>
            <w:r w:rsidR="007B280E">
              <w:rPr>
                <w:snapToGrid/>
                <w:szCs w:val="22"/>
                <w:lang w:val="lt-LT"/>
              </w:rPr>
              <w:t>as</w:t>
            </w:r>
          </w:p>
        </w:tc>
        <w:tc>
          <w:tcPr>
            <w:tcW w:w="1355" w:type="dxa"/>
          </w:tcPr>
          <w:p w14:paraId="10A531C6" w14:textId="77777777" w:rsidR="00476BD6" w:rsidRPr="00923E74" w:rsidRDefault="00476BD6" w:rsidP="007E15ED">
            <w:pPr>
              <w:spacing w:line="240" w:lineRule="auto"/>
              <w:jc w:val="center"/>
              <w:rPr>
                <w:rFonts w:eastAsia="Calibri"/>
                <w:snapToGrid/>
                <w:szCs w:val="22"/>
                <w:lang w:val="lt-LT"/>
              </w:rPr>
            </w:pPr>
          </w:p>
        </w:tc>
        <w:tc>
          <w:tcPr>
            <w:tcW w:w="1230" w:type="dxa"/>
          </w:tcPr>
          <w:p w14:paraId="2C733433" w14:textId="77777777" w:rsidR="00476BD6" w:rsidRPr="00923E74" w:rsidRDefault="00476BD6" w:rsidP="007E15ED">
            <w:pPr>
              <w:spacing w:line="240" w:lineRule="auto"/>
              <w:jc w:val="center"/>
              <w:rPr>
                <w:rFonts w:eastAsia="Calibri"/>
                <w:snapToGrid/>
                <w:szCs w:val="22"/>
                <w:lang w:val="lt-LT"/>
              </w:rPr>
            </w:pPr>
          </w:p>
        </w:tc>
      </w:tr>
      <w:tr w:rsidR="00C6142E" w:rsidRPr="00923E74" w14:paraId="52BE73B3" w14:textId="77777777" w:rsidTr="007E15ED">
        <w:trPr>
          <w:trHeight w:val="280"/>
        </w:trPr>
        <w:tc>
          <w:tcPr>
            <w:tcW w:w="2375" w:type="dxa"/>
            <w:vMerge/>
          </w:tcPr>
          <w:p w14:paraId="3A3E3729" w14:textId="77777777" w:rsidR="00476BD6" w:rsidRPr="00923E74" w:rsidRDefault="00476BD6" w:rsidP="00476BD6">
            <w:pPr>
              <w:spacing w:line="240" w:lineRule="auto"/>
              <w:rPr>
                <w:rFonts w:eastAsia="Calibri"/>
                <w:snapToGrid/>
                <w:szCs w:val="22"/>
                <w:lang w:val="lt-LT"/>
              </w:rPr>
            </w:pPr>
          </w:p>
        </w:tc>
        <w:tc>
          <w:tcPr>
            <w:tcW w:w="2801" w:type="dxa"/>
          </w:tcPr>
          <w:p w14:paraId="7FD6EEB7" w14:textId="4F1EDAAB" w:rsidR="00476BD6" w:rsidRPr="00923E74" w:rsidRDefault="004458BF" w:rsidP="004458BF">
            <w:pPr>
              <w:autoSpaceDE w:val="0"/>
              <w:autoSpaceDN w:val="0"/>
              <w:adjustRightInd w:val="0"/>
              <w:spacing w:line="240" w:lineRule="auto"/>
              <w:rPr>
                <w:snapToGrid/>
                <w:szCs w:val="22"/>
                <w:lang w:val="lt-LT"/>
              </w:rPr>
            </w:pPr>
            <w:r w:rsidRPr="00923E74">
              <w:rPr>
                <w:snapToGrid/>
                <w:szCs w:val="22"/>
                <w:lang w:val="lt-LT"/>
              </w:rPr>
              <w:t>Tulžies pūslės akmenligė</w:t>
            </w:r>
            <w:r w:rsidR="00476BD6" w:rsidRPr="00923E74">
              <w:rPr>
                <w:snapToGrid/>
                <w:szCs w:val="22"/>
                <w:lang w:val="lt-LT"/>
              </w:rPr>
              <w:t xml:space="preserve">, </w:t>
            </w:r>
            <w:r w:rsidRPr="00923E74">
              <w:rPr>
                <w:snapToGrid/>
                <w:szCs w:val="22"/>
                <w:lang w:val="lt-LT"/>
              </w:rPr>
              <w:t>cholecistitas</w:t>
            </w:r>
          </w:p>
        </w:tc>
        <w:tc>
          <w:tcPr>
            <w:tcW w:w="1525" w:type="dxa"/>
          </w:tcPr>
          <w:p w14:paraId="7390E5FA" w14:textId="77777777" w:rsidR="00476BD6" w:rsidRPr="00923E74" w:rsidRDefault="00476BD6" w:rsidP="007E15ED">
            <w:pPr>
              <w:autoSpaceDE w:val="0"/>
              <w:autoSpaceDN w:val="0"/>
              <w:adjustRightInd w:val="0"/>
              <w:spacing w:line="240" w:lineRule="auto"/>
              <w:jc w:val="center"/>
              <w:rPr>
                <w:snapToGrid/>
                <w:szCs w:val="22"/>
                <w:lang w:val="lt-LT"/>
              </w:rPr>
            </w:pPr>
          </w:p>
        </w:tc>
        <w:tc>
          <w:tcPr>
            <w:tcW w:w="1355" w:type="dxa"/>
          </w:tcPr>
          <w:p w14:paraId="18D39FA2"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099FCE6A" w14:textId="77777777" w:rsidR="00476BD6" w:rsidRPr="00923E74" w:rsidRDefault="00476BD6" w:rsidP="007E15ED">
            <w:pPr>
              <w:spacing w:line="240" w:lineRule="auto"/>
              <w:jc w:val="center"/>
              <w:rPr>
                <w:rFonts w:eastAsia="Calibri"/>
                <w:snapToGrid/>
                <w:szCs w:val="22"/>
                <w:lang w:val="lt-LT"/>
              </w:rPr>
            </w:pPr>
          </w:p>
        </w:tc>
      </w:tr>
      <w:tr w:rsidR="00272627" w:rsidRPr="00923E74" w14:paraId="676DA3C3" w14:textId="77777777" w:rsidTr="007E15ED">
        <w:tc>
          <w:tcPr>
            <w:tcW w:w="2375" w:type="dxa"/>
            <w:vMerge w:val="restart"/>
          </w:tcPr>
          <w:p w14:paraId="6F6986E5" w14:textId="6DB7C296" w:rsidR="00272627" w:rsidRPr="007E15ED" w:rsidRDefault="00272627" w:rsidP="00476BD6">
            <w:pPr>
              <w:autoSpaceDE w:val="0"/>
              <w:autoSpaceDN w:val="0"/>
              <w:adjustRightInd w:val="0"/>
              <w:spacing w:line="240" w:lineRule="auto"/>
              <w:rPr>
                <w:i/>
                <w:snapToGrid/>
                <w:szCs w:val="22"/>
                <w:lang w:val="lt-LT"/>
              </w:rPr>
            </w:pPr>
            <w:r w:rsidRPr="007E15ED">
              <w:rPr>
                <w:i/>
                <w:snapToGrid/>
                <w:szCs w:val="22"/>
                <w:lang w:val="lt-LT"/>
              </w:rPr>
              <w:t>Odos ir poodinio audinio sutrikimai</w:t>
            </w:r>
          </w:p>
        </w:tc>
        <w:tc>
          <w:tcPr>
            <w:tcW w:w="2801" w:type="dxa"/>
          </w:tcPr>
          <w:p w14:paraId="3E68FC79" w14:textId="77777777" w:rsidR="00272627" w:rsidRPr="00923E74" w:rsidRDefault="00272627" w:rsidP="00476BD6">
            <w:pPr>
              <w:spacing w:line="240" w:lineRule="auto"/>
              <w:rPr>
                <w:rFonts w:eastAsia="Calibri"/>
                <w:snapToGrid/>
                <w:szCs w:val="22"/>
                <w:lang w:val="lt-LT"/>
              </w:rPr>
            </w:pPr>
            <w:r w:rsidRPr="00923E74">
              <w:rPr>
                <w:snapToGrid/>
                <w:szCs w:val="22"/>
                <w:lang w:val="lt-LT"/>
              </w:rPr>
              <w:t>Dilgėlinė, odos išbėrimas, niežėjimas</w:t>
            </w:r>
          </w:p>
        </w:tc>
        <w:tc>
          <w:tcPr>
            <w:tcW w:w="1525" w:type="dxa"/>
          </w:tcPr>
          <w:p w14:paraId="5CAA7C68" w14:textId="3DB0E6FC" w:rsidR="00272627" w:rsidRPr="00923E74" w:rsidRDefault="00272627"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355" w:type="dxa"/>
          </w:tcPr>
          <w:p w14:paraId="13738271" w14:textId="77777777" w:rsidR="00272627" w:rsidRPr="00923E74" w:rsidRDefault="00272627" w:rsidP="007E15ED">
            <w:pPr>
              <w:spacing w:line="240" w:lineRule="auto"/>
              <w:jc w:val="center"/>
              <w:rPr>
                <w:rFonts w:eastAsia="Calibri"/>
                <w:snapToGrid/>
                <w:szCs w:val="22"/>
                <w:lang w:val="lt-LT"/>
              </w:rPr>
            </w:pPr>
          </w:p>
        </w:tc>
        <w:tc>
          <w:tcPr>
            <w:tcW w:w="1230" w:type="dxa"/>
          </w:tcPr>
          <w:p w14:paraId="515FE8AA" w14:textId="469A1A01" w:rsidR="00272627" w:rsidRPr="00923E74" w:rsidRDefault="00272627" w:rsidP="007E15ED">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r>
      <w:tr w:rsidR="00272627" w:rsidRPr="00923E74" w14:paraId="73256551" w14:textId="77777777" w:rsidTr="007E15ED">
        <w:tc>
          <w:tcPr>
            <w:tcW w:w="2375" w:type="dxa"/>
            <w:vMerge/>
          </w:tcPr>
          <w:p w14:paraId="74306028" w14:textId="77777777" w:rsidR="00272627" w:rsidRPr="00923E74" w:rsidRDefault="00272627" w:rsidP="00476BD6">
            <w:pPr>
              <w:autoSpaceDE w:val="0"/>
              <w:autoSpaceDN w:val="0"/>
              <w:adjustRightInd w:val="0"/>
              <w:spacing w:line="240" w:lineRule="auto"/>
              <w:rPr>
                <w:snapToGrid/>
                <w:szCs w:val="22"/>
                <w:lang w:val="lt-LT"/>
              </w:rPr>
            </w:pPr>
          </w:p>
        </w:tc>
        <w:tc>
          <w:tcPr>
            <w:tcW w:w="2801" w:type="dxa"/>
          </w:tcPr>
          <w:p w14:paraId="7EE5C315" w14:textId="77777777" w:rsidR="00272627" w:rsidRPr="00923E74" w:rsidRDefault="00272627" w:rsidP="00476BD6">
            <w:pPr>
              <w:autoSpaceDE w:val="0"/>
              <w:autoSpaceDN w:val="0"/>
              <w:adjustRightInd w:val="0"/>
              <w:spacing w:line="240" w:lineRule="auto"/>
              <w:rPr>
                <w:snapToGrid/>
                <w:szCs w:val="22"/>
                <w:lang w:val="lt-LT"/>
              </w:rPr>
            </w:pPr>
            <w:proofErr w:type="spellStart"/>
            <w:r w:rsidRPr="00923E74">
              <w:rPr>
                <w:snapToGrid/>
                <w:szCs w:val="22"/>
                <w:lang w:val="lt-LT"/>
              </w:rPr>
              <w:t>Alopecija</w:t>
            </w:r>
            <w:proofErr w:type="spellEnd"/>
          </w:p>
        </w:tc>
        <w:tc>
          <w:tcPr>
            <w:tcW w:w="1525" w:type="dxa"/>
          </w:tcPr>
          <w:p w14:paraId="4F79F3D7" w14:textId="20E464A4" w:rsidR="00272627" w:rsidRPr="00923E74" w:rsidRDefault="00272627" w:rsidP="007E15ED">
            <w:pPr>
              <w:autoSpaceDE w:val="0"/>
              <w:autoSpaceDN w:val="0"/>
              <w:adjustRightInd w:val="0"/>
              <w:spacing w:line="240" w:lineRule="auto"/>
              <w:jc w:val="center"/>
              <w:rPr>
                <w:snapToGrid/>
                <w:szCs w:val="22"/>
                <w:lang w:val="lt-LT"/>
              </w:rPr>
            </w:pPr>
            <w:r w:rsidRPr="00923E74">
              <w:rPr>
                <w:snapToGrid/>
                <w:szCs w:val="22"/>
                <w:lang w:val="lt-LT"/>
              </w:rPr>
              <w:t>Nedažn</w:t>
            </w:r>
            <w:r>
              <w:rPr>
                <w:snapToGrid/>
                <w:szCs w:val="22"/>
                <w:lang w:val="lt-LT"/>
              </w:rPr>
              <w:t>as</w:t>
            </w:r>
          </w:p>
        </w:tc>
        <w:tc>
          <w:tcPr>
            <w:tcW w:w="1355" w:type="dxa"/>
          </w:tcPr>
          <w:p w14:paraId="148C58A6" w14:textId="77777777" w:rsidR="00272627" w:rsidRPr="00923E74" w:rsidRDefault="00272627" w:rsidP="007E15ED">
            <w:pPr>
              <w:spacing w:line="240" w:lineRule="auto"/>
              <w:jc w:val="center"/>
              <w:rPr>
                <w:rFonts w:eastAsia="Calibri"/>
                <w:snapToGrid/>
                <w:szCs w:val="22"/>
                <w:lang w:val="lt-LT"/>
              </w:rPr>
            </w:pPr>
          </w:p>
        </w:tc>
        <w:tc>
          <w:tcPr>
            <w:tcW w:w="1230" w:type="dxa"/>
          </w:tcPr>
          <w:p w14:paraId="67318E1A" w14:textId="77777777" w:rsidR="00272627" w:rsidRPr="00923E74" w:rsidRDefault="00272627" w:rsidP="007E15ED">
            <w:pPr>
              <w:spacing w:line="240" w:lineRule="auto"/>
              <w:jc w:val="center"/>
              <w:rPr>
                <w:rFonts w:eastAsia="Calibri"/>
                <w:snapToGrid/>
                <w:szCs w:val="22"/>
                <w:lang w:val="lt-LT"/>
              </w:rPr>
            </w:pPr>
          </w:p>
        </w:tc>
      </w:tr>
      <w:tr w:rsidR="00272627" w:rsidRPr="001E189D" w14:paraId="21559DA2" w14:textId="77777777" w:rsidTr="007E15ED">
        <w:tc>
          <w:tcPr>
            <w:tcW w:w="2375" w:type="dxa"/>
            <w:vMerge/>
          </w:tcPr>
          <w:p w14:paraId="7CACC783" w14:textId="77777777" w:rsidR="00272627" w:rsidRPr="00923E74" w:rsidRDefault="00272627" w:rsidP="00476BD6">
            <w:pPr>
              <w:autoSpaceDE w:val="0"/>
              <w:autoSpaceDN w:val="0"/>
              <w:adjustRightInd w:val="0"/>
              <w:spacing w:line="240" w:lineRule="auto"/>
              <w:rPr>
                <w:snapToGrid/>
                <w:szCs w:val="22"/>
                <w:lang w:val="lt-LT"/>
              </w:rPr>
            </w:pPr>
          </w:p>
        </w:tc>
        <w:tc>
          <w:tcPr>
            <w:tcW w:w="2801" w:type="dxa"/>
          </w:tcPr>
          <w:p w14:paraId="0B6EECCC" w14:textId="2FC361EB" w:rsidR="00272627" w:rsidRPr="00923E74" w:rsidRDefault="00272627" w:rsidP="00DA205B">
            <w:pPr>
              <w:autoSpaceDE w:val="0"/>
              <w:autoSpaceDN w:val="0"/>
              <w:adjustRightInd w:val="0"/>
              <w:spacing w:line="240" w:lineRule="auto"/>
              <w:rPr>
                <w:snapToGrid/>
                <w:szCs w:val="22"/>
                <w:lang w:val="lt-LT"/>
              </w:rPr>
            </w:pPr>
            <w:proofErr w:type="spellStart"/>
            <w:r w:rsidRPr="00923E74">
              <w:rPr>
                <w:snapToGrid/>
                <w:szCs w:val="22"/>
                <w:lang w:val="lt-LT"/>
              </w:rPr>
              <w:t>Angioneurozinė</w:t>
            </w:r>
            <w:proofErr w:type="spellEnd"/>
            <w:r w:rsidRPr="00923E74">
              <w:rPr>
                <w:snapToGrid/>
                <w:szCs w:val="22"/>
                <w:lang w:val="lt-LT"/>
              </w:rPr>
              <w:t xml:space="preserve"> edema, </w:t>
            </w:r>
            <w:proofErr w:type="spellStart"/>
            <w:r w:rsidRPr="00923E74">
              <w:rPr>
                <w:snapToGrid/>
                <w:szCs w:val="22"/>
                <w:lang w:val="lt-LT"/>
              </w:rPr>
              <w:t>pūslinis</w:t>
            </w:r>
            <w:proofErr w:type="spellEnd"/>
            <w:r w:rsidRPr="00923E74">
              <w:rPr>
                <w:snapToGrid/>
                <w:szCs w:val="22"/>
                <w:lang w:val="lt-LT"/>
              </w:rPr>
              <w:t xml:space="preserve"> dermatitas, įskaitant </w:t>
            </w:r>
            <w:proofErr w:type="spellStart"/>
            <w:r w:rsidRPr="00923E74">
              <w:rPr>
                <w:snapToGrid/>
                <w:szCs w:val="22"/>
                <w:lang w:val="lt-LT"/>
              </w:rPr>
              <w:t>Stivenso</w:t>
            </w:r>
            <w:proofErr w:type="spellEnd"/>
            <w:r>
              <w:rPr>
                <w:snapToGrid/>
                <w:szCs w:val="22"/>
                <w:lang w:val="lt-LT"/>
              </w:rPr>
              <w:noBreakHyphen/>
            </w:r>
            <w:r w:rsidRPr="00923E74">
              <w:rPr>
                <w:snapToGrid/>
                <w:szCs w:val="22"/>
                <w:lang w:val="lt-LT"/>
              </w:rPr>
              <w:t>Džonsono (</w:t>
            </w:r>
            <w:r>
              <w:rPr>
                <w:snapToGrid/>
                <w:szCs w:val="22"/>
                <w:lang w:val="lt-LT"/>
              </w:rPr>
              <w:t xml:space="preserve">angl. </w:t>
            </w:r>
            <w:proofErr w:type="spellStart"/>
            <w:r w:rsidRPr="00923E74">
              <w:rPr>
                <w:i/>
                <w:snapToGrid/>
                <w:szCs w:val="22"/>
                <w:lang w:val="lt-LT"/>
              </w:rPr>
              <w:t>Stevens</w:t>
            </w:r>
            <w:r>
              <w:rPr>
                <w:i/>
                <w:snapToGrid/>
                <w:szCs w:val="22"/>
                <w:lang w:val="lt-LT"/>
              </w:rPr>
              <w:noBreakHyphen/>
            </w:r>
            <w:r w:rsidRPr="00923E74">
              <w:rPr>
                <w:i/>
                <w:snapToGrid/>
                <w:szCs w:val="22"/>
                <w:lang w:val="lt-LT"/>
              </w:rPr>
              <w:t>Johnson</w:t>
            </w:r>
            <w:proofErr w:type="spellEnd"/>
            <w:r w:rsidRPr="00923E74">
              <w:rPr>
                <w:snapToGrid/>
                <w:szCs w:val="22"/>
                <w:lang w:val="lt-LT"/>
              </w:rPr>
              <w:t xml:space="preserve">) sindromą bei toksinę epidermio </w:t>
            </w:r>
            <w:proofErr w:type="spellStart"/>
            <w:r w:rsidRPr="00923E74">
              <w:rPr>
                <w:snapToGrid/>
                <w:szCs w:val="22"/>
                <w:lang w:val="lt-LT"/>
              </w:rPr>
              <w:t>nekrolizę</w:t>
            </w:r>
            <w:proofErr w:type="spellEnd"/>
          </w:p>
        </w:tc>
        <w:tc>
          <w:tcPr>
            <w:tcW w:w="1525" w:type="dxa"/>
          </w:tcPr>
          <w:p w14:paraId="397EF97E" w14:textId="7590315C" w:rsidR="00272627" w:rsidRPr="00923E74" w:rsidRDefault="00272627" w:rsidP="007E15ED">
            <w:pPr>
              <w:autoSpaceDE w:val="0"/>
              <w:autoSpaceDN w:val="0"/>
              <w:adjustRightInd w:val="0"/>
              <w:spacing w:line="240" w:lineRule="auto"/>
              <w:jc w:val="center"/>
              <w:rPr>
                <w:snapToGrid/>
                <w:szCs w:val="22"/>
                <w:lang w:val="lt-LT"/>
              </w:rPr>
            </w:pPr>
            <w:r w:rsidRPr="00923E74">
              <w:rPr>
                <w:snapToGrid/>
                <w:szCs w:val="22"/>
                <w:lang w:val="lt-LT"/>
              </w:rPr>
              <w:t>Ret</w:t>
            </w:r>
            <w:r>
              <w:rPr>
                <w:snapToGrid/>
                <w:szCs w:val="22"/>
                <w:lang w:val="lt-LT"/>
              </w:rPr>
              <w:t>as</w:t>
            </w:r>
          </w:p>
        </w:tc>
        <w:tc>
          <w:tcPr>
            <w:tcW w:w="1355" w:type="dxa"/>
          </w:tcPr>
          <w:p w14:paraId="57363721" w14:textId="77777777" w:rsidR="00272627" w:rsidRPr="00923E74" w:rsidRDefault="00272627" w:rsidP="007E15ED">
            <w:pPr>
              <w:spacing w:line="240" w:lineRule="auto"/>
              <w:jc w:val="center"/>
              <w:rPr>
                <w:rFonts w:eastAsia="Calibri"/>
                <w:snapToGrid/>
                <w:szCs w:val="22"/>
                <w:lang w:val="lt-LT"/>
              </w:rPr>
            </w:pPr>
          </w:p>
        </w:tc>
        <w:tc>
          <w:tcPr>
            <w:tcW w:w="1230" w:type="dxa"/>
          </w:tcPr>
          <w:p w14:paraId="55EDDD74" w14:textId="77777777" w:rsidR="00272627" w:rsidRPr="00923E74" w:rsidRDefault="00272627" w:rsidP="007E15ED">
            <w:pPr>
              <w:spacing w:line="240" w:lineRule="auto"/>
              <w:jc w:val="center"/>
              <w:rPr>
                <w:rFonts w:eastAsia="Calibri"/>
                <w:snapToGrid/>
                <w:szCs w:val="22"/>
                <w:lang w:val="lt-LT"/>
              </w:rPr>
            </w:pPr>
          </w:p>
        </w:tc>
      </w:tr>
      <w:tr w:rsidR="00272627" w:rsidRPr="001E189D" w14:paraId="2629F1DF" w14:textId="77777777" w:rsidTr="007E15ED">
        <w:trPr>
          <w:trHeight w:val="268"/>
        </w:trPr>
        <w:tc>
          <w:tcPr>
            <w:tcW w:w="2375" w:type="dxa"/>
            <w:vMerge/>
          </w:tcPr>
          <w:p w14:paraId="6C8D184E" w14:textId="77777777" w:rsidR="00272627" w:rsidRPr="00923E74" w:rsidRDefault="00272627" w:rsidP="00476BD6">
            <w:pPr>
              <w:autoSpaceDE w:val="0"/>
              <w:autoSpaceDN w:val="0"/>
              <w:adjustRightInd w:val="0"/>
              <w:spacing w:line="240" w:lineRule="auto"/>
              <w:rPr>
                <w:snapToGrid/>
                <w:szCs w:val="22"/>
                <w:lang w:val="lt-LT"/>
              </w:rPr>
            </w:pPr>
          </w:p>
        </w:tc>
        <w:tc>
          <w:tcPr>
            <w:tcW w:w="2801" w:type="dxa"/>
          </w:tcPr>
          <w:p w14:paraId="7BEA5AF9" w14:textId="77777777" w:rsidR="00272627" w:rsidRPr="00923E74" w:rsidRDefault="00272627" w:rsidP="00476BD6">
            <w:pPr>
              <w:autoSpaceDE w:val="0"/>
              <w:autoSpaceDN w:val="0"/>
              <w:adjustRightInd w:val="0"/>
              <w:spacing w:line="240" w:lineRule="auto"/>
              <w:rPr>
                <w:snapToGrid/>
                <w:szCs w:val="22"/>
                <w:lang w:val="lt-LT"/>
              </w:rPr>
            </w:pPr>
            <w:r w:rsidRPr="00923E74">
              <w:rPr>
                <w:snapToGrid/>
                <w:szCs w:val="22"/>
                <w:lang w:val="lt-LT"/>
              </w:rPr>
              <w:t xml:space="preserve">Daugiaformė </w:t>
            </w:r>
            <w:r>
              <w:rPr>
                <w:snapToGrid/>
                <w:szCs w:val="22"/>
                <w:lang w:val="lt-LT"/>
              </w:rPr>
              <w:t>raudonė (</w:t>
            </w:r>
            <w:proofErr w:type="spellStart"/>
            <w:r w:rsidRPr="00923E74">
              <w:rPr>
                <w:snapToGrid/>
                <w:szCs w:val="22"/>
                <w:lang w:val="lt-LT"/>
              </w:rPr>
              <w:t>eritema</w:t>
            </w:r>
            <w:proofErr w:type="spellEnd"/>
            <w:r>
              <w:rPr>
                <w:snapToGrid/>
                <w:szCs w:val="22"/>
                <w:lang w:val="lt-LT"/>
              </w:rPr>
              <w:t>)</w:t>
            </w:r>
          </w:p>
        </w:tc>
        <w:tc>
          <w:tcPr>
            <w:tcW w:w="1525" w:type="dxa"/>
          </w:tcPr>
          <w:p w14:paraId="68B0FF5C" w14:textId="37C29115" w:rsidR="00272627" w:rsidRPr="00923E74" w:rsidRDefault="00272627" w:rsidP="007E15ED">
            <w:pPr>
              <w:autoSpaceDE w:val="0"/>
              <w:autoSpaceDN w:val="0"/>
              <w:adjustRightInd w:val="0"/>
              <w:spacing w:line="240" w:lineRule="auto"/>
              <w:jc w:val="center"/>
              <w:rPr>
                <w:snapToGrid/>
                <w:szCs w:val="22"/>
                <w:lang w:val="lt-LT"/>
              </w:rPr>
            </w:pPr>
            <w:r w:rsidRPr="00923E74">
              <w:rPr>
                <w:snapToGrid/>
                <w:szCs w:val="22"/>
                <w:lang w:val="lt-LT"/>
              </w:rPr>
              <w:t>Ret</w:t>
            </w:r>
            <w:r>
              <w:rPr>
                <w:snapToGrid/>
                <w:szCs w:val="22"/>
                <w:lang w:val="lt-LT"/>
              </w:rPr>
              <w:t>as</w:t>
            </w:r>
          </w:p>
        </w:tc>
        <w:tc>
          <w:tcPr>
            <w:tcW w:w="1355" w:type="dxa"/>
          </w:tcPr>
          <w:p w14:paraId="694164D4" w14:textId="77777777" w:rsidR="00272627" w:rsidRPr="00923E74" w:rsidRDefault="00272627"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0CC61540" w14:textId="77777777" w:rsidR="00272627" w:rsidRPr="00923E74" w:rsidRDefault="00272627" w:rsidP="007E15ED">
            <w:pPr>
              <w:spacing w:line="240" w:lineRule="auto"/>
              <w:jc w:val="center"/>
              <w:rPr>
                <w:rFonts w:eastAsia="Calibri"/>
                <w:snapToGrid/>
                <w:szCs w:val="22"/>
                <w:lang w:val="lt-LT"/>
              </w:rPr>
            </w:pPr>
          </w:p>
        </w:tc>
      </w:tr>
      <w:tr w:rsidR="00272627" w:rsidRPr="001E189D" w14:paraId="33F51B84" w14:textId="77777777" w:rsidTr="007E15ED">
        <w:trPr>
          <w:trHeight w:val="268"/>
        </w:trPr>
        <w:tc>
          <w:tcPr>
            <w:tcW w:w="2375" w:type="dxa"/>
            <w:vMerge/>
          </w:tcPr>
          <w:p w14:paraId="05211B37" w14:textId="77777777" w:rsidR="00272627" w:rsidRPr="00923E74" w:rsidRDefault="00272627" w:rsidP="00476BD6">
            <w:pPr>
              <w:autoSpaceDE w:val="0"/>
              <w:autoSpaceDN w:val="0"/>
              <w:adjustRightInd w:val="0"/>
              <w:spacing w:line="240" w:lineRule="auto"/>
              <w:rPr>
                <w:snapToGrid/>
                <w:szCs w:val="22"/>
                <w:lang w:val="lt-LT"/>
              </w:rPr>
            </w:pPr>
          </w:p>
        </w:tc>
        <w:tc>
          <w:tcPr>
            <w:tcW w:w="2801" w:type="dxa"/>
          </w:tcPr>
          <w:p w14:paraId="621DBE48" w14:textId="5C9B0DC8" w:rsidR="00272627" w:rsidRPr="00923E74" w:rsidRDefault="00272627" w:rsidP="00476BD6">
            <w:pPr>
              <w:autoSpaceDE w:val="0"/>
              <w:autoSpaceDN w:val="0"/>
              <w:adjustRightInd w:val="0"/>
              <w:spacing w:line="240" w:lineRule="auto"/>
              <w:rPr>
                <w:snapToGrid/>
                <w:szCs w:val="22"/>
                <w:lang w:val="lt-LT"/>
              </w:rPr>
            </w:pPr>
            <w:proofErr w:type="spellStart"/>
            <w:r>
              <w:rPr>
                <w:snapToGrid/>
                <w:szCs w:val="22"/>
                <w:lang w:val="lt-LT"/>
              </w:rPr>
              <w:t>Lichenoidinė</w:t>
            </w:r>
            <w:proofErr w:type="spellEnd"/>
            <w:r>
              <w:rPr>
                <w:snapToGrid/>
                <w:szCs w:val="22"/>
                <w:lang w:val="lt-LT"/>
              </w:rPr>
              <w:t xml:space="preserve"> (</w:t>
            </w:r>
            <w:proofErr w:type="spellStart"/>
            <w:r>
              <w:rPr>
                <w:snapToGrid/>
                <w:szCs w:val="22"/>
                <w:lang w:val="lt-LT"/>
              </w:rPr>
              <w:t>kerpligiška</w:t>
            </w:r>
            <w:proofErr w:type="spellEnd"/>
            <w:r>
              <w:rPr>
                <w:snapToGrid/>
                <w:szCs w:val="22"/>
                <w:lang w:val="lt-LT"/>
              </w:rPr>
              <w:t>) reakcija į vaistinį preparatą</w:t>
            </w:r>
          </w:p>
        </w:tc>
        <w:tc>
          <w:tcPr>
            <w:tcW w:w="1525" w:type="dxa"/>
          </w:tcPr>
          <w:p w14:paraId="2A19BDEE" w14:textId="2A5C0397" w:rsidR="00272627" w:rsidRPr="00923E74" w:rsidRDefault="00272627" w:rsidP="007E15ED">
            <w:pPr>
              <w:autoSpaceDE w:val="0"/>
              <w:autoSpaceDN w:val="0"/>
              <w:adjustRightInd w:val="0"/>
              <w:spacing w:line="240" w:lineRule="auto"/>
              <w:jc w:val="center"/>
              <w:rPr>
                <w:snapToGrid/>
                <w:szCs w:val="22"/>
                <w:lang w:val="lt-LT"/>
              </w:rPr>
            </w:pPr>
            <w:r>
              <w:rPr>
                <w:snapToGrid/>
                <w:szCs w:val="22"/>
                <w:lang w:val="lt-LT"/>
              </w:rPr>
              <w:t>Retas</w:t>
            </w:r>
          </w:p>
        </w:tc>
        <w:tc>
          <w:tcPr>
            <w:tcW w:w="1355" w:type="dxa"/>
          </w:tcPr>
          <w:p w14:paraId="38980AE9" w14:textId="77777777" w:rsidR="00272627" w:rsidRPr="00923E74" w:rsidRDefault="00272627" w:rsidP="007E15ED">
            <w:pPr>
              <w:spacing w:line="240" w:lineRule="auto"/>
              <w:jc w:val="center"/>
              <w:rPr>
                <w:rFonts w:eastAsia="Calibri"/>
                <w:snapToGrid/>
                <w:szCs w:val="22"/>
                <w:lang w:val="lt-LT"/>
              </w:rPr>
            </w:pPr>
          </w:p>
        </w:tc>
        <w:tc>
          <w:tcPr>
            <w:tcW w:w="1230" w:type="dxa"/>
          </w:tcPr>
          <w:p w14:paraId="3BE75001" w14:textId="77777777" w:rsidR="00272627" w:rsidRPr="00923E74" w:rsidRDefault="00272627" w:rsidP="007E15ED">
            <w:pPr>
              <w:spacing w:line="240" w:lineRule="auto"/>
              <w:jc w:val="center"/>
              <w:rPr>
                <w:rFonts w:eastAsia="Calibri"/>
                <w:snapToGrid/>
                <w:szCs w:val="22"/>
                <w:lang w:val="lt-LT"/>
              </w:rPr>
            </w:pPr>
          </w:p>
        </w:tc>
      </w:tr>
      <w:tr w:rsidR="00C6142E" w:rsidRPr="00923E74" w14:paraId="11B9BA14" w14:textId="77777777" w:rsidTr="007E15ED">
        <w:tc>
          <w:tcPr>
            <w:tcW w:w="2375" w:type="dxa"/>
            <w:vMerge w:val="restart"/>
          </w:tcPr>
          <w:p w14:paraId="3230C5A3" w14:textId="77777777" w:rsidR="00476BD6" w:rsidRPr="007E15ED" w:rsidRDefault="00D20584" w:rsidP="00476BD6">
            <w:pPr>
              <w:spacing w:line="240" w:lineRule="auto"/>
              <w:rPr>
                <w:rFonts w:eastAsia="Calibri"/>
                <w:i/>
                <w:snapToGrid/>
                <w:szCs w:val="22"/>
                <w:lang w:val="lt-LT"/>
              </w:rPr>
            </w:pPr>
            <w:r w:rsidRPr="007E15ED">
              <w:rPr>
                <w:i/>
                <w:snapToGrid/>
                <w:szCs w:val="22"/>
                <w:lang w:val="lt-LT"/>
              </w:rPr>
              <w:t>Skeleto, raumenų ir jungiamojo audinio sutrikimai</w:t>
            </w:r>
          </w:p>
        </w:tc>
        <w:tc>
          <w:tcPr>
            <w:tcW w:w="2801" w:type="dxa"/>
          </w:tcPr>
          <w:p w14:paraId="141ADEF3" w14:textId="77777777" w:rsidR="00476BD6" w:rsidRPr="00923E74" w:rsidRDefault="001A3B3B" w:rsidP="00476BD6">
            <w:pPr>
              <w:spacing w:line="240" w:lineRule="auto"/>
              <w:rPr>
                <w:rFonts w:eastAsia="Calibri"/>
                <w:snapToGrid/>
                <w:szCs w:val="22"/>
                <w:lang w:val="lt-LT"/>
              </w:rPr>
            </w:pPr>
            <w:proofErr w:type="spellStart"/>
            <w:r w:rsidRPr="00923E74">
              <w:rPr>
                <w:snapToGrid/>
                <w:szCs w:val="22"/>
                <w:lang w:val="lt-LT"/>
              </w:rPr>
              <w:t>Artralgija</w:t>
            </w:r>
            <w:proofErr w:type="spellEnd"/>
            <w:r w:rsidRPr="00923E74">
              <w:rPr>
                <w:snapToGrid/>
                <w:szCs w:val="22"/>
                <w:lang w:val="lt-LT"/>
              </w:rPr>
              <w:t>, raumenų spazmai</w:t>
            </w:r>
          </w:p>
        </w:tc>
        <w:tc>
          <w:tcPr>
            <w:tcW w:w="1525" w:type="dxa"/>
          </w:tcPr>
          <w:p w14:paraId="65E7D6DC" w14:textId="3E449371" w:rsidR="00476BD6" w:rsidRPr="00923E74" w:rsidRDefault="00476BD6" w:rsidP="007E15ED">
            <w:pPr>
              <w:spacing w:line="240" w:lineRule="auto"/>
              <w:jc w:val="center"/>
              <w:rPr>
                <w:rFonts w:eastAsia="Calibri"/>
                <w:snapToGrid/>
                <w:szCs w:val="22"/>
                <w:lang w:val="lt-LT"/>
              </w:rPr>
            </w:pPr>
            <w:r w:rsidRPr="00923E74">
              <w:rPr>
                <w:snapToGrid/>
                <w:szCs w:val="22"/>
                <w:lang w:val="lt-LT"/>
              </w:rPr>
              <w:t>Dažn</w:t>
            </w:r>
            <w:r w:rsidR="00CB7F65">
              <w:rPr>
                <w:snapToGrid/>
                <w:szCs w:val="22"/>
                <w:lang w:val="lt-LT"/>
              </w:rPr>
              <w:t>as</w:t>
            </w:r>
          </w:p>
        </w:tc>
        <w:tc>
          <w:tcPr>
            <w:tcW w:w="1355" w:type="dxa"/>
          </w:tcPr>
          <w:p w14:paraId="0A2A93D0" w14:textId="67D93475"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230" w:type="dxa"/>
          </w:tcPr>
          <w:p w14:paraId="1E753688" w14:textId="77777777" w:rsidR="00476BD6" w:rsidRPr="00923E74" w:rsidRDefault="00476BD6" w:rsidP="007E15ED">
            <w:pPr>
              <w:spacing w:line="240" w:lineRule="auto"/>
              <w:jc w:val="center"/>
              <w:rPr>
                <w:rFonts w:eastAsia="Calibri"/>
                <w:snapToGrid/>
                <w:szCs w:val="22"/>
                <w:lang w:val="lt-LT"/>
              </w:rPr>
            </w:pPr>
          </w:p>
        </w:tc>
      </w:tr>
      <w:tr w:rsidR="00C6142E" w:rsidRPr="00923E74" w14:paraId="777F2F24" w14:textId="77777777" w:rsidTr="007E15ED">
        <w:tc>
          <w:tcPr>
            <w:tcW w:w="2375" w:type="dxa"/>
            <w:vMerge/>
          </w:tcPr>
          <w:p w14:paraId="1D244D5C" w14:textId="77777777" w:rsidR="00476BD6" w:rsidRPr="00923E74" w:rsidRDefault="00476BD6" w:rsidP="00476BD6">
            <w:pPr>
              <w:spacing w:line="240" w:lineRule="auto"/>
              <w:rPr>
                <w:rFonts w:eastAsia="Calibri"/>
                <w:snapToGrid/>
                <w:szCs w:val="22"/>
                <w:lang w:val="lt-LT"/>
              </w:rPr>
            </w:pPr>
          </w:p>
        </w:tc>
        <w:tc>
          <w:tcPr>
            <w:tcW w:w="2801" w:type="dxa"/>
          </w:tcPr>
          <w:p w14:paraId="14B88FD3" w14:textId="77777777" w:rsidR="00476BD6" w:rsidRPr="00923E74" w:rsidRDefault="001A3B3B" w:rsidP="00476BD6">
            <w:pPr>
              <w:autoSpaceDE w:val="0"/>
              <w:autoSpaceDN w:val="0"/>
              <w:adjustRightInd w:val="0"/>
              <w:spacing w:line="240" w:lineRule="auto"/>
              <w:rPr>
                <w:snapToGrid/>
                <w:szCs w:val="22"/>
                <w:lang w:val="lt-LT"/>
              </w:rPr>
            </w:pPr>
            <w:r w:rsidRPr="00923E74">
              <w:rPr>
                <w:snapToGrid/>
                <w:szCs w:val="22"/>
                <w:lang w:val="lt-LT"/>
              </w:rPr>
              <w:t>Sąnarių patinimas</w:t>
            </w:r>
          </w:p>
        </w:tc>
        <w:tc>
          <w:tcPr>
            <w:tcW w:w="1525" w:type="dxa"/>
          </w:tcPr>
          <w:p w14:paraId="07725D7C" w14:textId="12BE679D"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CB7F65">
              <w:rPr>
                <w:snapToGrid/>
                <w:szCs w:val="22"/>
                <w:lang w:val="lt-LT"/>
              </w:rPr>
              <w:t>as</w:t>
            </w:r>
          </w:p>
        </w:tc>
        <w:tc>
          <w:tcPr>
            <w:tcW w:w="1355" w:type="dxa"/>
          </w:tcPr>
          <w:p w14:paraId="49790AA1" w14:textId="77777777" w:rsidR="00476BD6" w:rsidRPr="00923E74" w:rsidRDefault="00476BD6" w:rsidP="007E15ED">
            <w:pPr>
              <w:spacing w:line="240" w:lineRule="auto"/>
              <w:jc w:val="center"/>
              <w:rPr>
                <w:rFonts w:eastAsia="Calibri"/>
                <w:snapToGrid/>
                <w:szCs w:val="22"/>
                <w:lang w:val="lt-LT"/>
              </w:rPr>
            </w:pPr>
          </w:p>
        </w:tc>
        <w:tc>
          <w:tcPr>
            <w:tcW w:w="1230" w:type="dxa"/>
          </w:tcPr>
          <w:p w14:paraId="43999F40" w14:textId="77777777" w:rsidR="00476BD6" w:rsidRPr="00923E74" w:rsidRDefault="00476BD6" w:rsidP="007E15ED">
            <w:pPr>
              <w:spacing w:line="240" w:lineRule="auto"/>
              <w:jc w:val="center"/>
              <w:rPr>
                <w:rFonts w:eastAsia="Calibri"/>
                <w:snapToGrid/>
                <w:szCs w:val="22"/>
                <w:lang w:val="lt-LT"/>
              </w:rPr>
            </w:pPr>
          </w:p>
        </w:tc>
      </w:tr>
      <w:tr w:rsidR="00C6142E" w:rsidRPr="00923E74" w14:paraId="36B81814" w14:textId="77777777" w:rsidTr="007E15ED">
        <w:trPr>
          <w:trHeight w:val="326"/>
        </w:trPr>
        <w:tc>
          <w:tcPr>
            <w:tcW w:w="2375" w:type="dxa"/>
            <w:vMerge/>
          </w:tcPr>
          <w:p w14:paraId="65407090" w14:textId="77777777" w:rsidR="00476BD6" w:rsidRPr="00923E74" w:rsidRDefault="00476BD6" w:rsidP="00476BD6">
            <w:pPr>
              <w:spacing w:line="240" w:lineRule="auto"/>
              <w:rPr>
                <w:rFonts w:eastAsia="Calibri"/>
                <w:snapToGrid/>
                <w:szCs w:val="22"/>
                <w:lang w:val="lt-LT"/>
              </w:rPr>
            </w:pPr>
          </w:p>
        </w:tc>
        <w:tc>
          <w:tcPr>
            <w:tcW w:w="2801" w:type="dxa"/>
          </w:tcPr>
          <w:p w14:paraId="742B2125" w14:textId="77777777" w:rsidR="00476BD6" w:rsidRPr="00923E74" w:rsidRDefault="001A3B3B" w:rsidP="00476BD6">
            <w:pPr>
              <w:autoSpaceDE w:val="0"/>
              <w:autoSpaceDN w:val="0"/>
              <w:adjustRightInd w:val="0"/>
              <w:spacing w:line="240" w:lineRule="auto"/>
              <w:rPr>
                <w:snapToGrid/>
                <w:szCs w:val="22"/>
                <w:lang w:val="lt-LT"/>
              </w:rPr>
            </w:pPr>
            <w:r w:rsidRPr="00923E74">
              <w:rPr>
                <w:snapToGrid/>
                <w:szCs w:val="22"/>
                <w:lang w:val="lt-LT"/>
              </w:rPr>
              <w:t>Galūnių skausmas, nugaros skausmas</w:t>
            </w:r>
          </w:p>
        </w:tc>
        <w:tc>
          <w:tcPr>
            <w:tcW w:w="1525" w:type="dxa"/>
          </w:tcPr>
          <w:p w14:paraId="35A38AAB" w14:textId="2D99B639"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CB7F65">
              <w:rPr>
                <w:snapToGrid/>
                <w:szCs w:val="22"/>
                <w:lang w:val="lt-LT"/>
              </w:rPr>
              <w:t>as</w:t>
            </w:r>
          </w:p>
        </w:tc>
        <w:tc>
          <w:tcPr>
            <w:tcW w:w="1355" w:type="dxa"/>
          </w:tcPr>
          <w:p w14:paraId="5E0B9045" w14:textId="77777777" w:rsidR="00476BD6" w:rsidRPr="00923E74" w:rsidRDefault="00476BD6" w:rsidP="007E15ED">
            <w:pPr>
              <w:spacing w:line="240" w:lineRule="auto"/>
              <w:jc w:val="center"/>
              <w:rPr>
                <w:rFonts w:eastAsia="Calibri"/>
                <w:snapToGrid/>
                <w:szCs w:val="22"/>
                <w:lang w:val="lt-LT"/>
              </w:rPr>
            </w:pPr>
          </w:p>
        </w:tc>
        <w:tc>
          <w:tcPr>
            <w:tcW w:w="1230" w:type="dxa"/>
          </w:tcPr>
          <w:p w14:paraId="7CAA9236" w14:textId="7CF0676B"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r>
      <w:tr w:rsidR="00C6142E" w:rsidRPr="00923E74" w14:paraId="513FA494" w14:textId="77777777" w:rsidTr="007E15ED">
        <w:trPr>
          <w:trHeight w:val="219"/>
        </w:trPr>
        <w:tc>
          <w:tcPr>
            <w:tcW w:w="2375" w:type="dxa"/>
            <w:vMerge/>
          </w:tcPr>
          <w:p w14:paraId="4F8097D9" w14:textId="77777777" w:rsidR="00476BD6" w:rsidRPr="00923E74" w:rsidRDefault="00476BD6" w:rsidP="00476BD6">
            <w:pPr>
              <w:spacing w:line="240" w:lineRule="auto"/>
              <w:rPr>
                <w:rFonts w:eastAsia="Calibri"/>
                <w:snapToGrid/>
                <w:szCs w:val="22"/>
                <w:lang w:val="lt-LT"/>
              </w:rPr>
            </w:pPr>
          </w:p>
        </w:tc>
        <w:tc>
          <w:tcPr>
            <w:tcW w:w="2801" w:type="dxa"/>
          </w:tcPr>
          <w:p w14:paraId="134E3ED8" w14:textId="77777777" w:rsidR="00476BD6" w:rsidRPr="00923E74" w:rsidRDefault="001A3B3B" w:rsidP="00476BD6">
            <w:pPr>
              <w:autoSpaceDE w:val="0"/>
              <w:autoSpaceDN w:val="0"/>
              <w:adjustRightInd w:val="0"/>
              <w:spacing w:line="240" w:lineRule="auto"/>
              <w:rPr>
                <w:snapToGrid/>
                <w:szCs w:val="22"/>
                <w:lang w:val="lt-LT"/>
              </w:rPr>
            </w:pPr>
            <w:r w:rsidRPr="00923E74">
              <w:rPr>
                <w:snapToGrid/>
                <w:szCs w:val="22"/>
                <w:lang w:val="lt-LT"/>
              </w:rPr>
              <w:t>Raumenų nuovargis</w:t>
            </w:r>
          </w:p>
        </w:tc>
        <w:tc>
          <w:tcPr>
            <w:tcW w:w="1525" w:type="dxa"/>
          </w:tcPr>
          <w:p w14:paraId="3BCDA43C" w14:textId="2DBC7559"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CB7F65">
              <w:rPr>
                <w:snapToGrid/>
                <w:szCs w:val="22"/>
                <w:lang w:val="lt-LT"/>
              </w:rPr>
              <w:t>as</w:t>
            </w:r>
          </w:p>
        </w:tc>
        <w:tc>
          <w:tcPr>
            <w:tcW w:w="1355" w:type="dxa"/>
          </w:tcPr>
          <w:p w14:paraId="5B225B60" w14:textId="77777777" w:rsidR="00476BD6" w:rsidRPr="00923E74" w:rsidRDefault="00476BD6" w:rsidP="007E15ED">
            <w:pPr>
              <w:spacing w:line="240" w:lineRule="auto"/>
              <w:jc w:val="center"/>
              <w:rPr>
                <w:rFonts w:eastAsia="Calibri"/>
                <w:snapToGrid/>
                <w:szCs w:val="22"/>
                <w:lang w:val="lt-LT"/>
              </w:rPr>
            </w:pPr>
          </w:p>
        </w:tc>
        <w:tc>
          <w:tcPr>
            <w:tcW w:w="1230" w:type="dxa"/>
          </w:tcPr>
          <w:p w14:paraId="501859F3" w14:textId="77777777" w:rsidR="00476BD6" w:rsidRPr="00923E74" w:rsidRDefault="00476BD6" w:rsidP="007E15ED">
            <w:pPr>
              <w:spacing w:line="240" w:lineRule="auto"/>
              <w:jc w:val="center"/>
              <w:rPr>
                <w:snapToGrid/>
                <w:szCs w:val="22"/>
                <w:lang w:val="lt-LT"/>
              </w:rPr>
            </w:pPr>
          </w:p>
        </w:tc>
      </w:tr>
      <w:tr w:rsidR="00C6142E" w:rsidRPr="00923E74" w14:paraId="4B6E33CF" w14:textId="77777777" w:rsidTr="007E15ED">
        <w:trPr>
          <w:trHeight w:val="219"/>
        </w:trPr>
        <w:tc>
          <w:tcPr>
            <w:tcW w:w="2375" w:type="dxa"/>
            <w:vMerge/>
          </w:tcPr>
          <w:p w14:paraId="1199B1C9" w14:textId="77777777" w:rsidR="00476BD6" w:rsidRPr="00923E74" w:rsidRDefault="00476BD6" w:rsidP="00476BD6">
            <w:pPr>
              <w:spacing w:line="240" w:lineRule="auto"/>
              <w:rPr>
                <w:rFonts w:eastAsia="Calibri"/>
                <w:snapToGrid/>
                <w:szCs w:val="22"/>
                <w:lang w:val="lt-LT"/>
              </w:rPr>
            </w:pPr>
          </w:p>
        </w:tc>
        <w:tc>
          <w:tcPr>
            <w:tcW w:w="2801" w:type="dxa"/>
          </w:tcPr>
          <w:p w14:paraId="504634B3" w14:textId="77777777" w:rsidR="00476BD6" w:rsidRPr="00923E74" w:rsidRDefault="001A3B3B" w:rsidP="00476BD6">
            <w:pPr>
              <w:autoSpaceDE w:val="0"/>
              <w:autoSpaceDN w:val="0"/>
              <w:adjustRightInd w:val="0"/>
              <w:spacing w:line="240" w:lineRule="auto"/>
              <w:rPr>
                <w:snapToGrid/>
                <w:szCs w:val="22"/>
                <w:lang w:val="lt-LT"/>
              </w:rPr>
            </w:pPr>
            <w:r w:rsidRPr="00923E74">
              <w:rPr>
                <w:snapToGrid/>
                <w:szCs w:val="22"/>
                <w:lang w:val="lt-LT"/>
              </w:rPr>
              <w:t>Raumenų silpnumas</w:t>
            </w:r>
          </w:p>
        </w:tc>
        <w:tc>
          <w:tcPr>
            <w:tcW w:w="1525" w:type="dxa"/>
          </w:tcPr>
          <w:p w14:paraId="30609836" w14:textId="31EEAC60"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CB7F65">
              <w:rPr>
                <w:snapToGrid/>
                <w:szCs w:val="22"/>
                <w:lang w:val="lt-LT"/>
              </w:rPr>
              <w:t>as</w:t>
            </w:r>
          </w:p>
        </w:tc>
        <w:tc>
          <w:tcPr>
            <w:tcW w:w="1355" w:type="dxa"/>
          </w:tcPr>
          <w:p w14:paraId="04BC19A6" w14:textId="77777777" w:rsidR="00476BD6" w:rsidRPr="00923E74" w:rsidRDefault="00476BD6" w:rsidP="007E15ED">
            <w:pPr>
              <w:spacing w:line="240" w:lineRule="auto"/>
              <w:jc w:val="center"/>
              <w:rPr>
                <w:rFonts w:eastAsia="Calibri"/>
                <w:snapToGrid/>
                <w:szCs w:val="22"/>
                <w:lang w:val="lt-LT"/>
              </w:rPr>
            </w:pPr>
          </w:p>
        </w:tc>
        <w:tc>
          <w:tcPr>
            <w:tcW w:w="1230" w:type="dxa"/>
          </w:tcPr>
          <w:p w14:paraId="3F30BA77" w14:textId="2C57BEEF" w:rsidR="00476BD6" w:rsidRPr="00923E74" w:rsidRDefault="00476BD6" w:rsidP="007E15ED">
            <w:pPr>
              <w:spacing w:line="240" w:lineRule="auto"/>
              <w:jc w:val="center"/>
              <w:rPr>
                <w:snapToGrid/>
                <w:szCs w:val="22"/>
                <w:lang w:val="lt-LT"/>
              </w:rPr>
            </w:pPr>
            <w:r w:rsidRPr="00923E74">
              <w:rPr>
                <w:snapToGrid/>
                <w:szCs w:val="22"/>
                <w:lang w:val="lt-LT"/>
              </w:rPr>
              <w:t>Nedažn</w:t>
            </w:r>
            <w:r w:rsidR="00CB7F65">
              <w:rPr>
                <w:snapToGrid/>
                <w:szCs w:val="22"/>
                <w:lang w:val="lt-LT"/>
              </w:rPr>
              <w:t>as</w:t>
            </w:r>
          </w:p>
        </w:tc>
      </w:tr>
      <w:tr w:rsidR="00C6142E" w:rsidRPr="00923E74" w14:paraId="2B7727AB" w14:textId="77777777" w:rsidTr="007E15ED">
        <w:tc>
          <w:tcPr>
            <w:tcW w:w="2375" w:type="dxa"/>
            <w:vMerge/>
          </w:tcPr>
          <w:p w14:paraId="5DC6581A" w14:textId="77777777" w:rsidR="00476BD6" w:rsidRPr="00923E74" w:rsidRDefault="00476BD6" w:rsidP="00476BD6">
            <w:pPr>
              <w:spacing w:line="240" w:lineRule="auto"/>
              <w:rPr>
                <w:rFonts w:eastAsia="Calibri"/>
                <w:snapToGrid/>
                <w:szCs w:val="22"/>
                <w:lang w:val="lt-LT"/>
              </w:rPr>
            </w:pPr>
          </w:p>
        </w:tc>
        <w:tc>
          <w:tcPr>
            <w:tcW w:w="2801" w:type="dxa"/>
          </w:tcPr>
          <w:p w14:paraId="1D2EB75D" w14:textId="77777777" w:rsidR="00476BD6" w:rsidRPr="00923E74" w:rsidRDefault="001A3B3B" w:rsidP="00476BD6">
            <w:pPr>
              <w:autoSpaceDE w:val="0"/>
              <w:autoSpaceDN w:val="0"/>
              <w:adjustRightInd w:val="0"/>
              <w:spacing w:line="240" w:lineRule="auto"/>
              <w:rPr>
                <w:snapToGrid/>
                <w:szCs w:val="22"/>
                <w:lang w:val="lt-LT"/>
              </w:rPr>
            </w:pPr>
            <w:r w:rsidRPr="00923E74">
              <w:rPr>
                <w:snapToGrid/>
                <w:szCs w:val="22"/>
                <w:lang w:val="lt-LT"/>
              </w:rPr>
              <w:t>Kaklo skausmas</w:t>
            </w:r>
          </w:p>
        </w:tc>
        <w:tc>
          <w:tcPr>
            <w:tcW w:w="1525" w:type="dxa"/>
          </w:tcPr>
          <w:p w14:paraId="243D1D10" w14:textId="3D44AB6B"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Nedažn</w:t>
            </w:r>
            <w:r w:rsidR="00CB7F65">
              <w:rPr>
                <w:snapToGrid/>
                <w:szCs w:val="22"/>
                <w:lang w:val="lt-LT"/>
              </w:rPr>
              <w:t>as</w:t>
            </w:r>
          </w:p>
        </w:tc>
        <w:tc>
          <w:tcPr>
            <w:tcW w:w="1355" w:type="dxa"/>
          </w:tcPr>
          <w:p w14:paraId="5790C414" w14:textId="0E71047C"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230" w:type="dxa"/>
          </w:tcPr>
          <w:p w14:paraId="67BF283A" w14:textId="77777777" w:rsidR="00476BD6" w:rsidRPr="00923E74" w:rsidRDefault="00476BD6" w:rsidP="007E15ED">
            <w:pPr>
              <w:spacing w:line="240" w:lineRule="auto"/>
              <w:jc w:val="center"/>
              <w:rPr>
                <w:rFonts w:eastAsia="Calibri"/>
                <w:snapToGrid/>
                <w:szCs w:val="22"/>
                <w:lang w:val="lt-LT"/>
              </w:rPr>
            </w:pPr>
          </w:p>
        </w:tc>
      </w:tr>
      <w:tr w:rsidR="00C6142E" w:rsidRPr="00923E74" w14:paraId="56521BC8" w14:textId="77777777" w:rsidTr="007E15ED">
        <w:tc>
          <w:tcPr>
            <w:tcW w:w="2375" w:type="dxa"/>
            <w:vMerge/>
          </w:tcPr>
          <w:p w14:paraId="1539827F" w14:textId="77777777" w:rsidR="00476BD6" w:rsidRPr="00923E74" w:rsidRDefault="00476BD6" w:rsidP="00476BD6">
            <w:pPr>
              <w:spacing w:line="240" w:lineRule="auto"/>
              <w:rPr>
                <w:rFonts w:eastAsia="Calibri"/>
                <w:snapToGrid/>
                <w:szCs w:val="22"/>
                <w:lang w:val="lt-LT"/>
              </w:rPr>
            </w:pPr>
          </w:p>
        </w:tc>
        <w:tc>
          <w:tcPr>
            <w:tcW w:w="2801" w:type="dxa"/>
          </w:tcPr>
          <w:p w14:paraId="5A4FFE87" w14:textId="77777777" w:rsidR="00476BD6" w:rsidRPr="00923E74" w:rsidRDefault="001A3B3B" w:rsidP="00476BD6">
            <w:pPr>
              <w:autoSpaceDE w:val="0"/>
              <w:autoSpaceDN w:val="0"/>
              <w:adjustRightInd w:val="0"/>
              <w:spacing w:line="240" w:lineRule="auto"/>
              <w:rPr>
                <w:snapToGrid/>
                <w:szCs w:val="22"/>
                <w:lang w:val="lt-LT"/>
              </w:rPr>
            </w:pPr>
            <w:proofErr w:type="spellStart"/>
            <w:r w:rsidRPr="00923E74">
              <w:rPr>
                <w:snapToGrid/>
                <w:szCs w:val="22"/>
                <w:lang w:val="lt-LT"/>
              </w:rPr>
              <w:t>Mialgija</w:t>
            </w:r>
            <w:proofErr w:type="spellEnd"/>
          </w:p>
        </w:tc>
        <w:tc>
          <w:tcPr>
            <w:tcW w:w="1525" w:type="dxa"/>
          </w:tcPr>
          <w:p w14:paraId="49E46A51" w14:textId="20C5D002"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Dažn</w:t>
            </w:r>
            <w:r w:rsidR="00CB7F65">
              <w:rPr>
                <w:snapToGrid/>
                <w:szCs w:val="22"/>
                <w:lang w:val="lt-LT"/>
              </w:rPr>
              <w:t>as</w:t>
            </w:r>
          </w:p>
        </w:tc>
        <w:tc>
          <w:tcPr>
            <w:tcW w:w="1355" w:type="dxa"/>
          </w:tcPr>
          <w:p w14:paraId="5ACF8722"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667FF7CB" w14:textId="5FC990BA" w:rsidR="00476BD6" w:rsidRPr="00923E74" w:rsidRDefault="00476BD6" w:rsidP="007E15ED">
            <w:pPr>
              <w:spacing w:line="240" w:lineRule="auto"/>
              <w:jc w:val="center"/>
              <w:rPr>
                <w:rFonts w:eastAsia="Calibri"/>
                <w:snapToGrid/>
                <w:szCs w:val="22"/>
                <w:lang w:val="lt-LT"/>
              </w:rPr>
            </w:pPr>
            <w:r w:rsidRPr="00923E74">
              <w:rPr>
                <w:snapToGrid/>
                <w:szCs w:val="22"/>
                <w:lang w:val="lt-LT"/>
              </w:rPr>
              <w:t>Dažn</w:t>
            </w:r>
            <w:r w:rsidR="00CB7F65">
              <w:rPr>
                <w:snapToGrid/>
                <w:szCs w:val="22"/>
                <w:lang w:val="lt-LT"/>
              </w:rPr>
              <w:t>as</w:t>
            </w:r>
          </w:p>
        </w:tc>
      </w:tr>
      <w:tr w:rsidR="00C6142E" w:rsidRPr="00923E74" w14:paraId="16A96F0A" w14:textId="77777777" w:rsidTr="007E15ED">
        <w:tc>
          <w:tcPr>
            <w:tcW w:w="2375" w:type="dxa"/>
            <w:vMerge/>
          </w:tcPr>
          <w:p w14:paraId="2700BD38" w14:textId="77777777" w:rsidR="00476BD6" w:rsidRPr="00923E74" w:rsidRDefault="00476BD6" w:rsidP="00476BD6">
            <w:pPr>
              <w:spacing w:line="240" w:lineRule="auto"/>
              <w:rPr>
                <w:rFonts w:eastAsia="Calibri"/>
                <w:snapToGrid/>
                <w:szCs w:val="22"/>
                <w:lang w:val="lt-LT"/>
              </w:rPr>
            </w:pPr>
          </w:p>
        </w:tc>
        <w:tc>
          <w:tcPr>
            <w:tcW w:w="2801" w:type="dxa"/>
          </w:tcPr>
          <w:p w14:paraId="6267E6F5" w14:textId="77777777" w:rsidR="00476BD6" w:rsidRPr="00923E74" w:rsidRDefault="001A3B3B" w:rsidP="001A3B3B">
            <w:pPr>
              <w:autoSpaceDE w:val="0"/>
              <w:autoSpaceDN w:val="0"/>
              <w:adjustRightInd w:val="0"/>
              <w:spacing w:line="240" w:lineRule="auto"/>
              <w:rPr>
                <w:snapToGrid/>
                <w:szCs w:val="22"/>
                <w:lang w:val="lt-LT"/>
              </w:rPr>
            </w:pPr>
            <w:proofErr w:type="spellStart"/>
            <w:r w:rsidRPr="00923E74">
              <w:rPr>
                <w:snapToGrid/>
                <w:szCs w:val="22"/>
                <w:lang w:val="lt-LT"/>
              </w:rPr>
              <w:t>Miozitas</w:t>
            </w:r>
            <w:proofErr w:type="spellEnd"/>
            <w:r w:rsidR="00476BD6" w:rsidRPr="00923E74">
              <w:rPr>
                <w:snapToGrid/>
                <w:szCs w:val="22"/>
                <w:lang w:val="lt-LT"/>
              </w:rPr>
              <w:t xml:space="preserve">, </w:t>
            </w:r>
            <w:proofErr w:type="spellStart"/>
            <w:r w:rsidR="00476BD6" w:rsidRPr="00923E74">
              <w:rPr>
                <w:snapToGrid/>
                <w:szCs w:val="22"/>
                <w:lang w:val="lt-LT"/>
              </w:rPr>
              <w:t>tendinopat</w:t>
            </w:r>
            <w:r w:rsidRPr="00923E74">
              <w:rPr>
                <w:snapToGrid/>
                <w:szCs w:val="22"/>
                <w:lang w:val="lt-LT"/>
              </w:rPr>
              <w:t>ija</w:t>
            </w:r>
            <w:proofErr w:type="spellEnd"/>
            <w:r w:rsidR="00476BD6" w:rsidRPr="00923E74">
              <w:rPr>
                <w:snapToGrid/>
                <w:szCs w:val="22"/>
                <w:lang w:val="lt-LT"/>
              </w:rPr>
              <w:t xml:space="preserve"> (</w:t>
            </w:r>
            <w:r w:rsidRPr="00923E74">
              <w:rPr>
                <w:snapToGrid/>
                <w:szCs w:val="22"/>
                <w:lang w:val="lt-LT"/>
              </w:rPr>
              <w:t>kartais galinti komplikuotis plyšimu</w:t>
            </w:r>
            <w:r w:rsidR="00476BD6" w:rsidRPr="00923E74">
              <w:rPr>
                <w:snapToGrid/>
                <w:szCs w:val="22"/>
                <w:lang w:val="lt-LT"/>
              </w:rPr>
              <w:t>)</w:t>
            </w:r>
          </w:p>
        </w:tc>
        <w:tc>
          <w:tcPr>
            <w:tcW w:w="1525" w:type="dxa"/>
          </w:tcPr>
          <w:p w14:paraId="47142822" w14:textId="52C20BA8" w:rsidR="00476BD6" w:rsidRPr="00923E74" w:rsidRDefault="00476BD6" w:rsidP="007E15ED">
            <w:pPr>
              <w:autoSpaceDE w:val="0"/>
              <w:autoSpaceDN w:val="0"/>
              <w:adjustRightInd w:val="0"/>
              <w:spacing w:line="240" w:lineRule="auto"/>
              <w:jc w:val="center"/>
              <w:rPr>
                <w:snapToGrid/>
                <w:szCs w:val="22"/>
                <w:lang w:val="lt-LT"/>
              </w:rPr>
            </w:pPr>
            <w:r w:rsidRPr="00923E74">
              <w:rPr>
                <w:snapToGrid/>
                <w:szCs w:val="22"/>
                <w:lang w:val="lt-LT"/>
              </w:rPr>
              <w:t>R</w:t>
            </w:r>
            <w:r w:rsidR="00DA205B" w:rsidRPr="00923E74">
              <w:rPr>
                <w:snapToGrid/>
                <w:szCs w:val="22"/>
                <w:lang w:val="lt-LT"/>
              </w:rPr>
              <w:t>et</w:t>
            </w:r>
            <w:r w:rsidR="00CB7F65">
              <w:rPr>
                <w:snapToGrid/>
                <w:szCs w:val="22"/>
                <w:lang w:val="lt-LT"/>
              </w:rPr>
              <w:t>as</w:t>
            </w:r>
          </w:p>
        </w:tc>
        <w:tc>
          <w:tcPr>
            <w:tcW w:w="1355" w:type="dxa"/>
          </w:tcPr>
          <w:p w14:paraId="6B54861A" w14:textId="77777777" w:rsidR="00476BD6" w:rsidRPr="00923E74" w:rsidRDefault="00476BD6" w:rsidP="007E15ED">
            <w:pPr>
              <w:spacing w:line="240" w:lineRule="auto"/>
              <w:jc w:val="center"/>
              <w:rPr>
                <w:rFonts w:eastAsia="Calibri"/>
                <w:snapToGrid/>
                <w:szCs w:val="22"/>
                <w:lang w:val="lt-LT"/>
              </w:rPr>
            </w:pPr>
          </w:p>
        </w:tc>
        <w:tc>
          <w:tcPr>
            <w:tcW w:w="1230" w:type="dxa"/>
          </w:tcPr>
          <w:p w14:paraId="24A986E9" w14:textId="77777777" w:rsidR="00476BD6" w:rsidRPr="00923E74" w:rsidRDefault="00476BD6" w:rsidP="007E15ED">
            <w:pPr>
              <w:spacing w:line="240" w:lineRule="auto"/>
              <w:jc w:val="center"/>
              <w:rPr>
                <w:rFonts w:eastAsia="Calibri"/>
                <w:snapToGrid/>
                <w:szCs w:val="22"/>
                <w:lang w:val="lt-LT"/>
              </w:rPr>
            </w:pPr>
          </w:p>
        </w:tc>
      </w:tr>
      <w:tr w:rsidR="00C6142E" w:rsidRPr="00923E74" w14:paraId="3F61BF74" w14:textId="77777777" w:rsidTr="007E15ED">
        <w:tc>
          <w:tcPr>
            <w:tcW w:w="2375" w:type="dxa"/>
            <w:vMerge/>
          </w:tcPr>
          <w:p w14:paraId="7D1596AA" w14:textId="77777777" w:rsidR="00476BD6" w:rsidRPr="00923E74" w:rsidRDefault="00476BD6" w:rsidP="00476BD6">
            <w:pPr>
              <w:spacing w:line="240" w:lineRule="auto"/>
              <w:rPr>
                <w:rFonts w:eastAsia="Calibri"/>
                <w:snapToGrid/>
                <w:szCs w:val="22"/>
                <w:lang w:val="lt-LT"/>
              </w:rPr>
            </w:pPr>
          </w:p>
        </w:tc>
        <w:tc>
          <w:tcPr>
            <w:tcW w:w="2801" w:type="dxa"/>
          </w:tcPr>
          <w:p w14:paraId="4041F543" w14:textId="6FE0E555" w:rsidR="00476BD6" w:rsidRPr="00923E74" w:rsidRDefault="001A3B3B" w:rsidP="003B2789">
            <w:pPr>
              <w:autoSpaceDE w:val="0"/>
              <w:autoSpaceDN w:val="0"/>
              <w:adjustRightInd w:val="0"/>
              <w:spacing w:line="240" w:lineRule="auto"/>
              <w:rPr>
                <w:snapToGrid/>
                <w:szCs w:val="22"/>
                <w:lang w:val="lt-LT"/>
              </w:rPr>
            </w:pPr>
            <w:r w:rsidRPr="00923E74">
              <w:rPr>
                <w:snapToGrid/>
                <w:szCs w:val="22"/>
                <w:lang w:val="lt-LT"/>
              </w:rPr>
              <w:t xml:space="preserve">Su imunine sistema susijusi </w:t>
            </w:r>
            <w:proofErr w:type="spellStart"/>
            <w:r w:rsidRPr="00923E74">
              <w:rPr>
                <w:snapToGrid/>
                <w:szCs w:val="22"/>
                <w:lang w:val="lt-LT"/>
              </w:rPr>
              <w:t>nekro</w:t>
            </w:r>
            <w:r w:rsidR="00DC6D92">
              <w:rPr>
                <w:snapToGrid/>
                <w:szCs w:val="22"/>
                <w:lang w:val="lt-LT"/>
              </w:rPr>
              <w:t>ti</w:t>
            </w:r>
            <w:r w:rsidRPr="00923E74">
              <w:rPr>
                <w:snapToGrid/>
                <w:szCs w:val="22"/>
                <w:lang w:val="lt-LT"/>
              </w:rPr>
              <w:t>z</w:t>
            </w:r>
            <w:r w:rsidR="00DC6D92">
              <w:rPr>
                <w:snapToGrid/>
                <w:szCs w:val="22"/>
                <w:lang w:val="lt-LT"/>
              </w:rPr>
              <w:t>uoja</w:t>
            </w:r>
            <w:r w:rsidRPr="00923E74">
              <w:rPr>
                <w:snapToGrid/>
                <w:szCs w:val="22"/>
                <w:lang w:val="lt-LT"/>
              </w:rPr>
              <w:t>n</w:t>
            </w:r>
            <w:r w:rsidR="00DC6D92">
              <w:rPr>
                <w:snapToGrid/>
                <w:szCs w:val="22"/>
                <w:lang w:val="lt-LT"/>
              </w:rPr>
              <w:t>ti</w:t>
            </w:r>
            <w:proofErr w:type="spellEnd"/>
            <w:r w:rsidRPr="00923E74">
              <w:rPr>
                <w:snapToGrid/>
                <w:szCs w:val="22"/>
                <w:lang w:val="lt-LT"/>
              </w:rPr>
              <w:t xml:space="preserve"> </w:t>
            </w:r>
            <w:proofErr w:type="spellStart"/>
            <w:r w:rsidRPr="00923E74">
              <w:rPr>
                <w:snapToGrid/>
                <w:szCs w:val="22"/>
                <w:lang w:val="lt-LT"/>
              </w:rPr>
              <w:t>miopatij</w:t>
            </w:r>
            <w:r w:rsidR="003B2789" w:rsidRPr="00923E74">
              <w:rPr>
                <w:snapToGrid/>
                <w:szCs w:val="22"/>
                <w:lang w:val="lt-LT"/>
              </w:rPr>
              <w:t>a</w:t>
            </w:r>
            <w:proofErr w:type="spellEnd"/>
            <w:r w:rsidR="0002452F">
              <w:rPr>
                <w:snapToGrid/>
                <w:szCs w:val="22"/>
                <w:lang w:val="lt-LT"/>
              </w:rPr>
              <w:t xml:space="preserve"> (žr. 4.4 skyrių)</w:t>
            </w:r>
          </w:p>
        </w:tc>
        <w:tc>
          <w:tcPr>
            <w:tcW w:w="1525" w:type="dxa"/>
          </w:tcPr>
          <w:p w14:paraId="3D6AEEC5" w14:textId="77777777" w:rsidR="00476BD6" w:rsidRPr="00923E74" w:rsidRDefault="001D317C" w:rsidP="007E15ED">
            <w:pPr>
              <w:autoSpaceDE w:val="0"/>
              <w:autoSpaceDN w:val="0"/>
              <w:adjustRightInd w:val="0"/>
              <w:spacing w:line="240" w:lineRule="auto"/>
              <w:jc w:val="center"/>
              <w:rPr>
                <w:snapToGrid/>
                <w:szCs w:val="22"/>
                <w:lang w:val="lt-LT"/>
              </w:rPr>
            </w:pPr>
            <w:r w:rsidRPr="00923E74">
              <w:rPr>
                <w:snapToGrid/>
                <w:szCs w:val="22"/>
                <w:lang w:val="lt-LT"/>
              </w:rPr>
              <w:t>Nežinomas</w:t>
            </w:r>
          </w:p>
        </w:tc>
        <w:tc>
          <w:tcPr>
            <w:tcW w:w="1355" w:type="dxa"/>
          </w:tcPr>
          <w:p w14:paraId="4A56D6D4" w14:textId="77777777" w:rsidR="00476BD6" w:rsidRPr="00923E74" w:rsidRDefault="00476BD6" w:rsidP="007E15ED">
            <w:pPr>
              <w:spacing w:line="240" w:lineRule="auto"/>
              <w:jc w:val="center"/>
              <w:rPr>
                <w:rFonts w:eastAsia="Calibri"/>
                <w:snapToGrid/>
                <w:szCs w:val="22"/>
                <w:lang w:val="lt-LT"/>
              </w:rPr>
            </w:pPr>
          </w:p>
        </w:tc>
        <w:tc>
          <w:tcPr>
            <w:tcW w:w="1230" w:type="dxa"/>
          </w:tcPr>
          <w:p w14:paraId="007C6600" w14:textId="77777777" w:rsidR="00476BD6" w:rsidRPr="00923E74" w:rsidRDefault="00476BD6" w:rsidP="007E15ED">
            <w:pPr>
              <w:spacing w:line="240" w:lineRule="auto"/>
              <w:jc w:val="center"/>
              <w:rPr>
                <w:rFonts w:eastAsia="Calibri"/>
                <w:snapToGrid/>
                <w:szCs w:val="22"/>
                <w:lang w:val="lt-LT"/>
              </w:rPr>
            </w:pPr>
          </w:p>
        </w:tc>
      </w:tr>
      <w:tr w:rsidR="00C6142E" w:rsidRPr="00923E74" w14:paraId="00E48073" w14:textId="77777777" w:rsidTr="007E15ED">
        <w:trPr>
          <w:trHeight w:val="239"/>
        </w:trPr>
        <w:tc>
          <w:tcPr>
            <w:tcW w:w="2375" w:type="dxa"/>
            <w:vMerge/>
          </w:tcPr>
          <w:p w14:paraId="23FA9A7D" w14:textId="77777777" w:rsidR="00476BD6" w:rsidRPr="00923E74" w:rsidRDefault="00476BD6" w:rsidP="00476BD6">
            <w:pPr>
              <w:spacing w:line="240" w:lineRule="auto"/>
              <w:rPr>
                <w:rFonts w:eastAsia="Calibri"/>
                <w:snapToGrid/>
                <w:szCs w:val="22"/>
                <w:lang w:val="lt-LT"/>
              </w:rPr>
            </w:pPr>
          </w:p>
        </w:tc>
        <w:tc>
          <w:tcPr>
            <w:tcW w:w="2801" w:type="dxa"/>
          </w:tcPr>
          <w:p w14:paraId="60056814" w14:textId="77777777" w:rsidR="00476BD6" w:rsidRPr="00923E74" w:rsidRDefault="001A3B3B" w:rsidP="001A3B3B">
            <w:pPr>
              <w:autoSpaceDE w:val="0"/>
              <w:autoSpaceDN w:val="0"/>
              <w:adjustRightInd w:val="0"/>
              <w:spacing w:line="240" w:lineRule="auto"/>
              <w:rPr>
                <w:snapToGrid/>
                <w:szCs w:val="22"/>
                <w:lang w:val="lt-LT"/>
              </w:rPr>
            </w:pPr>
            <w:proofErr w:type="spellStart"/>
            <w:r w:rsidRPr="00923E74">
              <w:rPr>
                <w:snapToGrid/>
                <w:szCs w:val="22"/>
                <w:lang w:val="lt-LT"/>
              </w:rPr>
              <w:t>Miopatija</w:t>
            </w:r>
            <w:proofErr w:type="spellEnd"/>
            <w:r w:rsidRPr="00923E74">
              <w:rPr>
                <w:snapToGrid/>
                <w:szCs w:val="22"/>
                <w:lang w:val="lt-LT"/>
              </w:rPr>
              <w:t xml:space="preserve">, </w:t>
            </w:r>
            <w:proofErr w:type="spellStart"/>
            <w:r w:rsidRPr="00923E74">
              <w:rPr>
                <w:snapToGrid/>
                <w:szCs w:val="22"/>
                <w:lang w:val="lt-LT"/>
              </w:rPr>
              <w:t>rabdomiolizė</w:t>
            </w:r>
            <w:proofErr w:type="spellEnd"/>
            <w:r w:rsidRPr="00923E74">
              <w:rPr>
                <w:snapToGrid/>
                <w:szCs w:val="22"/>
                <w:lang w:val="lt-LT"/>
              </w:rPr>
              <w:t>, raumenų plyšimas</w:t>
            </w:r>
          </w:p>
        </w:tc>
        <w:tc>
          <w:tcPr>
            <w:tcW w:w="1525" w:type="dxa"/>
          </w:tcPr>
          <w:p w14:paraId="4A76A9B9" w14:textId="1BCDD8D0" w:rsidR="00476BD6" w:rsidRPr="00923E74" w:rsidRDefault="005A1153" w:rsidP="007E15ED">
            <w:pPr>
              <w:autoSpaceDE w:val="0"/>
              <w:autoSpaceDN w:val="0"/>
              <w:adjustRightInd w:val="0"/>
              <w:spacing w:line="240" w:lineRule="auto"/>
              <w:jc w:val="center"/>
              <w:rPr>
                <w:snapToGrid/>
                <w:szCs w:val="22"/>
                <w:lang w:val="lt-LT"/>
              </w:rPr>
            </w:pPr>
            <w:r>
              <w:rPr>
                <w:snapToGrid/>
                <w:szCs w:val="22"/>
                <w:lang w:val="lt-LT"/>
              </w:rPr>
              <w:t>Ret</w:t>
            </w:r>
            <w:r w:rsidR="00CB7F65">
              <w:rPr>
                <w:snapToGrid/>
                <w:szCs w:val="22"/>
                <w:lang w:val="lt-LT"/>
              </w:rPr>
              <w:t>as</w:t>
            </w:r>
          </w:p>
        </w:tc>
        <w:tc>
          <w:tcPr>
            <w:tcW w:w="1355" w:type="dxa"/>
          </w:tcPr>
          <w:p w14:paraId="4559EB9C"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25B08B80" w14:textId="77777777" w:rsidR="00476BD6" w:rsidRPr="00923E74" w:rsidRDefault="00476BD6" w:rsidP="007E15ED">
            <w:pPr>
              <w:spacing w:line="240" w:lineRule="auto"/>
              <w:jc w:val="center"/>
              <w:rPr>
                <w:rFonts w:eastAsia="Calibri"/>
                <w:snapToGrid/>
                <w:szCs w:val="22"/>
                <w:lang w:val="lt-LT"/>
              </w:rPr>
            </w:pPr>
          </w:p>
        </w:tc>
      </w:tr>
      <w:tr w:rsidR="00C6142E" w:rsidRPr="00923E74" w14:paraId="5174D08E" w14:textId="77777777" w:rsidTr="007E15ED">
        <w:trPr>
          <w:trHeight w:val="239"/>
        </w:trPr>
        <w:tc>
          <w:tcPr>
            <w:tcW w:w="2375" w:type="dxa"/>
            <w:vMerge/>
          </w:tcPr>
          <w:p w14:paraId="5920722D" w14:textId="77777777" w:rsidR="00476BD6" w:rsidRPr="00923E74" w:rsidRDefault="00476BD6" w:rsidP="00476BD6">
            <w:pPr>
              <w:spacing w:line="240" w:lineRule="auto"/>
              <w:rPr>
                <w:rFonts w:eastAsia="Calibri"/>
                <w:snapToGrid/>
                <w:szCs w:val="22"/>
                <w:lang w:val="lt-LT"/>
              </w:rPr>
            </w:pPr>
          </w:p>
        </w:tc>
        <w:tc>
          <w:tcPr>
            <w:tcW w:w="2801" w:type="dxa"/>
          </w:tcPr>
          <w:p w14:paraId="4CC8FD3E" w14:textId="77777777" w:rsidR="00476BD6" w:rsidRPr="00923E74" w:rsidRDefault="001A3B3B" w:rsidP="00476BD6">
            <w:pPr>
              <w:autoSpaceDE w:val="0"/>
              <w:autoSpaceDN w:val="0"/>
              <w:adjustRightInd w:val="0"/>
              <w:spacing w:line="240" w:lineRule="auto"/>
              <w:rPr>
                <w:snapToGrid/>
                <w:szCs w:val="22"/>
                <w:lang w:val="lt-LT"/>
              </w:rPr>
            </w:pPr>
            <w:r w:rsidRPr="00923E74">
              <w:rPr>
                <w:rFonts w:eastAsia="Arial Unicode MS"/>
                <w:color w:val="000000"/>
                <w:szCs w:val="22"/>
                <w:lang w:val="lt-LT"/>
              </w:rPr>
              <w:t>Į vilkligę panašus sindromas</w:t>
            </w:r>
          </w:p>
        </w:tc>
        <w:tc>
          <w:tcPr>
            <w:tcW w:w="1525" w:type="dxa"/>
          </w:tcPr>
          <w:p w14:paraId="55A8111C" w14:textId="4303595C" w:rsidR="00476BD6" w:rsidRPr="00923E74" w:rsidRDefault="001D317C" w:rsidP="007E15ED">
            <w:pPr>
              <w:autoSpaceDE w:val="0"/>
              <w:autoSpaceDN w:val="0"/>
              <w:adjustRightInd w:val="0"/>
              <w:spacing w:line="240" w:lineRule="auto"/>
              <w:jc w:val="center"/>
              <w:rPr>
                <w:snapToGrid/>
                <w:szCs w:val="22"/>
                <w:lang w:val="lt-LT"/>
              </w:rPr>
            </w:pPr>
            <w:r w:rsidRPr="00923E74">
              <w:rPr>
                <w:snapToGrid/>
                <w:szCs w:val="22"/>
                <w:lang w:val="lt-LT"/>
              </w:rPr>
              <w:t>Labai ret</w:t>
            </w:r>
            <w:r w:rsidR="00CB7F65">
              <w:rPr>
                <w:snapToGrid/>
                <w:szCs w:val="22"/>
                <w:lang w:val="lt-LT"/>
              </w:rPr>
              <w:t>as</w:t>
            </w:r>
          </w:p>
        </w:tc>
        <w:tc>
          <w:tcPr>
            <w:tcW w:w="1355" w:type="dxa"/>
          </w:tcPr>
          <w:p w14:paraId="2BA533FE" w14:textId="77777777" w:rsidR="00476BD6" w:rsidRPr="00923E74" w:rsidRDefault="00476BD6" w:rsidP="007E15ED">
            <w:pPr>
              <w:spacing w:line="240" w:lineRule="auto"/>
              <w:jc w:val="center"/>
              <w:rPr>
                <w:rFonts w:eastAsia="Calibri"/>
                <w:snapToGrid/>
                <w:szCs w:val="22"/>
                <w:lang w:val="lt-LT"/>
              </w:rPr>
            </w:pPr>
          </w:p>
        </w:tc>
        <w:tc>
          <w:tcPr>
            <w:tcW w:w="1230" w:type="dxa"/>
          </w:tcPr>
          <w:p w14:paraId="7BC8626C" w14:textId="77777777" w:rsidR="00476BD6" w:rsidRPr="00923E74" w:rsidRDefault="00476BD6" w:rsidP="007E15ED">
            <w:pPr>
              <w:spacing w:line="240" w:lineRule="auto"/>
              <w:jc w:val="center"/>
              <w:rPr>
                <w:rFonts w:eastAsia="Calibri"/>
                <w:snapToGrid/>
                <w:szCs w:val="22"/>
                <w:lang w:val="lt-LT"/>
              </w:rPr>
            </w:pPr>
          </w:p>
        </w:tc>
      </w:tr>
      <w:tr w:rsidR="00C6142E" w:rsidRPr="00923E74" w14:paraId="289588AC" w14:textId="77777777" w:rsidTr="007E15ED">
        <w:tc>
          <w:tcPr>
            <w:tcW w:w="2375" w:type="dxa"/>
          </w:tcPr>
          <w:p w14:paraId="0971B33A" w14:textId="77777777" w:rsidR="00476BD6" w:rsidRPr="007E15ED" w:rsidRDefault="00663F0D" w:rsidP="00476BD6">
            <w:pPr>
              <w:spacing w:line="240" w:lineRule="auto"/>
              <w:rPr>
                <w:rFonts w:eastAsia="Calibri"/>
                <w:i/>
                <w:snapToGrid/>
                <w:szCs w:val="22"/>
                <w:lang w:val="lt-LT"/>
              </w:rPr>
            </w:pPr>
            <w:r w:rsidRPr="007E15ED">
              <w:rPr>
                <w:i/>
                <w:snapToGrid/>
                <w:szCs w:val="22"/>
                <w:lang w:val="lt-LT"/>
              </w:rPr>
              <w:t>Lytinės sistemos ir krūties sutrikimai</w:t>
            </w:r>
          </w:p>
        </w:tc>
        <w:tc>
          <w:tcPr>
            <w:tcW w:w="2801" w:type="dxa"/>
          </w:tcPr>
          <w:p w14:paraId="69F5712A" w14:textId="77777777" w:rsidR="00476BD6" w:rsidRPr="00923E74" w:rsidRDefault="001A3B3B" w:rsidP="00476BD6">
            <w:pPr>
              <w:spacing w:line="240" w:lineRule="auto"/>
              <w:rPr>
                <w:rFonts w:eastAsia="Calibri"/>
                <w:snapToGrid/>
                <w:szCs w:val="22"/>
                <w:lang w:val="lt-LT"/>
              </w:rPr>
            </w:pPr>
            <w:proofErr w:type="spellStart"/>
            <w:r w:rsidRPr="00923E74">
              <w:rPr>
                <w:snapToGrid/>
                <w:szCs w:val="22"/>
                <w:lang w:val="lt-LT"/>
              </w:rPr>
              <w:t>Ginekomastija</w:t>
            </w:r>
            <w:proofErr w:type="spellEnd"/>
          </w:p>
        </w:tc>
        <w:tc>
          <w:tcPr>
            <w:tcW w:w="1525" w:type="dxa"/>
          </w:tcPr>
          <w:p w14:paraId="080341D6" w14:textId="7288084B" w:rsidR="00476BD6" w:rsidRPr="00923E74" w:rsidRDefault="001D317C" w:rsidP="007E15ED">
            <w:pPr>
              <w:spacing w:line="240" w:lineRule="auto"/>
              <w:jc w:val="center"/>
              <w:rPr>
                <w:rFonts w:eastAsia="Calibri"/>
                <w:snapToGrid/>
                <w:szCs w:val="22"/>
                <w:lang w:val="lt-LT"/>
              </w:rPr>
            </w:pPr>
            <w:r w:rsidRPr="00923E74">
              <w:rPr>
                <w:snapToGrid/>
                <w:szCs w:val="22"/>
                <w:lang w:val="lt-LT"/>
              </w:rPr>
              <w:t>Labai ret</w:t>
            </w:r>
            <w:r w:rsidR="00CB7F65">
              <w:rPr>
                <w:snapToGrid/>
                <w:szCs w:val="22"/>
                <w:lang w:val="lt-LT"/>
              </w:rPr>
              <w:t>as</w:t>
            </w:r>
          </w:p>
        </w:tc>
        <w:tc>
          <w:tcPr>
            <w:tcW w:w="1355" w:type="dxa"/>
          </w:tcPr>
          <w:p w14:paraId="00015F9A" w14:textId="77777777" w:rsidR="00476BD6" w:rsidRPr="00923E74" w:rsidRDefault="00476BD6" w:rsidP="007E15ED">
            <w:pPr>
              <w:spacing w:line="240" w:lineRule="auto"/>
              <w:jc w:val="center"/>
              <w:rPr>
                <w:rFonts w:eastAsia="Calibri"/>
                <w:snapToGrid/>
                <w:szCs w:val="22"/>
                <w:lang w:val="lt-LT"/>
              </w:rPr>
            </w:pPr>
          </w:p>
        </w:tc>
        <w:tc>
          <w:tcPr>
            <w:tcW w:w="1230" w:type="dxa"/>
          </w:tcPr>
          <w:p w14:paraId="4FBD348B" w14:textId="77777777" w:rsidR="00476BD6" w:rsidRPr="00923E74" w:rsidRDefault="00476BD6" w:rsidP="007E15ED">
            <w:pPr>
              <w:spacing w:line="240" w:lineRule="auto"/>
              <w:jc w:val="center"/>
              <w:rPr>
                <w:rFonts w:eastAsia="Calibri"/>
                <w:snapToGrid/>
                <w:szCs w:val="22"/>
                <w:lang w:val="lt-LT"/>
              </w:rPr>
            </w:pPr>
          </w:p>
        </w:tc>
      </w:tr>
      <w:tr w:rsidR="00C6142E" w:rsidRPr="00923E74" w14:paraId="315C6DD9" w14:textId="77777777" w:rsidTr="007E15ED">
        <w:tc>
          <w:tcPr>
            <w:tcW w:w="2375" w:type="dxa"/>
            <w:vMerge w:val="restart"/>
          </w:tcPr>
          <w:p w14:paraId="66767D6B" w14:textId="77777777" w:rsidR="00476BD6" w:rsidRPr="007E15ED" w:rsidRDefault="00663F0D" w:rsidP="00476BD6">
            <w:pPr>
              <w:spacing w:line="240" w:lineRule="auto"/>
              <w:rPr>
                <w:rFonts w:eastAsia="Calibri"/>
                <w:i/>
                <w:snapToGrid/>
                <w:szCs w:val="22"/>
                <w:lang w:val="lt-LT"/>
              </w:rPr>
            </w:pPr>
            <w:r w:rsidRPr="007E15ED">
              <w:rPr>
                <w:i/>
                <w:snapToGrid/>
                <w:szCs w:val="22"/>
                <w:lang w:val="lt-LT"/>
              </w:rPr>
              <w:t>Bendrieji sutrikimai ir vartojimo vietos pažeidimai</w:t>
            </w:r>
          </w:p>
        </w:tc>
        <w:tc>
          <w:tcPr>
            <w:tcW w:w="2801" w:type="dxa"/>
          </w:tcPr>
          <w:p w14:paraId="6AB65393" w14:textId="77777777" w:rsidR="00476BD6" w:rsidRPr="00923E74" w:rsidRDefault="00663F0D" w:rsidP="00476BD6">
            <w:pPr>
              <w:spacing w:line="240" w:lineRule="auto"/>
              <w:rPr>
                <w:rFonts w:eastAsia="Calibri"/>
                <w:snapToGrid/>
                <w:szCs w:val="22"/>
                <w:lang w:val="lt-LT"/>
              </w:rPr>
            </w:pPr>
            <w:r w:rsidRPr="00923E74">
              <w:rPr>
                <w:snapToGrid/>
                <w:szCs w:val="22"/>
                <w:lang w:val="lt-LT"/>
              </w:rPr>
              <w:t>Periferinė edema</w:t>
            </w:r>
          </w:p>
        </w:tc>
        <w:tc>
          <w:tcPr>
            <w:tcW w:w="1525" w:type="dxa"/>
          </w:tcPr>
          <w:p w14:paraId="6FB12935" w14:textId="528CFB5C"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355" w:type="dxa"/>
          </w:tcPr>
          <w:p w14:paraId="7A86CB4A" w14:textId="77777777" w:rsidR="00476BD6" w:rsidRPr="00923E74" w:rsidRDefault="00476BD6" w:rsidP="00CB7F65">
            <w:pPr>
              <w:spacing w:line="240" w:lineRule="auto"/>
              <w:jc w:val="center"/>
              <w:rPr>
                <w:rFonts w:eastAsia="Calibri"/>
                <w:snapToGrid/>
                <w:szCs w:val="22"/>
                <w:lang w:val="lt-LT"/>
              </w:rPr>
            </w:pPr>
          </w:p>
        </w:tc>
        <w:tc>
          <w:tcPr>
            <w:tcW w:w="1230" w:type="dxa"/>
          </w:tcPr>
          <w:p w14:paraId="2031CB99" w14:textId="0593ED04"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r>
      <w:tr w:rsidR="00C6142E" w:rsidRPr="00923E74" w14:paraId="620C2E6D" w14:textId="77777777" w:rsidTr="007E15ED">
        <w:tc>
          <w:tcPr>
            <w:tcW w:w="2375" w:type="dxa"/>
            <w:vMerge/>
          </w:tcPr>
          <w:p w14:paraId="41EED953" w14:textId="77777777" w:rsidR="00476BD6" w:rsidRPr="00923E74" w:rsidRDefault="00476BD6" w:rsidP="00476BD6">
            <w:pPr>
              <w:spacing w:line="240" w:lineRule="auto"/>
              <w:rPr>
                <w:rFonts w:eastAsia="Calibri"/>
                <w:snapToGrid/>
                <w:szCs w:val="22"/>
                <w:lang w:val="lt-LT"/>
              </w:rPr>
            </w:pPr>
          </w:p>
        </w:tc>
        <w:tc>
          <w:tcPr>
            <w:tcW w:w="2801" w:type="dxa"/>
          </w:tcPr>
          <w:p w14:paraId="0314278A" w14:textId="77777777" w:rsidR="00476BD6" w:rsidRPr="00923E74" w:rsidRDefault="00663F0D" w:rsidP="00476BD6">
            <w:pPr>
              <w:spacing w:line="240" w:lineRule="auto"/>
              <w:rPr>
                <w:rFonts w:eastAsia="Calibri"/>
                <w:snapToGrid/>
                <w:szCs w:val="22"/>
                <w:lang w:val="lt-LT"/>
              </w:rPr>
            </w:pPr>
            <w:proofErr w:type="spellStart"/>
            <w:r w:rsidRPr="00923E74">
              <w:rPr>
                <w:snapToGrid/>
                <w:szCs w:val="22"/>
                <w:lang w:val="lt-LT"/>
              </w:rPr>
              <w:t>Astenija</w:t>
            </w:r>
            <w:proofErr w:type="spellEnd"/>
          </w:p>
        </w:tc>
        <w:tc>
          <w:tcPr>
            <w:tcW w:w="1525" w:type="dxa"/>
          </w:tcPr>
          <w:p w14:paraId="373D7934" w14:textId="16F857D8"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355" w:type="dxa"/>
          </w:tcPr>
          <w:p w14:paraId="4C5F8FD7" w14:textId="77777777" w:rsidR="00476BD6" w:rsidRPr="00923E74" w:rsidRDefault="00476BD6" w:rsidP="007E15ED">
            <w:pPr>
              <w:spacing w:line="240" w:lineRule="auto"/>
              <w:jc w:val="center"/>
              <w:rPr>
                <w:rFonts w:eastAsia="Calibri"/>
                <w:snapToGrid/>
                <w:szCs w:val="22"/>
                <w:lang w:val="lt-LT"/>
              </w:rPr>
            </w:pPr>
            <w:r w:rsidRPr="00923E74">
              <w:rPr>
                <w:rFonts w:eastAsia="Calibri"/>
                <w:snapToGrid/>
                <w:szCs w:val="22"/>
                <w:lang w:val="lt-LT"/>
              </w:rPr>
              <w:t>Nežinomas*</w:t>
            </w:r>
          </w:p>
        </w:tc>
        <w:tc>
          <w:tcPr>
            <w:tcW w:w="1230" w:type="dxa"/>
          </w:tcPr>
          <w:p w14:paraId="091E14AF" w14:textId="504EC572"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r>
      <w:tr w:rsidR="00C6142E" w:rsidRPr="00923E74" w14:paraId="2AC91D1C" w14:textId="77777777" w:rsidTr="007E15ED">
        <w:tc>
          <w:tcPr>
            <w:tcW w:w="2375" w:type="dxa"/>
            <w:vMerge/>
          </w:tcPr>
          <w:p w14:paraId="085DF5ED" w14:textId="77777777" w:rsidR="00476BD6" w:rsidRPr="00923E74" w:rsidRDefault="00476BD6" w:rsidP="00476BD6">
            <w:pPr>
              <w:spacing w:line="240" w:lineRule="auto"/>
              <w:rPr>
                <w:rFonts w:eastAsia="Calibri"/>
                <w:snapToGrid/>
                <w:szCs w:val="22"/>
                <w:lang w:val="lt-LT"/>
              </w:rPr>
            </w:pPr>
          </w:p>
        </w:tc>
        <w:tc>
          <w:tcPr>
            <w:tcW w:w="2801" w:type="dxa"/>
          </w:tcPr>
          <w:p w14:paraId="17B02EE9" w14:textId="77777777" w:rsidR="00476BD6" w:rsidRPr="00923E74" w:rsidRDefault="00663F0D" w:rsidP="00476BD6">
            <w:pPr>
              <w:spacing w:line="240" w:lineRule="auto"/>
              <w:rPr>
                <w:rFonts w:eastAsia="Calibri"/>
                <w:snapToGrid/>
                <w:szCs w:val="22"/>
                <w:lang w:val="lt-LT"/>
              </w:rPr>
            </w:pPr>
            <w:r w:rsidRPr="00923E74">
              <w:rPr>
                <w:snapToGrid/>
                <w:color w:val="000000"/>
                <w:szCs w:val="22"/>
                <w:lang w:val="lt-LT"/>
              </w:rPr>
              <w:t>Krūtinės skausmas</w:t>
            </w:r>
          </w:p>
        </w:tc>
        <w:tc>
          <w:tcPr>
            <w:tcW w:w="1525" w:type="dxa"/>
          </w:tcPr>
          <w:p w14:paraId="5D0461C1" w14:textId="78F9874B"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355" w:type="dxa"/>
          </w:tcPr>
          <w:p w14:paraId="0C272366" w14:textId="17C84322"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230" w:type="dxa"/>
          </w:tcPr>
          <w:p w14:paraId="5485C450" w14:textId="77777777" w:rsidR="00476BD6" w:rsidRPr="00923E74" w:rsidRDefault="00476BD6" w:rsidP="007E15ED">
            <w:pPr>
              <w:spacing w:line="240" w:lineRule="auto"/>
              <w:jc w:val="center"/>
              <w:rPr>
                <w:rFonts w:eastAsia="Calibri"/>
                <w:snapToGrid/>
                <w:szCs w:val="22"/>
                <w:lang w:val="lt-LT"/>
              </w:rPr>
            </w:pPr>
          </w:p>
        </w:tc>
      </w:tr>
      <w:tr w:rsidR="00C6142E" w:rsidRPr="00923E74" w14:paraId="643EAC8D" w14:textId="77777777" w:rsidTr="007E15ED">
        <w:tc>
          <w:tcPr>
            <w:tcW w:w="2375" w:type="dxa"/>
            <w:vMerge/>
          </w:tcPr>
          <w:p w14:paraId="006E922B" w14:textId="77777777" w:rsidR="00476BD6" w:rsidRPr="00923E74" w:rsidRDefault="00476BD6" w:rsidP="00476BD6">
            <w:pPr>
              <w:spacing w:line="240" w:lineRule="auto"/>
              <w:rPr>
                <w:rFonts w:eastAsia="Calibri"/>
                <w:snapToGrid/>
                <w:szCs w:val="22"/>
                <w:lang w:val="lt-LT"/>
              </w:rPr>
            </w:pPr>
          </w:p>
        </w:tc>
        <w:tc>
          <w:tcPr>
            <w:tcW w:w="2801" w:type="dxa"/>
          </w:tcPr>
          <w:p w14:paraId="2CEA2AAD" w14:textId="77777777" w:rsidR="00476BD6" w:rsidRPr="00923E74" w:rsidRDefault="00663F0D" w:rsidP="00476BD6">
            <w:pPr>
              <w:spacing w:line="240" w:lineRule="auto"/>
              <w:rPr>
                <w:rFonts w:eastAsia="Calibri"/>
                <w:snapToGrid/>
                <w:szCs w:val="22"/>
                <w:lang w:val="lt-LT"/>
              </w:rPr>
            </w:pPr>
            <w:r w:rsidRPr="00923E74">
              <w:rPr>
                <w:snapToGrid/>
                <w:color w:val="000000"/>
                <w:szCs w:val="22"/>
                <w:lang w:val="lt-LT"/>
              </w:rPr>
              <w:t>Nuovargis</w:t>
            </w:r>
          </w:p>
        </w:tc>
        <w:tc>
          <w:tcPr>
            <w:tcW w:w="1525" w:type="dxa"/>
          </w:tcPr>
          <w:p w14:paraId="2E740B63" w14:textId="78C41EA1"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355" w:type="dxa"/>
          </w:tcPr>
          <w:p w14:paraId="34E5A075" w14:textId="16D7F7EF" w:rsidR="00476BD6" w:rsidRPr="00923E74" w:rsidRDefault="00476BD6" w:rsidP="007E15ED">
            <w:pPr>
              <w:spacing w:line="240" w:lineRule="auto"/>
              <w:jc w:val="center"/>
              <w:rPr>
                <w:rFonts w:eastAsia="Calibri"/>
                <w:snapToGrid/>
                <w:szCs w:val="22"/>
                <w:lang w:val="lt-LT"/>
              </w:rPr>
            </w:pPr>
            <w:r w:rsidRPr="00923E74">
              <w:rPr>
                <w:snapToGrid/>
                <w:szCs w:val="22"/>
                <w:lang w:val="lt-LT"/>
              </w:rPr>
              <w:t>Dažn</w:t>
            </w:r>
            <w:r w:rsidR="00CB7F65">
              <w:rPr>
                <w:snapToGrid/>
                <w:szCs w:val="22"/>
                <w:lang w:val="lt-LT"/>
              </w:rPr>
              <w:t>as</w:t>
            </w:r>
          </w:p>
        </w:tc>
        <w:tc>
          <w:tcPr>
            <w:tcW w:w="1230" w:type="dxa"/>
          </w:tcPr>
          <w:p w14:paraId="68496F46" w14:textId="77777777" w:rsidR="00476BD6" w:rsidRPr="00923E74" w:rsidRDefault="00476BD6" w:rsidP="007E15ED">
            <w:pPr>
              <w:spacing w:line="240" w:lineRule="auto"/>
              <w:jc w:val="center"/>
              <w:rPr>
                <w:rFonts w:eastAsia="Calibri"/>
                <w:snapToGrid/>
                <w:szCs w:val="22"/>
                <w:lang w:val="lt-LT"/>
              </w:rPr>
            </w:pPr>
          </w:p>
        </w:tc>
      </w:tr>
      <w:tr w:rsidR="00C6142E" w:rsidRPr="00923E74" w14:paraId="57E87C3E" w14:textId="77777777" w:rsidTr="007E15ED">
        <w:tc>
          <w:tcPr>
            <w:tcW w:w="2375" w:type="dxa"/>
            <w:vMerge/>
          </w:tcPr>
          <w:p w14:paraId="536E96C1" w14:textId="77777777" w:rsidR="00476BD6" w:rsidRPr="00923E74" w:rsidRDefault="00476BD6" w:rsidP="00476BD6">
            <w:pPr>
              <w:spacing w:line="240" w:lineRule="auto"/>
              <w:rPr>
                <w:rFonts w:eastAsia="Calibri"/>
                <w:snapToGrid/>
                <w:szCs w:val="22"/>
                <w:lang w:val="lt-LT"/>
              </w:rPr>
            </w:pPr>
          </w:p>
        </w:tc>
        <w:tc>
          <w:tcPr>
            <w:tcW w:w="2801" w:type="dxa"/>
          </w:tcPr>
          <w:p w14:paraId="549A5BC7" w14:textId="764F3F99" w:rsidR="00476BD6" w:rsidRPr="00923E74" w:rsidRDefault="00DC6D92" w:rsidP="00476BD6">
            <w:pPr>
              <w:spacing w:line="240" w:lineRule="auto"/>
              <w:rPr>
                <w:rFonts w:eastAsia="Calibri"/>
                <w:snapToGrid/>
                <w:szCs w:val="22"/>
                <w:lang w:val="lt-LT"/>
              </w:rPr>
            </w:pPr>
            <w:r w:rsidRPr="00923E74">
              <w:rPr>
                <w:snapToGrid/>
                <w:color w:val="000000"/>
                <w:szCs w:val="22"/>
                <w:lang w:val="lt-LT"/>
              </w:rPr>
              <w:t>N</w:t>
            </w:r>
            <w:r w:rsidR="00663F0D" w:rsidRPr="00923E74">
              <w:rPr>
                <w:snapToGrid/>
                <w:color w:val="000000"/>
                <w:szCs w:val="22"/>
                <w:lang w:val="lt-LT"/>
              </w:rPr>
              <w:t>egalavimas, karščiavimas</w:t>
            </w:r>
          </w:p>
        </w:tc>
        <w:tc>
          <w:tcPr>
            <w:tcW w:w="1525" w:type="dxa"/>
          </w:tcPr>
          <w:p w14:paraId="40BFD030" w14:textId="5947BE20"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355" w:type="dxa"/>
          </w:tcPr>
          <w:p w14:paraId="19A294AF" w14:textId="77777777" w:rsidR="00476BD6" w:rsidRPr="00923E74" w:rsidRDefault="00476BD6" w:rsidP="007E15ED">
            <w:pPr>
              <w:spacing w:line="240" w:lineRule="auto"/>
              <w:jc w:val="center"/>
              <w:rPr>
                <w:rFonts w:eastAsia="Calibri"/>
                <w:snapToGrid/>
                <w:szCs w:val="22"/>
                <w:lang w:val="lt-LT"/>
              </w:rPr>
            </w:pPr>
          </w:p>
        </w:tc>
        <w:tc>
          <w:tcPr>
            <w:tcW w:w="1230" w:type="dxa"/>
          </w:tcPr>
          <w:p w14:paraId="0D2ECFD9" w14:textId="77777777" w:rsidR="00476BD6" w:rsidRPr="00923E74" w:rsidRDefault="00476BD6" w:rsidP="007E15ED">
            <w:pPr>
              <w:spacing w:line="240" w:lineRule="auto"/>
              <w:jc w:val="center"/>
              <w:rPr>
                <w:rFonts w:eastAsia="Calibri"/>
                <w:snapToGrid/>
                <w:szCs w:val="22"/>
                <w:lang w:val="lt-LT"/>
              </w:rPr>
            </w:pPr>
          </w:p>
        </w:tc>
      </w:tr>
      <w:tr w:rsidR="00C6142E" w:rsidRPr="00923E74" w14:paraId="751255DD" w14:textId="77777777" w:rsidTr="007E15ED">
        <w:tc>
          <w:tcPr>
            <w:tcW w:w="2375" w:type="dxa"/>
            <w:vMerge/>
          </w:tcPr>
          <w:p w14:paraId="0CF32A26" w14:textId="77777777" w:rsidR="00476BD6" w:rsidRPr="00923E74" w:rsidRDefault="00476BD6" w:rsidP="00476BD6">
            <w:pPr>
              <w:spacing w:line="240" w:lineRule="auto"/>
              <w:rPr>
                <w:rFonts w:eastAsia="Calibri"/>
                <w:snapToGrid/>
                <w:szCs w:val="22"/>
                <w:lang w:val="lt-LT"/>
              </w:rPr>
            </w:pPr>
          </w:p>
        </w:tc>
        <w:tc>
          <w:tcPr>
            <w:tcW w:w="2801" w:type="dxa"/>
          </w:tcPr>
          <w:p w14:paraId="67A49C30" w14:textId="77777777" w:rsidR="00476BD6" w:rsidRPr="00923E74" w:rsidRDefault="00EE2BE1" w:rsidP="00476BD6">
            <w:pPr>
              <w:spacing w:line="240" w:lineRule="auto"/>
              <w:rPr>
                <w:rFonts w:eastAsia="Calibri"/>
                <w:snapToGrid/>
                <w:szCs w:val="22"/>
                <w:lang w:val="lt-LT"/>
              </w:rPr>
            </w:pPr>
            <w:r w:rsidRPr="00923E74">
              <w:rPr>
                <w:snapToGrid/>
                <w:szCs w:val="22"/>
                <w:lang w:val="lt-LT"/>
              </w:rPr>
              <w:t>Skausmas</w:t>
            </w:r>
          </w:p>
        </w:tc>
        <w:tc>
          <w:tcPr>
            <w:tcW w:w="1525" w:type="dxa"/>
          </w:tcPr>
          <w:p w14:paraId="3108D9F8" w14:textId="77777777" w:rsidR="00476BD6" w:rsidRPr="00923E74" w:rsidRDefault="00476BD6" w:rsidP="007E15ED">
            <w:pPr>
              <w:spacing w:line="240" w:lineRule="auto"/>
              <w:jc w:val="center"/>
              <w:rPr>
                <w:rFonts w:eastAsia="Calibri"/>
                <w:snapToGrid/>
                <w:szCs w:val="22"/>
                <w:lang w:val="lt-LT"/>
              </w:rPr>
            </w:pPr>
          </w:p>
        </w:tc>
        <w:tc>
          <w:tcPr>
            <w:tcW w:w="1355" w:type="dxa"/>
          </w:tcPr>
          <w:p w14:paraId="3B9ED496" w14:textId="3055C10B" w:rsidR="00476BD6" w:rsidRPr="00923E74" w:rsidRDefault="00476BD6" w:rsidP="007E15ED">
            <w:pPr>
              <w:spacing w:line="240" w:lineRule="auto"/>
              <w:jc w:val="center"/>
              <w:rPr>
                <w:rFonts w:eastAsia="Calibri"/>
                <w:snapToGrid/>
                <w:szCs w:val="22"/>
                <w:lang w:val="lt-LT"/>
              </w:rPr>
            </w:pPr>
            <w:r w:rsidRPr="00923E74">
              <w:rPr>
                <w:snapToGrid/>
                <w:szCs w:val="22"/>
                <w:lang w:val="lt-LT"/>
              </w:rPr>
              <w:t>Nedažn</w:t>
            </w:r>
            <w:r w:rsidR="00CB7F65">
              <w:rPr>
                <w:snapToGrid/>
                <w:szCs w:val="22"/>
                <w:lang w:val="lt-LT"/>
              </w:rPr>
              <w:t>as</w:t>
            </w:r>
          </w:p>
        </w:tc>
        <w:tc>
          <w:tcPr>
            <w:tcW w:w="1230" w:type="dxa"/>
          </w:tcPr>
          <w:p w14:paraId="574E61FF" w14:textId="77777777" w:rsidR="00476BD6" w:rsidRPr="00923E74" w:rsidRDefault="00476BD6" w:rsidP="007E15ED">
            <w:pPr>
              <w:spacing w:line="240" w:lineRule="auto"/>
              <w:jc w:val="center"/>
              <w:rPr>
                <w:rFonts w:eastAsia="Calibri"/>
                <w:snapToGrid/>
                <w:szCs w:val="22"/>
                <w:lang w:val="lt-LT"/>
              </w:rPr>
            </w:pPr>
          </w:p>
        </w:tc>
      </w:tr>
      <w:tr w:rsidR="008E0AE3" w:rsidRPr="00923E74" w14:paraId="584A5911" w14:textId="77777777" w:rsidTr="00C6142E">
        <w:tc>
          <w:tcPr>
            <w:tcW w:w="2375" w:type="dxa"/>
            <w:vMerge w:val="restart"/>
          </w:tcPr>
          <w:p w14:paraId="5B750482" w14:textId="77777777" w:rsidR="008E0AE3" w:rsidRPr="007E15ED" w:rsidRDefault="008E0AE3" w:rsidP="008E0AE3">
            <w:pPr>
              <w:autoSpaceDE w:val="0"/>
              <w:autoSpaceDN w:val="0"/>
              <w:adjustRightInd w:val="0"/>
              <w:spacing w:line="240" w:lineRule="auto"/>
              <w:rPr>
                <w:rFonts w:eastAsia="Calibri"/>
                <w:i/>
                <w:snapToGrid/>
                <w:szCs w:val="22"/>
                <w:lang w:val="lt-LT"/>
              </w:rPr>
            </w:pPr>
            <w:r w:rsidRPr="007E15ED">
              <w:rPr>
                <w:i/>
                <w:snapToGrid/>
                <w:szCs w:val="22"/>
                <w:lang w:val="lt-LT"/>
              </w:rPr>
              <w:t>Tyrimai</w:t>
            </w:r>
          </w:p>
        </w:tc>
        <w:tc>
          <w:tcPr>
            <w:tcW w:w="2801" w:type="dxa"/>
          </w:tcPr>
          <w:p w14:paraId="333AC791" w14:textId="20544239" w:rsidR="008E0AE3" w:rsidRPr="00923E74" w:rsidRDefault="008E0AE3" w:rsidP="008E0AE3">
            <w:pPr>
              <w:spacing w:line="240" w:lineRule="auto"/>
              <w:rPr>
                <w:rFonts w:eastAsia="Calibri"/>
                <w:snapToGrid/>
                <w:szCs w:val="22"/>
                <w:lang w:val="lt-LT"/>
              </w:rPr>
            </w:pPr>
            <w:r w:rsidRPr="00923E74">
              <w:rPr>
                <w:color w:val="000000"/>
                <w:szCs w:val="22"/>
                <w:lang w:val="lt-LT"/>
              </w:rPr>
              <w:t>Nenormalūs kepenų funkcijos tyrimų rod</w:t>
            </w:r>
            <w:r>
              <w:rPr>
                <w:color w:val="000000"/>
                <w:szCs w:val="22"/>
                <w:lang w:val="lt-LT"/>
              </w:rPr>
              <w:t>ikliai</w:t>
            </w:r>
            <w:r w:rsidRPr="00923E74">
              <w:rPr>
                <w:color w:val="000000"/>
                <w:szCs w:val="22"/>
                <w:lang w:val="lt-LT"/>
              </w:rPr>
              <w:t xml:space="preserve">, </w:t>
            </w:r>
            <w:r>
              <w:rPr>
                <w:color w:val="000000"/>
                <w:szCs w:val="22"/>
                <w:lang w:val="lt-LT"/>
              </w:rPr>
              <w:t>KFK</w:t>
            </w:r>
            <w:r w:rsidRPr="00923E74">
              <w:rPr>
                <w:color w:val="000000"/>
                <w:szCs w:val="22"/>
                <w:lang w:val="lt-LT"/>
              </w:rPr>
              <w:t xml:space="preserve"> </w:t>
            </w:r>
            <w:r w:rsidRPr="00923E74">
              <w:rPr>
                <w:snapToGrid/>
                <w:szCs w:val="22"/>
                <w:lang w:val="lt-LT"/>
              </w:rPr>
              <w:t>aktyvumo kraujyje padidėjimas</w:t>
            </w:r>
          </w:p>
        </w:tc>
        <w:tc>
          <w:tcPr>
            <w:tcW w:w="1525" w:type="dxa"/>
          </w:tcPr>
          <w:p w14:paraId="7106E56E" w14:textId="58AF28D1" w:rsidR="008E0AE3" w:rsidRPr="00923E74" w:rsidRDefault="008E0AE3" w:rsidP="008E0AE3">
            <w:pPr>
              <w:spacing w:line="240" w:lineRule="auto"/>
              <w:jc w:val="center"/>
              <w:rPr>
                <w:rFonts w:eastAsia="Calibri"/>
                <w:snapToGrid/>
                <w:szCs w:val="22"/>
                <w:lang w:val="lt-LT"/>
              </w:rPr>
            </w:pPr>
            <w:r w:rsidRPr="00923E74">
              <w:rPr>
                <w:snapToGrid/>
                <w:szCs w:val="22"/>
                <w:lang w:val="lt-LT"/>
              </w:rPr>
              <w:t>Dažn</w:t>
            </w:r>
            <w:r>
              <w:rPr>
                <w:snapToGrid/>
                <w:szCs w:val="22"/>
                <w:lang w:val="lt-LT"/>
              </w:rPr>
              <w:t>as</w:t>
            </w:r>
          </w:p>
        </w:tc>
        <w:tc>
          <w:tcPr>
            <w:tcW w:w="1355" w:type="dxa"/>
          </w:tcPr>
          <w:p w14:paraId="309CB269" w14:textId="5E4D0D2E" w:rsidR="008E0AE3" w:rsidRPr="00923E74" w:rsidRDefault="008E0AE3" w:rsidP="008E0AE3">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230" w:type="dxa"/>
          </w:tcPr>
          <w:p w14:paraId="06752CF5" w14:textId="77777777" w:rsidR="008E0AE3" w:rsidRPr="00923E74" w:rsidRDefault="008E0AE3" w:rsidP="008E0AE3">
            <w:pPr>
              <w:spacing w:line="240" w:lineRule="auto"/>
              <w:jc w:val="center"/>
              <w:rPr>
                <w:rFonts w:eastAsia="Calibri"/>
                <w:snapToGrid/>
                <w:szCs w:val="22"/>
                <w:lang w:val="lt-LT"/>
              </w:rPr>
            </w:pPr>
          </w:p>
        </w:tc>
      </w:tr>
      <w:tr w:rsidR="008E0AE3" w:rsidRPr="00923E74" w14:paraId="70BF9E9B" w14:textId="77777777" w:rsidTr="00C6142E">
        <w:tc>
          <w:tcPr>
            <w:tcW w:w="2375" w:type="dxa"/>
            <w:vMerge/>
          </w:tcPr>
          <w:p w14:paraId="3747C581" w14:textId="77777777" w:rsidR="008E0AE3" w:rsidRPr="00923E74" w:rsidRDefault="008E0AE3" w:rsidP="008E0AE3">
            <w:pPr>
              <w:autoSpaceDE w:val="0"/>
              <w:autoSpaceDN w:val="0"/>
              <w:adjustRightInd w:val="0"/>
              <w:spacing w:line="240" w:lineRule="auto"/>
              <w:rPr>
                <w:snapToGrid/>
                <w:szCs w:val="22"/>
                <w:lang w:val="lt-LT"/>
              </w:rPr>
            </w:pPr>
          </w:p>
        </w:tc>
        <w:tc>
          <w:tcPr>
            <w:tcW w:w="2801" w:type="dxa"/>
          </w:tcPr>
          <w:p w14:paraId="5770C805" w14:textId="77777777" w:rsidR="008E0AE3" w:rsidRPr="00923E74" w:rsidRDefault="008E0AE3" w:rsidP="008E0AE3">
            <w:pPr>
              <w:autoSpaceDE w:val="0"/>
              <w:autoSpaceDN w:val="0"/>
              <w:adjustRightInd w:val="0"/>
              <w:spacing w:line="240" w:lineRule="auto"/>
              <w:rPr>
                <w:snapToGrid/>
                <w:szCs w:val="22"/>
                <w:lang w:val="lt-LT"/>
              </w:rPr>
            </w:pPr>
            <w:r w:rsidRPr="00923E74">
              <w:rPr>
                <w:snapToGrid/>
                <w:szCs w:val="22"/>
                <w:lang w:val="lt-LT"/>
              </w:rPr>
              <w:t>Leukocitai šlapime</w:t>
            </w:r>
          </w:p>
        </w:tc>
        <w:tc>
          <w:tcPr>
            <w:tcW w:w="1525" w:type="dxa"/>
          </w:tcPr>
          <w:p w14:paraId="1CB63FB6" w14:textId="52BDC752" w:rsidR="008E0AE3" w:rsidRPr="00923E74" w:rsidRDefault="008E0AE3" w:rsidP="008E0AE3">
            <w:pPr>
              <w:autoSpaceDE w:val="0"/>
              <w:autoSpaceDN w:val="0"/>
              <w:adjustRightInd w:val="0"/>
              <w:spacing w:line="240" w:lineRule="auto"/>
              <w:jc w:val="center"/>
              <w:rPr>
                <w:snapToGrid/>
                <w:szCs w:val="22"/>
                <w:lang w:val="lt-LT"/>
              </w:rPr>
            </w:pPr>
            <w:r w:rsidRPr="00923E74">
              <w:rPr>
                <w:snapToGrid/>
                <w:szCs w:val="22"/>
                <w:lang w:val="lt-LT"/>
              </w:rPr>
              <w:t>Nedažn</w:t>
            </w:r>
            <w:r>
              <w:rPr>
                <w:snapToGrid/>
                <w:szCs w:val="22"/>
                <w:lang w:val="lt-LT"/>
              </w:rPr>
              <w:t>as</w:t>
            </w:r>
          </w:p>
        </w:tc>
        <w:tc>
          <w:tcPr>
            <w:tcW w:w="1355" w:type="dxa"/>
          </w:tcPr>
          <w:p w14:paraId="16B6DF12" w14:textId="77777777" w:rsidR="008E0AE3" w:rsidRPr="00923E74" w:rsidRDefault="008E0AE3" w:rsidP="008E0AE3">
            <w:pPr>
              <w:spacing w:line="240" w:lineRule="auto"/>
              <w:jc w:val="center"/>
              <w:rPr>
                <w:rFonts w:eastAsia="Calibri"/>
                <w:snapToGrid/>
                <w:szCs w:val="22"/>
                <w:lang w:val="lt-LT"/>
              </w:rPr>
            </w:pPr>
          </w:p>
        </w:tc>
        <w:tc>
          <w:tcPr>
            <w:tcW w:w="1230" w:type="dxa"/>
          </w:tcPr>
          <w:p w14:paraId="009860A1" w14:textId="77777777" w:rsidR="008E0AE3" w:rsidRPr="00923E74" w:rsidRDefault="008E0AE3" w:rsidP="008E0AE3">
            <w:pPr>
              <w:spacing w:line="240" w:lineRule="auto"/>
              <w:jc w:val="center"/>
              <w:rPr>
                <w:rFonts w:eastAsia="Calibri"/>
                <w:snapToGrid/>
                <w:szCs w:val="22"/>
                <w:lang w:val="lt-LT"/>
              </w:rPr>
            </w:pPr>
          </w:p>
        </w:tc>
      </w:tr>
      <w:tr w:rsidR="008E0AE3" w:rsidRPr="00923E74" w14:paraId="7FD0C1F9" w14:textId="77777777" w:rsidTr="00C6142E">
        <w:tc>
          <w:tcPr>
            <w:tcW w:w="2375" w:type="dxa"/>
            <w:vMerge/>
          </w:tcPr>
          <w:p w14:paraId="0234A144" w14:textId="77777777" w:rsidR="008E0AE3" w:rsidRPr="00923E74" w:rsidRDefault="008E0AE3" w:rsidP="008E0AE3">
            <w:pPr>
              <w:autoSpaceDE w:val="0"/>
              <w:autoSpaceDN w:val="0"/>
              <w:adjustRightInd w:val="0"/>
              <w:spacing w:line="240" w:lineRule="auto"/>
              <w:rPr>
                <w:snapToGrid/>
                <w:szCs w:val="22"/>
                <w:lang w:val="lt-LT"/>
              </w:rPr>
            </w:pPr>
          </w:p>
        </w:tc>
        <w:tc>
          <w:tcPr>
            <w:tcW w:w="2801" w:type="dxa"/>
          </w:tcPr>
          <w:p w14:paraId="381B5D95" w14:textId="5594761F" w:rsidR="008E0AE3" w:rsidRPr="00923E74" w:rsidRDefault="008E0AE3" w:rsidP="008E0AE3">
            <w:pPr>
              <w:autoSpaceDE w:val="0"/>
              <w:autoSpaceDN w:val="0"/>
              <w:adjustRightInd w:val="0"/>
              <w:spacing w:line="240" w:lineRule="auto"/>
              <w:rPr>
                <w:snapToGrid/>
                <w:szCs w:val="22"/>
                <w:lang w:val="lt-LT"/>
              </w:rPr>
            </w:pPr>
            <w:r w:rsidRPr="00923E74">
              <w:rPr>
                <w:snapToGrid/>
                <w:szCs w:val="22"/>
                <w:lang w:val="lt-LT"/>
              </w:rPr>
              <w:t>ALT ir</w:t>
            </w:r>
            <w:r>
              <w:rPr>
                <w:snapToGrid/>
                <w:szCs w:val="22"/>
                <w:lang w:val="lt-LT"/>
              </w:rPr>
              <w:t> </w:t>
            </w:r>
            <w:r w:rsidRPr="00923E74">
              <w:rPr>
                <w:snapToGrid/>
                <w:szCs w:val="22"/>
                <w:lang w:val="lt-LT"/>
              </w:rPr>
              <w:t>(arba) AST aktyvumo padidėjimas</w:t>
            </w:r>
          </w:p>
        </w:tc>
        <w:tc>
          <w:tcPr>
            <w:tcW w:w="1525" w:type="dxa"/>
          </w:tcPr>
          <w:p w14:paraId="0CE1F999" w14:textId="77777777" w:rsidR="008E0AE3" w:rsidRPr="00923E74" w:rsidRDefault="008E0AE3" w:rsidP="008E0AE3">
            <w:pPr>
              <w:autoSpaceDE w:val="0"/>
              <w:autoSpaceDN w:val="0"/>
              <w:adjustRightInd w:val="0"/>
              <w:spacing w:line="240" w:lineRule="auto"/>
              <w:jc w:val="center"/>
              <w:rPr>
                <w:snapToGrid/>
                <w:szCs w:val="22"/>
                <w:lang w:val="lt-LT"/>
              </w:rPr>
            </w:pPr>
          </w:p>
        </w:tc>
        <w:tc>
          <w:tcPr>
            <w:tcW w:w="1355" w:type="dxa"/>
          </w:tcPr>
          <w:p w14:paraId="54310C3E" w14:textId="3B845B3A" w:rsidR="008E0AE3" w:rsidRPr="00923E74" w:rsidRDefault="008E0AE3" w:rsidP="008E0AE3">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230" w:type="dxa"/>
          </w:tcPr>
          <w:p w14:paraId="78AF800F" w14:textId="5FACA359" w:rsidR="008E0AE3" w:rsidRPr="00923E74" w:rsidRDefault="008E0AE3" w:rsidP="008E0AE3">
            <w:pPr>
              <w:spacing w:line="240" w:lineRule="auto"/>
              <w:jc w:val="center"/>
              <w:rPr>
                <w:rFonts w:eastAsia="Calibri"/>
                <w:snapToGrid/>
                <w:szCs w:val="22"/>
                <w:lang w:val="lt-LT"/>
              </w:rPr>
            </w:pPr>
            <w:r w:rsidRPr="00923E74">
              <w:rPr>
                <w:snapToGrid/>
                <w:szCs w:val="22"/>
                <w:lang w:val="lt-LT"/>
              </w:rPr>
              <w:t>Dažn</w:t>
            </w:r>
            <w:r>
              <w:rPr>
                <w:snapToGrid/>
                <w:szCs w:val="22"/>
                <w:lang w:val="lt-LT"/>
              </w:rPr>
              <w:t>as</w:t>
            </w:r>
          </w:p>
        </w:tc>
      </w:tr>
      <w:tr w:rsidR="008E0AE3" w:rsidRPr="00923E74" w14:paraId="67A3F165" w14:textId="77777777" w:rsidTr="00C6142E">
        <w:trPr>
          <w:trHeight w:val="1037"/>
        </w:trPr>
        <w:tc>
          <w:tcPr>
            <w:tcW w:w="2375" w:type="dxa"/>
            <w:vMerge/>
          </w:tcPr>
          <w:p w14:paraId="06AE577C" w14:textId="77777777" w:rsidR="008E0AE3" w:rsidRPr="00923E74" w:rsidRDefault="008E0AE3" w:rsidP="008E0AE3">
            <w:pPr>
              <w:autoSpaceDE w:val="0"/>
              <w:autoSpaceDN w:val="0"/>
              <w:adjustRightInd w:val="0"/>
              <w:spacing w:line="240" w:lineRule="auto"/>
              <w:rPr>
                <w:snapToGrid/>
                <w:szCs w:val="22"/>
                <w:lang w:val="lt-LT"/>
              </w:rPr>
            </w:pPr>
          </w:p>
        </w:tc>
        <w:tc>
          <w:tcPr>
            <w:tcW w:w="2801" w:type="dxa"/>
          </w:tcPr>
          <w:p w14:paraId="695EE46B" w14:textId="5A242E6E" w:rsidR="008E0AE3" w:rsidRPr="00923E74" w:rsidRDefault="008E0AE3" w:rsidP="008E0AE3">
            <w:pPr>
              <w:autoSpaceDE w:val="0"/>
              <w:autoSpaceDN w:val="0"/>
              <w:adjustRightInd w:val="0"/>
              <w:spacing w:line="240" w:lineRule="auto"/>
              <w:rPr>
                <w:snapToGrid/>
                <w:szCs w:val="22"/>
                <w:lang w:val="lt-LT"/>
              </w:rPr>
            </w:pPr>
            <w:proofErr w:type="spellStart"/>
            <w:r>
              <w:rPr>
                <w:snapToGrid/>
                <w:szCs w:val="22"/>
                <w:lang w:val="lt-LT"/>
              </w:rPr>
              <w:t>G</w:t>
            </w:r>
            <w:r w:rsidRPr="00923E74">
              <w:rPr>
                <w:snapToGrid/>
                <w:szCs w:val="22"/>
                <w:lang w:val="lt-LT"/>
              </w:rPr>
              <w:t>amagliutamiltransferazės</w:t>
            </w:r>
            <w:proofErr w:type="spellEnd"/>
            <w:r w:rsidRPr="00923E74">
              <w:rPr>
                <w:snapToGrid/>
                <w:szCs w:val="22"/>
                <w:lang w:val="lt-LT"/>
              </w:rPr>
              <w:t xml:space="preserve"> aktyvumo padidėjimas</w:t>
            </w:r>
          </w:p>
        </w:tc>
        <w:tc>
          <w:tcPr>
            <w:tcW w:w="1525" w:type="dxa"/>
          </w:tcPr>
          <w:p w14:paraId="786DDBCC" w14:textId="77777777" w:rsidR="008E0AE3" w:rsidRPr="00923E74" w:rsidRDefault="008E0AE3" w:rsidP="008E0AE3">
            <w:pPr>
              <w:autoSpaceDE w:val="0"/>
              <w:autoSpaceDN w:val="0"/>
              <w:adjustRightInd w:val="0"/>
              <w:spacing w:line="240" w:lineRule="auto"/>
              <w:jc w:val="center"/>
              <w:rPr>
                <w:snapToGrid/>
                <w:szCs w:val="22"/>
                <w:lang w:val="lt-LT"/>
              </w:rPr>
            </w:pPr>
          </w:p>
        </w:tc>
        <w:tc>
          <w:tcPr>
            <w:tcW w:w="1355" w:type="dxa"/>
          </w:tcPr>
          <w:p w14:paraId="299615C6" w14:textId="7364BEC6" w:rsidR="008E0AE3" w:rsidRPr="00923E74" w:rsidRDefault="008E0AE3" w:rsidP="008E0AE3">
            <w:pPr>
              <w:spacing w:line="240" w:lineRule="auto"/>
              <w:jc w:val="center"/>
              <w:rPr>
                <w:rFonts w:eastAsia="Calibri"/>
                <w:snapToGrid/>
                <w:szCs w:val="22"/>
                <w:lang w:val="lt-LT"/>
              </w:rPr>
            </w:pPr>
            <w:r w:rsidRPr="00923E74">
              <w:rPr>
                <w:snapToGrid/>
                <w:szCs w:val="22"/>
                <w:lang w:val="lt-LT"/>
              </w:rPr>
              <w:t>Nedažn</w:t>
            </w:r>
            <w:r>
              <w:rPr>
                <w:snapToGrid/>
                <w:szCs w:val="22"/>
                <w:lang w:val="lt-LT"/>
              </w:rPr>
              <w:t>as</w:t>
            </w:r>
          </w:p>
        </w:tc>
        <w:tc>
          <w:tcPr>
            <w:tcW w:w="1230" w:type="dxa"/>
          </w:tcPr>
          <w:p w14:paraId="7DCE1FB9" w14:textId="77777777" w:rsidR="008E0AE3" w:rsidRPr="00923E74" w:rsidRDefault="008E0AE3" w:rsidP="008E0AE3">
            <w:pPr>
              <w:spacing w:line="240" w:lineRule="auto"/>
              <w:jc w:val="center"/>
              <w:rPr>
                <w:rFonts w:eastAsia="Calibri"/>
                <w:snapToGrid/>
                <w:szCs w:val="22"/>
                <w:lang w:val="lt-LT"/>
              </w:rPr>
            </w:pPr>
          </w:p>
        </w:tc>
      </w:tr>
    </w:tbl>
    <w:p w14:paraId="17708CD4" w14:textId="77777777" w:rsidR="00476BD6" w:rsidRPr="00923E74" w:rsidRDefault="00476BD6" w:rsidP="00476BD6">
      <w:pPr>
        <w:spacing w:line="240" w:lineRule="auto"/>
        <w:rPr>
          <w:snapToGrid/>
          <w:szCs w:val="22"/>
          <w:lang w:val="lt-LT"/>
        </w:rPr>
      </w:pPr>
      <w:r w:rsidRPr="00923E74">
        <w:rPr>
          <w:snapToGrid/>
          <w:szCs w:val="22"/>
          <w:lang w:val="lt-LT"/>
        </w:rPr>
        <w:t xml:space="preserve">* </w:t>
      </w:r>
      <w:r w:rsidR="00F23712" w:rsidRPr="00923E74">
        <w:rPr>
          <w:snapToGrid/>
          <w:szCs w:val="22"/>
          <w:lang w:val="lt-LT"/>
        </w:rPr>
        <w:t>Po pateikimo į rinką gauti duomenys</w:t>
      </w:r>
      <w:r w:rsidRPr="00923E74">
        <w:rPr>
          <w:snapToGrid/>
          <w:szCs w:val="22"/>
          <w:lang w:val="lt-LT"/>
        </w:rPr>
        <w:t xml:space="preserve"> (</w:t>
      </w:r>
      <w:proofErr w:type="spellStart"/>
      <w:r w:rsidR="00F23712" w:rsidRPr="00923E74">
        <w:rPr>
          <w:snapToGrid/>
          <w:szCs w:val="22"/>
          <w:lang w:val="lt-LT"/>
        </w:rPr>
        <w:t>statino</w:t>
      </w:r>
      <w:proofErr w:type="spellEnd"/>
      <w:r w:rsidR="00F23712" w:rsidRPr="00923E74">
        <w:rPr>
          <w:snapToGrid/>
          <w:szCs w:val="22"/>
          <w:lang w:val="lt-LT"/>
        </w:rPr>
        <w:t xml:space="preserve"> kartu vartota arba nevartota</w:t>
      </w:r>
      <w:r w:rsidRPr="00923E74">
        <w:rPr>
          <w:snapToGrid/>
          <w:szCs w:val="22"/>
          <w:lang w:val="lt-LT"/>
        </w:rPr>
        <w:t>)</w:t>
      </w:r>
    </w:p>
    <w:p w14:paraId="53D77263" w14:textId="77777777" w:rsidR="00476BD6" w:rsidRPr="00923E74" w:rsidRDefault="00476BD6" w:rsidP="007425C0">
      <w:pPr>
        <w:spacing w:line="240" w:lineRule="auto"/>
        <w:rPr>
          <w:snapToGrid/>
          <w:szCs w:val="22"/>
          <w:lang w:val="lt-LT"/>
        </w:rPr>
      </w:pPr>
    </w:p>
    <w:p w14:paraId="0B4C23D9" w14:textId="77777777" w:rsidR="00476BD6" w:rsidRPr="00923E74" w:rsidRDefault="00116F91" w:rsidP="007E15ED">
      <w:pPr>
        <w:keepNext/>
        <w:spacing w:line="240" w:lineRule="auto"/>
        <w:rPr>
          <w:snapToGrid/>
          <w:szCs w:val="22"/>
          <w:lang w:val="lt-LT"/>
        </w:rPr>
      </w:pPr>
      <w:r w:rsidRPr="00923E74">
        <w:rPr>
          <w:snapToGrid/>
          <w:szCs w:val="22"/>
          <w:lang w:val="lt-LT"/>
        </w:rPr>
        <w:t xml:space="preserve">Vartojant kai kurių </w:t>
      </w:r>
      <w:proofErr w:type="spellStart"/>
      <w:r w:rsidRPr="00923E74">
        <w:rPr>
          <w:snapToGrid/>
          <w:szCs w:val="22"/>
          <w:lang w:val="lt-LT"/>
        </w:rPr>
        <w:t>statinų</w:t>
      </w:r>
      <w:proofErr w:type="spellEnd"/>
      <w:r w:rsidRPr="00923E74">
        <w:rPr>
          <w:snapToGrid/>
          <w:szCs w:val="22"/>
          <w:lang w:val="lt-LT"/>
        </w:rPr>
        <w:t>, pranešta apie šiuos nepageidaujamus reiškinius</w:t>
      </w:r>
      <w:r w:rsidR="00476BD6" w:rsidRPr="00923E74">
        <w:rPr>
          <w:snapToGrid/>
          <w:szCs w:val="22"/>
          <w:lang w:val="lt-LT"/>
        </w:rPr>
        <w:t>:</w:t>
      </w:r>
    </w:p>
    <w:p w14:paraId="0307F42F" w14:textId="77777777" w:rsidR="00476BD6" w:rsidRPr="00923E74" w:rsidRDefault="00116F91" w:rsidP="007425C0">
      <w:pPr>
        <w:numPr>
          <w:ilvl w:val="0"/>
          <w:numId w:val="19"/>
        </w:numPr>
        <w:spacing w:line="240" w:lineRule="auto"/>
        <w:ind w:left="567" w:hanging="567"/>
        <w:rPr>
          <w:snapToGrid/>
          <w:szCs w:val="22"/>
          <w:lang w:val="lt-LT"/>
        </w:rPr>
      </w:pPr>
      <w:r w:rsidRPr="00923E74">
        <w:rPr>
          <w:snapToGrid/>
          <w:szCs w:val="22"/>
          <w:lang w:val="lt-LT"/>
        </w:rPr>
        <w:t>lytinės funkcijos sutrikimas;</w:t>
      </w:r>
    </w:p>
    <w:p w14:paraId="632F52F7" w14:textId="77777777" w:rsidR="00476BD6" w:rsidRPr="00923E74" w:rsidRDefault="00476BD6" w:rsidP="007425C0">
      <w:pPr>
        <w:numPr>
          <w:ilvl w:val="0"/>
          <w:numId w:val="19"/>
        </w:numPr>
        <w:spacing w:line="240" w:lineRule="auto"/>
        <w:ind w:left="567" w:hanging="567"/>
        <w:rPr>
          <w:snapToGrid/>
          <w:szCs w:val="22"/>
          <w:lang w:val="lt-LT"/>
        </w:rPr>
      </w:pPr>
      <w:r w:rsidRPr="00923E74">
        <w:rPr>
          <w:snapToGrid/>
          <w:szCs w:val="22"/>
          <w:lang w:val="lt-LT"/>
        </w:rPr>
        <w:t>depres</w:t>
      </w:r>
      <w:r w:rsidR="00116F91" w:rsidRPr="00923E74">
        <w:rPr>
          <w:snapToGrid/>
          <w:szCs w:val="22"/>
          <w:lang w:val="lt-LT"/>
        </w:rPr>
        <w:t>ija;</w:t>
      </w:r>
    </w:p>
    <w:p w14:paraId="298EA7CC" w14:textId="7AF79548" w:rsidR="00476BD6" w:rsidRPr="00923E74" w:rsidRDefault="00FB469F" w:rsidP="007425C0">
      <w:pPr>
        <w:numPr>
          <w:ilvl w:val="0"/>
          <w:numId w:val="19"/>
        </w:numPr>
        <w:spacing w:line="240" w:lineRule="auto"/>
        <w:ind w:left="567" w:hanging="567"/>
        <w:rPr>
          <w:snapToGrid/>
          <w:szCs w:val="22"/>
          <w:lang w:val="lt-LT"/>
        </w:rPr>
      </w:pPr>
      <w:r w:rsidRPr="00923E74">
        <w:rPr>
          <w:snapToGrid/>
          <w:szCs w:val="22"/>
          <w:lang w:val="lt-LT"/>
        </w:rPr>
        <w:t xml:space="preserve">išimtiniai </w:t>
      </w:r>
      <w:proofErr w:type="spellStart"/>
      <w:r w:rsidRPr="00923E74">
        <w:rPr>
          <w:snapToGrid/>
          <w:szCs w:val="22"/>
          <w:lang w:val="lt-LT"/>
        </w:rPr>
        <w:t>intersticinės</w:t>
      </w:r>
      <w:proofErr w:type="spellEnd"/>
      <w:r w:rsidRPr="00923E74">
        <w:rPr>
          <w:snapToGrid/>
          <w:szCs w:val="22"/>
          <w:lang w:val="lt-LT"/>
        </w:rPr>
        <w:t xml:space="preserve"> plaučių ligos atvejai, ypač taikant ilgalaikį gydymą </w:t>
      </w:r>
      <w:r w:rsidR="00476BD6" w:rsidRPr="00923E74">
        <w:rPr>
          <w:snapToGrid/>
          <w:szCs w:val="22"/>
          <w:lang w:val="lt-LT"/>
        </w:rPr>
        <w:t>(</w:t>
      </w:r>
      <w:r w:rsidRPr="00923E74">
        <w:rPr>
          <w:snapToGrid/>
          <w:szCs w:val="22"/>
          <w:lang w:val="lt-LT"/>
        </w:rPr>
        <w:t>žr.</w:t>
      </w:r>
      <w:r w:rsidR="002B4185">
        <w:rPr>
          <w:snapToGrid/>
          <w:szCs w:val="22"/>
          <w:lang w:val="lt-LT"/>
        </w:rPr>
        <w:t> </w:t>
      </w:r>
      <w:r w:rsidR="00476BD6" w:rsidRPr="00923E74">
        <w:rPr>
          <w:snapToGrid/>
          <w:szCs w:val="22"/>
          <w:lang w:val="lt-LT"/>
        </w:rPr>
        <w:t>4.4</w:t>
      </w:r>
      <w:r w:rsidRPr="00923E74">
        <w:rPr>
          <w:snapToGrid/>
          <w:szCs w:val="22"/>
          <w:lang w:val="lt-LT"/>
        </w:rPr>
        <w:t> skyrių</w:t>
      </w:r>
      <w:r w:rsidR="00476BD6" w:rsidRPr="00923E74">
        <w:rPr>
          <w:snapToGrid/>
          <w:szCs w:val="22"/>
          <w:lang w:val="lt-LT"/>
        </w:rPr>
        <w:t>)</w:t>
      </w:r>
      <w:r w:rsidRPr="00923E74">
        <w:rPr>
          <w:snapToGrid/>
          <w:szCs w:val="22"/>
          <w:lang w:val="lt-LT"/>
        </w:rPr>
        <w:t>;</w:t>
      </w:r>
    </w:p>
    <w:p w14:paraId="60C81453" w14:textId="2B1B4457" w:rsidR="00476BD6" w:rsidRPr="00923E74" w:rsidRDefault="00FB469F" w:rsidP="007425C0">
      <w:pPr>
        <w:numPr>
          <w:ilvl w:val="0"/>
          <w:numId w:val="19"/>
        </w:numPr>
        <w:spacing w:line="240" w:lineRule="auto"/>
        <w:ind w:left="567" w:hanging="567"/>
        <w:rPr>
          <w:snapToGrid/>
          <w:szCs w:val="22"/>
          <w:lang w:val="lt-LT"/>
        </w:rPr>
      </w:pPr>
      <w:r w:rsidRPr="00923E74">
        <w:rPr>
          <w:snapToGrid/>
          <w:szCs w:val="22"/>
          <w:lang w:val="lt-LT"/>
        </w:rPr>
        <w:t>cukrinis diabetas</w:t>
      </w:r>
      <w:r w:rsidR="002B4185">
        <w:rPr>
          <w:snapToGrid/>
          <w:szCs w:val="22"/>
          <w:lang w:val="lt-LT"/>
        </w:rPr>
        <w:t xml:space="preserve"> –</w:t>
      </w:r>
      <w:r w:rsidR="00476BD6" w:rsidRPr="00923E74">
        <w:rPr>
          <w:snapToGrid/>
          <w:szCs w:val="22"/>
          <w:lang w:val="lt-LT"/>
        </w:rPr>
        <w:t xml:space="preserve"> </w:t>
      </w:r>
      <w:r w:rsidRPr="00923E74">
        <w:rPr>
          <w:snapToGrid/>
          <w:szCs w:val="22"/>
          <w:lang w:val="lt-LT"/>
        </w:rPr>
        <w:t>dažnis priklauso nuo to, ar yra rizikos veiksnių (gliukozės k</w:t>
      </w:r>
      <w:r w:rsidR="002B4185">
        <w:rPr>
          <w:snapToGrid/>
          <w:szCs w:val="22"/>
          <w:lang w:val="lt-LT"/>
        </w:rPr>
        <w:t>onc</w:t>
      </w:r>
      <w:r w:rsidRPr="00923E74">
        <w:rPr>
          <w:snapToGrid/>
          <w:szCs w:val="22"/>
          <w:lang w:val="lt-LT"/>
        </w:rPr>
        <w:t>e</w:t>
      </w:r>
      <w:r w:rsidR="002B4185">
        <w:rPr>
          <w:snapToGrid/>
          <w:szCs w:val="22"/>
          <w:lang w:val="lt-LT"/>
        </w:rPr>
        <w:t>ntrac</w:t>
      </w:r>
      <w:r w:rsidRPr="00923E74">
        <w:rPr>
          <w:snapToGrid/>
          <w:szCs w:val="22"/>
          <w:lang w:val="lt-LT"/>
        </w:rPr>
        <w:t>i</w:t>
      </w:r>
      <w:r w:rsidR="002B4185">
        <w:rPr>
          <w:snapToGrid/>
          <w:szCs w:val="22"/>
          <w:lang w:val="lt-LT"/>
        </w:rPr>
        <w:t>ja</w:t>
      </w:r>
      <w:r w:rsidRPr="00923E74">
        <w:rPr>
          <w:snapToGrid/>
          <w:szCs w:val="22"/>
          <w:lang w:val="lt-LT"/>
        </w:rPr>
        <w:t xml:space="preserve"> nevalgius ≥ 5,6 </w:t>
      </w:r>
      <w:proofErr w:type="spellStart"/>
      <w:r w:rsidRPr="00923E74">
        <w:rPr>
          <w:snapToGrid/>
          <w:szCs w:val="22"/>
          <w:lang w:val="lt-LT"/>
        </w:rPr>
        <w:t>mmol</w:t>
      </w:r>
      <w:proofErr w:type="spellEnd"/>
      <w:r w:rsidRPr="00923E74">
        <w:rPr>
          <w:snapToGrid/>
          <w:szCs w:val="22"/>
          <w:lang w:val="lt-LT"/>
        </w:rPr>
        <w:t>/l, KMI</w:t>
      </w:r>
      <w:r w:rsidR="00C6142E">
        <w:rPr>
          <w:snapToGrid/>
          <w:szCs w:val="22"/>
          <w:lang w:val="lt-LT"/>
        </w:rPr>
        <w:t> </w:t>
      </w:r>
      <w:r w:rsidRPr="00923E74">
        <w:rPr>
          <w:snapToGrid/>
          <w:szCs w:val="22"/>
          <w:lang w:val="lt-LT"/>
        </w:rPr>
        <w:t>&gt;</w:t>
      </w:r>
      <w:r w:rsidR="002B4185">
        <w:rPr>
          <w:snapToGrid/>
          <w:szCs w:val="22"/>
          <w:lang w:val="lt-LT"/>
        </w:rPr>
        <w:t> </w:t>
      </w:r>
      <w:r w:rsidRPr="00923E74">
        <w:rPr>
          <w:snapToGrid/>
          <w:szCs w:val="22"/>
          <w:lang w:val="lt-LT"/>
        </w:rPr>
        <w:t>30 kg/m</w:t>
      </w:r>
      <w:r w:rsidRPr="00923E74">
        <w:rPr>
          <w:snapToGrid/>
          <w:szCs w:val="22"/>
          <w:vertAlign w:val="superscript"/>
          <w:lang w:val="lt-LT"/>
        </w:rPr>
        <w:t>2</w:t>
      </w:r>
      <w:r w:rsidRPr="00923E74">
        <w:rPr>
          <w:snapToGrid/>
          <w:szCs w:val="22"/>
          <w:lang w:val="lt-LT"/>
        </w:rPr>
        <w:t>, padidėj</w:t>
      </w:r>
      <w:r w:rsidR="002B4185">
        <w:rPr>
          <w:snapToGrid/>
          <w:szCs w:val="22"/>
          <w:lang w:val="lt-LT"/>
        </w:rPr>
        <w:t>u</w:t>
      </w:r>
      <w:r w:rsidRPr="00923E74">
        <w:rPr>
          <w:snapToGrid/>
          <w:szCs w:val="22"/>
          <w:lang w:val="lt-LT"/>
        </w:rPr>
        <w:t>s</w:t>
      </w:r>
      <w:r w:rsidR="002B4185">
        <w:rPr>
          <w:snapToGrid/>
          <w:szCs w:val="22"/>
          <w:lang w:val="lt-LT"/>
        </w:rPr>
        <w:t>i</w:t>
      </w:r>
      <w:r w:rsidRPr="00923E74">
        <w:rPr>
          <w:snapToGrid/>
          <w:szCs w:val="22"/>
          <w:lang w:val="lt-LT"/>
        </w:rPr>
        <w:t xml:space="preserve"> trigliceridų k</w:t>
      </w:r>
      <w:r w:rsidR="002B4185">
        <w:rPr>
          <w:snapToGrid/>
          <w:szCs w:val="22"/>
          <w:lang w:val="lt-LT"/>
        </w:rPr>
        <w:t>onc</w:t>
      </w:r>
      <w:r w:rsidRPr="00923E74">
        <w:rPr>
          <w:snapToGrid/>
          <w:szCs w:val="22"/>
          <w:lang w:val="lt-LT"/>
        </w:rPr>
        <w:t>e</w:t>
      </w:r>
      <w:r w:rsidR="002B4185">
        <w:rPr>
          <w:snapToGrid/>
          <w:szCs w:val="22"/>
          <w:lang w:val="lt-LT"/>
        </w:rPr>
        <w:t>ntrac</w:t>
      </w:r>
      <w:r w:rsidRPr="00923E74">
        <w:rPr>
          <w:snapToGrid/>
          <w:szCs w:val="22"/>
          <w:lang w:val="lt-LT"/>
        </w:rPr>
        <w:t>i</w:t>
      </w:r>
      <w:r w:rsidR="002B4185">
        <w:rPr>
          <w:snapToGrid/>
          <w:szCs w:val="22"/>
          <w:lang w:val="lt-LT"/>
        </w:rPr>
        <w:t>ja</w:t>
      </w:r>
      <w:r w:rsidRPr="00923E74">
        <w:rPr>
          <w:snapToGrid/>
          <w:szCs w:val="22"/>
          <w:lang w:val="lt-LT"/>
        </w:rPr>
        <w:t>, hipertenzija</w:t>
      </w:r>
      <w:r w:rsidR="00476BD6" w:rsidRPr="00923E74">
        <w:rPr>
          <w:snapToGrid/>
          <w:szCs w:val="22"/>
          <w:lang w:val="lt-LT"/>
        </w:rPr>
        <w:t>)</w:t>
      </w:r>
      <w:r w:rsidRPr="00923E74">
        <w:rPr>
          <w:snapToGrid/>
          <w:szCs w:val="22"/>
          <w:lang w:val="lt-LT"/>
        </w:rPr>
        <w:t>.</w:t>
      </w:r>
    </w:p>
    <w:p w14:paraId="76C09E79" w14:textId="77777777" w:rsidR="00381B7D" w:rsidRPr="00923E74" w:rsidRDefault="00381B7D" w:rsidP="007425C0">
      <w:pPr>
        <w:widowControl w:val="0"/>
        <w:tabs>
          <w:tab w:val="clear" w:pos="567"/>
        </w:tabs>
        <w:spacing w:line="240" w:lineRule="auto"/>
        <w:rPr>
          <w:snapToGrid/>
          <w:szCs w:val="22"/>
          <w:lang w:val="lt-LT" w:eastAsia="sl-SI"/>
        </w:rPr>
      </w:pPr>
    </w:p>
    <w:p w14:paraId="2A647A9E" w14:textId="77777777" w:rsidR="005843DC" w:rsidRPr="005843DC" w:rsidRDefault="005843DC" w:rsidP="003878BA">
      <w:pPr>
        <w:widowControl w:val="0"/>
        <w:spacing w:line="240" w:lineRule="auto"/>
        <w:rPr>
          <w:u w:val="single"/>
          <w:lang w:val="lt-LT" w:eastAsia="lt-LT"/>
        </w:rPr>
      </w:pPr>
      <w:r w:rsidRPr="005843DC">
        <w:rPr>
          <w:u w:val="single"/>
          <w:lang w:val="lt-LT" w:eastAsia="lt-LT"/>
        </w:rPr>
        <w:t>Laboratoriniai rodmenys</w:t>
      </w:r>
    </w:p>
    <w:p w14:paraId="03E66696" w14:textId="03137352" w:rsidR="003878BA" w:rsidRPr="003878BA" w:rsidRDefault="003878BA" w:rsidP="003878BA">
      <w:pPr>
        <w:widowControl w:val="0"/>
        <w:spacing w:line="240" w:lineRule="auto"/>
        <w:rPr>
          <w:lang w:val="lt-LT" w:eastAsia="lt-LT"/>
        </w:rPr>
      </w:pPr>
      <w:r w:rsidRPr="003878BA">
        <w:rPr>
          <w:lang w:val="lt-LT" w:eastAsia="lt-LT"/>
        </w:rPr>
        <w:t xml:space="preserve">Kontroliuojamų klinikinių </w:t>
      </w:r>
      <w:proofErr w:type="spellStart"/>
      <w:r w:rsidRPr="003878BA">
        <w:rPr>
          <w:lang w:val="lt-LT" w:eastAsia="lt-LT"/>
        </w:rPr>
        <w:t>monoterapijos</w:t>
      </w:r>
      <w:proofErr w:type="spellEnd"/>
      <w:r w:rsidRPr="003878BA">
        <w:rPr>
          <w:lang w:val="lt-LT" w:eastAsia="lt-LT"/>
        </w:rPr>
        <w:t xml:space="preserve"> tyrimų metu kliniškai svarbaus serumo </w:t>
      </w:r>
      <w:proofErr w:type="spellStart"/>
      <w:r w:rsidRPr="003878BA">
        <w:rPr>
          <w:lang w:val="lt-LT" w:eastAsia="lt-LT"/>
        </w:rPr>
        <w:t>transaminazių</w:t>
      </w:r>
      <w:proofErr w:type="spellEnd"/>
      <w:r w:rsidRPr="003878BA">
        <w:rPr>
          <w:lang w:val="lt-LT" w:eastAsia="lt-LT"/>
        </w:rPr>
        <w:t xml:space="preserve"> aktyvumo padidėjimo (ALT ir (arba) AST </w:t>
      </w:r>
      <w:r w:rsidRPr="003878BA">
        <w:rPr>
          <w:lang w:val="lt-LT" w:eastAsia="lt-LT"/>
        </w:rPr>
        <w:sym w:font="Symbol" w:char="F0B3"/>
      </w:r>
      <w:r w:rsidRPr="003878BA">
        <w:rPr>
          <w:lang w:val="lt-LT" w:eastAsia="lt-LT"/>
        </w:rPr>
        <w:t xml:space="preserve"> 3 kartus viršijo VNR, padidėjimas nuoseklus) dažnis </w:t>
      </w:r>
      <w:proofErr w:type="spellStart"/>
      <w:r w:rsidRPr="003878BA">
        <w:rPr>
          <w:lang w:val="lt-LT" w:eastAsia="sl-SI"/>
        </w:rPr>
        <w:t>ezetimibą</w:t>
      </w:r>
      <w:proofErr w:type="spellEnd"/>
      <w:r w:rsidRPr="003878BA">
        <w:rPr>
          <w:lang w:val="lt-LT" w:eastAsia="lt-LT"/>
        </w:rPr>
        <w:t xml:space="preserve"> (0,5</w:t>
      </w:r>
      <w:r>
        <w:rPr>
          <w:lang w:val="lt-LT" w:eastAsia="lt-LT"/>
        </w:rPr>
        <w:t> </w:t>
      </w:r>
      <w:r w:rsidRPr="003878BA">
        <w:rPr>
          <w:lang w:val="lt-LT" w:eastAsia="lt-LT"/>
        </w:rPr>
        <w:t>%) ir placebą (0,3</w:t>
      </w:r>
      <w:r>
        <w:rPr>
          <w:lang w:val="lt-LT" w:eastAsia="lt-LT"/>
        </w:rPr>
        <w:t> </w:t>
      </w:r>
      <w:r w:rsidRPr="003878BA">
        <w:rPr>
          <w:lang w:val="lt-LT" w:eastAsia="lt-LT"/>
        </w:rPr>
        <w:t>%) vartojusiems pacientams buvo panašus. Tyrimų, kai buvo vartojami keli vaistiniai preparatai, metu šių reiškinių dažnis buvo toks: 1,3</w:t>
      </w:r>
      <w:r>
        <w:rPr>
          <w:lang w:val="lt-LT" w:eastAsia="lt-LT"/>
        </w:rPr>
        <w:t> </w:t>
      </w:r>
      <w:r w:rsidRPr="003878BA">
        <w:rPr>
          <w:lang w:val="lt-LT" w:eastAsia="lt-LT"/>
        </w:rPr>
        <w:t xml:space="preserve">% </w:t>
      </w:r>
      <w:proofErr w:type="spellStart"/>
      <w:r w:rsidRPr="003878BA">
        <w:rPr>
          <w:lang w:val="lt-LT" w:eastAsia="sl-SI"/>
        </w:rPr>
        <w:t>ezetimibo</w:t>
      </w:r>
      <w:proofErr w:type="spellEnd"/>
      <w:r w:rsidRPr="003878BA">
        <w:rPr>
          <w:lang w:val="lt-LT" w:eastAsia="lt-LT"/>
        </w:rPr>
        <w:t xml:space="preserve"> vartojant su </w:t>
      </w:r>
      <w:proofErr w:type="spellStart"/>
      <w:r w:rsidRPr="003878BA">
        <w:rPr>
          <w:lang w:val="lt-LT" w:eastAsia="lt-LT"/>
        </w:rPr>
        <w:t>statinu</w:t>
      </w:r>
      <w:proofErr w:type="spellEnd"/>
      <w:r w:rsidRPr="003878BA">
        <w:rPr>
          <w:lang w:val="lt-LT" w:eastAsia="lt-LT"/>
        </w:rPr>
        <w:t xml:space="preserve"> ir 0,4</w:t>
      </w:r>
      <w:r>
        <w:rPr>
          <w:lang w:val="lt-LT" w:eastAsia="lt-LT"/>
        </w:rPr>
        <w:t> </w:t>
      </w:r>
      <w:r w:rsidRPr="003878BA">
        <w:rPr>
          <w:lang w:val="lt-LT" w:eastAsia="lt-LT"/>
        </w:rPr>
        <w:t xml:space="preserve">% vartojant vien </w:t>
      </w:r>
      <w:proofErr w:type="spellStart"/>
      <w:r w:rsidRPr="003878BA">
        <w:rPr>
          <w:lang w:val="lt-LT" w:eastAsia="lt-LT"/>
        </w:rPr>
        <w:t>statiną</w:t>
      </w:r>
      <w:proofErr w:type="spellEnd"/>
      <w:r w:rsidRPr="003878BA">
        <w:rPr>
          <w:lang w:val="lt-LT" w:eastAsia="lt-LT"/>
        </w:rPr>
        <w:t xml:space="preserve">. Šis padidėjimas paprastai buvo </w:t>
      </w:r>
      <w:proofErr w:type="spellStart"/>
      <w:r w:rsidRPr="003878BA">
        <w:rPr>
          <w:lang w:val="lt-LT" w:eastAsia="lt-LT"/>
        </w:rPr>
        <w:t>besimptomis</w:t>
      </w:r>
      <w:proofErr w:type="spellEnd"/>
      <w:r w:rsidRPr="003878BA">
        <w:rPr>
          <w:lang w:val="lt-LT" w:eastAsia="lt-LT"/>
        </w:rPr>
        <w:t xml:space="preserve">, nebuvo susijęs su </w:t>
      </w:r>
      <w:proofErr w:type="spellStart"/>
      <w:r w:rsidRPr="003878BA">
        <w:rPr>
          <w:lang w:val="lt-LT" w:eastAsia="lt-LT"/>
        </w:rPr>
        <w:t>cholestaze</w:t>
      </w:r>
      <w:proofErr w:type="spellEnd"/>
      <w:r w:rsidRPr="003878BA">
        <w:rPr>
          <w:lang w:val="lt-LT" w:eastAsia="lt-LT"/>
        </w:rPr>
        <w:t xml:space="preserve">, rodmenys </w:t>
      </w:r>
      <w:r w:rsidR="00BA4B0A">
        <w:rPr>
          <w:lang w:val="lt-LT" w:eastAsia="lt-LT"/>
        </w:rPr>
        <w:t xml:space="preserve">vėl tapo </w:t>
      </w:r>
      <w:r w:rsidRPr="003878BA">
        <w:rPr>
          <w:lang w:val="lt-LT" w:eastAsia="lt-LT"/>
        </w:rPr>
        <w:t>normal</w:t>
      </w:r>
      <w:r w:rsidR="00BA4B0A">
        <w:rPr>
          <w:lang w:val="lt-LT" w:eastAsia="lt-LT"/>
        </w:rPr>
        <w:t>ūs</w:t>
      </w:r>
      <w:r w:rsidRPr="003878BA">
        <w:rPr>
          <w:lang w:val="lt-LT" w:eastAsia="lt-LT"/>
        </w:rPr>
        <w:t xml:space="preserve"> nutraukus gydymą ar jį tęsiant (žr. 4.4 skyrių).</w:t>
      </w:r>
    </w:p>
    <w:p w14:paraId="73BE808C" w14:textId="7682339F" w:rsidR="003878BA" w:rsidRPr="003878BA" w:rsidRDefault="003878BA" w:rsidP="003878BA">
      <w:pPr>
        <w:widowControl w:val="0"/>
        <w:spacing w:line="240" w:lineRule="auto"/>
        <w:rPr>
          <w:lang w:val="lt-LT" w:eastAsia="lt-LT"/>
        </w:rPr>
      </w:pPr>
      <w:r w:rsidRPr="003878BA">
        <w:rPr>
          <w:lang w:val="lt-LT" w:eastAsia="lt-LT"/>
        </w:rPr>
        <w:t>Klinikiniuose tyrimuose KFK aktyvumo padidėjimas, daugiau kaip 10</w:t>
      </w:r>
      <w:r w:rsidR="00B7355B">
        <w:rPr>
          <w:lang w:val="lt-LT" w:eastAsia="lt-LT"/>
        </w:rPr>
        <w:t xml:space="preserve"> kartų </w:t>
      </w:r>
      <w:r w:rsidRPr="003878BA">
        <w:rPr>
          <w:lang w:val="lt-LT" w:eastAsia="lt-LT"/>
        </w:rPr>
        <w:t>viršijantis VNR, pasireiškė 4 iš 1674</w:t>
      </w:r>
      <w:r w:rsidR="00B7355B">
        <w:rPr>
          <w:lang w:val="lt-LT" w:eastAsia="lt-LT"/>
        </w:rPr>
        <w:t> </w:t>
      </w:r>
      <w:r w:rsidRPr="003878BA">
        <w:rPr>
          <w:lang w:val="lt-LT" w:eastAsia="lt-LT"/>
        </w:rPr>
        <w:t>pacientų (0,2</w:t>
      </w:r>
      <w:r w:rsidR="00B7355B">
        <w:rPr>
          <w:lang w:val="lt-LT" w:eastAsia="lt-LT"/>
        </w:rPr>
        <w:t> </w:t>
      </w:r>
      <w:r w:rsidRPr="003878BA">
        <w:rPr>
          <w:lang w:val="lt-LT" w:eastAsia="lt-LT"/>
        </w:rPr>
        <w:t xml:space="preserve">%), vartojusių vien </w:t>
      </w:r>
      <w:proofErr w:type="spellStart"/>
      <w:r w:rsidRPr="003878BA">
        <w:rPr>
          <w:lang w:val="lt-LT" w:eastAsia="lt-LT"/>
        </w:rPr>
        <w:t>ezetimibą</w:t>
      </w:r>
      <w:proofErr w:type="spellEnd"/>
      <w:r w:rsidRPr="003878BA">
        <w:rPr>
          <w:lang w:val="lt-LT" w:eastAsia="lt-LT"/>
        </w:rPr>
        <w:t>, palyginti su 1 iš 786</w:t>
      </w:r>
      <w:r w:rsidR="00B7355B">
        <w:rPr>
          <w:lang w:val="lt-LT" w:eastAsia="lt-LT"/>
        </w:rPr>
        <w:t> </w:t>
      </w:r>
      <w:r w:rsidRPr="003878BA">
        <w:rPr>
          <w:lang w:val="lt-LT" w:eastAsia="lt-LT"/>
        </w:rPr>
        <w:t>pacientų (0,1</w:t>
      </w:r>
      <w:r w:rsidR="00B7355B">
        <w:rPr>
          <w:lang w:val="lt-LT" w:eastAsia="lt-LT"/>
        </w:rPr>
        <w:t> </w:t>
      </w:r>
      <w:r w:rsidRPr="003878BA">
        <w:rPr>
          <w:lang w:val="lt-LT" w:eastAsia="lt-LT"/>
        </w:rPr>
        <w:t>%), vartojusių placebą, ir 1 iš 917</w:t>
      </w:r>
      <w:r w:rsidR="00B7355B">
        <w:rPr>
          <w:lang w:val="lt-LT" w:eastAsia="lt-LT"/>
        </w:rPr>
        <w:t> </w:t>
      </w:r>
      <w:r w:rsidRPr="003878BA">
        <w:rPr>
          <w:lang w:val="lt-LT" w:eastAsia="lt-LT"/>
        </w:rPr>
        <w:t>pacientų (0,1</w:t>
      </w:r>
      <w:r w:rsidR="00B7355B">
        <w:rPr>
          <w:lang w:val="lt-LT" w:eastAsia="lt-LT"/>
        </w:rPr>
        <w:t> </w:t>
      </w:r>
      <w:r w:rsidRPr="003878BA">
        <w:rPr>
          <w:lang w:val="lt-LT" w:eastAsia="lt-LT"/>
        </w:rPr>
        <w:t xml:space="preserve">%), vartojusių </w:t>
      </w:r>
      <w:proofErr w:type="spellStart"/>
      <w:r w:rsidRPr="003878BA">
        <w:rPr>
          <w:lang w:val="lt-LT" w:eastAsia="sl-SI"/>
        </w:rPr>
        <w:t>ezetimibą</w:t>
      </w:r>
      <w:proofErr w:type="spellEnd"/>
      <w:r w:rsidRPr="003878BA">
        <w:rPr>
          <w:lang w:val="lt-LT" w:eastAsia="lt-LT"/>
        </w:rPr>
        <w:t xml:space="preserve"> ir </w:t>
      </w:r>
      <w:proofErr w:type="spellStart"/>
      <w:r w:rsidRPr="003878BA">
        <w:rPr>
          <w:lang w:val="lt-LT" w:eastAsia="lt-LT"/>
        </w:rPr>
        <w:t>statiną</w:t>
      </w:r>
      <w:proofErr w:type="spellEnd"/>
      <w:r w:rsidRPr="003878BA">
        <w:rPr>
          <w:lang w:val="lt-LT" w:eastAsia="lt-LT"/>
        </w:rPr>
        <w:t>, palyginti su 4 iš 929</w:t>
      </w:r>
      <w:r w:rsidR="00B7355B">
        <w:rPr>
          <w:lang w:val="lt-LT" w:eastAsia="lt-LT"/>
        </w:rPr>
        <w:t> </w:t>
      </w:r>
      <w:r w:rsidRPr="003878BA">
        <w:rPr>
          <w:lang w:val="lt-LT" w:eastAsia="lt-LT"/>
        </w:rPr>
        <w:t>pacientų (0,4</w:t>
      </w:r>
      <w:r w:rsidR="00B7355B">
        <w:rPr>
          <w:lang w:val="lt-LT" w:eastAsia="lt-LT"/>
        </w:rPr>
        <w:t> </w:t>
      </w:r>
      <w:r w:rsidRPr="003878BA">
        <w:rPr>
          <w:lang w:val="lt-LT" w:eastAsia="lt-LT"/>
        </w:rPr>
        <w:t xml:space="preserve">%), vartojusių vieną </w:t>
      </w:r>
      <w:proofErr w:type="spellStart"/>
      <w:r w:rsidRPr="003878BA">
        <w:rPr>
          <w:lang w:val="lt-LT" w:eastAsia="lt-LT"/>
        </w:rPr>
        <w:t>statiną</w:t>
      </w:r>
      <w:proofErr w:type="spellEnd"/>
      <w:r w:rsidRPr="003878BA">
        <w:rPr>
          <w:lang w:val="lt-LT" w:eastAsia="lt-LT"/>
        </w:rPr>
        <w:t xml:space="preserve">. </w:t>
      </w:r>
      <w:proofErr w:type="spellStart"/>
      <w:r w:rsidRPr="003878BA">
        <w:rPr>
          <w:lang w:val="lt-LT" w:eastAsia="lt-LT"/>
        </w:rPr>
        <w:t>Miopatija</w:t>
      </w:r>
      <w:proofErr w:type="spellEnd"/>
      <w:r w:rsidRPr="003878BA">
        <w:rPr>
          <w:lang w:val="lt-LT" w:eastAsia="lt-LT"/>
        </w:rPr>
        <w:t xml:space="preserve"> arba </w:t>
      </w:r>
      <w:proofErr w:type="spellStart"/>
      <w:r w:rsidRPr="003878BA">
        <w:rPr>
          <w:lang w:val="lt-LT" w:eastAsia="lt-LT"/>
        </w:rPr>
        <w:t>rabdomiolizė</w:t>
      </w:r>
      <w:proofErr w:type="spellEnd"/>
      <w:r w:rsidRPr="003878BA">
        <w:rPr>
          <w:lang w:val="lt-LT" w:eastAsia="lt-LT"/>
        </w:rPr>
        <w:t>, susijusi su</w:t>
      </w:r>
      <w:r w:rsidRPr="003878BA">
        <w:rPr>
          <w:lang w:val="lt-LT" w:eastAsia="sl-SI"/>
        </w:rPr>
        <w:t xml:space="preserve"> </w:t>
      </w:r>
      <w:proofErr w:type="spellStart"/>
      <w:r w:rsidRPr="003878BA">
        <w:rPr>
          <w:lang w:val="lt-LT" w:eastAsia="sl-SI"/>
        </w:rPr>
        <w:t>ezetimibu</w:t>
      </w:r>
      <w:proofErr w:type="spellEnd"/>
      <w:r w:rsidRPr="003878BA">
        <w:rPr>
          <w:lang w:val="lt-LT" w:eastAsia="lt-LT"/>
        </w:rPr>
        <w:t xml:space="preserve">, nepasireiškė dažniau negu aktualiose kontrolinėse grupėse (placebo arba vien </w:t>
      </w:r>
      <w:proofErr w:type="spellStart"/>
      <w:r w:rsidRPr="003878BA">
        <w:rPr>
          <w:lang w:val="lt-LT" w:eastAsia="lt-LT"/>
        </w:rPr>
        <w:t>statino</w:t>
      </w:r>
      <w:proofErr w:type="spellEnd"/>
      <w:r w:rsidRPr="003878BA">
        <w:rPr>
          <w:lang w:val="lt-LT" w:eastAsia="lt-LT"/>
        </w:rPr>
        <w:t>) (žr. 4.4 skyrių).</w:t>
      </w:r>
    </w:p>
    <w:p w14:paraId="6CC06D2D" w14:textId="77777777" w:rsidR="003878BA" w:rsidRDefault="003878BA" w:rsidP="007E15ED">
      <w:pPr>
        <w:keepNext/>
        <w:widowControl w:val="0"/>
        <w:autoSpaceDE w:val="0"/>
        <w:autoSpaceDN w:val="0"/>
        <w:adjustRightInd w:val="0"/>
        <w:spacing w:line="240" w:lineRule="auto"/>
        <w:jc w:val="both"/>
        <w:rPr>
          <w:snapToGrid/>
          <w:szCs w:val="22"/>
          <w:u w:val="single"/>
          <w:lang w:val="lt-LT" w:eastAsia="sl-SI"/>
        </w:rPr>
      </w:pPr>
    </w:p>
    <w:p w14:paraId="568C7E7E" w14:textId="15EAD37F" w:rsidR="00381B7D" w:rsidRPr="00923E74" w:rsidRDefault="00381B7D" w:rsidP="007E15ED">
      <w:pPr>
        <w:keepNext/>
        <w:widowControl w:val="0"/>
        <w:autoSpaceDE w:val="0"/>
        <w:autoSpaceDN w:val="0"/>
        <w:adjustRightInd w:val="0"/>
        <w:spacing w:line="240" w:lineRule="auto"/>
        <w:jc w:val="both"/>
        <w:rPr>
          <w:snapToGrid/>
          <w:szCs w:val="22"/>
          <w:u w:val="single"/>
          <w:lang w:val="lt-LT" w:eastAsia="sl-SI"/>
        </w:rPr>
      </w:pPr>
      <w:r w:rsidRPr="00923E74">
        <w:rPr>
          <w:snapToGrid/>
          <w:szCs w:val="22"/>
          <w:u w:val="single"/>
          <w:lang w:val="lt-LT" w:eastAsia="sl-SI"/>
        </w:rPr>
        <w:t>Pranešimas apie įtariamas nepageidaujamas reakcijas</w:t>
      </w:r>
    </w:p>
    <w:p w14:paraId="66DD8F66" w14:textId="43C14BFB" w:rsidR="00381B7D" w:rsidRPr="009E5098" w:rsidRDefault="00381B7D" w:rsidP="009E5098">
      <w:pPr>
        <w:rPr>
          <w:szCs w:val="24"/>
          <w:lang w:val="lt-LT"/>
        </w:rPr>
      </w:pPr>
      <w:r w:rsidRPr="00923E74">
        <w:rPr>
          <w:snapToGrid/>
          <w:szCs w:val="22"/>
          <w:lang w:val="lt-LT" w:eastAsia="sl-SI"/>
        </w:rPr>
        <w:t>Svarbu pranešti apie įtariamas nepageidaujamas reakcijas, pastebėtas po vaistinio preparato registracijos, nes tai leidžia nuolat stebėti vaistinio preparato naudos ir rizikos santykį.</w:t>
      </w:r>
      <w:r w:rsidR="008E23C5">
        <w:rPr>
          <w:snapToGrid/>
          <w:szCs w:val="22"/>
          <w:lang w:val="lt-LT" w:eastAsia="sl-SI"/>
        </w:rPr>
        <w:t xml:space="preserve"> </w:t>
      </w:r>
      <w:bookmarkStart w:id="4" w:name="_Hlk174387194"/>
      <w:r w:rsidR="006B3D47" w:rsidRPr="006B3D47">
        <w:rPr>
          <w:snapToGrid/>
          <w:szCs w:val="22"/>
          <w:lang w:val="lt-LT"/>
        </w:rPr>
        <w:t xml:space="preserve">Sveikatos priežiūros ar farmacijos specialistai turi pranešti apie bet kokias įtariamas nepageidaujamas reakcijas, </w:t>
      </w:r>
      <w:r w:rsidR="006B3D47" w:rsidRPr="006B3D47">
        <w:rPr>
          <w:snapToGrid/>
          <w:color w:val="000000"/>
          <w:szCs w:val="22"/>
          <w:lang w:val="lt-LT"/>
        </w:rPr>
        <w:t xml:space="preserve">užpildę ir pateikę pranešimo formą Valstybinės vaistų kontrolės tarnybos prie Lietuvos Respublikos sveikatos apsaugos ministerijos tinklalapyje </w:t>
      </w:r>
      <w:r w:rsidR="006B3D47" w:rsidRPr="006B3D47">
        <w:rPr>
          <w:snapToGrid/>
          <w:color w:val="0000EE"/>
          <w:szCs w:val="22"/>
          <w:u w:val="single"/>
          <w:lang w:val="lt-LT"/>
        </w:rPr>
        <w:t>https://vvkt.lrv.lt/lt/</w:t>
      </w:r>
      <w:r w:rsidR="006B3D47" w:rsidRPr="006B3D47">
        <w:rPr>
          <w:snapToGrid/>
          <w:color w:val="000000"/>
          <w:szCs w:val="22"/>
          <w:lang w:val="lt-LT"/>
        </w:rPr>
        <w:t xml:space="preserve"> nurodytais būdais.</w:t>
      </w:r>
      <w:bookmarkEnd w:id="4"/>
    </w:p>
    <w:p w14:paraId="5CD31DE9" w14:textId="77777777" w:rsidR="00381B7D" w:rsidRPr="00923E74" w:rsidRDefault="00381B7D" w:rsidP="00A31E3A">
      <w:pPr>
        <w:widowControl w:val="0"/>
        <w:tabs>
          <w:tab w:val="clear" w:pos="567"/>
        </w:tabs>
        <w:spacing w:line="240" w:lineRule="auto"/>
        <w:rPr>
          <w:b/>
          <w:snapToGrid/>
          <w:szCs w:val="22"/>
          <w:lang w:val="lt-LT" w:eastAsia="sl-SI"/>
        </w:rPr>
      </w:pPr>
    </w:p>
    <w:p w14:paraId="2A2F5607"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4.9</w:t>
      </w:r>
      <w:r w:rsidRPr="00923E74">
        <w:rPr>
          <w:b/>
          <w:snapToGrid/>
          <w:szCs w:val="22"/>
          <w:lang w:val="lt-LT" w:eastAsia="sl-SI"/>
        </w:rPr>
        <w:tab/>
        <w:t>Perdozavimas</w:t>
      </w:r>
    </w:p>
    <w:p w14:paraId="750410F9" w14:textId="77777777" w:rsidR="00381B7D" w:rsidRPr="00923E74" w:rsidRDefault="00381B7D" w:rsidP="007E15ED">
      <w:pPr>
        <w:keepNext/>
        <w:widowControl w:val="0"/>
        <w:tabs>
          <w:tab w:val="clear" w:pos="567"/>
        </w:tabs>
        <w:spacing w:line="240" w:lineRule="auto"/>
        <w:rPr>
          <w:snapToGrid/>
          <w:szCs w:val="22"/>
          <w:lang w:val="lt-LT" w:eastAsia="sl-SI"/>
        </w:rPr>
      </w:pPr>
    </w:p>
    <w:p w14:paraId="380C16C5" w14:textId="7B125CA7" w:rsidR="00797B1A" w:rsidRPr="00923E74" w:rsidRDefault="00797B1A" w:rsidP="00797B1A">
      <w:pPr>
        <w:widowControl w:val="0"/>
        <w:spacing w:line="240" w:lineRule="auto"/>
        <w:rPr>
          <w:iCs/>
          <w:snapToGrid/>
          <w:szCs w:val="22"/>
          <w:lang w:val="lt-LT"/>
        </w:rPr>
      </w:pPr>
      <w:r w:rsidRPr="00923E74">
        <w:rPr>
          <w:iCs/>
          <w:snapToGrid/>
          <w:szCs w:val="22"/>
          <w:lang w:val="lt-LT"/>
        </w:rPr>
        <w:t>Perdozavus būtina taikyti simptomines ir palaikomąsias priemones. Reikia stebėti kepenų funkciją ir KFK</w:t>
      </w:r>
      <w:r w:rsidR="00B256CA">
        <w:rPr>
          <w:iCs/>
          <w:snapToGrid/>
          <w:szCs w:val="22"/>
          <w:lang w:val="lt-LT"/>
        </w:rPr>
        <w:t> </w:t>
      </w:r>
      <w:r w:rsidRPr="00923E74">
        <w:rPr>
          <w:iCs/>
          <w:snapToGrid/>
          <w:szCs w:val="22"/>
          <w:lang w:val="lt-LT"/>
        </w:rPr>
        <w:t>aktyvumą kraujo serume.</w:t>
      </w:r>
    </w:p>
    <w:p w14:paraId="42D25636" w14:textId="77777777" w:rsidR="00797B1A" w:rsidRPr="00923E74" w:rsidRDefault="00797B1A" w:rsidP="00797B1A">
      <w:pPr>
        <w:widowControl w:val="0"/>
        <w:spacing w:line="240" w:lineRule="auto"/>
        <w:rPr>
          <w:iCs/>
          <w:snapToGrid/>
          <w:szCs w:val="22"/>
          <w:lang w:val="lt-LT"/>
        </w:rPr>
      </w:pPr>
    </w:p>
    <w:p w14:paraId="1A423CDF" w14:textId="77777777" w:rsidR="00797B1A" w:rsidRPr="007E15ED" w:rsidRDefault="00797B1A" w:rsidP="007E15ED">
      <w:pPr>
        <w:keepNext/>
        <w:widowControl w:val="0"/>
        <w:spacing w:line="240" w:lineRule="auto"/>
        <w:rPr>
          <w:iCs/>
          <w:snapToGrid/>
          <w:szCs w:val="22"/>
          <w:u w:val="single"/>
          <w:lang w:val="lt-LT"/>
        </w:rPr>
      </w:pPr>
      <w:proofErr w:type="spellStart"/>
      <w:r w:rsidRPr="007E15ED">
        <w:rPr>
          <w:iCs/>
          <w:snapToGrid/>
          <w:szCs w:val="22"/>
          <w:u w:val="single"/>
          <w:lang w:val="lt-LT"/>
        </w:rPr>
        <w:t>Ezetimibas</w:t>
      </w:r>
      <w:proofErr w:type="spellEnd"/>
    </w:p>
    <w:p w14:paraId="7A25F606" w14:textId="2D6BFF27" w:rsidR="00797B1A" w:rsidRPr="00923E74" w:rsidRDefault="00797B1A" w:rsidP="00797B1A">
      <w:pPr>
        <w:widowControl w:val="0"/>
        <w:spacing w:line="240" w:lineRule="auto"/>
        <w:rPr>
          <w:szCs w:val="22"/>
          <w:lang w:val="lt-LT" w:eastAsia="sl-SI"/>
        </w:rPr>
      </w:pPr>
      <w:r w:rsidRPr="00923E74">
        <w:rPr>
          <w:szCs w:val="22"/>
          <w:lang w:val="lt-LT" w:eastAsia="sl-SI"/>
        </w:rPr>
        <w:t>Klinikinių tyrimų metu 15</w:t>
      </w:r>
      <w:r w:rsidR="00B256CA">
        <w:rPr>
          <w:szCs w:val="22"/>
          <w:lang w:val="lt-LT" w:eastAsia="sl-SI"/>
        </w:rPr>
        <w:t xml:space="preserve"> </w:t>
      </w:r>
      <w:r w:rsidRPr="00923E74">
        <w:rPr>
          <w:szCs w:val="22"/>
          <w:lang w:val="lt-LT" w:eastAsia="sl-SI"/>
        </w:rPr>
        <w:t xml:space="preserve">sveikų </w:t>
      </w:r>
      <w:r w:rsidR="00B256CA">
        <w:rPr>
          <w:szCs w:val="22"/>
          <w:lang w:val="lt-LT" w:eastAsia="sl-SI"/>
        </w:rPr>
        <w:t>as</w:t>
      </w:r>
      <w:r w:rsidRPr="00923E74">
        <w:rPr>
          <w:szCs w:val="22"/>
          <w:lang w:val="lt-LT" w:eastAsia="sl-SI"/>
        </w:rPr>
        <w:t>m</w:t>
      </w:r>
      <w:r w:rsidR="00B256CA">
        <w:rPr>
          <w:szCs w:val="22"/>
          <w:lang w:val="lt-LT" w:eastAsia="sl-SI"/>
        </w:rPr>
        <w:t>e</w:t>
      </w:r>
      <w:r w:rsidRPr="00923E74">
        <w:rPr>
          <w:szCs w:val="22"/>
          <w:lang w:val="lt-LT" w:eastAsia="sl-SI"/>
        </w:rPr>
        <w:t>nų gerai toleravo ne daugiau kaip 14 </w:t>
      </w:r>
      <w:r w:rsidR="00B256CA">
        <w:rPr>
          <w:szCs w:val="22"/>
          <w:lang w:val="lt-LT" w:eastAsia="sl-SI"/>
        </w:rPr>
        <w:t>par</w:t>
      </w:r>
      <w:r w:rsidRPr="00923E74">
        <w:rPr>
          <w:szCs w:val="22"/>
          <w:lang w:val="lt-LT" w:eastAsia="sl-SI"/>
        </w:rPr>
        <w:t>ų vartotą 50</w:t>
      </w:r>
      <w:r w:rsidR="00DB52C7" w:rsidRPr="00923E74">
        <w:rPr>
          <w:szCs w:val="22"/>
          <w:lang w:val="lt-LT" w:eastAsia="sl-SI"/>
        </w:rPr>
        <w:t> mg</w:t>
      </w:r>
      <w:r w:rsidRPr="00923E74">
        <w:rPr>
          <w:szCs w:val="22"/>
          <w:lang w:val="lt-LT" w:eastAsia="sl-SI"/>
        </w:rPr>
        <w:t xml:space="preserve"> </w:t>
      </w:r>
      <w:proofErr w:type="spellStart"/>
      <w:r w:rsidRPr="00923E74">
        <w:rPr>
          <w:szCs w:val="22"/>
          <w:lang w:val="lt-LT" w:eastAsia="sl-SI"/>
        </w:rPr>
        <w:t>ezetimibo</w:t>
      </w:r>
      <w:proofErr w:type="spellEnd"/>
      <w:r w:rsidRPr="00923E74">
        <w:rPr>
          <w:szCs w:val="22"/>
          <w:lang w:val="lt-LT" w:eastAsia="sl-SI"/>
        </w:rPr>
        <w:t xml:space="preserve"> paros dozę, 18</w:t>
      </w:r>
      <w:r w:rsidR="00B256CA">
        <w:rPr>
          <w:szCs w:val="22"/>
          <w:lang w:val="lt-LT" w:eastAsia="sl-SI"/>
        </w:rPr>
        <w:t xml:space="preserve"> </w:t>
      </w:r>
      <w:r w:rsidRPr="00923E74">
        <w:rPr>
          <w:szCs w:val="22"/>
          <w:lang w:val="lt-LT" w:eastAsia="sl-SI"/>
        </w:rPr>
        <w:t>pirmine</w:t>
      </w:r>
      <w:r w:rsidR="00B256CA">
        <w:rPr>
          <w:szCs w:val="22"/>
          <w:lang w:val="lt-LT" w:eastAsia="sl-SI"/>
        </w:rPr>
        <w:t> </w:t>
      </w:r>
      <w:proofErr w:type="spellStart"/>
      <w:r w:rsidRPr="00923E74">
        <w:rPr>
          <w:szCs w:val="22"/>
          <w:lang w:val="lt-LT" w:eastAsia="sl-SI"/>
        </w:rPr>
        <w:t>hipercholesterolemija</w:t>
      </w:r>
      <w:proofErr w:type="spellEnd"/>
      <w:r w:rsidRPr="00923E74">
        <w:rPr>
          <w:szCs w:val="22"/>
          <w:lang w:val="lt-LT" w:eastAsia="sl-SI"/>
        </w:rPr>
        <w:t xml:space="preserve"> sirgusių pacientų − ne ilgiau kaip 56 </w:t>
      </w:r>
      <w:r w:rsidR="00B256CA">
        <w:rPr>
          <w:szCs w:val="22"/>
          <w:lang w:val="lt-LT" w:eastAsia="sl-SI"/>
        </w:rPr>
        <w:t>par</w:t>
      </w:r>
      <w:r w:rsidRPr="00923E74">
        <w:rPr>
          <w:szCs w:val="22"/>
          <w:lang w:val="lt-LT" w:eastAsia="sl-SI"/>
        </w:rPr>
        <w:t>as vartotą 40</w:t>
      </w:r>
      <w:r w:rsidR="00DB52C7" w:rsidRPr="00923E74">
        <w:rPr>
          <w:szCs w:val="22"/>
          <w:lang w:val="lt-LT" w:eastAsia="sl-SI"/>
        </w:rPr>
        <w:t> mg</w:t>
      </w:r>
      <w:r w:rsidRPr="00923E74">
        <w:rPr>
          <w:szCs w:val="22"/>
          <w:lang w:val="lt-LT" w:eastAsia="sl-SI"/>
        </w:rPr>
        <w:t xml:space="preserve"> </w:t>
      </w:r>
      <w:proofErr w:type="spellStart"/>
      <w:r w:rsidRPr="00923E74">
        <w:rPr>
          <w:szCs w:val="22"/>
          <w:lang w:val="lt-LT" w:eastAsia="sl-SI"/>
        </w:rPr>
        <w:t>ezetimibo</w:t>
      </w:r>
      <w:proofErr w:type="spellEnd"/>
      <w:r w:rsidRPr="00923E74">
        <w:rPr>
          <w:szCs w:val="22"/>
          <w:lang w:val="lt-LT" w:eastAsia="sl-SI"/>
        </w:rPr>
        <w:t xml:space="preserve"> paros dozę. Gauta pranešimų apie kelis </w:t>
      </w:r>
      <w:proofErr w:type="spellStart"/>
      <w:r w:rsidRPr="00923E74">
        <w:rPr>
          <w:szCs w:val="22"/>
          <w:lang w:val="lt-LT" w:eastAsia="sl-SI"/>
        </w:rPr>
        <w:t>ezetimibo</w:t>
      </w:r>
      <w:proofErr w:type="spellEnd"/>
      <w:r w:rsidRPr="00923E74">
        <w:rPr>
          <w:szCs w:val="22"/>
          <w:lang w:val="lt-LT" w:eastAsia="sl-SI"/>
        </w:rPr>
        <w:t xml:space="preserve"> perdozavimo atvejus, dažniausiai nepageidaujamų reiškinių ne</w:t>
      </w:r>
      <w:r w:rsidR="00B256CA">
        <w:rPr>
          <w:szCs w:val="22"/>
          <w:lang w:val="lt-LT" w:eastAsia="sl-SI"/>
        </w:rPr>
        <w:t>p</w:t>
      </w:r>
      <w:r w:rsidRPr="00923E74">
        <w:rPr>
          <w:szCs w:val="22"/>
          <w:lang w:val="lt-LT" w:eastAsia="sl-SI"/>
        </w:rPr>
        <w:t>asir</w:t>
      </w:r>
      <w:r w:rsidR="00B256CA">
        <w:rPr>
          <w:szCs w:val="22"/>
          <w:lang w:val="lt-LT" w:eastAsia="sl-SI"/>
        </w:rPr>
        <w:t>eikš</w:t>
      </w:r>
      <w:r w:rsidRPr="00923E74">
        <w:rPr>
          <w:szCs w:val="22"/>
          <w:lang w:val="lt-LT" w:eastAsia="sl-SI"/>
        </w:rPr>
        <w:t>davo, o pasireiškę buvo nesunkūs. Toksinio poveikio žiurkėms bei pelėms nesukėlė vienkartinė sugirdyta 5</w:t>
      </w:r>
      <w:r w:rsidR="00B256CA">
        <w:rPr>
          <w:szCs w:val="22"/>
          <w:lang w:val="lt-LT" w:eastAsia="sl-SI"/>
        </w:rPr>
        <w:t> </w:t>
      </w:r>
      <w:r w:rsidRPr="00923E74">
        <w:rPr>
          <w:szCs w:val="22"/>
          <w:lang w:val="lt-LT" w:eastAsia="sl-SI"/>
        </w:rPr>
        <w:t>000</w:t>
      </w:r>
      <w:r w:rsidR="00DB52C7" w:rsidRPr="00923E74">
        <w:rPr>
          <w:szCs w:val="22"/>
          <w:lang w:val="lt-LT" w:eastAsia="sl-SI"/>
        </w:rPr>
        <w:t> mg</w:t>
      </w:r>
      <w:r w:rsidRPr="00923E74">
        <w:rPr>
          <w:szCs w:val="22"/>
          <w:lang w:val="lt-LT" w:eastAsia="sl-SI"/>
        </w:rPr>
        <w:t>/kg</w:t>
      </w:r>
      <w:r w:rsidR="00B256CA">
        <w:rPr>
          <w:szCs w:val="22"/>
          <w:lang w:val="lt-LT" w:eastAsia="sl-SI"/>
        </w:rPr>
        <w:t> </w:t>
      </w:r>
      <w:r w:rsidRPr="00923E74">
        <w:rPr>
          <w:szCs w:val="22"/>
          <w:lang w:val="lt-LT" w:eastAsia="sl-SI"/>
        </w:rPr>
        <w:t>kūno</w:t>
      </w:r>
      <w:r w:rsidR="00B256CA">
        <w:rPr>
          <w:szCs w:val="22"/>
          <w:lang w:val="lt-LT" w:eastAsia="sl-SI"/>
        </w:rPr>
        <w:t> </w:t>
      </w:r>
      <w:r w:rsidRPr="00923E74">
        <w:rPr>
          <w:szCs w:val="22"/>
          <w:lang w:val="lt-LT" w:eastAsia="sl-SI"/>
        </w:rPr>
        <w:t>svorio, o šunims – 3</w:t>
      </w:r>
      <w:r w:rsidR="00B256CA">
        <w:rPr>
          <w:szCs w:val="22"/>
          <w:lang w:val="lt-LT" w:eastAsia="sl-SI"/>
        </w:rPr>
        <w:t> </w:t>
      </w:r>
      <w:r w:rsidRPr="00923E74">
        <w:rPr>
          <w:szCs w:val="22"/>
          <w:lang w:val="lt-LT" w:eastAsia="sl-SI"/>
        </w:rPr>
        <w:t>000</w:t>
      </w:r>
      <w:r w:rsidR="00DB52C7" w:rsidRPr="00923E74">
        <w:rPr>
          <w:szCs w:val="22"/>
          <w:lang w:val="lt-LT" w:eastAsia="sl-SI"/>
        </w:rPr>
        <w:t> mg</w:t>
      </w:r>
      <w:r w:rsidRPr="00923E74">
        <w:rPr>
          <w:szCs w:val="22"/>
          <w:lang w:val="lt-LT" w:eastAsia="sl-SI"/>
        </w:rPr>
        <w:t>/kg</w:t>
      </w:r>
      <w:r w:rsidR="00B256CA">
        <w:rPr>
          <w:szCs w:val="22"/>
          <w:lang w:val="lt-LT" w:eastAsia="sl-SI"/>
        </w:rPr>
        <w:t> </w:t>
      </w:r>
      <w:r w:rsidRPr="00923E74">
        <w:rPr>
          <w:szCs w:val="22"/>
          <w:lang w:val="lt-LT" w:eastAsia="sl-SI"/>
        </w:rPr>
        <w:t>kūno</w:t>
      </w:r>
      <w:r w:rsidR="00B256CA">
        <w:rPr>
          <w:szCs w:val="22"/>
          <w:lang w:val="lt-LT" w:eastAsia="sl-SI"/>
        </w:rPr>
        <w:t> </w:t>
      </w:r>
      <w:r w:rsidRPr="00923E74">
        <w:rPr>
          <w:szCs w:val="22"/>
          <w:lang w:val="lt-LT" w:eastAsia="sl-SI"/>
        </w:rPr>
        <w:t xml:space="preserve">svorio </w:t>
      </w:r>
      <w:proofErr w:type="spellStart"/>
      <w:r w:rsidRPr="00923E74">
        <w:rPr>
          <w:szCs w:val="22"/>
          <w:lang w:val="lt-LT" w:eastAsia="sl-SI"/>
        </w:rPr>
        <w:t>ezetimibo</w:t>
      </w:r>
      <w:proofErr w:type="spellEnd"/>
      <w:r w:rsidRPr="00923E74">
        <w:rPr>
          <w:szCs w:val="22"/>
          <w:lang w:val="lt-LT" w:eastAsia="sl-SI"/>
        </w:rPr>
        <w:t xml:space="preserve"> dozė.</w:t>
      </w:r>
    </w:p>
    <w:p w14:paraId="1D5C3B2B" w14:textId="77777777" w:rsidR="00797B1A" w:rsidRPr="00923E74" w:rsidRDefault="00797B1A" w:rsidP="00797B1A">
      <w:pPr>
        <w:widowControl w:val="0"/>
        <w:spacing w:line="240" w:lineRule="auto"/>
        <w:rPr>
          <w:iCs/>
          <w:snapToGrid/>
          <w:szCs w:val="22"/>
          <w:lang w:val="lt-LT"/>
        </w:rPr>
      </w:pPr>
    </w:p>
    <w:p w14:paraId="750BB744" w14:textId="23285832" w:rsidR="00797B1A" w:rsidRPr="007E15ED" w:rsidRDefault="00797B1A" w:rsidP="007E15ED">
      <w:pPr>
        <w:keepNext/>
        <w:widowControl w:val="0"/>
        <w:spacing w:line="240" w:lineRule="auto"/>
        <w:rPr>
          <w:iCs/>
          <w:snapToGrid/>
          <w:szCs w:val="22"/>
          <w:u w:val="single"/>
          <w:lang w:val="lt-LT"/>
        </w:rPr>
      </w:pPr>
      <w:proofErr w:type="spellStart"/>
      <w:r w:rsidRPr="007E15ED">
        <w:rPr>
          <w:iCs/>
          <w:snapToGrid/>
          <w:szCs w:val="22"/>
          <w:u w:val="single"/>
          <w:lang w:val="lt-LT"/>
        </w:rPr>
        <w:t>Atorvastatinas</w:t>
      </w:r>
      <w:proofErr w:type="spellEnd"/>
    </w:p>
    <w:p w14:paraId="5D8298B9" w14:textId="5DCC29E7" w:rsidR="00381B7D" w:rsidRPr="00923E74" w:rsidRDefault="00797B1A" w:rsidP="00A31E3A">
      <w:pPr>
        <w:widowControl w:val="0"/>
        <w:tabs>
          <w:tab w:val="clear" w:pos="567"/>
        </w:tabs>
        <w:spacing w:line="240" w:lineRule="auto"/>
        <w:rPr>
          <w:iCs/>
          <w:snapToGrid/>
          <w:szCs w:val="22"/>
          <w:lang w:val="lt-LT"/>
        </w:rPr>
      </w:pPr>
      <w:r w:rsidRPr="00923E74">
        <w:rPr>
          <w:iCs/>
          <w:snapToGrid/>
          <w:szCs w:val="22"/>
          <w:lang w:val="lt-LT"/>
        </w:rPr>
        <w:t>D</w:t>
      </w:r>
      <w:r w:rsidR="00A54A8F">
        <w:rPr>
          <w:iCs/>
          <w:snapToGrid/>
          <w:szCs w:val="22"/>
          <w:lang w:val="lt-LT"/>
        </w:rPr>
        <w:t>idelė d</w:t>
      </w:r>
      <w:r w:rsidRPr="00923E74">
        <w:rPr>
          <w:iCs/>
          <w:snapToGrid/>
          <w:szCs w:val="22"/>
          <w:lang w:val="lt-LT"/>
        </w:rPr>
        <w:t>a</w:t>
      </w:r>
      <w:r w:rsidR="00A54A8F">
        <w:rPr>
          <w:iCs/>
          <w:snapToGrid/>
          <w:szCs w:val="22"/>
          <w:lang w:val="lt-LT"/>
        </w:rPr>
        <w:t>lis</w:t>
      </w:r>
      <w:r w:rsidRPr="00923E74">
        <w:rPr>
          <w:iCs/>
          <w:snapToGrid/>
          <w:szCs w:val="22"/>
          <w:lang w:val="lt-LT"/>
        </w:rPr>
        <w:t xml:space="preserve"> </w:t>
      </w:r>
      <w:proofErr w:type="spellStart"/>
      <w:r w:rsidRPr="00923E74">
        <w:rPr>
          <w:iCs/>
          <w:snapToGrid/>
          <w:szCs w:val="22"/>
          <w:lang w:val="lt-LT"/>
        </w:rPr>
        <w:t>atorvastatino</w:t>
      </w:r>
      <w:proofErr w:type="spellEnd"/>
      <w:r w:rsidRPr="00923E74">
        <w:rPr>
          <w:iCs/>
          <w:snapToGrid/>
          <w:szCs w:val="22"/>
          <w:lang w:val="lt-LT"/>
        </w:rPr>
        <w:t xml:space="preserve"> prisijungia prie kraujo plazmos baltymų, todėl nėra tikėtina, kad hemodializė reikšmingai padidintų </w:t>
      </w:r>
      <w:proofErr w:type="spellStart"/>
      <w:r w:rsidRPr="00923E74">
        <w:rPr>
          <w:iCs/>
          <w:snapToGrid/>
          <w:szCs w:val="22"/>
          <w:lang w:val="lt-LT"/>
        </w:rPr>
        <w:t>atorvastatino</w:t>
      </w:r>
      <w:proofErr w:type="spellEnd"/>
      <w:r w:rsidRPr="00923E74">
        <w:rPr>
          <w:iCs/>
          <w:snapToGrid/>
          <w:szCs w:val="22"/>
          <w:lang w:val="lt-LT"/>
        </w:rPr>
        <w:t xml:space="preserve"> klirensą.</w:t>
      </w:r>
    </w:p>
    <w:p w14:paraId="7629D622" w14:textId="77777777" w:rsidR="00797B1A" w:rsidRPr="00923E74" w:rsidRDefault="00797B1A" w:rsidP="00A31E3A">
      <w:pPr>
        <w:widowControl w:val="0"/>
        <w:tabs>
          <w:tab w:val="clear" w:pos="567"/>
        </w:tabs>
        <w:spacing w:line="240" w:lineRule="auto"/>
        <w:rPr>
          <w:szCs w:val="22"/>
          <w:lang w:val="lt-LT" w:eastAsia="sl-SI"/>
        </w:rPr>
      </w:pPr>
    </w:p>
    <w:p w14:paraId="3E08C9E4" w14:textId="77777777" w:rsidR="00381B7D" w:rsidRPr="00923E74" w:rsidRDefault="00381B7D" w:rsidP="00A31E3A">
      <w:pPr>
        <w:widowControl w:val="0"/>
        <w:tabs>
          <w:tab w:val="clear" w:pos="567"/>
        </w:tabs>
        <w:spacing w:line="240" w:lineRule="auto"/>
        <w:rPr>
          <w:snapToGrid/>
          <w:szCs w:val="22"/>
          <w:lang w:val="lt-LT" w:eastAsia="sl-SI"/>
        </w:rPr>
      </w:pPr>
    </w:p>
    <w:p w14:paraId="72360D43"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lastRenderedPageBreak/>
        <w:t>5.</w:t>
      </w:r>
      <w:r w:rsidRPr="00923E74">
        <w:rPr>
          <w:b/>
          <w:snapToGrid/>
          <w:szCs w:val="22"/>
          <w:lang w:val="lt-LT" w:eastAsia="sl-SI"/>
        </w:rPr>
        <w:tab/>
        <w:t>FARMAKOLOGINĖS SAVYBĖS</w:t>
      </w:r>
    </w:p>
    <w:p w14:paraId="1EA7B096"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p>
    <w:p w14:paraId="222E3E0A"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5.1</w:t>
      </w:r>
      <w:r w:rsidRPr="00923E74">
        <w:rPr>
          <w:b/>
          <w:snapToGrid/>
          <w:szCs w:val="22"/>
          <w:lang w:val="lt-LT" w:eastAsia="sl-SI"/>
        </w:rPr>
        <w:tab/>
      </w:r>
      <w:proofErr w:type="spellStart"/>
      <w:r w:rsidRPr="00923E74">
        <w:rPr>
          <w:b/>
          <w:snapToGrid/>
          <w:szCs w:val="22"/>
          <w:lang w:val="lt-LT" w:eastAsia="sl-SI"/>
        </w:rPr>
        <w:t>Farmakodinaminės</w:t>
      </w:r>
      <w:proofErr w:type="spellEnd"/>
      <w:r w:rsidRPr="00923E74">
        <w:rPr>
          <w:b/>
          <w:snapToGrid/>
          <w:szCs w:val="22"/>
          <w:lang w:val="lt-LT" w:eastAsia="sl-SI"/>
        </w:rPr>
        <w:t xml:space="preserve"> savybės</w:t>
      </w:r>
    </w:p>
    <w:p w14:paraId="630ECD6A" w14:textId="77777777" w:rsidR="00381B7D" w:rsidRPr="00923E74" w:rsidRDefault="00381B7D" w:rsidP="007E15ED">
      <w:pPr>
        <w:keepNext/>
        <w:widowControl w:val="0"/>
        <w:tabs>
          <w:tab w:val="clear" w:pos="567"/>
        </w:tabs>
        <w:spacing w:line="240" w:lineRule="auto"/>
        <w:rPr>
          <w:snapToGrid/>
          <w:szCs w:val="22"/>
          <w:lang w:val="lt-LT" w:eastAsia="sl-SI"/>
        </w:rPr>
      </w:pPr>
    </w:p>
    <w:p w14:paraId="49EB35CC" w14:textId="4F2D93D9" w:rsidR="00381B7D" w:rsidRPr="00923E74" w:rsidRDefault="00381B7D" w:rsidP="007425C0">
      <w:pPr>
        <w:widowControl w:val="0"/>
        <w:tabs>
          <w:tab w:val="clear" w:pos="567"/>
        </w:tabs>
        <w:spacing w:line="240" w:lineRule="auto"/>
        <w:rPr>
          <w:snapToGrid/>
          <w:szCs w:val="22"/>
          <w:lang w:val="lt-LT" w:eastAsia="sl-SI"/>
        </w:rPr>
      </w:pPr>
      <w:proofErr w:type="spellStart"/>
      <w:r w:rsidRPr="00923E74">
        <w:rPr>
          <w:snapToGrid/>
          <w:szCs w:val="22"/>
          <w:lang w:val="lt-LT" w:eastAsia="sl-SI"/>
        </w:rPr>
        <w:t>Farmakoterapinė</w:t>
      </w:r>
      <w:proofErr w:type="spellEnd"/>
      <w:r w:rsidRPr="00923E74">
        <w:rPr>
          <w:snapToGrid/>
          <w:szCs w:val="22"/>
          <w:lang w:val="lt-LT" w:eastAsia="sl-SI"/>
        </w:rPr>
        <w:t xml:space="preserve"> grupė − lipidų k</w:t>
      </w:r>
      <w:r w:rsidR="00B256CA">
        <w:rPr>
          <w:snapToGrid/>
          <w:szCs w:val="22"/>
          <w:lang w:val="lt-LT" w:eastAsia="sl-SI"/>
        </w:rPr>
        <w:t>oncentrac</w:t>
      </w:r>
      <w:r w:rsidRPr="00923E74">
        <w:rPr>
          <w:snapToGrid/>
          <w:szCs w:val="22"/>
          <w:lang w:val="lt-LT" w:eastAsia="sl-SI"/>
        </w:rPr>
        <w:t>i</w:t>
      </w:r>
      <w:r w:rsidR="00B256CA">
        <w:rPr>
          <w:snapToGrid/>
          <w:szCs w:val="22"/>
          <w:lang w:val="lt-LT" w:eastAsia="sl-SI"/>
        </w:rPr>
        <w:t>ją</w:t>
      </w:r>
      <w:r w:rsidRPr="00923E74">
        <w:rPr>
          <w:snapToGrid/>
          <w:szCs w:val="22"/>
          <w:lang w:val="lt-LT" w:eastAsia="sl-SI"/>
        </w:rPr>
        <w:t xml:space="preserve"> modifikuojantys vaistiniai preparatai, HMG</w:t>
      </w:r>
      <w:r w:rsidR="00B256CA">
        <w:rPr>
          <w:snapToGrid/>
          <w:szCs w:val="22"/>
          <w:lang w:val="lt-LT" w:eastAsia="sl-SI"/>
        </w:rPr>
        <w:noBreakHyphen/>
      </w:r>
      <w:proofErr w:type="spellStart"/>
      <w:r w:rsidRPr="00923E74">
        <w:rPr>
          <w:snapToGrid/>
          <w:szCs w:val="22"/>
          <w:lang w:val="lt-LT" w:eastAsia="sl-SI"/>
        </w:rPr>
        <w:t>KoA</w:t>
      </w:r>
      <w:proofErr w:type="spellEnd"/>
      <w:r w:rsidR="00B256CA">
        <w:rPr>
          <w:snapToGrid/>
          <w:szCs w:val="22"/>
          <w:lang w:val="lt-LT" w:eastAsia="sl-SI"/>
        </w:rPr>
        <w:t> </w:t>
      </w:r>
      <w:r w:rsidRPr="00923E74">
        <w:rPr>
          <w:snapToGrid/>
          <w:szCs w:val="22"/>
          <w:lang w:val="lt-LT" w:eastAsia="sl-SI"/>
        </w:rPr>
        <w:t xml:space="preserve">reduktazės inhibitoriai </w:t>
      </w:r>
      <w:r w:rsidR="00DA4C12" w:rsidRPr="00923E74">
        <w:rPr>
          <w:snapToGrid/>
          <w:szCs w:val="22"/>
          <w:lang w:val="lt-LT" w:eastAsia="sl-SI"/>
        </w:rPr>
        <w:t>kartu</w:t>
      </w:r>
      <w:r w:rsidRPr="00923E74">
        <w:rPr>
          <w:snapToGrid/>
          <w:szCs w:val="22"/>
          <w:lang w:val="lt-LT" w:eastAsia="sl-SI"/>
        </w:rPr>
        <w:t xml:space="preserve"> su kitais lipidų k</w:t>
      </w:r>
      <w:r w:rsidR="00B256CA">
        <w:rPr>
          <w:snapToGrid/>
          <w:szCs w:val="22"/>
          <w:lang w:val="lt-LT" w:eastAsia="sl-SI"/>
        </w:rPr>
        <w:t>oncentrac</w:t>
      </w:r>
      <w:r w:rsidRPr="00923E74">
        <w:rPr>
          <w:snapToGrid/>
          <w:szCs w:val="22"/>
          <w:lang w:val="lt-LT" w:eastAsia="sl-SI"/>
        </w:rPr>
        <w:t>i</w:t>
      </w:r>
      <w:r w:rsidR="00B256CA">
        <w:rPr>
          <w:snapToGrid/>
          <w:szCs w:val="22"/>
          <w:lang w:val="lt-LT" w:eastAsia="sl-SI"/>
        </w:rPr>
        <w:t>ją</w:t>
      </w:r>
      <w:r w:rsidRPr="00923E74">
        <w:rPr>
          <w:snapToGrid/>
          <w:szCs w:val="22"/>
          <w:lang w:val="lt-LT" w:eastAsia="sl-SI"/>
        </w:rPr>
        <w:t xml:space="preserve"> modifikuojančiais vaistiniais preparatais, ATC</w:t>
      </w:r>
      <w:r w:rsidR="00B256CA">
        <w:rPr>
          <w:snapToGrid/>
          <w:szCs w:val="22"/>
          <w:lang w:val="lt-LT" w:eastAsia="sl-SI"/>
        </w:rPr>
        <w:t> </w:t>
      </w:r>
      <w:r w:rsidRPr="00923E74">
        <w:rPr>
          <w:snapToGrid/>
          <w:szCs w:val="22"/>
          <w:lang w:val="lt-LT" w:eastAsia="sl-SI"/>
        </w:rPr>
        <w:t xml:space="preserve">kodas – </w:t>
      </w:r>
      <w:r w:rsidRPr="00923E74">
        <w:rPr>
          <w:color w:val="000000"/>
          <w:szCs w:val="22"/>
          <w:lang w:val="lt-LT"/>
        </w:rPr>
        <w:t>C10BA0</w:t>
      </w:r>
      <w:r w:rsidR="00F51632" w:rsidRPr="00923E74">
        <w:rPr>
          <w:color w:val="000000"/>
          <w:szCs w:val="22"/>
          <w:lang w:val="lt-LT"/>
        </w:rPr>
        <w:t>5</w:t>
      </w:r>
      <w:r w:rsidRPr="00923E74">
        <w:rPr>
          <w:snapToGrid/>
          <w:szCs w:val="22"/>
          <w:lang w:val="lt-LT" w:eastAsia="sl-SI"/>
        </w:rPr>
        <w:t>.</w:t>
      </w:r>
    </w:p>
    <w:p w14:paraId="5F7BA83A" w14:textId="77777777" w:rsidR="00381B7D" w:rsidRPr="00923E74" w:rsidRDefault="00381B7D" w:rsidP="007425C0">
      <w:pPr>
        <w:widowControl w:val="0"/>
        <w:tabs>
          <w:tab w:val="clear" w:pos="567"/>
        </w:tabs>
        <w:spacing w:line="240" w:lineRule="auto"/>
        <w:rPr>
          <w:snapToGrid/>
          <w:szCs w:val="22"/>
          <w:lang w:val="lt-LT" w:eastAsia="sl-SI"/>
        </w:rPr>
      </w:pPr>
    </w:p>
    <w:p w14:paraId="25F1A019" w14:textId="77777777" w:rsidR="00EA547D" w:rsidRPr="00923E74" w:rsidRDefault="00F51632" w:rsidP="007E15ED">
      <w:pPr>
        <w:keepNext/>
        <w:tabs>
          <w:tab w:val="clear" w:pos="567"/>
        </w:tabs>
        <w:autoSpaceDE w:val="0"/>
        <w:autoSpaceDN w:val="0"/>
        <w:adjustRightInd w:val="0"/>
        <w:spacing w:line="240" w:lineRule="auto"/>
        <w:rPr>
          <w:snapToGrid/>
          <w:szCs w:val="22"/>
          <w:u w:val="single"/>
          <w:lang w:val="lt-LT"/>
        </w:rPr>
      </w:pPr>
      <w:r w:rsidRPr="00923E74">
        <w:rPr>
          <w:snapToGrid/>
          <w:szCs w:val="22"/>
          <w:u w:val="single"/>
          <w:lang w:val="lt-LT"/>
        </w:rPr>
        <w:t>Veikimo mechanizmas</w:t>
      </w:r>
    </w:p>
    <w:p w14:paraId="4197AF8E" w14:textId="6394993B" w:rsidR="00EA547D" w:rsidRPr="00923E74" w:rsidRDefault="007425C0" w:rsidP="007425C0">
      <w:pPr>
        <w:tabs>
          <w:tab w:val="clear" w:pos="567"/>
        </w:tabs>
        <w:autoSpaceDE w:val="0"/>
        <w:autoSpaceDN w:val="0"/>
        <w:adjustRightInd w:val="0"/>
        <w:spacing w:line="240" w:lineRule="auto"/>
        <w:rPr>
          <w:snapToGrid/>
          <w:szCs w:val="22"/>
          <w:lang w:val="lt-LT"/>
        </w:rPr>
      </w:pPr>
      <w:r w:rsidRPr="00923E74">
        <w:rPr>
          <w:snapToGrid/>
          <w:szCs w:val="22"/>
          <w:lang w:val="lt-LT"/>
        </w:rPr>
        <w:t>Didel</w:t>
      </w:r>
      <w:r w:rsidR="00B256CA">
        <w:rPr>
          <w:snapToGrid/>
          <w:szCs w:val="22"/>
          <w:lang w:val="lt-LT"/>
        </w:rPr>
        <w:t>ę</w:t>
      </w:r>
      <w:r w:rsidRPr="00923E74">
        <w:rPr>
          <w:snapToGrid/>
          <w:szCs w:val="22"/>
          <w:lang w:val="lt-LT"/>
        </w:rPr>
        <w:t xml:space="preserve"> cholesterolio k</w:t>
      </w:r>
      <w:r w:rsidR="00B256CA">
        <w:rPr>
          <w:snapToGrid/>
          <w:szCs w:val="22"/>
          <w:lang w:val="lt-LT"/>
        </w:rPr>
        <w:t>oncentrac</w:t>
      </w:r>
      <w:r w:rsidRPr="00923E74">
        <w:rPr>
          <w:snapToGrid/>
          <w:szCs w:val="22"/>
          <w:lang w:val="lt-LT"/>
        </w:rPr>
        <w:t>i</w:t>
      </w:r>
      <w:r w:rsidR="00B256CA">
        <w:rPr>
          <w:snapToGrid/>
          <w:szCs w:val="22"/>
          <w:lang w:val="lt-LT"/>
        </w:rPr>
        <w:t>ją</w:t>
      </w:r>
      <w:r w:rsidRPr="00923E74">
        <w:rPr>
          <w:snapToGrid/>
          <w:szCs w:val="22"/>
          <w:lang w:val="lt-LT"/>
        </w:rPr>
        <w:t xml:space="preserve"> kraujyje lemia absorbcija žarnyne ir endogeninė cholesterolio </w:t>
      </w:r>
      <w:proofErr w:type="spellStart"/>
      <w:r w:rsidRPr="00923E74">
        <w:rPr>
          <w:snapToGrid/>
          <w:szCs w:val="22"/>
          <w:lang w:val="lt-LT"/>
        </w:rPr>
        <w:t>biosintezė</w:t>
      </w:r>
      <w:proofErr w:type="spellEnd"/>
      <w:r w:rsidR="00EA547D" w:rsidRPr="00923E74">
        <w:rPr>
          <w:snapToGrid/>
          <w:szCs w:val="22"/>
          <w:lang w:val="lt-LT"/>
        </w:rPr>
        <w:t xml:space="preserve">. </w:t>
      </w:r>
      <w:proofErr w:type="spellStart"/>
      <w:r w:rsidRPr="00923E74">
        <w:rPr>
          <w:snapToGrid/>
          <w:szCs w:val="22"/>
          <w:lang w:val="lt-LT"/>
        </w:rPr>
        <w:t>Torzelip</w:t>
      </w:r>
      <w:proofErr w:type="spellEnd"/>
      <w:r w:rsidR="00EA547D" w:rsidRPr="00923E74">
        <w:rPr>
          <w:snapToGrid/>
          <w:szCs w:val="22"/>
          <w:lang w:val="lt-LT"/>
        </w:rPr>
        <w:t xml:space="preserve"> </w:t>
      </w:r>
      <w:r w:rsidRPr="00923E74">
        <w:rPr>
          <w:snapToGrid/>
          <w:szCs w:val="22"/>
          <w:lang w:val="lt-LT"/>
        </w:rPr>
        <w:t>sudėtyje yra</w:t>
      </w:r>
      <w:r w:rsidR="00EA547D" w:rsidRPr="00923E74">
        <w:rPr>
          <w:snapToGrid/>
          <w:szCs w:val="22"/>
          <w:lang w:val="lt-LT"/>
        </w:rPr>
        <w:t xml:space="preserve"> </w:t>
      </w:r>
      <w:proofErr w:type="spellStart"/>
      <w:r w:rsidR="00EA547D" w:rsidRPr="00923E74">
        <w:rPr>
          <w:snapToGrid/>
          <w:szCs w:val="22"/>
          <w:lang w:val="lt-LT"/>
        </w:rPr>
        <w:t>ezetimib</w:t>
      </w:r>
      <w:r w:rsidRPr="00923E74">
        <w:rPr>
          <w:snapToGrid/>
          <w:szCs w:val="22"/>
          <w:lang w:val="lt-LT"/>
        </w:rPr>
        <w:t>o</w:t>
      </w:r>
      <w:proofErr w:type="spellEnd"/>
      <w:r w:rsidRPr="00923E74">
        <w:rPr>
          <w:snapToGrid/>
          <w:szCs w:val="22"/>
          <w:lang w:val="lt-LT"/>
        </w:rPr>
        <w:t xml:space="preserve"> ir</w:t>
      </w:r>
      <w:r w:rsidR="00EA547D" w:rsidRPr="00923E74">
        <w:rPr>
          <w:snapToGrid/>
          <w:szCs w:val="22"/>
          <w:lang w:val="lt-LT"/>
        </w:rPr>
        <w:t xml:space="preserve"> </w:t>
      </w:r>
      <w:proofErr w:type="spellStart"/>
      <w:r w:rsidR="00EA547D" w:rsidRPr="00923E74">
        <w:rPr>
          <w:snapToGrid/>
          <w:szCs w:val="22"/>
          <w:lang w:val="lt-LT"/>
        </w:rPr>
        <w:t>atorvastatin</w:t>
      </w:r>
      <w:r w:rsidRPr="00923E74">
        <w:rPr>
          <w:snapToGrid/>
          <w:szCs w:val="22"/>
          <w:lang w:val="lt-LT"/>
        </w:rPr>
        <w:t>o</w:t>
      </w:r>
      <w:proofErr w:type="spellEnd"/>
      <w:r w:rsidRPr="00923E74">
        <w:rPr>
          <w:snapToGrid/>
          <w:szCs w:val="22"/>
          <w:lang w:val="lt-LT"/>
        </w:rPr>
        <w:t xml:space="preserve"> – dviejų lipidų k</w:t>
      </w:r>
      <w:r w:rsidR="00B256CA">
        <w:rPr>
          <w:snapToGrid/>
          <w:szCs w:val="22"/>
          <w:lang w:val="lt-LT"/>
        </w:rPr>
        <w:t>oncentrac</w:t>
      </w:r>
      <w:r w:rsidRPr="00923E74">
        <w:rPr>
          <w:snapToGrid/>
          <w:szCs w:val="22"/>
          <w:lang w:val="lt-LT"/>
        </w:rPr>
        <w:t>i</w:t>
      </w:r>
      <w:r w:rsidR="00B256CA">
        <w:rPr>
          <w:snapToGrid/>
          <w:szCs w:val="22"/>
          <w:lang w:val="lt-LT"/>
        </w:rPr>
        <w:t>ją</w:t>
      </w:r>
      <w:r w:rsidRPr="00923E74">
        <w:rPr>
          <w:snapToGrid/>
          <w:szCs w:val="22"/>
          <w:lang w:val="lt-LT"/>
        </w:rPr>
        <w:t xml:space="preserve"> kraujyje mažinančių medžiagų, kurių veikimo mechanizmai vienas kitą papildo</w:t>
      </w:r>
      <w:r w:rsidR="00EA547D" w:rsidRPr="00923E74">
        <w:rPr>
          <w:snapToGrid/>
          <w:szCs w:val="22"/>
          <w:lang w:val="lt-LT"/>
        </w:rPr>
        <w:t>.</w:t>
      </w:r>
    </w:p>
    <w:p w14:paraId="7336B792" w14:textId="77777777" w:rsidR="00EA547D" w:rsidRPr="00923E74" w:rsidRDefault="00EA547D" w:rsidP="007425C0">
      <w:pPr>
        <w:tabs>
          <w:tab w:val="clear" w:pos="567"/>
        </w:tabs>
        <w:autoSpaceDE w:val="0"/>
        <w:autoSpaceDN w:val="0"/>
        <w:adjustRightInd w:val="0"/>
        <w:spacing w:line="240" w:lineRule="auto"/>
        <w:rPr>
          <w:i/>
          <w:snapToGrid/>
          <w:szCs w:val="22"/>
          <w:highlight w:val="yellow"/>
          <w:lang w:val="lt-LT"/>
        </w:rPr>
      </w:pPr>
    </w:p>
    <w:p w14:paraId="152D45D7" w14:textId="77777777" w:rsidR="00EA547D" w:rsidRPr="00923E74" w:rsidRDefault="00EA547D" w:rsidP="007E15ED">
      <w:pPr>
        <w:keepNext/>
        <w:tabs>
          <w:tab w:val="clear" w:pos="567"/>
        </w:tabs>
        <w:autoSpaceDE w:val="0"/>
        <w:autoSpaceDN w:val="0"/>
        <w:adjustRightInd w:val="0"/>
        <w:spacing w:line="240" w:lineRule="auto"/>
        <w:rPr>
          <w:i/>
          <w:snapToGrid/>
          <w:szCs w:val="22"/>
          <w:lang w:val="lt-LT"/>
        </w:rPr>
      </w:pPr>
      <w:proofErr w:type="spellStart"/>
      <w:r w:rsidRPr="00923E74">
        <w:rPr>
          <w:i/>
          <w:snapToGrid/>
          <w:szCs w:val="22"/>
          <w:lang w:val="lt-LT"/>
        </w:rPr>
        <w:t>Ezetimib</w:t>
      </w:r>
      <w:r w:rsidR="00F51632" w:rsidRPr="00923E74">
        <w:rPr>
          <w:i/>
          <w:snapToGrid/>
          <w:szCs w:val="22"/>
          <w:lang w:val="lt-LT"/>
        </w:rPr>
        <w:t>as</w:t>
      </w:r>
      <w:proofErr w:type="spellEnd"/>
    </w:p>
    <w:p w14:paraId="04DD0EDE" w14:textId="23491EF4" w:rsidR="00EA547D" w:rsidRPr="00923E74" w:rsidRDefault="00C764D6" w:rsidP="007425C0">
      <w:pPr>
        <w:tabs>
          <w:tab w:val="clear" w:pos="567"/>
        </w:tabs>
        <w:autoSpaceDE w:val="0"/>
        <w:autoSpaceDN w:val="0"/>
        <w:adjustRightInd w:val="0"/>
        <w:spacing w:line="240" w:lineRule="auto"/>
        <w:rPr>
          <w:snapToGrid/>
          <w:szCs w:val="22"/>
          <w:lang w:val="lt-LT"/>
        </w:rPr>
      </w:pPr>
      <w:r w:rsidRPr="00923E74">
        <w:rPr>
          <w:szCs w:val="22"/>
          <w:lang w:val="lt-LT" w:eastAsia="sl-SI"/>
        </w:rPr>
        <w:t xml:space="preserve">Molekulinis </w:t>
      </w:r>
      <w:proofErr w:type="spellStart"/>
      <w:r w:rsidRPr="00923E74">
        <w:rPr>
          <w:szCs w:val="22"/>
          <w:lang w:val="lt-LT" w:eastAsia="sl-SI"/>
        </w:rPr>
        <w:t>ezetimibo</w:t>
      </w:r>
      <w:proofErr w:type="spellEnd"/>
      <w:r w:rsidRPr="00923E74">
        <w:rPr>
          <w:szCs w:val="22"/>
          <w:lang w:val="lt-LT" w:eastAsia="sl-SI"/>
        </w:rPr>
        <w:t xml:space="preserve"> taikinys yra </w:t>
      </w:r>
      <w:proofErr w:type="spellStart"/>
      <w:r w:rsidRPr="00923E74">
        <w:rPr>
          <w:szCs w:val="22"/>
          <w:lang w:val="lt-LT" w:eastAsia="sl-SI"/>
        </w:rPr>
        <w:t>sterolių</w:t>
      </w:r>
      <w:proofErr w:type="spellEnd"/>
      <w:r w:rsidRPr="00923E74">
        <w:rPr>
          <w:szCs w:val="22"/>
          <w:lang w:val="lt-LT" w:eastAsia="sl-SI"/>
        </w:rPr>
        <w:t xml:space="preserve"> </w:t>
      </w:r>
      <w:proofErr w:type="spellStart"/>
      <w:r w:rsidRPr="00923E74">
        <w:rPr>
          <w:szCs w:val="22"/>
          <w:lang w:val="lt-LT" w:eastAsia="sl-SI"/>
        </w:rPr>
        <w:t>pernešiklis</w:t>
      </w:r>
      <w:proofErr w:type="spellEnd"/>
      <w:r w:rsidR="006073A8">
        <w:rPr>
          <w:szCs w:val="22"/>
          <w:lang w:val="lt-LT" w:eastAsia="sl-SI"/>
        </w:rPr>
        <w:t xml:space="preserve"> </w:t>
      </w:r>
      <w:proofErr w:type="spellStart"/>
      <w:r w:rsidR="006073A8">
        <w:rPr>
          <w:szCs w:val="22"/>
          <w:lang w:val="lt-LT" w:eastAsia="sl-SI"/>
        </w:rPr>
        <w:t>Nimano</w:t>
      </w:r>
      <w:proofErr w:type="spellEnd"/>
      <w:r w:rsidR="006073A8">
        <w:rPr>
          <w:szCs w:val="22"/>
          <w:lang w:val="lt-LT" w:eastAsia="sl-SI"/>
        </w:rPr>
        <w:noBreakHyphen/>
        <w:t>Piko į C1 panašus baltymas 1</w:t>
      </w:r>
      <w:r w:rsidRPr="00923E74">
        <w:rPr>
          <w:szCs w:val="22"/>
          <w:lang w:val="lt-LT" w:eastAsia="sl-SI"/>
        </w:rPr>
        <w:t xml:space="preserve"> </w:t>
      </w:r>
      <w:r w:rsidR="006073A8">
        <w:rPr>
          <w:szCs w:val="22"/>
          <w:lang w:val="lt-LT" w:eastAsia="sl-SI"/>
        </w:rPr>
        <w:t xml:space="preserve">(angl. </w:t>
      </w:r>
      <w:proofErr w:type="spellStart"/>
      <w:r w:rsidRPr="00923E74">
        <w:rPr>
          <w:i/>
          <w:szCs w:val="22"/>
          <w:lang w:val="lt-LT" w:eastAsia="sl-SI"/>
        </w:rPr>
        <w:t>Niemann</w:t>
      </w:r>
      <w:r w:rsidR="006073A8">
        <w:rPr>
          <w:i/>
          <w:szCs w:val="22"/>
          <w:lang w:val="lt-LT" w:eastAsia="sl-SI"/>
        </w:rPr>
        <w:noBreakHyphen/>
      </w:r>
      <w:r w:rsidRPr="00923E74">
        <w:rPr>
          <w:i/>
          <w:szCs w:val="22"/>
          <w:lang w:val="lt-LT" w:eastAsia="sl-SI"/>
        </w:rPr>
        <w:t>Pick</w:t>
      </w:r>
      <w:proofErr w:type="spellEnd"/>
      <w:r w:rsidRPr="00923E74">
        <w:rPr>
          <w:i/>
          <w:szCs w:val="22"/>
          <w:lang w:val="lt-LT" w:eastAsia="sl-SI"/>
        </w:rPr>
        <w:t xml:space="preserve"> C1</w:t>
      </w:r>
      <w:r w:rsidR="006073A8">
        <w:rPr>
          <w:i/>
          <w:szCs w:val="22"/>
          <w:lang w:val="lt-LT" w:eastAsia="sl-SI"/>
        </w:rPr>
        <w:t> </w:t>
      </w:r>
      <w:proofErr w:type="spellStart"/>
      <w:r w:rsidRPr="00923E74">
        <w:rPr>
          <w:i/>
          <w:szCs w:val="22"/>
          <w:lang w:val="lt-LT" w:eastAsia="sl-SI"/>
        </w:rPr>
        <w:t>Like</w:t>
      </w:r>
      <w:proofErr w:type="spellEnd"/>
      <w:r w:rsidR="006073A8">
        <w:rPr>
          <w:i/>
          <w:szCs w:val="22"/>
          <w:lang w:val="lt-LT" w:eastAsia="sl-SI"/>
        </w:rPr>
        <w:t> </w:t>
      </w:r>
      <w:r w:rsidRPr="00923E74">
        <w:rPr>
          <w:i/>
          <w:szCs w:val="22"/>
          <w:lang w:val="lt-LT" w:eastAsia="sl-SI"/>
        </w:rPr>
        <w:t>1</w:t>
      </w:r>
      <w:r w:rsidRPr="00923E74">
        <w:rPr>
          <w:szCs w:val="22"/>
          <w:lang w:val="lt-LT" w:eastAsia="sl-SI"/>
        </w:rPr>
        <w:t xml:space="preserve"> </w:t>
      </w:r>
      <w:r w:rsidR="006073A8">
        <w:rPr>
          <w:szCs w:val="22"/>
          <w:lang w:val="lt-LT" w:eastAsia="sl-SI"/>
        </w:rPr>
        <w:t xml:space="preserve">– </w:t>
      </w:r>
      <w:r w:rsidRPr="007E15ED">
        <w:rPr>
          <w:i/>
          <w:szCs w:val="22"/>
          <w:lang w:val="lt-LT" w:eastAsia="sl-SI"/>
        </w:rPr>
        <w:t>NPC1L1</w:t>
      </w:r>
      <w:r w:rsidRPr="00923E74">
        <w:rPr>
          <w:szCs w:val="22"/>
          <w:lang w:val="lt-LT" w:eastAsia="sl-SI"/>
        </w:rPr>
        <w:t xml:space="preserve">), kuris lemia cholesterolio ir </w:t>
      </w:r>
      <w:proofErr w:type="spellStart"/>
      <w:r w:rsidRPr="00923E74">
        <w:rPr>
          <w:szCs w:val="22"/>
          <w:lang w:val="lt-LT" w:eastAsia="sl-SI"/>
        </w:rPr>
        <w:t>fitosterolių</w:t>
      </w:r>
      <w:proofErr w:type="spellEnd"/>
      <w:r w:rsidRPr="00923E74">
        <w:rPr>
          <w:szCs w:val="22"/>
          <w:lang w:val="lt-LT" w:eastAsia="sl-SI"/>
        </w:rPr>
        <w:t xml:space="preserve"> absorbciją žarnyne. </w:t>
      </w:r>
      <w:proofErr w:type="spellStart"/>
      <w:r w:rsidR="00EA547D" w:rsidRPr="00923E74">
        <w:rPr>
          <w:snapToGrid/>
          <w:szCs w:val="22"/>
          <w:lang w:val="lt-LT"/>
        </w:rPr>
        <w:t>Ezetimib</w:t>
      </w:r>
      <w:r w:rsidRPr="00923E74">
        <w:rPr>
          <w:snapToGrid/>
          <w:szCs w:val="22"/>
          <w:lang w:val="lt-LT"/>
        </w:rPr>
        <w:t>as</w:t>
      </w:r>
      <w:proofErr w:type="spellEnd"/>
      <w:r w:rsidRPr="00923E74">
        <w:rPr>
          <w:snapToGrid/>
          <w:szCs w:val="22"/>
          <w:lang w:val="lt-LT"/>
        </w:rPr>
        <w:t xml:space="preserve"> slopina cholesterolio absorbciją žarnyne plonosios žarnos </w:t>
      </w:r>
      <w:proofErr w:type="spellStart"/>
      <w:r w:rsidRPr="00923E74">
        <w:rPr>
          <w:snapToGrid/>
          <w:szCs w:val="22"/>
          <w:lang w:val="lt-LT"/>
        </w:rPr>
        <w:t>gaureli</w:t>
      </w:r>
      <w:r w:rsidR="00A54A8F">
        <w:rPr>
          <w:snapToGrid/>
          <w:szCs w:val="22"/>
          <w:lang w:val="lt-LT"/>
        </w:rPr>
        <w:t>uose</w:t>
      </w:r>
      <w:proofErr w:type="spellEnd"/>
      <w:r w:rsidRPr="00923E74">
        <w:rPr>
          <w:snapToGrid/>
          <w:szCs w:val="22"/>
          <w:lang w:val="lt-LT"/>
        </w:rPr>
        <w:t>, todėl į kepenis patenka mažiau cholesterolio iš žarnyno</w:t>
      </w:r>
      <w:r w:rsidR="00EA547D" w:rsidRPr="00923E74">
        <w:rPr>
          <w:snapToGrid/>
          <w:szCs w:val="22"/>
          <w:lang w:val="lt-LT"/>
        </w:rPr>
        <w:t>.</w:t>
      </w:r>
    </w:p>
    <w:p w14:paraId="2F90123F" w14:textId="77777777" w:rsidR="00EA547D" w:rsidRPr="00923E74" w:rsidRDefault="00E55DB9" w:rsidP="007425C0">
      <w:pPr>
        <w:tabs>
          <w:tab w:val="clear" w:pos="567"/>
        </w:tabs>
        <w:autoSpaceDE w:val="0"/>
        <w:autoSpaceDN w:val="0"/>
        <w:adjustRightInd w:val="0"/>
        <w:spacing w:line="240" w:lineRule="auto"/>
        <w:rPr>
          <w:snapToGrid/>
          <w:szCs w:val="22"/>
          <w:lang w:val="lt-LT"/>
        </w:rPr>
      </w:pPr>
      <w:r w:rsidRPr="00923E74">
        <w:rPr>
          <w:snapToGrid/>
          <w:szCs w:val="22"/>
          <w:lang w:val="lt-LT"/>
        </w:rPr>
        <w:t xml:space="preserve">Nustatyta, kad pacientams, kuriems yra lengva ar vidutinio sunkumo </w:t>
      </w:r>
      <w:proofErr w:type="spellStart"/>
      <w:r w:rsidRPr="00923E74">
        <w:rPr>
          <w:snapToGrid/>
          <w:szCs w:val="22"/>
          <w:lang w:val="lt-LT"/>
        </w:rPr>
        <w:t>hipercholesterolemija</w:t>
      </w:r>
      <w:proofErr w:type="spellEnd"/>
      <w:r w:rsidRPr="00923E74">
        <w:rPr>
          <w:snapToGrid/>
          <w:szCs w:val="22"/>
          <w:lang w:val="lt-LT"/>
        </w:rPr>
        <w:t xml:space="preserve">, </w:t>
      </w:r>
      <w:proofErr w:type="spellStart"/>
      <w:r w:rsidRPr="00923E74">
        <w:rPr>
          <w:snapToGrid/>
          <w:szCs w:val="22"/>
          <w:lang w:val="lt-LT"/>
        </w:rPr>
        <w:t>e</w:t>
      </w:r>
      <w:r w:rsidR="00EA547D" w:rsidRPr="00923E74">
        <w:rPr>
          <w:snapToGrid/>
          <w:szCs w:val="22"/>
          <w:lang w:val="lt-LT"/>
        </w:rPr>
        <w:t>zetimib</w:t>
      </w:r>
      <w:r w:rsidRPr="00923E74">
        <w:rPr>
          <w:snapToGrid/>
          <w:szCs w:val="22"/>
          <w:lang w:val="lt-LT"/>
        </w:rPr>
        <w:t>as</w:t>
      </w:r>
      <w:proofErr w:type="spellEnd"/>
      <w:r w:rsidR="00EA547D" w:rsidRPr="00923E74">
        <w:rPr>
          <w:snapToGrid/>
          <w:szCs w:val="22"/>
          <w:lang w:val="lt-LT"/>
        </w:rPr>
        <w:t xml:space="preserve"> </w:t>
      </w:r>
      <w:r w:rsidRPr="00923E74">
        <w:rPr>
          <w:snapToGrid/>
          <w:szCs w:val="22"/>
          <w:lang w:val="lt-LT"/>
        </w:rPr>
        <w:t xml:space="preserve">cholesterolio absorbciją sumažina </w:t>
      </w:r>
      <w:r w:rsidR="00EA547D" w:rsidRPr="00923E74">
        <w:rPr>
          <w:snapToGrid/>
          <w:szCs w:val="22"/>
          <w:lang w:val="lt-LT"/>
        </w:rPr>
        <w:t>&gt;</w:t>
      </w:r>
      <w:r w:rsidRPr="00923E74">
        <w:rPr>
          <w:snapToGrid/>
          <w:szCs w:val="22"/>
          <w:lang w:val="lt-LT"/>
        </w:rPr>
        <w:t> </w:t>
      </w:r>
      <w:r w:rsidR="00EA547D" w:rsidRPr="00923E74">
        <w:rPr>
          <w:snapToGrid/>
          <w:szCs w:val="22"/>
          <w:lang w:val="lt-LT"/>
        </w:rPr>
        <w:t>50</w:t>
      </w:r>
      <w:r w:rsidRPr="00923E74">
        <w:rPr>
          <w:snapToGrid/>
          <w:szCs w:val="22"/>
          <w:lang w:val="lt-LT"/>
        </w:rPr>
        <w:noBreakHyphen/>
      </w:r>
      <w:r w:rsidR="00EA547D" w:rsidRPr="00923E74">
        <w:rPr>
          <w:snapToGrid/>
          <w:szCs w:val="22"/>
          <w:lang w:val="lt-LT"/>
        </w:rPr>
        <w:t>55</w:t>
      </w:r>
      <w:r w:rsidRPr="00923E74">
        <w:rPr>
          <w:snapToGrid/>
          <w:szCs w:val="22"/>
          <w:lang w:val="lt-LT"/>
        </w:rPr>
        <w:t> </w:t>
      </w:r>
      <w:r w:rsidR="00EA547D" w:rsidRPr="00923E74">
        <w:rPr>
          <w:snapToGrid/>
          <w:szCs w:val="22"/>
          <w:lang w:val="lt-LT"/>
        </w:rPr>
        <w:t>%.</w:t>
      </w:r>
    </w:p>
    <w:p w14:paraId="4518CC2F" w14:textId="77777777" w:rsidR="00EA547D" w:rsidRPr="00923E74" w:rsidRDefault="00EA547D" w:rsidP="007425C0">
      <w:pPr>
        <w:tabs>
          <w:tab w:val="clear" w:pos="567"/>
        </w:tabs>
        <w:autoSpaceDE w:val="0"/>
        <w:autoSpaceDN w:val="0"/>
        <w:adjustRightInd w:val="0"/>
        <w:spacing w:line="240" w:lineRule="auto"/>
        <w:rPr>
          <w:snapToGrid/>
          <w:szCs w:val="22"/>
          <w:lang w:val="lt-LT"/>
        </w:rPr>
      </w:pPr>
    </w:p>
    <w:p w14:paraId="635E03FC" w14:textId="78C376F0" w:rsidR="00EA547D" w:rsidRPr="00923E74" w:rsidRDefault="00215B8F" w:rsidP="007425C0">
      <w:pPr>
        <w:tabs>
          <w:tab w:val="clear" w:pos="567"/>
        </w:tabs>
        <w:autoSpaceDE w:val="0"/>
        <w:autoSpaceDN w:val="0"/>
        <w:adjustRightInd w:val="0"/>
        <w:spacing w:line="240" w:lineRule="auto"/>
        <w:rPr>
          <w:snapToGrid/>
          <w:szCs w:val="22"/>
          <w:lang w:val="lt-LT"/>
        </w:rPr>
      </w:pPr>
      <w:r w:rsidRPr="00923E74">
        <w:rPr>
          <w:snapToGrid/>
          <w:szCs w:val="22"/>
          <w:lang w:val="lt-LT"/>
        </w:rPr>
        <w:t xml:space="preserve">Buvo atlikta keletas </w:t>
      </w:r>
      <w:proofErr w:type="spellStart"/>
      <w:r w:rsidRPr="00923E74">
        <w:rPr>
          <w:snapToGrid/>
          <w:szCs w:val="22"/>
          <w:lang w:val="lt-LT"/>
        </w:rPr>
        <w:t>ikiklinikinių</w:t>
      </w:r>
      <w:proofErr w:type="spellEnd"/>
      <w:r w:rsidRPr="00923E74">
        <w:rPr>
          <w:snapToGrid/>
          <w:szCs w:val="22"/>
          <w:lang w:val="lt-LT"/>
        </w:rPr>
        <w:t xml:space="preserve"> tyrimų cholesterolio absorbciją slopinančio </w:t>
      </w:r>
      <w:proofErr w:type="spellStart"/>
      <w:r w:rsidRPr="00923E74">
        <w:rPr>
          <w:snapToGrid/>
          <w:szCs w:val="22"/>
          <w:lang w:val="lt-LT"/>
        </w:rPr>
        <w:t>ezetimibo</w:t>
      </w:r>
      <w:proofErr w:type="spellEnd"/>
      <w:r w:rsidRPr="00923E74">
        <w:rPr>
          <w:snapToGrid/>
          <w:szCs w:val="22"/>
          <w:lang w:val="lt-LT"/>
        </w:rPr>
        <w:t xml:space="preserve"> poveikio selektyvumui nustatyti. </w:t>
      </w:r>
      <w:proofErr w:type="spellStart"/>
      <w:r w:rsidRPr="00923E74">
        <w:rPr>
          <w:snapToGrid/>
          <w:szCs w:val="22"/>
          <w:lang w:val="lt-LT"/>
        </w:rPr>
        <w:t>Ezetimibas</w:t>
      </w:r>
      <w:proofErr w:type="spellEnd"/>
      <w:r w:rsidRPr="00923E74">
        <w:rPr>
          <w:snapToGrid/>
          <w:szCs w:val="22"/>
          <w:lang w:val="lt-LT"/>
        </w:rPr>
        <w:t xml:space="preserve"> slopino </w:t>
      </w:r>
      <w:r w:rsidRPr="00923E74">
        <w:rPr>
          <w:snapToGrid/>
          <w:szCs w:val="22"/>
          <w:vertAlign w:val="superscript"/>
          <w:lang w:val="lt-LT"/>
        </w:rPr>
        <w:t>14</w:t>
      </w:r>
      <w:r w:rsidRPr="007E15ED">
        <w:rPr>
          <w:snapToGrid/>
          <w:szCs w:val="22"/>
          <w:lang w:val="lt-LT"/>
        </w:rPr>
        <w:t>C</w:t>
      </w:r>
      <w:r w:rsidR="006073A8">
        <w:rPr>
          <w:snapToGrid/>
          <w:szCs w:val="22"/>
          <w:lang w:val="lt-LT"/>
        </w:rPr>
        <w:noBreakHyphen/>
      </w:r>
      <w:r w:rsidRPr="00923E74">
        <w:rPr>
          <w:snapToGrid/>
          <w:szCs w:val="22"/>
          <w:lang w:val="lt-LT"/>
        </w:rPr>
        <w:t xml:space="preserve">cholesterolio absorbciją, bet neveikė trigliceridų, riebalų rūgščių, tulžies rūgščių, progesterono, </w:t>
      </w:r>
      <w:proofErr w:type="spellStart"/>
      <w:r w:rsidRPr="00923E74">
        <w:rPr>
          <w:snapToGrid/>
          <w:szCs w:val="22"/>
          <w:lang w:val="lt-LT"/>
        </w:rPr>
        <w:t>etinilestradiolio</w:t>
      </w:r>
      <w:proofErr w:type="spellEnd"/>
      <w:r w:rsidRPr="00923E74">
        <w:rPr>
          <w:snapToGrid/>
          <w:szCs w:val="22"/>
          <w:lang w:val="lt-LT"/>
        </w:rPr>
        <w:t xml:space="preserve"> ar riebaluose tirpių vitaminų</w:t>
      </w:r>
      <w:r w:rsidR="006073A8">
        <w:rPr>
          <w:snapToGrid/>
          <w:szCs w:val="22"/>
          <w:lang w:val="lt-LT"/>
        </w:rPr>
        <w:t> </w:t>
      </w:r>
      <w:r w:rsidRPr="00923E74">
        <w:rPr>
          <w:snapToGrid/>
          <w:szCs w:val="22"/>
          <w:lang w:val="lt-LT"/>
        </w:rPr>
        <w:t>A ir D absorbcijos.</w:t>
      </w:r>
    </w:p>
    <w:p w14:paraId="28CBBD61" w14:textId="77777777" w:rsidR="00EA547D" w:rsidRPr="00923E74" w:rsidRDefault="00EA547D" w:rsidP="007425C0">
      <w:pPr>
        <w:tabs>
          <w:tab w:val="clear" w:pos="567"/>
        </w:tabs>
        <w:autoSpaceDE w:val="0"/>
        <w:autoSpaceDN w:val="0"/>
        <w:adjustRightInd w:val="0"/>
        <w:spacing w:line="240" w:lineRule="auto"/>
        <w:rPr>
          <w:snapToGrid/>
          <w:szCs w:val="22"/>
          <w:lang w:val="lt-LT"/>
        </w:rPr>
      </w:pPr>
    </w:p>
    <w:p w14:paraId="2B2CFC1F" w14:textId="77777777" w:rsidR="00EA547D" w:rsidRPr="00923E74" w:rsidRDefault="00EA547D" w:rsidP="007E15ED">
      <w:pPr>
        <w:keepNext/>
        <w:tabs>
          <w:tab w:val="clear" w:pos="567"/>
        </w:tabs>
        <w:autoSpaceDE w:val="0"/>
        <w:autoSpaceDN w:val="0"/>
        <w:adjustRightInd w:val="0"/>
        <w:spacing w:line="240" w:lineRule="auto"/>
        <w:rPr>
          <w:i/>
          <w:snapToGrid/>
          <w:szCs w:val="22"/>
          <w:lang w:val="lt-LT"/>
        </w:rPr>
      </w:pPr>
      <w:proofErr w:type="spellStart"/>
      <w:r w:rsidRPr="00923E74">
        <w:rPr>
          <w:i/>
          <w:snapToGrid/>
          <w:szCs w:val="22"/>
          <w:lang w:val="lt-LT"/>
        </w:rPr>
        <w:t>Atorvastatin</w:t>
      </w:r>
      <w:r w:rsidR="00215B8F" w:rsidRPr="00923E74">
        <w:rPr>
          <w:i/>
          <w:snapToGrid/>
          <w:szCs w:val="22"/>
          <w:lang w:val="lt-LT"/>
        </w:rPr>
        <w:t>as</w:t>
      </w:r>
      <w:proofErr w:type="spellEnd"/>
    </w:p>
    <w:p w14:paraId="77D0E87B" w14:textId="2B11D693" w:rsidR="00F02AAD" w:rsidRPr="00923E74" w:rsidRDefault="00F02AAD" w:rsidP="007425C0">
      <w:pPr>
        <w:tabs>
          <w:tab w:val="clear" w:pos="567"/>
        </w:tabs>
        <w:autoSpaceDE w:val="0"/>
        <w:autoSpaceDN w:val="0"/>
        <w:adjustRightInd w:val="0"/>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priešingai, selektyviai konkurenciniu būdu slopina</w:t>
      </w:r>
      <w:r w:rsidR="00A54A8F">
        <w:rPr>
          <w:snapToGrid/>
          <w:szCs w:val="22"/>
          <w:lang w:val="lt-LT"/>
        </w:rPr>
        <w:t xml:space="preserve"> cholesterolio </w:t>
      </w:r>
      <w:proofErr w:type="spellStart"/>
      <w:r w:rsidR="00A54A8F">
        <w:rPr>
          <w:snapToGrid/>
          <w:szCs w:val="22"/>
          <w:lang w:val="lt-LT"/>
        </w:rPr>
        <w:t>biosintezę</w:t>
      </w:r>
      <w:proofErr w:type="spellEnd"/>
      <w:r w:rsidR="00A54A8F">
        <w:rPr>
          <w:snapToGrid/>
          <w:szCs w:val="22"/>
          <w:lang w:val="lt-LT"/>
        </w:rPr>
        <w:t xml:space="preserve"> kepenyse. Jis slopina</w:t>
      </w:r>
      <w:r w:rsidRPr="00923E74">
        <w:rPr>
          <w:snapToGrid/>
          <w:szCs w:val="22"/>
          <w:lang w:val="lt-LT"/>
        </w:rPr>
        <w:t xml:space="preserve"> HMG</w:t>
      </w:r>
      <w:r w:rsidR="006073A8">
        <w:rPr>
          <w:snapToGrid/>
          <w:szCs w:val="22"/>
          <w:lang w:val="lt-LT"/>
        </w:rPr>
        <w:noBreakHyphen/>
      </w:r>
      <w:proofErr w:type="spellStart"/>
      <w:r w:rsidRPr="00923E74">
        <w:rPr>
          <w:snapToGrid/>
          <w:szCs w:val="22"/>
          <w:lang w:val="lt-LT"/>
        </w:rPr>
        <w:t>KoA</w:t>
      </w:r>
      <w:proofErr w:type="spellEnd"/>
      <w:r w:rsidR="006073A8">
        <w:rPr>
          <w:snapToGrid/>
          <w:szCs w:val="22"/>
          <w:lang w:val="lt-LT"/>
        </w:rPr>
        <w:t> </w:t>
      </w:r>
      <w:r w:rsidRPr="00923E74">
        <w:rPr>
          <w:snapToGrid/>
          <w:szCs w:val="22"/>
          <w:lang w:val="lt-LT"/>
        </w:rPr>
        <w:t>reduktazę, t.</w:t>
      </w:r>
      <w:r w:rsidR="006073A8">
        <w:rPr>
          <w:snapToGrid/>
          <w:szCs w:val="22"/>
          <w:lang w:val="lt-LT"/>
        </w:rPr>
        <w:t> </w:t>
      </w:r>
      <w:r w:rsidRPr="00923E74">
        <w:rPr>
          <w:snapToGrid/>
          <w:szCs w:val="22"/>
          <w:lang w:val="lt-LT"/>
        </w:rPr>
        <w:t>y. sintezės greitį ribojantį fermentą, kuris yra atsakingas už 3</w:t>
      </w:r>
      <w:r w:rsidR="006073A8">
        <w:rPr>
          <w:snapToGrid/>
          <w:szCs w:val="22"/>
          <w:lang w:val="lt-LT"/>
        </w:rPr>
        <w:noBreakHyphen/>
      </w:r>
      <w:r w:rsidRPr="00923E74">
        <w:rPr>
          <w:snapToGrid/>
          <w:szCs w:val="22"/>
          <w:lang w:val="lt-LT"/>
        </w:rPr>
        <w:t>hidroksi</w:t>
      </w:r>
      <w:r w:rsidR="006073A8">
        <w:rPr>
          <w:snapToGrid/>
          <w:szCs w:val="22"/>
          <w:lang w:val="lt-LT"/>
        </w:rPr>
        <w:noBreakHyphen/>
      </w:r>
      <w:r w:rsidRPr="00923E74">
        <w:rPr>
          <w:snapToGrid/>
          <w:szCs w:val="22"/>
          <w:lang w:val="lt-LT"/>
        </w:rPr>
        <w:t>3</w:t>
      </w:r>
      <w:r w:rsidR="006073A8">
        <w:rPr>
          <w:snapToGrid/>
          <w:szCs w:val="22"/>
          <w:lang w:val="lt-LT"/>
        </w:rPr>
        <w:noBreakHyphen/>
      </w:r>
      <w:r w:rsidRPr="00923E74">
        <w:rPr>
          <w:snapToGrid/>
          <w:szCs w:val="22"/>
          <w:lang w:val="lt-LT"/>
        </w:rPr>
        <w:t>metilgliutarilkofermento</w:t>
      </w:r>
      <w:r w:rsidR="006073A8">
        <w:rPr>
          <w:snapToGrid/>
          <w:szCs w:val="22"/>
          <w:lang w:val="lt-LT"/>
        </w:rPr>
        <w:t> </w:t>
      </w:r>
      <w:r w:rsidRPr="00923E74">
        <w:rPr>
          <w:snapToGrid/>
          <w:szCs w:val="22"/>
          <w:lang w:val="lt-LT"/>
        </w:rPr>
        <w:t xml:space="preserve">A virtimą į </w:t>
      </w:r>
      <w:proofErr w:type="spellStart"/>
      <w:r w:rsidRPr="00923E74">
        <w:rPr>
          <w:snapToGrid/>
          <w:szCs w:val="22"/>
          <w:lang w:val="lt-LT"/>
        </w:rPr>
        <w:t>mevalonatą</w:t>
      </w:r>
      <w:proofErr w:type="spellEnd"/>
      <w:r w:rsidRPr="00923E74">
        <w:rPr>
          <w:snapToGrid/>
          <w:szCs w:val="22"/>
          <w:lang w:val="lt-LT"/>
        </w:rPr>
        <w:t>, t.</w:t>
      </w:r>
      <w:r w:rsidR="006073A8">
        <w:rPr>
          <w:snapToGrid/>
          <w:szCs w:val="22"/>
          <w:lang w:val="lt-LT"/>
        </w:rPr>
        <w:t> </w:t>
      </w:r>
      <w:r w:rsidRPr="00923E74">
        <w:rPr>
          <w:snapToGrid/>
          <w:szCs w:val="22"/>
          <w:lang w:val="lt-LT"/>
        </w:rPr>
        <w:t xml:space="preserve">y. </w:t>
      </w:r>
      <w:proofErr w:type="spellStart"/>
      <w:r w:rsidRPr="00923E74">
        <w:rPr>
          <w:snapToGrid/>
          <w:szCs w:val="22"/>
          <w:lang w:val="lt-LT"/>
        </w:rPr>
        <w:t>sterolių</w:t>
      </w:r>
      <w:proofErr w:type="spellEnd"/>
      <w:r w:rsidRPr="00923E74">
        <w:rPr>
          <w:snapToGrid/>
          <w:szCs w:val="22"/>
          <w:lang w:val="lt-LT"/>
        </w:rPr>
        <w:t xml:space="preserve">, įskaitant cholesterolį, pirmtaką. Kepenyse trigliceridai ir cholesterolis inkorporuojami į labai mažo tankio lipoproteinus (LMTL), kurie yra vadinami pernašos baltymais. Šie pernašos baltymai išskiriami į kraujo plazmą ir cholesterolį perneša į periferinius audinius. Mažo tankio lipoproteinai (MTL) susidaro iš LMTL ir jų </w:t>
      </w:r>
      <w:proofErr w:type="spellStart"/>
      <w:r w:rsidRPr="00923E74">
        <w:rPr>
          <w:snapToGrid/>
          <w:szCs w:val="22"/>
          <w:lang w:val="lt-LT"/>
        </w:rPr>
        <w:t>katabolizmas</w:t>
      </w:r>
      <w:proofErr w:type="spellEnd"/>
      <w:r w:rsidRPr="00923E74">
        <w:rPr>
          <w:snapToGrid/>
          <w:szCs w:val="22"/>
          <w:lang w:val="lt-LT"/>
        </w:rPr>
        <w:t xml:space="preserve"> daugiausia</w:t>
      </w:r>
      <w:r w:rsidR="006073A8">
        <w:rPr>
          <w:snapToGrid/>
          <w:szCs w:val="22"/>
          <w:lang w:val="lt-LT"/>
        </w:rPr>
        <w:t>i</w:t>
      </w:r>
      <w:r w:rsidRPr="00923E74">
        <w:rPr>
          <w:snapToGrid/>
          <w:szCs w:val="22"/>
          <w:lang w:val="lt-LT"/>
        </w:rPr>
        <w:t xml:space="preserve"> vyksta dalyvaujant receptoriams, kurių </w:t>
      </w:r>
      <w:proofErr w:type="spellStart"/>
      <w:r w:rsidRPr="00923E74">
        <w:rPr>
          <w:snapToGrid/>
          <w:szCs w:val="22"/>
          <w:lang w:val="lt-LT"/>
        </w:rPr>
        <w:t>afinitetas</w:t>
      </w:r>
      <w:proofErr w:type="spellEnd"/>
      <w:r w:rsidR="006073A8">
        <w:rPr>
          <w:snapToGrid/>
          <w:szCs w:val="22"/>
          <w:lang w:val="lt-LT"/>
        </w:rPr>
        <w:t> </w:t>
      </w:r>
      <w:r w:rsidRPr="00923E74">
        <w:rPr>
          <w:snapToGrid/>
          <w:szCs w:val="22"/>
          <w:lang w:val="lt-LT"/>
        </w:rPr>
        <w:t>MTL yra didelis.</w:t>
      </w:r>
    </w:p>
    <w:p w14:paraId="2473B1DE" w14:textId="77777777" w:rsidR="00F02AAD" w:rsidRPr="00923E74" w:rsidRDefault="00F02AAD" w:rsidP="00F02AAD">
      <w:pPr>
        <w:tabs>
          <w:tab w:val="clear" w:pos="567"/>
        </w:tabs>
        <w:autoSpaceDE w:val="0"/>
        <w:autoSpaceDN w:val="0"/>
        <w:adjustRightInd w:val="0"/>
        <w:spacing w:line="240" w:lineRule="auto"/>
        <w:rPr>
          <w:snapToGrid/>
          <w:szCs w:val="22"/>
          <w:lang w:val="lt-LT"/>
        </w:rPr>
      </w:pPr>
    </w:p>
    <w:p w14:paraId="057B5CCE" w14:textId="49A2A525" w:rsidR="00F02AAD" w:rsidRPr="00923E74" w:rsidRDefault="00F02AAD" w:rsidP="00F02AAD">
      <w:pPr>
        <w:tabs>
          <w:tab w:val="clear" w:pos="567"/>
        </w:tabs>
        <w:autoSpaceDE w:val="0"/>
        <w:autoSpaceDN w:val="0"/>
        <w:adjustRightInd w:val="0"/>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xml:space="preserve"> mažina cholesterolio k</w:t>
      </w:r>
      <w:r w:rsidR="006073A8">
        <w:rPr>
          <w:snapToGrid/>
          <w:szCs w:val="22"/>
          <w:lang w:val="lt-LT"/>
        </w:rPr>
        <w:t>oncentrac</w:t>
      </w:r>
      <w:r w:rsidRPr="00923E74">
        <w:rPr>
          <w:snapToGrid/>
          <w:szCs w:val="22"/>
          <w:lang w:val="lt-LT"/>
        </w:rPr>
        <w:t>i</w:t>
      </w:r>
      <w:r w:rsidR="006073A8">
        <w:rPr>
          <w:snapToGrid/>
          <w:szCs w:val="22"/>
          <w:lang w:val="lt-LT"/>
        </w:rPr>
        <w:t>ją</w:t>
      </w:r>
      <w:r w:rsidRPr="00923E74">
        <w:rPr>
          <w:snapToGrid/>
          <w:szCs w:val="22"/>
          <w:lang w:val="lt-LT"/>
        </w:rPr>
        <w:t xml:space="preserve"> kraujo plazmoje ir lipoproteinų </w:t>
      </w:r>
      <w:r w:rsidR="007F218C" w:rsidRPr="00923E74">
        <w:rPr>
          <w:snapToGrid/>
          <w:szCs w:val="22"/>
          <w:lang w:val="lt-LT"/>
        </w:rPr>
        <w:t>koncentraciją</w:t>
      </w:r>
      <w:r w:rsidRPr="00923E74">
        <w:rPr>
          <w:snapToGrid/>
          <w:szCs w:val="22"/>
          <w:lang w:val="lt-LT"/>
        </w:rPr>
        <w:t xml:space="preserve"> kraujo serume, nes sumažėja cholesterolio </w:t>
      </w:r>
      <w:proofErr w:type="spellStart"/>
      <w:r w:rsidRPr="00923E74">
        <w:rPr>
          <w:snapToGrid/>
          <w:szCs w:val="22"/>
          <w:lang w:val="lt-LT"/>
        </w:rPr>
        <w:t>biosintezė</w:t>
      </w:r>
      <w:proofErr w:type="spellEnd"/>
      <w:r w:rsidRPr="00923E74">
        <w:rPr>
          <w:snapToGrid/>
          <w:szCs w:val="22"/>
          <w:lang w:val="lt-LT"/>
        </w:rPr>
        <w:t xml:space="preserve"> kepenyse ir daugėja MTL</w:t>
      </w:r>
      <w:r w:rsidR="006073A8">
        <w:rPr>
          <w:snapToGrid/>
          <w:szCs w:val="22"/>
          <w:lang w:val="lt-LT"/>
        </w:rPr>
        <w:t> </w:t>
      </w:r>
      <w:r w:rsidRPr="00923E74">
        <w:rPr>
          <w:snapToGrid/>
          <w:szCs w:val="22"/>
          <w:lang w:val="lt-LT"/>
        </w:rPr>
        <w:t xml:space="preserve">receptorių kepenų ląstelių paviršiuje, todėl į jas patenka daugiau MTL ir daugiau jų </w:t>
      </w:r>
      <w:proofErr w:type="spellStart"/>
      <w:r w:rsidRPr="00923E74">
        <w:rPr>
          <w:snapToGrid/>
          <w:szCs w:val="22"/>
          <w:lang w:val="lt-LT"/>
        </w:rPr>
        <w:t>katabolizuojama</w:t>
      </w:r>
      <w:proofErr w:type="spellEnd"/>
      <w:r w:rsidRPr="00923E74">
        <w:rPr>
          <w:snapToGrid/>
          <w:szCs w:val="22"/>
          <w:lang w:val="lt-LT"/>
        </w:rPr>
        <w:t>.</w:t>
      </w:r>
    </w:p>
    <w:p w14:paraId="68A4056D" w14:textId="77777777" w:rsidR="00EA547D" w:rsidRPr="00923E74" w:rsidRDefault="00EA547D" w:rsidP="007425C0">
      <w:pPr>
        <w:tabs>
          <w:tab w:val="clear" w:pos="567"/>
        </w:tabs>
        <w:autoSpaceDE w:val="0"/>
        <w:autoSpaceDN w:val="0"/>
        <w:adjustRightInd w:val="0"/>
        <w:spacing w:line="240" w:lineRule="auto"/>
        <w:rPr>
          <w:snapToGrid/>
          <w:szCs w:val="22"/>
          <w:lang w:val="lt-LT"/>
        </w:rPr>
      </w:pPr>
    </w:p>
    <w:p w14:paraId="77712872" w14:textId="3AEA9E74" w:rsidR="00F02AAD" w:rsidRPr="00923E74" w:rsidRDefault="00F02AAD" w:rsidP="00F02AAD">
      <w:pPr>
        <w:tabs>
          <w:tab w:val="clear" w:pos="567"/>
        </w:tabs>
        <w:autoSpaceDE w:val="0"/>
        <w:autoSpaceDN w:val="0"/>
        <w:adjustRightInd w:val="0"/>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xml:space="preserve"> mažina MTL</w:t>
      </w:r>
      <w:r w:rsidR="006073A8">
        <w:rPr>
          <w:snapToGrid/>
          <w:szCs w:val="22"/>
          <w:lang w:val="lt-LT"/>
        </w:rPr>
        <w:t> </w:t>
      </w:r>
      <w:r w:rsidR="00A55D51" w:rsidRPr="00923E74">
        <w:rPr>
          <w:snapToGrid/>
          <w:szCs w:val="22"/>
          <w:lang w:val="lt-LT"/>
        </w:rPr>
        <w:t>susidarymą</w:t>
      </w:r>
      <w:r w:rsidRPr="00923E74">
        <w:rPr>
          <w:snapToGrid/>
          <w:szCs w:val="22"/>
          <w:lang w:val="lt-LT"/>
        </w:rPr>
        <w:t xml:space="preserve"> ir MTL</w:t>
      </w:r>
      <w:r w:rsidR="006073A8">
        <w:rPr>
          <w:snapToGrid/>
          <w:szCs w:val="22"/>
          <w:lang w:val="lt-LT"/>
        </w:rPr>
        <w:t> </w:t>
      </w:r>
      <w:r w:rsidRPr="00923E74">
        <w:rPr>
          <w:snapToGrid/>
          <w:szCs w:val="22"/>
          <w:lang w:val="lt-LT"/>
        </w:rPr>
        <w:t xml:space="preserve">dalelių kiekį. </w:t>
      </w:r>
      <w:proofErr w:type="spellStart"/>
      <w:r w:rsidRPr="00923E74">
        <w:rPr>
          <w:snapToGrid/>
          <w:szCs w:val="22"/>
          <w:lang w:val="lt-LT"/>
        </w:rPr>
        <w:t>Atorvastatinas</w:t>
      </w:r>
      <w:proofErr w:type="spellEnd"/>
      <w:r w:rsidRPr="00923E74">
        <w:rPr>
          <w:snapToGrid/>
          <w:szCs w:val="22"/>
          <w:lang w:val="lt-LT"/>
        </w:rPr>
        <w:t xml:space="preserve"> stipriai ir ilgam padidina MTL</w:t>
      </w:r>
      <w:r w:rsidR="006073A8">
        <w:rPr>
          <w:snapToGrid/>
          <w:szCs w:val="22"/>
          <w:lang w:val="lt-LT"/>
        </w:rPr>
        <w:t> </w:t>
      </w:r>
      <w:r w:rsidRPr="00923E74">
        <w:rPr>
          <w:snapToGrid/>
          <w:szCs w:val="22"/>
          <w:lang w:val="lt-LT"/>
        </w:rPr>
        <w:t xml:space="preserve">receptorių aktyvumą, siejamą su </w:t>
      </w:r>
      <w:r w:rsidR="00A55D51" w:rsidRPr="00923E74">
        <w:rPr>
          <w:snapToGrid/>
          <w:szCs w:val="22"/>
          <w:lang w:val="lt-LT"/>
        </w:rPr>
        <w:t>palankiu</w:t>
      </w:r>
      <w:r w:rsidRPr="00923E74">
        <w:rPr>
          <w:snapToGrid/>
          <w:szCs w:val="22"/>
          <w:lang w:val="lt-LT"/>
        </w:rPr>
        <w:t xml:space="preserve"> cirkuliuojančių MTL</w:t>
      </w:r>
      <w:r w:rsidR="006073A8">
        <w:rPr>
          <w:snapToGrid/>
          <w:szCs w:val="22"/>
          <w:lang w:val="lt-LT"/>
        </w:rPr>
        <w:t> </w:t>
      </w:r>
      <w:r w:rsidRPr="00923E74">
        <w:rPr>
          <w:snapToGrid/>
          <w:szCs w:val="22"/>
          <w:lang w:val="lt-LT"/>
        </w:rPr>
        <w:t xml:space="preserve">dalelių kokybės pokyčiu. </w:t>
      </w:r>
      <w:proofErr w:type="spellStart"/>
      <w:r w:rsidRPr="00923E74">
        <w:rPr>
          <w:snapToGrid/>
          <w:szCs w:val="22"/>
          <w:lang w:val="lt-LT"/>
        </w:rPr>
        <w:t>Homozigotine</w:t>
      </w:r>
      <w:proofErr w:type="spellEnd"/>
      <w:r w:rsidRPr="00923E74">
        <w:rPr>
          <w:snapToGrid/>
          <w:szCs w:val="22"/>
          <w:lang w:val="lt-LT"/>
        </w:rPr>
        <w:t xml:space="preserve"> šeimine </w:t>
      </w:r>
      <w:proofErr w:type="spellStart"/>
      <w:r w:rsidRPr="00923E74">
        <w:rPr>
          <w:snapToGrid/>
          <w:szCs w:val="22"/>
          <w:lang w:val="lt-LT"/>
        </w:rPr>
        <w:t>hipercholesterolemija</w:t>
      </w:r>
      <w:proofErr w:type="spellEnd"/>
      <w:r w:rsidRPr="00923E74">
        <w:rPr>
          <w:snapToGrid/>
          <w:szCs w:val="22"/>
          <w:lang w:val="lt-LT"/>
        </w:rPr>
        <w:t xml:space="preserve"> sergantiems pacientams </w:t>
      </w:r>
      <w:proofErr w:type="spellStart"/>
      <w:r w:rsidRPr="00923E74">
        <w:rPr>
          <w:snapToGrid/>
          <w:szCs w:val="22"/>
          <w:lang w:val="lt-LT"/>
        </w:rPr>
        <w:t>atorvastatinas</w:t>
      </w:r>
      <w:proofErr w:type="spellEnd"/>
      <w:r w:rsidRPr="00923E74">
        <w:rPr>
          <w:snapToGrid/>
          <w:szCs w:val="22"/>
          <w:lang w:val="lt-LT"/>
        </w:rPr>
        <w:t xml:space="preserve"> </w:t>
      </w:r>
      <w:r w:rsidR="00A55D51" w:rsidRPr="00923E74">
        <w:rPr>
          <w:snapToGrid/>
          <w:szCs w:val="22"/>
          <w:lang w:val="lt-LT"/>
        </w:rPr>
        <w:t>veiksmingai</w:t>
      </w:r>
      <w:r w:rsidRPr="00923E74">
        <w:rPr>
          <w:snapToGrid/>
          <w:szCs w:val="22"/>
          <w:lang w:val="lt-LT"/>
        </w:rPr>
        <w:t xml:space="preserve"> sumažina MTL</w:t>
      </w:r>
      <w:r w:rsidR="006073A8">
        <w:rPr>
          <w:snapToGrid/>
          <w:szCs w:val="22"/>
          <w:lang w:val="lt-LT"/>
        </w:rPr>
        <w:t> </w:t>
      </w:r>
      <w:r w:rsidRPr="00923E74">
        <w:rPr>
          <w:snapToGrid/>
          <w:szCs w:val="22"/>
          <w:lang w:val="lt-LT"/>
        </w:rPr>
        <w:t>cholesterolio</w:t>
      </w:r>
      <w:r w:rsidR="004F218B">
        <w:rPr>
          <w:snapToGrid/>
          <w:szCs w:val="22"/>
          <w:lang w:val="lt-LT"/>
        </w:rPr>
        <w:t xml:space="preserve"> (MTL</w:t>
      </w:r>
      <w:r w:rsidR="004F218B">
        <w:rPr>
          <w:snapToGrid/>
          <w:szCs w:val="22"/>
          <w:lang w:val="lt-LT"/>
        </w:rPr>
        <w:noBreakHyphen/>
        <w:t>C)</w:t>
      </w:r>
      <w:r w:rsidRPr="00923E74">
        <w:rPr>
          <w:snapToGrid/>
          <w:szCs w:val="22"/>
          <w:lang w:val="lt-LT"/>
        </w:rPr>
        <w:t xml:space="preserve"> k</w:t>
      </w:r>
      <w:r w:rsidR="006073A8">
        <w:rPr>
          <w:snapToGrid/>
          <w:szCs w:val="22"/>
          <w:lang w:val="lt-LT"/>
        </w:rPr>
        <w:t>oncentrac</w:t>
      </w:r>
      <w:r w:rsidRPr="00923E74">
        <w:rPr>
          <w:snapToGrid/>
          <w:szCs w:val="22"/>
          <w:lang w:val="lt-LT"/>
        </w:rPr>
        <w:t>i</w:t>
      </w:r>
      <w:r w:rsidR="006073A8">
        <w:rPr>
          <w:snapToGrid/>
          <w:szCs w:val="22"/>
          <w:lang w:val="lt-LT"/>
        </w:rPr>
        <w:t>ją</w:t>
      </w:r>
      <w:r w:rsidRPr="00923E74">
        <w:rPr>
          <w:snapToGrid/>
          <w:szCs w:val="22"/>
          <w:lang w:val="lt-LT"/>
        </w:rPr>
        <w:t>, tačiau šios grupės pacientai į lipidų k</w:t>
      </w:r>
      <w:r w:rsidR="006073A8">
        <w:rPr>
          <w:snapToGrid/>
          <w:szCs w:val="22"/>
          <w:lang w:val="lt-LT"/>
        </w:rPr>
        <w:t>oncentrac</w:t>
      </w:r>
      <w:r w:rsidRPr="00923E74">
        <w:rPr>
          <w:snapToGrid/>
          <w:szCs w:val="22"/>
          <w:lang w:val="lt-LT"/>
        </w:rPr>
        <w:t>i</w:t>
      </w:r>
      <w:r w:rsidR="006073A8">
        <w:rPr>
          <w:snapToGrid/>
          <w:szCs w:val="22"/>
          <w:lang w:val="lt-LT"/>
        </w:rPr>
        <w:t>ją</w:t>
      </w:r>
      <w:r w:rsidRPr="00923E74">
        <w:rPr>
          <w:snapToGrid/>
          <w:szCs w:val="22"/>
          <w:lang w:val="lt-LT"/>
        </w:rPr>
        <w:t xml:space="preserve"> kraujyje mažinantį gydymą paprastai nereaguoja.</w:t>
      </w:r>
    </w:p>
    <w:p w14:paraId="4B29954D" w14:textId="77777777" w:rsidR="00EA547D" w:rsidRPr="00923E74" w:rsidRDefault="00EA547D" w:rsidP="007425C0">
      <w:pPr>
        <w:tabs>
          <w:tab w:val="clear" w:pos="567"/>
        </w:tabs>
        <w:autoSpaceDE w:val="0"/>
        <w:autoSpaceDN w:val="0"/>
        <w:adjustRightInd w:val="0"/>
        <w:spacing w:line="240" w:lineRule="auto"/>
        <w:rPr>
          <w:snapToGrid/>
          <w:szCs w:val="22"/>
          <w:u w:val="single"/>
          <w:lang w:val="lt-LT"/>
        </w:rPr>
      </w:pPr>
    </w:p>
    <w:p w14:paraId="1551766E" w14:textId="38E5C258" w:rsidR="000068B8" w:rsidRPr="00923E74" w:rsidRDefault="007F218C" w:rsidP="007425C0">
      <w:pPr>
        <w:tabs>
          <w:tab w:val="clear" w:pos="567"/>
        </w:tabs>
        <w:autoSpaceDE w:val="0"/>
        <w:autoSpaceDN w:val="0"/>
        <w:adjustRightInd w:val="0"/>
        <w:spacing w:line="240" w:lineRule="auto"/>
        <w:rPr>
          <w:snapToGrid/>
          <w:szCs w:val="22"/>
          <w:lang w:val="lt-LT"/>
        </w:rPr>
      </w:pPr>
      <w:r w:rsidRPr="00923E74">
        <w:rPr>
          <w:snapToGrid/>
          <w:szCs w:val="22"/>
          <w:lang w:val="lt-LT"/>
        </w:rPr>
        <w:t xml:space="preserve">Nustatyta, kad </w:t>
      </w:r>
      <w:proofErr w:type="spellStart"/>
      <w:r w:rsidRPr="00923E74">
        <w:rPr>
          <w:snapToGrid/>
          <w:szCs w:val="22"/>
          <w:lang w:val="lt-LT"/>
        </w:rPr>
        <w:t>a</w:t>
      </w:r>
      <w:r w:rsidR="000068B8" w:rsidRPr="00923E74">
        <w:rPr>
          <w:snapToGrid/>
          <w:szCs w:val="22"/>
          <w:lang w:val="lt-LT"/>
        </w:rPr>
        <w:t>torvastatinas</w:t>
      </w:r>
      <w:proofErr w:type="spellEnd"/>
      <w:r w:rsidR="000068B8" w:rsidRPr="00923E74">
        <w:rPr>
          <w:snapToGrid/>
          <w:szCs w:val="22"/>
          <w:lang w:val="lt-LT"/>
        </w:rPr>
        <w:t xml:space="preserve"> mažina bendrojo cholesterolio (30</w:t>
      </w:r>
      <w:r w:rsidR="000068B8" w:rsidRPr="00923E74">
        <w:rPr>
          <w:snapToGrid/>
          <w:szCs w:val="22"/>
          <w:lang w:val="lt-LT"/>
        </w:rPr>
        <w:noBreakHyphen/>
        <w:t>46 %), MTL</w:t>
      </w:r>
      <w:r w:rsidR="004F218B">
        <w:rPr>
          <w:snapToGrid/>
          <w:szCs w:val="22"/>
          <w:lang w:val="lt-LT"/>
        </w:rPr>
        <w:noBreakHyphen/>
      </w:r>
      <w:r w:rsidR="004F218B" w:rsidRPr="00923E74">
        <w:rPr>
          <w:snapToGrid/>
          <w:szCs w:val="22"/>
          <w:lang w:val="lt-LT"/>
        </w:rPr>
        <w:t>C</w:t>
      </w:r>
      <w:r w:rsidR="000068B8" w:rsidRPr="00923E74">
        <w:rPr>
          <w:snapToGrid/>
          <w:szCs w:val="22"/>
          <w:lang w:val="lt-LT"/>
        </w:rPr>
        <w:t xml:space="preserve"> (41</w:t>
      </w:r>
      <w:r w:rsidR="000068B8" w:rsidRPr="00923E74">
        <w:rPr>
          <w:snapToGrid/>
          <w:szCs w:val="22"/>
          <w:lang w:val="lt-LT"/>
        </w:rPr>
        <w:noBreakHyphen/>
        <w:t xml:space="preserve">61 %), </w:t>
      </w:r>
      <w:proofErr w:type="spellStart"/>
      <w:r w:rsidR="000068B8" w:rsidRPr="00923E74">
        <w:rPr>
          <w:snapToGrid/>
          <w:szCs w:val="22"/>
          <w:lang w:val="lt-LT"/>
        </w:rPr>
        <w:t>apolipoproteino</w:t>
      </w:r>
      <w:proofErr w:type="spellEnd"/>
      <w:r w:rsidR="006073A8">
        <w:rPr>
          <w:snapToGrid/>
          <w:szCs w:val="22"/>
          <w:lang w:val="lt-LT"/>
        </w:rPr>
        <w:t> </w:t>
      </w:r>
      <w:r w:rsidR="000068B8" w:rsidRPr="00923E74">
        <w:rPr>
          <w:snapToGrid/>
          <w:szCs w:val="22"/>
          <w:lang w:val="lt-LT"/>
        </w:rPr>
        <w:t>B (34</w:t>
      </w:r>
      <w:r w:rsidR="000068B8" w:rsidRPr="00923E74">
        <w:rPr>
          <w:snapToGrid/>
          <w:szCs w:val="22"/>
          <w:lang w:val="lt-LT"/>
        </w:rPr>
        <w:noBreakHyphen/>
        <w:t>50 %) ir trigliceridų (14</w:t>
      </w:r>
      <w:r w:rsidR="000068B8" w:rsidRPr="00923E74">
        <w:rPr>
          <w:snapToGrid/>
          <w:szCs w:val="22"/>
          <w:lang w:val="lt-LT"/>
        </w:rPr>
        <w:noBreakHyphen/>
        <w:t>33 %) koncentraciją, o atsako į dozę tyrimo metu DTL</w:t>
      </w:r>
      <w:r w:rsidR="006073A8">
        <w:rPr>
          <w:snapToGrid/>
          <w:szCs w:val="22"/>
          <w:lang w:val="lt-LT"/>
        </w:rPr>
        <w:t> </w:t>
      </w:r>
      <w:r w:rsidR="000068B8" w:rsidRPr="00923E74">
        <w:rPr>
          <w:snapToGrid/>
          <w:szCs w:val="22"/>
          <w:lang w:val="lt-LT"/>
        </w:rPr>
        <w:t>cholesterolio</w:t>
      </w:r>
      <w:r w:rsidR="004F218B">
        <w:rPr>
          <w:snapToGrid/>
          <w:szCs w:val="22"/>
          <w:lang w:val="lt-LT"/>
        </w:rPr>
        <w:t xml:space="preserve"> (DTL</w:t>
      </w:r>
      <w:r w:rsidR="004F218B">
        <w:rPr>
          <w:snapToGrid/>
          <w:szCs w:val="22"/>
          <w:lang w:val="lt-LT"/>
        </w:rPr>
        <w:noBreakHyphen/>
        <w:t>C)</w:t>
      </w:r>
      <w:r w:rsidR="000068B8" w:rsidRPr="00923E74">
        <w:rPr>
          <w:snapToGrid/>
          <w:szCs w:val="22"/>
          <w:lang w:val="lt-LT"/>
        </w:rPr>
        <w:t xml:space="preserve"> ir </w:t>
      </w:r>
      <w:proofErr w:type="spellStart"/>
      <w:r w:rsidR="000068B8" w:rsidRPr="00923E74">
        <w:rPr>
          <w:snapToGrid/>
          <w:szCs w:val="22"/>
          <w:lang w:val="lt-LT"/>
        </w:rPr>
        <w:t>apolipoproteino</w:t>
      </w:r>
      <w:proofErr w:type="spellEnd"/>
      <w:r w:rsidR="006073A8">
        <w:rPr>
          <w:snapToGrid/>
          <w:szCs w:val="22"/>
          <w:lang w:val="lt-LT"/>
        </w:rPr>
        <w:t> </w:t>
      </w:r>
      <w:r w:rsidR="000068B8" w:rsidRPr="00923E74">
        <w:rPr>
          <w:snapToGrid/>
          <w:szCs w:val="22"/>
          <w:lang w:val="lt-LT"/>
        </w:rPr>
        <w:t>A1 k</w:t>
      </w:r>
      <w:r w:rsidR="006073A8">
        <w:rPr>
          <w:snapToGrid/>
          <w:szCs w:val="22"/>
          <w:lang w:val="lt-LT"/>
        </w:rPr>
        <w:t>onc</w:t>
      </w:r>
      <w:r w:rsidR="000068B8" w:rsidRPr="00923E74">
        <w:rPr>
          <w:snapToGrid/>
          <w:szCs w:val="22"/>
          <w:lang w:val="lt-LT"/>
        </w:rPr>
        <w:t>e</w:t>
      </w:r>
      <w:r w:rsidR="006073A8">
        <w:rPr>
          <w:snapToGrid/>
          <w:szCs w:val="22"/>
          <w:lang w:val="lt-LT"/>
        </w:rPr>
        <w:t>ntrac</w:t>
      </w:r>
      <w:r w:rsidR="000068B8" w:rsidRPr="00923E74">
        <w:rPr>
          <w:snapToGrid/>
          <w:szCs w:val="22"/>
          <w:lang w:val="lt-LT"/>
        </w:rPr>
        <w:t>i</w:t>
      </w:r>
      <w:r w:rsidR="006073A8">
        <w:rPr>
          <w:snapToGrid/>
          <w:szCs w:val="22"/>
          <w:lang w:val="lt-LT"/>
        </w:rPr>
        <w:t>j</w:t>
      </w:r>
      <w:r w:rsidR="000068B8" w:rsidRPr="00923E74">
        <w:rPr>
          <w:snapToGrid/>
          <w:szCs w:val="22"/>
          <w:lang w:val="lt-LT"/>
        </w:rPr>
        <w:t>o</w:t>
      </w:r>
      <w:r w:rsidR="006073A8">
        <w:rPr>
          <w:snapToGrid/>
          <w:szCs w:val="22"/>
          <w:lang w:val="lt-LT"/>
        </w:rPr>
        <w:t>s</w:t>
      </w:r>
      <w:r w:rsidR="000068B8" w:rsidRPr="00923E74">
        <w:rPr>
          <w:snapToGrid/>
          <w:szCs w:val="22"/>
          <w:lang w:val="lt-LT"/>
        </w:rPr>
        <w:t xml:space="preserve"> padidėjimas buvo įvairus. Nuoseklūs rezultatai nustatyti </w:t>
      </w:r>
      <w:proofErr w:type="spellStart"/>
      <w:r w:rsidR="000068B8" w:rsidRPr="00923E74">
        <w:rPr>
          <w:snapToGrid/>
          <w:szCs w:val="22"/>
          <w:lang w:val="lt-LT"/>
        </w:rPr>
        <w:t>heterozigotine</w:t>
      </w:r>
      <w:proofErr w:type="spellEnd"/>
      <w:r w:rsidR="000068B8" w:rsidRPr="00923E74">
        <w:rPr>
          <w:snapToGrid/>
          <w:szCs w:val="22"/>
          <w:lang w:val="lt-LT"/>
        </w:rPr>
        <w:t xml:space="preserve"> šeimine </w:t>
      </w:r>
      <w:proofErr w:type="spellStart"/>
      <w:r w:rsidR="000068B8" w:rsidRPr="00923E74">
        <w:rPr>
          <w:snapToGrid/>
          <w:szCs w:val="22"/>
          <w:lang w:val="lt-LT"/>
        </w:rPr>
        <w:t>hipercholesterolemija</w:t>
      </w:r>
      <w:proofErr w:type="spellEnd"/>
      <w:r w:rsidR="000068B8" w:rsidRPr="00923E74">
        <w:rPr>
          <w:snapToGrid/>
          <w:szCs w:val="22"/>
          <w:lang w:val="lt-LT"/>
        </w:rPr>
        <w:t xml:space="preserve">, nešeimine </w:t>
      </w:r>
      <w:proofErr w:type="spellStart"/>
      <w:r w:rsidR="000068B8" w:rsidRPr="00923E74">
        <w:rPr>
          <w:snapToGrid/>
          <w:szCs w:val="22"/>
          <w:lang w:val="lt-LT"/>
        </w:rPr>
        <w:t>hipercholesterolemija</w:t>
      </w:r>
      <w:proofErr w:type="spellEnd"/>
      <w:r w:rsidR="000068B8" w:rsidRPr="00923E74">
        <w:rPr>
          <w:snapToGrid/>
          <w:szCs w:val="22"/>
          <w:lang w:val="lt-LT"/>
        </w:rPr>
        <w:t xml:space="preserve"> ar mišria </w:t>
      </w:r>
      <w:proofErr w:type="spellStart"/>
      <w:r w:rsidR="000068B8" w:rsidRPr="00923E74">
        <w:rPr>
          <w:snapToGrid/>
          <w:szCs w:val="22"/>
          <w:lang w:val="lt-LT"/>
        </w:rPr>
        <w:t>hiperlipidemija</w:t>
      </w:r>
      <w:proofErr w:type="spellEnd"/>
      <w:r w:rsidR="000068B8" w:rsidRPr="00923E74">
        <w:rPr>
          <w:snapToGrid/>
          <w:szCs w:val="22"/>
          <w:lang w:val="lt-LT"/>
        </w:rPr>
        <w:t xml:space="preserve"> sergantiems pacientams, įskaitant pacientus, sergančius nuo insulino nepriklausomu cukriniu diabetu.</w:t>
      </w:r>
    </w:p>
    <w:p w14:paraId="71390A10" w14:textId="77777777" w:rsidR="000068B8" w:rsidRPr="00923E74" w:rsidRDefault="000068B8" w:rsidP="007425C0">
      <w:pPr>
        <w:tabs>
          <w:tab w:val="clear" w:pos="567"/>
        </w:tabs>
        <w:autoSpaceDE w:val="0"/>
        <w:autoSpaceDN w:val="0"/>
        <w:adjustRightInd w:val="0"/>
        <w:spacing w:line="240" w:lineRule="auto"/>
        <w:rPr>
          <w:snapToGrid/>
          <w:szCs w:val="22"/>
          <w:lang w:val="lt-LT"/>
        </w:rPr>
      </w:pPr>
    </w:p>
    <w:p w14:paraId="3443F92E" w14:textId="45042FF8" w:rsidR="00EA547D" w:rsidRPr="00923E74" w:rsidRDefault="000D4BDC" w:rsidP="007425C0">
      <w:pPr>
        <w:tabs>
          <w:tab w:val="clear" w:pos="567"/>
        </w:tabs>
        <w:autoSpaceDE w:val="0"/>
        <w:autoSpaceDN w:val="0"/>
        <w:adjustRightInd w:val="0"/>
        <w:spacing w:line="240" w:lineRule="auto"/>
        <w:rPr>
          <w:snapToGrid/>
          <w:szCs w:val="22"/>
          <w:lang w:val="lt-LT"/>
        </w:rPr>
      </w:pPr>
      <w:r w:rsidRPr="00923E74">
        <w:rPr>
          <w:snapToGrid/>
          <w:szCs w:val="22"/>
          <w:lang w:val="lt-LT"/>
        </w:rPr>
        <w:t>Dėl dvigubo cholesterolio absorbcijos ir sintezės slopinimo kombinuotasis vaistinis preparatas sumažina padidėjusį</w:t>
      </w:r>
      <w:r w:rsidR="00EA547D" w:rsidRPr="00923E74">
        <w:rPr>
          <w:snapToGrid/>
          <w:szCs w:val="22"/>
          <w:lang w:val="lt-LT"/>
        </w:rPr>
        <w:t xml:space="preserve"> </w:t>
      </w:r>
      <w:r w:rsidRPr="00923E74">
        <w:rPr>
          <w:snapToGrid/>
          <w:szCs w:val="22"/>
          <w:lang w:val="lt-LT"/>
        </w:rPr>
        <w:t>bendrojo cholesterolio</w:t>
      </w:r>
      <w:r w:rsidR="00EA547D" w:rsidRPr="00923E74">
        <w:rPr>
          <w:snapToGrid/>
          <w:szCs w:val="22"/>
          <w:lang w:val="lt-LT"/>
        </w:rPr>
        <w:t xml:space="preserve">, </w:t>
      </w:r>
      <w:r w:rsidRPr="00923E74">
        <w:rPr>
          <w:snapToGrid/>
          <w:szCs w:val="22"/>
          <w:lang w:val="lt-LT"/>
        </w:rPr>
        <w:t>MTL</w:t>
      </w:r>
      <w:r w:rsidR="004F218B">
        <w:rPr>
          <w:snapToGrid/>
          <w:szCs w:val="22"/>
          <w:lang w:val="lt-LT"/>
        </w:rPr>
        <w:noBreakHyphen/>
      </w:r>
      <w:r w:rsidR="004F218B" w:rsidRPr="00923E74">
        <w:rPr>
          <w:snapToGrid/>
          <w:szCs w:val="22"/>
          <w:lang w:val="lt-LT"/>
        </w:rPr>
        <w:t>C</w:t>
      </w:r>
      <w:r w:rsidR="00EA547D" w:rsidRPr="00923E74">
        <w:rPr>
          <w:snapToGrid/>
          <w:szCs w:val="22"/>
          <w:lang w:val="lt-LT"/>
        </w:rPr>
        <w:t xml:space="preserve">, </w:t>
      </w:r>
      <w:proofErr w:type="spellStart"/>
      <w:r w:rsidR="00EA547D" w:rsidRPr="00923E74">
        <w:rPr>
          <w:snapToGrid/>
          <w:szCs w:val="22"/>
          <w:lang w:val="lt-LT"/>
        </w:rPr>
        <w:t>apolipoprotein</w:t>
      </w:r>
      <w:r w:rsidRPr="00923E74">
        <w:rPr>
          <w:snapToGrid/>
          <w:szCs w:val="22"/>
          <w:lang w:val="lt-LT"/>
        </w:rPr>
        <w:t>o</w:t>
      </w:r>
      <w:proofErr w:type="spellEnd"/>
      <w:r w:rsidR="006073A8">
        <w:rPr>
          <w:snapToGrid/>
          <w:szCs w:val="22"/>
          <w:lang w:val="lt-LT"/>
        </w:rPr>
        <w:t> </w:t>
      </w:r>
      <w:r w:rsidR="00EA547D" w:rsidRPr="00923E74">
        <w:rPr>
          <w:snapToGrid/>
          <w:szCs w:val="22"/>
          <w:lang w:val="lt-LT"/>
        </w:rPr>
        <w:t>B</w:t>
      </w:r>
      <w:r w:rsidR="004F218B">
        <w:rPr>
          <w:snapToGrid/>
          <w:szCs w:val="22"/>
          <w:lang w:val="lt-LT"/>
        </w:rPr>
        <w:t> </w:t>
      </w:r>
      <w:r w:rsidR="00EA547D" w:rsidRPr="00923E74">
        <w:rPr>
          <w:snapToGrid/>
          <w:szCs w:val="22"/>
          <w:lang w:val="lt-LT"/>
        </w:rPr>
        <w:t>(</w:t>
      </w:r>
      <w:proofErr w:type="spellStart"/>
      <w:r w:rsidR="00EA547D" w:rsidRPr="00923E74">
        <w:rPr>
          <w:snapToGrid/>
          <w:szCs w:val="22"/>
          <w:lang w:val="lt-LT"/>
        </w:rPr>
        <w:t>Apo</w:t>
      </w:r>
      <w:proofErr w:type="spellEnd"/>
      <w:r w:rsidR="006073A8">
        <w:rPr>
          <w:snapToGrid/>
          <w:szCs w:val="22"/>
          <w:lang w:val="lt-LT"/>
        </w:rPr>
        <w:t> </w:t>
      </w:r>
      <w:r w:rsidR="00EA547D" w:rsidRPr="00923E74">
        <w:rPr>
          <w:snapToGrid/>
          <w:szCs w:val="22"/>
          <w:lang w:val="lt-LT"/>
        </w:rPr>
        <w:t xml:space="preserve">B), </w:t>
      </w:r>
      <w:r w:rsidRPr="00923E74">
        <w:rPr>
          <w:snapToGrid/>
          <w:szCs w:val="22"/>
          <w:lang w:val="lt-LT"/>
        </w:rPr>
        <w:t>trigliceridų ir nedidelio tankio lipoproteinų cholesterolio</w:t>
      </w:r>
      <w:r w:rsidR="004F218B">
        <w:rPr>
          <w:snapToGrid/>
          <w:szCs w:val="22"/>
          <w:lang w:val="lt-LT"/>
        </w:rPr>
        <w:t xml:space="preserve"> (ne</w:t>
      </w:r>
      <w:r w:rsidR="004F218B">
        <w:rPr>
          <w:snapToGrid/>
          <w:szCs w:val="22"/>
          <w:lang w:val="lt-LT"/>
        </w:rPr>
        <w:noBreakHyphen/>
        <w:t>DTL</w:t>
      </w:r>
      <w:r w:rsidR="004F218B">
        <w:rPr>
          <w:snapToGrid/>
          <w:szCs w:val="22"/>
          <w:lang w:val="lt-LT"/>
        </w:rPr>
        <w:noBreakHyphen/>
        <w:t>C)</w:t>
      </w:r>
      <w:r w:rsidRPr="00923E74">
        <w:rPr>
          <w:snapToGrid/>
          <w:szCs w:val="22"/>
          <w:lang w:val="lt-LT"/>
        </w:rPr>
        <w:t xml:space="preserve"> k</w:t>
      </w:r>
      <w:r w:rsidR="006073A8">
        <w:rPr>
          <w:snapToGrid/>
          <w:szCs w:val="22"/>
          <w:lang w:val="lt-LT"/>
        </w:rPr>
        <w:t>oncentrac</w:t>
      </w:r>
      <w:r w:rsidRPr="00923E74">
        <w:rPr>
          <w:snapToGrid/>
          <w:szCs w:val="22"/>
          <w:lang w:val="lt-LT"/>
        </w:rPr>
        <w:t>i</w:t>
      </w:r>
      <w:r w:rsidR="006073A8">
        <w:rPr>
          <w:snapToGrid/>
          <w:szCs w:val="22"/>
          <w:lang w:val="lt-LT"/>
        </w:rPr>
        <w:t>ją</w:t>
      </w:r>
      <w:r w:rsidRPr="00923E74">
        <w:rPr>
          <w:snapToGrid/>
          <w:szCs w:val="22"/>
          <w:lang w:val="lt-LT"/>
        </w:rPr>
        <w:t xml:space="preserve"> </w:t>
      </w:r>
      <w:r w:rsidR="007F218C" w:rsidRPr="00923E74">
        <w:rPr>
          <w:snapToGrid/>
          <w:szCs w:val="22"/>
          <w:lang w:val="lt-LT"/>
        </w:rPr>
        <w:t>bei</w:t>
      </w:r>
      <w:r w:rsidRPr="00923E74">
        <w:rPr>
          <w:snapToGrid/>
          <w:szCs w:val="22"/>
          <w:lang w:val="lt-LT"/>
        </w:rPr>
        <w:t xml:space="preserve"> didina DTL</w:t>
      </w:r>
      <w:r w:rsidR="004F218B">
        <w:rPr>
          <w:snapToGrid/>
          <w:szCs w:val="22"/>
          <w:lang w:val="lt-LT"/>
        </w:rPr>
        <w:noBreakHyphen/>
      </w:r>
      <w:r w:rsidR="004F218B" w:rsidRPr="00923E74">
        <w:rPr>
          <w:snapToGrid/>
          <w:szCs w:val="22"/>
          <w:lang w:val="lt-LT"/>
        </w:rPr>
        <w:t>C</w:t>
      </w:r>
      <w:r w:rsidR="004F218B">
        <w:rPr>
          <w:snapToGrid/>
          <w:szCs w:val="22"/>
          <w:lang w:val="lt-LT"/>
        </w:rPr>
        <w:t> </w:t>
      </w:r>
      <w:r w:rsidRPr="00923E74">
        <w:rPr>
          <w:snapToGrid/>
          <w:szCs w:val="22"/>
          <w:lang w:val="lt-LT"/>
        </w:rPr>
        <w:t>k</w:t>
      </w:r>
      <w:r w:rsidR="006073A8">
        <w:rPr>
          <w:snapToGrid/>
          <w:szCs w:val="22"/>
          <w:lang w:val="lt-LT"/>
        </w:rPr>
        <w:t>oncentrac</w:t>
      </w:r>
      <w:r w:rsidRPr="00923E74">
        <w:rPr>
          <w:snapToGrid/>
          <w:szCs w:val="22"/>
          <w:lang w:val="lt-LT"/>
        </w:rPr>
        <w:t>i</w:t>
      </w:r>
      <w:r w:rsidR="006073A8">
        <w:rPr>
          <w:snapToGrid/>
          <w:szCs w:val="22"/>
          <w:lang w:val="lt-LT"/>
        </w:rPr>
        <w:t>ją</w:t>
      </w:r>
      <w:r w:rsidR="00EA547D" w:rsidRPr="00923E74">
        <w:rPr>
          <w:snapToGrid/>
          <w:szCs w:val="22"/>
          <w:lang w:val="lt-LT"/>
        </w:rPr>
        <w:t>.</w:t>
      </w:r>
    </w:p>
    <w:p w14:paraId="2EBB2CCF" w14:textId="77777777" w:rsidR="00EA547D" w:rsidRPr="00923E74" w:rsidRDefault="00EA547D" w:rsidP="007425C0">
      <w:pPr>
        <w:tabs>
          <w:tab w:val="clear" w:pos="567"/>
        </w:tabs>
        <w:autoSpaceDE w:val="0"/>
        <w:autoSpaceDN w:val="0"/>
        <w:adjustRightInd w:val="0"/>
        <w:spacing w:line="240" w:lineRule="auto"/>
        <w:rPr>
          <w:snapToGrid/>
          <w:szCs w:val="22"/>
          <w:lang w:val="lt-LT"/>
        </w:rPr>
      </w:pPr>
    </w:p>
    <w:p w14:paraId="5DB2C588" w14:textId="4A156706" w:rsidR="00EA547D" w:rsidRPr="00923E74" w:rsidRDefault="00770BD8" w:rsidP="007425C0">
      <w:pPr>
        <w:tabs>
          <w:tab w:val="clear" w:pos="567"/>
          <w:tab w:val="left" w:pos="708"/>
        </w:tabs>
        <w:autoSpaceDE w:val="0"/>
        <w:autoSpaceDN w:val="0"/>
        <w:adjustRightInd w:val="0"/>
        <w:spacing w:line="240" w:lineRule="auto"/>
        <w:rPr>
          <w:snapToGrid/>
          <w:szCs w:val="22"/>
          <w:lang w:val="lt-LT"/>
        </w:rPr>
      </w:pPr>
      <w:r w:rsidRPr="00923E74">
        <w:rPr>
          <w:snapToGrid/>
          <w:szCs w:val="22"/>
          <w:lang w:val="lt-LT"/>
        </w:rPr>
        <w:lastRenderedPageBreak/>
        <w:t>Placebu kontroliuoto tyrimo metu</w:t>
      </w:r>
      <w:r w:rsidR="00EA547D" w:rsidRPr="00923E74">
        <w:rPr>
          <w:snapToGrid/>
          <w:szCs w:val="22"/>
          <w:lang w:val="lt-LT"/>
        </w:rPr>
        <w:t xml:space="preserve"> 628 </w:t>
      </w:r>
      <w:proofErr w:type="spellStart"/>
      <w:r w:rsidRPr="00923E74">
        <w:rPr>
          <w:snapToGrid/>
          <w:szCs w:val="22"/>
          <w:lang w:val="lt-LT"/>
        </w:rPr>
        <w:t>hiperlipidemija</w:t>
      </w:r>
      <w:proofErr w:type="spellEnd"/>
      <w:r w:rsidRPr="00923E74">
        <w:rPr>
          <w:snapToGrid/>
          <w:szCs w:val="22"/>
          <w:lang w:val="lt-LT"/>
        </w:rPr>
        <w:t xml:space="preserve"> sergantys pacientai buvo atsitiktinai priskirti vartoti</w:t>
      </w:r>
      <w:r w:rsidR="00EA547D" w:rsidRPr="00923E74">
        <w:rPr>
          <w:snapToGrid/>
          <w:szCs w:val="22"/>
          <w:lang w:val="lt-LT"/>
        </w:rPr>
        <w:t xml:space="preserve"> placebo, </w:t>
      </w:r>
      <w:proofErr w:type="spellStart"/>
      <w:r w:rsidR="00EA547D" w:rsidRPr="00923E74">
        <w:rPr>
          <w:snapToGrid/>
          <w:szCs w:val="22"/>
          <w:lang w:val="lt-LT"/>
        </w:rPr>
        <w:t>ezetimib</w:t>
      </w:r>
      <w:r w:rsidRPr="00923E74">
        <w:rPr>
          <w:snapToGrid/>
          <w:szCs w:val="22"/>
          <w:lang w:val="lt-LT"/>
        </w:rPr>
        <w:t>o</w:t>
      </w:r>
      <w:proofErr w:type="spellEnd"/>
      <w:r w:rsidR="00EA547D" w:rsidRPr="00923E74">
        <w:rPr>
          <w:snapToGrid/>
          <w:szCs w:val="22"/>
          <w:lang w:val="lt-LT"/>
        </w:rPr>
        <w:t xml:space="preserve"> (10</w:t>
      </w:r>
      <w:r w:rsidR="00DB52C7" w:rsidRPr="00923E74">
        <w:rPr>
          <w:snapToGrid/>
          <w:szCs w:val="22"/>
          <w:lang w:val="lt-LT"/>
        </w:rPr>
        <w:t> mg</w:t>
      </w:r>
      <w:r w:rsidR="00EA547D" w:rsidRPr="00923E74">
        <w:rPr>
          <w:snapToGrid/>
          <w:szCs w:val="22"/>
          <w:lang w:val="lt-LT"/>
        </w:rPr>
        <w:t xml:space="preserve">), </w:t>
      </w:r>
      <w:proofErr w:type="spellStart"/>
      <w:r w:rsidR="00EA547D" w:rsidRPr="00923E74">
        <w:rPr>
          <w:snapToGrid/>
          <w:szCs w:val="22"/>
          <w:lang w:val="lt-LT"/>
        </w:rPr>
        <w:t>atorvastatin</w:t>
      </w:r>
      <w:r w:rsidRPr="00923E74">
        <w:rPr>
          <w:snapToGrid/>
          <w:szCs w:val="22"/>
          <w:lang w:val="lt-LT"/>
        </w:rPr>
        <w:t>o</w:t>
      </w:r>
      <w:proofErr w:type="spellEnd"/>
      <w:r w:rsidR="00EA547D" w:rsidRPr="00923E74">
        <w:rPr>
          <w:snapToGrid/>
          <w:szCs w:val="22"/>
          <w:lang w:val="lt-LT"/>
        </w:rPr>
        <w:t xml:space="preserve"> (10</w:t>
      </w:r>
      <w:r w:rsidR="00DB52C7" w:rsidRPr="00923E74">
        <w:rPr>
          <w:snapToGrid/>
          <w:szCs w:val="22"/>
          <w:lang w:val="lt-LT"/>
        </w:rPr>
        <w:t> mg</w:t>
      </w:r>
      <w:r w:rsidR="00EA547D" w:rsidRPr="00923E74">
        <w:rPr>
          <w:snapToGrid/>
          <w:szCs w:val="22"/>
          <w:lang w:val="lt-LT"/>
        </w:rPr>
        <w:t>, 20</w:t>
      </w:r>
      <w:r w:rsidR="00DB52C7" w:rsidRPr="00923E74">
        <w:rPr>
          <w:snapToGrid/>
          <w:szCs w:val="22"/>
          <w:lang w:val="lt-LT"/>
        </w:rPr>
        <w:t> mg</w:t>
      </w:r>
      <w:r w:rsidR="00EA547D" w:rsidRPr="00923E74">
        <w:rPr>
          <w:snapToGrid/>
          <w:szCs w:val="22"/>
          <w:lang w:val="lt-LT"/>
        </w:rPr>
        <w:t>, 40</w:t>
      </w:r>
      <w:r w:rsidR="00DB52C7" w:rsidRPr="00923E74">
        <w:rPr>
          <w:snapToGrid/>
          <w:szCs w:val="22"/>
          <w:lang w:val="lt-LT"/>
        </w:rPr>
        <w:t> mg</w:t>
      </w:r>
      <w:r w:rsidRPr="00923E74">
        <w:rPr>
          <w:snapToGrid/>
          <w:szCs w:val="22"/>
          <w:lang w:val="lt-LT"/>
        </w:rPr>
        <w:t xml:space="preserve"> a</w:t>
      </w:r>
      <w:r w:rsidR="00EA547D" w:rsidRPr="00923E74">
        <w:rPr>
          <w:snapToGrid/>
          <w:szCs w:val="22"/>
          <w:lang w:val="lt-LT"/>
        </w:rPr>
        <w:t>r 80</w:t>
      </w:r>
      <w:r w:rsidR="00DB52C7" w:rsidRPr="00923E74">
        <w:rPr>
          <w:snapToGrid/>
          <w:szCs w:val="22"/>
          <w:lang w:val="lt-LT"/>
        </w:rPr>
        <w:t> mg</w:t>
      </w:r>
      <w:r w:rsidR="00EA547D" w:rsidRPr="00923E74">
        <w:rPr>
          <w:snapToGrid/>
          <w:szCs w:val="22"/>
          <w:lang w:val="lt-LT"/>
        </w:rPr>
        <w:t>)</w:t>
      </w:r>
      <w:r w:rsidRPr="00923E74">
        <w:rPr>
          <w:snapToGrid/>
          <w:szCs w:val="22"/>
          <w:lang w:val="lt-LT"/>
        </w:rPr>
        <w:t xml:space="preserve"> ar kartu varto</w:t>
      </w:r>
      <w:r w:rsidR="00A749AD">
        <w:rPr>
          <w:snapToGrid/>
          <w:szCs w:val="22"/>
          <w:lang w:val="lt-LT"/>
        </w:rPr>
        <w:t>t</w:t>
      </w:r>
      <w:r w:rsidRPr="00923E74">
        <w:rPr>
          <w:snapToGrid/>
          <w:szCs w:val="22"/>
          <w:lang w:val="lt-LT"/>
        </w:rPr>
        <w:t>ų</w:t>
      </w:r>
      <w:r w:rsidR="00EA547D" w:rsidRPr="00923E74">
        <w:rPr>
          <w:snapToGrid/>
          <w:szCs w:val="22"/>
          <w:lang w:val="lt-LT"/>
        </w:rPr>
        <w:t xml:space="preserve"> </w:t>
      </w:r>
      <w:proofErr w:type="spellStart"/>
      <w:r w:rsidR="00EA547D" w:rsidRPr="00923E74">
        <w:rPr>
          <w:snapToGrid/>
          <w:szCs w:val="22"/>
          <w:lang w:val="lt-LT"/>
        </w:rPr>
        <w:t>ezetimib</w:t>
      </w:r>
      <w:r w:rsidRPr="00923E74">
        <w:rPr>
          <w:snapToGrid/>
          <w:szCs w:val="22"/>
          <w:lang w:val="lt-LT"/>
        </w:rPr>
        <w:t>o</w:t>
      </w:r>
      <w:proofErr w:type="spellEnd"/>
      <w:r w:rsidRPr="00923E74">
        <w:rPr>
          <w:snapToGrid/>
          <w:szCs w:val="22"/>
          <w:lang w:val="lt-LT"/>
        </w:rPr>
        <w:t xml:space="preserve"> ir</w:t>
      </w:r>
      <w:r w:rsidR="00EA547D" w:rsidRPr="00923E74">
        <w:rPr>
          <w:snapToGrid/>
          <w:szCs w:val="22"/>
          <w:lang w:val="lt-LT"/>
        </w:rPr>
        <w:t xml:space="preserve"> </w:t>
      </w:r>
      <w:proofErr w:type="spellStart"/>
      <w:r w:rsidR="00EA547D" w:rsidRPr="00923E74">
        <w:rPr>
          <w:snapToGrid/>
          <w:szCs w:val="22"/>
          <w:lang w:val="lt-LT"/>
        </w:rPr>
        <w:t>atorvastatin</w:t>
      </w:r>
      <w:r w:rsidRPr="00923E74">
        <w:rPr>
          <w:snapToGrid/>
          <w:szCs w:val="22"/>
          <w:lang w:val="lt-LT"/>
        </w:rPr>
        <w:t>o</w:t>
      </w:r>
      <w:proofErr w:type="spellEnd"/>
      <w:r w:rsidRPr="00923E74">
        <w:rPr>
          <w:snapToGrid/>
          <w:szCs w:val="22"/>
          <w:lang w:val="lt-LT"/>
        </w:rPr>
        <w:t xml:space="preserve">, atitinkančių </w:t>
      </w:r>
      <w:proofErr w:type="spellStart"/>
      <w:r w:rsidRPr="00923E74">
        <w:rPr>
          <w:snapToGrid/>
          <w:szCs w:val="22"/>
          <w:lang w:val="lt-LT"/>
        </w:rPr>
        <w:t>a</w:t>
      </w:r>
      <w:r w:rsidR="00EA547D" w:rsidRPr="00923E74">
        <w:rPr>
          <w:snapToGrid/>
          <w:szCs w:val="22"/>
          <w:lang w:val="lt-LT"/>
        </w:rPr>
        <w:t>torvastatin</w:t>
      </w:r>
      <w:r w:rsidR="005217E0">
        <w:rPr>
          <w:snapToGrid/>
          <w:szCs w:val="22"/>
          <w:lang w:val="lt-LT"/>
        </w:rPr>
        <w:t>o</w:t>
      </w:r>
      <w:proofErr w:type="spellEnd"/>
      <w:r w:rsidR="003E722C">
        <w:rPr>
          <w:snapToGrid/>
          <w:szCs w:val="22"/>
          <w:lang w:val="lt-LT"/>
        </w:rPr>
        <w:t xml:space="preserve"> </w:t>
      </w:r>
      <w:r w:rsidR="005217E0">
        <w:rPr>
          <w:snapToGrid/>
          <w:szCs w:val="22"/>
          <w:lang w:val="lt-LT"/>
        </w:rPr>
        <w:t>ir</w:t>
      </w:r>
      <w:r w:rsidR="003E722C">
        <w:rPr>
          <w:snapToGrid/>
          <w:szCs w:val="22"/>
          <w:lang w:val="lt-LT"/>
        </w:rPr>
        <w:t xml:space="preserve"> </w:t>
      </w:r>
      <w:proofErr w:type="spellStart"/>
      <w:r w:rsidRPr="00923E74">
        <w:rPr>
          <w:snapToGrid/>
          <w:szCs w:val="22"/>
          <w:lang w:val="lt-LT"/>
        </w:rPr>
        <w:t>e</w:t>
      </w:r>
      <w:r w:rsidR="00EA547D" w:rsidRPr="00923E74">
        <w:rPr>
          <w:snapToGrid/>
          <w:szCs w:val="22"/>
          <w:lang w:val="lt-LT"/>
        </w:rPr>
        <w:t>zetimib</w:t>
      </w:r>
      <w:r w:rsidR="005217E0">
        <w:rPr>
          <w:snapToGrid/>
          <w:szCs w:val="22"/>
          <w:lang w:val="lt-LT"/>
        </w:rPr>
        <w:t>o</w:t>
      </w:r>
      <w:proofErr w:type="spellEnd"/>
      <w:r w:rsidR="005217E0">
        <w:rPr>
          <w:snapToGrid/>
          <w:szCs w:val="22"/>
          <w:lang w:val="lt-LT"/>
        </w:rPr>
        <w:t xml:space="preserve"> derinį</w:t>
      </w:r>
      <w:r w:rsidR="00EA547D" w:rsidRPr="00923E74">
        <w:rPr>
          <w:snapToGrid/>
          <w:szCs w:val="22"/>
          <w:lang w:val="lt-LT"/>
        </w:rPr>
        <w:t xml:space="preserve"> (10/10</w:t>
      </w:r>
      <w:r w:rsidR="005217E0">
        <w:rPr>
          <w:snapToGrid/>
          <w:szCs w:val="22"/>
          <w:lang w:val="lt-LT"/>
        </w:rPr>
        <w:t> mg</w:t>
      </w:r>
      <w:r w:rsidR="00EA547D" w:rsidRPr="00923E74">
        <w:rPr>
          <w:snapToGrid/>
          <w:szCs w:val="22"/>
          <w:lang w:val="lt-LT"/>
        </w:rPr>
        <w:t>, 10/20</w:t>
      </w:r>
      <w:r w:rsidR="005217E0">
        <w:rPr>
          <w:snapToGrid/>
          <w:szCs w:val="22"/>
          <w:lang w:val="lt-LT"/>
        </w:rPr>
        <w:t> mg</w:t>
      </w:r>
      <w:r w:rsidR="00EA547D" w:rsidRPr="00923E74">
        <w:rPr>
          <w:snapToGrid/>
          <w:szCs w:val="22"/>
          <w:lang w:val="lt-LT"/>
        </w:rPr>
        <w:t>, 10/40</w:t>
      </w:r>
      <w:r w:rsidR="005217E0">
        <w:rPr>
          <w:snapToGrid/>
          <w:szCs w:val="22"/>
          <w:lang w:val="lt-LT"/>
        </w:rPr>
        <w:t> mg</w:t>
      </w:r>
      <w:r w:rsidR="00EA547D" w:rsidRPr="00923E74">
        <w:rPr>
          <w:snapToGrid/>
          <w:szCs w:val="22"/>
          <w:lang w:val="lt-LT"/>
        </w:rPr>
        <w:t xml:space="preserve"> </w:t>
      </w:r>
      <w:r w:rsidRPr="00923E74">
        <w:rPr>
          <w:snapToGrid/>
          <w:szCs w:val="22"/>
          <w:lang w:val="lt-LT"/>
        </w:rPr>
        <w:t>ir</w:t>
      </w:r>
      <w:r w:rsidR="00EA547D" w:rsidRPr="00923E74">
        <w:rPr>
          <w:snapToGrid/>
          <w:szCs w:val="22"/>
          <w:lang w:val="lt-LT"/>
        </w:rPr>
        <w:t xml:space="preserve"> 10/80</w:t>
      </w:r>
      <w:r w:rsidR="005217E0">
        <w:rPr>
          <w:snapToGrid/>
          <w:szCs w:val="22"/>
          <w:lang w:val="lt-LT"/>
        </w:rPr>
        <w:t> mg</w:t>
      </w:r>
      <w:r w:rsidR="00EA547D" w:rsidRPr="00923E74">
        <w:rPr>
          <w:snapToGrid/>
          <w:szCs w:val="22"/>
          <w:lang w:val="lt-LT"/>
        </w:rPr>
        <w:t xml:space="preserve">) </w:t>
      </w:r>
      <w:r w:rsidRPr="00923E74">
        <w:rPr>
          <w:snapToGrid/>
          <w:szCs w:val="22"/>
          <w:lang w:val="lt-LT"/>
        </w:rPr>
        <w:t>laikotarpiu iki 12 savaičių</w:t>
      </w:r>
      <w:r w:rsidR="00EA547D" w:rsidRPr="00923E74">
        <w:rPr>
          <w:snapToGrid/>
          <w:szCs w:val="22"/>
          <w:lang w:val="lt-LT"/>
        </w:rPr>
        <w:t>.</w:t>
      </w:r>
    </w:p>
    <w:p w14:paraId="2E50E56C" w14:textId="0B99355B" w:rsidR="0092247B" w:rsidRPr="00923E74" w:rsidRDefault="0092247B" w:rsidP="007425C0">
      <w:pPr>
        <w:tabs>
          <w:tab w:val="clear" w:pos="567"/>
          <w:tab w:val="left" w:pos="708"/>
        </w:tabs>
        <w:autoSpaceDE w:val="0"/>
        <w:autoSpaceDN w:val="0"/>
        <w:adjustRightInd w:val="0"/>
        <w:spacing w:line="240" w:lineRule="auto"/>
        <w:rPr>
          <w:snapToGrid/>
          <w:color w:val="000000"/>
          <w:szCs w:val="22"/>
          <w:lang w:val="lt-LT" w:eastAsia="en-GB"/>
        </w:rPr>
      </w:pPr>
      <w:r w:rsidRPr="00923E74">
        <w:rPr>
          <w:snapToGrid/>
          <w:color w:val="000000"/>
          <w:szCs w:val="22"/>
          <w:lang w:val="lt-LT" w:eastAsia="en-GB"/>
        </w:rPr>
        <w:t xml:space="preserve">Buvo lyginti pacientų, kurie vartojo visas </w:t>
      </w:r>
      <w:proofErr w:type="spellStart"/>
      <w:r w:rsidRPr="00923E74">
        <w:rPr>
          <w:snapToGrid/>
          <w:color w:val="000000"/>
          <w:szCs w:val="22"/>
          <w:lang w:val="lt-LT" w:eastAsia="en-GB"/>
        </w:rPr>
        <w:t>a</w:t>
      </w:r>
      <w:r w:rsidR="00EA547D" w:rsidRPr="00923E74">
        <w:rPr>
          <w:snapToGrid/>
          <w:szCs w:val="22"/>
          <w:lang w:val="lt-LT"/>
        </w:rPr>
        <w:t>torvastatin</w:t>
      </w:r>
      <w:r w:rsidRPr="00923E74">
        <w:rPr>
          <w:snapToGrid/>
          <w:szCs w:val="22"/>
          <w:lang w:val="lt-LT"/>
        </w:rPr>
        <w:t>o</w:t>
      </w:r>
      <w:proofErr w:type="spellEnd"/>
      <w:r w:rsidR="00764354">
        <w:rPr>
          <w:snapToGrid/>
          <w:szCs w:val="22"/>
          <w:lang w:val="lt-LT"/>
        </w:rPr>
        <w:t xml:space="preserve"> </w:t>
      </w:r>
      <w:r w:rsidR="005217E0">
        <w:rPr>
          <w:snapToGrid/>
          <w:szCs w:val="22"/>
          <w:lang w:val="lt-LT"/>
        </w:rPr>
        <w:t>ir</w:t>
      </w:r>
      <w:r w:rsidR="00764354">
        <w:rPr>
          <w:snapToGrid/>
          <w:szCs w:val="22"/>
          <w:lang w:val="lt-LT"/>
        </w:rPr>
        <w:t xml:space="preserve"> </w:t>
      </w:r>
      <w:proofErr w:type="spellStart"/>
      <w:r w:rsidRPr="00923E74">
        <w:rPr>
          <w:snapToGrid/>
          <w:szCs w:val="22"/>
          <w:lang w:val="lt-LT"/>
        </w:rPr>
        <w:t>e</w:t>
      </w:r>
      <w:r w:rsidR="00EA547D" w:rsidRPr="00923E74">
        <w:rPr>
          <w:snapToGrid/>
          <w:szCs w:val="22"/>
          <w:lang w:val="lt-LT"/>
        </w:rPr>
        <w:t>zetimib</w:t>
      </w:r>
      <w:r w:rsidRPr="00923E74">
        <w:rPr>
          <w:snapToGrid/>
          <w:szCs w:val="22"/>
          <w:lang w:val="lt-LT"/>
        </w:rPr>
        <w:t>o</w:t>
      </w:r>
      <w:proofErr w:type="spellEnd"/>
      <w:r w:rsidRPr="00923E74">
        <w:rPr>
          <w:snapToGrid/>
          <w:szCs w:val="22"/>
          <w:lang w:val="lt-LT"/>
        </w:rPr>
        <w:t xml:space="preserve"> dozes, ir pacientų, kurie vartojo visas </w:t>
      </w:r>
      <w:proofErr w:type="spellStart"/>
      <w:r w:rsidRPr="00923E74">
        <w:rPr>
          <w:snapToGrid/>
          <w:szCs w:val="22"/>
          <w:lang w:val="lt-LT"/>
        </w:rPr>
        <w:t>atorvastatino</w:t>
      </w:r>
      <w:proofErr w:type="spellEnd"/>
      <w:r w:rsidRPr="00923E74">
        <w:rPr>
          <w:snapToGrid/>
          <w:szCs w:val="22"/>
          <w:lang w:val="lt-LT"/>
        </w:rPr>
        <w:t xml:space="preserve"> dozes,</w:t>
      </w:r>
      <w:r w:rsidR="00EA547D" w:rsidRPr="00923E74">
        <w:rPr>
          <w:snapToGrid/>
          <w:color w:val="000000"/>
          <w:szCs w:val="22"/>
          <w:lang w:val="lt-LT" w:eastAsia="en-GB"/>
        </w:rPr>
        <w:t xml:space="preserve"> </w:t>
      </w:r>
      <w:r w:rsidRPr="00923E74">
        <w:rPr>
          <w:snapToGrid/>
          <w:color w:val="000000"/>
          <w:szCs w:val="22"/>
          <w:lang w:val="lt-LT" w:eastAsia="en-GB"/>
        </w:rPr>
        <w:t>rezultatai</w:t>
      </w:r>
      <w:r w:rsidR="00EA547D" w:rsidRPr="00923E74">
        <w:rPr>
          <w:snapToGrid/>
          <w:color w:val="000000"/>
          <w:szCs w:val="22"/>
          <w:lang w:val="lt-LT" w:eastAsia="en-GB"/>
        </w:rPr>
        <w:t xml:space="preserve">. </w:t>
      </w:r>
      <w:proofErr w:type="spellStart"/>
      <w:r w:rsidR="00EA547D" w:rsidRPr="00923E74">
        <w:rPr>
          <w:snapToGrid/>
          <w:szCs w:val="22"/>
          <w:lang w:val="lt-LT"/>
        </w:rPr>
        <w:t>Atorvastatin</w:t>
      </w:r>
      <w:r w:rsidRPr="00923E74">
        <w:rPr>
          <w:snapToGrid/>
          <w:szCs w:val="22"/>
          <w:lang w:val="lt-LT"/>
        </w:rPr>
        <w:t>as</w:t>
      </w:r>
      <w:proofErr w:type="spellEnd"/>
      <w:r w:rsidR="00764354">
        <w:rPr>
          <w:snapToGrid/>
          <w:szCs w:val="22"/>
          <w:lang w:val="lt-LT"/>
        </w:rPr>
        <w:t xml:space="preserve"> </w:t>
      </w:r>
      <w:r w:rsidR="005217E0">
        <w:rPr>
          <w:snapToGrid/>
          <w:szCs w:val="22"/>
          <w:lang w:val="lt-LT"/>
        </w:rPr>
        <w:t>ir</w:t>
      </w:r>
      <w:r w:rsidR="00764354">
        <w:rPr>
          <w:snapToGrid/>
          <w:szCs w:val="22"/>
          <w:lang w:val="lt-LT"/>
        </w:rPr>
        <w:t xml:space="preserve"> </w:t>
      </w:r>
      <w:proofErr w:type="spellStart"/>
      <w:r w:rsidRPr="00923E74">
        <w:rPr>
          <w:snapToGrid/>
          <w:szCs w:val="22"/>
          <w:lang w:val="lt-LT"/>
        </w:rPr>
        <w:t>e</w:t>
      </w:r>
      <w:r w:rsidR="00EA547D" w:rsidRPr="00923E74">
        <w:rPr>
          <w:snapToGrid/>
          <w:szCs w:val="22"/>
          <w:lang w:val="lt-LT"/>
        </w:rPr>
        <w:t>zetimib</w:t>
      </w:r>
      <w:r w:rsidRPr="00923E74">
        <w:rPr>
          <w:snapToGrid/>
          <w:szCs w:val="22"/>
          <w:lang w:val="lt-LT"/>
        </w:rPr>
        <w:t>as</w:t>
      </w:r>
      <w:proofErr w:type="spellEnd"/>
      <w:r w:rsidRPr="00923E74">
        <w:rPr>
          <w:snapToGrid/>
          <w:szCs w:val="22"/>
          <w:lang w:val="lt-LT"/>
        </w:rPr>
        <w:t xml:space="preserve">, palyginti su vien </w:t>
      </w:r>
      <w:proofErr w:type="spellStart"/>
      <w:r w:rsidRPr="00923E74">
        <w:rPr>
          <w:snapToGrid/>
          <w:szCs w:val="22"/>
          <w:lang w:val="lt-LT"/>
        </w:rPr>
        <w:t>atorvastatinu</w:t>
      </w:r>
      <w:proofErr w:type="spellEnd"/>
      <w:r w:rsidRPr="00923E74">
        <w:rPr>
          <w:snapToGrid/>
          <w:szCs w:val="22"/>
          <w:lang w:val="lt-LT"/>
        </w:rPr>
        <w:t>, reikšmingai labiau sumažino bendrojo cholesterolio, MTL</w:t>
      </w:r>
      <w:r w:rsidR="00A749AD">
        <w:rPr>
          <w:snapToGrid/>
          <w:szCs w:val="22"/>
          <w:lang w:val="lt-LT"/>
        </w:rPr>
        <w:noBreakHyphen/>
      </w:r>
      <w:r w:rsidR="00A749AD" w:rsidRPr="00923E74">
        <w:rPr>
          <w:snapToGrid/>
          <w:szCs w:val="22"/>
          <w:lang w:val="lt-LT"/>
        </w:rPr>
        <w:t>C</w:t>
      </w:r>
      <w:r w:rsidRPr="00923E74">
        <w:rPr>
          <w:snapToGrid/>
          <w:szCs w:val="22"/>
          <w:lang w:val="lt-LT"/>
        </w:rPr>
        <w:t xml:space="preserve">, </w:t>
      </w:r>
      <w:proofErr w:type="spellStart"/>
      <w:r w:rsidR="00EA547D" w:rsidRPr="00923E74">
        <w:rPr>
          <w:snapToGrid/>
          <w:color w:val="000000"/>
          <w:szCs w:val="22"/>
          <w:lang w:val="lt-LT" w:eastAsia="en-GB"/>
        </w:rPr>
        <w:t>Apo</w:t>
      </w:r>
      <w:proofErr w:type="spellEnd"/>
      <w:r w:rsidR="005217E0">
        <w:rPr>
          <w:snapToGrid/>
          <w:color w:val="000000"/>
          <w:szCs w:val="22"/>
          <w:lang w:val="lt-LT" w:eastAsia="en-GB"/>
        </w:rPr>
        <w:t> </w:t>
      </w:r>
      <w:r w:rsidR="00EA547D" w:rsidRPr="00923E74">
        <w:rPr>
          <w:snapToGrid/>
          <w:color w:val="000000"/>
          <w:szCs w:val="22"/>
          <w:lang w:val="lt-LT" w:eastAsia="en-GB"/>
        </w:rPr>
        <w:t xml:space="preserve">B, </w:t>
      </w:r>
      <w:r w:rsidRPr="00923E74">
        <w:rPr>
          <w:snapToGrid/>
          <w:color w:val="000000"/>
          <w:szCs w:val="22"/>
          <w:lang w:val="lt-LT" w:eastAsia="en-GB"/>
        </w:rPr>
        <w:t>trigliceridų ir ne</w:t>
      </w:r>
      <w:r w:rsidR="005217E0">
        <w:rPr>
          <w:snapToGrid/>
          <w:color w:val="000000"/>
          <w:szCs w:val="22"/>
          <w:lang w:val="lt-LT" w:eastAsia="en-GB"/>
        </w:rPr>
        <w:noBreakHyphen/>
      </w:r>
      <w:r w:rsidRPr="00923E74">
        <w:rPr>
          <w:snapToGrid/>
          <w:color w:val="000000"/>
          <w:szCs w:val="22"/>
          <w:lang w:val="lt-LT" w:eastAsia="en-GB"/>
        </w:rPr>
        <w:t>DT</w:t>
      </w:r>
      <w:r w:rsidR="00EA547D" w:rsidRPr="00923E74">
        <w:rPr>
          <w:snapToGrid/>
          <w:color w:val="000000"/>
          <w:szCs w:val="22"/>
          <w:lang w:val="lt-LT" w:eastAsia="en-GB"/>
        </w:rPr>
        <w:t>L</w:t>
      </w:r>
      <w:r w:rsidR="00A749AD">
        <w:rPr>
          <w:snapToGrid/>
          <w:color w:val="000000"/>
          <w:szCs w:val="22"/>
          <w:lang w:val="lt-LT" w:eastAsia="en-GB"/>
        </w:rPr>
        <w:noBreakHyphen/>
      </w:r>
      <w:r w:rsidR="00A749AD" w:rsidRPr="00923E74">
        <w:rPr>
          <w:snapToGrid/>
          <w:color w:val="000000"/>
          <w:szCs w:val="22"/>
          <w:lang w:val="lt-LT" w:eastAsia="en-GB"/>
        </w:rPr>
        <w:t>C</w:t>
      </w:r>
      <w:r w:rsidR="00A749AD">
        <w:rPr>
          <w:snapToGrid/>
          <w:color w:val="000000"/>
          <w:szCs w:val="22"/>
          <w:lang w:val="lt-LT" w:eastAsia="en-GB"/>
        </w:rPr>
        <w:t> </w:t>
      </w:r>
      <w:r w:rsidRPr="00923E74">
        <w:rPr>
          <w:snapToGrid/>
          <w:color w:val="000000"/>
          <w:szCs w:val="22"/>
          <w:lang w:val="lt-LT" w:eastAsia="en-GB"/>
        </w:rPr>
        <w:t>k</w:t>
      </w:r>
      <w:r w:rsidR="005217E0">
        <w:rPr>
          <w:snapToGrid/>
          <w:color w:val="000000"/>
          <w:szCs w:val="22"/>
          <w:lang w:val="lt-LT" w:eastAsia="en-GB"/>
        </w:rPr>
        <w:t>oncentrac</w:t>
      </w:r>
      <w:r w:rsidRPr="00923E74">
        <w:rPr>
          <w:snapToGrid/>
          <w:color w:val="000000"/>
          <w:szCs w:val="22"/>
          <w:lang w:val="lt-LT" w:eastAsia="en-GB"/>
        </w:rPr>
        <w:t>i</w:t>
      </w:r>
      <w:r w:rsidR="005217E0">
        <w:rPr>
          <w:snapToGrid/>
          <w:color w:val="000000"/>
          <w:szCs w:val="22"/>
          <w:lang w:val="lt-LT" w:eastAsia="en-GB"/>
        </w:rPr>
        <w:t>ją</w:t>
      </w:r>
      <w:r w:rsidRPr="00923E74">
        <w:rPr>
          <w:snapToGrid/>
          <w:color w:val="000000"/>
          <w:szCs w:val="22"/>
          <w:lang w:val="lt-LT" w:eastAsia="en-GB"/>
        </w:rPr>
        <w:t xml:space="preserve"> bei padidino DTL</w:t>
      </w:r>
      <w:r w:rsidR="00A749AD">
        <w:rPr>
          <w:snapToGrid/>
          <w:color w:val="000000"/>
          <w:szCs w:val="22"/>
          <w:lang w:val="lt-LT" w:eastAsia="en-GB"/>
        </w:rPr>
        <w:noBreakHyphen/>
      </w:r>
      <w:r w:rsidR="00A749AD" w:rsidRPr="00923E74">
        <w:rPr>
          <w:snapToGrid/>
          <w:color w:val="000000"/>
          <w:szCs w:val="22"/>
          <w:lang w:val="lt-LT" w:eastAsia="en-GB"/>
        </w:rPr>
        <w:t>C</w:t>
      </w:r>
      <w:r w:rsidR="00A749AD">
        <w:rPr>
          <w:snapToGrid/>
          <w:color w:val="000000"/>
          <w:szCs w:val="22"/>
          <w:lang w:val="lt-LT" w:eastAsia="en-GB"/>
        </w:rPr>
        <w:t> </w:t>
      </w:r>
      <w:r w:rsidRPr="00923E74">
        <w:rPr>
          <w:snapToGrid/>
          <w:color w:val="000000"/>
          <w:szCs w:val="22"/>
          <w:lang w:val="lt-LT" w:eastAsia="en-GB"/>
        </w:rPr>
        <w:t>k</w:t>
      </w:r>
      <w:r w:rsidR="005217E0">
        <w:rPr>
          <w:snapToGrid/>
          <w:color w:val="000000"/>
          <w:szCs w:val="22"/>
          <w:lang w:val="lt-LT" w:eastAsia="en-GB"/>
        </w:rPr>
        <w:t>oncentrac</w:t>
      </w:r>
      <w:r w:rsidRPr="00923E74">
        <w:rPr>
          <w:snapToGrid/>
          <w:color w:val="000000"/>
          <w:szCs w:val="22"/>
          <w:lang w:val="lt-LT" w:eastAsia="en-GB"/>
        </w:rPr>
        <w:t>i</w:t>
      </w:r>
      <w:r w:rsidR="005217E0">
        <w:rPr>
          <w:snapToGrid/>
          <w:color w:val="000000"/>
          <w:szCs w:val="22"/>
          <w:lang w:val="lt-LT" w:eastAsia="en-GB"/>
        </w:rPr>
        <w:t>ją</w:t>
      </w:r>
      <w:r w:rsidRPr="00923E74">
        <w:rPr>
          <w:snapToGrid/>
          <w:color w:val="000000"/>
          <w:szCs w:val="22"/>
          <w:lang w:val="lt-LT" w:eastAsia="en-GB"/>
        </w:rPr>
        <w:t>.</w:t>
      </w:r>
    </w:p>
    <w:p w14:paraId="707E331A" w14:textId="77777777" w:rsidR="00EA547D" w:rsidRPr="00923E74" w:rsidRDefault="00EA547D" w:rsidP="007425C0">
      <w:pPr>
        <w:tabs>
          <w:tab w:val="clear" w:pos="567"/>
          <w:tab w:val="left" w:pos="708"/>
        </w:tabs>
        <w:autoSpaceDE w:val="0"/>
        <w:autoSpaceDN w:val="0"/>
        <w:adjustRightInd w:val="0"/>
        <w:spacing w:line="240" w:lineRule="auto"/>
        <w:rPr>
          <w:snapToGrid/>
          <w:szCs w:val="22"/>
          <w:lang w:val="lt-LT" w:eastAsia="en-GB"/>
        </w:rPr>
      </w:pPr>
    </w:p>
    <w:p w14:paraId="347B689A" w14:textId="643E761C" w:rsidR="00EA547D" w:rsidRPr="00923E74" w:rsidRDefault="00236B0B" w:rsidP="007425C0">
      <w:pPr>
        <w:tabs>
          <w:tab w:val="clear" w:pos="567"/>
        </w:tabs>
        <w:spacing w:line="240" w:lineRule="auto"/>
        <w:contextualSpacing/>
        <w:rPr>
          <w:rFonts w:eastAsia="Calibri"/>
          <w:snapToGrid/>
          <w:szCs w:val="22"/>
          <w:lang w:val="lt-LT"/>
        </w:rPr>
      </w:pPr>
      <w:proofErr w:type="spellStart"/>
      <w:r w:rsidRPr="00923E74">
        <w:rPr>
          <w:rFonts w:eastAsia="Calibri"/>
          <w:snapToGrid/>
          <w:szCs w:val="22"/>
          <w:lang w:val="lt-LT"/>
        </w:rPr>
        <w:t>Daugiacentrio</w:t>
      </w:r>
      <w:proofErr w:type="spellEnd"/>
      <w:r w:rsidRPr="00923E74">
        <w:rPr>
          <w:rFonts w:eastAsia="Calibri"/>
          <w:snapToGrid/>
          <w:szCs w:val="22"/>
          <w:lang w:val="lt-LT"/>
        </w:rPr>
        <w:t xml:space="preserve">, atsitiktinių imčių, dvigubai koduoto tyrimo metu </w:t>
      </w:r>
      <w:r w:rsidR="00D977E4" w:rsidRPr="00923E74">
        <w:rPr>
          <w:rFonts w:eastAsia="Calibri"/>
          <w:snapToGrid/>
          <w:szCs w:val="22"/>
          <w:lang w:val="lt-LT"/>
        </w:rPr>
        <w:t>621</w:t>
      </w:r>
      <w:r w:rsidR="005217E0">
        <w:rPr>
          <w:rFonts w:eastAsia="Calibri"/>
          <w:snapToGrid/>
          <w:szCs w:val="22"/>
          <w:lang w:val="lt-LT"/>
        </w:rPr>
        <w:t xml:space="preserve"> </w:t>
      </w:r>
      <w:r w:rsidR="00D977E4" w:rsidRPr="00923E74">
        <w:rPr>
          <w:rFonts w:eastAsia="Calibri"/>
          <w:snapToGrid/>
          <w:szCs w:val="22"/>
          <w:lang w:val="lt-LT"/>
        </w:rPr>
        <w:t xml:space="preserve">suaugęs pacientas, </w:t>
      </w:r>
      <w:r w:rsidR="00C74D19" w:rsidRPr="00923E74">
        <w:rPr>
          <w:rFonts w:eastAsia="Calibri"/>
          <w:snapToGrid/>
          <w:szCs w:val="22"/>
          <w:lang w:val="lt-LT"/>
        </w:rPr>
        <w:t>kuris sirgo</w:t>
      </w:r>
      <w:r w:rsidR="00D977E4" w:rsidRPr="00923E74">
        <w:rPr>
          <w:rFonts w:eastAsia="Calibri"/>
          <w:snapToGrid/>
          <w:szCs w:val="22"/>
          <w:lang w:val="lt-LT"/>
        </w:rPr>
        <w:t xml:space="preserve"> </w:t>
      </w:r>
      <w:proofErr w:type="spellStart"/>
      <w:r w:rsidR="00C74D19" w:rsidRPr="00923E74">
        <w:rPr>
          <w:rFonts w:eastAsia="Calibri"/>
          <w:snapToGrid/>
          <w:szCs w:val="22"/>
          <w:lang w:val="lt-LT"/>
        </w:rPr>
        <w:t>heterozigotine</w:t>
      </w:r>
      <w:proofErr w:type="spellEnd"/>
      <w:r w:rsidR="00C74D19" w:rsidRPr="00923E74">
        <w:rPr>
          <w:rFonts w:eastAsia="Calibri"/>
          <w:snapToGrid/>
          <w:szCs w:val="22"/>
          <w:lang w:val="lt-LT"/>
        </w:rPr>
        <w:t xml:space="preserve"> šeimine </w:t>
      </w:r>
      <w:proofErr w:type="spellStart"/>
      <w:r w:rsidR="00C74D19" w:rsidRPr="00923E74">
        <w:rPr>
          <w:rFonts w:eastAsia="Calibri"/>
          <w:snapToGrid/>
          <w:szCs w:val="22"/>
          <w:lang w:val="lt-LT"/>
        </w:rPr>
        <w:t>hipercholesterolemija</w:t>
      </w:r>
      <w:proofErr w:type="spellEnd"/>
      <w:r w:rsidR="00EA547D" w:rsidRPr="00923E74">
        <w:rPr>
          <w:rFonts w:eastAsia="Calibri"/>
          <w:snapToGrid/>
          <w:szCs w:val="22"/>
          <w:lang w:val="lt-LT"/>
        </w:rPr>
        <w:t xml:space="preserve">, </w:t>
      </w:r>
      <w:r w:rsidR="00C74D19" w:rsidRPr="00923E74">
        <w:rPr>
          <w:rFonts w:eastAsia="Calibri"/>
          <w:snapToGrid/>
          <w:szCs w:val="22"/>
          <w:lang w:val="lt-LT"/>
        </w:rPr>
        <w:t xml:space="preserve">išemine širdies liga ar turėjo </w:t>
      </w:r>
      <w:r w:rsidR="00A749AD">
        <w:rPr>
          <w:rFonts w:eastAsia="Calibri"/>
          <w:snapToGrid/>
          <w:szCs w:val="22"/>
          <w:lang w:val="lt-LT"/>
        </w:rPr>
        <w:t>kelis</w:t>
      </w:r>
      <w:r w:rsidR="00C74D19" w:rsidRPr="00923E74">
        <w:rPr>
          <w:rFonts w:eastAsia="Calibri"/>
          <w:snapToGrid/>
          <w:szCs w:val="22"/>
          <w:lang w:val="lt-LT"/>
        </w:rPr>
        <w:t xml:space="preserve"> (</w:t>
      </w:r>
      <w:r w:rsidR="00EA547D" w:rsidRPr="00923E74">
        <w:rPr>
          <w:rFonts w:eastAsia="Calibri"/>
          <w:snapToGrid/>
          <w:szCs w:val="22"/>
          <w:lang w:val="lt-LT"/>
        </w:rPr>
        <w:t>≥</w:t>
      </w:r>
      <w:r w:rsidR="00C74D19" w:rsidRPr="00923E74">
        <w:rPr>
          <w:rFonts w:eastAsia="Calibri"/>
          <w:snapToGrid/>
          <w:szCs w:val="22"/>
          <w:lang w:val="lt-LT"/>
        </w:rPr>
        <w:t> </w:t>
      </w:r>
      <w:r w:rsidR="00EA547D" w:rsidRPr="00923E74">
        <w:rPr>
          <w:rFonts w:eastAsia="Calibri"/>
          <w:snapToGrid/>
          <w:szCs w:val="22"/>
          <w:lang w:val="lt-LT"/>
        </w:rPr>
        <w:t xml:space="preserve">2) </w:t>
      </w:r>
      <w:r w:rsidR="00C74D19" w:rsidRPr="00923E74">
        <w:rPr>
          <w:rFonts w:eastAsia="Calibri"/>
          <w:snapToGrid/>
          <w:szCs w:val="22"/>
          <w:lang w:val="lt-LT"/>
        </w:rPr>
        <w:t>kardiovaskulinės rizikos veiksni</w:t>
      </w:r>
      <w:r w:rsidR="00A749AD">
        <w:rPr>
          <w:rFonts w:eastAsia="Calibri"/>
          <w:snapToGrid/>
          <w:szCs w:val="22"/>
          <w:lang w:val="lt-LT"/>
        </w:rPr>
        <w:t>us</w:t>
      </w:r>
      <w:r w:rsidR="00C74D19" w:rsidRPr="00923E74">
        <w:rPr>
          <w:rFonts w:eastAsia="Calibri"/>
          <w:snapToGrid/>
          <w:szCs w:val="22"/>
          <w:lang w:val="lt-LT"/>
        </w:rPr>
        <w:t xml:space="preserve"> ir kurio MTL</w:t>
      </w:r>
      <w:r w:rsidR="00A749AD">
        <w:rPr>
          <w:rFonts w:eastAsia="Calibri"/>
          <w:snapToGrid/>
          <w:szCs w:val="22"/>
          <w:lang w:val="lt-LT"/>
        </w:rPr>
        <w:noBreakHyphen/>
      </w:r>
      <w:r w:rsidR="00A749AD" w:rsidRPr="00923E74">
        <w:rPr>
          <w:rFonts w:eastAsia="Calibri"/>
          <w:snapToGrid/>
          <w:szCs w:val="22"/>
          <w:lang w:val="lt-LT"/>
        </w:rPr>
        <w:t>C</w:t>
      </w:r>
      <w:r w:rsidR="00A749AD">
        <w:rPr>
          <w:rFonts w:eastAsia="Calibri"/>
          <w:snapToGrid/>
          <w:szCs w:val="22"/>
          <w:lang w:val="lt-LT"/>
        </w:rPr>
        <w:t> </w:t>
      </w:r>
      <w:r w:rsidR="00C74D19" w:rsidRPr="00923E74">
        <w:rPr>
          <w:rFonts w:eastAsia="Calibri"/>
          <w:snapToGrid/>
          <w:szCs w:val="22"/>
          <w:lang w:val="lt-LT"/>
        </w:rPr>
        <w:t>k</w:t>
      </w:r>
      <w:r w:rsidR="005217E0">
        <w:rPr>
          <w:rFonts w:eastAsia="Calibri"/>
          <w:snapToGrid/>
          <w:szCs w:val="22"/>
          <w:lang w:val="lt-LT"/>
        </w:rPr>
        <w:t>onc</w:t>
      </w:r>
      <w:r w:rsidR="00C74D19" w:rsidRPr="00923E74">
        <w:rPr>
          <w:rFonts w:eastAsia="Calibri"/>
          <w:snapToGrid/>
          <w:szCs w:val="22"/>
          <w:lang w:val="lt-LT"/>
        </w:rPr>
        <w:t>e</w:t>
      </w:r>
      <w:r w:rsidR="005217E0">
        <w:rPr>
          <w:rFonts w:eastAsia="Calibri"/>
          <w:snapToGrid/>
          <w:szCs w:val="22"/>
          <w:lang w:val="lt-LT"/>
        </w:rPr>
        <w:t>ntrac</w:t>
      </w:r>
      <w:r w:rsidR="00C74D19" w:rsidRPr="00923E74">
        <w:rPr>
          <w:rFonts w:eastAsia="Calibri"/>
          <w:snapToGrid/>
          <w:szCs w:val="22"/>
          <w:lang w:val="lt-LT"/>
        </w:rPr>
        <w:t>i</w:t>
      </w:r>
      <w:r w:rsidR="005217E0">
        <w:rPr>
          <w:rFonts w:eastAsia="Calibri"/>
          <w:snapToGrid/>
          <w:szCs w:val="22"/>
          <w:lang w:val="lt-LT"/>
        </w:rPr>
        <w:t>ja</w:t>
      </w:r>
      <w:r w:rsidR="00C74D19" w:rsidRPr="00923E74">
        <w:rPr>
          <w:rFonts w:eastAsia="Calibri"/>
          <w:snapToGrid/>
          <w:szCs w:val="22"/>
          <w:lang w:val="lt-LT"/>
        </w:rPr>
        <w:t xml:space="preserve"> buvo</w:t>
      </w:r>
      <w:r w:rsidR="00EA547D" w:rsidRPr="00923E74">
        <w:rPr>
          <w:rFonts w:eastAsia="Calibri"/>
          <w:snapToGrid/>
          <w:szCs w:val="22"/>
          <w:lang w:val="lt-LT"/>
        </w:rPr>
        <w:t xml:space="preserve"> ≥</w:t>
      </w:r>
      <w:r w:rsidR="00C74D19" w:rsidRPr="00923E74">
        <w:rPr>
          <w:rFonts w:eastAsia="Calibri"/>
          <w:szCs w:val="22"/>
          <w:lang w:val="lt-LT"/>
        </w:rPr>
        <w:t> </w:t>
      </w:r>
      <w:r w:rsidR="00EA547D" w:rsidRPr="00923E74">
        <w:rPr>
          <w:rFonts w:eastAsia="Calibri"/>
          <w:snapToGrid/>
          <w:szCs w:val="22"/>
          <w:lang w:val="lt-LT"/>
        </w:rPr>
        <w:t>130</w:t>
      </w:r>
      <w:r w:rsidR="00DB52C7" w:rsidRPr="00923E74">
        <w:rPr>
          <w:rFonts w:eastAsia="Calibri"/>
          <w:snapToGrid/>
          <w:szCs w:val="22"/>
          <w:lang w:val="lt-LT"/>
        </w:rPr>
        <w:t> mg</w:t>
      </w:r>
      <w:r w:rsidR="00EA547D" w:rsidRPr="00923E74">
        <w:rPr>
          <w:rFonts w:eastAsia="Calibri"/>
          <w:snapToGrid/>
          <w:szCs w:val="22"/>
          <w:lang w:val="lt-LT"/>
        </w:rPr>
        <w:t>/d</w:t>
      </w:r>
      <w:r w:rsidR="00C74D19" w:rsidRPr="00923E74">
        <w:rPr>
          <w:rFonts w:eastAsia="Calibri"/>
          <w:snapToGrid/>
          <w:szCs w:val="22"/>
          <w:lang w:val="lt-LT"/>
        </w:rPr>
        <w:t>l,</w:t>
      </w:r>
      <w:r w:rsidR="00BD503C" w:rsidRPr="00923E74">
        <w:rPr>
          <w:rFonts w:eastAsia="Calibri"/>
          <w:snapToGrid/>
          <w:szCs w:val="22"/>
          <w:lang w:val="lt-LT"/>
        </w:rPr>
        <w:t xml:space="preserve"> po 6</w:t>
      </w:r>
      <w:r w:rsidR="00BD503C" w:rsidRPr="00923E74">
        <w:rPr>
          <w:rFonts w:eastAsia="Calibri"/>
          <w:snapToGrid/>
          <w:szCs w:val="22"/>
          <w:lang w:val="lt-LT"/>
        </w:rPr>
        <w:noBreakHyphen/>
        <w:t>10 savaičių būklės stabilizavimo dieta ir atviro įtraukimo laikotarpio, kai vartota 10</w:t>
      </w:r>
      <w:r w:rsidR="00DB52C7" w:rsidRPr="00923E74">
        <w:rPr>
          <w:rFonts w:eastAsia="Calibri"/>
          <w:snapToGrid/>
          <w:szCs w:val="22"/>
          <w:lang w:val="lt-LT"/>
        </w:rPr>
        <w:t> mg</w:t>
      </w:r>
      <w:r w:rsidR="00BD503C" w:rsidRPr="00923E74">
        <w:rPr>
          <w:rFonts w:eastAsia="Calibri"/>
          <w:snapToGrid/>
          <w:szCs w:val="22"/>
          <w:lang w:val="lt-LT"/>
        </w:rPr>
        <w:t xml:space="preserve"> </w:t>
      </w:r>
      <w:proofErr w:type="spellStart"/>
      <w:r w:rsidR="00BD503C" w:rsidRPr="00923E74">
        <w:rPr>
          <w:rFonts w:eastAsia="Calibri"/>
          <w:snapToGrid/>
          <w:szCs w:val="22"/>
          <w:lang w:val="lt-LT"/>
        </w:rPr>
        <w:t>atorvastatino</w:t>
      </w:r>
      <w:proofErr w:type="spellEnd"/>
      <w:r w:rsidR="00BD503C" w:rsidRPr="00923E74">
        <w:rPr>
          <w:rFonts w:eastAsia="Calibri"/>
          <w:snapToGrid/>
          <w:szCs w:val="22"/>
          <w:lang w:val="lt-LT"/>
        </w:rPr>
        <w:t xml:space="preserve"> paros dozė, pradėjo vartoti</w:t>
      </w:r>
      <w:r w:rsidR="00EA547D" w:rsidRPr="00923E74">
        <w:rPr>
          <w:rFonts w:eastAsia="Calibri"/>
          <w:snapToGrid/>
          <w:szCs w:val="22"/>
          <w:lang w:val="lt-LT"/>
        </w:rPr>
        <w:t xml:space="preserve"> 10</w:t>
      </w:r>
      <w:r w:rsidR="00DB52C7" w:rsidRPr="00923E74">
        <w:rPr>
          <w:rFonts w:eastAsia="Calibri"/>
          <w:snapToGrid/>
          <w:szCs w:val="22"/>
          <w:lang w:val="lt-LT"/>
        </w:rPr>
        <w:t> mg</w:t>
      </w:r>
      <w:r w:rsidR="00EA547D" w:rsidRPr="00923E74">
        <w:rPr>
          <w:rFonts w:eastAsia="Calibri"/>
          <w:snapToGrid/>
          <w:szCs w:val="22"/>
          <w:lang w:val="lt-LT"/>
        </w:rPr>
        <w:t xml:space="preserve"> </w:t>
      </w:r>
      <w:proofErr w:type="spellStart"/>
      <w:r w:rsidR="00BD503C" w:rsidRPr="00923E74">
        <w:rPr>
          <w:rFonts w:eastAsia="Calibri"/>
          <w:snapToGrid/>
          <w:szCs w:val="22"/>
          <w:lang w:val="lt-LT"/>
        </w:rPr>
        <w:t>atorvastatino</w:t>
      </w:r>
      <w:proofErr w:type="spellEnd"/>
      <w:r w:rsidR="00BD503C" w:rsidRPr="00923E74">
        <w:rPr>
          <w:rFonts w:eastAsia="Calibri"/>
          <w:snapToGrid/>
          <w:szCs w:val="22"/>
          <w:lang w:val="lt-LT"/>
        </w:rPr>
        <w:t xml:space="preserve"> ir 10</w:t>
      </w:r>
      <w:r w:rsidR="00DB52C7" w:rsidRPr="00923E74">
        <w:rPr>
          <w:rFonts w:eastAsia="Calibri"/>
          <w:snapToGrid/>
          <w:szCs w:val="22"/>
          <w:lang w:val="lt-LT"/>
        </w:rPr>
        <w:t> mg</w:t>
      </w:r>
      <w:r w:rsidR="00EA547D" w:rsidRPr="00923E74">
        <w:rPr>
          <w:rFonts w:eastAsia="Calibri"/>
          <w:snapToGrid/>
          <w:szCs w:val="22"/>
          <w:lang w:val="lt-LT"/>
        </w:rPr>
        <w:t xml:space="preserve"> </w:t>
      </w:r>
      <w:proofErr w:type="spellStart"/>
      <w:r w:rsidR="00EA547D" w:rsidRPr="00923E74">
        <w:rPr>
          <w:rFonts w:eastAsia="Calibri"/>
          <w:snapToGrid/>
          <w:szCs w:val="22"/>
          <w:lang w:val="lt-LT"/>
        </w:rPr>
        <w:t>ezetimib</w:t>
      </w:r>
      <w:r w:rsidR="00BD503C" w:rsidRPr="00923E74">
        <w:rPr>
          <w:rFonts w:eastAsia="Calibri"/>
          <w:snapToGrid/>
          <w:szCs w:val="22"/>
          <w:lang w:val="lt-LT"/>
        </w:rPr>
        <w:t>o</w:t>
      </w:r>
      <w:proofErr w:type="spellEnd"/>
      <w:r w:rsidR="00BD503C" w:rsidRPr="00923E74">
        <w:rPr>
          <w:rFonts w:eastAsia="Calibri"/>
          <w:snapToGrid/>
          <w:szCs w:val="22"/>
          <w:lang w:val="lt-LT"/>
        </w:rPr>
        <w:t xml:space="preserve"> arba 2</w:t>
      </w:r>
      <w:r w:rsidR="00EA547D" w:rsidRPr="00923E74">
        <w:rPr>
          <w:rFonts w:eastAsia="Calibri"/>
          <w:snapToGrid/>
          <w:szCs w:val="22"/>
          <w:lang w:val="lt-LT"/>
        </w:rPr>
        <w:t>0</w:t>
      </w:r>
      <w:r w:rsidR="00DB52C7" w:rsidRPr="00923E74">
        <w:rPr>
          <w:rFonts w:eastAsia="Calibri"/>
          <w:snapToGrid/>
          <w:szCs w:val="22"/>
          <w:lang w:val="lt-LT"/>
        </w:rPr>
        <w:t> mg</w:t>
      </w:r>
      <w:r w:rsidR="00EA547D" w:rsidRPr="00923E74">
        <w:rPr>
          <w:rFonts w:eastAsia="Calibri"/>
          <w:snapToGrid/>
          <w:szCs w:val="22"/>
          <w:lang w:val="lt-LT"/>
        </w:rPr>
        <w:t xml:space="preserve"> </w:t>
      </w:r>
      <w:proofErr w:type="spellStart"/>
      <w:r w:rsidR="00EA547D" w:rsidRPr="00923E74">
        <w:rPr>
          <w:rFonts w:eastAsia="Calibri"/>
          <w:snapToGrid/>
          <w:szCs w:val="22"/>
          <w:lang w:val="lt-LT"/>
        </w:rPr>
        <w:t>atorvastatin</w:t>
      </w:r>
      <w:r w:rsidR="00BD503C" w:rsidRPr="00923E74">
        <w:rPr>
          <w:rFonts w:eastAsia="Calibri"/>
          <w:snapToGrid/>
          <w:szCs w:val="22"/>
          <w:lang w:val="lt-LT"/>
        </w:rPr>
        <w:t>o</w:t>
      </w:r>
      <w:proofErr w:type="spellEnd"/>
      <w:r w:rsidR="00EA547D" w:rsidRPr="00923E74">
        <w:rPr>
          <w:rFonts w:eastAsia="Calibri"/>
          <w:snapToGrid/>
          <w:szCs w:val="22"/>
          <w:lang w:val="lt-LT"/>
        </w:rPr>
        <w:t xml:space="preserve">. </w:t>
      </w:r>
      <w:proofErr w:type="spellStart"/>
      <w:r w:rsidR="00EA547D" w:rsidRPr="00923E74">
        <w:rPr>
          <w:rFonts w:eastAsia="Calibri"/>
          <w:snapToGrid/>
          <w:szCs w:val="22"/>
          <w:lang w:val="lt-LT"/>
        </w:rPr>
        <w:t>Atorvastatin</w:t>
      </w:r>
      <w:r w:rsidR="00BD503C" w:rsidRPr="00923E74">
        <w:rPr>
          <w:rFonts w:eastAsia="Calibri"/>
          <w:snapToGrid/>
          <w:szCs w:val="22"/>
          <w:lang w:val="lt-LT"/>
        </w:rPr>
        <w:t>o</w:t>
      </w:r>
      <w:proofErr w:type="spellEnd"/>
      <w:r w:rsidR="00BD503C" w:rsidRPr="00923E74">
        <w:rPr>
          <w:rFonts w:eastAsia="Calibri"/>
          <w:snapToGrid/>
          <w:szCs w:val="22"/>
          <w:lang w:val="lt-LT"/>
        </w:rPr>
        <w:t xml:space="preserve"> dozė abiejose</w:t>
      </w:r>
      <w:r w:rsidR="005217E0">
        <w:rPr>
          <w:rFonts w:eastAsia="Calibri"/>
          <w:snapToGrid/>
          <w:szCs w:val="22"/>
          <w:lang w:val="lt-LT"/>
        </w:rPr>
        <w:t> </w:t>
      </w:r>
      <w:r w:rsidR="00BD503C" w:rsidRPr="00923E74">
        <w:rPr>
          <w:rFonts w:eastAsia="Calibri"/>
          <w:snapToGrid/>
          <w:szCs w:val="22"/>
          <w:lang w:val="lt-LT"/>
        </w:rPr>
        <w:t>grupėse buvo padvigubinta po</w:t>
      </w:r>
      <w:r w:rsidR="00EA547D" w:rsidRPr="00923E74">
        <w:rPr>
          <w:rFonts w:eastAsia="Calibri"/>
          <w:snapToGrid/>
          <w:szCs w:val="22"/>
          <w:lang w:val="lt-LT"/>
        </w:rPr>
        <w:t xml:space="preserve"> 4</w:t>
      </w:r>
      <w:r w:rsidR="00BD503C" w:rsidRPr="00923E74">
        <w:rPr>
          <w:rFonts w:eastAsia="Calibri"/>
          <w:snapToGrid/>
          <w:szCs w:val="22"/>
          <w:lang w:val="lt-LT"/>
        </w:rPr>
        <w:t> savaičių ir</w:t>
      </w:r>
      <w:r w:rsidR="005217E0">
        <w:rPr>
          <w:rFonts w:eastAsia="Calibri"/>
          <w:snapToGrid/>
          <w:szCs w:val="22"/>
          <w:lang w:val="lt-LT"/>
        </w:rPr>
        <w:t> </w:t>
      </w:r>
      <w:r w:rsidR="00BD503C" w:rsidRPr="00923E74">
        <w:rPr>
          <w:rFonts w:eastAsia="Calibri"/>
          <w:snapToGrid/>
          <w:szCs w:val="22"/>
          <w:lang w:val="lt-LT"/>
        </w:rPr>
        <w:t>(arba)</w:t>
      </w:r>
      <w:r w:rsidR="00EA547D" w:rsidRPr="00923E74">
        <w:rPr>
          <w:rFonts w:eastAsia="Calibri"/>
          <w:snapToGrid/>
          <w:szCs w:val="22"/>
          <w:lang w:val="lt-LT"/>
        </w:rPr>
        <w:t xml:space="preserve"> 9</w:t>
      </w:r>
      <w:r w:rsidR="00BD503C" w:rsidRPr="00923E74">
        <w:rPr>
          <w:rFonts w:eastAsia="Calibri"/>
          <w:snapToGrid/>
          <w:szCs w:val="22"/>
          <w:lang w:val="lt-LT"/>
        </w:rPr>
        <w:t> savaičių, jei nebuvo pasiek</w:t>
      </w:r>
      <w:r w:rsidR="00A749AD">
        <w:rPr>
          <w:rFonts w:eastAsia="Calibri"/>
          <w:snapToGrid/>
          <w:szCs w:val="22"/>
          <w:lang w:val="lt-LT"/>
        </w:rPr>
        <w:t>t</w:t>
      </w:r>
      <w:r w:rsidR="00BD503C" w:rsidRPr="00923E74">
        <w:rPr>
          <w:rFonts w:eastAsia="Calibri"/>
          <w:snapToGrid/>
          <w:szCs w:val="22"/>
          <w:lang w:val="lt-LT"/>
        </w:rPr>
        <w:t>a tikslin</w:t>
      </w:r>
      <w:r w:rsidR="005217E0">
        <w:rPr>
          <w:rFonts w:eastAsia="Calibri"/>
          <w:snapToGrid/>
          <w:szCs w:val="22"/>
          <w:lang w:val="lt-LT"/>
        </w:rPr>
        <w:t>ė</w:t>
      </w:r>
      <w:r w:rsidR="00BD503C" w:rsidRPr="00923E74">
        <w:rPr>
          <w:rFonts w:eastAsia="Calibri"/>
          <w:snapToGrid/>
          <w:szCs w:val="22"/>
          <w:lang w:val="lt-LT"/>
        </w:rPr>
        <w:t xml:space="preserve"> MTL</w:t>
      </w:r>
      <w:r w:rsidR="00A749AD">
        <w:rPr>
          <w:rFonts w:eastAsia="Calibri"/>
          <w:snapToGrid/>
          <w:szCs w:val="22"/>
          <w:lang w:val="lt-LT"/>
        </w:rPr>
        <w:noBreakHyphen/>
      </w:r>
      <w:r w:rsidR="00A749AD" w:rsidRPr="00923E74">
        <w:rPr>
          <w:rFonts w:eastAsia="Calibri"/>
          <w:snapToGrid/>
          <w:szCs w:val="22"/>
          <w:lang w:val="lt-LT"/>
        </w:rPr>
        <w:t>C</w:t>
      </w:r>
      <w:r w:rsidR="00A749AD">
        <w:rPr>
          <w:rFonts w:eastAsia="Calibri"/>
          <w:snapToGrid/>
          <w:szCs w:val="22"/>
          <w:lang w:val="lt-LT"/>
        </w:rPr>
        <w:t> </w:t>
      </w:r>
      <w:r w:rsidR="00BD503C" w:rsidRPr="00923E74">
        <w:rPr>
          <w:rFonts w:eastAsia="Calibri"/>
          <w:snapToGrid/>
          <w:szCs w:val="22"/>
          <w:lang w:val="lt-LT"/>
        </w:rPr>
        <w:t>k</w:t>
      </w:r>
      <w:r w:rsidR="005217E0">
        <w:rPr>
          <w:rFonts w:eastAsia="Calibri"/>
          <w:snapToGrid/>
          <w:szCs w:val="22"/>
          <w:lang w:val="lt-LT"/>
        </w:rPr>
        <w:t>onc</w:t>
      </w:r>
      <w:r w:rsidR="00BD503C" w:rsidRPr="00923E74">
        <w:rPr>
          <w:rFonts w:eastAsia="Calibri"/>
          <w:snapToGrid/>
          <w:szCs w:val="22"/>
          <w:lang w:val="lt-LT"/>
        </w:rPr>
        <w:t>e</w:t>
      </w:r>
      <w:r w:rsidR="005217E0">
        <w:rPr>
          <w:rFonts w:eastAsia="Calibri"/>
          <w:snapToGrid/>
          <w:szCs w:val="22"/>
          <w:lang w:val="lt-LT"/>
        </w:rPr>
        <w:t>ntrac</w:t>
      </w:r>
      <w:r w:rsidR="00BD503C" w:rsidRPr="00923E74">
        <w:rPr>
          <w:rFonts w:eastAsia="Calibri"/>
          <w:snapToGrid/>
          <w:szCs w:val="22"/>
          <w:lang w:val="lt-LT"/>
        </w:rPr>
        <w:t>i</w:t>
      </w:r>
      <w:r w:rsidR="005217E0">
        <w:rPr>
          <w:rFonts w:eastAsia="Calibri"/>
          <w:snapToGrid/>
          <w:szCs w:val="22"/>
          <w:lang w:val="lt-LT"/>
        </w:rPr>
        <w:t>ja</w:t>
      </w:r>
      <w:r w:rsidR="00BD503C" w:rsidRPr="00923E74">
        <w:rPr>
          <w:rFonts w:eastAsia="Calibri"/>
          <w:snapToGrid/>
          <w:szCs w:val="22"/>
          <w:lang w:val="lt-LT"/>
        </w:rPr>
        <w:t xml:space="preserve"> (</w:t>
      </w:r>
      <w:r w:rsidR="00EA547D" w:rsidRPr="00923E74">
        <w:rPr>
          <w:rFonts w:eastAsia="Calibri"/>
          <w:snapToGrid/>
          <w:szCs w:val="22"/>
          <w:lang w:val="lt-LT"/>
        </w:rPr>
        <w:t>≤</w:t>
      </w:r>
      <w:r w:rsidR="00BD503C" w:rsidRPr="00923E74">
        <w:rPr>
          <w:rFonts w:eastAsia="Calibri"/>
          <w:snapToGrid/>
          <w:szCs w:val="22"/>
          <w:lang w:val="lt-LT"/>
        </w:rPr>
        <w:t> </w:t>
      </w:r>
      <w:r w:rsidR="00EA547D" w:rsidRPr="00923E74">
        <w:rPr>
          <w:rFonts w:eastAsia="Calibri"/>
          <w:snapToGrid/>
          <w:szCs w:val="22"/>
          <w:lang w:val="lt-LT"/>
        </w:rPr>
        <w:t>100</w:t>
      </w:r>
      <w:r w:rsidR="00DB52C7" w:rsidRPr="00923E74">
        <w:rPr>
          <w:rFonts w:eastAsia="Calibri"/>
          <w:snapToGrid/>
          <w:szCs w:val="22"/>
          <w:lang w:val="lt-LT"/>
        </w:rPr>
        <w:t> mg</w:t>
      </w:r>
      <w:r w:rsidR="00EA547D" w:rsidRPr="00923E74">
        <w:rPr>
          <w:rFonts w:eastAsia="Calibri"/>
          <w:snapToGrid/>
          <w:szCs w:val="22"/>
          <w:lang w:val="lt-LT"/>
        </w:rPr>
        <w:t>/d</w:t>
      </w:r>
      <w:r w:rsidR="00BD503C" w:rsidRPr="00923E74">
        <w:rPr>
          <w:rFonts w:eastAsia="Calibri"/>
          <w:snapToGrid/>
          <w:szCs w:val="22"/>
          <w:lang w:val="lt-LT"/>
        </w:rPr>
        <w:t xml:space="preserve">l), iki ne didesnės kaip </w:t>
      </w:r>
      <w:r w:rsidR="00EA547D" w:rsidRPr="00923E74">
        <w:rPr>
          <w:rFonts w:eastAsia="Calibri"/>
          <w:snapToGrid/>
          <w:szCs w:val="22"/>
          <w:lang w:val="lt-LT"/>
        </w:rPr>
        <w:t>40</w:t>
      </w:r>
      <w:r w:rsidR="00DB52C7" w:rsidRPr="00923E74">
        <w:rPr>
          <w:rFonts w:eastAsia="Calibri"/>
          <w:snapToGrid/>
          <w:szCs w:val="22"/>
          <w:lang w:val="lt-LT"/>
        </w:rPr>
        <w:t> mg</w:t>
      </w:r>
      <w:r w:rsidR="00EA547D" w:rsidRPr="00923E74">
        <w:rPr>
          <w:rFonts w:eastAsia="Calibri"/>
          <w:snapToGrid/>
          <w:szCs w:val="22"/>
          <w:lang w:val="lt-LT"/>
        </w:rPr>
        <w:t xml:space="preserve"> </w:t>
      </w:r>
      <w:r w:rsidR="00BD503C" w:rsidRPr="00923E74">
        <w:rPr>
          <w:rFonts w:eastAsia="Calibri"/>
          <w:snapToGrid/>
          <w:szCs w:val="22"/>
          <w:lang w:val="lt-LT"/>
        </w:rPr>
        <w:t>dozės kombinuotojo gydymo grupėje ir</w:t>
      </w:r>
      <w:r w:rsidR="00EA547D" w:rsidRPr="00923E74">
        <w:rPr>
          <w:rFonts w:eastAsia="Calibri"/>
          <w:snapToGrid/>
          <w:szCs w:val="22"/>
          <w:lang w:val="lt-LT"/>
        </w:rPr>
        <w:t xml:space="preserve"> 80</w:t>
      </w:r>
      <w:r w:rsidR="00DB52C7" w:rsidRPr="00923E74">
        <w:rPr>
          <w:rFonts w:eastAsia="Calibri"/>
          <w:snapToGrid/>
          <w:szCs w:val="22"/>
          <w:lang w:val="lt-LT"/>
        </w:rPr>
        <w:t> mg</w:t>
      </w:r>
      <w:r w:rsidR="00EA547D" w:rsidRPr="00923E74">
        <w:rPr>
          <w:rFonts w:eastAsia="Calibri"/>
          <w:snapToGrid/>
          <w:szCs w:val="22"/>
          <w:lang w:val="lt-LT"/>
        </w:rPr>
        <w:t xml:space="preserve"> </w:t>
      </w:r>
      <w:proofErr w:type="spellStart"/>
      <w:r w:rsidR="00BD503C" w:rsidRPr="00923E74">
        <w:rPr>
          <w:rFonts w:eastAsia="Calibri"/>
          <w:snapToGrid/>
          <w:szCs w:val="22"/>
          <w:lang w:val="lt-LT"/>
        </w:rPr>
        <w:t>monoterapijos</w:t>
      </w:r>
      <w:proofErr w:type="spellEnd"/>
      <w:r w:rsidR="00BD503C" w:rsidRPr="00923E74">
        <w:rPr>
          <w:rFonts w:eastAsia="Calibri"/>
          <w:snapToGrid/>
          <w:szCs w:val="22"/>
          <w:lang w:val="lt-LT"/>
        </w:rPr>
        <w:t xml:space="preserve"> grupė</w:t>
      </w:r>
      <w:r w:rsidR="00A749AD">
        <w:rPr>
          <w:rFonts w:eastAsia="Calibri"/>
          <w:snapToGrid/>
          <w:szCs w:val="22"/>
          <w:lang w:val="lt-LT"/>
        </w:rPr>
        <w:t>j</w:t>
      </w:r>
      <w:r w:rsidR="00BD503C" w:rsidRPr="00923E74">
        <w:rPr>
          <w:rFonts w:eastAsia="Calibri"/>
          <w:snapToGrid/>
          <w:szCs w:val="22"/>
          <w:lang w:val="lt-LT"/>
        </w:rPr>
        <w:t>e</w:t>
      </w:r>
      <w:r w:rsidR="00EA547D" w:rsidRPr="00923E74">
        <w:rPr>
          <w:rFonts w:eastAsia="Calibri"/>
          <w:snapToGrid/>
          <w:szCs w:val="22"/>
          <w:lang w:val="lt-LT"/>
        </w:rPr>
        <w:t xml:space="preserve">. </w:t>
      </w:r>
      <w:r w:rsidR="00F65C29" w:rsidRPr="00923E74">
        <w:rPr>
          <w:rFonts w:eastAsia="Calibri"/>
          <w:snapToGrid/>
          <w:szCs w:val="22"/>
          <w:lang w:val="lt-LT"/>
        </w:rPr>
        <w:t>Dalis tiriamųjų, kurie pasiekė</w:t>
      </w:r>
      <w:r w:rsidR="00EA547D" w:rsidRPr="00923E74">
        <w:rPr>
          <w:rFonts w:eastAsia="Calibri"/>
          <w:snapToGrid/>
          <w:szCs w:val="22"/>
          <w:lang w:val="lt-LT"/>
        </w:rPr>
        <w:t xml:space="preserve"> </w:t>
      </w:r>
      <w:r w:rsidR="00F65C29" w:rsidRPr="00923E74">
        <w:rPr>
          <w:rFonts w:eastAsia="Calibri"/>
          <w:snapToGrid/>
          <w:szCs w:val="22"/>
          <w:lang w:val="lt-LT"/>
        </w:rPr>
        <w:t>tikslin</w:t>
      </w:r>
      <w:r w:rsidR="005217E0">
        <w:rPr>
          <w:rFonts w:eastAsia="Calibri"/>
          <w:snapToGrid/>
          <w:szCs w:val="22"/>
          <w:lang w:val="lt-LT"/>
        </w:rPr>
        <w:t>ę</w:t>
      </w:r>
      <w:r w:rsidR="00EA547D" w:rsidRPr="00923E74">
        <w:rPr>
          <w:rFonts w:eastAsia="Calibri"/>
          <w:snapToGrid/>
          <w:szCs w:val="22"/>
          <w:lang w:val="lt-LT"/>
        </w:rPr>
        <w:t xml:space="preserve"> </w:t>
      </w:r>
      <w:r w:rsidR="00F65C29" w:rsidRPr="00923E74">
        <w:rPr>
          <w:rFonts w:eastAsia="Calibri"/>
          <w:snapToGrid/>
          <w:szCs w:val="22"/>
          <w:lang w:val="lt-LT"/>
        </w:rPr>
        <w:t>MTL</w:t>
      </w:r>
      <w:r w:rsidR="00A749AD">
        <w:rPr>
          <w:rFonts w:eastAsia="Calibri"/>
          <w:snapToGrid/>
          <w:szCs w:val="22"/>
          <w:lang w:val="lt-LT"/>
        </w:rPr>
        <w:noBreakHyphen/>
      </w:r>
      <w:r w:rsidR="00A749AD" w:rsidRPr="00923E74">
        <w:rPr>
          <w:rFonts w:eastAsia="Calibri"/>
          <w:snapToGrid/>
          <w:szCs w:val="22"/>
          <w:lang w:val="lt-LT"/>
        </w:rPr>
        <w:t>C</w:t>
      </w:r>
      <w:r w:rsidR="00A749AD">
        <w:rPr>
          <w:rFonts w:eastAsia="Calibri"/>
          <w:snapToGrid/>
          <w:szCs w:val="22"/>
          <w:lang w:val="lt-LT"/>
        </w:rPr>
        <w:t> </w:t>
      </w:r>
      <w:r w:rsidR="00F65C29" w:rsidRPr="00923E74">
        <w:rPr>
          <w:rFonts w:eastAsia="Calibri"/>
          <w:snapToGrid/>
          <w:szCs w:val="22"/>
          <w:lang w:val="lt-LT"/>
        </w:rPr>
        <w:t>k</w:t>
      </w:r>
      <w:r w:rsidR="005217E0">
        <w:rPr>
          <w:rFonts w:eastAsia="Calibri"/>
          <w:snapToGrid/>
          <w:szCs w:val="22"/>
          <w:lang w:val="lt-LT"/>
        </w:rPr>
        <w:t>oncentrac</w:t>
      </w:r>
      <w:r w:rsidR="00F65C29" w:rsidRPr="00923E74">
        <w:rPr>
          <w:rFonts w:eastAsia="Calibri"/>
          <w:snapToGrid/>
          <w:szCs w:val="22"/>
          <w:lang w:val="lt-LT"/>
        </w:rPr>
        <w:t>i</w:t>
      </w:r>
      <w:r w:rsidR="005217E0">
        <w:rPr>
          <w:rFonts w:eastAsia="Calibri"/>
          <w:snapToGrid/>
          <w:szCs w:val="22"/>
          <w:lang w:val="lt-LT"/>
        </w:rPr>
        <w:t>ją</w:t>
      </w:r>
      <w:r w:rsidR="00F65C29" w:rsidRPr="00923E74">
        <w:rPr>
          <w:rFonts w:eastAsia="Calibri"/>
          <w:snapToGrid/>
          <w:szCs w:val="22"/>
          <w:lang w:val="lt-LT"/>
        </w:rPr>
        <w:t xml:space="preserve"> (≤ 100</w:t>
      </w:r>
      <w:r w:rsidR="00DB52C7" w:rsidRPr="00923E74">
        <w:rPr>
          <w:rFonts w:eastAsia="Calibri"/>
          <w:snapToGrid/>
          <w:szCs w:val="22"/>
          <w:lang w:val="lt-LT"/>
        </w:rPr>
        <w:t> mg</w:t>
      </w:r>
      <w:r w:rsidR="00F65C29" w:rsidRPr="00923E74">
        <w:rPr>
          <w:rFonts w:eastAsia="Calibri"/>
          <w:snapToGrid/>
          <w:szCs w:val="22"/>
          <w:lang w:val="lt-LT"/>
        </w:rPr>
        <w:t xml:space="preserve">/dl), </w:t>
      </w:r>
      <w:r w:rsidR="00060FD8" w:rsidRPr="00923E74">
        <w:rPr>
          <w:rFonts w:eastAsia="Calibri"/>
          <w:snapToGrid/>
          <w:szCs w:val="22"/>
          <w:lang w:val="lt-LT"/>
        </w:rPr>
        <w:t>buvo reikšmi</w:t>
      </w:r>
      <w:r w:rsidR="00F65C29" w:rsidRPr="00923E74">
        <w:rPr>
          <w:rFonts w:eastAsia="Calibri"/>
          <w:snapToGrid/>
          <w:szCs w:val="22"/>
          <w:lang w:val="lt-LT"/>
        </w:rPr>
        <w:t>ngai didesnė kombinuotojo gydymo grupėje, palyginti su</w:t>
      </w:r>
      <w:r w:rsidR="00EA547D" w:rsidRPr="00923E74">
        <w:rPr>
          <w:rFonts w:eastAsia="Calibri"/>
          <w:snapToGrid/>
          <w:szCs w:val="22"/>
          <w:lang w:val="lt-LT"/>
        </w:rPr>
        <w:t xml:space="preserve"> </w:t>
      </w:r>
      <w:proofErr w:type="spellStart"/>
      <w:r w:rsidR="00EA547D" w:rsidRPr="00923E74">
        <w:rPr>
          <w:rFonts w:eastAsia="Calibri"/>
          <w:snapToGrid/>
          <w:szCs w:val="22"/>
          <w:lang w:val="lt-LT"/>
        </w:rPr>
        <w:t>atorvastatin</w:t>
      </w:r>
      <w:r w:rsidR="00F65C29" w:rsidRPr="00923E74">
        <w:rPr>
          <w:rFonts w:eastAsia="Calibri"/>
          <w:snapToGrid/>
          <w:szCs w:val="22"/>
          <w:lang w:val="lt-LT"/>
        </w:rPr>
        <w:t>o</w:t>
      </w:r>
      <w:proofErr w:type="spellEnd"/>
      <w:r w:rsidR="00EA547D" w:rsidRPr="00923E74">
        <w:rPr>
          <w:rFonts w:eastAsia="Calibri"/>
          <w:snapToGrid/>
          <w:szCs w:val="22"/>
          <w:lang w:val="lt-LT"/>
        </w:rPr>
        <w:t xml:space="preserve"> </w:t>
      </w:r>
      <w:proofErr w:type="spellStart"/>
      <w:r w:rsidR="00F65C29" w:rsidRPr="00923E74">
        <w:rPr>
          <w:rFonts w:eastAsia="Calibri"/>
          <w:snapToGrid/>
          <w:szCs w:val="22"/>
          <w:lang w:val="lt-LT"/>
        </w:rPr>
        <w:t>monoterapijos</w:t>
      </w:r>
      <w:proofErr w:type="spellEnd"/>
      <w:r w:rsidR="00F65C29" w:rsidRPr="00923E74">
        <w:rPr>
          <w:rFonts w:eastAsia="Calibri"/>
          <w:snapToGrid/>
          <w:szCs w:val="22"/>
          <w:lang w:val="lt-LT"/>
        </w:rPr>
        <w:t xml:space="preserve"> grupe</w:t>
      </w:r>
      <w:r w:rsidR="00EA547D" w:rsidRPr="00923E74">
        <w:rPr>
          <w:rFonts w:eastAsia="Calibri"/>
          <w:snapToGrid/>
          <w:szCs w:val="22"/>
          <w:lang w:val="lt-LT"/>
        </w:rPr>
        <w:t xml:space="preserve"> (22</w:t>
      </w:r>
      <w:r w:rsidR="00F65C29" w:rsidRPr="00923E74">
        <w:rPr>
          <w:rFonts w:eastAsia="Calibri"/>
          <w:snapToGrid/>
          <w:szCs w:val="22"/>
          <w:lang w:val="lt-LT"/>
        </w:rPr>
        <w:t> </w:t>
      </w:r>
      <w:r w:rsidR="00EA547D" w:rsidRPr="00923E74">
        <w:rPr>
          <w:rFonts w:eastAsia="Calibri"/>
          <w:snapToGrid/>
          <w:szCs w:val="22"/>
          <w:lang w:val="lt-LT"/>
        </w:rPr>
        <w:t>%</w:t>
      </w:r>
      <w:r w:rsidR="00F65C29" w:rsidRPr="00923E74">
        <w:rPr>
          <w:rFonts w:eastAsia="Calibri"/>
          <w:snapToGrid/>
          <w:szCs w:val="22"/>
          <w:lang w:val="lt-LT"/>
        </w:rPr>
        <w:t>, palyginti su</w:t>
      </w:r>
      <w:r w:rsidR="00EA547D" w:rsidRPr="00923E74">
        <w:rPr>
          <w:rFonts w:eastAsia="Calibri"/>
          <w:snapToGrid/>
          <w:szCs w:val="22"/>
          <w:lang w:val="lt-LT"/>
        </w:rPr>
        <w:t xml:space="preserve"> 7</w:t>
      </w:r>
      <w:r w:rsidR="00F65C29" w:rsidRPr="00923E74">
        <w:rPr>
          <w:rFonts w:eastAsia="Calibri"/>
          <w:snapToGrid/>
          <w:szCs w:val="22"/>
          <w:lang w:val="lt-LT"/>
        </w:rPr>
        <w:t> </w:t>
      </w:r>
      <w:r w:rsidR="00EA547D" w:rsidRPr="00923E74">
        <w:rPr>
          <w:rFonts w:eastAsia="Calibri"/>
          <w:snapToGrid/>
          <w:szCs w:val="22"/>
          <w:lang w:val="lt-LT"/>
        </w:rPr>
        <w:t>%</w:t>
      </w:r>
      <w:r w:rsidR="005217E0">
        <w:rPr>
          <w:rFonts w:eastAsia="Calibri"/>
          <w:snapToGrid/>
          <w:szCs w:val="22"/>
          <w:lang w:val="lt-LT"/>
        </w:rPr>
        <w:t>,</w:t>
      </w:r>
      <w:r w:rsidR="00EA547D" w:rsidRPr="00923E74">
        <w:rPr>
          <w:rFonts w:eastAsia="Calibri"/>
          <w:snapToGrid/>
          <w:szCs w:val="22"/>
          <w:lang w:val="lt-LT"/>
        </w:rPr>
        <w:t xml:space="preserve"> </w:t>
      </w:r>
      <w:r w:rsidR="005217E0" w:rsidRPr="00923E74">
        <w:rPr>
          <w:rFonts w:eastAsia="Calibri"/>
          <w:snapToGrid/>
          <w:szCs w:val="22"/>
          <w:lang w:val="lt-LT"/>
        </w:rPr>
        <w:t>p</w:t>
      </w:r>
      <w:r w:rsidR="005217E0">
        <w:rPr>
          <w:rFonts w:eastAsia="Calibri"/>
          <w:snapToGrid/>
          <w:szCs w:val="22"/>
          <w:lang w:val="lt-LT"/>
        </w:rPr>
        <w:t> </w:t>
      </w:r>
      <w:r w:rsidR="00EA547D" w:rsidRPr="00923E74">
        <w:rPr>
          <w:rFonts w:eastAsia="Calibri"/>
          <w:snapToGrid/>
          <w:szCs w:val="22"/>
          <w:lang w:val="lt-LT"/>
        </w:rPr>
        <w:t>&lt;</w:t>
      </w:r>
      <w:r w:rsidR="005217E0">
        <w:rPr>
          <w:rFonts w:eastAsia="Calibri"/>
          <w:snapToGrid/>
          <w:szCs w:val="22"/>
          <w:lang w:val="lt-LT"/>
        </w:rPr>
        <w:t> </w:t>
      </w:r>
      <w:r w:rsidR="00EA547D" w:rsidRPr="00923E74">
        <w:rPr>
          <w:rFonts w:eastAsia="Calibri"/>
          <w:snapToGrid/>
          <w:szCs w:val="22"/>
          <w:lang w:val="lt-LT"/>
        </w:rPr>
        <w:t>0</w:t>
      </w:r>
      <w:r w:rsidR="00F65C29" w:rsidRPr="00923E74">
        <w:rPr>
          <w:rFonts w:eastAsia="Calibri"/>
          <w:snapToGrid/>
          <w:szCs w:val="22"/>
          <w:lang w:val="lt-LT"/>
        </w:rPr>
        <w:t>,</w:t>
      </w:r>
      <w:r w:rsidR="00EA547D" w:rsidRPr="00923E74">
        <w:rPr>
          <w:rFonts w:eastAsia="Calibri"/>
          <w:snapToGrid/>
          <w:szCs w:val="22"/>
          <w:lang w:val="lt-LT"/>
        </w:rPr>
        <w:t xml:space="preserve">01). </w:t>
      </w:r>
      <w:r w:rsidR="00060FD8" w:rsidRPr="00923E74">
        <w:rPr>
          <w:rFonts w:eastAsia="Calibri"/>
          <w:snapToGrid/>
          <w:szCs w:val="22"/>
          <w:lang w:val="lt-LT"/>
        </w:rPr>
        <w:t>Po</w:t>
      </w:r>
      <w:r w:rsidR="00EA547D" w:rsidRPr="00923E74">
        <w:rPr>
          <w:rFonts w:eastAsia="Calibri"/>
          <w:snapToGrid/>
          <w:szCs w:val="22"/>
          <w:lang w:val="lt-LT"/>
        </w:rPr>
        <w:t xml:space="preserve"> 4</w:t>
      </w:r>
      <w:r w:rsidR="007F218C" w:rsidRPr="00923E74">
        <w:rPr>
          <w:rFonts w:eastAsia="Calibri"/>
          <w:snapToGrid/>
          <w:szCs w:val="22"/>
          <w:lang w:val="lt-LT"/>
        </w:rPr>
        <w:t> </w:t>
      </w:r>
      <w:r w:rsidR="00060FD8" w:rsidRPr="00923E74">
        <w:rPr>
          <w:rFonts w:eastAsia="Calibri"/>
          <w:szCs w:val="22"/>
          <w:lang w:val="lt-LT"/>
        </w:rPr>
        <w:t>savaičių MTL</w:t>
      </w:r>
      <w:r w:rsidR="00A749AD">
        <w:rPr>
          <w:rFonts w:eastAsia="Calibri"/>
          <w:szCs w:val="22"/>
          <w:lang w:val="lt-LT"/>
        </w:rPr>
        <w:noBreakHyphen/>
      </w:r>
      <w:r w:rsidR="00A749AD" w:rsidRPr="00923E74">
        <w:rPr>
          <w:rFonts w:eastAsia="Calibri"/>
          <w:szCs w:val="22"/>
          <w:lang w:val="lt-LT"/>
        </w:rPr>
        <w:t>C</w:t>
      </w:r>
      <w:r w:rsidR="00060FD8" w:rsidRPr="00923E74">
        <w:rPr>
          <w:rFonts w:eastAsia="Calibri"/>
          <w:szCs w:val="22"/>
          <w:lang w:val="lt-LT"/>
        </w:rPr>
        <w:t>, trigliceridų ir ne</w:t>
      </w:r>
      <w:r w:rsidR="00A749AD">
        <w:rPr>
          <w:rFonts w:eastAsia="Calibri"/>
          <w:szCs w:val="22"/>
          <w:lang w:val="lt-LT"/>
        </w:rPr>
        <w:noBreakHyphen/>
      </w:r>
      <w:r w:rsidR="00A749AD" w:rsidRPr="00923E74">
        <w:rPr>
          <w:rFonts w:eastAsia="Calibri"/>
          <w:szCs w:val="22"/>
          <w:lang w:val="lt-LT"/>
        </w:rPr>
        <w:t>DTL</w:t>
      </w:r>
      <w:r w:rsidR="00A749AD">
        <w:rPr>
          <w:rFonts w:eastAsia="Calibri"/>
          <w:szCs w:val="22"/>
          <w:lang w:val="lt-LT"/>
        </w:rPr>
        <w:noBreakHyphen/>
      </w:r>
      <w:r w:rsidR="00A749AD" w:rsidRPr="00923E74">
        <w:rPr>
          <w:rFonts w:eastAsia="Calibri"/>
          <w:szCs w:val="22"/>
          <w:lang w:val="lt-LT"/>
        </w:rPr>
        <w:t>C</w:t>
      </w:r>
      <w:r w:rsidR="00A749AD">
        <w:rPr>
          <w:rFonts w:eastAsia="Calibri"/>
          <w:szCs w:val="22"/>
          <w:lang w:val="lt-LT"/>
        </w:rPr>
        <w:t> </w:t>
      </w:r>
      <w:r w:rsidR="00060FD8" w:rsidRPr="00923E74">
        <w:rPr>
          <w:rFonts w:eastAsia="Calibri"/>
          <w:szCs w:val="22"/>
          <w:lang w:val="lt-LT"/>
        </w:rPr>
        <w:t>k</w:t>
      </w:r>
      <w:r w:rsidR="005217E0">
        <w:rPr>
          <w:rFonts w:eastAsia="Calibri"/>
          <w:szCs w:val="22"/>
          <w:lang w:val="lt-LT"/>
        </w:rPr>
        <w:t>onc</w:t>
      </w:r>
      <w:r w:rsidR="00060FD8" w:rsidRPr="00923E74">
        <w:rPr>
          <w:rFonts w:eastAsia="Calibri"/>
          <w:szCs w:val="22"/>
          <w:lang w:val="lt-LT"/>
        </w:rPr>
        <w:t>e</w:t>
      </w:r>
      <w:r w:rsidR="005217E0">
        <w:rPr>
          <w:rFonts w:eastAsia="Calibri"/>
          <w:szCs w:val="22"/>
          <w:lang w:val="lt-LT"/>
        </w:rPr>
        <w:t>ntrac</w:t>
      </w:r>
      <w:r w:rsidR="00060FD8" w:rsidRPr="00923E74">
        <w:rPr>
          <w:rFonts w:eastAsia="Calibri"/>
          <w:szCs w:val="22"/>
          <w:lang w:val="lt-LT"/>
        </w:rPr>
        <w:t>i</w:t>
      </w:r>
      <w:r w:rsidR="005217E0">
        <w:rPr>
          <w:rFonts w:eastAsia="Calibri"/>
          <w:szCs w:val="22"/>
          <w:lang w:val="lt-LT"/>
        </w:rPr>
        <w:t>ja</w:t>
      </w:r>
      <w:r w:rsidR="00060FD8" w:rsidRPr="00923E74">
        <w:rPr>
          <w:rFonts w:eastAsia="Calibri"/>
          <w:szCs w:val="22"/>
          <w:lang w:val="lt-LT"/>
        </w:rPr>
        <w:t xml:space="preserve"> </w:t>
      </w:r>
      <w:r w:rsidR="00060FD8" w:rsidRPr="00923E74">
        <w:rPr>
          <w:rFonts w:eastAsia="Calibri"/>
          <w:snapToGrid/>
          <w:szCs w:val="22"/>
          <w:lang w:val="lt-LT"/>
        </w:rPr>
        <w:t xml:space="preserve">reikšmingai labiau sumažėjo kombinuotojo gydymo grupėje, palyginti su </w:t>
      </w:r>
      <w:proofErr w:type="spellStart"/>
      <w:r w:rsidR="00EA547D" w:rsidRPr="00923E74">
        <w:rPr>
          <w:rFonts w:eastAsia="Calibri"/>
          <w:snapToGrid/>
          <w:szCs w:val="22"/>
          <w:lang w:val="lt-LT"/>
        </w:rPr>
        <w:t>atorvastatin</w:t>
      </w:r>
      <w:r w:rsidR="00060FD8" w:rsidRPr="00923E74">
        <w:rPr>
          <w:rFonts w:eastAsia="Calibri"/>
          <w:snapToGrid/>
          <w:szCs w:val="22"/>
          <w:lang w:val="lt-LT"/>
        </w:rPr>
        <w:t>o</w:t>
      </w:r>
      <w:proofErr w:type="spellEnd"/>
      <w:r w:rsidR="00060FD8" w:rsidRPr="00923E74">
        <w:rPr>
          <w:rFonts w:eastAsia="Calibri"/>
          <w:snapToGrid/>
          <w:szCs w:val="22"/>
          <w:lang w:val="lt-LT"/>
        </w:rPr>
        <w:t xml:space="preserve"> dozės padvigubinimu</w:t>
      </w:r>
      <w:r w:rsidR="00EA547D" w:rsidRPr="00923E74">
        <w:rPr>
          <w:rFonts w:eastAsia="Calibri"/>
          <w:snapToGrid/>
          <w:szCs w:val="22"/>
          <w:lang w:val="lt-LT"/>
        </w:rPr>
        <w:t xml:space="preserve"> (</w:t>
      </w:r>
      <w:r w:rsidR="00C74E28" w:rsidRPr="00923E74">
        <w:rPr>
          <w:rFonts w:eastAsia="Calibri"/>
          <w:snapToGrid/>
          <w:szCs w:val="22"/>
          <w:lang w:val="lt-LT"/>
        </w:rPr>
        <w:t>MT</w:t>
      </w:r>
      <w:r w:rsidR="004770B0" w:rsidRPr="00923E74">
        <w:rPr>
          <w:rFonts w:eastAsia="Calibri"/>
          <w:snapToGrid/>
          <w:szCs w:val="22"/>
          <w:lang w:val="lt-LT"/>
        </w:rPr>
        <w:t>L</w:t>
      </w:r>
      <w:r w:rsidR="00F911D2">
        <w:rPr>
          <w:rFonts w:eastAsia="Calibri"/>
          <w:snapToGrid/>
          <w:szCs w:val="22"/>
          <w:lang w:val="lt-LT"/>
        </w:rPr>
        <w:noBreakHyphen/>
      </w:r>
      <w:r w:rsidR="00F911D2" w:rsidRPr="00923E74">
        <w:rPr>
          <w:rFonts w:eastAsia="Calibri"/>
          <w:snapToGrid/>
          <w:szCs w:val="22"/>
          <w:lang w:val="lt-LT"/>
        </w:rPr>
        <w:t>C</w:t>
      </w:r>
      <w:r w:rsidR="00F911D2">
        <w:rPr>
          <w:rFonts w:eastAsia="Calibri"/>
          <w:snapToGrid/>
          <w:szCs w:val="22"/>
          <w:lang w:val="lt-LT"/>
        </w:rPr>
        <w:t> </w:t>
      </w:r>
      <w:r w:rsidR="00F65C29" w:rsidRPr="00923E74">
        <w:rPr>
          <w:rFonts w:eastAsia="Calibri"/>
          <w:snapToGrid/>
          <w:szCs w:val="22"/>
          <w:lang w:val="lt-LT"/>
        </w:rPr>
        <w:t>k</w:t>
      </w:r>
      <w:r w:rsidR="005217E0">
        <w:rPr>
          <w:rFonts w:eastAsia="Calibri"/>
          <w:snapToGrid/>
          <w:szCs w:val="22"/>
          <w:lang w:val="lt-LT"/>
        </w:rPr>
        <w:t>onc</w:t>
      </w:r>
      <w:r w:rsidR="00F65C29" w:rsidRPr="00923E74">
        <w:rPr>
          <w:rFonts w:eastAsia="Calibri"/>
          <w:snapToGrid/>
          <w:szCs w:val="22"/>
          <w:lang w:val="lt-LT"/>
        </w:rPr>
        <w:t>e</w:t>
      </w:r>
      <w:r w:rsidR="005217E0">
        <w:rPr>
          <w:rFonts w:eastAsia="Calibri"/>
          <w:snapToGrid/>
          <w:szCs w:val="22"/>
          <w:lang w:val="lt-LT"/>
        </w:rPr>
        <w:t>ntrac</w:t>
      </w:r>
      <w:r w:rsidR="00F65C29" w:rsidRPr="00923E74">
        <w:rPr>
          <w:rFonts w:eastAsia="Calibri"/>
          <w:snapToGrid/>
          <w:szCs w:val="22"/>
          <w:lang w:val="lt-LT"/>
        </w:rPr>
        <w:t>i</w:t>
      </w:r>
      <w:r w:rsidR="005217E0">
        <w:rPr>
          <w:rFonts w:eastAsia="Calibri"/>
          <w:snapToGrid/>
          <w:szCs w:val="22"/>
          <w:lang w:val="lt-LT"/>
        </w:rPr>
        <w:t>ja</w:t>
      </w:r>
      <w:r w:rsidR="00EA547D" w:rsidRPr="00923E74">
        <w:rPr>
          <w:rFonts w:eastAsia="Calibri"/>
          <w:snapToGrid/>
          <w:szCs w:val="22"/>
          <w:lang w:val="lt-LT"/>
        </w:rPr>
        <w:t xml:space="preserve"> </w:t>
      </w:r>
      <w:r w:rsidR="005217E0">
        <w:rPr>
          <w:rFonts w:eastAsia="Calibri"/>
          <w:snapToGrid/>
          <w:szCs w:val="22"/>
          <w:lang w:val="lt-LT"/>
        </w:rPr>
        <w:noBreakHyphen/>
      </w:r>
      <w:r w:rsidR="00EA547D" w:rsidRPr="00923E74">
        <w:rPr>
          <w:rFonts w:eastAsia="Calibri"/>
          <w:snapToGrid/>
          <w:szCs w:val="22"/>
          <w:lang w:val="lt-LT"/>
        </w:rPr>
        <w:t>22</w:t>
      </w:r>
      <w:r w:rsidR="00F65C29" w:rsidRPr="00923E74">
        <w:rPr>
          <w:rFonts w:eastAsia="Calibri"/>
          <w:snapToGrid/>
          <w:szCs w:val="22"/>
          <w:lang w:val="lt-LT"/>
        </w:rPr>
        <w:t>,</w:t>
      </w:r>
      <w:r w:rsidR="00EA547D" w:rsidRPr="00923E74">
        <w:rPr>
          <w:rFonts w:eastAsia="Calibri"/>
          <w:snapToGrid/>
          <w:szCs w:val="22"/>
          <w:lang w:val="lt-LT"/>
        </w:rPr>
        <w:t>8</w:t>
      </w:r>
      <w:r w:rsidR="00F65C29" w:rsidRPr="00923E74">
        <w:rPr>
          <w:rFonts w:eastAsia="Calibri"/>
          <w:snapToGrid/>
          <w:szCs w:val="22"/>
          <w:lang w:val="lt-LT"/>
        </w:rPr>
        <w:t> </w:t>
      </w:r>
      <w:r w:rsidR="00EA547D" w:rsidRPr="00923E74">
        <w:rPr>
          <w:rFonts w:eastAsia="Calibri"/>
          <w:snapToGrid/>
          <w:szCs w:val="22"/>
          <w:lang w:val="lt-LT"/>
        </w:rPr>
        <w:t>%</w:t>
      </w:r>
      <w:r w:rsidR="00F65C29" w:rsidRPr="00923E74">
        <w:rPr>
          <w:rFonts w:eastAsia="Calibri"/>
          <w:snapToGrid/>
          <w:szCs w:val="22"/>
          <w:lang w:val="lt-LT"/>
        </w:rPr>
        <w:t>, palyginti su</w:t>
      </w:r>
      <w:r w:rsidR="00EA547D" w:rsidRPr="00923E74">
        <w:rPr>
          <w:rFonts w:eastAsia="Calibri"/>
          <w:snapToGrid/>
          <w:szCs w:val="22"/>
          <w:lang w:val="lt-LT"/>
        </w:rPr>
        <w:t xml:space="preserve"> </w:t>
      </w:r>
      <w:r w:rsidR="005217E0">
        <w:rPr>
          <w:rFonts w:eastAsia="Calibri"/>
          <w:snapToGrid/>
          <w:szCs w:val="22"/>
          <w:lang w:val="lt-LT"/>
        </w:rPr>
        <w:noBreakHyphen/>
      </w:r>
      <w:r w:rsidR="00EA547D" w:rsidRPr="00923E74">
        <w:rPr>
          <w:rFonts w:eastAsia="Calibri"/>
          <w:snapToGrid/>
          <w:szCs w:val="22"/>
          <w:lang w:val="lt-LT"/>
        </w:rPr>
        <w:t>8</w:t>
      </w:r>
      <w:r w:rsidR="00F65C29" w:rsidRPr="00923E74">
        <w:rPr>
          <w:rFonts w:eastAsia="Calibri"/>
          <w:snapToGrid/>
          <w:szCs w:val="22"/>
          <w:lang w:val="lt-LT"/>
        </w:rPr>
        <w:t>,</w:t>
      </w:r>
      <w:r w:rsidR="00EA547D" w:rsidRPr="00923E74">
        <w:rPr>
          <w:rFonts w:eastAsia="Calibri"/>
          <w:snapToGrid/>
          <w:szCs w:val="22"/>
          <w:lang w:val="lt-LT"/>
        </w:rPr>
        <w:t>6</w:t>
      </w:r>
      <w:r w:rsidR="005217E0">
        <w:rPr>
          <w:rFonts w:eastAsia="Calibri"/>
          <w:snapToGrid/>
          <w:szCs w:val="22"/>
          <w:lang w:val="lt-LT"/>
        </w:rPr>
        <w:t> </w:t>
      </w:r>
      <w:r w:rsidR="00EA547D" w:rsidRPr="00923E74">
        <w:rPr>
          <w:rFonts w:eastAsia="Calibri"/>
          <w:snapToGrid/>
          <w:szCs w:val="22"/>
          <w:lang w:val="lt-LT"/>
        </w:rPr>
        <w:t>%</w:t>
      </w:r>
      <w:r w:rsidR="005217E0">
        <w:rPr>
          <w:rFonts w:eastAsia="Calibri"/>
          <w:snapToGrid/>
          <w:szCs w:val="22"/>
          <w:lang w:val="lt-LT"/>
        </w:rPr>
        <w:t>,</w:t>
      </w:r>
      <w:r w:rsidR="00EA547D" w:rsidRPr="00923E74">
        <w:rPr>
          <w:rFonts w:eastAsia="Calibri"/>
          <w:snapToGrid/>
          <w:szCs w:val="22"/>
          <w:lang w:val="lt-LT"/>
        </w:rPr>
        <w:t xml:space="preserve"> </w:t>
      </w:r>
      <w:r w:rsidR="005217E0" w:rsidRPr="00923E74">
        <w:rPr>
          <w:rFonts w:eastAsia="Calibri"/>
          <w:snapToGrid/>
          <w:szCs w:val="22"/>
          <w:lang w:val="lt-LT"/>
        </w:rPr>
        <w:t>p</w:t>
      </w:r>
      <w:r w:rsidR="005217E0">
        <w:rPr>
          <w:rFonts w:eastAsia="Calibri"/>
          <w:snapToGrid/>
          <w:szCs w:val="22"/>
          <w:lang w:val="lt-LT"/>
        </w:rPr>
        <w:t> </w:t>
      </w:r>
      <w:r w:rsidR="00EA547D" w:rsidRPr="00923E74">
        <w:rPr>
          <w:rFonts w:eastAsia="Calibri"/>
          <w:snapToGrid/>
          <w:szCs w:val="22"/>
          <w:lang w:val="lt-LT"/>
        </w:rPr>
        <w:t>&lt;</w:t>
      </w:r>
      <w:r w:rsidR="005217E0">
        <w:rPr>
          <w:rFonts w:eastAsia="Calibri"/>
          <w:snapToGrid/>
          <w:szCs w:val="22"/>
          <w:lang w:val="lt-LT"/>
        </w:rPr>
        <w:t> </w:t>
      </w:r>
      <w:r w:rsidR="00EA547D" w:rsidRPr="00923E74">
        <w:rPr>
          <w:rFonts w:eastAsia="Calibri"/>
          <w:snapToGrid/>
          <w:szCs w:val="22"/>
          <w:lang w:val="lt-LT"/>
        </w:rPr>
        <w:t>0</w:t>
      </w:r>
      <w:r w:rsidR="00F65C29" w:rsidRPr="00923E74">
        <w:rPr>
          <w:rFonts w:eastAsia="Calibri"/>
          <w:snapToGrid/>
          <w:szCs w:val="22"/>
          <w:lang w:val="lt-LT"/>
        </w:rPr>
        <w:t>,</w:t>
      </w:r>
      <w:r w:rsidR="00EA547D" w:rsidRPr="00923E74">
        <w:rPr>
          <w:rFonts w:eastAsia="Calibri"/>
          <w:snapToGrid/>
          <w:szCs w:val="22"/>
          <w:lang w:val="lt-LT"/>
        </w:rPr>
        <w:t>01).</w:t>
      </w:r>
    </w:p>
    <w:p w14:paraId="7D68B508" w14:textId="77777777" w:rsidR="00EA547D" w:rsidRPr="00923E74" w:rsidRDefault="00EA547D" w:rsidP="007425C0">
      <w:pPr>
        <w:tabs>
          <w:tab w:val="clear" w:pos="567"/>
        </w:tabs>
        <w:spacing w:line="240" w:lineRule="auto"/>
        <w:contextualSpacing/>
        <w:rPr>
          <w:rFonts w:eastAsia="Calibri"/>
          <w:snapToGrid/>
          <w:szCs w:val="22"/>
          <w:lang w:val="lt-LT"/>
        </w:rPr>
      </w:pPr>
    </w:p>
    <w:p w14:paraId="34F5F2FC" w14:textId="3F915F59" w:rsidR="00EA547D" w:rsidRPr="00923E74" w:rsidRDefault="00F65C29" w:rsidP="007425C0">
      <w:pPr>
        <w:tabs>
          <w:tab w:val="clear" w:pos="567"/>
        </w:tabs>
        <w:spacing w:line="240" w:lineRule="auto"/>
        <w:contextualSpacing/>
        <w:rPr>
          <w:rFonts w:eastAsia="Calibri"/>
          <w:snapToGrid/>
          <w:szCs w:val="22"/>
          <w:lang w:val="lt-LT"/>
        </w:rPr>
      </w:pPr>
      <w:r w:rsidRPr="00923E74">
        <w:rPr>
          <w:rFonts w:eastAsia="Calibri"/>
          <w:snapToGrid/>
          <w:szCs w:val="22"/>
          <w:lang w:val="lt-LT"/>
        </w:rPr>
        <w:t>Kito atsitiktinių imčių, dvigubai koduoto, placebu kontroliuoto tyrimo metu</w:t>
      </w:r>
      <w:r w:rsidR="00EA547D" w:rsidRPr="00923E74">
        <w:rPr>
          <w:rFonts w:eastAsia="Calibri"/>
          <w:snapToGrid/>
          <w:szCs w:val="22"/>
          <w:lang w:val="lt-LT"/>
        </w:rPr>
        <w:t xml:space="preserve"> 450</w:t>
      </w:r>
      <w:r w:rsidR="005217E0">
        <w:rPr>
          <w:rFonts w:eastAsia="Calibri"/>
          <w:snapToGrid/>
          <w:szCs w:val="22"/>
          <w:lang w:val="lt-LT"/>
        </w:rPr>
        <w:t xml:space="preserve"> </w:t>
      </w:r>
      <w:r w:rsidR="004770B0" w:rsidRPr="00923E74">
        <w:rPr>
          <w:rFonts w:eastAsia="Calibri"/>
          <w:snapToGrid/>
          <w:szCs w:val="22"/>
          <w:lang w:val="lt-LT"/>
        </w:rPr>
        <w:t>išemine širdies liga s</w:t>
      </w:r>
      <w:r w:rsidR="00F911D2">
        <w:rPr>
          <w:rFonts w:eastAsia="Calibri"/>
          <w:snapToGrid/>
          <w:szCs w:val="22"/>
          <w:lang w:val="lt-LT"/>
        </w:rPr>
        <w:t>i</w:t>
      </w:r>
      <w:r w:rsidR="004770B0" w:rsidRPr="00923E74">
        <w:rPr>
          <w:rFonts w:eastAsia="Calibri"/>
          <w:snapToGrid/>
          <w:szCs w:val="22"/>
          <w:lang w:val="lt-LT"/>
        </w:rPr>
        <w:t>rg</w:t>
      </w:r>
      <w:r w:rsidR="00F911D2">
        <w:rPr>
          <w:rFonts w:eastAsia="Calibri"/>
          <w:snapToGrid/>
          <w:szCs w:val="22"/>
          <w:lang w:val="lt-LT"/>
        </w:rPr>
        <w:t>us</w:t>
      </w:r>
      <w:r w:rsidR="004770B0" w:rsidRPr="00923E74">
        <w:rPr>
          <w:rFonts w:eastAsia="Calibri"/>
          <w:snapToGrid/>
          <w:szCs w:val="22"/>
          <w:lang w:val="lt-LT"/>
        </w:rPr>
        <w:t xml:space="preserve">ių pacientų, kuriems buvo </w:t>
      </w:r>
      <w:proofErr w:type="spellStart"/>
      <w:r w:rsidR="004770B0" w:rsidRPr="00923E74">
        <w:rPr>
          <w:rFonts w:eastAsia="Calibri"/>
          <w:snapToGrid/>
          <w:szCs w:val="22"/>
          <w:lang w:val="lt-LT"/>
        </w:rPr>
        <w:t>hipercholesterolemija</w:t>
      </w:r>
      <w:proofErr w:type="spellEnd"/>
      <w:r w:rsidR="007F218C" w:rsidRPr="00923E74">
        <w:rPr>
          <w:rFonts w:eastAsia="Calibri"/>
          <w:snapToGrid/>
          <w:szCs w:val="22"/>
          <w:lang w:val="lt-LT"/>
        </w:rPr>
        <w:t xml:space="preserve"> </w:t>
      </w:r>
      <w:r w:rsidR="004770B0" w:rsidRPr="00923E74">
        <w:rPr>
          <w:rFonts w:eastAsia="Calibri"/>
          <w:snapToGrid/>
          <w:szCs w:val="22"/>
          <w:lang w:val="lt-LT"/>
        </w:rPr>
        <w:t>ir kurie nepasekė tikslin</w:t>
      </w:r>
      <w:r w:rsidR="005217E0">
        <w:rPr>
          <w:rFonts w:eastAsia="Calibri"/>
          <w:snapToGrid/>
          <w:szCs w:val="22"/>
          <w:lang w:val="lt-LT"/>
        </w:rPr>
        <w:t>ės</w:t>
      </w:r>
      <w:r w:rsidR="004770B0" w:rsidRPr="00923E74">
        <w:rPr>
          <w:rFonts w:eastAsia="Calibri"/>
          <w:snapToGrid/>
          <w:szCs w:val="22"/>
          <w:lang w:val="lt-LT"/>
        </w:rPr>
        <w:t xml:space="preserve"> MTL</w:t>
      </w:r>
      <w:r w:rsidR="00F911D2">
        <w:rPr>
          <w:rFonts w:eastAsia="Calibri"/>
          <w:snapToGrid/>
          <w:szCs w:val="22"/>
          <w:lang w:val="lt-LT"/>
        </w:rPr>
        <w:noBreakHyphen/>
      </w:r>
      <w:r w:rsidR="00F911D2" w:rsidRPr="00923E74">
        <w:rPr>
          <w:rFonts w:eastAsia="Calibri"/>
          <w:snapToGrid/>
          <w:szCs w:val="22"/>
          <w:lang w:val="lt-LT"/>
        </w:rPr>
        <w:t>C</w:t>
      </w:r>
      <w:r w:rsidR="00F911D2">
        <w:rPr>
          <w:rFonts w:eastAsia="Calibri"/>
          <w:snapToGrid/>
          <w:szCs w:val="22"/>
          <w:lang w:val="lt-LT"/>
        </w:rPr>
        <w:t> </w:t>
      </w:r>
      <w:r w:rsidR="004770B0" w:rsidRPr="00923E74">
        <w:rPr>
          <w:rFonts w:eastAsia="Calibri"/>
          <w:snapToGrid/>
          <w:szCs w:val="22"/>
          <w:lang w:val="lt-LT"/>
        </w:rPr>
        <w:t>k</w:t>
      </w:r>
      <w:r w:rsidR="005217E0">
        <w:rPr>
          <w:rFonts w:eastAsia="Calibri"/>
          <w:snapToGrid/>
          <w:szCs w:val="22"/>
          <w:lang w:val="lt-LT"/>
        </w:rPr>
        <w:t>onc</w:t>
      </w:r>
      <w:r w:rsidR="004770B0" w:rsidRPr="00923E74">
        <w:rPr>
          <w:rFonts w:eastAsia="Calibri"/>
          <w:snapToGrid/>
          <w:szCs w:val="22"/>
          <w:lang w:val="lt-LT"/>
        </w:rPr>
        <w:t>e</w:t>
      </w:r>
      <w:r w:rsidR="005217E0">
        <w:rPr>
          <w:rFonts w:eastAsia="Calibri"/>
          <w:snapToGrid/>
          <w:szCs w:val="22"/>
          <w:lang w:val="lt-LT"/>
        </w:rPr>
        <w:t>ntrac</w:t>
      </w:r>
      <w:r w:rsidR="004770B0" w:rsidRPr="00923E74">
        <w:rPr>
          <w:rFonts w:eastAsia="Calibri"/>
          <w:snapToGrid/>
          <w:szCs w:val="22"/>
          <w:lang w:val="lt-LT"/>
        </w:rPr>
        <w:t>i</w:t>
      </w:r>
      <w:r w:rsidR="005217E0">
        <w:rPr>
          <w:rFonts w:eastAsia="Calibri"/>
          <w:snapToGrid/>
          <w:szCs w:val="22"/>
          <w:lang w:val="lt-LT"/>
        </w:rPr>
        <w:t>j</w:t>
      </w:r>
      <w:r w:rsidR="004770B0" w:rsidRPr="00923E74">
        <w:rPr>
          <w:rFonts w:eastAsia="Calibri"/>
          <w:snapToGrid/>
          <w:szCs w:val="22"/>
          <w:lang w:val="lt-LT"/>
        </w:rPr>
        <w:t>o</w:t>
      </w:r>
      <w:r w:rsidR="005217E0">
        <w:rPr>
          <w:rFonts w:eastAsia="Calibri"/>
          <w:snapToGrid/>
          <w:szCs w:val="22"/>
          <w:lang w:val="lt-LT"/>
        </w:rPr>
        <w:t>s</w:t>
      </w:r>
      <w:r w:rsidR="004770B0" w:rsidRPr="00923E74">
        <w:rPr>
          <w:rFonts w:eastAsia="Calibri"/>
          <w:snapToGrid/>
          <w:szCs w:val="22"/>
          <w:lang w:val="lt-LT"/>
        </w:rPr>
        <w:t xml:space="preserve"> (</w:t>
      </w:r>
      <w:r w:rsidR="00EA547D" w:rsidRPr="00923E74">
        <w:rPr>
          <w:rFonts w:eastAsia="Calibri"/>
          <w:snapToGrid/>
          <w:szCs w:val="22"/>
          <w:lang w:val="lt-LT"/>
        </w:rPr>
        <w:t>≤</w:t>
      </w:r>
      <w:r w:rsidR="004770B0" w:rsidRPr="00923E74">
        <w:rPr>
          <w:rFonts w:eastAsia="Calibri"/>
          <w:snapToGrid/>
          <w:szCs w:val="22"/>
          <w:lang w:val="lt-LT"/>
        </w:rPr>
        <w:t> </w:t>
      </w:r>
      <w:r w:rsidR="00EA547D" w:rsidRPr="00923E74">
        <w:rPr>
          <w:rFonts w:eastAsia="Calibri"/>
          <w:snapToGrid/>
          <w:szCs w:val="22"/>
          <w:lang w:val="lt-LT"/>
        </w:rPr>
        <w:t>2</w:t>
      </w:r>
      <w:r w:rsidR="004770B0" w:rsidRPr="00923E74">
        <w:rPr>
          <w:rFonts w:eastAsia="Calibri"/>
          <w:snapToGrid/>
          <w:szCs w:val="22"/>
          <w:lang w:val="lt-LT"/>
        </w:rPr>
        <w:t>,</w:t>
      </w:r>
      <w:r w:rsidR="00EA547D" w:rsidRPr="00923E74">
        <w:rPr>
          <w:rFonts w:eastAsia="Calibri"/>
          <w:snapToGrid/>
          <w:szCs w:val="22"/>
          <w:lang w:val="lt-LT"/>
        </w:rPr>
        <w:t>60</w:t>
      </w:r>
      <w:r w:rsidR="004770B0" w:rsidRPr="00923E74">
        <w:rPr>
          <w:rFonts w:eastAsia="Calibri"/>
          <w:snapToGrid/>
          <w:szCs w:val="22"/>
          <w:lang w:val="lt-LT"/>
        </w:rPr>
        <w:t> </w:t>
      </w:r>
      <w:proofErr w:type="spellStart"/>
      <w:r w:rsidR="00EA547D" w:rsidRPr="00923E74">
        <w:rPr>
          <w:rFonts w:eastAsia="Calibri"/>
          <w:snapToGrid/>
          <w:szCs w:val="22"/>
          <w:lang w:val="lt-LT"/>
        </w:rPr>
        <w:t>mmol</w:t>
      </w:r>
      <w:proofErr w:type="spellEnd"/>
      <w:r w:rsidR="00EA547D" w:rsidRPr="00923E74">
        <w:rPr>
          <w:rFonts w:eastAsia="Calibri"/>
          <w:snapToGrid/>
          <w:szCs w:val="22"/>
          <w:lang w:val="lt-LT"/>
        </w:rPr>
        <w:t>/</w:t>
      </w:r>
      <w:r w:rsidR="004770B0" w:rsidRPr="00923E74">
        <w:rPr>
          <w:rFonts w:eastAsia="Calibri"/>
          <w:snapToGrid/>
          <w:szCs w:val="22"/>
          <w:lang w:val="lt-LT"/>
        </w:rPr>
        <w:t>l) ≥ 6 savaites varto</w:t>
      </w:r>
      <w:r w:rsidR="00F911D2">
        <w:rPr>
          <w:rFonts w:eastAsia="Calibri"/>
          <w:snapToGrid/>
          <w:szCs w:val="22"/>
          <w:lang w:val="lt-LT"/>
        </w:rPr>
        <w:t>ję</w:t>
      </w:r>
      <w:r w:rsidR="004770B0" w:rsidRPr="00923E74">
        <w:rPr>
          <w:rFonts w:eastAsia="Calibri"/>
          <w:snapToGrid/>
          <w:szCs w:val="22"/>
          <w:lang w:val="lt-LT"/>
        </w:rPr>
        <w:t xml:space="preserve"> stabilią</w:t>
      </w:r>
      <w:r w:rsidR="00EA547D" w:rsidRPr="00923E74">
        <w:rPr>
          <w:rFonts w:eastAsia="Calibri"/>
          <w:snapToGrid/>
          <w:szCs w:val="22"/>
          <w:lang w:val="lt-LT"/>
        </w:rPr>
        <w:t xml:space="preserve"> 10 </w:t>
      </w:r>
      <w:r w:rsidR="004770B0" w:rsidRPr="00923E74">
        <w:rPr>
          <w:rFonts w:eastAsia="Calibri"/>
          <w:snapToGrid/>
          <w:szCs w:val="22"/>
          <w:lang w:val="lt-LT"/>
        </w:rPr>
        <w:t>a</w:t>
      </w:r>
      <w:r w:rsidR="00EA547D" w:rsidRPr="00923E74">
        <w:rPr>
          <w:rFonts w:eastAsia="Calibri"/>
          <w:snapToGrid/>
          <w:szCs w:val="22"/>
          <w:lang w:val="lt-LT"/>
        </w:rPr>
        <w:t>r 20</w:t>
      </w:r>
      <w:r w:rsidR="00DB52C7" w:rsidRPr="00923E74">
        <w:rPr>
          <w:rFonts w:eastAsia="Calibri"/>
          <w:snapToGrid/>
          <w:szCs w:val="22"/>
          <w:lang w:val="lt-LT"/>
        </w:rPr>
        <w:t> mg</w:t>
      </w:r>
      <w:r w:rsidR="004770B0" w:rsidRPr="00923E74">
        <w:rPr>
          <w:rFonts w:eastAsia="Calibri"/>
          <w:snapToGrid/>
          <w:szCs w:val="22"/>
          <w:lang w:val="lt-LT"/>
        </w:rPr>
        <w:t xml:space="preserve"> </w:t>
      </w:r>
      <w:proofErr w:type="spellStart"/>
      <w:r w:rsidR="004770B0" w:rsidRPr="00923E74">
        <w:rPr>
          <w:rFonts w:eastAsia="Calibri"/>
          <w:snapToGrid/>
          <w:szCs w:val="22"/>
          <w:lang w:val="lt-LT"/>
        </w:rPr>
        <w:t>atorvastatino</w:t>
      </w:r>
      <w:proofErr w:type="spellEnd"/>
      <w:r w:rsidR="004770B0" w:rsidRPr="00923E74">
        <w:rPr>
          <w:rFonts w:eastAsia="Calibri"/>
          <w:snapToGrid/>
          <w:szCs w:val="22"/>
          <w:lang w:val="lt-LT"/>
        </w:rPr>
        <w:t xml:space="preserve"> paros dozę, pradėjo vartoti arba</w:t>
      </w:r>
      <w:r w:rsidR="00EA547D" w:rsidRPr="00923E74">
        <w:rPr>
          <w:rFonts w:eastAsia="Calibri"/>
          <w:snapToGrid/>
          <w:szCs w:val="22"/>
          <w:lang w:val="lt-LT"/>
        </w:rPr>
        <w:t xml:space="preserve"> </w:t>
      </w:r>
      <w:proofErr w:type="spellStart"/>
      <w:r w:rsidR="00EA547D" w:rsidRPr="00923E74">
        <w:rPr>
          <w:rFonts w:eastAsia="Calibri"/>
          <w:snapToGrid/>
          <w:szCs w:val="22"/>
          <w:lang w:val="lt-LT"/>
        </w:rPr>
        <w:t>atorvastatin</w:t>
      </w:r>
      <w:r w:rsidR="004770B0" w:rsidRPr="00923E74">
        <w:rPr>
          <w:rFonts w:eastAsia="Calibri"/>
          <w:snapToGrid/>
          <w:szCs w:val="22"/>
          <w:lang w:val="lt-LT"/>
        </w:rPr>
        <w:t>o</w:t>
      </w:r>
      <w:proofErr w:type="spellEnd"/>
      <w:r w:rsidR="004770B0" w:rsidRPr="00923E74">
        <w:rPr>
          <w:rFonts w:eastAsia="Calibri"/>
          <w:snapToGrid/>
          <w:szCs w:val="22"/>
          <w:lang w:val="lt-LT"/>
        </w:rPr>
        <w:t xml:space="preserve"> ir </w:t>
      </w:r>
      <w:proofErr w:type="spellStart"/>
      <w:r w:rsidR="00EA547D" w:rsidRPr="00923E74">
        <w:rPr>
          <w:rFonts w:eastAsia="Calibri"/>
          <w:snapToGrid/>
          <w:szCs w:val="22"/>
          <w:lang w:val="lt-LT"/>
        </w:rPr>
        <w:t>ezetimib</w:t>
      </w:r>
      <w:r w:rsidR="004770B0" w:rsidRPr="00923E74">
        <w:rPr>
          <w:rFonts w:eastAsia="Calibri"/>
          <w:snapToGrid/>
          <w:szCs w:val="22"/>
          <w:lang w:val="lt-LT"/>
        </w:rPr>
        <w:t>o</w:t>
      </w:r>
      <w:proofErr w:type="spellEnd"/>
      <w:r w:rsidR="004770B0" w:rsidRPr="00923E74">
        <w:rPr>
          <w:rFonts w:eastAsia="Calibri"/>
          <w:snapToGrid/>
          <w:szCs w:val="22"/>
          <w:lang w:val="lt-LT"/>
        </w:rPr>
        <w:t>, arba</w:t>
      </w:r>
      <w:r w:rsidR="00EA547D" w:rsidRPr="00923E74">
        <w:rPr>
          <w:rFonts w:eastAsia="Calibri"/>
          <w:snapToGrid/>
          <w:szCs w:val="22"/>
          <w:lang w:val="lt-LT"/>
        </w:rPr>
        <w:t xml:space="preserve"> </w:t>
      </w:r>
      <w:proofErr w:type="spellStart"/>
      <w:r w:rsidR="00EA547D" w:rsidRPr="00923E74">
        <w:rPr>
          <w:rFonts w:eastAsia="Calibri"/>
          <w:snapToGrid/>
          <w:szCs w:val="22"/>
          <w:lang w:val="lt-LT"/>
        </w:rPr>
        <w:t>atorvastatin</w:t>
      </w:r>
      <w:r w:rsidR="004770B0" w:rsidRPr="00923E74">
        <w:rPr>
          <w:rFonts w:eastAsia="Calibri"/>
          <w:snapToGrid/>
          <w:szCs w:val="22"/>
          <w:lang w:val="lt-LT"/>
        </w:rPr>
        <w:t>o</w:t>
      </w:r>
      <w:proofErr w:type="spellEnd"/>
      <w:r w:rsidR="004770B0" w:rsidRPr="00923E74">
        <w:rPr>
          <w:rFonts w:eastAsia="Calibri"/>
          <w:snapToGrid/>
          <w:szCs w:val="22"/>
          <w:lang w:val="lt-LT"/>
        </w:rPr>
        <w:t xml:space="preserve"> ir </w:t>
      </w:r>
      <w:r w:rsidR="00EA547D" w:rsidRPr="00923E74">
        <w:rPr>
          <w:rFonts w:eastAsia="Calibri"/>
          <w:snapToGrid/>
          <w:szCs w:val="22"/>
          <w:lang w:val="lt-LT"/>
        </w:rPr>
        <w:t xml:space="preserve">placebo. </w:t>
      </w:r>
      <w:r w:rsidR="004770B0" w:rsidRPr="00923E74">
        <w:rPr>
          <w:rFonts w:eastAsia="Calibri"/>
          <w:snapToGrid/>
          <w:szCs w:val="22"/>
          <w:lang w:val="lt-LT"/>
        </w:rPr>
        <w:t>Tikslin</w:t>
      </w:r>
      <w:r w:rsidR="005217E0">
        <w:rPr>
          <w:rFonts w:eastAsia="Calibri"/>
          <w:snapToGrid/>
          <w:szCs w:val="22"/>
          <w:lang w:val="lt-LT"/>
        </w:rPr>
        <w:t>ę</w:t>
      </w:r>
      <w:r w:rsidR="004770B0" w:rsidRPr="00923E74">
        <w:rPr>
          <w:rFonts w:eastAsia="Calibri"/>
          <w:snapToGrid/>
          <w:szCs w:val="22"/>
          <w:lang w:val="lt-LT"/>
        </w:rPr>
        <w:t xml:space="preserve"> MTL</w:t>
      </w:r>
      <w:r w:rsidR="00F911D2">
        <w:rPr>
          <w:rFonts w:eastAsia="Calibri"/>
          <w:snapToGrid/>
          <w:szCs w:val="22"/>
          <w:lang w:val="lt-LT"/>
        </w:rPr>
        <w:noBreakHyphen/>
      </w:r>
      <w:r w:rsidR="00F911D2" w:rsidRPr="00923E74">
        <w:rPr>
          <w:rFonts w:eastAsia="Calibri"/>
          <w:snapToGrid/>
          <w:szCs w:val="22"/>
          <w:lang w:val="lt-LT"/>
        </w:rPr>
        <w:t>C</w:t>
      </w:r>
      <w:r w:rsidR="00F911D2">
        <w:rPr>
          <w:rFonts w:eastAsia="Calibri"/>
          <w:snapToGrid/>
          <w:szCs w:val="22"/>
          <w:lang w:val="lt-LT"/>
        </w:rPr>
        <w:t> </w:t>
      </w:r>
      <w:r w:rsidR="004770B0" w:rsidRPr="00923E74">
        <w:rPr>
          <w:rFonts w:eastAsia="Calibri"/>
          <w:snapToGrid/>
          <w:szCs w:val="22"/>
          <w:lang w:val="lt-LT"/>
        </w:rPr>
        <w:t>k</w:t>
      </w:r>
      <w:r w:rsidR="005217E0">
        <w:rPr>
          <w:rFonts w:eastAsia="Calibri"/>
          <w:snapToGrid/>
          <w:szCs w:val="22"/>
          <w:lang w:val="lt-LT"/>
        </w:rPr>
        <w:t>oncentrac</w:t>
      </w:r>
      <w:r w:rsidR="004770B0" w:rsidRPr="00923E74">
        <w:rPr>
          <w:rFonts w:eastAsia="Calibri"/>
          <w:snapToGrid/>
          <w:szCs w:val="22"/>
          <w:lang w:val="lt-LT"/>
        </w:rPr>
        <w:t>i</w:t>
      </w:r>
      <w:r w:rsidR="005217E0">
        <w:rPr>
          <w:rFonts w:eastAsia="Calibri"/>
          <w:snapToGrid/>
          <w:szCs w:val="22"/>
          <w:lang w:val="lt-LT"/>
        </w:rPr>
        <w:t>ją</w:t>
      </w:r>
      <w:r w:rsidR="004770B0" w:rsidRPr="00923E74">
        <w:rPr>
          <w:rFonts w:eastAsia="Calibri"/>
          <w:snapToGrid/>
          <w:szCs w:val="22"/>
          <w:lang w:val="lt-LT"/>
        </w:rPr>
        <w:t xml:space="preserve"> (≤ 2,60 </w:t>
      </w:r>
      <w:proofErr w:type="spellStart"/>
      <w:r w:rsidR="004770B0" w:rsidRPr="00923E74">
        <w:rPr>
          <w:rFonts w:eastAsia="Calibri"/>
          <w:snapToGrid/>
          <w:szCs w:val="22"/>
          <w:lang w:val="lt-LT"/>
        </w:rPr>
        <w:t>mmol</w:t>
      </w:r>
      <w:proofErr w:type="spellEnd"/>
      <w:r w:rsidR="004770B0" w:rsidRPr="00923E74">
        <w:rPr>
          <w:rFonts w:eastAsia="Calibri"/>
          <w:snapToGrid/>
          <w:szCs w:val="22"/>
          <w:lang w:val="lt-LT"/>
        </w:rPr>
        <w:t xml:space="preserve">/l) pasiekė reikšmingai daugiau </w:t>
      </w:r>
      <w:proofErr w:type="spellStart"/>
      <w:r w:rsidR="00EA547D" w:rsidRPr="00923E74">
        <w:rPr>
          <w:rFonts w:eastAsia="Calibri"/>
          <w:snapToGrid/>
          <w:szCs w:val="22"/>
          <w:lang w:val="lt-LT"/>
        </w:rPr>
        <w:t>ezetimib</w:t>
      </w:r>
      <w:r w:rsidR="004770B0" w:rsidRPr="00923E74">
        <w:rPr>
          <w:rFonts w:eastAsia="Calibri"/>
          <w:snapToGrid/>
          <w:szCs w:val="22"/>
          <w:lang w:val="lt-LT"/>
        </w:rPr>
        <w:t>o</w:t>
      </w:r>
      <w:proofErr w:type="spellEnd"/>
      <w:r w:rsidR="004770B0" w:rsidRPr="00923E74">
        <w:rPr>
          <w:rFonts w:eastAsia="Calibri"/>
          <w:snapToGrid/>
          <w:szCs w:val="22"/>
          <w:lang w:val="lt-LT"/>
        </w:rPr>
        <w:t xml:space="preserve"> vartojusių pacientų, palyginti su</w:t>
      </w:r>
      <w:r w:rsidR="00EA547D" w:rsidRPr="00923E74">
        <w:rPr>
          <w:rFonts w:eastAsia="Calibri"/>
          <w:snapToGrid/>
          <w:szCs w:val="22"/>
          <w:lang w:val="lt-LT"/>
        </w:rPr>
        <w:t xml:space="preserve"> placeb</w:t>
      </w:r>
      <w:r w:rsidR="004770B0" w:rsidRPr="00923E74">
        <w:rPr>
          <w:rFonts w:eastAsia="Calibri"/>
          <w:snapToGrid/>
          <w:szCs w:val="22"/>
          <w:lang w:val="lt-LT"/>
        </w:rPr>
        <w:t>ą vartojusiais pacientais</w:t>
      </w:r>
      <w:r w:rsidR="00EA547D" w:rsidRPr="00923E74">
        <w:rPr>
          <w:rFonts w:eastAsia="Calibri"/>
          <w:snapToGrid/>
          <w:szCs w:val="22"/>
          <w:lang w:val="lt-LT"/>
        </w:rPr>
        <w:t xml:space="preserve"> (81</w:t>
      </w:r>
      <w:r w:rsidR="004770B0" w:rsidRPr="00923E74">
        <w:rPr>
          <w:rFonts w:eastAsia="Calibri"/>
          <w:snapToGrid/>
          <w:szCs w:val="22"/>
          <w:lang w:val="lt-LT"/>
        </w:rPr>
        <w:t>,</w:t>
      </w:r>
      <w:r w:rsidR="00EA547D" w:rsidRPr="00923E74">
        <w:rPr>
          <w:rFonts w:eastAsia="Calibri"/>
          <w:snapToGrid/>
          <w:szCs w:val="22"/>
          <w:lang w:val="lt-LT"/>
        </w:rPr>
        <w:t>3</w:t>
      </w:r>
      <w:r w:rsidR="004770B0" w:rsidRPr="00923E74">
        <w:rPr>
          <w:rFonts w:eastAsia="Calibri"/>
          <w:snapToGrid/>
          <w:szCs w:val="22"/>
          <w:lang w:val="lt-LT"/>
        </w:rPr>
        <w:t>, palyginti su</w:t>
      </w:r>
      <w:r w:rsidR="00EA547D" w:rsidRPr="00923E74">
        <w:rPr>
          <w:rFonts w:eastAsia="Calibri"/>
          <w:snapToGrid/>
          <w:szCs w:val="22"/>
          <w:lang w:val="lt-LT"/>
        </w:rPr>
        <w:t xml:space="preserve"> 21</w:t>
      </w:r>
      <w:r w:rsidR="004770B0" w:rsidRPr="00923E74">
        <w:rPr>
          <w:rFonts w:eastAsia="Calibri"/>
          <w:snapToGrid/>
          <w:szCs w:val="22"/>
          <w:lang w:val="lt-LT"/>
        </w:rPr>
        <w:t>,</w:t>
      </w:r>
      <w:r w:rsidR="00EA547D" w:rsidRPr="00923E74">
        <w:rPr>
          <w:rFonts w:eastAsia="Calibri"/>
          <w:snapToGrid/>
          <w:szCs w:val="22"/>
          <w:lang w:val="lt-LT"/>
        </w:rPr>
        <w:t>8</w:t>
      </w:r>
      <w:r w:rsidR="005217E0">
        <w:rPr>
          <w:rFonts w:eastAsia="Calibri"/>
          <w:snapToGrid/>
          <w:szCs w:val="22"/>
          <w:lang w:val="lt-LT"/>
        </w:rPr>
        <w:t> </w:t>
      </w:r>
      <w:r w:rsidR="00EA547D" w:rsidRPr="00923E74">
        <w:rPr>
          <w:rFonts w:eastAsia="Calibri"/>
          <w:snapToGrid/>
          <w:szCs w:val="22"/>
          <w:lang w:val="lt-LT"/>
        </w:rPr>
        <w:t>%</w:t>
      </w:r>
      <w:r w:rsidR="005217E0">
        <w:rPr>
          <w:rFonts w:eastAsia="Calibri"/>
          <w:snapToGrid/>
          <w:szCs w:val="22"/>
          <w:lang w:val="lt-LT"/>
        </w:rPr>
        <w:t>,</w:t>
      </w:r>
      <w:r w:rsidR="00EA547D" w:rsidRPr="00923E74">
        <w:rPr>
          <w:rFonts w:eastAsia="Calibri"/>
          <w:snapToGrid/>
          <w:szCs w:val="22"/>
          <w:lang w:val="lt-LT"/>
        </w:rPr>
        <w:t xml:space="preserve"> p</w:t>
      </w:r>
      <w:r w:rsidR="005217E0">
        <w:rPr>
          <w:rFonts w:eastAsia="Calibri"/>
          <w:snapToGrid/>
          <w:szCs w:val="22"/>
          <w:lang w:val="lt-LT"/>
        </w:rPr>
        <w:t> </w:t>
      </w:r>
      <w:r w:rsidR="004770B0" w:rsidRPr="00923E74">
        <w:rPr>
          <w:rFonts w:eastAsia="Calibri"/>
          <w:snapToGrid/>
          <w:szCs w:val="22"/>
          <w:lang w:val="lt-LT"/>
        </w:rPr>
        <w:t>≤ </w:t>
      </w:r>
      <w:r w:rsidR="00EA547D" w:rsidRPr="00923E74">
        <w:rPr>
          <w:rFonts w:eastAsia="Calibri"/>
          <w:snapToGrid/>
          <w:szCs w:val="22"/>
          <w:lang w:val="lt-LT"/>
        </w:rPr>
        <w:t>0</w:t>
      </w:r>
      <w:r w:rsidR="004770B0" w:rsidRPr="00923E74">
        <w:rPr>
          <w:rFonts w:eastAsia="Calibri"/>
          <w:snapToGrid/>
          <w:szCs w:val="22"/>
          <w:lang w:val="lt-LT"/>
        </w:rPr>
        <w:t>,</w:t>
      </w:r>
      <w:r w:rsidR="00EA547D" w:rsidRPr="00923E74">
        <w:rPr>
          <w:rFonts w:eastAsia="Calibri"/>
          <w:snapToGrid/>
          <w:szCs w:val="22"/>
          <w:lang w:val="lt-LT"/>
        </w:rPr>
        <w:t>001).</w:t>
      </w:r>
      <w:r w:rsidR="004770B0" w:rsidRPr="00923E74">
        <w:rPr>
          <w:rFonts w:eastAsia="Calibri"/>
          <w:snapToGrid/>
          <w:szCs w:val="22"/>
          <w:lang w:val="lt-LT"/>
        </w:rPr>
        <w:t xml:space="preserve"> Gydymo </w:t>
      </w:r>
      <w:proofErr w:type="spellStart"/>
      <w:r w:rsidR="004770B0" w:rsidRPr="00923E74">
        <w:rPr>
          <w:rFonts w:eastAsia="Calibri"/>
          <w:snapToGrid/>
          <w:szCs w:val="22"/>
          <w:lang w:val="lt-LT"/>
        </w:rPr>
        <w:t>atrovastatinu</w:t>
      </w:r>
      <w:proofErr w:type="spellEnd"/>
      <w:r w:rsidR="004770B0" w:rsidRPr="00923E74">
        <w:rPr>
          <w:rFonts w:eastAsia="Calibri"/>
          <w:snapToGrid/>
          <w:szCs w:val="22"/>
          <w:lang w:val="lt-LT"/>
        </w:rPr>
        <w:t xml:space="preserve"> papildymas </w:t>
      </w:r>
      <w:proofErr w:type="spellStart"/>
      <w:r w:rsidR="00EA547D" w:rsidRPr="00923E74">
        <w:rPr>
          <w:rFonts w:eastAsia="Calibri"/>
          <w:snapToGrid/>
          <w:szCs w:val="22"/>
          <w:lang w:val="lt-LT"/>
        </w:rPr>
        <w:t>ezetimib</w:t>
      </w:r>
      <w:r w:rsidR="004770B0" w:rsidRPr="00923E74">
        <w:rPr>
          <w:rFonts w:eastAsia="Calibri"/>
          <w:snapToGrid/>
          <w:szCs w:val="22"/>
          <w:lang w:val="lt-LT"/>
        </w:rPr>
        <w:t>u</w:t>
      </w:r>
      <w:proofErr w:type="spellEnd"/>
      <w:r w:rsidR="004770B0" w:rsidRPr="00923E74">
        <w:rPr>
          <w:rFonts w:eastAsia="Calibri"/>
          <w:snapToGrid/>
          <w:szCs w:val="22"/>
          <w:lang w:val="lt-LT"/>
        </w:rPr>
        <w:t xml:space="preserve">, palyginti su placebu, reikšmingai </w:t>
      </w:r>
      <w:r w:rsidR="00EA547D" w:rsidRPr="00923E74">
        <w:rPr>
          <w:rFonts w:eastAsia="Calibri"/>
          <w:snapToGrid/>
          <w:szCs w:val="22"/>
          <w:lang w:val="lt-LT"/>
        </w:rPr>
        <w:t>(</w:t>
      </w:r>
      <w:r w:rsidR="005217E0" w:rsidRPr="00923E74">
        <w:rPr>
          <w:rFonts w:eastAsia="Calibri"/>
          <w:snapToGrid/>
          <w:szCs w:val="22"/>
          <w:lang w:val="lt-LT"/>
        </w:rPr>
        <w:t>p</w:t>
      </w:r>
      <w:r w:rsidR="004770B0" w:rsidRPr="00923E74">
        <w:rPr>
          <w:rFonts w:eastAsia="Calibri"/>
          <w:snapToGrid/>
          <w:szCs w:val="22"/>
          <w:lang w:val="lt-LT"/>
        </w:rPr>
        <w:t> </w:t>
      </w:r>
      <w:r w:rsidR="00EA547D" w:rsidRPr="00923E74">
        <w:rPr>
          <w:rFonts w:eastAsia="Calibri"/>
          <w:snapToGrid/>
          <w:szCs w:val="22"/>
          <w:lang w:val="lt-LT"/>
        </w:rPr>
        <w:t>≤</w:t>
      </w:r>
      <w:r w:rsidR="004770B0" w:rsidRPr="00923E74">
        <w:rPr>
          <w:rFonts w:eastAsia="Calibri"/>
          <w:snapToGrid/>
          <w:szCs w:val="22"/>
          <w:lang w:val="lt-LT"/>
        </w:rPr>
        <w:t> </w:t>
      </w:r>
      <w:r w:rsidR="00EA547D" w:rsidRPr="00923E74">
        <w:rPr>
          <w:rFonts w:eastAsia="Calibri"/>
          <w:snapToGrid/>
          <w:szCs w:val="22"/>
          <w:lang w:val="lt-LT"/>
        </w:rPr>
        <w:t>0</w:t>
      </w:r>
      <w:r w:rsidR="004770B0" w:rsidRPr="00923E74">
        <w:rPr>
          <w:rFonts w:eastAsia="Calibri"/>
          <w:snapToGrid/>
          <w:szCs w:val="22"/>
          <w:lang w:val="lt-LT"/>
        </w:rPr>
        <w:t>,</w:t>
      </w:r>
      <w:r w:rsidR="00EA547D" w:rsidRPr="00923E74">
        <w:rPr>
          <w:rFonts w:eastAsia="Calibri"/>
          <w:snapToGrid/>
          <w:szCs w:val="22"/>
          <w:lang w:val="lt-LT"/>
        </w:rPr>
        <w:t xml:space="preserve">001) </w:t>
      </w:r>
      <w:r w:rsidR="004770B0" w:rsidRPr="00923E74">
        <w:rPr>
          <w:rFonts w:eastAsia="Calibri"/>
          <w:snapToGrid/>
          <w:szCs w:val="22"/>
          <w:lang w:val="lt-LT"/>
        </w:rPr>
        <w:t>labiau sumažino MTL</w:t>
      </w:r>
      <w:r w:rsidR="00F911D2">
        <w:rPr>
          <w:rFonts w:eastAsia="Calibri"/>
          <w:snapToGrid/>
          <w:szCs w:val="22"/>
          <w:lang w:val="lt-LT"/>
        </w:rPr>
        <w:noBreakHyphen/>
      </w:r>
      <w:r w:rsidR="00F911D2" w:rsidRPr="00923E74">
        <w:rPr>
          <w:rFonts w:eastAsia="Calibri"/>
          <w:snapToGrid/>
          <w:szCs w:val="22"/>
          <w:lang w:val="lt-LT"/>
        </w:rPr>
        <w:t>C</w:t>
      </w:r>
      <w:r w:rsidR="004770B0" w:rsidRPr="00923E74">
        <w:rPr>
          <w:rFonts w:eastAsia="Calibri"/>
          <w:snapToGrid/>
          <w:szCs w:val="22"/>
          <w:lang w:val="lt-LT"/>
        </w:rPr>
        <w:t>, bendrojo cholesterolio, tr</w:t>
      </w:r>
      <w:r w:rsidR="002D12EC" w:rsidRPr="00923E74">
        <w:rPr>
          <w:rFonts w:eastAsia="Calibri"/>
          <w:snapToGrid/>
          <w:szCs w:val="22"/>
          <w:lang w:val="lt-LT"/>
        </w:rPr>
        <w:t>i</w:t>
      </w:r>
      <w:r w:rsidR="004770B0" w:rsidRPr="00923E74">
        <w:rPr>
          <w:rFonts w:eastAsia="Calibri"/>
          <w:snapToGrid/>
          <w:szCs w:val="22"/>
          <w:lang w:val="lt-LT"/>
        </w:rPr>
        <w:t>g</w:t>
      </w:r>
      <w:r w:rsidR="002D12EC" w:rsidRPr="00923E74">
        <w:rPr>
          <w:rFonts w:eastAsia="Calibri"/>
          <w:snapToGrid/>
          <w:szCs w:val="22"/>
          <w:lang w:val="lt-LT"/>
        </w:rPr>
        <w:t>l</w:t>
      </w:r>
      <w:r w:rsidR="004770B0" w:rsidRPr="00923E74">
        <w:rPr>
          <w:rFonts w:eastAsia="Calibri"/>
          <w:snapToGrid/>
          <w:szCs w:val="22"/>
          <w:lang w:val="lt-LT"/>
        </w:rPr>
        <w:t>iceridų, ne</w:t>
      </w:r>
      <w:r w:rsidR="005217E0">
        <w:rPr>
          <w:rFonts w:eastAsia="Calibri"/>
          <w:snapToGrid/>
          <w:szCs w:val="22"/>
          <w:lang w:val="lt-LT"/>
        </w:rPr>
        <w:noBreakHyphen/>
      </w:r>
      <w:r w:rsidR="004770B0" w:rsidRPr="00923E74">
        <w:rPr>
          <w:rFonts w:eastAsia="Calibri"/>
          <w:snapToGrid/>
          <w:szCs w:val="22"/>
          <w:lang w:val="lt-LT"/>
        </w:rPr>
        <w:t>DTL</w:t>
      </w:r>
      <w:r w:rsidR="00F911D2">
        <w:rPr>
          <w:rFonts w:eastAsia="Calibri"/>
          <w:snapToGrid/>
          <w:szCs w:val="22"/>
          <w:lang w:val="lt-LT"/>
        </w:rPr>
        <w:noBreakHyphen/>
      </w:r>
      <w:r w:rsidR="00F911D2" w:rsidRPr="00923E74">
        <w:rPr>
          <w:rFonts w:eastAsia="Calibri"/>
          <w:snapToGrid/>
          <w:szCs w:val="22"/>
          <w:lang w:val="lt-LT"/>
        </w:rPr>
        <w:t>C</w:t>
      </w:r>
      <w:r w:rsidR="004770B0" w:rsidRPr="00923E74">
        <w:rPr>
          <w:rFonts w:eastAsia="Calibri"/>
          <w:snapToGrid/>
          <w:szCs w:val="22"/>
          <w:lang w:val="lt-LT"/>
        </w:rPr>
        <w:t xml:space="preserve"> ir</w:t>
      </w:r>
      <w:r w:rsidR="00EA547D" w:rsidRPr="00923E74">
        <w:rPr>
          <w:rFonts w:eastAsia="Calibri"/>
          <w:snapToGrid/>
          <w:szCs w:val="22"/>
          <w:lang w:val="lt-LT"/>
        </w:rPr>
        <w:t xml:space="preserve"> </w:t>
      </w:r>
      <w:proofErr w:type="spellStart"/>
      <w:r w:rsidR="00F911D2" w:rsidRPr="00923E74">
        <w:rPr>
          <w:rFonts w:eastAsia="Calibri"/>
          <w:snapToGrid/>
          <w:szCs w:val="22"/>
          <w:lang w:val="lt-LT"/>
        </w:rPr>
        <w:t>A</w:t>
      </w:r>
      <w:r w:rsidR="00EA547D" w:rsidRPr="00923E74">
        <w:rPr>
          <w:rFonts w:eastAsia="Calibri"/>
          <w:snapToGrid/>
          <w:szCs w:val="22"/>
          <w:lang w:val="lt-LT"/>
        </w:rPr>
        <w:t>po</w:t>
      </w:r>
      <w:proofErr w:type="spellEnd"/>
      <w:r w:rsidR="005217E0">
        <w:rPr>
          <w:rFonts w:eastAsia="Calibri"/>
          <w:snapToGrid/>
          <w:szCs w:val="22"/>
          <w:lang w:val="lt-LT"/>
        </w:rPr>
        <w:t> </w:t>
      </w:r>
      <w:r w:rsidR="00EA547D" w:rsidRPr="00923E74">
        <w:rPr>
          <w:rFonts w:eastAsia="Calibri"/>
          <w:snapToGrid/>
          <w:szCs w:val="22"/>
          <w:lang w:val="lt-LT"/>
        </w:rPr>
        <w:t>B</w:t>
      </w:r>
      <w:r w:rsidR="00F911D2">
        <w:rPr>
          <w:rFonts w:eastAsia="Calibri"/>
          <w:snapToGrid/>
          <w:szCs w:val="22"/>
          <w:lang w:val="lt-LT"/>
        </w:rPr>
        <w:t> </w:t>
      </w:r>
      <w:r w:rsidR="004770B0" w:rsidRPr="00923E74">
        <w:rPr>
          <w:rFonts w:eastAsia="Calibri"/>
          <w:snapToGrid/>
          <w:szCs w:val="22"/>
          <w:lang w:val="lt-LT"/>
        </w:rPr>
        <w:t>k</w:t>
      </w:r>
      <w:r w:rsidR="005217E0">
        <w:rPr>
          <w:rFonts w:eastAsia="Calibri"/>
          <w:snapToGrid/>
          <w:szCs w:val="22"/>
          <w:lang w:val="lt-LT"/>
        </w:rPr>
        <w:t>oncentrac</w:t>
      </w:r>
      <w:r w:rsidR="004770B0" w:rsidRPr="00923E74">
        <w:rPr>
          <w:rFonts w:eastAsia="Calibri"/>
          <w:snapToGrid/>
          <w:szCs w:val="22"/>
          <w:lang w:val="lt-LT"/>
        </w:rPr>
        <w:t>i</w:t>
      </w:r>
      <w:r w:rsidR="005217E0">
        <w:rPr>
          <w:rFonts w:eastAsia="Calibri"/>
          <w:snapToGrid/>
          <w:szCs w:val="22"/>
          <w:lang w:val="lt-LT"/>
        </w:rPr>
        <w:t>ją,</w:t>
      </w:r>
      <w:r w:rsidR="00EA547D" w:rsidRPr="00923E74">
        <w:rPr>
          <w:rFonts w:eastAsia="Calibri"/>
          <w:snapToGrid/>
          <w:szCs w:val="22"/>
          <w:lang w:val="lt-LT"/>
        </w:rPr>
        <w:t xml:space="preserve"> </w:t>
      </w:r>
      <w:r w:rsidR="00F911D2">
        <w:rPr>
          <w:rFonts w:eastAsia="Calibri"/>
          <w:snapToGrid/>
          <w:szCs w:val="22"/>
          <w:lang w:val="lt-LT"/>
        </w:rPr>
        <w:t>D</w:t>
      </w:r>
      <w:r w:rsidR="004770B0" w:rsidRPr="00923E74">
        <w:rPr>
          <w:rFonts w:eastAsia="Calibri"/>
          <w:snapToGrid/>
          <w:szCs w:val="22"/>
          <w:lang w:val="lt-LT"/>
        </w:rPr>
        <w:t>TL</w:t>
      </w:r>
      <w:r w:rsidR="00F911D2">
        <w:rPr>
          <w:rFonts w:eastAsia="Calibri"/>
          <w:snapToGrid/>
          <w:szCs w:val="22"/>
          <w:lang w:val="lt-LT"/>
        </w:rPr>
        <w:noBreakHyphen/>
      </w:r>
      <w:r w:rsidR="00F911D2" w:rsidRPr="00923E74">
        <w:rPr>
          <w:rFonts w:eastAsia="Calibri"/>
          <w:snapToGrid/>
          <w:szCs w:val="22"/>
          <w:lang w:val="lt-LT"/>
        </w:rPr>
        <w:t>C</w:t>
      </w:r>
      <w:r w:rsidR="00F911D2">
        <w:rPr>
          <w:rFonts w:eastAsia="Calibri"/>
          <w:snapToGrid/>
          <w:szCs w:val="22"/>
          <w:lang w:val="lt-LT"/>
        </w:rPr>
        <w:t> </w:t>
      </w:r>
      <w:r w:rsidR="004770B0" w:rsidRPr="00923E74">
        <w:rPr>
          <w:rFonts w:eastAsia="Calibri"/>
          <w:snapToGrid/>
          <w:szCs w:val="22"/>
          <w:lang w:val="lt-LT"/>
        </w:rPr>
        <w:t>k</w:t>
      </w:r>
      <w:r w:rsidR="005217E0">
        <w:rPr>
          <w:rFonts w:eastAsia="Calibri"/>
          <w:snapToGrid/>
          <w:szCs w:val="22"/>
          <w:lang w:val="lt-LT"/>
        </w:rPr>
        <w:t>onc</w:t>
      </w:r>
      <w:r w:rsidR="004770B0" w:rsidRPr="00923E74">
        <w:rPr>
          <w:rFonts w:eastAsia="Calibri"/>
          <w:snapToGrid/>
          <w:szCs w:val="22"/>
          <w:lang w:val="lt-LT"/>
        </w:rPr>
        <w:t>e</w:t>
      </w:r>
      <w:r w:rsidR="005217E0">
        <w:rPr>
          <w:rFonts w:eastAsia="Calibri"/>
          <w:snapToGrid/>
          <w:szCs w:val="22"/>
          <w:lang w:val="lt-LT"/>
        </w:rPr>
        <w:t>ntrac</w:t>
      </w:r>
      <w:r w:rsidR="004770B0" w:rsidRPr="00923E74">
        <w:rPr>
          <w:rFonts w:eastAsia="Calibri"/>
          <w:snapToGrid/>
          <w:szCs w:val="22"/>
          <w:lang w:val="lt-LT"/>
        </w:rPr>
        <w:t>i</w:t>
      </w:r>
      <w:r w:rsidR="005217E0">
        <w:rPr>
          <w:rFonts w:eastAsia="Calibri"/>
          <w:snapToGrid/>
          <w:szCs w:val="22"/>
          <w:lang w:val="lt-LT"/>
        </w:rPr>
        <w:t>ja</w:t>
      </w:r>
      <w:r w:rsidR="004770B0" w:rsidRPr="00923E74">
        <w:rPr>
          <w:rFonts w:eastAsia="Calibri"/>
          <w:snapToGrid/>
          <w:szCs w:val="22"/>
          <w:lang w:val="lt-LT"/>
        </w:rPr>
        <w:t xml:space="preserve"> padidėjo reikšmingai </w:t>
      </w:r>
      <w:r w:rsidR="00EA547D" w:rsidRPr="00923E74">
        <w:rPr>
          <w:rFonts w:eastAsia="Calibri"/>
          <w:snapToGrid/>
          <w:szCs w:val="22"/>
          <w:lang w:val="lt-LT"/>
        </w:rPr>
        <w:t>(</w:t>
      </w:r>
      <w:r w:rsidR="005217E0" w:rsidRPr="00923E74">
        <w:rPr>
          <w:rFonts w:eastAsia="Calibri"/>
          <w:snapToGrid/>
          <w:szCs w:val="22"/>
          <w:lang w:val="lt-LT"/>
        </w:rPr>
        <w:t>p</w:t>
      </w:r>
      <w:r w:rsidR="005217E0">
        <w:rPr>
          <w:rFonts w:eastAsia="Calibri"/>
          <w:snapToGrid/>
          <w:szCs w:val="22"/>
          <w:lang w:val="lt-LT"/>
        </w:rPr>
        <w:t> </w:t>
      </w:r>
      <w:r w:rsidR="00EA547D" w:rsidRPr="00923E74">
        <w:rPr>
          <w:rFonts w:eastAsia="Calibri"/>
          <w:snapToGrid/>
          <w:szCs w:val="22"/>
          <w:lang w:val="lt-LT"/>
        </w:rPr>
        <w:t>≤</w:t>
      </w:r>
      <w:r w:rsidR="004770B0" w:rsidRPr="00923E74">
        <w:rPr>
          <w:rFonts w:eastAsia="Calibri"/>
          <w:snapToGrid/>
          <w:szCs w:val="22"/>
          <w:lang w:val="lt-LT"/>
        </w:rPr>
        <w:t> </w:t>
      </w:r>
      <w:r w:rsidR="00EA547D" w:rsidRPr="00923E74">
        <w:rPr>
          <w:rFonts w:eastAsia="Calibri"/>
          <w:snapToGrid/>
          <w:szCs w:val="22"/>
          <w:lang w:val="lt-LT"/>
        </w:rPr>
        <w:t>0</w:t>
      </w:r>
      <w:r w:rsidR="004770B0" w:rsidRPr="00923E74">
        <w:rPr>
          <w:rFonts w:eastAsia="Calibri"/>
          <w:snapToGrid/>
          <w:szCs w:val="22"/>
          <w:lang w:val="lt-LT"/>
        </w:rPr>
        <w:t>,</w:t>
      </w:r>
      <w:r w:rsidR="00EA547D" w:rsidRPr="00923E74">
        <w:rPr>
          <w:rFonts w:eastAsia="Calibri"/>
          <w:snapToGrid/>
          <w:szCs w:val="22"/>
          <w:lang w:val="lt-LT"/>
        </w:rPr>
        <w:t>05).</w:t>
      </w:r>
    </w:p>
    <w:p w14:paraId="5A7789C8" w14:textId="77777777" w:rsidR="00381B7D" w:rsidRDefault="00381B7D" w:rsidP="007425C0">
      <w:pPr>
        <w:widowControl w:val="0"/>
        <w:tabs>
          <w:tab w:val="clear" w:pos="567"/>
        </w:tabs>
        <w:spacing w:line="240" w:lineRule="auto"/>
        <w:rPr>
          <w:snapToGrid/>
          <w:szCs w:val="22"/>
          <w:lang w:val="lt-LT" w:eastAsia="sl-SI"/>
        </w:rPr>
      </w:pPr>
    </w:p>
    <w:p w14:paraId="598547B9" w14:textId="77777777" w:rsidR="003F125F" w:rsidRPr="000C6E8D" w:rsidRDefault="003F125F" w:rsidP="003F125F">
      <w:pPr>
        <w:widowControl w:val="0"/>
        <w:tabs>
          <w:tab w:val="clear" w:pos="567"/>
        </w:tabs>
        <w:spacing w:line="240" w:lineRule="auto"/>
        <w:rPr>
          <w:snapToGrid/>
          <w:szCs w:val="22"/>
          <w:u w:val="single"/>
          <w:lang w:val="lt-LT" w:eastAsia="sl-SI"/>
        </w:rPr>
      </w:pPr>
      <w:r w:rsidRPr="000C6E8D">
        <w:rPr>
          <w:snapToGrid/>
          <w:szCs w:val="22"/>
          <w:u w:val="single"/>
          <w:lang w:val="lt-LT" w:eastAsia="sl-SI"/>
        </w:rPr>
        <w:t>Širdies ir kraujagyslių sistemos reiškinių profilaktika</w:t>
      </w:r>
    </w:p>
    <w:p w14:paraId="055E14EC" w14:textId="6931993C" w:rsidR="00F24066" w:rsidRPr="00F24066" w:rsidRDefault="00F24066" w:rsidP="00F24066">
      <w:pPr>
        <w:rPr>
          <w:lang w:val="lt-LT"/>
        </w:rPr>
      </w:pPr>
      <w:r w:rsidRPr="00F24066">
        <w:rPr>
          <w:lang w:val="lt-LT" w:bidi="bo-CN"/>
        </w:rPr>
        <w:t>Į</w:t>
      </w:r>
      <w:r w:rsidRPr="00F24066">
        <w:rPr>
          <w:lang w:val="lt-LT"/>
        </w:rPr>
        <w:t xml:space="preserve"> </w:t>
      </w:r>
      <w:proofErr w:type="spellStart"/>
      <w:r w:rsidRPr="00F24066">
        <w:rPr>
          <w:lang w:val="lt-LT" w:bidi="bo-CN"/>
        </w:rPr>
        <w:t>ezetimibo</w:t>
      </w:r>
      <w:proofErr w:type="spellEnd"/>
      <w:r w:rsidRPr="00F24066">
        <w:rPr>
          <w:lang w:val="lt-LT" w:bidi="bo-CN"/>
        </w:rPr>
        <w:t xml:space="preserve"> / </w:t>
      </w:r>
      <w:proofErr w:type="spellStart"/>
      <w:r w:rsidRPr="00F24066">
        <w:rPr>
          <w:lang w:val="lt-LT" w:bidi="bo-CN"/>
        </w:rPr>
        <w:t>simvastatino</w:t>
      </w:r>
      <w:proofErr w:type="spellEnd"/>
      <w:r w:rsidRPr="00F24066">
        <w:rPr>
          <w:lang w:val="lt-LT"/>
        </w:rPr>
        <w:t xml:space="preserve"> </w:t>
      </w:r>
      <w:proofErr w:type="spellStart"/>
      <w:r w:rsidRPr="00F24066">
        <w:rPr>
          <w:lang w:val="lt-LT"/>
        </w:rPr>
        <w:t>daugiacentrį</w:t>
      </w:r>
      <w:proofErr w:type="spellEnd"/>
      <w:r w:rsidRPr="00F24066">
        <w:rPr>
          <w:lang w:val="lt-LT"/>
        </w:rPr>
        <w:t xml:space="preserve">, atsitiktinių imčių, dvigubai koduotą, veikliuoju vaistiniu preparatu kontroliuotą </w:t>
      </w:r>
      <w:r w:rsidRPr="00F24066">
        <w:rPr>
          <w:lang w:val="lt-LT" w:bidi="bo-CN"/>
        </w:rPr>
        <w:t>klinikinį</w:t>
      </w:r>
      <w:r w:rsidRPr="00F24066">
        <w:rPr>
          <w:lang w:val="lt-LT"/>
        </w:rPr>
        <w:t xml:space="preserve"> tyrimą buvo įtraukta 18 144 pacientai per 10 dienų po hospitalizavimo dėl ūminio koronarinio sindromo (ŪKS: arba ūminis miokardo infarktas [MI], arba nestabilioji krūtinės angina [NA]). Visiems pacientams atsitiktine tvarka santykiu 1:1 buvo paskirta vartoti arba </w:t>
      </w:r>
      <w:proofErr w:type="spellStart"/>
      <w:r w:rsidRPr="00F24066">
        <w:rPr>
          <w:lang w:val="lt-LT" w:bidi="bo-CN"/>
        </w:rPr>
        <w:t>ezetimibo</w:t>
      </w:r>
      <w:proofErr w:type="spellEnd"/>
      <w:r w:rsidRPr="00F24066">
        <w:rPr>
          <w:lang w:val="lt-LT" w:bidi="bo-CN"/>
        </w:rPr>
        <w:t xml:space="preserve"> / </w:t>
      </w:r>
      <w:proofErr w:type="spellStart"/>
      <w:r w:rsidRPr="00F24066">
        <w:rPr>
          <w:lang w:val="lt-LT" w:bidi="bo-CN"/>
        </w:rPr>
        <w:t>simvastatino</w:t>
      </w:r>
      <w:proofErr w:type="spellEnd"/>
      <w:r w:rsidRPr="00F24066">
        <w:rPr>
          <w:lang w:val="lt-LT" w:bidi="bo-CN"/>
        </w:rPr>
        <w:t xml:space="preserve"> 10/40 mg (n = 9 067), arba 40 mg </w:t>
      </w:r>
      <w:proofErr w:type="spellStart"/>
      <w:r w:rsidRPr="00F24066">
        <w:rPr>
          <w:lang w:val="lt-LT" w:bidi="bo-CN"/>
        </w:rPr>
        <w:t>simvastatino</w:t>
      </w:r>
      <w:proofErr w:type="spellEnd"/>
      <w:r w:rsidRPr="00F24066">
        <w:rPr>
          <w:lang w:val="lt-LT" w:bidi="bo-CN"/>
        </w:rPr>
        <w:t xml:space="preserve"> dozę (n</w:t>
      </w:r>
      <w:r w:rsidR="00C20448">
        <w:rPr>
          <w:lang w:val="lt-LT" w:bidi="bo-CN"/>
        </w:rPr>
        <w:t> </w:t>
      </w:r>
      <w:r w:rsidRPr="00F24066">
        <w:rPr>
          <w:lang w:val="lt-LT" w:bidi="bo-CN"/>
        </w:rPr>
        <w:t>=</w:t>
      </w:r>
      <w:r w:rsidR="00C20448">
        <w:rPr>
          <w:lang w:val="lt-LT" w:bidi="bo-CN"/>
        </w:rPr>
        <w:t> </w:t>
      </w:r>
      <w:r w:rsidRPr="00F24066">
        <w:rPr>
          <w:lang w:val="lt-LT" w:bidi="bo-CN"/>
        </w:rPr>
        <w:t>9 077)</w:t>
      </w:r>
      <w:r w:rsidRPr="00F24066">
        <w:rPr>
          <w:lang w:val="lt-LT"/>
        </w:rPr>
        <w:t>, stebėjimo laikotarpio mediana – 6,0 metai.</w:t>
      </w:r>
    </w:p>
    <w:p w14:paraId="0AEBFD89" w14:textId="77777777" w:rsidR="00A67F23" w:rsidRDefault="00A67F23" w:rsidP="007425C0">
      <w:pPr>
        <w:widowControl w:val="0"/>
        <w:tabs>
          <w:tab w:val="clear" w:pos="567"/>
        </w:tabs>
        <w:spacing w:line="240" w:lineRule="auto"/>
        <w:rPr>
          <w:snapToGrid/>
          <w:szCs w:val="22"/>
          <w:lang w:val="lt-LT" w:eastAsia="sl-SI"/>
        </w:rPr>
      </w:pPr>
    </w:p>
    <w:p w14:paraId="0CC08DE6" w14:textId="0628A319" w:rsidR="00F24066" w:rsidRDefault="00F24066" w:rsidP="007425C0">
      <w:pPr>
        <w:widowControl w:val="0"/>
        <w:tabs>
          <w:tab w:val="clear" w:pos="567"/>
        </w:tabs>
        <w:spacing w:line="240" w:lineRule="auto"/>
        <w:rPr>
          <w:lang w:val="lt-LT"/>
        </w:rPr>
      </w:pPr>
      <w:r w:rsidRPr="00F24066">
        <w:rPr>
          <w:lang w:val="lt-LT"/>
        </w:rPr>
        <w:t>Pacientų vidutinis amžius buvo 63,6 metų; 76 % buvo vyrai, 84 % priklausė baltųjų rasei, 27 % sirgo cukriniu diabetu. Tiriamojo įvykio momentu vidutinė MTL-C koncentracija pacientų, kurie prieš tai vartojo lipidų koncentraciją mažinančių vaistinių preparatų (n = 6 390), kraujyje buvo 80 mg/dl (2,1 </w:t>
      </w:r>
      <w:proofErr w:type="spellStart"/>
      <w:r w:rsidRPr="00F24066">
        <w:rPr>
          <w:lang w:val="lt-LT"/>
        </w:rPr>
        <w:t>mmol</w:t>
      </w:r>
      <w:proofErr w:type="spellEnd"/>
      <w:r w:rsidRPr="00F24066">
        <w:rPr>
          <w:lang w:val="lt-LT"/>
        </w:rPr>
        <w:t>/l), o kurie lipidų koncentraciją mažinančių vaistinių preparatų nevartojo (n = 11 594) – 101 mg/dl (2,6 </w:t>
      </w:r>
      <w:proofErr w:type="spellStart"/>
      <w:r w:rsidRPr="00F24066">
        <w:rPr>
          <w:lang w:val="lt-LT"/>
        </w:rPr>
        <w:t>mmol</w:t>
      </w:r>
      <w:proofErr w:type="spellEnd"/>
      <w:r w:rsidRPr="00F24066">
        <w:rPr>
          <w:lang w:val="lt-LT"/>
        </w:rPr>
        <w:t xml:space="preserve">/l). Prieš hospitalizavimą dėl tiriamojo ŪKS reiškinio 34 % pacientų buvo gydomi </w:t>
      </w:r>
      <w:proofErr w:type="spellStart"/>
      <w:r w:rsidRPr="00F24066">
        <w:rPr>
          <w:lang w:val="lt-LT"/>
        </w:rPr>
        <w:t>statinu</w:t>
      </w:r>
      <w:proofErr w:type="spellEnd"/>
      <w:r w:rsidRPr="00F24066">
        <w:rPr>
          <w:lang w:val="lt-LT"/>
        </w:rPr>
        <w:t>. Po vienerių metų pacientų, kurie toliau tęsė šį gydymą, kraujyje vidutinė MTL-C koncentracija buvo 53,2 mg/dl (1,4 </w:t>
      </w:r>
      <w:proofErr w:type="spellStart"/>
      <w:r w:rsidRPr="00F24066">
        <w:rPr>
          <w:lang w:val="lt-LT"/>
        </w:rPr>
        <w:t>mmol</w:t>
      </w:r>
      <w:proofErr w:type="spellEnd"/>
      <w:r w:rsidRPr="00F24066">
        <w:rPr>
          <w:lang w:val="lt-LT"/>
        </w:rPr>
        <w:t xml:space="preserve">/l) gydymo </w:t>
      </w:r>
      <w:proofErr w:type="spellStart"/>
      <w:r w:rsidRPr="00F24066">
        <w:rPr>
          <w:lang w:val="lt-LT"/>
        </w:rPr>
        <w:t>ezetimibu</w:t>
      </w:r>
      <w:proofErr w:type="spellEnd"/>
      <w:r w:rsidRPr="00F24066">
        <w:rPr>
          <w:lang w:val="lt-LT"/>
        </w:rPr>
        <w:t xml:space="preserve"> / </w:t>
      </w:r>
      <w:proofErr w:type="spellStart"/>
      <w:r w:rsidRPr="00F24066">
        <w:rPr>
          <w:lang w:val="lt-LT"/>
        </w:rPr>
        <w:t>simvastatinu</w:t>
      </w:r>
      <w:proofErr w:type="spellEnd"/>
      <w:r w:rsidRPr="00F24066">
        <w:rPr>
          <w:lang w:val="lt-LT"/>
        </w:rPr>
        <w:t xml:space="preserve"> grupėje, o </w:t>
      </w:r>
      <w:proofErr w:type="spellStart"/>
      <w:r w:rsidRPr="00F24066">
        <w:rPr>
          <w:lang w:val="lt-LT"/>
        </w:rPr>
        <w:t>simvastatino</w:t>
      </w:r>
      <w:proofErr w:type="spellEnd"/>
      <w:r w:rsidRPr="00F24066">
        <w:rPr>
          <w:lang w:val="lt-LT"/>
        </w:rPr>
        <w:t xml:space="preserve"> </w:t>
      </w:r>
      <w:proofErr w:type="spellStart"/>
      <w:r w:rsidRPr="00F24066">
        <w:rPr>
          <w:lang w:val="lt-LT"/>
        </w:rPr>
        <w:t>monoterapijos</w:t>
      </w:r>
      <w:proofErr w:type="spellEnd"/>
      <w:r w:rsidRPr="00F24066">
        <w:rPr>
          <w:lang w:val="lt-LT"/>
        </w:rPr>
        <w:t xml:space="preserve"> grupėje – 69,9 mg/dl (1,8 </w:t>
      </w:r>
      <w:proofErr w:type="spellStart"/>
      <w:r w:rsidRPr="00F24066">
        <w:rPr>
          <w:lang w:val="lt-LT"/>
        </w:rPr>
        <w:t>mmol</w:t>
      </w:r>
      <w:proofErr w:type="spellEnd"/>
      <w:r w:rsidRPr="00F24066">
        <w:rPr>
          <w:lang w:val="lt-LT"/>
        </w:rPr>
        <w:t>/l).</w:t>
      </w:r>
    </w:p>
    <w:p w14:paraId="11BC4A97" w14:textId="77777777" w:rsidR="00F24066" w:rsidRDefault="00F24066" w:rsidP="007425C0">
      <w:pPr>
        <w:widowControl w:val="0"/>
        <w:tabs>
          <w:tab w:val="clear" w:pos="567"/>
        </w:tabs>
        <w:spacing w:line="240" w:lineRule="auto"/>
        <w:rPr>
          <w:lang w:val="lt-LT"/>
        </w:rPr>
      </w:pPr>
    </w:p>
    <w:p w14:paraId="08EF799A" w14:textId="5A30ED0F" w:rsidR="00F24066" w:rsidRDefault="00F24066" w:rsidP="007425C0">
      <w:pPr>
        <w:widowControl w:val="0"/>
        <w:tabs>
          <w:tab w:val="clear" w:pos="567"/>
        </w:tabs>
        <w:spacing w:line="240" w:lineRule="auto"/>
        <w:rPr>
          <w:lang w:val="lt-LT"/>
        </w:rPr>
      </w:pPr>
      <w:r w:rsidRPr="00F24066">
        <w:rPr>
          <w:lang w:val="lt-LT"/>
        </w:rPr>
        <w:t xml:space="preserve">Pagrindinė vertinamoji baigtis buvo sudėtinė, ją sudarė kardiovaskulinė mirtis, sunkūs koronariniai reiškiniai (SKR, apibrėžiami kaip nemirtinas miokardo infarktas, dokumentuota nestabilioji krūtinės angina, dėl kurios reikia hospitalizuoti arba bet kokia vainikinių kraujagyslių </w:t>
      </w:r>
      <w:proofErr w:type="spellStart"/>
      <w:r w:rsidRPr="00F24066">
        <w:rPr>
          <w:lang w:val="lt-LT"/>
        </w:rPr>
        <w:t>revaskuliarizacijos</w:t>
      </w:r>
      <w:proofErr w:type="spellEnd"/>
      <w:r w:rsidRPr="00F24066">
        <w:rPr>
          <w:lang w:val="lt-LT"/>
        </w:rPr>
        <w:t xml:space="preserve"> procedūra, atlikta ne vėliau kaip per 30 dienų po atsitiktine tvarka paskirto gydymo pradžios) ir nemirtinas insultas. Klinikiniu tyrimu įrodyta, kad gydymas </w:t>
      </w:r>
      <w:proofErr w:type="spellStart"/>
      <w:r w:rsidRPr="00F24066">
        <w:rPr>
          <w:lang w:val="lt-LT"/>
        </w:rPr>
        <w:t>ezetimibu</w:t>
      </w:r>
      <w:proofErr w:type="spellEnd"/>
      <w:r w:rsidRPr="00F24066">
        <w:rPr>
          <w:lang w:val="lt-LT"/>
        </w:rPr>
        <w:t xml:space="preserve"> / </w:t>
      </w:r>
      <w:proofErr w:type="spellStart"/>
      <w:r w:rsidRPr="00F24066">
        <w:rPr>
          <w:lang w:val="lt-LT"/>
        </w:rPr>
        <w:t>simvastatinu</w:t>
      </w:r>
      <w:proofErr w:type="spellEnd"/>
      <w:r w:rsidRPr="00F24066">
        <w:rPr>
          <w:lang w:val="lt-LT"/>
        </w:rPr>
        <w:t xml:space="preserve"> padidino naudą sumažinant pagrindinę sudėtinę vertinamąją baigtį, kardiovaskulinės mirties, SKR ir nemirtino insulto dažnį, lyginant su vien </w:t>
      </w:r>
      <w:proofErr w:type="spellStart"/>
      <w:r w:rsidRPr="00F24066">
        <w:rPr>
          <w:lang w:val="lt-LT"/>
        </w:rPr>
        <w:t>simvastatinu</w:t>
      </w:r>
      <w:proofErr w:type="spellEnd"/>
      <w:r w:rsidRPr="00F24066">
        <w:rPr>
          <w:lang w:val="lt-LT"/>
        </w:rPr>
        <w:t xml:space="preserve"> (santykinės rizikos sumažėjimas 6,4 %; p = 0,016). Pagrindinė vertinamoji baigtis </w:t>
      </w:r>
      <w:r w:rsidR="00B07D26">
        <w:rPr>
          <w:lang w:val="lt-LT"/>
        </w:rPr>
        <w:t>pasireiškė</w:t>
      </w:r>
      <w:r w:rsidRPr="00F24066">
        <w:rPr>
          <w:lang w:val="lt-LT"/>
        </w:rPr>
        <w:t xml:space="preserve"> 2 572 iš 9 067 gydymo </w:t>
      </w:r>
      <w:proofErr w:type="spellStart"/>
      <w:r w:rsidRPr="00F24066">
        <w:rPr>
          <w:lang w:val="lt-LT"/>
        </w:rPr>
        <w:t>ezetimibu</w:t>
      </w:r>
      <w:proofErr w:type="spellEnd"/>
      <w:r w:rsidRPr="00F24066">
        <w:rPr>
          <w:lang w:val="lt-LT"/>
        </w:rPr>
        <w:t xml:space="preserve"> / </w:t>
      </w:r>
      <w:proofErr w:type="spellStart"/>
      <w:r w:rsidRPr="00F24066">
        <w:rPr>
          <w:lang w:val="lt-LT"/>
        </w:rPr>
        <w:t>simvastatinu</w:t>
      </w:r>
      <w:proofErr w:type="spellEnd"/>
      <w:r w:rsidRPr="00F24066">
        <w:rPr>
          <w:lang w:val="lt-LT"/>
        </w:rPr>
        <w:t xml:space="preserve"> grupės pacientų </w:t>
      </w:r>
      <w:r w:rsidRPr="00F24066">
        <w:rPr>
          <w:lang w:val="lt-LT"/>
        </w:rPr>
        <w:lastRenderedPageBreak/>
        <w:t>(</w:t>
      </w:r>
      <w:proofErr w:type="spellStart"/>
      <w:r w:rsidRPr="00F24066">
        <w:rPr>
          <w:i/>
          <w:lang w:val="lt-LT"/>
        </w:rPr>
        <w:t>Kaplan-Meier</w:t>
      </w:r>
      <w:proofErr w:type="spellEnd"/>
      <w:r w:rsidRPr="00F24066">
        <w:rPr>
          <w:lang w:val="lt-LT"/>
        </w:rPr>
        <w:t xml:space="preserve"> [KM] metodu nustatytas 7 metų dažnis – 32,72 %) bei 2 742 iš 9 077 gydymo vien </w:t>
      </w:r>
      <w:proofErr w:type="spellStart"/>
      <w:r w:rsidRPr="00F24066">
        <w:rPr>
          <w:lang w:val="lt-LT"/>
        </w:rPr>
        <w:t>simvastatinu</w:t>
      </w:r>
      <w:proofErr w:type="spellEnd"/>
      <w:r w:rsidRPr="00F24066">
        <w:rPr>
          <w:lang w:val="lt-LT"/>
        </w:rPr>
        <w:t xml:space="preserve"> grupės pacientų (</w:t>
      </w:r>
      <w:r w:rsidRPr="00F24066">
        <w:rPr>
          <w:iCs/>
          <w:lang w:val="lt-LT"/>
        </w:rPr>
        <w:t xml:space="preserve">KM </w:t>
      </w:r>
      <w:r w:rsidRPr="00F24066">
        <w:rPr>
          <w:lang w:val="lt-LT"/>
        </w:rPr>
        <w:t xml:space="preserve">metodu nustatytas 7 metų dažnis – 34,67 %) (žr. 1 paveikslą ir </w:t>
      </w:r>
      <w:r w:rsidR="00DE3647">
        <w:rPr>
          <w:lang w:val="lt-LT"/>
        </w:rPr>
        <w:t>3</w:t>
      </w:r>
      <w:r w:rsidRPr="00F24066">
        <w:rPr>
          <w:lang w:val="lt-LT"/>
        </w:rPr>
        <w:t xml:space="preserve"> lentelę). Ši padidėjusi nauda turėtų būti panaši ir vartojant kartu </w:t>
      </w:r>
      <w:proofErr w:type="spellStart"/>
      <w:r w:rsidRPr="00F24066">
        <w:rPr>
          <w:lang w:val="lt-LT"/>
        </w:rPr>
        <w:t>ezetimib</w:t>
      </w:r>
      <w:r w:rsidR="00FD7232">
        <w:rPr>
          <w:lang w:val="lt-LT"/>
        </w:rPr>
        <w:t>o</w:t>
      </w:r>
      <w:proofErr w:type="spellEnd"/>
      <w:r w:rsidRPr="00F24066">
        <w:rPr>
          <w:lang w:val="lt-LT"/>
        </w:rPr>
        <w:t xml:space="preserve"> </w:t>
      </w:r>
      <w:r w:rsidR="001C2B3F">
        <w:rPr>
          <w:lang w:val="lt-LT"/>
        </w:rPr>
        <w:t>su</w:t>
      </w:r>
      <w:r w:rsidRPr="00F24066">
        <w:rPr>
          <w:lang w:val="lt-LT"/>
        </w:rPr>
        <w:t xml:space="preserve"> </w:t>
      </w:r>
      <w:proofErr w:type="spellStart"/>
      <w:r w:rsidRPr="00F24066">
        <w:rPr>
          <w:lang w:val="lt-LT"/>
        </w:rPr>
        <w:t>atorvastatinu</w:t>
      </w:r>
      <w:proofErr w:type="spellEnd"/>
      <w:r w:rsidRPr="00F24066">
        <w:rPr>
          <w:lang w:val="lt-LT"/>
        </w:rPr>
        <w:t>. Bendrasis mirtingumas šioje didelės rizikos grupėje išliko nepakitęs.</w:t>
      </w:r>
    </w:p>
    <w:p w14:paraId="58C58452" w14:textId="77777777" w:rsidR="00F24066" w:rsidRDefault="00F24066" w:rsidP="007425C0">
      <w:pPr>
        <w:widowControl w:val="0"/>
        <w:tabs>
          <w:tab w:val="clear" w:pos="567"/>
        </w:tabs>
        <w:spacing w:line="240" w:lineRule="auto"/>
        <w:rPr>
          <w:lang w:val="lt-LT"/>
        </w:rPr>
      </w:pPr>
    </w:p>
    <w:p w14:paraId="416B8438" w14:textId="0919BEC6" w:rsidR="00294F0E" w:rsidRPr="00294F0E" w:rsidRDefault="00294F0E" w:rsidP="00294F0E">
      <w:pPr>
        <w:rPr>
          <w:lang w:val="lt-LT"/>
        </w:rPr>
      </w:pPr>
      <w:r w:rsidRPr="00294F0E">
        <w:rPr>
          <w:lang w:val="lt-LT"/>
        </w:rPr>
        <w:t xml:space="preserve">Buvo nustatyta bendroji nauda visų insultų atžvilgiu, tačiau gydymo </w:t>
      </w:r>
      <w:proofErr w:type="spellStart"/>
      <w:r w:rsidRPr="00294F0E">
        <w:rPr>
          <w:lang w:val="lt-LT"/>
        </w:rPr>
        <w:t>ezetimibo</w:t>
      </w:r>
      <w:proofErr w:type="spellEnd"/>
      <w:r w:rsidRPr="00294F0E">
        <w:rPr>
          <w:lang w:val="lt-LT"/>
        </w:rPr>
        <w:t xml:space="preserve"> ir </w:t>
      </w:r>
      <w:proofErr w:type="spellStart"/>
      <w:r w:rsidRPr="00294F0E">
        <w:rPr>
          <w:lang w:val="lt-LT"/>
        </w:rPr>
        <w:t>simvastatino</w:t>
      </w:r>
      <w:proofErr w:type="spellEnd"/>
      <w:r w:rsidRPr="00294F0E">
        <w:rPr>
          <w:lang w:val="lt-LT"/>
        </w:rPr>
        <w:t xml:space="preserve"> deriniu grupėje hemoraginio insulto </w:t>
      </w:r>
      <w:r w:rsidR="00C024E0">
        <w:rPr>
          <w:lang w:val="lt-LT"/>
        </w:rPr>
        <w:t>atvejų</w:t>
      </w:r>
      <w:r w:rsidRPr="00294F0E">
        <w:rPr>
          <w:lang w:val="lt-LT"/>
        </w:rPr>
        <w:t xml:space="preserve"> padidėjimas buvo </w:t>
      </w:r>
      <w:r w:rsidR="00C72CEE">
        <w:rPr>
          <w:lang w:val="lt-LT"/>
        </w:rPr>
        <w:t>kiek didesnis, bet</w:t>
      </w:r>
      <w:r w:rsidRPr="00294F0E">
        <w:rPr>
          <w:lang w:val="lt-LT"/>
        </w:rPr>
        <w:t xml:space="preserve"> nereikšmingas, palyginus su gydymu vien </w:t>
      </w:r>
      <w:proofErr w:type="spellStart"/>
      <w:r w:rsidRPr="00294F0E">
        <w:rPr>
          <w:lang w:val="lt-LT"/>
        </w:rPr>
        <w:t>simvastatinu</w:t>
      </w:r>
      <w:proofErr w:type="spellEnd"/>
      <w:r w:rsidRPr="00294F0E">
        <w:rPr>
          <w:lang w:val="lt-LT"/>
        </w:rPr>
        <w:t xml:space="preserve">. Hemoraginio insulto rizika </w:t>
      </w:r>
      <w:proofErr w:type="spellStart"/>
      <w:r w:rsidRPr="00294F0E">
        <w:rPr>
          <w:lang w:val="lt-LT"/>
        </w:rPr>
        <w:t>ezetimibo</w:t>
      </w:r>
      <w:proofErr w:type="spellEnd"/>
      <w:r w:rsidRPr="00294F0E">
        <w:rPr>
          <w:lang w:val="lt-LT"/>
        </w:rPr>
        <w:t xml:space="preserve"> vartojant kartu su stipresniais </w:t>
      </w:r>
      <w:proofErr w:type="spellStart"/>
      <w:r w:rsidRPr="00294F0E">
        <w:rPr>
          <w:lang w:val="lt-LT"/>
        </w:rPr>
        <w:t>statinais</w:t>
      </w:r>
      <w:proofErr w:type="spellEnd"/>
      <w:r w:rsidRPr="00294F0E">
        <w:rPr>
          <w:lang w:val="lt-LT"/>
        </w:rPr>
        <w:t xml:space="preserve"> ilgalaikių baigčių tyrimų metu nėra vertinta.</w:t>
      </w:r>
    </w:p>
    <w:p w14:paraId="54BC40F1" w14:textId="77777777" w:rsidR="00294F0E" w:rsidRPr="00294F0E" w:rsidRDefault="00294F0E" w:rsidP="00294F0E">
      <w:pPr>
        <w:rPr>
          <w:lang w:val="lt-LT"/>
        </w:rPr>
      </w:pPr>
    </w:p>
    <w:p w14:paraId="34F17FBE" w14:textId="55144D45" w:rsidR="00F24066" w:rsidRDefault="00294F0E" w:rsidP="00294F0E">
      <w:pPr>
        <w:widowControl w:val="0"/>
        <w:tabs>
          <w:tab w:val="clear" w:pos="567"/>
        </w:tabs>
        <w:spacing w:line="240" w:lineRule="auto"/>
        <w:rPr>
          <w:lang w:val="lt-LT"/>
        </w:rPr>
      </w:pPr>
      <w:r w:rsidRPr="00294F0E">
        <w:rPr>
          <w:lang w:val="lt-LT"/>
        </w:rPr>
        <w:t xml:space="preserve">Gydymo </w:t>
      </w:r>
      <w:proofErr w:type="spellStart"/>
      <w:r w:rsidRPr="00294F0E">
        <w:rPr>
          <w:lang w:val="lt-LT"/>
        </w:rPr>
        <w:t>ezetimibu</w:t>
      </w:r>
      <w:proofErr w:type="spellEnd"/>
      <w:r w:rsidRPr="00294F0E">
        <w:rPr>
          <w:lang w:val="lt-LT"/>
        </w:rPr>
        <w:t xml:space="preserve"> / </w:t>
      </w:r>
      <w:proofErr w:type="spellStart"/>
      <w:r w:rsidRPr="00294F0E">
        <w:rPr>
          <w:lang w:val="lt-LT"/>
        </w:rPr>
        <w:t>simvastatinu</w:t>
      </w:r>
      <w:proofErr w:type="spellEnd"/>
      <w:r w:rsidRPr="00294F0E">
        <w:rPr>
          <w:lang w:val="lt-LT"/>
        </w:rPr>
        <w:t xml:space="preserve"> poveikis bendruosius rezultatus iš esmės atitiko daugelyje pogrupių, įskaitant lytį, amžių, rasę, cukrinio diabeto ligos istoriją, pradinę lipidų koncentraciją, anksčiau taikytą gydymą </w:t>
      </w:r>
      <w:proofErr w:type="spellStart"/>
      <w:r w:rsidRPr="00294F0E">
        <w:rPr>
          <w:lang w:val="lt-LT"/>
        </w:rPr>
        <w:t>statinu</w:t>
      </w:r>
      <w:proofErr w:type="spellEnd"/>
      <w:r w:rsidRPr="00294F0E">
        <w:rPr>
          <w:lang w:val="lt-LT"/>
        </w:rPr>
        <w:t>, persirgtą insultą ir hipertenziją.</w:t>
      </w:r>
    </w:p>
    <w:p w14:paraId="1805A454" w14:textId="77777777" w:rsidR="00294F0E" w:rsidRDefault="00294F0E" w:rsidP="00294F0E">
      <w:pPr>
        <w:widowControl w:val="0"/>
        <w:tabs>
          <w:tab w:val="clear" w:pos="567"/>
        </w:tabs>
        <w:spacing w:line="240" w:lineRule="auto"/>
        <w:rPr>
          <w:lang w:val="lt-LT"/>
        </w:rPr>
      </w:pPr>
    </w:p>
    <w:p w14:paraId="3CD07E3A" w14:textId="77777777" w:rsidR="00294F0E" w:rsidRPr="00294F0E" w:rsidRDefault="00294F0E" w:rsidP="00294F0E">
      <w:pPr>
        <w:keepNext/>
        <w:keepLines/>
        <w:rPr>
          <w:b/>
          <w:bCs/>
          <w:lang w:val="lt-LT"/>
        </w:rPr>
      </w:pPr>
      <w:r w:rsidRPr="00294F0E">
        <w:rPr>
          <w:b/>
          <w:bCs/>
          <w:lang w:val="lt-LT"/>
        </w:rPr>
        <w:t xml:space="preserve">1 paveikslas. Gydymo </w:t>
      </w:r>
      <w:proofErr w:type="spellStart"/>
      <w:r w:rsidRPr="00294F0E">
        <w:rPr>
          <w:b/>
          <w:bCs/>
          <w:lang w:val="lt-LT"/>
        </w:rPr>
        <w:t>ezetimibu</w:t>
      </w:r>
      <w:proofErr w:type="spellEnd"/>
      <w:r w:rsidRPr="00294F0E">
        <w:rPr>
          <w:b/>
          <w:bCs/>
          <w:lang w:val="lt-LT"/>
        </w:rPr>
        <w:t xml:space="preserve"> / </w:t>
      </w:r>
      <w:proofErr w:type="spellStart"/>
      <w:r w:rsidRPr="00294F0E">
        <w:rPr>
          <w:b/>
          <w:bCs/>
          <w:lang w:val="lt-LT"/>
        </w:rPr>
        <w:t>simvastatinu</w:t>
      </w:r>
      <w:proofErr w:type="spellEnd"/>
      <w:r w:rsidRPr="00294F0E">
        <w:rPr>
          <w:b/>
          <w:bCs/>
          <w:lang w:val="lt-LT"/>
        </w:rPr>
        <w:t xml:space="preserve"> poveikis pagrindinei sudėtinei vertinamajai baigčiai, susidedančiai iš kardiovaskulinės mirties, sunkaus koronarinio reiškinio ir nemirtino insulto</w:t>
      </w:r>
    </w:p>
    <w:p w14:paraId="11618E40" w14:textId="77777777" w:rsidR="00294F0E" w:rsidRDefault="00294F0E" w:rsidP="00294F0E">
      <w:pPr>
        <w:widowControl w:val="0"/>
        <w:tabs>
          <w:tab w:val="clear" w:pos="567"/>
        </w:tabs>
        <w:spacing w:line="240" w:lineRule="auto"/>
        <w:rPr>
          <w:snapToGrid/>
          <w:szCs w:val="22"/>
          <w:lang w:val="lt-LT" w:eastAsia="sl-SI"/>
        </w:rPr>
      </w:pPr>
    </w:p>
    <w:p w14:paraId="4194F6FD" w14:textId="1CD510CB" w:rsidR="00A67F23" w:rsidRDefault="00294F0E" w:rsidP="007425C0">
      <w:pPr>
        <w:widowControl w:val="0"/>
        <w:tabs>
          <w:tab w:val="clear" w:pos="567"/>
        </w:tabs>
        <w:spacing w:line="240" w:lineRule="auto"/>
        <w:rPr>
          <w:snapToGrid/>
          <w:szCs w:val="22"/>
          <w:lang w:val="lt-LT" w:eastAsia="sl-SI"/>
        </w:rPr>
      </w:pPr>
      <w:r w:rsidRPr="00294F0E">
        <w:rPr>
          <w:noProof/>
          <w:snapToGrid/>
          <w:szCs w:val="22"/>
          <w:lang w:val="lt-LT" w:eastAsia="sl-SI"/>
        </w:rPr>
        <w:drawing>
          <wp:inline distT="0" distB="0" distL="0" distR="0" wp14:anchorId="34F20494" wp14:editId="64F1A0D8">
            <wp:extent cx="5760720" cy="4123690"/>
            <wp:effectExtent l="0" t="0" r="0" b="0"/>
            <wp:docPr id="1069816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16194" name=""/>
                    <pic:cNvPicPr/>
                  </pic:nvPicPr>
                  <pic:blipFill>
                    <a:blip r:embed="rId8"/>
                    <a:stretch>
                      <a:fillRect/>
                    </a:stretch>
                  </pic:blipFill>
                  <pic:spPr>
                    <a:xfrm>
                      <a:off x="0" y="0"/>
                      <a:ext cx="5760720" cy="4123690"/>
                    </a:xfrm>
                    <a:prstGeom prst="rect">
                      <a:avLst/>
                    </a:prstGeom>
                  </pic:spPr>
                </pic:pic>
              </a:graphicData>
            </a:graphic>
          </wp:inline>
        </w:drawing>
      </w:r>
    </w:p>
    <w:p w14:paraId="6D46AB76" w14:textId="77777777" w:rsidR="00A67F23" w:rsidRDefault="00A67F23" w:rsidP="007425C0">
      <w:pPr>
        <w:widowControl w:val="0"/>
        <w:tabs>
          <w:tab w:val="clear" w:pos="567"/>
        </w:tabs>
        <w:spacing w:line="240" w:lineRule="auto"/>
        <w:rPr>
          <w:snapToGrid/>
          <w:szCs w:val="22"/>
          <w:lang w:val="lt-LT" w:eastAsia="sl-SI"/>
        </w:rPr>
      </w:pPr>
    </w:p>
    <w:p w14:paraId="7793A880" w14:textId="7CFDBBEF" w:rsidR="00294F0E" w:rsidRPr="00294F0E" w:rsidRDefault="00294F0E" w:rsidP="00294F0E">
      <w:pPr>
        <w:keepNext/>
        <w:keepLines/>
        <w:rPr>
          <w:b/>
          <w:bCs/>
          <w:color w:val="000000"/>
          <w:szCs w:val="16"/>
          <w:lang w:val="lt-LT"/>
        </w:rPr>
      </w:pPr>
      <w:r>
        <w:rPr>
          <w:b/>
          <w:bCs/>
          <w:snapToGrid/>
          <w:szCs w:val="22"/>
          <w:lang w:val="lt-LT" w:eastAsia="sl-SI"/>
        </w:rPr>
        <w:t>3 lentelė</w:t>
      </w:r>
      <w:r w:rsidRPr="0054203F">
        <w:rPr>
          <w:b/>
          <w:bCs/>
          <w:snapToGrid/>
          <w:szCs w:val="22"/>
          <w:lang w:val="lt-LT" w:eastAsia="sl-SI"/>
        </w:rPr>
        <w:t xml:space="preserve">. </w:t>
      </w:r>
      <w:r w:rsidR="006D7C14">
        <w:rPr>
          <w:b/>
          <w:bCs/>
          <w:color w:val="000000"/>
          <w:szCs w:val="16"/>
          <w:lang w:val="lt-LT"/>
        </w:rPr>
        <w:t>Sunkūs</w:t>
      </w:r>
      <w:r w:rsidRPr="00294F0E">
        <w:rPr>
          <w:b/>
          <w:bCs/>
          <w:color w:val="000000"/>
          <w:szCs w:val="16"/>
          <w:lang w:val="lt-LT"/>
        </w:rPr>
        <w:t xml:space="preserve"> </w:t>
      </w:r>
      <w:r>
        <w:rPr>
          <w:b/>
          <w:bCs/>
          <w:color w:val="000000"/>
          <w:szCs w:val="16"/>
          <w:lang w:val="lt-LT"/>
        </w:rPr>
        <w:t>širdies kraujagyslių sistemos</w:t>
      </w:r>
      <w:r w:rsidRPr="00294F0E">
        <w:rPr>
          <w:b/>
          <w:bCs/>
          <w:color w:val="000000"/>
          <w:szCs w:val="16"/>
          <w:lang w:val="lt-LT"/>
        </w:rPr>
        <w:t xml:space="preserve"> reiškiniai pagal gydymo grupes, pastebėti visiems klinikinio tyrimo IMPROVE-IT metu </w:t>
      </w:r>
      <w:proofErr w:type="spellStart"/>
      <w:r w:rsidRPr="00294F0E">
        <w:rPr>
          <w:b/>
          <w:bCs/>
          <w:color w:val="000000"/>
          <w:szCs w:val="16"/>
          <w:lang w:val="lt-LT"/>
        </w:rPr>
        <w:t>randomizuotiems</w:t>
      </w:r>
      <w:proofErr w:type="spellEnd"/>
      <w:r w:rsidRPr="00294F0E">
        <w:rPr>
          <w:b/>
          <w:bCs/>
          <w:color w:val="000000"/>
          <w:szCs w:val="16"/>
          <w:lang w:val="lt-LT"/>
        </w:rPr>
        <w:t xml:space="preserve"> pacientams</w:t>
      </w:r>
    </w:p>
    <w:p w14:paraId="24889821" w14:textId="76B4308E" w:rsidR="00294F0E" w:rsidRPr="0054203F" w:rsidRDefault="00294F0E" w:rsidP="007425C0">
      <w:pPr>
        <w:widowControl w:val="0"/>
        <w:tabs>
          <w:tab w:val="clear" w:pos="567"/>
        </w:tabs>
        <w:spacing w:line="240" w:lineRule="auto"/>
        <w:rPr>
          <w:b/>
          <w:bCs/>
          <w:snapToGrid/>
          <w:szCs w:val="22"/>
          <w:lang w:val="lt-LT" w:eastAsia="sl-SI"/>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993"/>
        <w:gridCol w:w="1134"/>
        <w:gridCol w:w="992"/>
        <w:gridCol w:w="1134"/>
        <w:gridCol w:w="1417"/>
        <w:gridCol w:w="992"/>
      </w:tblGrid>
      <w:tr w:rsidR="00294F0E" w:rsidRPr="00294F0E" w14:paraId="65225F3B" w14:textId="77777777" w:rsidTr="0054203F">
        <w:trPr>
          <w:trHeight w:val="351"/>
          <w:jc w:val="center"/>
        </w:trPr>
        <w:tc>
          <w:tcPr>
            <w:tcW w:w="2263" w:type="dxa"/>
          </w:tcPr>
          <w:p w14:paraId="69F86A7E" w14:textId="2051FD58"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Pr>
                <w:b/>
                <w:bCs/>
                <w:snapToGrid/>
                <w:color w:val="000000"/>
                <w:szCs w:val="22"/>
                <w:lang w:val="lt-LT" w:eastAsia="cs-CZ"/>
              </w:rPr>
              <w:t>Baigtis</w:t>
            </w:r>
            <w:r w:rsidRPr="00294F0E">
              <w:rPr>
                <w:b/>
                <w:bCs/>
                <w:snapToGrid/>
                <w:color w:val="000000"/>
                <w:szCs w:val="22"/>
                <w:lang w:val="bg-BG" w:eastAsia="cs-CZ"/>
              </w:rPr>
              <w:t xml:space="preserve"> </w:t>
            </w:r>
          </w:p>
        </w:tc>
        <w:tc>
          <w:tcPr>
            <w:tcW w:w="2127" w:type="dxa"/>
            <w:gridSpan w:val="2"/>
          </w:tcPr>
          <w:p w14:paraId="7A1A5AD5" w14:textId="2D1FC01A"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000000"/>
                <w:szCs w:val="22"/>
                <w:lang w:val="bg-BG" w:eastAsia="cs-CZ"/>
              </w:rPr>
              <w:t>Ezetimib</w:t>
            </w:r>
            <w:proofErr w:type="spellStart"/>
            <w:r>
              <w:rPr>
                <w:b/>
                <w:bCs/>
                <w:snapToGrid/>
                <w:color w:val="000000"/>
                <w:szCs w:val="22"/>
                <w:lang w:val="lt-LT" w:eastAsia="cs-CZ"/>
              </w:rPr>
              <w:t>as</w:t>
            </w:r>
            <w:proofErr w:type="spellEnd"/>
            <w:r>
              <w:rPr>
                <w:b/>
                <w:bCs/>
                <w:snapToGrid/>
                <w:color w:val="000000"/>
                <w:szCs w:val="22"/>
                <w:lang w:val="lt-LT" w:eastAsia="cs-CZ"/>
              </w:rPr>
              <w:t xml:space="preserve"> </w:t>
            </w:r>
            <w:r w:rsidRPr="00294F0E">
              <w:rPr>
                <w:b/>
                <w:bCs/>
                <w:snapToGrid/>
                <w:color w:val="000000"/>
                <w:szCs w:val="22"/>
                <w:lang w:val="bg-BG" w:eastAsia="cs-CZ"/>
              </w:rPr>
              <w:t>/</w:t>
            </w:r>
            <w:r w:rsidRPr="00294F0E">
              <w:rPr>
                <w:b/>
                <w:bCs/>
                <w:snapToGrid/>
                <w:color w:val="000000"/>
                <w:szCs w:val="22"/>
                <w:lang w:val="en-US" w:eastAsia="cs-CZ"/>
              </w:rPr>
              <w:t xml:space="preserve"> </w:t>
            </w:r>
            <w:r w:rsidRPr="00294F0E">
              <w:rPr>
                <w:b/>
                <w:bCs/>
                <w:snapToGrid/>
                <w:color w:val="000000"/>
                <w:szCs w:val="22"/>
                <w:lang w:val="bg-BG" w:eastAsia="cs-CZ"/>
              </w:rPr>
              <w:t>simvastatin</w:t>
            </w:r>
            <w:proofErr w:type="spellStart"/>
            <w:r>
              <w:rPr>
                <w:b/>
                <w:bCs/>
                <w:snapToGrid/>
                <w:color w:val="000000"/>
                <w:szCs w:val="22"/>
                <w:lang w:val="lt-LT" w:eastAsia="cs-CZ"/>
              </w:rPr>
              <w:t>as</w:t>
            </w:r>
            <w:proofErr w:type="spellEnd"/>
            <w:r w:rsidRPr="00294F0E">
              <w:rPr>
                <w:b/>
                <w:bCs/>
                <w:snapToGrid/>
                <w:color w:val="000000"/>
                <w:szCs w:val="22"/>
                <w:lang w:val="bg-BG" w:eastAsia="cs-CZ"/>
              </w:rPr>
              <w:t xml:space="preserve"> 10/40</w:t>
            </w:r>
            <w:r w:rsidR="006D7C14">
              <w:rPr>
                <w:b/>
                <w:bCs/>
                <w:snapToGrid/>
                <w:color w:val="000000"/>
                <w:szCs w:val="22"/>
                <w:lang w:val="lt-LT" w:eastAsia="cs-CZ"/>
              </w:rPr>
              <w:t> </w:t>
            </w:r>
            <w:r w:rsidRPr="00294F0E">
              <w:rPr>
                <w:b/>
                <w:bCs/>
                <w:snapToGrid/>
                <w:color w:val="000000"/>
                <w:szCs w:val="22"/>
                <w:lang w:val="bg-BG" w:eastAsia="cs-CZ"/>
              </w:rPr>
              <w:t xml:space="preserve">mg* </w:t>
            </w:r>
          </w:p>
          <w:p w14:paraId="601B8F45" w14:textId="22E2C3F1"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000000"/>
                <w:szCs w:val="22"/>
                <w:lang w:val="bg-BG" w:eastAsia="cs-CZ"/>
              </w:rPr>
              <w:t>(N</w:t>
            </w:r>
            <w:r w:rsidR="006D7C14">
              <w:rPr>
                <w:b/>
                <w:bCs/>
                <w:snapToGrid/>
                <w:color w:val="000000"/>
                <w:szCs w:val="22"/>
                <w:lang w:val="lt-LT" w:eastAsia="cs-CZ"/>
              </w:rPr>
              <w:t> </w:t>
            </w:r>
            <w:r w:rsidRPr="00294F0E">
              <w:rPr>
                <w:b/>
                <w:bCs/>
                <w:snapToGrid/>
                <w:color w:val="000000"/>
                <w:szCs w:val="22"/>
                <w:lang w:val="bg-BG" w:eastAsia="cs-CZ"/>
              </w:rPr>
              <w:t>=</w:t>
            </w:r>
            <w:r w:rsidR="006D7C14">
              <w:rPr>
                <w:b/>
                <w:bCs/>
                <w:snapToGrid/>
                <w:color w:val="000000"/>
                <w:szCs w:val="22"/>
                <w:lang w:val="lt-LT" w:eastAsia="cs-CZ"/>
              </w:rPr>
              <w:t> </w:t>
            </w:r>
            <w:r w:rsidRPr="00294F0E">
              <w:rPr>
                <w:b/>
                <w:bCs/>
                <w:snapToGrid/>
                <w:color w:val="000000"/>
                <w:szCs w:val="22"/>
                <w:lang w:val="bg-BG" w:eastAsia="cs-CZ"/>
              </w:rPr>
              <w:t>9</w:t>
            </w:r>
            <w:r w:rsidR="006D7C14">
              <w:rPr>
                <w:b/>
                <w:bCs/>
                <w:snapToGrid/>
                <w:color w:val="000000"/>
                <w:szCs w:val="22"/>
                <w:lang w:val="lt-LT" w:eastAsia="cs-CZ"/>
              </w:rPr>
              <w:t> </w:t>
            </w:r>
            <w:r w:rsidRPr="00294F0E">
              <w:rPr>
                <w:b/>
                <w:bCs/>
                <w:snapToGrid/>
                <w:color w:val="000000"/>
                <w:szCs w:val="22"/>
                <w:lang w:val="bg-BG" w:eastAsia="cs-CZ"/>
              </w:rPr>
              <w:t xml:space="preserve">067) </w:t>
            </w:r>
          </w:p>
        </w:tc>
        <w:tc>
          <w:tcPr>
            <w:tcW w:w="2126" w:type="dxa"/>
            <w:gridSpan w:val="2"/>
          </w:tcPr>
          <w:p w14:paraId="1C542781" w14:textId="2C23683C"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000000"/>
                <w:szCs w:val="22"/>
                <w:lang w:val="bg-BG" w:eastAsia="cs-CZ"/>
              </w:rPr>
              <w:t>Simvastatin</w:t>
            </w:r>
            <w:proofErr w:type="spellStart"/>
            <w:r>
              <w:rPr>
                <w:b/>
                <w:bCs/>
                <w:snapToGrid/>
                <w:color w:val="000000"/>
                <w:szCs w:val="22"/>
                <w:lang w:val="lt-LT" w:eastAsia="cs-CZ"/>
              </w:rPr>
              <w:t>as</w:t>
            </w:r>
            <w:proofErr w:type="spellEnd"/>
            <w:r w:rsidRPr="00294F0E">
              <w:rPr>
                <w:b/>
                <w:bCs/>
                <w:snapToGrid/>
                <w:color w:val="000000"/>
                <w:szCs w:val="22"/>
                <w:lang w:val="bg-BG" w:eastAsia="cs-CZ"/>
              </w:rPr>
              <w:t xml:space="preserve"> </w:t>
            </w:r>
          </w:p>
          <w:p w14:paraId="637C46BE" w14:textId="7083BCC7"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000000"/>
                <w:szCs w:val="22"/>
                <w:lang w:val="bg-BG" w:eastAsia="cs-CZ"/>
              </w:rPr>
              <w:t>40</w:t>
            </w:r>
            <w:r w:rsidR="006D7C14">
              <w:rPr>
                <w:b/>
                <w:bCs/>
                <w:snapToGrid/>
                <w:color w:val="000000"/>
                <w:szCs w:val="22"/>
                <w:lang w:val="lt-LT" w:eastAsia="cs-CZ"/>
              </w:rPr>
              <w:t> </w:t>
            </w:r>
            <w:r w:rsidRPr="00294F0E">
              <w:rPr>
                <w:b/>
                <w:bCs/>
                <w:snapToGrid/>
                <w:color w:val="000000"/>
                <w:szCs w:val="22"/>
                <w:lang w:val="bg-BG" w:eastAsia="cs-CZ"/>
              </w:rPr>
              <w:t xml:space="preserve">mg† </w:t>
            </w:r>
          </w:p>
          <w:p w14:paraId="31B2E0C8" w14:textId="32AA3929"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1F2021"/>
                <w:szCs w:val="22"/>
                <w:lang w:val="bg-BG" w:eastAsia="cs-CZ"/>
              </w:rPr>
              <w:t>(N</w:t>
            </w:r>
            <w:r w:rsidR="006D7C14">
              <w:rPr>
                <w:b/>
                <w:bCs/>
                <w:snapToGrid/>
                <w:color w:val="1F2021"/>
                <w:szCs w:val="22"/>
                <w:lang w:val="lt-LT" w:eastAsia="cs-CZ"/>
              </w:rPr>
              <w:t> </w:t>
            </w:r>
            <w:r w:rsidRPr="00294F0E">
              <w:rPr>
                <w:b/>
                <w:bCs/>
                <w:snapToGrid/>
                <w:color w:val="1F2021"/>
                <w:szCs w:val="22"/>
                <w:lang w:val="bg-BG" w:eastAsia="cs-CZ"/>
              </w:rPr>
              <w:t>=</w:t>
            </w:r>
            <w:r w:rsidR="006D7C14">
              <w:rPr>
                <w:b/>
                <w:bCs/>
                <w:snapToGrid/>
                <w:color w:val="1F2021"/>
                <w:szCs w:val="22"/>
                <w:lang w:val="lt-LT" w:eastAsia="cs-CZ"/>
              </w:rPr>
              <w:t> </w:t>
            </w:r>
            <w:r w:rsidRPr="00294F0E">
              <w:rPr>
                <w:b/>
                <w:bCs/>
                <w:snapToGrid/>
                <w:color w:val="1F2021"/>
                <w:szCs w:val="22"/>
                <w:lang w:val="bg-BG" w:eastAsia="cs-CZ"/>
              </w:rPr>
              <w:t>9</w:t>
            </w:r>
            <w:r w:rsidR="006D7C14">
              <w:rPr>
                <w:b/>
                <w:bCs/>
                <w:snapToGrid/>
                <w:color w:val="1F2021"/>
                <w:szCs w:val="22"/>
                <w:lang w:val="lt-LT" w:eastAsia="cs-CZ"/>
              </w:rPr>
              <w:t> </w:t>
            </w:r>
            <w:r w:rsidRPr="00294F0E">
              <w:rPr>
                <w:b/>
                <w:bCs/>
                <w:snapToGrid/>
                <w:color w:val="1F2021"/>
                <w:szCs w:val="22"/>
                <w:lang w:val="bg-BG" w:eastAsia="cs-CZ"/>
              </w:rPr>
              <w:t xml:space="preserve">077) </w:t>
            </w:r>
          </w:p>
        </w:tc>
        <w:tc>
          <w:tcPr>
            <w:tcW w:w="1417" w:type="dxa"/>
          </w:tcPr>
          <w:p w14:paraId="366638DD" w14:textId="3260D761" w:rsidR="00294F0E" w:rsidRPr="0054203F" w:rsidRDefault="00294F0E" w:rsidP="0054203F">
            <w:pPr>
              <w:tabs>
                <w:tab w:val="clear" w:pos="567"/>
              </w:tabs>
              <w:autoSpaceDE w:val="0"/>
              <w:autoSpaceDN w:val="0"/>
              <w:adjustRightInd w:val="0"/>
              <w:spacing w:line="240" w:lineRule="auto"/>
              <w:rPr>
                <w:snapToGrid/>
                <w:color w:val="000000"/>
                <w:szCs w:val="22"/>
                <w:lang w:val="lt-LT" w:eastAsia="cs-CZ"/>
              </w:rPr>
            </w:pPr>
            <w:r>
              <w:rPr>
                <w:b/>
                <w:bCs/>
                <w:snapToGrid/>
                <w:color w:val="000000"/>
                <w:szCs w:val="22"/>
                <w:lang w:val="lt-LT" w:eastAsia="cs-CZ"/>
              </w:rPr>
              <w:t>Rizikos santykis</w:t>
            </w:r>
          </w:p>
          <w:p w14:paraId="0AA058D2" w14:textId="74672793" w:rsidR="00294F0E" w:rsidRPr="00294F0E" w:rsidRDefault="00294F0E" w:rsidP="0054203F">
            <w:pPr>
              <w:tabs>
                <w:tab w:val="clear" w:pos="567"/>
              </w:tabs>
              <w:autoSpaceDE w:val="0"/>
              <w:autoSpaceDN w:val="0"/>
              <w:adjustRightInd w:val="0"/>
              <w:spacing w:line="240" w:lineRule="auto"/>
              <w:rPr>
                <w:snapToGrid/>
                <w:color w:val="000000"/>
                <w:szCs w:val="22"/>
                <w:lang w:val="bg-BG" w:eastAsia="cs-CZ"/>
              </w:rPr>
            </w:pPr>
            <w:r w:rsidRPr="00294F0E">
              <w:rPr>
                <w:b/>
                <w:bCs/>
                <w:snapToGrid/>
                <w:color w:val="000000"/>
                <w:szCs w:val="22"/>
                <w:lang w:val="bg-BG" w:eastAsia="cs-CZ"/>
              </w:rPr>
              <w:t>(95</w:t>
            </w:r>
            <w:r w:rsidR="006D7C14">
              <w:rPr>
                <w:b/>
                <w:bCs/>
                <w:snapToGrid/>
                <w:color w:val="000000"/>
                <w:szCs w:val="22"/>
                <w:lang w:val="lt-LT" w:eastAsia="cs-CZ"/>
              </w:rPr>
              <w:t> </w:t>
            </w:r>
            <w:r w:rsidRPr="00294F0E">
              <w:rPr>
                <w:b/>
                <w:bCs/>
                <w:snapToGrid/>
                <w:color w:val="000000"/>
                <w:szCs w:val="22"/>
                <w:lang w:val="bg-BG" w:eastAsia="cs-CZ"/>
              </w:rPr>
              <w:t xml:space="preserve">% </w:t>
            </w:r>
            <w:r>
              <w:rPr>
                <w:b/>
                <w:bCs/>
                <w:snapToGrid/>
                <w:color w:val="000000"/>
                <w:szCs w:val="22"/>
                <w:lang w:val="lt-LT" w:eastAsia="cs-CZ"/>
              </w:rPr>
              <w:t>P</w:t>
            </w:r>
            <w:r w:rsidRPr="00294F0E">
              <w:rPr>
                <w:b/>
                <w:bCs/>
                <w:snapToGrid/>
                <w:color w:val="000000"/>
                <w:szCs w:val="22"/>
                <w:lang w:val="bg-BG" w:eastAsia="cs-CZ"/>
              </w:rPr>
              <w:t xml:space="preserve">I) </w:t>
            </w:r>
          </w:p>
        </w:tc>
        <w:tc>
          <w:tcPr>
            <w:tcW w:w="992" w:type="dxa"/>
          </w:tcPr>
          <w:p w14:paraId="447C1E4C" w14:textId="2C8248E0" w:rsidR="00294F0E" w:rsidRPr="0054203F" w:rsidRDefault="00294F0E" w:rsidP="0054203F">
            <w:pPr>
              <w:tabs>
                <w:tab w:val="clear" w:pos="567"/>
              </w:tabs>
              <w:autoSpaceDE w:val="0"/>
              <w:autoSpaceDN w:val="0"/>
              <w:adjustRightInd w:val="0"/>
              <w:spacing w:line="240" w:lineRule="auto"/>
              <w:rPr>
                <w:snapToGrid/>
                <w:color w:val="000000"/>
                <w:szCs w:val="22"/>
                <w:lang w:val="lt-LT" w:eastAsia="cs-CZ"/>
              </w:rPr>
            </w:pPr>
            <w:r w:rsidRPr="00294F0E">
              <w:rPr>
                <w:b/>
                <w:bCs/>
                <w:snapToGrid/>
                <w:color w:val="000000"/>
                <w:szCs w:val="22"/>
                <w:lang w:val="bg-BG" w:eastAsia="cs-CZ"/>
              </w:rPr>
              <w:t>P</w:t>
            </w:r>
            <w:r>
              <w:rPr>
                <w:b/>
                <w:bCs/>
                <w:snapToGrid/>
                <w:color w:val="000000"/>
                <w:szCs w:val="22"/>
                <w:lang w:val="lt-LT" w:eastAsia="cs-CZ"/>
              </w:rPr>
              <w:t xml:space="preserve"> reikšmė</w:t>
            </w:r>
          </w:p>
        </w:tc>
      </w:tr>
      <w:tr w:rsidR="00294F0E" w:rsidRPr="00294F0E" w14:paraId="2B1ED4B2" w14:textId="77777777" w:rsidTr="005E320F">
        <w:trPr>
          <w:trHeight w:val="351"/>
          <w:jc w:val="center"/>
        </w:trPr>
        <w:tc>
          <w:tcPr>
            <w:tcW w:w="2263" w:type="dxa"/>
          </w:tcPr>
          <w:p w14:paraId="52DC23BF" w14:textId="77777777" w:rsidR="00294F0E" w:rsidRPr="00294F0E" w:rsidRDefault="00294F0E" w:rsidP="00294F0E">
            <w:pPr>
              <w:tabs>
                <w:tab w:val="clear" w:pos="567"/>
              </w:tabs>
              <w:autoSpaceDE w:val="0"/>
              <w:autoSpaceDN w:val="0"/>
              <w:adjustRightInd w:val="0"/>
              <w:spacing w:line="240" w:lineRule="auto"/>
              <w:rPr>
                <w:b/>
                <w:bCs/>
                <w:snapToGrid/>
                <w:color w:val="000000"/>
                <w:szCs w:val="22"/>
                <w:lang w:val="bg-BG" w:eastAsia="cs-CZ"/>
              </w:rPr>
            </w:pPr>
            <w:bookmarkStart w:id="5" w:name="_Hlk166858834"/>
          </w:p>
        </w:tc>
        <w:tc>
          <w:tcPr>
            <w:tcW w:w="993" w:type="dxa"/>
          </w:tcPr>
          <w:p w14:paraId="62542FA0" w14:textId="77777777" w:rsidR="00294F0E" w:rsidRPr="00294F0E" w:rsidRDefault="00294F0E" w:rsidP="00294F0E">
            <w:pPr>
              <w:tabs>
                <w:tab w:val="clear" w:pos="567"/>
              </w:tabs>
              <w:autoSpaceDE w:val="0"/>
              <w:autoSpaceDN w:val="0"/>
              <w:adjustRightInd w:val="0"/>
              <w:spacing w:line="240" w:lineRule="auto"/>
              <w:rPr>
                <w:snapToGrid/>
                <w:color w:val="000000"/>
                <w:szCs w:val="22"/>
                <w:lang w:val="en-US" w:eastAsia="cs-CZ"/>
              </w:rPr>
            </w:pPr>
            <w:r w:rsidRPr="00294F0E">
              <w:rPr>
                <w:snapToGrid/>
                <w:color w:val="000000"/>
                <w:szCs w:val="22"/>
                <w:lang w:val="en-US" w:eastAsia="cs-CZ"/>
              </w:rPr>
              <w:t>n</w:t>
            </w:r>
          </w:p>
        </w:tc>
        <w:tc>
          <w:tcPr>
            <w:tcW w:w="1134" w:type="dxa"/>
          </w:tcPr>
          <w:p w14:paraId="52B3F3C7"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K-M%‡</w:t>
            </w:r>
          </w:p>
        </w:tc>
        <w:tc>
          <w:tcPr>
            <w:tcW w:w="992" w:type="dxa"/>
          </w:tcPr>
          <w:p w14:paraId="5C9BED49" w14:textId="77777777" w:rsidR="00294F0E" w:rsidRPr="00294F0E" w:rsidRDefault="00294F0E" w:rsidP="00294F0E">
            <w:pPr>
              <w:tabs>
                <w:tab w:val="clear" w:pos="567"/>
              </w:tabs>
              <w:autoSpaceDE w:val="0"/>
              <w:autoSpaceDN w:val="0"/>
              <w:adjustRightInd w:val="0"/>
              <w:spacing w:line="240" w:lineRule="auto"/>
              <w:rPr>
                <w:snapToGrid/>
                <w:color w:val="000000"/>
                <w:szCs w:val="22"/>
                <w:lang w:val="en-US" w:eastAsia="cs-CZ"/>
              </w:rPr>
            </w:pPr>
            <w:r w:rsidRPr="00294F0E">
              <w:rPr>
                <w:snapToGrid/>
                <w:color w:val="000000"/>
                <w:szCs w:val="22"/>
                <w:lang w:val="en-US" w:eastAsia="cs-CZ"/>
              </w:rPr>
              <w:t>n</w:t>
            </w:r>
          </w:p>
        </w:tc>
        <w:tc>
          <w:tcPr>
            <w:tcW w:w="1134" w:type="dxa"/>
          </w:tcPr>
          <w:p w14:paraId="64EAFB1C"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K-M%‡</w:t>
            </w:r>
          </w:p>
        </w:tc>
        <w:tc>
          <w:tcPr>
            <w:tcW w:w="1417" w:type="dxa"/>
          </w:tcPr>
          <w:p w14:paraId="25B04919" w14:textId="77777777" w:rsidR="00294F0E" w:rsidRPr="00294F0E" w:rsidRDefault="00294F0E" w:rsidP="00294F0E">
            <w:pPr>
              <w:tabs>
                <w:tab w:val="clear" w:pos="567"/>
              </w:tabs>
              <w:autoSpaceDE w:val="0"/>
              <w:autoSpaceDN w:val="0"/>
              <w:adjustRightInd w:val="0"/>
              <w:spacing w:line="240" w:lineRule="auto"/>
              <w:rPr>
                <w:b/>
                <w:bCs/>
                <w:snapToGrid/>
                <w:color w:val="000000"/>
                <w:szCs w:val="22"/>
                <w:lang w:val="bg-BG" w:eastAsia="cs-CZ"/>
              </w:rPr>
            </w:pPr>
          </w:p>
        </w:tc>
        <w:tc>
          <w:tcPr>
            <w:tcW w:w="992" w:type="dxa"/>
          </w:tcPr>
          <w:p w14:paraId="76F11B72" w14:textId="77777777" w:rsidR="00294F0E" w:rsidRPr="00294F0E" w:rsidRDefault="00294F0E" w:rsidP="00294F0E">
            <w:pPr>
              <w:tabs>
                <w:tab w:val="clear" w:pos="567"/>
              </w:tabs>
              <w:autoSpaceDE w:val="0"/>
              <w:autoSpaceDN w:val="0"/>
              <w:adjustRightInd w:val="0"/>
              <w:spacing w:line="240" w:lineRule="auto"/>
              <w:rPr>
                <w:b/>
                <w:bCs/>
                <w:snapToGrid/>
                <w:color w:val="000000"/>
                <w:szCs w:val="22"/>
                <w:lang w:val="bg-BG" w:eastAsia="cs-CZ"/>
              </w:rPr>
            </w:pPr>
          </w:p>
        </w:tc>
      </w:tr>
      <w:tr w:rsidR="00294F0E" w:rsidRPr="00E906E9" w14:paraId="54F3BA63" w14:textId="77777777" w:rsidTr="000C6E8D">
        <w:trPr>
          <w:trHeight w:val="351"/>
          <w:jc w:val="center"/>
        </w:trPr>
        <w:tc>
          <w:tcPr>
            <w:tcW w:w="8925" w:type="dxa"/>
            <w:gridSpan w:val="7"/>
          </w:tcPr>
          <w:p w14:paraId="743CA0DA" w14:textId="0EF77A0C"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Pr>
                <w:b/>
                <w:iCs/>
                <w:lang w:val="lt-LT" w:eastAsia="sl-SI"/>
              </w:rPr>
              <w:t>Pagrindinė</w:t>
            </w:r>
            <w:r w:rsidRPr="00123312">
              <w:rPr>
                <w:b/>
                <w:iCs/>
                <w:lang w:val="lt-LT" w:eastAsia="sl-SI"/>
              </w:rPr>
              <w:t xml:space="preserve"> sudėtinė veiksmingumo vertinamoji baigtis</w:t>
            </w:r>
          </w:p>
        </w:tc>
      </w:tr>
      <w:tr w:rsidR="00294F0E" w:rsidRPr="00294F0E" w14:paraId="720DF662" w14:textId="77777777" w:rsidTr="005E320F">
        <w:trPr>
          <w:trHeight w:val="351"/>
          <w:jc w:val="center"/>
        </w:trPr>
        <w:tc>
          <w:tcPr>
            <w:tcW w:w="2263" w:type="dxa"/>
          </w:tcPr>
          <w:p w14:paraId="25425716" w14:textId="475FA3C6" w:rsidR="00294F0E" w:rsidRPr="00294F0E" w:rsidRDefault="00294F0E" w:rsidP="0054203F">
            <w:pPr>
              <w:tabs>
                <w:tab w:val="clear" w:pos="567"/>
              </w:tabs>
              <w:autoSpaceDE w:val="0"/>
              <w:autoSpaceDN w:val="0"/>
              <w:adjustRightInd w:val="0"/>
              <w:spacing w:line="240" w:lineRule="auto"/>
              <w:ind w:right="-21"/>
              <w:rPr>
                <w:snapToGrid/>
                <w:color w:val="000000"/>
                <w:szCs w:val="22"/>
                <w:lang w:val="bg-BG" w:eastAsia="cs-CZ"/>
              </w:rPr>
            </w:pPr>
            <w:r w:rsidRPr="00123312">
              <w:rPr>
                <w:iCs/>
                <w:lang w:val="lt-LT" w:eastAsia="sl-SI"/>
              </w:rPr>
              <w:lastRenderedPageBreak/>
              <w:t xml:space="preserve">(KV mirtis, </w:t>
            </w:r>
            <w:r w:rsidR="006D7C14">
              <w:rPr>
                <w:iCs/>
                <w:lang w:val="lt-LT" w:eastAsia="sl-SI"/>
              </w:rPr>
              <w:t>sunkūs</w:t>
            </w:r>
            <w:r w:rsidRPr="00123312">
              <w:rPr>
                <w:iCs/>
                <w:lang w:val="lt-LT" w:eastAsia="sl-SI"/>
              </w:rPr>
              <w:t xml:space="preserve"> koronariniai reiškiniai ir nemirtinas insultas)</w:t>
            </w:r>
          </w:p>
        </w:tc>
        <w:tc>
          <w:tcPr>
            <w:tcW w:w="993" w:type="dxa"/>
          </w:tcPr>
          <w:p w14:paraId="7D13A8C7" w14:textId="3B1AC084"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w:t>
            </w:r>
            <w:r w:rsidR="006D7C14">
              <w:rPr>
                <w:snapToGrid/>
                <w:color w:val="000000"/>
                <w:szCs w:val="22"/>
                <w:lang w:val="lt-LT" w:eastAsia="cs-CZ"/>
              </w:rPr>
              <w:t> </w:t>
            </w:r>
            <w:r w:rsidRPr="00294F0E">
              <w:rPr>
                <w:snapToGrid/>
                <w:color w:val="000000"/>
                <w:szCs w:val="22"/>
                <w:lang w:val="bg-BG" w:eastAsia="cs-CZ"/>
              </w:rPr>
              <w:t>572</w:t>
            </w:r>
          </w:p>
        </w:tc>
        <w:tc>
          <w:tcPr>
            <w:tcW w:w="1134" w:type="dxa"/>
          </w:tcPr>
          <w:p w14:paraId="763EC690" w14:textId="031428A0"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32</w:t>
            </w:r>
            <w:r w:rsidR="00E35E43">
              <w:rPr>
                <w:snapToGrid/>
                <w:color w:val="000000"/>
                <w:szCs w:val="22"/>
                <w:lang w:val="lt-LT" w:eastAsia="cs-CZ"/>
              </w:rPr>
              <w:t>,</w:t>
            </w:r>
            <w:r w:rsidRPr="00294F0E">
              <w:rPr>
                <w:snapToGrid/>
                <w:color w:val="000000"/>
                <w:szCs w:val="22"/>
                <w:lang w:val="bg-BG" w:eastAsia="cs-CZ"/>
              </w:rPr>
              <w:t>72</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61546E48" w14:textId="0C585CC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w:t>
            </w:r>
            <w:r w:rsidR="006D7C14">
              <w:rPr>
                <w:snapToGrid/>
                <w:color w:val="000000"/>
                <w:szCs w:val="22"/>
                <w:lang w:val="lt-LT" w:eastAsia="cs-CZ"/>
              </w:rPr>
              <w:t> </w:t>
            </w:r>
            <w:r w:rsidRPr="00294F0E">
              <w:rPr>
                <w:snapToGrid/>
                <w:color w:val="000000"/>
                <w:szCs w:val="22"/>
                <w:lang w:val="bg-BG" w:eastAsia="cs-CZ"/>
              </w:rPr>
              <w:t>742</w:t>
            </w:r>
          </w:p>
        </w:tc>
        <w:tc>
          <w:tcPr>
            <w:tcW w:w="1134" w:type="dxa"/>
          </w:tcPr>
          <w:p w14:paraId="7F17B69D" w14:textId="3C05C7D1"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34</w:t>
            </w:r>
            <w:r w:rsidR="00E35E43">
              <w:rPr>
                <w:snapToGrid/>
                <w:color w:val="000000"/>
                <w:szCs w:val="22"/>
                <w:lang w:val="lt-LT" w:eastAsia="cs-CZ"/>
              </w:rPr>
              <w:t>,</w:t>
            </w:r>
            <w:r w:rsidRPr="00294F0E">
              <w:rPr>
                <w:snapToGrid/>
                <w:color w:val="000000"/>
                <w:szCs w:val="22"/>
                <w:lang w:val="bg-BG" w:eastAsia="cs-CZ"/>
              </w:rPr>
              <w:t>67</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4BC5ABE8" w14:textId="79247435"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936 (0</w:t>
            </w:r>
            <w:r w:rsidR="00E35E43">
              <w:rPr>
                <w:snapToGrid/>
                <w:color w:val="000000"/>
                <w:szCs w:val="22"/>
                <w:lang w:val="lt-LT" w:eastAsia="cs-CZ"/>
              </w:rPr>
              <w:t>,</w:t>
            </w:r>
            <w:r w:rsidRPr="00294F0E">
              <w:rPr>
                <w:snapToGrid/>
                <w:color w:val="000000"/>
                <w:szCs w:val="22"/>
                <w:lang w:val="bg-BG" w:eastAsia="cs-CZ"/>
              </w:rPr>
              <w:t>887, 0</w:t>
            </w:r>
            <w:r w:rsidR="00E35E43">
              <w:rPr>
                <w:snapToGrid/>
                <w:color w:val="000000"/>
                <w:szCs w:val="22"/>
                <w:lang w:val="lt-LT" w:eastAsia="cs-CZ"/>
              </w:rPr>
              <w:t>,</w:t>
            </w:r>
            <w:r w:rsidRPr="00294F0E">
              <w:rPr>
                <w:snapToGrid/>
                <w:color w:val="000000"/>
                <w:szCs w:val="22"/>
                <w:lang w:val="bg-BG" w:eastAsia="cs-CZ"/>
              </w:rPr>
              <w:t>988)</w:t>
            </w:r>
          </w:p>
        </w:tc>
        <w:tc>
          <w:tcPr>
            <w:tcW w:w="992" w:type="dxa"/>
          </w:tcPr>
          <w:p w14:paraId="7960BB52" w14:textId="54AF16FF"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016</w:t>
            </w:r>
          </w:p>
        </w:tc>
      </w:tr>
      <w:tr w:rsidR="00294F0E" w:rsidRPr="00E906E9" w14:paraId="7D3ED114" w14:textId="77777777" w:rsidTr="000C6E8D">
        <w:trPr>
          <w:trHeight w:val="351"/>
          <w:jc w:val="center"/>
        </w:trPr>
        <w:tc>
          <w:tcPr>
            <w:tcW w:w="8925" w:type="dxa"/>
            <w:gridSpan w:val="7"/>
          </w:tcPr>
          <w:p w14:paraId="4E3C6014" w14:textId="3277A9AF" w:rsidR="00294F0E" w:rsidRPr="00294F0E" w:rsidRDefault="00E35E43" w:rsidP="00294F0E">
            <w:pPr>
              <w:tabs>
                <w:tab w:val="clear" w:pos="567"/>
              </w:tabs>
              <w:autoSpaceDE w:val="0"/>
              <w:autoSpaceDN w:val="0"/>
              <w:adjustRightInd w:val="0"/>
              <w:spacing w:after="120" w:line="240" w:lineRule="auto"/>
              <w:rPr>
                <w:b/>
                <w:bCs/>
                <w:snapToGrid/>
                <w:color w:val="000000"/>
                <w:szCs w:val="22"/>
                <w:lang w:val="bg-BG" w:eastAsia="cs-CZ"/>
              </w:rPr>
            </w:pPr>
            <w:r w:rsidRPr="00E35E43">
              <w:rPr>
                <w:b/>
                <w:bCs/>
                <w:iCs/>
                <w:lang w:val="lt-LT" w:eastAsia="sl-SI"/>
              </w:rPr>
              <w:t xml:space="preserve">Pagrindinės sudėtinės vertinamosios baigties komponentai ir atrinktos veiksmingumo vertinamosios baigtys </w:t>
            </w:r>
            <w:r w:rsidRPr="00E35E43">
              <w:rPr>
                <w:bCs/>
                <w:iCs/>
                <w:lang w:val="lt-LT" w:eastAsia="sl-SI"/>
              </w:rPr>
              <w:t>(pirmasis tam tikro reiškinio įvykis bet kuriuo metu)</w:t>
            </w:r>
          </w:p>
        </w:tc>
      </w:tr>
      <w:tr w:rsidR="00294F0E" w:rsidRPr="00294F0E" w14:paraId="343AC651" w14:textId="77777777" w:rsidTr="005E320F">
        <w:trPr>
          <w:trHeight w:val="351"/>
          <w:jc w:val="center"/>
        </w:trPr>
        <w:tc>
          <w:tcPr>
            <w:tcW w:w="2263" w:type="dxa"/>
          </w:tcPr>
          <w:p w14:paraId="6DE7E918" w14:textId="0FF2635F" w:rsidR="00294F0E" w:rsidRPr="00294F0E" w:rsidRDefault="00E35E43" w:rsidP="00294F0E">
            <w:pPr>
              <w:tabs>
                <w:tab w:val="clear" w:pos="567"/>
              </w:tabs>
              <w:autoSpaceDE w:val="0"/>
              <w:autoSpaceDN w:val="0"/>
              <w:adjustRightInd w:val="0"/>
              <w:spacing w:line="240" w:lineRule="auto"/>
              <w:rPr>
                <w:snapToGrid/>
                <w:color w:val="000000"/>
                <w:szCs w:val="22"/>
                <w:lang w:val="bg-BG" w:eastAsia="cs-CZ"/>
              </w:rPr>
            </w:pPr>
            <w:r w:rsidRPr="00123312">
              <w:rPr>
                <w:color w:val="000000"/>
                <w:lang w:val="lt-LT"/>
              </w:rPr>
              <w:t>Kardiovaskulinė mirtis</w:t>
            </w:r>
          </w:p>
        </w:tc>
        <w:tc>
          <w:tcPr>
            <w:tcW w:w="993" w:type="dxa"/>
          </w:tcPr>
          <w:p w14:paraId="74E62F3B"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537</w:t>
            </w:r>
          </w:p>
        </w:tc>
        <w:tc>
          <w:tcPr>
            <w:tcW w:w="1134" w:type="dxa"/>
          </w:tcPr>
          <w:p w14:paraId="3DAEF1D4" w14:textId="26C50EF8"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6</w:t>
            </w:r>
            <w:r w:rsidR="00E35E43">
              <w:rPr>
                <w:snapToGrid/>
                <w:color w:val="000000"/>
                <w:szCs w:val="22"/>
                <w:lang w:val="lt-LT" w:eastAsia="cs-CZ"/>
              </w:rPr>
              <w:t>,</w:t>
            </w:r>
            <w:r w:rsidRPr="00294F0E">
              <w:rPr>
                <w:snapToGrid/>
                <w:color w:val="000000"/>
                <w:szCs w:val="22"/>
                <w:lang w:val="bg-BG" w:eastAsia="cs-CZ"/>
              </w:rPr>
              <w:t>89</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7B80348B"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538</w:t>
            </w:r>
          </w:p>
        </w:tc>
        <w:tc>
          <w:tcPr>
            <w:tcW w:w="1134" w:type="dxa"/>
          </w:tcPr>
          <w:p w14:paraId="006CB33C" w14:textId="099A61F9"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6</w:t>
            </w:r>
            <w:r w:rsidR="00E35E43">
              <w:rPr>
                <w:snapToGrid/>
                <w:color w:val="000000"/>
                <w:szCs w:val="22"/>
                <w:lang w:val="lt-LT" w:eastAsia="cs-CZ"/>
              </w:rPr>
              <w:t>,</w:t>
            </w:r>
            <w:r w:rsidRPr="00294F0E">
              <w:rPr>
                <w:snapToGrid/>
                <w:color w:val="000000"/>
                <w:szCs w:val="22"/>
                <w:lang w:val="bg-BG" w:eastAsia="cs-CZ"/>
              </w:rPr>
              <w:t>84</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6524A64A" w14:textId="650D0C11"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E35E43">
              <w:rPr>
                <w:snapToGrid/>
                <w:color w:val="000000"/>
                <w:szCs w:val="22"/>
                <w:lang w:val="lt-LT" w:eastAsia="cs-CZ"/>
              </w:rPr>
              <w:t>,</w:t>
            </w:r>
            <w:r w:rsidRPr="00294F0E">
              <w:rPr>
                <w:snapToGrid/>
                <w:color w:val="000000"/>
                <w:szCs w:val="22"/>
                <w:lang w:val="bg-BG" w:eastAsia="cs-CZ"/>
              </w:rPr>
              <w:t>000 (0</w:t>
            </w:r>
            <w:r w:rsidR="00E35E43">
              <w:rPr>
                <w:snapToGrid/>
                <w:color w:val="000000"/>
                <w:szCs w:val="22"/>
                <w:lang w:val="lt-LT" w:eastAsia="cs-CZ"/>
              </w:rPr>
              <w:t>,</w:t>
            </w:r>
            <w:r w:rsidRPr="00294F0E">
              <w:rPr>
                <w:snapToGrid/>
                <w:color w:val="000000"/>
                <w:szCs w:val="22"/>
                <w:lang w:val="bg-BG" w:eastAsia="cs-CZ"/>
              </w:rPr>
              <w:t>887, 1</w:t>
            </w:r>
            <w:r w:rsidR="00E35E43">
              <w:rPr>
                <w:snapToGrid/>
                <w:color w:val="000000"/>
                <w:szCs w:val="22"/>
                <w:lang w:val="lt-LT" w:eastAsia="cs-CZ"/>
              </w:rPr>
              <w:t>,</w:t>
            </w:r>
            <w:r w:rsidRPr="00294F0E">
              <w:rPr>
                <w:snapToGrid/>
                <w:color w:val="000000"/>
                <w:szCs w:val="22"/>
                <w:lang w:val="bg-BG" w:eastAsia="cs-CZ"/>
              </w:rPr>
              <w:t>127)</w:t>
            </w:r>
          </w:p>
        </w:tc>
        <w:tc>
          <w:tcPr>
            <w:tcW w:w="992" w:type="dxa"/>
          </w:tcPr>
          <w:p w14:paraId="4A0C4624" w14:textId="034A599D"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997</w:t>
            </w:r>
          </w:p>
        </w:tc>
      </w:tr>
      <w:tr w:rsidR="00E35E43" w:rsidRPr="00294F0E" w14:paraId="667E4A8F" w14:textId="77777777" w:rsidTr="0054203F">
        <w:trPr>
          <w:trHeight w:val="351"/>
          <w:jc w:val="center"/>
        </w:trPr>
        <w:tc>
          <w:tcPr>
            <w:tcW w:w="8925" w:type="dxa"/>
            <w:gridSpan w:val="7"/>
            <w:vAlign w:val="center"/>
          </w:tcPr>
          <w:p w14:paraId="13BA2085" w14:textId="598A2CBD" w:rsidR="00E35E43" w:rsidRPr="00294F0E" w:rsidRDefault="00E35E43" w:rsidP="00E35E43">
            <w:pPr>
              <w:tabs>
                <w:tab w:val="clear" w:pos="567"/>
              </w:tabs>
              <w:autoSpaceDE w:val="0"/>
              <w:autoSpaceDN w:val="0"/>
              <w:adjustRightInd w:val="0"/>
              <w:spacing w:line="240" w:lineRule="auto"/>
              <w:rPr>
                <w:snapToGrid/>
                <w:color w:val="000000"/>
                <w:szCs w:val="22"/>
                <w:lang w:val="bg-BG" w:eastAsia="cs-CZ"/>
              </w:rPr>
            </w:pPr>
            <w:r w:rsidRPr="00123312">
              <w:rPr>
                <w:lang w:val="lt-LT"/>
              </w:rPr>
              <w:t>Sunkus koronarinis reiškinys</w:t>
            </w:r>
          </w:p>
        </w:tc>
      </w:tr>
      <w:tr w:rsidR="00294F0E" w:rsidRPr="00294F0E" w14:paraId="24B2B96F" w14:textId="77777777" w:rsidTr="005E320F">
        <w:trPr>
          <w:trHeight w:val="351"/>
          <w:jc w:val="center"/>
        </w:trPr>
        <w:tc>
          <w:tcPr>
            <w:tcW w:w="2263" w:type="dxa"/>
          </w:tcPr>
          <w:p w14:paraId="15FF2B4A" w14:textId="11383F87" w:rsidR="00294F0E" w:rsidRPr="00294F0E" w:rsidRDefault="00E35E43" w:rsidP="00294F0E">
            <w:pPr>
              <w:tabs>
                <w:tab w:val="clear" w:pos="567"/>
              </w:tabs>
              <w:autoSpaceDE w:val="0"/>
              <w:autoSpaceDN w:val="0"/>
              <w:adjustRightInd w:val="0"/>
              <w:spacing w:line="240" w:lineRule="auto"/>
              <w:rPr>
                <w:snapToGrid/>
                <w:color w:val="000000"/>
                <w:szCs w:val="22"/>
                <w:lang w:val="bg-BG" w:eastAsia="cs-CZ"/>
              </w:rPr>
            </w:pPr>
            <w:r w:rsidRPr="00123312">
              <w:rPr>
                <w:lang w:val="lt-LT"/>
              </w:rPr>
              <w:t>Nemirtinas MI</w:t>
            </w:r>
          </w:p>
        </w:tc>
        <w:tc>
          <w:tcPr>
            <w:tcW w:w="993" w:type="dxa"/>
          </w:tcPr>
          <w:p w14:paraId="792C7977"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945</w:t>
            </w:r>
          </w:p>
        </w:tc>
        <w:tc>
          <w:tcPr>
            <w:tcW w:w="1134" w:type="dxa"/>
          </w:tcPr>
          <w:p w14:paraId="3A3CC44A" w14:textId="6F3C1B7A"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12</w:t>
            </w:r>
            <w:r w:rsidR="00E35E43">
              <w:rPr>
                <w:snapToGrid/>
                <w:color w:val="000000"/>
                <w:szCs w:val="22"/>
                <w:lang w:val="lt-LT" w:eastAsia="cs-CZ"/>
              </w:rPr>
              <w:t>,</w:t>
            </w:r>
            <w:r w:rsidRPr="00294F0E">
              <w:rPr>
                <w:snapToGrid/>
                <w:color w:val="000000"/>
                <w:szCs w:val="22"/>
                <w:lang w:val="bg-BG" w:eastAsia="cs-CZ"/>
              </w:rPr>
              <w:t>77</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484320AD" w14:textId="34EBE315"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D46C5B">
              <w:rPr>
                <w:snapToGrid/>
                <w:color w:val="000000"/>
                <w:szCs w:val="22"/>
                <w:lang w:val="lt-LT" w:eastAsia="cs-CZ"/>
              </w:rPr>
              <w:t> </w:t>
            </w:r>
            <w:r w:rsidRPr="00294F0E">
              <w:rPr>
                <w:snapToGrid/>
                <w:color w:val="000000"/>
                <w:szCs w:val="22"/>
                <w:lang w:val="bg-BG" w:eastAsia="cs-CZ"/>
              </w:rPr>
              <w:t>083</w:t>
            </w:r>
          </w:p>
        </w:tc>
        <w:tc>
          <w:tcPr>
            <w:tcW w:w="1134" w:type="dxa"/>
          </w:tcPr>
          <w:p w14:paraId="524965DD" w14:textId="14AC3D7F"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14</w:t>
            </w:r>
            <w:r w:rsidR="00E35E43">
              <w:rPr>
                <w:snapToGrid/>
                <w:color w:val="000000"/>
                <w:szCs w:val="22"/>
                <w:lang w:val="lt-LT" w:eastAsia="cs-CZ"/>
              </w:rPr>
              <w:t>,</w:t>
            </w:r>
            <w:r w:rsidRPr="00294F0E">
              <w:rPr>
                <w:snapToGrid/>
                <w:color w:val="000000"/>
                <w:szCs w:val="22"/>
                <w:lang w:val="bg-BG" w:eastAsia="cs-CZ"/>
              </w:rPr>
              <w:t>41</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64D5A108" w14:textId="4176DB06"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871 (0</w:t>
            </w:r>
            <w:r w:rsidR="00E35E43">
              <w:rPr>
                <w:snapToGrid/>
                <w:color w:val="000000"/>
                <w:szCs w:val="22"/>
                <w:lang w:val="lt-LT" w:eastAsia="cs-CZ"/>
              </w:rPr>
              <w:t>,</w:t>
            </w:r>
            <w:r w:rsidRPr="00294F0E">
              <w:rPr>
                <w:snapToGrid/>
                <w:color w:val="000000"/>
                <w:szCs w:val="22"/>
                <w:lang w:val="bg-BG" w:eastAsia="cs-CZ"/>
              </w:rPr>
              <w:t>798, 0</w:t>
            </w:r>
            <w:r w:rsidR="00E35E43">
              <w:rPr>
                <w:snapToGrid/>
                <w:color w:val="000000"/>
                <w:szCs w:val="22"/>
                <w:lang w:val="lt-LT" w:eastAsia="cs-CZ"/>
              </w:rPr>
              <w:t>,</w:t>
            </w:r>
            <w:r w:rsidRPr="00294F0E">
              <w:rPr>
                <w:snapToGrid/>
                <w:color w:val="000000"/>
                <w:szCs w:val="22"/>
                <w:lang w:val="bg-BG" w:eastAsia="cs-CZ"/>
              </w:rPr>
              <w:t>950)</w:t>
            </w:r>
          </w:p>
        </w:tc>
        <w:tc>
          <w:tcPr>
            <w:tcW w:w="992" w:type="dxa"/>
          </w:tcPr>
          <w:p w14:paraId="728F9043" w14:textId="0DA262D8"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002</w:t>
            </w:r>
          </w:p>
        </w:tc>
      </w:tr>
      <w:tr w:rsidR="00294F0E" w:rsidRPr="00294F0E" w14:paraId="12DA7A31" w14:textId="77777777" w:rsidTr="005E320F">
        <w:trPr>
          <w:trHeight w:val="351"/>
          <w:jc w:val="center"/>
        </w:trPr>
        <w:tc>
          <w:tcPr>
            <w:tcW w:w="2263" w:type="dxa"/>
          </w:tcPr>
          <w:p w14:paraId="3BA8B367" w14:textId="71C47BA7" w:rsidR="00294F0E" w:rsidRPr="00294F0E" w:rsidRDefault="00E35E43" w:rsidP="00294F0E">
            <w:pPr>
              <w:tabs>
                <w:tab w:val="clear" w:pos="567"/>
              </w:tabs>
              <w:autoSpaceDE w:val="0"/>
              <w:autoSpaceDN w:val="0"/>
              <w:adjustRightInd w:val="0"/>
              <w:spacing w:line="240" w:lineRule="auto"/>
              <w:rPr>
                <w:snapToGrid/>
                <w:color w:val="000000"/>
                <w:szCs w:val="22"/>
                <w:lang w:val="bg-BG" w:eastAsia="cs-CZ"/>
              </w:rPr>
            </w:pPr>
            <w:r w:rsidRPr="00123312">
              <w:rPr>
                <w:lang w:val="lt-LT"/>
              </w:rPr>
              <w:t>Nestabili</w:t>
            </w:r>
            <w:r>
              <w:rPr>
                <w:lang w:val="lt-LT"/>
              </w:rPr>
              <w:t>oji</w:t>
            </w:r>
            <w:r w:rsidRPr="00123312">
              <w:rPr>
                <w:lang w:val="lt-LT"/>
              </w:rPr>
              <w:t xml:space="preserve"> krūtinės angina, dėl kurios reikėjo hospitalizuoti</w:t>
            </w:r>
          </w:p>
        </w:tc>
        <w:tc>
          <w:tcPr>
            <w:tcW w:w="993" w:type="dxa"/>
          </w:tcPr>
          <w:p w14:paraId="51F745D7"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156</w:t>
            </w:r>
          </w:p>
        </w:tc>
        <w:tc>
          <w:tcPr>
            <w:tcW w:w="1134" w:type="dxa"/>
          </w:tcPr>
          <w:p w14:paraId="163F37A1" w14:textId="73DF451C"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w:t>
            </w:r>
            <w:r w:rsidR="00E35E43">
              <w:rPr>
                <w:snapToGrid/>
                <w:color w:val="000000"/>
                <w:szCs w:val="22"/>
                <w:lang w:val="lt-LT" w:eastAsia="cs-CZ"/>
              </w:rPr>
              <w:t>,</w:t>
            </w:r>
            <w:r w:rsidRPr="00294F0E">
              <w:rPr>
                <w:snapToGrid/>
                <w:color w:val="000000"/>
                <w:szCs w:val="22"/>
                <w:lang w:val="bg-BG" w:eastAsia="cs-CZ"/>
              </w:rPr>
              <w:t>06</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1245CBE5"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148</w:t>
            </w:r>
          </w:p>
        </w:tc>
        <w:tc>
          <w:tcPr>
            <w:tcW w:w="1134" w:type="dxa"/>
          </w:tcPr>
          <w:p w14:paraId="1AABD0B5" w14:textId="593E933C"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E35E43">
              <w:rPr>
                <w:snapToGrid/>
                <w:color w:val="000000"/>
                <w:szCs w:val="22"/>
                <w:lang w:val="lt-LT" w:eastAsia="cs-CZ"/>
              </w:rPr>
              <w:t>,</w:t>
            </w:r>
            <w:r w:rsidRPr="00294F0E">
              <w:rPr>
                <w:snapToGrid/>
                <w:color w:val="000000"/>
                <w:szCs w:val="22"/>
                <w:lang w:val="bg-BG" w:eastAsia="cs-CZ"/>
              </w:rPr>
              <w:t>92</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4C72724A" w14:textId="4DF5AA10"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E35E43">
              <w:rPr>
                <w:snapToGrid/>
                <w:color w:val="000000"/>
                <w:szCs w:val="22"/>
                <w:lang w:val="lt-LT" w:eastAsia="cs-CZ"/>
              </w:rPr>
              <w:t>,</w:t>
            </w:r>
            <w:r w:rsidRPr="00294F0E">
              <w:rPr>
                <w:snapToGrid/>
                <w:color w:val="000000"/>
                <w:szCs w:val="22"/>
                <w:lang w:val="bg-BG" w:eastAsia="cs-CZ"/>
              </w:rPr>
              <w:t>059 (0</w:t>
            </w:r>
            <w:r w:rsidR="00E35E43">
              <w:rPr>
                <w:snapToGrid/>
                <w:color w:val="000000"/>
                <w:szCs w:val="22"/>
                <w:lang w:val="lt-LT" w:eastAsia="cs-CZ"/>
              </w:rPr>
              <w:t>,</w:t>
            </w:r>
            <w:r w:rsidRPr="00294F0E">
              <w:rPr>
                <w:snapToGrid/>
                <w:color w:val="000000"/>
                <w:szCs w:val="22"/>
                <w:lang w:val="bg-BG" w:eastAsia="cs-CZ"/>
              </w:rPr>
              <w:t>846, 1</w:t>
            </w:r>
            <w:r w:rsidR="00E35E43">
              <w:rPr>
                <w:snapToGrid/>
                <w:color w:val="000000"/>
                <w:szCs w:val="22"/>
                <w:lang w:val="en-US" w:eastAsia="cs-CZ"/>
              </w:rPr>
              <w:t>,</w:t>
            </w:r>
            <w:r w:rsidRPr="00294F0E">
              <w:rPr>
                <w:snapToGrid/>
                <w:color w:val="000000"/>
                <w:szCs w:val="22"/>
                <w:lang w:val="bg-BG" w:eastAsia="cs-CZ"/>
              </w:rPr>
              <w:t>326)</w:t>
            </w:r>
          </w:p>
        </w:tc>
        <w:tc>
          <w:tcPr>
            <w:tcW w:w="992" w:type="dxa"/>
          </w:tcPr>
          <w:p w14:paraId="5D97661C" w14:textId="6660780D"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618</w:t>
            </w:r>
          </w:p>
        </w:tc>
      </w:tr>
      <w:tr w:rsidR="00294F0E" w:rsidRPr="00294F0E" w14:paraId="63EC85DA" w14:textId="77777777" w:rsidTr="005E320F">
        <w:trPr>
          <w:trHeight w:val="351"/>
          <w:jc w:val="center"/>
        </w:trPr>
        <w:tc>
          <w:tcPr>
            <w:tcW w:w="2263" w:type="dxa"/>
          </w:tcPr>
          <w:p w14:paraId="567B3C82" w14:textId="398EC734" w:rsidR="00294F0E" w:rsidRPr="00294F0E" w:rsidRDefault="00E35E43" w:rsidP="00294F0E">
            <w:pPr>
              <w:tabs>
                <w:tab w:val="clear" w:pos="567"/>
              </w:tabs>
              <w:autoSpaceDE w:val="0"/>
              <w:autoSpaceDN w:val="0"/>
              <w:adjustRightInd w:val="0"/>
              <w:spacing w:line="240" w:lineRule="auto"/>
              <w:rPr>
                <w:snapToGrid/>
                <w:color w:val="000000"/>
                <w:szCs w:val="22"/>
                <w:lang w:val="bg-BG" w:eastAsia="cs-CZ"/>
              </w:rPr>
            </w:pPr>
            <w:r w:rsidRPr="00123312">
              <w:rPr>
                <w:lang w:val="lt-LT"/>
              </w:rPr>
              <w:t xml:space="preserve">Vainikinių kraujagyslių </w:t>
            </w:r>
            <w:proofErr w:type="spellStart"/>
            <w:r w:rsidRPr="00123312">
              <w:rPr>
                <w:lang w:val="lt-LT"/>
              </w:rPr>
              <w:t>revaskuliarizacija</w:t>
            </w:r>
            <w:proofErr w:type="spellEnd"/>
            <w:r w:rsidRPr="00123312">
              <w:rPr>
                <w:lang w:val="lt-LT"/>
              </w:rPr>
              <w:t xml:space="preserve"> po 30 dienų</w:t>
            </w:r>
          </w:p>
        </w:tc>
        <w:tc>
          <w:tcPr>
            <w:tcW w:w="993" w:type="dxa"/>
          </w:tcPr>
          <w:p w14:paraId="50CD2809" w14:textId="58737D96"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1568E5">
              <w:rPr>
                <w:snapToGrid/>
                <w:color w:val="000000"/>
                <w:szCs w:val="22"/>
                <w:lang w:val="lt-LT" w:eastAsia="cs-CZ"/>
              </w:rPr>
              <w:t> </w:t>
            </w:r>
            <w:r w:rsidRPr="00294F0E">
              <w:rPr>
                <w:snapToGrid/>
                <w:color w:val="000000"/>
                <w:szCs w:val="22"/>
                <w:lang w:val="bg-BG" w:eastAsia="cs-CZ"/>
              </w:rPr>
              <w:t>690</w:t>
            </w:r>
          </w:p>
        </w:tc>
        <w:tc>
          <w:tcPr>
            <w:tcW w:w="1134" w:type="dxa"/>
          </w:tcPr>
          <w:p w14:paraId="6985AED1" w14:textId="635E14EC"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21</w:t>
            </w:r>
            <w:r w:rsidR="00E35E43">
              <w:rPr>
                <w:snapToGrid/>
                <w:color w:val="000000"/>
                <w:szCs w:val="22"/>
                <w:lang w:val="lt-LT" w:eastAsia="cs-CZ"/>
              </w:rPr>
              <w:t>,</w:t>
            </w:r>
            <w:r w:rsidRPr="00294F0E">
              <w:rPr>
                <w:snapToGrid/>
                <w:color w:val="000000"/>
                <w:szCs w:val="22"/>
                <w:lang w:val="bg-BG" w:eastAsia="cs-CZ"/>
              </w:rPr>
              <w:t>84</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4890880E" w14:textId="61A5BEFA"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1</w:t>
            </w:r>
            <w:r w:rsidR="001568E5">
              <w:rPr>
                <w:snapToGrid/>
                <w:color w:val="000000"/>
                <w:szCs w:val="22"/>
                <w:lang w:val="lt-LT" w:eastAsia="cs-CZ"/>
              </w:rPr>
              <w:t> </w:t>
            </w:r>
            <w:r w:rsidRPr="00294F0E">
              <w:rPr>
                <w:snapToGrid/>
                <w:color w:val="000000"/>
                <w:szCs w:val="22"/>
                <w:lang w:val="bg-BG" w:eastAsia="cs-CZ"/>
              </w:rPr>
              <w:t>793</w:t>
            </w:r>
          </w:p>
        </w:tc>
        <w:tc>
          <w:tcPr>
            <w:tcW w:w="1134" w:type="dxa"/>
          </w:tcPr>
          <w:p w14:paraId="6BC04BC9" w14:textId="3B1B1AAA"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23</w:t>
            </w:r>
            <w:r w:rsidR="00E35E43">
              <w:rPr>
                <w:snapToGrid/>
                <w:color w:val="000000"/>
                <w:szCs w:val="22"/>
                <w:lang w:val="lt-LT" w:eastAsia="cs-CZ"/>
              </w:rPr>
              <w:t>,</w:t>
            </w:r>
            <w:r w:rsidRPr="00294F0E">
              <w:rPr>
                <w:snapToGrid/>
                <w:color w:val="000000"/>
                <w:szCs w:val="22"/>
                <w:lang w:val="bg-BG" w:eastAsia="cs-CZ"/>
              </w:rPr>
              <w:t>36</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4B2861E5" w14:textId="46F07FAE"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0.947 (0</w:t>
            </w:r>
            <w:r w:rsidR="00E35E43">
              <w:rPr>
                <w:snapToGrid/>
                <w:color w:val="000000"/>
                <w:szCs w:val="22"/>
                <w:lang w:val="lt-LT" w:eastAsia="cs-CZ"/>
              </w:rPr>
              <w:t>,</w:t>
            </w:r>
            <w:r w:rsidRPr="00294F0E">
              <w:rPr>
                <w:snapToGrid/>
                <w:color w:val="000000"/>
                <w:szCs w:val="22"/>
                <w:lang w:val="bg-BG" w:eastAsia="cs-CZ"/>
              </w:rPr>
              <w:t>886, 1</w:t>
            </w:r>
            <w:r w:rsidR="00E35E43">
              <w:rPr>
                <w:snapToGrid/>
                <w:color w:val="000000"/>
                <w:szCs w:val="22"/>
                <w:lang w:val="lt-LT" w:eastAsia="cs-CZ"/>
              </w:rPr>
              <w:t>,</w:t>
            </w:r>
            <w:r w:rsidRPr="00294F0E">
              <w:rPr>
                <w:snapToGrid/>
                <w:color w:val="000000"/>
                <w:szCs w:val="22"/>
                <w:lang w:val="bg-BG" w:eastAsia="cs-CZ"/>
              </w:rPr>
              <w:t>012)</w:t>
            </w:r>
          </w:p>
        </w:tc>
        <w:tc>
          <w:tcPr>
            <w:tcW w:w="992" w:type="dxa"/>
          </w:tcPr>
          <w:p w14:paraId="67405C0A" w14:textId="15F1AE3F"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107</w:t>
            </w:r>
          </w:p>
        </w:tc>
      </w:tr>
      <w:tr w:rsidR="00294F0E" w:rsidRPr="00294F0E" w14:paraId="0EDE3CFF" w14:textId="77777777" w:rsidTr="005E320F">
        <w:trPr>
          <w:trHeight w:val="351"/>
          <w:jc w:val="center"/>
        </w:trPr>
        <w:tc>
          <w:tcPr>
            <w:tcW w:w="2263" w:type="dxa"/>
          </w:tcPr>
          <w:p w14:paraId="4E29F4A6" w14:textId="3CFEB336" w:rsidR="00294F0E" w:rsidRPr="00294F0E" w:rsidRDefault="00E35E43" w:rsidP="00294F0E">
            <w:pPr>
              <w:tabs>
                <w:tab w:val="clear" w:pos="567"/>
              </w:tabs>
              <w:autoSpaceDE w:val="0"/>
              <w:autoSpaceDN w:val="0"/>
              <w:adjustRightInd w:val="0"/>
              <w:spacing w:line="240" w:lineRule="auto"/>
              <w:rPr>
                <w:snapToGrid/>
                <w:color w:val="000000"/>
                <w:szCs w:val="22"/>
                <w:lang w:val="bg-BG" w:eastAsia="cs-CZ"/>
              </w:rPr>
            </w:pPr>
            <w:r w:rsidRPr="00123312">
              <w:rPr>
                <w:lang w:val="lt-LT"/>
              </w:rPr>
              <w:t>Nemirtinas insultas</w:t>
            </w:r>
          </w:p>
        </w:tc>
        <w:tc>
          <w:tcPr>
            <w:tcW w:w="993" w:type="dxa"/>
          </w:tcPr>
          <w:p w14:paraId="3A9B6350"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245</w:t>
            </w:r>
          </w:p>
        </w:tc>
        <w:tc>
          <w:tcPr>
            <w:tcW w:w="1134" w:type="dxa"/>
          </w:tcPr>
          <w:p w14:paraId="763DDA30" w14:textId="49D3B2E0"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3</w:t>
            </w:r>
            <w:r w:rsidR="00E35E43">
              <w:rPr>
                <w:snapToGrid/>
                <w:color w:val="000000"/>
                <w:szCs w:val="22"/>
                <w:lang w:val="lt-LT" w:eastAsia="cs-CZ"/>
              </w:rPr>
              <w:t>,</w:t>
            </w:r>
            <w:r w:rsidRPr="00294F0E">
              <w:rPr>
                <w:snapToGrid/>
                <w:color w:val="000000"/>
                <w:szCs w:val="22"/>
                <w:lang w:val="bg-BG" w:eastAsia="cs-CZ"/>
              </w:rPr>
              <w:t>49</w:t>
            </w:r>
            <w:r w:rsidR="00E35E43">
              <w:rPr>
                <w:snapToGrid/>
                <w:color w:val="000000"/>
                <w:szCs w:val="22"/>
                <w:lang w:val="lt-LT" w:eastAsia="cs-CZ"/>
              </w:rPr>
              <w:t> </w:t>
            </w:r>
            <w:r w:rsidRPr="00294F0E">
              <w:rPr>
                <w:snapToGrid/>
                <w:color w:val="000000"/>
                <w:szCs w:val="22"/>
                <w:lang w:val="bg-BG" w:eastAsia="cs-CZ"/>
              </w:rPr>
              <w:t>%</w:t>
            </w:r>
          </w:p>
        </w:tc>
        <w:tc>
          <w:tcPr>
            <w:tcW w:w="992" w:type="dxa"/>
          </w:tcPr>
          <w:p w14:paraId="3DE85361" w14:textId="77777777"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305</w:t>
            </w:r>
          </w:p>
        </w:tc>
        <w:tc>
          <w:tcPr>
            <w:tcW w:w="1134" w:type="dxa"/>
          </w:tcPr>
          <w:p w14:paraId="14D39877" w14:textId="1BADC239"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4</w:t>
            </w:r>
            <w:r w:rsidR="00E35E43">
              <w:rPr>
                <w:snapToGrid/>
                <w:color w:val="000000"/>
                <w:szCs w:val="22"/>
                <w:lang w:val="lt-LT" w:eastAsia="cs-CZ"/>
              </w:rPr>
              <w:t>,</w:t>
            </w:r>
            <w:r w:rsidRPr="00294F0E">
              <w:rPr>
                <w:snapToGrid/>
                <w:color w:val="000000"/>
                <w:szCs w:val="22"/>
                <w:lang w:val="bg-BG" w:eastAsia="cs-CZ"/>
              </w:rPr>
              <w:t>24</w:t>
            </w:r>
            <w:r w:rsidR="00E35E43">
              <w:rPr>
                <w:snapToGrid/>
                <w:color w:val="000000"/>
                <w:szCs w:val="22"/>
                <w:lang w:val="lt-LT" w:eastAsia="cs-CZ"/>
              </w:rPr>
              <w:t> </w:t>
            </w:r>
            <w:r w:rsidRPr="00294F0E">
              <w:rPr>
                <w:snapToGrid/>
                <w:color w:val="000000"/>
                <w:szCs w:val="22"/>
                <w:lang w:val="bg-BG" w:eastAsia="cs-CZ"/>
              </w:rPr>
              <w:t>%</w:t>
            </w:r>
          </w:p>
        </w:tc>
        <w:tc>
          <w:tcPr>
            <w:tcW w:w="1417" w:type="dxa"/>
          </w:tcPr>
          <w:p w14:paraId="148CDA1C" w14:textId="544A38FD"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802 (0</w:t>
            </w:r>
            <w:r w:rsidR="00E35E43">
              <w:rPr>
                <w:snapToGrid/>
                <w:color w:val="000000"/>
                <w:szCs w:val="22"/>
                <w:lang w:val="lt-LT" w:eastAsia="cs-CZ"/>
              </w:rPr>
              <w:t>,</w:t>
            </w:r>
            <w:r w:rsidRPr="00294F0E">
              <w:rPr>
                <w:snapToGrid/>
                <w:color w:val="000000"/>
                <w:szCs w:val="22"/>
                <w:lang w:val="bg-BG" w:eastAsia="cs-CZ"/>
              </w:rPr>
              <w:t>678, 0</w:t>
            </w:r>
            <w:r w:rsidR="00E35E43">
              <w:rPr>
                <w:snapToGrid/>
                <w:color w:val="000000"/>
                <w:szCs w:val="22"/>
                <w:lang w:val="lt-LT" w:eastAsia="cs-CZ"/>
              </w:rPr>
              <w:t>,</w:t>
            </w:r>
            <w:r w:rsidRPr="00294F0E">
              <w:rPr>
                <w:snapToGrid/>
                <w:color w:val="000000"/>
                <w:szCs w:val="22"/>
                <w:lang w:val="bg-BG" w:eastAsia="cs-CZ"/>
              </w:rPr>
              <w:t>949)</w:t>
            </w:r>
          </w:p>
        </w:tc>
        <w:tc>
          <w:tcPr>
            <w:tcW w:w="992" w:type="dxa"/>
          </w:tcPr>
          <w:p w14:paraId="7A982595" w14:textId="1013326F" w:rsidR="00294F0E" w:rsidRPr="00294F0E" w:rsidRDefault="00294F0E" w:rsidP="00294F0E">
            <w:pPr>
              <w:tabs>
                <w:tab w:val="clear" w:pos="567"/>
              </w:tabs>
              <w:autoSpaceDE w:val="0"/>
              <w:autoSpaceDN w:val="0"/>
              <w:adjustRightInd w:val="0"/>
              <w:spacing w:line="240" w:lineRule="auto"/>
              <w:rPr>
                <w:snapToGrid/>
                <w:color w:val="000000"/>
                <w:szCs w:val="22"/>
                <w:lang w:val="bg-BG" w:eastAsia="cs-CZ"/>
              </w:rPr>
            </w:pPr>
            <w:r w:rsidRPr="00294F0E">
              <w:rPr>
                <w:snapToGrid/>
                <w:color w:val="000000"/>
                <w:szCs w:val="22"/>
                <w:lang w:val="bg-BG" w:eastAsia="cs-CZ"/>
              </w:rPr>
              <w:t>0</w:t>
            </w:r>
            <w:r w:rsidR="00E35E43">
              <w:rPr>
                <w:snapToGrid/>
                <w:color w:val="000000"/>
                <w:szCs w:val="22"/>
                <w:lang w:val="lt-LT" w:eastAsia="cs-CZ"/>
              </w:rPr>
              <w:t>,</w:t>
            </w:r>
            <w:r w:rsidRPr="00294F0E">
              <w:rPr>
                <w:snapToGrid/>
                <w:color w:val="000000"/>
                <w:szCs w:val="22"/>
                <w:lang w:val="bg-BG" w:eastAsia="cs-CZ"/>
              </w:rPr>
              <w:t>010</w:t>
            </w:r>
          </w:p>
        </w:tc>
      </w:tr>
    </w:tbl>
    <w:bookmarkEnd w:id="5"/>
    <w:p w14:paraId="22190430" w14:textId="77777777" w:rsidR="00E35E43" w:rsidRPr="0054203F" w:rsidRDefault="00E35E43" w:rsidP="00E35E43">
      <w:pPr>
        <w:ind w:left="180" w:hanging="180"/>
        <w:jc w:val="both"/>
        <w:rPr>
          <w:szCs w:val="22"/>
          <w:lang w:val="lt-LT"/>
        </w:rPr>
      </w:pPr>
      <w:r w:rsidRPr="0054203F">
        <w:rPr>
          <w:szCs w:val="22"/>
          <w:lang w:val="lt-LT"/>
        </w:rPr>
        <w:t>*</w:t>
      </w:r>
      <w:r w:rsidRPr="0054203F">
        <w:rPr>
          <w:szCs w:val="22"/>
          <w:lang w:val="lt-LT"/>
        </w:rPr>
        <w:tab/>
        <w:t xml:space="preserve">6 % pacientų </w:t>
      </w:r>
      <w:proofErr w:type="spellStart"/>
      <w:r w:rsidRPr="0054203F">
        <w:rPr>
          <w:szCs w:val="22"/>
          <w:lang w:val="lt-LT"/>
        </w:rPr>
        <w:t>ezetimibo</w:t>
      </w:r>
      <w:proofErr w:type="spellEnd"/>
      <w:r w:rsidRPr="0054203F">
        <w:rPr>
          <w:szCs w:val="22"/>
          <w:lang w:val="lt-LT"/>
        </w:rPr>
        <w:t xml:space="preserve"> / </w:t>
      </w:r>
      <w:proofErr w:type="spellStart"/>
      <w:r w:rsidRPr="0054203F">
        <w:rPr>
          <w:szCs w:val="22"/>
          <w:lang w:val="lt-LT"/>
        </w:rPr>
        <w:t>simvastatino</w:t>
      </w:r>
      <w:proofErr w:type="spellEnd"/>
      <w:r w:rsidRPr="0054203F">
        <w:rPr>
          <w:szCs w:val="22"/>
          <w:lang w:val="lt-LT"/>
        </w:rPr>
        <w:t xml:space="preserve"> dozė buvo laipsniškai padidinta iki 10/80 mg.</w:t>
      </w:r>
    </w:p>
    <w:p w14:paraId="34C26FB1" w14:textId="4F51C0CD" w:rsidR="00E35E43" w:rsidRPr="0054203F" w:rsidRDefault="00E35E43" w:rsidP="00E35E43">
      <w:pPr>
        <w:ind w:left="180" w:hanging="180"/>
        <w:jc w:val="both"/>
        <w:rPr>
          <w:szCs w:val="22"/>
          <w:lang w:val="lt-LT"/>
        </w:rPr>
      </w:pPr>
      <w:r w:rsidRPr="0054203F">
        <w:rPr>
          <w:szCs w:val="22"/>
          <w:vertAlign w:val="superscript"/>
          <w:lang w:val="lt-LT"/>
        </w:rPr>
        <w:t>†</w:t>
      </w:r>
      <w:r w:rsidRPr="0054203F">
        <w:rPr>
          <w:szCs w:val="22"/>
          <w:vertAlign w:val="superscript"/>
          <w:lang w:val="lt-LT"/>
        </w:rPr>
        <w:tab/>
      </w:r>
      <w:r w:rsidRPr="0054203F">
        <w:rPr>
          <w:szCs w:val="22"/>
          <w:lang w:val="lt-LT"/>
        </w:rPr>
        <w:t xml:space="preserve">27 % pacientų </w:t>
      </w:r>
      <w:proofErr w:type="spellStart"/>
      <w:r w:rsidRPr="0054203F">
        <w:rPr>
          <w:szCs w:val="22"/>
          <w:lang w:val="lt-LT"/>
        </w:rPr>
        <w:t>simvastatino</w:t>
      </w:r>
      <w:proofErr w:type="spellEnd"/>
      <w:r w:rsidRPr="0054203F">
        <w:rPr>
          <w:szCs w:val="22"/>
          <w:lang w:val="lt-LT"/>
        </w:rPr>
        <w:t xml:space="preserve"> dozė buvo laipsniškai padidinta iki 80 mg.</w:t>
      </w:r>
    </w:p>
    <w:p w14:paraId="2243B35E" w14:textId="77777777" w:rsidR="00E35E43" w:rsidRPr="0054203F" w:rsidRDefault="00E35E43" w:rsidP="00E35E43">
      <w:pPr>
        <w:ind w:left="180" w:hanging="180"/>
        <w:jc w:val="both"/>
        <w:rPr>
          <w:szCs w:val="22"/>
          <w:lang w:val="lt-LT"/>
        </w:rPr>
      </w:pPr>
      <w:r w:rsidRPr="0054203F">
        <w:rPr>
          <w:szCs w:val="22"/>
          <w:vertAlign w:val="superscript"/>
          <w:lang w:val="lt-LT"/>
        </w:rPr>
        <w:t>‡</w:t>
      </w:r>
      <w:r w:rsidRPr="0054203F">
        <w:rPr>
          <w:szCs w:val="22"/>
          <w:vertAlign w:val="superscript"/>
          <w:lang w:val="lt-LT"/>
        </w:rPr>
        <w:tab/>
      </w:r>
      <w:proofErr w:type="spellStart"/>
      <w:r w:rsidRPr="0054203F">
        <w:rPr>
          <w:i/>
          <w:szCs w:val="22"/>
          <w:lang w:val="lt-LT"/>
        </w:rPr>
        <w:t>Kaplan-Meier</w:t>
      </w:r>
      <w:proofErr w:type="spellEnd"/>
      <w:r w:rsidRPr="0054203F">
        <w:rPr>
          <w:szCs w:val="22"/>
          <w:lang w:val="lt-LT"/>
        </w:rPr>
        <w:t xml:space="preserve"> įvertis 7</w:t>
      </w:r>
      <w:r w:rsidRPr="0054203F">
        <w:rPr>
          <w:szCs w:val="22"/>
          <w:lang w:val="lt-LT"/>
        </w:rPr>
        <w:noBreakHyphen/>
        <w:t>aisiais metais.</w:t>
      </w:r>
    </w:p>
    <w:p w14:paraId="4343CB32" w14:textId="77777777" w:rsidR="00A67F23" w:rsidRDefault="00A67F23" w:rsidP="007425C0">
      <w:pPr>
        <w:widowControl w:val="0"/>
        <w:tabs>
          <w:tab w:val="clear" w:pos="567"/>
        </w:tabs>
        <w:spacing w:line="240" w:lineRule="auto"/>
        <w:rPr>
          <w:snapToGrid/>
          <w:szCs w:val="22"/>
          <w:lang w:val="lt-LT" w:eastAsia="sl-SI"/>
        </w:rPr>
      </w:pPr>
    </w:p>
    <w:p w14:paraId="36EDAE80"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5.2</w:t>
      </w:r>
      <w:r w:rsidRPr="00923E74">
        <w:rPr>
          <w:b/>
          <w:snapToGrid/>
          <w:szCs w:val="22"/>
          <w:lang w:val="lt-LT" w:eastAsia="sl-SI"/>
        </w:rPr>
        <w:tab/>
      </w:r>
      <w:proofErr w:type="spellStart"/>
      <w:r w:rsidRPr="00923E74">
        <w:rPr>
          <w:b/>
          <w:snapToGrid/>
          <w:szCs w:val="22"/>
          <w:lang w:val="lt-LT" w:eastAsia="sl-SI"/>
        </w:rPr>
        <w:t>Farmakokinetinės</w:t>
      </w:r>
      <w:proofErr w:type="spellEnd"/>
      <w:r w:rsidRPr="00923E74">
        <w:rPr>
          <w:b/>
          <w:snapToGrid/>
          <w:szCs w:val="22"/>
          <w:lang w:val="lt-LT" w:eastAsia="sl-SI"/>
        </w:rPr>
        <w:t xml:space="preserve"> savybės</w:t>
      </w:r>
    </w:p>
    <w:p w14:paraId="574C2D1B" w14:textId="77777777" w:rsidR="00381B7D" w:rsidRPr="00923E74" w:rsidRDefault="00381B7D" w:rsidP="007E15ED">
      <w:pPr>
        <w:keepNext/>
        <w:widowControl w:val="0"/>
        <w:tabs>
          <w:tab w:val="clear" w:pos="567"/>
        </w:tabs>
        <w:spacing w:line="240" w:lineRule="auto"/>
        <w:rPr>
          <w:snapToGrid/>
          <w:szCs w:val="22"/>
          <w:lang w:val="lt-LT" w:eastAsia="sl-SI"/>
        </w:rPr>
      </w:pPr>
    </w:p>
    <w:p w14:paraId="206B3F06" w14:textId="77777777" w:rsidR="001E1BBB" w:rsidRPr="00923E74" w:rsidRDefault="001E1BBB" w:rsidP="001E1BBB">
      <w:pPr>
        <w:spacing w:line="240" w:lineRule="auto"/>
        <w:rPr>
          <w:snapToGrid/>
          <w:szCs w:val="22"/>
          <w:lang w:val="lt-LT"/>
        </w:rPr>
      </w:pPr>
      <w:r w:rsidRPr="00923E74">
        <w:rPr>
          <w:snapToGrid/>
          <w:szCs w:val="22"/>
          <w:lang w:val="lt-LT"/>
        </w:rPr>
        <w:t xml:space="preserve">Nustatyta, kad </w:t>
      </w:r>
      <w:r w:rsidR="00CA4EC6" w:rsidRPr="00923E74">
        <w:rPr>
          <w:snapToGrid/>
          <w:szCs w:val="22"/>
          <w:lang w:val="lt-LT"/>
        </w:rPr>
        <w:t>kombinuotasis</w:t>
      </w:r>
      <w:r w:rsidRPr="00923E74">
        <w:rPr>
          <w:snapToGrid/>
          <w:szCs w:val="22"/>
          <w:lang w:val="lt-LT"/>
        </w:rPr>
        <w:t xml:space="preserve"> vaistinis preparatas yra </w:t>
      </w:r>
      <w:proofErr w:type="spellStart"/>
      <w:r w:rsidR="007F218C" w:rsidRPr="00923E74">
        <w:rPr>
          <w:snapToGrid/>
          <w:szCs w:val="22"/>
          <w:lang w:val="lt-LT"/>
        </w:rPr>
        <w:t>bio</w:t>
      </w:r>
      <w:r w:rsidRPr="00923E74">
        <w:rPr>
          <w:snapToGrid/>
          <w:szCs w:val="22"/>
          <w:lang w:val="lt-LT"/>
        </w:rPr>
        <w:t>ekvivalentiškas</w:t>
      </w:r>
      <w:proofErr w:type="spellEnd"/>
      <w:r w:rsidRPr="00923E74">
        <w:rPr>
          <w:snapToGrid/>
          <w:szCs w:val="22"/>
          <w:lang w:val="lt-LT"/>
        </w:rPr>
        <w:t xml:space="preserve"> kartu vartojamoms atitinkamų dozių </w:t>
      </w:r>
      <w:proofErr w:type="spellStart"/>
      <w:r w:rsidRPr="00923E74">
        <w:rPr>
          <w:snapToGrid/>
          <w:szCs w:val="22"/>
          <w:lang w:val="lt-LT"/>
        </w:rPr>
        <w:t>ezetimibo</w:t>
      </w:r>
      <w:proofErr w:type="spellEnd"/>
      <w:r w:rsidRPr="00923E74">
        <w:rPr>
          <w:snapToGrid/>
          <w:szCs w:val="22"/>
          <w:lang w:val="lt-LT"/>
        </w:rPr>
        <w:t xml:space="preserve"> ir </w:t>
      </w:r>
      <w:proofErr w:type="spellStart"/>
      <w:r w:rsidRPr="00923E74">
        <w:rPr>
          <w:snapToGrid/>
          <w:szCs w:val="22"/>
          <w:lang w:val="lt-LT"/>
        </w:rPr>
        <w:t>atorvastatino</w:t>
      </w:r>
      <w:proofErr w:type="spellEnd"/>
      <w:r w:rsidRPr="00923E74">
        <w:rPr>
          <w:snapToGrid/>
          <w:szCs w:val="22"/>
          <w:lang w:val="lt-LT"/>
        </w:rPr>
        <w:t xml:space="preserve"> tabletėms.</w:t>
      </w:r>
    </w:p>
    <w:p w14:paraId="4D5D9754" w14:textId="77777777" w:rsidR="001E1BBB" w:rsidRPr="00923E74" w:rsidRDefault="001E1BBB" w:rsidP="001E1BBB">
      <w:pPr>
        <w:spacing w:line="240" w:lineRule="auto"/>
        <w:rPr>
          <w:snapToGrid/>
          <w:szCs w:val="22"/>
          <w:highlight w:val="yellow"/>
          <w:lang w:val="lt-LT"/>
        </w:rPr>
      </w:pPr>
    </w:p>
    <w:p w14:paraId="1A835CAA" w14:textId="77777777" w:rsidR="001E1BBB" w:rsidRPr="00923E74" w:rsidRDefault="001E1BBB" w:rsidP="007E15ED">
      <w:pPr>
        <w:keepNext/>
        <w:numPr>
          <w:ilvl w:val="12"/>
          <w:numId w:val="0"/>
        </w:numPr>
        <w:spacing w:line="240" w:lineRule="auto"/>
        <w:rPr>
          <w:iCs/>
          <w:snapToGrid/>
          <w:szCs w:val="22"/>
          <w:u w:val="single"/>
          <w:lang w:val="lt-LT"/>
        </w:rPr>
      </w:pPr>
      <w:r w:rsidRPr="00923E74">
        <w:rPr>
          <w:iCs/>
          <w:snapToGrid/>
          <w:szCs w:val="22"/>
          <w:u w:val="single"/>
          <w:lang w:val="lt-LT"/>
        </w:rPr>
        <w:t>Absorbcija</w:t>
      </w:r>
    </w:p>
    <w:p w14:paraId="3C86B5DB"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Ezetimib</w:t>
      </w:r>
      <w:r w:rsidR="00025BC2" w:rsidRPr="00923E74">
        <w:rPr>
          <w:i/>
          <w:iCs/>
          <w:snapToGrid/>
          <w:szCs w:val="22"/>
          <w:lang w:val="lt-LT"/>
        </w:rPr>
        <w:t>as</w:t>
      </w:r>
      <w:proofErr w:type="spellEnd"/>
    </w:p>
    <w:p w14:paraId="16FB7312" w14:textId="5AF0D25B" w:rsidR="00025BC2" w:rsidRPr="00923E74" w:rsidRDefault="00025BC2" w:rsidP="00025BC2">
      <w:pPr>
        <w:numPr>
          <w:ilvl w:val="12"/>
          <w:numId w:val="0"/>
        </w:numPr>
        <w:spacing w:line="240" w:lineRule="auto"/>
        <w:ind w:right="-2"/>
        <w:rPr>
          <w:iCs/>
          <w:snapToGrid/>
          <w:szCs w:val="22"/>
          <w:lang w:val="lt-LT"/>
        </w:rPr>
      </w:pPr>
      <w:r w:rsidRPr="00923E74">
        <w:rPr>
          <w:iCs/>
          <w:snapToGrid/>
          <w:szCs w:val="22"/>
          <w:lang w:val="lt-LT"/>
        </w:rPr>
        <w:t xml:space="preserve">Išgertas </w:t>
      </w:r>
      <w:proofErr w:type="spellStart"/>
      <w:r w:rsidRPr="00923E74">
        <w:rPr>
          <w:iCs/>
          <w:snapToGrid/>
          <w:szCs w:val="22"/>
          <w:lang w:val="lt-LT"/>
        </w:rPr>
        <w:t>ezetimibas</w:t>
      </w:r>
      <w:proofErr w:type="spellEnd"/>
      <w:r w:rsidRPr="00923E74">
        <w:rPr>
          <w:iCs/>
          <w:snapToGrid/>
          <w:szCs w:val="22"/>
          <w:lang w:val="lt-LT"/>
        </w:rPr>
        <w:t xml:space="preserve"> greitai absorbuojamas ir ekstensyviai </w:t>
      </w:r>
      <w:proofErr w:type="spellStart"/>
      <w:r w:rsidRPr="00923E74">
        <w:rPr>
          <w:iCs/>
          <w:snapToGrid/>
          <w:szCs w:val="22"/>
          <w:lang w:val="lt-LT"/>
        </w:rPr>
        <w:t>konjuguojamas</w:t>
      </w:r>
      <w:proofErr w:type="spellEnd"/>
      <w:r w:rsidRPr="00923E74">
        <w:rPr>
          <w:iCs/>
          <w:snapToGrid/>
          <w:szCs w:val="22"/>
          <w:lang w:val="lt-LT"/>
        </w:rPr>
        <w:t xml:space="preserve"> į farmakologiškai aktyvų </w:t>
      </w:r>
      <w:proofErr w:type="spellStart"/>
      <w:r w:rsidRPr="00923E74">
        <w:rPr>
          <w:iCs/>
          <w:snapToGrid/>
          <w:szCs w:val="22"/>
          <w:lang w:val="lt-LT"/>
        </w:rPr>
        <w:t>fenolio</w:t>
      </w:r>
      <w:proofErr w:type="spellEnd"/>
      <w:r w:rsidRPr="00923E74">
        <w:rPr>
          <w:iCs/>
          <w:snapToGrid/>
          <w:szCs w:val="22"/>
          <w:lang w:val="lt-LT"/>
        </w:rPr>
        <w:t xml:space="preserve"> </w:t>
      </w:r>
      <w:proofErr w:type="spellStart"/>
      <w:r w:rsidRPr="00923E74">
        <w:rPr>
          <w:iCs/>
          <w:snapToGrid/>
          <w:szCs w:val="22"/>
          <w:lang w:val="lt-LT"/>
        </w:rPr>
        <w:t>gliukuronidą</w:t>
      </w:r>
      <w:proofErr w:type="spellEnd"/>
      <w:r w:rsidRPr="00923E74">
        <w:rPr>
          <w:iCs/>
          <w:snapToGrid/>
          <w:szCs w:val="22"/>
          <w:lang w:val="lt-LT"/>
        </w:rPr>
        <w:t xml:space="preserve">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gliukuronidą</w:t>
      </w:r>
      <w:proofErr w:type="spellEnd"/>
      <w:r w:rsidRPr="00923E74">
        <w:rPr>
          <w:iCs/>
          <w:snapToGrid/>
          <w:szCs w:val="22"/>
          <w:lang w:val="lt-LT"/>
        </w:rPr>
        <w:t xml:space="preserve">). Vidutinė didžiausia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gliukuronido</w:t>
      </w:r>
      <w:proofErr w:type="spellEnd"/>
      <w:r w:rsidRPr="00923E74">
        <w:rPr>
          <w:iCs/>
          <w:snapToGrid/>
          <w:szCs w:val="22"/>
          <w:lang w:val="lt-LT"/>
        </w:rPr>
        <w:t xml:space="preserve"> koncentracija (</w:t>
      </w:r>
      <w:proofErr w:type="spellStart"/>
      <w:r w:rsidRPr="00923E74">
        <w:rPr>
          <w:iCs/>
          <w:snapToGrid/>
          <w:szCs w:val="22"/>
          <w:lang w:val="lt-LT"/>
        </w:rPr>
        <w:t>C</w:t>
      </w:r>
      <w:r w:rsidRPr="00923E74">
        <w:rPr>
          <w:iCs/>
          <w:snapToGrid/>
          <w:szCs w:val="22"/>
          <w:vertAlign w:val="subscript"/>
          <w:lang w:val="lt-LT"/>
        </w:rPr>
        <w:t>max</w:t>
      </w:r>
      <w:proofErr w:type="spellEnd"/>
      <w:r w:rsidRPr="00923E74">
        <w:rPr>
          <w:iCs/>
          <w:snapToGrid/>
          <w:szCs w:val="22"/>
          <w:lang w:val="lt-LT"/>
        </w:rPr>
        <w:t xml:space="preserve">) kraujo plazmoje </w:t>
      </w:r>
      <w:r w:rsidR="00165588">
        <w:rPr>
          <w:iCs/>
          <w:snapToGrid/>
          <w:szCs w:val="22"/>
          <w:lang w:val="lt-LT"/>
        </w:rPr>
        <w:t>p</w:t>
      </w:r>
      <w:r w:rsidRPr="00923E74">
        <w:rPr>
          <w:iCs/>
          <w:snapToGrid/>
          <w:szCs w:val="22"/>
          <w:lang w:val="lt-LT"/>
        </w:rPr>
        <w:t>asi</w:t>
      </w:r>
      <w:r w:rsidR="00165588">
        <w:rPr>
          <w:iCs/>
          <w:snapToGrid/>
          <w:szCs w:val="22"/>
          <w:lang w:val="lt-LT"/>
        </w:rPr>
        <w:t>eki</w:t>
      </w:r>
      <w:r w:rsidRPr="00923E74">
        <w:rPr>
          <w:iCs/>
          <w:snapToGrid/>
          <w:szCs w:val="22"/>
          <w:lang w:val="lt-LT"/>
        </w:rPr>
        <w:t>a</w:t>
      </w:r>
      <w:r w:rsidR="00165588">
        <w:rPr>
          <w:iCs/>
          <w:snapToGrid/>
          <w:szCs w:val="22"/>
          <w:lang w:val="lt-LT"/>
        </w:rPr>
        <w:t>m</w:t>
      </w:r>
      <w:r w:rsidRPr="00923E74">
        <w:rPr>
          <w:iCs/>
          <w:snapToGrid/>
          <w:szCs w:val="22"/>
          <w:lang w:val="lt-LT"/>
        </w:rPr>
        <w:t>a per 1</w:t>
      </w:r>
      <w:r w:rsidRPr="00923E74">
        <w:rPr>
          <w:iCs/>
          <w:snapToGrid/>
          <w:szCs w:val="22"/>
          <w:lang w:val="lt-LT"/>
        </w:rPr>
        <w:noBreakHyphen/>
        <w:t xml:space="preserve">2 val., o </w:t>
      </w:r>
      <w:proofErr w:type="spellStart"/>
      <w:r w:rsidRPr="00923E74">
        <w:rPr>
          <w:iCs/>
          <w:snapToGrid/>
          <w:szCs w:val="22"/>
          <w:lang w:val="lt-LT"/>
        </w:rPr>
        <w:t>ezetimibo</w:t>
      </w:r>
      <w:proofErr w:type="spellEnd"/>
      <w:r w:rsidRPr="00923E74">
        <w:rPr>
          <w:iCs/>
          <w:snapToGrid/>
          <w:szCs w:val="22"/>
          <w:lang w:val="lt-LT"/>
        </w:rPr>
        <w:t xml:space="preserve"> – per 4</w:t>
      </w:r>
      <w:r w:rsidRPr="00923E74">
        <w:rPr>
          <w:iCs/>
          <w:snapToGrid/>
          <w:szCs w:val="22"/>
          <w:lang w:val="lt-LT"/>
        </w:rPr>
        <w:noBreakHyphen/>
        <w:t xml:space="preserve">12 val. Absoliutaus biologinio </w:t>
      </w:r>
      <w:proofErr w:type="spellStart"/>
      <w:r w:rsidRPr="00923E74">
        <w:rPr>
          <w:iCs/>
          <w:snapToGrid/>
          <w:szCs w:val="22"/>
          <w:lang w:val="lt-LT"/>
        </w:rPr>
        <w:t>ezetimibo</w:t>
      </w:r>
      <w:proofErr w:type="spellEnd"/>
      <w:r w:rsidRPr="00923E74">
        <w:rPr>
          <w:iCs/>
          <w:snapToGrid/>
          <w:szCs w:val="22"/>
          <w:lang w:val="lt-LT"/>
        </w:rPr>
        <w:t xml:space="preserve"> prieinamumo nustatyti neįmanoma, nes </w:t>
      </w:r>
      <w:r w:rsidR="00A41074">
        <w:rPr>
          <w:iCs/>
          <w:snapToGrid/>
          <w:szCs w:val="22"/>
          <w:lang w:val="lt-LT"/>
        </w:rPr>
        <w:t xml:space="preserve">veiklioji </w:t>
      </w:r>
      <w:r w:rsidRPr="00923E74">
        <w:rPr>
          <w:iCs/>
          <w:snapToGrid/>
          <w:szCs w:val="22"/>
          <w:lang w:val="lt-LT"/>
        </w:rPr>
        <w:t>medžiaga praktiškai netirpsta vandeninėse terpėse, tinkamose injekcijoms.</w:t>
      </w:r>
    </w:p>
    <w:p w14:paraId="477A2B37" w14:textId="77777777" w:rsidR="00025BC2" w:rsidRPr="00923E74" w:rsidRDefault="00025BC2" w:rsidP="00025BC2">
      <w:pPr>
        <w:numPr>
          <w:ilvl w:val="12"/>
          <w:numId w:val="0"/>
        </w:numPr>
        <w:spacing w:line="240" w:lineRule="auto"/>
        <w:ind w:right="-2"/>
        <w:rPr>
          <w:iCs/>
          <w:snapToGrid/>
          <w:szCs w:val="22"/>
          <w:lang w:val="lt-LT"/>
        </w:rPr>
      </w:pPr>
    </w:p>
    <w:p w14:paraId="34D8C73B" w14:textId="77777777" w:rsidR="001E1BBB" w:rsidRPr="00923E74" w:rsidRDefault="00025BC2" w:rsidP="00025BC2">
      <w:pPr>
        <w:numPr>
          <w:ilvl w:val="12"/>
          <w:numId w:val="0"/>
        </w:numPr>
        <w:spacing w:line="240" w:lineRule="auto"/>
        <w:ind w:right="-2"/>
        <w:rPr>
          <w:iCs/>
          <w:snapToGrid/>
          <w:szCs w:val="22"/>
          <w:lang w:val="lt-LT"/>
        </w:rPr>
      </w:pPr>
      <w:r w:rsidRPr="00923E74">
        <w:rPr>
          <w:iCs/>
          <w:snapToGrid/>
          <w:szCs w:val="22"/>
          <w:lang w:val="lt-LT"/>
        </w:rPr>
        <w:t xml:space="preserve">Kartu vartojamas maistas (labai riebus ar neriebus) biologinio geriamojo </w:t>
      </w:r>
      <w:proofErr w:type="spellStart"/>
      <w:r w:rsidRPr="00923E74">
        <w:rPr>
          <w:iCs/>
          <w:snapToGrid/>
          <w:szCs w:val="22"/>
          <w:lang w:val="lt-LT"/>
        </w:rPr>
        <w:t>ezetimibo</w:t>
      </w:r>
      <w:proofErr w:type="spellEnd"/>
      <w:r w:rsidRPr="00923E74">
        <w:rPr>
          <w:iCs/>
          <w:snapToGrid/>
          <w:szCs w:val="22"/>
          <w:lang w:val="lt-LT"/>
        </w:rPr>
        <w:t xml:space="preserve"> prieinamumo neveikė (vartotos 10</w:t>
      </w:r>
      <w:r w:rsidR="00DB52C7" w:rsidRPr="00923E74">
        <w:rPr>
          <w:iCs/>
          <w:snapToGrid/>
          <w:szCs w:val="22"/>
          <w:lang w:val="lt-LT"/>
        </w:rPr>
        <w:t> mg</w:t>
      </w:r>
      <w:r w:rsidRPr="00923E74">
        <w:rPr>
          <w:iCs/>
          <w:snapToGrid/>
          <w:szCs w:val="22"/>
          <w:lang w:val="lt-LT"/>
        </w:rPr>
        <w:t xml:space="preserve"> tabletės).</w:t>
      </w:r>
    </w:p>
    <w:p w14:paraId="7B5FEBA3" w14:textId="77777777" w:rsidR="00025BC2" w:rsidRPr="00923E74" w:rsidRDefault="00025BC2" w:rsidP="00025BC2">
      <w:pPr>
        <w:numPr>
          <w:ilvl w:val="12"/>
          <w:numId w:val="0"/>
        </w:numPr>
        <w:spacing w:line="240" w:lineRule="auto"/>
        <w:ind w:right="-2"/>
        <w:rPr>
          <w:iCs/>
          <w:snapToGrid/>
          <w:szCs w:val="22"/>
          <w:lang w:val="lt-LT"/>
        </w:rPr>
      </w:pPr>
    </w:p>
    <w:p w14:paraId="29DFB7D0"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Atorvastatin</w:t>
      </w:r>
      <w:r w:rsidR="00025BC2" w:rsidRPr="00923E74">
        <w:rPr>
          <w:i/>
          <w:iCs/>
          <w:snapToGrid/>
          <w:szCs w:val="22"/>
          <w:lang w:val="lt-LT"/>
        </w:rPr>
        <w:t>as</w:t>
      </w:r>
      <w:proofErr w:type="spellEnd"/>
    </w:p>
    <w:p w14:paraId="069B7A1D" w14:textId="349CB8DC" w:rsidR="001E1BBB" w:rsidRPr="00923E74" w:rsidRDefault="00DA22AB" w:rsidP="001E1BBB">
      <w:pPr>
        <w:numPr>
          <w:ilvl w:val="12"/>
          <w:numId w:val="0"/>
        </w:numPr>
        <w:spacing w:line="240" w:lineRule="auto"/>
        <w:ind w:right="-2"/>
        <w:rPr>
          <w:iCs/>
          <w:snapToGrid/>
          <w:szCs w:val="22"/>
          <w:lang w:val="lt-LT"/>
        </w:rPr>
      </w:pPr>
      <w:r w:rsidRPr="00923E74">
        <w:rPr>
          <w:iCs/>
          <w:snapToGrid/>
          <w:szCs w:val="22"/>
          <w:lang w:val="lt-LT"/>
        </w:rPr>
        <w:t xml:space="preserve">Išgertas </w:t>
      </w:r>
      <w:proofErr w:type="spellStart"/>
      <w:r w:rsidRPr="00923E74">
        <w:rPr>
          <w:iCs/>
          <w:snapToGrid/>
          <w:szCs w:val="22"/>
          <w:lang w:val="lt-LT"/>
        </w:rPr>
        <w:t>atorvastatinas</w:t>
      </w:r>
      <w:proofErr w:type="spellEnd"/>
      <w:r w:rsidRPr="00923E74">
        <w:rPr>
          <w:iCs/>
          <w:snapToGrid/>
          <w:szCs w:val="22"/>
          <w:lang w:val="lt-LT"/>
        </w:rPr>
        <w:t xml:space="preserve"> absorbuojamas greitai, didžiausia koncentracija (</w:t>
      </w:r>
      <w:proofErr w:type="spellStart"/>
      <w:r w:rsidRPr="00923E74">
        <w:rPr>
          <w:iCs/>
          <w:snapToGrid/>
          <w:szCs w:val="22"/>
          <w:lang w:val="lt-LT"/>
        </w:rPr>
        <w:t>C</w:t>
      </w:r>
      <w:r w:rsidRPr="00923E74">
        <w:rPr>
          <w:iCs/>
          <w:snapToGrid/>
          <w:szCs w:val="22"/>
          <w:vertAlign w:val="subscript"/>
          <w:lang w:val="lt-LT"/>
        </w:rPr>
        <w:t>max</w:t>
      </w:r>
      <w:proofErr w:type="spellEnd"/>
      <w:r w:rsidRPr="00923E74">
        <w:rPr>
          <w:iCs/>
          <w:snapToGrid/>
          <w:szCs w:val="22"/>
          <w:lang w:val="lt-LT"/>
        </w:rPr>
        <w:t xml:space="preserve">) kraujo plazmoje </w:t>
      </w:r>
      <w:r w:rsidR="00165588">
        <w:rPr>
          <w:iCs/>
          <w:snapToGrid/>
          <w:szCs w:val="22"/>
          <w:lang w:val="lt-LT"/>
        </w:rPr>
        <w:t>p</w:t>
      </w:r>
      <w:r w:rsidRPr="00923E74">
        <w:rPr>
          <w:iCs/>
          <w:snapToGrid/>
          <w:szCs w:val="22"/>
          <w:lang w:val="lt-LT"/>
        </w:rPr>
        <w:t>asi</w:t>
      </w:r>
      <w:r w:rsidR="00165588">
        <w:rPr>
          <w:iCs/>
          <w:snapToGrid/>
          <w:szCs w:val="22"/>
          <w:lang w:val="lt-LT"/>
        </w:rPr>
        <w:t>eki</w:t>
      </w:r>
      <w:r w:rsidRPr="00923E74">
        <w:rPr>
          <w:iCs/>
          <w:snapToGrid/>
          <w:szCs w:val="22"/>
          <w:lang w:val="lt-LT"/>
        </w:rPr>
        <w:t>a</w:t>
      </w:r>
      <w:r w:rsidR="00165588">
        <w:rPr>
          <w:iCs/>
          <w:snapToGrid/>
          <w:szCs w:val="22"/>
          <w:lang w:val="lt-LT"/>
        </w:rPr>
        <w:t>m</w:t>
      </w:r>
      <w:r w:rsidRPr="00923E74">
        <w:rPr>
          <w:iCs/>
          <w:snapToGrid/>
          <w:szCs w:val="22"/>
          <w:lang w:val="lt-LT"/>
        </w:rPr>
        <w:t>a per 1</w:t>
      </w:r>
      <w:r w:rsidRPr="00923E74">
        <w:rPr>
          <w:iCs/>
          <w:snapToGrid/>
          <w:szCs w:val="22"/>
          <w:lang w:val="lt-LT"/>
        </w:rPr>
        <w:noBreakHyphen/>
        <w:t xml:space="preserve">2 val. Absorbcijos </w:t>
      </w:r>
      <w:r w:rsidR="00165588">
        <w:rPr>
          <w:iCs/>
          <w:snapToGrid/>
          <w:szCs w:val="22"/>
          <w:lang w:val="lt-LT"/>
        </w:rPr>
        <w:t>ap</w:t>
      </w:r>
      <w:r w:rsidRPr="00923E74">
        <w:rPr>
          <w:iCs/>
          <w:snapToGrid/>
          <w:szCs w:val="22"/>
          <w:lang w:val="lt-LT"/>
        </w:rPr>
        <w:t>i</w:t>
      </w:r>
      <w:r w:rsidR="00165588">
        <w:rPr>
          <w:iCs/>
          <w:snapToGrid/>
          <w:szCs w:val="22"/>
          <w:lang w:val="lt-LT"/>
        </w:rPr>
        <w:t>mti</w:t>
      </w:r>
      <w:r w:rsidRPr="00923E74">
        <w:rPr>
          <w:iCs/>
          <w:snapToGrid/>
          <w:szCs w:val="22"/>
          <w:lang w:val="lt-LT"/>
        </w:rPr>
        <w:t xml:space="preserve">s didėja proporcingai </w:t>
      </w:r>
      <w:proofErr w:type="spellStart"/>
      <w:r w:rsidRPr="00923E74">
        <w:rPr>
          <w:iCs/>
          <w:snapToGrid/>
          <w:szCs w:val="22"/>
          <w:lang w:val="lt-LT"/>
        </w:rPr>
        <w:t>atorvastatino</w:t>
      </w:r>
      <w:proofErr w:type="spellEnd"/>
      <w:r w:rsidRPr="00923E74">
        <w:rPr>
          <w:iCs/>
          <w:snapToGrid/>
          <w:szCs w:val="22"/>
          <w:lang w:val="lt-LT"/>
        </w:rPr>
        <w:t xml:space="preserve"> dozei. Išgertų </w:t>
      </w:r>
      <w:proofErr w:type="spellStart"/>
      <w:r w:rsidRPr="00923E74">
        <w:rPr>
          <w:iCs/>
          <w:snapToGrid/>
          <w:szCs w:val="22"/>
          <w:lang w:val="lt-LT"/>
        </w:rPr>
        <w:t>atorvastatino</w:t>
      </w:r>
      <w:proofErr w:type="spellEnd"/>
      <w:r w:rsidRPr="00923E74">
        <w:rPr>
          <w:iCs/>
          <w:snapToGrid/>
          <w:szCs w:val="22"/>
          <w:lang w:val="lt-LT"/>
        </w:rPr>
        <w:t xml:space="preserve"> tablečių biologinis prieinamumas, palyginti su geriamuoju tirpalu, yra 95</w:t>
      </w:r>
      <w:r w:rsidRPr="00923E74">
        <w:rPr>
          <w:iCs/>
          <w:snapToGrid/>
          <w:szCs w:val="22"/>
          <w:lang w:val="lt-LT"/>
        </w:rPr>
        <w:noBreakHyphen/>
        <w:t xml:space="preserve">99 %. Absoliutus biologinis </w:t>
      </w:r>
      <w:proofErr w:type="spellStart"/>
      <w:r w:rsidRPr="00923E74">
        <w:rPr>
          <w:iCs/>
          <w:snapToGrid/>
          <w:szCs w:val="22"/>
          <w:lang w:val="lt-LT"/>
        </w:rPr>
        <w:t>atorvastatino</w:t>
      </w:r>
      <w:proofErr w:type="spellEnd"/>
      <w:r w:rsidRPr="00923E74">
        <w:rPr>
          <w:iCs/>
          <w:snapToGrid/>
          <w:szCs w:val="22"/>
          <w:lang w:val="lt-LT"/>
        </w:rPr>
        <w:t xml:space="preserve"> prieinamumas yra 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12 %, aktyvios HMG</w:t>
      </w:r>
      <w:r w:rsidR="00A41074">
        <w:rPr>
          <w:iCs/>
          <w:snapToGrid/>
          <w:szCs w:val="22"/>
          <w:lang w:val="lt-LT"/>
        </w:rPr>
        <w:noBreakHyphen/>
      </w:r>
      <w:proofErr w:type="spellStart"/>
      <w:r w:rsidRPr="00923E74">
        <w:rPr>
          <w:iCs/>
          <w:snapToGrid/>
          <w:szCs w:val="22"/>
          <w:lang w:val="lt-LT"/>
        </w:rPr>
        <w:t>KoA</w:t>
      </w:r>
      <w:proofErr w:type="spellEnd"/>
      <w:r w:rsidR="00A41074">
        <w:rPr>
          <w:iCs/>
          <w:snapToGrid/>
          <w:szCs w:val="22"/>
          <w:lang w:val="lt-LT"/>
        </w:rPr>
        <w:t> </w:t>
      </w:r>
      <w:r w:rsidRPr="00923E74">
        <w:rPr>
          <w:iCs/>
          <w:snapToGrid/>
          <w:szCs w:val="22"/>
          <w:lang w:val="lt-LT"/>
        </w:rPr>
        <w:t>reduktazės slopinamosios frakcijos sisteminis prieinamumas</w:t>
      </w:r>
      <w:r w:rsidR="00A41074">
        <w:rPr>
          <w:iCs/>
          <w:snapToGrid/>
          <w:szCs w:val="22"/>
          <w:lang w:val="lt-LT"/>
        </w:rPr>
        <w:t xml:space="preserve"> </w:t>
      </w:r>
      <w:r w:rsidRPr="00923E74">
        <w:rPr>
          <w:iCs/>
          <w:snapToGrid/>
          <w:szCs w:val="22"/>
          <w:lang w:val="lt-LT"/>
        </w:rPr>
        <w:t>– 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30 %. Mažą sisteminį biologinį prieinamumą lemia vaistinio preparato klirensas virškinimo trakto gleivinėje ir</w:t>
      </w:r>
      <w:r w:rsidR="00A41074">
        <w:rPr>
          <w:iCs/>
          <w:snapToGrid/>
          <w:szCs w:val="22"/>
          <w:lang w:val="lt-LT"/>
        </w:rPr>
        <w:t> </w:t>
      </w:r>
      <w:r w:rsidRPr="00923E74">
        <w:rPr>
          <w:iCs/>
          <w:snapToGrid/>
          <w:szCs w:val="22"/>
          <w:lang w:val="lt-LT"/>
        </w:rPr>
        <w:t>(arba) kepenyse, prieš jam patenkant į sisteminę kraujotaką.</w:t>
      </w:r>
    </w:p>
    <w:p w14:paraId="15A84BF5" w14:textId="77777777" w:rsidR="00DA22AB" w:rsidRPr="00923E74" w:rsidRDefault="00DA22AB" w:rsidP="001E1BBB">
      <w:pPr>
        <w:numPr>
          <w:ilvl w:val="12"/>
          <w:numId w:val="0"/>
        </w:numPr>
        <w:spacing w:line="240" w:lineRule="auto"/>
        <w:ind w:right="-2"/>
        <w:rPr>
          <w:iCs/>
          <w:snapToGrid/>
          <w:szCs w:val="22"/>
          <w:lang w:val="lt-LT"/>
        </w:rPr>
      </w:pPr>
    </w:p>
    <w:p w14:paraId="7476A9ED" w14:textId="77777777" w:rsidR="001E1BBB" w:rsidRPr="00923E74" w:rsidRDefault="00025BC2" w:rsidP="007E15ED">
      <w:pPr>
        <w:keepNext/>
        <w:numPr>
          <w:ilvl w:val="12"/>
          <w:numId w:val="0"/>
        </w:numPr>
        <w:spacing w:line="240" w:lineRule="auto"/>
        <w:rPr>
          <w:iCs/>
          <w:snapToGrid/>
          <w:szCs w:val="22"/>
          <w:u w:val="single"/>
          <w:lang w:val="lt-LT"/>
        </w:rPr>
      </w:pPr>
      <w:r w:rsidRPr="00923E74">
        <w:rPr>
          <w:iCs/>
          <w:snapToGrid/>
          <w:szCs w:val="22"/>
          <w:u w:val="single"/>
          <w:lang w:val="lt-LT"/>
        </w:rPr>
        <w:t>Pasiskirstymas</w:t>
      </w:r>
    </w:p>
    <w:p w14:paraId="0761E495"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Ezetimib</w:t>
      </w:r>
      <w:r w:rsidR="00025BC2" w:rsidRPr="00923E74">
        <w:rPr>
          <w:i/>
          <w:iCs/>
          <w:snapToGrid/>
          <w:szCs w:val="22"/>
          <w:lang w:val="lt-LT"/>
        </w:rPr>
        <w:t>as</w:t>
      </w:r>
      <w:proofErr w:type="spellEnd"/>
    </w:p>
    <w:p w14:paraId="518AE8CB" w14:textId="77777777" w:rsidR="001E1BBB" w:rsidRPr="00923E74" w:rsidRDefault="0002622C" w:rsidP="001E1BBB">
      <w:pPr>
        <w:numPr>
          <w:ilvl w:val="12"/>
          <w:numId w:val="0"/>
        </w:numPr>
        <w:spacing w:line="240" w:lineRule="auto"/>
        <w:ind w:right="-2"/>
        <w:rPr>
          <w:iCs/>
          <w:snapToGrid/>
          <w:szCs w:val="22"/>
          <w:lang w:val="lt-LT"/>
        </w:rPr>
      </w:pPr>
      <w:r w:rsidRPr="00923E74">
        <w:rPr>
          <w:iCs/>
          <w:snapToGrid/>
          <w:szCs w:val="22"/>
          <w:lang w:val="lt-LT"/>
        </w:rPr>
        <w:t xml:space="preserve">Prie žmogaus plazmos baltymų prisijungia 99,7 % </w:t>
      </w:r>
      <w:proofErr w:type="spellStart"/>
      <w:r w:rsidRPr="00923E74">
        <w:rPr>
          <w:iCs/>
          <w:snapToGrid/>
          <w:szCs w:val="22"/>
          <w:lang w:val="lt-LT"/>
        </w:rPr>
        <w:t>ezetimibo</w:t>
      </w:r>
      <w:proofErr w:type="spellEnd"/>
      <w:r w:rsidRPr="00923E74">
        <w:rPr>
          <w:iCs/>
          <w:snapToGrid/>
          <w:szCs w:val="22"/>
          <w:lang w:val="lt-LT"/>
        </w:rPr>
        <w:t xml:space="preserve"> ir 88</w:t>
      </w:r>
      <w:r w:rsidRPr="00923E74">
        <w:rPr>
          <w:iCs/>
          <w:snapToGrid/>
          <w:szCs w:val="22"/>
          <w:lang w:val="lt-LT"/>
        </w:rPr>
        <w:noBreakHyphen/>
        <w:t xml:space="preserve">92 %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gliukuronido</w:t>
      </w:r>
      <w:proofErr w:type="spellEnd"/>
      <w:r w:rsidRPr="00923E74">
        <w:rPr>
          <w:iCs/>
          <w:snapToGrid/>
          <w:szCs w:val="22"/>
          <w:lang w:val="lt-LT"/>
        </w:rPr>
        <w:t>.</w:t>
      </w:r>
    </w:p>
    <w:p w14:paraId="59118438" w14:textId="77777777" w:rsidR="001E1BBB" w:rsidRPr="00923E74" w:rsidRDefault="001E1BBB" w:rsidP="001E1BBB">
      <w:pPr>
        <w:numPr>
          <w:ilvl w:val="12"/>
          <w:numId w:val="0"/>
        </w:numPr>
        <w:spacing w:line="240" w:lineRule="auto"/>
        <w:ind w:right="-2"/>
        <w:rPr>
          <w:iCs/>
          <w:snapToGrid/>
          <w:szCs w:val="22"/>
          <w:lang w:val="lt-LT"/>
        </w:rPr>
      </w:pPr>
    </w:p>
    <w:p w14:paraId="100A3555"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Atorvastatin</w:t>
      </w:r>
      <w:r w:rsidR="0053213A" w:rsidRPr="00923E74">
        <w:rPr>
          <w:i/>
          <w:iCs/>
          <w:snapToGrid/>
          <w:szCs w:val="22"/>
          <w:lang w:val="lt-LT"/>
        </w:rPr>
        <w:t>as</w:t>
      </w:r>
      <w:proofErr w:type="spellEnd"/>
    </w:p>
    <w:p w14:paraId="72ACC150" w14:textId="79732B4D" w:rsidR="001E1BBB" w:rsidRPr="00923E74" w:rsidRDefault="00E52B35" w:rsidP="001E1BBB">
      <w:pPr>
        <w:numPr>
          <w:ilvl w:val="12"/>
          <w:numId w:val="0"/>
        </w:numPr>
        <w:spacing w:line="240" w:lineRule="auto"/>
        <w:ind w:right="-2"/>
        <w:rPr>
          <w:iCs/>
          <w:snapToGrid/>
          <w:szCs w:val="22"/>
          <w:lang w:val="lt-LT"/>
        </w:rPr>
      </w:pPr>
      <w:r w:rsidRPr="00923E74">
        <w:rPr>
          <w:iCs/>
          <w:snapToGrid/>
          <w:szCs w:val="22"/>
          <w:lang w:val="lt-LT"/>
        </w:rPr>
        <w:t xml:space="preserve">Vidutinis </w:t>
      </w:r>
      <w:proofErr w:type="spellStart"/>
      <w:r w:rsidRPr="00923E74">
        <w:rPr>
          <w:iCs/>
          <w:snapToGrid/>
          <w:szCs w:val="22"/>
          <w:lang w:val="lt-LT"/>
        </w:rPr>
        <w:t>atorvastatino</w:t>
      </w:r>
      <w:proofErr w:type="spellEnd"/>
      <w:r w:rsidRPr="00923E74">
        <w:rPr>
          <w:iCs/>
          <w:snapToGrid/>
          <w:szCs w:val="22"/>
          <w:lang w:val="lt-LT"/>
        </w:rPr>
        <w:t xml:space="preserve"> pasiskirstymo tūris yra 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381 l. Prie kraujo plazmos baltymų jungiasi ≥ 98 % </w:t>
      </w:r>
      <w:proofErr w:type="spellStart"/>
      <w:r w:rsidRPr="00923E74">
        <w:rPr>
          <w:iCs/>
          <w:snapToGrid/>
          <w:szCs w:val="22"/>
          <w:lang w:val="lt-LT"/>
        </w:rPr>
        <w:t>atorvastatino</w:t>
      </w:r>
      <w:proofErr w:type="spellEnd"/>
      <w:r w:rsidRPr="00923E74">
        <w:rPr>
          <w:iCs/>
          <w:snapToGrid/>
          <w:szCs w:val="22"/>
          <w:lang w:val="lt-LT"/>
        </w:rPr>
        <w:t>.</w:t>
      </w:r>
    </w:p>
    <w:p w14:paraId="6881062F" w14:textId="77777777" w:rsidR="001E1BBB" w:rsidRPr="00923E74" w:rsidRDefault="001E1BBB" w:rsidP="001E1BBB">
      <w:pPr>
        <w:numPr>
          <w:ilvl w:val="12"/>
          <w:numId w:val="0"/>
        </w:numPr>
        <w:spacing w:line="240" w:lineRule="auto"/>
        <w:ind w:right="-2"/>
        <w:rPr>
          <w:iCs/>
          <w:snapToGrid/>
          <w:szCs w:val="22"/>
          <w:lang w:val="lt-LT"/>
        </w:rPr>
      </w:pPr>
    </w:p>
    <w:p w14:paraId="38D7171C" w14:textId="77777777" w:rsidR="001E1BBB" w:rsidRPr="00923E74" w:rsidRDefault="001E1BBB" w:rsidP="007E15ED">
      <w:pPr>
        <w:keepNext/>
        <w:numPr>
          <w:ilvl w:val="12"/>
          <w:numId w:val="0"/>
        </w:numPr>
        <w:spacing w:line="240" w:lineRule="auto"/>
        <w:rPr>
          <w:iCs/>
          <w:snapToGrid/>
          <w:szCs w:val="22"/>
          <w:u w:val="single"/>
          <w:lang w:val="lt-LT"/>
        </w:rPr>
      </w:pPr>
      <w:proofErr w:type="spellStart"/>
      <w:r w:rsidRPr="00923E74">
        <w:rPr>
          <w:iCs/>
          <w:snapToGrid/>
          <w:szCs w:val="22"/>
          <w:u w:val="single"/>
          <w:lang w:val="lt-LT"/>
        </w:rPr>
        <w:lastRenderedPageBreak/>
        <w:t>Biotransforma</w:t>
      </w:r>
      <w:r w:rsidR="0053213A" w:rsidRPr="00923E74">
        <w:rPr>
          <w:iCs/>
          <w:snapToGrid/>
          <w:szCs w:val="22"/>
          <w:u w:val="single"/>
          <w:lang w:val="lt-LT"/>
        </w:rPr>
        <w:t>cija</w:t>
      </w:r>
      <w:proofErr w:type="spellEnd"/>
    </w:p>
    <w:p w14:paraId="2E9E6570" w14:textId="77777777" w:rsidR="001E1BBB" w:rsidRPr="00923E74" w:rsidRDefault="0053213A" w:rsidP="007E15ED">
      <w:pPr>
        <w:keepNext/>
        <w:numPr>
          <w:ilvl w:val="12"/>
          <w:numId w:val="0"/>
        </w:numPr>
        <w:spacing w:line="240" w:lineRule="auto"/>
        <w:rPr>
          <w:i/>
          <w:iCs/>
          <w:snapToGrid/>
          <w:szCs w:val="22"/>
          <w:lang w:val="lt-LT"/>
        </w:rPr>
      </w:pPr>
      <w:proofErr w:type="spellStart"/>
      <w:r w:rsidRPr="00923E74">
        <w:rPr>
          <w:i/>
          <w:iCs/>
          <w:snapToGrid/>
          <w:szCs w:val="22"/>
          <w:lang w:val="lt-LT"/>
        </w:rPr>
        <w:t>Ezetimibas</w:t>
      </w:r>
      <w:proofErr w:type="spellEnd"/>
    </w:p>
    <w:p w14:paraId="0DA6527B" w14:textId="06730BDA" w:rsidR="001E1BBB" w:rsidRPr="00923E74" w:rsidRDefault="00722B17" w:rsidP="001E1BBB">
      <w:pPr>
        <w:numPr>
          <w:ilvl w:val="12"/>
          <w:numId w:val="0"/>
        </w:numPr>
        <w:spacing w:line="240" w:lineRule="auto"/>
        <w:ind w:right="-2"/>
        <w:rPr>
          <w:iCs/>
          <w:snapToGrid/>
          <w:szCs w:val="22"/>
          <w:lang w:val="lt-LT"/>
        </w:rPr>
      </w:pPr>
      <w:proofErr w:type="spellStart"/>
      <w:r w:rsidRPr="00923E74">
        <w:rPr>
          <w:iCs/>
          <w:snapToGrid/>
          <w:szCs w:val="22"/>
          <w:lang w:val="lt-LT"/>
        </w:rPr>
        <w:t>Ezetimibas</w:t>
      </w:r>
      <w:proofErr w:type="spellEnd"/>
      <w:r w:rsidRPr="00923E74">
        <w:rPr>
          <w:iCs/>
          <w:snapToGrid/>
          <w:szCs w:val="22"/>
          <w:lang w:val="lt-LT"/>
        </w:rPr>
        <w:t xml:space="preserve"> daugiausia</w:t>
      </w:r>
      <w:r w:rsidR="00A41074">
        <w:rPr>
          <w:iCs/>
          <w:snapToGrid/>
          <w:szCs w:val="22"/>
          <w:lang w:val="lt-LT"/>
        </w:rPr>
        <w:t>i</w:t>
      </w:r>
      <w:r w:rsidRPr="00923E74">
        <w:rPr>
          <w:iCs/>
          <w:snapToGrid/>
          <w:szCs w:val="22"/>
          <w:lang w:val="lt-LT"/>
        </w:rPr>
        <w:t xml:space="preserve"> </w:t>
      </w:r>
      <w:proofErr w:type="spellStart"/>
      <w:r w:rsidRPr="00923E74">
        <w:rPr>
          <w:iCs/>
          <w:snapToGrid/>
          <w:szCs w:val="22"/>
          <w:lang w:val="lt-LT"/>
        </w:rPr>
        <w:t>metabolizuojamas</w:t>
      </w:r>
      <w:proofErr w:type="spellEnd"/>
      <w:r w:rsidRPr="00923E74">
        <w:rPr>
          <w:iCs/>
          <w:snapToGrid/>
          <w:szCs w:val="22"/>
          <w:lang w:val="lt-LT"/>
        </w:rPr>
        <w:t xml:space="preserve"> plonajame žarnyne bei kepenyse (vyksta </w:t>
      </w:r>
      <w:proofErr w:type="spellStart"/>
      <w:r w:rsidRPr="00923E74">
        <w:rPr>
          <w:iCs/>
          <w:snapToGrid/>
          <w:szCs w:val="22"/>
          <w:lang w:val="lt-LT"/>
        </w:rPr>
        <w:t>konjugacija</w:t>
      </w:r>
      <w:proofErr w:type="spellEnd"/>
      <w:r w:rsidRPr="00923E74">
        <w:rPr>
          <w:iCs/>
          <w:snapToGrid/>
          <w:szCs w:val="22"/>
          <w:lang w:val="lt-LT"/>
        </w:rPr>
        <w:t xml:space="preserve"> su </w:t>
      </w:r>
      <w:proofErr w:type="spellStart"/>
      <w:r w:rsidRPr="00923E74">
        <w:rPr>
          <w:iCs/>
          <w:snapToGrid/>
          <w:szCs w:val="22"/>
          <w:lang w:val="lt-LT"/>
        </w:rPr>
        <w:t>gliukuronidu</w:t>
      </w:r>
      <w:proofErr w:type="spellEnd"/>
      <w:r w:rsidRPr="00923E74">
        <w:rPr>
          <w:iCs/>
          <w:snapToGrid/>
          <w:szCs w:val="22"/>
          <w:lang w:val="lt-LT"/>
        </w:rPr>
        <w:t>, t.</w:t>
      </w:r>
      <w:r w:rsidR="00A41074">
        <w:rPr>
          <w:iCs/>
          <w:snapToGrid/>
          <w:szCs w:val="22"/>
          <w:lang w:val="lt-LT"/>
        </w:rPr>
        <w:t> </w:t>
      </w:r>
      <w:r w:rsidRPr="00923E74">
        <w:rPr>
          <w:iCs/>
          <w:snapToGrid/>
          <w:szCs w:val="22"/>
          <w:lang w:val="lt-LT"/>
        </w:rPr>
        <w:t>y. II</w:t>
      </w:r>
      <w:r w:rsidR="00A41074">
        <w:rPr>
          <w:iCs/>
          <w:snapToGrid/>
          <w:szCs w:val="22"/>
          <w:lang w:val="lt-LT"/>
        </w:rPr>
        <w:t> </w:t>
      </w:r>
      <w:r w:rsidRPr="00923E74">
        <w:rPr>
          <w:iCs/>
          <w:snapToGrid/>
          <w:szCs w:val="22"/>
          <w:lang w:val="lt-LT"/>
        </w:rPr>
        <w:t>fazės reakcija) ir po to išsiskiria į tulžį. Visų tirtų rūšių gyvūnams oksidacinis metabolizmas (I</w:t>
      </w:r>
      <w:r w:rsidR="00A41074">
        <w:rPr>
          <w:iCs/>
          <w:snapToGrid/>
          <w:szCs w:val="22"/>
          <w:lang w:val="lt-LT"/>
        </w:rPr>
        <w:t> </w:t>
      </w:r>
      <w:r w:rsidRPr="00923E74">
        <w:rPr>
          <w:iCs/>
          <w:snapToGrid/>
          <w:szCs w:val="22"/>
          <w:lang w:val="lt-LT"/>
        </w:rPr>
        <w:t xml:space="preserve">fazės reakcija) buvo minimalus. </w:t>
      </w:r>
      <w:proofErr w:type="spellStart"/>
      <w:r w:rsidRPr="00923E74">
        <w:rPr>
          <w:iCs/>
          <w:snapToGrid/>
          <w:szCs w:val="22"/>
          <w:lang w:val="lt-LT"/>
        </w:rPr>
        <w:t>Ezetimibas</w:t>
      </w:r>
      <w:proofErr w:type="spellEnd"/>
      <w:r w:rsidRPr="00923E74">
        <w:rPr>
          <w:iCs/>
          <w:snapToGrid/>
          <w:szCs w:val="22"/>
          <w:lang w:val="lt-LT"/>
        </w:rPr>
        <w:t xml:space="preserve"> ir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gliukuronidas</w:t>
      </w:r>
      <w:proofErr w:type="spellEnd"/>
      <w:r w:rsidRPr="00923E74">
        <w:rPr>
          <w:iCs/>
          <w:snapToGrid/>
          <w:szCs w:val="22"/>
          <w:lang w:val="lt-LT"/>
        </w:rPr>
        <w:t xml:space="preserve"> yra svarbiausios su vaistiniu preparatu susijusios medžiagos, aptinkamos kraujo plazmoje: jų būna atitinkamai 10</w:t>
      </w:r>
      <w:r w:rsidRPr="00923E74">
        <w:rPr>
          <w:iCs/>
          <w:snapToGrid/>
          <w:szCs w:val="22"/>
          <w:lang w:val="lt-LT"/>
        </w:rPr>
        <w:noBreakHyphen/>
        <w:t>20 % ir 80</w:t>
      </w:r>
      <w:r w:rsidRPr="00923E74">
        <w:rPr>
          <w:iCs/>
          <w:snapToGrid/>
          <w:szCs w:val="22"/>
          <w:lang w:val="lt-LT"/>
        </w:rPr>
        <w:noBreakHyphen/>
        <w:t xml:space="preserve">90 % viso kraujo plazmoje būnančio vaistinio preparato kiekio. Ir </w:t>
      </w:r>
      <w:proofErr w:type="spellStart"/>
      <w:r w:rsidRPr="00923E74">
        <w:rPr>
          <w:iCs/>
          <w:snapToGrid/>
          <w:szCs w:val="22"/>
          <w:lang w:val="lt-LT"/>
        </w:rPr>
        <w:t>ezetimibas</w:t>
      </w:r>
      <w:proofErr w:type="spellEnd"/>
      <w:r w:rsidRPr="00923E74">
        <w:rPr>
          <w:iCs/>
          <w:snapToGrid/>
          <w:szCs w:val="22"/>
          <w:lang w:val="lt-LT"/>
        </w:rPr>
        <w:t xml:space="preserve">, ir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gliukuronidas</w:t>
      </w:r>
      <w:proofErr w:type="spellEnd"/>
      <w:r w:rsidRPr="00923E74">
        <w:rPr>
          <w:iCs/>
          <w:snapToGrid/>
          <w:szCs w:val="22"/>
          <w:lang w:val="lt-LT"/>
        </w:rPr>
        <w:t xml:space="preserve"> lėtai pasišalina iš kraujo plazmos (pasireiškia reikšminga </w:t>
      </w:r>
      <w:proofErr w:type="spellStart"/>
      <w:r w:rsidRPr="00923E74">
        <w:rPr>
          <w:iCs/>
          <w:snapToGrid/>
          <w:szCs w:val="22"/>
          <w:lang w:val="lt-LT"/>
        </w:rPr>
        <w:t>enterohepatinė</w:t>
      </w:r>
      <w:proofErr w:type="spellEnd"/>
      <w:r w:rsidRPr="00923E74">
        <w:rPr>
          <w:iCs/>
          <w:snapToGrid/>
          <w:szCs w:val="22"/>
          <w:lang w:val="lt-LT"/>
        </w:rPr>
        <w:t xml:space="preserve"> cirkuliacija). </w:t>
      </w:r>
      <w:proofErr w:type="spellStart"/>
      <w:r w:rsidRPr="00923E74">
        <w:rPr>
          <w:iCs/>
          <w:snapToGrid/>
          <w:szCs w:val="22"/>
          <w:lang w:val="lt-LT"/>
        </w:rPr>
        <w:t>Ezetimibo</w:t>
      </w:r>
      <w:proofErr w:type="spellEnd"/>
      <w:r w:rsidRPr="00923E74">
        <w:rPr>
          <w:iCs/>
          <w:snapToGrid/>
          <w:szCs w:val="22"/>
          <w:lang w:val="lt-LT"/>
        </w:rPr>
        <w:t xml:space="preserve"> ir </w:t>
      </w:r>
      <w:proofErr w:type="spellStart"/>
      <w:r w:rsidRPr="00923E74">
        <w:rPr>
          <w:iCs/>
          <w:snapToGrid/>
          <w:szCs w:val="22"/>
          <w:lang w:val="lt-LT"/>
        </w:rPr>
        <w:t>ezetimibo</w:t>
      </w:r>
      <w:proofErr w:type="spellEnd"/>
      <w:r w:rsidRPr="00923E74">
        <w:rPr>
          <w:iCs/>
          <w:snapToGrid/>
          <w:szCs w:val="22"/>
          <w:lang w:val="lt-LT"/>
        </w:rPr>
        <w:t xml:space="preserve"> </w:t>
      </w:r>
      <w:proofErr w:type="spellStart"/>
      <w:r w:rsidRPr="00923E74">
        <w:rPr>
          <w:iCs/>
          <w:snapToGrid/>
          <w:szCs w:val="22"/>
          <w:lang w:val="lt-LT"/>
        </w:rPr>
        <w:t>gliukuronido</w:t>
      </w:r>
      <w:proofErr w:type="spellEnd"/>
      <w:r w:rsidRPr="00923E74">
        <w:rPr>
          <w:iCs/>
          <w:snapToGrid/>
          <w:szCs w:val="22"/>
          <w:lang w:val="lt-LT"/>
        </w:rPr>
        <w:t xml:space="preserve"> pusinės eliminacijos laikas yra 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22 valandos.</w:t>
      </w:r>
    </w:p>
    <w:p w14:paraId="40B6F587" w14:textId="77777777" w:rsidR="00722B17" w:rsidRPr="00923E74" w:rsidRDefault="00722B17" w:rsidP="001E1BBB">
      <w:pPr>
        <w:numPr>
          <w:ilvl w:val="12"/>
          <w:numId w:val="0"/>
        </w:numPr>
        <w:spacing w:line="240" w:lineRule="auto"/>
        <w:ind w:right="-2"/>
        <w:rPr>
          <w:iCs/>
          <w:snapToGrid/>
          <w:szCs w:val="22"/>
          <w:lang w:val="lt-LT"/>
        </w:rPr>
      </w:pPr>
    </w:p>
    <w:p w14:paraId="45F60267"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Atorvastatin</w:t>
      </w:r>
      <w:r w:rsidR="0053213A" w:rsidRPr="00923E74">
        <w:rPr>
          <w:i/>
          <w:iCs/>
          <w:snapToGrid/>
          <w:szCs w:val="22"/>
          <w:lang w:val="lt-LT"/>
        </w:rPr>
        <w:t>as</w:t>
      </w:r>
      <w:proofErr w:type="spellEnd"/>
    </w:p>
    <w:p w14:paraId="09C6F267" w14:textId="75FD6D93" w:rsidR="001E1BBB" w:rsidRPr="00923E74" w:rsidRDefault="00770797" w:rsidP="001E1BBB">
      <w:pPr>
        <w:numPr>
          <w:ilvl w:val="12"/>
          <w:numId w:val="0"/>
        </w:numPr>
        <w:spacing w:line="240" w:lineRule="auto"/>
        <w:ind w:right="-2"/>
        <w:rPr>
          <w:iCs/>
          <w:snapToGrid/>
          <w:szCs w:val="22"/>
          <w:lang w:val="lt-LT"/>
        </w:rPr>
      </w:pPr>
      <w:proofErr w:type="spellStart"/>
      <w:r w:rsidRPr="00923E74">
        <w:rPr>
          <w:iCs/>
          <w:snapToGrid/>
          <w:szCs w:val="22"/>
          <w:lang w:val="lt-LT"/>
        </w:rPr>
        <w:t>Atorvastatiną</w:t>
      </w:r>
      <w:proofErr w:type="spellEnd"/>
      <w:r w:rsidRPr="00923E74">
        <w:rPr>
          <w:iCs/>
          <w:snapToGrid/>
          <w:szCs w:val="22"/>
          <w:lang w:val="lt-LT"/>
        </w:rPr>
        <w:t xml:space="preserve"> į </w:t>
      </w:r>
      <w:proofErr w:type="spellStart"/>
      <w:r w:rsidRPr="00923E74">
        <w:rPr>
          <w:iCs/>
          <w:snapToGrid/>
          <w:szCs w:val="22"/>
          <w:lang w:val="lt-LT"/>
        </w:rPr>
        <w:t>ortohidroksilintus</w:t>
      </w:r>
      <w:proofErr w:type="spellEnd"/>
      <w:r w:rsidRPr="00923E74">
        <w:rPr>
          <w:iCs/>
          <w:snapToGrid/>
          <w:szCs w:val="22"/>
          <w:lang w:val="lt-LT"/>
        </w:rPr>
        <w:t xml:space="preserve"> ir </w:t>
      </w:r>
      <w:proofErr w:type="spellStart"/>
      <w:r w:rsidRPr="00923E74">
        <w:rPr>
          <w:iCs/>
          <w:snapToGrid/>
          <w:szCs w:val="22"/>
          <w:lang w:val="lt-LT"/>
        </w:rPr>
        <w:t>parahidroksilintus</w:t>
      </w:r>
      <w:proofErr w:type="spellEnd"/>
      <w:r w:rsidRPr="00923E74">
        <w:rPr>
          <w:iCs/>
          <w:snapToGrid/>
          <w:szCs w:val="22"/>
          <w:lang w:val="lt-LT"/>
        </w:rPr>
        <w:t xml:space="preserve"> darinius bei įvairius beta</w:t>
      </w:r>
      <w:r w:rsidR="00A41074">
        <w:rPr>
          <w:iCs/>
          <w:snapToGrid/>
          <w:szCs w:val="22"/>
          <w:lang w:val="lt-LT"/>
        </w:rPr>
        <w:t> </w:t>
      </w:r>
      <w:r w:rsidRPr="00923E74">
        <w:rPr>
          <w:iCs/>
          <w:snapToGrid/>
          <w:szCs w:val="22"/>
          <w:lang w:val="lt-LT"/>
        </w:rPr>
        <w:t xml:space="preserve">oksidacijos produktus </w:t>
      </w:r>
      <w:proofErr w:type="spellStart"/>
      <w:r w:rsidRPr="00923E74">
        <w:rPr>
          <w:iCs/>
          <w:snapToGrid/>
          <w:szCs w:val="22"/>
          <w:lang w:val="lt-LT"/>
        </w:rPr>
        <w:t>metabolizuoja</w:t>
      </w:r>
      <w:proofErr w:type="spellEnd"/>
      <w:r w:rsidRPr="00923E74">
        <w:rPr>
          <w:iCs/>
          <w:snapToGrid/>
          <w:szCs w:val="22"/>
          <w:lang w:val="lt-LT"/>
        </w:rPr>
        <w:t xml:space="preserve"> </w:t>
      </w:r>
      <w:proofErr w:type="spellStart"/>
      <w:r w:rsidRPr="00923E74">
        <w:rPr>
          <w:iCs/>
          <w:snapToGrid/>
          <w:szCs w:val="22"/>
          <w:lang w:val="lt-LT"/>
        </w:rPr>
        <w:t>citochromo</w:t>
      </w:r>
      <w:proofErr w:type="spellEnd"/>
      <w:r w:rsidR="00A41074">
        <w:rPr>
          <w:iCs/>
          <w:snapToGrid/>
          <w:szCs w:val="22"/>
          <w:lang w:val="lt-LT"/>
        </w:rPr>
        <w:t> </w:t>
      </w:r>
      <w:r w:rsidRPr="00923E74">
        <w:rPr>
          <w:iCs/>
          <w:snapToGrid/>
          <w:szCs w:val="22"/>
          <w:lang w:val="lt-LT"/>
        </w:rPr>
        <w:t>P450</w:t>
      </w:r>
      <w:r w:rsidR="00A41074">
        <w:rPr>
          <w:iCs/>
          <w:snapToGrid/>
          <w:szCs w:val="22"/>
          <w:lang w:val="lt-LT"/>
        </w:rPr>
        <w:t> </w:t>
      </w:r>
      <w:r w:rsidRPr="00923E74">
        <w:rPr>
          <w:iCs/>
          <w:snapToGrid/>
          <w:szCs w:val="22"/>
          <w:lang w:val="lt-LT"/>
        </w:rPr>
        <w:t xml:space="preserve">3A4 fermentai. Be kitų </w:t>
      </w:r>
      <w:proofErr w:type="spellStart"/>
      <w:r w:rsidRPr="00923E74">
        <w:rPr>
          <w:iCs/>
          <w:snapToGrid/>
          <w:szCs w:val="22"/>
          <w:lang w:val="lt-LT"/>
        </w:rPr>
        <w:t>metaboizmo</w:t>
      </w:r>
      <w:proofErr w:type="spellEnd"/>
      <w:r w:rsidRPr="00923E74">
        <w:rPr>
          <w:iCs/>
          <w:snapToGrid/>
          <w:szCs w:val="22"/>
          <w:lang w:val="lt-LT"/>
        </w:rPr>
        <w:t xml:space="preserve"> būdų, šios medžiagos yra toliau </w:t>
      </w:r>
      <w:proofErr w:type="spellStart"/>
      <w:r w:rsidRPr="00923E74">
        <w:rPr>
          <w:iCs/>
          <w:snapToGrid/>
          <w:szCs w:val="22"/>
          <w:lang w:val="lt-LT"/>
        </w:rPr>
        <w:t>metabolizuojamos</w:t>
      </w:r>
      <w:proofErr w:type="spellEnd"/>
      <w:r w:rsidRPr="00923E74">
        <w:rPr>
          <w:iCs/>
          <w:snapToGrid/>
          <w:szCs w:val="22"/>
          <w:lang w:val="lt-LT"/>
        </w:rPr>
        <w:t xml:space="preserve"> </w:t>
      </w:r>
      <w:proofErr w:type="spellStart"/>
      <w:r w:rsidRPr="00923E74">
        <w:rPr>
          <w:iCs/>
          <w:snapToGrid/>
          <w:szCs w:val="22"/>
          <w:lang w:val="lt-LT"/>
        </w:rPr>
        <w:t>gliukuronizuojant</w:t>
      </w:r>
      <w:proofErr w:type="spellEnd"/>
      <w:r w:rsidRPr="00923E74">
        <w:rPr>
          <w:iCs/>
          <w:snapToGrid/>
          <w:szCs w:val="22"/>
          <w:lang w:val="lt-LT"/>
        </w:rPr>
        <w:t xml:space="preserve">. </w:t>
      </w:r>
      <w:proofErr w:type="spellStart"/>
      <w:r w:rsidRPr="00923E74">
        <w:rPr>
          <w:i/>
          <w:iCs/>
          <w:snapToGrid/>
          <w:szCs w:val="22"/>
          <w:lang w:val="lt-LT"/>
        </w:rPr>
        <w:t>In</w:t>
      </w:r>
      <w:proofErr w:type="spellEnd"/>
      <w:r w:rsidR="00A41074">
        <w:rPr>
          <w:i/>
          <w:iCs/>
          <w:snapToGrid/>
          <w:szCs w:val="22"/>
          <w:lang w:val="lt-LT"/>
        </w:rPr>
        <w:t> </w:t>
      </w:r>
      <w:proofErr w:type="spellStart"/>
      <w:r w:rsidRPr="00923E74">
        <w:rPr>
          <w:i/>
          <w:iCs/>
          <w:snapToGrid/>
          <w:szCs w:val="22"/>
          <w:lang w:val="lt-LT"/>
        </w:rPr>
        <w:t>vitr</w:t>
      </w:r>
      <w:r w:rsidRPr="00923E74">
        <w:rPr>
          <w:iCs/>
          <w:snapToGrid/>
          <w:szCs w:val="22"/>
          <w:lang w:val="lt-LT"/>
        </w:rPr>
        <w:t>o</w:t>
      </w:r>
      <w:proofErr w:type="spellEnd"/>
      <w:r w:rsidRPr="00923E74">
        <w:rPr>
          <w:iCs/>
          <w:snapToGrid/>
          <w:szCs w:val="22"/>
          <w:lang w:val="lt-LT"/>
        </w:rPr>
        <w:t xml:space="preserve"> </w:t>
      </w:r>
      <w:proofErr w:type="spellStart"/>
      <w:r w:rsidRPr="00923E74">
        <w:rPr>
          <w:iCs/>
          <w:snapToGrid/>
          <w:szCs w:val="22"/>
          <w:lang w:val="lt-LT"/>
        </w:rPr>
        <w:t>ortohidroksilinti</w:t>
      </w:r>
      <w:proofErr w:type="spellEnd"/>
      <w:r w:rsidRPr="00923E74">
        <w:rPr>
          <w:iCs/>
          <w:snapToGrid/>
          <w:szCs w:val="22"/>
          <w:lang w:val="lt-LT"/>
        </w:rPr>
        <w:t xml:space="preserve"> ir </w:t>
      </w:r>
      <w:proofErr w:type="spellStart"/>
      <w:r w:rsidRPr="00923E74">
        <w:rPr>
          <w:iCs/>
          <w:snapToGrid/>
          <w:szCs w:val="22"/>
          <w:lang w:val="lt-LT"/>
        </w:rPr>
        <w:t>parahidroksilinti</w:t>
      </w:r>
      <w:proofErr w:type="spellEnd"/>
      <w:r w:rsidRPr="00923E74">
        <w:rPr>
          <w:iCs/>
          <w:snapToGrid/>
          <w:szCs w:val="22"/>
          <w:lang w:val="lt-LT"/>
        </w:rPr>
        <w:t xml:space="preserve"> metabolitai HMG</w:t>
      </w:r>
      <w:r w:rsidR="00A41074">
        <w:rPr>
          <w:iCs/>
          <w:snapToGrid/>
          <w:szCs w:val="22"/>
          <w:lang w:val="lt-LT"/>
        </w:rPr>
        <w:noBreakHyphen/>
      </w:r>
      <w:proofErr w:type="spellStart"/>
      <w:r w:rsidRPr="00923E74">
        <w:rPr>
          <w:iCs/>
          <w:snapToGrid/>
          <w:szCs w:val="22"/>
          <w:lang w:val="lt-LT"/>
        </w:rPr>
        <w:t>KoA</w:t>
      </w:r>
      <w:proofErr w:type="spellEnd"/>
      <w:r w:rsidR="00A41074">
        <w:rPr>
          <w:iCs/>
          <w:snapToGrid/>
          <w:szCs w:val="22"/>
          <w:lang w:val="lt-LT"/>
        </w:rPr>
        <w:t> </w:t>
      </w:r>
      <w:r w:rsidRPr="00923E74">
        <w:rPr>
          <w:iCs/>
          <w:snapToGrid/>
          <w:szCs w:val="22"/>
          <w:lang w:val="lt-LT"/>
        </w:rPr>
        <w:t xml:space="preserve">reduktazės aktyvumą slopina taip pat kaip </w:t>
      </w:r>
      <w:proofErr w:type="spellStart"/>
      <w:r w:rsidRPr="00923E74">
        <w:rPr>
          <w:iCs/>
          <w:snapToGrid/>
          <w:szCs w:val="22"/>
          <w:lang w:val="lt-LT"/>
        </w:rPr>
        <w:t>atorvastatinas</w:t>
      </w:r>
      <w:proofErr w:type="spellEnd"/>
      <w:r w:rsidRPr="00923E74">
        <w:rPr>
          <w:iCs/>
          <w:snapToGrid/>
          <w:szCs w:val="22"/>
          <w:lang w:val="lt-LT"/>
        </w:rPr>
        <w:t xml:space="preserve">. </w:t>
      </w:r>
      <w:r w:rsidR="00A41074" w:rsidRPr="00923E74">
        <w:rPr>
          <w:iCs/>
          <w:snapToGrid/>
          <w:szCs w:val="22"/>
          <w:lang w:val="lt-LT"/>
        </w:rPr>
        <w:t>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70 % HMG</w:t>
      </w:r>
      <w:r w:rsidR="00A41074">
        <w:rPr>
          <w:iCs/>
          <w:snapToGrid/>
          <w:szCs w:val="22"/>
          <w:lang w:val="lt-LT"/>
        </w:rPr>
        <w:noBreakHyphen/>
      </w:r>
      <w:proofErr w:type="spellStart"/>
      <w:r w:rsidRPr="00923E74">
        <w:rPr>
          <w:iCs/>
          <w:snapToGrid/>
          <w:szCs w:val="22"/>
          <w:lang w:val="lt-LT"/>
        </w:rPr>
        <w:t>KoA</w:t>
      </w:r>
      <w:proofErr w:type="spellEnd"/>
      <w:r w:rsidR="00A41074">
        <w:rPr>
          <w:iCs/>
          <w:snapToGrid/>
          <w:szCs w:val="22"/>
          <w:lang w:val="lt-LT"/>
        </w:rPr>
        <w:t> </w:t>
      </w:r>
      <w:r w:rsidRPr="00923E74">
        <w:rPr>
          <w:iCs/>
          <w:snapToGrid/>
          <w:szCs w:val="22"/>
          <w:lang w:val="lt-LT"/>
        </w:rPr>
        <w:t>reduktazės slopinamojo aktyvumo priklauso nuo aktyviųjų metabolitų.</w:t>
      </w:r>
    </w:p>
    <w:p w14:paraId="304E09BF" w14:textId="77777777" w:rsidR="00770797" w:rsidRPr="00923E74" w:rsidRDefault="00770797" w:rsidP="001E1BBB">
      <w:pPr>
        <w:numPr>
          <w:ilvl w:val="12"/>
          <w:numId w:val="0"/>
        </w:numPr>
        <w:spacing w:line="240" w:lineRule="auto"/>
        <w:ind w:right="-2"/>
        <w:rPr>
          <w:iCs/>
          <w:snapToGrid/>
          <w:szCs w:val="22"/>
          <w:lang w:val="lt-LT"/>
        </w:rPr>
      </w:pPr>
    </w:p>
    <w:p w14:paraId="3CD8C44C" w14:textId="77777777" w:rsidR="001E1BBB" w:rsidRPr="00923E74" w:rsidRDefault="001E1BBB" w:rsidP="007E15ED">
      <w:pPr>
        <w:keepNext/>
        <w:numPr>
          <w:ilvl w:val="12"/>
          <w:numId w:val="0"/>
        </w:numPr>
        <w:spacing w:line="240" w:lineRule="auto"/>
        <w:rPr>
          <w:iCs/>
          <w:snapToGrid/>
          <w:szCs w:val="22"/>
          <w:u w:val="single"/>
          <w:lang w:val="lt-LT"/>
        </w:rPr>
      </w:pPr>
      <w:r w:rsidRPr="00923E74">
        <w:rPr>
          <w:iCs/>
          <w:snapToGrid/>
          <w:szCs w:val="22"/>
          <w:u w:val="single"/>
          <w:lang w:val="lt-LT"/>
        </w:rPr>
        <w:t>Elimina</w:t>
      </w:r>
      <w:r w:rsidR="00CA56B0" w:rsidRPr="00923E74">
        <w:rPr>
          <w:iCs/>
          <w:snapToGrid/>
          <w:szCs w:val="22"/>
          <w:u w:val="single"/>
          <w:lang w:val="lt-LT"/>
        </w:rPr>
        <w:t>cija</w:t>
      </w:r>
    </w:p>
    <w:p w14:paraId="62EF5E44"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Ezetimib</w:t>
      </w:r>
      <w:r w:rsidR="00CA56B0" w:rsidRPr="00923E74">
        <w:rPr>
          <w:i/>
          <w:iCs/>
          <w:snapToGrid/>
          <w:szCs w:val="22"/>
          <w:lang w:val="lt-LT"/>
        </w:rPr>
        <w:t>as</w:t>
      </w:r>
      <w:proofErr w:type="spellEnd"/>
    </w:p>
    <w:p w14:paraId="14003B8F" w14:textId="201338B6" w:rsidR="004409D3" w:rsidRPr="00923E74" w:rsidRDefault="004409D3" w:rsidP="004409D3">
      <w:pPr>
        <w:widowControl w:val="0"/>
        <w:spacing w:line="240" w:lineRule="auto"/>
        <w:rPr>
          <w:snapToGrid/>
          <w:szCs w:val="22"/>
          <w:lang w:val="lt-LT" w:eastAsia="sl-SI"/>
        </w:rPr>
      </w:pPr>
      <w:r w:rsidRPr="00923E74">
        <w:rPr>
          <w:snapToGrid/>
          <w:szCs w:val="22"/>
          <w:lang w:val="lt-LT" w:eastAsia="sl-SI"/>
        </w:rPr>
        <w:t>Žmonėms išgėrus 20</w:t>
      </w:r>
      <w:r w:rsidR="00DB52C7" w:rsidRPr="00923E74">
        <w:rPr>
          <w:snapToGrid/>
          <w:szCs w:val="22"/>
          <w:lang w:val="lt-LT" w:eastAsia="sl-SI"/>
        </w:rPr>
        <w:t> mg</w:t>
      </w:r>
      <w:r w:rsidRPr="007E15ED">
        <w:rPr>
          <w:snapToGrid/>
          <w:szCs w:val="22"/>
          <w:lang w:val="lt-LT" w:eastAsia="sl-SI"/>
        </w:rPr>
        <w:t xml:space="preserve"> </w:t>
      </w:r>
      <w:r w:rsidRPr="00923E74">
        <w:rPr>
          <w:snapToGrid/>
          <w:szCs w:val="22"/>
          <w:vertAlign w:val="superscript"/>
          <w:lang w:val="lt-LT" w:eastAsia="sl-SI"/>
        </w:rPr>
        <w:t>14</w:t>
      </w:r>
      <w:r w:rsidRPr="00923E74">
        <w:rPr>
          <w:snapToGrid/>
          <w:szCs w:val="22"/>
          <w:lang w:val="lt-LT" w:eastAsia="sl-SI"/>
        </w:rPr>
        <w:t>C</w:t>
      </w:r>
      <w:r w:rsidR="00A41074">
        <w:rPr>
          <w:snapToGrid/>
          <w:szCs w:val="22"/>
          <w:lang w:val="lt-LT" w:eastAsia="sl-SI"/>
        </w:rPr>
        <w:t> </w:t>
      </w:r>
      <w:r w:rsidRPr="00923E74">
        <w:rPr>
          <w:snapToGrid/>
          <w:szCs w:val="22"/>
          <w:lang w:val="lt-LT" w:eastAsia="sl-SI"/>
        </w:rPr>
        <w:t xml:space="preserve">pažymėto </w:t>
      </w:r>
      <w:proofErr w:type="spellStart"/>
      <w:r w:rsidRPr="00923E74">
        <w:rPr>
          <w:snapToGrid/>
          <w:szCs w:val="22"/>
          <w:lang w:val="lt-LT" w:eastAsia="sl-SI"/>
        </w:rPr>
        <w:t>ezetimibo</w:t>
      </w:r>
      <w:proofErr w:type="spellEnd"/>
      <w:r w:rsidRPr="00923E74">
        <w:rPr>
          <w:snapToGrid/>
          <w:szCs w:val="22"/>
          <w:lang w:val="lt-LT" w:eastAsia="sl-SI"/>
        </w:rPr>
        <w:t xml:space="preserve">, bendrasis </w:t>
      </w:r>
      <w:proofErr w:type="spellStart"/>
      <w:r w:rsidRPr="00923E74">
        <w:rPr>
          <w:snapToGrid/>
          <w:szCs w:val="22"/>
          <w:lang w:val="lt-LT" w:eastAsia="sl-SI"/>
        </w:rPr>
        <w:t>ezetimibas</w:t>
      </w:r>
      <w:proofErr w:type="spellEnd"/>
      <w:r w:rsidRPr="00923E74">
        <w:rPr>
          <w:snapToGrid/>
          <w:szCs w:val="22"/>
          <w:lang w:val="lt-LT" w:eastAsia="sl-SI"/>
        </w:rPr>
        <w:t xml:space="preserve"> sudarė a</w:t>
      </w:r>
      <w:r w:rsidR="00A41074">
        <w:rPr>
          <w:snapToGrid/>
          <w:szCs w:val="22"/>
          <w:lang w:val="lt-LT" w:eastAsia="sl-SI"/>
        </w:rPr>
        <w:t>pytiksli</w:t>
      </w:r>
      <w:r w:rsidRPr="00923E74">
        <w:rPr>
          <w:snapToGrid/>
          <w:szCs w:val="22"/>
          <w:lang w:val="lt-LT" w:eastAsia="sl-SI"/>
        </w:rPr>
        <w:t>a</w:t>
      </w:r>
      <w:r w:rsidR="00A41074">
        <w:rPr>
          <w:snapToGrid/>
          <w:szCs w:val="22"/>
          <w:lang w:val="lt-LT" w:eastAsia="sl-SI"/>
        </w:rPr>
        <w:t>i</w:t>
      </w:r>
      <w:r w:rsidRPr="00923E74">
        <w:rPr>
          <w:snapToGrid/>
          <w:szCs w:val="22"/>
          <w:lang w:val="lt-LT" w:eastAsia="sl-SI"/>
        </w:rPr>
        <w:t xml:space="preserve"> 93 % bendrojo radioaktyvumo kraujo plazmoje. </w:t>
      </w:r>
      <w:r w:rsidR="00A41074" w:rsidRPr="00923E74">
        <w:rPr>
          <w:snapToGrid/>
          <w:szCs w:val="22"/>
          <w:lang w:val="lt-LT" w:eastAsia="sl-SI"/>
        </w:rPr>
        <w:t>A</w:t>
      </w:r>
      <w:r w:rsidR="00A41074">
        <w:rPr>
          <w:snapToGrid/>
          <w:szCs w:val="22"/>
          <w:lang w:val="lt-LT" w:eastAsia="sl-SI"/>
        </w:rPr>
        <w:t>pytiksli</w:t>
      </w:r>
      <w:r w:rsidRPr="00923E74">
        <w:rPr>
          <w:snapToGrid/>
          <w:szCs w:val="22"/>
          <w:lang w:val="lt-LT" w:eastAsia="sl-SI"/>
        </w:rPr>
        <w:t>a</w:t>
      </w:r>
      <w:r w:rsidR="00A41074">
        <w:rPr>
          <w:snapToGrid/>
          <w:szCs w:val="22"/>
          <w:lang w:val="lt-LT" w:eastAsia="sl-SI"/>
        </w:rPr>
        <w:t>i</w:t>
      </w:r>
      <w:r w:rsidRPr="00923E74">
        <w:rPr>
          <w:snapToGrid/>
          <w:szCs w:val="22"/>
          <w:lang w:val="lt-LT" w:eastAsia="sl-SI"/>
        </w:rPr>
        <w:t xml:space="preserve"> 78 % ir 11 % pavartoto radioaktyvumo nustatyta atitinkamai išmatose ir šlapime (jie rinkti 10 parų). Po 48 val. kraujo plazmoje radioaktyvumo nenustatyta.</w:t>
      </w:r>
    </w:p>
    <w:p w14:paraId="67F9A328" w14:textId="77777777" w:rsidR="001E1BBB" w:rsidRPr="00923E74" w:rsidRDefault="001E1BBB" w:rsidP="001E1BBB">
      <w:pPr>
        <w:numPr>
          <w:ilvl w:val="12"/>
          <w:numId w:val="0"/>
        </w:numPr>
        <w:spacing w:line="240" w:lineRule="auto"/>
        <w:ind w:right="-2"/>
        <w:rPr>
          <w:iCs/>
          <w:snapToGrid/>
          <w:szCs w:val="22"/>
          <w:lang w:val="lt-LT"/>
        </w:rPr>
      </w:pPr>
    </w:p>
    <w:p w14:paraId="6EF516EF" w14:textId="77777777" w:rsidR="001E1BBB" w:rsidRPr="00923E74" w:rsidRDefault="001E1BBB" w:rsidP="007E15ED">
      <w:pPr>
        <w:keepNext/>
        <w:numPr>
          <w:ilvl w:val="12"/>
          <w:numId w:val="0"/>
        </w:numPr>
        <w:spacing w:line="240" w:lineRule="auto"/>
        <w:rPr>
          <w:i/>
          <w:iCs/>
          <w:snapToGrid/>
          <w:szCs w:val="22"/>
          <w:lang w:val="lt-LT"/>
        </w:rPr>
      </w:pPr>
      <w:proofErr w:type="spellStart"/>
      <w:r w:rsidRPr="00923E74">
        <w:rPr>
          <w:i/>
          <w:iCs/>
          <w:snapToGrid/>
          <w:szCs w:val="22"/>
          <w:lang w:val="lt-LT"/>
        </w:rPr>
        <w:t>Atorvastatin</w:t>
      </w:r>
      <w:r w:rsidR="00120467" w:rsidRPr="00923E74">
        <w:rPr>
          <w:i/>
          <w:iCs/>
          <w:snapToGrid/>
          <w:szCs w:val="22"/>
          <w:lang w:val="lt-LT"/>
        </w:rPr>
        <w:t>as</w:t>
      </w:r>
      <w:proofErr w:type="spellEnd"/>
    </w:p>
    <w:p w14:paraId="4B7DD41F" w14:textId="090CCDB0" w:rsidR="000E3F8E" w:rsidRPr="00923E74" w:rsidRDefault="000E3F8E" w:rsidP="000E3F8E">
      <w:pPr>
        <w:numPr>
          <w:ilvl w:val="12"/>
          <w:numId w:val="0"/>
        </w:numPr>
        <w:spacing w:line="240" w:lineRule="auto"/>
        <w:ind w:right="-2"/>
        <w:rPr>
          <w:iCs/>
          <w:snapToGrid/>
          <w:szCs w:val="22"/>
          <w:lang w:val="lt-LT"/>
        </w:rPr>
      </w:pPr>
      <w:proofErr w:type="spellStart"/>
      <w:r w:rsidRPr="00923E74">
        <w:rPr>
          <w:iCs/>
          <w:snapToGrid/>
          <w:szCs w:val="22"/>
          <w:lang w:val="lt-LT"/>
        </w:rPr>
        <w:t>Atorvastatinas</w:t>
      </w:r>
      <w:proofErr w:type="spellEnd"/>
      <w:r w:rsidRPr="00923E74">
        <w:rPr>
          <w:iCs/>
          <w:snapToGrid/>
          <w:szCs w:val="22"/>
          <w:lang w:val="lt-LT"/>
        </w:rPr>
        <w:t xml:space="preserve"> yra </w:t>
      </w:r>
      <w:r w:rsidR="00A41074">
        <w:rPr>
          <w:iCs/>
          <w:snapToGrid/>
          <w:szCs w:val="22"/>
          <w:lang w:val="lt-LT"/>
        </w:rPr>
        <w:t>k</w:t>
      </w:r>
      <w:r w:rsidRPr="00923E74">
        <w:rPr>
          <w:iCs/>
          <w:snapToGrid/>
          <w:szCs w:val="22"/>
          <w:lang w:val="lt-LT"/>
        </w:rPr>
        <w:t>ep</w:t>
      </w:r>
      <w:r w:rsidR="00A41074">
        <w:rPr>
          <w:iCs/>
          <w:snapToGrid/>
          <w:szCs w:val="22"/>
          <w:lang w:val="lt-LT"/>
        </w:rPr>
        <w:t>e</w:t>
      </w:r>
      <w:r w:rsidRPr="00923E74">
        <w:rPr>
          <w:iCs/>
          <w:snapToGrid/>
          <w:szCs w:val="22"/>
          <w:lang w:val="lt-LT"/>
        </w:rPr>
        <w:t xml:space="preserve">nų </w:t>
      </w:r>
      <w:proofErr w:type="spellStart"/>
      <w:r w:rsidRPr="00923E74">
        <w:rPr>
          <w:iCs/>
          <w:snapToGrid/>
          <w:szCs w:val="22"/>
          <w:lang w:val="lt-LT"/>
        </w:rPr>
        <w:t>pernešiklių</w:t>
      </w:r>
      <w:proofErr w:type="spellEnd"/>
      <w:r w:rsidRPr="00923E74">
        <w:rPr>
          <w:iCs/>
          <w:snapToGrid/>
          <w:szCs w:val="22"/>
          <w:lang w:val="lt-LT"/>
        </w:rPr>
        <w:t xml:space="preserve"> substratas, organinių anijonų pernašos </w:t>
      </w:r>
      <w:proofErr w:type="spellStart"/>
      <w:r w:rsidRPr="00923E74">
        <w:rPr>
          <w:iCs/>
          <w:snapToGrid/>
          <w:szCs w:val="22"/>
          <w:lang w:val="lt-LT"/>
        </w:rPr>
        <w:t>polipeptidų</w:t>
      </w:r>
      <w:proofErr w:type="spellEnd"/>
      <w:r w:rsidR="00A41074">
        <w:rPr>
          <w:iCs/>
          <w:snapToGrid/>
          <w:szCs w:val="22"/>
          <w:lang w:val="lt-LT"/>
        </w:rPr>
        <w:t> </w:t>
      </w:r>
      <w:r w:rsidRPr="00923E74">
        <w:rPr>
          <w:iCs/>
          <w:snapToGrid/>
          <w:szCs w:val="22"/>
          <w:lang w:val="lt-LT"/>
        </w:rPr>
        <w:t>1B1</w:t>
      </w:r>
      <w:r w:rsidR="00A41074">
        <w:rPr>
          <w:iCs/>
          <w:snapToGrid/>
          <w:szCs w:val="22"/>
          <w:lang w:val="lt-LT"/>
        </w:rPr>
        <w:t> </w:t>
      </w:r>
      <w:r w:rsidRPr="00923E74">
        <w:rPr>
          <w:iCs/>
          <w:snapToGrid/>
          <w:szCs w:val="22"/>
          <w:lang w:val="lt-LT"/>
        </w:rPr>
        <w:t>(OATP1B1) ir 1B3</w:t>
      </w:r>
      <w:r w:rsidR="00A41074">
        <w:rPr>
          <w:iCs/>
          <w:snapToGrid/>
          <w:szCs w:val="22"/>
          <w:lang w:val="lt-LT"/>
        </w:rPr>
        <w:t> </w:t>
      </w:r>
      <w:r w:rsidRPr="00923E74">
        <w:rPr>
          <w:iCs/>
          <w:snapToGrid/>
          <w:szCs w:val="22"/>
          <w:lang w:val="lt-LT"/>
        </w:rPr>
        <w:t xml:space="preserve">(OATP1B3) </w:t>
      </w:r>
      <w:proofErr w:type="spellStart"/>
      <w:r w:rsidRPr="00923E74">
        <w:rPr>
          <w:iCs/>
          <w:snapToGrid/>
          <w:szCs w:val="22"/>
          <w:lang w:val="lt-LT"/>
        </w:rPr>
        <w:t>pernešiklis</w:t>
      </w:r>
      <w:proofErr w:type="spellEnd"/>
      <w:r w:rsidRPr="00923E74">
        <w:rPr>
          <w:iCs/>
          <w:snapToGrid/>
          <w:szCs w:val="22"/>
          <w:lang w:val="lt-LT"/>
        </w:rPr>
        <w:t xml:space="preserve">. </w:t>
      </w:r>
      <w:proofErr w:type="spellStart"/>
      <w:r w:rsidRPr="00923E74">
        <w:rPr>
          <w:iCs/>
          <w:snapToGrid/>
          <w:szCs w:val="22"/>
          <w:lang w:val="lt-LT"/>
        </w:rPr>
        <w:t>Atorvastatino</w:t>
      </w:r>
      <w:proofErr w:type="spellEnd"/>
      <w:r w:rsidRPr="00923E74">
        <w:rPr>
          <w:iCs/>
          <w:snapToGrid/>
          <w:szCs w:val="22"/>
          <w:lang w:val="lt-LT"/>
        </w:rPr>
        <w:t xml:space="preserve"> metabolitai yra OATP1B1</w:t>
      </w:r>
      <w:r w:rsidR="00A41074">
        <w:rPr>
          <w:iCs/>
          <w:snapToGrid/>
          <w:szCs w:val="22"/>
          <w:lang w:val="lt-LT"/>
        </w:rPr>
        <w:t> </w:t>
      </w:r>
      <w:r w:rsidRPr="00923E74">
        <w:rPr>
          <w:iCs/>
          <w:snapToGrid/>
          <w:szCs w:val="22"/>
          <w:lang w:val="lt-LT"/>
        </w:rPr>
        <w:t xml:space="preserve">substratai. </w:t>
      </w:r>
      <w:r w:rsidR="00DC484A" w:rsidRPr="00923E74">
        <w:rPr>
          <w:snapToGrid/>
          <w:szCs w:val="22"/>
          <w:lang w:val="lt-LT"/>
        </w:rPr>
        <w:t xml:space="preserve">Taip pat nustatyta, kad </w:t>
      </w:r>
      <w:proofErr w:type="spellStart"/>
      <w:r w:rsidR="00DC484A" w:rsidRPr="00923E74">
        <w:rPr>
          <w:snapToGrid/>
          <w:szCs w:val="22"/>
          <w:lang w:val="lt-LT"/>
        </w:rPr>
        <w:t>atorvastatinas</w:t>
      </w:r>
      <w:proofErr w:type="spellEnd"/>
      <w:r w:rsidR="00DC484A" w:rsidRPr="00923E74">
        <w:rPr>
          <w:snapToGrid/>
          <w:szCs w:val="22"/>
          <w:lang w:val="lt-LT"/>
        </w:rPr>
        <w:t xml:space="preserve"> yra </w:t>
      </w:r>
      <w:proofErr w:type="spellStart"/>
      <w:r w:rsidR="00F2211A">
        <w:rPr>
          <w:snapToGrid/>
          <w:szCs w:val="22"/>
          <w:lang w:val="lt-LT"/>
        </w:rPr>
        <w:t>efliukso</w:t>
      </w:r>
      <w:proofErr w:type="spellEnd"/>
      <w:r w:rsidR="00F2211A">
        <w:rPr>
          <w:snapToGrid/>
          <w:szCs w:val="22"/>
          <w:lang w:val="lt-LT"/>
        </w:rPr>
        <w:t xml:space="preserve"> nešiklių P</w:t>
      </w:r>
      <w:r w:rsidR="00F2211A">
        <w:rPr>
          <w:snapToGrid/>
          <w:szCs w:val="22"/>
          <w:lang w:val="lt-LT"/>
        </w:rPr>
        <w:noBreakHyphen/>
      </w:r>
      <w:proofErr w:type="spellStart"/>
      <w:r w:rsidR="00F2211A">
        <w:rPr>
          <w:snapToGrid/>
          <w:szCs w:val="22"/>
          <w:lang w:val="lt-LT"/>
        </w:rPr>
        <w:t>glikoproteino</w:t>
      </w:r>
      <w:proofErr w:type="spellEnd"/>
      <w:r w:rsidR="00F2211A">
        <w:rPr>
          <w:snapToGrid/>
          <w:szCs w:val="22"/>
          <w:lang w:val="lt-LT"/>
        </w:rPr>
        <w:t xml:space="preserve"> (</w:t>
      </w:r>
      <w:r w:rsidR="00F2211A" w:rsidRPr="007A11B7">
        <w:rPr>
          <w:lang w:val="lt-LT"/>
        </w:rPr>
        <w:t>P</w:t>
      </w:r>
      <w:r w:rsidR="00F2211A" w:rsidRPr="007A11B7">
        <w:rPr>
          <w:lang w:val="lt-LT"/>
        </w:rPr>
        <w:noBreakHyphen/>
      </w:r>
      <w:proofErr w:type="spellStart"/>
      <w:r w:rsidR="00F2211A">
        <w:rPr>
          <w:lang w:val="lt-LT"/>
        </w:rPr>
        <w:t>gp</w:t>
      </w:r>
      <w:proofErr w:type="spellEnd"/>
      <w:r w:rsidR="00F2211A">
        <w:rPr>
          <w:lang w:val="lt-LT"/>
        </w:rPr>
        <w:t>)</w:t>
      </w:r>
      <w:r w:rsidR="00DC484A" w:rsidRPr="00923E74">
        <w:rPr>
          <w:snapToGrid/>
          <w:szCs w:val="22"/>
          <w:lang w:val="lt-LT"/>
        </w:rPr>
        <w:t xml:space="preserve"> ir krūties vėžio atsparumo baltymo (BCRP) substratas, todėl gali sumažėti </w:t>
      </w:r>
      <w:proofErr w:type="spellStart"/>
      <w:r w:rsidR="00DC484A" w:rsidRPr="00923E74">
        <w:rPr>
          <w:snapToGrid/>
          <w:szCs w:val="22"/>
          <w:lang w:val="lt-LT"/>
        </w:rPr>
        <w:t>atorvastatino</w:t>
      </w:r>
      <w:proofErr w:type="spellEnd"/>
      <w:r w:rsidR="00DC484A" w:rsidRPr="00923E74">
        <w:rPr>
          <w:snapToGrid/>
          <w:szCs w:val="22"/>
          <w:lang w:val="lt-LT"/>
        </w:rPr>
        <w:t xml:space="preserve"> absorbcija žarn</w:t>
      </w:r>
      <w:r w:rsidR="00E22CA2">
        <w:rPr>
          <w:snapToGrid/>
          <w:szCs w:val="22"/>
          <w:lang w:val="lt-LT"/>
        </w:rPr>
        <w:t>yn</w:t>
      </w:r>
      <w:r w:rsidR="00DC484A" w:rsidRPr="00923E74">
        <w:rPr>
          <w:snapToGrid/>
          <w:szCs w:val="22"/>
          <w:lang w:val="lt-LT"/>
        </w:rPr>
        <w:t>e ir klirensas per tulžį</w:t>
      </w:r>
      <w:r w:rsidRPr="00923E74">
        <w:rPr>
          <w:iCs/>
          <w:snapToGrid/>
          <w:szCs w:val="22"/>
          <w:lang w:val="lt-LT"/>
        </w:rPr>
        <w:t>.</w:t>
      </w:r>
      <w:r w:rsidR="00DC484A" w:rsidRPr="00923E74">
        <w:rPr>
          <w:iCs/>
          <w:snapToGrid/>
          <w:szCs w:val="22"/>
          <w:lang w:val="lt-LT"/>
        </w:rPr>
        <w:t xml:space="preserve"> </w:t>
      </w:r>
      <w:r w:rsidRPr="00923E74">
        <w:rPr>
          <w:iCs/>
          <w:snapToGrid/>
          <w:szCs w:val="22"/>
          <w:lang w:val="lt-LT"/>
        </w:rPr>
        <w:t>Kepenyse ir</w:t>
      </w:r>
      <w:r w:rsidR="00A41074">
        <w:rPr>
          <w:iCs/>
          <w:snapToGrid/>
          <w:szCs w:val="22"/>
          <w:lang w:val="lt-LT"/>
        </w:rPr>
        <w:t> </w:t>
      </w:r>
      <w:r w:rsidRPr="00923E74">
        <w:rPr>
          <w:iCs/>
          <w:snapToGrid/>
          <w:szCs w:val="22"/>
          <w:lang w:val="lt-LT"/>
        </w:rPr>
        <w:t xml:space="preserve">(arba) ne kepenyse </w:t>
      </w:r>
      <w:proofErr w:type="spellStart"/>
      <w:r w:rsidRPr="00923E74">
        <w:rPr>
          <w:iCs/>
          <w:snapToGrid/>
          <w:szCs w:val="22"/>
          <w:lang w:val="lt-LT"/>
        </w:rPr>
        <w:t>metabolizuotas</w:t>
      </w:r>
      <w:proofErr w:type="spellEnd"/>
      <w:r w:rsidRPr="00923E74">
        <w:rPr>
          <w:iCs/>
          <w:snapToGrid/>
          <w:szCs w:val="22"/>
          <w:lang w:val="lt-LT"/>
        </w:rPr>
        <w:t xml:space="preserve"> </w:t>
      </w:r>
      <w:proofErr w:type="spellStart"/>
      <w:r w:rsidRPr="00923E74">
        <w:rPr>
          <w:iCs/>
          <w:snapToGrid/>
          <w:szCs w:val="22"/>
          <w:lang w:val="lt-LT"/>
        </w:rPr>
        <w:t>atorvastatinas</w:t>
      </w:r>
      <w:proofErr w:type="spellEnd"/>
      <w:r w:rsidRPr="00923E74">
        <w:rPr>
          <w:iCs/>
          <w:snapToGrid/>
          <w:szCs w:val="22"/>
          <w:lang w:val="lt-LT"/>
        </w:rPr>
        <w:t xml:space="preserve"> eliminuojamas daugiausiai su tulžimi, tačiau </w:t>
      </w:r>
      <w:r w:rsidR="00DC484A" w:rsidRPr="00923E74">
        <w:rPr>
          <w:iCs/>
          <w:snapToGrid/>
          <w:szCs w:val="22"/>
          <w:lang w:val="lt-LT"/>
        </w:rPr>
        <w:t>reikšming</w:t>
      </w:r>
      <w:r w:rsidR="00A41074">
        <w:rPr>
          <w:iCs/>
          <w:snapToGrid/>
          <w:szCs w:val="22"/>
          <w:lang w:val="lt-LT"/>
        </w:rPr>
        <w:t>a</w:t>
      </w:r>
      <w:r w:rsidR="00DC484A" w:rsidRPr="00923E74">
        <w:rPr>
          <w:iCs/>
          <w:snapToGrid/>
          <w:szCs w:val="22"/>
          <w:lang w:val="lt-LT"/>
        </w:rPr>
        <w:t xml:space="preserve"> </w:t>
      </w:r>
      <w:proofErr w:type="spellStart"/>
      <w:r w:rsidR="00DC484A" w:rsidRPr="00923E74">
        <w:rPr>
          <w:iCs/>
          <w:snapToGrid/>
          <w:szCs w:val="22"/>
          <w:lang w:val="lt-LT"/>
        </w:rPr>
        <w:t>enterohepatinė</w:t>
      </w:r>
      <w:proofErr w:type="spellEnd"/>
      <w:r w:rsidR="00DC484A" w:rsidRPr="00923E74">
        <w:rPr>
          <w:iCs/>
          <w:snapToGrid/>
          <w:szCs w:val="22"/>
          <w:lang w:val="lt-LT"/>
        </w:rPr>
        <w:t xml:space="preserve"> cirkuliacij</w:t>
      </w:r>
      <w:r w:rsidR="00A41074">
        <w:rPr>
          <w:iCs/>
          <w:snapToGrid/>
          <w:szCs w:val="22"/>
          <w:lang w:val="lt-LT"/>
        </w:rPr>
        <w:t>a</w:t>
      </w:r>
      <w:r w:rsidR="00DC484A" w:rsidRPr="00923E74">
        <w:rPr>
          <w:iCs/>
          <w:snapToGrid/>
          <w:szCs w:val="22"/>
          <w:lang w:val="lt-LT"/>
        </w:rPr>
        <w:t xml:space="preserve"> nevyksta</w:t>
      </w:r>
      <w:r w:rsidRPr="00923E74">
        <w:rPr>
          <w:iCs/>
          <w:snapToGrid/>
          <w:szCs w:val="22"/>
          <w:lang w:val="lt-LT"/>
        </w:rPr>
        <w:t xml:space="preserve">. Vidutinis </w:t>
      </w:r>
      <w:proofErr w:type="spellStart"/>
      <w:r w:rsidRPr="00923E74">
        <w:rPr>
          <w:iCs/>
          <w:snapToGrid/>
          <w:szCs w:val="22"/>
          <w:lang w:val="lt-LT"/>
        </w:rPr>
        <w:t>atorvastatino</w:t>
      </w:r>
      <w:proofErr w:type="spellEnd"/>
      <w:r w:rsidRPr="00923E74">
        <w:rPr>
          <w:iCs/>
          <w:snapToGrid/>
          <w:szCs w:val="22"/>
          <w:lang w:val="lt-LT"/>
        </w:rPr>
        <w:t xml:space="preserve"> pusinės eliminacijos laikas </w:t>
      </w:r>
      <w:r w:rsidR="00DC484A" w:rsidRPr="00923E74">
        <w:rPr>
          <w:iCs/>
          <w:snapToGrid/>
          <w:szCs w:val="22"/>
          <w:lang w:val="lt-LT"/>
        </w:rPr>
        <w:t xml:space="preserve">žmogaus </w:t>
      </w:r>
      <w:r w:rsidRPr="00923E74">
        <w:rPr>
          <w:iCs/>
          <w:snapToGrid/>
          <w:szCs w:val="22"/>
          <w:lang w:val="lt-LT"/>
        </w:rPr>
        <w:t>kraujo plazmoje yra a</w:t>
      </w:r>
      <w:r w:rsidR="00A41074">
        <w:rPr>
          <w:iCs/>
          <w:snapToGrid/>
          <w:szCs w:val="22"/>
          <w:lang w:val="lt-LT"/>
        </w:rPr>
        <w:t>pytiksli</w:t>
      </w:r>
      <w:r w:rsidRPr="00923E74">
        <w:rPr>
          <w:iCs/>
          <w:snapToGrid/>
          <w:szCs w:val="22"/>
          <w:lang w:val="lt-LT"/>
        </w:rPr>
        <w:t>a</w:t>
      </w:r>
      <w:r w:rsidR="00A41074">
        <w:rPr>
          <w:iCs/>
          <w:snapToGrid/>
          <w:szCs w:val="22"/>
          <w:lang w:val="lt-LT"/>
        </w:rPr>
        <w:t>i</w:t>
      </w:r>
      <w:r w:rsidRPr="00923E74">
        <w:rPr>
          <w:iCs/>
          <w:snapToGrid/>
          <w:szCs w:val="22"/>
          <w:lang w:val="lt-LT"/>
        </w:rPr>
        <w:t xml:space="preserve"> 14</w:t>
      </w:r>
      <w:r w:rsidR="00DC484A" w:rsidRPr="00923E74">
        <w:rPr>
          <w:iCs/>
          <w:snapToGrid/>
          <w:szCs w:val="22"/>
          <w:lang w:val="lt-LT"/>
        </w:rPr>
        <w:t> </w:t>
      </w:r>
      <w:r w:rsidRPr="00923E74">
        <w:rPr>
          <w:iCs/>
          <w:snapToGrid/>
          <w:szCs w:val="22"/>
          <w:lang w:val="lt-LT"/>
        </w:rPr>
        <w:t>val. Pusinis HMG</w:t>
      </w:r>
      <w:r w:rsidR="00A41074">
        <w:rPr>
          <w:iCs/>
          <w:snapToGrid/>
          <w:szCs w:val="22"/>
          <w:lang w:val="lt-LT"/>
        </w:rPr>
        <w:noBreakHyphen/>
      </w:r>
      <w:proofErr w:type="spellStart"/>
      <w:r w:rsidRPr="00923E74">
        <w:rPr>
          <w:iCs/>
          <w:snapToGrid/>
          <w:szCs w:val="22"/>
          <w:lang w:val="lt-LT"/>
        </w:rPr>
        <w:t>KoA</w:t>
      </w:r>
      <w:proofErr w:type="spellEnd"/>
      <w:r w:rsidR="00A41074">
        <w:rPr>
          <w:iCs/>
          <w:snapToGrid/>
          <w:szCs w:val="22"/>
          <w:lang w:val="lt-LT"/>
        </w:rPr>
        <w:t> </w:t>
      </w:r>
      <w:r w:rsidRPr="00923E74">
        <w:rPr>
          <w:iCs/>
          <w:snapToGrid/>
          <w:szCs w:val="22"/>
          <w:lang w:val="lt-LT"/>
        </w:rPr>
        <w:t xml:space="preserve">reduktazę slopinančio aktyvumo laikas yra </w:t>
      </w:r>
      <w:r w:rsidR="00DC484A" w:rsidRPr="00923E74">
        <w:rPr>
          <w:iCs/>
          <w:snapToGrid/>
          <w:szCs w:val="22"/>
          <w:lang w:val="lt-LT"/>
        </w:rPr>
        <w:t>a</w:t>
      </w:r>
      <w:r w:rsidR="00A41074">
        <w:rPr>
          <w:iCs/>
          <w:snapToGrid/>
          <w:szCs w:val="22"/>
          <w:lang w:val="lt-LT"/>
        </w:rPr>
        <w:t>pytiksli</w:t>
      </w:r>
      <w:r w:rsidR="00DC484A" w:rsidRPr="00923E74">
        <w:rPr>
          <w:iCs/>
          <w:snapToGrid/>
          <w:szCs w:val="22"/>
          <w:lang w:val="lt-LT"/>
        </w:rPr>
        <w:t>a</w:t>
      </w:r>
      <w:r w:rsidR="00A41074">
        <w:rPr>
          <w:iCs/>
          <w:snapToGrid/>
          <w:szCs w:val="22"/>
          <w:lang w:val="lt-LT"/>
        </w:rPr>
        <w:t>i</w:t>
      </w:r>
      <w:r w:rsidR="00DC484A" w:rsidRPr="00923E74">
        <w:rPr>
          <w:iCs/>
          <w:snapToGrid/>
          <w:szCs w:val="22"/>
          <w:lang w:val="lt-LT"/>
        </w:rPr>
        <w:t xml:space="preserve"> </w:t>
      </w:r>
      <w:r w:rsidRPr="00923E74">
        <w:rPr>
          <w:iCs/>
          <w:snapToGrid/>
          <w:szCs w:val="22"/>
          <w:lang w:val="lt-LT"/>
        </w:rPr>
        <w:t>20</w:t>
      </w:r>
      <w:r w:rsidR="00DC484A" w:rsidRPr="00923E74">
        <w:rPr>
          <w:iCs/>
          <w:snapToGrid/>
          <w:szCs w:val="22"/>
          <w:lang w:val="lt-LT"/>
        </w:rPr>
        <w:noBreakHyphen/>
        <w:t>30 </w:t>
      </w:r>
      <w:r w:rsidRPr="00923E74">
        <w:rPr>
          <w:iCs/>
          <w:snapToGrid/>
          <w:szCs w:val="22"/>
          <w:lang w:val="lt-LT"/>
        </w:rPr>
        <w:t xml:space="preserve">val., </w:t>
      </w:r>
      <w:r w:rsidR="00DC484A" w:rsidRPr="00923E74">
        <w:rPr>
          <w:iCs/>
          <w:snapToGrid/>
          <w:szCs w:val="22"/>
          <w:lang w:val="lt-LT"/>
        </w:rPr>
        <w:t>tai</w:t>
      </w:r>
      <w:r w:rsidRPr="00923E74">
        <w:rPr>
          <w:iCs/>
          <w:snapToGrid/>
          <w:szCs w:val="22"/>
          <w:lang w:val="lt-LT"/>
        </w:rPr>
        <w:t xml:space="preserve"> priklauso nuo aktyviųjų metabolitų.</w:t>
      </w:r>
    </w:p>
    <w:p w14:paraId="353F887F" w14:textId="77777777" w:rsidR="001E1BBB" w:rsidRPr="00923E74" w:rsidRDefault="001E1BBB" w:rsidP="000E3F8E">
      <w:pPr>
        <w:numPr>
          <w:ilvl w:val="12"/>
          <w:numId w:val="0"/>
        </w:numPr>
        <w:spacing w:line="240" w:lineRule="auto"/>
        <w:ind w:right="-2"/>
        <w:rPr>
          <w:iCs/>
          <w:snapToGrid/>
          <w:szCs w:val="22"/>
          <w:lang w:val="lt-LT"/>
        </w:rPr>
      </w:pPr>
    </w:p>
    <w:p w14:paraId="616444CE" w14:textId="77777777" w:rsidR="001E1BBB" w:rsidRPr="007E15ED" w:rsidRDefault="000E3F8E" w:rsidP="007E15ED">
      <w:pPr>
        <w:keepNext/>
        <w:tabs>
          <w:tab w:val="clear" w:pos="567"/>
        </w:tabs>
        <w:autoSpaceDE w:val="0"/>
        <w:autoSpaceDN w:val="0"/>
        <w:adjustRightInd w:val="0"/>
        <w:spacing w:line="240" w:lineRule="auto"/>
        <w:rPr>
          <w:i/>
          <w:snapToGrid/>
          <w:color w:val="000000"/>
          <w:szCs w:val="22"/>
          <w:u w:val="single"/>
          <w:lang w:val="lt-LT" w:eastAsia="de-DE"/>
        </w:rPr>
      </w:pPr>
      <w:r w:rsidRPr="007E15ED">
        <w:rPr>
          <w:i/>
          <w:snapToGrid/>
          <w:color w:val="000000"/>
          <w:szCs w:val="22"/>
          <w:u w:val="single"/>
          <w:lang w:val="lt-LT" w:eastAsia="de-DE"/>
        </w:rPr>
        <w:t>Vaikų populiacija</w:t>
      </w:r>
    </w:p>
    <w:p w14:paraId="5EB0766A" w14:textId="77777777" w:rsidR="001E1BBB" w:rsidRPr="00923E74" w:rsidRDefault="00933988" w:rsidP="001E1BBB">
      <w:pPr>
        <w:shd w:val="clear" w:color="auto" w:fill="FFFFFF"/>
        <w:tabs>
          <w:tab w:val="clear" w:pos="567"/>
        </w:tabs>
        <w:spacing w:line="240" w:lineRule="auto"/>
        <w:rPr>
          <w:snapToGrid/>
          <w:color w:val="000000"/>
          <w:szCs w:val="22"/>
          <w:lang w:val="lt-LT" w:eastAsia="en-GB"/>
        </w:rPr>
      </w:pPr>
      <w:r w:rsidRPr="00923E74">
        <w:rPr>
          <w:snapToGrid/>
          <w:color w:val="000000"/>
          <w:szCs w:val="22"/>
          <w:lang w:val="lt-LT" w:eastAsia="en-GB"/>
        </w:rPr>
        <w:t xml:space="preserve">Europos vaistų agentūra atleido nuo įpareigojimo pateikti </w:t>
      </w:r>
      <w:proofErr w:type="spellStart"/>
      <w:r w:rsidRPr="00923E74">
        <w:rPr>
          <w:snapToGrid/>
          <w:color w:val="000000"/>
          <w:szCs w:val="22"/>
          <w:lang w:val="lt-LT" w:eastAsia="en-GB"/>
        </w:rPr>
        <w:t>Torzelip</w:t>
      </w:r>
      <w:proofErr w:type="spellEnd"/>
      <w:r w:rsidRPr="00923E74">
        <w:rPr>
          <w:snapToGrid/>
          <w:color w:val="000000"/>
          <w:szCs w:val="22"/>
          <w:lang w:val="lt-LT" w:eastAsia="en-GB"/>
        </w:rPr>
        <w:t xml:space="preserve"> tyrimų su visais vaikų populiacijos pogrupiais duomenis.</w:t>
      </w:r>
    </w:p>
    <w:p w14:paraId="32BBA9B5" w14:textId="77777777" w:rsidR="001E1BBB" w:rsidRPr="00923E74" w:rsidRDefault="001E1BBB" w:rsidP="001E1BBB">
      <w:pPr>
        <w:tabs>
          <w:tab w:val="clear" w:pos="567"/>
        </w:tabs>
        <w:autoSpaceDE w:val="0"/>
        <w:autoSpaceDN w:val="0"/>
        <w:adjustRightInd w:val="0"/>
        <w:spacing w:line="240" w:lineRule="auto"/>
        <w:rPr>
          <w:snapToGrid/>
          <w:color w:val="000000"/>
          <w:szCs w:val="22"/>
          <w:u w:val="single"/>
          <w:lang w:val="lt-LT" w:eastAsia="de-DE"/>
        </w:rPr>
      </w:pPr>
    </w:p>
    <w:p w14:paraId="646A5F7D" w14:textId="77777777" w:rsidR="001E1BBB" w:rsidRPr="00923E74" w:rsidRDefault="001E1BB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Ezetimib</w:t>
      </w:r>
      <w:r w:rsidR="000E3F8E" w:rsidRPr="00923E74">
        <w:rPr>
          <w:i/>
          <w:iCs/>
          <w:snapToGrid/>
          <w:color w:val="000000"/>
          <w:szCs w:val="22"/>
          <w:lang w:val="lt-LT" w:eastAsia="de-DE"/>
        </w:rPr>
        <w:t>as</w:t>
      </w:r>
      <w:proofErr w:type="spellEnd"/>
    </w:p>
    <w:p w14:paraId="5FDE3D56" w14:textId="4E633433" w:rsidR="001E1BBB" w:rsidRPr="00726B4E" w:rsidRDefault="00726B4E" w:rsidP="00726B4E">
      <w:pPr>
        <w:tabs>
          <w:tab w:val="clear" w:pos="567"/>
        </w:tabs>
        <w:autoSpaceDE w:val="0"/>
        <w:autoSpaceDN w:val="0"/>
        <w:adjustRightInd w:val="0"/>
        <w:spacing w:line="240" w:lineRule="auto"/>
        <w:rPr>
          <w:iCs/>
          <w:snapToGrid/>
          <w:szCs w:val="22"/>
          <w:lang w:val="lt-LT"/>
        </w:rPr>
      </w:pPr>
      <w:proofErr w:type="spellStart"/>
      <w:r w:rsidRPr="00726B4E">
        <w:rPr>
          <w:snapToGrid/>
          <w:szCs w:val="22"/>
          <w:lang w:val="lt-LT" w:eastAsia="sl-SI"/>
        </w:rPr>
        <w:t>Ezetimibo</w:t>
      </w:r>
      <w:proofErr w:type="spellEnd"/>
      <w:r w:rsidRPr="00726B4E">
        <w:rPr>
          <w:snapToGrid/>
          <w:szCs w:val="22"/>
          <w:lang w:val="lt-LT" w:eastAsia="sl-SI"/>
        </w:rPr>
        <w:t xml:space="preserve"> farmakokinetika 6 metų bei vyresnių vaikų ir suaugusių žmonių organizme yra panaši. Duomenų apie farmakokinetikos parametrus jaunesnių kaip 6 metų vaikų organizme nėra. Turima klinikinių duomenų tik apie </w:t>
      </w:r>
      <w:proofErr w:type="spellStart"/>
      <w:r w:rsidRPr="00726B4E">
        <w:rPr>
          <w:snapToGrid/>
          <w:szCs w:val="22"/>
          <w:lang w:val="lt-LT" w:eastAsia="sl-SI"/>
        </w:rPr>
        <w:t>homozigotine</w:t>
      </w:r>
      <w:proofErr w:type="spellEnd"/>
      <w:r w:rsidRPr="00726B4E">
        <w:rPr>
          <w:snapToGrid/>
          <w:szCs w:val="22"/>
          <w:lang w:val="lt-LT" w:eastAsia="sl-SI"/>
        </w:rPr>
        <w:t xml:space="preserve"> šeimine </w:t>
      </w:r>
      <w:proofErr w:type="spellStart"/>
      <w:r w:rsidRPr="00726B4E">
        <w:rPr>
          <w:snapToGrid/>
          <w:szCs w:val="22"/>
          <w:lang w:val="lt-LT" w:eastAsia="sl-SI"/>
        </w:rPr>
        <w:t>hipercholesterolemija</w:t>
      </w:r>
      <w:proofErr w:type="spellEnd"/>
      <w:r w:rsidRPr="00726B4E">
        <w:rPr>
          <w:snapToGrid/>
          <w:szCs w:val="22"/>
          <w:lang w:val="lt-LT" w:eastAsia="sl-SI"/>
        </w:rPr>
        <w:t xml:space="preserve">, </w:t>
      </w:r>
      <w:proofErr w:type="spellStart"/>
      <w:r w:rsidRPr="00726B4E">
        <w:rPr>
          <w:snapToGrid/>
          <w:szCs w:val="22"/>
          <w:lang w:val="lt-LT" w:eastAsia="sl-SI"/>
        </w:rPr>
        <w:t>heterozigotine</w:t>
      </w:r>
      <w:proofErr w:type="spellEnd"/>
      <w:r w:rsidRPr="00726B4E">
        <w:rPr>
          <w:snapToGrid/>
          <w:szCs w:val="22"/>
          <w:lang w:val="lt-LT" w:eastAsia="sl-SI"/>
        </w:rPr>
        <w:t xml:space="preserve"> šeimine </w:t>
      </w:r>
      <w:proofErr w:type="spellStart"/>
      <w:r w:rsidRPr="00726B4E">
        <w:rPr>
          <w:snapToGrid/>
          <w:szCs w:val="22"/>
          <w:lang w:val="lt-LT" w:eastAsia="sl-SI"/>
        </w:rPr>
        <w:t>hipercholesterolemija</w:t>
      </w:r>
      <w:proofErr w:type="spellEnd"/>
      <w:r w:rsidRPr="00726B4E">
        <w:rPr>
          <w:snapToGrid/>
          <w:szCs w:val="22"/>
          <w:lang w:val="lt-LT" w:eastAsia="sl-SI"/>
        </w:rPr>
        <w:t xml:space="preserve"> ar </w:t>
      </w:r>
      <w:proofErr w:type="spellStart"/>
      <w:r w:rsidRPr="00726B4E">
        <w:rPr>
          <w:snapToGrid/>
          <w:szCs w:val="22"/>
          <w:lang w:val="lt-LT" w:eastAsia="sl-SI"/>
        </w:rPr>
        <w:t>sitosterolemija</w:t>
      </w:r>
      <w:proofErr w:type="spellEnd"/>
      <w:r w:rsidRPr="00726B4E">
        <w:rPr>
          <w:snapToGrid/>
          <w:szCs w:val="22"/>
          <w:lang w:val="lt-LT" w:eastAsia="sl-SI"/>
        </w:rPr>
        <w:t xml:space="preserve"> sergančius vaikus ir paauglius</w:t>
      </w:r>
      <w:r w:rsidR="00D430C9" w:rsidRPr="00923E74">
        <w:rPr>
          <w:iCs/>
          <w:snapToGrid/>
          <w:szCs w:val="22"/>
          <w:lang w:val="lt-LT"/>
        </w:rPr>
        <w:t>.</w:t>
      </w:r>
    </w:p>
    <w:p w14:paraId="6BE400E7"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25039701" w14:textId="77777777" w:rsidR="001E1BBB" w:rsidRPr="00923E74" w:rsidRDefault="00B938D7"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Atorvastatinas</w:t>
      </w:r>
      <w:proofErr w:type="spellEnd"/>
    </w:p>
    <w:p w14:paraId="15C4C939" w14:textId="2F0945CB" w:rsidR="00FD3FF5" w:rsidRPr="00923E74" w:rsidRDefault="00FD3FF5" w:rsidP="00FD3FF5">
      <w:pPr>
        <w:tabs>
          <w:tab w:val="clear" w:pos="567"/>
        </w:tabs>
        <w:spacing w:line="240" w:lineRule="auto"/>
        <w:rPr>
          <w:rFonts w:eastAsia="Calibri"/>
          <w:snapToGrid/>
          <w:szCs w:val="22"/>
          <w:lang w:val="lt-LT" w:eastAsia="lt-LT"/>
        </w:rPr>
      </w:pPr>
      <w:r w:rsidRPr="00923E74">
        <w:rPr>
          <w:rFonts w:eastAsia="Calibri"/>
          <w:snapToGrid/>
          <w:szCs w:val="22"/>
          <w:lang w:val="lt-LT" w:eastAsia="lt-LT"/>
        </w:rPr>
        <w:t>Atviro 8</w:t>
      </w:r>
      <w:r w:rsidRPr="00923E74">
        <w:rPr>
          <w:rFonts w:eastAsia="Calibri"/>
          <w:snapToGrid/>
          <w:szCs w:val="22"/>
          <w:lang w:val="lt-LT" w:eastAsia="lt-LT" w:bidi="lt-LT"/>
        </w:rPr>
        <w:t> </w:t>
      </w:r>
      <w:r w:rsidRPr="00923E74">
        <w:rPr>
          <w:rFonts w:eastAsia="Calibri"/>
          <w:snapToGrid/>
          <w:szCs w:val="22"/>
          <w:lang w:val="lt-LT" w:eastAsia="lt-LT"/>
        </w:rPr>
        <w:t>savaičių tyrimo metu vaikai ir paaugliai (6</w:t>
      </w:r>
      <w:r w:rsidRPr="00923E74">
        <w:rPr>
          <w:rFonts w:eastAsia="Calibri"/>
          <w:snapToGrid/>
          <w:szCs w:val="22"/>
          <w:lang w:val="lt-LT" w:eastAsia="lt-LT"/>
        </w:rPr>
        <w:noBreakHyphen/>
        <w:t>17 metų), kuriems buvo nustatyta I</w:t>
      </w:r>
      <w:r w:rsidR="00A41074">
        <w:rPr>
          <w:rFonts w:eastAsia="Calibri"/>
          <w:snapToGrid/>
          <w:szCs w:val="22"/>
          <w:lang w:val="lt-LT" w:eastAsia="lt-LT"/>
        </w:rPr>
        <w:t> </w:t>
      </w:r>
      <w:r w:rsidRPr="00923E74">
        <w:rPr>
          <w:rFonts w:eastAsia="Calibri"/>
          <w:snapToGrid/>
          <w:szCs w:val="22"/>
          <w:lang w:val="lt-LT" w:eastAsia="lt-LT"/>
        </w:rPr>
        <w:t xml:space="preserve">stadija pagal </w:t>
      </w:r>
      <w:proofErr w:type="spellStart"/>
      <w:r w:rsidRPr="007E15ED">
        <w:rPr>
          <w:rFonts w:eastAsia="Calibri"/>
          <w:i/>
          <w:snapToGrid/>
          <w:szCs w:val="22"/>
          <w:lang w:val="lt-LT" w:eastAsia="lt-LT"/>
        </w:rPr>
        <w:t>Tanner</w:t>
      </w:r>
      <w:proofErr w:type="spellEnd"/>
      <w:r w:rsidRPr="00923E74">
        <w:rPr>
          <w:rFonts w:eastAsia="Calibri"/>
          <w:snapToGrid/>
          <w:szCs w:val="22"/>
          <w:lang w:val="lt-LT" w:eastAsia="lt-LT"/>
        </w:rPr>
        <w:t xml:space="preserve"> skalę (</w:t>
      </w:r>
      <w:r w:rsidR="00A41074" w:rsidRPr="00923E74">
        <w:rPr>
          <w:rFonts w:eastAsia="Calibri"/>
          <w:snapToGrid/>
          <w:szCs w:val="22"/>
          <w:lang w:val="lt-LT" w:eastAsia="lt-LT"/>
        </w:rPr>
        <w:t>n</w:t>
      </w:r>
      <w:r w:rsidR="00A41074">
        <w:rPr>
          <w:rFonts w:eastAsia="Calibri"/>
          <w:snapToGrid/>
          <w:szCs w:val="22"/>
          <w:lang w:val="lt-LT" w:eastAsia="lt-LT"/>
        </w:rPr>
        <w:t> </w:t>
      </w:r>
      <w:r w:rsidRPr="00923E74">
        <w:rPr>
          <w:rFonts w:eastAsia="Calibri"/>
          <w:snapToGrid/>
          <w:szCs w:val="22"/>
          <w:lang w:val="lt-LT" w:eastAsia="lt-LT"/>
        </w:rPr>
        <w:t>=</w:t>
      </w:r>
      <w:r w:rsidR="00A41074">
        <w:rPr>
          <w:rFonts w:eastAsia="Calibri"/>
          <w:snapToGrid/>
          <w:szCs w:val="22"/>
          <w:lang w:val="lt-LT" w:eastAsia="lt-LT"/>
        </w:rPr>
        <w:t> </w:t>
      </w:r>
      <w:r w:rsidRPr="00923E74">
        <w:rPr>
          <w:rFonts w:eastAsia="Calibri"/>
          <w:snapToGrid/>
          <w:szCs w:val="22"/>
          <w:lang w:val="lt-LT" w:eastAsia="lt-LT"/>
        </w:rPr>
        <w:t>15) arba II</w:t>
      </w:r>
      <w:r w:rsidR="00A41074">
        <w:rPr>
          <w:rFonts w:eastAsia="Calibri"/>
          <w:snapToGrid/>
          <w:szCs w:val="22"/>
          <w:lang w:val="lt-LT" w:eastAsia="lt-LT"/>
        </w:rPr>
        <w:t> </w:t>
      </w:r>
      <w:r w:rsidRPr="00923E74">
        <w:rPr>
          <w:rFonts w:eastAsia="Calibri"/>
          <w:snapToGrid/>
          <w:szCs w:val="22"/>
          <w:lang w:val="lt-LT" w:eastAsia="lt-LT"/>
        </w:rPr>
        <w:t xml:space="preserve">stadija pagal </w:t>
      </w:r>
      <w:proofErr w:type="spellStart"/>
      <w:r w:rsidRPr="007E15ED">
        <w:rPr>
          <w:rFonts w:eastAsia="Calibri"/>
          <w:i/>
          <w:snapToGrid/>
          <w:szCs w:val="22"/>
          <w:lang w:val="lt-LT" w:eastAsia="lt-LT"/>
        </w:rPr>
        <w:t>Tanner</w:t>
      </w:r>
      <w:proofErr w:type="spellEnd"/>
      <w:r w:rsidRPr="00923E74">
        <w:rPr>
          <w:rFonts w:eastAsia="Calibri"/>
          <w:snapToGrid/>
          <w:szCs w:val="22"/>
          <w:lang w:val="lt-LT" w:eastAsia="lt-LT"/>
        </w:rPr>
        <w:t xml:space="preserve"> skalę (</w:t>
      </w:r>
      <w:r w:rsidR="00A41074" w:rsidRPr="00923E74">
        <w:rPr>
          <w:rFonts w:eastAsia="Calibri"/>
          <w:snapToGrid/>
          <w:szCs w:val="22"/>
          <w:lang w:val="lt-LT" w:eastAsia="lt-LT"/>
        </w:rPr>
        <w:t>n</w:t>
      </w:r>
      <w:r w:rsidR="00A41074">
        <w:rPr>
          <w:rFonts w:eastAsia="Calibri"/>
          <w:snapToGrid/>
          <w:szCs w:val="22"/>
          <w:lang w:val="lt-LT" w:eastAsia="lt-LT"/>
        </w:rPr>
        <w:t> </w:t>
      </w:r>
      <w:r w:rsidRPr="00923E74">
        <w:rPr>
          <w:rFonts w:eastAsia="Calibri"/>
          <w:snapToGrid/>
          <w:szCs w:val="22"/>
          <w:lang w:val="lt-LT" w:eastAsia="lt-LT"/>
        </w:rPr>
        <w:t>=</w:t>
      </w:r>
      <w:r w:rsidR="00A41074">
        <w:rPr>
          <w:rFonts w:eastAsia="Calibri"/>
          <w:snapToGrid/>
          <w:szCs w:val="22"/>
          <w:lang w:val="lt-LT" w:eastAsia="lt-LT"/>
        </w:rPr>
        <w:t> </w:t>
      </w:r>
      <w:r w:rsidRPr="00923E74">
        <w:rPr>
          <w:rFonts w:eastAsia="Calibri"/>
          <w:snapToGrid/>
          <w:szCs w:val="22"/>
          <w:lang w:val="lt-LT" w:eastAsia="lt-LT"/>
        </w:rPr>
        <w:t xml:space="preserve">24) ir diagnozuota </w:t>
      </w:r>
      <w:proofErr w:type="spellStart"/>
      <w:r w:rsidRPr="00923E74">
        <w:rPr>
          <w:rFonts w:eastAsia="Calibri"/>
          <w:snapToGrid/>
          <w:szCs w:val="22"/>
          <w:lang w:val="lt-LT" w:eastAsia="lt-LT"/>
        </w:rPr>
        <w:t>heterozigotinė</w:t>
      </w:r>
      <w:proofErr w:type="spellEnd"/>
      <w:r w:rsidRPr="00923E74">
        <w:rPr>
          <w:rFonts w:eastAsia="Calibri"/>
          <w:snapToGrid/>
          <w:szCs w:val="22"/>
          <w:lang w:val="lt-LT" w:eastAsia="lt-LT"/>
        </w:rPr>
        <w:t xml:space="preserve"> šeiminė </w:t>
      </w:r>
      <w:proofErr w:type="spellStart"/>
      <w:r w:rsidRPr="00923E74">
        <w:rPr>
          <w:rFonts w:eastAsia="Calibri"/>
          <w:snapToGrid/>
          <w:szCs w:val="22"/>
          <w:lang w:val="lt-LT" w:eastAsia="lt-LT"/>
        </w:rPr>
        <w:t>hipercholesterolemija</w:t>
      </w:r>
      <w:proofErr w:type="spellEnd"/>
      <w:r w:rsidRPr="00923E74">
        <w:rPr>
          <w:rFonts w:eastAsia="Calibri"/>
          <w:snapToGrid/>
          <w:szCs w:val="22"/>
          <w:lang w:val="lt-LT" w:eastAsia="lt-LT"/>
        </w:rPr>
        <w:t xml:space="preserve"> bei kurių pradin</w:t>
      </w:r>
      <w:r w:rsidR="00A41074">
        <w:rPr>
          <w:rFonts w:eastAsia="Calibri"/>
          <w:snapToGrid/>
          <w:szCs w:val="22"/>
          <w:lang w:val="lt-LT" w:eastAsia="lt-LT"/>
        </w:rPr>
        <w:t>ė</w:t>
      </w:r>
      <w:r w:rsidRPr="00923E74">
        <w:rPr>
          <w:rFonts w:eastAsia="Calibri"/>
          <w:snapToGrid/>
          <w:szCs w:val="22"/>
          <w:lang w:val="lt-LT" w:eastAsia="lt-LT"/>
        </w:rPr>
        <w:t xml:space="preserve"> MTL</w:t>
      </w:r>
      <w:r w:rsidR="00E22CA2">
        <w:rPr>
          <w:rFonts w:eastAsia="Calibri"/>
          <w:snapToGrid/>
          <w:szCs w:val="22"/>
          <w:lang w:val="lt-LT" w:eastAsia="lt-LT"/>
        </w:rPr>
        <w:noBreakHyphen/>
      </w:r>
      <w:r w:rsidR="00E22CA2" w:rsidRPr="00923E74">
        <w:rPr>
          <w:rFonts w:eastAsia="Calibri"/>
          <w:snapToGrid/>
          <w:szCs w:val="22"/>
          <w:lang w:val="lt-LT" w:eastAsia="lt-LT"/>
        </w:rPr>
        <w:t>C</w:t>
      </w:r>
      <w:r w:rsidR="00E22CA2">
        <w:rPr>
          <w:rFonts w:eastAsia="Calibri"/>
          <w:snapToGrid/>
          <w:szCs w:val="22"/>
          <w:lang w:val="lt-LT" w:eastAsia="lt-LT"/>
        </w:rPr>
        <w:t> </w:t>
      </w:r>
      <w:r w:rsidRPr="00923E74">
        <w:rPr>
          <w:rFonts w:eastAsia="Calibri"/>
          <w:snapToGrid/>
          <w:szCs w:val="22"/>
          <w:lang w:val="lt-LT" w:eastAsia="lt-LT"/>
        </w:rPr>
        <w:t>k</w:t>
      </w:r>
      <w:r w:rsidR="00A41074">
        <w:rPr>
          <w:rFonts w:eastAsia="Calibri"/>
          <w:snapToGrid/>
          <w:szCs w:val="22"/>
          <w:lang w:val="lt-LT" w:eastAsia="lt-LT"/>
        </w:rPr>
        <w:t>onc</w:t>
      </w:r>
      <w:r w:rsidRPr="00923E74">
        <w:rPr>
          <w:rFonts w:eastAsia="Calibri"/>
          <w:snapToGrid/>
          <w:szCs w:val="22"/>
          <w:lang w:val="lt-LT" w:eastAsia="lt-LT"/>
        </w:rPr>
        <w:t>e</w:t>
      </w:r>
      <w:r w:rsidR="00A41074">
        <w:rPr>
          <w:rFonts w:eastAsia="Calibri"/>
          <w:snapToGrid/>
          <w:szCs w:val="22"/>
          <w:lang w:val="lt-LT" w:eastAsia="lt-LT"/>
        </w:rPr>
        <w:t>ntrac</w:t>
      </w:r>
      <w:r w:rsidRPr="00923E74">
        <w:rPr>
          <w:rFonts w:eastAsia="Calibri"/>
          <w:snapToGrid/>
          <w:szCs w:val="22"/>
          <w:lang w:val="lt-LT" w:eastAsia="lt-LT"/>
        </w:rPr>
        <w:t>i</w:t>
      </w:r>
      <w:r w:rsidR="00A41074">
        <w:rPr>
          <w:rFonts w:eastAsia="Calibri"/>
          <w:snapToGrid/>
          <w:szCs w:val="22"/>
          <w:lang w:val="lt-LT" w:eastAsia="lt-LT"/>
        </w:rPr>
        <w:t>ja</w:t>
      </w:r>
      <w:r w:rsidRPr="00923E74">
        <w:rPr>
          <w:rFonts w:eastAsia="Calibri"/>
          <w:snapToGrid/>
          <w:szCs w:val="22"/>
          <w:lang w:val="lt-LT" w:eastAsia="lt-LT"/>
        </w:rPr>
        <w:t xml:space="preserve"> buvo</w:t>
      </w:r>
      <w:r w:rsidR="00A41074">
        <w:rPr>
          <w:rFonts w:eastAsia="Calibri"/>
          <w:snapToGrid/>
          <w:szCs w:val="22"/>
          <w:lang w:val="lt-LT" w:eastAsia="lt-LT" w:bidi="lt-LT"/>
        </w:rPr>
        <w:t xml:space="preserve"> </w:t>
      </w:r>
      <w:r w:rsidRPr="00923E74">
        <w:rPr>
          <w:rFonts w:eastAsia="Calibri"/>
          <w:snapToGrid/>
          <w:color w:val="000000"/>
          <w:szCs w:val="22"/>
          <w:lang w:val="lt-LT" w:eastAsia="lt-LT"/>
        </w:rPr>
        <w:t>≥</w:t>
      </w:r>
      <w:r w:rsidRPr="00923E74">
        <w:rPr>
          <w:rFonts w:eastAsia="Calibri"/>
          <w:snapToGrid/>
          <w:szCs w:val="22"/>
          <w:lang w:val="lt-LT" w:eastAsia="lt-LT" w:bidi="lt-LT"/>
        </w:rPr>
        <w:t> </w:t>
      </w:r>
      <w:r w:rsidRPr="00923E74">
        <w:rPr>
          <w:rFonts w:eastAsia="Calibri"/>
          <w:snapToGrid/>
          <w:color w:val="000000"/>
          <w:szCs w:val="22"/>
          <w:lang w:val="lt-LT" w:eastAsia="lt-LT"/>
        </w:rPr>
        <w:t>4</w:t>
      </w:r>
      <w:r w:rsidRPr="00923E74">
        <w:rPr>
          <w:rFonts w:eastAsia="Calibri"/>
          <w:snapToGrid/>
          <w:szCs w:val="22"/>
          <w:lang w:val="lt-LT" w:eastAsia="lt-LT" w:bidi="lt-LT"/>
        </w:rPr>
        <w:t> </w:t>
      </w:r>
      <w:proofErr w:type="spellStart"/>
      <w:r w:rsidRPr="00923E74">
        <w:rPr>
          <w:rFonts w:eastAsia="Calibri"/>
          <w:snapToGrid/>
          <w:color w:val="000000"/>
          <w:szCs w:val="22"/>
          <w:lang w:val="lt-LT" w:eastAsia="lt-LT"/>
        </w:rPr>
        <w:t>mmol</w:t>
      </w:r>
      <w:proofErr w:type="spellEnd"/>
      <w:r w:rsidRPr="00923E74">
        <w:rPr>
          <w:rFonts w:eastAsia="Calibri"/>
          <w:snapToGrid/>
          <w:color w:val="000000"/>
          <w:szCs w:val="22"/>
          <w:lang w:val="lt-LT" w:eastAsia="lt-LT"/>
        </w:rPr>
        <w:t>/l</w:t>
      </w:r>
      <w:r w:rsidRPr="00923E74">
        <w:rPr>
          <w:rFonts w:eastAsia="Calibri"/>
          <w:snapToGrid/>
          <w:szCs w:val="22"/>
          <w:lang w:val="lt-LT" w:eastAsia="lt-LT"/>
        </w:rPr>
        <w:t>, kartą per</w:t>
      </w:r>
      <w:r w:rsidR="00A41074">
        <w:rPr>
          <w:rFonts w:eastAsia="Calibri"/>
          <w:snapToGrid/>
          <w:szCs w:val="22"/>
          <w:lang w:val="lt-LT" w:eastAsia="lt-LT"/>
        </w:rPr>
        <w:t> </w:t>
      </w:r>
      <w:r w:rsidRPr="00923E74">
        <w:rPr>
          <w:rFonts w:eastAsia="Calibri"/>
          <w:snapToGrid/>
          <w:szCs w:val="22"/>
          <w:lang w:val="lt-LT" w:eastAsia="lt-LT"/>
        </w:rPr>
        <w:t>parą vartojo atitinkamai 5</w:t>
      </w:r>
      <w:r w:rsidR="00DB52C7" w:rsidRPr="00923E74">
        <w:rPr>
          <w:rFonts w:eastAsia="Calibri"/>
          <w:snapToGrid/>
          <w:szCs w:val="22"/>
          <w:lang w:val="lt-LT" w:eastAsia="lt-LT"/>
        </w:rPr>
        <w:t> mg</w:t>
      </w:r>
      <w:r w:rsidRPr="00923E74">
        <w:rPr>
          <w:rFonts w:eastAsia="Calibri"/>
          <w:snapToGrid/>
          <w:szCs w:val="22"/>
          <w:lang w:val="lt-LT" w:eastAsia="lt-LT"/>
        </w:rPr>
        <w:t xml:space="preserve"> ar 10</w:t>
      </w:r>
      <w:r w:rsidR="00DB52C7" w:rsidRPr="00923E74">
        <w:rPr>
          <w:rFonts w:eastAsia="Calibri"/>
          <w:snapToGrid/>
          <w:szCs w:val="22"/>
          <w:lang w:val="lt-LT" w:eastAsia="lt-LT"/>
        </w:rPr>
        <w:t> mg</w:t>
      </w:r>
      <w:r w:rsidRPr="00923E74">
        <w:rPr>
          <w:rFonts w:eastAsia="Calibri"/>
          <w:snapToGrid/>
          <w:szCs w:val="22"/>
          <w:lang w:val="lt-LT" w:eastAsia="lt-LT"/>
        </w:rPr>
        <w:t xml:space="preserve"> dozę (</w:t>
      </w:r>
      <w:proofErr w:type="spellStart"/>
      <w:r w:rsidRPr="00923E74">
        <w:rPr>
          <w:rFonts w:eastAsia="Calibri"/>
          <w:snapToGrid/>
          <w:szCs w:val="22"/>
          <w:lang w:val="lt-LT" w:eastAsia="lt-LT"/>
        </w:rPr>
        <w:t>atorvastatino</w:t>
      </w:r>
      <w:proofErr w:type="spellEnd"/>
      <w:r w:rsidRPr="00923E74">
        <w:rPr>
          <w:rFonts w:eastAsia="Calibri"/>
          <w:snapToGrid/>
          <w:szCs w:val="22"/>
          <w:lang w:val="lt-LT" w:eastAsia="lt-LT"/>
        </w:rPr>
        <w:t xml:space="preserve"> kramtomųjų tablečių forma) arba 10</w:t>
      </w:r>
      <w:r w:rsidR="00DB52C7" w:rsidRPr="00923E74">
        <w:rPr>
          <w:rFonts w:eastAsia="Calibri"/>
          <w:snapToGrid/>
          <w:szCs w:val="22"/>
          <w:lang w:val="lt-LT" w:eastAsia="lt-LT"/>
        </w:rPr>
        <w:t> mg</w:t>
      </w:r>
      <w:r w:rsidRPr="00923E74">
        <w:rPr>
          <w:rFonts w:eastAsia="Calibri"/>
          <w:snapToGrid/>
          <w:szCs w:val="22"/>
          <w:lang w:val="lt-LT" w:eastAsia="lt-LT"/>
        </w:rPr>
        <w:t xml:space="preserve"> ar 20</w:t>
      </w:r>
      <w:r w:rsidR="00DB52C7" w:rsidRPr="00923E74">
        <w:rPr>
          <w:rFonts w:eastAsia="Calibri"/>
          <w:snapToGrid/>
          <w:szCs w:val="22"/>
          <w:lang w:val="lt-LT" w:eastAsia="lt-LT"/>
        </w:rPr>
        <w:t> mg</w:t>
      </w:r>
      <w:r w:rsidRPr="00923E74">
        <w:rPr>
          <w:rFonts w:eastAsia="Calibri"/>
          <w:snapToGrid/>
          <w:szCs w:val="22"/>
          <w:lang w:val="lt-LT" w:eastAsia="lt-LT"/>
        </w:rPr>
        <w:t xml:space="preserve"> dozę (</w:t>
      </w:r>
      <w:proofErr w:type="spellStart"/>
      <w:r w:rsidRPr="00923E74">
        <w:rPr>
          <w:rFonts w:eastAsia="Calibri"/>
          <w:snapToGrid/>
          <w:szCs w:val="22"/>
          <w:lang w:val="lt-LT" w:eastAsia="lt-LT"/>
        </w:rPr>
        <w:t>atorvastatino</w:t>
      </w:r>
      <w:proofErr w:type="spellEnd"/>
      <w:r w:rsidRPr="00923E74">
        <w:rPr>
          <w:rFonts w:eastAsia="Calibri"/>
          <w:snapToGrid/>
          <w:szCs w:val="22"/>
          <w:lang w:val="lt-LT" w:eastAsia="lt-LT"/>
        </w:rPr>
        <w:t xml:space="preserve"> tablečių forma). Vienintelis </w:t>
      </w:r>
      <w:r w:rsidR="00E06449" w:rsidRPr="00923E74">
        <w:rPr>
          <w:rFonts w:eastAsia="Calibri"/>
          <w:snapToGrid/>
          <w:szCs w:val="22"/>
          <w:lang w:val="lt-LT" w:eastAsia="lt-LT"/>
        </w:rPr>
        <w:t>reikšmingas ko</w:t>
      </w:r>
      <w:r w:rsidR="00E02642">
        <w:rPr>
          <w:rFonts w:eastAsia="Calibri"/>
          <w:snapToGrid/>
          <w:szCs w:val="22"/>
          <w:lang w:val="lt-LT" w:eastAsia="lt-LT"/>
        </w:rPr>
        <w:noBreakHyphen/>
      </w:r>
      <w:r w:rsidR="00E06449" w:rsidRPr="00923E74">
        <w:rPr>
          <w:rFonts w:eastAsia="Calibri"/>
          <w:snapToGrid/>
          <w:szCs w:val="22"/>
          <w:lang w:val="lt-LT" w:eastAsia="lt-LT"/>
        </w:rPr>
        <w:t xml:space="preserve">kintamasis </w:t>
      </w:r>
      <w:proofErr w:type="spellStart"/>
      <w:r w:rsidRPr="00923E74">
        <w:rPr>
          <w:rFonts w:eastAsia="Calibri"/>
          <w:snapToGrid/>
          <w:szCs w:val="22"/>
          <w:lang w:val="lt-LT" w:eastAsia="lt-LT"/>
        </w:rPr>
        <w:t>atorvastatino</w:t>
      </w:r>
      <w:proofErr w:type="spellEnd"/>
      <w:r w:rsidRPr="00923E74">
        <w:rPr>
          <w:rFonts w:eastAsia="Calibri"/>
          <w:snapToGrid/>
          <w:szCs w:val="22"/>
          <w:lang w:val="lt-LT" w:eastAsia="lt-LT"/>
        </w:rPr>
        <w:t xml:space="preserve"> populiacijos FK</w:t>
      </w:r>
      <w:r w:rsidR="00E02642">
        <w:rPr>
          <w:rFonts w:eastAsia="Calibri"/>
          <w:snapToGrid/>
          <w:szCs w:val="22"/>
          <w:lang w:val="lt-LT" w:eastAsia="lt-LT"/>
        </w:rPr>
        <w:t> </w:t>
      </w:r>
      <w:r w:rsidRPr="00923E74">
        <w:rPr>
          <w:rFonts w:eastAsia="Calibri"/>
          <w:snapToGrid/>
          <w:szCs w:val="22"/>
          <w:lang w:val="lt-LT" w:eastAsia="lt-LT"/>
        </w:rPr>
        <w:t xml:space="preserve">modelyje buvo kūno </w:t>
      </w:r>
      <w:r w:rsidR="00E22CA2">
        <w:rPr>
          <w:rFonts w:eastAsia="Calibri"/>
          <w:snapToGrid/>
          <w:szCs w:val="22"/>
          <w:lang w:val="lt-LT" w:eastAsia="lt-LT"/>
        </w:rPr>
        <w:t>ma</w:t>
      </w:r>
      <w:r w:rsidRPr="00923E74">
        <w:rPr>
          <w:rFonts w:eastAsia="Calibri"/>
          <w:snapToGrid/>
          <w:szCs w:val="22"/>
          <w:lang w:val="lt-LT" w:eastAsia="lt-LT"/>
        </w:rPr>
        <w:t>s</w:t>
      </w:r>
      <w:r w:rsidR="00E22CA2">
        <w:rPr>
          <w:rFonts w:eastAsia="Calibri"/>
          <w:snapToGrid/>
          <w:szCs w:val="22"/>
          <w:lang w:val="lt-LT" w:eastAsia="lt-LT"/>
        </w:rPr>
        <w:t>ė</w:t>
      </w:r>
      <w:r w:rsidRPr="00923E74">
        <w:rPr>
          <w:rFonts w:eastAsia="Calibri"/>
          <w:snapToGrid/>
          <w:szCs w:val="22"/>
          <w:lang w:val="lt-LT" w:eastAsia="lt-LT"/>
        </w:rPr>
        <w:t xml:space="preserve">. Atlikus </w:t>
      </w:r>
      <w:proofErr w:type="spellStart"/>
      <w:r w:rsidRPr="00923E74">
        <w:rPr>
          <w:rFonts w:eastAsia="Calibri"/>
          <w:snapToGrid/>
          <w:szCs w:val="22"/>
          <w:lang w:val="lt-LT" w:eastAsia="lt-LT"/>
        </w:rPr>
        <w:t>alometrinį</w:t>
      </w:r>
      <w:proofErr w:type="spellEnd"/>
      <w:r w:rsidRPr="00923E74">
        <w:rPr>
          <w:rFonts w:eastAsia="Calibri"/>
          <w:snapToGrid/>
          <w:szCs w:val="22"/>
          <w:lang w:val="lt-LT" w:eastAsia="lt-LT"/>
        </w:rPr>
        <w:t xml:space="preserve"> perskaičiavimą pagal kūno </w:t>
      </w:r>
      <w:proofErr w:type="spellStart"/>
      <w:r w:rsidR="00E22CA2">
        <w:rPr>
          <w:rFonts w:eastAsia="Calibri"/>
          <w:snapToGrid/>
          <w:szCs w:val="22"/>
          <w:lang w:val="lt-LT" w:eastAsia="lt-LT"/>
        </w:rPr>
        <w:t>me</w:t>
      </w:r>
      <w:r w:rsidRPr="00923E74">
        <w:rPr>
          <w:rFonts w:eastAsia="Calibri"/>
          <w:snapToGrid/>
          <w:szCs w:val="22"/>
          <w:lang w:val="lt-LT" w:eastAsia="lt-LT"/>
        </w:rPr>
        <w:t>s</w:t>
      </w:r>
      <w:r w:rsidR="00E22CA2">
        <w:rPr>
          <w:rFonts w:eastAsia="Calibri"/>
          <w:snapToGrid/>
          <w:szCs w:val="22"/>
          <w:lang w:val="lt-LT" w:eastAsia="lt-LT"/>
        </w:rPr>
        <w:t>ę</w:t>
      </w:r>
      <w:proofErr w:type="spellEnd"/>
      <w:r w:rsidRPr="00923E74">
        <w:rPr>
          <w:rFonts w:eastAsia="Calibri"/>
          <w:snapToGrid/>
          <w:szCs w:val="22"/>
          <w:lang w:val="lt-LT" w:eastAsia="lt-LT"/>
        </w:rPr>
        <w:t xml:space="preserve">, nustatyta, kad tariamasis išgerto </w:t>
      </w:r>
      <w:proofErr w:type="spellStart"/>
      <w:r w:rsidRPr="00923E74">
        <w:rPr>
          <w:rFonts w:eastAsia="Calibri"/>
          <w:snapToGrid/>
          <w:szCs w:val="22"/>
          <w:lang w:val="lt-LT" w:eastAsia="lt-LT"/>
        </w:rPr>
        <w:t>atorvastatino</w:t>
      </w:r>
      <w:proofErr w:type="spellEnd"/>
      <w:r w:rsidRPr="00923E74">
        <w:rPr>
          <w:rFonts w:eastAsia="Calibri"/>
          <w:snapToGrid/>
          <w:szCs w:val="22"/>
          <w:lang w:val="lt-LT" w:eastAsia="lt-LT"/>
        </w:rPr>
        <w:t xml:space="preserve"> klirensas vaikų ir paauglių organizme yra panašus į rod</w:t>
      </w:r>
      <w:r w:rsidR="00E02642">
        <w:rPr>
          <w:rFonts w:eastAsia="Calibri"/>
          <w:snapToGrid/>
          <w:szCs w:val="22"/>
          <w:lang w:val="lt-LT" w:eastAsia="lt-LT"/>
        </w:rPr>
        <w:t>ikl</w:t>
      </w:r>
      <w:r w:rsidRPr="00923E74">
        <w:rPr>
          <w:rFonts w:eastAsia="Calibri"/>
          <w:snapToGrid/>
          <w:szCs w:val="22"/>
          <w:lang w:val="lt-LT" w:eastAsia="lt-LT"/>
        </w:rPr>
        <w:t>į suaugusių</w:t>
      </w:r>
      <w:r w:rsidR="00E02642">
        <w:rPr>
          <w:rFonts w:eastAsia="Calibri"/>
          <w:snapToGrid/>
          <w:szCs w:val="22"/>
          <w:lang w:val="lt-LT" w:eastAsia="lt-LT"/>
        </w:rPr>
        <w:t>j</w:t>
      </w:r>
      <w:r w:rsidRPr="00923E74">
        <w:rPr>
          <w:rFonts w:eastAsia="Calibri"/>
          <w:snapToGrid/>
          <w:szCs w:val="22"/>
          <w:lang w:val="lt-LT" w:eastAsia="lt-LT"/>
        </w:rPr>
        <w:t xml:space="preserve">ų organizme. Esant įvairiai </w:t>
      </w:r>
      <w:proofErr w:type="spellStart"/>
      <w:r w:rsidRPr="00923E74">
        <w:rPr>
          <w:rFonts w:eastAsia="Calibri"/>
          <w:snapToGrid/>
          <w:szCs w:val="22"/>
          <w:lang w:val="lt-LT" w:eastAsia="lt-LT"/>
        </w:rPr>
        <w:t>atorvastatino</w:t>
      </w:r>
      <w:proofErr w:type="spellEnd"/>
      <w:r w:rsidRPr="00923E74">
        <w:rPr>
          <w:rFonts w:eastAsia="Calibri"/>
          <w:snapToGrid/>
          <w:szCs w:val="22"/>
          <w:lang w:val="lt-LT" w:eastAsia="lt-LT"/>
        </w:rPr>
        <w:t xml:space="preserve"> ir o</w:t>
      </w:r>
      <w:r w:rsidR="00E02642">
        <w:rPr>
          <w:rFonts w:eastAsia="Calibri"/>
          <w:snapToGrid/>
          <w:szCs w:val="22"/>
          <w:lang w:val="lt-LT" w:eastAsia="lt-LT"/>
        </w:rPr>
        <w:noBreakHyphen/>
      </w:r>
      <w:proofErr w:type="spellStart"/>
      <w:r w:rsidRPr="00923E74">
        <w:rPr>
          <w:rFonts w:eastAsia="Calibri"/>
          <w:snapToGrid/>
          <w:szCs w:val="22"/>
          <w:lang w:val="lt-LT" w:eastAsia="lt-LT"/>
        </w:rPr>
        <w:t>hidroksiatorvastatino</w:t>
      </w:r>
      <w:proofErr w:type="spellEnd"/>
      <w:r w:rsidRPr="00923E74">
        <w:rPr>
          <w:rFonts w:eastAsia="Calibri"/>
          <w:snapToGrid/>
          <w:szCs w:val="22"/>
          <w:lang w:val="lt-LT" w:eastAsia="lt-LT"/>
        </w:rPr>
        <w:t xml:space="preserve"> ekspozicijai, nustatytas </w:t>
      </w:r>
      <w:r w:rsidR="00E06449" w:rsidRPr="00923E74">
        <w:rPr>
          <w:rFonts w:eastAsia="Calibri"/>
          <w:snapToGrid/>
          <w:szCs w:val="22"/>
          <w:lang w:val="lt-LT" w:eastAsia="lt-LT"/>
        </w:rPr>
        <w:t>stabilus</w:t>
      </w:r>
      <w:r w:rsidRPr="00923E74">
        <w:rPr>
          <w:rFonts w:eastAsia="Calibri"/>
          <w:snapToGrid/>
          <w:szCs w:val="22"/>
          <w:lang w:val="lt-LT" w:eastAsia="lt-LT"/>
        </w:rPr>
        <w:t xml:space="preserve"> MTL</w:t>
      </w:r>
      <w:r w:rsidR="00E22CA2">
        <w:rPr>
          <w:rFonts w:eastAsia="Calibri"/>
          <w:snapToGrid/>
          <w:szCs w:val="22"/>
          <w:lang w:val="lt-LT" w:eastAsia="lt-LT"/>
        </w:rPr>
        <w:noBreakHyphen/>
      </w:r>
      <w:r w:rsidR="00E22CA2" w:rsidRPr="00923E74">
        <w:rPr>
          <w:rFonts w:eastAsia="Calibri"/>
          <w:snapToGrid/>
          <w:szCs w:val="22"/>
          <w:lang w:val="lt-LT" w:eastAsia="lt-LT"/>
        </w:rPr>
        <w:t>C</w:t>
      </w:r>
      <w:r w:rsidRPr="00923E74">
        <w:rPr>
          <w:rFonts w:eastAsia="Calibri"/>
          <w:snapToGrid/>
          <w:szCs w:val="22"/>
          <w:lang w:val="lt-LT" w:eastAsia="lt-LT"/>
        </w:rPr>
        <w:t xml:space="preserve"> ir bendrojo cholesterolio k</w:t>
      </w:r>
      <w:r w:rsidR="00E02642">
        <w:rPr>
          <w:rFonts w:eastAsia="Calibri"/>
          <w:snapToGrid/>
          <w:szCs w:val="22"/>
          <w:lang w:val="lt-LT" w:eastAsia="lt-LT"/>
        </w:rPr>
        <w:t>onc</w:t>
      </w:r>
      <w:r w:rsidRPr="00923E74">
        <w:rPr>
          <w:rFonts w:eastAsia="Calibri"/>
          <w:snapToGrid/>
          <w:szCs w:val="22"/>
          <w:lang w:val="lt-LT" w:eastAsia="lt-LT"/>
        </w:rPr>
        <w:t>e</w:t>
      </w:r>
      <w:r w:rsidR="00E02642">
        <w:rPr>
          <w:rFonts w:eastAsia="Calibri"/>
          <w:snapToGrid/>
          <w:szCs w:val="22"/>
          <w:lang w:val="lt-LT" w:eastAsia="lt-LT"/>
        </w:rPr>
        <w:t>ntrac</w:t>
      </w:r>
      <w:r w:rsidRPr="00923E74">
        <w:rPr>
          <w:rFonts w:eastAsia="Calibri"/>
          <w:snapToGrid/>
          <w:szCs w:val="22"/>
          <w:lang w:val="lt-LT" w:eastAsia="lt-LT"/>
        </w:rPr>
        <w:t>i</w:t>
      </w:r>
      <w:r w:rsidR="00E02642">
        <w:rPr>
          <w:rFonts w:eastAsia="Calibri"/>
          <w:snapToGrid/>
          <w:szCs w:val="22"/>
          <w:lang w:val="lt-LT" w:eastAsia="lt-LT"/>
        </w:rPr>
        <w:t>j</w:t>
      </w:r>
      <w:r w:rsidRPr="00923E74">
        <w:rPr>
          <w:rFonts w:eastAsia="Calibri"/>
          <w:snapToGrid/>
          <w:szCs w:val="22"/>
          <w:lang w:val="lt-LT" w:eastAsia="lt-LT"/>
        </w:rPr>
        <w:t>o</w:t>
      </w:r>
      <w:r w:rsidR="00E02642">
        <w:rPr>
          <w:rFonts w:eastAsia="Calibri"/>
          <w:snapToGrid/>
          <w:szCs w:val="22"/>
          <w:lang w:val="lt-LT" w:eastAsia="lt-LT"/>
        </w:rPr>
        <w:t>s</w:t>
      </w:r>
      <w:r w:rsidRPr="00923E74">
        <w:rPr>
          <w:rFonts w:eastAsia="Calibri"/>
          <w:snapToGrid/>
          <w:szCs w:val="22"/>
          <w:lang w:val="lt-LT" w:eastAsia="lt-LT"/>
        </w:rPr>
        <w:t xml:space="preserve"> sumažėjimas.</w:t>
      </w:r>
    </w:p>
    <w:p w14:paraId="39684A9A" w14:textId="77777777" w:rsidR="00FD3FF5" w:rsidRPr="00923E74" w:rsidRDefault="00FD3FF5" w:rsidP="00FD3FF5">
      <w:pPr>
        <w:tabs>
          <w:tab w:val="clear" w:pos="567"/>
        </w:tabs>
        <w:autoSpaceDE w:val="0"/>
        <w:autoSpaceDN w:val="0"/>
        <w:adjustRightInd w:val="0"/>
        <w:spacing w:line="240" w:lineRule="auto"/>
        <w:rPr>
          <w:rFonts w:eastAsia="MS Mincho"/>
          <w:snapToGrid/>
          <w:szCs w:val="22"/>
          <w:lang w:val="lt-LT" w:eastAsia="lt-LT" w:bidi="lt-LT"/>
        </w:rPr>
      </w:pPr>
    </w:p>
    <w:p w14:paraId="7102C6F1" w14:textId="23E7B17B" w:rsidR="001E1BBB" w:rsidRPr="007E15ED" w:rsidRDefault="00F3031F" w:rsidP="007E15ED">
      <w:pPr>
        <w:keepNext/>
        <w:tabs>
          <w:tab w:val="clear" w:pos="567"/>
        </w:tabs>
        <w:autoSpaceDE w:val="0"/>
        <w:autoSpaceDN w:val="0"/>
        <w:adjustRightInd w:val="0"/>
        <w:spacing w:line="240" w:lineRule="auto"/>
        <w:rPr>
          <w:i/>
          <w:snapToGrid/>
          <w:color w:val="000000"/>
          <w:szCs w:val="22"/>
          <w:u w:val="single"/>
          <w:lang w:val="lt-LT" w:eastAsia="de-DE"/>
        </w:rPr>
      </w:pPr>
      <w:r w:rsidRPr="007E15ED">
        <w:rPr>
          <w:i/>
          <w:snapToGrid/>
          <w:color w:val="000000"/>
          <w:szCs w:val="22"/>
          <w:u w:val="single"/>
          <w:lang w:val="lt-LT" w:eastAsia="de-DE"/>
        </w:rPr>
        <w:lastRenderedPageBreak/>
        <w:t xml:space="preserve">Senyvi </w:t>
      </w:r>
      <w:r w:rsidR="00E02642" w:rsidRPr="007E15ED">
        <w:rPr>
          <w:i/>
          <w:snapToGrid/>
          <w:color w:val="000000"/>
          <w:szCs w:val="22"/>
          <w:u w:val="single"/>
          <w:lang w:val="lt-LT" w:eastAsia="de-DE"/>
        </w:rPr>
        <w:t>pacie</w:t>
      </w:r>
      <w:r w:rsidRPr="007E15ED">
        <w:rPr>
          <w:i/>
          <w:snapToGrid/>
          <w:color w:val="000000"/>
          <w:szCs w:val="22"/>
          <w:u w:val="single"/>
          <w:lang w:val="lt-LT" w:eastAsia="de-DE"/>
        </w:rPr>
        <w:t>n</w:t>
      </w:r>
      <w:r w:rsidR="00E02642" w:rsidRPr="007E15ED">
        <w:rPr>
          <w:i/>
          <w:snapToGrid/>
          <w:color w:val="000000"/>
          <w:szCs w:val="22"/>
          <w:u w:val="single"/>
          <w:lang w:val="lt-LT" w:eastAsia="de-DE"/>
        </w:rPr>
        <w:t>tai</w:t>
      </w:r>
    </w:p>
    <w:p w14:paraId="1296F2F4" w14:textId="77777777" w:rsidR="001E1BBB" w:rsidRPr="00923E74" w:rsidRDefault="00F3031F"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Ezetimibas</w:t>
      </w:r>
      <w:proofErr w:type="spellEnd"/>
    </w:p>
    <w:p w14:paraId="43F34798" w14:textId="053AF1D5" w:rsidR="001E1BBB" w:rsidRPr="00923E74" w:rsidRDefault="00F32A7B" w:rsidP="007E15ED">
      <w:pPr>
        <w:spacing w:line="240" w:lineRule="auto"/>
        <w:rPr>
          <w:snapToGrid/>
          <w:color w:val="000000"/>
          <w:szCs w:val="22"/>
          <w:lang w:val="lt-LT" w:eastAsia="de-DE"/>
        </w:rPr>
      </w:pPr>
      <w:r w:rsidRPr="00923E74">
        <w:rPr>
          <w:snapToGrid/>
          <w:color w:val="000000"/>
          <w:szCs w:val="22"/>
          <w:lang w:val="lt-LT" w:eastAsia="de-DE"/>
        </w:rPr>
        <w:t xml:space="preserve">Senyvų (≥ 65 metų) </w:t>
      </w:r>
      <w:r w:rsidR="00E02642">
        <w:rPr>
          <w:snapToGrid/>
          <w:color w:val="000000"/>
          <w:szCs w:val="22"/>
          <w:lang w:val="lt-LT" w:eastAsia="de-DE"/>
        </w:rPr>
        <w:t>as</w:t>
      </w:r>
      <w:r w:rsidRPr="00923E74">
        <w:rPr>
          <w:snapToGrid/>
          <w:color w:val="000000"/>
          <w:szCs w:val="22"/>
          <w:lang w:val="lt-LT" w:eastAsia="de-DE"/>
        </w:rPr>
        <w:t>m</w:t>
      </w:r>
      <w:r w:rsidR="00E02642">
        <w:rPr>
          <w:snapToGrid/>
          <w:color w:val="000000"/>
          <w:szCs w:val="22"/>
          <w:lang w:val="lt-LT" w:eastAsia="de-DE"/>
        </w:rPr>
        <w:t>e</w:t>
      </w:r>
      <w:r w:rsidRPr="00923E74">
        <w:rPr>
          <w:snapToGrid/>
          <w:color w:val="000000"/>
          <w:szCs w:val="22"/>
          <w:lang w:val="lt-LT" w:eastAsia="de-DE"/>
        </w:rPr>
        <w:t>nų kraujo plazmoje bendroj</w:t>
      </w:r>
      <w:r w:rsidR="009E51EE">
        <w:rPr>
          <w:snapToGrid/>
          <w:color w:val="000000"/>
          <w:szCs w:val="22"/>
          <w:lang w:val="lt-LT" w:eastAsia="de-DE"/>
        </w:rPr>
        <w:t>i</w:t>
      </w:r>
      <w:r w:rsidRPr="00923E74">
        <w:rPr>
          <w:snapToGrid/>
          <w:color w:val="000000"/>
          <w:szCs w:val="22"/>
          <w:lang w:val="lt-LT" w:eastAsia="de-DE"/>
        </w:rPr>
        <w:t xml:space="preserve"> </w:t>
      </w:r>
      <w:proofErr w:type="spellStart"/>
      <w:r w:rsidRPr="00923E74">
        <w:rPr>
          <w:snapToGrid/>
          <w:color w:val="000000"/>
          <w:szCs w:val="22"/>
          <w:lang w:val="lt-LT" w:eastAsia="de-DE"/>
        </w:rPr>
        <w:t>ezetimi</w:t>
      </w:r>
      <w:r w:rsidR="00F30270" w:rsidRPr="00923E74">
        <w:rPr>
          <w:snapToGrid/>
          <w:color w:val="000000"/>
          <w:szCs w:val="22"/>
          <w:lang w:val="lt-LT" w:eastAsia="de-DE"/>
        </w:rPr>
        <w:t>bo</w:t>
      </w:r>
      <w:proofErr w:type="spellEnd"/>
      <w:r w:rsidR="00F30270" w:rsidRPr="00923E74">
        <w:rPr>
          <w:snapToGrid/>
          <w:color w:val="000000"/>
          <w:szCs w:val="22"/>
          <w:lang w:val="lt-LT" w:eastAsia="de-DE"/>
        </w:rPr>
        <w:t xml:space="preserve"> koncentracija būna a</w:t>
      </w:r>
      <w:r w:rsidR="00E02642">
        <w:rPr>
          <w:snapToGrid/>
          <w:color w:val="000000"/>
          <w:szCs w:val="22"/>
          <w:lang w:val="lt-LT" w:eastAsia="de-DE"/>
        </w:rPr>
        <w:t>pytiksli</w:t>
      </w:r>
      <w:r w:rsidR="00F30270" w:rsidRPr="00923E74">
        <w:rPr>
          <w:snapToGrid/>
          <w:color w:val="000000"/>
          <w:szCs w:val="22"/>
          <w:lang w:val="lt-LT" w:eastAsia="de-DE"/>
        </w:rPr>
        <w:t>a</w:t>
      </w:r>
      <w:r w:rsidR="00E02642">
        <w:rPr>
          <w:snapToGrid/>
          <w:color w:val="000000"/>
          <w:szCs w:val="22"/>
          <w:lang w:val="lt-LT" w:eastAsia="de-DE"/>
        </w:rPr>
        <w:t>i</w:t>
      </w:r>
      <w:r w:rsidR="00F30270" w:rsidRPr="00923E74">
        <w:rPr>
          <w:snapToGrid/>
          <w:color w:val="000000"/>
          <w:szCs w:val="22"/>
          <w:lang w:val="lt-LT" w:eastAsia="de-DE"/>
        </w:rPr>
        <w:t xml:space="preserve"> 2 </w:t>
      </w:r>
      <w:r w:rsidRPr="00923E74">
        <w:rPr>
          <w:snapToGrid/>
          <w:color w:val="000000"/>
          <w:szCs w:val="22"/>
          <w:lang w:val="lt-LT" w:eastAsia="de-DE"/>
        </w:rPr>
        <w:t>kartus didesnė negu jaunesnių (18</w:t>
      </w:r>
      <w:r w:rsidRPr="00923E74">
        <w:rPr>
          <w:snapToGrid/>
          <w:color w:val="000000"/>
          <w:szCs w:val="22"/>
          <w:lang w:val="lt-LT" w:eastAsia="de-DE"/>
        </w:rPr>
        <w:noBreakHyphen/>
        <w:t xml:space="preserve">45 metų) </w:t>
      </w:r>
      <w:r w:rsidR="00E02642">
        <w:rPr>
          <w:snapToGrid/>
          <w:color w:val="000000"/>
          <w:szCs w:val="22"/>
          <w:lang w:val="lt-LT" w:eastAsia="de-DE"/>
        </w:rPr>
        <w:t>as</w:t>
      </w:r>
      <w:r w:rsidRPr="00923E74">
        <w:rPr>
          <w:snapToGrid/>
          <w:color w:val="000000"/>
          <w:szCs w:val="22"/>
          <w:lang w:val="lt-LT" w:eastAsia="de-DE"/>
        </w:rPr>
        <w:t>m</w:t>
      </w:r>
      <w:r w:rsidR="00E02642">
        <w:rPr>
          <w:snapToGrid/>
          <w:color w:val="000000"/>
          <w:szCs w:val="22"/>
          <w:lang w:val="lt-LT" w:eastAsia="de-DE"/>
        </w:rPr>
        <w:t>e</w:t>
      </w:r>
      <w:r w:rsidRPr="00923E74">
        <w:rPr>
          <w:snapToGrid/>
          <w:color w:val="000000"/>
          <w:szCs w:val="22"/>
          <w:lang w:val="lt-LT" w:eastAsia="de-DE"/>
        </w:rPr>
        <w:t xml:space="preserve">nų kraujo plazmoje. </w:t>
      </w:r>
      <w:proofErr w:type="spellStart"/>
      <w:r w:rsidRPr="00923E74">
        <w:rPr>
          <w:snapToGrid/>
          <w:color w:val="000000"/>
          <w:szCs w:val="22"/>
          <w:lang w:val="lt-LT" w:eastAsia="de-DE"/>
        </w:rPr>
        <w:t>Ezetimibu</w:t>
      </w:r>
      <w:proofErr w:type="spellEnd"/>
      <w:r w:rsidRPr="00923E74">
        <w:rPr>
          <w:snapToGrid/>
          <w:color w:val="000000"/>
          <w:szCs w:val="22"/>
          <w:lang w:val="lt-LT" w:eastAsia="de-DE"/>
        </w:rPr>
        <w:t xml:space="preserve"> gydomų senyvų ir jaunesnių pacientų organizme MTL</w:t>
      </w:r>
      <w:r w:rsidR="009E51EE">
        <w:rPr>
          <w:snapToGrid/>
          <w:color w:val="000000"/>
          <w:szCs w:val="22"/>
          <w:lang w:val="lt-LT" w:eastAsia="de-DE"/>
        </w:rPr>
        <w:noBreakHyphen/>
      </w:r>
      <w:r w:rsidR="009E51EE" w:rsidRPr="00923E74">
        <w:rPr>
          <w:snapToGrid/>
          <w:color w:val="000000"/>
          <w:szCs w:val="22"/>
          <w:lang w:val="lt-LT" w:eastAsia="de-DE"/>
        </w:rPr>
        <w:t>C</w:t>
      </w:r>
      <w:r w:rsidR="009E51EE">
        <w:rPr>
          <w:snapToGrid/>
          <w:color w:val="000000"/>
          <w:szCs w:val="22"/>
          <w:lang w:val="lt-LT" w:eastAsia="de-DE"/>
        </w:rPr>
        <w:t> </w:t>
      </w:r>
      <w:r w:rsidRPr="00923E74">
        <w:rPr>
          <w:snapToGrid/>
          <w:color w:val="000000"/>
          <w:szCs w:val="22"/>
          <w:lang w:val="lt-LT" w:eastAsia="de-DE"/>
        </w:rPr>
        <w:t>k</w:t>
      </w:r>
      <w:r w:rsidR="00E02642">
        <w:rPr>
          <w:snapToGrid/>
          <w:color w:val="000000"/>
          <w:szCs w:val="22"/>
          <w:lang w:val="lt-LT" w:eastAsia="de-DE"/>
        </w:rPr>
        <w:t>onc</w:t>
      </w:r>
      <w:r w:rsidRPr="00923E74">
        <w:rPr>
          <w:snapToGrid/>
          <w:color w:val="000000"/>
          <w:szCs w:val="22"/>
          <w:lang w:val="lt-LT" w:eastAsia="de-DE"/>
        </w:rPr>
        <w:t>e</w:t>
      </w:r>
      <w:r w:rsidR="00E02642">
        <w:rPr>
          <w:snapToGrid/>
          <w:color w:val="000000"/>
          <w:szCs w:val="22"/>
          <w:lang w:val="lt-LT" w:eastAsia="de-DE"/>
        </w:rPr>
        <w:t>ntrac</w:t>
      </w:r>
      <w:r w:rsidRPr="00923E74">
        <w:rPr>
          <w:snapToGrid/>
          <w:color w:val="000000"/>
          <w:szCs w:val="22"/>
          <w:lang w:val="lt-LT" w:eastAsia="de-DE"/>
        </w:rPr>
        <w:t>i</w:t>
      </w:r>
      <w:r w:rsidR="00E02642">
        <w:rPr>
          <w:snapToGrid/>
          <w:color w:val="000000"/>
          <w:szCs w:val="22"/>
          <w:lang w:val="lt-LT" w:eastAsia="de-DE"/>
        </w:rPr>
        <w:t>j</w:t>
      </w:r>
      <w:r w:rsidRPr="00923E74">
        <w:rPr>
          <w:snapToGrid/>
          <w:color w:val="000000"/>
          <w:szCs w:val="22"/>
          <w:lang w:val="lt-LT" w:eastAsia="de-DE"/>
        </w:rPr>
        <w:t>o</w:t>
      </w:r>
      <w:r w:rsidR="00E02642">
        <w:rPr>
          <w:snapToGrid/>
          <w:color w:val="000000"/>
          <w:szCs w:val="22"/>
          <w:lang w:val="lt-LT" w:eastAsia="de-DE"/>
        </w:rPr>
        <w:t>s</w:t>
      </w:r>
      <w:r w:rsidRPr="00923E74">
        <w:rPr>
          <w:snapToGrid/>
          <w:color w:val="000000"/>
          <w:szCs w:val="22"/>
          <w:lang w:val="lt-LT" w:eastAsia="de-DE"/>
        </w:rPr>
        <w:t xml:space="preserve"> sumažėjimas ir saugumas </w:t>
      </w:r>
      <w:r w:rsidR="009E51EE">
        <w:rPr>
          <w:snapToGrid/>
          <w:color w:val="000000"/>
          <w:szCs w:val="22"/>
          <w:lang w:val="lt-LT" w:eastAsia="de-DE"/>
        </w:rPr>
        <w:t>yr</w:t>
      </w:r>
      <w:r w:rsidRPr="00923E74">
        <w:rPr>
          <w:snapToGrid/>
          <w:color w:val="000000"/>
          <w:szCs w:val="22"/>
          <w:lang w:val="lt-LT" w:eastAsia="de-DE"/>
        </w:rPr>
        <w:t>a panašūs.</w:t>
      </w:r>
    </w:p>
    <w:p w14:paraId="670E5A99" w14:textId="77777777" w:rsidR="001E1BBB" w:rsidRPr="00923E74" w:rsidRDefault="001E1BBB" w:rsidP="001E1BBB">
      <w:pPr>
        <w:spacing w:line="240" w:lineRule="auto"/>
        <w:jc w:val="both"/>
        <w:rPr>
          <w:snapToGrid/>
          <w:color w:val="000000"/>
          <w:szCs w:val="22"/>
          <w:lang w:val="lt-LT" w:eastAsia="de-DE"/>
        </w:rPr>
      </w:pPr>
    </w:p>
    <w:p w14:paraId="2CB68B41" w14:textId="77777777" w:rsidR="001E1BBB" w:rsidRPr="00923E74" w:rsidRDefault="00F32A7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Atorvastatinas</w:t>
      </w:r>
      <w:proofErr w:type="spellEnd"/>
    </w:p>
    <w:p w14:paraId="72091720" w14:textId="5C67B7AC" w:rsidR="001E1BBB" w:rsidRPr="00923E74" w:rsidRDefault="00F32A7B" w:rsidP="001E1BBB">
      <w:pPr>
        <w:tabs>
          <w:tab w:val="clear" w:pos="567"/>
        </w:tabs>
        <w:autoSpaceDE w:val="0"/>
        <w:autoSpaceDN w:val="0"/>
        <w:adjustRightInd w:val="0"/>
        <w:spacing w:line="240" w:lineRule="auto"/>
        <w:rPr>
          <w:snapToGrid/>
          <w:color w:val="000000"/>
          <w:szCs w:val="22"/>
          <w:lang w:val="lt-LT" w:eastAsia="de-DE"/>
        </w:rPr>
      </w:pPr>
      <w:r w:rsidRPr="00923E74">
        <w:rPr>
          <w:snapToGrid/>
          <w:color w:val="000000"/>
          <w:szCs w:val="22"/>
          <w:lang w:val="lt-LT" w:eastAsia="de-DE"/>
        </w:rPr>
        <w:t xml:space="preserve">Sveikų senyvų </w:t>
      </w:r>
      <w:r w:rsidR="00E02642">
        <w:rPr>
          <w:snapToGrid/>
          <w:color w:val="000000"/>
          <w:szCs w:val="22"/>
          <w:lang w:val="lt-LT" w:eastAsia="de-DE"/>
        </w:rPr>
        <w:t>as</w:t>
      </w:r>
      <w:r w:rsidRPr="00923E74">
        <w:rPr>
          <w:snapToGrid/>
          <w:color w:val="000000"/>
          <w:szCs w:val="22"/>
          <w:lang w:val="lt-LT" w:eastAsia="de-DE"/>
        </w:rPr>
        <w:t>m</w:t>
      </w:r>
      <w:r w:rsidR="00E02642">
        <w:rPr>
          <w:snapToGrid/>
          <w:color w:val="000000"/>
          <w:szCs w:val="22"/>
          <w:lang w:val="lt-LT" w:eastAsia="de-DE"/>
        </w:rPr>
        <w:t>e</w:t>
      </w:r>
      <w:r w:rsidRPr="00923E74">
        <w:rPr>
          <w:snapToGrid/>
          <w:color w:val="000000"/>
          <w:szCs w:val="22"/>
          <w:lang w:val="lt-LT" w:eastAsia="de-DE"/>
        </w:rPr>
        <w:t xml:space="preserve">nų kraujo plazmoje </w:t>
      </w:r>
      <w:proofErr w:type="spellStart"/>
      <w:r w:rsidRPr="00923E74">
        <w:rPr>
          <w:snapToGrid/>
          <w:color w:val="000000"/>
          <w:szCs w:val="22"/>
          <w:lang w:val="lt-LT" w:eastAsia="de-DE"/>
        </w:rPr>
        <w:t>atorvastatino</w:t>
      </w:r>
      <w:proofErr w:type="spellEnd"/>
      <w:r w:rsidRPr="00923E74">
        <w:rPr>
          <w:snapToGrid/>
          <w:color w:val="000000"/>
          <w:szCs w:val="22"/>
          <w:lang w:val="lt-LT" w:eastAsia="de-DE"/>
        </w:rPr>
        <w:t xml:space="preserve"> ir aktyviųjų jo metabolitų koncentracija būna didesnė nei jaunų </w:t>
      </w:r>
      <w:r w:rsidR="00E02642">
        <w:rPr>
          <w:snapToGrid/>
          <w:color w:val="000000"/>
          <w:szCs w:val="22"/>
          <w:lang w:val="lt-LT" w:eastAsia="de-DE"/>
        </w:rPr>
        <w:t>as</w:t>
      </w:r>
      <w:r w:rsidRPr="00923E74">
        <w:rPr>
          <w:snapToGrid/>
          <w:color w:val="000000"/>
          <w:szCs w:val="22"/>
          <w:lang w:val="lt-LT" w:eastAsia="de-DE"/>
        </w:rPr>
        <w:t>m</w:t>
      </w:r>
      <w:r w:rsidR="00E02642">
        <w:rPr>
          <w:snapToGrid/>
          <w:color w:val="000000"/>
          <w:szCs w:val="22"/>
          <w:lang w:val="lt-LT" w:eastAsia="de-DE"/>
        </w:rPr>
        <w:t>e</w:t>
      </w:r>
      <w:r w:rsidRPr="00923E74">
        <w:rPr>
          <w:snapToGrid/>
          <w:color w:val="000000"/>
          <w:szCs w:val="22"/>
          <w:lang w:val="lt-LT" w:eastAsia="de-DE"/>
        </w:rPr>
        <w:t xml:space="preserve">nų kraujo plazmoje, tačiau poveikis lipidams </w:t>
      </w:r>
      <w:r w:rsidR="00F30270" w:rsidRPr="00923E74">
        <w:rPr>
          <w:snapToGrid/>
          <w:color w:val="000000"/>
          <w:szCs w:val="22"/>
          <w:lang w:val="lt-LT" w:eastAsia="de-DE"/>
        </w:rPr>
        <w:t xml:space="preserve">būna </w:t>
      </w:r>
      <w:r w:rsidRPr="00923E74">
        <w:rPr>
          <w:snapToGrid/>
          <w:color w:val="000000"/>
          <w:szCs w:val="22"/>
          <w:lang w:val="lt-LT" w:eastAsia="de-DE"/>
        </w:rPr>
        <w:t>panašus į nustatomą jaunesnių suaugusių</w:t>
      </w:r>
      <w:r w:rsidR="00E02642">
        <w:rPr>
          <w:snapToGrid/>
          <w:color w:val="000000"/>
          <w:szCs w:val="22"/>
          <w:lang w:val="lt-LT" w:eastAsia="de-DE"/>
        </w:rPr>
        <w:t>j</w:t>
      </w:r>
      <w:r w:rsidRPr="00923E74">
        <w:rPr>
          <w:snapToGrid/>
          <w:color w:val="000000"/>
          <w:szCs w:val="22"/>
          <w:lang w:val="lt-LT" w:eastAsia="de-DE"/>
        </w:rPr>
        <w:t>ų organizme.</w:t>
      </w:r>
    </w:p>
    <w:p w14:paraId="61C910A6"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79908B0A" w14:textId="77777777" w:rsidR="001E1BBB" w:rsidRPr="00923E74" w:rsidRDefault="00F32A7B" w:rsidP="007E15ED">
      <w:pPr>
        <w:keepNext/>
        <w:tabs>
          <w:tab w:val="clear" w:pos="567"/>
        </w:tabs>
        <w:autoSpaceDE w:val="0"/>
        <w:autoSpaceDN w:val="0"/>
        <w:adjustRightInd w:val="0"/>
        <w:spacing w:line="240" w:lineRule="auto"/>
        <w:rPr>
          <w:snapToGrid/>
          <w:color w:val="000000"/>
          <w:szCs w:val="22"/>
          <w:u w:val="single"/>
          <w:lang w:val="lt-LT" w:eastAsia="de-DE"/>
        </w:rPr>
      </w:pPr>
      <w:r w:rsidRPr="00923E74">
        <w:rPr>
          <w:snapToGrid/>
          <w:color w:val="000000"/>
          <w:szCs w:val="22"/>
          <w:u w:val="single"/>
          <w:lang w:val="lt-LT" w:eastAsia="de-DE"/>
        </w:rPr>
        <w:t>Sutrikusi kepenų funkcija</w:t>
      </w:r>
    </w:p>
    <w:p w14:paraId="3932FD90" w14:textId="77777777" w:rsidR="001E1BBB" w:rsidRPr="00923E74" w:rsidRDefault="00F32A7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Ezetimibas</w:t>
      </w:r>
      <w:proofErr w:type="spellEnd"/>
    </w:p>
    <w:p w14:paraId="74364BC2" w14:textId="0EF5A12F" w:rsidR="001E1BBB" w:rsidRPr="00923E74" w:rsidRDefault="00715197" w:rsidP="001E1BBB">
      <w:pPr>
        <w:tabs>
          <w:tab w:val="clear" w:pos="567"/>
        </w:tabs>
        <w:autoSpaceDE w:val="0"/>
        <w:autoSpaceDN w:val="0"/>
        <w:adjustRightInd w:val="0"/>
        <w:spacing w:line="240" w:lineRule="auto"/>
        <w:rPr>
          <w:iCs/>
          <w:snapToGrid/>
          <w:color w:val="000000"/>
          <w:szCs w:val="22"/>
          <w:lang w:val="lt-LT" w:eastAsia="de-DE"/>
        </w:rPr>
      </w:pPr>
      <w:r w:rsidRPr="00923E74">
        <w:rPr>
          <w:iCs/>
          <w:snapToGrid/>
          <w:color w:val="000000"/>
          <w:szCs w:val="22"/>
          <w:lang w:val="lt-LT" w:eastAsia="de-DE"/>
        </w:rPr>
        <w:t xml:space="preserve">Pacientams, kuriems buvo lengvas kepenų nepakankamumas (įvertinimas pagal </w:t>
      </w:r>
      <w:proofErr w:type="spellStart"/>
      <w:r w:rsidRPr="00923E74">
        <w:rPr>
          <w:i/>
          <w:iCs/>
          <w:snapToGrid/>
          <w:color w:val="000000"/>
          <w:szCs w:val="22"/>
          <w:lang w:val="lt-LT" w:eastAsia="de-DE"/>
        </w:rPr>
        <w:t>Child</w:t>
      </w:r>
      <w:r w:rsidR="00E02642">
        <w:rPr>
          <w:i/>
          <w:iCs/>
          <w:snapToGrid/>
          <w:color w:val="000000"/>
          <w:szCs w:val="22"/>
          <w:lang w:val="lt-LT" w:eastAsia="de-DE"/>
        </w:rPr>
        <w:noBreakHyphen/>
      </w:r>
      <w:r w:rsidRPr="00923E74">
        <w:rPr>
          <w:i/>
          <w:iCs/>
          <w:snapToGrid/>
          <w:color w:val="000000"/>
          <w:szCs w:val="22"/>
          <w:lang w:val="lt-LT" w:eastAsia="de-DE"/>
        </w:rPr>
        <w:t>Pugh</w:t>
      </w:r>
      <w:proofErr w:type="spellEnd"/>
      <w:r w:rsidRPr="00923E74">
        <w:rPr>
          <w:iCs/>
          <w:snapToGrid/>
          <w:color w:val="000000"/>
          <w:szCs w:val="22"/>
          <w:lang w:val="lt-LT" w:eastAsia="de-DE"/>
        </w:rPr>
        <w:t xml:space="preserve"> skalę 5</w:t>
      </w:r>
      <w:r w:rsidRPr="00923E74">
        <w:rPr>
          <w:iCs/>
          <w:snapToGrid/>
          <w:color w:val="000000"/>
          <w:szCs w:val="22"/>
          <w:lang w:val="lt-LT" w:eastAsia="de-DE"/>
        </w:rPr>
        <w:noBreakHyphen/>
        <w:t>6), po vienkartinės 10</w:t>
      </w:r>
      <w:r w:rsidR="00DB52C7" w:rsidRPr="00923E74">
        <w:rPr>
          <w:iCs/>
          <w:snapToGrid/>
          <w:color w:val="000000"/>
          <w:szCs w:val="22"/>
          <w:lang w:val="lt-LT" w:eastAsia="de-DE"/>
        </w:rPr>
        <w:t> mg</w:t>
      </w:r>
      <w:r w:rsidRPr="00923E74">
        <w:rPr>
          <w:iCs/>
          <w:snapToGrid/>
          <w:color w:val="000000"/>
          <w:szCs w:val="22"/>
          <w:lang w:val="lt-LT" w:eastAsia="de-DE"/>
        </w:rPr>
        <w:t xml:space="preserve"> </w:t>
      </w:r>
      <w:proofErr w:type="spellStart"/>
      <w:r w:rsidRPr="00923E74">
        <w:rPr>
          <w:iCs/>
          <w:snapToGrid/>
          <w:color w:val="000000"/>
          <w:szCs w:val="22"/>
          <w:lang w:val="lt-LT" w:eastAsia="de-DE"/>
        </w:rPr>
        <w:t>ezetimibo</w:t>
      </w:r>
      <w:proofErr w:type="spellEnd"/>
      <w:r w:rsidRPr="00923E74">
        <w:rPr>
          <w:iCs/>
          <w:snapToGrid/>
          <w:color w:val="000000"/>
          <w:szCs w:val="22"/>
          <w:lang w:val="lt-LT" w:eastAsia="de-DE"/>
        </w:rPr>
        <w:t xml:space="preserve"> dozės pavartojimo vidutinis bendrojo </w:t>
      </w:r>
      <w:proofErr w:type="spellStart"/>
      <w:r w:rsidRPr="00923E74">
        <w:rPr>
          <w:iCs/>
          <w:snapToGrid/>
          <w:color w:val="000000"/>
          <w:szCs w:val="22"/>
          <w:lang w:val="lt-LT" w:eastAsia="de-DE"/>
        </w:rPr>
        <w:t>ezetimibo</w:t>
      </w:r>
      <w:proofErr w:type="spellEnd"/>
      <w:r w:rsidR="00E02642">
        <w:rPr>
          <w:iCs/>
          <w:snapToGrid/>
          <w:color w:val="000000"/>
          <w:szCs w:val="22"/>
          <w:lang w:val="lt-LT" w:eastAsia="de-DE"/>
        </w:rPr>
        <w:t> </w:t>
      </w:r>
      <w:r w:rsidRPr="00923E74">
        <w:rPr>
          <w:iCs/>
          <w:snapToGrid/>
          <w:color w:val="000000"/>
          <w:szCs w:val="22"/>
          <w:lang w:val="lt-LT" w:eastAsia="de-DE"/>
        </w:rPr>
        <w:t>AUC padidėjo a</w:t>
      </w:r>
      <w:r w:rsidR="00E02642">
        <w:rPr>
          <w:iCs/>
          <w:snapToGrid/>
          <w:color w:val="000000"/>
          <w:szCs w:val="22"/>
          <w:lang w:val="lt-LT" w:eastAsia="de-DE"/>
        </w:rPr>
        <w:t>pytiksli</w:t>
      </w:r>
      <w:r w:rsidRPr="00923E74">
        <w:rPr>
          <w:iCs/>
          <w:snapToGrid/>
          <w:color w:val="000000"/>
          <w:szCs w:val="22"/>
          <w:lang w:val="lt-LT" w:eastAsia="de-DE"/>
        </w:rPr>
        <w:t>a</w:t>
      </w:r>
      <w:r w:rsidR="00E02642">
        <w:rPr>
          <w:iCs/>
          <w:snapToGrid/>
          <w:color w:val="000000"/>
          <w:szCs w:val="22"/>
          <w:lang w:val="lt-LT" w:eastAsia="de-DE"/>
        </w:rPr>
        <w:t>i</w:t>
      </w:r>
      <w:r w:rsidRPr="00923E74">
        <w:rPr>
          <w:iCs/>
          <w:snapToGrid/>
          <w:color w:val="000000"/>
          <w:szCs w:val="22"/>
          <w:lang w:val="lt-LT" w:eastAsia="de-DE"/>
        </w:rPr>
        <w:t xml:space="preserve"> 1,7 karto, palyginti su rod</w:t>
      </w:r>
      <w:r w:rsidR="00E02642">
        <w:rPr>
          <w:iCs/>
          <w:snapToGrid/>
          <w:color w:val="000000"/>
          <w:szCs w:val="22"/>
          <w:lang w:val="lt-LT" w:eastAsia="de-DE"/>
        </w:rPr>
        <w:t>ikl</w:t>
      </w:r>
      <w:r w:rsidRPr="00923E74">
        <w:rPr>
          <w:iCs/>
          <w:snapToGrid/>
          <w:color w:val="000000"/>
          <w:szCs w:val="22"/>
          <w:lang w:val="lt-LT" w:eastAsia="de-DE"/>
        </w:rPr>
        <w:t xml:space="preserve">iu sveikų </w:t>
      </w:r>
      <w:r w:rsidR="00E02642">
        <w:rPr>
          <w:iCs/>
          <w:snapToGrid/>
          <w:color w:val="000000"/>
          <w:szCs w:val="22"/>
          <w:lang w:val="lt-LT" w:eastAsia="de-DE"/>
        </w:rPr>
        <w:t>as</w:t>
      </w:r>
      <w:r w:rsidRPr="00923E74">
        <w:rPr>
          <w:iCs/>
          <w:snapToGrid/>
          <w:color w:val="000000"/>
          <w:szCs w:val="22"/>
          <w:lang w:val="lt-LT" w:eastAsia="de-DE"/>
        </w:rPr>
        <w:t>m</w:t>
      </w:r>
      <w:r w:rsidR="00E02642">
        <w:rPr>
          <w:iCs/>
          <w:snapToGrid/>
          <w:color w:val="000000"/>
          <w:szCs w:val="22"/>
          <w:lang w:val="lt-LT" w:eastAsia="de-DE"/>
        </w:rPr>
        <w:t>e</w:t>
      </w:r>
      <w:r w:rsidRPr="00923E74">
        <w:rPr>
          <w:iCs/>
          <w:snapToGrid/>
          <w:color w:val="000000"/>
          <w:szCs w:val="22"/>
          <w:lang w:val="lt-LT" w:eastAsia="de-DE"/>
        </w:rPr>
        <w:t>nų organizme. 14 </w:t>
      </w:r>
      <w:r w:rsidR="00E02642">
        <w:rPr>
          <w:iCs/>
          <w:snapToGrid/>
          <w:color w:val="000000"/>
          <w:szCs w:val="22"/>
          <w:lang w:val="lt-LT" w:eastAsia="de-DE"/>
        </w:rPr>
        <w:t>par</w:t>
      </w:r>
      <w:r w:rsidRPr="00923E74">
        <w:rPr>
          <w:iCs/>
          <w:snapToGrid/>
          <w:color w:val="000000"/>
          <w:szCs w:val="22"/>
          <w:lang w:val="lt-LT" w:eastAsia="de-DE"/>
        </w:rPr>
        <w:t>ų trukusio kartotinių 10</w:t>
      </w:r>
      <w:r w:rsidR="00DB52C7" w:rsidRPr="00923E74">
        <w:rPr>
          <w:iCs/>
          <w:snapToGrid/>
          <w:color w:val="000000"/>
          <w:szCs w:val="22"/>
          <w:lang w:val="lt-LT" w:eastAsia="de-DE"/>
        </w:rPr>
        <w:t> mg</w:t>
      </w:r>
      <w:r w:rsidRPr="00923E74">
        <w:rPr>
          <w:iCs/>
          <w:snapToGrid/>
          <w:color w:val="000000"/>
          <w:szCs w:val="22"/>
          <w:lang w:val="lt-LT" w:eastAsia="de-DE"/>
        </w:rPr>
        <w:t xml:space="preserve"> paros dozių vartojimo tyrimo metu pacientams, kuriems buvo vidutinio sunkumo kepenų nepakankamumas (įvertinimas pagal </w:t>
      </w:r>
      <w:proofErr w:type="spellStart"/>
      <w:r w:rsidRPr="00923E74">
        <w:rPr>
          <w:i/>
          <w:iCs/>
          <w:snapToGrid/>
          <w:color w:val="000000"/>
          <w:szCs w:val="22"/>
          <w:lang w:val="lt-LT" w:eastAsia="de-DE"/>
        </w:rPr>
        <w:t>Child</w:t>
      </w:r>
      <w:r w:rsidR="00E02642">
        <w:rPr>
          <w:i/>
          <w:iCs/>
          <w:snapToGrid/>
          <w:color w:val="000000"/>
          <w:szCs w:val="22"/>
          <w:lang w:val="lt-LT" w:eastAsia="de-DE"/>
        </w:rPr>
        <w:noBreakHyphen/>
      </w:r>
      <w:r w:rsidRPr="00923E74">
        <w:rPr>
          <w:i/>
          <w:iCs/>
          <w:snapToGrid/>
          <w:color w:val="000000"/>
          <w:szCs w:val="22"/>
          <w:lang w:val="lt-LT" w:eastAsia="de-DE"/>
        </w:rPr>
        <w:t>Pugh</w:t>
      </w:r>
      <w:proofErr w:type="spellEnd"/>
      <w:r w:rsidRPr="00923E74">
        <w:rPr>
          <w:iCs/>
          <w:snapToGrid/>
          <w:color w:val="000000"/>
          <w:szCs w:val="22"/>
          <w:lang w:val="lt-LT" w:eastAsia="de-DE"/>
        </w:rPr>
        <w:t xml:space="preserve"> skalę 7</w:t>
      </w:r>
      <w:r w:rsidR="00E02642">
        <w:rPr>
          <w:iCs/>
          <w:snapToGrid/>
          <w:color w:val="000000"/>
          <w:szCs w:val="22"/>
          <w:lang w:val="lt-LT" w:eastAsia="de-DE"/>
        </w:rPr>
        <w:noBreakHyphen/>
      </w:r>
      <w:r w:rsidRPr="00923E74">
        <w:rPr>
          <w:iCs/>
          <w:snapToGrid/>
          <w:color w:val="000000"/>
          <w:szCs w:val="22"/>
          <w:lang w:val="lt-LT" w:eastAsia="de-DE"/>
        </w:rPr>
        <w:t>9), 1</w:t>
      </w:r>
      <w:r w:rsidR="00E02642">
        <w:rPr>
          <w:iCs/>
          <w:snapToGrid/>
          <w:color w:val="000000"/>
          <w:szCs w:val="22"/>
          <w:lang w:val="lt-LT" w:eastAsia="de-DE"/>
        </w:rPr>
        <w:noBreakHyphen/>
      </w:r>
      <w:r w:rsidRPr="00923E74">
        <w:rPr>
          <w:iCs/>
          <w:snapToGrid/>
          <w:color w:val="000000"/>
          <w:szCs w:val="22"/>
          <w:lang w:val="lt-LT" w:eastAsia="de-DE"/>
        </w:rPr>
        <w:t>ąją ir 14</w:t>
      </w:r>
      <w:r w:rsidR="00E02642">
        <w:rPr>
          <w:iCs/>
          <w:snapToGrid/>
          <w:color w:val="000000"/>
          <w:szCs w:val="22"/>
          <w:lang w:val="lt-LT" w:eastAsia="de-DE"/>
        </w:rPr>
        <w:noBreakHyphen/>
      </w:r>
      <w:r w:rsidRPr="00923E74">
        <w:rPr>
          <w:iCs/>
          <w:snapToGrid/>
          <w:color w:val="000000"/>
          <w:szCs w:val="22"/>
          <w:lang w:val="lt-LT" w:eastAsia="de-DE"/>
        </w:rPr>
        <w:t>ąją</w:t>
      </w:r>
      <w:r w:rsidR="00E02642">
        <w:rPr>
          <w:iCs/>
          <w:snapToGrid/>
          <w:color w:val="000000"/>
          <w:szCs w:val="22"/>
          <w:lang w:val="lt-LT" w:eastAsia="de-DE"/>
        </w:rPr>
        <w:t> par</w:t>
      </w:r>
      <w:r w:rsidRPr="00923E74">
        <w:rPr>
          <w:iCs/>
          <w:snapToGrid/>
          <w:color w:val="000000"/>
          <w:szCs w:val="22"/>
          <w:lang w:val="lt-LT" w:eastAsia="de-DE"/>
        </w:rPr>
        <w:t xml:space="preserve">ą nustatytas </w:t>
      </w:r>
      <w:r w:rsidR="005716D9" w:rsidRPr="00923E74">
        <w:rPr>
          <w:iCs/>
          <w:snapToGrid/>
          <w:color w:val="000000"/>
          <w:szCs w:val="22"/>
          <w:lang w:val="lt-LT" w:eastAsia="de-DE"/>
        </w:rPr>
        <w:t xml:space="preserve">vidutinis </w:t>
      </w:r>
      <w:r w:rsidRPr="00923E74">
        <w:rPr>
          <w:iCs/>
          <w:snapToGrid/>
          <w:color w:val="000000"/>
          <w:szCs w:val="22"/>
          <w:lang w:val="lt-LT" w:eastAsia="de-DE"/>
        </w:rPr>
        <w:t xml:space="preserve">bendrojo </w:t>
      </w:r>
      <w:proofErr w:type="spellStart"/>
      <w:r w:rsidRPr="00923E74">
        <w:rPr>
          <w:iCs/>
          <w:snapToGrid/>
          <w:color w:val="000000"/>
          <w:szCs w:val="22"/>
          <w:lang w:val="lt-LT" w:eastAsia="de-DE"/>
        </w:rPr>
        <w:t>ezetimibo</w:t>
      </w:r>
      <w:proofErr w:type="spellEnd"/>
      <w:r w:rsidR="00E02642">
        <w:rPr>
          <w:iCs/>
          <w:snapToGrid/>
          <w:color w:val="000000"/>
          <w:szCs w:val="22"/>
          <w:lang w:val="lt-LT" w:eastAsia="de-DE"/>
        </w:rPr>
        <w:t> </w:t>
      </w:r>
      <w:r w:rsidRPr="00923E74">
        <w:rPr>
          <w:iCs/>
          <w:snapToGrid/>
          <w:color w:val="000000"/>
          <w:szCs w:val="22"/>
          <w:lang w:val="lt-LT" w:eastAsia="de-DE"/>
        </w:rPr>
        <w:t>AUC padidėjo a</w:t>
      </w:r>
      <w:r w:rsidR="00E02642">
        <w:rPr>
          <w:iCs/>
          <w:snapToGrid/>
          <w:color w:val="000000"/>
          <w:szCs w:val="22"/>
          <w:lang w:val="lt-LT" w:eastAsia="de-DE"/>
        </w:rPr>
        <w:t>pytiksli</w:t>
      </w:r>
      <w:r w:rsidRPr="00923E74">
        <w:rPr>
          <w:iCs/>
          <w:snapToGrid/>
          <w:color w:val="000000"/>
          <w:szCs w:val="22"/>
          <w:lang w:val="lt-LT" w:eastAsia="de-DE"/>
        </w:rPr>
        <w:t>a</w:t>
      </w:r>
      <w:r w:rsidR="00E02642">
        <w:rPr>
          <w:iCs/>
          <w:snapToGrid/>
          <w:color w:val="000000"/>
          <w:szCs w:val="22"/>
          <w:lang w:val="lt-LT" w:eastAsia="de-DE"/>
        </w:rPr>
        <w:t>i</w:t>
      </w:r>
      <w:r w:rsidRPr="00923E74">
        <w:rPr>
          <w:iCs/>
          <w:snapToGrid/>
          <w:color w:val="000000"/>
          <w:szCs w:val="22"/>
          <w:lang w:val="lt-LT" w:eastAsia="de-DE"/>
        </w:rPr>
        <w:t xml:space="preserve"> 4</w:t>
      </w:r>
      <w:r w:rsidR="009D7115" w:rsidRPr="00923E74">
        <w:rPr>
          <w:iCs/>
          <w:snapToGrid/>
          <w:color w:val="000000"/>
          <w:szCs w:val="22"/>
          <w:lang w:val="lt-LT" w:eastAsia="de-DE"/>
        </w:rPr>
        <w:t> </w:t>
      </w:r>
      <w:r w:rsidRPr="00923E74">
        <w:rPr>
          <w:iCs/>
          <w:snapToGrid/>
          <w:color w:val="000000"/>
          <w:szCs w:val="22"/>
          <w:lang w:val="lt-LT" w:eastAsia="de-DE"/>
        </w:rPr>
        <w:t xml:space="preserve">kartus, palyginti su sveikų </w:t>
      </w:r>
      <w:r w:rsidR="00E02642">
        <w:rPr>
          <w:iCs/>
          <w:snapToGrid/>
          <w:color w:val="000000"/>
          <w:szCs w:val="22"/>
          <w:lang w:val="lt-LT" w:eastAsia="de-DE"/>
        </w:rPr>
        <w:t>as</w:t>
      </w:r>
      <w:r w:rsidRPr="00923E74">
        <w:rPr>
          <w:iCs/>
          <w:snapToGrid/>
          <w:color w:val="000000"/>
          <w:szCs w:val="22"/>
          <w:lang w:val="lt-LT" w:eastAsia="de-DE"/>
        </w:rPr>
        <w:t>m</w:t>
      </w:r>
      <w:r w:rsidR="00E02642">
        <w:rPr>
          <w:iCs/>
          <w:snapToGrid/>
          <w:color w:val="000000"/>
          <w:szCs w:val="22"/>
          <w:lang w:val="lt-LT" w:eastAsia="de-DE"/>
        </w:rPr>
        <w:t>e</w:t>
      </w:r>
      <w:r w:rsidRPr="00923E74">
        <w:rPr>
          <w:iCs/>
          <w:snapToGrid/>
          <w:color w:val="000000"/>
          <w:szCs w:val="22"/>
          <w:lang w:val="lt-LT" w:eastAsia="de-DE"/>
        </w:rPr>
        <w:t>nų rodi</w:t>
      </w:r>
      <w:r w:rsidR="00E02642">
        <w:rPr>
          <w:iCs/>
          <w:snapToGrid/>
          <w:color w:val="000000"/>
          <w:szCs w:val="22"/>
          <w:lang w:val="lt-LT" w:eastAsia="de-DE"/>
        </w:rPr>
        <w:t>kl</w:t>
      </w:r>
      <w:r w:rsidRPr="00923E74">
        <w:rPr>
          <w:iCs/>
          <w:snapToGrid/>
          <w:color w:val="000000"/>
          <w:szCs w:val="22"/>
          <w:lang w:val="lt-LT" w:eastAsia="de-DE"/>
        </w:rPr>
        <w:t>i</w:t>
      </w:r>
      <w:r w:rsidR="00E02642">
        <w:rPr>
          <w:iCs/>
          <w:snapToGrid/>
          <w:color w:val="000000"/>
          <w:szCs w:val="22"/>
          <w:lang w:val="lt-LT" w:eastAsia="de-DE"/>
        </w:rPr>
        <w:t>ai</w:t>
      </w:r>
      <w:r w:rsidRPr="00923E74">
        <w:rPr>
          <w:iCs/>
          <w:snapToGrid/>
          <w:color w:val="000000"/>
          <w:szCs w:val="22"/>
          <w:lang w:val="lt-LT" w:eastAsia="de-DE"/>
        </w:rPr>
        <w:t xml:space="preserve">s. Pacientams, kuriems yra lengvas kepenų </w:t>
      </w:r>
      <w:r w:rsidR="005716D9" w:rsidRPr="00923E74">
        <w:rPr>
          <w:iCs/>
          <w:snapToGrid/>
          <w:color w:val="000000"/>
          <w:szCs w:val="22"/>
          <w:lang w:val="lt-LT" w:eastAsia="de-DE"/>
        </w:rPr>
        <w:t>nepakankamumas</w:t>
      </w:r>
      <w:r w:rsidRPr="00923E74">
        <w:rPr>
          <w:iCs/>
          <w:snapToGrid/>
          <w:color w:val="000000"/>
          <w:szCs w:val="22"/>
          <w:lang w:val="lt-LT" w:eastAsia="de-DE"/>
        </w:rPr>
        <w:t xml:space="preserve">, dozės koreguoti nereikia. Nėra žinoma, kokį poveikį sukelia vidutinio sunkumo ar sunkiu kepenų </w:t>
      </w:r>
      <w:r w:rsidR="005716D9" w:rsidRPr="00923E74">
        <w:rPr>
          <w:iCs/>
          <w:snapToGrid/>
          <w:color w:val="000000"/>
          <w:szCs w:val="22"/>
          <w:lang w:val="lt-LT" w:eastAsia="de-DE"/>
        </w:rPr>
        <w:t>nepakankamumu</w:t>
      </w:r>
      <w:r w:rsidRPr="00923E74">
        <w:rPr>
          <w:iCs/>
          <w:snapToGrid/>
          <w:color w:val="000000"/>
          <w:szCs w:val="22"/>
          <w:lang w:val="lt-LT" w:eastAsia="de-DE"/>
        </w:rPr>
        <w:t xml:space="preserve"> (įvertinimas pagal </w:t>
      </w:r>
      <w:proofErr w:type="spellStart"/>
      <w:r w:rsidRPr="00923E74">
        <w:rPr>
          <w:i/>
          <w:iCs/>
          <w:snapToGrid/>
          <w:color w:val="000000"/>
          <w:szCs w:val="22"/>
          <w:lang w:val="lt-LT" w:eastAsia="de-DE"/>
        </w:rPr>
        <w:t>Child</w:t>
      </w:r>
      <w:r w:rsidR="00E02642">
        <w:rPr>
          <w:i/>
          <w:iCs/>
          <w:snapToGrid/>
          <w:color w:val="000000"/>
          <w:szCs w:val="22"/>
          <w:lang w:val="lt-LT" w:eastAsia="de-DE"/>
        </w:rPr>
        <w:noBreakHyphen/>
      </w:r>
      <w:r w:rsidRPr="00923E74">
        <w:rPr>
          <w:i/>
          <w:iCs/>
          <w:snapToGrid/>
          <w:color w:val="000000"/>
          <w:szCs w:val="22"/>
          <w:lang w:val="lt-LT" w:eastAsia="de-DE"/>
        </w:rPr>
        <w:t>Pugh</w:t>
      </w:r>
      <w:proofErr w:type="spellEnd"/>
      <w:r w:rsidRPr="00923E74">
        <w:rPr>
          <w:i/>
          <w:iCs/>
          <w:snapToGrid/>
          <w:color w:val="000000"/>
          <w:szCs w:val="22"/>
          <w:lang w:val="lt-LT" w:eastAsia="de-DE"/>
        </w:rPr>
        <w:t xml:space="preserve"> </w:t>
      </w:r>
      <w:r w:rsidRPr="00923E74">
        <w:rPr>
          <w:iCs/>
          <w:snapToGrid/>
          <w:color w:val="000000"/>
          <w:szCs w:val="22"/>
          <w:lang w:val="lt-LT" w:eastAsia="de-DE"/>
        </w:rPr>
        <w:t>skalę &gt;</w:t>
      </w:r>
      <w:r w:rsidR="009D7115" w:rsidRPr="00923E74">
        <w:rPr>
          <w:iCs/>
          <w:snapToGrid/>
          <w:color w:val="000000"/>
          <w:szCs w:val="22"/>
          <w:lang w:val="lt-LT" w:eastAsia="de-DE"/>
        </w:rPr>
        <w:t> </w:t>
      </w:r>
      <w:r w:rsidRPr="00923E74">
        <w:rPr>
          <w:iCs/>
          <w:snapToGrid/>
          <w:color w:val="000000"/>
          <w:szCs w:val="22"/>
          <w:lang w:val="lt-LT" w:eastAsia="de-DE"/>
        </w:rPr>
        <w:t xml:space="preserve">9) sergančių pacientų organizme būnanti padidėjusi </w:t>
      </w:r>
      <w:proofErr w:type="spellStart"/>
      <w:r w:rsidRPr="00923E74">
        <w:rPr>
          <w:iCs/>
          <w:snapToGrid/>
          <w:color w:val="000000"/>
          <w:szCs w:val="22"/>
          <w:lang w:val="lt-LT" w:eastAsia="de-DE"/>
        </w:rPr>
        <w:t>ezetimibo</w:t>
      </w:r>
      <w:proofErr w:type="spellEnd"/>
      <w:r w:rsidRPr="00923E74">
        <w:rPr>
          <w:iCs/>
          <w:snapToGrid/>
          <w:color w:val="000000"/>
          <w:szCs w:val="22"/>
          <w:lang w:val="lt-LT" w:eastAsia="de-DE"/>
        </w:rPr>
        <w:t xml:space="preserve"> ekspozicija, todėl tokių pacientų </w:t>
      </w:r>
      <w:proofErr w:type="spellStart"/>
      <w:r w:rsidRPr="00923E74">
        <w:rPr>
          <w:iCs/>
          <w:snapToGrid/>
          <w:color w:val="000000"/>
          <w:szCs w:val="22"/>
          <w:lang w:val="lt-LT" w:eastAsia="de-DE"/>
        </w:rPr>
        <w:t>ezetimibu</w:t>
      </w:r>
      <w:proofErr w:type="spellEnd"/>
      <w:r w:rsidRPr="00923E74">
        <w:rPr>
          <w:iCs/>
          <w:snapToGrid/>
          <w:color w:val="000000"/>
          <w:szCs w:val="22"/>
          <w:lang w:val="lt-LT" w:eastAsia="de-DE"/>
        </w:rPr>
        <w:t xml:space="preserve"> gydyti nerekomenduojama (žr.</w:t>
      </w:r>
      <w:r w:rsidR="00E02642">
        <w:rPr>
          <w:iCs/>
          <w:snapToGrid/>
          <w:color w:val="000000"/>
          <w:szCs w:val="22"/>
          <w:lang w:val="lt-LT" w:eastAsia="de-DE"/>
        </w:rPr>
        <w:t> </w:t>
      </w:r>
      <w:r w:rsidR="005716D9" w:rsidRPr="00923E74">
        <w:rPr>
          <w:iCs/>
          <w:snapToGrid/>
          <w:color w:val="000000"/>
          <w:szCs w:val="22"/>
          <w:lang w:val="lt-LT" w:eastAsia="de-DE"/>
        </w:rPr>
        <w:t>4.2 ir 4.4</w:t>
      </w:r>
      <w:r w:rsidR="00764354">
        <w:rPr>
          <w:iCs/>
          <w:snapToGrid/>
          <w:color w:val="000000"/>
          <w:szCs w:val="22"/>
          <w:lang w:val="lt-LT" w:eastAsia="de-DE"/>
        </w:rPr>
        <w:t> </w:t>
      </w:r>
      <w:r w:rsidR="005716D9" w:rsidRPr="00923E74">
        <w:rPr>
          <w:iCs/>
          <w:snapToGrid/>
          <w:color w:val="000000"/>
          <w:szCs w:val="22"/>
          <w:lang w:val="lt-LT" w:eastAsia="de-DE"/>
        </w:rPr>
        <w:t>skyrius</w:t>
      </w:r>
      <w:r w:rsidRPr="00923E74">
        <w:rPr>
          <w:iCs/>
          <w:snapToGrid/>
          <w:color w:val="000000"/>
          <w:szCs w:val="22"/>
          <w:lang w:val="lt-LT" w:eastAsia="de-DE"/>
        </w:rPr>
        <w:t>).</w:t>
      </w:r>
    </w:p>
    <w:p w14:paraId="6205587F" w14:textId="77777777" w:rsidR="00715197" w:rsidRPr="00923E74" w:rsidRDefault="00715197" w:rsidP="001E1BBB">
      <w:pPr>
        <w:tabs>
          <w:tab w:val="clear" w:pos="567"/>
        </w:tabs>
        <w:autoSpaceDE w:val="0"/>
        <w:autoSpaceDN w:val="0"/>
        <w:adjustRightInd w:val="0"/>
        <w:spacing w:line="240" w:lineRule="auto"/>
        <w:rPr>
          <w:i/>
          <w:iCs/>
          <w:snapToGrid/>
          <w:color w:val="000000"/>
          <w:szCs w:val="22"/>
          <w:lang w:val="lt-LT" w:eastAsia="de-DE"/>
        </w:rPr>
      </w:pPr>
    </w:p>
    <w:p w14:paraId="0220E645" w14:textId="77777777" w:rsidR="001E1BBB" w:rsidRPr="00923E74" w:rsidRDefault="00715197"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Atorvastatinas</w:t>
      </w:r>
      <w:proofErr w:type="spellEnd"/>
    </w:p>
    <w:p w14:paraId="432E8848" w14:textId="39C9A9ED" w:rsidR="001E1BBB" w:rsidRPr="00923E74" w:rsidRDefault="006C3E5B" w:rsidP="001E1BBB">
      <w:pPr>
        <w:tabs>
          <w:tab w:val="clear" w:pos="567"/>
        </w:tabs>
        <w:autoSpaceDE w:val="0"/>
        <w:autoSpaceDN w:val="0"/>
        <w:adjustRightInd w:val="0"/>
        <w:spacing w:line="240" w:lineRule="auto"/>
        <w:rPr>
          <w:snapToGrid/>
          <w:color w:val="000000"/>
          <w:szCs w:val="22"/>
          <w:lang w:val="lt-LT" w:eastAsia="de-DE"/>
        </w:rPr>
      </w:pPr>
      <w:r w:rsidRPr="00923E74">
        <w:rPr>
          <w:snapToGrid/>
          <w:color w:val="000000"/>
          <w:szCs w:val="22"/>
          <w:lang w:val="lt-LT" w:eastAsia="de-DE"/>
        </w:rPr>
        <w:t>Lėtine alkoholine kepenų liga (B</w:t>
      </w:r>
      <w:r w:rsidR="00E02642">
        <w:rPr>
          <w:snapToGrid/>
          <w:color w:val="000000"/>
          <w:szCs w:val="22"/>
          <w:lang w:val="lt-LT" w:eastAsia="de-DE"/>
        </w:rPr>
        <w:t> </w:t>
      </w:r>
      <w:r w:rsidRPr="00923E74">
        <w:rPr>
          <w:snapToGrid/>
          <w:color w:val="000000"/>
          <w:szCs w:val="22"/>
          <w:lang w:val="lt-LT" w:eastAsia="de-DE"/>
        </w:rPr>
        <w:t xml:space="preserve">klasės </w:t>
      </w:r>
      <w:r w:rsidRPr="00923E74">
        <w:rPr>
          <w:iCs/>
          <w:snapToGrid/>
          <w:color w:val="000000"/>
          <w:szCs w:val="22"/>
          <w:lang w:val="lt-LT" w:eastAsia="de-DE"/>
        </w:rPr>
        <w:t xml:space="preserve">pagal </w:t>
      </w:r>
      <w:proofErr w:type="spellStart"/>
      <w:r w:rsidRPr="00923E74">
        <w:rPr>
          <w:i/>
          <w:iCs/>
          <w:snapToGrid/>
          <w:color w:val="000000"/>
          <w:szCs w:val="22"/>
          <w:lang w:val="lt-LT" w:eastAsia="de-DE"/>
        </w:rPr>
        <w:t>Child</w:t>
      </w:r>
      <w:r w:rsidR="00E02642">
        <w:rPr>
          <w:i/>
          <w:iCs/>
          <w:snapToGrid/>
          <w:color w:val="000000"/>
          <w:szCs w:val="22"/>
          <w:lang w:val="lt-LT" w:eastAsia="de-DE"/>
        </w:rPr>
        <w:noBreakHyphen/>
      </w:r>
      <w:r w:rsidRPr="00923E74">
        <w:rPr>
          <w:i/>
          <w:iCs/>
          <w:snapToGrid/>
          <w:color w:val="000000"/>
          <w:szCs w:val="22"/>
          <w:lang w:val="lt-LT" w:eastAsia="de-DE"/>
        </w:rPr>
        <w:t>Pugh</w:t>
      </w:r>
      <w:proofErr w:type="spellEnd"/>
      <w:r w:rsidRPr="00923E74">
        <w:rPr>
          <w:iCs/>
          <w:snapToGrid/>
          <w:color w:val="000000"/>
          <w:szCs w:val="22"/>
          <w:lang w:val="lt-LT" w:eastAsia="de-DE"/>
        </w:rPr>
        <w:t xml:space="preserve"> skalę</w:t>
      </w:r>
      <w:r w:rsidRPr="00923E74">
        <w:rPr>
          <w:snapToGrid/>
          <w:color w:val="000000"/>
          <w:szCs w:val="22"/>
          <w:lang w:val="lt-LT" w:eastAsia="de-DE"/>
        </w:rPr>
        <w:t xml:space="preserve">) sergančių pacientų kraujo plazmoje </w:t>
      </w:r>
      <w:proofErr w:type="spellStart"/>
      <w:r w:rsidRPr="00923E74">
        <w:rPr>
          <w:snapToGrid/>
          <w:color w:val="000000"/>
          <w:szCs w:val="22"/>
          <w:lang w:val="lt-LT" w:eastAsia="de-DE"/>
        </w:rPr>
        <w:t>atorvastatino</w:t>
      </w:r>
      <w:proofErr w:type="spellEnd"/>
      <w:r w:rsidRPr="00923E74">
        <w:rPr>
          <w:snapToGrid/>
          <w:color w:val="000000"/>
          <w:szCs w:val="22"/>
          <w:lang w:val="lt-LT" w:eastAsia="de-DE"/>
        </w:rPr>
        <w:t xml:space="preserve"> ir aktyviųjų jo metabolitų koncentracija būna reikšmingai didesnė (</w:t>
      </w:r>
      <w:proofErr w:type="spellStart"/>
      <w:r w:rsidRPr="00923E74">
        <w:rPr>
          <w:snapToGrid/>
          <w:color w:val="000000"/>
          <w:szCs w:val="22"/>
          <w:lang w:val="lt-LT" w:eastAsia="de-DE"/>
        </w:rPr>
        <w:t>C</w:t>
      </w:r>
      <w:r w:rsidRPr="00923E74">
        <w:rPr>
          <w:snapToGrid/>
          <w:color w:val="000000"/>
          <w:szCs w:val="22"/>
          <w:vertAlign w:val="subscript"/>
          <w:lang w:val="lt-LT" w:eastAsia="de-DE"/>
        </w:rPr>
        <w:t>max</w:t>
      </w:r>
      <w:proofErr w:type="spellEnd"/>
      <w:r w:rsidRPr="00923E74">
        <w:rPr>
          <w:snapToGrid/>
          <w:color w:val="000000"/>
          <w:szCs w:val="22"/>
          <w:lang w:val="lt-LT" w:eastAsia="de-DE"/>
        </w:rPr>
        <w:t xml:space="preserve"> − ap</w:t>
      </w:r>
      <w:r w:rsidR="00E02642">
        <w:rPr>
          <w:snapToGrid/>
          <w:color w:val="000000"/>
          <w:szCs w:val="22"/>
          <w:lang w:val="lt-LT" w:eastAsia="de-DE"/>
        </w:rPr>
        <w:t>ytikslia</w:t>
      </w:r>
      <w:r w:rsidRPr="00923E74">
        <w:rPr>
          <w:snapToGrid/>
          <w:color w:val="000000"/>
          <w:szCs w:val="22"/>
          <w:lang w:val="lt-LT" w:eastAsia="de-DE"/>
        </w:rPr>
        <w:t>i 16</w:t>
      </w:r>
      <w:r w:rsidRPr="00923E74">
        <w:rPr>
          <w:szCs w:val="22"/>
          <w:lang w:val="lt-LT" w:eastAsia="de-DE"/>
        </w:rPr>
        <w:t> </w:t>
      </w:r>
      <w:r w:rsidRPr="00923E74">
        <w:rPr>
          <w:snapToGrid/>
          <w:color w:val="000000"/>
          <w:szCs w:val="22"/>
          <w:lang w:val="lt-LT" w:eastAsia="de-DE"/>
        </w:rPr>
        <w:t>kartų, AUC − a</w:t>
      </w:r>
      <w:r w:rsidR="00E02642">
        <w:rPr>
          <w:snapToGrid/>
          <w:color w:val="000000"/>
          <w:szCs w:val="22"/>
          <w:lang w:val="lt-LT" w:eastAsia="de-DE"/>
        </w:rPr>
        <w:t>pytiksli</w:t>
      </w:r>
      <w:r w:rsidRPr="00923E74">
        <w:rPr>
          <w:snapToGrid/>
          <w:color w:val="000000"/>
          <w:szCs w:val="22"/>
          <w:lang w:val="lt-LT" w:eastAsia="de-DE"/>
        </w:rPr>
        <w:t>a</w:t>
      </w:r>
      <w:r w:rsidR="00E02642">
        <w:rPr>
          <w:snapToGrid/>
          <w:color w:val="000000"/>
          <w:szCs w:val="22"/>
          <w:lang w:val="lt-LT" w:eastAsia="de-DE"/>
        </w:rPr>
        <w:t>i</w:t>
      </w:r>
      <w:r w:rsidRPr="00923E74">
        <w:rPr>
          <w:snapToGrid/>
          <w:color w:val="000000"/>
          <w:szCs w:val="22"/>
          <w:lang w:val="lt-LT" w:eastAsia="de-DE"/>
        </w:rPr>
        <w:t xml:space="preserve"> 11 kartų).</w:t>
      </w:r>
    </w:p>
    <w:p w14:paraId="6B2F1A3B"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090E45BE" w14:textId="77777777" w:rsidR="006C3E5B" w:rsidRPr="00923E74" w:rsidRDefault="006C3E5B" w:rsidP="007E15ED">
      <w:pPr>
        <w:keepNext/>
        <w:tabs>
          <w:tab w:val="clear" w:pos="567"/>
        </w:tabs>
        <w:autoSpaceDE w:val="0"/>
        <w:autoSpaceDN w:val="0"/>
        <w:adjustRightInd w:val="0"/>
        <w:spacing w:line="240" w:lineRule="auto"/>
        <w:rPr>
          <w:snapToGrid/>
          <w:color w:val="000000"/>
          <w:szCs w:val="22"/>
          <w:u w:val="single"/>
          <w:lang w:val="lt-LT" w:eastAsia="de-DE"/>
        </w:rPr>
      </w:pPr>
      <w:r w:rsidRPr="00923E74">
        <w:rPr>
          <w:snapToGrid/>
          <w:color w:val="000000"/>
          <w:szCs w:val="22"/>
          <w:u w:val="single"/>
          <w:lang w:val="lt-LT" w:eastAsia="de-DE"/>
        </w:rPr>
        <w:t>Sutrikusi inkstų funkcija</w:t>
      </w:r>
    </w:p>
    <w:p w14:paraId="03964AB1" w14:textId="77777777" w:rsidR="001E1BBB" w:rsidRPr="00923E74" w:rsidRDefault="001E1BB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Ezetimib</w:t>
      </w:r>
      <w:r w:rsidR="006C3E5B" w:rsidRPr="00923E74">
        <w:rPr>
          <w:i/>
          <w:iCs/>
          <w:snapToGrid/>
          <w:color w:val="000000"/>
          <w:szCs w:val="22"/>
          <w:lang w:val="lt-LT" w:eastAsia="de-DE"/>
        </w:rPr>
        <w:t>as</w:t>
      </w:r>
      <w:proofErr w:type="spellEnd"/>
    </w:p>
    <w:p w14:paraId="37BC1269" w14:textId="6A255E46" w:rsidR="00AF1A12" w:rsidRPr="00923E74" w:rsidRDefault="00AF1A12" w:rsidP="00AF1A12">
      <w:pPr>
        <w:widowControl w:val="0"/>
        <w:spacing w:line="240" w:lineRule="auto"/>
        <w:rPr>
          <w:szCs w:val="22"/>
          <w:lang w:val="lt-LT" w:eastAsia="sl-SI"/>
        </w:rPr>
      </w:pPr>
      <w:r w:rsidRPr="00923E74">
        <w:rPr>
          <w:szCs w:val="22"/>
          <w:lang w:val="lt-LT" w:eastAsia="sl-SI"/>
        </w:rPr>
        <w:t>Po vienkartinės 10</w:t>
      </w:r>
      <w:r w:rsidR="00DB52C7" w:rsidRPr="00923E74">
        <w:rPr>
          <w:szCs w:val="22"/>
          <w:lang w:val="lt-LT" w:eastAsia="sl-SI"/>
        </w:rPr>
        <w:t> mg</w:t>
      </w:r>
      <w:r w:rsidRPr="00923E74">
        <w:rPr>
          <w:szCs w:val="22"/>
          <w:lang w:val="lt-LT" w:eastAsia="sl-SI"/>
        </w:rPr>
        <w:t xml:space="preserve"> </w:t>
      </w:r>
      <w:proofErr w:type="spellStart"/>
      <w:r w:rsidRPr="00923E74">
        <w:rPr>
          <w:szCs w:val="22"/>
          <w:lang w:val="lt-LT" w:eastAsia="sl-SI"/>
        </w:rPr>
        <w:t>ezetimibo</w:t>
      </w:r>
      <w:proofErr w:type="spellEnd"/>
      <w:r w:rsidRPr="00923E74">
        <w:rPr>
          <w:szCs w:val="22"/>
          <w:lang w:val="lt-LT" w:eastAsia="sl-SI"/>
        </w:rPr>
        <w:t xml:space="preserve"> dozės pavartojimo pacientų, kurie sirgo sunkia inkstų liga (n</w:t>
      </w:r>
      <w:r w:rsidR="00E02642">
        <w:rPr>
          <w:szCs w:val="22"/>
          <w:lang w:val="lt-LT" w:eastAsia="sl-SI"/>
        </w:rPr>
        <w:t> </w:t>
      </w:r>
      <w:r w:rsidRPr="00923E74">
        <w:rPr>
          <w:szCs w:val="22"/>
          <w:lang w:val="lt-LT" w:eastAsia="sl-SI"/>
        </w:rPr>
        <w:t>=</w:t>
      </w:r>
      <w:r w:rsidR="00E02642">
        <w:rPr>
          <w:szCs w:val="22"/>
          <w:lang w:val="lt-LT" w:eastAsia="sl-SI"/>
        </w:rPr>
        <w:t> </w:t>
      </w:r>
      <w:r w:rsidRPr="00923E74">
        <w:rPr>
          <w:szCs w:val="22"/>
          <w:lang w:val="lt-LT" w:eastAsia="sl-SI"/>
        </w:rPr>
        <w:t>8, vidutinis kreatinino klirensas ≤</w:t>
      </w:r>
      <w:r w:rsidR="00E02642">
        <w:rPr>
          <w:szCs w:val="22"/>
          <w:lang w:val="lt-LT" w:eastAsia="sl-SI"/>
        </w:rPr>
        <w:t> </w:t>
      </w:r>
      <w:r w:rsidRPr="00923E74">
        <w:rPr>
          <w:szCs w:val="22"/>
          <w:lang w:val="lt-LT" w:eastAsia="sl-SI"/>
        </w:rPr>
        <w:t>30 ml/min./1,73 m</w:t>
      </w:r>
      <w:r w:rsidRPr="00923E74">
        <w:rPr>
          <w:szCs w:val="22"/>
          <w:vertAlign w:val="superscript"/>
          <w:lang w:val="lt-LT" w:eastAsia="sl-SI"/>
        </w:rPr>
        <w:t>2</w:t>
      </w:r>
      <w:r w:rsidRPr="00923E74">
        <w:rPr>
          <w:szCs w:val="22"/>
          <w:lang w:val="lt-LT" w:eastAsia="sl-SI"/>
        </w:rPr>
        <w:t>), vidutinis bendr</w:t>
      </w:r>
      <w:r w:rsidR="00E02642">
        <w:rPr>
          <w:szCs w:val="22"/>
          <w:lang w:val="lt-LT" w:eastAsia="sl-SI"/>
        </w:rPr>
        <w:t>asis</w:t>
      </w:r>
      <w:r w:rsidRPr="00923E74">
        <w:rPr>
          <w:szCs w:val="22"/>
          <w:lang w:val="lt-LT" w:eastAsia="sl-SI"/>
        </w:rPr>
        <w:t xml:space="preserve"> </w:t>
      </w:r>
      <w:proofErr w:type="spellStart"/>
      <w:r w:rsidRPr="00923E74">
        <w:rPr>
          <w:szCs w:val="22"/>
          <w:lang w:val="lt-LT" w:eastAsia="sl-SI"/>
        </w:rPr>
        <w:t>ezetimibo</w:t>
      </w:r>
      <w:proofErr w:type="spellEnd"/>
      <w:r w:rsidR="00E02642">
        <w:rPr>
          <w:szCs w:val="22"/>
          <w:lang w:val="lt-LT" w:eastAsia="sl-SI"/>
        </w:rPr>
        <w:t> </w:t>
      </w:r>
      <w:r w:rsidRPr="00923E74">
        <w:rPr>
          <w:szCs w:val="22"/>
          <w:lang w:val="lt-LT" w:eastAsia="sl-SI"/>
        </w:rPr>
        <w:t>AUC padidėjo a</w:t>
      </w:r>
      <w:r w:rsidR="00E02642">
        <w:rPr>
          <w:szCs w:val="22"/>
          <w:lang w:val="lt-LT" w:eastAsia="sl-SI"/>
        </w:rPr>
        <w:t>pytiksli</w:t>
      </w:r>
      <w:r w:rsidRPr="00923E74">
        <w:rPr>
          <w:szCs w:val="22"/>
          <w:lang w:val="lt-LT" w:eastAsia="sl-SI"/>
        </w:rPr>
        <w:t>a</w:t>
      </w:r>
      <w:r w:rsidR="00E02642">
        <w:rPr>
          <w:szCs w:val="22"/>
          <w:lang w:val="lt-LT" w:eastAsia="sl-SI"/>
        </w:rPr>
        <w:t>i</w:t>
      </w:r>
      <w:r w:rsidRPr="00923E74">
        <w:rPr>
          <w:szCs w:val="22"/>
          <w:lang w:val="lt-LT" w:eastAsia="sl-SI"/>
        </w:rPr>
        <w:t xml:space="preserve"> 1,5 karto, palyginti su rod</w:t>
      </w:r>
      <w:r w:rsidR="00E02642">
        <w:rPr>
          <w:szCs w:val="22"/>
          <w:lang w:val="lt-LT" w:eastAsia="sl-SI"/>
        </w:rPr>
        <w:t>ikl</w:t>
      </w:r>
      <w:r w:rsidRPr="00923E74">
        <w:rPr>
          <w:szCs w:val="22"/>
          <w:lang w:val="lt-LT" w:eastAsia="sl-SI"/>
        </w:rPr>
        <w:t xml:space="preserve">iu sveikų </w:t>
      </w:r>
      <w:r w:rsidR="00E02642">
        <w:rPr>
          <w:szCs w:val="22"/>
          <w:lang w:val="lt-LT" w:eastAsia="sl-SI"/>
        </w:rPr>
        <w:t>as</w:t>
      </w:r>
      <w:r w:rsidRPr="00923E74">
        <w:rPr>
          <w:szCs w:val="22"/>
          <w:lang w:val="lt-LT" w:eastAsia="sl-SI"/>
        </w:rPr>
        <w:t>m</w:t>
      </w:r>
      <w:r w:rsidR="00E02642">
        <w:rPr>
          <w:szCs w:val="22"/>
          <w:lang w:val="lt-LT" w:eastAsia="sl-SI"/>
        </w:rPr>
        <w:t>e</w:t>
      </w:r>
      <w:r w:rsidRPr="00923E74">
        <w:rPr>
          <w:szCs w:val="22"/>
          <w:lang w:val="lt-LT" w:eastAsia="sl-SI"/>
        </w:rPr>
        <w:t>nų organizme (n</w:t>
      </w:r>
      <w:r w:rsidR="00E02642">
        <w:rPr>
          <w:szCs w:val="22"/>
          <w:lang w:val="lt-LT" w:eastAsia="sl-SI"/>
        </w:rPr>
        <w:t> </w:t>
      </w:r>
      <w:r w:rsidRPr="00923E74">
        <w:rPr>
          <w:szCs w:val="22"/>
          <w:lang w:val="lt-LT" w:eastAsia="sl-SI"/>
        </w:rPr>
        <w:t>=</w:t>
      </w:r>
      <w:r w:rsidR="00E02642">
        <w:rPr>
          <w:szCs w:val="22"/>
          <w:lang w:val="lt-LT" w:eastAsia="sl-SI"/>
        </w:rPr>
        <w:t> </w:t>
      </w:r>
      <w:r w:rsidRPr="00923E74">
        <w:rPr>
          <w:szCs w:val="22"/>
          <w:lang w:val="lt-LT" w:eastAsia="sl-SI"/>
        </w:rPr>
        <w:t>9).</w:t>
      </w:r>
    </w:p>
    <w:p w14:paraId="451B2321" w14:textId="77777777" w:rsidR="00AF1A12" w:rsidRPr="00923E74" w:rsidRDefault="00AF1A12" w:rsidP="00AF1A12">
      <w:pPr>
        <w:widowControl w:val="0"/>
        <w:spacing w:line="240" w:lineRule="auto"/>
        <w:rPr>
          <w:szCs w:val="22"/>
          <w:lang w:val="lt-LT" w:eastAsia="sl-SI"/>
        </w:rPr>
      </w:pPr>
    </w:p>
    <w:p w14:paraId="3D1F92CA" w14:textId="369E9AA4" w:rsidR="00AF1A12" w:rsidRPr="00923E74" w:rsidRDefault="00AF1A12" w:rsidP="00AF1A12">
      <w:pPr>
        <w:widowControl w:val="0"/>
        <w:spacing w:line="240" w:lineRule="auto"/>
        <w:rPr>
          <w:szCs w:val="22"/>
          <w:lang w:val="lt-LT" w:eastAsia="sl-SI"/>
        </w:rPr>
      </w:pPr>
      <w:r w:rsidRPr="00923E74">
        <w:rPr>
          <w:szCs w:val="22"/>
          <w:lang w:val="lt-LT" w:eastAsia="sl-SI"/>
        </w:rPr>
        <w:t xml:space="preserve">Dar vienam šio tyrimo pacientui (jam buvo persodintas inkstas ir jis vartojo daug kitų vaistinių preparatų, įskaitant </w:t>
      </w:r>
      <w:proofErr w:type="spellStart"/>
      <w:r w:rsidRPr="00923E74">
        <w:rPr>
          <w:szCs w:val="22"/>
          <w:lang w:val="lt-LT" w:eastAsia="sl-SI"/>
        </w:rPr>
        <w:t>ciklosporiną</w:t>
      </w:r>
      <w:proofErr w:type="spellEnd"/>
      <w:r w:rsidRPr="00923E74">
        <w:rPr>
          <w:szCs w:val="22"/>
          <w:lang w:val="lt-LT" w:eastAsia="sl-SI"/>
        </w:rPr>
        <w:t>) nustatyta 12 kartų didesnė bendroj</w:t>
      </w:r>
      <w:r w:rsidR="00E02642">
        <w:rPr>
          <w:szCs w:val="22"/>
          <w:lang w:val="lt-LT" w:eastAsia="sl-SI"/>
        </w:rPr>
        <w:t>i</w:t>
      </w:r>
      <w:r w:rsidRPr="00923E74">
        <w:rPr>
          <w:szCs w:val="22"/>
          <w:lang w:val="lt-LT" w:eastAsia="sl-SI"/>
        </w:rPr>
        <w:t xml:space="preserve"> </w:t>
      </w:r>
      <w:proofErr w:type="spellStart"/>
      <w:r w:rsidRPr="00923E74">
        <w:rPr>
          <w:szCs w:val="22"/>
          <w:lang w:val="lt-LT" w:eastAsia="sl-SI"/>
        </w:rPr>
        <w:t>ezetimibo</w:t>
      </w:r>
      <w:proofErr w:type="spellEnd"/>
      <w:r w:rsidRPr="00923E74">
        <w:rPr>
          <w:szCs w:val="22"/>
          <w:lang w:val="lt-LT" w:eastAsia="sl-SI"/>
        </w:rPr>
        <w:t xml:space="preserve"> ekspozicija.</w:t>
      </w:r>
    </w:p>
    <w:p w14:paraId="7F4F1523"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17EAE40A" w14:textId="77777777" w:rsidR="001E1BBB" w:rsidRPr="00923E74" w:rsidRDefault="006C3E5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Atorvastatinas</w:t>
      </w:r>
      <w:proofErr w:type="spellEnd"/>
    </w:p>
    <w:p w14:paraId="293B2515" w14:textId="41DD6582" w:rsidR="001E1BBB" w:rsidRPr="00923E74" w:rsidRDefault="00FF6BCB" w:rsidP="001E1BBB">
      <w:pPr>
        <w:tabs>
          <w:tab w:val="clear" w:pos="567"/>
        </w:tabs>
        <w:autoSpaceDE w:val="0"/>
        <w:autoSpaceDN w:val="0"/>
        <w:adjustRightInd w:val="0"/>
        <w:spacing w:line="240" w:lineRule="auto"/>
        <w:rPr>
          <w:snapToGrid/>
          <w:color w:val="000000"/>
          <w:szCs w:val="22"/>
          <w:lang w:val="lt-LT" w:eastAsia="de-DE"/>
        </w:rPr>
      </w:pPr>
      <w:r w:rsidRPr="00923E74">
        <w:rPr>
          <w:snapToGrid/>
          <w:color w:val="000000"/>
          <w:szCs w:val="22"/>
          <w:lang w:val="lt-LT" w:eastAsia="de-DE"/>
        </w:rPr>
        <w:t xml:space="preserve">Inkstų liga nedaro įtakos nei </w:t>
      </w:r>
      <w:proofErr w:type="spellStart"/>
      <w:r w:rsidRPr="00923E74">
        <w:rPr>
          <w:snapToGrid/>
          <w:color w:val="000000"/>
          <w:szCs w:val="22"/>
          <w:lang w:val="lt-LT" w:eastAsia="de-DE"/>
        </w:rPr>
        <w:t>atorvastatino</w:t>
      </w:r>
      <w:proofErr w:type="spellEnd"/>
      <w:r w:rsidRPr="00923E74">
        <w:rPr>
          <w:snapToGrid/>
          <w:color w:val="000000"/>
          <w:szCs w:val="22"/>
          <w:lang w:val="lt-LT" w:eastAsia="de-DE"/>
        </w:rPr>
        <w:t xml:space="preserve"> ir aktyviųjų jo metabolitų koncentracijai kraujo plazmoje, nei poveikiui lipidų k</w:t>
      </w:r>
      <w:r w:rsidR="00E02642">
        <w:rPr>
          <w:snapToGrid/>
          <w:color w:val="000000"/>
          <w:szCs w:val="22"/>
          <w:lang w:val="lt-LT" w:eastAsia="de-DE"/>
        </w:rPr>
        <w:t>onc</w:t>
      </w:r>
      <w:r w:rsidRPr="00923E74">
        <w:rPr>
          <w:snapToGrid/>
          <w:color w:val="000000"/>
          <w:szCs w:val="22"/>
          <w:lang w:val="lt-LT" w:eastAsia="de-DE"/>
        </w:rPr>
        <w:t>e</w:t>
      </w:r>
      <w:r w:rsidR="00E02642">
        <w:rPr>
          <w:snapToGrid/>
          <w:color w:val="000000"/>
          <w:szCs w:val="22"/>
          <w:lang w:val="lt-LT" w:eastAsia="de-DE"/>
        </w:rPr>
        <w:t>ntrac</w:t>
      </w:r>
      <w:r w:rsidRPr="00923E74">
        <w:rPr>
          <w:snapToGrid/>
          <w:color w:val="000000"/>
          <w:szCs w:val="22"/>
          <w:lang w:val="lt-LT" w:eastAsia="de-DE"/>
        </w:rPr>
        <w:t>i</w:t>
      </w:r>
      <w:r w:rsidR="00E02642">
        <w:rPr>
          <w:snapToGrid/>
          <w:color w:val="000000"/>
          <w:szCs w:val="22"/>
          <w:lang w:val="lt-LT" w:eastAsia="de-DE"/>
        </w:rPr>
        <w:t>ja</w:t>
      </w:r>
      <w:r w:rsidRPr="00923E74">
        <w:rPr>
          <w:snapToGrid/>
          <w:color w:val="000000"/>
          <w:szCs w:val="22"/>
          <w:lang w:val="lt-LT" w:eastAsia="de-DE"/>
        </w:rPr>
        <w:t>i.</w:t>
      </w:r>
    </w:p>
    <w:p w14:paraId="5D0A5B1D"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7156421F" w14:textId="77777777" w:rsidR="001E1BBB" w:rsidRPr="007E15ED" w:rsidRDefault="00AF1A12" w:rsidP="007E15ED">
      <w:pPr>
        <w:keepNext/>
        <w:tabs>
          <w:tab w:val="clear" w:pos="567"/>
        </w:tabs>
        <w:autoSpaceDE w:val="0"/>
        <w:autoSpaceDN w:val="0"/>
        <w:adjustRightInd w:val="0"/>
        <w:spacing w:line="240" w:lineRule="auto"/>
        <w:rPr>
          <w:i/>
          <w:snapToGrid/>
          <w:color w:val="000000"/>
          <w:szCs w:val="22"/>
          <w:u w:val="single"/>
          <w:lang w:val="lt-LT" w:eastAsia="de-DE"/>
        </w:rPr>
      </w:pPr>
      <w:r w:rsidRPr="007E15ED">
        <w:rPr>
          <w:i/>
          <w:snapToGrid/>
          <w:color w:val="000000"/>
          <w:szCs w:val="22"/>
          <w:u w:val="single"/>
          <w:lang w:val="lt-LT" w:eastAsia="de-DE"/>
        </w:rPr>
        <w:t>Lytis</w:t>
      </w:r>
    </w:p>
    <w:p w14:paraId="15339042" w14:textId="77777777" w:rsidR="001E1BBB" w:rsidRPr="00923E74" w:rsidRDefault="00AF1A12"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Ezetimibas</w:t>
      </w:r>
      <w:proofErr w:type="spellEnd"/>
    </w:p>
    <w:p w14:paraId="7631E427" w14:textId="51801039" w:rsidR="001E1BBB" w:rsidRPr="00923E74" w:rsidRDefault="005E64BF" w:rsidP="001E1BBB">
      <w:pPr>
        <w:tabs>
          <w:tab w:val="clear" w:pos="567"/>
        </w:tabs>
        <w:autoSpaceDE w:val="0"/>
        <w:autoSpaceDN w:val="0"/>
        <w:adjustRightInd w:val="0"/>
        <w:spacing w:line="240" w:lineRule="auto"/>
        <w:rPr>
          <w:snapToGrid/>
          <w:color w:val="000000"/>
          <w:szCs w:val="22"/>
          <w:lang w:val="lt-LT" w:eastAsia="de-DE"/>
        </w:rPr>
      </w:pPr>
      <w:r w:rsidRPr="00923E74">
        <w:rPr>
          <w:snapToGrid/>
          <w:color w:val="000000"/>
          <w:szCs w:val="22"/>
          <w:lang w:val="lt-LT" w:eastAsia="de-DE"/>
        </w:rPr>
        <w:t>Bendroj</w:t>
      </w:r>
      <w:r w:rsidR="009E51EE">
        <w:rPr>
          <w:snapToGrid/>
          <w:color w:val="000000"/>
          <w:szCs w:val="22"/>
          <w:lang w:val="lt-LT" w:eastAsia="de-DE"/>
        </w:rPr>
        <w:t>i</w:t>
      </w:r>
      <w:r w:rsidRPr="00923E74">
        <w:rPr>
          <w:snapToGrid/>
          <w:color w:val="000000"/>
          <w:szCs w:val="22"/>
          <w:lang w:val="lt-LT" w:eastAsia="de-DE"/>
        </w:rPr>
        <w:t xml:space="preserve"> </w:t>
      </w:r>
      <w:proofErr w:type="spellStart"/>
      <w:r w:rsidRPr="00923E74">
        <w:rPr>
          <w:snapToGrid/>
          <w:color w:val="000000"/>
          <w:szCs w:val="22"/>
          <w:lang w:val="lt-LT" w:eastAsia="de-DE"/>
        </w:rPr>
        <w:t>ezetimibo</w:t>
      </w:r>
      <w:proofErr w:type="spellEnd"/>
      <w:r w:rsidRPr="00923E74">
        <w:rPr>
          <w:snapToGrid/>
          <w:color w:val="000000"/>
          <w:szCs w:val="22"/>
          <w:lang w:val="lt-LT" w:eastAsia="de-DE"/>
        </w:rPr>
        <w:t xml:space="preserve"> koncentracija moterų kraujo plazmoje būna šiek tiek (a</w:t>
      </w:r>
      <w:r w:rsidR="00E02642">
        <w:rPr>
          <w:snapToGrid/>
          <w:color w:val="000000"/>
          <w:szCs w:val="22"/>
          <w:lang w:val="lt-LT" w:eastAsia="de-DE"/>
        </w:rPr>
        <w:t>pytiksli</w:t>
      </w:r>
      <w:r w:rsidRPr="00923E74">
        <w:rPr>
          <w:snapToGrid/>
          <w:color w:val="000000"/>
          <w:szCs w:val="22"/>
          <w:lang w:val="lt-LT" w:eastAsia="de-DE"/>
        </w:rPr>
        <w:t>a</w:t>
      </w:r>
      <w:r w:rsidR="00E02642">
        <w:rPr>
          <w:snapToGrid/>
          <w:color w:val="000000"/>
          <w:szCs w:val="22"/>
          <w:lang w:val="lt-LT" w:eastAsia="de-DE"/>
        </w:rPr>
        <w:t>i</w:t>
      </w:r>
      <w:r w:rsidRPr="00923E74">
        <w:rPr>
          <w:snapToGrid/>
          <w:color w:val="000000"/>
          <w:szCs w:val="22"/>
          <w:lang w:val="lt-LT" w:eastAsia="de-DE"/>
        </w:rPr>
        <w:t xml:space="preserve"> 20</w:t>
      </w:r>
      <w:r w:rsidR="00764354">
        <w:rPr>
          <w:snapToGrid/>
          <w:color w:val="000000"/>
          <w:szCs w:val="22"/>
          <w:lang w:val="lt-LT" w:eastAsia="de-DE"/>
        </w:rPr>
        <w:t> </w:t>
      </w:r>
      <w:r w:rsidRPr="00923E74">
        <w:rPr>
          <w:snapToGrid/>
          <w:color w:val="000000"/>
          <w:szCs w:val="22"/>
          <w:lang w:val="lt-LT" w:eastAsia="de-DE"/>
        </w:rPr>
        <w:t xml:space="preserve">%) didesnė negu vyrų kraujo plazmoje. </w:t>
      </w:r>
      <w:proofErr w:type="spellStart"/>
      <w:r w:rsidRPr="00923E74">
        <w:rPr>
          <w:snapToGrid/>
          <w:color w:val="000000"/>
          <w:szCs w:val="22"/>
          <w:lang w:val="lt-LT" w:eastAsia="de-DE"/>
        </w:rPr>
        <w:t>Ezetimibu</w:t>
      </w:r>
      <w:proofErr w:type="spellEnd"/>
      <w:r w:rsidRPr="00923E74">
        <w:rPr>
          <w:snapToGrid/>
          <w:color w:val="000000"/>
          <w:szCs w:val="22"/>
          <w:lang w:val="lt-LT" w:eastAsia="de-DE"/>
        </w:rPr>
        <w:t xml:space="preserve"> gydomų moterų ir vyrų organizme MTL</w:t>
      </w:r>
      <w:r w:rsidR="009E51EE">
        <w:rPr>
          <w:snapToGrid/>
          <w:color w:val="000000"/>
          <w:szCs w:val="22"/>
          <w:lang w:val="lt-LT" w:eastAsia="de-DE"/>
        </w:rPr>
        <w:noBreakHyphen/>
      </w:r>
      <w:r w:rsidR="009E51EE" w:rsidRPr="00923E74">
        <w:rPr>
          <w:snapToGrid/>
          <w:color w:val="000000"/>
          <w:szCs w:val="22"/>
          <w:lang w:val="lt-LT" w:eastAsia="de-DE"/>
        </w:rPr>
        <w:t>C</w:t>
      </w:r>
      <w:r w:rsidR="009E51EE">
        <w:rPr>
          <w:snapToGrid/>
          <w:color w:val="000000"/>
          <w:szCs w:val="22"/>
          <w:lang w:val="lt-LT" w:eastAsia="de-DE"/>
        </w:rPr>
        <w:t> </w:t>
      </w:r>
      <w:r w:rsidRPr="00923E74">
        <w:rPr>
          <w:snapToGrid/>
          <w:color w:val="000000"/>
          <w:szCs w:val="22"/>
          <w:lang w:val="lt-LT" w:eastAsia="de-DE"/>
        </w:rPr>
        <w:t>k</w:t>
      </w:r>
      <w:r w:rsidR="00E02642">
        <w:rPr>
          <w:snapToGrid/>
          <w:color w:val="000000"/>
          <w:szCs w:val="22"/>
          <w:lang w:val="lt-LT" w:eastAsia="de-DE"/>
        </w:rPr>
        <w:t>onc</w:t>
      </w:r>
      <w:r w:rsidRPr="00923E74">
        <w:rPr>
          <w:snapToGrid/>
          <w:color w:val="000000"/>
          <w:szCs w:val="22"/>
          <w:lang w:val="lt-LT" w:eastAsia="de-DE"/>
        </w:rPr>
        <w:t>e</w:t>
      </w:r>
      <w:r w:rsidR="00E02642">
        <w:rPr>
          <w:snapToGrid/>
          <w:color w:val="000000"/>
          <w:szCs w:val="22"/>
          <w:lang w:val="lt-LT" w:eastAsia="de-DE"/>
        </w:rPr>
        <w:t>ntrac</w:t>
      </w:r>
      <w:r w:rsidRPr="00923E74">
        <w:rPr>
          <w:snapToGrid/>
          <w:color w:val="000000"/>
          <w:szCs w:val="22"/>
          <w:lang w:val="lt-LT" w:eastAsia="de-DE"/>
        </w:rPr>
        <w:t>i</w:t>
      </w:r>
      <w:r w:rsidR="00E02642">
        <w:rPr>
          <w:snapToGrid/>
          <w:color w:val="000000"/>
          <w:szCs w:val="22"/>
          <w:lang w:val="lt-LT" w:eastAsia="de-DE"/>
        </w:rPr>
        <w:t>j</w:t>
      </w:r>
      <w:r w:rsidRPr="00923E74">
        <w:rPr>
          <w:snapToGrid/>
          <w:color w:val="000000"/>
          <w:szCs w:val="22"/>
          <w:lang w:val="lt-LT" w:eastAsia="de-DE"/>
        </w:rPr>
        <w:t>o</w:t>
      </w:r>
      <w:r w:rsidR="00E02642">
        <w:rPr>
          <w:snapToGrid/>
          <w:color w:val="000000"/>
          <w:szCs w:val="22"/>
          <w:lang w:val="lt-LT" w:eastAsia="de-DE"/>
        </w:rPr>
        <w:t>s</w:t>
      </w:r>
      <w:r w:rsidRPr="00923E74">
        <w:rPr>
          <w:snapToGrid/>
          <w:color w:val="000000"/>
          <w:szCs w:val="22"/>
          <w:lang w:val="lt-LT" w:eastAsia="de-DE"/>
        </w:rPr>
        <w:t xml:space="preserve"> sumažėjimas ir saugumas </w:t>
      </w:r>
      <w:r w:rsidR="009E51EE">
        <w:rPr>
          <w:snapToGrid/>
          <w:color w:val="000000"/>
          <w:szCs w:val="22"/>
          <w:lang w:val="lt-LT" w:eastAsia="de-DE"/>
        </w:rPr>
        <w:t>yr</w:t>
      </w:r>
      <w:r w:rsidRPr="00923E74">
        <w:rPr>
          <w:snapToGrid/>
          <w:color w:val="000000"/>
          <w:szCs w:val="22"/>
          <w:lang w:val="lt-LT" w:eastAsia="de-DE"/>
        </w:rPr>
        <w:t>a panašus.</w:t>
      </w:r>
    </w:p>
    <w:p w14:paraId="730AA480" w14:textId="77777777" w:rsidR="001E1BBB" w:rsidRPr="00923E74" w:rsidRDefault="001E1BBB" w:rsidP="001E1BBB">
      <w:pPr>
        <w:tabs>
          <w:tab w:val="clear" w:pos="567"/>
        </w:tabs>
        <w:autoSpaceDE w:val="0"/>
        <w:autoSpaceDN w:val="0"/>
        <w:adjustRightInd w:val="0"/>
        <w:spacing w:line="240" w:lineRule="auto"/>
        <w:rPr>
          <w:i/>
          <w:iCs/>
          <w:snapToGrid/>
          <w:color w:val="000000"/>
          <w:szCs w:val="22"/>
          <w:lang w:val="lt-LT" w:eastAsia="de-DE"/>
        </w:rPr>
      </w:pPr>
    </w:p>
    <w:p w14:paraId="7A55B7E9" w14:textId="77777777" w:rsidR="001E1BBB" w:rsidRPr="00923E74" w:rsidRDefault="001E1BBB"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w:t>
      </w:r>
      <w:r w:rsidR="00F634DA" w:rsidRPr="00923E74">
        <w:rPr>
          <w:i/>
          <w:iCs/>
          <w:snapToGrid/>
          <w:color w:val="000000"/>
          <w:szCs w:val="22"/>
          <w:lang w:val="lt-LT" w:eastAsia="de-DE"/>
        </w:rPr>
        <w:t>as</w:t>
      </w:r>
      <w:proofErr w:type="spellEnd"/>
    </w:p>
    <w:p w14:paraId="457D57C3" w14:textId="19548185" w:rsidR="001E1BBB" w:rsidRPr="00923E74" w:rsidRDefault="00A91FE1" w:rsidP="007E15ED">
      <w:pPr>
        <w:widowControl w:val="0"/>
        <w:tabs>
          <w:tab w:val="clear" w:pos="567"/>
        </w:tabs>
        <w:autoSpaceDE w:val="0"/>
        <w:autoSpaceDN w:val="0"/>
        <w:adjustRightInd w:val="0"/>
        <w:spacing w:line="240" w:lineRule="auto"/>
        <w:rPr>
          <w:snapToGrid/>
          <w:color w:val="000000"/>
          <w:szCs w:val="22"/>
          <w:lang w:val="lt-LT" w:eastAsia="de-DE"/>
        </w:rPr>
      </w:pPr>
      <w:r w:rsidRPr="00923E74">
        <w:rPr>
          <w:snapToGrid/>
          <w:color w:val="000000"/>
          <w:szCs w:val="22"/>
          <w:lang w:val="lt-LT" w:eastAsia="de-DE"/>
        </w:rPr>
        <w:t xml:space="preserve">Moterų organizme </w:t>
      </w:r>
      <w:proofErr w:type="spellStart"/>
      <w:r w:rsidRPr="00923E74">
        <w:rPr>
          <w:snapToGrid/>
          <w:color w:val="000000"/>
          <w:szCs w:val="22"/>
          <w:lang w:val="lt-LT" w:eastAsia="de-DE"/>
        </w:rPr>
        <w:t>atorvastatino</w:t>
      </w:r>
      <w:proofErr w:type="spellEnd"/>
      <w:r w:rsidRPr="00923E74">
        <w:rPr>
          <w:snapToGrid/>
          <w:color w:val="000000"/>
          <w:szCs w:val="22"/>
          <w:lang w:val="lt-LT" w:eastAsia="de-DE"/>
        </w:rPr>
        <w:t xml:space="preserve"> ir aktyviųjų jo metabolitų koncentracija skiriasi nuo būnančios vyrų organizme (moterims </w:t>
      </w:r>
      <w:proofErr w:type="spellStart"/>
      <w:r w:rsidRPr="00923E74">
        <w:rPr>
          <w:snapToGrid/>
          <w:color w:val="000000"/>
          <w:szCs w:val="22"/>
          <w:lang w:val="lt-LT" w:eastAsia="de-DE"/>
        </w:rPr>
        <w:t>C</w:t>
      </w:r>
      <w:r w:rsidRPr="00923E74">
        <w:rPr>
          <w:snapToGrid/>
          <w:color w:val="000000"/>
          <w:szCs w:val="22"/>
          <w:vertAlign w:val="subscript"/>
          <w:lang w:val="lt-LT" w:eastAsia="de-DE"/>
        </w:rPr>
        <w:t>max</w:t>
      </w:r>
      <w:proofErr w:type="spellEnd"/>
      <w:r w:rsidRPr="00923E74">
        <w:rPr>
          <w:snapToGrid/>
          <w:color w:val="000000"/>
          <w:szCs w:val="22"/>
          <w:lang w:val="lt-LT" w:eastAsia="de-DE"/>
        </w:rPr>
        <w:t xml:space="preserve"> būna a</w:t>
      </w:r>
      <w:r w:rsidR="00E02642">
        <w:rPr>
          <w:snapToGrid/>
          <w:color w:val="000000"/>
          <w:szCs w:val="22"/>
          <w:lang w:val="lt-LT" w:eastAsia="de-DE"/>
        </w:rPr>
        <w:t>pytiksli</w:t>
      </w:r>
      <w:r w:rsidR="009D7115" w:rsidRPr="00923E74">
        <w:rPr>
          <w:snapToGrid/>
          <w:color w:val="000000"/>
          <w:szCs w:val="22"/>
          <w:lang w:val="lt-LT" w:eastAsia="de-DE"/>
        </w:rPr>
        <w:t>a</w:t>
      </w:r>
      <w:r w:rsidR="00E02642">
        <w:rPr>
          <w:snapToGrid/>
          <w:color w:val="000000"/>
          <w:szCs w:val="22"/>
          <w:lang w:val="lt-LT" w:eastAsia="de-DE"/>
        </w:rPr>
        <w:t>i</w:t>
      </w:r>
      <w:r w:rsidRPr="00923E74">
        <w:rPr>
          <w:snapToGrid/>
          <w:color w:val="000000"/>
          <w:szCs w:val="22"/>
          <w:lang w:val="lt-LT" w:eastAsia="de-DE"/>
        </w:rPr>
        <w:t xml:space="preserve"> 20 % didesnis, AUC – a</w:t>
      </w:r>
      <w:r w:rsidR="00E02642">
        <w:rPr>
          <w:snapToGrid/>
          <w:color w:val="000000"/>
          <w:szCs w:val="22"/>
          <w:lang w:val="lt-LT" w:eastAsia="de-DE"/>
        </w:rPr>
        <w:t>pytiksli</w:t>
      </w:r>
      <w:r w:rsidRPr="00923E74">
        <w:rPr>
          <w:snapToGrid/>
          <w:color w:val="000000"/>
          <w:szCs w:val="22"/>
          <w:lang w:val="lt-LT" w:eastAsia="de-DE"/>
        </w:rPr>
        <w:t>a</w:t>
      </w:r>
      <w:r w:rsidR="00E02642">
        <w:rPr>
          <w:snapToGrid/>
          <w:color w:val="000000"/>
          <w:szCs w:val="22"/>
          <w:lang w:val="lt-LT" w:eastAsia="de-DE"/>
        </w:rPr>
        <w:t>i</w:t>
      </w:r>
      <w:r w:rsidRPr="00923E74">
        <w:rPr>
          <w:snapToGrid/>
          <w:color w:val="000000"/>
          <w:szCs w:val="22"/>
          <w:lang w:val="lt-LT" w:eastAsia="de-DE"/>
        </w:rPr>
        <w:t xml:space="preserve"> 10 % mažesnis). Toks skirtumas nėra kliniškai reikšmingas, todėl poveikis lipidų k</w:t>
      </w:r>
      <w:r w:rsidR="00E02642">
        <w:rPr>
          <w:snapToGrid/>
          <w:color w:val="000000"/>
          <w:szCs w:val="22"/>
          <w:lang w:val="lt-LT" w:eastAsia="de-DE"/>
        </w:rPr>
        <w:t>onc</w:t>
      </w:r>
      <w:r w:rsidRPr="00923E74">
        <w:rPr>
          <w:snapToGrid/>
          <w:color w:val="000000"/>
          <w:szCs w:val="22"/>
          <w:lang w:val="lt-LT" w:eastAsia="de-DE"/>
        </w:rPr>
        <w:t>e</w:t>
      </w:r>
      <w:r w:rsidR="00E02642">
        <w:rPr>
          <w:snapToGrid/>
          <w:color w:val="000000"/>
          <w:szCs w:val="22"/>
          <w:lang w:val="lt-LT" w:eastAsia="de-DE"/>
        </w:rPr>
        <w:t>ntrac</w:t>
      </w:r>
      <w:r w:rsidRPr="00923E74">
        <w:rPr>
          <w:snapToGrid/>
          <w:color w:val="000000"/>
          <w:szCs w:val="22"/>
          <w:lang w:val="lt-LT" w:eastAsia="de-DE"/>
        </w:rPr>
        <w:t>i</w:t>
      </w:r>
      <w:r w:rsidR="00E02642">
        <w:rPr>
          <w:snapToGrid/>
          <w:color w:val="000000"/>
          <w:szCs w:val="22"/>
          <w:lang w:val="lt-LT" w:eastAsia="de-DE"/>
        </w:rPr>
        <w:t>ja</w:t>
      </w:r>
      <w:r w:rsidRPr="00923E74">
        <w:rPr>
          <w:snapToGrid/>
          <w:color w:val="000000"/>
          <w:szCs w:val="22"/>
          <w:lang w:val="lt-LT" w:eastAsia="de-DE"/>
        </w:rPr>
        <w:t xml:space="preserve">i moterų ir vyrų </w:t>
      </w:r>
      <w:r w:rsidR="009D7115" w:rsidRPr="00923E74">
        <w:rPr>
          <w:snapToGrid/>
          <w:color w:val="000000"/>
          <w:szCs w:val="22"/>
          <w:lang w:val="lt-LT" w:eastAsia="de-DE"/>
        </w:rPr>
        <w:t>organizme</w:t>
      </w:r>
      <w:r w:rsidRPr="00923E74">
        <w:rPr>
          <w:snapToGrid/>
          <w:color w:val="000000"/>
          <w:szCs w:val="22"/>
          <w:lang w:val="lt-LT" w:eastAsia="de-DE"/>
        </w:rPr>
        <w:t xml:space="preserve"> reikšmingai nesiskiria.</w:t>
      </w:r>
    </w:p>
    <w:p w14:paraId="749C9FE4" w14:textId="77777777" w:rsidR="001E1BBB" w:rsidRPr="00923E74" w:rsidRDefault="001E1BBB" w:rsidP="001E1BBB">
      <w:pPr>
        <w:tabs>
          <w:tab w:val="clear" w:pos="567"/>
        </w:tabs>
        <w:autoSpaceDE w:val="0"/>
        <w:autoSpaceDN w:val="0"/>
        <w:adjustRightInd w:val="0"/>
        <w:spacing w:line="240" w:lineRule="auto"/>
        <w:rPr>
          <w:snapToGrid/>
          <w:color w:val="000000"/>
          <w:szCs w:val="22"/>
          <w:lang w:val="lt-LT" w:eastAsia="de-DE"/>
        </w:rPr>
      </w:pPr>
    </w:p>
    <w:p w14:paraId="37AED5AE" w14:textId="5982781E" w:rsidR="006B4481" w:rsidRPr="007E15ED" w:rsidRDefault="006B4481" w:rsidP="007E15ED">
      <w:pPr>
        <w:keepNext/>
        <w:tabs>
          <w:tab w:val="clear" w:pos="567"/>
        </w:tabs>
        <w:autoSpaceDE w:val="0"/>
        <w:autoSpaceDN w:val="0"/>
        <w:adjustRightInd w:val="0"/>
        <w:spacing w:line="240" w:lineRule="auto"/>
        <w:rPr>
          <w:rFonts w:eastAsia="MS Mincho"/>
          <w:i/>
          <w:snapToGrid/>
          <w:szCs w:val="22"/>
          <w:u w:val="single"/>
          <w:lang w:val="lt-LT" w:eastAsia="lt-LT" w:bidi="lt-LT"/>
        </w:rPr>
      </w:pPr>
      <w:r w:rsidRPr="007E15ED">
        <w:rPr>
          <w:rFonts w:eastAsia="Calibri"/>
          <w:i/>
          <w:snapToGrid/>
          <w:szCs w:val="22"/>
          <w:u w:val="single"/>
          <w:lang w:val="lt-LT" w:eastAsia="lt-LT" w:bidi="lt-LT"/>
        </w:rPr>
        <w:lastRenderedPageBreak/>
        <w:t>SLC</w:t>
      </w:r>
      <w:r w:rsidR="00C61553">
        <w:rPr>
          <w:rFonts w:eastAsia="Calibri"/>
          <w:i/>
          <w:snapToGrid/>
          <w:szCs w:val="22"/>
          <w:u w:val="single"/>
          <w:lang w:val="lt-LT" w:eastAsia="lt-LT" w:bidi="lt-LT"/>
        </w:rPr>
        <w:t>O</w:t>
      </w:r>
      <w:r w:rsidRPr="007E15ED">
        <w:rPr>
          <w:rFonts w:eastAsia="Calibri"/>
          <w:i/>
          <w:snapToGrid/>
          <w:szCs w:val="22"/>
          <w:u w:val="single"/>
          <w:lang w:val="lt-LT" w:eastAsia="lt-LT" w:bidi="lt-LT"/>
        </w:rPr>
        <w:t>1B1</w:t>
      </w:r>
      <w:r w:rsidR="00F67594">
        <w:rPr>
          <w:rFonts w:eastAsia="Calibri"/>
          <w:i/>
          <w:snapToGrid/>
          <w:szCs w:val="22"/>
          <w:u w:val="single"/>
          <w:lang w:val="lt-LT" w:eastAsia="lt-LT" w:bidi="lt-LT"/>
        </w:rPr>
        <w:t> </w:t>
      </w:r>
      <w:r w:rsidRPr="007E15ED">
        <w:rPr>
          <w:rFonts w:eastAsia="Calibri"/>
          <w:i/>
          <w:snapToGrid/>
          <w:szCs w:val="22"/>
          <w:u w:val="single"/>
          <w:lang w:val="lt-LT" w:eastAsia="lt-LT" w:bidi="lt-LT"/>
        </w:rPr>
        <w:t>polimorfizmas</w:t>
      </w:r>
    </w:p>
    <w:p w14:paraId="494844C2" w14:textId="77777777" w:rsidR="006B4481" w:rsidRPr="00923E74" w:rsidRDefault="006B4481" w:rsidP="007E15ED">
      <w:pPr>
        <w:keepNext/>
        <w:tabs>
          <w:tab w:val="clear" w:pos="567"/>
        </w:tabs>
        <w:autoSpaceDE w:val="0"/>
        <w:autoSpaceDN w:val="0"/>
        <w:adjustRightInd w:val="0"/>
        <w:spacing w:line="240" w:lineRule="auto"/>
        <w:rPr>
          <w:snapToGrid/>
          <w:color w:val="000000"/>
          <w:szCs w:val="22"/>
          <w:lang w:val="lt-LT" w:eastAsia="de-DE"/>
        </w:rPr>
      </w:pPr>
      <w:proofErr w:type="spellStart"/>
      <w:r w:rsidRPr="00923E74">
        <w:rPr>
          <w:i/>
          <w:iCs/>
          <w:snapToGrid/>
          <w:color w:val="000000"/>
          <w:szCs w:val="22"/>
          <w:lang w:val="lt-LT" w:eastAsia="de-DE"/>
        </w:rPr>
        <w:t>Atorvastatinas</w:t>
      </w:r>
      <w:proofErr w:type="spellEnd"/>
    </w:p>
    <w:p w14:paraId="7482AA6E" w14:textId="2668596B" w:rsidR="00381B7D" w:rsidRPr="00923E74" w:rsidRDefault="00F634DA" w:rsidP="00F634DA">
      <w:pPr>
        <w:tabs>
          <w:tab w:val="clear" w:pos="567"/>
        </w:tabs>
        <w:autoSpaceDE w:val="0"/>
        <w:autoSpaceDN w:val="0"/>
        <w:adjustRightInd w:val="0"/>
        <w:spacing w:line="240" w:lineRule="auto"/>
        <w:rPr>
          <w:rFonts w:eastAsia="Calibri"/>
          <w:snapToGrid/>
          <w:szCs w:val="22"/>
          <w:lang w:val="lt-LT" w:eastAsia="lt-LT" w:bidi="lt-LT"/>
        </w:rPr>
      </w:pPr>
      <w:r w:rsidRPr="00923E74">
        <w:rPr>
          <w:rFonts w:eastAsia="Calibri"/>
          <w:snapToGrid/>
          <w:szCs w:val="22"/>
          <w:lang w:val="lt-LT" w:eastAsia="lt-LT" w:bidi="lt-LT"/>
        </w:rPr>
        <w:t xml:space="preserve">Visų </w:t>
      </w:r>
      <w:r w:rsidR="006B4481" w:rsidRPr="00923E74">
        <w:rPr>
          <w:rFonts w:eastAsia="Calibri"/>
          <w:snapToGrid/>
          <w:szCs w:val="22"/>
          <w:lang w:val="lt-LT" w:eastAsia="lt-LT" w:bidi="lt-LT"/>
        </w:rPr>
        <w:t>HMG</w:t>
      </w:r>
      <w:r w:rsidR="00F67594">
        <w:rPr>
          <w:rFonts w:eastAsia="Calibri"/>
          <w:snapToGrid/>
          <w:szCs w:val="22"/>
          <w:lang w:val="lt-LT" w:eastAsia="lt-LT" w:bidi="lt-LT"/>
        </w:rPr>
        <w:noBreakHyphen/>
      </w:r>
      <w:proofErr w:type="spellStart"/>
      <w:r w:rsidR="006B4481" w:rsidRPr="00923E74">
        <w:rPr>
          <w:rFonts w:eastAsia="Calibri"/>
          <w:snapToGrid/>
          <w:szCs w:val="22"/>
          <w:lang w:val="lt-LT" w:eastAsia="lt-LT" w:bidi="lt-LT"/>
        </w:rPr>
        <w:t>KoA</w:t>
      </w:r>
      <w:proofErr w:type="spellEnd"/>
      <w:r w:rsidR="00F67594">
        <w:rPr>
          <w:rFonts w:eastAsia="Calibri"/>
          <w:snapToGrid/>
          <w:szCs w:val="22"/>
          <w:lang w:val="lt-LT" w:eastAsia="lt-LT" w:bidi="lt-LT"/>
        </w:rPr>
        <w:t> </w:t>
      </w:r>
      <w:r w:rsidR="006B4481" w:rsidRPr="00923E74">
        <w:rPr>
          <w:rFonts w:eastAsia="Calibri"/>
          <w:snapToGrid/>
          <w:szCs w:val="22"/>
          <w:lang w:val="lt-LT" w:eastAsia="lt-LT" w:bidi="lt-LT"/>
        </w:rPr>
        <w:t xml:space="preserve">reduktazės inhibitorių, įskaitant ir </w:t>
      </w:r>
      <w:proofErr w:type="spellStart"/>
      <w:r w:rsidR="006B4481" w:rsidRPr="00923E74">
        <w:rPr>
          <w:rFonts w:eastAsia="Calibri"/>
          <w:snapToGrid/>
          <w:szCs w:val="22"/>
          <w:lang w:val="lt-LT" w:eastAsia="lt-LT" w:bidi="lt-LT"/>
        </w:rPr>
        <w:t>atorvastatiną</w:t>
      </w:r>
      <w:proofErr w:type="spellEnd"/>
      <w:r w:rsidR="006B4481" w:rsidRPr="00923E74">
        <w:rPr>
          <w:rFonts w:eastAsia="Calibri"/>
          <w:snapToGrid/>
          <w:szCs w:val="22"/>
          <w:lang w:val="lt-LT" w:eastAsia="lt-LT" w:bidi="lt-LT"/>
        </w:rPr>
        <w:t>, patekimas į kepenis apima ir OATP1B1</w:t>
      </w:r>
      <w:r w:rsidR="00F67594">
        <w:rPr>
          <w:rFonts w:eastAsia="Calibri"/>
          <w:snapToGrid/>
          <w:szCs w:val="22"/>
          <w:lang w:val="lt-LT" w:eastAsia="lt-LT" w:bidi="lt-LT"/>
        </w:rPr>
        <w:t> </w:t>
      </w:r>
      <w:r w:rsidR="006B4481" w:rsidRPr="00923E74">
        <w:rPr>
          <w:rFonts w:eastAsia="Calibri"/>
          <w:snapToGrid/>
          <w:szCs w:val="22"/>
          <w:lang w:val="lt-LT" w:eastAsia="lt-LT" w:bidi="lt-LT"/>
        </w:rPr>
        <w:t xml:space="preserve">pernašos sistemą. </w:t>
      </w:r>
      <w:r w:rsidRPr="00923E74">
        <w:rPr>
          <w:rFonts w:eastAsia="Calibri"/>
          <w:snapToGrid/>
          <w:szCs w:val="22"/>
          <w:lang w:val="lt-LT" w:eastAsia="lt-LT" w:bidi="lt-LT"/>
        </w:rPr>
        <w:t>Pacientams, kuriems yra SLCO1B1</w:t>
      </w:r>
      <w:r w:rsidR="00F67594">
        <w:rPr>
          <w:rFonts w:eastAsia="Calibri"/>
          <w:snapToGrid/>
          <w:szCs w:val="22"/>
          <w:lang w:val="lt-LT" w:eastAsia="lt-LT" w:bidi="lt-LT"/>
        </w:rPr>
        <w:t> </w:t>
      </w:r>
      <w:r w:rsidRPr="00923E74">
        <w:rPr>
          <w:rFonts w:eastAsia="Calibri"/>
          <w:snapToGrid/>
          <w:szCs w:val="22"/>
          <w:lang w:val="lt-LT" w:eastAsia="lt-LT" w:bidi="lt-LT"/>
        </w:rPr>
        <w:t xml:space="preserve">polimorfizmas, yra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ekspozicijos padidėjimo rizika, kuri gali padidinti </w:t>
      </w:r>
      <w:proofErr w:type="spellStart"/>
      <w:r w:rsidRPr="00923E74">
        <w:rPr>
          <w:rFonts w:eastAsia="Calibri"/>
          <w:snapToGrid/>
          <w:szCs w:val="22"/>
          <w:lang w:val="lt-LT" w:eastAsia="lt-LT" w:bidi="lt-LT"/>
        </w:rPr>
        <w:t>rabdomiolizės</w:t>
      </w:r>
      <w:proofErr w:type="spellEnd"/>
      <w:r w:rsidRPr="00923E74">
        <w:rPr>
          <w:rFonts w:eastAsia="Calibri"/>
          <w:snapToGrid/>
          <w:szCs w:val="22"/>
          <w:lang w:val="lt-LT" w:eastAsia="lt-LT" w:bidi="lt-LT"/>
        </w:rPr>
        <w:t xml:space="preserve"> riziką (žr.</w:t>
      </w:r>
      <w:r w:rsidR="00F67594">
        <w:rPr>
          <w:rFonts w:eastAsia="Calibri"/>
          <w:snapToGrid/>
          <w:szCs w:val="22"/>
          <w:lang w:val="lt-LT" w:eastAsia="lt-LT" w:bidi="lt-LT"/>
        </w:rPr>
        <w:t> </w:t>
      </w:r>
      <w:r w:rsidRPr="00923E74">
        <w:rPr>
          <w:rFonts w:eastAsia="Calibri"/>
          <w:snapToGrid/>
          <w:szCs w:val="22"/>
          <w:lang w:val="lt-LT" w:eastAsia="lt-LT" w:bidi="lt-LT"/>
        </w:rPr>
        <w:t>4.4</w:t>
      </w:r>
      <w:r w:rsidR="00764354">
        <w:rPr>
          <w:rFonts w:eastAsia="Calibri"/>
          <w:snapToGrid/>
          <w:szCs w:val="22"/>
          <w:lang w:val="lt-LT" w:eastAsia="lt-LT" w:bidi="lt-LT"/>
        </w:rPr>
        <w:t> </w:t>
      </w:r>
      <w:r w:rsidRPr="00923E74">
        <w:rPr>
          <w:rFonts w:eastAsia="Calibri"/>
          <w:snapToGrid/>
          <w:szCs w:val="22"/>
          <w:lang w:val="lt-LT" w:eastAsia="lt-LT" w:bidi="lt-LT"/>
        </w:rPr>
        <w:t>skyrių). Geno, koduojančio OATP1B1, polimorfizmas (SLCO1B1</w:t>
      </w:r>
      <w:r w:rsidR="00F67594">
        <w:rPr>
          <w:rFonts w:eastAsia="Calibri"/>
          <w:snapToGrid/>
          <w:szCs w:val="22"/>
          <w:lang w:val="lt-LT" w:eastAsia="lt-LT" w:bidi="lt-LT"/>
        </w:rPr>
        <w:t> </w:t>
      </w:r>
      <w:r w:rsidRPr="00923E74">
        <w:rPr>
          <w:rFonts w:eastAsia="Calibri"/>
          <w:snapToGrid/>
          <w:szCs w:val="22"/>
          <w:lang w:val="lt-LT" w:eastAsia="lt-LT" w:bidi="lt-LT"/>
        </w:rPr>
        <w:t xml:space="preserve">c.521CC) yra susijęs su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ekspozicijos</w:t>
      </w:r>
      <w:r w:rsidR="00F67594">
        <w:rPr>
          <w:rFonts w:eastAsia="Calibri"/>
          <w:snapToGrid/>
          <w:szCs w:val="22"/>
          <w:lang w:val="lt-LT" w:eastAsia="lt-LT" w:bidi="lt-LT"/>
        </w:rPr>
        <w:t> </w:t>
      </w:r>
      <w:r w:rsidRPr="00923E74">
        <w:rPr>
          <w:rFonts w:eastAsia="Calibri"/>
          <w:snapToGrid/>
          <w:szCs w:val="22"/>
          <w:lang w:val="lt-LT" w:eastAsia="lt-LT" w:bidi="lt-LT"/>
        </w:rPr>
        <w:t>(AUC) padidėjimu 2,4 karto, palyginti su asmenų, neturinčių šio genotipo (c.521TT), rod</w:t>
      </w:r>
      <w:r w:rsidR="00F67594">
        <w:rPr>
          <w:rFonts w:eastAsia="Calibri"/>
          <w:snapToGrid/>
          <w:szCs w:val="22"/>
          <w:lang w:val="lt-LT" w:eastAsia="lt-LT" w:bidi="lt-LT"/>
        </w:rPr>
        <w:t>ikl</w:t>
      </w:r>
      <w:r w:rsidRPr="00923E74">
        <w:rPr>
          <w:rFonts w:eastAsia="Calibri"/>
          <w:snapToGrid/>
          <w:szCs w:val="22"/>
          <w:lang w:val="lt-LT" w:eastAsia="lt-LT" w:bidi="lt-LT"/>
        </w:rPr>
        <w:t xml:space="preserve">iu. Gali būti, kad genetiškai sutrinka </w:t>
      </w:r>
      <w:proofErr w:type="spellStart"/>
      <w:r w:rsidRPr="00923E74">
        <w:rPr>
          <w:rFonts w:eastAsia="Calibri"/>
          <w:snapToGrid/>
          <w:szCs w:val="22"/>
          <w:lang w:val="lt-LT" w:eastAsia="lt-LT" w:bidi="lt-LT"/>
        </w:rPr>
        <w:t>atorvastatino</w:t>
      </w:r>
      <w:proofErr w:type="spellEnd"/>
      <w:r w:rsidRPr="00923E74">
        <w:rPr>
          <w:rFonts w:eastAsia="Calibri"/>
          <w:snapToGrid/>
          <w:szCs w:val="22"/>
          <w:lang w:val="lt-LT" w:eastAsia="lt-LT" w:bidi="lt-LT"/>
        </w:rPr>
        <w:t xml:space="preserve"> patekimas į tokių pacientų kepenis. Galimos tokio pokyčio pasekmės veiksmingumui nėra žinomos.</w:t>
      </w:r>
    </w:p>
    <w:p w14:paraId="53D123A3" w14:textId="77777777" w:rsidR="00F634DA" w:rsidRPr="00923E74" w:rsidRDefault="00F634DA" w:rsidP="00F634DA">
      <w:pPr>
        <w:tabs>
          <w:tab w:val="clear" w:pos="567"/>
        </w:tabs>
        <w:autoSpaceDE w:val="0"/>
        <w:autoSpaceDN w:val="0"/>
        <w:adjustRightInd w:val="0"/>
        <w:spacing w:line="240" w:lineRule="auto"/>
        <w:rPr>
          <w:snapToGrid/>
          <w:color w:val="000000"/>
          <w:szCs w:val="22"/>
          <w:lang w:val="lt-LT" w:eastAsia="sl-SI"/>
        </w:rPr>
      </w:pPr>
    </w:p>
    <w:p w14:paraId="195110CA"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5.3</w:t>
      </w:r>
      <w:r w:rsidRPr="00923E74">
        <w:rPr>
          <w:b/>
          <w:snapToGrid/>
          <w:szCs w:val="22"/>
          <w:lang w:val="lt-LT" w:eastAsia="sl-SI"/>
        </w:rPr>
        <w:tab/>
      </w:r>
      <w:proofErr w:type="spellStart"/>
      <w:r w:rsidRPr="00923E74">
        <w:rPr>
          <w:b/>
          <w:snapToGrid/>
          <w:szCs w:val="22"/>
          <w:lang w:val="lt-LT" w:eastAsia="sl-SI"/>
        </w:rPr>
        <w:t>Ikiklinikinių</w:t>
      </w:r>
      <w:proofErr w:type="spellEnd"/>
      <w:r w:rsidRPr="00923E74">
        <w:rPr>
          <w:b/>
          <w:snapToGrid/>
          <w:szCs w:val="22"/>
          <w:lang w:val="lt-LT" w:eastAsia="sl-SI"/>
        </w:rPr>
        <w:t xml:space="preserve"> saugumo tyrimų duomenys</w:t>
      </w:r>
    </w:p>
    <w:p w14:paraId="55FDD06D" w14:textId="77777777" w:rsidR="00381B7D" w:rsidRPr="00923E74" w:rsidRDefault="00381B7D" w:rsidP="007E15ED">
      <w:pPr>
        <w:keepNext/>
        <w:widowControl w:val="0"/>
        <w:tabs>
          <w:tab w:val="clear" w:pos="567"/>
        </w:tabs>
        <w:spacing w:line="240" w:lineRule="auto"/>
        <w:rPr>
          <w:snapToGrid/>
          <w:szCs w:val="22"/>
          <w:lang w:val="lt-LT" w:eastAsia="sl-SI"/>
        </w:rPr>
      </w:pPr>
    </w:p>
    <w:p w14:paraId="0531C489" w14:textId="77777777" w:rsidR="000333AD" w:rsidRPr="00923E74" w:rsidRDefault="000333AD" w:rsidP="007E15ED">
      <w:pPr>
        <w:keepNext/>
        <w:spacing w:line="240" w:lineRule="auto"/>
        <w:rPr>
          <w:i/>
          <w:snapToGrid/>
          <w:szCs w:val="22"/>
          <w:lang w:val="lt-LT"/>
        </w:rPr>
      </w:pPr>
      <w:proofErr w:type="spellStart"/>
      <w:r w:rsidRPr="00923E74">
        <w:rPr>
          <w:i/>
          <w:snapToGrid/>
          <w:szCs w:val="22"/>
          <w:lang w:val="lt-LT"/>
        </w:rPr>
        <w:t>Ezetimibas</w:t>
      </w:r>
      <w:proofErr w:type="spellEnd"/>
    </w:p>
    <w:p w14:paraId="614D7490" w14:textId="5893EBDC" w:rsidR="00584BE8" w:rsidRPr="00923E74" w:rsidRDefault="00584BE8" w:rsidP="000E08B9">
      <w:pPr>
        <w:widowControl w:val="0"/>
        <w:tabs>
          <w:tab w:val="clear" w:pos="567"/>
        </w:tabs>
        <w:spacing w:line="240" w:lineRule="auto"/>
        <w:rPr>
          <w:snapToGrid/>
          <w:szCs w:val="22"/>
          <w:lang w:val="lt-LT" w:eastAsia="sl-SI"/>
        </w:rPr>
      </w:pPr>
      <w:r w:rsidRPr="00923E74">
        <w:rPr>
          <w:snapToGrid/>
          <w:szCs w:val="22"/>
          <w:lang w:val="lt-LT" w:eastAsia="sl-SI"/>
        </w:rPr>
        <w:t xml:space="preserve">Lėtinio toksinio </w:t>
      </w:r>
      <w:proofErr w:type="spellStart"/>
      <w:r w:rsidRPr="00923E74">
        <w:rPr>
          <w:snapToGrid/>
          <w:szCs w:val="22"/>
          <w:lang w:val="lt-LT" w:eastAsia="sl-SI"/>
        </w:rPr>
        <w:t>ezetimibo</w:t>
      </w:r>
      <w:proofErr w:type="spellEnd"/>
      <w:r w:rsidRPr="00923E74">
        <w:rPr>
          <w:snapToGrid/>
          <w:szCs w:val="22"/>
          <w:lang w:val="lt-LT" w:eastAsia="sl-SI"/>
        </w:rPr>
        <w:t xml:space="preserve"> poveikio tyrimų su gyvūnais metu organų taikinių, kuriems pasireiškia toksinis poveikis, nenustatyta. Šunų, 4 savaites vartojusių </w:t>
      </w:r>
      <w:proofErr w:type="spellStart"/>
      <w:r w:rsidRPr="00923E74">
        <w:rPr>
          <w:snapToGrid/>
          <w:szCs w:val="22"/>
          <w:lang w:val="lt-LT" w:eastAsia="sl-SI"/>
        </w:rPr>
        <w:t>ezetimibo</w:t>
      </w:r>
      <w:proofErr w:type="spellEnd"/>
      <w:r w:rsidRPr="00923E74">
        <w:rPr>
          <w:snapToGrid/>
          <w:szCs w:val="22"/>
          <w:lang w:val="lt-LT" w:eastAsia="sl-SI"/>
        </w:rPr>
        <w:t xml:space="preserve"> (paros dozė buvo ≥ 0,03</w:t>
      </w:r>
      <w:r w:rsidR="00DB52C7" w:rsidRPr="00923E74">
        <w:rPr>
          <w:snapToGrid/>
          <w:szCs w:val="22"/>
          <w:lang w:val="lt-LT" w:eastAsia="sl-SI"/>
        </w:rPr>
        <w:t> mg</w:t>
      </w:r>
      <w:r w:rsidRPr="00923E74">
        <w:rPr>
          <w:snapToGrid/>
          <w:szCs w:val="22"/>
          <w:lang w:val="lt-LT" w:eastAsia="sl-SI"/>
        </w:rPr>
        <w:t>/kg</w:t>
      </w:r>
      <w:r w:rsidR="00F67594">
        <w:rPr>
          <w:snapToGrid/>
          <w:szCs w:val="22"/>
          <w:lang w:val="lt-LT" w:eastAsia="sl-SI"/>
        </w:rPr>
        <w:t> </w:t>
      </w:r>
      <w:r w:rsidRPr="00923E74">
        <w:rPr>
          <w:snapToGrid/>
          <w:szCs w:val="22"/>
          <w:lang w:val="lt-LT" w:eastAsia="sl-SI"/>
        </w:rPr>
        <w:t>kūno</w:t>
      </w:r>
      <w:r w:rsidR="00F67594">
        <w:rPr>
          <w:snapToGrid/>
          <w:szCs w:val="22"/>
          <w:lang w:val="lt-LT" w:eastAsia="sl-SI"/>
        </w:rPr>
        <w:t> </w:t>
      </w:r>
      <w:r w:rsidRPr="00923E74">
        <w:rPr>
          <w:snapToGrid/>
          <w:szCs w:val="22"/>
          <w:lang w:val="lt-LT" w:eastAsia="sl-SI"/>
        </w:rPr>
        <w:t>svorio), cholesterolio koncentracija tulžies pūslės tulžyje padidėjo 2,5</w:t>
      </w:r>
      <w:r w:rsidRPr="00923E74">
        <w:rPr>
          <w:snapToGrid/>
          <w:szCs w:val="22"/>
          <w:lang w:val="lt-LT" w:eastAsia="sl-SI"/>
        </w:rPr>
        <w:noBreakHyphen/>
        <w:t>3,5 karto. Vis dėlto vienerių</w:t>
      </w:r>
      <w:r w:rsidR="00F67594">
        <w:rPr>
          <w:snapToGrid/>
          <w:szCs w:val="22"/>
          <w:lang w:val="lt-LT" w:eastAsia="sl-SI"/>
        </w:rPr>
        <w:t> </w:t>
      </w:r>
      <w:r w:rsidRPr="00923E74">
        <w:rPr>
          <w:snapToGrid/>
          <w:szCs w:val="22"/>
          <w:lang w:val="lt-LT" w:eastAsia="sl-SI"/>
        </w:rPr>
        <w:t>metų tyrimo metu šunims, vartojusiems ne didesnę kaip 300</w:t>
      </w:r>
      <w:r w:rsidR="00DB52C7" w:rsidRPr="00923E74">
        <w:rPr>
          <w:snapToGrid/>
          <w:szCs w:val="22"/>
          <w:lang w:val="lt-LT" w:eastAsia="sl-SI"/>
        </w:rPr>
        <w:t> mg</w:t>
      </w:r>
      <w:r w:rsidRPr="00923E74">
        <w:rPr>
          <w:snapToGrid/>
          <w:szCs w:val="22"/>
          <w:lang w:val="lt-LT" w:eastAsia="sl-SI"/>
        </w:rPr>
        <w:t>/kg</w:t>
      </w:r>
      <w:r w:rsidR="00F67594">
        <w:rPr>
          <w:snapToGrid/>
          <w:szCs w:val="22"/>
          <w:lang w:val="lt-LT" w:eastAsia="sl-SI"/>
        </w:rPr>
        <w:t> </w:t>
      </w:r>
      <w:r w:rsidRPr="00923E74">
        <w:rPr>
          <w:snapToGrid/>
          <w:szCs w:val="22"/>
          <w:lang w:val="lt-LT" w:eastAsia="sl-SI"/>
        </w:rPr>
        <w:t>kūno</w:t>
      </w:r>
      <w:r w:rsidR="00F67594">
        <w:rPr>
          <w:snapToGrid/>
          <w:szCs w:val="22"/>
          <w:lang w:val="lt-LT" w:eastAsia="sl-SI"/>
        </w:rPr>
        <w:t> </w:t>
      </w:r>
      <w:r w:rsidRPr="00923E74">
        <w:rPr>
          <w:snapToGrid/>
          <w:szCs w:val="22"/>
          <w:lang w:val="lt-LT" w:eastAsia="sl-SI"/>
        </w:rPr>
        <w:t>svorio paros dozę, tulžies</w:t>
      </w:r>
      <w:r w:rsidR="00362565">
        <w:rPr>
          <w:snapToGrid/>
          <w:szCs w:val="22"/>
          <w:lang w:val="lt-LT" w:eastAsia="sl-SI"/>
        </w:rPr>
        <w:t xml:space="preserve"> pūslės</w:t>
      </w:r>
      <w:r w:rsidRPr="00923E74">
        <w:rPr>
          <w:snapToGrid/>
          <w:szCs w:val="22"/>
          <w:lang w:val="lt-LT" w:eastAsia="sl-SI"/>
        </w:rPr>
        <w:t xml:space="preserve"> akmenligės ar kitokio poveikio kepenų, tulžies pūslės ir latakų sistemai padažnėjimo nenustatyta. Tokių duomenų reikšmė žmogui nežinoma. Gydant </w:t>
      </w:r>
      <w:proofErr w:type="spellStart"/>
      <w:r w:rsidRPr="00923E74">
        <w:rPr>
          <w:snapToGrid/>
          <w:szCs w:val="22"/>
          <w:lang w:val="lt-LT" w:eastAsia="sl-SI"/>
        </w:rPr>
        <w:t>ezetimibu</w:t>
      </w:r>
      <w:proofErr w:type="spellEnd"/>
      <w:r w:rsidRPr="00923E74">
        <w:rPr>
          <w:snapToGrid/>
          <w:szCs w:val="22"/>
          <w:lang w:val="lt-LT" w:eastAsia="sl-SI"/>
        </w:rPr>
        <w:t xml:space="preserve">, akmenų susidarymo rizikos atmesti negalima. Ilgalaikio kancerogeninio </w:t>
      </w:r>
      <w:proofErr w:type="spellStart"/>
      <w:r w:rsidRPr="00923E74">
        <w:rPr>
          <w:snapToGrid/>
          <w:szCs w:val="22"/>
          <w:lang w:val="lt-LT" w:eastAsia="sl-SI"/>
        </w:rPr>
        <w:t>ezetimibo</w:t>
      </w:r>
      <w:proofErr w:type="spellEnd"/>
      <w:r w:rsidRPr="00923E74">
        <w:rPr>
          <w:snapToGrid/>
          <w:szCs w:val="22"/>
          <w:lang w:val="lt-LT" w:eastAsia="sl-SI"/>
        </w:rPr>
        <w:t xml:space="preserve"> poveikio tyrimų metu tok</w:t>
      </w:r>
      <w:r w:rsidR="00362565">
        <w:rPr>
          <w:snapToGrid/>
          <w:szCs w:val="22"/>
          <w:lang w:val="lt-LT" w:eastAsia="sl-SI"/>
        </w:rPr>
        <w:t>s</w:t>
      </w:r>
      <w:r w:rsidRPr="00923E74">
        <w:rPr>
          <w:snapToGrid/>
          <w:szCs w:val="22"/>
          <w:lang w:val="lt-LT" w:eastAsia="sl-SI"/>
        </w:rPr>
        <w:t xml:space="preserve"> poveiki</w:t>
      </w:r>
      <w:r w:rsidR="00362565">
        <w:rPr>
          <w:snapToGrid/>
          <w:szCs w:val="22"/>
          <w:lang w:val="lt-LT" w:eastAsia="sl-SI"/>
        </w:rPr>
        <w:t>s</w:t>
      </w:r>
      <w:r w:rsidRPr="00923E74">
        <w:rPr>
          <w:snapToGrid/>
          <w:szCs w:val="22"/>
          <w:lang w:val="lt-LT" w:eastAsia="sl-SI"/>
        </w:rPr>
        <w:t xml:space="preserve"> nepasireiškė.</w:t>
      </w:r>
      <w:r w:rsidR="000E08B9" w:rsidRPr="00923E74">
        <w:rPr>
          <w:snapToGrid/>
          <w:szCs w:val="22"/>
          <w:lang w:val="lt-LT" w:eastAsia="sl-SI"/>
        </w:rPr>
        <w:t xml:space="preserve"> </w:t>
      </w:r>
      <w:proofErr w:type="spellStart"/>
      <w:r w:rsidRPr="00923E74">
        <w:rPr>
          <w:szCs w:val="22"/>
          <w:lang w:val="lt-LT" w:eastAsia="sl-SI"/>
        </w:rPr>
        <w:t>Ezetimibas</w:t>
      </w:r>
      <w:proofErr w:type="spellEnd"/>
      <w:r w:rsidRPr="00923E74">
        <w:rPr>
          <w:szCs w:val="22"/>
          <w:lang w:val="lt-LT" w:eastAsia="sl-SI"/>
        </w:rPr>
        <w:t xml:space="preserve"> žiurkių patinų ir patelių </w:t>
      </w:r>
      <w:r w:rsidR="000E08B9" w:rsidRPr="00923E74">
        <w:rPr>
          <w:szCs w:val="22"/>
          <w:lang w:val="lt-LT" w:eastAsia="sl-SI"/>
        </w:rPr>
        <w:t>vislumo</w:t>
      </w:r>
      <w:r w:rsidRPr="00923E74">
        <w:rPr>
          <w:szCs w:val="22"/>
          <w:lang w:val="lt-LT" w:eastAsia="sl-SI"/>
        </w:rPr>
        <w:t xml:space="preserve"> neveikė, žiurkėms </w:t>
      </w:r>
      <w:r w:rsidR="000E08B9" w:rsidRPr="00923E74">
        <w:rPr>
          <w:szCs w:val="22"/>
          <w:lang w:val="lt-LT" w:eastAsia="sl-SI"/>
        </w:rPr>
        <w:t>a</w:t>
      </w:r>
      <w:r w:rsidRPr="00923E74">
        <w:rPr>
          <w:szCs w:val="22"/>
          <w:lang w:val="lt-LT" w:eastAsia="sl-SI"/>
        </w:rPr>
        <w:t xml:space="preserve">r triušiams </w:t>
      </w:r>
      <w:proofErr w:type="spellStart"/>
      <w:r w:rsidRPr="00923E74">
        <w:rPr>
          <w:szCs w:val="22"/>
          <w:lang w:val="lt-LT" w:eastAsia="sl-SI"/>
        </w:rPr>
        <w:t>teratogeninio</w:t>
      </w:r>
      <w:proofErr w:type="spellEnd"/>
      <w:r w:rsidRPr="00923E74">
        <w:rPr>
          <w:szCs w:val="22"/>
          <w:lang w:val="lt-LT" w:eastAsia="sl-SI"/>
        </w:rPr>
        <w:t xml:space="preserve"> poveikio nesukėlė, </w:t>
      </w:r>
      <w:proofErr w:type="spellStart"/>
      <w:r w:rsidRPr="00923E74">
        <w:rPr>
          <w:szCs w:val="22"/>
          <w:lang w:val="lt-LT" w:eastAsia="sl-SI"/>
        </w:rPr>
        <w:t>prenatalinio</w:t>
      </w:r>
      <w:proofErr w:type="spellEnd"/>
      <w:r w:rsidRPr="00923E74">
        <w:rPr>
          <w:szCs w:val="22"/>
          <w:lang w:val="lt-LT" w:eastAsia="sl-SI"/>
        </w:rPr>
        <w:t xml:space="preserve"> ir </w:t>
      </w:r>
      <w:proofErr w:type="spellStart"/>
      <w:r w:rsidRPr="00923E74">
        <w:rPr>
          <w:szCs w:val="22"/>
          <w:lang w:val="lt-LT" w:eastAsia="sl-SI"/>
        </w:rPr>
        <w:t>postnatalinio</w:t>
      </w:r>
      <w:proofErr w:type="spellEnd"/>
      <w:r w:rsidRPr="00923E74">
        <w:rPr>
          <w:szCs w:val="22"/>
          <w:lang w:val="lt-LT" w:eastAsia="sl-SI"/>
        </w:rPr>
        <w:t xml:space="preserve"> vystymosi neveikė. Vartojant kartotines 1</w:t>
      </w:r>
      <w:r w:rsidR="00F67594">
        <w:rPr>
          <w:szCs w:val="22"/>
          <w:lang w:val="lt-LT" w:eastAsia="sl-SI"/>
        </w:rPr>
        <w:t> </w:t>
      </w:r>
      <w:r w:rsidRPr="00923E74">
        <w:rPr>
          <w:szCs w:val="22"/>
          <w:lang w:val="lt-LT" w:eastAsia="sl-SI"/>
        </w:rPr>
        <w:t>000</w:t>
      </w:r>
      <w:r w:rsidR="00DB52C7" w:rsidRPr="00923E74">
        <w:rPr>
          <w:szCs w:val="22"/>
          <w:lang w:val="lt-LT" w:eastAsia="sl-SI"/>
        </w:rPr>
        <w:t> mg</w:t>
      </w:r>
      <w:r w:rsidRPr="00923E74">
        <w:rPr>
          <w:szCs w:val="22"/>
          <w:lang w:val="lt-LT" w:eastAsia="sl-SI"/>
        </w:rPr>
        <w:t>/kg</w:t>
      </w:r>
      <w:r w:rsidR="00F67594">
        <w:rPr>
          <w:szCs w:val="22"/>
          <w:lang w:val="lt-LT" w:eastAsia="sl-SI"/>
        </w:rPr>
        <w:t> </w:t>
      </w:r>
      <w:r w:rsidRPr="00923E74">
        <w:rPr>
          <w:szCs w:val="22"/>
          <w:lang w:val="lt-LT" w:eastAsia="sl-SI"/>
        </w:rPr>
        <w:t>kūno</w:t>
      </w:r>
      <w:r w:rsidR="00F67594">
        <w:rPr>
          <w:szCs w:val="22"/>
          <w:lang w:val="lt-LT" w:eastAsia="sl-SI"/>
        </w:rPr>
        <w:t> </w:t>
      </w:r>
      <w:r w:rsidRPr="00923E74">
        <w:rPr>
          <w:szCs w:val="22"/>
          <w:lang w:val="lt-LT" w:eastAsia="sl-SI"/>
        </w:rPr>
        <w:t xml:space="preserve">svorio paros dozes, </w:t>
      </w:r>
      <w:proofErr w:type="spellStart"/>
      <w:r w:rsidRPr="00923E74">
        <w:rPr>
          <w:szCs w:val="22"/>
          <w:lang w:val="lt-LT" w:eastAsia="sl-SI"/>
        </w:rPr>
        <w:t>ezetimibo</w:t>
      </w:r>
      <w:proofErr w:type="spellEnd"/>
      <w:r w:rsidRPr="00923E74">
        <w:rPr>
          <w:szCs w:val="22"/>
          <w:lang w:val="lt-LT" w:eastAsia="sl-SI"/>
        </w:rPr>
        <w:t xml:space="preserve"> prasiskverbė per vaikingų žiurkių ir triušių placentą.</w:t>
      </w:r>
    </w:p>
    <w:p w14:paraId="737DAC60" w14:textId="77777777" w:rsidR="000333AD" w:rsidRPr="00923E74" w:rsidRDefault="000333AD" w:rsidP="000333AD">
      <w:pPr>
        <w:spacing w:line="240" w:lineRule="auto"/>
        <w:rPr>
          <w:snapToGrid/>
          <w:szCs w:val="22"/>
          <w:lang w:val="lt-LT"/>
        </w:rPr>
      </w:pPr>
    </w:p>
    <w:p w14:paraId="374AC694" w14:textId="77777777" w:rsidR="000333AD" w:rsidRPr="00923E74" w:rsidRDefault="000333AD" w:rsidP="007E15ED">
      <w:pPr>
        <w:keepNext/>
        <w:spacing w:line="240" w:lineRule="auto"/>
        <w:rPr>
          <w:i/>
          <w:snapToGrid/>
          <w:szCs w:val="22"/>
          <w:lang w:val="lt-LT"/>
        </w:rPr>
      </w:pPr>
      <w:proofErr w:type="spellStart"/>
      <w:r w:rsidRPr="00923E74">
        <w:rPr>
          <w:i/>
          <w:snapToGrid/>
          <w:szCs w:val="22"/>
          <w:lang w:val="lt-LT"/>
        </w:rPr>
        <w:t>Atorvastatin</w:t>
      </w:r>
      <w:r w:rsidR="00584BE8" w:rsidRPr="00923E74">
        <w:rPr>
          <w:i/>
          <w:snapToGrid/>
          <w:szCs w:val="22"/>
          <w:lang w:val="lt-LT"/>
        </w:rPr>
        <w:t>as</w:t>
      </w:r>
      <w:proofErr w:type="spellEnd"/>
    </w:p>
    <w:p w14:paraId="4AB0DE3A" w14:textId="099FF031" w:rsidR="000333AD" w:rsidRPr="00923E74" w:rsidRDefault="0026142A" w:rsidP="0026142A">
      <w:pPr>
        <w:spacing w:line="240" w:lineRule="auto"/>
        <w:rPr>
          <w:snapToGrid/>
          <w:szCs w:val="22"/>
          <w:lang w:val="lt-LT"/>
        </w:rPr>
      </w:pPr>
      <w:proofErr w:type="spellStart"/>
      <w:r w:rsidRPr="00923E74">
        <w:rPr>
          <w:snapToGrid/>
          <w:szCs w:val="22"/>
          <w:lang w:val="lt-LT"/>
        </w:rPr>
        <w:t>Atorvastatinas</w:t>
      </w:r>
      <w:proofErr w:type="spellEnd"/>
      <w:r w:rsidRPr="00923E74">
        <w:rPr>
          <w:snapToGrid/>
          <w:szCs w:val="22"/>
          <w:lang w:val="lt-LT"/>
        </w:rPr>
        <w:t xml:space="preserve"> nesukėlė mutageninio ir </w:t>
      </w:r>
      <w:proofErr w:type="spellStart"/>
      <w:r w:rsidRPr="00923E74">
        <w:rPr>
          <w:snapToGrid/>
          <w:szCs w:val="22"/>
          <w:lang w:val="lt-LT"/>
        </w:rPr>
        <w:t>klastogeninio</w:t>
      </w:r>
      <w:proofErr w:type="spellEnd"/>
      <w:r w:rsidRPr="00923E74">
        <w:rPr>
          <w:snapToGrid/>
          <w:szCs w:val="22"/>
          <w:lang w:val="lt-LT"/>
        </w:rPr>
        <w:t xml:space="preserve"> poveikio keturiuose </w:t>
      </w:r>
      <w:proofErr w:type="spellStart"/>
      <w:r w:rsidRPr="00923E74">
        <w:rPr>
          <w:i/>
          <w:snapToGrid/>
          <w:szCs w:val="22"/>
          <w:lang w:val="lt-LT"/>
        </w:rPr>
        <w:t>in</w:t>
      </w:r>
      <w:proofErr w:type="spellEnd"/>
      <w:r w:rsidR="00F67594">
        <w:rPr>
          <w:i/>
          <w:snapToGrid/>
          <w:szCs w:val="22"/>
          <w:lang w:val="lt-LT"/>
        </w:rPr>
        <w:t> </w:t>
      </w:r>
      <w:proofErr w:type="spellStart"/>
      <w:r w:rsidRPr="00923E74">
        <w:rPr>
          <w:i/>
          <w:snapToGrid/>
          <w:szCs w:val="22"/>
          <w:lang w:val="lt-LT"/>
        </w:rPr>
        <w:t>vitro</w:t>
      </w:r>
      <w:proofErr w:type="spellEnd"/>
      <w:r w:rsidRPr="00923E74">
        <w:rPr>
          <w:snapToGrid/>
          <w:szCs w:val="22"/>
          <w:lang w:val="lt-LT"/>
        </w:rPr>
        <w:t xml:space="preserve"> tyrimuose ir viename </w:t>
      </w:r>
      <w:proofErr w:type="spellStart"/>
      <w:r w:rsidRPr="00923E74">
        <w:rPr>
          <w:i/>
          <w:snapToGrid/>
          <w:szCs w:val="22"/>
          <w:lang w:val="lt-LT"/>
        </w:rPr>
        <w:t>in</w:t>
      </w:r>
      <w:proofErr w:type="spellEnd"/>
      <w:r w:rsidR="00F67594">
        <w:rPr>
          <w:i/>
          <w:snapToGrid/>
          <w:szCs w:val="22"/>
          <w:lang w:val="lt-LT"/>
        </w:rPr>
        <w:t> </w:t>
      </w:r>
      <w:proofErr w:type="spellStart"/>
      <w:r w:rsidRPr="00923E74">
        <w:rPr>
          <w:i/>
          <w:snapToGrid/>
          <w:szCs w:val="22"/>
          <w:lang w:val="lt-LT"/>
        </w:rPr>
        <w:t>vivo</w:t>
      </w:r>
      <w:proofErr w:type="spellEnd"/>
      <w:r w:rsidRPr="00923E74">
        <w:rPr>
          <w:snapToGrid/>
          <w:szCs w:val="22"/>
          <w:lang w:val="lt-LT"/>
        </w:rPr>
        <w:t xml:space="preserve"> tyrime. </w:t>
      </w:r>
      <w:proofErr w:type="spellStart"/>
      <w:r w:rsidRPr="00923E74">
        <w:rPr>
          <w:snapToGrid/>
          <w:szCs w:val="22"/>
          <w:lang w:val="lt-LT"/>
        </w:rPr>
        <w:t>Atorvastatinas</w:t>
      </w:r>
      <w:proofErr w:type="spellEnd"/>
      <w:r w:rsidRPr="00923E74">
        <w:rPr>
          <w:snapToGrid/>
          <w:szCs w:val="22"/>
          <w:lang w:val="lt-LT"/>
        </w:rPr>
        <w:t xml:space="preserve"> nesukėlė kancerogeninio poveikio žiurkėms, bet didelės dozės </w:t>
      </w:r>
      <w:r w:rsidR="00D76E95" w:rsidRPr="00923E74">
        <w:rPr>
          <w:snapToGrid/>
          <w:szCs w:val="22"/>
          <w:lang w:val="lt-LT"/>
        </w:rPr>
        <w:t>(kai ekspozicija gyvūnų organizme buvo 6</w:t>
      </w:r>
      <w:r w:rsidR="00D76E95" w:rsidRPr="00923E74">
        <w:rPr>
          <w:snapToGrid/>
          <w:szCs w:val="22"/>
          <w:lang w:val="lt-LT"/>
        </w:rPr>
        <w:noBreakHyphen/>
        <w:t xml:space="preserve">11 kartų didesnė už </w:t>
      </w:r>
      <w:r w:rsidR="0014305F">
        <w:rPr>
          <w:snapToGrid/>
          <w:szCs w:val="22"/>
          <w:lang w:val="lt-LT"/>
        </w:rPr>
        <w:t>p</w:t>
      </w:r>
      <w:r w:rsidR="00D76E95" w:rsidRPr="00923E74">
        <w:rPr>
          <w:snapToGrid/>
          <w:szCs w:val="22"/>
          <w:lang w:val="lt-LT"/>
        </w:rPr>
        <w:t>asi</w:t>
      </w:r>
      <w:r w:rsidR="0014305F">
        <w:rPr>
          <w:snapToGrid/>
          <w:szCs w:val="22"/>
          <w:lang w:val="lt-LT"/>
        </w:rPr>
        <w:t>eki</w:t>
      </w:r>
      <w:r w:rsidR="00D76E95" w:rsidRPr="00923E74">
        <w:rPr>
          <w:snapToGrid/>
          <w:szCs w:val="22"/>
          <w:lang w:val="lt-LT"/>
        </w:rPr>
        <w:t>a</w:t>
      </w:r>
      <w:r w:rsidR="0014305F">
        <w:rPr>
          <w:snapToGrid/>
          <w:szCs w:val="22"/>
          <w:lang w:val="lt-LT"/>
        </w:rPr>
        <w:t>m</w:t>
      </w:r>
      <w:r w:rsidR="00D76E95" w:rsidRPr="00923E74">
        <w:rPr>
          <w:snapToGrid/>
          <w:szCs w:val="22"/>
          <w:lang w:val="lt-LT"/>
        </w:rPr>
        <w:t>ą didžiausią dozę vartojančio žmogaus organizme, apskaičiavus pagal AUC</w:t>
      </w:r>
      <w:r w:rsidR="00D76E95" w:rsidRPr="00923E74">
        <w:rPr>
          <w:snapToGrid/>
          <w:szCs w:val="22"/>
          <w:vertAlign w:val="subscript"/>
          <w:lang w:val="lt-LT"/>
        </w:rPr>
        <w:t>0-24</w:t>
      </w:r>
      <w:r w:rsidR="00D76E95" w:rsidRPr="00923E74">
        <w:rPr>
          <w:snapToGrid/>
          <w:szCs w:val="22"/>
          <w:lang w:val="lt-LT"/>
        </w:rPr>
        <w:t>)</w:t>
      </w:r>
      <w:r w:rsidR="009D7115" w:rsidRPr="00923E74">
        <w:rPr>
          <w:snapToGrid/>
          <w:szCs w:val="22"/>
          <w:lang w:val="lt-LT"/>
        </w:rPr>
        <w:t xml:space="preserve"> </w:t>
      </w:r>
      <w:r w:rsidRPr="00923E74">
        <w:rPr>
          <w:snapToGrid/>
          <w:szCs w:val="22"/>
          <w:lang w:val="lt-LT"/>
        </w:rPr>
        <w:t xml:space="preserve">sukėlė kepenų ląstelių adenomas pelių patinams ir kepenų ląstelių </w:t>
      </w:r>
      <w:r w:rsidR="00D76E95" w:rsidRPr="00923E74">
        <w:rPr>
          <w:snapToGrid/>
          <w:szCs w:val="22"/>
          <w:lang w:val="lt-LT"/>
        </w:rPr>
        <w:t>karcin</w:t>
      </w:r>
      <w:r w:rsidR="009D7115" w:rsidRPr="00923E74">
        <w:rPr>
          <w:snapToGrid/>
          <w:szCs w:val="22"/>
          <w:lang w:val="lt-LT"/>
        </w:rPr>
        <w:t>o</w:t>
      </w:r>
      <w:r w:rsidR="00D76E95" w:rsidRPr="00923E74">
        <w:rPr>
          <w:snapToGrid/>
          <w:szCs w:val="22"/>
          <w:lang w:val="lt-LT"/>
        </w:rPr>
        <w:t>mas</w:t>
      </w:r>
      <w:r w:rsidRPr="00923E74">
        <w:rPr>
          <w:snapToGrid/>
          <w:szCs w:val="22"/>
          <w:lang w:val="lt-LT"/>
        </w:rPr>
        <w:t xml:space="preserve"> pelių patelėms. Tyrimų su gyvūnais rezultatai rodo, jog HMG</w:t>
      </w:r>
      <w:r w:rsidR="00F67594">
        <w:rPr>
          <w:snapToGrid/>
          <w:szCs w:val="22"/>
          <w:lang w:val="lt-LT"/>
        </w:rPr>
        <w:noBreakHyphen/>
      </w:r>
      <w:proofErr w:type="spellStart"/>
      <w:r w:rsidRPr="00923E74">
        <w:rPr>
          <w:snapToGrid/>
          <w:szCs w:val="22"/>
          <w:lang w:val="lt-LT"/>
        </w:rPr>
        <w:t>KoA</w:t>
      </w:r>
      <w:proofErr w:type="spellEnd"/>
      <w:r w:rsidR="00F67594">
        <w:rPr>
          <w:snapToGrid/>
          <w:szCs w:val="22"/>
          <w:lang w:val="lt-LT"/>
        </w:rPr>
        <w:t> </w:t>
      </w:r>
      <w:r w:rsidRPr="00923E74">
        <w:rPr>
          <w:snapToGrid/>
          <w:szCs w:val="22"/>
          <w:lang w:val="lt-LT"/>
        </w:rPr>
        <w:t xml:space="preserve">reduktazės inhibitoriai gali daryti poveikį embriono ar vaisiaus vystymuisi. </w:t>
      </w:r>
      <w:proofErr w:type="spellStart"/>
      <w:r w:rsidRPr="00923E74">
        <w:rPr>
          <w:snapToGrid/>
          <w:szCs w:val="22"/>
          <w:lang w:val="lt-LT"/>
        </w:rPr>
        <w:t>Atorvastatinas</w:t>
      </w:r>
      <w:proofErr w:type="spellEnd"/>
      <w:r w:rsidRPr="00923E74">
        <w:rPr>
          <w:snapToGrid/>
          <w:szCs w:val="22"/>
          <w:lang w:val="lt-LT"/>
        </w:rPr>
        <w:t xml:space="preserve"> neveikė žiurkių, triušių ir šunų </w:t>
      </w:r>
      <w:r w:rsidR="00D76E95" w:rsidRPr="00923E74">
        <w:rPr>
          <w:snapToGrid/>
          <w:szCs w:val="22"/>
          <w:lang w:val="lt-LT"/>
        </w:rPr>
        <w:t>vislumo</w:t>
      </w:r>
      <w:r w:rsidRPr="00923E74">
        <w:rPr>
          <w:snapToGrid/>
          <w:szCs w:val="22"/>
          <w:lang w:val="lt-LT"/>
        </w:rPr>
        <w:t xml:space="preserve"> ir nesukėlė </w:t>
      </w:r>
      <w:proofErr w:type="spellStart"/>
      <w:r w:rsidRPr="00923E74">
        <w:rPr>
          <w:snapToGrid/>
          <w:szCs w:val="22"/>
          <w:lang w:val="lt-LT"/>
        </w:rPr>
        <w:t>teratogeninio</w:t>
      </w:r>
      <w:proofErr w:type="spellEnd"/>
      <w:r w:rsidRPr="00923E74">
        <w:rPr>
          <w:snapToGrid/>
          <w:szCs w:val="22"/>
          <w:lang w:val="lt-LT"/>
        </w:rPr>
        <w:t xml:space="preserve"> poveikio, tačiau vartojant žiurkių ir triušių patelėms toksines dozes, pasireiškė toksinis poveikis vaisiui. Sulėtėj</w:t>
      </w:r>
      <w:r w:rsidR="00D76E95" w:rsidRPr="00923E74">
        <w:rPr>
          <w:snapToGrid/>
          <w:szCs w:val="22"/>
          <w:lang w:val="lt-LT"/>
        </w:rPr>
        <w:t xml:space="preserve">o dideles </w:t>
      </w:r>
      <w:proofErr w:type="spellStart"/>
      <w:r w:rsidR="00D76E95" w:rsidRPr="00923E74">
        <w:rPr>
          <w:snapToGrid/>
          <w:szCs w:val="22"/>
          <w:lang w:val="lt-LT"/>
        </w:rPr>
        <w:t>atorvastatino</w:t>
      </w:r>
      <w:proofErr w:type="spellEnd"/>
      <w:r w:rsidR="00D76E95" w:rsidRPr="00923E74">
        <w:rPr>
          <w:snapToGrid/>
          <w:szCs w:val="22"/>
          <w:lang w:val="lt-LT"/>
        </w:rPr>
        <w:t xml:space="preserve"> dozes vartojusių žiurkių patelių jauniklių vystymasis ir sumažėjo </w:t>
      </w:r>
      <w:r w:rsidRPr="00923E74">
        <w:rPr>
          <w:snapToGrid/>
          <w:szCs w:val="22"/>
          <w:lang w:val="lt-LT"/>
        </w:rPr>
        <w:t>jų išgyven</w:t>
      </w:r>
      <w:r w:rsidR="0014305F">
        <w:rPr>
          <w:snapToGrid/>
          <w:szCs w:val="22"/>
          <w:lang w:val="lt-LT"/>
        </w:rPr>
        <w:t>amu</w:t>
      </w:r>
      <w:r w:rsidRPr="00923E74">
        <w:rPr>
          <w:snapToGrid/>
          <w:szCs w:val="22"/>
          <w:lang w:val="lt-LT"/>
        </w:rPr>
        <w:t xml:space="preserve">mas po </w:t>
      </w:r>
      <w:r w:rsidR="00D76E95" w:rsidRPr="00923E74">
        <w:rPr>
          <w:snapToGrid/>
          <w:szCs w:val="22"/>
          <w:lang w:val="lt-LT"/>
        </w:rPr>
        <w:t>atsivedimo</w:t>
      </w:r>
      <w:r w:rsidRPr="00923E74">
        <w:rPr>
          <w:snapToGrid/>
          <w:szCs w:val="22"/>
          <w:lang w:val="lt-LT"/>
        </w:rPr>
        <w:t xml:space="preserve">. </w:t>
      </w:r>
      <w:r w:rsidR="00D76E95" w:rsidRPr="00923E74">
        <w:rPr>
          <w:snapToGrid/>
          <w:szCs w:val="22"/>
          <w:lang w:val="lt-LT"/>
        </w:rPr>
        <w:t>Gauta</w:t>
      </w:r>
      <w:r w:rsidRPr="00923E74">
        <w:rPr>
          <w:snapToGrid/>
          <w:szCs w:val="22"/>
          <w:lang w:val="lt-LT"/>
        </w:rPr>
        <w:t xml:space="preserve"> įrodymų, kad </w:t>
      </w:r>
      <w:proofErr w:type="spellStart"/>
      <w:r w:rsidR="00D76E95" w:rsidRPr="00923E74">
        <w:rPr>
          <w:snapToGrid/>
          <w:szCs w:val="22"/>
          <w:lang w:val="lt-LT"/>
        </w:rPr>
        <w:t>atorvastatinas</w:t>
      </w:r>
      <w:proofErr w:type="spellEnd"/>
      <w:r w:rsidRPr="00923E74">
        <w:rPr>
          <w:snapToGrid/>
          <w:szCs w:val="22"/>
          <w:lang w:val="lt-LT"/>
        </w:rPr>
        <w:t xml:space="preserve"> prasiskverbia per žiurkių placentą. </w:t>
      </w:r>
      <w:proofErr w:type="spellStart"/>
      <w:r w:rsidRPr="00923E74">
        <w:rPr>
          <w:snapToGrid/>
          <w:szCs w:val="22"/>
          <w:lang w:val="lt-LT"/>
        </w:rPr>
        <w:t>Atorvastatino</w:t>
      </w:r>
      <w:proofErr w:type="spellEnd"/>
      <w:r w:rsidRPr="00923E74">
        <w:rPr>
          <w:snapToGrid/>
          <w:szCs w:val="22"/>
          <w:lang w:val="lt-LT"/>
        </w:rPr>
        <w:t xml:space="preserve"> </w:t>
      </w:r>
      <w:r w:rsidR="00D76E95" w:rsidRPr="00923E74">
        <w:rPr>
          <w:snapToGrid/>
          <w:szCs w:val="22"/>
          <w:lang w:val="lt-LT"/>
        </w:rPr>
        <w:t>koncentracija</w:t>
      </w:r>
      <w:r w:rsidRPr="00923E74">
        <w:rPr>
          <w:snapToGrid/>
          <w:szCs w:val="22"/>
          <w:lang w:val="lt-LT"/>
        </w:rPr>
        <w:t xml:space="preserve"> žiurkių </w:t>
      </w:r>
      <w:r w:rsidR="00D76E95" w:rsidRPr="00923E74">
        <w:rPr>
          <w:snapToGrid/>
          <w:szCs w:val="22"/>
          <w:lang w:val="lt-LT"/>
        </w:rPr>
        <w:t xml:space="preserve">kraujo </w:t>
      </w:r>
      <w:r w:rsidRPr="00923E74">
        <w:rPr>
          <w:snapToGrid/>
          <w:szCs w:val="22"/>
          <w:lang w:val="lt-LT"/>
        </w:rPr>
        <w:t xml:space="preserve">plazmoje buvo panaši į koncentraciją piene. Ar </w:t>
      </w:r>
      <w:proofErr w:type="spellStart"/>
      <w:r w:rsidRPr="00923E74">
        <w:rPr>
          <w:snapToGrid/>
          <w:szCs w:val="22"/>
          <w:lang w:val="lt-LT"/>
        </w:rPr>
        <w:t>atorvastatino</w:t>
      </w:r>
      <w:proofErr w:type="spellEnd"/>
      <w:r w:rsidRPr="00923E74">
        <w:rPr>
          <w:snapToGrid/>
          <w:szCs w:val="22"/>
          <w:lang w:val="lt-LT"/>
        </w:rPr>
        <w:t xml:space="preserve"> ar jo metabolitų patenka į moters pieną, nežinoma.</w:t>
      </w:r>
    </w:p>
    <w:p w14:paraId="7E4A3554" w14:textId="77777777" w:rsidR="0026142A" w:rsidRPr="00923E74" w:rsidRDefault="0026142A" w:rsidP="0026142A">
      <w:pPr>
        <w:spacing w:line="240" w:lineRule="auto"/>
        <w:rPr>
          <w:snapToGrid/>
          <w:szCs w:val="22"/>
          <w:lang w:val="lt-LT"/>
        </w:rPr>
      </w:pPr>
    </w:p>
    <w:p w14:paraId="7FECC4AF" w14:textId="77777777" w:rsidR="000333AD" w:rsidRPr="00923E74" w:rsidRDefault="0026142A" w:rsidP="007E15ED">
      <w:pPr>
        <w:keepNext/>
        <w:spacing w:line="240" w:lineRule="auto"/>
        <w:rPr>
          <w:i/>
          <w:snapToGrid/>
          <w:szCs w:val="22"/>
          <w:lang w:val="lt-LT"/>
        </w:rPr>
      </w:pPr>
      <w:r w:rsidRPr="00923E74">
        <w:rPr>
          <w:i/>
          <w:snapToGrid/>
          <w:szCs w:val="22"/>
          <w:lang w:val="lt-LT"/>
        </w:rPr>
        <w:t xml:space="preserve">Kartu vartojami </w:t>
      </w:r>
      <w:proofErr w:type="spellStart"/>
      <w:r w:rsidRPr="00923E74">
        <w:rPr>
          <w:i/>
          <w:snapToGrid/>
          <w:szCs w:val="22"/>
          <w:lang w:val="lt-LT"/>
        </w:rPr>
        <w:t>e</w:t>
      </w:r>
      <w:r w:rsidR="000333AD" w:rsidRPr="00923E74">
        <w:rPr>
          <w:i/>
          <w:snapToGrid/>
          <w:szCs w:val="22"/>
          <w:lang w:val="lt-LT"/>
        </w:rPr>
        <w:t>zetimib</w:t>
      </w:r>
      <w:r w:rsidRPr="00923E74">
        <w:rPr>
          <w:i/>
          <w:snapToGrid/>
          <w:szCs w:val="22"/>
          <w:lang w:val="lt-LT"/>
        </w:rPr>
        <w:t>as</w:t>
      </w:r>
      <w:proofErr w:type="spellEnd"/>
      <w:r w:rsidR="000333AD" w:rsidRPr="00923E74">
        <w:rPr>
          <w:i/>
          <w:snapToGrid/>
          <w:szCs w:val="22"/>
          <w:lang w:val="lt-LT"/>
        </w:rPr>
        <w:t xml:space="preserve"> </w:t>
      </w:r>
      <w:r w:rsidRPr="00923E74">
        <w:rPr>
          <w:i/>
          <w:snapToGrid/>
          <w:szCs w:val="22"/>
          <w:lang w:val="lt-LT"/>
        </w:rPr>
        <w:t xml:space="preserve">ir </w:t>
      </w:r>
      <w:proofErr w:type="spellStart"/>
      <w:r w:rsidRPr="00923E74">
        <w:rPr>
          <w:i/>
          <w:snapToGrid/>
          <w:szCs w:val="22"/>
          <w:lang w:val="lt-LT"/>
        </w:rPr>
        <w:t>statinas</w:t>
      </w:r>
      <w:proofErr w:type="spellEnd"/>
    </w:p>
    <w:p w14:paraId="738EE873" w14:textId="1DE7075D" w:rsidR="000333AD" w:rsidRPr="00923E74" w:rsidRDefault="00781860" w:rsidP="000333AD">
      <w:pPr>
        <w:spacing w:line="240" w:lineRule="auto"/>
        <w:rPr>
          <w:snapToGrid/>
          <w:szCs w:val="22"/>
          <w:lang w:val="lt-LT"/>
        </w:rPr>
      </w:pPr>
      <w:r w:rsidRPr="00923E74">
        <w:rPr>
          <w:snapToGrid/>
          <w:szCs w:val="22"/>
          <w:lang w:val="lt-LT"/>
        </w:rPr>
        <w:t>Tyrim</w:t>
      </w:r>
      <w:r w:rsidR="0014305F">
        <w:rPr>
          <w:snapToGrid/>
          <w:szCs w:val="22"/>
          <w:lang w:val="lt-LT"/>
        </w:rPr>
        <w:t>ų du</w:t>
      </w:r>
      <w:r w:rsidRPr="00923E74">
        <w:rPr>
          <w:snapToGrid/>
          <w:szCs w:val="22"/>
          <w:lang w:val="lt-LT"/>
        </w:rPr>
        <w:t>omenim</w:t>
      </w:r>
      <w:r w:rsidR="0014305F">
        <w:rPr>
          <w:snapToGrid/>
          <w:szCs w:val="22"/>
          <w:lang w:val="lt-LT"/>
        </w:rPr>
        <w:t>i</w:t>
      </w:r>
      <w:r w:rsidRPr="00923E74">
        <w:rPr>
          <w:snapToGrid/>
          <w:szCs w:val="22"/>
          <w:lang w:val="lt-LT"/>
        </w:rPr>
        <w:t>s</w:t>
      </w:r>
      <w:r w:rsidR="00802C58">
        <w:rPr>
          <w:snapToGrid/>
          <w:szCs w:val="22"/>
          <w:lang w:val="lt-LT"/>
        </w:rPr>
        <w:t>,</w:t>
      </w:r>
      <w:r w:rsidRPr="00923E74">
        <w:rPr>
          <w:snapToGrid/>
          <w:szCs w:val="22"/>
          <w:lang w:val="lt-LT"/>
        </w:rPr>
        <w:t xml:space="preserve"> skiriant </w:t>
      </w:r>
      <w:proofErr w:type="spellStart"/>
      <w:r w:rsidR="000333AD" w:rsidRPr="00923E74">
        <w:rPr>
          <w:snapToGrid/>
          <w:szCs w:val="22"/>
          <w:lang w:val="lt-LT"/>
        </w:rPr>
        <w:t>ezetimib</w:t>
      </w:r>
      <w:r w:rsidRPr="00923E74">
        <w:rPr>
          <w:snapToGrid/>
          <w:szCs w:val="22"/>
          <w:lang w:val="lt-LT"/>
        </w:rPr>
        <w:t>o</w:t>
      </w:r>
      <w:proofErr w:type="spellEnd"/>
      <w:r w:rsidRPr="00923E74">
        <w:rPr>
          <w:snapToGrid/>
          <w:szCs w:val="22"/>
          <w:lang w:val="lt-LT"/>
        </w:rPr>
        <w:t xml:space="preserve"> kartu su</w:t>
      </w:r>
      <w:r w:rsidR="0014305F">
        <w:rPr>
          <w:snapToGrid/>
          <w:szCs w:val="22"/>
          <w:lang w:val="lt-LT"/>
        </w:rPr>
        <w:t xml:space="preserve"> </w:t>
      </w:r>
      <w:proofErr w:type="spellStart"/>
      <w:r w:rsidR="0014305F">
        <w:rPr>
          <w:snapToGrid/>
          <w:szCs w:val="22"/>
          <w:lang w:val="lt-LT"/>
        </w:rPr>
        <w:t>statinais</w:t>
      </w:r>
      <w:proofErr w:type="spellEnd"/>
      <w:r w:rsidR="0014305F">
        <w:rPr>
          <w:snapToGrid/>
          <w:szCs w:val="22"/>
          <w:lang w:val="lt-LT"/>
        </w:rPr>
        <w:t>, įskaitant</w:t>
      </w:r>
      <w:r w:rsidRPr="00923E74">
        <w:rPr>
          <w:snapToGrid/>
          <w:szCs w:val="22"/>
          <w:lang w:val="lt-LT"/>
        </w:rPr>
        <w:t xml:space="preserve"> </w:t>
      </w:r>
      <w:proofErr w:type="spellStart"/>
      <w:r w:rsidR="000333AD" w:rsidRPr="00923E74">
        <w:rPr>
          <w:snapToGrid/>
          <w:szCs w:val="22"/>
          <w:lang w:val="lt-LT"/>
        </w:rPr>
        <w:t>atorvastatin</w:t>
      </w:r>
      <w:r w:rsidR="0014305F">
        <w:rPr>
          <w:snapToGrid/>
          <w:szCs w:val="22"/>
          <w:lang w:val="lt-LT"/>
        </w:rPr>
        <w:t>ą</w:t>
      </w:r>
      <w:proofErr w:type="spellEnd"/>
      <w:r w:rsidR="000333AD" w:rsidRPr="00923E74">
        <w:rPr>
          <w:snapToGrid/>
          <w:szCs w:val="22"/>
          <w:lang w:val="lt-LT"/>
        </w:rPr>
        <w:t xml:space="preserve">, </w:t>
      </w:r>
      <w:r w:rsidRPr="00923E74">
        <w:rPr>
          <w:snapToGrid/>
          <w:szCs w:val="22"/>
          <w:lang w:val="lt-LT"/>
        </w:rPr>
        <w:t xml:space="preserve">stebėtas toksinis poveikis atitiko poveikį, paprastai pasireiškiantį vartojant </w:t>
      </w:r>
      <w:proofErr w:type="spellStart"/>
      <w:r w:rsidRPr="00923E74">
        <w:rPr>
          <w:snapToGrid/>
          <w:szCs w:val="22"/>
          <w:lang w:val="lt-LT"/>
        </w:rPr>
        <w:t>statinų</w:t>
      </w:r>
      <w:proofErr w:type="spellEnd"/>
      <w:r w:rsidRPr="00923E74">
        <w:rPr>
          <w:snapToGrid/>
          <w:szCs w:val="22"/>
          <w:lang w:val="lt-LT"/>
        </w:rPr>
        <w:t>. Tam tikras toksinis poveikis buvo stipresnis, nei bū</w:t>
      </w:r>
      <w:r w:rsidR="0014305F">
        <w:rPr>
          <w:snapToGrid/>
          <w:szCs w:val="22"/>
          <w:lang w:val="lt-LT"/>
        </w:rPr>
        <w:t>di</w:t>
      </w:r>
      <w:r w:rsidRPr="00923E74">
        <w:rPr>
          <w:snapToGrid/>
          <w:szCs w:val="22"/>
          <w:lang w:val="lt-LT"/>
        </w:rPr>
        <w:t>n</w:t>
      </w:r>
      <w:r w:rsidR="0014305F">
        <w:rPr>
          <w:snapToGrid/>
          <w:szCs w:val="22"/>
          <w:lang w:val="lt-LT"/>
        </w:rPr>
        <w:t>g</w:t>
      </w:r>
      <w:r w:rsidRPr="00923E74">
        <w:rPr>
          <w:snapToGrid/>
          <w:szCs w:val="22"/>
          <w:lang w:val="lt-LT"/>
        </w:rPr>
        <w:t>a</w:t>
      </w:r>
      <w:r w:rsidR="0014305F">
        <w:rPr>
          <w:snapToGrid/>
          <w:szCs w:val="22"/>
          <w:lang w:val="lt-LT"/>
        </w:rPr>
        <w:t>s</w:t>
      </w:r>
      <w:r w:rsidRPr="00923E74">
        <w:rPr>
          <w:snapToGrid/>
          <w:szCs w:val="22"/>
          <w:lang w:val="lt-LT"/>
        </w:rPr>
        <w:t xml:space="preserve"> vartojant vien </w:t>
      </w:r>
      <w:proofErr w:type="spellStart"/>
      <w:r w:rsidRPr="00923E74">
        <w:rPr>
          <w:snapToGrid/>
          <w:szCs w:val="22"/>
          <w:lang w:val="lt-LT"/>
        </w:rPr>
        <w:t>statinų</w:t>
      </w:r>
      <w:proofErr w:type="spellEnd"/>
      <w:r w:rsidR="000333AD" w:rsidRPr="00923E74">
        <w:rPr>
          <w:snapToGrid/>
          <w:szCs w:val="22"/>
          <w:lang w:val="lt-LT"/>
        </w:rPr>
        <w:t xml:space="preserve">. </w:t>
      </w:r>
      <w:r w:rsidRPr="00923E74">
        <w:rPr>
          <w:snapToGrid/>
          <w:szCs w:val="22"/>
          <w:lang w:val="lt-LT"/>
        </w:rPr>
        <w:t xml:space="preserve">Tai gali būti susiję su </w:t>
      </w:r>
      <w:proofErr w:type="spellStart"/>
      <w:r w:rsidRPr="00923E74">
        <w:rPr>
          <w:snapToGrid/>
          <w:szCs w:val="22"/>
          <w:lang w:val="lt-LT"/>
        </w:rPr>
        <w:t>farmakokinetine</w:t>
      </w:r>
      <w:proofErr w:type="spellEnd"/>
      <w:r w:rsidRPr="00923E74">
        <w:rPr>
          <w:snapToGrid/>
          <w:szCs w:val="22"/>
          <w:lang w:val="lt-LT"/>
        </w:rPr>
        <w:t xml:space="preserve"> ir</w:t>
      </w:r>
      <w:r w:rsidR="00F67594">
        <w:rPr>
          <w:snapToGrid/>
          <w:szCs w:val="22"/>
          <w:lang w:val="lt-LT"/>
        </w:rPr>
        <w:t> </w:t>
      </w:r>
      <w:r w:rsidRPr="00923E74">
        <w:rPr>
          <w:snapToGrid/>
          <w:szCs w:val="22"/>
          <w:lang w:val="lt-LT"/>
        </w:rPr>
        <w:t xml:space="preserve">(arba) </w:t>
      </w:r>
      <w:proofErr w:type="spellStart"/>
      <w:r w:rsidRPr="00923E74">
        <w:rPr>
          <w:snapToGrid/>
          <w:szCs w:val="22"/>
          <w:lang w:val="lt-LT"/>
        </w:rPr>
        <w:t>farmakodinamine</w:t>
      </w:r>
      <w:proofErr w:type="spellEnd"/>
      <w:r w:rsidRPr="00923E74">
        <w:rPr>
          <w:snapToGrid/>
          <w:szCs w:val="22"/>
          <w:lang w:val="lt-LT"/>
        </w:rPr>
        <w:t xml:space="preserve"> sąveika kombinuoto vartojimo atveju</w:t>
      </w:r>
      <w:r w:rsidR="000333AD" w:rsidRPr="00923E74">
        <w:rPr>
          <w:snapToGrid/>
          <w:szCs w:val="22"/>
          <w:lang w:val="lt-LT"/>
        </w:rPr>
        <w:t>.</w:t>
      </w:r>
      <w:r w:rsidR="0014305F">
        <w:rPr>
          <w:snapToGrid/>
          <w:szCs w:val="22"/>
          <w:lang w:val="lt-LT"/>
        </w:rPr>
        <w:t xml:space="preserve"> Klinikiniuose tyrimuose tokia sąveika nepasireiškė. </w:t>
      </w:r>
      <w:r w:rsidR="0014305F" w:rsidRPr="00923E74">
        <w:rPr>
          <w:snapToGrid/>
          <w:szCs w:val="22"/>
          <w:lang w:val="lt-LT"/>
        </w:rPr>
        <w:t>Ž</w:t>
      </w:r>
      <w:r w:rsidR="00164024" w:rsidRPr="00923E74">
        <w:rPr>
          <w:snapToGrid/>
          <w:szCs w:val="22"/>
          <w:lang w:val="lt-LT"/>
        </w:rPr>
        <w:t>iurkėms</w:t>
      </w:r>
      <w:r w:rsidR="0067168A">
        <w:rPr>
          <w:snapToGrid/>
          <w:szCs w:val="22"/>
          <w:lang w:val="lt-LT"/>
        </w:rPr>
        <w:t xml:space="preserve"> </w:t>
      </w:r>
      <w:proofErr w:type="spellStart"/>
      <w:r w:rsidR="0067168A">
        <w:rPr>
          <w:snapToGrid/>
          <w:szCs w:val="22"/>
          <w:lang w:val="lt-LT"/>
        </w:rPr>
        <w:t>miopatija</w:t>
      </w:r>
      <w:proofErr w:type="spellEnd"/>
      <w:r w:rsidR="0067168A">
        <w:rPr>
          <w:snapToGrid/>
          <w:szCs w:val="22"/>
          <w:lang w:val="lt-LT"/>
        </w:rPr>
        <w:t xml:space="preserve"> buvo pastebėta tik tada, kai ekspozicija buvo tokia, kuri laikoma pakankamai viršijančią maksimalią žmogui (apytiksliai 20 kartų </w:t>
      </w:r>
      <w:proofErr w:type="spellStart"/>
      <w:r w:rsidR="0067168A">
        <w:rPr>
          <w:snapToGrid/>
          <w:szCs w:val="22"/>
          <w:lang w:val="lt-LT"/>
        </w:rPr>
        <w:t>statinų</w:t>
      </w:r>
      <w:proofErr w:type="spellEnd"/>
      <w:r w:rsidR="0067168A">
        <w:rPr>
          <w:snapToGrid/>
          <w:szCs w:val="22"/>
          <w:lang w:val="lt-LT"/>
        </w:rPr>
        <w:t> AUC ir 500</w:t>
      </w:r>
      <w:r w:rsidR="0067168A">
        <w:rPr>
          <w:snapToGrid/>
          <w:szCs w:val="22"/>
          <w:lang w:val="lt-LT"/>
        </w:rPr>
        <w:noBreakHyphen/>
        <w:t>2 000 kartų aktyviųjų metabolitų AUC).</w:t>
      </w:r>
      <w:r w:rsidR="00164024" w:rsidRPr="00923E74">
        <w:rPr>
          <w:snapToGrid/>
          <w:szCs w:val="22"/>
          <w:lang w:val="lt-LT"/>
        </w:rPr>
        <w:t xml:space="preserve"> </w:t>
      </w:r>
      <w:r w:rsidR="001B7C00" w:rsidRPr="00923E74">
        <w:rPr>
          <w:snapToGrid/>
          <w:szCs w:val="22"/>
          <w:lang w:val="lt-LT"/>
        </w:rPr>
        <w:t>Serijos tyrimų</w:t>
      </w:r>
      <w:r w:rsidR="000333AD" w:rsidRPr="00923E74">
        <w:rPr>
          <w:snapToGrid/>
          <w:szCs w:val="22"/>
          <w:lang w:val="lt-LT"/>
        </w:rPr>
        <w:t xml:space="preserve"> </w:t>
      </w:r>
      <w:proofErr w:type="spellStart"/>
      <w:r w:rsidR="000333AD" w:rsidRPr="00923E74">
        <w:rPr>
          <w:i/>
          <w:snapToGrid/>
          <w:szCs w:val="22"/>
          <w:lang w:val="lt-LT"/>
        </w:rPr>
        <w:t>in</w:t>
      </w:r>
      <w:proofErr w:type="spellEnd"/>
      <w:r w:rsidR="00F67594">
        <w:rPr>
          <w:i/>
          <w:snapToGrid/>
          <w:szCs w:val="22"/>
          <w:lang w:val="lt-LT"/>
        </w:rPr>
        <w:t> </w:t>
      </w:r>
      <w:proofErr w:type="spellStart"/>
      <w:r w:rsidR="000333AD" w:rsidRPr="00923E74">
        <w:rPr>
          <w:i/>
          <w:snapToGrid/>
          <w:szCs w:val="22"/>
          <w:lang w:val="lt-LT"/>
        </w:rPr>
        <w:t>vivo</w:t>
      </w:r>
      <w:proofErr w:type="spellEnd"/>
      <w:r w:rsidR="000333AD" w:rsidRPr="00923E74">
        <w:rPr>
          <w:i/>
          <w:snapToGrid/>
          <w:szCs w:val="22"/>
          <w:lang w:val="lt-LT"/>
        </w:rPr>
        <w:t xml:space="preserve"> </w:t>
      </w:r>
      <w:r w:rsidR="001B7C00" w:rsidRPr="00923E74">
        <w:rPr>
          <w:snapToGrid/>
          <w:szCs w:val="22"/>
          <w:lang w:val="lt-LT"/>
        </w:rPr>
        <w:t>ir</w:t>
      </w:r>
      <w:r w:rsidR="000333AD" w:rsidRPr="00923E74">
        <w:rPr>
          <w:i/>
          <w:snapToGrid/>
          <w:szCs w:val="22"/>
          <w:lang w:val="lt-LT"/>
        </w:rPr>
        <w:t xml:space="preserve"> </w:t>
      </w:r>
      <w:proofErr w:type="spellStart"/>
      <w:r w:rsidR="000333AD" w:rsidRPr="00923E74">
        <w:rPr>
          <w:i/>
          <w:snapToGrid/>
          <w:szCs w:val="22"/>
          <w:lang w:val="lt-LT"/>
        </w:rPr>
        <w:t>in</w:t>
      </w:r>
      <w:proofErr w:type="spellEnd"/>
      <w:r w:rsidR="00F67594">
        <w:rPr>
          <w:i/>
          <w:snapToGrid/>
          <w:szCs w:val="22"/>
          <w:lang w:val="lt-LT"/>
        </w:rPr>
        <w:t> </w:t>
      </w:r>
      <w:proofErr w:type="spellStart"/>
      <w:r w:rsidR="000333AD" w:rsidRPr="00923E74">
        <w:rPr>
          <w:i/>
          <w:snapToGrid/>
          <w:szCs w:val="22"/>
          <w:lang w:val="lt-LT"/>
        </w:rPr>
        <w:t>vitro</w:t>
      </w:r>
      <w:proofErr w:type="spellEnd"/>
      <w:r w:rsidR="000333AD" w:rsidRPr="00923E74">
        <w:rPr>
          <w:i/>
          <w:snapToGrid/>
          <w:szCs w:val="22"/>
          <w:lang w:val="lt-LT"/>
        </w:rPr>
        <w:t xml:space="preserve"> </w:t>
      </w:r>
      <w:r w:rsidR="001B7C00" w:rsidRPr="00923E74">
        <w:rPr>
          <w:snapToGrid/>
          <w:szCs w:val="22"/>
          <w:lang w:val="lt-LT"/>
        </w:rPr>
        <w:t>metu</w:t>
      </w:r>
      <w:r w:rsidR="000333AD" w:rsidRPr="00923E74">
        <w:rPr>
          <w:snapToGrid/>
          <w:szCs w:val="22"/>
          <w:lang w:val="lt-LT"/>
        </w:rPr>
        <w:t xml:space="preserve"> </w:t>
      </w:r>
      <w:proofErr w:type="spellStart"/>
      <w:r w:rsidR="000333AD" w:rsidRPr="00923E74">
        <w:rPr>
          <w:snapToGrid/>
          <w:szCs w:val="22"/>
          <w:lang w:val="lt-LT"/>
        </w:rPr>
        <w:t>ezetimib</w:t>
      </w:r>
      <w:r w:rsidR="001B7C00" w:rsidRPr="00923E74">
        <w:rPr>
          <w:snapToGrid/>
          <w:szCs w:val="22"/>
          <w:lang w:val="lt-LT"/>
        </w:rPr>
        <w:t>as</w:t>
      </w:r>
      <w:proofErr w:type="spellEnd"/>
      <w:r w:rsidR="001B7C00" w:rsidRPr="00923E74">
        <w:rPr>
          <w:snapToGrid/>
          <w:szCs w:val="22"/>
          <w:lang w:val="lt-LT"/>
        </w:rPr>
        <w:t xml:space="preserve">, vartojamas kartu su </w:t>
      </w:r>
      <w:proofErr w:type="spellStart"/>
      <w:r w:rsidR="0067168A">
        <w:rPr>
          <w:snapToGrid/>
          <w:szCs w:val="22"/>
          <w:lang w:val="lt-LT"/>
        </w:rPr>
        <w:t>s</w:t>
      </w:r>
      <w:r w:rsidR="000333AD" w:rsidRPr="00923E74">
        <w:rPr>
          <w:snapToGrid/>
          <w:szCs w:val="22"/>
          <w:lang w:val="lt-LT"/>
        </w:rPr>
        <w:t>tatin</w:t>
      </w:r>
      <w:r w:rsidR="0067168A">
        <w:rPr>
          <w:snapToGrid/>
          <w:szCs w:val="22"/>
          <w:lang w:val="lt-LT"/>
        </w:rPr>
        <w:t>ais</w:t>
      </w:r>
      <w:proofErr w:type="spellEnd"/>
      <w:r w:rsidR="000333AD" w:rsidRPr="00923E74">
        <w:rPr>
          <w:snapToGrid/>
          <w:szCs w:val="22"/>
          <w:lang w:val="lt-LT"/>
        </w:rPr>
        <w:t xml:space="preserve">, </w:t>
      </w:r>
      <w:r w:rsidR="001B7C00" w:rsidRPr="00923E74">
        <w:rPr>
          <w:snapToGrid/>
          <w:szCs w:val="22"/>
          <w:lang w:val="lt-LT"/>
        </w:rPr>
        <w:t xml:space="preserve">galimo </w:t>
      </w:r>
      <w:proofErr w:type="spellStart"/>
      <w:r w:rsidR="001B7C00" w:rsidRPr="00923E74">
        <w:rPr>
          <w:snapToGrid/>
          <w:szCs w:val="22"/>
          <w:lang w:val="lt-LT"/>
        </w:rPr>
        <w:t>genotoksinio</w:t>
      </w:r>
      <w:proofErr w:type="spellEnd"/>
      <w:r w:rsidR="001B7C00" w:rsidRPr="00923E74">
        <w:rPr>
          <w:snapToGrid/>
          <w:szCs w:val="22"/>
          <w:lang w:val="lt-LT"/>
        </w:rPr>
        <w:t xml:space="preserve"> poveikio nesukėlė</w:t>
      </w:r>
      <w:r w:rsidR="000333AD" w:rsidRPr="00923E74">
        <w:rPr>
          <w:snapToGrid/>
          <w:szCs w:val="22"/>
          <w:lang w:val="lt-LT"/>
        </w:rPr>
        <w:t>.</w:t>
      </w:r>
      <w:r w:rsidR="0067168A">
        <w:rPr>
          <w:snapToGrid/>
          <w:szCs w:val="22"/>
          <w:lang w:val="lt-LT"/>
        </w:rPr>
        <w:t xml:space="preserve"> Žiurkėms </w:t>
      </w:r>
      <w:proofErr w:type="spellStart"/>
      <w:r w:rsidR="0067168A">
        <w:rPr>
          <w:snapToGrid/>
          <w:szCs w:val="22"/>
          <w:lang w:val="lt-LT"/>
        </w:rPr>
        <w:t>ezetimibas</w:t>
      </w:r>
      <w:proofErr w:type="spellEnd"/>
      <w:r w:rsidR="0067168A">
        <w:rPr>
          <w:snapToGrid/>
          <w:szCs w:val="22"/>
          <w:lang w:val="lt-LT"/>
        </w:rPr>
        <w:t xml:space="preserve">, vartojamas kartu su </w:t>
      </w:r>
      <w:proofErr w:type="spellStart"/>
      <w:r w:rsidR="0067168A">
        <w:rPr>
          <w:snapToGrid/>
          <w:szCs w:val="22"/>
          <w:lang w:val="lt-LT"/>
        </w:rPr>
        <w:t>statinais</w:t>
      </w:r>
      <w:proofErr w:type="spellEnd"/>
      <w:r w:rsidR="0067168A">
        <w:rPr>
          <w:snapToGrid/>
          <w:szCs w:val="22"/>
          <w:lang w:val="lt-LT"/>
        </w:rPr>
        <w:t xml:space="preserve">, </w:t>
      </w:r>
      <w:proofErr w:type="spellStart"/>
      <w:r w:rsidR="0067168A">
        <w:rPr>
          <w:snapToGrid/>
          <w:szCs w:val="22"/>
          <w:lang w:val="lt-LT"/>
        </w:rPr>
        <w:t>teratogeninio</w:t>
      </w:r>
      <w:proofErr w:type="spellEnd"/>
      <w:r w:rsidR="0067168A">
        <w:rPr>
          <w:snapToGrid/>
          <w:szCs w:val="22"/>
          <w:lang w:val="lt-LT"/>
        </w:rPr>
        <w:t xml:space="preserve"> poveikio nesukėlė.</w:t>
      </w:r>
      <w:r w:rsidR="0069231A">
        <w:rPr>
          <w:snapToGrid/>
          <w:szCs w:val="22"/>
          <w:lang w:val="lt-LT"/>
        </w:rPr>
        <w:t xml:space="preserve"> </w:t>
      </w:r>
      <w:r w:rsidR="0069231A" w:rsidRPr="00923E74">
        <w:rPr>
          <w:snapToGrid/>
          <w:szCs w:val="22"/>
          <w:lang w:val="lt-LT"/>
        </w:rPr>
        <w:t>Vaikingoms triušių patelėms nustatytas nedidelis skeleto deformacijų (suaugusių krūtin</w:t>
      </w:r>
      <w:r w:rsidR="0069231A">
        <w:rPr>
          <w:snapToGrid/>
          <w:szCs w:val="22"/>
          <w:lang w:val="lt-LT"/>
        </w:rPr>
        <w:t>ė</w:t>
      </w:r>
      <w:r w:rsidR="0069231A" w:rsidRPr="00923E74">
        <w:rPr>
          <w:snapToGrid/>
          <w:szCs w:val="22"/>
          <w:lang w:val="lt-LT"/>
        </w:rPr>
        <w:t>s</w:t>
      </w:r>
      <w:r w:rsidR="0069231A">
        <w:rPr>
          <w:snapToGrid/>
          <w:szCs w:val="22"/>
          <w:lang w:val="lt-LT"/>
        </w:rPr>
        <w:t xml:space="preserve"> </w:t>
      </w:r>
      <w:r w:rsidR="0069231A" w:rsidRPr="00923E74">
        <w:rPr>
          <w:snapToGrid/>
          <w:szCs w:val="22"/>
          <w:lang w:val="lt-LT"/>
        </w:rPr>
        <w:t>i</w:t>
      </w:r>
      <w:r w:rsidR="0069231A">
        <w:rPr>
          <w:snapToGrid/>
          <w:szCs w:val="22"/>
          <w:lang w:val="lt-LT"/>
        </w:rPr>
        <w:t>r</w:t>
      </w:r>
      <w:r w:rsidR="0069231A" w:rsidRPr="00923E74">
        <w:rPr>
          <w:snapToGrid/>
          <w:szCs w:val="22"/>
          <w:lang w:val="lt-LT"/>
        </w:rPr>
        <w:t xml:space="preserve"> uodeginių slankstelių</w:t>
      </w:r>
      <w:r w:rsidR="0069231A">
        <w:rPr>
          <w:snapToGrid/>
          <w:szCs w:val="22"/>
          <w:lang w:val="lt-LT"/>
        </w:rPr>
        <w:t>,</w:t>
      </w:r>
      <w:r w:rsidR="0069231A" w:rsidRPr="00923E74">
        <w:rPr>
          <w:snapToGrid/>
          <w:szCs w:val="22"/>
          <w:lang w:val="lt-LT"/>
        </w:rPr>
        <w:t xml:space="preserve"> s</w:t>
      </w:r>
      <w:r w:rsidR="0069231A">
        <w:rPr>
          <w:snapToGrid/>
          <w:szCs w:val="22"/>
          <w:lang w:val="lt-LT"/>
        </w:rPr>
        <w:t>u</w:t>
      </w:r>
      <w:r w:rsidR="0069231A" w:rsidRPr="00923E74">
        <w:rPr>
          <w:snapToGrid/>
          <w:szCs w:val="22"/>
          <w:lang w:val="lt-LT"/>
        </w:rPr>
        <w:t>m</w:t>
      </w:r>
      <w:r w:rsidR="0069231A">
        <w:rPr>
          <w:snapToGrid/>
          <w:szCs w:val="22"/>
          <w:lang w:val="lt-LT"/>
        </w:rPr>
        <w:t>ažėjus</w:t>
      </w:r>
      <w:r w:rsidR="0069231A" w:rsidRPr="00923E74">
        <w:rPr>
          <w:snapToGrid/>
          <w:szCs w:val="22"/>
          <w:lang w:val="lt-LT"/>
        </w:rPr>
        <w:t>i</w:t>
      </w:r>
      <w:r w:rsidR="0069231A">
        <w:rPr>
          <w:snapToGrid/>
          <w:szCs w:val="22"/>
          <w:lang w:val="lt-LT"/>
        </w:rPr>
        <w:t>o</w:t>
      </w:r>
      <w:r w:rsidR="0069231A" w:rsidRPr="00923E74">
        <w:rPr>
          <w:snapToGrid/>
          <w:szCs w:val="22"/>
          <w:lang w:val="lt-LT"/>
        </w:rPr>
        <w:t xml:space="preserve"> </w:t>
      </w:r>
      <w:r w:rsidR="0069231A">
        <w:rPr>
          <w:snapToGrid/>
          <w:szCs w:val="22"/>
          <w:lang w:val="lt-LT"/>
        </w:rPr>
        <w:t>uodeg</w:t>
      </w:r>
      <w:r w:rsidR="0069231A" w:rsidRPr="00923E74">
        <w:rPr>
          <w:snapToGrid/>
          <w:szCs w:val="22"/>
          <w:lang w:val="lt-LT"/>
        </w:rPr>
        <w:t>ini</w:t>
      </w:r>
      <w:r w:rsidR="0069231A">
        <w:rPr>
          <w:snapToGrid/>
          <w:szCs w:val="22"/>
          <w:lang w:val="lt-LT"/>
        </w:rPr>
        <w:t>ų</w:t>
      </w:r>
      <w:r w:rsidR="0069231A" w:rsidRPr="00923E74">
        <w:rPr>
          <w:snapToGrid/>
          <w:szCs w:val="22"/>
          <w:lang w:val="lt-LT"/>
        </w:rPr>
        <w:t xml:space="preserve"> </w:t>
      </w:r>
      <w:r w:rsidR="0069231A">
        <w:rPr>
          <w:snapToGrid/>
          <w:szCs w:val="22"/>
          <w:lang w:val="lt-LT"/>
        </w:rPr>
        <w:t>slan</w:t>
      </w:r>
      <w:r w:rsidR="0069231A" w:rsidRPr="00923E74">
        <w:rPr>
          <w:snapToGrid/>
          <w:szCs w:val="22"/>
          <w:lang w:val="lt-LT"/>
        </w:rPr>
        <w:t>k</w:t>
      </w:r>
      <w:r w:rsidR="0069231A">
        <w:rPr>
          <w:snapToGrid/>
          <w:szCs w:val="22"/>
          <w:lang w:val="lt-LT"/>
        </w:rPr>
        <w:t>stel</w:t>
      </w:r>
      <w:r w:rsidR="0069231A" w:rsidRPr="00923E74">
        <w:rPr>
          <w:snapToGrid/>
          <w:szCs w:val="22"/>
          <w:lang w:val="lt-LT"/>
        </w:rPr>
        <w:t>ių</w:t>
      </w:r>
      <w:r w:rsidR="0069231A">
        <w:rPr>
          <w:snapToGrid/>
          <w:szCs w:val="22"/>
          <w:lang w:val="lt-LT"/>
        </w:rPr>
        <w:t xml:space="preserve"> skaičiaus</w:t>
      </w:r>
      <w:r w:rsidR="0069231A" w:rsidRPr="00923E74">
        <w:rPr>
          <w:snapToGrid/>
          <w:szCs w:val="22"/>
          <w:lang w:val="lt-LT"/>
        </w:rPr>
        <w:t>) dažnis.</w:t>
      </w:r>
      <w:r w:rsidR="0069231A">
        <w:rPr>
          <w:snapToGrid/>
          <w:szCs w:val="22"/>
          <w:lang w:val="lt-LT"/>
        </w:rPr>
        <w:t xml:space="preserve"> Vartojant </w:t>
      </w:r>
      <w:proofErr w:type="spellStart"/>
      <w:r w:rsidR="0069231A">
        <w:rPr>
          <w:snapToGrid/>
          <w:szCs w:val="22"/>
          <w:lang w:val="lt-LT"/>
        </w:rPr>
        <w:t>ezetimibo</w:t>
      </w:r>
      <w:proofErr w:type="spellEnd"/>
      <w:r w:rsidR="0069231A">
        <w:rPr>
          <w:snapToGrid/>
          <w:szCs w:val="22"/>
          <w:lang w:val="lt-LT"/>
        </w:rPr>
        <w:t xml:space="preserve"> kartu su </w:t>
      </w:r>
      <w:proofErr w:type="spellStart"/>
      <w:r w:rsidR="0069231A">
        <w:rPr>
          <w:snapToGrid/>
          <w:szCs w:val="22"/>
          <w:lang w:val="lt-LT"/>
        </w:rPr>
        <w:t>lovastatinu</w:t>
      </w:r>
      <w:proofErr w:type="spellEnd"/>
      <w:r w:rsidR="0069231A">
        <w:rPr>
          <w:snapToGrid/>
          <w:szCs w:val="22"/>
          <w:lang w:val="lt-LT"/>
        </w:rPr>
        <w:t xml:space="preserve"> pasireiškė </w:t>
      </w:r>
      <w:proofErr w:type="spellStart"/>
      <w:r w:rsidR="0069231A">
        <w:rPr>
          <w:snapToGrid/>
          <w:szCs w:val="22"/>
          <w:lang w:val="lt-LT"/>
        </w:rPr>
        <w:t>embrioletalinis</w:t>
      </w:r>
      <w:proofErr w:type="spellEnd"/>
      <w:r w:rsidR="0069231A">
        <w:rPr>
          <w:snapToGrid/>
          <w:szCs w:val="22"/>
          <w:lang w:val="lt-LT"/>
        </w:rPr>
        <w:t xml:space="preserve"> poveikis.</w:t>
      </w:r>
    </w:p>
    <w:p w14:paraId="4C787E49" w14:textId="77777777" w:rsidR="00381B7D" w:rsidRPr="00923E74" w:rsidRDefault="00381B7D" w:rsidP="00A31E3A">
      <w:pPr>
        <w:widowControl w:val="0"/>
        <w:tabs>
          <w:tab w:val="clear" w:pos="567"/>
        </w:tabs>
        <w:spacing w:line="240" w:lineRule="auto"/>
        <w:rPr>
          <w:snapToGrid/>
          <w:szCs w:val="22"/>
          <w:lang w:val="lt-LT" w:eastAsia="sl-SI"/>
        </w:rPr>
      </w:pPr>
    </w:p>
    <w:p w14:paraId="45918FC2" w14:textId="77777777" w:rsidR="00381B7D" w:rsidRPr="00923E74" w:rsidRDefault="00381B7D" w:rsidP="00A31E3A">
      <w:pPr>
        <w:widowControl w:val="0"/>
        <w:tabs>
          <w:tab w:val="clear" w:pos="567"/>
        </w:tabs>
        <w:spacing w:line="240" w:lineRule="auto"/>
        <w:rPr>
          <w:snapToGrid/>
          <w:szCs w:val="22"/>
          <w:lang w:val="lt-LT" w:eastAsia="sl-SI"/>
        </w:rPr>
      </w:pPr>
    </w:p>
    <w:p w14:paraId="7C44EC20"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w:t>
      </w:r>
      <w:r w:rsidRPr="00923E74">
        <w:rPr>
          <w:b/>
          <w:snapToGrid/>
          <w:szCs w:val="22"/>
          <w:lang w:val="lt-LT" w:eastAsia="sl-SI"/>
        </w:rPr>
        <w:tab/>
        <w:t>FARMACINĖ INFORMACIJA</w:t>
      </w:r>
    </w:p>
    <w:p w14:paraId="7B2381FB"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p>
    <w:p w14:paraId="1C3E6BDA"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6.1</w:t>
      </w:r>
      <w:r w:rsidRPr="00923E74">
        <w:rPr>
          <w:b/>
          <w:snapToGrid/>
          <w:szCs w:val="22"/>
          <w:lang w:val="lt-LT" w:eastAsia="sl-SI"/>
        </w:rPr>
        <w:tab/>
        <w:t>Pagalbinių medžiagų sąrašas</w:t>
      </w:r>
    </w:p>
    <w:p w14:paraId="21BC52CE" w14:textId="77777777" w:rsidR="00381B7D" w:rsidRPr="00923E74" w:rsidRDefault="00381B7D" w:rsidP="007E15ED">
      <w:pPr>
        <w:keepNext/>
        <w:widowControl w:val="0"/>
        <w:tabs>
          <w:tab w:val="clear" w:pos="567"/>
        </w:tabs>
        <w:spacing w:line="240" w:lineRule="auto"/>
        <w:rPr>
          <w:snapToGrid/>
          <w:szCs w:val="22"/>
          <w:lang w:val="lt-LT" w:eastAsia="sl-SI"/>
        </w:rPr>
      </w:pPr>
    </w:p>
    <w:p w14:paraId="50C15CB0" w14:textId="77777777" w:rsidR="0026142A" w:rsidRPr="00923E74" w:rsidRDefault="0026142A" w:rsidP="0026142A">
      <w:pPr>
        <w:widowControl w:val="0"/>
        <w:tabs>
          <w:tab w:val="left" w:pos="2835"/>
        </w:tabs>
        <w:outlineLvl w:val="0"/>
        <w:rPr>
          <w:snapToGrid/>
          <w:color w:val="000000"/>
          <w:szCs w:val="22"/>
          <w:lang w:val="lt-LT" w:eastAsia="zh-CN"/>
        </w:rPr>
      </w:pPr>
      <w:r w:rsidRPr="00923E74">
        <w:rPr>
          <w:snapToGrid/>
          <w:color w:val="000000"/>
          <w:szCs w:val="22"/>
          <w:lang w:val="lt-LT" w:eastAsia="zh-CN"/>
        </w:rPr>
        <w:t xml:space="preserve">Laktozė </w:t>
      </w:r>
      <w:proofErr w:type="spellStart"/>
      <w:r w:rsidRPr="00923E74">
        <w:rPr>
          <w:snapToGrid/>
          <w:color w:val="000000"/>
          <w:szCs w:val="22"/>
          <w:lang w:val="lt-LT" w:eastAsia="zh-CN"/>
        </w:rPr>
        <w:t>monohidratas</w:t>
      </w:r>
      <w:proofErr w:type="spellEnd"/>
    </w:p>
    <w:p w14:paraId="250D9A17" w14:textId="77777777" w:rsidR="0026142A" w:rsidRPr="00923E74" w:rsidRDefault="0026142A" w:rsidP="0026142A">
      <w:pPr>
        <w:widowControl w:val="0"/>
        <w:tabs>
          <w:tab w:val="left" w:pos="2835"/>
        </w:tabs>
        <w:rPr>
          <w:snapToGrid/>
          <w:szCs w:val="22"/>
          <w:lang w:val="lt-LT" w:eastAsia="sl-SI"/>
        </w:rPr>
      </w:pPr>
      <w:r w:rsidRPr="00923E74">
        <w:rPr>
          <w:snapToGrid/>
          <w:szCs w:val="22"/>
          <w:lang w:val="lt-LT" w:eastAsia="sl-SI"/>
        </w:rPr>
        <w:lastRenderedPageBreak/>
        <w:t>Kalcio karbonatas</w:t>
      </w:r>
    </w:p>
    <w:p w14:paraId="15DD2924" w14:textId="77777777" w:rsidR="0026142A" w:rsidRPr="00923E74" w:rsidRDefault="0026142A" w:rsidP="0026142A">
      <w:pPr>
        <w:widowControl w:val="0"/>
        <w:tabs>
          <w:tab w:val="left" w:pos="2835"/>
        </w:tabs>
        <w:rPr>
          <w:snapToGrid/>
          <w:szCs w:val="22"/>
          <w:lang w:val="lt-LT" w:eastAsia="sl-SI"/>
        </w:rPr>
      </w:pPr>
      <w:proofErr w:type="spellStart"/>
      <w:r w:rsidRPr="00923E74">
        <w:rPr>
          <w:snapToGrid/>
          <w:szCs w:val="22"/>
          <w:lang w:val="lt-LT" w:eastAsia="sl-SI"/>
        </w:rPr>
        <w:t>Mikrokristalinė</w:t>
      </w:r>
      <w:proofErr w:type="spellEnd"/>
      <w:r w:rsidRPr="00923E74">
        <w:rPr>
          <w:snapToGrid/>
          <w:szCs w:val="22"/>
          <w:lang w:val="lt-LT" w:eastAsia="sl-SI"/>
        </w:rPr>
        <w:t xml:space="preserve"> celiuliozė</w:t>
      </w:r>
    </w:p>
    <w:p w14:paraId="60801A2D" w14:textId="76962A1D" w:rsidR="0026142A" w:rsidRPr="00923E74" w:rsidRDefault="0026142A" w:rsidP="0026142A">
      <w:pPr>
        <w:widowControl w:val="0"/>
        <w:tabs>
          <w:tab w:val="left" w:pos="2835"/>
        </w:tabs>
        <w:rPr>
          <w:snapToGrid/>
          <w:szCs w:val="22"/>
          <w:lang w:val="lt-LT" w:eastAsia="sl-SI"/>
        </w:rPr>
      </w:pPr>
      <w:r w:rsidRPr="00923E74">
        <w:rPr>
          <w:snapToGrid/>
          <w:szCs w:val="22"/>
          <w:lang w:val="lt-LT"/>
        </w:rPr>
        <w:t xml:space="preserve">Natrio </w:t>
      </w:r>
      <w:proofErr w:type="spellStart"/>
      <w:r w:rsidRPr="00923E74">
        <w:rPr>
          <w:snapToGrid/>
          <w:szCs w:val="22"/>
          <w:lang w:val="lt-LT"/>
        </w:rPr>
        <w:t>laurilsulfatas</w:t>
      </w:r>
      <w:proofErr w:type="spellEnd"/>
      <w:r w:rsidRPr="00923E74">
        <w:rPr>
          <w:snapToGrid/>
          <w:szCs w:val="22"/>
          <w:lang w:val="lt-LT"/>
        </w:rPr>
        <w:t xml:space="preserve"> </w:t>
      </w:r>
      <w:r w:rsidR="00F67594">
        <w:rPr>
          <w:snapToGrid/>
          <w:szCs w:val="22"/>
          <w:lang w:val="lt-LT" w:eastAsia="sl-SI"/>
        </w:rPr>
        <w:t>(</w:t>
      </w:r>
      <w:r w:rsidRPr="00923E74">
        <w:rPr>
          <w:snapToGrid/>
          <w:szCs w:val="22"/>
          <w:lang w:val="lt-LT" w:eastAsia="sl-SI"/>
        </w:rPr>
        <w:t>E487</w:t>
      </w:r>
      <w:r w:rsidR="00F67594">
        <w:rPr>
          <w:snapToGrid/>
          <w:szCs w:val="22"/>
          <w:lang w:val="lt-LT" w:eastAsia="sl-SI"/>
        </w:rPr>
        <w:t>)</w:t>
      </w:r>
    </w:p>
    <w:p w14:paraId="2D7910DB" w14:textId="77777777" w:rsidR="0026142A" w:rsidRPr="00923E74" w:rsidRDefault="0026142A" w:rsidP="0026142A">
      <w:pPr>
        <w:widowControl w:val="0"/>
        <w:tabs>
          <w:tab w:val="left" w:pos="2835"/>
        </w:tabs>
        <w:outlineLvl w:val="0"/>
        <w:rPr>
          <w:snapToGrid/>
          <w:szCs w:val="22"/>
          <w:lang w:val="lt-LT"/>
        </w:rPr>
      </w:pPr>
      <w:proofErr w:type="spellStart"/>
      <w:r w:rsidRPr="00923E74">
        <w:rPr>
          <w:snapToGrid/>
          <w:szCs w:val="22"/>
          <w:lang w:val="lt-LT"/>
        </w:rPr>
        <w:t>Kroskarmeliozės</w:t>
      </w:r>
      <w:proofErr w:type="spellEnd"/>
      <w:r w:rsidRPr="00923E74">
        <w:rPr>
          <w:snapToGrid/>
          <w:szCs w:val="22"/>
          <w:lang w:val="lt-LT"/>
        </w:rPr>
        <w:t xml:space="preserve"> natrio druska</w:t>
      </w:r>
    </w:p>
    <w:p w14:paraId="1888799A" w14:textId="79DA811C" w:rsidR="0026142A" w:rsidRPr="00923E74" w:rsidRDefault="0026142A" w:rsidP="0026142A">
      <w:pPr>
        <w:widowControl w:val="0"/>
        <w:tabs>
          <w:tab w:val="left" w:pos="2835"/>
        </w:tabs>
        <w:rPr>
          <w:snapToGrid/>
          <w:szCs w:val="22"/>
          <w:lang w:val="lt-LT" w:eastAsia="sl-SI"/>
        </w:rPr>
      </w:pPr>
      <w:proofErr w:type="spellStart"/>
      <w:r w:rsidRPr="00923E74">
        <w:rPr>
          <w:snapToGrid/>
          <w:szCs w:val="22"/>
          <w:lang w:val="lt-LT" w:eastAsia="sl-SI"/>
        </w:rPr>
        <w:t>Povidonas</w:t>
      </w:r>
      <w:proofErr w:type="spellEnd"/>
      <w:r w:rsidR="00F67594">
        <w:rPr>
          <w:snapToGrid/>
          <w:szCs w:val="22"/>
          <w:lang w:val="lt-LT" w:eastAsia="sl-SI"/>
        </w:rPr>
        <w:t> </w:t>
      </w:r>
      <w:r w:rsidRPr="00923E74">
        <w:rPr>
          <w:snapToGrid/>
          <w:szCs w:val="22"/>
          <w:lang w:val="lt-LT" w:eastAsia="sl-SI"/>
        </w:rPr>
        <w:t>K30</w:t>
      </w:r>
    </w:p>
    <w:p w14:paraId="46ADCCD5" w14:textId="77777777" w:rsidR="0026142A" w:rsidRPr="00923E74" w:rsidRDefault="0026142A" w:rsidP="0026142A">
      <w:pPr>
        <w:widowControl w:val="0"/>
        <w:tabs>
          <w:tab w:val="left" w:pos="2835"/>
        </w:tabs>
        <w:rPr>
          <w:snapToGrid/>
          <w:szCs w:val="22"/>
          <w:lang w:val="lt-LT" w:eastAsia="sl-SI"/>
        </w:rPr>
      </w:pPr>
      <w:proofErr w:type="spellStart"/>
      <w:r w:rsidRPr="00923E74">
        <w:rPr>
          <w:snapToGrid/>
          <w:szCs w:val="22"/>
          <w:lang w:val="lt-LT" w:eastAsia="sl-SI"/>
        </w:rPr>
        <w:t>Hidr</w:t>
      </w:r>
      <w:r w:rsidR="00B7088D" w:rsidRPr="00923E74">
        <w:rPr>
          <w:snapToGrid/>
          <w:szCs w:val="22"/>
          <w:lang w:val="lt-LT" w:eastAsia="sl-SI"/>
        </w:rPr>
        <w:t>oksi</w:t>
      </w:r>
      <w:r w:rsidRPr="00923E74">
        <w:rPr>
          <w:snapToGrid/>
          <w:szCs w:val="22"/>
          <w:lang w:val="lt-LT" w:eastAsia="sl-SI"/>
        </w:rPr>
        <w:t>propilceliuliozė</w:t>
      </w:r>
      <w:proofErr w:type="spellEnd"/>
    </w:p>
    <w:p w14:paraId="1497D096" w14:textId="38A9FD9C" w:rsidR="0026142A" w:rsidRPr="00923E74" w:rsidRDefault="0026142A" w:rsidP="0026142A">
      <w:pPr>
        <w:widowControl w:val="0"/>
        <w:tabs>
          <w:tab w:val="left" w:pos="2835"/>
        </w:tabs>
        <w:rPr>
          <w:snapToGrid/>
          <w:szCs w:val="22"/>
          <w:lang w:val="lt-LT" w:eastAsia="sl-SI"/>
        </w:rPr>
      </w:pPr>
      <w:r w:rsidRPr="00923E74">
        <w:rPr>
          <w:snapToGrid/>
          <w:szCs w:val="22"/>
          <w:lang w:val="lt-LT" w:eastAsia="sl-SI"/>
        </w:rPr>
        <w:t xml:space="preserve">Magnio </w:t>
      </w:r>
      <w:proofErr w:type="spellStart"/>
      <w:r w:rsidRPr="00923E74">
        <w:rPr>
          <w:snapToGrid/>
          <w:szCs w:val="22"/>
          <w:lang w:val="lt-LT" w:eastAsia="sl-SI"/>
        </w:rPr>
        <w:t>stearatas</w:t>
      </w:r>
      <w:proofErr w:type="spellEnd"/>
      <w:r w:rsidRPr="00923E74">
        <w:rPr>
          <w:snapToGrid/>
          <w:szCs w:val="22"/>
          <w:lang w:val="lt-LT" w:eastAsia="sl-SI"/>
        </w:rPr>
        <w:t xml:space="preserve"> </w:t>
      </w:r>
      <w:r w:rsidR="00F67594">
        <w:rPr>
          <w:snapToGrid/>
          <w:szCs w:val="22"/>
          <w:lang w:val="lt-LT" w:eastAsia="sl-SI"/>
        </w:rPr>
        <w:t>(</w:t>
      </w:r>
      <w:proofErr w:type="spellStart"/>
      <w:r w:rsidRPr="00923E74">
        <w:rPr>
          <w:snapToGrid/>
          <w:szCs w:val="22"/>
          <w:lang w:val="lt-LT" w:eastAsia="sl-SI"/>
        </w:rPr>
        <w:t>Ph.Eur</w:t>
      </w:r>
      <w:proofErr w:type="spellEnd"/>
      <w:r w:rsidRPr="00923E74">
        <w:rPr>
          <w:snapToGrid/>
          <w:szCs w:val="22"/>
          <w:lang w:val="lt-LT" w:eastAsia="sl-SI"/>
        </w:rPr>
        <w:t>.</w:t>
      </w:r>
      <w:r w:rsidR="00F67594">
        <w:rPr>
          <w:snapToGrid/>
          <w:szCs w:val="22"/>
          <w:lang w:val="lt-LT" w:eastAsia="sl-SI"/>
        </w:rPr>
        <w:t>)</w:t>
      </w:r>
    </w:p>
    <w:p w14:paraId="1F29CFBA" w14:textId="6C730DB4" w:rsidR="0026142A" w:rsidRPr="00923E74" w:rsidRDefault="0026142A" w:rsidP="0026142A">
      <w:pPr>
        <w:widowControl w:val="0"/>
        <w:tabs>
          <w:tab w:val="left" w:pos="2835"/>
        </w:tabs>
        <w:rPr>
          <w:snapToGrid/>
          <w:szCs w:val="22"/>
          <w:lang w:val="lt-LT" w:eastAsia="sl-SI"/>
        </w:rPr>
      </w:pPr>
      <w:proofErr w:type="spellStart"/>
      <w:r w:rsidRPr="00923E74">
        <w:rPr>
          <w:snapToGrid/>
          <w:szCs w:val="22"/>
          <w:lang w:val="lt-LT" w:eastAsia="sl-SI"/>
        </w:rPr>
        <w:t>Polisorbatas</w:t>
      </w:r>
      <w:proofErr w:type="spellEnd"/>
      <w:r w:rsidR="00F67594">
        <w:rPr>
          <w:snapToGrid/>
          <w:szCs w:val="22"/>
          <w:lang w:val="lt-LT" w:eastAsia="sl-SI"/>
        </w:rPr>
        <w:t> </w:t>
      </w:r>
      <w:r w:rsidRPr="00923E74">
        <w:rPr>
          <w:snapToGrid/>
          <w:szCs w:val="22"/>
          <w:lang w:val="lt-LT" w:eastAsia="sl-SI"/>
        </w:rPr>
        <w:t>80</w:t>
      </w:r>
    </w:p>
    <w:p w14:paraId="2212E61E" w14:textId="77777777" w:rsidR="0026142A" w:rsidRPr="00923E74" w:rsidRDefault="0026142A" w:rsidP="0026142A">
      <w:pPr>
        <w:widowControl w:val="0"/>
        <w:tabs>
          <w:tab w:val="clear" w:pos="567"/>
        </w:tabs>
        <w:spacing w:line="240" w:lineRule="auto"/>
        <w:rPr>
          <w:snapToGrid/>
          <w:szCs w:val="22"/>
          <w:lang w:val="lt-LT" w:eastAsia="sl-SI"/>
        </w:rPr>
      </w:pPr>
    </w:p>
    <w:p w14:paraId="4A12D4AE"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6.2</w:t>
      </w:r>
      <w:r w:rsidRPr="00923E74">
        <w:rPr>
          <w:b/>
          <w:snapToGrid/>
          <w:szCs w:val="22"/>
          <w:lang w:val="lt-LT" w:eastAsia="sl-SI"/>
        </w:rPr>
        <w:tab/>
        <w:t>Nesuderinamumas</w:t>
      </w:r>
    </w:p>
    <w:p w14:paraId="4F75F180" w14:textId="77777777" w:rsidR="00381B7D" w:rsidRPr="00923E74" w:rsidRDefault="00381B7D" w:rsidP="007E15ED">
      <w:pPr>
        <w:keepNext/>
        <w:widowControl w:val="0"/>
        <w:tabs>
          <w:tab w:val="clear" w:pos="567"/>
        </w:tabs>
        <w:spacing w:line="240" w:lineRule="auto"/>
        <w:rPr>
          <w:snapToGrid/>
          <w:szCs w:val="22"/>
          <w:lang w:val="lt-LT" w:eastAsia="sl-SI"/>
        </w:rPr>
      </w:pPr>
    </w:p>
    <w:p w14:paraId="7ABE909E"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Duomenys nebūtini.</w:t>
      </w:r>
    </w:p>
    <w:p w14:paraId="7BBEE46C" w14:textId="77777777" w:rsidR="00381B7D" w:rsidRPr="00923E74" w:rsidRDefault="00381B7D" w:rsidP="00A31E3A">
      <w:pPr>
        <w:widowControl w:val="0"/>
        <w:tabs>
          <w:tab w:val="clear" w:pos="567"/>
        </w:tabs>
        <w:spacing w:line="240" w:lineRule="auto"/>
        <w:rPr>
          <w:snapToGrid/>
          <w:szCs w:val="22"/>
          <w:lang w:val="lt-LT" w:eastAsia="sl-SI"/>
        </w:rPr>
      </w:pPr>
    </w:p>
    <w:p w14:paraId="654DFA25"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6.3</w:t>
      </w:r>
      <w:r w:rsidRPr="00923E74">
        <w:rPr>
          <w:b/>
          <w:snapToGrid/>
          <w:szCs w:val="22"/>
          <w:lang w:val="lt-LT" w:eastAsia="sl-SI"/>
        </w:rPr>
        <w:tab/>
        <w:t>Tinkamumo laikas</w:t>
      </w:r>
    </w:p>
    <w:p w14:paraId="7B824178" w14:textId="77777777" w:rsidR="00381B7D" w:rsidRPr="00923E74" w:rsidRDefault="00381B7D" w:rsidP="007E15ED">
      <w:pPr>
        <w:keepNext/>
        <w:widowControl w:val="0"/>
        <w:tabs>
          <w:tab w:val="clear" w:pos="567"/>
        </w:tabs>
        <w:spacing w:line="240" w:lineRule="auto"/>
        <w:rPr>
          <w:snapToGrid/>
          <w:szCs w:val="22"/>
          <w:lang w:val="lt-LT" w:eastAsia="sl-SI"/>
        </w:rPr>
      </w:pPr>
    </w:p>
    <w:p w14:paraId="4F16853D" w14:textId="14E1AFE6"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2</w:t>
      </w:r>
      <w:r w:rsidR="00F67594">
        <w:rPr>
          <w:snapToGrid/>
          <w:szCs w:val="22"/>
          <w:lang w:val="lt-LT" w:eastAsia="sl-SI"/>
        </w:rPr>
        <w:t> </w:t>
      </w:r>
      <w:r w:rsidRPr="00923E74">
        <w:rPr>
          <w:snapToGrid/>
          <w:szCs w:val="22"/>
          <w:lang w:val="lt-LT" w:eastAsia="sl-SI"/>
        </w:rPr>
        <w:t>metai.</w:t>
      </w:r>
    </w:p>
    <w:p w14:paraId="2E025DB0" w14:textId="77777777" w:rsidR="00381B7D" w:rsidRPr="00923E74" w:rsidRDefault="00381B7D" w:rsidP="00A31E3A">
      <w:pPr>
        <w:widowControl w:val="0"/>
        <w:tabs>
          <w:tab w:val="clear" w:pos="567"/>
        </w:tabs>
        <w:spacing w:line="240" w:lineRule="auto"/>
        <w:rPr>
          <w:snapToGrid/>
          <w:szCs w:val="22"/>
          <w:lang w:val="lt-LT" w:eastAsia="sl-SI"/>
        </w:rPr>
      </w:pPr>
    </w:p>
    <w:p w14:paraId="2BD0EB53"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6.4</w:t>
      </w:r>
      <w:r w:rsidRPr="00923E74">
        <w:rPr>
          <w:b/>
          <w:snapToGrid/>
          <w:szCs w:val="22"/>
          <w:lang w:val="lt-LT" w:eastAsia="sl-SI"/>
        </w:rPr>
        <w:tab/>
        <w:t>Specialios laikymo sąlygos</w:t>
      </w:r>
    </w:p>
    <w:p w14:paraId="08E0A673" w14:textId="77777777" w:rsidR="00381B7D" w:rsidRPr="00923E74" w:rsidRDefault="00381B7D" w:rsidP="007E15ED">
      <w:pPr>
        <w:keepNext/>
        <w:widowControl w:val="0"/>
        <w:tabs>
          <w:tab w:val="clear" w:pos="567"/>
        </w:tabs>
        <w:spacing w:line="240" w:lineRule="auto"/>
        <w:rPr>
          <w:snapToGrid/>
          <w:szCs w:val="22"/>
          <w:lang w:val="lt-LT" w:eastAsia="sl-SI"/>
        </w:rPr>
      </w:pPr>
    </w:p>
    <w:p w14:paraId="1124B206" w14:textId="1167FA07" w:rsidR="00381B7D" w:rsidRPr="00923E74" w:rsidRDefault="00381B7D" w:rsidP="007E15ED">
      <w:pPr>
        <w:widowControl w:val="0"/>
        <w:spacing w:line="240" w:lineRule="auto"/>
        <w:rPr>
          <w:snapToGrid/>
          <w:szCs w:val="22"/>
          <w:lang w:val="lt-LT" w:eastAsia="sl-SI"/>
        </w:rPr>
      </w:pPr>
      <w:r w:rsidRPr="00923E74">
        <w:rPr>
          <w:szCs w:val="22"/>
          <w:lang w:val="lt-LT"/>
        </w:rPr>
        <w:t>Laikyti gamintojo pakuotėje, kad vaistinis preparatas būtų apsaugotas nuo šviesos</w:t>
      </w:r>
      <w:r w:rsidR="00635DA0">
        <w:rPr>
          <w:szCs w:val="22"/>
          <w:lang w:val="lt-LT"/>
        </w:rPr>
        <w:t>.</w:t>
      </w:r>
    </w:p>
    <w:p w14:paraId="47CE51AB" w14:textId="77777777" w:rsidR="00381B7D" w:rsidRPr="00923E74" w:rsidRDefault="00381B7D" w:rsidP="00A31E3A">
      <w:pPr>
        <w:widowControl w:val="0"/>
        <w:tabs>
          <w:tab w:val="clear" w:pos="567"/>
        </w:tabs>
        <w:spacing w:line="240" w:lineRule="auto"/>
        <w:rPr>
          <w:snapToGrid/>
          <w:szCs w:val="22"/>
          <w:lang w:val="lt-LT" w:eastAsia="sl-SI"/>
        </w:rPr>
      </w:pPr>
    </w:p>
    <w:p w14:paraId="511FDD85"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6.5</w:t>
      </w:r>
      <w:r w:rsidRPr="00923E74">
        <w:rPr>
          <w:b/>
          <w:snapToGrid/>
          <w:szCs w:val="22"/>
          <w:lang w:val="lt-LT" w:eastAsia="sl-SI"/>
        </w:rPr>
        <w:tab/>
      </w:r>
      <w:proofErr w:type="spellStart"/>
      <w:r w:rsidRPr="00923E74">
        <w:rPr>
          <w:b/>
          <w:snapToGrid/>
          <w:szCs w:val="22"/>
          <w:lang w:val="lt-LT" w:eastAsia="sl-SI"/>
        </w:rPr>
        <w:t>Talpyklės</w:t>
      </w:r>
      <w:proofErr w:type="spellEnd"/>
      <w:r w:rsidRPr="00923E74">
        <w:rPr>
          <w:b/>
          <w:snapToGrid/>
          <w:szCs w:val="22"/>
          <w:lang w:val="lt-LT" w:eastAsia="sl-SI"/>
        </w:rPr>
        <w:t xml:space="preserve"> pobūdis ir jos turinys</w:t>
      </w:r>
    </w:p>
    <w:p w14:paraId="4E820D55" w14:textId="77777777" w:rsidR="00381B7D" w:rsidRPr="00923E74" w:rsidRDefault="00381B7D" w:rsidP="007E15ED">
      <w:pPr>
        <w:keepNext/>
        <w:widowControl w:val="0"/>
        <w:tabs>
          <w:tab w:val="clear" w:pos="567"/>
        </w:tabs>
        <w:spacing w:line="240" w:lineRule="auto"/>
        <w:rPr>
          <w:snapToGrid/>
          <w:szCs w:val="22"/>
          <w:lang w:val="lt-LT" w:eastAsia="sl-SI"/>
        </w:rPr>
      </w:pPr>
    </w:p>
    <w:p w14:paraId="6E4663CC" w14:textId="335D3F10" w:rsidR="00381B7D" w:rsidRPr="00923E74" w:rsidRDefault="00794254" w:rsidP="00A31E3A">
      <w:pPr>
        <w:widowControl w:val="0"/>
        <w:spacing w:line="240" w:lineRule="auto"/>
        <w:rPr>
          <w:snapToGrid/>
          <w:szCs w:val="22"/>
          <w:lang w:val="lt-LT" w:eastAsia="sl-SI"/>
        </w:rPr>
      </w:pPr>
      <w:proofErr w:type="spellStart"/>
      <w:r w:rsidRPr="00923E74">
        <w:rPr>
          <w:snapToGrid/>
          <w:szCs w:val="22"/>
          <w:lang w:val="lt-LT" w:eastAsia="sl-SI"/>
        </w:rPr>
        <w:t>Torzelip</w:t>
      </w:r>
      <w:proofErr w:type="spellEnd"/>
      <w:r w:rsidRPr="00923E74">
        <w:rPr>
          <w:snapToGrid/>
          <w:szCs w:val="22"/>
          <w:lang w:val="lt-LT" w:eastAsia="sl-SI"/>
        </w:rPr>
        <w:t xml:space="preserve"> </w:t>
      </w:r>
      <w:r w:rsidR="0026142A" w:rsidRPr="00923E74">
        <w:rPr>
          <w:snapToGrid/>
          <w:szCs w:val="22"/>
          <w:lang w:val="lt-LT" w:eastAsia="sl-SI"/>
        </w:rPr>
        <w:t>10</w:t>
      </w:r>
      <w:r w:rsidR="00DB52C7" w:rsidRPr="00923E74">
        <w:rPr>
          <w:snapToGrid/>
          <w:szCs w:val="22"/>
          <w:lang w:val="lt-LT" w:eastAsia="sl-SI"/>
        </w:rPr>
        <w:t> mg</w:t>
      </w:r>
      <w:r w:rsidR="0026142A" w:rsidRPr="00923E74">
        <w:rPr>
          <w:snapToGrid/>
          <w:szCs w:val="22"/>
          <w:lang w:val="lt-LT" w:eastAsia="sl-SI"/>
        </w:rPr>
        <w:t>/10</w:t>
      </w:r>
      <w:r w:rsidR="00DB52C7" w:rsidRPr="00923E74">
        <w:rPr>
          <w:snapToGrid/>
          <w:szCs w:val="22"/>
          <w:lang w:val="lt-LT" w:eastAsia="sl-SI"/>
        </w:rPr>
        <w:t> mg</w:t>
      </w:r>
      <w:r w:rsidR="0026142A" w:rsidRPr="007A11B7">
        <w:rPr>
          <w:snapToGrid/>
          <w:szCs w:val="22"/>
          <w:highlight w:val="lightGray"/>
          <w:lang w:val="lt-LT" w:eastAsia="sl-SI"/>
        </w:rPr>
        <w:t xml:space="preserve">, </w:t>
      </w:r>
      <w:r w:rsidRPr="007A11B7">
        <w:rPr>
          <w:snapToGrid/>
          <w:szCs w:val="22"/>
          <w:highlight w:val="lightGray"/>
          <w:lang w:val="lt-LT" w:eastAsia="sl-SI"/>
        </w:rPr>
        <w:t>10</w:t>
      </w:r>
      <w:r w:rsidR="00DB52C7" w:rsidRPr="007A11B7">
        <w:rPr>
          <w:snapToGrid/>
          <w:szCs w:val="22"/>
          <w:highlight w:val="lightGray"/>
          <w:lang w:val="lt-LT" w:eastAsia="sl-SI"/>
        </w:rPr>
        <w:t> mg</w:t>
      </w:r>
      <w:r w:rsidRPr="007A11B7">
        <w:rPr>
          <w:snapToGrid/>
          <w:szCs w:val="22"/>
          <w:highlight w:val="lightGray"/>
          <w:lang w:val="lt-LT" w:eastAsia="sl-SI"/>
        </w:rPr>
        <w:t>/20</w:t>
      </w:r>
      <w:r w:rsidR="00DB52C7" w:rsidRPr="007A11B7">
        <w:rPr>
          <w:snapToGrid/>
          <w:szCs w:val="22"/>
          <w:highlight w:val="lightGray"/>
          <w:lang w:val="lt-LT" w:eastAsia="sl-SI"/>
        </w:rPr>
        <w:t> mg</w:t>
      </w:r>
      <w:r w:rsidR="0026142A" w:rsidRPr="007A11B7">
        <w:rPr>
          <w:snapToGrid/>
          <w:szCs w:val="22"/>
          <w:highlight w:val="lightGray"/>
          <w:lang w:val="lt-LT" w:eastAsia="sl-SI"/>
        </w:rPr>
        <w:t xml:space="preserve">, </w:t>
      </w:r>
      <w:r w:rsidRPr="007A11B7">
        <w:rPr>
          <w:snapToGrid/>
          <w:szCs w:val="22"/>
          <w:highlight w:val="lightGray"/>
          <w:lang w:val="lt-LT" w:eastAsia="sl-SI"/>
        </w:rPr>
        <w:t>10</w:t>
      </w:r>
      <w:r w:rsidR="00DB52C7" w:rsidRPr="007A11B7">
        <w:rPr>
          <w:snapToGrid/>
          <w:szCs w:val="22"/>
          <w:highlight w:val="lightGray"/>
          <w:lang w:val="lt-LT" w:eastAsia="sl-SI"/>
        </w:rPr>
        <w:t> mg</w:t>
      </w:r>
      <w:r w:rsidRPr="007A11B7">
        <w:rPr>
          <w:snapToGrid/>
          <w:szCs w:val="22"/>
          <w:highlight w:val="lightGray"/>
          <w:lang w:val="lt-LT" w:eastAsia="sl-SI"/>
        </w:rPr>
        <w:t>/</w:t>
      </w:r>
      <w:r w:rsidR="00635DA0" w:rsidRPr="007A11B7">
        <w:rPr>
          <w:snapToGrid/>
          <w:szCs w:val="22"/>
          <w:highlight w:val="lightGray"/>
          <w:lang w:val="lt-LT" w:eastAsia="sl-SI"/>
        </w:rPr>
        <w:t>40</w:t>
      </w:r>
      <w:r w:rsidR="00DB52C7" w:rsidRPr="007A11B7">
        <w:rPr>
          <w:snapToGrid/>
          <w:szCs w:val="22"/>
          <w:highlight w:val="lightGray"/>
          <w:lang w:val="lt-LT" w:eastAsia="sl-SI"/>
        </w:rPr>
        <w:t> mg</w:t>
      </w:r>
      <w:r w:rsidR="0026142A" w:rsidRPr="007A11B7">
        <w:rPr>
          <w:snapToGrid/>
          <w:szCs w:val="22"/>
          <w:highlight w:val="lightGray"/>
          <w:lang w:val="lt-LT" w:eastAsia="sl-SI"/>
        </w:rPr>
        <w:t xml:space="preserve"> ir </w:t>
      </w:r>
      <w:r w:rsidRPr="007A11B7">
        <w:rPr>
          <w:snapToGrid/>
          <w:szCs w:val="22"/>
          <w:highlight w:val="lightGray"/>
          <w:lang w:val="lt-LT" w:eastAsia="sl-SI"/>
        </w:rPr>
        <w:t>10</w:t>
      </w:r>
      <w:r w:rsidR="00DB52C7" w:rsidRPr="007A11B7">
        <w:rPr>
          <w:snapToGrid/>
          <w:szCs w:val="22"/>
          <w:highlight w:val="lightGray"/>
          <w:lang w:val="lt-LT" w:eastAsia="sl-SI"/>
        </w:rPr>
        <w:t> mg</w:t>
      </w:r>
      <w:r w:rsidRPr="007A11B7">
        <w:rPr>
          <w:snapToGrid/>
          <w:szCs w:val="22"/>
          <w:highlight w:val="lightGray"/>
          <w:lang w:val="lt-LT" w:eastAsia="sl-SI"/>
        </w:rPr>
        <w:t>/</w:t>
      </w:r>
      <w:r w:rsidR="0026142A" w:rsidRPr="007A11B7">
        <w:rPr>
          <w:snapToGrid/>
          <w:szCs w:val="22"/>
          <w:highlight w:val="lightGray"/>
          <w:lang w:val="lt-LT" w:eastAsia="sl-SI"/>
        </w:rPr>
        <w:t>80</w:t>
      </w:r>
      <w:r w:rsidR="00DB52C7" w:rsidRPr="007A11B7">
        <w:rPr>
          <w:snapToGrid/>
          <w:szCs w:val="22"/>
          <w:highlight w:val="lightGray"/>
          <w:lang w:val="lt-LT" w:eastAsia="sl-SI"/>
        </w:rPr>
        <w:t> mg</w:t>
      </w:r>
      <w:r w:rsidR="0026142A" w:rsidRPr="00923E74">
        <w:rPr>
          <w:snapToGrid/>
          <w:szCs w:val="22"/>
          <w:lang w:val="lt-LT" w:eastAsia="sl-SI"/>
        </w:rPr>
        <w:t xml:space="preserve"> tabletės tiekiamos dėžutė</w:t>
      </w:r>
      <w:r w:rsidR="00B7088D" w:rsidRPr="00923E74">
        <w:rPr>
          <w:snapToGrid/>
          <w:szCs w:val="22"/>
          <w:lang w:val="lt-LT" w:eastAsia="sl-SI"/>
        </w:rPr>
        <w:t>mis</w:t>
      </w:r>
      <w:r w:rsidR="0026142A" w:rsidRPr="00923E74">
        <w:rPr>
          <w:snapToGrid/>
          <w:szCs w:val="22"/>
          <w:lang w:val="lt-LT" w:eastAsia="sl-SI"/>
        </w:rPr>
        <w:t xml:space="preserve"> po 10, 30, 90 ir 100</w:t>
      </w:r>
      <w:r w:rsidR="00F67594">
        <w:rPr>
          <w:snapToGrid/>
          <w:szCs w:val="22"/>
          <w:lang w:val="lt-LT" w:eastAsia="sl-SI"/>
        </w:rPr>
        <w:t> </w:t>
      </w:r>
      <w:r w:rsidR="0026142A" w:rsidRPr="00923E74">
        <w:rPr>
          <w:snapToGrid/>
          <w:szCs w:val="22"/>
          <w:lang w:val="lt-LT" w:eastAsia="sl-SI"/>
        </w:rPr>
        <w:t>tablečių OPA/</w:t>
      </w:r>
      <w:r w:rsidR="009D7115" w:rsidRPr="00923E74">
        <w:rPr>
          <w:snapToGrid/>
          <w:szCs w:val="22"/>
          <w:lang w:val="lt-LT" w:eastAsia="sl-SI"/>
        </w:rPr>
        <w:t>a</w:t>
      </w:r>
      <w:r w:rsidR="0026142A" w:rsidRPr="00923E74">
        <w:rPr>
          <w:snapToGrid/>
          <w:szCs w:val="22"/>
          <w:lang w:val="lt-LT" w:eastAsia="sl-SI"/>
        </w:rPr>
        <w:t>liuminio/PVC lizdinėse plokštelėse</w:t>
      </w:r>
      <w:r w:rsidR="00BF1CC8">
        <w:rPr>
          <w:snapToGrid/>
          <w:szCs w:val="22"/>
          <w:lang w:val="lt-LT" w:eastAsia="sl-SI"/>
        </w:rPr>
        <w:t>, padengtose aliuminio folija</w:t>
      </w:r>
      <w:r w:rsidR="00381B7D" w:rsidRPr="00923E74">
        <w:rPr>
          <w:snapToGrid/>
          <w:szCs w:val="22"/>
          <w:lang w:val="lt-LT" w:eastAsia="sl-SI"/>
        </w:rPr>
        <w:t>.</w:t>
      </w:r>
    </w:p>
    <w:p w14:paraId="1D6F74DC" w14:textId="77777777" w:rsidR="00381B7D" w:rsidRPr="00923E74" w:rsidRDefault="00381B7D" w:rsidP="00A31E3A">
      <w:pPr>
        <w:widowControl w:val="0"/>
        <w:tabs>
          <w:tab w:val="clear" w:pos="567"/>
        </w:tabs>
        <w:spacing w:line="240" w:lineRule="auto"/>
        <w:rPr>
          <w:snapToGrid/>
          <w:szCs w:val="22"/>
          <w:lang w:val="lt-LT" w:eastAsia="sl-SI"/>
        </w:rPr>
      </w:pPr>
    </w:p>
    <w:p w14:paraId="57E2D730"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Gali būti tiekiamos ne visų dydžių pakuotės.</w:t>
      </w:r>
    </w:p>
    <w:p w14:paraId="34664047" w14:textId="77777777" w:rsidR="00381B7D" w:rsidRPr="00923E74" w:rsidRDefault="00381B7D" w:rsidP="00A31E3A">
      <w:pPr>
        <w:widowControl w:val="0"/>
        <w:tabs>
          <w:tab w:val="clear" w:pos="567"/>
        </w:tabs>
        <w:spacing w:line="240" w:lineRule="auto"/>
        <w:rPr>
          <w:snapToGrid/>
          <w:szCs w:val="22"/>
          <w:lang w:val="lt-LT" w:eastAsia="sl-SI"/>
        </w:rPr>
      </w:pPr>
    </w:p>
    <w:p w14:paraId="51BCB697"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6.6</w:t>
      </w:r>
      <w:r w:rsidRPr="00923E74">
        <w:rPr>
          <w:b/>
          <w:snapToGrid/>
          <w:szCs w:val="22"/>
          <w:lang w:val="lt-LT" w:eastAsia="sl-SI"/>
        </w:rPr>
        <w:tab/>
        <w:t>Specialūs reikalavimai atliekoms tvarkyti</w:t>
      </w:r>
      <w:r w:rsidR="00F73E17">
        <w:rPr>
          <w:b/>
          <w:snapToGrid/>
          <w:szCs w:val="22"/>
          <w:lang w:val="lt-LT" w:eastAsia="sl-SI"/>
        </w:rPr>
        <w:t xml:space="preserve"> ir vaistiniam preparatui ruošti</w:t>
      </w:r>
    </w:p>
    <w:p w14:paraId="4FB58DAE" w14:textId="77777777" w:rsidR="00381B7D" w:rsidRPr="00923E74" w:rsidRDefault="00381B7D" w:rsidP="007E15ED">
      <w:pPr>
        <w:keepNext/>
        <w:widowControl w:val="0"/>
        <w:tabs>
          <w:tab w:val="clear" w:pos="567"/>
        </w:tabs>
        <w:spacing w:line="240" w:lineRule="auto"/>
        <w:rPr>
          <w:snapToGrid/>
          <w:szCs w:val="22"/>
          <w:lang w:val="lt-LT" w:eastAsia="sl-SI"/>
        </w:rPr>
      </w:pPr>
    </w:p>
    <w:p w14:paraId="0309295A" w14:textId="77777777" w:rsidR="0026142A" w:rsidRPr="00923E74" w:rsidRDefault="0026142A" w:rsidP="00A31E3A">
      <w:pPr>
        <w:widowControl w:val="0"/>
        <w:tabs>
          <w:tab w:val="clear" w:pos="567"/>
        </w:tabs>
        <w:spacing w:line="240" w:lineRule="auto"/>
        <w:rPr>
          <w:snapToGrid/>
          <w:szCs w:val="22"/>
          <w:lang w:val="lt-LT" w:eastAsia="sl-SI"/>
        </w:rPr>
      </w:pPr>
      <w:r w:rsidRPr="00923E74">
        <w:rPr>
          <w:snapToGrid/>
          <w:szCs w:val="22"/>
          <w:lang w:val="lt-LT" w:eastAsia="sl-SI"/>
        </w:rPr>
        <w:t>Specialių reikalavimų nėra.</w:t>
      </w:r>
    </w:p>
    <w:p w14:paraId="11840CB5" w14:textId="77777777" w:rsidR="0026142A" w:rsidRPr="00923E74" w:rsidRDefault="0026142A" w:rsidP="00A31E3A">
      <w:pPr>
        <w:widowControl w:val="0"/>
        <w:tabs>
          <w:tab w:val="clear" w:pos="567"/>
        </w:tabs>
        <w:spacing w:line="240" w:lineRule="auto"/>
        <w:rPr>
          <w:snapToGrid/>
          <w:szCs w:val="22"/>
          <w:lang w:val="lt-LT" w:eastAsia="sl-SI"/>
        </w:rPr>
      </w:pPr>
    </w:p>
    <w:p w14:paraId="11E83947"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Nesuvartotą vaistinį preparatą ar atliekas reikia tvarkyti laikantis vietinių reikalavimų.</w:t>
      </w:r>
    </w:p>
    <w:p w14:paraId="14EA01C8" w14:textId="77777777" w:rsidR="00381B7D" w:rsidRPr="00923E74" w:rsidRDefault="00381B7D" w:rsidP="00A31E3A">
      <w:pPr>
        <w:widowControl w:val="0"/>
        <w:tabs>
          <w:tab w:val="clear" w:pos="567"/>
        </w:tabs>
        <w:spacing w:line="240" w:lineRule="auto"/>
        <w:rPr>
          <w:snapToGrid/>
          <w:szCs w:val="22"/>
          <w:lang w:val="lt-LT" w:eastAsia="sl-SI"/>
        </w:rPr>
      </w:pPr>
    </w:p>
    <w:p w14:paraId="705316D7" w14:textId="77777777" w:rsidR="00381B7D" w:rsidRPr="00923E74" w:rsidRDefault="00381B7D" w:rsidP="00A31E3A">
      <w:pPr>
        <w:widowControl w:val="0"/>
        <w:tabs>
          <w:tab w:val="clear" w:pos="567"/>
        </w:tabs>
        <w:spacing w:line="240" w:lineRule="auto"/>
        <w:rPr>
          <w:snapToGrid/>
          <w:szCs w:val="22"/>
          <w:lang w:val="lt-LT" w:eastAsia="sl-SI"/>
        </w:rPr>
      </w:pPr>
    </w:p>
    <w:p w14:paraId="3EA0375B" w14:textId="77777777" w:rsidR="00381B7D"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7.</w:t>
      </w:r>
      <w:r w:rsidRPr="00923E74">
        <w:rPr>
          <w:b/>
          <w:snapToGrid/>
          <w:szCs w:val="22"/>
          <w:lang w:val="lt-LT" w:eastAsia="sl-SI"/>
        </w:rPr>
        <w:tab/>
        <w:t>REGISTRUOTOJAS</w:t>
      </w:r>
    </w:p>
    <w:p w14:paraId="237884A3" w14:textId="77777777" w:rsidR="00E41A89" w:rsidRDefault="00E41A89" w:rsidP="007E15ED">
      <w:pPr>
        <w:keepNext/>
        <w:widowControl w:val="0"/>
        <w:tabs>
          <w:tab w:val="clear" w:pos="567"/>
        </w:tabs>
        <w:spacing w:line="240" w:lineRule="auto"/>
        <w:ind w:left="567" w:hanging="567"/>
        <w:rPr>
          <w:b/>
          <w:snapToGrid/>
          <w:szCs w:val="22"/>
          <w:lang w:val="lt-LT" w:eastAsia="sl-SI"/>
        </w:rPr>
      </w:pPr>
    </w:p>
    <w:p w14:paraId="61852E3D" w14:textId="3F75CA24" w:rsidR="00E41A89" w:rsidRPr="001E32AC" w:rsidRDefault="00E41A89" w:rsidP="007E15ED">
      <w:pPr>
        <w:keepNext/>
        <w:widowControl w:val="0"/>
        <w:tabs>
          <w:tab w:val="clear" w:pos="567"/>
        </w:tabs>
        <w:spacing w:line="240" w:lineRule="auto"/>
        <w:ind w:left="567" w:hanging="567"/>
        <w:rPr>
          <w:snapToGrid/>
          <w:szCs w:val="22"/>
          <w:lang w:val="lt-LT" w:eastAsia="sl-SI"/>
        </w:rPr>
      </w:pPr>
      <w:proofErr w:type="spellStart"/>
      <w:r w:rsidRPr="001E32AC">
        <w:rPr>
          <w:snapToGrid/>
          <w:szCs w:val="22"/>
          <w:lang w:val="lt-LT" w:eastAsia="sl-SI"/>
        </w:rPr>
        <w:t>Zentiva</w:t>
      </w:r>
      <w:proofErr w:type="spellEnd"/>
      <w:r w:rsidR="00256BE7">
        <w:rPr>
          <w:snapToGrid/>
          <w:szCs w:val="22"/>
          <w:lang w:val="lt-LT" w:eastAsia="sl-SI"/>
        </w:rPr>
        <w:t>,</w:t>
      </w:r>
      <w:r w:rsidR="00F67594">
        <w:rPr>
          <w:snapToGrid/>
          <w:szCs w:val="22"/>
          <w:lang w:val="lt-LT" w:eastAsia="sl-SI"/>
        </w:rPr>
        <w:t> </w:t>
      </w:r>
      <w:proofErr w:type="spellStart"/>
      <w:r w:rsidRPr="001E32AC">
        <w:rPr>
          <w:snapToGrid/>
          <w:szCs w:val="22"/>
          <w:lang w:val="lt-LT" w:eastAsia="sl-SI"/>
        </w:rPr>
        <w:t>k.s</w:t>
      </w:r>
      <w:proofErr w:type="spellEnd"/>
      <w:r w:rsidRPr="001E32AC">
        <w:rPr>
          <w:snapToGrid/>
          <w:szCs w:val="22"/>
          <w:lang w:val="lt-LT" w:eastAsia="sl-SI"/>
        </w:rPr>
        <w:t>.</w:t>
      </w:r>
    </w:p>
    <w:p w14:paraId="4D4BCFDF" w14:textId="796C3682" w:rsidR="00E41A89" w:rsidRPr="001E32AC" w:rsidRDefault="00E41A89" w:rsidP="007E15ED">
      <w:pPr>
        <w:keepNext/>
        <w:widowControl w:val="0"/>
        <w:tabs>
          <w:tab w:val="clear" w:pos="567"/>
        </w:tabs>
        <w:spacing w:line="240" w:lineRule="auto"/>
        <w:ind w:left="567" w:hanging="567"/>
        <w:rPr>
          <w:snapToGrid/>
          <w:szCs w:val="22"/>
          <w:lang w:val="lt-LT" w:eastAsia="sl-SI"/>
        </w:rPr>
      </w:pPr>
      <w:r w:rsidRPr="001E32AC">
        <w:rPr>
          <w:snapToGrid/>
          <w:szCs w:val="22"/>
          <w:lang w:val="lt-LT" w:eastAsia="sl-SI"/>
        </w:rPr>
        <w:t>U</w:t>
      </w:r>
      <w:r w:rsidR="00F67594">
        <w:rPr>
          <w:snapToGrid/>
          <w:szCs w:val="22"/>
          <w:lang w:val="lt-LT" w:eastAsia="sl-SI"/>
        </w:rPr>
        <w:t> </w:t>
      </w:r>
      <w:proofErr w:type="spellStart"/>
      <w:r w:rsidRPr="001E32AC">
        <w:rPr>
          <w:snapToGrid/>
          <w:szCs w:val="22"/>
          <w:lang w:val="lt-LT" w:eastAsia="sl-SI"/>
        </w:rPr>
        <w:t>kabelovny</w:t>
      </w:r>
      <w:proofErr w:type="spellEnd"/>
      <w:r w:rsidR="00F67594">
        <w:rPr>
          <w:snapToGrid/>
          <w:szCs w:val="22"/>
          <w:lang w:val="lt-LT" w:eastAsia="sl-SI"/>
        </w:rPr>
        <w:t> </w:t>
      </w:r>
      <w:r w:rsidRPr="001E32AC">
        <w:rPr>
          <w:snapToGrid/>
          <w:szCs w:val="22"/>
          <w:lang w:val="lt-LT" w:eastAsia="sl-SI"/>
        </w:rPr>
        <w:t>130</w:t>
      </w:r>
    </w:p>
    <w:p w14:paraId="7072858F" w14:textId="47740AAB" w:rsidR="00E41A89" w:rsidRPr="001E32AC" w:rsidRDefault="00E41A89" w:rsidP="007E15ED">
      <w:pPr>
        <w:keepNext/>
        <w:widowControl w:val="0"/>
        <w:tabs>
          <w:tab w:val="clear" w:pos="567"/>
        </w:tabs>
        <w:spacing w:line="240" w:lineRule="auto"/>
        <w:ind w:left="567" w:hanging="567"/>
        <w:rPr>
          <w:snapToGrid/>
          <w:szCs w:val="22"/>
          <w:lang w:val="lt-LT" w:eastAsia="sl-SI"/>
        </w:rPr>
      </w:pPr>
      <w:proofErr w:type="spellStart"/>
      <w:r w:rsidRPr="001E32AC">
        <w:rPr>
          <w:snapToGrid/>
          <w:szCs w:val="22"/>
          <w:lang w:val="lt-LT" w:eastAsia="sl-SI"/>
        </w:rPr>
        <w:t>Dolní</w:t>
      </w:r>
      <w:proofErr w:type="spellEnd"/>
      <w:r w:rsidRPr="001E32AC">
        <w:rPr>
          <w:snapToGrid/>
          <w:szCs w:val="22"/>
          <w:lang w:val="lt-LT" w:eastAsia="sl-SI"/>
        </w:rPr>
        <w:t xml:space="preserve"> </w:t>
      </w:r>
      <w:proofErr w:type="spellStart"/>
      <w:r w:rsidRPr="001E32AC">
        <w:rPr>
          <w:snapToGrid/>
          <w:szCs w:val="22"/>
          <w:lang w:val="lt-LT" w:eastAsia="sl-SI"/>
        </w:rPr>
        <w:t>Měcholupy</w:t>
      </w:r>
      <w:proofErr w:type="spellEnd"/>
    </w:p>
    <w:p w14:paraId="747AC033" w14:textId="1776DB44" w:rsidR="00E41A89" w:rsidRPr="001E32AC" w:rsidRDefault="00E41A89" w:rsidP="007E15ED">
      <w:pPr>
        <w:keepNext/>
        <w:widowControl w:val="0"/>
        <w:tabs>
          <w:tab w:val="clear" w:pos="567"/>
        </w:tabs>
        <w:spacing w:line="240" w:lineRule="auto"/>
        <w:ind w:left="567" w:hanging="567"/>
        <w:rPr>
          <w:snapToGrid/>
          <w:szCs w:val="22"/>
          <w:lang w:val="lt-LT" w:eastAsia="sl-SI"/>
        </w:rPr>
      </w:pPr>
      <w:r w:rsidRPr="001E32AC">
        <w:rPr>
          <w:snapToGrid/>
          <w:szCs w:val="22"/>
          <w:lang w:val="lt-LT" w:eastAsia="sl-SI"/>
        </w:rPr>
        <w:t>10237</w:t>
      </w:r>
      <w:r w:rsidR="00F67594">
        <w:rPr>
          <w:snapToGrid/>
          <w:szCs w:val="22"/>
          <w:lang w:val="lt-LT" w:eastAsia="sl-SI"/>
        </w:rPr>
        <w:t> </w:t>
      </w:r>
      <w:r w:rsidRPr="001E32AC">
        <w:rPr>
          <w:snapToGrid/>
          <w:szCs w:val="22"/>
          <w:lang w:val="lt-LT" w:eastAsia="sl-SI"/>
        </w:rPr>
        <w:t>Praha</w:t>
      </w:r>
      <w:r w:rsidR="00F67594">
        <w:rPr>
          <w:snapToGrid/>
          <w:szCs w:val="22"/>
          <w:lang w:val="lt-LT" w:eastAsia="sl-SI"/>
        </w:rPr>
        <w:t> </w:t>
      </w:r>
      <w:r w:rsidRPr="001E32AC">
        <w:rPr>
          <w:snapToGrid/>
          <w:szCs w:val="22"/>
          <w:lang w:val="lt-LT" w:eastAsia="sl-SI"/>
        </w:rPr>
        <w:t>10</w:t>
      </w:r>
    </w:p>
    <w:p w14:paraId="242C4B1B" w14:textId="77777777" w:rsidR="00381B7D" w:rsidRPr="00923E74" w:rsidRDefault="00E41A89" w:rsidP="001E32AC">
      <w:pPr>
        <w:widowControl w:val="0"/>
        <w:tabs>
          <w:tab w:val="clear" w:pos="567"/>
        </w:tabs>
        <w:spacing w:line="240" w:lineRule="auto"/>
        <w:ind w:left="567" w:hanging="567"/>
        <w:rPr>
          <w:snapToGrid/>
          <w:szCs w:val="22"/>
          <w:lang w:val="lt-LT" w:eastAsia="sl-SI"/>
        </w:rPr>
      </w:pPr>
      <w:r w:rsidRPr="001E32AC">
        <w:rPr>
          <w:snapToGrid/>
          <w:szCs w:val="22"/>
          <w:lang w:val="lt-LT" w:eastAsia="sl-SI"/>
        </w:rPr>
        <w:t>Čekija</w:t>
      </w:r>
    </w:p>
    <w:p w14:paraId="524A17E9" w14:textId="77777777" w:rsidR="00381B7D" w:rsidRDefault="00381B7D" w:rsidP="00A31E3A">
      <w:pPr>
        <w:widowControl w:val="0"/>
        <w:tabs>
          <w:tab w:val="clear" w:pos="567"/>
        </w:tabs>
        <w:spacing w:line="240" w:lineRule="auto"/>
        <w:rPr>
          <w:snapToGrid/>
          <w:szCs w:val="22"/>
          <w:lang w:val="lt-LT" w:eastAsia="sl-SI"/>
        </w:rPr>
      </w:pPr>
    </w:p>
    <w:p w14:paraId="7F841BF5" w14:textId="77777777" w:rsidR="008C7A53" w:rsidRPr="00923E74" w:rsidRDefault="008C7A53" w:rsidP="00A31E3A">
      <w:pPr>
        <w:widowControl w:val="0"/>
        <w:tabs>
          <w:tab w:val="clear" w:pos="567"/>
        </w:tabs>
        <w:spacing w:line="240" w:lineRule="auto"/>
        <w:rPr>
          <w:snapToGrid/>
          <w:szCs w:val="22"/>
          <w:lang w:val="lt-LT" w:eastAsia="sl-SI"/>
        </w:rPr>
      </w:pPr>
    </w:p>
    <w:p w14:paraId="0A318FCD" w14:textId="32CD8B60"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8.</w:t>
      </w:r>
      <w:r w:rsidRPr="00923E74">
        <w:rPr>
          <w:b/>
          <w:snapToGrid/>
          <w:szCs w:val="22"/>
          <w:lang w:val="lt-LT" w:eastAsia="sl-SI"/>
        </w:rPr>
        <w:tab/>
        <w:t>REGISTRACIJOS PAŽYMĖJIMO NUMERIS</w:t>
      </w:r>
      <w:r w:rsidR="00F67594">
        <w:rPr>
          <w:b/>
          <w:snapToGrid/>
          <w:szCs w:val="22"/>
          <w:lang w:val="lt-LT" w:eastAsia="sl-SI"/>
        </w:rPr>
        <w:t> </w:t>
      </w:r>
      <w:r w:rsidRPr="00923E74">
        <w:rPr>
          <w:b/>
          <w:snapToGrid/>
          <w:szCs w:val="22"/>
          <w:lang w:val="lt-LT" w:eastAsia="sl-SI"/>
        </w:rPr>
        <w:t>(</w:t>
      </w:r>
      <w:r w:rsidR="00F67594">
        <w:rPr>
          <w:b/>
          <w:snapToGrid/>
          <w:szCs w:val="22"/>
          <w:lang w:val="lt-LT" w:eastAsia="sl-SI"/>
        </w:rPr>
        <w:noBreakHyphen/>
      </w:r>
      <w:r w:rsidRPr="00923E74">
        <w:rPr>
          <w:b/>
          <w:snapToGrid/>
          <w:szCs w:val="22"/>
          <w:lang w:val="lt-LT" w:eastAsia="sl-SI"/>
        </w:rPr>
        <w:t>IAI)</w:t>
      </w:r>
    </w:p>
    <w:p w14:paraId="2A666073" w14:textId="77777777" w:rsidR="00381B7D" w:rsidRPr="00923E74" w:rsidRDefault="00381B7D" w:rsidP="007E15ED">
      <w:pPr>
        <w:keepNext/>
        <w:widowControl w:val="0"/>
        <w:tabs>
          <w:tab w:val="clear" w:pos="567"/>
        </w:tabs>
        <w:spacing w:line="240" w:lineRule="auto"/>
        <w:rPr>
          <w:snapToGrid/>
          <w:szCs w:val="22"/>
          <w:lang w:val="lt-LT" w:eastAsia="sl-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361E7" w14:paraId="6E659692" w14:textId="77777777" w:rsidTr="0063384D">
        <w:tc>
          <w:tcPr>
            <w:tcW w:w="4530" w:type="dxa"/>
          </w:tcPr>
          <w:p w14:paraId="633D226D" w14:textId="125D3841" w:rsidR="009361E7" w:rsidRPr="00D9392A" w:rsidRDefault="009361E7" w:rsidP="00A31E3A">
            <w:pPr>
              <w:widowControl w:val="0"/>
              <w:tabs>
                <w:tab w:val="clear" w:pos="567"/>
              </w:tabs>
              <w:spacing w:line="240" w:lineRule="auto"/>
              <w:rPr>
                <w:snapToGrid/>
                <w:szCs w:val="22"/>
                <w:u w:val="single"/>
                <w:lang w:val="lt-LT" w:eastAsia="sl-SI"/>
              </w:rPr>
            </w:pPr>
            <w:r w:rsidRPr="00D9392A">
              <w:rPr>
                <w:snapToGrid/>
                <w:szCs w:val="22"/>
                <w:u w:val="single"/>
                <w:lang w:val="lt-LT" w:eastAsia="sl-SI"/>
              </w:rPr>
              <w:t>10</w:t>
            </w:r>
            <w:r w:rsidR="00FA49EA" w:rsidRPr="00D9392A">
              <w:rPr>
                <w:snapToGrid/>
                <w:szCs w:val="22"/>
                <w:u w:val="single"/>
                <w:lang w:val="lt-LT" w:eastAsia="sl-SI"/>
              </w:rPr>
              <w:t> </w:t>
            </w:r>
            <w:r w:rsidRPr="00D9392A">
              <w:rPr>
                <w:snapToGrid/>
                <w:szCs w:val="22"/>
                <w:u w:val="single"/>
                <w:lang w:val="lt-LT" w:eastAsia="sl-SI"/>
              </w:rPr>
              <w:t>mg/10</w:t>
            </w:r>
            <w:r w:rsidR="00FA49EA" w:rsidRPr="00D9392A">
              <w:rPr>
                <w:snapToGrid/>
                <w:szCs w:val="22"/>
                <w:u w:val="single"/>
                <w:lang w:val="lt-LT" w:eastAsia="sl-SI"/>
              </w:rPr>
              <w:t> </w:t>
            </w:r>
            <w:r w:rsidRPr="00D9392A">
              <w:rPr>
                <w:snapToGrid/>
                <w:szCs w:val="22"/>
                <w:u w:val="single"/>
                <w:lang w:val="lt-LT" w:eastAsia="sl-SI"/>
              </w:rPr>
              <w:t>mg</w:t>
            </w:r>
          </w:p>
          <w:p w14:paraId="7F461C9D" w14:textId="01DECEFB" w:rsidR="0063384D" w:rsidRDefault="0063384D" w:rsidP="0063384D">
            <w:pPr>
              <w:rPr>
                <w:bCs/>
                <w:szCs w:val="22"/>
                <w:lang w:val="lt-LT"/>
              </w:rPr>
            </w:pPr>
            <w:r>
              <w:rPr>
                <w:szCs w:val="22"/>
                <w:lang w:val="lt-LT"/>
              </w:rPr>
              <w:t>LT/1/19/4459/001</w:t>
            </w:r>
            <w:r w:rsidRPr="003C1C77">
              <w:rPr>
                <w:bCs/>
                <w:szCs w:val="22"/>
                <w:lang w:val="lt-LT"/>
              </w:rPr>
              <w:t xml:space="preserve"> – N</w:t>
            </w:r>
            <w:r>
              <w:rPr>
                <w:bCs/>
                <w:szCs w:val="22"/>
                <w:lang w:val="lt-LT"/>
              </w:rPr>
              <w:t>10</w:t>
            </w:r>
          </w:p>
          <w:p w14:paraId="3FC4A035" w14:textId="1C2AC061" w:rsidR="0063384D" w:rsidRDefault="0063384D" w:rsidP="0063384D">
            <w:pPr>
              <w:rPr>
                <w:bCs/>
                <w:szCs w:val="22"/>
                <w:lang w:val="lt-LT"/>
              </w:rPr>
            </w:pPr>
            <w:r>
              <w:rPr>
                <w:szCs w:val="22"/>
                <w:lang w:val="lt-LT"/>
              </w:rPr>
              <w:t>LT/1/19/4459/002</w:t>
            </w:r>
            <w:r w:rsidRPr="003C1C77">
              <w:rPr>
                <w:bCs/>
                <w:szCs w:val="22"/>
                <w:lang w:val="lt-LT"/>
              </w:rPr>
              <w:t xml:space="preserve"> – N</w:t>
            </w:r>
            <w:r>
              <w:rPr>
                <w:bCs/>
                <w:szCs w:val="22"/>
                <w:lang w:val="lt-LT"/>
              </w:rPr>
              <w:t>30</w:t>
            </w:r>
          </w:p>
          <w:p w14:paraId="7542DDC1" w14:textId="6DDB17EA" w:rsidR="0063384D" w:rsidRDefault="0063384D" w:rsidP="0063384D">
            <w:pPr>
              <w:rPr>
                <w:bCs/>
                <w:szCs w:val="22"/>
                <w:lang w:val="lt-LT"/>
              </w:rPr>
            </w:pPr>
            <w:r>
              <w:rPr>
                <w:szCs w:val="22"/>
                <w:lang w:val="lt-LT"/>
              </w:rPr>
              <w:t>LT/1/19/4459/003</w:t>
            </w:r>
            <w:r w:rsidRPr="003C1C77">
              <w:rPr>
                <w:bCs/>
                <w:szCs w:val="22"/>
                <w:lang w:val="lt-LT"/>
              </w:rPr>
              <w:t xml:space="preserve"> – N</w:t>
            </w:r>
            <w:r>
              <w:rPr>
                <w:bCs/>
                <w:szCs w:val="22"/>
                <w:lang w:val="lt-LT"/>
              </w:rPr>
              <w:t>90</w:t>
            </w:r>
          </w:p>
          <w:p w14:paraId="581F310E" w14:textId="2C466AAE" w:rsidR="002846C3" w:rsidRDefault="0063384D" w:rsidP="002846C3">
            <w:pPr>
              <w:widowControl w:val="0"/>
              <w:tabs>
                <w:tab w:val="clear" w:pos="567"/>
              </w:tabs>
              <w:spacing w:after="120" w:line="240" w:lineRule="auto"/>
              <w:rPr>
                <w:snapToGrid/>
                <w:szCs w:val="22"/>
                <w:lang w:val="lt-LT" w:eastAsia="sl-SI"/>
              </w:rPr>
            </w:pPr>
            <w:r>
              <w:rPr>
                <w:szCs w:val="22"/>
                <w:lang w:val="lt-LT"/>
              </w:rPr>
              <w:t>LT/1/19/4459/004</w:t>
            </w:r>
            <w:r w:rsidRPr="003C1C77">
              <w:rPr>
                <w:bCs/>
                <w:szCs w:val="22"/>
                <w:lang w:val="lt-LT"/>
              </w:rPr>
              <w:t xml:space="preserve"> – N</w:t>
            </w:r>
            <w:r>
              <w:rPr>
                <w:bCs/>
                <w:szCs w:val="22"/>
                <w:lang w:val="lt-LT"/>
              </w:rPr>
              <w:t>100</w:t>
            </w:r>
          </w:p>
        </w:tc>
        <w:tc>
          <w:tcPr>
            <w:tcW w:w="4531" w:type="dxa"/>
          </w:tcPr>
          <w:p w14:paraId="13CD0E19" w14:textId="4CBFC671" w:rsidR="009361E7" w:rsidRPr="00D9392A" w:rsidRDefault="009361E7" w:rsidP="009361E7">
            <w:pPr>
              <w:widowControl w:val="0"/>
              <w:tabs>
                <w:tab w:val="clear" w:pos="567"/>
              </w:tabs>
              <w:spacing w:line="240" w:lineRule="auto"/>
              <w:rPr>
                <w:snapToGrid/>
                <w:szCs w:val="22"/>
                <w:u w:val="single"/>
                <w:lang w:val="lt-LT" w:eastAsia="sl-SI"/>
              </w:rPr>
            </w:pPr>
            <w:r w:rsidRPr="00D9392A">
              <w:rPr>
                <w:snapToGrid/>
                <w:szCs w:val="22"/>
                <w:u w:val="single"/>
                <w:lang w:val="lt-LT" w:eastAsia="sl-SI"/>
              </w:rPr>
              <w:t>10</w:t>
            </w:r>
            <w:r w:rsidR="00FA49EA" w:rsidRPr="00D9392A">
              <w:rPr>
                <w:snapToGrid/>
                <w:szCs w:val="22"/>
                <w:u w:val="single"/>
                <w:lang w:val="lt-LT" w:eastAsia="sl-SI"/>
              </w:rPr>
              <w:t> </w:t>
            </w:r>
            <w:r w:rsidRPr="00D9392A">
              <w:rPr>
                <w:snapToGrid/>
                <w:szCs w:val="22"/>
                <w:u w:val="single"/>
                <w:lang w:val="lt-LT" w:eastAsia="sl-SI"/>
              </w:rPr>
              <w:t>mg/20</w:t>
            </w:r>
            <w:r w:rsidR="00FA49EA" w:rsidRPr="00D9392A">
              <w:rPr>
                <w:snapToGrid/>
                <w:szCs w:val="22"/>
                <w:u w:val="single"/>
                <w:lang w:val="lt-LT" w:eastAsia="sl-SI"/>
              </w:rPr>
              <w:t> </w:t>
            </w:r>
            <w:r w:rsidRPr="00D9392A">
              <w:rPr>
                <w:snapToGrid/>
                <w:szCs w:val="22"/>
                <w:u w:val="single"/>
                <w:lang w:val="lt-LT" w:eastAsia="sl-SI"/>
              </w:rPr>
              <w:t>mg</w:t>
            </w:r>
          </w:p>
          <w:p w14:paraId="076DC0F0" w14:textId="3992698E" w:rsidR="00412285" w:rsidRDefault="00412285" w:rsidP="00412285">
            <w:pPr>
              <w:rPr>
                <w:bCs/>
                <w:szCs w:val="22"/>
                <w:lang w:val="lt-LT"/>
              </w:rPr>
            </w:pPr>
            <w:r>
              <w:rPr>
                <w:szCs w:val="22"/>
                <w:lang w:val="lt-LT"/>
              </w:rPr>
              <w:t>LT/1/19/4460/001</w:t>
            </w:r>
            <w:r w:rsidRPr="003C1C77">
              <w:rPr>
                <w:bCs/>
                <w:szCs w:val="22"/>
                <w:lang w:val="lt-LT"/>
              </w:rPr>
              <w:t xml:space="preserve"> – N</w:t>
            </w:r>
            <w:r>
              <w:rPr>
                <w:bCs/>
                <w:szCs w:val="22"/>
                <w:lang w:val="lt-LT"/>
              </w:rPr>
              <w:t>10</w:t>
            </w:r>
          </w:p>
          <w:p w14:paraId="188F663F" w14:textId="28952446" w:rsidR="00412285" w:rsidRDefault="00412285" w:rsidP="00412285">
            <w:pPr>
              <w:rPr>
                <w:bCs/>
                <w:szCs w:val="22"/>
                <w:lang w:val="lt-LT"/>
              </w:rPr>
            </w:pPr>
            <w:r>
              <w:rPr>
                <w:szCs w:val="22"/>
                <w:lang w:val="lt-LT"/>
              </w:rPr>
              <w:t>LT/1/19/4460/002</w:t>
            </w:r>
            <w:r w:rsidRPr="003C1C77">
              <w:rPr>
                <w:bCs/>
                <w:szCs w:val="22"/>
                <w:lang w:val="lt-LT"/>
              </w:rPr>
              <w:t xml:space="preserve"> – N</w:t>
            </w:r>
            <w:r>
              <w:rPr>
                <w:bCs/>
                <w:szCs w:val="22"/>
                <w:lang w:val="lt-LT"/>
              </w:rPr>
              <w:t>30</w:t>
            </w:r>
          </w:p>
          <w:p w14:paraId="5052350F" w14:textId="3AFE6C35" w:rsidR="00412285" w:rsidRDefault="00412285" w:rsidP="00412285">
            <w:pPr>
              <w:rPr>
                <w:bCs/>
                <w:szCs w:val="22"/>
                <w:lang w:val="lt-LT"/>
              </w:rPr>
            </w:pPr>
            <w:r>
              <w:rPr>
                <w:szCs w:val="22"/>
                <w:lang w:val="lt-LT"/>
              </w:rPr>
              <w:t>LT/1/19/4460/003</w:t>
            </w:r>
            <w:r w:rsidRPr="003C1C77">
              <w:rPr>
                <w:bCs/>
                <w:szCs w:val="22"/>
                <w:lang w:val="lt-LT"/>
              </w:rPr>
              <w:t xml:space="preserve"> – N</w:t>
            </w:r>
            <w:r>
              <w:rPr>
                <w:bCs/>
                <w:szCs w:val="22"/>
                <w:lang w:val="lt-LT"/>
              </w:rPr>
              <w:t>90</w:t>
            </w:r>
          </w:p>
          <w:p w14:paraId="3FA9C133" w14:textId="44DCE2C5" w:rsidR="009361E7" w:rsidRDefault="00412285" w:rsidP="00210F04">
            <w:pPr>
              <w:widowControl w:val="0"/>
              <w:tabs>
                <w:tab w:val="clear" w:pos="567"/>
              </w:tabs>
              <w:spacing w:line="240" w:lineRule="auto"/>
              <w:rPr>
                <w:snapToGrid/>
                <w:szCs w:val="22"/>
                <w:lang w:val="lt-LT" w:eastAsia="sl-SI"/>
              </w:rPr>
            </w:pPr>
            <w:r>
              <w:rPr>
                <w:szCs w:val="22"/>
                <w:lang w:val="lt-LT"/>
              </w:rPr>
              <w:t>LT/1/19/4460/004</w:t>
            </w:r>
            <w:r w:rsidRPr="003C1C77">
              <w:rPr>
                <w:bCs/>
                <w:szCs w:val="22"/>
                <w:lang w:val="lt-LT"/>
              </w:rPr>
              <w:t xml:space="preserve"> – N</w:t>
            </w:r>
            <w:r>
              <w:rPr>
                <w:bCs/>
                <w:szCs w:val="22"/>
                <w:lang w:val="lt-LT"/>
              </w:rPr>
              <w:t>100</w:t>
            </w:r>
          </w:p>
        </w:tc>
      </w:tr>
      <w:tr w:rsidR="009361E7" w14:paraId="02F66734" w14:textId="77777777" w:rsidTr="0063384D">
        <w:tc>
          <w:tcPr>
            <w:tcW w:w="4530" w:type="dxa"/>
          </w:tcPr>
          <w:p w14:paraId="0941764F" w14:textId="7185651A" w:rsidR="009361E7" w:rsidRPr="00D9392A" w:rsidRDefault="0063384D" w:rsidP="009361E7">
            <w:pPr>
              <w:widowControl w:val="0"/>
              <w:tabs>
                <w:tab w:val="clear" w:pos="567"/>
              </w:tabs>
              <w:spacing w:line="240" w:lineRule="auto"/>
              <w:rPr>
                <w:snapToGrid/>
                <w:szCs w:val="22"/>
                <w:u w:val="single"/>
                <w:lang w:val="lt-LT" w:eastAsia="sl-SI"/>
              </w:rPr>
            </w:pPr>
            <w:r w:rsidRPr="00D9392A">
              <w:rPr>
                <w:snapToGrid/>
                <w:szCs w:val="22"/>
                <w:u w:val="single"/>
                <w:lang w:val="lt-LT" w:eastAsia="sl-SI"/>
              </w:rPr>
              <w:t>10</w:t>
            </w:r>
            <w:r w:rsidR="00FA49EA" w:rsidRPr="00D9392A">
              <w:rPr>
                <w:snapToGrid/>
                <w:szCs w:val="22"/>
                <w:u w:val="single"/>
                <w:lang w:val="lt-LT" w:eastAsia="sl-SI"/>
              </w:rPr>
              <w:t> </w:t>
            </w:r>
            <w:r w:rsidRPr="00D9392A">
              <w:rPr>
                <w:snapToGrid/>
                <w:szCs w:val="22"/>
                <w:u w:val="single"/>
                <w:lang w:val="lt-LT" w:eastAsia="sl-SI"/>
              </w:rPr>
              <w:t>mg/4</w:t>
            </w:r>
            <w:r w:rsidR="009361E7" w:rsidRPr="00D9392A">
              <w:rPr>
                <w:snapToGrid/>
                <w:szCs w:val="22"/>
                <w:u w:val="single"/>
                <w:lang w:val="lt-LT" w:eastAsia="sl-SI"/>
              </w:rPr>
              <w:t>0</w:t>
            </w:r>
            <w:r w:rsidR="00FA49EA" w:rsidRPr="00D9392A">
              <w:rPr>
                <w:snapToGrid/>
                <w:szCs w:val="22"/>
                <w:u w:val="single"/>
                <w:lang w:val="lt-LT" w:eastAsia="sl-SI"/>
              </w:rPr>
              <w:t> </w:t>
            </w:r>
            <w:r w:rsidR="009361E7" w:rsidRPr="00D9392A">
              <w:rPr>
                <w:snapToGrid/>
                <w:szCs w:val="22"/>
                <w:u w:val="single"/>
                <w:lang w:val="lt-LT" w:eastAsia="sl-SI"/>
              </w:rPr>
              <w:t>mg</w:t>
            </w:r>
          </w:p>
          <w:p w14:paraId="296507FD" w14:textId="031F3C45" w:rsidR="00412285" w:rsidRDefault="00412285" w:rsidP="00412285">
            <w:pPr>
              <w:rPr>
                <w:bCs/>
                <w:szCs w:val="22"/>
                <w:lang w:val="lt-LT"/>
              </w:rPr>
            </w:pPr>
            <w:r>
              <w:rPr>
                <w:szCs w:val="22"/>
                <w:lang w:val="lt-LT"/>
              </w:rPr>
              <w:t>LT/1/19/4461/001</w:t>
            </w:r>
            <w:r w:rsidRPr="003C1C77">
              <w:rPr>
                <w:bCs/>
                <w:szCs w:val="22"/>
                <w:lang w:val="lt-LT"/>
              </w:rPr>
              <w:t xml:space="preserve"> – N</w:t>
            </w:r>
            <w:r>
              <w:rPr>
                <w:bCs/>
                <w:szCs w:val="22"/>
                <w:lang w:val="lt-LT"/>
              </w:rPr>
              <w:t>10</w:t>
            </w:r>
          </w:p>
          <w:p w14:paraId="23F03114" w14:textId="272FC8C1" w:rsidR="00412285" w:rsidRDefault="00412285" w:rsidP="00412285">
            <w:pPr>
              <w:rPr>
                <w:bCs/>
                <w:szCs w:val="22"/>
                <w:lang w:val="lt-LT"/>
              </w:rPr>
            </w:pPr>
            <w:r>
              <w:rPr>
                <w:szCs w:val="22"/>
                <w:lang w:val="lt-LT"/>
              </w:rPr>
              <w:t>LT/1/19/4461/002</w:t>
            </w:r>
            <w:r w:rsidRPr="003C1C77">
              <w:rPr>
                <w:bCs/>
                <w:szCs w:val="22"/>
                <w:lang w:val="lt-LT"/>
              </w:rPr>
              <w:t xml:space="preserve"> – N</w:t>
            </w:r>
            <w:r>
              <w:rPr>
                <w:bCs/>
                <w:szCs w:val="22"/>
                <w:lang w:val="lt-LT"/>
              </w:rPr>
              <w:t>30</w:t>
            </w:r>
          </w:p>
          <w:p w14:paraId="5097A0A2" w14:textId="6EB6E799" w:rsidR="00412285" w:rsidRDefault="00412285" w:rsidP="00412285">
            <w:pPr>
              <w:rPr>
                <w:bCs/>
                <w:szCs w:val="22"/>
                <w:lang w:val="lt-LT"/>
              </w:rPr>
            </w:pPr>
            <w:r>
              <w:rPr>
                <w:szCs w:val="22"/>
                <w:lang w:val="lt-LT"/>
              </w:rPr>
              <w:t>LT/1/19/4461/003</w:t>
            </w:r>
            <w:r w:rsidRPr="003C1C77">
              <w:rPr>
                <w:bCs/>
                <w:szCs w:val="22"/>
                <w:lang w:val="lt-LT"/>
              </w:rPr>
              <w:t xml:space="preserve"> – N</w:t>
            </w:r>
            <w:r>
              <w:rPr>
                <w:bCs/>
                <w:szCs w:val="22"/>
                <w:lang w:val="lt-LT"/>
              </w:rPr>
              <w:t>90</w:t>
            </w:r>
          </w:p>
          <w:p w14:paraId="4A4E3F19" w14:textId="16EC1E0D" w:rsidR="009361E7" w:rsidRDefault="00412285" w:rsidP="00210F04">
            <w:pPr>
              <w:widowControl w:val="0"/>
              <w:tabs>
                <w:tab w:val="clear" w:pos="567"/>
              </w:tabs>
              <w:spacing w:line="240" w:lineRule="auto"/>
              <w:rPr>
                <w:snapToGrid/>
                <w:szCs w:val="22"/>
                <w:lang w:val="lt-LT" w:eastAsia="sl-SI"/>
              </w:rPr>
            </w:pPr>
            <w:r>
              <w:rPr>
                <w:szCs w:val="22"/>
                <w:lang w:val="lt-LT"/>
              </w:rPr>
              <w:t>LT/1/19/4461/004</w:t>
            </w:r>
            <w:r w:rsidRPr="003C1C77">
              <w:rPr>
                <w:bCs/>
                <w:szCs w:val="22"/>
                <w:lang w:val="lt-LT"/>
              </w:rPr>
              <w:t xml:space="preserve"> – N</w:t>
            </w:r>
            <w:r>
              <w:rPr>
                <w:bCs/>
                <w:szCs w:val="22"/>
                <w:lang w:val="lt-LT"/>
              </w:rPr>
              <w:t>100</w:t>
            </w:r>
          </w:p>
        </w:tc>
        <w:tc>
          <w:tcPr>
            <w:tcW w:w="4531" w:type="dxa"/>
          </w:tcPr>
          <w:p w14:paraId="3C6FE2BC" w14:textId="69693D80" w:rsidR="0063384D" w:rsidRPr="00D9392A" w:rsidRDefault="0063384D" w:rsidP="0063384D">
            <w:pPr>
              <w:widowControl w:val="0"/>
              <w:tabs>
                <w:tab w:val="clear" w:pos="567"/>
              </w:tabs>
              <w:spacing w:line="240" w:lineRule="auto"/>
              <w:rPr>
                <w:snapToGrid/>
                <w:szCs w:val="22"/>
                <w:u w:val="single"/>
                <w:lang w:val="lt-LT" w:eastAsia="sl-SI"/>
              </w:rPr>
            </w:pPr>
            <w:r w:rsidRPr="00D9392A">
              <w:rPr>
                <w:snapToGrid/>
                <w:szCs w:val="22"/>
                <w:u w:val="single"/>
                <w:lang w:val="lt-LT" w:eastAsia="sl-SI"/>
              </w:rPr>
              <w:t>10</w:t>
            </w:r>
            <w:r w:rsidR="00FA49EA" w:rsidRPr="00D9392A">
              <w:rPr>
                <w:snapToGrid/>
                <w:szCs w:val="22"/>
                <w:u w:val="single"/>
                <w:lang w:val="lt-LT" w:eastAsia="sl-SI"/>
              </w:rPr>
              <w:t> </w:t>
            </w:r>
            <w:r w:rsidRPr="00D9392A">
              <w:rPr>
                <w:snapToGrid/>
                <w:szCs w:val="22"/>
                <w:u w:val="single"/>
                <w:lang w:val="lt-LT" w:eastAsia="sl-SI"/>
              </w:rPr>
              <w:t>mg/80</w:t>
            </w:r>
            <w:r w:rsidR="00FA49EA" w:rsidRPr="00D9392A">
              <w:rPr>
                <w:snapToGrid/>
                <w:szCs w:val="22"/>
                <w:u w:val="single"/>
                <w:lang w:val="lt-LT" w:eastAsia="sl-SI"/>
              </w:rPr>
              <w:t> </w:t>
            </w:r>
            <w:r w:rsidRPr="00D9392A">
              <w:rPr>
                <w:snapToGrid/>
                <w:szCs w:val="22"/>
                <w:u w:val="single"/>
                <w:lang w:val="lt-LT" w:eastAsia="sl-SI"/>
              </w:rPr>
              <w:t>mg</w:t>
            </w:r>
          </w:p>
          <w:p w14:paraId="0CCFF2E5" w14:textId="520CB5BF" w:rsidR="00BF06B3" w:rsidRDefault="00BF06B3" w:rsidP="00BF06B3">
            <w:pPr>
              <w:rPr>
                <w:bCs/>
                <w:szCs w:val="22"/>
                <w:lang w:val="lt-LT"/>
              </w:rPr>
            </w:pPr>
            <w:r>
              <w:rPr>
                <w:szCs w:val="22"/>
                <w:lang w:val="lt-LT"/>
              </w:rPr>
              <w:t>LT/1/19/4462/001</w:t>
            </w:r>
            <w:r w:rsidRPr="003C1C77">
              <w:rPr>
                <w:bCs/>
                <w:szCs w:val="22"/>
                <w:lang w:val="lt-LT"/>
              </w:rPr>
              <w:t xml:space="preserve"> – N</w:t>
            </w:r>
            <w:r>
              <w:rPr>
                <w:bCs/>
                <w:szCs w:val="22"/>
                <w:lang w:val="lt-LT"/>
              </w:rPr>
              <w:t>10</w:t>
            </w:r>
          </w:p>
          <w:p w14:paraId="20A60359" w14:textId="7BC87CF1" w:rsidR="00BF06B3" w:rsidRDefault="00BF06B3" w:rsidP="00BF06B3">
            <w:pPr>
              <w:rPr>
                <w:bCs/>
                <w:szCs w:val="22"/>
                <w:lang w:val="lt-LT"/>
              </w:rPr>
            </w:pPr>
            <w:r>
              <w:rPr>
                <w:szCs w:val="22"/>
                <w:lang w:val="lt-LT"/>
              </w:rPr>
              <w:t>LT/1/19/4462/002</w:t>
            </w:r>
            <w:r w:rsidRPr="003C1C77">
              <w:rPr>
                <w:bCs/>
                <w:szCs w:val="22"/>
                <w:lang w:val="lt-LT"/>
              </w:rPr>
              <w:t xml:space="preserve"> – N</w:t>
            </w:r>
            <w:r>
              <w:rPr>
                <w:bCs/>
                <w:szCs w:val="22"/>
                <w:lang w:val="lt-LT"/>
              </w:rPr>
              <w:t>30</w:t>
            </w:r>
          </w:p>
          <w:p w14:paraId="1BDB441A" w14:textId="7F8C541D" w:rsidR="00BF06B3" w:rsidRDefault="00BF06B3" w:rsidP="00BF06B3">
            <w:pPr>
              <w:rPr>
                <w:bCs/>
                <w:szCs w:val="22"/>
                <w:lang w:val="lt-LT"/>
              </w:rPr>
            </w:pPr>
            <w:r>
              <w:rPr>
                <w:szCs w:val="22"/>
                <w:lang w:val="lt-LT"/>
              </w:rPr>
              <w:t>LT/1/19/4462/003</w:t>
            </w:r>
            <w:r w:rsidRPr="003C1C77">
              <w:rPr>
                <w:bCs/>
                <w:szCs w:val="22"/>
                <w:lang w:val="lt-LT"/>
              </w:rPr>
              <w:t xml:space="preserve"> – N</w:t>
            </w:r>
            <w:r>
              <w:rPr>
                <w:bCs/>
                <w:szCs w:val="22"/>
                <w:lang w:val="lt-LT"/>
              </w:rPr>
              <w:t>90</w:t>
            </w:r>
          </w:p>
          <w:p w14:paraId="36D776D4" w14:textId="6E47F560" w:rsidR="009361E7" w:rsidRDefault="00BF06B3" w:rsidP="00210F04">
            <w:pPr>
              <w:widowControl w:val="0"/>
              <w:tabs>
                <w:tab w:val="clear" w:pos="567"/>
              </w:tabs>
              <w:spacing w:line="240" w:lineRule="auto"/>
              <w:rPr>
                <w:snapToGrid/>
                <w:szCs w:val="22"/>
                <w:lang w:val="lt-LT" w:eastAsia="sl-SI"/>
              </w:rPr>
            </w:pPr>
            <w:r>
              <w:rPr>
                <w:szCs w:val="22"/>
                <w:lang w:val="lt-LT"/>
              </w:rPr>
              <w:t>LT/1/19/4462/004</w:t>
            </w:r>
            <w:r w:rsidRPr="003C1C77">
              <w:rPr>
                <w:bCs/>
                <w:szCs w:val="22"/>
                <w:lang w:val="lt-LT"/>
              </w:rPr>
              <w:t xml:space="preserve"> – N</w:t>
            </w:r>
            <w:r>
              <w:rPr>
                <w:bCs/>
                <w:szCs w:val="22"/>
                <w:lang w:val="lt-LT"/>
              </w:rPr>
              <w:t>100</w:t>
            </w:r>
          </w:p>
        </w:tc>
      </w:tr>
    </w:tbl>
    <w:p w14:paraId="348EDF5D" w14:textId="77777777" w:rsidR="00381B7D" w:rsidRDefault="00381B7D" w:rsidP="00A31E3A">
      <w:pPr>
        <w:widowControl w:val="0"/>
        <w:tabs>
          <w:tab w:val="clear" w:pos="567"/>
        </w:tabs>
        <w:spacing w:line="240" w:lineRule="auto"/>
        <w:rPr>
          <w:snapToGrid/>
          <w:szCs w:val="22"/>
          <w:lang w:val="lt-LT" w:eastAsia="sl-SI"/>
        </w:rPr>
      </w:pPr>
    </w:p>
    <w:p w14:paraId="0C9A3268" w14:textId="77777777" w:rsidR="00381B7D" w:rsidRPr="00923E74" w:rsidRDefault="00381B7D" w:rsidP="00A31E3A">
      <w:pPr>
        <w:widowControl w:val="0"/>
        <w:tabs>
          <w:tab w:val="clear" w:pos="567"/>
        </w:tabs>
        <w:spacing w:line="240" w:lineRule="auto"/>
        <w:rPr>
          <w:snapToGrid/>
          <w:szCs w:val="22"/>
          <w:lang w:val="lt-LT" w:eastAsia="sl-SI"/>
        </w:rPr>
      </w:pPr>
    </w:p>
    <w:p w14:paraId="128C6B78" w14:textId="5364164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9.</w:t>
      </w:r>
      <w:r w:rsidRPr="00923E74">
        <w:rPr>
          <w:b/>
          <w:snapToGrid/>
          <w:szCs w:val="22"/>
          <w:lang w:val="lt-LT" w:eastAsia="sl-SI"/>
        </w:rPr>
        <w:tab/>
        <w:t>REGISTRAVIMO</w:t>
      </w:r>
      <w:r w:rsidR="00F67594">
        <w:rPr>
          <w:b/>
          <w:snapToGrid/>
          <w:szCs w:val="22"/>
          <w:lang w:val="lt-LT" w:eastAsia="sl-SI"/>
        </w:rPr>
        <w:t> </w:t>
      </w:r>
      <w:r w:rsidRPr="00923E74">
        <w:rPr>
          <w:b/>
          <w:snapToGrid/>
          <w:szCs w:val="22"/>
          <w:lang w:val="lt-LT" w:eastAsia="sl-SI"/>
        </w:rPr>
        <w:t>/</w:t>
      </w:r>
      <w:r w:rsidR="00F67594">
        <w:rPr>
          <w:b/>
          <w:snapToGrid/>
          <w:szCs w:val="22"/>
          <w:lang w:val="lt-LT" w:eastAsia="sl-SI"/>
        </w:rPr>
        <w:t> </w:t>
      </w:r>
      <w:r w:rsidRPr="00923E74">
        <w:rPr>
          <w:b/>
          <w:snapToGrid/>
          <w:szCs w:val="22"/>
          <w:lang w:val="lt-LT" w:eastAsia="sl-SI"/>
        </w:rPr>
        <w:t>PERREGISTRAVIMO DATA</w:t>
      </w:r>
    </w:p>
    <w:p w14:paraId="30038A19" w14:textId="77777777" w:rsidR="00381B7D" w:rsidRPr="00923E74" w:rsidRDefault="00381B7D" w:rsidP="007E15ED">
      <w:pPr>
        <w:keepNext/>
        <w:widowControl w:val="0"/>
        <w:tabs>
          <w:tab w:val="clear" w:pos="567"/>
        </w:tabs>
        <w:spacing w:line="240" w:lineRule="auto"/>
        <w:rPr>
          <w:snapToGrid/>
          <w:szCs w:val="22"/>
          <w:lang w:val="lt-LT" w:eastAsia="sl-SI"/>
        </w:rPr>
      </w:pPr>
    </w:p>
    <w:p w14:paraId="12D5C111" w14:textId="318DB1A6"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 xml:space="preserve">Registravimo data </w:t>
      </w:r>
      <w:r w:rsidR="0063384D">
        <w:rPr>
          <w:snapToGrid/>
          <w:szCs w:val="22"/>
          <w:lang w:val="lt-LT" w:eastAsia="sl-SI"/>
        </w:rPr>
        <w:t>2019</w:t>
      </w:r>
      <w:r w:rsidR="00FA49EA">
        <w:rPr>
          <w:snapToGrid/>
          <w:szCs w:val="22"/>
          <w:lang w:val="lt-LT" w:eastAsia="sl-SI"/>
        </w:rPr>
        <w:t> </w:t>
      </w:r>
      <w:r w:rsidR="0063384D">
        <w:rPr>
          <w:snapToGrid/>
          <w:szCs w:val="22"/>
          <w:lang w:val="lt-LT" w:eastAsia="sl-SI"/>
        </w:rPr>
        <w:t>m. spalio 11</w:t>
      </w:r>
      <w:r w:rsidR="00FA49EA">
        <w:rPr>
          <w:snapToGrid/>
          <w:szCs w:val="22"/>
          <w:lang w:val="lt-LT" w:eastAsia="sl-SI"/>
        </w:rPr>
        <w:t> </w:t>
      </w:r>
      <w:r w:rsidR="0063384D">
        <w:rPr>
          <w:snapToGrid/>
          <w:szCs w:val="22"/>
          <w:lang w:val="lt-LT" w:eastAsia="sl-SI"/>
        </w:rPr>
        <w:t>d.</w:t>
      </w:r>
    </w:p>
    <w:p w14:paraId="2D5C76CE" w14:textId="2DF11BEB" w:rsidR="00381B7D" w:rsidRPr="00923E74" w:rsidRDefault="00E27928" w:rsidP="00A31E3A">
      <w:pPr>
        <w:widowControl w:val="0"/>
        <w:tabs>
          <w:tab w:val="clear" w:pos="567"/>
        </w:tabs>
        <w:spacing w:line="240" w:lineRule="auto"/>
        <w:rPr>
          <w:snapToGrid/>
          <w:szCs w:val="22"/>
          <w:lang w:val="lt-LT" w:eastAsia="sl-SI"/>
        </w:rPr>
      </w:pPr>
      <w:r w:rsidRPr="00E27928">
        <w:rPr>
          <w:snapToGrid/>
          <w:szCs w:val="22"/>
          <w:lang w:val="lt-LT" w:eastAsia="sl-SI"/>
        </w:rPr>
        <w:t xml:space="preserve">Paskutinio perregistravimo data </w:t>
      </w:r>
      <w:r w:rsidR="00D9392A">
        <w:rPr>
          <w:snapToGrid/>
          <w:szCs w:val="22"/>
          <w:lang w:val="lt-LT" w:eastAsia="sl-SI"/>
        </w:rPr>
        <w:t>2024 m. balandžio 24 d.</w:t>
      </w:r>
    </w:p>
    <w:p w14:paraId="4F467734" w14:textId="77777777" w:rsidR="00381B7D" w:rsidRDefault="00381B7D" w:rsidP="00A31E3A">
      <w:pPr>
        <w:widowControl w:val="0"/>
        <w:tabs>
          <w:tab w:val="clear" w:pos="567"/>
        </w:tabs>
        <w:spacing w:line="240" w:lineRule="auto"/>
        <w:rPr>
          <w:snapToGrid/>
          <w:szCs w:val="22"/>
          <w:lang w:val="lt-LT" w:eastAsia="sl-SI"/>
        </w:rPr>
      </w:pPr>
    </w:p>
    <w:p w14:paraId="7E8AD955" w14:textId="77777777" w:rsidR="006C2AAF" w:rsidRPr="00923E74" w:rsidRDefault="006C2AAF" w:rsidP="00A31E3A">
      <w:pPr>
        <w:widowControl w:val="0"/>
        <w:tabs>
          <w:tab w:val="clear" w:pos="567"/>
        </w:tabs>
        <w:spacing w:line="240" w:lineRule="auto"/>
        <w:rPr>
          <w:snapToGrid/>
          <w:szCs w:val="22"/>
          <w:lang w:val="lt-LT" w:eastAsia="sl-SI"/>
        </w:rPr>
      </w:pPr>
    </w:p>
    <w:p w14:paraId="5D57F2D6" w14:textId="77777777" w:rsidR="00381B7D" w:rsidRPr="00923E74" w:rsidRDefault="00381B7D" w:rsidP="007E15ED">
      <w:pPr>
        <w:keepNext/>
        <w:widowControl w:val="0"/>
        <w:tabs>
          <w:tab w:val="clear" w:pos="567"/>
        </w:tabs>
        <w:spacing w:line="240" w:lineRule="auto"/>
        <w:ind w:left="567" w:hanging="567"/>
        <w:rPr>
          <w:b/>
          <w:snapToGrid/>
          <w:szCs w:val="22"/>
          <w:lang w:val="lt-LT" w:eastAsia="sl-SI"/>
        </w:rPr>
      </w:pPr>
      <w:r w:rsidRPr="00923E74">
        <w:rPr>
          <w:b/>
          <w:snapToGrid/>
          <w:szCs w:val="22"/>
          <w:lang w:val="lt-LT" w:eastAsia="sl-SI"/>
        </w:rPr>
        <w:t>10.</w:t>
      </w:r>
      <w:r w:rsidRPr="00923E74">
        <w:rPr>
          <w:b/>
          <w:snapToGrid/>
          <w:szCs w:val="22"/>
          <w:lang w:val="lt-LT" w:eastAsia="sl-SI"/>
        </w:rPr>
        <w:tab/>
        <w:t>TEKSTO PERŽIŪROS DATA</w:t>
      </w:r>
    </w:p>
    <w:p w14:paraId="120BD9A1" w14:textId="77777777" w:rsidR="00381B7D" w:rsidRPr="00923E74" w:rsidRDefault="00381B7D" w:rsidP="007E15ED">
      <w:pPr>
        <w:keepNext/>
        <w:widowControl w:val="0"/>
        <w:tabs>
          <w:tab w:val="clear" w:pos="567"/>
        </w:tabs>
        <w:spacing w:line="240" w:lineRule="auto"/>
        <w:ind w:left="567" w:hanging="567"/>
        <w:rPr>
          <w:snapToGrid/>
          <w:szCs w:val="22"/>
          <w:lang w:val="lt-LT" w:eastAsia="sl-SI"/>
        </w:rPr>
      </w:pPr>
    </w:p>
    <w:p w14:paraId="6BA8BFD1" w14:textId="707CF196" w:rsidR="00381B7D" w:rsidRDefault="00D9392A" w:rsidP="00A31E3A">
      <w:pPr>
        <w:widowControl w:val="0"/>
        <w:tabs>
          <w:tab w:val="clear" w:pos="567"/>
        </w:tabs>
        <w:spacing w:line="240" w:lineRule="auto"/>
        <w:ind w:left="567" w:hanging="567"/>
        <w:rPr>
          <w:b/>
          <w:snapToGrid/>
          <w:szCs w:val="22"/>
          <w:lang w:val="lt-LT" w:eastAsia="sl-SI"/>
        </w:rPr>
      </w:pPr>
      <w:r>
        <w:rPr>
          <w:snapToGrid/>
          <w:szCs w:val="22"/>
          <w:lang w:val="lt-LT" w:eastAsia="sl-SI"/>
        </w:rPr>
        <w:t>202</w:t>
      </w:r>
      <w:r w:rsidR="00E906E9">
        <w:rPr>
          <w:snapToGrid/>
          <w:szCs w:val="22"/>
          <w:lang w:val="lt-LT" w:eastAsia="sl-SI"/>
        </w:rPr>
        <w:t>6</w:t>
      </w:r>
      <w:r>
        <w:rPr>
          <w:snapToGrid/>
          <w:szCs w:val="22"/>
          <w:lang w:val="lt-LT" w:eastAsia="sl-SI"/>
        </w:rPr>
        <w:t xml:space="preserve"> m. </w:t>
      </w:r>
      <w:r w:rsidR="0054203F">
        <w:rPr>
          <w:snapToGrid/>
          <w:szCs w:val="22"/>
          <w:lang w:val="lt-LT" w:eastAsia="sl-SI"/>
        </w:rPr>
        <w:t xml:space="preserve">balandžio </w:t>
      </w:r>
      <w:r w:rsidR="00E906E9">
        <w:rPr>
          <w:snapToGrid/>
          <w:szCs w:val="22"/>
          <w:lang w:val="lt-LT" w:eastAsia="sl-SI"/>
        </w:rPr>
        <w:t>21</w:t>
      </w:r>
      <w:r w:rsidR="0054203F">
        <w:rPr>
          <w:snapToGrid/>
          <w:szCs w:val="22"/>
          <w:lang w:val="lt-LT" w:eastAsia="sl-SI"/>
        </w:rPr>
        <w:t xml:space="preserve"> d.</w:t>
      </w:r>
    </w:p>
    <w:p w14:paraId="43D395F5" w14:textId="77777777" w:rsidR="00F67594" w:rsidRPr="00923E74" w:rsidRDefault="00F67594" w:rsidP="00A31E3A">
      <w:pPr>
        <w:widowControl w:val="0"/>
        <w:tabs>
          <w:tab w:val="clear" w:pos="567"/>
        </w:tabs>
        <w:spacing w:line="240" w:lineRule="auto"/>
        <w:ind w:left="567" w:hanging="567"/>
        <w:rPr>
          <w:b/>
          <w:snapToGrid/>
          <w:szCs w:val="22"/>
          <w:lang w:val="lt-LT" w:eastAsia="sl-SI"/>
        </w:rPr>
      </w:pPr>
    </w:p>
    <w:p w14:paraId="272CBA89" w14:textId="77777777" w:rsidR="00381B7D" w:rsidRPr="00923E74" w:rsidRDefault="00381B7D" w:rsidP="00A31E3A">
      <w:pPr>
        <w:widowControl w:val="0"/>
        <w:tabs>
          <w:tab w:val="clear" w:pos="567"/>
        </w:tabs>
        <w:spacing w:line="240" w:lineRule="auto"/>
        <w:rPr>
          <w:snapToGrid/>
          <w:szCs w:val="22"/>
          <w:lang w:val="lt-LT" w:eastAsia="sl-SI"/>
        </w:rPr>
      </w:pPr>
    </w:p>
    <w:p w14:paraId="79FCEE23" w14:textId="57328A36"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Išsami informacija apie šį vaistinį preparatą pateikiama Valstybinės vaistų kontrolės tarnybos prie Lietuvos Respublikos sveikatos apsaugos ministerijos tinklalapyje</w:t>
      </w:r>
      <w:r w:rsidRPr="00923E74">
        <w:rPr>
          <w:i/>
          <w:snapToGrid/>
          <w:szCs w:val="22"/>
          <w:lang w:val="lt-LT" w:eastAsia="sl-SI"/>
        </w:rPr>
        <w:t xml:space="preserve"> </w:t>
      </w:r>
      <w:r w:rsidR="006B3D47" w:rsidRPr="006B3D47">
        <w:rPr>
          <w:snapToGrid/>
          <w:color w:val="0000EE"/>
          <w:szCs w:val="22"/>
          <w:u w:val="single"/>
          <w:lang w:val="lt-LT"/>
        </w:rPr>
        <w:t>https://vvkt.lrv.lt/lt/</w:t>
      </w:r>
      <w:r w:rsidR="000F220D" w:rsidRPr="00923E74">
        <w:rPr>
          <w:snapToGrid/>
          <w:szCs w:val="22"/>
          <w:lang w:val="lt-LT" w:eastAsia="sl-SI"/>
        </w:rPr>
        <w:t>.</w:t>
      </w:r>
    </w:p>
    <w:p w14:paraId="7748A2C8" w14:textId="77777777" w:rsidR="00381B7D" w:rsidRPr="00923E74" w:rsidRDefault="00381B7D" w:rsidP="00A31E3A">
      <w:pPr>
        <w:widowControl w:val="0"/>
        <w:tabs>
          <w:tab w:val="clear" w:pos="567"/>
        </w:tabs>
        <w:spacing w:line="240" w:lineRule="auto"/>
        <w:jc w:val="center"/>
        <w:rPr>
          <w:snapToGrid/>
          <w:szCs w:val="22"/>
          <w:lang w:val="lt-LT" w:eastAsia="sl-SI"/>
        </w:rPr>
      </w:pPr>
      <w:r w:rsidRPr="00923E74">
        <w:rPr>
          <w:snapToGrid/>
          <w:szCs w:val="22"/>
          <w:lang w:val="lt-LT" w:eastAsia="sl-SI"/>
        </w:rPr>
        <w:br w:type="page"/>
      </w:r>
    </w:p>
    <w:p w14:paraId="3899CC6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F43DEC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9C6D4E1"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BE1B25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C83EEC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1C6C1818"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9E5156D"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473E617" w14:textId="77777777" w:rsidR="00381B7D" w:rsidRPr="00923E74" w:rsidRDefault="00381B7D" w:rsidP="00A31E3A">
      <w:pPr>
        <w:widowControl w:val="0"/>
        <w:tabs>
          <w:tab w:val="clear" w:pos="567"/>
        </w:tabs>
        <w:spacing w:line="240" w:lineRule="auto"/>
        <w:jc w:val="center"/>
        <w:rPr>
          <w:snapToGrid/>
          <w:szCs w:val="22"/>
          <w:lang w:val="lt-LT" w:eastAsia="sl-SI"/>
        </w:rPr>
      </w:pPr>
    </w:p>
    <w:p w14:paraId="4D4EE4FC" w14:textId="77777777" w:rsidR="00381B7D" w:rsidRPr="00923E74" w:rsidRDefault="00381B7D" w:rsidP="00A31E3A">
      <w:pPr>
        <w:widowControl w:val="0"/>
        <w:tabs>
          <w:tab w:val="clear" w:pos="567"/>
        </w:tabs>
        <w:spacing w:line="240" w:lineRule="auto"/>
        <w:jc w:val="center"/>
        <w:rPr>
          <w:snapToGrid/>
          <w:szCs w:val="22"/>
          <w:lang w:val="lt-LT" w:eastAsia="sl-SI"/>
        </w:rPr>
      </w:pPr>
    </w:p>
    <w:p w14:paraId="66B36F3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CBE5864"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D51ABC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4137B4A7" w14:textId="77777777" w:rsidR="00381B7D" w:rsidRPr="00923E74" w:rsidRDefault="00381B7D" w:rsidP="00A31E3A">
      <w:pPr>
        <w:widowControl w:val="0"/>
        <w:tabs>
          <w:tab w:val="clear" w:pos="567"/>
        </w:tabs>
        <w:spacing w:line="240" w:lineRule="auto"/>
        <w:jc w:val="center"/>
        <w:rPr>
          <w:snapToGrid/>
          <w:szCs w:val="22"/>
          <w:lang w:val="lt-LT" w:eastAsia="sl-SI"/>
        </w:rPr>
      </w:pPr>
    </w:p>
    <w:p w14:paraId="111A4FE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3977ED3E" w14:textId="77777777" w:rsidR="00381B7D" w:rsidRPr="00923E74" w:rsidRDefault="00381B7D" w:rsidP="00A31E3A">
      <w:pPr>
        <w:widowControl w:val="0"/>
        <w:tabs>
          <w:tab w:val="clear" w:pos="567"/>
        </w:tabs>
        <w:spacing w:line="240" w:lineRule="auto"/>
        <w:jc w:val="center"/>
        <w:rPr>
          <w:snapToGrid/>
          <w:szCs w:val="22"/>
          <w:lang w:val="lt-LT" w:eastAsia="sl-SI"/>
        </w:rPr>
      </w:pPr>
    </w:p>
    <w:p w14:paraId="48D53053" w14:textId="77777777" w:rsidR="00381B7D" w:rsidRPr="00923E74" w:rsidRDefault="00381B7D" w:rsidP="00A31E3A">
      <w:pPr>
        <w:widowControl w:val="0"/>
        <w:tabs>
          <w:tab w:val="clear" w:pos="567"/>
        </w:tabs>
        <w:spacing w:line="240" w:lineRule="auto"/>
        <w:jc w:val="center"/>
        <w:rPr>
          <w:snapToGrid/>
          <w:szCs w:val="22"/>
          <w:lang w:val="lt-LT" w:eastAsia="sl-SI"/>
        </w:rPr>
      </w:pPr>
    </w:p>
    <w:p w14:paraId="35ABC0F6" w14:textId="77777777" w:rsidR="00381B7D" w:rsidRPr="00923E74" w:rsidRDefault="00381B7D" w:rsidP="00A31E3A">
      <w:pPr>
        <w:widowControl w:val="0"/>
        <w:tabs>
          <w:tab w:val="clear" w:pos="567"/>
        </w:tabs>
        <w:spacing w:line="240" w:lineRule="auto"/>
        <w:jc w:val="center"/>
        <w:rPr>
          <w:snapToGrid/>
          <w:szCs w:val="22"/>
          <w:lang w:val="lt-LT" w:eastAsia="sl-SI"/>
        </w:rPr>
      </w:pPr>
    </w:p>
    <w:p w14:paraId="19166AEC"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C109324" w14:textId="77777777" w:rsidR="00381B7D" w:rsidRPr="00923E74" w:rsidRDefault="00381B7D" w:rsidP="00A31E3A">
      <w:pPr>
        <w:widowControl w:val="0"/>
        <w:tabs>
          <w:tab w:val="clear" w:pos="567"/>
        </w:tabs>
        <w:spacing w:line="240" w:lineRule="auto"/>
        <w:jc w:val="center"/>
        <w:rPr>
          <w:snapToGrid/>
          <w:szCs w:val="22"/>
          <w:lang w:val="lt-LT" w:eastAsia="sl-SI"/>
        </w:rPr>
      </w:pPr>
    </w:p>
    <w:p w14:paraId="72E9706A" w14:textId="77777777" w:rsidR="00381B7D" w:rsidRPr="00923E74" w:rsidRDefault="00381B7D" w:rsidP="00A31E3A">
      <w:pPr>
        <w:widowControl w:val="0"/>
        <w:tabs>
          <w:tab w:val="clear" w:pos="567"/>
        </w:tabs>
        <w:spacing w:line="240" w:lineRule="auto"/>
        <w:jc w:val="center"/>
        <w:rPr>
          <w:snapToGrid/>
          <w:szCs w:val="22"/>
          <w:lang w:val="lt-LT" w:eastAsia="sl-SI"/>
        </w:rPr>
      </w:pPr>
    </w:p>
    <w:p w14:paraId="008A9663" w14:textId="77777777" w:rsidR="00381B7D" w:rsidRPr="00923E74" w:rsidRDefault="00381B7D" w:rsidP="00A31E3A">
      <w:pPr>
        <w:widowControl w:val="0"/>
        <w:tabs>
          <w:tab w:val="clear" w:pos="567"/>
        </w:tabs>
        <w:spacing w:line="240" w:lineRule="auto"/>
        <w:jc w:val="center"/>
        <w:rPr>
          <w:snapToGrid/>
          <w:szCs w:val="22"/>
          <w:lang w:val="lt-LT" w:eastAsia="sl-SI"/>
        </w:rPr>
      </w:pPr>
    </w:p>
    <w:p w14:paraId="5FB7FB73" w14:textId="77777777" w:rsidR="00381B7D" w:rsidRPr="00923E74" w:rsidRDefault="00381B7D" w:rsidP="00A31E3A">
      <w:pPr>
        <w:widowControl w:val="0"/>
        <w:tabs>
          <w:tab w:val="clear" w:pos="567"/>
        </w:tabs>
        <w:spacing w:line="240" w:lineRule="auto"/>
        <w:jc w:val="center"/>
        <w:rPr>
          <w:snapToGrid/>
          <w:szCs w:val="22"/>
          <w:lang w:val="lt-LT" w:eastAsia="sl-SI"/>
        </w:rPr>
      </w:pPr>
    </w:p>
    <w:p w14:paraId="3036606B" w14:textId="09F0A8C3" w:rsidR="00381B7D" w:rsidRPr="00923E74" w:rsidRDefault="00381B7D" w:rsidP="007E15ED">
      <w:pPr>
        <w:keepNext/>
        <w:widowControl w:val="0"/>
        <w:spacing w:line="240" w:lineRule="auto"/>
        <w:ind w:left="567" w:hanging="567"/>
        <w:jc w:val="center"/>
        <w:outlineLvl w:val="0"/>
        <w:rPr>
          <w:b/>
          <w:caps/>
          <w:snapToGrid/>
          <w:szCs w:val="22"/>
          <w:lang w:val="lt-LT" w:eastAsia="sl-SI"/>
        </w:rPr>
      </w:pPr>
      <w:bookmarkStart w:id="6" w:name="_Toc129243128"/>
      <w:bookmarkStart w:id="7" w:name="_Toc129243253"/>
      <w:r w:rsidRPr="00923E74">
        <w:rPr>
          <w:b/>
          <w:caps/>
          <w:snapToGrid/>
          <w:szCs w:val="22"/>
          <w:lang w:val="lt-LT" w:eastAsia="sl-SI"/>
        </w:rPr>
        <w:t>II</w:t>
      </w:r>
      <w:r w:rsidR="004F6F0A">
        <w:rPr>
          <w:b/>
          <w:caps/>
          <w:snapToGrid/>
          <w:szCs w:val="22"/>
          <w:lang w:val="lt-LT" w:eastAsia="sl-SI"/>
        </w:rPr>
        <w:t> </w:t>
      </w:r>
      <w:r w:rsidRPr="00923E74">
        <w:rPr>
          <w:b/>
          <w:caps/>
          <w:snapToGrid/>
          <w:szCs w:val="22"/>
          <w:lang w:val="lt-LT" w:eastAsia="sl-SI"/>
        </w:rPr>
        <w:t>PRIEDAS</w:t>
      </w:r>
      <w:bookmarkEnd w:id="6"/>
      <w:bookmarkEnd w:id="7"/>
    </w:p>
    <w:p w14:paraId="311DAE8E" w14:textId="77777777" w:rsidR="00381B7D" w:rsidRPr="00923E74" w:rsidRDefault="00381B7D" w:rsidP="007E15ED">
      <w:pPr>
        <w:keepNext/>
        <w:widowControl w:val="0"/>
        <w:spacing w:line="240" w:lineRule="auto"/>
        <w:ind w:left="567" w:hanging="567"/>
        <w:jc w:val="center"/>
        <w:outlineLvl w:val="0"/>
        <w:rPr>
          <w:b/>
          <w:caps/>
          <w:snapToGrid/>
          <w:szCs w:val="22"/>
          <w:lang w:val="lt-LT" w:eastAsia="sl-SI"/>
        </w:rPr>
      </w:pPr>
    </w:p>
    <w:p w14:paraId="5ABE5494" w14:textId="77777777" w:rsidR="00381B7D" w:rsidRPr="00923E74" w:rsidRDefault="00381B7D" w:rsidP="007E15ED">
      <w:pPr>
        <w:keepNext/>
        <w:widowControl w:val="0"/>
        <w:spacing w:line="240" w:lineRule="auto"/>
        <w:ind w:left="567" w:hanging="567"/>
        <w:jc w:val="center"/>
        <w:outlineLvl w:val="0"/>
        <w:rPr>
          <w:b/>
          <w:caps/>
          <w:snapToGrid/>
          <w:szCs w:val="22"/>
          <w:lang w:val="lt-LT" w:eastAsia="sl-SI"/>
        </w:rPr>
      </w:pPr>
      <w:r w:rsidRPr="00923E74">
        <w:rPr>
          <w:b/>
          <w:caps/>
          <w:snapToGrid/>
          <w:szCs w:val="22"/>
          <w:lang w:val="lt-LT" w:eastAsia="sl-SI"/>
        </w:rPr>
        <w:t>RegistracijOS SĄLYGOS</w:t>
      </w:r>
    </w:p>
    <w:p w14:paraId="52BF872F" w14:textId="77777777" w:rsidR="00381B7D" w:rsidRPr="00923E74" w:rsidRDefault="00381B7D" w:rsidP="007E15ED">
      <w:pPr>
        <w:keepNext/>
        <w:widowControl w:val="0"/>
        <w:tabs>
          <w:tab w:val="clear" w:pos="567"/>
        </w:tabs>
        <w:spacing w:line="240" w:lineRule="auto"/>
        <w:rPr>
          <w:snapToGrid/>
          <w:szCs w:val="22"/>
          <w:lang w:val="lt-LT" w:eastAsia="sl-SI"/>
        </w:rPr>
      </w:pPr>
    </w:p>
    <w:p w14:paraId="18B1F29D" w14:textId="0887A6AE" w:rsidR="00381B7D" w:rsidRPr="00923E74" w:rsidRDefault="00381B7D" w:rsidP="00A31E3A">
      <w:pPr>
        <w:widowControl w:val="0"/>
        <w:tabs>
          <w:tab w:val="clear" w:pos="567"/>
          <w:tab w:val="left" w:pos="1701"/>
        </w:tabs>
        <w:spacing w:line="240" w:lineRule="auto"/>
        <w:ind w:left="1701" w:right="567" w:hanging="567"/>
        <w:rPr>
          <w:b/>
          <w:snapToGrid/>
          <w:szCs w:val="22"/>
          <w:lang w:val="lt-LT" w:eastAsia="sl-SI"/>
        </w:rPr>
      </w:pPr>
      <w:r w:rsidRPr="00923E74">
        <w:rPr>
          <w:b/>
          <w:snapToGrid/>
          <w:szCs w:val="22"/>
          <w:lang w:val="lt-LT" w:eastAsia="sl-SI"/>
        </w:rPr>
        <w:t>A.</w:t>
      </w:r>
      <w:r w:rsidRPr="00923E74">
        <w:rPr>
          <w:b/>
          <w:snapToGrid/>
          <w:szCs w:val="22"/>
          <w:lang w:val="lt-LT" w:eastAsia="sl-SI"/>
        </w:rPr>
        <w:tab/>
        <w:t>GAMINTOJAS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 ATSAKINGAS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 UŽ SERIJŲ IŠLEIDIMĄ</w:t>
      </w:r>
    </w:p>
    <w:p w14:paraId="7DB53105" w14:textId="77777777" w:rsidR="00381B7D" w:rsidRPr="00923E74" w:rsidRDefault="00381B7D" w:rsidP="00A31E3A">
      <w:pPr>
        <w:widowControl w:val="0"/>
        <w:tabs>
          <w:tab w:val="clear" w:pos="567"/>
          <w:tab w:val="left" w:pos="1701"/>
        </w:tabs>
        <w:spacing w:line="240" w:lineRule="auto"/>
        <w:ind w:left="567" w:right="567" w:hanging="567"/>
        <w:rPr>
          <w:snapToGrid/>
          <w:szCs w:val="22"/>
          <w:lang w:val="lt-LT" w:eastAsia="sl-SI"/>
        </w:rPr>
      </w:pPr>
    </w:p>
    <w:p w14:paraId="01AF028D" w14:textId="57120FBE" w:rsidR="00381B7D" w:rsidRPr="00923E74" w:rsidRDefault="00381B7D" w:rsidP="007E15ED">
      <w:pPr>
        <w:widowControl w:val="0"/>
        <w:tabs>
          <w:tab w:val="clear" w:pos="567"/>
          <w:tab w:val="left" w:pos="1701"/>
        </w:tabs>
        <w:spacing w:line="240" w:lineRule="auto"/>
        <w:ind w:left="1701" w:right="567" w:hanging="567"/>
        <w:rPr>
          <w:snapToGrid/>
          <w:szCs w:val="22"/>
          <w:highlight w:val="yellow"/>
          <w:lang w:val="lt-LT" w:eastAsia="sl-SI"/>
        </w:rPr>
      </w:pPr>
      <w:r w:rsidRPr="00923E74">
        <w:rPr>
          <w:b/>
          <w:snapToGrid/>
          <w:szCs w:val="22"/>
          <w:lang w:val="lt-LT" w:eastAsia="sl-SI"/>
        </w:rPr>
        <w:t>B.</w:t>
      </w:r>
      <w:r w:rsidRPr="00923E74">
        <w:rPr>
          <w:b/>
          <w:snapToGrid/>
          <w:szCs w:val="22"/>
          <w:lang w:val="lt-LT" w:eastAsia="sl-SI"/>
        </w:rPr>
        <w:tab/>
        <w:t>TIEKIMO IR VARTOJIMO SĄLYGOS AR APRIBOJIMAI</w:t>
      </w:r>
    </w:p>
    <w:p w14:paraId="32017BE4" w14:textId="34F55BFA" w:rsidR="00381B7D" w:rsidRPr="00923E74" w:rsidRDefault="00381B7D" w:rsidP="007E15ED">
      <w:pPr>
        <w:keepNext/>
        <w:widowControl w:val="0"/>
        <w:spacing w:line="240" w:lineRule="auto"/>
        <w:ind w:left="567" w:hanging="567"/>
        <w:outlineLvl w:val="1"/>
        <w:rPr>
          <w:b/>
          <w:snapToGrid/>
          <w:szCs w:val="22"/>
          <w:lang w:val="lt-LT" w:eastAsia="sl-SI"/>
        </w:rPr>
      </w:pPr>
      <w:r w:rsidRPr="00923E74">
        <w:rPr>
          <w:b/>
          <w:snapToGrid/>
          <w:szCs w:val="22"/>
          <w:lang w:val="lt-LT" w:eastAsia="sl-SI"/>
        </w:rPr>
        <w:br w:type="page"/>
      </w:r>
      <w:r w:rsidRPr="00923E74">
        <w:rPr>
          <w:b/>
          <w:snapToGrid/>
          <w:szCs w:val="22"/>
          <w:lang w:val="lt-LT" w:eastAsia="sl-SI"/>
        </w:rPr>
        <w:lastRenderedPageBreak/>
        <w:t>A.</w:t>
      </w:r>
      <w:r w:rsidRPr="00923E74">
        <w:rPr>
          <w:b/>
          <w:snapToGrid/>
          <w:szCs w:val="22"/>
          <w:lang w:val="lt-LT" w:eastAsia="sl-SI"/>
        </w:rPr>
        <w:tab/>
        <w:t>GAMINTOJAS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 ATSAKINGAS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 UŽ SERIJŲ IŠLEIDIMĄ</w:t>
      </w:r>
    </w:p>
    <w:p w14:paraId="7DFABB29" w14:textId="77777777" w:rsidR="00381B7D" w:rsidRPr="00923E74" w:rsidRDefault="00381B7D" w:rsidP="007E15ED">
      <w:pPr>
        <w:keepNext/>
        <w:widowControl w:val="0"/>
        <w:tabs>
          <w:tab w:val="clear" w:pos="567"/>
        </w:tabs>
        <w:spacing w:line="240" w:lineRule="auto"/>
        <w:rPr>
          <w:snapToGrid/>
          <w:szCs w:val="22"/>
          <w:highlight w:val="yellow"/>
          <w:lang w:val="lt-LT" w:eastAsia="sl-SI"/>
        </w:rPr>
      </w:pPr>
    </w:p>
    <w:p w14:paraId="16EB02DE" w14:textId="2A2D11AC" w:rsidR="00381B7D" w:rsidRPr="00923E74" w:rsidRDefault="00381B7D" w:rsidP="007E15ED">
      <w:pPr>
        <w:keepNext/>
        <w:widowControl w:val="0"/>
        <w:tabs>
          <w:tab w:val="clear" w:pos="567"/>
        </w:tabs>
        <w:spacing w:line="240" w:lineRule="auto"/>
        <w:rPr>
          <w:snapToGrid/>
          <w:szCs w:val="22"/>
          <w:u w:val="single"/>
          <w:lang w:val="lt-LT" w:eastAsia="sl-SI"/>
        </w:rPr>
      </w:pPr>
      <w:r w:rsidRPr="00923E74">
        <w:rPr>
          <w:snapToGrid/>
          <w:szCs w:val="22"/>
          <w:u w:val="single"/>
          <w:lang w:val="lt-LT" w:eastAsia="sl-SI"/>
        </w:rPr>
        <w:t>Gamintojo</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ų), atsakingo</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ų) už serijų išleidimą, pavadinimas</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ai) ir adresas</w:t>
      </w:r>
      <w:r w:rsidR="004F6F0A">
        <w:rPr>
          <w:snapToGrid/>
          <w:szCs w:val="22"/>
          <w:u w:val="single"/>
          <w:lang w:val="lt-LT" w:eastAsia="sl-SI"/>
        </w:rPr>
        <w:t> </w:t>
      </w:r>
      <w:r w:rsidRPr="00923E74">
        <w:rPr>
          <w:snapToGrid/>
          <w:szCs w:val="22"/>
          <w:u w:val="single"/>
          <w:lang w:val="lt-LT" w:eastAsia="sl-SI"/>
        </w:rPr>
        <w:t>(</w:t>
      </w:r>
      <w:r w:rsidR="004F6F0A">
        <w:rPr>
          <w:snapToGrid/>
          <w:szCs w:val="22"/>
          <w:u w:val="single"/>
          <w:lang w:val="lt-LT" w:eastAsia="sl-SI"/>
        </w:rPr>
        <w:noBreakHyphen/>
      </w:r>
      <w:r w:rsidRPr="00923E74">
        <w:rPr>
          <w:snapToGrid/>
          <w:szCs w:val="22"/>
          <w:u w:val="single"/>
          <w:lang w:val="lt-LT" w:eastAsia="sl-SI"/>
        </w:rPr>
        <w:t>ai)</w:t>
      </w:r>
    </w:p>
    <w:p w14:paraId="50D9B293" w14:textId="77777777" w:rsidR="00381B7D" w:rsidRPr="00923E74" w:rsidRDefault="00381B7D" w:rsidP="007E15ED">
      <w:pPr>
        <w:keepNext/>
        <w:widowControl w:val="0"/>
        <w:tabs>
          <w:tab w:val="clear" w:pos="567"/>
        </w:tabs>
        <w:spacing w:line="240" w:lineRule="auto"/>
        <w:rPr>
          <w:snapToGrid/>
          <w:szCs w:val="22"/>
          <w:lang w:val="lt-LT" w:eastAsia="sl-SI"/>
        </w:rPr>
      </w:pPr>
    </w:p>
    <w:p w14:paraId="4AA48685" w14:textId="14584453" w:rsidR="006D0E50" w:rsidRPr="006D0E50" w:rsidRDefault="006D0E50" w:rsidP="007E15ED">
      <w:pPr>
        <w:keepNext/>
        <w:widowControl w:val="0"/>
        <w:tabs>
          <w:tab w:val="clear" w:pos="567"/>
        </w:tabs>
        <w:spacing w:line="240" w:lineRule="auto"/>
        <w:rPr>
          <w:snapToGrid/>
          <w:szCs w:val="22"/>
          <w:lang w:val="lt-LT" w:eastAsia="sl-SI"/>
        </w:rPr>
      </w:pPr>
      <w:proofErr w:type="spellStart"/>
      <w:r w:rsidRPr="006D0E50">
        <w:rPr>
          <w:snapToGrid/>
          <w:szCs w:val="22"/>
          <w:lang w:val="lt-LT" w:eastAsia="sl-SI"/>
        </w:rPr>
        <w:t>Hennig</w:t>
      </w:r>
      <w:proofErr w:type="spellEnd"/>
      <w:r w:rsidRPr="006D0E50">
        <w:rPr>
          <w:snapToGrid/>
          <w:szCs w:val="22"/>
          <w:lang w:val="lt-LT" w:eastAsia="sl-SI"/>
        </w:rPr>
        <w:t xml:space="preserve"> </w:t>
      </w:r>
      <w:proofErr w:type="spellStart"/>
      <w:r w:rsidRPr="006D0E50">
        <w:rPr>
          <w:snapToGrid/>
          <w:szCs w:val="22"/>
          <w:lang w:val="lt-LT" w:eastAsia="sl-SI"/>
        </w:rPr>
        <w:t>Arzneimittel</w:t>
      </w:r>
      <w:proofErr w:type="spellEnd"/>
      <w:r w:rsidRPr="006D0E50">
        <w:rPr>
          <w:snapToGrid/>
          <w:szCs w:val="22"/>
          <w:lang w:val="lt-LT" w:eastAsia="sl-SI"/>
        </w:rPr>
        <w:t xml:space="preserve"> </w:t>
      </w:r>
      <w:proofErr w:type="spellStart"/>
      <w:r w:rsidRPr="006D0E50">
        <w:rPr>
          <w:snapToGrid/>
          <w:szCs w:val="22"/>
          <w:lang w:val="lt-LT" w:eastAsia="sl-SI"/>
        </w:rPr>
        <w:t>GmbH</w:t>
      </w:r>
      <w:proofErr w:type="spellEnd"/>
      <w:r w:rsidR="004F6F0A">
        <w:rPr>
          <w:snapToGrid/>
          <w:szCs w:val="22"/>
          <w:lang w:val="lt-LT" w:eastAsia="sl-SI"/>
        </w:rPr>
        <w:t> </w:t>
      </w:r>
      <w:r w:rsidRPr="006D0E50">
        <w:rPr>
          <w:snapToGrid/>
          <w:szCs w:val="22"/>
          <w:lang w:val="lt-LT" w:eastAsia="sl-SI"/>
        </w:rPr>
        <w:t>&amp;</w:t>
      </w:r>
      <w:r w:rsidR="004F6F0A">
        <w:rPr>
          <w:snapToGrid/>
          <w:szCs w:val="22"/>
          <w:lang w:val="lt-LT" w:eastAsia="sl-SI"/>
        </w:rPr>
        <w:t> </w:t>
      </w:r>
      <w:proofErr w:type="spellStart"/>
      <w:r w:rsidRPr="006D0E50">
        <w:rPr>
          <w:snapToGrid/>
          <w:szCs w:val="22"/>
          <w:lang w:val="lt-LT" w:eastAsia="sl-SI"/>
        </w:rPr>
        <w:t>Co</w:t>
      </w:r>
      <w:proofErr w:type="spellEnd"/>
      <w:r w:rsidRPr="006D0E50">
        <w:rPr>
          <w:snapToGrid/>
          <w:szCs w:val="22"/>
          <w:lang w:val="lt-LT" w:eastAsia="sl-SI"/>
        </w:rPr>
        <w:t>.</w:t>
      </w:r>
      <w:r w:rsidR="004F6F0A">
        <w:rPr>
          <w:snapToGrid/>
          <w:szCs w:val="22"/>
          <w:lang w:val="lt-LT" w:eastAsia="sl-SI"/>
        </w:rPr>
        <w:t> </w:t>
      </w:r>
      <w:r w:rsidRPr="006D0E50">
        <w:rPr>
          <w:snapToGrid/>
          <w:szCs w:val="22"/>
          <w:lang w:val="lt-LT" w:eastAsia="sl-SI"/>
        </w:rPr>
        <w:t>KG</w:t>
      </w:r>
    </w:p>
    <w:p w14:paraId="24C98358" w14:textId="1FA6FDC9" w:rsidR="006D0E50" w:rsidRPr="006D0E50" w:rsidRDefault="006D0E50" w:rsidP="007E15ED">
      <w:pPr>
        <w:keepNext/>
        <w:widowControl w:val="0"/>
        <w:tabs>
          <w:tab w:val="clear" w:pos="567"/>
        </w:tabs>
        <w:spacing w:line="240" w:lineRule="auto"/>
        <w:rPr>
          <w:snapToGrid/>
          <w:szCs w:val="22"/>
          <w:lang w:val="lt-LT" w:eastAsia="sl-SI"/>
        </w:rPr>
      </w:pPr>
      <w:proofErr w:type="spellStart"/>
      <w:r w:rsidRPr="006D0E50">
        <w:rPr>
          <w:snapToGrid/>
          <w:szCs w:val="22"/>
          <w:lang w:val="lt-LT" w:eastAsia="sl-SI"/>
        </w:rPr>
        <w:t>Liebigstr</w:t>
      </w:r>
      <w:r w:rsidR="00D1793F" w:rsidRPr="00D1793F">
        <w:rPr>
          <w:snapToGrid/>
          <w:szCs w:val="22"/>
          <w:lang w:val="lt-LT" w:eastAsia="sl-SI"/>
        </w:rPr>
        <w:t>a</w:t>
      </w:r>
      <w:r w:rsidR="00D1793F" w:rsidRPr="007A11B7">
        <w:rPr>
          <w:snapToGrid/>
          <w:szCs w:val="22"/>
          <w:lang w:val="lt-LT" w:eastAsia="sl-SI"/>
        </w:rPr>
        <w:t>ße</w:t>
      </w:r>
      <w:proofErr w:type="spellEnd"/>
      <w:r w:rsidR="004F6F0A">
        <w:rPr>
          <w:snapToGrid/>
          <w:szCs w:val="22"/>
          <w:lang w:val="lt-LT" w:eastAsia="sl-SI"/>
        </w:rPr>
        <w:t> </w:t>
      </w:r>
      <w:r w:rsidRPr="006D0E50">
        <w:rPr>
          <w:snapToGrid/>
          <w:szCs w:val="22"/>
          <w:lang w:val="lt-LT" w:eastAsia="sl-SI"/>
        </w:rPr>
        <w:t>1</w:t>
      </w:r>
      <w:r w:rsidR="00D1793F">
        <w:rPr>
          <w:snapToGrid/>
          <w:szCs w:val="22"/>
          <w:lang w:val="lt-LT" w:eastAsia="sl-SI"/>
        </w:rPr>
        <w:t>-</w:t>
      </w:r>
      <w:r w:rsidRPr="006D0E50">
        <w:rPr>
          <w:snapToGrid/>
          <w:szCs w:val="22"/>
          <w:lang w:val="lt-LT" w:eastAsia="sl-SI"/>
        </w:rPr>
        <w:t>2</w:t>
      </w:r>
    </w:p>
    <w:p w14:paraId="61C09771" w14:textId="4EB078CD" w:rsidR="006D0E50" w:rsidRPr="006D0E50" w:rsidRDefault="00D1793F" w:rsidP="007E15ED">
      <w:pPr>
        <w:keepNext/>
        <w:widowControl w:val="0"/>
        <w:tabs>
          <w:tab w:val="clear" w:pos="567"/>
        </w:tabs>
        <w:spacing w:line="240" w:lineRule="auto"/>
        <w:rPr>
          <w:snapToGrid/>
          <w:szCs w:val="22"/>
          <w:lang w:val="lt-LT" w:eastAsia="sl-SI"/>
        </w:rPr>
      </w:pPr>
      <w:r w:rsidRPr="006D0E50">
        <w:rPr>
          <w:snapToGrid/>
          <w:szCs w:val="22"/>
          <w:lang w:val="lt-LT" w:eastAsia="sl-SI"/>
        </w:rPr>
        <w:t>65439</w:t>
      </w:r>
      <w:r>
        <w:rPr>
          <w:snapToGrid/>
          <w:szCs w:val="22"/>
          <w:lang w:val="lt-LT" w:eastAsia="sl-SI"/>
        </w:rPr>
        <w:t xml:space="preserve"> </w:t>
      </w:r>
      <w:proofErr w:type="spellStart"/>
      <w:r w:rsidR="006D0E50" w:rsidRPr="006D0E50">
        <w:rPr>
          <w:snapToGrid/>
          <w:szCs w:val="22"/>
          <w:lang w:val="lt-LT" w:eastAsia="sl-SI"/>
        </w:rPr>
        <w:t>Flörsheim</w:t>
      </w:r>
      <w:proofErr w:type="spellEnd"/>
      <w:r w:rsidR="006D0E50" w:rsidRPr="006D0E50">
        <w:rPr>
          <w:snapToGrid/>
          <w:szCs w:val="22"/>
          <w:lang w:val="lt-LT" w:eastAsia="sl-SI"/>
        </w:rPr>
        <w:t xml:space="preserve"> am </w:t>
      </w:r>
      <w:proofErr w:type="spellStart"/>
      <w:r w:rsidR="006D0E50" w:rsidRPr="006D0E50">
        <w:rPr>
          <w:snapToGrid/>
          <w:szCs w:val="22"/>
          <w:lang w:val="lt-LT" w:eastAsia="sl-SI"/>
        </w:rPr>
        <w:t>Main</w:t>
      </w:r>
      <w:proofErr w:type="spellEnd"/>
    </w:p>
    <w:p w14:paraId="79DAEE11" w14:textId="77777777" w:rsidR="006D0E50" w:rsidRPr="001E32AC" w:rsidRDefault="006D0E50" w:rsidP="006D0E50">
      <w:pPr>
        <w:widowControl w:val="0"/>
        <w:tabs>
          <w:tab w:val="clear" w:pos="567"/>
        </w:tabs>
        <w:spacing w:line="240" w:lineRule="auto"/>
        <w:rPr>
          <w:snapToGrid/>
          <w:szCs w:val="22"/>
          <w:lang w:val="lt-LT" w:eastAsia="sl-SI"/>
        </w:rPr>
      </w:pPr>
      <w:r w:rsidRPr="001E32AC">
        <w:rPr>
          <w:snapToGrid/>
          <w:szCs w:val="22"/>
          <w:lang w:val="lt-LT" w:eastAsia="sl-SI"/>
        </w:rPr>
        <w:t>Vokietija</w:t>
      </w:r>
    </w:p>
    <w:p w14:paraId="5EEBEE4C" w14:textId="77777777" w:rsidR="00381B7D" w:rsidRDefault="00381B7D" w:rsidP="00A31E3A">
      <w:pPr>
        <w:widowControl w:val="0"/>
        <w:tabs>
          <w:tab w:val="clear" w:pos="567"/>
        </w:tabs>
        <w:spacing w:line="240" w:lineRule="auto"/>
        <w:rPr>
          <w:snapToGrid/>
          <w:szCs w:val="22"/>
          <w:highlight w:val="yellow"/>
          <w:lang w:val="lt-LT" w:eastAsia="sl-SI"/>
        </w:rPr>
      </w:pPr>
    </w:p>
    <w:p w14:paraId="24C9963B" w14:textId="77777777" w:rsidR="006B1F79" w:rsidRPr="006B1F79" w:rsidRDefault="006B1F79" w:rsidP="006B1F79">
      <w:pPr>
        <w:widowControl w:val="0"/>
        <w:tabs>
          <w:tab w:val="clear" w:pos="567"/>
        </w:tabs>
        <w:spacing w:line="240" w:lineRule="auto"/>
        <w:rPr>
          <w:snapToGrid/>
          <w:szCs w:val="22"/>
          <w:lang w:val="lt-LT" w:eastAsia="sl-SI"/>
        </w:rPr>
      </w:pPr>
      <w:r w:rsidRPr="006B1F79">
        <w:rPr>
          <w:snapToGrid/>
          <w:szCs w:val="22"/>
          <w:lang w:val="lt-LT" w:eastAsia="sl-SI"/>
        </w:rPr>
        <w:t xml:space="preserve">arba </w:t>
      </w:r>
    </w:p>
    <w:p w14:paraId="64951E43" w14:textId="77777777" w:rsidR="006B1F79" w:rsidRPr="006B1F79" w:rsidRDefault="006B1F79" w:rsidP="006B1F79">
      <w:pPr>
        <w:widowControl w:val="0"/>
        <w:tabs>
          <w:tab w:val="clear" w:pos="567"/>
        </w:tabs>
        <w:spacing w:line="240" w:lineRule="auto"/>
        <w:rPr>
          <w:snapToGrid/>
          <w:szCs w:val="22"/>
          <w:lang w:val="lt-LT" w:eastAsia="sl-SI"/>
        </w:rPr>
      </w:pPr>
    </w:p>
    <w:p w14:paraId="47B6DF75" w14:textId="77777777" w:rsidR="006B1F79" w:rsidRPr="006B1F79" w:rsidRDefault="006B1F79" w:rsidP="006B1F79">
      <w:pPr>
        <w:widowControl w:val="0"/>
        <w:tabs>
          <w:tab w:val="clear" w:pos="567"/>
        </w:tabs>
        <w:spacing w:line="240" w:lineRule="auto"/>
        <w:rPr>
          <w:snapToGrid/>
          <w:szCs w:val="22"/>
          <w:lang w:val="lt-LT" w:eastAsia="sl-SI"/>
        </w:rPr>
      </w:pPr>
      <w:proofErr w:type="spellStart"/>
      <w:r w:rsidRPr="006B1F79">
        <w:rPr>
          <w:snapToGrid/>
          <w:szCs w:val="22"/>
          <w:lang w:val="lt-LT" w:eastAsia="sl-SI"/>
        </w:rPr>
        <w:t>Bluepharma</w:t>
      </w:r>
      <w:proofErr w:type="spellEnd"/>
      <w:r w:rsidRPr="006B1F79">
        <w:rPr>
          <w:snapToGrid/>
          <w:szCs w:val="22"/>
          <w:lang w:val="lt-LT" w:eastAsia="sl-SI"/>
        </w:rPr>
        <w:t xml:space="preserve"> ‐ </w:t>
      </w:r>
      <w:proofErr w:type="spellStart"/>
      <w:r w:rsidRPr="006B1F79">
        <w:rPr>
          <w:snapToGrid/>
          <w:szCs w:val="22"/>
          <w:lang w:val="lt-LT" w:eastAsia="sl-SI"/>
        </w:rPr>
        <w:t>Indústria</w:t>
      </w:r>
      <w:proofErr w:type="spellEnd"/>
      <w:r w:rsidRPr="006B1F79">
        <w:rPr>
          <w:snapToGrid/>
          <w:szCs w:val="22"/>
          <w:lang w:val="lt-LT" w:eastAsia="sl-SI"/>
        </w:rPr>
        <w:t xml:space="preserve"> </w:t>
      </w:r>
      <w:proofErr w:type="spellStart"/>
      <w:r w:rsidRPr="006B1F79">
        <w:rPr>
          <w:snapToGrid/>
          <w:szCs w:val="22"/>
          <w:lang w:val="lt-LT" w:eastAsia="sl-SI"/>
        </w:rPr>
        <w:t>Farmacêutica</w:t>
      </w:r>
      <w:proofErr w:type="spellEnd"/>
      <w:r w:rsidRPr="006B1F79">
        <w:rPr>
          <w:snapToGrid/>
          <w:szCs w:val="22"/>
          <w:lang w:val="lt-LT" w:eastAsia="sl-SI"/>
        </w:rPr>
        <w:t>, S.A.</w:t>
      </w:r>
    </w:p>
    <w:p w14:paraId="4DA773A7" w14:textId="77777777" w:rsidR="006B1F79" w:rsidRPr="006B1F79" w:rsidRDefault="006B1F79" w:rsidP="006B1F79">
      <w:pPr>
        <w:widowControl w:val="0"/>
        <w:tabs>
          <w:tab w:val="clear" w:pos="567"/>
        </w:tabs>
        <w:spacing w:line="240" w:lineRule="auto"/>
        <w:rPr>
          <w:snapToGrid/>
          <w:szCs w:val="22"/>
          <w:lang w:val="lt-LT" w:eastAsia="sl-SI"/>
        </w:rPr>
      </w:pPr>
      <w:proofErr w:type="spellStart"/>
      <w:r w:rsidRPr="006B1F79">
        <w:rPr>
          <w:snapToGrid/>
          <w:szCs w:val="22"/>
          <w:lang w:val="lt-LT" w:eastAsia="sl-SI"/>
        </w:rPr>
        <w:t>Sao</w:t>
      </w:r>
      <w:proofErr w:type="spellEnd"/>
      <w:r w:rsidRPr="006B1F79">
        <w:rPr>
          <w:snapToGrid/>
          <w:szCs w:val="22"/>
          <w:lang w:val="lt-LT" w:eastAsia="sl-SI"/>
        </w:rPr>
        <w:t xml:space="preserve"> </w:t>
      </w:r>
      <w:proofErr w:type="spellStart"/>
      <w:r w:rsidRPr="006B1F79">
        <w:rPr>
          <w:snapToGrid/>
          <w:szCs w:val="22"/>
          <w:lang w:val="lt-LT" w:eastAsia="sl-SI"/>
        </w:rPr>
        <w:t>Martinho</w:t>
      </w:r>
      <w:proofErr w:type="spellEnd"/>
      <w:r w:rsidRPr="006B1F79">
        <w:rPr>
          <w:snapToGrid/>
          <w:szCs w:val="22"/>
          <w:lang w:val="lt-LT" w:eastAsia="sl-SI"/>
        </w:rPr>
        <w:t xml:space="preserve"> </w:t>
      </w:r>
      <w:proofErr w:type="spellStart"/>
      <w:r w:rsidRPr="006B1F79">
        <w:rPr>
          <w:snapToGrid/>
          <w:szCs w:val="22"/>
          <w:lang w:val="lt-LT" w:eastAsia="sl-SI"/>
        </w:rPr>
        <w:t>do</w:t>
      </w:r>
      <w:proofErr w:type="spellEnd"/>
      <w:r w:rsidRPr="006B1F79">
        <w:rPr>
          <w:snapToGrid/>
          <w:szCs w:val="22"/>
          <w:lang w:val="lt-LT" w:eastAsia="sl-SI"/>
        </w:rPr>
        <w:t xml:space="preserve"> </w:t>
      </w:r>
      <w:proofErr w:type="spellStart"/>
      <w:r w:rsidRPr="006B1F79">
        <w:rPr>
          <w:snapToGrid/>
          <w:szCs w:val="22"/>
          <w:lang w:val="lt-LT" w:eastAsia="sl-SI"/>
        </w:rPr>
        <w:t>Bispo</w:t>
      </w:r>
      <w:proofErr w:type="spellEnd"/>
    </w:p>
    <w:p w14:paraId="2C0CB9F1" w14:textId="77777777" w:rsidR="006B1F79" w:rsidRPr="006B1F79" w:rsidRDefault="006B1F79" w:rsidP="006B1F79">
      <w:pPr>
        <w:widowControl w:val="0"/>
        <w:tabs>
          <w:tab w:val="clear" w:pos="567"/>
        </w:tabs>
        <w:spacing w:line="240" w:lineRule="auto"/>
        <w:rPr>
          <w:snapToGrid/>
          <w:szCs w:val="22"/>
          <w:lang w:val="lt-LT" w:eastAsia="sl-SI"/>
        </w:rPr>
      </w:pPr>
      <w:r w:rsidRPr="006B1F79">
        <w:rPr>
          <w:snapToGrid/>
          <w:szCs w:val="22"/>
          <w:lang w:val="lt-LT" w:eastAsia="sl-SI"/>
        </w:rPr>
        <w:t xml:space="preserve">3045‐016 </w:t>
      </w:r>
      <w:proofErr w:type="spellStart"/>
      <w:r w:rsidRPr="006B1F79">
        <w:rPr>
          <w:snapToGrid/>
          <w:szCs w:val="22"/>
          <w:lang w:val="lt-LT" w:eastAsia="sl-SI"/>
        </w:rPr>
        <w:t>Coimbra</w:t>
      </w:r>
      <w:proofErr w:type="spellEnd"/>
    </w:p>
    <w:p w14:paraId="7F461815" w14:textId="77777777" w:rsidR="006B1F79" w:rsidRPr="006B1F79" w:rsidRDefault="006B1F79" w:rsidP="006B1F79">
      <w:pPr>
        <w:widowControl w:val="0"/>
        <w:tabs>
          <w:tab w:val="clear" w:pos="567"/>
        </w:tabs>
        <w:spacing w:line="240" w:lineRule="auto"/>
        <w:rPr>
          <w:snapToGrid/>
          <w:szCs w:val="22"/>
          <w:lang w:val="lt-LT" w:eastAsia="sl-SI"/>
        </w:rPr>
      </w:pPr>
      <w:r w:rsidRPr="006B1F79">
        <w:rPr>
          <w:snapToGrid/>
          <w:szCs w:val="22"/>
          <w:lang w:val="lt-LT" w:eastAsia="sl-SI"/>
        </w:rPr>
        <w:t>Portugalija</w:t>
      </w:r>
    </w:p>
    <w:p w14:paraId="3F16CD0C" w14:textId="77777777" w:rsidR="006B1F79" w:rsidRPr="006B1F79" w:rsidRDefault="006B1F79" w:rsidP="006B1F79">
      <w:pPr>
        <w:widowControl w:val="0"/>
        <w:tabs>
          <w:tab w:val="clear" w:pos="567"/>
        </w:tabs>
        <w:spacing w:line="240" w:lineRule="auto"/>
        <w:rPr>
          <w:snapToGrid/>
          <w:szCs w:val="22"/>
          <w:lang w:val="lt-LT" w:eastAsia="sl-SI"/>
        </w:rPr>
      </w:pPr>
    </w:p>
    <w:p w14:paraId="1C21B7A6" w14:textId="01817521" w:rsidR="00F73E17" w:rsidRDefault="006B1F79" w:rsidP="006B1F79">
      <w:pPr>
        <w:widowControl w:val="0"/>
        <w:tabs>
          <w:tab w:val="clear" w:pos="567"/>
        </w:tabs>
        <w:spacing w:line="240" w:lineRule="auto"/>
        <w:rPr>
          <w:snapToGrid/>
          <w:szCs w:val="22"/>
          <w:lang w:val="lt-LT" w:eastAsia="sl-SI"/>
        </w:rPr>
      </w:pPr>
      <w:r w:rsidRPr="006B1F79">
        <w:rPr>
          <w:snapToGrid/>
          <w:szCs w:val="22"/>
          <w:lang w:val="lt-LT" w:eastAsia="sl-SI"/>
        </w:rPr>
        <w:t>Su pakuote pateikiamame lapelyje nurodomas gamintojo, atsakingo už konkrečios serijos išleidimą, pavadinimas ir adresas.</w:t>
      </w:r>
    </w:p>
    <w:p w14:paraId="5E77172D" w14:textId="2D67726F" w:rsidR="006B1F79" w:rsidRDefault="006B1F79" w:rsidP="006B1F79">
      <w:pPr>
        <w:widowControl w:val="0"/>
        <w:tabs>
          <w:tab w:val="clear" w:pos="567"/>
        </w:tabs>
        <w:spacing w:line="240" w:lineRule="auto"/>
        <w:rPr>
          <w:snapToGrid/>
          <w:szCs w:val="22"/>
          <w:lang w:val="lt-LT" w:eastAsia="sl-SI"/>
        </w:rPr>
      </w:pPr>
    </w:p>
    <w:p w14:paraId="749DC6B1" w14:textId="77777777" w:rsidR="006B1F79" w:rsidRPr="00923E74" w:rsidRDefault="006B1F79" w:rsidP="006B1F79">
      <w:pPr>
        <w:widowControl w:val="0"/>
        <w:tabs>
          <w:tab w:val="clear" w:pos="567"/>
        </w:tabs>
        <w:spacing w:line="240" w:lineRule="auto"/>
        <w:rPr>
          <w:snapToGrid/>
          <w:szCs w:val="22"/>
          <w:highlight w:val="yellow"/>
          <w:lang w:val="lt-LT" w:eastAsia="sl-SI"/>
        </w:rPr>
      </w:pPr>
    </w:p>
    <w:p w14:paraId="548F0D35" w14:textId="77777777" w:rsidR="00381B7D" w:rsidRPr="00923E74" w:rsidRDefault="00381B7D" w:rsidP="007E15ED">
      <w:pPr>
        <w:keepNext/>
        <w:widowControl w:val="0"/>
        <w:spacing w:line="240" w:lineRule="auto"/>
        <w:ind w:left="567" w:hanging="567"/>
        <w:outlineLvl w:val="1"/>
        <w:rPr>
          <w:b/>
          <w:snapToGrid/>
          <w:kern w:val="28"/>
          <w:szCs w:val="22"/>
          <w:lang w:val="lt-LT" w:eastAsia="sl-SI"/>
        </w:rPr>
      </w:pPr>
      <w:bookmarkStart w:id="8" w:name="_Toc129243129"/>
      <w:bookmarkStart w:id="9" w:name="_Toc129243254"/>
      <w:bookmarkStart w:id="10" w:name="_Toc129243130"/>
      <w:bookmarkStart w:id="11" w:name="_Toc129243255"/>
      <w:r w:rsidRPr="00923E74">
        <w:rPr>
          <w:b/>
          <w:snapToGrid/>
          <w:szCs w:val="22"/>
          <w:lang w:val="lt-LT" w:eastAsia="sl-SI"/>
        </w:rPr>
        <w:t>B.</w:t>
      </w:r>
      <w:r w:rsidRPr="00923E74">
        <w:rPr>
          <w:b/>
          <w:snapToGrid/>
          <w:szCs w:val="22"/>
          <w:lang w:val="lt-LT" w:eastAsia="sl-SI"/>
        </w:rPr>
        <w:tab/>
        <w:t>TIEKIMO IR VARTOJIMO SĄLYGOS AR APRIBOJIMAI</w:t>
      </w:r>
      <w:bookmarkEnd w:id="8"/>
      <w:bookmarkEnd w:id="9"/>
      <w:bookmarkEnd w:id="10"/>
      <w:bookmarkEnd w:id="11"/>
    </w:p>
    <w:p w14:paraId="0EFA830C" w14:textId="77777777" w:rsidR="00381B7D" w:rsidRPr="00923E74" w:rsidRDefault="00381B7D" w:rsidP="007E15ED">
      <w:pPr>
        <w:keepNext/>
        <w:widowControl w:val="0"/>
        <w:tabs>
          <w:tab w:val="clear" w:pos="567"/>
        </w:tabs>
        <w:spacing w:line="240" w:lineRule="auto"/>
        <w:rPr>
          <w:snapToGrid/>
          <w:szCs w:val="22"/>
          <w:lang w:val="lt-LT" w:eastAsia="sl-SI"/>
        </w:rPr>
      </w:pPr>
    </w:p>
    <w:p w14:paraId="3B822034"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Receptinis vaistinis preparatas.</w:t>
      </w:r>
    </w:p>
    <w:p w14:paraId="0A1A3140"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br w:type="page"/>
      </w:r>
    </w:p>
    <w:p w14:paraId="29E02D3B" w14:textId="77777777" w:rsidR="00381B7D" w:rsidRPr="00923E74" w:rsidRDefault="00381B7D" w:rsidP="00A31E3A">
      <w:pPr>
        <w:widowControl w:val="0"/>
        <w:tabs>
          <w:tab w:val="clear" w:pos="567"/>
        </w:tabs>
        <w:spacing w:line="240" w:lineRule="auto"/>
        <w:rPr>
          <w:snapToGrid/>
          <w:szCs w:val="22"/>
          <w:lang w:val="lt-LT" w:eastAsia="sl-SI"/>
        </w:rPr>
      </w:pPr>
    </w:p>
    <w:p w14:paraId="18340721" w14:textId="77777777" w:rsidR="00381B7D" w:rsidRPr="00923E74" w:rsidRDefault="00381B7D" w:rsidP="00A31E3A">
      <w:pPr>
        <w:widowControl w:val="0"/>
        <w:tabs>
          <w:tab w:val="clear" w:pos="567"/>
        </w:tabs>
        <w:spacing w:line="240" w:lineRule="auto"/>
        <w:rPr>
          <w:snapToGrid/>
          <w:szCs w:val="22"/>
          <w:lang w:val="lt-LT" w:eastAsia="sl-SI"/>
        </w:rPr>
      </w:pPr>
    </w:p>
    <w:p w14:paraId="1F023689" w14:textId="77777777" w:rsidR="00381B7D" w:rsidRPr="00923E74" w:rsidRDefault="00381B7D" w:rsidP="00A31E3A">
      <w:pPr>
        <w:widowControl w:val="0"/>
        <w:tabs>
          <w:tab w:val="clear" w:pos="567"/>
        </w:tabs>
        <w:spacing w:line="240" w:lineRule="auto"/>
        <w:rPr>
          <w:snapToGrid/>
          <w:szCs w:val="22"/>
          <w:lang w:val="lt-LT" w:eastAsia="sl-SI"/>
        </w:rPr>
      </w:pPr>
    </w:p>
    <w:p w14:paraId="32F2EC6E" w14:textId="77777777" w:rsidR="00381B7D" w:rsidRPr="00923E74" w:rsidRDefault="00381B7D" w:rsidP="00A31E3A">
      <w:pPr>
        <w:widowControl w:val="0"/>
        <w:tabs>
          <w:tab w:val="clear" w:pos="567"/>
        </w:tabs>
        <w:spacing w:line="240" w:lineRule="auto"/>
        <w:rPr>
          <w:snapToGrid/>
          <w:szCs w:val="22"/>
          <w:lang w:val="lt-LT" w:eastAsia="sl-SI"/>
        </w:rPr>
      </w:pPr>
    </w:p>
    <w:p w14:paraId="2C64F674" w14:textId="77777777" w:rsidR="00381B7D" w:rsidRPr="00923E74" w:rsidRDefault="00381B7D" w:rsidP="00A31E3A">
      <w:pPr>
        <w:widowControl w:val="0"/>
        <w:tabs>
          <w:tab w:val="clear" w:pos="567"/>
        </w:tabs>
        <w:spacing w:line="240" w:lineRule="auto"/>
        <w:rPr>
          <w:snapToGrid/>
          <w:szCs w:val="22"/>
          <w:lang w:val="lt-LT" w:eastAsia="sl-SI"/>
        </w:rPr>
      </w:pPr>
    </w:p>
    <w:p w14:paraId="384F8659" w14:textId="77777777" w:rsidR="00381B7D" w:rsidRPr="00923E74" w:rsidRDefault="00381B7D" w:rsidP="00A31E3A">
      <w:pPr>
        <w:widowControl w:val="0"/>
        <w:tabs>
          <w:tab w:val="clear" w:pos="567"/>
        </w:tabs>
        <w:spacing w:line="240" w:lineRule="auto"/>
        <w:rPr>
          <w:snapToGrid/>
          <w:szCs w:val="22"/>
          <w:lang w:val="lt-LT" w:eastAsia="sl-SI"/>
        </w:rPr>
      </w:pPr>
    </w:p>
    <w:p w14:paraId="5DE1E5BD" w14:textId="77777777" w:rsidR="00381B7D" w:rsidRPr="00923E74" w:rsidRDefault="00381B7D" w:rsidP="00A31E3A">
      <w:pPr>
        <w:widowControl w:val="0"/>
        <w:tabs>
          <w:tab w:val="clear" w:pos="567"/>
        </w:tabs>
        <w:spacing w:line="240" w:lineRule="auto"/>
        <w:rPr>
          <w:snapToGrid/>
          <w:szCs w:val="22"/>
          <w:lang w:val="lt-LT" w:eastAsia="sl-SI"/>
        </w:rPr>
      </w:pPr>
    </w:p>
    <w:p w14:paraId="3E376298" w14:textId="77777777" w:rsidR="00381B7D" w:rsidRPr="00923E74" w:rsidRDefault="00381B7D" w:rsidP="00A31E3A">
      <w:pPr>
        <w:widowControl w:val="0"/>
        <w:tabs>
          <w:tab w:val="clear" w:pos="567"/>
        </w:tabs>
        <w:spacing w:line="240" w:lineRule="auto"/>
        <w:rPr>
          <w:snapToGrid/>
          <w:szCs w:val="22"/>
          <w:lang w:val="lt-LT" w:eastAsia="sl-SI"/>
        </w:rPr>
      </w:pPr>
    </w:p>
    <w:p w14:paraId="6DCE4060" w14:textId="77777777" w:rsidR="00381B7D" w:rsidRPr="00923E74" w:rsidRDefault="00381B7D" w:rsidP="00A31E3A">
      <w:pPr>
        <w:widowControl w:val="0"/>
        <w:tabs>
          <w:tab w:val="clear" w:pos="567"/>
        </w:tabs>
        <w:spacing w:line="240" w:lineRule="auto"/>
        <w:rPr>
          <w:snapToGrid/>
          <w:szCs w:val="22"/>
          <w:lang w:val="lt-LT" w:eastAsia="sl-SI"/>
        </w:rPr>
      </w:pPr>
    </w:p>
    <w:p w14:paraId="1C8896F1" w14:textId="77777777" w:rsidR="00381B7D" w:rsidRPr="00923E74" w:rsidRDefault="00381B7D" w:rsidP="00A31E3A">
      <w:pPr>
        <w:widowControl w:val="0"/>
        <w:tabs>
          <w:tab w:val="clear" w:pos="567"/>
        </w:tabs>
        <w:spacing w:line="240" w:lineRule="auto"/>
        <w:rPr>
          <w:snapToGrid/>
          <w:szCs w:val="22"/>
          <w:lang w:val="lt-LT" w:eastAsia="sl-SI"/>
        </w:rPr>
      </w:pPr>
    </w:p>
    <w:p w14:paraId="3F135CF7" w14:textId="77777777" w:rsidR="00381B7D" w:rsidRPr="00923E74" w:rsidRDefault="00381B7D" w:rsidP="00A31E3A">
      <w:pPr>
        <w:widowControl w:val="0"/>
        <w:tabs>
          <w:tab w:val="clear" w:pos="567"/>
        </w:tabs>
        <w:spacing w:line="240" w:lineRule="auto"/>
        <w:rPr>
          <w:snapToGrid/>
          <w:szCs w:val="22"/>
          <w:lang w:val="lt-LT" w:eastAsia="sl-SI"/>
        </w:rPr>
      </w:pPr>
    </w:p>
    <w:p w14:paraId="64E23929" w14:textId="77777777" w:rsidR="00381B7D" w:rsidRPr="00923E74" w:rsidRDefault="00381B7D" w:rsidP="00A31E3A">
      <w:pPr>
        <w:widowControl w:val="0"/>
        <w:tabs>
          <w:tab w:val="clear" w:pos="567"/>
        </w:tabs>
        <w:spacing w:line="240" w:lineRule="auto"/>
        <w:rPr>
          <w:snapToGrid/>
          <w:szCs w:val="22"/>
          <w:lang w:val="lt-LT" w:eastAsia="sl-SI"/>
        </w:rPr>
      </w:pPr>
    </w:p>
    <w:p w14:paraId="55B7B408" w14:textId="77777777" w:rsidR="00381B7D" w:rsidRPr="00923E74" w:rsidRDefault="00381B7D" w:rsidP="00A31E3A">
      <w:pPr>
        <w:widowControl w:val="0"/>
        <w:tabs>
          <w:tab w:val="clear" w:pos="567"/>
        </w:tabs>
        <w:spacing w:line="240" w:lineRule="auto"/>
        <w:rPr>
          <w:snapToGrid/>
          <w:szCs w:val="22"/>
          <w:lang w:val="lt-LT" w:eastAsia="sl-SI"/>
        </w:rPr>
      </w:pPr>
    </w:p>
    <w:p w14:paraId="03828475" w14:textId="77777777" w:rsidR="00381B7D" w:rsidRPr="00923E74" w:rsidRDefault="00381B7D" w:rsidP="00A31E3A">
      <w:pPr>
        <w:widowControl w:val="0"/>
        <w:tabs>
          <w:tab w:val="clear" w:pos="567"/>
        </w:tabs>
        <w:spacing w:line="240" w:lineRule="auto"/>
        <w:rPr>
          <w:snapToGrid/>
          <w:szCs w:val="22"/>
          <w:lang w:val="lt-LT" w:eastAsia="sl-SI"/>
        </w:rPr>
      </w:pPr>
    </w:p>
    <w:p w14:paraId="41201F0C" w14:textId="77777777" w:rsidR="00381B7D" w:rsidRPr="00923E74" w:rsidRDefault="00381B7D" w:rsidP="00A31E3A">
      <w:pPr>
        <w:widowControl w:val="0"/>
        <w:tabs>
          <w:tab w:val="clear" w:pos="567"/>
        </w:tabs>
        <w:spacing w:line="240" w:lineRule="auto"/>
        <w:rPr>
          <w:snapToGrid/>
          <w:szCs w:val="22"/>
          <w:lang w:val="lt-LT" w:eastAsia="sl-SI"/>
        </w:rPr>
      </w:pPr>
    </w:p>
    <w:p w14:paraId="0853DF16" w14:textId="77777777" w:rsidR="00381B7D" w:rsidRPr="00923E74" w:rsidRDefault="00381B7D" w:rsidP="00A31E3A">
      <w:pPr>
        <w:widowControl w:val="0"/>
        <w:tabs>
          <w:tab w:val="clear" w:pos="567"/>
        </w:tabs>
        <w:spacing w:line="240" w:lineRule="auto"/>
        <w:rPr>
          <w:snapToGrid/>
          <w:szCs w:val="22"/>
          <w:lang w:val="lt-LT" w:eastAsia="sl-SI"/>
        </w:rPr>
      </w:pPr>
    </w:p>
    <w:p w14:paraId="14A20CA9" w14:textId="77777777" w:rsidR="00381B7D" w:rsidRPr="00923E74" w:rsidRDefault="00381B7D" w:rsidP="00A31E3A">
      <w:pPr>
        <w:widowControl w:val="0"/>
        <w:tabs>
          <w:tab w:val="clear" w:pos="567"/>
        </w:tabs>
        <w:spacing w:line="240" w:lineRule="auto"/>
        <w:rPr>
          <w:snapToGrid/>
          <w:szCs w:val="22"/>
          <w:lang w:val="lt-LT" w:eastAsia="sl-SI"/>
        </w:rPr>
      </w:pPr>
    </w:p>
    <w:p w14:paraId="27CC75AE" w14:textId="77777777" w:rsidR="00381B7D" w:rsidRPr="00923E74" w:rsidRDefault="00381B7D" w:rsidP="00A31E3A">
      <w:pPr>
        <w:widowControl w:val="0"/>
        <w:tabs>
          <w:tab w:val="clear" w:pos="567"/>
        </w:tabs>
        <w:spacing w:line="240" w:lineRule="auto"/>
        <w:rPr>
          <w:snapToGrid/>
          <w:szCs w:val="22"/>
          <w:lang w:val="lt-LT" w:eastAsia="sl-SI"/>
        </w:rPr>
      </w:pPr>
    </w:p>
    <w:p w14:paraId="69CB5638" w14:textId="77777777" w:rsidR="00381B7D" w:rsidRPr="00923E74" w:rsidRDefault="00381B7D" w:rsidP="00A31E3A">
      <w:pPr>
        <w:widowControl w:val="0"/>
        <w:tabs>
          <w:tab w:val="clear" w:pos="567"/>
        </w:tabs>
        <w:spacing w:line="240" w:lineRule="auto"/>
        <w:rPr>
          <w:snapToGrid/>
          <w:szCs w:val="22"/>
          <w:lang w:val="lt-LT" w:eastAsia="sl-SI"/>
        </w:rPr>
      </w:pPr>
    </w:p>
    <w:p w14:paraId="38B7A385" w14:textId="77777777" w:rsidR="00381B7D" w:rsidRPr="00923E74" w:rsidRDefault="00381B7D" w:rsidP="00A31E3A">
      <w:pPr>
        <w:widowControl w:val="0"/>
        <w:tabs>
          <w:tab w:val="clear" w:pos="567"/>
        </w:tabs>
        <w:spacing w:line="240" w:lineRule="auto"/>
        <w:rPr>
          <w:snapToGrid/>
          <w:szCs w:val="22"/>
          <w:lang w:val="lt-LT" w:eastAsia="sl-SI"/>
        </w:rPr>
      </w:pPr>
    </w:p>
    <w:p w14:paraId="780904D9" w14:textId="77777777" w:rsidR="00381B7D" w:rsidRPr="00923E74" w:rsidRDefault="00381B7D" w:rsidP="00A31E3A">
      <w:pPr>
        <w:widowControl w:val="0"/>
        <w:tabs>
          <w:tab w:val="clear" w:pos="567"/>
        </w:tabs>
        <w:spacing w:line="240" w:lineRule="auto"/>
        <w:rPr>
          <w:snapToGrid/>
          <w:szCs w:val="22"/>
          <w:lang w:val="lt-LT" w:eastAsia="sl-SI"/>
        </w:rPr>
      </w:pPr>
    </w:p>
    <w:p w14:paraId="0D0BE961" w14:textId="77777777" w:rsidR="00381B7D" w:rsidRPr="00923E74" w:rsidRDefault="00381B7D" w:rsidP="00A31E3A">
      <w:pPr>
        <w:widowControl w:val="0"/>
        <w:tabs>
          <w:tab w:val="clear" w:pos="567"/>
        </w:tabs>
        <w:spacing w:line="240" w:lineRule="auto"/>
        <w:rPr>
          <w:snapToGrid/>
          <w:szCs w:val="22"/>
          <w:lang w:val="lt-LT" w:eastAsia="sl-SI"/>
        </w:rPr>
      </w:pPr>
    </w:p>
    <w:p w14:paraId="1D04DB1F" w14:textId="2EDAFD0B" w:rsidR="00381B7D" w:rsidRPr="00923E74" w:rsidRDefault="00381B7D" w:rsidP="007E15ED">
      <w:pPr>
        <w:keepNext/>
        <w:widowControl w:val="0"/>
        <w:spacing w:line="240" w:lineRule="auto"/>
        <w:ind w:left="567" w:hanging="567"/>
        <w:jc w:val="center"/>
        <w:outlineLvl w:val="0"/>
        <w:rPr>
          <w:b/>
          <w:caps/>
          <w:snapToGrid/>
          <w:szCs w:val="22"/>
          <w:lang w:val="lt-LT" w:eastAsia="sl-SI"/>
        </w:rPr>
      </w:pPr>
      <w:bookmarkStart w:id="12" w:name="_Toc129243134"/>
      <w:bookmarkStart w:id="13" w:name="_Toc129243259"/>
      <w:r w:rsidRPr="00923E74">
        <w:rPr>
          <w:b/>
          <w:caps/>
          <w:snapToGrid/>
          <w:szCs w:val="22"/>
          <w:lang w:val="lt-LT" w:eastAsia="sl-SI"/>
        </w:rPr>
        <w:t>III</w:t>
      </w:r>
      <w:r w:rsidR="004F6F0A">
        <w:rPr>
          <w:b/>
          <w:caps/>
          <w:snapToGrid/>
          <w:szCs w:val="22"/>
          <w:lang w:val="lt-LT" w:eastAsia="sl-SI"/>
        </w:rPr>
        <w:t> </w:t>
      </w:r>
      <w:r w:rsidRPr="00923E74">
        <w:rPr>
          <w:b/>
          <w:caps/>
          <w:snapToGrid/>
          <w:szCs w:val="22"/>
          <w:lang w:val="lt-LT" w:eastAsia="sl-SI"/>
        </w:rPr>
        <w:t>PRIEDAS</w:t>
      </w:r>
      <w:bookmarkEnd w:id="12"/>
      <w:bookmarkEnd w:id="13"/>
    </w:p>
    <w:p w14:paraId="5E570688" w14:textId="77777777" w:rsidR="00381B7D" w:rsidRPr="00923E74" w:rsidRDefault="00381B7D" w:rsidP="007E15ED">
      <w:pPr>
        <w:keepNext/>
        <w:widowControl w:val="0"/>
        <w:tabs>
          <w:tab w:val="clear" w:pos="567"/>
        </w:tabs>
        <w:spacing w:line="240" w:lineRule="auto"/>
        <w:rPr>
          <w:snapToGrid/>
          <w:szCs w:val="22"/>
          <w:lang w:val="lt-LT" w:eastAsia="sl-SI"/>
        </w:rPr>
      </w:pPr>
    </w:p>
    <w:p w14:paraId="4BA27A2E" w14:textId="77777777" w:rsidR="00381B7D" w:rsidRPr="00923E74" w:rsidRDefault="00381B7D" w:rsidP="00A31E3A">
      <w:pPr>
        <w:widowControl w:val="0"/>
        <w:spacing w:line="240" w:lineRule="auto"/>
        <w:ind w:left="567" w:hanging="567"/>
        <w:jc w:val="center"/>
        <w:outlineLvl w:val="0"/>
        <w:rPr>
          <w:b/>
          <w:caps/>
          <w:snapToGrid/>
          <w:szCs w:val="22"/>
          <w:lang w:val="lt-LT" w:eastAsia="sl-SI"/>
        </w:rPr>
      </w:pPr>
      <w:bookmarkStart w:id="14" w:name="_Toc129243135"/>
      <w:bookmarkStart w:id="15" w:name="_Toc129243260"/>
      <w:r w:rsidRPr="00923E74">
        <w:rPr>
          <w:b/>
          <w:caps/>
          <w:snapToGrid/>
          <w:szCs w:val="22"/>
          <w:lang w:val="lt-LT" w:eastAsia="sl-SI"/>
        </w:rPr>
        <w:t>ŽENKLINIMAS IR PAKUOTĖS LAPELIS</w:t>
      </w:r>
      <w:bookmarkEnd w:id="14"/>
      <w:bookmarkEnd w:id="15"/>
    </w:p>
    <w:p w14:paraId="33360A55"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r w:rsidRPr="00923E74">
        <w:rPr>
          <w:snapToGrid/>
          <w:szCs w:val="22"/>
          <w:lang w:val="lt-LT" w:eastAsia="sl-SI"/>
        </w:rPr>
        <w:br w:type="page"/>
      </w:r>
    </w:p>
    <w:p w14:paraId="3B372DA1"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EDE4FA8"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1A2B586"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A1AB930"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0E3F224F"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713E932"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1E5FB5B"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EE8A3E2"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DE3D611"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8981029"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CB0C166"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3F82AFD"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29609F3"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7108612D"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6984FA80"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D8AE3C8"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44513CFB"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7B9D5467"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5DBBF0D9"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0E13915F"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1FBCA981"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23BF71FD" w14:textId="77777777" w:rsidR="00381B7D" w:rsidRPr="00923E74" w:rsidRDefault="00381B7D" w:rsidP="00A31E3A">
      <w:pPr>
        <w:widowControl w:val="0"/>
        <w:tabs>
          <w:tab w:val="clear" w:pos="567"/>
        </w:tabs>
        <w:spacing w:line="240" w:lineRule="auto"/>
        <w:jc w:val="center"/>
        <w:outlineLvl w:val="0"/>
        <w:rPr>
          <w:snapToGrid/>
          <w:szCs w:val="22"/>
          <w:lang w:val="lt-LT" w:eastAsia="sl-SI"/>
        </w:rPr>
      </w:pPr>
    </w:p>
    <w:p w14:paraId="0284AC43" w14:textId="77777777" w:rsidR="00381B7D" w:rsidRPr="00923E74" w:rsidRDefault="00381B7D" w:rsidP="00A31E3A">
      <w:pPr>
        <w:widowControl w:val="0"/>
        <w:spacing w:line="240" w:lineRule="auto"/>
        <w:ind w:left="567" w:hanging="567"/>
        <w:jc w:val="center"/>
        <w:outlineLvl w:val="0"/>
        <w:rPr>
          <w:b/>
          <w:caps/>
          <w:snapToGrid/>
          <w:szCs w:val="22"/>
          <w:lang w:val="lt-LT" w:eastAsia="sl-SI"/>
        </w:rPr>
      </w:pPr>
      <w:r w:rsidRPr="00923E74">
        <w:rPr>
          <w:b/>
          <w:caps/>
          <w:snapToGrid/>
          <w:szCs w:val="22"/>
          <w:lang w:val="lt-LT" w:eastAsia="sl-SI"/>
        </w:rPr>
        <w:t>A. ŽENKLINIMAS</w:t>
      </w:r>
    </w:p>
    <w:p w14:paraId="1586C2E0" w14:textId="222A6A69"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sidRPr="00923E74">
        <w:rPr>
          <w:snapToGrid/>
          <w:szCs w:val="22"/>
          <w:lang w:val="lt-LT" w:eastAsia="sl-SI"/>
        </w:rPr>
        <w:br w:type="page"/>
      </w:r>
      <w:r w:rsidRPr="00923E74">
        <w:rPr>
          <w:b/>
          <w:snapToGrid/>
          <w:szCs w:val="22"/>
          <w:lang w:val="lt-LT" w:eastAsia="sl-SI"/>
        </w:rPr>
        <w:lastRenderedPageBreak/>
        <w:t>INFORMACIJA ANT IŠORINĖS PAKUOTĖS</w:t>
      </w:r>
    </w:p>
    <w:p w14:paraId="6DEED39A"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7E38BF0A"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sidRPr="00923E74">
        <w:rPr>
          <w:b/>
          <w:snapToGrid/>
          <w:szCs w:val="22"/>
          <w:lang w:val="lt-LT" w:eastAsia="sl-SI"/>
        </w:rPr>
        <w:t>KARTONO DĖŽUTĖ</w:t>
      </w:r>
    </w:p>
    <w:p w14:paraId="6205EBD3" w14:textId="77777777" w:rsidR="00381B7D" w:rsidRPr="00923E74" w:rsidRDefault="00381B7D" w:rsidP="007E15ED">
      <w:pPr>
        <w:keepNext/>
        <w:widowControl w:val="0"/>
        <w:tabs>
          <w:tab w:val="clear" w:pos="567"/>
        </w:tabs>
        <w:spacing w:line="240" w:lineRule="auto"/>
        <w:rPr>
          <w:snapToGrid/>
          <w:szCs w:val="22"/>
          <w:lang w:val="lt-LT" w:eastAsia="sl-SI"/>
        </w:rPr>
      </w:pPr>
    </w:p>
    <w:p w14:paraId="1834EDF9" w14:textId="77777777" w:rsidR="00381B7D" w:rsidRPr="00923E74" w:rsidRDefault="00381B7D" w:rsidP="007E15ED">
      <w:pPr>
        <w:keepNext/>
        <w:widowControl w:val="0"/>
        <w:tabs>
          <w:tab w:val="clear" w:pos="567"/>
        </w:tabs>
        <w:spacing w:line="240" w:lineRule="auto"/>
        <w:rPr>
          <w:snapToGrid/>
          <w:szCs w:val="22"/>
          <w:lang w:val="lt-LT" w:eastAsia="sl-SI"/>
        </w:rPr>
      </w:pPr>
    </w:p>
    <w:p w14:paraId="419A27A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w:t>
      </w:r>
      <w:r w:rsidRPr="00923E74">
        <w:rPr>
          <w:b/>
          <w:snapToGrid/>
          <w:szCs w:val="22"/>
          <w:lang w:val="lt-LT" w:eastAsia="sl-SI"/>
        </w:rPr>
        <w:tab/>
        <w:t>VAISTINIO PREPARATO PAVADINIMAS</w:t>
      </w:r>
    </w:p>
    <w:p w14:paraId="51EFDC00" w14:textId="77777777" w:rsidR="00381B7D" w:rsidRPr="00923E74" w:rsidRDefault="00381B7D" w:rsidP="007E15ED">
      <w:pPr>
        <w:keepNext/>
        <w:widowControl w:val="0"/>
        <w:tabs>
          <w:tab w:val="clear" w:pos="567"/>
        </w:tabs>
        <w:spacing w:line="240" w:lineRule="auto"/>
        <w:rPr>
          <w:snapToGrid/>
          <w:szCs w:val="22"/>
          <w:lang w:val="lt-LT" w:eastAsia="sl-SI"/>
        </w:rPr>
      </w:pPr>
    </w:p>
    <w:p w14:paraId="79D7DDE3" w14:textId="77777777" w:rsidR="00381B7D" w:rsidRDefault="004373BE" w:rsidP="00A31E3A">
      <w:pPr>
        <w:widowControl w:val="0"/>
        <w:spacing w:line="240" w:lineRule="auto"/>
        <w:rPr>
          <w:snapToGrid/>
          <w:szCs w:val="22"/>
          <w:lang w:val="lt-LT"/>
        </w:rPr>
      </w:pPr>
      <w:proofErr w:type="spellStart"/>
      <w:r w:rsidRPr="00923E74">
        <w:rPr>
          <w:snapToGrid/>
          <w:szCs w:val="22"/>
          <w:lang w:val="lt-LT" w:eastAsia="sl-SI"/>
        </w:rPr>
        <w:t>Torzelip</w:t>
      </w:r>
      <w:proofErr w:type="spellEnd"/>
      <w:r w:rsidR="00381B7D" w:rsidRPr="00923E74">
        <w:rPr>
          <w:snapToGrid/>
          <w:szCs w:val="22"/>
          <w:lang w:val="lt-LT" w:eastAsia="sl-SI"/>
        </w:rPr>
        <w:t xml:space="preserve"> </w:t>
      </w:r>
      <w:r w:rsidR="00762739" w:rsidRPr="00923E74">
        <w:rPr>
          <w:snapToGrid/>
          <w:szCs w:val="22"/>
          <w:lang w:val="lt-LT"/>
        </w:rPr>
        <w:t>10</w:t>
      </w:r>
      <w:r w:rsidR="00DB52C7" w:rsidRPr="00923E74">
        <w:rPr>
          <w:snapToGrid/>
          <w:szCs w:val="22"/>
          <w:lang w:val="lt-LT"/>
        </w:rPr>
        <w:t> mg</w:t>
      </w:r>
      <w:r w:rsidR="00381B7D" w:rsidRPr="00923E74">
        <w:rPr>
          <w:snapToGrid/>
          <w:szCs w:val="22"/>
          <w:lang w:val="lt-LT"/>
        </w:rPr>
        <w:t>/10</w:t>
      </w:r>
      <w:r w:rsidR="00DB52C7" w:rsidRPr="00923E74">
        <w:rPr>
          <w:snapToGrid/>
          <w:szCs w:val="22"/>
          <w:lang w:val="lt-LT"/>
        </w:rPr>
        <w:t> mg</w:t>
      </w:r>
      <w:r w:rsidR="00381B7D" w:rsidRPr="00923E74">
        <w:rPr>
          <w:snapToGrid/>
          <w:szCs w:val="22"/>
          <w:lang w:val="lt-LT"/>
        </w:rPr>
        <w:t xml:space="preserve"> tabletės</w:t>
      </w:r>
    </w:p>
    <w:p w14:paraId="69685143" w14:textId="77777777" w:rsidR="00405A15" w:rsidRPr="0043375A" w:rsidRDefault="00405A15" w:rsidP="00405A15">
      <w:pPr>
        <w:widowControl w:val="0"/>
        <w:spacing w:line="240" w:lineRule="auto"/>
        <w:rPr>
          <w:snapToGrid/>
          <w:szCs w:val="22"/>
          <w:highlight w:val="lightGray"/>
          <w:lang w:val="lt-LT"/>
        </w:rPr>
      </w:pPr>
      <w:proofErr w:type="spellStart"/>
      <w:r w:rsidRPr="0043375A">
        <w:rPr>
          <w:snapToGrid/>
          <w:szCs w:val="22"/>
          <w:highlight w:val="lightGray"/>
          <w:lang w:val="lt-LT" w:eastAsia="sl-SI"/>
        </w:rPr>
        <w:t>Torzelip</w:t>
      </w:r>
      <w:proofErr w:type="spellEnd"/>
      <w:r w:rsidRPr="0043375A">
        <w:rPr>
          <w:snapToGrid/>
          <w:szCs w:val="22"/>
          <w:highlight w:val="lightGray"/>
          <w:lang w:val="lt-LT" w:eastAsia="sl-SI"/>
        </w:rPr>
        <w:t xml:space="preserve"> </w:t>
      </w:r>
      <w:r w:rsidRPr="0043375A">
        <w:rPr>
          <w:snapToGrid/>
          <w:szCs w:val="22"/>
          <w:highlight w:val="lightGray"/>
          <w:lang w:val="lt-LT"/>
        </w:rPr>
        <w:t>10 mg/20 mg tabletės</w:t>
      </w:r>
    </w:p>
    <w:p w14:paraId="620264A9" w14:textId="77777777" w:rsidR="00405A15" w:rsidRPr="0043375A" w:rsidRDefault="00405A15" w:rsidP="00405A15">
      <w:pPr>
        <w:widowControl w:val="0"/>
        <w:spacing w:line="240" w:lineRule="auto"/>
        <w:rPr>
          <w:snapToGrid/>
          <w:szCs w:val="22"/>
          <w:highlight w:val="lightGray"/>
          <w:lang w:val="lt-LT"/>
        </w:rPr>
      </w:pPr>
      <w:proofErr w:type="spellStart"/>
      <w:r w:rsidRPr="0043375A">
        <w:rPr>
          <w:snapToGrid/>
          <w:szCs w:val="22"/>
          <w:highlight w:val="lightGray"/>
          <w:lang w:val="lt-LT" w:eastAsia="sl-SI"/>
        </w:rPr>
        <w:t>Torzelip</w:t>
      </w:r>
      <w:proofErr w:type="spellEnd"/>
      <w:r w:rsidRPr="0043375A">
        <w:rPr>
          <w:snapToGrid/>
          <w:szCs w:val="22"/>
          <w:highlight w:val="lightGray"/>
          <w:lang w:val="lt-LT" w:eastAsia="sl-SI"/>
        </w:rPr>
        <w:t xml:space="preserve"> </w:t>
      </w:r>
      <w:r w:rsidRPr="0043375A">
        <w:rPr>
          <w:snapToGrid/>
          <w:szCs w:val="22"/>
          <w:highlight w:val="lightGray"/>
          <w:lang w:val="lt-LT"/>
        </w:rPr>
        <w:t>10 mg/40 mg tabletės</w:t>
      </w:r>
    </w:p>
    <w:p w14:paraId="10DC81C3" w14:textId="77777777" w:rsidR="00405A15" w:rsidRPr="0043375A" w:rsidRDefault="00405A15" w:rsidP="00405A15">
      <w:pPr>
        <w:widowControl w:val="0"/>
        <w:spacing w:line="240" w:lineRule="auto"/>
        <w:rPr>
          <w:snapToGrid/>
          <w:szCs w:val="22"/>
          <w:highlight w:val="lightGray"/>
          <w:lang w:val="lt-LT"/>
        </w:rPr>
      </w:pPr>
      <w:proofErr w:type="spellStart"/>
      <w:r w:rsidRPr="0043375A">
        <w:rPr>
          <w:snapToGrid/>
          <w:szCs w:val="22"/>
          <w:highlight w:val="lightGray"/>
          <w:lang w:val="lt-LT" w:eastAsia="sl-SI"/>
        </w:rPr>
        <w:t>Torzelip</w:t>
      </w:r>
      <w:proofErr w:type="spellEnd"/>
      <w:r w:rsidRPr="0043375A">
        <w:rPr>
          <w:snapToGrid/>
          <w:szCs w:val="22"/>
          <w:highlight w:val="lightGray"/>
          <w:lang w:val="lt-LT" w:eastAsia="sl-SI"/>
        </w:rPr>
        <w:t xml:space="preserve"> </w:t>
      </w:r>
      <w:r w:rsidRPr="0043375A">
        <w:rPr>
          <w:snapToGrid/>
          <w:szCs w:val="22"/>
          <w:highlight w:val="lightGray"/>
          <w:lang w:val="lt-LT"/>
        </w:rPr>
        <w:t>10 mg/80 mg tabletės</w:t>
      </w:r>
    </w:p>
    <w:p w14:paraId="766ACB8F" w14:textId="77777777" w:rsidR="00381B7D" w:rsidRPr="00923E74" w:rsidRDefault="00381B7D" w:rsidP="00A31E3A">
      <w:pPr>
        <w:widowControl w:val="0"/>
        <w:spacing w:line="240" w:lineRule="auto"/>
        <w:rPr>
          <w:snapToGrid/>
          <w:szCs w:val="22"/>
          <w:lang w:val="lt-LT"/>
        </w:rPr>
      </w:pPr>
    </w:p>
    <w:p w14:paraId="7A103637" w14:textId="4491E4C6" w:rsidR="00381B7D" w:rsidRPr="0054203F" w:rsidRDefault="00256BE7" w:rsidP="00A31E3A">
      <w:pPr>
        <w:widowControl w:val="0"/>
        <w:tabs>
          <w:tab w:val="clear" w:pos="567"/>
        </w:tabs>
        <w:spacing w:line="240" w:lineRule="auto"/>
        <w:rPr>
          <w:i/>
          <w:iCs/>
          <w:snapToGrid/>
          <w:szCs w:val="22"/>
          <w:lang w:val="lt-LT" w:eastAsia="sl-SI"/>
        </w:rPr>
      </w:pPr>
      <w:proofErr w:type="spellStart"/>
      <w:r w:rsidRPr="0054203F">
        <w:rPr>
          <w:i/>
          <w:iCs/>
          <w:snapToGrid/>
          <w:szCs w:val="22"/>
          <w:lang w:val="lt-LT" w:eastAsia="sl-SI"/>
        </w:rPr>
        <w:t>e</w:t>
      </w:r>
      <w:r w:rsidR="00381B7D" w:rsidRPr="0054203F">
        <w:rPr>
          <w:i/>
          <w:iCs/>
          <w:snapToGrid/>
          <w:szCs w:val="22"/>
          <w:lang w:val="lt-LT" w:eastAsia="sl-SI"/>
        </w:rPr>
        <w:t>zetimib</w:t>
      </w:r>
      <w:r w:rsidR="006D0E50" w:rsidRPr="0054203F">
        <w:rPr>
          <w:i/>
          <w:iCs/>
          <w:snapToGrid/>
          <w:szCs w:val="22"/>
          <w:lang w:val="lt-LT" w:eastAsia="sl-SI"/>
        </w:rPr>
        <w:t>um</w:t>
      </w:r>
      <w:proofErr w:type="spellEnd"/>
      <w:r w:rsidR="00762739" w:rsidRPr="0054203F">
        <w:rPr>
          <w:i/>
          <w:iCs/>
          <w:snapToGrid/>
          <w:szCs w:val="22"/>
          <w:lang w:val="lt-LT" w:eastAsia="sl-SI"/>
        </w:rPr>
        <w:t>/</w:t>
      </w:r>
      <w:proofErr w:type="spellStart"/>
      <w:r w:rsidRPr="0054203F">
        <w:rPr>
          <w:i/>
          <w:iCs/>
          <w:snapToGrid/>
          <w:szCs w:val="22"/>
          <w:lang w:val="lt-LT" w:eastAsia="sl-SI"/>
        </w:rPr>
        <w:t>a</w:t>
      </w:r>
      <w:r w:rsidR="00762739" w:rsidRPr="0054203F">
        <w:rPr>
          <w:i/>
          <w:iCs/>
          <w:snapToGrid/>
          <w:szCs w:val="22"/>
          <w:lang w:val="lt-LT" w:eastAsia="sl-SI"/>
        </w:rPr>
        <w:t>torvastatin</w:t>
      </w:r>
      <w:r w:rsidR="006D0E50" w:rsidRPr="0054203F">
        <w:rPr>
          <w:i/>
          <w:iCs/>
          <w:snapToGrid/>
          <w:szCs w:val="22"/>
          <w:lang w:val="lt-LT" w:eastAsia="sl-SI"/>
        </w:rPr>
        <w:t>um</w:t>
      </w:r>
      <w:proofErr w:type="spellEnd"/>
    </w:p>
    <w:p w14:paraId="5AFCD331" w14:textId="77777777" w:rsidR="00381B7D" w:rsidRPr="00923E74" w:rsidRDefault="00381B7D" w:rsidP="00A31E3A">
      <w:pPr>
        <w:widowControl w:val="0"/>
        <w:tabs>
          <w:tab w:val="clear" w:pos="567"/>
        </w:tabs>
        <w:spacing w:line="240" w:lineRule="auto"/>
        <w:rPr>
          <w:snapToGrid/>
          <w:szCs w:val="22"/>
          <w:lang w:val="lt-LT" w:eastAsia="sl-SI"/>
        </w:rPr>
      </w:pPr>
    </w:p>
    <w:p w14:paraId="303ED857" w14:textId="77777777" w:rsidR="00381B7D" w:rsidRPr="00923E74" w:rsidRDefault="00381B7D" w:rsidP="00A31E3A">
      <w:pPr>
        <w:widowControl w:val="0"/>
        <w:tabs>
          <w:tab w:val="clear" w:pos="567"/>
        </w:tabs>
        <w:spacing w:line="240" w:lineRule="auto"/>
        <w:rPr>
          <w:snapToGrid/>
          <w:szCs w:val="22"/>
          <w:lang w:val="lt-LT" w:eastAsia="sl-SI"/>
        </w:rPr>
      </w:pPr>
    </w:p>
    <w:p w14:paraId="75FE5DC4" w14:textId="43CC5B2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2.</w:t>
      </w:r>
      <w:r w:rsidRPr="00923E74">
        <w:rPr>
          <w:b/>
          <w:snapToGrid/>
          <w:szCs w:val="22"/>
          <w:lang w:val="lt-LT" w:eastAsia="sl-SI"/>
        </w:rPr>
        <w:tab/>
        <w:t>VEIKLIOJI</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IOS) MEDŽIAGA</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OS) IR JOS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Ų) KIEKIS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IAI)</w:t>
      </w:r>
    </w:p>
    <w:p w14:paraId="3A601214" w14:textId="77777777" w:rsidR="00381B7D" w:rsidRPr="00923E74" w:rsidRDefault="00381B7D" w:rsidP="007E15ED">
      <w:pPr>
        <w:keepNext/>
        <w:widowControl w:val="0"/>
        <w:tabs>
          <w:tab w:val="clear" w:pos="567"/>
        </w:tabs>
        <w:spacing w:line="240" w:lineRule="auto"/>
        <w:rPr>
          <w:snapToGrid/>
          <w:szCs w:val="22"/>
          <w:lang w:val="lt-LT" w:eastAsia="sl-SI"/>
        </w:rPr>
      </w:pPr>
    </w:p>
    <w:p w14:paraId="12A25612" w14:textId="11D1B9BE" w:rsidR="00381B7D" w:rsidRDefault="00762739" w:rsidP="00A31E3A">
      <w:pPr>
        <w:widowControl w:val="0"/>
        <w:tabs>
          <w:tab w:val="clear" w:pos="567"/>
        </w:tabs>
        <w:spacing w:line="240" w:lineRule="auto"/>
        <w:rPr>
          <w:snapToGrid/>
          <w:szCs w:val="22"/>
          <w:lang w:val="lt-LT"/>
        </w:rPr>
      </w:pPr>
      <w:r w:rsidRPr="00923E74">
        <w:rPr>
          <w:snapToGrid/>
          <w:szCs w:val="22"/>
          <w:lang w:val="lt-LT"/>
        </w:rPr>
        <w:t>Kiekvienoje</w:t>
      </w:r>
      <w:r w:rsidR="004F6F0A">
        <w:rPr>
          <w:snapToGrid/>
          <w:szCs w:val="22"/>
          <w:lang w:val="lt-LT"/>
        </w:rPr>
        <w:t> </w:t>
      </w:r>
      <w:r w:rsidRPr="00923E74">
        <w:rPr>
          <w:snapToGrid/>
          <w:szCs w:val="22"/>
          <w:lang w:val="lt-LT"/>
        </w:rPr>
        <w:t>tabletėje yra 10</w:t>
      </w:r>
      <w:r w:rsidR="00DB52C7" w:rsidRPr="00923E74">
        <w:rPr>
          <w:snapToGrid/>
          <w:szCs w:val="22"/>
          <w:lang w:val="lt-LT"/>
        </w:rPr>
        <w:t> mg</w:t>
      </w:r>
      <w:r w:rsidRPr="00923E74">
        <w:rPr>
          <w:snapToGrid/>
          <w:szCs w:val="22"/>
          <w:lang w:val="lt-LT"/>
        </w:rPr>
        <w:t xml:space="preserve"> </w:t>
      </w:r>
      <w:proofErr w:type="spellStart"/>
      <w:r w:rsidRPr="00923E74">
        <w:rPr>
          <w:snapToGrid/>
          <w:szCs w:val="22"/>
          <w:lang w:val="lt-LT"/>
        </w:rPr>
        <w:t>ezetimibo</w:t>
      </w:r>
      <w:proofErr w:type="spellEnd"/>
      <w:r w:rsidRPr="00923E74">
        <w:rPr>
          <w:snapToGrid/>
          <w:szCs w:val="22"/>
          <w:lang w:val="lt-LT"/>
        </w:rPr>
        <w:t xml:space="preserve"> ir 10</w:t>
      </w:r>
      <w:r w:rsidR="00DB52C7" w:rsidRPr="00923E74">
        <w:rPr>
          <w:snapToGrid/>
          <w:szCs w:val="22"/>
          <w:lang w:val="lt-LT"/>
        </w:rPr>
        <w:t> mg</w:t>
      </w:r>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w:t>
      </w:r>
      <w:proofErr w:type="spellStart"/>
      <w:r w:rsidRPr="00923E74">
        <w:rPr>
          <w:snapToGrid/>
          <w:szCs w:val="22"/>
          <w:lang w:val="lt-LT"/>
        </w:rPr>
        <w:t>atorvastatino</w:t>
      </w:r>
      <w:proofErr w:type="spellEnd"/>
      <w:r w:rsidRPr="00923E74">
        <w:rPr>
          <w:snapToGrid/>
          <w:szCs w:val="22"/>
          <w:lang w:val="lt-LT"/>
        </w:rPr>
        <w:t xml:space="preserve"> kalcio druskos </w:t>
      </w:r>
      <w:proofErr w:type="spellStart"/>
      <w:r w:rsidRPr="00923E74">
        <w:rPr>
          <w:snapToGrid/>
          <w:szCs w:val="22"/>
          <w:lang w:val="lt-LT"/>
        </w:rPr>
        <w:t>trihidrato</w:t>
      </w:r>
      <w:proofErr w:type="spellEnd"/>
      <w:r w:rsidRPr="00923E74">
        <w:rPr>
          <w:snapToGrid/>
          <w:szCs w:val="22"/>
          <w:lang w:val="lt-LT"/>
        </w:rPr>
        <w:t xml:space="preserve"> pavidalu).</w:t>
      </w:r>
    </w:p>
    <w:p w14:paraId="78CCAAFB" w14:textId="7ACB2CF8" w:rsidR="00405A15" w:rsidRPr="007E15ED" w:rsidRDefault="00405A15" w:rsidP="00A31E3A">
      <w:pPr>
        <w:widowControl w:val="0"/>
        <w:tabs>
          <w:tab w:val="clear" w:pos="567"/>
        </w:tabs>
        <w:spacing w:line="240" w:lineRule="auto"/>
        <w:rPr>
          <w:snapToGrid/>
          <w:szCs w:val="22"/>
          <w:highlight w:val="lightGray"/>
          <w:lang w:val="lt-LT"/>
        </w:rPr>
      </w:pPr>
      <w:r w:rsidRPr="007E15ED">
        <w:rPr>
          <w:snapToGrid/>
          <w:szCs w:val="22"/>
          <w:highlight w:val="lightGray"/>
          <w:lang w:val="lt-LT"/>
        </w:rPr>
        <w:t>Kiekvienoje</w:t>
      </w:r>
      <w:r w:rsidR="004F6F0A">
        <w:rPr>
          <w:snapToGrid/>
          <w:szCs w:val="22"/>
          <w:highlight w:val="lightGray"/>
          <w:lang w:val="lt-LT"/>
        </w:rPr>
        <w:t> </w:t>
      </w:r>
      <w:r w:rsidRPr="007E15ED">
        <w:rPr>
          <w:snapToGrid/>
          <w:szCs w:val="22"/>
          <w:highlight w:val="lightGray"/>
          <w:lang w:val="lt-LT"/>
        </w:rPr>
        <w:t>tabletėje yra 10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ezetimibo</w:t>
      </w:r>
      <w:proofErr w:type="spellEnd"/>
      <w:r w:rsidRPr="007E15ED">
        <w:rPr>
          <w:snapToGrid/>
          <w:szCs w:val="22"/>
          <w:highlight w:val="lightGray"/>
          <w:lang w:val="lt-LT"/>
        </w:rPr>
        <w:t xml:space="preserve"> ir 20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kalcio druskos </w:t>
      </w:r>
      <w:proofErr w:type="spellStart"/>
      <w:r w:rsidRPr="007E15ED">
        <w:rPr>
          <w:snapToGrid/>
          <w:szCs w:val="22"/>
          <w:highlight w:val="lightGray"/>
          <w:lang w:val="lt-LT"/>
        </w:rPr>
        <w:t>trihidrato</w:t>
      </w:r>
      <w:proofErr w:type="spellEnd"/>
      <w:r w:rsidRPr="007E15ED">
        <w:rPr>
          <w:snapToGrid/>
          <w:szCs w:val="22"/>
          <w:highlight w:val="lightGray"/>
          <w:lang w:val="lt-LT"/>
        </w:rPr>
        <w:t xml:space="preserve"> pavidalu).</w:t>
      </w:r>
    </w:p>
    <w:p w14:paraId="5EC85319" w14:textId="7F96FC37" w:rsidR="00405A15" w:rsidRPr="007E15ED" w:rsidRDefault="00405A15" w:rsidP="00A31E3A">
      <w:pPr>
        <w:widowControl w:val="0"/>
        <w:tabs>
          <w:tab w:val="clear" w:pos="567"/>
        </w:tabs>
        <w:spacing w:line="240" w:lineRule="auto"/>
        <w:rPr>
          <w:snapToGrid/>
          <w:szCs w:val="22"/>
          <w:highlight w:val="lightGray"/>
          <w:lang w:val="lt-LT"/>
        </w:rPr>
      </w:pPr>
      <w:r w:rsidRPr="007E15ED">
        <w:rPr>
          <w:snapToGrid/>
          <w:szCs w:val="22"/>
          <w:highlight w:val="lightGray"/>
          <w:lang w:val="lt-LT"/>
        </w:rPr>
        <w:t>Kiekvienoje</w:t>
      </w:r>
      <w:r w:rsidR="004F6F0A">
        <w:rPr>
          <w:snapToGrid/>
          <w:szCs w:val="22"/>
          <w:highlight w:val="lightGray"/>
          <w:lang w:val="lt-LT"/>
        </w:rPr>
        <w:t> </w:t>
      </w:r>
      <w:r w:rsidRPr="007E15ED">
        <w:rPr>
          <w:snapToGrid/>
          <w:szCs w:val="22"/>
          <w:highlight w:val="lightGray"/>
          <w:lang w:val="lt-LT"/>
        </w:rPr>
        <w:t>tabletėje yra 10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ezetimibo</w:t>
      </w:r>
      <w:proofErr w:type="spellEnd"/>
      <w:r w:rsidRPr="007E15ED">
        <w:rPr>
          <w:snapToGrid/>
          <w:szCs w:val="22"/>
          <w:highlight w:val="lightGray"/>
          <w:lang w:val="lt-LT"/>
        </w:rPr>
        <w:t xml:space="preserve"> ir 40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kalcio druskos </w:t>
      </w:r>
      <w:proofErr w:type="spellStart"/>
      <w:r w:rsidRPr="007E15ED">
        <w:rPr>
          <w:snapToGrid/>
          <w:szCs w:val="22"/>
          <w:highlight w:val="lightGray"/>
          <w:lang w:val="lt-LT"/>
        </w:rPr>
        <w:t>trihidrato</w:t>
      </w:r>
      <w:proofErr w:type="spellEnd"/>
      <w:r w:rsidRPr="007E15ED">
        <w:rPr>
          <w:snapToGrid/>
          <w:szCs w:val="22"/>
          <w:highlight w:val="lightGray"/>
          <w:lang w:val="lt-LT"/>
        </w:rPr>
        <w:t xml:space="preserve"> pavidalu).</w:t>
      </w:r>
    </w:p>
    <w:p w14:paraId="4628BFEC" w14:textId="237A42B0" w:rsidR="00405A15" w:rsidRPr="00923E74" w:rsidRDefault="00405A15" w:rsidP="00A31E3A">
      <w:pPr>
        <w:widowControl w:val="0"/>
        <w:tabs>
          <w:tab w:val="clear" w:pos="567"/>
        </w:tabs>
        <w:spacing w:line="240" w:lineRule="auto"/>
        <w:rPr>
          <w:snapToGrid/>
          <w:szCs w:val="22"/>
          <w:lang w:val="lt-LT"/>
        </w:rPr>
      </w:pPr>
      <w:r w:rsidRPr="007E15ED">
        <w:rPr>
          <w:snapToGrid/>
          <w:szCs w:val="22"/>
          <w:highlight w:val="lightGray"/>
          <w:lang w:val="lt-LT"/>
        </w:rPr>
        <w:t>Kiekvienoje</w:t>
      </w:r>
      <w:r w:rsidR="004F6F0A">
        <w:rPr>
          <w:snapToGrid/>
          <w:szCs w:val="22"/>
          <w:highlight w:val="lightGray"/>
          <w:lang w:val="lt-LT"/>
        </w:rPr>
        <w:t> </w:t>
      </w:r>
      <w:r w:rsidRPr="007E15ED">
        <w:rPr>
          <w:snapToGrid/>
          <w:szCs w:val="22"/>
          <w:highlight w:val="lightGray"/>
          <w:lang w:val="lt-LT"/>
        </w:rPr>
        <w:t>tabletėje yra 10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ezetimibo</w:t>
      </w:r>
      <w:proofErr w:type="spellEnd"/>
      <w:r w:rsidRPr="007E15ED">
        <w:rPr>
          <w:snapToGrid/>
          <w:szCs w:val="22"/>
          <w:highlight w:val="lightGray"/>
          <w:lang w:val="lt-LT"/>
        </w:rPr>
        <w:t xml:space="preserve"> ir 80</w:t>
      </w:r>
      <w:r w:rsidR="006A1130" w:rsidRPr="007E15ED">
        <w:rPr>
          <w:snapToGrid/>
          <w:szCs w:val="22"/>
          <w:highlight w:val="lightGray"/>
          <w:lang w:val="lt-LT"/>
        </w:rPr>
        <w:t> </w:t>
      </w:r>
      <w:r w:rsidRPr="007E15ED">
        <w:rPr>
          <w:snapToGrid/>
          <w:szCs w:val="22"/>
          <w:highlight w:val="lightGray"/>
          <w:lang w:val="lt-LT"/>
        </w:rPr>
        <w:t xml:space="preserve">mg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w:t>
      </w:r>
      <w:proofErr w:type="spellStart"/>
      <w:r w:rsidRPr="007E15ED">
        <w:rPr>
          <w:snapToGrid/>
          <w:szCs w:val="22"/>
          <w:highlight w:val="lightGray"/>
          <w:lang w:val="lt-LT"/>
        </w:rPr>
        <w:t>atorvastatino</w:t>
      </w:r>
      <w:proofErr w:type="spellEnd"/>
      <w:r w:rsidRPr="007E15ED">
        <w:rPr>
          <w:snapToGrid/>
          <w:szCs w:val="22"/>
          <w:highlight w:val="lightGray"/>
          <w:lang w:val="lt-LT"/>
        </w:rPr>
        <w:t xml:space="preserve"> kalcio druskos </w:t>
      </w:r>
      <w:proofErr w:type="spellStart"/>
      <w:r w:rsidRPr="007E15ED">
        <w:rPr>
          <w:snapToGrid/>
          <w:szCs w:val="22"/>
          <w:highlight w:val="lightGray"/>
          <w:lang w:val="lt-LT"/>
        </w:rPr>
        <w:t>trihidrato</w:t>
      </w:r>
      <w:proofErr w:type="spellEnd"/>
      <w:r w:rsidRPr="007E15ED">
        <w:rPr>
          <w:snapToGrid/>
          <w:szCs w:val="22"/>
          <w:highlight w:val="lightGray"/>
          <w:lang w:val="lt-LT"/>
        </w:rPr>
        <w:t xml:space="preserve"> pavidalu).</w:t>
      </w:r>
    </w:p>
    <w:p w14:paraId="24579269" w14:textId="77777777" w:rsidR="00762739" w:rsidRPr="00923E74" w:rsidRDefault="00762739" w:rsidP="00A31E3A">
      <w:pPr>
        <w:widowControl w:val="0"/>
        <w:tabs>
          <w:tab w:val="clear" w:pos="567"/>
        </w:tabs>
        <w:spacing w:line="240" w:lineRule="auto"/>
        <w:rPr>
          <w:snapToGrid/>
          <w:szCs w:val="22"/>
          <w:lang w:val="lt-LT" w:eastAsia="sl-SI"/>
        </w:rPr>
      </w:pPr>
    </w:p>
    <w:p w14:paraId="4E98792C" w14:textId="77777777" w:rsidR="00381B7D" w:rsidRPr="00923E74" w:rsidRDefault="00381B7D" w:rsidP="00A31E3A">
      <w:pPr>
        <w:widowControl w:val="0"/>
        <w:tabs>
          <w:tab w:val="clear" w:pos="567"/>
        </w:tabs>
        <w:spacing w:line="240" w:lineRule="auto"/>
        <w:rPr>
          <w:snapToGrid/>
          <w:szCs w:val="22"/>
          <w:lang w:val="lt-LT" w:eastAsia="sl-SI"/>
        </w:rPr>
      </w:pPr>
    </w:p>
    <w:p w14:paraId="4A6D5B3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3.</w:t>
      </w:r>
      <w:r w:rsidRPr="00923E74">
        <w:rPr>
          <w:b/>
          <w:snapToGrid/>
          <w:szCs w:val="22"/>
          <w:lang w:val="lt-LT" w:eastAsia="sl-SI"/>
        </w:rPr>
        <w:tab/>
        <w:t>PAGALBINIŲ MEDŽIAGŲ SĄRAŠAS</w:t>
      </w:r>
    </w:p>
    <w:p w14:paraId="6050F25E" w14:textId="77777777" w:rsidR="00381B7D" w:rsidRPr="00923E74" w:rsidRDefault="00381B7D" w:rsidP="007E15ED">
      <w:pPr>
        <w:keepNext/>
        <w:widowControl w:val="0"/>
        <w:tabs>
          <w:tab w:val="clear" w:pos="567"/>
        </w:tabs>
        <w:spacing w:line="240" w:lineRule="auto"/>
        <w:rPr>
          <w:snapToGrid/>
          <w:szCs w:val="22"/>
          <w:lang w:val="lt-LT" w:eastAsia="sl-SI"/>
        </w:rPr>
      </w:pPr>
    </w:p>
    <w:p w14:paraId="1C6EF27E" w14:textId="2C024816"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Sudėtyje yra laktozės.</w:t>
      </w:r>
    </w:p>
    <w:p w14:paraId="6759864A"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Daugiau informacijos pateikiama pakuotės lapelyje.</w:t>
      </w:r>
    </w:p>
    <w:p w14:paraId="7081BFC3" w14:textId="77777777" w:rsidR="00381B7D" w:rsidRPr="00923E74" w:rsidRDefault="00381B7D" w:rsidP="00A31E3A">
      <w:pPr>
        <w:widowControl w:val="0"/>
        <w:tabs>
          <w:tab w:val="clear" w:pos="567"/>
        </w:tabs>
        <w:spacing w:line="240" w:lineRule="auto"/>
        <w:rPr>
          <w:snapToGrid/>
          <w:szCs w:val="22"/>
          <w:lang w:val="lt-LT" w:eastAsia="sl-SI"/>
        </w:rPr>
      </w:pPr>
    </w:p>
    <w:p w14:paraId="3CA697D9" w14:textId="77777777" w:rsidR="00381B7D" w:rsidRPr="00923E74" w:rsidRDefault="00381B7D" w:rsidP="00A31E3A">
      <w:pPr>
        <w:widowControl w:val="0"/>
        <w:tabs>
          <w:tab w:val="clear" w:pos="567"/>
        </w:tabs>
        <w:spacing w:line="240" w:lineRule="auto"/>
        <w:rPr>
          <w:snapToGrid/>
          <w:szCs w:val="22"/>
          <w:lang w:val="lt-LT" w:eastAsia="sl-SI"/>
        </w:rPr>
      </w:pPr>
    </w:p>
    <w:p w14:paraId="5E1C2AFC"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4.</w:t>
      </w:r>
      <w:r w:rsidRPr="00923E74">
        <w:rPr>
          <w:b/>
          <w:snapToGrid/>
          <w:szCs w:val="22"/>
          <w:lang w:val="lt-LT" w:eastAsia="sl-SI"/>
        </w:rPr>
        <w:tab/>
        <w:t>FARMACINĖ FORMA IR KIEKIS PAKUOTĖJE</w:t>
      </w:r>
    </w:p>
    <w:p w14:paraId="79A9E680" w14:textId="77777777" w:rsidR="00381B7D" w:rsidRPr="00923E74" w:rsidRDefault="00381B7D" w:rsidP="007E15ED">
      <w:pPr>
        <w:keepNext/>
        <w:widowControl w:val="0"/>
        <w:tabs>
          <w:tab w:val="clear" w:pos="567"/>
        </w:tabs>
        <w:spacing w:line="240" w:lineRule="auto"/>
        <w:rPr>
          <w:snapToGrid/>
          <w:szCs w:val="22"/>
          <w:lang w:val="lt-LT" w:eastAsia="sl-SI"/>
        </w:rPr>
      </w:pPr>
    </w:p>
    <w:p w14:paraId="05FCBE5B" w14:textId="6E944AC2" w:rsidR="00381B7D" w:rsidRPr="00923E74" w:rsidRDefault="00762739" w:rsidP="00762739">
      <w:pPr>
        <w:widowControl w:val="0"/>
        <w:tabs>
          <w:tab w:val="clear" w:pos="567"/>
          <w:tab w:val="left" w:pos="2300"/>
        </w:tabs>
        <w:spacing w:line="240" w:lineRule="auto"/>
        <w:rPr>
          <w:snapToGrid/>
          <w:szCs w:val="22"/>
          <w:lang w:val="lt-LT" w:eastAsia="sl-SI"/>
        </w:rPr>
      </w:pPr>
      <w:r w:rsidRPr="00923E74">
        <w:rPr>
          <w:snapToGrid/>
          <w:szCs w:val="22"/>
          <w:lang w:val="lt-LT" w:eastAsia="sl-SI"/>
        </w:rPr>
        <w:t>T</w:t>
      </w:r>
      <w:r w:rsidR="00381B7D" w:rsidRPr="00923E74">
        <w:rPr>
          <w:snapToGrid/>
          <w:szCs w:val="22"/>
          <w:lang w:val="lt-LT" w:eastAsia="sl-SI"/>
        </w:rPr>
        <w:t>abletė</w:t>
      </w:r>
      <w:r w:rsidRPr="00923E74">
        <w:rPr>
          <w:snapToGrid/>
          <w:szCs w:val="22"/>
          <w:lang w:val="lt-LT" w:eastAsia="sl-SI"/>
        </w:rPr>
        <w:t>s</w:t>
      </w:r>
    </w:p>
    <w:p w14:paraId="4C1F544B" w14:textId="77777777" w:rsidR="00381B7D" w:rsidRPr="00923E74" w:rsidRDefault="00381B7D" w:rsidP="00A31E3A">
      <w:pPr>
        <w:widowControl w:val="0"/>
        <w:tabs>
          <w:tab w:val="clear" w:pos="567"/>
        </w:tabs>
        <w:spacing w:line="240" w:lineRule="auto"/>
        <w:rPr>
          <w:snapToGrid/>
          <w:szCs w:val="22"/>
          <w:lang w:val="lt-LT" w:eastAsia="sl-SI"/>
        </w:rPr>
      </w:pPr>
    </w:p>
    <w:p w14:paraId="68F193AA" w14:textId="77777777" w:rsidR="00381B7D" w:rsidRPr="00923E74" w:rsidRDefault="00381B7D" w:rsidP="00A31E3A">
      <w:pPr>
        <w:widowControl w:val="0"/>
        <w:tabs>
          <w:tab w:val="clear" w:pos="567"/>
          <w:tab w:val="left" w:pos="1440"/>
        </w:tabs>
        <w:spacing w:line="240" w:lineRule="auto"/>
        <w:rPr>
          <w:iCs/>
          <w:snapToGrid/>
          <w:szCs w:val="22"/>
          <w:lang w:val="lt-LT"/>
        </w:rPr>
      </w:pPr>
      <w:r w:rsidRPr="00923E74">
        <w:rPr>
          <w:iCs/>
          <w:snapToGrid/>
          <w:szCs w:val="22"/>
          <w:lang w:val="lt-LT"/>
        </w:rPr>
        <w:t>1</w:t>
      </w:r>
      <w:r w:rsidR="00762739" w:rsidRPr="00923E74">
        <w:rPr>
          <w:iCs/>
          <w:snapToGrid/>
          <w:szCs w:val="22"/>
          <w:lang w:val="lt-LT"/>
        </w:rPr>
        <w:t>0</w:t>
      </w:r>
      <w:r w:rsidR="003D4ED0">
        <w:rPr>
          <w:iCs/>
          <w:snapToGrid/>
          <w:szCs w:val="22"/>
          <w:lang w:val="lt-LT"/>
        </w:rPr>
        <w:t> </w:t>
      </w:r>
      <w:r w:rsidRPr="00923E74">
        <w:rPr>
          <w:snapToGrid/>
          <w:szCs w:val="22"/>
          <w:lang w:val="lt-LT" w:eastAsia="sl-SI"/>
        </w:rPr>
        <w:t>tablečių</w:t>
      </w:r>
    </w:p>
    <w:p w14:paraId="16BAD978" w14:textId="77777777" w:rsidR="00381B7D" w:rsidRPr="0043375A" w:rsidRDefault="00381B7D" w:rsidP="00A31E3A">
      <w:pPr>
        <w:widowControl w:val="0"/>
        <w:tabs>
          <w:tab w:val="clear" w:pos="567"/>
        </w:tabs>
        <w:spacing w:line="240" w:lineRule="auto"/>
        <w:rPr>
          <w:iCs/>
          <w:snapToGrid/>
          <w:szCs w:val="22"/>
          <w:highlight w:val="lightGray"/>
          <w:lang w:val="lt-LT"/>
        </w:rPr>
      </w:pPr>
      <w:r w:rsidRPr="0043375A">
        <w:rPr>
          <w:iCs/>
          <w:snapToGrid/>
          <w:szCs w:val="22"/>
          <w:highlight w:val="lightGray"/>
          <w:lang w:val="lt-LT"/>
        </w:rPr>
        <w:t>30</w:t>
      </w:r>
      <w:r w:rsidR="003D4ED0" w:rsidRPr="0043375A">
        <w:rPr>
          <w:iCs/>
          <w:snapToGrid/>
          <w:szCs w:val="22"/>
          <w:highlight w:val="lightGray"/>
          <w:lang w:val="lt-LT"/>
        </w:rPr>
        <w:t> </w:t>
      </w:r>
      <w:r w:rsidRPr="0043375A">
        <w:rPr>
          <w:snapToGrid/>
          <w:szCs w:val="22"/>
          <w:highlight w:val="lightGray"/>
          <w:lang w:val="lt-LT" w:eastAsia="sl-SI"/>
        </w:rPr>
        <w:t>tablečių</w:t>
      </w:r>
    </w:p>
    <w:p w14:paraId="19359BF9" w14:textId="77777777" w:rsidR="00381B7D" w:rsidRPr="0043375A" w:rsidRDefault="00381B7D" w:rsidP="00A31E3A">
      <w:pPr>
        <w:widowControl w:val="0"/>
        <w:tabs>
          <w:tab w:val="clear" w:pos="567"/>
        </w:tabs>
        <w:spacing w:line="240" w:lineRule="auto"/>
        <w:rPr>
          <w:iCs/>
          <w:snapToGrid/>
          <w:szCs w:val="22"/>
          <w:highlight w:val="lightGray"/>
          <w:lang w:val="lt-LT"/>
        </w:rPr>
      </w:pPr>
      <w:r w:rsidRPr="0043375A">
        <w:rPr>
          <w:iCs/>
          <w:snapToGrid/>
          <w:szCs w:val="22"/>
          <w:highlight w:val="lightGray"/>
          <w:lang w:val="lt-LT"/>
        </w:rPr>
        <w:t>90</w:t>
      </w:r>
      <w:r w:rsidR="003D4ED0" w:rsidRPr="0043375A">
        <w:rPr>
          <w:iCs/>
          <w:snapToGrid/>
          <w:szCs w:val="22"/>
          <w:highlight w:val="lightGray"/>
          <w:lang w:val="lt-LT"/>
        </w:rPr>
        <w:t> </w:t>
      </w:r>
      <w:r w:rsidRPr="0043375A">
        <w:rPr>
          <w:snapToGrid/>
          <w:szCs w:val="22"/>
          <w:highlight w:val="lightGray"/>
          <w:lang w:val="lt-LT" w:eastAsia="sl-SI"/>
        </w:rPr>
        <w:t>tablečių</w:t>
      </w:r>
    </w:p>
    <w:p w14:paraId="38AD6EF5" w14:textId="77777777" w:rsidR="00381B7D" w:rsidRPr="00923E74" w:rsidRDefault="009D7115" w:rsidP="00A31E3A">
      <w:pPr>
        <w:widowControl w:val="0"/>
        <w:tabs>
          <w:tab w:val="clear" w:pos="567"/>
        </w:tabs>
        <w:spacing w:line="240" w:lineRule="auto"/>
        <w:rPr>
          <w:iCs/>
          <w:snapToGrid/>
          <w:szCs w:val="22"/>
          <w:lang w:val="lt-LT"/>
        </w:rPr>
      </w:pPr>
      <w:r w:rsidRPr="0043375A">
        <w:rPr>
          <w:iCs/>
          <w:snapToGrid/>
          <w:szCs w:val="22"/>
          <w:highlight w:val="lightGray"/>
          <w:lang w:val="lt-LT"/>
        </w:rPr>
        <w:t>100</w:t>
      </w:r>
      <w:r w:rsidR="003D4ED0" w:rsidRPr="0043375A">
        <w:rPr>
          <w:iCs/>
          <w:snapToGrid/>
          <w:szCs w:val="22"/>
          <w:highlight w:val="lightGray"/>
          <w:lang w:val="lt-LT"/>
        </w:rPr>
        <w:t> </w:t>
      </w:r>
      <w:r w:rsidRPr="0043375A">
        <w:rPr>
          <w:iCs/>
          <w:snapToGrid/>
          <w:szCs w:val="22"/>
          <w:highlight w:val="lightGray"/>
          <w:lang w:val="lt-LT"/>
        </w:rPr>
        <w:t>tablečių</w:t>
      </w:r>
    </w:p>
    <w:p w14:paraId="70867C20" w14:textId="77777777" w:rsidR="00381B7D" w:rsidRPr="00923E74" w:rsidRDefault="00381B7D" w:rsidP="00A31E3A">
      <w:pPr>
        <w:widowControl w:val="0"/>
        <w:tabs>
          <w:tab w:val="clear" w:pos="567"/>
        </w:tabs>
        <w:spacing w:line="240" w:lineRule="auto"/>
        <w:rPr>
          <w:snapToGrid/>
          <w:szCs w:val="22"/>
          <w:lang w:val="lt-LT" w:eastAsia="sl-SI"/>
        </w:rPr>
      </w:pPr>
    </w:p>
    <w:p w14:paraId="7254D0A2" w14:textId="77777777" w:rsidR="00381B7D" w:rsidRPr="00923E74" w:rsidRDefault="00381B7D" w:rsidP="00A31E3A">
      <w:pPr>
        <w:widowControl w:val="0"/>
        <w:tabs>
          <w:tab w:val="clear" w:pos="567"/>
        </w:tabs>
        <w:spacing w:line="240" w:lineRule="auto"/>
        <w:rPr>
          <w:snapToGrid/>
          <w:szCs w:val="22"/>
          <w:lang w:val="lt-LT" w:eastAsia="sl-SI"/>
        </w:rPr>
      </w:pPr>
    </w:p>
    <w:p w14:paraId="3AD4BE2E" w14:textId="20EF6C26"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5.</w:t>
      </w:r>
      <w:r w:rsidRPr="00923E74">
        <w:rPr>
          <w:b/>
          <w:snapToGrid/>
          <w:szCs w:val="22"/>
          <w:lang w:val="lt-LT" w:eastAsia="sl-SI"/>
        </w:rPr>
        <w:tab/>
        <w:t xml:space="preserve">VARTOJIMO </w:t>
      </w:r>
      <w:r w:rsidR="009D7115" w:rsidRPr="00923E74">
        <w:rPr>
          <w:b/>
          <w:snapToGrid/>
          <w:szCs w:val="22"/>
          <w:lang w:val="lt-LT" w:eastAsia="sl-SI"/>
        </w:rPr>
        <w:t>METODAS</w:t>
      </w:r>
      <w:r w:rsidRPr="00923E74">
        <w:rPr>
          <w:b/>
          <w:snapToGrid/>
          <w:szCs w:val="22"/>
          <w:lang w:val="lt-LT" w:eastAsia="sl-SI"/>
        </w:rPr>
        <w:t xml:space="preserve"> IR BŪDAS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w:t>
      </w:r>
    </w:p>
    <w:p w14:paraId="0E90B0C6" w14:textId="77777777" w:rsidR="00381B7D" w:rsidRPr="00923E74" w:rsidRDefault="00381B7D" w:rsidP="007E15ED">
      <w:pPr>
        <w:keepNext/>
        <w:widowControl w:val="0"/>
        <w:tabs>
          <w:tab w:val="clear" w:pos="567"/>
        </w:tabs>
        <w:spacing w:line="240" w:lineRule="auto"/>
        <w:rPr>
          <w:snapToGrid/>
          <w:szCs w:val="22"/>
          <w:lang w:val="lt-LT" w:eastAsia="sl-SI"/>
        </w:rPr>
      </w:pPr>
    </w:p>
    <w:p w14:paraId="5FDA4909" w14:textId="77777777" w:rsidR="00381B7D" w:rsidRPr="00923E74" w:rsidRDefault="00762739" w:rsidP="00A31E3A">
      <w:pPr>
        <w:widowControl w:val="0"/>
        <w:tabs>
          <w:tab w:val="clear" w:pos="567"/>
        </w:tabs>
        <w:spacing w:line="240" w:lineRule="auto"/>
        <w:rPr>
          <w:snapToGrid/>
          <w:szCs w:val="22"/>
          <w:lang w:val="lt-LT" w:eastAsia="sl-SI"/>
        </w:rPr>
      </w:pPr>
      <w:r w:rsidRPr="00923E74">
        <w:rPr>
          <w:snapToGrid/>
          <w:szCs w:val="22"/>
          <w:lang w:val="lt-LT" w:eastAsia="sl-SI"/>
        </w:rPr>
        <w:t xml:space="preserve">Vartoti per burną. </w:t>
      </w:r>
      <w:r w:rsidR="00381B7D" w:rsidRPr="00923E74">
        <w:rPr>
          <w:snapToGrid/>
          <w:szCs w:val="22"/>
          <w:lang w:val="lt-LT" w:eastAsia="sl-SI"/>
        </w:rPr>
        <w:t>Prieš vartojimą perskaitykite pakuotės lapelį.</w:t>
      </w:r>
    </w:p>
    <w:p w14:paraId="5430C572" w14:textId="77777777" w:rsidR="00381B7D" w:rsidRPr="00923E74" w:rsidRDefault="00381B7D" w:rsidP="00A31E3A">
      <w:pPr>
        <w:widowControl w:val="0"/>
        <w:tabs>
          <w:tab w:val="clear" w:pos="567"/>
        </w:tabs>
        <w:spacing w:line="240" w:lineRule="auto"/>
        <w:rPr>
          <w:snapToGrid/>
          <w:szCs w:val="22"/>
          <w:lang w:val="lt-LT" w:eastAsia="sl-SI"/>
        </w:rPr>
      </w:pPr>
    </w:p>
    <w:p w14:paraId="6E1384D2" w14:textId="77777777" w:rsidR="00381B7D" w:rsidRPr="00923E74" w:rsidRDefault="00381B7D" w:rsidP="00A31E3A">
      <w:pPr>
        <w:widowControl w:val="0"/>
        <w:tabs>
          <w:tab w:val="clear" w:pos="567"/>
        </w:tabs>
        <w:spacing w:line="240" w:lineRule="auto"/>
        <w:rPr>
          <w:snapToGrid/>
          <w:szCs w:val="22"/>
          <w:lang w:val="lt-LT" w:eastAsia="sl-SI"/>
        </w:rPr>
      </w:pPr>
    </w:p>
    <w:p w14:paraId="7DDB6765" w14:textId="77777777" w:rsidR="00381B7D" w:rsidRPr="00923E74" w:rsidRDefault="00381B7D" w:rsidP="007E15ED">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923E74">
        <w:rPr>
          <w:b/>
          <w:snapToGrid/>
          <w:szCs w:val="22"/>
          <w:lang w:val="lt-LT" w:eastAsia="sl-SI"/>
        </w:rPr>
        <w:t>6.</w:t>
      </w:r>
      <w:r w:rsidRPr="00923E74">
        <w:rPr>
          <w:b/>
          <w:snapToGrid/>
          <w:szCs w:val="22"/>
          <w:lang w:val="lt-LT" w:eastAsia="sl-SI"/>
        </w:rPr>
        <w:tab/>
        <w:t>SPECIALUS ĮSPĖJIMAS, KAD VAISTINĮ PREPARATĄ BŪTINA LAIKYTI VAIKAMS NEPASTEBIMOJE IR NEPASIEKIAMOJE VIETOJE</w:t>
      </w:r>
    </w:p>
    <w:p w14:paraId="651A7850" w14:textId="77777777" w:rsidR="00381B7D" w:rsidRPr="00923E74" w:rsidRDefault="00381B7D" w:rsidP="007E15ED">
      <w:pPr>
        <w:keepNext/>
        <w:widowControl w:val="0"/>
        <w:tabs>
          <w:tab w:val="clear" w:pos="567"/>
        </w:tabs>
        <w:spacing w:line="240" w:lineRule="auto"/>
        <w:rPr>
          <w:snapToGrid/>
          <w:szCs w:val="22"/>
          <w:lang w:val="lt-LT" w:eastAsia="sl-SI"/>
        </w:rPr>
      </w:pPr>
    </w:p>
    <w:p w14:paraId="4386812F"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Laikyti vaikams nepastebimoje ir nepasiekiamoje vietoje.</w:t>
      </w:r>
    </w:p>
    <w:p w14:paraId="1A16C609" w14:textId="77777777" w:rsidR="00381B7D" w:rsidRPr="00923E74" w:rsidRDefault="00381B7D" w:rsidP="00A31E3A">
      <w:pPr>
        <w:widowControl w:val="0"/>
        <w:tabs>
          <w:tab w:val="clear" w:pos="567"/>
        </w:tabs>
        <w:spacing w:line="240" w:lineRule="auto"/>
        <w:rPr>
          <w:snapToGrid/>
          <w:szCs w:val="22"/>
          <w:lang w:val="lt-LT" w:eastAsia="sl-SI"/>
        </w:rPr>
      </w:pPr>
    </w:p>
    <w:p w14:paraId="76B81890" w14:textId="77777777" w:rsidR="00381B7D" w:rsidRPr="00923E74" w:rsidRDefault="00381B7D" w:rsidP="00A31E3A">
      <w:pPr>
        <w:widowControl w:val="0"/>
        <w:tabs>
          <w:tab w:val="clear" w:pos="567"/>
        </w:tabs>
        <w:spacing w:line="240" w:lineRule="auto"/>
        <w:rPr>
          <w:snapToGrid/>
          <w:szCs w:val="22"/>
          <w:lang w:val="lt-LT" w:eastAsia="sl-SI"/>
        </w:rPr>
      </w:pPr>
    </w:p>
    <w:p w14:paraId="0F934F97" w14:textId="1433647D"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lastRenderedPageBreak/>
        <w:t>7.</w:t>
      </w:r>
      <w:r w:rsidRPr="00923E74">
        <w:rPr>
          <w:b/>
          <w:snapToGrid/>
          <w:szCs w:val="22"/>
          <w:lang w:val="lt-LT" w:eastAsia="sl-SI"/>
        </w:rPr>
        <w:tab/>
        <w:t>KITAS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 SPECIALUS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ŪS) ĮSPĖJIMAS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AI) (JEI REIKIA)</w:t>
      </w:r>
    </w:p>
    <w:p w14:paraId="21611053" w14:textId="77777777" w:rsidR="00381B7D" w:rsidRPr="00923E74" w:rsidRDefault="00381B7D" w:rsidP="00A31E3A">
      <w:pPr>
        <w:widowControl w:val="0"/>
        <w:tabs>
          <w:tab w:val="clear" w:pos="567"/>
        </w:tabs>
        <w:spacing w:line="240" w:lineRule="auto"/>
        <w:rPr>
          <w:snapToGrid/>
          <w:szCs w:val="22"/>
          <w:lang w:val="lt-LT" w:eastAsia="sl-SI"/>
        </w:rPr>
      </w:pPr>
    </w:p>
    <w:p w14:paraId="23BC0A09" w14:textId="77777777" w:rsidR="00381B7D" w:rsidRPr="00923E74" w:rsidRDefault="00381B7D" w:rsidP="00A31E3A">
      <w:pPr>
        <w:widowControl w:val="0"/>
        <w:tabs>
          <w:tab w:val="clear" w:pos="567"/>
        </w:tabs>
        <w:spacing w:line="240" w:lineRule="auto"/>
        <w:rPr>
          <w:snapToGrid/>
          <w:szCs w:val="22"/>
          <w:lang w:val="lt-LT" w:eastAsia="sl-SI"/>
        </w:rPr>
      </w:pPr>
    </w:p>
    <w:p w14:paraId="7FD9B27D"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8.</w:t>
      </w:r>
      <w:r w:rsidRPr="00923E74">
        <w:rPr>
          <w:b/>
          <w:snapToGrid/>
          <w:szCs w:val="22"/>
          <w:lang w:val="lt-LT" w:eastAsia="sl-SI"/>
        </w:rPr>
        <w:tab/>
        <w:t>TINKAMUMO LAIKAS</w:t>
      </w:r>
    </w:p>
    <w:p w14:paraId="5DA16097" w14:textId="77777777" w:rsidR="00381B7D" w:rsidRPr="00923E74" w:rsidRDefault="00381B7D" w:rsidP="007E15ED">
      <w:pPr>
        <w:keepNext/>
        <w:widowControl w:val="0"/>
        <w:tabs>
          <w:tab w:val="clear" w:pos="567"/>
        </w:tabs>
        <w:spacing w:line="240" w:lineRule="auto"/>
        <w:rPr>
          <w:snapToGrid/>
          <w:szCs w:val="22"/>
          <w:lang w:val="lt-LT" w:eastAsia="sl-SI"/>
        </w:rPr>
      </w:pPr>
    </w:p>
    <w:p w14:paraId="13037260" w14:textId="12A2D279" w:rsidR="00381B7D" w:rsidRPr="00923E74" w:rsidRDefault="00381B7D" w:rsidP="00762739">
      <w:pPr>
        <w:widowControl w:val="0"/>
        <w:tabs>
          <w:tab w:val="clear" w:pos="567"/>
        </w:tabs>
        <w:spacing w:line="240" w:lineRule="auto"/>
        <w:rPr>
          <w:snapToGrid/>
          <w:szCs w:val="22"/>
          <w:lang w:val="lt-LT" w:eastAsia="sl-SI"/>
        </w:rPr>
      </w:pPr>
      <w:r w:rsidRPr="00923E74">
        <w:rPr>
          <w:snapToGrid/>
          <w:szCs w:val="22"/>
          <w:lang w:val="lt-LT" w:eastAsia="sl-SI"/>
        </w:rPr>
        <w:t>EXP</w:t>
      </w:r>
      <w:r w:rsidR="004F6F0A">
        <w:rPr>
          <w:snapToGrid/>
          <w:szCs w:val="22"/>
          <w:lang w:val="lt-LT" w:eastAsia="sl-SI"/>
        </w:rPr>
        <w:t> </w:t>
      </w:r>
      <w:r w:rsidR="006D0E50" w:rsidRPr="006D0E50">
        <w:rPr>
          <w:snapToGrid/>
          <w:szCs w:val="22"/>
          <w:lang w:val="lt-LT" w:eastAsia="sl-SI"/>
        </w:rPr>
        <w:t>{mm/MMMM}</w:t>
      </w:r>
    </w:p>
    <w:p w14:paraId="06478779" w14:textId="77777777" w:rsidR="00762739" w:rsidRPr="00923E74" w:rsidRDefault="00762739" w:rsidP="00762739">
      <w:pPr>
        <w:widowControl w:val="0"/>
        <w:tabs>
          <w:tab w:val="clear" w:pos="567"/>
        </w:tabs>
        <w:spacing w:line="240" w:lineRule="auto"/>
        <w:rPr>
          <w:snapToGrid/>
          <w:szCs w:val="22"/>
          <w:lang w:val="lt-LT" w:eastAsia="sl-SI"/>
        </w:rPr>
      </w:pPr>
    </w:p>
    <w:p w14:paraId="0124E216" w14:textId="77777777" w:rsidR="00381B7D" w:rsidRPr="00923E74" w:rsidRDefault="00381B7D" w:rsidP="00A31E3A">
      <w:pPr>
        <w:widowControl w:val="0"/>
        <w:tabs>
          <w:tab w:val="clear" w:pos="567"/>
        </w:tabs>
        <w:spacing w:line="240" w:lineRule="auto"/>
        <w:rPr>
          <w:snapToGrid/>
          <w:szCs w:val="22"/>
          <w:lang w:val="lt-LT" w:eastAsia="sl-SI"/>
        </w:rPr>
      </w:pPr>
    </w:p>
    <w:p w14:paraId="7F02112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9.</w:t>
      </w:r>
      <w:r w:rsidRPr="00923E74">
        <w:rPr>
          <w:b/>
          <w:snapToGrid/>
          <w:szCs w:val="22"/>
          <w:lang w:val="lt-LT" w:eastAsia="sl-SI"/>
        </w:rPr>
        <w:tab/>
        <w:t>SPECIALIOS LAIKYMO SĄLYGOS</w:t>
      </w:r>
    </w:p>
    <w:p w14:paraId="0D58D0A0" w14:textId="77777777" w:rsidR="00381B7D" w:rsidRPr="00923E74" w:rsidRDefault="00381B7D" w:rsidP="007E15ED">
      <w:pPr>
        <w:keepNext/>
        <w:widowControl w:val="0"/>
        <w:tabs>
          <w:tab w:val="clear" w:pos="567"/>
        </w:tabs>
        <w:spacing w:line="240" w:lineRule="auto"/>
        <w:rPr>
          <w:snapToGrid/>
          <w:szCs w:val="22"/>
          <w:lang w:val="lt-LT" w:eastAsia="sl-SI"/>
        </w:rPr>
      </w:pPr>
    </w:p>
    <w:p w14:paraId="234845D8"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Laikyti gamintojo pakuotėje, kad vaistas būtų apsaugotas nuo šviesos.</w:t>
      </w:r>
    </w:p>
    <w:p w14:paraId="26AC4065" w14:textId="77777777" w:rsidR="00381B7D" w:rsidRPr="00923E74" w:rsidRDefault="00381B7D" w:rsidP="00A31E3A">
      <w:pPr>
        <w:widowControl w:val="0"/>
        <w:tabs>
          <w:tab w:val="clear" w:pos="567"/>
        </w:tabs>
        <w:spacing w:line="240" w:lineRule="auto"/>
        <w:rPr>
          <w:snapToGrid/>
          <w:szCs w:val="22"/>
          <w:lang w:val="lt-LT" w:eastAsia="sl-SI"/>
        </w:rPr>
      </w:pPr>
    </w:p>
    <w:p w14:paraId="392F1CC3" w14:textId="77777777" w:rsidR="00381B7D" w:rsidRPr="00923E74" w:rsidRDefault="00381B7D" w:rsidP="00A31E3A">
      <w:pPr>
        <w:widowControl w:val="0"/>
        <w:tabs>
          <w:tab w:val="clear" w:pos="567"/>
        </w:tabs>
        <w:spacing w:line="240" w:lineRule="auto"/>
        <w:rPr>
          <w:snapToGrid/>
          <w:szCs w:val="22"/>
          <w:lang w:val="lt-LT" w:eastAsia="sl-SI"/>
        </w:rPr>
      </w:pPr>
    </w:p>
    <w:p w14:paraId="5F6F35E9" w14:textId="77777777" w:rsidR="00381B7D" w:rsidRPr="00923E74" w:rsidRDefault="00381B7D" w:rsidP="007E15ED">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923E74">
        <w:rPr>
          <w:b/>
          <w:snapToGrid/>
          <w:szCs w:val="22"/>
          <w:lang w:val="lt-LT" w:eastAsia="sl-SI"/>
        </w:rPr>
        <w:t>10.</w:t>
      </w:r>
      <w:r w:rsidRPr="00923E74">
        <w:rPr>
          <w:b/>
          <w:snapToGrid/>
          <w:szCs w:val="22"/>
          <w:lang w:val="lt-LT" w:eastAsia="sl-SI"/>
        </w:rPr>
        <w:tab/>
        <w:t>SPECIALIOS ATSARGUMO PRIEMONĖS DĖL NESUVARTOTO VAISTINIO PREPARATO AR JO ATLIEKŲ TVARKYMO (JEI REIKIA)</w:t>
      </w:r>
    </w:p>
    <w:p w14:paraId="48741A04" w14:textId="77777777" w:rsidR="00381B7D" w:rsidRPr="00923E74" w:rsidRDefault="00381B7D" w:rsidP="00A31E3A">
      <w:pPr>
        <w:widowControl w:val="0"/>
        <w:tabs>
          <w:tab w:val="clear" w:pos="567"/>
        </w:tabs>
        <w:spacing w:line="240" w:lineRule="auto"/>
        <w:rPr>
          <w:snapToGrid/>
          <w:szCs w:val="22"/>
          <w:lang w:val="lt-LT" w:eastAsia="sl-SI"/>
        </w:rPr>
      </w:pPr>
    </w:p>
    <w:p w14:paraId="2916D449" w14:textId="77777777" w:rsidR="00381B7D" w:rsidRPr="00923E74" w:rsidRDefault="00381B7D" w:rsidP="00A31E3A">
      <w:pPr>
        <w:widowControl w:val="0"/>
        <w:tabs>
          <w:tab w:val="clear" w:pos="567"/>
        </w:tabs>
        <w:spacing w:line="240" w:lineRule="auto"/>
        <w:rPr>
          <w:snapToGrid/>
          <w:szCs w:val="22"/>
          <w:lang w:val="lt-LT" w:eastAsia="sl-SI"/>
        </w:rPr>
      </w:pPr>
    </w:p>
    <w:p w14:paraId="6BDABD4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11.</w:t>
      </w:r>
      <w:r w:rsidRPr="00923E74">
        <w:rPr>
          <w:b/>
          <w:snapToGrid/>
          <w:szCs w:val="22"/>
          <w:lang w:val="lt-LT" w:eastAsia="sl-SI"/>
        </w:rPr>
        <w:tab/>
        <w:t>REGISTRUOTOJO PAVADINIMAS IR ADRESAS</w:t>
      </w:r>
    </w:p>
    <w:p w14:paraId="419C0E95" w14:textId="77777777" w:rsidR="00381B7D" w:rsidRPr="00923E74" w:rsidRDefault="00381B7D" w:rsidP="007E15ED">
      <w:pPr>
        <w:keepNext/>
        <w:widowControl w:val="0"/>
        <w:tabs>
          <w:tab w:val="clear" w:pos="567"/>
        </w:tabs>
        <w:spacing w:line="240" w:lineRule="auto"/>
        <w:rPr>
          <w:snapToGrid/>
          <w:szCs w:val="22"/>
          <w:lang w:val="lt-LT" w:eastAsia="sl-SI"/>
        </w:rPr>
      </w:pPr>
    </w:p>
    <w:p w14:paraId="1AE83030" w14:textId="0A0F0745" w:rsidR="0077016D" w:rsidRPr="0077016D" w:rsidRDefault="0077016D" w:rsidP="007E15ED">
      <w:pPr>
        <w:keepNext/>
        <w:widowControl w:val="0"/>
        <w:tabs>
          <w:tab w:val="clear" w:pos="567"/>
        </w:tabs>
        <w:spacing w:line="240" w:lineRule="auto"/>
        <w:rPr>
          <w:snapToGrid/>
          <w:szCs w:val="22"/>
          <w:lang w:val="lt-LT" w:eastAsia="sl-SI"/>
        </w:rPr>
      </w:pPr>
      <w:proofErr w:type="spellStart"/>
      <w:r w:rsidRPr="0077016D">
        <w:rPr>
          <w:snapToGrid/>
          <w:szCs w:val="22"/>
          <w:lang w:val="lt-LT" w:eastAsia="sl-SI"/>
        </w:rPr>
        <w:t>Zentiva</w:t>
      </w:r>
      <w:proofErr w:type="spellEnd"/>
      <w:r w:rsidR="00256BE7">
        <w:rPr>
          <w:snapToGrid/>
          <w:szCs w:val="22"/>
          <w:lang w:val="lt-LT" w:eastAsia="sl-SI"/>
        </w:rPr>
        <w:t>,</w:t>
      </w:r>
      <w:r w:rsidR="004F6F0A">
        <w:rPr>
          <w:snapToGrid/>
          <w:szCs w:val="22"/>
          <w:lang w:val="lt-LT" w:eastAsia="sl-SI"/>
        </w:rPr>
        <w:t> </w:t>
      </w:r>
      <w:proofErr w:type="spellStart"/>
      <w:r w:rsidRPr="0077016D">
        <w:rPr>
          <w:snapToGrid/>
          <w:szCs w:val="22"/>
          <w:lang w:val="lt-LT" w:eastAsia="sl-SI"/>
        </w:rPr>
        <w:t>k.s</w:t>
      </w:r>
      <w:proofErr w:type="spellEnd"/>
      <w:r w:rsidRPr="0077016D">
        <w:rPr>
          <w:snapToGrid/>
          <w:szCs w:val="22"/>
          <w:lang w:val="lt-LT" w:eastAsia="sl-SI"/>
        </w:rPr>
        <w:t>.</w:t>
      </w:r>
    </w:p>
    <w:p w14:paraId="588D74E8" w14:textId="4EB68C35" w:rsidR="0077016D" w:rsidRPr="0077016D" w:rsidRDefault="0077016D" w:rsidP="007E15ED">
      <w:pPr>
        <w:keepNext/>
        <w:widowControl w:val="0"/>
        <w:tabs>
          <w:tab w:val="clear" w:pos="567"/>
        </w:tabs>
        <w:spacing w:line="240" w:lineRule="auto"/>
        <w:rPr>
          <w:snapToGrid/>
          <w:szCs w:val="22"/>
          <w:lang w:val="lt-LT" w:eastAsia="sl-SI"/>
        </w:rPr>
      </w:pPr>
      <w:r w:rsidRPr="0077016D">
        <w:rPr>
          <w:snapToGrid/>
          <w:szCs w:val="22"/>
          <w:lang w:val="lt-LT" w:eastAsia="sl-SI"/>
        </w:rPr>
        <w:t>U</w:t>
      </w:r>
      <w:r w:rsidR="004F6F0A">
        <w:rPr>
          <w:snapToGrid/>
          <w:szCs w:val="22"/>
          <w:lang w:val="lt-LT" w:eastAsia="sl-SI"/>
        </w:rPr>
        <w:t> </w:t>
      </w:r>
      <w:proofErr w:type="spellStart"/>
      <w:r w:rsidRPr="0077016D">
        <w:rPr>
          <w:snapToGrid/>
          <w:szCs w:val="22"/>
          <w:lang w:val="lt-LT" w:eastAsia="sl-SI"/>
        </w:rPr>
        <w:t>kabelovny</w:t>
      </w:r>
      <w:proofErr w:type="spellEnd"/>
      <w:r w:rsidR="004F6F0A">
        <w:rPr>
          <w:snapToGrid/>
          <w:szCs w:val="22"/>
          <w:lang w:val="lt-LT" w:eastAsia="sl-SI"/>
        </w:rPr>
        <w:t> </w:t>
      </w:r>
      <w:r w:rsidRPr="0077016D">
        <w:rPr>
          <w:snapToGrid/>
          <w:szCs w:val="22"/>
          <w:lang w:val="lt-LT" w:eastAsia="sl-SI"/>
        </w:rPr>
        <w:t>130</w:t>
      </w:r>
    </w:p>
    <w:p w14:paraId="45CACF75" w14:textId="4C2DBBC6" w:rsidR="0077016D" w:rsidRPr="0077016D" w:rsidRDefault="0077016D" w:rsidP="007E15ED">
      <w:pPr>
        <w:keepNext/>
        <w:widowControl w:val="0"/>
        <w:tabs>
          <w:tab w:val="clear" w:pos="567"/>
        </w:tabs>
        <w:spacing w:line="240" w:lineRule="auto"/>
        <w:rPr>
          <w:snapToGrid/>
          <w:szCs w:val="22"/>
          <w:lang w:val="lt-LT" w:eastAsia="sl-SI"/>
        </w:rPr>
      </w:pPr>
      <w:proofErr w:type="spellStart"/>
      <w:r w:rsidRPr="0077016D">
        <w:rPr>
          <w:snapToGrid/>
          <w:szCs w:val="22"/>
          <w:lang w:val="lt-LT" w:eastAsia="sl-SI"/>
        </w:rPr>
        <w:t>Dolní</w:t>
      </w:r>
      <w:proofErr w:type="spellEnd"/>
      <w:r w:rsidRPr="0077016D">
        <w:rPr>
          <w:snapToGrid/>
          <w:szCs w:val="22"/>
          <w:lang w:val="lt-LT" w:eastAsia="sl-SI"/>
        </w:rPr>
        <w:t xml:space="preserve"> </w:t>
      </w:r>
      <w:proofErr w:type="spellStart"/>
      <w:r w:rsidRPr="0077016D">
        <w:rPr>
          <w:snapToGrid/>
          <w:szCs w:val="22"/>
          <w:lang w:val="lt-LT" w:eastAsia="sl-SI"/>
        </w:rPr>
        <w:t>Měcholupy</w:t>
      </w:r>
      <w:proofErr w:type="spellEnd"/>
    </w:p>
    <w:p w14:paraId="108599EB" w14:textId="4D99DF5E" w:rsidR="0077016D" w:rsidRPr="0077016D" w:rsidRDefault="0077016D" w:rsidP="007E15ED">
      <w:pPr>
        <w:keepNext/>
        <w:widowControl w:val="0"/>
        <w:tabs>
          <w:tab w:val="clear" w:pos="567"/>
        </w:tabs>
        <w:spacing w:line="240" w:lineRule="auto"/>
        <w:rPr>
          <w:snapToGrid/>
          <w:szCs w:val="22"/>
          <w:lang w:val="lt-LT" w:eastAsia="sl-SI"/>
        </w:rPr>
      </w:pPr>
      <w:r w:rsidRPr="0077016D">
        <w:rPr>
          <w:snapToGrid/>
          <w:szCs w:val="22"/>
          <w:lang w:val="lt-LT" w:eastAsia="sl-SI"/>
        </w:rPr>
        <w:t>102</w:t>
      </w:r>
      <w:r w:rsidR="004F6F0A">
        <w:rPr>
          <w:snapToGrid/>
          <w:szCs w:val="22"/>
          <w:lang w:val="lt-LT" w:eastAsia="sl-SI"/>
        </w:rPr>
        <w:t> </w:t>
      </w:r>
      <w:r w:rsidRPr="0077016D">
        <w:rPr>
          <w:snapToGrid/>
          <w:szCs w:val="22"/>
          <w:lang w:val="lt-LT" w:eastAsia="sl-SI"/>
        </w:rPr>
        <w:t>37</w:t>
      </w:r>
      <w:r w:rsidR="004F6F0A">
        <w:rPr>
          <w:snapToGrid/>
          <w:szCs w:val="22"/>
          <w:lang w:val="lt-LT" w:eastAsia="sl-SI"/>
        </w:rPr>
        <w:t> </w:t>
      </w:r>
      <w:r w:rsidRPr="0077016D">
        <w:rPr>
          <w:snapToGrid/>
          <w:szCs w:val="22"/>
          <w:lang w:val="lt-LT" w:eastAsia="sl-SI"/>
        </w:rPr>
        <w:t>Praha</w:t>
      </w:r>
      <w:r w:rsidR="004F6F0A">
        <w:rPr>
          <w:snapToGrid/>
          <w:szCs w:val="22"/>
          <w:lang w:val="lt-LT" w:eastAsia="sl-SI"/>
        </w:rPr>
        <w:t> </w:t>
      </w:r>
      <w:r w:rsidRPr="0077016D">
        <w:rPr>
          <w:snapToGrid/>
          <w:szCs w:val="22"/>
          <w:lang w:val="lt-LT" w:eastAsia="sl-SI"/>
        </w:rPr>
        <w:t>10</w:t>
      </w:r>
    </w:p>
    <w:p w14:paraId="706E7AC0" w14:textId="77777777" w:rsidR="00381B7D" w:rsidRPr="00923E74" w:rsidRDefault="0077016D" w:rsidP="0077016D">
      <w:pPr>
        <w:widowControl w:val="0"/>
        <w:tabs>
          <w:tab w:val="clear" w:pos="567"/>
        </w:tabs>
        <w:spacing w:line="240" w:lineRule="auto"/>
        <w:rPr>
          <w:snapToGrid/>
          <w:szCs w:val="22"/>
          <w:lang w:val="lt-LT" w:eastAsia="sl-SI"/>
        </w:rPr>
      </w:pPr>
      <w:r w:rsidRPr="0077016D">
        <w:rPr>
          <w:snapToGrid/>
          <w:szCs w:val="22"/>
          <w:lang w:val="lt-LT" w:eastAsia="sl-SI"/>
        </w:rPr>
        <w:t>Čekija</w:t>
      </w:r>
    </w:p>
    <w:p w14:paraId="5968024C" w14:textId="77777777" w:rsidR="00381B7D" w:rsidRDefault="00381B7D" w:rsidP="00A31E3A">
      <w:pPr>
        <w:widowControl w:val="0"/>
        <w:tabs>
          <w:tab w:val="clear" w:pos="567"/>
        </w:tabs>
        <w:spacing w:line="240" w:lineRule="auto"/>
        <w:rPr>
          <w:snapToGrid/>
          <w:szCs w:val="22"/>
          <w:lang w:val="lt-LT" w:eastAsia="sl-SI"/>
        </w:rPr>
      </w:pPr>
    </w:p>
    <w:p w14:paraId="062D02D7" w14:textId="77777777" w:rsidR="00A76D3A" w:rsidRPr="00923E74" w:rsidRDefault="00A76D3A" w:rsidP="00A31E3A">
      <w:pPr>
        <w:widowControl w:val="0"/>
        <w:tabs>
          <w:tab w:val="clear" w:pos="567"/>
        </w:tabs>
        <w:spacing w:line="240" w:lineRule="auto"/>
        <w:rPr>
          <w:snapToGrid/>
          <w:szCs w:val="22"/>
          <w:lang w:val="lt-LT" w:eastAsia="sl-SI"/>
        </w:rPr>
      </w:pPr>
    </w:p>
    <w:p w14:paraId="07D2B4CC" w14:textId="55E30438"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12.</w:t>
      </w:r>
      <w:r w:rsidRPr="00923E74">
        <w:rPr>
          <w:b/>
          <w:snapToGrid/>
          <w:szCs w:val="22"/>
          <w:lang w:val="lt-LT" w:eastAsia="sl-SI"/>
        </w:rPr>
        <w:tab/>
        <w:t>REGISTRACIJOS PAŽYMĖJIMO NUMERIS</w:t>
      </w:r>
      <w:r w:rsidR="004F6F0A">
        <w:rPr>
          <w:b/>
          <w:snapToGrid/>
          <w:szCs w:val="22"/>
          <w:lang w:val="lt-LT" w:eastAsia="sl-SI"/>
        </w:rPr>
        <w:t> </w:t>
      </w:r>
      <w:r w:rsidRPr="00923E74">
        <w:rPr>
          <w:b/>
          <w:snapToGrid/>
          <w:szCs w:val="22"/>
          <w:lang w:val="lt-LT" w:eastAsia="sl-SI"/>
        </w:rPr>
        <w:t>(</w:t>
      </w:r>
      <w:r w:rsidR="004F6F0A">
        <w:rPr>
          <w:b/>
          <w:snapToGrid/>
          <w:szCs w:val="22"/>
          <w:lang w:val="lt-LT" w:eastAsia="sl-SI"/>
        </w:rPr>
        <w:noBreakHyphen/>
      </w:r>
      <w:r w:rsidRPr="00923E74">
        <w:rPr>
          <w:b/>
          <w:snapToGrid/>
          <w:szCs w:val="22"/>
          <w:lang w:val="lt-LT" w:eastAsia="sl-SI"/>
        </w:rPr>
        <w:t>IAI)</w:t>
      </w:r>
    </w:p>
    <w:p w14:paraId="396E9C8C" w14:textId="0F4B4530" w:rsidR="00381B7D" w:rsidRDefault="00381B7D" w:rsidP="007E15ED">
      <w:pPr>
        <w:keepNext/>
        <w:widowControl w:val="0"/>
        <w:tabs>
          <w:tab w:val="clear" w:pos="567"/>
        </w:tabs>
        <w:spacing w:line="240" w:lineRule="auto"/>
        <w:rPr>
          <w:snapToGrid/>
          <w:szCs w:val="22"/>
          <w:lang w:val="lt-LT" w:eastAsia="sl-SI"/>
        </w:rPr>
      </w:pPr>
    </w:p>
    <w:p w14:paraId="1EECF6A9" w14:textId="31FF0120" w:rsidR="007068F7" w:rsidRDefault="00D9392A" w:rsidP="0022174F">
      <w:pPr>
        <w:widowControl w:val="0"/>
        <w:tabs>
          <w:tab w:val="clear" w:pos="567"/>
        </w:tabs>
        <w:spacing w:line="240" w:lineRule="auto"/>
        <w:rPr>
          <w:snapToGrid/>
          <w:szCs w:val="22"/>
          <w:lang w:val="lt-LT" w:eastAsia="sl-SI"/>
        </w:rPr>
      </w:pPr>
      <w:r>
        <w:rPr>
          <w:snapToGrid/>
          <w:szCs w:val="22"/>
          <w:shd w:val="clear" w:color="auto" w:fill="D9D9D9" w:themeFill="background1" w:themeFillShade="D9"/>
          <w:lang w:val="lt-LT" w:eastAsia="sl-SI"/>
        </w:rPr>
        <w:t>&lt;</w:t>
      </w:r>
      <w:r w:rsidR="007068F7" w:rsidRPr="007068F7">
        <w:rPr>
          <w:snapToGrid/>
          <w:szCs w:val="22"/>
          <w:shd w:val="clear" w:color="auto" w:fill="D9D9D9" w:themeFill="background1" w:themeFillShade="D9"/>
          <w:lang w:val="lt-LT" w:eastAsia="sl-SI"/>
        </w:rPr>
        <w:t>10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mg/10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w:t>
      </w:r>
      <w:r>
        <w:rPr>
          <w:snapToGrid/>
          <w:szCs w:val="22"/>
          <w:shd w:val="clear" w:color="auto" w:fill="D9D9D9" w:themeFill="background1" w:themeFillShade="D9"/>
          <w:lang w:val="lt-LT" w:eastAsia="sl-SI"/>
        </w:rPr>
        <w:t>&gt;</w:t>
      </w:r>
    </w:p>
    <w:p w14:paraId="03BF8744"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Pr>
          <w:szCs w:val="22"/>
          <w:lang w:val="lt-LT"/>
        </w:rPr>
        <w:t>LT/1/19/4459/001</w:t>
      </w:r>
      <w:r w:rsidRPr="003C1C77">
        <w:rPr>
          <w:bCs/>
          <w:szCs w:val="22"/>
          <w:lang w:val="lt-LT"/>
        </w:rPr>
        <w:t xml:space="preserve"> </w:t>
      </w:r>
      <w:r w:rsidRPr="007068F7">
        <w:rPr>
          <w:snapToGrid/>
          <w:szCs w:val="22"/>
          <w:shd w:val="clear" w:color="auto" w:fill="D9D9D9" w:themeFill="background1" w:themeFillShade="D9"/>
          <w:lang w:val="lt-LT" w:eastAsia="sl-SI"/>
        </w:rPr>
        <w:t>– N10</w:t>
      </w:r>
    </w:p>
    <w:p w14:paraId="65B4F552"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LT/1/19/4459/002 – N30</w:t>
      </w:r>
    </w:p>
    <w:p w14:paraId="6A343EC7"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LT/1/19/4459/003 – N90</w:t>
      </w:r>
    </w:p>
    <w:p w14:paraId="71593906"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LT/1/19/4459/004 – N100</w:t>
      </w:r>
    </w:p>
    <w:p w14:paraId="06ED8821" w14:textId="52CF42D7" w:rsidR="007068F7" w:rsidRPr="007068F7" w:rsidRDefault="00D9392A" w:rsidP="007068F7">
      <w:pPr>
        <w:widowControl w:val="0"/>
        <w:tabs>
          <w:tab w:val="clear" w:pos="567"/>
        </w:tabs>
        <w:spacing w:line="240" w:lineRule="auto"/>
        <w:rPr>
          <w:snapToGrid/>
          <w:szCs w:val="22"/>
          <w:shd w:val="clear" w:color="auto" w:fill="D9D9D9" w:themeFill="background1" w:themeFillShade="D9"/>
          <w:lang w:val="lt-LT" w:eastAsia="sl-SI"/>
        </w:rPr>
      </w:pPr>
      <w:r>
        <w:rPr>
          <w:snapToGrid/>
          <w:szCs w:val="22"/>
          <w:shd w:val="clear" w:color="auto" w:fill="D9D9D9" w:themeFill="background1" w:themeFillShade="D9"/>
          <w:lang w:val="lt-LT" w:eastAsia="sl-SI"/>
        </w:rPr>
        <w:t>&lt;</w:t>
      </w:r>
      <w:r w:rsidR="007068F7" w:rsidRPr="007068F7">
        <w:rPr>
          <w:snapToGrid/>
          <w:szCs w:val="22"/>
          <w:shd w:val="clear" w:color="auto" w:fill="D9D9D9" w:themeFill="background1" w:themeFillShade="D9"/>
          <w:lang w:val="lt-LT" w:eastAsia="sl-SI"/>
        </w:rPr>
        <w:t>10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mg/20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w:t>
      </w:r>
      <w:r>
        <w:rPr>
          <w:snapToGrid/>
          <w:szCs w:val="22"/>
          <w:shd w:val="clear" w:color="auto" w:fill="D9D9D9" w:themeFill="background1" w:themeFillShade="D9"/>
          <w:lang w:val="lt-LT" w:eastAsia="sl-SI"/>
        </w:rPr>
        <w:t>&gt;</w:t>
      </w:r>
    </w:p>
    <w:p w14:paraId="618C11A9"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LT/1/19/4460/001 – N10</w:t>
      </w:r>
    </w:p>
    <w:p w14:paraId="558E58A9"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LT/1/19/4460/002 – N30</w:t>
      </w:r>
    </w:p>
    <w:p w14:paraId="50EC242F"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LT/1/19/4460/003 – N90</w:t>
      </w:r>
    </w:p>
    <w:p w14:paraId="0E350248" w14:textId="77777777" w:rsidR="007068F7" w:rsidRPr="007068F7" w:rsidRDefault="007068F7" w:rsidP="0022174F">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LT/1/19/4460/004 – N100</w:t>
      </w:r>
    </w:p>
    <w:p w14:paraId="22A54A84" w14:textId="74FD8CE1" w:rsidR="007068F7" w:rsidRPr="007068F7" w:rsidRDefault="00D9392A" w:rsidP="0022174F">
      <w:pPr>
        <w:widowControl w:val="0"/>
        <w:tabs>
          <w:tab w:val="clear" w:pos="567"/>
        </w:tabs>
        <w:spacing w:line="240" w:lineRule="auto"/>
        <w:rPr>
          <w:snapToGrid/>
          <w:szCs w:val="22"/>
          <w:shd w:val="clear" w:color="auto" w:fill="D9D9D9" w:themeFill="background1" w:themeFillShade="D9"/>
          <w:lang w:val="lt-LT" w:eastAsia="sl-SI"/>
        </w:rPr>
      </w:pPr>
      <w:r>
        <w:rPr>
          <w:snapToGrid/>
          <w:szCs w:val="22"/>
          <w:shd w:val="clear" w:color="auto" w:fill="D9D9D9" w:themeFill="background1" w:themeFillShade="D9"/>
          <w:lang w:val="lt-LT" w:eastAsia="sl-SI"/>
        </w:rPr>
        <w:t>&lt;</w:t>
      </w:r>
      <w:r w:rsidR="007068F7" w:rsidRPr="007068F7">
        <w:rPr>
          <w:snapToGrid/>
          <w:szCs w:val="22"/>
          <w:shd w:val="clear" w:color="auto" w:fill="D9D9D9" w:themeFill="background1" w:themeFillShade="D9"/>
          <w:lang w:val="lt-LT" w:eastAsia="sl-SI"/>
        </w:rPr>
        <w:t>10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mg/40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w:t>
      </w:r>
      <w:r>
        <w:rPr>
          <w:snapToGrid/>
          <w:szCs w:val="22"/>
          <w:shd w:val="clear" w:color="auto" w:fill="D9D9D9" w:themeFill="background1" w:themeFillShade="D9"/>
          <w:lang w:val="lt-LT" w:eastAsia="sl-SI"/>
        </w:rPr>
        <w:t>&gt;</w:t>
      </w:r>
    </w:p>
    <w:p w14:paraId="3A2872EF"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LT/1/19/4461/001 – N10</w:t>
      </w:r>
    </w:p>
    <w:p w14:paraId="3CCE1184"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LT/1/19/4461/002 – N30</w:t>
      </w:r>
    </w:p>
    <w:p w14:paraId="4882D4DC"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LT/1/19/4461/003 – N90</w:t>
      </w:r>
    </w:p>
    <w:p w14:paraId="5E2CE8F1" w14:textId="77777777" w:rsidR="007068F7" w:rsidRPr="007068F7" w:rsidRDefault="007068F7" w:rsidP="0022174F">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LT/1/19/4461/004 – N100</w:t>
      </w:r>
    </w:p>
    <w:p w14:paraId="7BF14A67" w14:textId="69D39585" w:rsidR="007068F7" w:rsidRPr="007068F7" w:rsidRDefault="00D9392A" w:rsidP="0022174F">
      <w:pPr>
        <w:widowControl w:val="0"/>
        <w:tabs>
          <w:tab w:val="clear" w:pos="567"/>
        </w:tabs>
        <w:spacing w:line="240" w:lineRule="auto"/>
        <w:rPr>
          <w:snapToGrid/>
          <w:szCs w:val="22"/>
          <w:shd w:val="clear" w:color="auto" w:fill="D9D9D9" w:themeFill="background1" w:themeFillShade="D9"/>
          <w:lang w:val="lt-LT" w:eastAsia="sl-SI"/>
        </w:rPr>
      </w:pPr>
      <w:r>
        <w:rPr>
          <w:snapToGrid/>
          <w:szCs w:val="22"/>
          <w:shd w:val="clear" w:color="auto" w:fill="D9D9D9" w:themeFill="background1" w:themeFillShade="D9"/>
          <w:lang w:val="lt-LT" w:eastAsia="sl-SI"/>
        </w:rPr>
        <w:t>&lt;</w:t>
      </w:r>
      <w:r w:rsidR="007068F7" w:rsidRPr="007068F7">
        <w:rPr>
          <w:snapToGrid/>
          <w:szCs w:val="22"/>
          <w:shd w:val="clear" w:color="auto" w:fill="D9D9D9" w:themeFill="background1" w:themeFillShade="D9"/>
          <w:lang w:val="lt-LT" w:eastAsia="sl-SI"/>
        </w:rPr>
        <w:t>10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mg/80</w:t>
      </w:r>
      <w:r w:rsidR="00FA49EA">
        <w:rPr>
          <w:snapToGrid/>
          <w:szCs w:val="22"/>
          <w:shd w:val="clear" w:color="auto" w:fill="D9D9D9" w:themeFill="background1" w:themeFillShade="D9"/>
          <w:lang w:val="lt-LT" w:eastAsia="sl-SI"/>
        </w:rPr>
        <w:t> </w:t>
      </w:r>
      <w:r w:rsidR="007068F7" w:rsidRPr="007068F7">
        <w:rPr>
          <w:snapToGrid/>
          <w:szCs w:val="22"/>
          <w:shd w:val="clear" w:color="auto" w:fill="D9D9D9" w:themeFill="background1" w:themeFillShade="D9"/>
          <w:lang w:val="lt-LT" w:eastAsia="sl-SI"/>
        </w:rPr>
        <w:t>mg</w:t>
      </w:r>
      <w:r>
        <w:rPr>
          <w:snapToGrid/>
          <w:szCs w:val="22"/>
          <w:shd w:val="clear" w:color="auto" w:fill="D9D9D9" w:themeFill="background1" w:themeFillShade="D9"/>
          <w:lang w:val="lt-LT" w:eastAsia="sl-SI"/>
        </w:rPr>
        <w:t>&gt;</w:t>
      </w:r>
    </w:p>
    <w:p w14:paraId="72C03DFC"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LT/1/19/4462/001 – N10</w:t>
      </w:r>
    </w:p>
    <w:p w14:paraId="5416F464"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LT/1/19/4462/002 – N30</w:t>
      </w:r>
    </w:p>
    <w:p w14:paraId="0FAA864F" w14:textId="77777777" w:rsidR="007068F7" w:rsidRPr="007068F7" w:rsidRDefault="007068F7" w:rsidP="007068F7">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LT/1/19/4462/003 – N90</w:t>
      </w:r>
    </w:p>
    <w:p w14:paraId="1BEF4058" w14:textId="77777777" w:rsidR="007068F7" w:rsidRPr="007068F7" w:rsidRDefault="007068F7" w:rsidP="0022174F">
      <w:pPr>
        <w:widowControl w:val="0"/>
        <w:tabs>
          <w:tab w:val="clear" w:pos="567"/>
        </w:tabs>
        <w:spacing w:line="240" w:lineRule="auto"/>
        <w:rPr>
          <w:snapToGrid/>
          <w:szCs w:val="22"/>
          <w:shd w:val="clear" w:color="auto" w:fill="D9D9D9" w:themeFill="background1" w:themeFillShade="D9"/>
          <w:lang w:val="lt-LT" w:eastAsia="sl-SI"/>
        </w:rPr>
      </w:pPr>
      <w:r w:rsidRPr="007068F7">
        <w:rPr>
          <w:snapToGrid/>
          <w:szCs w:val="22"/>
          <w:shd w:val="clear" w:color="auto" w:fill="D9D9D9" w:themeFill="background1" w:themeFillShade="D9"/>
          <w:lang w:val="lt-LT" w:eastAsia="sl-SI"/>
        </w:rPr>
        <w:t>LT/1/19/4462/004 – N100</w:t>
      </w:r>
    </w:p>
    <w:p w14:paraId="21F978AD" w14:textId="77777777" w:rsidR="004F6F0A" w:rsidRPr="00923E74" w:rsidRDefault="004F6F0A" w:rsidP="00A31E3A">
      <w:pPr>
        <w:widowControl w:val="0"/>
        <w:tabs>
          <w:tab w:val="clear" w:pos="567"/>
        </w:tabs>
        <w:spacing w:line="240" w:lineRule="auto"/>
        <w:rPr>
          <w:snapToGrid/>
          <w:szCs w:val="22"/>
          <w:lang w:val="lt-LT" w:eastAsia="sl-SI"/>
        </w:rPr>
      </w:pPr>
    </w:p>
    <w:p w14:paraId="7A97383F" w14:textId="77777777" w:rsidR="00381B7D" w:rsidRPr="00923E74" w:rsidRDefault="00381B7D" w:rsidP="00A31E3A">
      <w:pPr>
        <w:widowControl w:val="0"/>
        <w:tabs>
          <w:tab w:val="clear" w:pos="567"/>
        </w:tabs>
        <w:spacing w:line="240" w:lineRule="auto"/>
        <w:rPr>
          <w:snapToGrid/>
          <w:szCs w:val="22"/>
          <w:lang w:val="lt-LT" w:eastAsia="sl-SI"/>
        </w:rPr>
      </w:pPr>
    </w:p>
    <w:p w14:paraId="1655B9F5"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13.</w:t>
      </w:r>
      <w:r w:rsidRPr="00923E74">
        <w:rPr>
          <w:b/>
          <w:snapToGrid/>
          <w:szCs w:val="22"/>
          <w:lang w:val="lt-LT" w:eastAsia="sl-SI"/>
        </w:rPr>
        <w:tab/>
        <w:t>SERIJOS NUMERIS</w:t>
      </w:r>
    </w:p>
    <w:p w14:paraId="71CBA339" w14:textId="77777777" w:rsidR="00381B7D" w:rsidRPr="00923E74" w:rsidRDefault="00381B7D" w:rsidP="007E15ED">
      <w:pPr>
        <w:keepNext/>
        <w:widowControl w:val="0"/>
        <w:tabs>
          <w:tab w:val="clear" w:pos="567"/>
        </w:tabs>
        <w:spacing w:line="240" w:lineRule="auto"/>
        <w:rPr>
          <w:snapToGrid/>
          <w:szCs w:val="22"/>
          <w:lang w:val="lt-LT" w:eastAsia="sl-SI"/>
        </w:rPr>
      </w:pPr>
    </w:p>
    <w:p w14:paraId="2C41BCE4"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Lot</w:t>
      </w:r>
    </w:p>
    <w:p w14:paraId="70F841FB" w14:textId="77777777" w:rsidR="00381B7D" w:rsidRPr="00923E74" w:rsidRDefault="00381B7D" w:rsidP="00A31E3A">
      <w:pPr>
        <w:widowControl w:val="0"/>
        <w:tabs>
          <w:tab w:val="clear" w:pos="567"/>
        </w:tabs>
        <w:spacing w:line="240" w:lineRule="auto"/>
        <w:rPr>
          <w:snapToGrid/>
          <w:szCs w:val="22"/>
          <w:lang w:val="lt-LT" w:eastAsia="sl-SI"/>
        </w:rPr>
      </w:pPr>
    </w:p>
    <w:p w14:paraId="7F081B23" w14:textId="77777777" w:rsidR="00381B7D" w:rsidRPr="00923E74" w:rsidRDefault="00381B7D" w:rsidP="00A31E3A">
      <w:pPr>
        <w:widowControl w:val="0"/>
        <w:tabs>
          <w:tab w:val="clear" w:pos="567"/>
        </w:tabs>
        <w:spacing w:line="240" w:lineRule="auto"/>
        <w:rPr>
          <w:snapToGrid/>
          <w:szCs w:val="22"/>
          <w:lang w:val="lt-LT" w:eastAsia="sl-SI"/>
        </w:rPr>
      </w:pPr>
    </w:p>
    <w:p w14:paraId="75060FB6"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lastRenderedPageBreak/>
        <w:t>14.</w:t>
      </w:r>
      <w:r w:rsidRPr="00923E74">
        <w:rPr>
          <w:b/>
          <w:snapToGrid/>
          <w:szCs w:val="22"/>
          <w:lang w:val="lt-LT" w:eastAsia="sl-SI"/>
        </w:rPr>
        <w:tab/>
        <w:t>PARDAVIMO (IŠDAVIMO) TVARKA</w:t>
      </w:r>
    </w:p>
    <w:p w14:paraId="0495BF05" w14:textId="77777777" w:rsidR="00381B7D" w:rsidRPr="00923E74" w:rsidRDefault="00381B7D" w:rsidP="007E15ED">
      <w:pPr>
        <w:keepNext/>
        <w:widowControl w:val="0"/>
        <w:tabs>
          <w:tab w:val="clear" w:pos="567"/>
        </w:tabs>
        <w:spacing w:line="240" w:lineRule="auto"/>
        <w:rPr>
          <w:snapToGrid/>
          <w:szCs w:val="22"/>
          <w:lang w:val="lt-LT" w:eastAsia="sl-SI"/>
        </w:rPr>
      </w:pPr>
    </w:p>
    <w:p w14:paraId="7FCDC6B4"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t>Receptinis vaistas</w:t>
      </w:r>
      <w:r w:rsidR="004F6F0A">
        <w:rPr>
          <w:snapToGrid/>
          <w:szCs w:val="22"/>
          <w:lang w:val="lt-LT" w:eastAsia="sl-SI"/>
        </w:rPr>
        <w:t>.</w:t>
      </w:r>
    </w:p>
    <w:p w14:paraId="144CE7D2" w14:textId="77777777" w:rsidR="00381B7D" w:rsidRPr="00923E74" w:rsidRDefault="00381B7D" w:rsidP="00A31E3A">
      <w:pPr>
        <w:widowControl w:val="0"/>
        <w:tabs>
          <w:tab w:val="clear" w:pos="567"/>
        </w:tabs>
        <w:spacing w:line="240" w:lineRule="auto"/>
        <w:rPr>
          <w:snapToGrid/>
          <w:szCs w:val="22"/>
          <w:lang w:val="lt-LT" w:eastAsia="sl-SI"/>
        </w:rPr>
      </w:pPr>
    </w:p>
    <w:p w14:paraId="656623A7" w14:textId="77777777" w:rsidR="00381B7D" w:rsidRPr="00923E74" w:rsidRDefault="00381B7D" w:rsidP="00A31E3A">
      <w:pPr>
        <w:widowControl w:val="0"/>
        <w:tabs>
          <w:tab w:val="clear" w:pos="567"/>
        </w:tabs>
        <w:spacing w:line="240" w:lineRule="auto"/>
        <w:rPr>
          <w:snapToGrid/>
          <w:szCs w:val="22"/>
          <w:lang w:val="lt-LT" w:eastAsia="sl-SI"/>
        </w:rPr>
      </w:pPr>
    </w:p>
    <w:p w14:paraId="1A7298A2"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15.</w:t>
      </w:r>
      <w:r w:rsidRPr="00923E74">
        <w:rPr>
          <w:b/>
          <w:snapToGrid/>
          <w:szCs w:val="22"/>
          <w:lang w:val="lt-LT" w:eastAsia="sl-SI"/>
        </w:rPr>
        <w:tab/>
        <w:t>VARTOJIMO INSTRUKCIJA</w:t>
      </w:r>
    </w:p>
    <w:p w14:paraId="395645F6" w14:textId="77777777" w:rsidR="00381B7D" w:rsidRPr="00923E74" w:rsidRDefault="00381B7D" w:rsidP="00A31E3A">
      <w:pPr>
        <w:widowControl w:val="0"/>
        <w:tabs>
          <w:tab w:val="clear" w:pos="567"/>
        </w:tabs>
        <w:spacing w:line="240" w:lineRule="auto"/>
        <w:rPr>
          <w:snapToGrid/>
          <w:szCs w:val="22"/>
          <w:lang w:val="lt-LT" w:eastAsia="sl-SI"/>
        </w:rPr>
      </w:pPr>
    </w:p>
    <w:p w14:paraId="3DC6B04E" w14:textId="77777777" w:rsidR="00381B7D" w:rsidRPr="00923E74" w:rsidRDefault="00381B7D" w:rsidP="00A31E3A">
      <w:pPr>
        <w:widowControl w:val="0"/>
        <w:tabs>
          <w:tab w:val="clear" w:pos="567"/>
        </w:tabs>
        <w:spacing w:line="240" w:lineRule="auto"/>
        <w:rPr>
          <w:snapToGrid/>
          <w:szCs w:val="22"/>
          <w:lang w:val="lt-LT" w:eastAsia="sl-SI"/>
        </w:rPr>
      </w:pPr>
    </w:p>
    <w:p w14:paraId="0A66742F"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16.</w:t>
      </w:r>
      <w:r w:rsidRPr="00923E74">
        <w:rPr>
          <w:b/>
          <w:snapToGrid/>
          <w:szCs w:val="22"/>
          <w:lang w:val="lt-LT" w:eastAsia="sl-SI"/>
        </w:rPr>
        <w:tab/>
        <w:t>INFORMACIJA BRAILIO RAŠTU</w:t>
      </w:r>
    </w:p>
    <w:p w14:paraId="1783EC5E" w14:textId="77777777" w:rsidR="00381B7D" w:rsidRPr="00923E74" w:rsidRDefault="00381B7D" w:rsidP="007E15ED">
      <w:pPr>
        <w:keepNext/>
        <w:widowControl w:val="0"/>
        <w:tabs>
          <w:tab w:val="clear" w:pos="567"/>
        </w:tabs>
        <w:spacing w:line="240" w:lineRule="auto"/>
        <w:rPr>
          <w:snapToGrid/>
          <w:szCs w:val="22"/>
          <w:lang w:val="lt-LT" w:eastAsia="sl-SI"/>
        </w:rPr>
      </w:pPr>
    </w:p>
    <w:p w14:paraId="3B0F9BF4" w14:textId="77777777" w:rsidR="00381B7D" w:rsidRDefault="0077016D" w:rsidP="00A31E3A">
      <w:pPr>
        <w:widowControl w:val="0"/>
        <w:spacing w:line="240" w:lineRule="auto"/>
        <w:rPr>
          <w:snapToGrid/>
          <w:szCs w:val="22"/>
          <w:lang w:val="lt-LT"/>
        </w:rPr>
      </w:pPr>
      <w:proofErr w:type="spellStart"/>
      <w:r>
        <w:rPr>
          <w:snapToGrid/>
          <w:szCs w:val="22"/>
          <w:lang w:val="lt-LT" w:eastAsia="sl-SI"/>
        </w:rPr>
        <w:t>T</w:t>
      </w:r>
      <w:r w:rsidR="004373BE" w:rsidRPr="00923E74">
        <w:rPr>
          <w:snapToGrid/>
          <w:szCs w:val="22"/>
          <w:lang w:val="lt-LT" w:eastAsia="sl-SI"/>
        </w:rPr>
        <w:t>orzelip</w:t>
      </w:r>
      <w:proofErr w:type="spellEnd"/>
      <w:r w:rsidR="00381B7D" w:rsidRPr="00923E74">
        <w:rPr>
          <w:snapToGrid/>
          <w:szCs w:val="22"/>
          <w:lang w:val="lt-LT" w:eastAsia="sl-SI"/>
        </w:rPr>
        <w:t xml:space="preserve"> </w:t>
      </w:r>
      <w:r w:rsidR="00762739" w:rsidRPr="00923E74">
        <w:rPr>
          <w:snapToGrid/>
          <w:szCs w:val="22"/>
          <w:lang w:val="lt-LT"/>
        </w:rPr>
        <w:t>10</w:t>
      </w:r>
      <w:r w:rsidR="00DB52C7" w:rsidRPr="00923E74">
        <w:rPr>
          <w:snapToGrid/>
          <w:szCs w:val="22"/>
          <w:lang w:val="lt-LT"/>
        </w:rPr>
        <w:t> mg</w:t>
      </w:r>
      <w:r w:rsidR="00381B7D" w:rsidRPr="00923E74">
        <w:rPr>
          <w:snapToGrid/>
          <w:szCs w:val="22"/>
          <w:lang w:val="lt-LT"/>
        </w:rPr>
        <w:t>/10</w:t>
      </w:r>
      <w:r w:rsidR="00DB52C7" w:rsidRPr="00923E74">
        <w:rPr>
          <w:snapToGrid/>
          <w:szCs w:val="22"/>
          <w:lang w:val="lt-LT"/>
        </w:rPr>
        <w:t> mg</w:t>
      </w:r>
    </w:p>
    <w:p w14:paraId="60DEB642" w14:textId="1F3CDAB9" w:rsidR="00405A15" w:rsidRPr="001E32AC" w:rsidRDefault="00405A15" w:rsidP="00A31E3A">
      <w:pPr>
        <w:widowControl w:val="0"/>
        <w:spacing w:line="240" w:lineRule="auto"/>
        <w:rPr>
          <w:snapToGrid/>
          <w:szCs w:val="22"/>
          <w:highlight w:val="lightGray"/>
          <w:lang w:val="lt-LT"/>
        </w:rPr>
      </w:pPr>
      <w:proofErr w:type="spellStart"/>
      <w:r w:rsidRPr="001E32AC">
        <w:rPr>
          <w:snapToGrid/>
          <w:szCs w:val="22"/>
          <w:highlight w:val="lightGray"/>
          <w:lang w:val="lt-LT"/>
        </w:rPr>
        <w:t>Torzelip</w:t>
      </w:r>
      <w:proofErr w:type="spellEnd"/>
      <w:r w:rsidRPr="001E32AC">
        <w:rPr>
          <w:snapToGrid/>
          <w:szCs w:val="22"/>
          <w:highlight w:val="lightGray"/>
          <w:lang w:val="lt-LT"/>
        </w:rPr>
        <w:t xml:space="preserve"> 10</w:t>
      </w:r>
      <w:r w:rsidR="006A1130">
        <w:rPr>
          <w:snapToGrid/>
          <w:szCs w:val="22"/>
          <w:highlight w:val="lightGray"/>
          <w:lang w:val="lt-LT"/>
        </w:rPr>
        <w:t> </w:t>
      </w:r>
      <w:r w:rsidRPr="001E32AC">
        <w:rPr>
          <w:snapToGrid/>
          <w:szCs w:val="22"/>
          <w:highlight w:val="lightGray"/>
          <w:lang w:val="lt-LT"/>
        </w:rPr>
        <w:t>mg/20</w:t>
      </w:r>
      <w:r w:rsidR="006A1130">
        <w:rPr>
          <w:snapToGrid/>
          <w:szCs w:val="22"/>
          <w:highlight w:val="lightGray"/>
          <w:lang w:val="lt-LT"/>
        </w:rPr>
        <w:t> </w:t>
      </w:r>
      <w:r w:rsidRPr="001E32AC">
        <w:rPr>
          <w:snapToGrid/>
          <w:szCs w:val="22"/>
          <w:highlight w:val="lightGray"/>
          <w:lang w:val="lt-LT"/>
        </w:rPr>
        <w:t>mg</w:t>
      </w:r>
    </w:p>
    <w:p w14:paraId="5B02DAEA" w14:textId="12949CE1" w:rsidR="00405A15" w:rsidRPr="001E32AC" w:rsidRDefault="00405A15" w:rsidP="00A31E3A">
      <w:pPr>
        <w:widowControl w:val="0"/>
        <w:spacing w:line="240" w:lineRule="auto"/>
        <w:rPr>
          <w:snapToGrid/>
          <w:szCs w:val="22"/>
          <w:highlight w:val="lightGray"/>
          <w:lang w:val="lt-LT"/>
        </w:rPr>
      </w:pPr>
      <w:proofErr w:type="spellStart"/>
      <w:r w:rsidRPr="001E32AC">
        <w:rPr>
          <w:snapToGrid/>
          <w:szCs w:val="22"/>
          <w:highlight w:val="lightGray"/>
          <w:lang w:val="lt-LT"/>
        </w:rPr>
        <w:t>Torzelip</w:t>
      </w:r>
      <w:proofErr w:type="spellEnd"/>
      <w:r w:rsidRPr="001E32AC">
        <w:rPr>
          <w:snapToGrid/>
          <w:szCs w:val="22"/>
          <w:highlight w:val="lightGray"/>
          <w:lang w:val="lt-LT"/>
        </w:rPr>
        <w:t xml:space="preserve"> 10</w:t>
      </w:r>
      <w:r w:rsidR="006A1130">
        <w:rPr>
          <w:snapToGrid/>
          <w:szCs w:val="22"/>
          <w:highlight w:val="lightGray"/>
          <w:lang w:val="lt-LT"/>
        </w:rPr>
        <w:t> </w:t>
      </w:r>
      <w:r w:rsidRPr="001E32AC">
        <w:rPr>
          <w:snapToGrid/>
          <w:szCs w:val="22"/>
          <w:highlight w:val="lightGray"/>
          <w:lang w:val="lt-LT"/>
        </w:rPr>
        <w:t>mg/40</w:t>
      </w:r>
      <w:r w:rsidR="006A1130">
        <w:rPr>
          <w:snapToGrid/>
          <w:szCs w:val="22"/>
          <w:highlight w:val="lightGray"/>
          <w:lang w:val="lt-LT"/>
        </w:rPr>
        <w:t> </w:t>
      </w:r>
      <w:r w:rsidRPr="001E32AC">
        <w:rPr>
          <w:snapToGrid/>
          <w:szCs w:val="22"/>
          <w:highlight w:val="lightGray"/>
          <w:lang w:val="lt-LT"/>
        </w:rPr>
        <w:t>mg</w:t>
      </w:r>
    </w:p>
    <w:p w14:paraId="17953427" w14:textId="13718AD7" w:rsidR="00405A15" w:rsidRDefault="00405A15" w:rsidP="00A31E3A">
      <w:pPr>
        <w:widowControl w:val="0"/>
        <w:spacing w:line="240" w:lineRule="auto"/>
        <w:rPr>
          <w:snapToGrid/>
          <w:szCs w:val="22"/>
          <w:lang w:val="lt-LT"/>
        </w:rPr>
      </w:pPr>
      <w:proofErr w:type="spellStart"/>
      <w:r w:rsidRPr="001E32AC">
        <w:rPr>
          <w:snapToGrid/>
          <w:szCs w:val="22"/>
          <w:highlight w:val="lightGray"/>
          <w:lang w:val="lt-LT"/>
        </w:rPr>
        <w:t>Torzelip</w:t>
      </w:r>
      <w:proofErr w:type="spellEnd"/>
      <w:r w:rsidRPr="001E32AC">
        <w:rPr>
          <w:snapToGrid/>
          <w:szCs w:val="22"/>
          <w:highlight w:val="lightGray"/>
          <w:lang w:val="lt-LT"/>
        </w:rPr>
        <w:t xml:space="preserve"> 10</w:t>
      </w:r>
      <w:r w:rsidR="006A1130">
        <w:rPr>
          <w:snapToGrid/>
          <w:szCs w:val="22"/>
          <w:highlight w:val="lightGray"/>
          <w:lang w:val="lt-LT"/>
        </w:rPr>
        <w:t> </w:t>
      </w:r>
      <w:r w:rsidRPr="001E32AC">
        <w:rPr>
          <w:snapToGrid/>
          <w:szCs w:val="22"/>
          <w:highlight w:val="lightGray"/>
          <w:lang w:val="lt-LT"/>
        </w:rPr>
        <w:t>mg/80</w:t>
      </w:r>
      <w:r w:rsidR="006A1130">
        <w:rPr>
          <w:snapToGrid/>
          <w:szCs w:val="22"/>
          <w:highlight w:val="lightGray"/>
          <w:lang w:val="lt-LT"/>
        </w:rPr>
        <w:t> </w:t>
      </w:r>
      <w:r w:rsidRPr="001E32AC">
        <w:rPr>
          <w:snapToGrid/>
          <w:szCs w:val="22"/>
          <w:highlight w:val="lightGray"/>
          <w:lang w:val="lt-LT"/>
        </w:rPr>
        <w:t>mg</w:t>
      </w:r>
    </w:p>
    <w:p w14:paraId="51FE7A48" w14:textId="77777777" w:rsidR="00381B7D" w:rsidRPr="00923E74" w:rsidRDefault="00381B7D" w:rsidP="00A31E3A">
      <w:pPr>
        <w:widowControl w:val="0"/>
        <w:tabs>
          <w:tab w:val="clear" w:pos="567"/>
        </w:tabs>
        <w:spacing w:line="240" w:lineRule="auto"/>
        <w:rPr>
          <w:snapToGrid/>
          <w:szCs w:val="22"/>
          <w:lang w:val="lt-LT" w:eastAsia="sl-SI"/>
        </w:rPr>
      </w:pPr>
    </w:p>
    <w:p w14:paraId="2AA60C40" w14:textId="77777777" w:rsidR="00381B7D" w:rsidRPr="00923E74" w:rsidRDefault="00381B7D" w:rsidP="00A31E3A">
      <w:pPr>
        <w:widowControl w:val="0"/>
        <w:tabs>
          <w:tab w:val="clear" w:pos="567"/>
        </w:tabs>
        <w:spacing w:line="240" w:lineRule="auto"/>
        <w:rPr>
          <w:snapToGrid/>
          <w:szCs w:val="22"/>
          <w:lang w:val="lt-LT" w:eastAsia="sl-SI"/>
        </w:rPr>
      </w:pPr>
    </w:p>
    <w:p w14:paraId="3F30C2E6" w14:textId="3599B98E"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923E74">
        <w:rPr>
          <w:b/>
          <w:snapToGrid/>
          <w:szCs w:val="22"/>
          <w:lang w:val="lt-LT" w:eastAsia="sl-SI"/>
        </w:rPr>
        <w:t>17.</w:t>
      </w:r>
      <w:r w:rsidRPr="00923E74">
        <w:rPr>
          <w:b/>
          <w:snapToGrid/>
          <w:szCs w:val="22"/>
          <w:lang w:val="lt-LT" w:eastAsia="sl-SI"/>
        </w:rPr>
        <w:tab/>
        <w:t>UNIKALUS IDENTIFIKATORIUS</w:t>
      </w:r>
      <w:r w:rsidR="004F6F0A">
        <w:rPr>
          <w:b/>
          <w:snapToGrid/>
          <w:szCs w:val="22"/>
          <w:lang w:val="lt-LT" w:eastAsia="sl-SI"/>
        </w:rPr>
        <w:t xml:space="preserve"> </w:t>
      </w:r>
      <w:r w:rsidRPr="00923E74">
        <w:rPr>
          <w:b/>
          <w:snapToGrid/>
          <w:szCs w:val="22"/>
          <w:lang w:val="lt-LT" w:eastAsia="sl-SI"/>
        </w:rPr>
        <w:t>– 2D BRŪKŠNINIS K</w:t>
      </w:r>
      <w:r w:rsidR="008C7A53">
        <w:rPr>
          <w:b/>
          <w:snapToGrid/>
          <w:szCs w:val="22"/>
          <w:lang w:val="lt-LT" w:eastAsia="sl-SI"/>
        </w:rPr>
        <w:t>OD</w:t>
      </w:r>
      <w:r w:rsidRPr="00923E74">
        <w:rPr>
          <w:b/>
          <w:snapToGrid/>
          <w:szCs w:val="22"/>
          <w:lang w:val="lt-LT" w:eastAsia="sl-SI"/>
        </w:rPr>
        <w:t>AS</w:t>
      </w:r>
    </w:p>
    <w:p w14:paraId="4CB1CE9D" w14:textId="77777777" w:rsidR="00381B7D" w:rsidRPr="00923E74" w:rsidRDefault="00381B7D" w:rsidP="007E15ED">
      <w:pPr>
        <w:keepNext/>
        <w:widowControl w:val="0"/>
        <w:tabs>
          <w:tab w:val="clear" w:pos="567"/>
        </w:tabs>
        <w:spacing w:line="240" w:lineRule="auto"/>
        <w:rPr>
          <w:snapToGrid/>
          <w:szCs w:val="22"/>
          <w:lang w:val="lt-LT" w:eastAsia="sl-SI"/>
        </w:rPr>
      </w:pPr>
    </w:p>
    <w:p w14:paraId="5C504DCD" w14:textId="77777777" w:rsidR="00381B7D" w:rsidRPr="0043375A" w:rsidRDefault="00381B7D" w:rsidP="00A31E3A">
      <w:pPr>
        <w:widowControl w:val="0"/>
        <w:spacing w:line="240" w:lineRule="auto"/>
        <w:ind w:right="-1"/>
        <w:rPr>
          <w:snapToGrid/>
          <w:szCs w:val="22"/>
          <w:highlight w:val="lightGray"/>
          <w:lang w:val="lt-LT" w:eastAsia="sl-SI"/>
        </w:rPr>
      </w:pPr>
      <w:r w:rsidRPr="0043375A">
        <w:rPr>
          <w:snapToGrid/>
          <w:szCs w:val="22"/>
          <w:highlight w:val="lightGray"/>
          <w:lang w:val="lt-LT" w:eastAsia="sl-SI"/>
        </w:rPr>
        <w:t>2D brūkšninis kodas su nurodytu unikaliu identifikatoriumi.</w:t>
      </w:r>
    </w:p>
    <w:p w14:paraId="0FC5997A" w14:textId="77777777" w:rsidR="00381B7D" w:rsidRPr="0043375A" w:rsidRDefault="00381B7D" w:rsidP="00A31E3A">
      <w:pPr>
        <w:widowControl w:val="0"/>
        <w:spacing w:line="240" w:lineRule="auto"/>
        <w:ind w:right="-1"/>
        <w:rPr>
          <w:snapToGrid/>
          <w:szCs w:val="22"/>
          <w:highlight w:val="lightGray"/>
          <w:lang w:val="lt-LT" w:eastAsia="sl-SI"/>
        </w:rPr>
      </w:pPr>
    </w:p>
    <w:p w14:paraId="2A9D954B" w14:textId="77777777" w:rsidR="00381B7D" w:rsidRPr="00923E74" w:rsidRDefault="00381B7D" w:rsidP="00A31E3A">
      <w:pPr>
        <w:widowControl w:val="0"/>
        <w:tabs>
          <w:tab w:val="clear" w:pos="567"/>
        </w:tabs>
        <w:spacing w:line="240" w:lineRule="auto"/>
        <w:ind w:right="-1"/>
        <w:rPr>
          <w:snapToGrid/>
          <w:szCs w:val="22"/>
          <w:lang w:val="lt-LT" w:eastAsia="sl-SI"/>
        </w:rPr>
      </w:pPr>
    </w:p>
    <w:p w14:paraId="7A752C05" w14:textId="6570585F"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923E74">
        <w:rPr>
          <w:b/>
          <w:snapToGrid/>
          <w:szCs w:val="22"/>
          <w:lang w:val="lt-LT" w:eastAsia="sl-SI"/>
        </w:rPr>
        <w:t>18.</w:t>
      </w:r>
      <w:r w:rsidRPr="00923E74">
        <w:rPr>
          <w:b/>
          <w:snapToGrid/>
          <w:szCs w:val="22"/>
          <w:lang w:val="lt-LT" w:eastAsia="sl-SI"/>
        </w:rPr>
        <w:tab/>
        <w:t>UNIKALUS IDENTIFIKATORIUS</w:t>
      </w:r>
      <w:r w:rsidR="004F6F0A">
        <w:rPr>
          <w:b/>
          <w:snapToGrid/>
          <w:szCs w:val="22"/>
          <w:lang w:val="lt-LT" w:eastAsia="sl-SI"/>
        </w:rPr>
        <w:t xml:space="preserve"> </w:t>
      </w:r>
      <w:r w:rsidRPr="00923E74">
        <w:rPr>
          <w:b/>
          <w:snapToGrid/>
          <w:szCs w:val="22"/>
          <w:lang w:val="lt-LT" w:eastAsia="sl-SI"/>
        </w:rPr>
        <w:t>– ŽMONĖMS SUPRANTAMI DUOMENYS</w:t>
      </w:r>
    </w:p>
    <w:p w14:paraId="7C26AA7B" w14:textId="77777777" w:rsidR="00381B7D" w:rsidRPr="00923E74" w:rsidRDefault="00381B7D" w:rsidP="007E15ED">
      <w:pPr>
        <w:keepNext/>
        <w:widowControl w:val="0"/>
        <w:tabs>
          <w:tab w:val="clear" w:pos="567"/>
        </w:tabs>
        <w:spacing w:line="240" w:lineRule="auto"/>
        <w:rPr>
          <w:snapToGrid/>
          <w:szCs w:val="22"/>
          <w:lang w:val="lt-LT" w:eastAsia="sl-SI"/>
        </w:rPr>
      </w:pPr>
    </w:p>
    <w:p w14:paraId="72673BD3" w14:textId="7EA0B78A" w:rsidR="00381B7D" w:rsidRPr="00923E74" w:rsidRDefault="00381B7D" w:rsidP="00A31E3A">
      <w:pPr>
        <w:widowControl w:val="0"/>
        <w:spacing w:line="240" w:lineRule="auto"/>
        <w:ind w:right="-1"/>
        <w:rPr>
          <w:snapToGrid/>
          <w:szCs w:val="22"/>
          <w:lang w:val="lt-LT" w:eastAsia="sl-SI"/>
        </w:rPr>
      </w:pPr>
      <w:r w:rsidRPr="00923E74">
        <w:rPr>
          <w:snapToGrid/>
          <w:szCs w:val="22"/>
          <w:lang w:val="lt-LT" w:eastAsia="sl-SI"/>
        </w:rPr>
        <w:t>PC</w:t>
      </w:r>
    </w:p>
    <w:p w14:paraId="7D6EF354" w14:textId="76AE2908" w:rsidR="00381B7D" w:rsidRPr="00923E74" w:rsidRDefault="00381B7D" w:rsidP="00A31E3A">
      <w:pPr>
        <w:widowControl w:val="0"/>
        <w:spacing w:line="240" w:lineRule="auto"/>
        <w:ind w:right="-1"/>
        <w:rPr>
          <w:snapToGrid/>
          <w:szCs w:val="22"/>
          <w:lang w:val="lt-LT" w:eastAsia="sl-SI"/>
        </w:rPr>
      </w:pPr>
      <w:r w:rsidRPr="00923E74">
        <w:rPr>
          <w:snapToGrid/>
          <w:szCs w:val="22"/>
          <w:lang w:val="lt-LT" w:eastAsia="sl-SI"/>
        </w:rPr>
        <w:t>SN</w:t>
      </w:r>
    </w:p>
    <w:p w14:paraId="2479CA17" w14:textId="12691A82" w:rsidR="00381B7D" w:rsidRPr="00923E74" w:rsidRDefault="00381B7D" w:rsidP="00A31E3A">
      <w:pPr>
        <w:widowControl w:val="0"/>
        <w:spacing w:line="240" w:lineRule="auto"/>
        <w:ind w:right="-1"/>
        <w:rPr>
          <w:snapToGrid/>
          <w:szCs w:val="22"/>
          <w:lang w:val="lt-LT" w:eastAsia="sl-SI"/>
        </w:rPr>
      </w:pPr>
      <w:r w:rsidRPr="007E15ED">
        <w:rPr>
          <w:snapToGrid/>
          <w:szCs w:val="22"/>
          <w:highlight w:val="lightGray"/>
          <w:lang w:val="lt-LT" w:eastAsia="sl-SI"/>
        </w:rPr>
        <w:t>NN</w:t>
      </w:r>
    </w:p>
    <w:p w14:paraId="1A6EFADD" w14:textId="21FB21E9" w:rsidR="00381B7D" w:rsidRPr="00923E74" w:rsidRDefault="00762739" w:rsidP="007E15ED">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sidRPr="00923E74">
        <w:rPr>
          <w:snapToGrid/>
          <w:szCs w:val="22"/>
          <w:lang w:val="lt-LT" w:eastAsia="sl-SI"/>
        </w:rPr>
        <w:br w:type="page"/>
      </w:r>
      <w:r w:rsidR="00381B7D" w:rsidRPr="00923E74">
        <w:rPr>
          <w:b/>
          <w:snapToGrid/>
          <w:szCs w:val="22"/>
          <w:lang w:val="lt-LT" w:eastAsia="sl-SI"/>
        </w:rPr>
        <w:lastRenderedPageBreak/>
        <w:t xml:space="preserve">MINIMALI </w:t>
      </w:r>
      <w:r w:rsidR="00381B7D" w:rsidRPr="00923E74">
        <w:rPr>
          <w:b/>
          <w:caps/>
          <w:snapToGrid/>
          <w:szCs w:val="22"/>
          <w:lang w:val="lt-LT" w:eastAsia="sl-SI"/>
        </w:rPr>
        <w:t xml:space="preserve">informacija ant </w:t>
      </w:r>
      <w:r w:rsidR="00381B7D" w:rsidRPr="00923E74">
        <w:rPr>
          <w:b/>
          <w:snapToGrid/>
          <w:szCs w:val="22"/>
          <w:lang w:val="lt-LT" w:eastAsia="sl-SI"/>
        </w:rPr>
        <w:t>LIZDINIŲ PLOKŠTELIŲ ARBA DVISLUOKSNIŲ JUOSTELIŲ</w:t>
      </w:r>
    </w:p>
    <w:p w14:paraId="2E9AA4F6"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7DB73F70" w14:textId="77777777" w:rsidR="00381B7D" w:rsidRPr="00923E74"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sidRPr="00923E74">
        <w:rPr>
          <w:b/>
          <w:snapToGrid/>
          <w:szCs w:val="22"/>
          <w:lang w:val="lt-LT" w:eastAsia="sl-SI"/>
        </w:rPr>
        <w:t>LIZDINĖ PLOKŠTELĖ</w:t>
      </w:r>
    </w:p>
    <w:p w14:paraId="7A09B63A" w14:textId="77777777" w:rsidR="00381B7D" w:rsidRPr="00923E74" w:rsidRDefault="00381B7D" w:rsidP="007E15ED">
      <w:pPr>
        <w:keepNext/>
        <w:widowControl w:val="0"/>
        <w:tabs>
          <w:tab w:val="clear" w:pos="567"/>
        </w:tabs>
        <w:spacing w:line="240" w:lineRule="auto"/>
        <w:rPr>
          <w:snapToGrid/>
          <w:szCs w:val="22"/>
          <w:lang w:val="lt-LT" w:eastAsia="sl-SI"/>
        </w:rPr>
      </w:pPr>
    </w:p>
    <w:p w14:paraId="61A0C9BA" w14:textId="77777777" w:rsidR="00381B7D" w:rsidRPr="00923E74" w:rsidRDefault="00381B7D" w:rsidP="007E15ED">
      <w:pPr>
        <w:keepNext/>
        <w:widowControl w:val="0"/>
        <w:tabs>
          <w:tab w:val="clear" w:pos="567"/>
        </w:tabs>
        <w:spacing w:line="240" w:lineRule="auto"/>
        <w:rPr>
          <w:snapToGrid/>
          <w:szCs w:val="22"/>
          <w:lang w:val="lt-LT" w:eastAsia="sl-SI"/>
        </w:rPr>
      </w:pPr>
    </w:p>
    <w:p w14:paraId="7067CBBE"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1.</w:t>
      </w:r>
      <w:r w:rsidRPr="00923E74">
        <w:rPr>
          <w:b/>
          <w:snapToGrid/>
          <w:szCs w:val="22"/>
          <w:lang w:val="lt-LT" w:eastAsia="sl-SI"/>
        </w:rPr>
        <w:tab/>
        <w:t>VAISTINIO PREPARATO PAVADINIMAS</w:t>
      </w:r>
    </w:p>
    <w:p w14:paraId="59003CCC" w14:textId="77777777" w:rsidR="00381B7D" w:rsidRPr="00923E74" w:rsidRDefault="00381B7D" w:rsidP="007E15ED">
      <w:pPr>
        <w:keepNext/>
        <w:widowControl w:val="0"/>
        <w:tabs>
          <w:tab w:val="clear" w:pos="567"/>
        </w:tabs>
        <w:spacing w:line="240" w:lineRule="auto"/>
        <w:rPr>
          <w:snapToGrid/>
          <w:szCs w:val="22"/>
          <w:lang w:val="lt-LT" w:eastAsia="sl-SI"/>
        </w:rPr>
      </w:pPr>
    </w:p>
    <w:p w14:paraId="792932DA" w14:textId="77777777" w:rsidR="00381B7D" w:rsidRPr="00923E74" w:rsidRDefault="004373BE" w:rsidP="00A31E3A">
      <w:pPr>
        <w:widowControl w:val="0"/>
        <w:spacing w:line="240" w:lineRule="auto"/>
        <w:rPr>
          <w:snapToGrid/>
          <w:szCs w:val="22"/>
          <w:lang w:val="lt-LT"/>
        </w:rPr>
      </w:pPr>
      <w:proofErr w:type="spellStart"/>
      <w:r w:rsidRPr="00923E74">
        <w:rPr>
          <w:snapToGrid/>
          <w:szCs w:val="22"/>
          <w:lang w:val="lt-LT" w:eastAsia="sl-SI"/>
        </w:rPr>
        <w:t>Torzelip</w:t>
      </w:r>
      <w:proofErr w:type="spellEnd"/>
      <w:r w:rsidR="00381B7D" w:rsidRPr="00923E74">
        <w:rPr>
          <w:snapToGrid/>
          <w:szCs w:val="22"/>
          <w:lang w:val="lt-LT" w:eastAsia="sl-SI"/>
        </w:rPr>
        <w:t xml:space="preserve"> </w:t>
      </w:r>
      <w:r w:rsidR="00762739" w:rsidRPr="00923E74">
        <w:rPr>
          <w:snapToGrid/>
          <w:szCs w:val="22"/>
          <w:lang w:val="lt-LT"/>
        </w:rPr>
        <w:t>10</w:t>
      </w:r>
      <w:r w:rsidR="00DB52C7" w:rsidRPr="00923E74">
        <w:rPr>
          <w:snapToGrid/>
          <w:szCs w:val="22"/>
          <w:lang w:val="lt-LT"/>
        </w:rPr>
        <w:t> mg</w:t>
      </w:r>
      <w:r w:rsidR="00381B7D" w:rsidRPr="00923E74">
        <w:rPr>
          <w:snapToGrid/>
          <w:szCs w:val="22"/>
          <w:lang w:val="lt-LT"/>
        </w:rPr>
        <w:t>/10</w:t>
      </w:r>
      <w:r w:rsidR="00DB52C7" w:rsidRPr="00923E74">
        <w:rPr>
          <w:snapToGrid/>
          <w:szCs w:val="22"/>
          <w:lang w:val="lt-LT"/>
        </w:rPr>
        <w:t> mg</w:t>
      </w:r>
      <w:r w:rsidR="00381B7D" w:rsidRPr="00923E74">
        <w:rPr>
          <w:snapToGrid/>
          <w:szCs w:val="22"/>
          <w:lang w:val="lt-LT"/>
        </w:rPr>
        <w:t xml:space="preserve"> tabletės</w:t>
      </w:r>
    </w:p>
    <w:p w14:paraId="3C90BFBE" w14:textId="77777777" w:rsidR="00381B7D" w:rsidRPr="0043375A" w:rsidRDefault="004373BE" w:rsidP="00A31E3A">
      <w:pPr>
        <w:widowControl w:val="0"/>
        <w:spacing w:line="240" w:lineRule="auto"/>
        <w:rPr>
          <w:snapToGrid/>
          <w:szCs w:val="22"/>
          <w:highlight w:val="lightGray"/>
          <w:lang w:val="lt-LT"/>
        </w:rPr>
      </w:pPr>
      <w:bookmarkStart w:id="16" w:name="_Hlk16454755"/>
      <w:proofErr w:type="spellStart"/>
      <w:r w:rsidRPr="0043375A">
        <w:rPr>
          <w:snapToGrid/>
          <w:szCs w:val="22"/>
          <w:highlight w:val="lightGray"/>
          <w:lang w:val="lt-LT" w:eastAsia="sl-SI"/>
        </w:rPr>
        <w:t>Torzelip</w:t>
      </w:r>
      <w:proofErr w:type="spellEnd"/>
      <w:r w:rsidR="00381B7D" w:rsidRPr="0043375A">
        <w:rPr>
          <w:snapToGrid/>
          <w:szCs w:val="22"/>
          <w:highlight w:val="lightGray"/>
          <w:lang w:val="lt-LT" w:eastAsia="sl-SI"/>
        </w:rPr>
        <w:t xml:space="preserve"> </w:t>
      </w:r>
      <w:r w:rsidR="00381B7D" w:rsidRPr="0043375A">
        <w:rPr>
          <w:snapToGrid/>
          <w:szCs w:val="22"/>
          <w:highlight w:val="lightGray"/>
          <w:lang w:val="lt-LT"/>
        </w:rPr>
        <w:t>10</w:t>
      </w:r>
      <w:r w:rsidR="00DB52C7" w:rsidRPr="0043375A">
        <w:rPr>
          <w:snapToGrid/>
          <w:szCs w:val="22"/>
          <w:highlight w:val="lightGray"/>
          <w:lang w:val="lt-LT"/>
        </w:rPr>
        <w:t> mg</w:t>
      </w:r>
      <w:r w:rsidR="00381B7D" w:rsidRPr="0043375A">
        <w:rPr>
          <w:snapToGrid/>
          <w:szCs w:val="22"/>
          <w:highlight w:val="lightGray"/>
          <w:lang w:val="lt-LT"/>
        </w:rPr>
        <w:t>/</w:t>
      </w:r>
      <w:r w:rsidR="00762739" w:rsidRPr="0043375A">
        <w:rPr>
          <w:snapToGrid/>
          <w:szCs w:val="22"/>
          <w:highlight w:val="lightGray"/>
          <w:lang w:val="lt-LT"/>
        </w:rPr>
        <w:t>2</w:t>
      </w:r>
      <w:r w:rsidR="00381B7D" w:rsidRPr="0043375A">
        <w:rPr>
          <w:snapToGrid/>
          <w:szCs w:val="22"/>
          <w:highlight w:val="lightGray"/>
          <w:lang w:val="lt-LT"/>
        </w:rPr>
        <w:t>0</w:t>
      </w:r>
      <w:r w:rsidR="00DB52C7" w:rsidRPr="0043375A">
        <w:rPr>
          <w:snapToGrid/>
          <w:szCs w:val="22"/>
          <w:highlight w:val="lightGray"/>
          <w:lang w:val="lt-LT"/>
        </w:rPr>
        <w:t> mg</w:t>
      </w:r>
      <w:r w:rsidR="00381B7D" w:rsidRPr="0043375A">
        <w:rPr>
          <w:snapToGrid/>
          <w:szCs w:val="22"/>
          <w:highlight w:val="lightGray"/>
          <w:lang w:val="lt-LT"/>
        </w:rPr>
        <w:t xml:space="preserve"> tabletės</w:t>
      </w:r>
    </w:p>
    <w:p w14:paraId="1818C141" w14:textId="77777777" w:rsidR="00381B7D" w:rsidRPr="0043375A" w:rsidRDefault="004373BE" w:rsidP="00A31E3A">
      <w:pPr>
        <w:widowControl w:val="0"/>
        <w:spacing w:line="240" w:lineRule="auto"/>
        <w:rPr>
          <w:snapToGrid/>
          <w:szCs w:val="22"/>
          <w:highlight w:val="lightGray"/>
          <w:lang w:val="lt-LT"/>
        </w:rPr>
      </w:pPr>
      <w:proofErr w:type="spellStart"/>
      <w:r w:rsidRPr="0043375A">
        <w:rPr>
          <w:snapToGrid/>
          <w:szCs w:val="22"/>
          <w:highlight w:val="lightGray"/>
          <w:lang w:val="lt-LT" w:eastAsia="sl-SI"/>
        </w:rPr>
        <w:t>Torzelip</w:t>
      </w:r>
      <w:proofErr w:type="spellEnd"/>
      <w:r w:rsidR="00381B7D" w:rsidRPr="0043375A">
        <w:rPr>
          <w:snapToGrid/>
          <w:szCs w:val="22"/>
          <w:highlight w:val="lightGray"/>
          <w:lang w:val="lt-LT" w:eastAsia="sl-SI"/>
        </w:rPr>
        <w:t xml:space="preserve"> </w:t>
      </w:r>
      <w:r w:rsidR="00381B7D" w:rsidRPr="0043375A">
        <w:rPr>
          <w:snapToGrid/>
          <w:szCs w:val="22"/>
          <w:highlight w:val="lightGray"/>
          <w:lang w:val="lt-LT"/>
        </w:rPr>
        <w:t>1</w:t>
      </w:r>
      <w:r w:rsidR="00762739" w:rsidRPr="0043375A">
        <w:rPr>
          <w:snapToGrid/>
          <w:szCs w:val="22"/>
          <w:highlight w:val="lightGray"/>
          <w:lang w:val="lt-LT"/>
        </w:rPr>
        <w:t>0</w:t>
      </w:r>
      <w:r w:rsidR="00DB52C7" w:rsidRPr="0043375A">
        <w:rPr>
          <w:snapToGrid/>
          <w:szCs w:val="22"/>
          <w:highlight w:val="lightGray"/>
          <w:lang w:val="lt-LT"/>
        </w:rPr>
        <w:t> mg</w:t>
      </w:r>
      <w:r w:rsidR="00381B7D" w:rsidRPr="0043375A">
        <w:rPr>
          <w:snapToGrid/>
          <w:szCs w:val="22"/>
          <w:highlight w:val="lightGray"/>
          <w:lang w:val="lt-LT"/>
        </w:rPr>
        <w:t>/</w:t>
      </w:r>
      <w:r w:rsidR="00762739" w:rsidRPr="0043375A">
        <w:rPr>
          <w:snapToGrid/>
          <w:szCs w:val="22"/>
          <w:highlight w:val="lightGray"/>
          <w:lang w:val="lt-LT"/>
        </w:rPr>
        <w:t>4</w:t>
      </w:r>
      <w:r w:rsidR="00381B7D" w:rsidRPr="0043375A">
        <w:rPr>
          <w:snapToGrid/>
          <w:szCs w:val="22"/>
          <w:highlight w:val="lightGray"/>
          <w:lang w:val="lt-LT"/>
        </w:rPr>
        <w:t>0</w:t>
      </w:r>
      <w:r w:rsidR="00DB52C7" w:rsidRPr="0043375A">
        <w:rPr>
          <w:snapToGrid/>
          <w:szCs w:val="22"/>
          <w:highlight w:val="lightGray"/>
          <w:lang w:val="lt-LT"/>
        </w:rPr>
        <w:t> mg</w:t>
      </w:r>
      <w:r w:rsidR="00381B7D" w:rsidRPr="0043375A">
        <w:rPr>
          <w:snapToGrid/>
          <w:szCs w:val="22"/>
          <w:highlight w:val="lightGray"/>
          <w:lang w:val="lt-LT"/>
        </w:rPr>
        <w:t xml:space="preserve"> tabletės</w:t>
      </w:r>
    </w:p>
    <w:p w14:paraId="08BA9D4E" w14:textId="77777777" w:rsidR="00381B7D" w:rsidRPr="0043375A" w:rsidRDefault="004373BE" w:rsidP="00A31E3A">
      <w:pPr>
        <w:widowControl w:val="0"/>
        <w:spacing w:line="240" w:lineRule="auto"/>
        <w:rPr>
          <w:snapToGrid/>
          <w:szCs w:val="22"/>
          <w:highlight w:val="lightGray"/>
          <w:lang w:val="lt-LT"/>
        </w:rPr>
      </w:pPr>
      <w:proofErr w:type="spellStart"/>
      <w:r w:rsidRPr="0043375A">
        <w:rPr>
          <w:snapToGrid/>
          <w:szCs w:val="22"/>
          <w:highlight w:val="lightGray"/>
          <w:lang w:val="lt-LT" w:eastAsia="sl-SI"/>
        </w:rPr>
        <w:t>Torzelip</w:t>
      </w:r>
      <w:proofErr w:type="spellEnd"/>
      <w:r w:rsidR="00381B7D" w:rsidRPr="0043375A">
        <w:rPr>
          <w:snapToGrid/>
          <w:szCs w:val="22"/>
          <w:highlight w:val="lightGray"/>
          <w:lang w:val="lt-LT" w:eastAsia="sl-SI"/>
        </w:rPr>
        <w:t xml:space="preserve"> </w:t>
      </w:r>
      <w:r w:rsidR="00762739" w:rsidRPr="0043375A">
        <w:rPr>
          <w:snapToGrid/>
          <w:szCs w:val="22"/>
          <w:highlight w:val="lightGray"/>
          <w:lang w:val="lt-LT"/>
        </w:rPr>
        <w:t>1</w:t>
      </w:r>
      <w:r w:rsidR="00381B7D" w:rsidRPr="0043375A">
        <w:rPr>
          <w:snapToGrid/>
          <w:szCs w:val="22"/>
          <w:highlight w:val="lightGray"/>
          <w:lang w:val="lt-LT"/>
        </w:rPr>
        <w:t>0</w:t>
      </w:r>
      <w:r w:rsidR="00DB52C7" w:rsidRPr="0043375A">
        <w:rPr>
          <w:snapToGrid/>
          <w:szCs w:val="22"/>
          <w:highlight w:val="lightGray"/>
          <w:lang w:val="lt-LT"/>
        </w:rPr>
        <w:t> mg</w:t>
      </w:r>
      <w:r w:rsidR="00381B7D" w:rsidRPr="0043375A">
        <w:rPr>
          <w:snapToGrid/>
          <w:szCs w:val="22"/>
          <w:highlight w:val="lightGray"/>
          <w:lang w:val="lt-LT"/>
        </w:rPr>
        <w:t>/</w:t>
      </w:r>
      <w:r w:rsidR="00762739" w:rsidRPr="0043375A">
        <w:rPr>
          <w:snapToGrid/>
          <w:szCs w:val="22"/>
          <w:highlight w:val="lightGray"/>
          <w:lang w:val="lt-LT"/>
        </w:rPr>
        <w:t>8</w:t>
      </w:r>
      <w:r w:rsidR="00381B7D" w:rsidRPr="0043375A">
        <w:rPr>
          <w:snapToGrid/>
          <w:szCs w:val="22"/>
          <w:highlight w:val="lightGray"/>
          <w:lang w:val="lt-LT"/>
        </w:rPr>
        <w:t>0</w:t>
      </w:r>
      <w:r w:rsidR="00DB52C7" w:rsidRPr="0043375A">
        <w:rPr>
          <w:snapToGrid/>
          <w:szCs w:val="22"/>
          <w:highlight w:val="lightGray"/>
          <w:lang w:val="lt-LT"/>
        </w:rPr>
        <w:t> mg</w:t>
      </w:r>
      <w:r w:rsidR="00381B7D" w:rsidRPr="0043375A">
        <w:rPr>
          <w:snapToGrid/>
          <w:szCs w:val="22"/>
          <w:highlight w:val="lightGray"/>
          <w:lang w:val="lt-LT"/>
        </w:rPr>
        <w:t xml:space="preserve"> tabletės</w:t>
      </w:r>
    </w:p>
    <w:bookmarkEnd w:id="16"/>
    <w:p w14:paraId="7A315FC5" w14:textId="77777777" w:rsidR="00381B7D" w:rsidRPr="00923E74" w:rsidRDefault="00381B7D" w:rsidP="00A31E3A">
      <w:pPr>
        <w:widowControl w:val="0"/>
        <w:tabs>
          <w:tab w:val="clear" w:pos="567"/>
        </w:tabs>
        <w:spacing w:line="240" w:lineRule="auto"/>
        <w:rPr>
          <w:snapToGrid/>
          <w:szCs w:val="22"/>
          <w:lang w:val="lt-LT" w:eastAsia="sl-SI"/>
        </w:rPr>
      </w:pPr>
    </w:p>
    <w:p w14:paraId="53340FBC" w14:textId="32D9433B" w:rsidR="00381B7D" w:rsidRPr="0054203F" w:rsidRDefault="00256BE7" w:rsidP="00A31E3A">
      <w:pPr>
        <w:widowControl w:val="0"/>
        <w:tabs>
          <w:tab w:val="clear" w:pos="567"/>
        </w:tabs>
        <w:spacing w:line="240" w:lineRule="auto"/>
        <w:rPr>
          <w:i/>
          <w:iCs/>
          <w:snapToGrid/>
          <w:szCs w:val="22"/>
          <w:lang w:val="lt-LT" w:eastAsia="sl-SI"/>
        </w:rPr>
      </w:pPr>
      <w:proofErr w:type="spellStart"/>
      <w:r w:rsidRPr="0054203F">
        <w:rPr>
          <w:i/>
          <w:iCs/>
          <w:snapToGrid/>
          <w:szCs w:val="22"/>
          <w:lang w:val="lt-LT" w:eastAsia="sl-SI"/>
        </w:rPr>
        <w:t>e</w:t>
      </w:r>
      <w:r w:rsidR="00405A15" w:rsidRPr="0054203F">
        <w:rPr>
          <w:i/>
          <w:iCs/>
          <w:snapToGrid/>
          <w:szCs w:val="22"/>
          <w:lang w:val="lt-LT" w:eastAsia="sl-SI"/>
        </w:rPr>
        <w:t>zetimibum</w:t>
      </w:r>
      <w:proofErr w:type="spellEnd"/>
      <w:r w:rsidR="00405A15" w:rsidRPr="0054203F">
        <w:rPr>
          <w:i/>
          <w:iCs/>
          <w:snapToGrid/>
          <w:szCs w:val="22"/>
          <w:lang w:val="lt-LT" w:eastAsia="sl-SI"/>
        </w:rPr>
        <w:t>/</w:t>
      </w:r>
      <w:proofErr w:type="spellStart"/>
      <w:r w:rsidRPr="0054203F">
        <w:rPr>
          <w:i/>
          <w:iCs/>
          <w:snapToGrid/>
          <w:szCs w:val="22"/>
          <w:lang w:val="lt-LT" w:eastAsia="sl-SI"/>
        </w:rPr>
        <w:t>a</w:t>
      </w:r>
      <w:r w:rsidR="00405A15" w:rsidRPr="0054203F">
        <w:rPr>
          <w:i/>
          <w:iCs/>
          <w:snapToGrid/>
          <w:szCs w:val="22"/>
          <w:lang w:val="lt-LT" w:eastAsia="sl-SI"/>
        </w:rPr>
        <w:t>torvastatinum</w:t>
      </w:r>
      <w:proofErr w:type="spellEnd"/>
    </w:p>
    <w:p w14:paraId="0F4C9337" w14:textId="77777777" w:rsidR="00381B7D" w:rsidRDefault="00381B7D" w:rsidP="00A31E3A">
      <w:pPr>
        <w:widowControl w:val="0"/>
        <w:tabs>
          <w:tab w:val="clear" w:pos="567"/>
        </w:tabs>
        <w:spacing w:line="240" w:lineRule="auto"/>
        <w:rPr>
          <w:snapToGrid/>
          <w:szCs w:val="22"/>
          <w:lang w:val="lt-LT" w:eastAsia="sl-SI"/>
        </w:rPr>
      </w:pPr>
    </w:p>
    <w:p w14:paraId="07B85863" w14:textId="77777777" w:rsidR="00D82C0C" w:rsidRPr="00923E74" w:rsidRDefault="00D82C0C" w:rsidP="00A31E3A">
      <w:pPr>
        <w:widowControl w:val="0"/>
        <w:tabs>
          <w:tab w:val="clear" w:pos="567"/>
        </w:tabs>
        <w:spacing w:line="240" w:lineRule="auto"/>
        <w:rPr>
          <w:snapToGrid/>
          <w:szCs w:val="22"/>
          <w:lang w:val="lt-LT" w:eastAsia="sl-SI"/>
        </w:rPr>
      </w:pPr>
    </w:p>
    <w:p w14:paraId="4623724E"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2.</w:t>
      </w:r>
      <w:r w:rsidRPr="00923E74">
        <w:rPr>
          <w:b/>
          <w:snapToGrid/>
          <w:szCs w:val="22"/>
          <w:lang w:val="lt-LT" w:eastAsia="sl-SI"/>
        </w:rPr>
        <w:tab/>
        <w:t>REGISTRUOTOJO PAVADINIMAS</w:t>
      </w:r>
    </w:p>
    <w:p w14:paraId="58E4F7D8" w14:textId="77777777" w:rsidR="00381B7D" w:rsidRDefault="00381B7D" w:rsidP="00A31E3A">
      <w:pPr>
        <w:widowControl w:val="0"/>
        <w:tabs>
          <w:tab w:val="clear" w:pos="567"/>
        </w:tabs>
        <w:spacing w:line="240" w:lineRule="auto"/>
        <w:rPr>
          <w:snapToGrid/>
          <w:szCs w:val="22"/>
          <w:lang w:val="lt-LT" w:eastAsia="sl-SI"/>
        </w:rPr>
      </w:pPr>
    </w:p>
    <w:p w14:paraId="63050DAE" w14:textId="77777777" w:rsidR="00AD4AF1" w:rsidRPr="00923E74" w:rsidRDefault="00AD4AF1" w:rsidP="00A31E3A">
      <w:pPr>
        <w:widowControl w:val="0"/>
        <w:tabs>
          <w:tab w:val="clear" w:pos="567"/>
        </w:tabs>
        <w:spacing w:line="240" w:lineRule="auto"/>
        <w:rPr>
          <w:snapToGrid/>
          <w:szCs w:val="22"/>
          <w:lang w:val="lt-LT" w:eastAsia="sl-SI"/>
        </w:rPr>
      </w:pPr>
      <w:r>
        <w:rPr>
          <w:snapToGrid/>
          <w:szCs w:val="22"/>
          <w:lang w:val="lt-LT" w:eastAsia="sl-SI"/>
        </w:rPr>
        <w:t>Zentiva</w:t>
      </w:r>
    </w:p>
    <w:p w14:paraId="53EAC1D9" w14:textId="5B77F867" w:rsidR="00381B7D" w:rsidRDefault="00381B7D" w:rsidP="00A31E3A">
      <w:pPr>
        <w:widowControl w:val="0"/>
        <w:tabs>
          <w:tab w:val="clear" w:pos="567"/>
        </w:tabs>
        <w:spacing w:line="240" w:lineRule="auto"/>
        <w:rPr>
          <w:snapToGrid/>
          <w:szCs w:val="22"/>
          <w:lang w:val="lt-LT" w:eastAsia="sl-SI"/>
        </w:rPr>
      </w:pPr>
    </w:p>
    <w:p w14:paraId="2481630F" w14:textId="77777777" w:rsidR="00FA49EA" w:rsidRPr="00923E74" w:rsidRDefault="00FA49EA" w:rsidP="00A31E3A">
      <w:pPr>
        <w:widowControl w:val="0"/>
        <w:tabs>
          <w:tab w:val="clear" w:pos="567"/>
        </w:tabs>
        <w:spacing w:line="240" w:lineRule="auto"/>
        <w:rPr>
          <w:snapToGrid/>
          <w:szCs w:val="22"/>
          <w:lang w:val="lt-LT" w:eastAsia="sl-SI"/>
        </w:rPr>
      </w:pPr>
    </w:p>
    <w:p w14:paraId="701B8269"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3.</w:t>
      </w:r>
      <w:r w:rsidRPr="00923E74">
        <w:rPr>
          <w:b/>
          <w:snapToGrid/>
          <w:szCs w:val="22"/>
          <w:lang w:val="lt-LT" w:eastAsia="sl-SI"/>
        </w:rPr>
        <w:tab/>
        <w:t>TINKAMUMO LAIKAS</w:t>
      </w:r>
    </w:p>
    <w:p w14:paraId="6A66FB84" w14:textId="77777777" w:rsidR="00381B7D" w:rsidRPr="00923E74" w:rsidRDefault="00381B7D" w:rsidP="007E15ED">
      <w:pPr>
        <w:keepNext/>
        <w:widowControl w:val="0"/>
        <w:tabs>
          <w:tab w:val="clear" w:pos="567"/>
        </w:tabs>
        <w:spacing w:line="240" w:lineRule="auto"/>
        <w:rPr>
          <w:snapToGrid/>
          <w:szCs w:val="22"/>
          <w:lang w:val="lt-LT" w:eastAsia="sl-SI"/>
        </w:rPr>
      </w:pPr>
    </w:p>
    <w:p w14:paraId="0BCBDD15" w14:textId="77777777" w:rsidR="00381B7D" w:rsidRPr="00923E74" w:rsidRDefault="00FC7F62" w:rsidP="00A31E3A">
      <w:pPr>
        <w:widowControl w:val="0"/>
        <w:tabs>
          <w:tab w:val="clear" w:pos="567"/>
        </w:tabs>
        <w:spacing w:line="240" w:lineRule="auto"/>
        <w:rPr>
          <w:snapToGrid/>
          <w:szCs w:val="22"/>
          <w:lang w:val="lt-LT" w:eastAsia="sl-SI"/>
        </w:rPr>
      </w:pPr>
      <w:r w:rsidRPr="00A47FBC">
        <w:rPr>
          <w:snapToGrid/>
          <w:szCs w:val="22"/>
          <w:lang w:val="lt-LT" w:eastAsia="sl-SI"/>
        </w:rPr>
        <w:t>EXP</w:t>
      </w:r>
      <w:r w:rsidR="00AD4AF1">
        <w:rPr>
          <w:snapToGrid/>
          <w:szCs w:val="22"/>
          <w:lang w:val="lt-LT" w:eastAsia="sl-SI"/>
        </w:rPr>
        <w:t xml:space="preserve"> </w:t>
      </w:r>
      <w:r w:rsidR="00AD4AF1" w:rsidRPr="007A11B7">
        <w:rPr>
          <w:rFonts w:eastAsia="Calibri"/>
          <w:szCs w:val="22"/>
          <w:lang w:val="pt-PT"/>
        </w:rPr>
        <w:t>{mm/MMMM}</w:t>
      </w:r>
    </w:p>
    <w:p w14:paraId="26ED3836" w14:textId="77777777" w:rsidR="00381B7D" w:rsidRPr="00923E74" w:rsidRDefault="00381B7D" w:rsidP="00A31E3A">
      <w:pPr>
        <w:widowControl w:val="0"/>
        <w:tabs>
          <w:tab w:val="clear" w:pos="567"/>
        </w:tabs>
        <w:spacing w:line="240" w:lineRule="auto"/>
        <w:rPr>
          <w:snapToGrid/>
          <w:szCs w:val="22"/>
          <w:lang w:val="lt-LT" w:eastAsia="sl-SI"/>
        </w:rPr>
      </w:pPr>
    </w:p>
    <w:p w14:paraId="75923154" w14:textId="77777777" w:rsidR="00381B7D" w:rsidRPr="00923E74" w:rsidRDefault="00381B7D" w:rsidP="00A31E3A">
      <w:pPr>
        <w:widowControl w:val="0"/>
        <w:tabs>
          <w:tab w:val="clear" w:pos="567"/>
        </w:tabs>
        <w:spacing w:line="240" w:lineRule="auto"/>
        <w:rPr>
          <w:snapToGrid/>
          <w:szCs w:val="22"/>
          <w:lang w:val="lt-LT" w:eastAsia="sl-SI"/>
        </w:rPr>
      </w:pPr>
    </w:p>
    <w:p w14:paraId="047B48D3"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4.</w:t>
      </w:r>
      <w:r w:rsidRPr="00923E74">
        <w:rPr>
          <w:b/>
          <w:snapToGrid/>
          <w:szCs w:val="22"/>
          <w:lang w:val="lt-LT" w:eastAsia="sl-SI"/>
        </w:rPr>
        <w:tab/>
        <w:t>SERIJOS NUMERIS</w:t>
      </w:r>
    </w:p>
    <w:p w14:paraId="08A569F3" w14:textId="77777777" w:rsidR="00381B7D" w:rsidRPr="00923E74" w:rsidRDefault="00381B7D" w:rsidP="007E15ED">
      <w:pPr>
        <w:keepNext/>
        <w:widowControl w:val="0"/>
        <w:tabs>
          <w:tab w:val="clear" w:pos="567"/>
        </w:tabs>
        <w:spacing w:line="240" w:lineRule="auto"/>
        <w:rPr>
          <w:snapToGrid/>
          <w:szCs w:val="22"/>
          <w:lang w:val="lt-LT" w:eastAsia="sl-SI"/>
        </w:rPr>
      </w:pPr>
    </w:p>
    <w:p w14:paraId="4CDE3198" w14:textId="77777777" w:rsidR="00381B7D" w:rsidRPr="00923E74" w:rsidRDefault="00381B7D" w:rsidP="00A31E3A">
      <w:pPr>
        <w:widowControl w:val="0"/>
        <w:tabs>
          <w:tab w:val="clear" w:pos="567"/>
        </w:tabs>
        <w:spacing w:line="240" w:lineRule="auto"/>
        <w:rPr>
          <w:snapToGrid/>
          <w:szCs w:val="22"/>
          <w:lang w:val="lt-LT" w:eastAsia="sl-SI"/>
        </w:rPr>
      </w:pPr>
      <w:r w:rsidRPr="00A47FBC">
        <w:rPr>
          <w:snapToGrid/>
          <w:szCs w:val="22"/>
          <w:lang w:val="lt-LT" w:eastAsia="sl-SI"/>
        </w:rPr>
        <w:t>Lot</w:t>
      </w:r>
    </w:p>
    <w:p w14:paraId="03217568" w14:textId="77777777" w:rsidR="00381B7D" w:rsidRPr="00923E74" w:rsidRDefault="00381B7D" w:rsidP="00A31E3A">
      <w:pPr>
        <w:widowControl w:val="0"/>
        <w:tabs>
          <w:tab w:val="clear" w:pos="567"/>
        </w:tabs>
        <w:spacing w:line="240" w:lineRule="auto"/>
        <w:rPr>
          <w:snapToGrid/>
          <w:szCs w:val="22"/>
          <w:lang w:val="lt-LT" w:eastAsia="sl-SI"/>
        </w:rPr>
      </w:pPr>
    </w:p>
    <w:p w14:paraId="35A1BA73" w14:textId="77777777" w:rsidR="00381B7D" w:rsidRPr="00923E74" w:rsidRDefault="00381B7D" w:rsidP="00A31E3A">
      <w:pPr>
        <w:widowControl w:val="0"/>
        <w:tabs>
          <w:tab w:val="clear" w:pos="567"/>
        </w:tabs>
        <w:spacing w:line="240" w:lineRule="auto"/>
        <w:rPr>
          <w:snapToGrid/>
          <w:szCs w:val="22"/>
          <w:lang w:val="lt-LT" w:eastAsia="sl-SI"/>
        </w:rPr>
      </w:pPr>
    </w:p>
    <w:p w14:paraId="187A92F1" w14:textId="77777777" w:rsidR="00381B7D" w:rsidRPr="00923E74"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923E74">
        <w:rPr>
          <w:b/>
          <w:snapToGrid/>
          <w:szCs w:val="22"/>
          <w:lang w:val="lt-LT" w:eastAsia="sl-SI"/>
        </w:rPr>
        <w:t>5.</w:t>
      </w:r>
      <w:r w:rsidRPr="00923E74">
        <w:rPr>
          <w:b/>
          <w:snapToGrid/>
          <w:szCs w:val="22"/>
          <w:lang w:val="lt-LT" w:eastAsia="sl-SI"/>
        </w:rPr>
        <w:tab/>
        <w:t>KITA</w:t>
      </w:r>
    </w:p>
    <w:p w14:paraId="3163E4C5" w14:textId="77777777" w:rsidR="008C7A53" w:rsidRDefault="008C7A53" w:rsidP="00A31E3A">
      <w:pPr>
        <w:widowControl w:val="0"/>
        <w:tabs>
          <w:tab w:val="clear" w:pos="567"/>
        </w:tabs>
        <w:spacing w:line="240" w:lineRule="auto"/>
        <w:rPr>
          <w:snapToGrid/>
          <w:szCs w:val="22"/>
          <w:lang w:val="lt-LT" w:eastAsia="sl-SI"/>
        </w:rPr>
      </w:pPr>
    </w:p>
    <w:p w14:paraId="604C1C67" w14:textId="77777777" w:rsidR="008C7A53" w:rsidRDefault="008C7A53" w:rsidP="00A31E3A">
      <w:pPr>
        <w:widowControl w:val="0"/>
        <w:tabs>
          <w:tab w:val="clear" w:pos="567"/>
        </w:tabs>
        <w:spacing w:line="240" w:lineRule="auto"/>
        <w:rPr>
          <w:snapToGrid/>
          <w:szCs w:val="22"/>
          <w:lang w:val="lt-LT" w:eastAsia="sl-SI"/>
        </w:rPr>
      </w:pPr>
    </w:p>
    <w:p w14:paraId="62EA7628" w14:textId="77777777" w:rsidR="00381B7D" w:rsidRPr="00923E74" w:rsidRDefault="00381B7D" w:rsidP="00A31E3A">
      <w:pPr>
        <w:widowControl w:val="0"/>
        <w:tabs>
          <w:tab w:val="clear" w:pos="567"/>
        </w:tabs>
        <w:spacing w:line="240" w:lineRule="auto"/>
        <w:rPr>
          <w:snapToGrid/>
          <w:szCs w:val="22"/>
          <w:lang w:val="lt-LT" w:eastAsia="sl-SI"/>
        </w:rPr>
      </w:pPr>
      <w:r w:rsidRPr="00923E74">
        <w:rPr>
          <w:snapToGrid/>
          <w:szCs w:val="22"/>
          <w:lang w:val="lt-LT" w:eastAsia="sl-SI"/>
        </w:rPr>
        <w:br w:type="page"/>
      </w:r>
    </w:p>
    <w:p w14:paraId="57C3B518" w14:textId="77777777" w:rsidR="00381B7D" w:rsidRPr="00923E74" w:rsidRDefault="00381B7D" w:rsidP="00A31E3A">
      <w:pPr>
        <w:widowControl w:val="0"/>
        <w:tabs>
          <w:tab w:val="clear" w:pos="567"/>
        </w:tabs>
        <w:spacing w:line="240" w:lineRule="auto"/>
        <w:rPr>
          <w:snapToGrid/>
          <w:szCs w:val="22"/>
          <w:lang w:val="lt-LT" w:eastAsia="sl-SI"/>
        </w:rPr>
      </w:pPr>
    </w:p>
    <w:p w14:paraId="0A074E63" w14:textId="77777777" w:rsidR="00381B7D" w:rsidRPr="00923E74" w:rsidRDefault="00381B7D" w:rsidP="00A31E3A">
      <w:pPr>
        <w:widowControl w:val="0"/>
        <w:tabs>
          <w:tab w:val="clear" w:pos="567"/>
        </w:tabs>
        <w:spacing w:line="240" w:lineRule="auto"/>
        <w:rPr>
          <w:snapToGrid/>
          <w:szCs w:val="22"/>
          <w:lang w:val="lt-LT" w:eastAsia="sl-SI"/>
        </w:rPr>
      </w:pPr>
    </w:p>
    <w:p w14:paraId="5556D852" w14:textId="77777777" w:rsidR="00381B7D" w:rsidRPr="00923E74" w:rsidRDefault="00381B7D" w:rsidP="00A31E3A">
      <w:pPr>
        <w:widowControl w:val="0"/>
        <w:tabs>
          <w:tab w:val="clear" w:pos="567"/>
        </w:tabs>
        <w:spacing w:line="240" w:lineRule="auto"/>
        <w:rPr>
          <w:snapToGrid/>
          <w:szCs w:val="22"/>
          <w:lang w:val="lt-LT" w:eastAsia="sl-SI"/>
        </w:rPr>
      </w:pPr>
    </w:p>
    <w:p w14:paraId="7FB5B001" w14:textId="77777777" w:rsidR="00381B7D" w:rsidRPr="00923E74" w:rsidRDefault="00381B7D" w:rsidP="00A31E3A">
      <w:pPr>
        <w:widowControl w:val="0"/>
        <w:tabs>
          <w:tab w:val="clear" w:pos="567"/>
        </w:tabs>
        <w:spacing w:line="240" w:lineRule="auto"/>
        <w:rPr>
          <w:snapToGrid/>
          <w:szCs w:val="22"/>
          <w:lang w:val="lt-LT" w:eastAsia="sl-SI"/>
        </w:rPr>
      </w:pPr>
    </w:p>
    <w:p w14:paraId="782E1DFB" w14:textId="77777777" w:rsidR="00381B7D" w:rsidRPr="00923E74" w:rsidRDefault="00381B7D" w:rsidP="00A31E3A">
      <w:pPr>
        <w:widowControl w:val="0"/>
        <w:tabs>
          <w:tab w:val="clear" w:pos="567"/>
        </w:tabs>
        <w:spacing w:line="240" w:lineRule="auto"/>
        <w:rPr>
          <w:snapToGrid/>
          <w:szCs w:val="22"/>
          <w:lang w:val="lt-LT" w:eastAsia="sl-SI"/>
        </w:rPr>
      </w:pPr>
    </w:p>
    <w:p w14:paraId="1C411DB2" w14:textId="77777777" w:rsidR="00381B7D" w:rsidRPr="00923E74" w:rsidRDefault="00381B7D" w:rsidP="00A31E3A">
      <w:pPr>
        <w:widowControl w:val="0"/>
        <w:tabs>
          <w:tab w:val="clear" w:pos="567"/>
        </w:tabs>
        <w:spacing w:line="240" w:lineRule="auto"/>
        <w:rPr>
          <w:snapToGrid/>
          <w:szCs w:val="22"/>
          <w:lang w:val="lt-LT" w:eastAsia="sl-SI"/>
        </w:rPr>
      </w:pPr>
    </w:p>
    <w:p w14:paraId="091D04B8" w14:textId="77777777" w:rsidR="00381B7D" w:rsidRPr="00923E74" w:rsidRDefault="00381B7D" w:rsidP="00A31E3A">
      <w:pPr>
        <w:widowControl w:val="0"/>
        <w:tabs>
          <w:tab w:val="clear" w:pos="567"/>
        </w:tabs>
        <w:spacing w:line="240" w:lineRule="auto"/>
        <w:rPr>
          <w:snapToGrid/>
          <w:szCs w:val="22"/>
          <w:lang w:val="lt-LT" w:eastAsia="sl-SI"/>
        </w:rPr>
      </w:pPr>
    </w:p>
    <w:p w14:paraId="394AAC29" w14:textId="77777777" w:rsidR="00381B7D" w:rsidRPr="00923E74" w:rsidRDefault="00381B7D" w:rsidP="00A31E3A">
      <w:pPr>
        <w:widowControl w:val="0"/>
        <w:tabs>
          <w:tab w:val="clear" w:pos="567"/>
        </w:tabs>
        <w:spacing w:line="240" w:lineRule="auto"/>
        <w:rPr>
          <w:snapToGrid/>
          <w:szCs w:val="22"/>
          <w:lang w:val="lt-LT" w:eastAsia="sl-SI"/>
        </w:rPr>
      </w:pPr>
    </w:p>
    <w:p w14:paraId="00BB65E8" w14:textId="77777777" w:rsidR="00381B7D" w:rsidRPr="00923E74" w:rsidRDefault="00381B7D" w:rsidP="00A31E3A">
      <w:pPr>
        <w:widowControl w:val="0"/>
        <w:tabs>
          <w:tab w:val="clear" w:pos="567"/>
        </w:tabs>
        <w:spacing w:line="240" w:lineRule="auto"/>
        <w:rPr>
          <w:snapToGrid/>
          <w:szCs w:val="22"/>
          <w:lang w:val="lt-LT" w:eastAsia="sl-SI"/>
        </w:rPr>
      </w:pPr>
    </w:p>
    <w:p w14:paraId="304133EC" w14:textId="77777777" w:rsidR="00381B7D" w:rsidRPr="00923E74" w:rsidRDefault="00381B7D" w:rsidP="00A31E3A">
      <w:pPr>
        <w:widowControl w:val="0"/>
        <w:tabs>
          <w:tab w:val="clear" w:pos="567"/>
        </w:tabs>
        <w:spacing w:line="240" w:lineRule="auto"/>
        <w:rPr>
          <w:snapToGrid/>
          <w:szCs w:val="22"/>
          <w:lang w:val="lt-LT" w:eastAsia="sl-SI"/>
        </w:rPr>
      </w:pPr>
    </w:p>
    <w:p w14:paraId="5071B8E1" w14:textId="77777777" w:rsidR="00381B7D" w:rsidRPr="00923E74" w:rsidRDefault="00381B7D" w:rsidP="00A31E3A">
      <w:pPr>
        <w:widowControl w:val="0"/>
        <w:tabs>
          <w:tab w:val="clear" w:pos="567"/>
        </w:tabs>
        <w:spacing w:line="240" w:lineRule="auto"/>
        <w:rPr>
          <w:snapToGrid/>
          <w:szCs w:val="22"/>
          <w:lang w:val="lt-LT" w:eastAsia="sl-SI"/>
        </w:rPr>
      </w:pPr>
    </w:p>
    <w:p w14:paraId="35CE7468" w14:textId="77777777" w:rsidR="00381B7D" w:rsidRPr="00923E74" w:rsidRDefault="00381B7D" w:rsidP="00A31E3A">
      <w:pPr>
        <w:widowControl w:val="0"/>
        <w:tabs>
          <w:tab w:val="clear" w:pos="567"/>
        </w:tabs>
        <w:spacing w:line="240" w:lineRule="auto"/>
        <w:rPr>
          <w:snapToGrid/>
          <w:szCs w:val="22"/>
          <w:lang w:val="lt-LT" w:eastAsia="sl-SI"/>
        </w:rPr>
      </w:pPr>
    </w:p>
    <w:p w14:paraId="4C5481B6" w14:textId="77777777" w:rsidR="00381B7D" w:rsidRPr="00923E74" w:rsidRDefault="00381B7D" w:rsidP="00A31E3A">
      <w:pPr>
        <w:widowControl w:val="0"/>
        <w:tabs>
          <w:tab w:val="clear" w:pos="567"/>
        </w:tabs>
        <w:spacing w:line="240" w:lineRule="auto"/>
        <w:rPr>
          <w:snapToGrid/>
          <w:szCs w:val="22"/>
          <w:lang w:val="lt-LT" w:eastAsia="sl-SI"/>
        </w:rPr>
      </w:pPr>
    </w:p>
    <w:p w14:paraId="61010B57" w14:textId="77777777" w:rsidR="00381B7D" w:rsidRPr="00923E74" w:rsidRDefault="00381B7D" w:rsidP="00A31E3A">
      <w:pPr>
        <w:widowControl w:val="0"/>
        <w:tabs>
          <w:tab w:val="clear" w:pos="567"/>
        </w:tabs>
        <w:spacing w:line="240" w:lineRule="auto"/>
        <w:rPr>
          <w:snapToGrid/>
          <w:szCs w:val="22"/>
          <w:lang w:val="lt-LT" w:eastAsia="sl-SI"/>
        </w:rPr>
      </w:pPr>
    </w:p>
    <w:p w14:paraId="001CFBD9" w14:textId="77777777" w:rsidR="00381B7D" w:rsidRPr="00923E74" w:rsidRDefault="00381B7D" w:rsidP="00A31E3A">
      <w:pPr>
        <w:widowControl w:val="0"/>
        <w:tabs>
          <w:tab w:val="clear" w:pos="567"/>
        </w:tabs>
        <w:spacing w:line="240" w:lineRule="auto"/>
        <w:rPr>
          <w:snapToGrid/>
          <w:szCs w:val="22"/>
          <w:lang w:val="lt-LT" w:eastAsia="sl-SI"/>
        </w:rPr>
      </w:pPr>
    </w:p>
    <w:p w14:paraId="72F6753E" w14:textId="77777777" w:rsidR="00381B7D" w:rsidRPr="00923E74" w:rsidRDefault="00381B7D" w:rsidP="00A31E3A">
      <w:pPr>
        <w:widowControl w:val="0"/>
        <w:tabs>
          <w:tab w:val="clear" w:pos="567"/>
        </w:tabs>
        <w:spacing w:line="240" w:lineRule="auto"/>
        <w:rPr>
          <w:snapToGrid/>
          <w:szCs w:val="22"/>
          <w:lang w:val="lt-LT" w:eastAsia="sl-SI"/>
        </w:rPr>
      </w:pPr>
    </w:p>
    <w:p w14:paraId="73FCBB51" w14:textId="77777777" w:rsidR="00381B7D" w:rsidRPr="00923E74" w:rsidRDefault="00381B7D" w:rsidP="00A31E3A">
      <w:pPr>
        <w:widowControl w:val="0"/>
        <w:tabs>
          <w:tab w:val="clear" w:pos="567"/>
        </w:tabs>
        <w:spacing w:line="240" w:lineRule="auto"/>
        <w:rPr>
          <w:snapToGrid/>
          <w:szCs w:val="22"/>
          <w:lang w:val="lt-LT" w:eastAsia="sl-SI"/>
        </w:rPr>
      </w:pPr>
    </w:p>
    <w:p w14:paraId="41AAFAF3" w14:textId="77777777" w:rsidR="00381B7D" w:rsidRPr="00923E74" w:rsidRDefault="00381B7D" w:rsidP="00A31E3A">
      <w:pPr>
        <w:widowControl w:val="0"/>
        <w:tabs>
          <w:tab w:val="clear" w:pos="567"/>
        </w:tabs>
        <w:spacing w:line="240" w:lineRule="auto"/>
        <w:rPr>
          <w:snapToGrid/>
          <w:szCs w:val="22"/>
          <w:lang w:val="lt-LT" w:eastAsia="sl-SI"/>
        </w:rPr>
      </w:pPr>
    </w:p>
    <w:p w14:paraId="576A251A" w14:textId="77777777" w:rsidR="00381B7D" w:rsidRPr="00923E74" w:rsidRDefault="00381B7D" w:rsidP="00A31E3A">
      <w:pPr>
        <w:widowControl w:val="0"/>
        <w:tabs>
          <w:tab w:val="clear" w:pos="567"/>
        </w:tabs>
        <w:spacing w:line="240" w:lineRule="auto"/>
        <w:rPr>
          <w:snapToGrid/>
          <w:szCs w:val="22"/>
          <w:lang w:val="lt-LT" w:eastAsia="sl-SI"/>
        </w:rPr>
      </w:pPr>
    </w:p>
    <w:p w14:paraId="1E1E34B5" w14:textId="77777777" w:rsidR="00381B7D" w:rsidRPr="00923E74" w:rsidRDefault="00381B7D" w:rsidP="00A31E3A">
      <w:pPr>
        <w:widowControl w:val="0"/>
        <w:tabs>
          <w:tab w:val="clear" w:pos="567"/>
        </w:tabs>
        <w:spacing w:line="240" w:lineRule="auto"/>
        <w:rPr>
          <w:snapToGrid/>
          <w:szCs w:val="22"/>
          <w:lang w:val="lt-LT" w:eastAsia="sl-SI"/>
        </w:rPr>
      </w:pPr>
    </w:p>
    <w:p w14:paraId="07D8CA91" w14:textId="77777777" w:rsidR="00381B7D" w:rsidRPr="00923E74" w:rsidRDefault="00381B7D" w:rsidP="00A31E3A">
      <w:pPr>
        <w:widowControl w:val="0"/>
        <w:tabs>
          <w:tab w:val="clear" w:pos="567"/>
        </w:tabs>
        <w:spacing w:line="240" w:lineRule="auto"/>
        <w:rPr>
          <w:snapToGrid/>
          <w:szCs w:val="22"/>
          <w:lang w:val="lt-LT" w:eastAsia="sl-SI"/>
        </w:rPr>
      </w:pPr>
    </w:p>
    <w:p w14:paraId="22DFC2BE" w14:textId="77777777" w:rsidR="00381B7D" w:rsidRPr="00923E74" w:rsidRDefault="00381B7D" w:rsidP="00A31E3A">
      <w:pPr>
        <w:widowControl w:val="0"/>
        <w:tabs>
          <w:tab w:val="clear" w:pos="567"/>
        </w:tabs>
        <w:spacing w:line="240" w:lineRule="auto"/>
        <w:rPr>
          <w:snapToGrid/>
          <w:szCs w:val="22"/>
          <w:lang w:val="lt-LT" w:eastAsia="sl-SI"/>
        </w:rPr>
      </w:pPr>
    </w:p>
    <w:p w14:paraId="7D3EB0FC" w14:textId="77777777" w:rsidR="00381B7D" w:rsidRPr="00923E74" w:rsidRDefault="00381B7D" w:rsidP="00A31E3A">
      <w:pPr>
        <w:widowControl w:val="0"/>
        <w:spacing w:line="240" w:lineRule="auto"/>
        <w:ind w:left="567" w:hanging="567"/>
        <w:jc w:val="center"/>
        <w:outlineLvl w:val="0"/>
        <w:rPr>
          <w:b/>
          <w:caps/>
          <w:snapToGrid/>
          <w:szCs w:val="22"/>
          <w:lang w:val="lt-LT" w:eastAsia="sl-SI"/>
        </w:rPr>
      </w:pPr>
      <w:bookmarkStart w:id="17" w:name="_Toc129243137"/>
      <w:bookmarkStart w:id="18" w:name="_Toc129243262"/>
      <w:r w:rsidRPr="00923E74">
        <w:rPr>
          <w:b/>
          <w:caps/>
          <w:snapToGrid/>
          <w:szCs w:val="22"/>
          <w:lang w:val="lt-LT" w:eastAsia="sl-SI"/>
        </w:rPr>
        <w:t>B. PAKUOTĖS LAPELIS</w:t>
      </w:r>
      <w:bookmarkEnd w:id="17"/>
      <w:bookmarkEnd w:id="18"/>
    </w:p>
    <w:p w14:paraId="6918BC10" w14:textId="77777777" w:rsidR="00381B7D" w:rsidRPr="005E320F" w:rsidRDefault="00381B7D" w:rsidP="007E15ED">
      <w:pPr>
        <w:keepNext/>
        <w:widowControl w:val="0"/>
        <w:spacing w:line="240" w:lineRule="auto"/>
        <w:jc w:val="center"/>
        <w:outlineLvl w:val="1"/>
        <w:rPr>
          <w:b/>
          <w:snapToGrid/>
          <w:szCs w:val="22"/>
          <w:lang w:val="lt-LT" w:eastAsia="sl-SI"/>
        </w:rPr>
      </w:pPr>
      <w:r w:rsidRPr="00923E74">
        <w:rPr>
          <w:b/>
          <w:caps/>
          <w:snapToGrid/>
          <w:szCs w:val="22"/>
          <w:lang w:val="lt-LT" w:eastAsia="sl-SI"/>
        </w:rPr>
        <w:br w:type="page"/>
      </w:r>
      <w:bookmarkStart w:id="19" w:name="_Toc129243138"/>
      <w:bookmarkStart w:id="20" w:name="_Toc129243263"/>
      <w:r w:rsidRPr="005E320F">
        <w:rPr>
          <w:b/>
          <w:snapToGrid/>
          <w:szCs w:val="22"/>
          <w:lang w:val="lt-LT" w:eastAsia="sl-SI"/>
        </w:rPr>
        <w:lastRenderedPageBreak/>
        <w:t xml:space="preserve">Pakuotės lapelis: informacija </w:t>
      </w:r>
      <w:r w:rsidR="001E3BD1" w:rsidRPr="005E320F">
        <w:rPr>
          <w:b/>
          <w:bCs/>
          <w:iCs/>
          <w:szCs w:val="22"/>
          <w:lang w:val="lt-LT" w:eastAsia="x-none"/>
        </w:rPr>
        <w:t>vartotojui</w:t>
      </w:r>
    </w:p>
    <w:bookmarkEnd w:id="19"/>
    <w:bookmarkEnd w:id="20"/>
    <w:p w14:paraId="74F3B037" w14:textId="77777777" w:rsidR="00381B7D" w:rsidRPr="005E320F" w:rsidRDefault="00381B7D" w:rsidP="007E15ED">
      <w:pPr>
        <w:keepNext/>
        <w:widowControl w:val="0"/>
        <w:spacing w:line="240" w:lineRule="auto"/>
        <w:ind w:left="567" w:hanging="567"/>
        <w:jc w:val="center"/>
        <w:outlineLvl w:val="0"/>
        <w:rPr>
          <w:b/>
          <w:snapToGrid/>
          <w:szCs w:val="22"/>
          <w:lang w:val="lt-LT" w:eastAsia="sl-SI"/>
        </w:rPr>
      </w:pPr>
    </w:p>
    <w:p w14:paraId="43BC183B" w14:textId="77777777" w:rsidR="001E3BD1" w:rsidRPr="005E320F" w:rsidRDefault="001E3BD1" w:rsidP="007E15ED">
      <w:pPr>
        <w:keepNext/>
        <w:widowControl w:val="0"/>
        <w:tabs>
          <w:tab w:val="clear" w:pos="567"/>
        </w:tabs>
        <w:spacing w:line="240" w:lineRule="auto"/>
        <w:jc w:val="center"/>
        <w:rPr>
          <w:b/>
          <w:snapToGrid/>
          <w:szCs w:val="22"/>
          <w:lang w:val="lt-LT" w:eastAsia="sl-SI"/>
        </w:rPr>
      </w:pPr>
      <w:proofErr w:type="spellStart"/>
      <w:r w:rsidRPr="005E320F">
        <w:rPr>
          <w:b/>
          <w:snapToGrid/>
          <w:szCs w:val="22"/>
          <w:lang w:val="lt-LT" w:eastAsia="sl-SI"/>
        </w:rPr>
        <w:t>Torzelip</w:t>
      </w:r>
      <w:proofErr w:type="spellEnd"/>
      <w:r w:rsidRPr="005E320F">
        <w:rPr>
          <w:b/>
          <w:snapToGrid/>
          <w:szCs w:val="22"/>
          <w:lang w:val="lt-LT" w:eastAsia="sl-SI"/>
        </w:rPr>
        <w:t xml:space="preserve"> 10</w:t>
      </w:r>
      <w:r w:rsidR="00DB52C7" w:rsidRPr="005E320F">
        <w:rPr>
          <w:b/>
          <w:snapToGrid/>
          <w:szCs w:val="22"/>
          <w:lang w:val="lt-LT" w:eastAsia="sl-SI"/>
        </w:rPr>
        <w:t> mg</w:t>
      </w:r>
      <w:r w:rsidRPr="005E320F">
        <w:rPr>
          <w:b/>
          <w:snapToGrid/>
          <w:szCs w:val="22"/>
          <w:lang w:val="lt-LT" w:eastAsia="sl-SI"/>
        </w:rPr>
        <w:t>/10</w:t>
      </w:r>
      <w:r w:rsidR="00DB52C7" w:rsidRPr="005E320F">
        <w:rPr>
          <w:b/>
          <w:snapToGrid/>
          <w:szCs w:val="22"/>
          <w:lang w:val="lt-LT" w:eastAsia="sl-SI"/>
        </w:rPr>
        <w:t> mg</w:t>
      </w:r>
      <w:r w:rsidRPr="005E320F">
        <w:rPr>
          <w:b/>
          <w:snapToGrid/>
          <w:szCs w:val="22"/>
          <w:lang w:val="lt-LT" w:eastAsia="sl-SI"/>
        </w:rPr>
        <w:t xml:space="preserve"> tabletės</w:t>
      </w:r>
    </w:p>
    <w:p w14:paraId="21FA58CA" w14:textId="77777777" w:rsidR="001E3BD1" w:rsidRPr="005E320F" w:rsidRDefault="001E3BD1" w:rsidP="007E15ED">
      <w:pPr>
        <w:keepNext/>
        <w:widowControl w:val="0"/>
        <w:tabs>
          <w:tab w:val="clear" w:pos="567"/>
        </w:tabs>
        <w:spacing w:line="240" w:lineRule="auto"/>
        <w:jc w:val="center"/>
        <w:rPr>
          <w:b/>
          <w:snapToGrid/>
          <w:szCs w:val="22"/>
          <w:highlight w:val="lightGray"/>
          <w:lang w:val="lt-LT" w:eastAsia="sl-SI"/>
        </w:rPr>
      </w:pPr>
      <w:proofErr w:type="spellStart"/>
      <w:r w:rsidRPr="005E320F">
        <w:rPr>
          <w:b/>
          <w:snapToGrid/>
          <w:szCs w:val="22"/>
          <w:highlight w:val="lightGray"/>
          <w:lang w:val="lt-LT" w:eastAsia="sl-SI"/>
        </w:rPr>
        <w:t>Torzelip</w:t>
      </w:r>
      <w:proofErr w:type="spellEnd"/>
      <w:r w:rsidRPr="005E320F">
        <w:rPr>
          <w:b/>
          <w:snapToGrid/>
          <w:szCs w:val="22"/>
          <w:highlight w:val="lightGray"/>
          <w:lang w:val="lt-LT" w:eastAsia="sl-SI"/>
        </w:rPr>
        <w:t xml:space="preserve"> 10</w:t>
      </w:r>
      <w:r w:rsidR="00DB52C7" w:rsidRPr="005E320F">
        <w:rPr>
          <w:b/>
          <w:snapToGrid/>
          <w:szCs w:val="22"/>
          <w:highlight w:val="lightGray"/>
          <w:lang w:val="lt-LT" w:eastAsia="sl-SI"/>
        </w:rPr>
        <w:t> mg</w:t>
      </w:r>
      <w:r w:rsidRPr="005E320F">
        <w:rPr>
          <w:b/>
          <w:snapToGrid/>
          <w:szCs w:val="22"/>
          <w:highlight w:val="lightGray"/>
          <w:lang w:val="lt-LT" w:eastAsia="sl-SI"/>
        </w:rPr>
        <w:t>/20</w:t>
      </w:r>
      <w:r w:rsidR="00DB52C7" w:rsidRPr="005E320F">
        <w:rPr>
          <w:b/>
          <w:snapToGrid/>
          <w:szCs w:val="22"/>
          <w:highlight w:val="lightGray"/>
          <w:lang w:val="lt-LT" w:eastAsia="sl-SI"/>
        </w:rPr>
        <w:t> mg</w:t>
      </w:r>
      <w:r w:rsidRPr="005E320F">
        <w:rPr>
          <w:b/>
          <w:snapToGrid/>
          <w:szCs w:val="22"/>
          <w:highlight w:val="lightGray"/>
          <w:lang w:val="lt-LT" w:eastAsia="sl-SI"/>
        </w:rPr>
        <w:t xml:space="preserve"> tabletės</w:t>
      </w:r>
    </w:p>
    <w:p w14:paraId="1C2D108E" w14:textId="77777777" w:rsidR="001E3BD1" w:rsidRPr="005E320F" w:rsidRDefault="001E3BD1" w:rsidP="007E15ED">
      <w:pPr>
        <w:keepNext/>
        <w:widowControl w:val="0"/>
        <w:tabs>
          <w:tab w:val="clear" w:pos="567"/>
        </w:tabs>
        <w:spacing w:line="240" w:lineRule="auto"/>
        <w:jc w:val="center"/>
        <w:rPr>
          <w:b/>
          <w:snapToGrid/>
          <w:szCs w:val="22"/>
          <w:highlight w:val="lightGray"/>
          <w:lang w:val="lt-LT" w:eastAsia="sl-SI"/>
        </w:rPr>
      </w:pPr>
      <w:proofErr w:type="spellStart"/>
      <w:r w:rsidRPr="005E320F">
        <w:rPr>
          <w:b/>
          <w:snapToGrid/>
          <w:szCs w:val="22"/>
          <w:highlight w:val="lightGray"/>
          <w:lang w:val="lt-LT" w:eastAsia="sl-SI"/>
        </w:rPr>
        <w:t>Torzelip</w:t>
      </w:r>
      <w:proofErr w:type="spellEnd"/>
      <w:r w:rsidRPr="005E320F">
        <w:rPr>
          <w:b/>
          <w:snapToGrid/>
          <w:szCs w:val="22"/>
          <w:highlight w:val="lightGray"/>
          <w:lang w:val="lt-LT" w:eastAsia="sl-SI"/>
        </w:rPr>
        <w:t xml:space="preserve"> 10</w:t>
      </w:r>
      <w:r w:rsidR="00DB52C7" w:rsidRPr="005E320F">
        <w:rPr>
          <w:b/>
          <w:snapToGrid/>
          <w:szCs w:val="22"/>
          <w:highlight w:val="lightGray"/>
          <w:lang w:val="lt-LT" w:eastAsia="sl-SI"/>
        </w:rPr>
        <w:t> mg</w:t>
      </w:r>
      <w:r w:rsidRPr="005E320F">
        <w:rPr>
          <w:b/>
          <w:snapToGrid/>
          <w:szCs w:val="22"/>
          <w:highlight w:val="lightGray"/>
          <w:lang w:val="lt-LT" w:eastAsia="sl-SI"/>
        </w:rPr>
        <w:t>/40</w:t>
      </w:r>
      <w:r w:rsidR="00DB52C7" w:rsidRPr="005E320F">
        <w:rPr>
          <w:b/>
          <w:snapToGrid/>
          <w:szCs w:val="22"/>
          <w:highlight w:val="lightGray"/>
          <w:lang w:val="lt-LT" w:eastAsia="sl-SI"/>
        </w:rPr>
        <w:t> mg</w:t>
      </w:r>
      <w:r w:rsidRPr="005E320F">
        <w:rPr>
          <w:b/>
          <w:snapToGrid/>
          <w:szCs w:val="22"/>
          <w:highlight w:val="lightGray"/>
          <w:lang w:val="lt-LT" w:eastAsia="sl-SI"/>
        </w:rPr>
        <w:t xml:space="preserve"> tabletės</w:t>
      </w:r>
    </w:p>
    <w:p w14:paraId="596D0D5C" w14:textId="427B3900" w:rsidR="00381B7D" w:rsidRPr="005E320F" w:rsidRDefault="001E3BD1" w:rsidP="007E15ED">
      <w:pPr>
        <w:keepNext/>
        <w:widowControl w:val="0"/>
        <w:tabs>
          <w:tab w:val="clear" w:pos="567"/>
        </w:tabs>
        <w:spacing w:line="240" w:lineRule="auto"/>
        <w:jc w:val="center"/>
        <w:rPr>
          <w:snapToGrid/>
          <w:szCs w:val="22"/>
          <w:lang w:val="lt-LT" w:eastAsia="sl-SI"/>
        </w:rPr>
      </w:pPr>
      <w:proofErr w:type="spellStart"/>
      <w:r w:rsidRPr="005E320F">
        <w:rPr>
          <w:b/>
          <w:snapToGrid/>
          <w:szCs w:val="22"/>
          <w:highlight w:val="lightGray"/>
          <w:lang w:val="lt-LT" w:eastAsia="sl-SI"/>
        </w:rPr>
        <w:t>Torzelip</w:t>
      </w:r>
      <w:proofErr w:type="spellEnd"/>
      <w:r w:rsidRPr="005E320F">
        <w:rPr>
          <w:b/>
          <w:snapToGrid/>
          <w:szCs w:val="22"/>
          <w:highlight w:val="lightGray"/>
          <w:lang w:val="lt-LT" w:eastAsia="sl-SI"/>
        </w:rPr>
        <w:t xml:space="preserve"> 10</w:t>
      </w:r>
      <w:r w:rsidR="00DB52C7" w:rsidRPr="005E320F">
        <w:rPr>
          <w:b/>
          <w:snapToGrid/>
          <w:szCs w:val="22"/>
          <w:highlight w:val="lightGray"/>
          <w:lang w:val="lt-LT" w:eastAsia="sl-SI"/>
        </w:rPr>
        <w:t> mg</w:t>
      </w:r>
      <w:r w:rsidRPr="005E320F">
        <w:rPr>
          <w:b/>
          <w:snapToGrid/>
          <w:szCs w:val="22"/>
          <w:highlight w:val="lightGray"/>
          <w:lang w:val="lt-LT" w:eastAsia="sl-SI"/>
        </w:rPr>
        <w:t>/80</w:t>
      </w:r>
      <w:r w:rsidR="00DB52C7" w:rsidRPr="005E320F">
        <w:rPr>
          <w:b/>
          <w:snapToGrid/>
          <w:szCs w:val="22"/>
          <w:highlight w:val="lightGray"/>
          <w:lang w:val="lt-LT" w:eastAsia="sl-SI"/>
        </w:rPr>
        <w:t> mg</w:t>
      </w:r>
      <w:r w:rsidRPr="005E320F">
        <w:rPr>
          <w:b/>
          <w:snapToGrid/>
          <w:szCs w:val="22"/>
          <w:highlight w:val="lightGray"/>
          <w:lang w:val="lt-LT" w:eastAsia="sl-SI"/>
        </w:rPr>
        <w:t xml:space="preserve"> tabletės</w:t>
      </w:r>
    </w:p>
    <w:p w14:paraId="47A655AB" w14:textId="320D0945" w:rsidR="00381B7D" w:rsidRPr="005E320F" w:rsidRDefault="00FA49EA" w:rsidP="00A31E3A">
      <w:pPr>
        <w:widowControl w:val="0"/>
        <w:tabs>
          <w:tab w:val="clear" w:pos="567"/>
        </w:tabs>
        <w:spacing w:line="240" w:lineRule="auto"/>
        <w:jc w:val="center"/>
        <w:rPr>
          <w:snapToGrid/>
          <w:szCs w:val="22"/>
          <w:lang w:val="lt-LT" w:eastAsia="sl-SI"/>
        </w:rPr>
      </w:pPr>
      <w:proofErr w:type="spellStart"/>
      <w:r w:rsidRPr="005E320F">
        <w:rPr>
          <w:snapToGrid/>
          <w:szCs w:val="22"/>
          <w:lang w:val="lt-LT" w:eastAsia="sl-SI"/>
        </w:rPr>
        <w:t>e</w:t>
      </w:r>
      <w:r w:rsidR="00514D27" w:rsidRPr="005E320F">
        <w:rPr>
          <w:snapToGrid/>
          <w:szCs w:val="22"/>
          <w:lang w:val="lt-LT" w:eastAsia="sl-SI"/>
        </w:rPr>
        <w:t>zetimibas</w:t>
      </w:r>
      <w:proofErr w:type="spellEnd"/>
      <w:r w:rsidRPr="005E320F">
        <w:rPr>
          <w:snapToGrid/>
          <w:szCs w:val="22"/>
          <w:lang w:val="lt-LT" w:eastAsia="sl-SI"/>
        </w:rPr>
        <w:t xml:space="preserve"> </w:t>
      </w:r>
      <w:r w:rsidR="00BF1CC8" w:rsidRPr="005E320F">
        <w:rPr>
          <w:snapToGrid/>
          <w:szCs w:val="22"/>
          <w:lang w:val="lt-LT" w:eastAsia="sl-SI"/>
        </w:rPr>
        <w:t>/</w:t>
      </w:r>
      <w:proofErr w:type="spellStart"/>
      <w:r w:rsidR="001E3BD1" w:rsidRPr="005E320F">
        <w:rPr>
          <w:snapToGrid/>
          <w:szCs w:val="22"/>
          <w:lang w:val="lt-LT" w:eastAsia="sl-SI"/>
        </w:rPr>
        <w:t>atorvastatinas</w:t>
      </w:r>
      <w:proofErr w:type="spellEnd"/>
    </w:p>
    <w:p w14:paraId="53315364" w14:textId="77777777" w:rsidR="00381B7D" w:rsidRPr="005E320F" w:rsidRDefault="00381B7D" w:rsidP="00A31E3A">
      <w:pPr>
        <w:widowControl w:val="0"/>
        <w:tabs>
          <w:tab w:val="clear" w:pos="567"/>
        </w:tabs>
        <w:spacing w:line="240" w:lineRule="auto"/>
        <w:jc w:val="center"/>
        <w:rPr>
          <w:b/>
          <w:snapToGrid/>
          <w:szCs w:val="22"/>
          <w:lang w:val="lt-LT" w:eastAsia="sl-SI"/>
        </w:rPr>
      </w:pPr>
    </w:p>
    <w:p w14:paraId="26590E1A" w14:textId="77777777" w:rsidR="00381B7D" w:rsidRPr="005E320F" w:rsidRDefault="00381B7D" w:rsidP="007E15ED">
      <w:pPr>
        <w:keepNext/>
        <w:keepLines/>
        <w:widowControl w:val="0"/>
        <w:tabs>
          <w:tab w:val="clear" w:pos="567"/>
        </w:tabs>
        <w:spacing w:line="240" w:lineRule="auto"/>
        <w:rPr>
          <w:b/>
          <w:snapToGrid/>
          <w:szCs w:val="22"/>
          <w:lang w:val="lt-LT" w:eastAsia="sl-SI"/>
        </w:rPr>
      </w:pPr>
      <w:r w:rsidRPr="005E320F">
        <w:rPr>
          <w:b/>
          <w:snapToGrid/>
          <w:szCs w:val="22"/>
          <w:lang w:val="lt-LT" w:eastAsia="sl-SI"/>
        </w:rPr>
        <w:t>Atidžiai perskaitykite visą šį lapelį, prieš pradėdami vartoti vaistą, nes jame pateikiama Jums svarbi informacija.</w:t>
      </w:r>
    </w:p>
    <w:p w14:paraId="417ECF11" w14:textId="77777777" w:rsidR="00381B7D" w:rsidRPr="005E320F" w:rsidRDefault="00381B7D" w:rsidP="0054203F">
      <w:pPr>
        <w:widowControl w:val="0"/>
        <w:numPr>
          <w:ilvl w:val="0"/>
          <w:numId w:val="37"/>
        </w:numPr>
        <w:tabs>
          <w:tab w:val="clear" w:pos="567"/>
        </w:tabs>
        <w:spacing w:line="240" w:lineRule="auto"/>
        <w:ind w:left="567" w:hanging="567"/>
        <w:rPr>
          <w:snapToGrid/>
          <w:szCs w:val="22"/>
          <w:lang w:val="lt-LT" w:eastAsia="sl-SI"/>
        </w:rPr>
      </w:pPr>
      <w:r w:rsidRPr="005E320F">
        <w:rPr>
          <w:snapToGrid/>
          <w:szCs w:val="22"/>
          <w:lang w:val="lt-LT" w:eastAsia="sl-SI"/>
        </w:rPr>
        <w:t>Neišmeskite šio lapelio, nes vėl gali prireikti jį perskaityti.</w:t>
      </w:r>
    </w:p>
    <w:p w14:paraId="38DA8DED" w14:textId="77777777" w:rsidR="00381B7D" w:rsidRPr="005E320F" w:rsidRDefault="00381B7D" w:rsidP="0054203F">
      <w:pPr>
        <w:widowControl w:val="0"/>
        <w:numPr>
          <w:ilvl w:val="0"/>
          <w:numId w:val="37"/>
        </w:numPr>
        <w:tabs>
          <w:tab w:val="clear" w:pos="567"/>
        </w:tabs>
        <w:spacing w:line="240" w:lineRule="auto"/>
        <w:ind w:left="567" w:hanging="567"/>
        <w:rPr>
          <w:snapToGrid/>
          <w:szCs w:val="22"/>
          <w:lang w:val="lt-LT" w:eastAsia="sl-SI"/>
        </w:rPr>
      </w:pPr>
      <w:r w:rsidRPr="005E320F">
        <w:rPr>
          <w:snapToGrid/>
          <w:szCs w:val="22"/>
          <w:lang w:val="lt-LT" w:eastAsia="sl-SI"/>
        </w:rPr>
        <w:t>Jeigu kiltų daugiau klausimų, kreipkitės į gydytoją arba vaistininką.</w:t>
      </w:r>
    </w:p>
    <w:p w14:paraId="33839344" w14:textId="77777777" w:rsidR="00381B7D" w:rsidRPr="005E320F" w:rsidRDefault="00381B7D" w:rsidP="0054203F">
      <w:pPr>
        <w:widowControl w:val="0"/>
        <w:numPr>
          <w:ilvl w:val="0"/>
          <w:numId w:val="37"/>
        </w:numPr>
        <w:tabs>
          <w:tab w:val="clear" w:pos="567"/>
        </w:tabs>
        <w:spacing w:line="240" w:lineRule="auto"/>
        <w:ind w:left="567" w:hanging="567"/>
        <w:rPr>
          <w:snapToGrid/>
          <w:szCs w:val="22"/>
          <w:lang w:val="lt-LT" w:eastAsia="sl-SI"/>
        </w:rPr>
      </w:pPr>
      <w:r w:rsidRPr="005E320F">
        <w:rPr>
          <w:snapToGrid/>
          <w:szCs w:val="22"/>
          <w:lang w:val="lt-LT" w:eastAsia="sl-SI"/>
        </w:rPr>
        <w:t>Šis vaistas skirtas tik Jums, todėl kitiems žmonėms jo duoti negalima. Vaistas gali jiems pakenkti (net tiems, kurių ligos požymiai yra tokie patys kaip Jūsų).</w:t>
      </w:r>
    </w:p>
    <w:p w14:paraId="202AFAAC" w14:textId="0B4CCF7C" w:rsidR="00381B7D" w:rsidRPr="005E320F" w:rsidRDefault="00381B7D" w:rsidP="0054203F">
      <w:pPr>
        <w:widowControl w:val="0"/>
        <w:numPr>
          <w:ilvl w:val="0"/>
          <w:numId w:val="37"/>
        </w:numPr>
        <w:tabs>
          <w:tab w:val="clear" w:pos="567"/>
        </w:tabs>
        <w:spacing w:line="240" w:lineRule="auto"/>
        <w:ind w:left="567" w:hanging="567"/>
        <w:rPr>
          <w:snapToGrid/>
          <w:szCs w:val="22"/>
          <w:lang w:val="lt-LT" w:eastAsia="sl-SI"/>
        </w:rPr>
      </w:pPr>
      <w:r w:rsidRPr="005E320F">
        <w:rPr>
          <w:snapToGrid/>
          <w:szCs w:val="22"/>
          <w:lang w:val="lt-LT" w:eastAsia="sl-SI"/>
        </w:rPr>
        <w:t>Jeigu pasireiškė šalutinis poveikis (net jeigu jis šiame lapelyje nenurodytas), kreipkitės į gydytoją arba vaistininką. Žr.</w:t>
      </w:r>
      <w:r w:rsidR="00B71942" w:rsidRPr="005E320F">
        <w:rPr>
          <w:snapToGrid/>
          <w:szCs w:val="22"/>
          <w:lang w:val="lt-LT" w:eastAsia="sl-SI"/>
        </w:rPr>
        <w:t> </w:t>
      </w:r>
      <w:r w:rsidRPr="005E320F">
        <w:rPr>
          <w:snapToGrid/>
          <w:szCs w:val="22"/>
          <w:lang w:val="lt-LT" w:eastAsia="sl-SI"/>
        </w:rPr>
        <w:t>4 skyrių.</w:t>
      </w:r>
    </w:p>
    <w:p w14:paraId="2BDF545B" w14:textId="77777777" w:rsidR="00381B7D" w:rsidRPr="005E320F" w:rsidRDefault="00381B7D" w:rsidP="00A31E3A">
      <w:pPr>
        <w:widowControl w:val="0"/>
        <w:tabs>
          <w:tab w:val="clear" w:pos="567"/>
        </w:tabs>
        <w:spacing w:line="240" w:lineRule="auto"/>
        <w:rPr>
          <w:snapToGrid/>
          <w:szCs w:val="22"/>
          <w:lang w:val="lt-LT" w:eastAsia="sl-SI"/>
        </w:rPr>
      </w:pPr>
    </w:p>
    <w:p w14:paraId="31B3DF8E" w14:textId="77777777" w:rsidR="00381B7D" w:rsidRPr="005E320F" w:rsidRDefault="00381B7D" w:rsidP="007E15ED">
      <w:pPr>
        <w:keepNext/>
        <w:widowControl w:val="0"/>
        <w:numPr>
          <w:ilvl w:val="12"/>
          <w:numId w:val="0"/>
        </w:numPr>
        <w:tabs>
          <w:tab w:val="clear" w:pos="567"/>
        </w:tabs>
        <w:spacing w:line="240" w:lineRule="auto"/>
        <w:ind w:right="-2"/>
        <w:outlineLvl w:val="0"/>
        <w:rPr>
          <w:b/>
          <w:snapToGrid/>
          <w:szCs w:val="22"/>
          <w:lang w:val="lt-LT" w:eastAsia="sl-SI"/>
        </w:rPr>
      </w:pPr>
      <w:r w:rsidRPr="005E320F">
        <w:rPr>
          <w:b/>
          <w:snapToGrid/>
          <w:szCs w:val="22"/>
          <w:lang w:val="lt-LT" w:eastAsia="sl-SI"/>
        </w:rPr>
        <w:t>Apie ką rašoma šiame lapelyje?</w:t>
      </w:r>
    </w:p>
    <w:p w14:paraId="5C9422C6" w14:textId="77777777" w:rsidR="00381B7D" w:rsidRPr="005E320F" w:rsidRDefault="00381B7D" w:rsidP="007E15ED">
      <w:pPr>
        <w:keepNext/>
        <w:widowControl w:val="0"/>
        <w:tabs>
          <w:tab w:val="clear" w:pos="567"/>
        </w:tabs>
        <w:spacing w:line="240" w:lineRule="auto"/>
        <w:rPr>
          <w:b/>
          <w:snapToGrid/>
          <w:szCs w:val="22"/>
          <w:lang w:val="lt-LT" w:eastAsia="sl-SI"/>
        </w:rPr>
      </w:pPr>
    </w:p>
    <w:p w14:paraId="3A06FE1E"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Kas yra </w:t>
      </w:r>
      <w:proofErr w:type="spellStart"/>
      <w:r w:rsidR="004373BE" w:rsidRPr="005E320F">
        <w:rPr>
          <w:snapToGrid/>
          <w:szCs w:val="22"/>
          <w:lang w:val="lt-LT" w:eastAsia="sl-SI"/>
        </w:rPr>
        <w:t>Torzelip</w:t>
      </w:r>
      <w:proofErr w:type="spellEnd"/>
      <w:r w:rsidRPr="005E320F">
        <w:rPr>
          <w:snapToGrid/>
          <w:szCs w:val="22"/>
          <w:lang w:val="lt-LT" w:eastAsia="sl-SI"/>
        </w:rPr>
        <w:t xml:space="preserve"> ir kam jis vartojamas</w:t>
      </w:r>
    </w:p>
    <w:p w14:paraId="394F85DD"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Kas žinotina prieš vartojant </w:t>
      </w:r>
      <w:proofErr w:type="spellStart"/>
      <w:r w:rsidR="004373BE" w:rsidRPr="005E320F">
        <w:rPr>
          <w:snapToGrid/>
          <w:szCs w:val="22"/>
          <w:lang w:val="lt-LT" w:eastAsia="sl-SI"/>
        </w:rPr>
        <w:t>Torzelip</w:t>
      </w:r>
      <w:proofErr w:type="spellEnd"/>
    </w:p>
    <w:p w14:paraId="3ACF3545"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Kaip vartoti </w:t>
      </w:r>
      <w:proofErr w:type="spellStart"/>
      <w:r w:rsidR="004373BE" w:rsidRPr="005E320F">
        <w:rPr>
          <w:snapToGrid/>
          <w:szCs w:val="22"/>
          <w:lang w:val="lt-LT" w:eastAsia="sl-SI"/>
        </w:rPr>
        <w:t>Torzelip</w:t>
      </w:r>
      <w:proofErr w:type="spellEnd"/>
    </w:p>
    <w:p w14:paraId="3A3B6492"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Galimas šalutinis poveikis</w:t>
      </w:r>
    </w:p>
    <w:p w14:paraId="138DF9FA"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 xml:space="preserve">Kaip laikyti </w:t>
      </w:r>
      <w:proofErr w:type="spellStart"/>
      <w:r w:rsidR="004373BE" w:rsidRPr="005E320F">
        <w:rPr>
          <w:snapToGrid/>
          <w:szCs w:val="22"/>
          <w:lang w:val="lt-LT" w:eastAsia="sl-SI"/>
        </w:rPr>
        <w:t>Torzelip</w:t>
      </w:r>
      <w:proofErr w:type="spellEnd"/>
    </w:p>
    <w:p w14:paraId="48BBA37E" w14:textId="77777777" w:rsidR="00381B7D" w:rsidRPr="005E320F" w:rsidRDefault="00381B7D" w:rsidP="00A31E3A">
      <w:pPr>
        <w:widowControl w:val="0"/>
        <w:numPr>
          <w:ilvl w:val="1"/>
          <w:numId w:val="1"/>
        </w:numPr>
        <w:tabs>
          <w:tab w:val="clear" w:pos="567"/>
        </w:tabs>
        <w:spacing w:line="240" w:lineRule="auto"/>
        <w:rPr>
          <w:snapToGrid/>
          <w:szCs w:val="22"/>
          <w:lang w:val="lt-LT" w:eastAsia="sl-SI"/>
        </w:rPr>
      </w:pPr>
      <w:r w:rsidRPr="005E320F">
        <w:rPr>
          <w:snapToGrid/>
          <w:szCs w:val="22"/>
          <w:lang w:val="lt-LT" w:eastAsia="sl-SI"/>
        </w:rPr>
        <w:t>Pakuotės turinys ir kita informacija</w:t>
      </w:r>
    </w:p>
    <w:p w14:paraId="617BF10A" w14:textId="77777777" w:rsidR="00381B7D" w:rsidRPr="005E320F" w:rsidRDefault="00381B7D" w:rsidP="00A31E3A">
      <w:pPr>
        <w:widowControl w:val="0"/>
        <w:tabs>
          <w:tab w:val="clear" w:pos="567"/>
        </w:tabs>
        <w:spacing w:line="240" w:lineRule="auto"/>
        <w:rPr>
          <w:snapToGrid/>
          <w:szCs w:val="22"/>
          <w:lang w:val="lt-LT" w:eastAsia="sl-SI"/>
        </w:rPr>
      </w:pPr>
    </w:p>
    <w:p w14:paraId="6ADAE56C" w14:textId="77777777" w:rsidR="00381B7D" w:rsidRPr="005E320F" w:rsidRDefault="00381B7D" w:rsidP="00A31E3A">
      <w:pPr>
        <w:widowControl w:val="0"/>
        <w:tabs>
          <w:tab w:val="clear" w:pos="567"/>
        </w:tabs>
        <w:spacing w:line="240" w:lineRule="auto"/>
        <w:rPr>
          <w:snapToGrid/>
          <w:szCs w:val="22"/>
          <w:lang w:val="lt-LT" w:eastAsia="sl-SI"/>
        </w:rPr>
      </w:pPr>
    </w:p>
    <w:p w14:paraId="6AA04370"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1.</w:t>
      </w:r>
      <w:r w:rsidRPr="005E320F">
        <w:rPr>
          <w:b/>
          <w:snapToGrid/>
          <w:szCs w:val="22"/>
          <w:lang w:val="lt-LT" w:eastAsia="sl-SI"/>
        </w:rPr>
        <w:tab/>
        <w:t xml:space="preserve">Kas yra </w:t>
      </w:r>
      <w:proofErr w:type="spellStart"/>
      <w:r w:rsidR="004373BE" w:rsidRPr="005E320F">
        <w:rPr>
          <w:b/>
          <w:snapToGrid/>
          <w:szCs w:val="22"/>
          <w:lang w:val="lt-LT" w:eastAsia="sl-SI"/>
        </w:rPr>
        <w:t>Torzelip</w:t>
      </w:r>
      <w:proofErr w:type="spellEnd"/>
      <w:r w:rsidRPr="005E320F">
        <w:rPr>
          <w:b/>
          <w:snapToGrid/>
          <w:szCs w:val="22"/>
          <w:lang w:val="lt-LT" w:eastAsia="sl-SI"/>
        </w:rPr>
        <w:t xml:space="preserve"> ir kam jis vartojamas</w:t>
      </w:r>
    </w:p>
    <w:p w14:paraId="21480C69" w14:textId="77777777" w:rsidR="00381B7D" w:rsidRPr="005E320F" w:rsidRDefault="00381B7D" w:rsidP="007E15ED">
      <w:pPr>
        <w:keepNext/>
        <w:widowControl w:val="0"/>
        <w:tabs>
          <w:tab w:val="clear" w:pos="567"/>
        </w:tabs>
        <w:spacing w:line="240" w:lineRule="auto"/>
        <w:rPr>
          <w:snapToGrid/>
          <w:szCs w:val="22"/>
          <w:lang w:val="lt-LT" w:eastAsia="sl-SI"/>
        </w:rPr>
      </w:pPr>
    </w:p>
    <w:p w14:paraId="6410E11F" w14:textId="77777777" w:rsidR="000664D1" w:rsidRPr="005E320F" w:rsidRDefault="000664D1" w:rsidP="000664D1">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yra vaistas padidėjusiam cholesterolio kiekiui mažinti. </w:t>
      </w:r>
      <w:proofErr w:type="spellStart"/>
      <w:r w:rsidRPr="005E320F">
        <w:rPr>
          <w:snapToGrid/>
          <w:szCs w:val="22"/>
          <w:lang w:val="lt-LT"/>
        </w:rPr>
        <w:t>Torzelip</w:t>
      </w:r>
      <w:proofErr w:type="spellEnd"/>
      <w:r w:rsidRPr="005E320F">
        <w:rPr>
          <w:snapToGrid/>
          <w:szCs w:val="22"/>
          <w:lang w:val="lt-LT"/>
        </w:rPr>
        <w:t xml:space="preserve"> sudėtyje yra </w:t>
      </w:r>
      <w:proofErr w:type="spellStart"/>
      <w:r w:rsidRPr="005E320F">
        <w:rPr>
          <w:snapToGrid/>
          <w:szCs w:val="22"/>
          <w:lang w:val="lt-LT"/>
        </w:rPr>
        <w:t>ezetimibo</w:t>
      </w:r>
      <w:proofErr w:type="spellEnd"/>
      <w:r w:rsidRPr="005E320F">
        <w:rPr>
          <w:snapToGrid/>
          <w:szCs w:val="22"/>
          <w:lang w:val="lt-LT"/>
        </w:rPr>
        <w:t xml:space="preserve"> ir </w:t>
      </w:r>
      <w:proofErr w:type="spellStart"/>
      <w:r w:rsidRPr="005E320F">
        <w:rPr>
          <w:snapToGrid/>
          <w:szCs w:val="22"/>
          <w:lang w:val="lt-LT"/>
        </w:rPr>
        <w:t>atorvastatino</w:t>
      </w:r>
      <w:proofErr w:type="spellEnd"/>
      <w:r w:rsidRPr="005E320F">
        <w:rPr>
          <w:snapToGrid/>
          <w:szCs w:val="22"/>
          <w:lang w:val="lt-LT"/>
        </w:rPr>
        <w:t>.</w:t>
      </w:r>
    </w:p>
    <w:p w14:paraId="76995F50" w14:textId="77777777" w:rsidR="000664D1" w:rsidRPr="005E320F" w:rsidRDefault="000664D1" w:rsidP="000664D1">
      <w:pPr>
        <w:tabs>
          <w:tab w:val="clear" w:pos="567"/>
        </w:tabs>
        <w:spacing w:line="240" w:lineRule="auto"/>
        <w:rPr>
          <w:snapToGrid/>
          <w:szCs w:val="22"/>
          <w:lang w:val="lt-LT"/>
        </w:rPr>
      </w:pPr>
    </w:p>
    <w:p w14:paraId="74EA8655" w14:textId="21EA775A" w:rsidR="000664D1" w:rsidRPr="005E320F" w:rsidRDefault="000664D1" w:rsidP="000664D1">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varto</w:t>
      </w:r>
      <w:r w:rsidR="009D7115" w:rsidRPr="005E320F">
        <w:rPr>
          <w:snapToGrid/>
          <w:szCs w:val="22"/>
          <w:lang w:val="lt-LT"/>
        </w:rPr>
        <w:t>j</w:t>
      </w:r>
      <w:r w:rsidRPr="005E320F">
        <w:rPr>
          <w:snapToGrid/>
          <w:szCs w:val="22"/>
          <w:lang w:val="lt-LT"/>
        </w:rPr>
        <w:t>amas bendrojo cholesterolio, „blogojo“ cholesterolio (MTL</w:t>
      </w:r>
      <w:r w:rsidR="00B71942" w:rsidRPr="005E320F">
        <w:rPr>
          <w:snapToGrid/>
          <w:szCs w:val="22"/>
          <w:lang w:val="lt-LT"/>
        </w:rPr>
        <w:t> </w:t>
      </w:r>
      <w:r w:rsidRPr="005E320F">
        <w:rPr>
          <w:snapToGrid/>
          <w:szCs w:val="22"/>
          <w:lang w:val="lt-LT"/>
        </w:rPr>
        <w:t xml:space="preserve">cholesterolio) ir riebiųjų medžiagų, vadinamų trigliceridais, kiekiui kraujyje mažinti suaugusiesiems. Be to, </w:t>
      </w:r>
      <w:proofErr w:type="spellStart"/>
      <w:r w:rsidRPr="005E320F">
        <w:rPr>
          <w:snapToGrid/>
          <w:szCs w:val="22"/>
          <w:lang w:val="lt-LT"/>
        </w:rPr>
        <w:t>Torzelip</w:t>
      </w:r>
      <w:proofErr w:type="spellEnd"/>
      <w:r w:rsidRPr="005E320F">
        <w:rPr>
          <w:snapToGrid/>
          <w:szCs w:val="22"/>
          <w:lang w:val="lt-LT"/>
        </w:rPr>
        <w:t xml:space="preserve"> didina „gerojo“ cholesterolio (DTL</w:t>
      </w:r>
      <w:r w:rsidR="00B71942" w:rsidRPr="005E320F">
        <w:rPr>
          <w:snapToGrid/>
          <w:szCs w:val="22"/>
          <w:lang w:val="lt-LT"/>
        </w:rPr>
        <w:t> </w:t>
      </w:r>
      <w:r w:rsidRPr="005E320F">
        <w:rPr>
          <w:snapToGrid/>
          <w:szCs w:val="22"/>
          <w:lang w:val="lt-LT"/>
        </w:rPr>
        <w:t>cholesterolio) kiekį.</w:t>
      </w:r>
    </w:p>
    <w:p w14:paraId="643057E6" w14:textId="77777777" w:rsidR="000664D1" w:rsidRPr="005E320F" w:rsidRDefault="000664D1" w:rsidP="000664D1">
      <w:pPr>
        <w:tabs>
          <w:tab w:val="clear" w:pos="567"/>
        </w:tabs>
        <w:spacing w:line="240" w:lineRule="auto"/>
        <w:rPr>
          <w:snapToGrid/>
          <w:szCs w:val="22"/>
          <w:lang w:val="lt-LT"/>
        </w:rPr>
      </w:pPr>
    </w:p>
    <w:p w14:paraId="2DA8F77C" w14:textId="3AF16DB8" w:rsidR="000664D1" w:rsidRPr="005E320F" w:rsidRDefault="000664D1" w:rsidP="000664D1">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cholesterolio kiekį mažina dviem</w:t>
      </w:r>
      <w:r w:rsidR="00B71942" w:rsidRPr="005E320F">
        <w:rPr>
          <w:snapToGrid/>
          <w:szCs w:val="22"/>
          <w:lang w:val="lt-LT"/>
        </w:rPr>
        <w:t> </w:t>
      </w:r>
      <w:r w:rsidRPr="005E320F">
        <w:rPr>
          <w:snapToGrid/>
          <w:szCs w:val="22"/>
          <w:lang w:val="lt-LT"/>
        </w:rPr>
        <w:t>būdais: mažina cholesterolio pasisavinimą iš virškinimo trakto bei cholesterolio gamybą organizme.</w:t>
      </w:r>
    </w:p>
    <w:p w14:paraId="462B1D39" w14:textId="77777777" w:rsidR="000664D1" w:rsidRPr="005E320F" w:rsidRDefault="000664D1" w:rsidP="000664D1">
      <w:pPr>
        <w:tabs>
          <w:tab w:val="clear" w:pos="567"/>
        </w:tabs>
        <w:spacing w:line="240" w:lineRule="auto"/>
        <w:rPr>
          <w:snapToGrid/>
          <w:szCs w:val="22"/>
          <w:lang w:val="lt-LT"/>
        </w:rPr>
      </w:pPr>
    </w:p>
    <w:p w14:paraId="7F0CF0FD" w14:textId="5B0B0442" w:rsidR="000664D1" w:rsidRPr="005E320F" w:rsidRDefault="000664D1" w:rsidP="000664D1">
      <w:pPr>
        <w:tabs>
          <w:tab w:val="clear" w:pos="567"/>
        </w:tabs>
        <w:spacing w:line="240" w:lineRule="auto"/>
        <w:rPr>
          <w:snapToGrid/>
          <w:szCs w:val="22"/>
          <w:lang w:val="lt-LT"/>
        </w:rPr>
      </w:pPr>
      <w:r w:rsidRPr="005E320F">
        <w:rPr>
          <w:snapToGrid/>
          <w:szCs w:val="22"/>
          <w:lang w:val="lt-LT"/>
        </w:rPr>
        <w:t>Cholesterolis yra viena iš kelių kraujyje randamų riebiųjų medžiagų. Bendrojo cholesterolio kiekį daugiausia</w:t>
      </w:r>
      <w:r w:rsidR="00B71942" w:rsidRPr="005E320F">
        <w:rPr>
          <w:snapToGrid/>
          <w:szCs w:val="22"/>
          <w:lang w:val="lt-LT"/>
        </w:rPr>
        <w:t>i</w:t>
      </w:r>
      <w:r w:rsidRPr="005E320F">
        <w:rPr>
          <w:snapToGrid/>
          <w:szCs w:val="22"/>
          <w:lang w:val="lt-LT"/>
        </w:rPr>
        <w:t xml:space="preserve"> lemia MTL ir DTL</w:t>
      </w:r>
      <w:r w:rsidR="00B71942" w:rsidRPr="005E320F">
        <w:rPr>
          <w:snapToGrid/>
          <w:szCs w:val="22"/>
          <w:lang w:val="lt-LT"/>
        </w:rPr>
        <w:t> </w:t>
      </w:r>
      <w:r w:rsidRPr="005E320F">
        <w:rPr>
          <w:snapToGrid/>
          <w:szCs w:val="22"/>
          <w:lang w:val="lt-LT"/>
        </w:rPr>
        <w:t>cholesterolis.</w:t>
      </w:r>
    </w:p>
    <w:p w14:paraId="2E861F95" w14:textId="77777777" w:rsidR="000664D1" w:rsidRPr="005E320F" w:rsidRDefault="000664D1" w:rsidP="000664D1">
      <w:pPr>
        <w:tabs>
          <w:tab w:val="clear" w:pos="567"/>
        </w:tabs>
        <w:spacing w:line="240" w:lineRule="auto"/>
        <w:rPr>
          <w:snapToGrid/>
          <w:szCs w:val="22"/>
          <w:lang w:val="lt-LT"/>
        </w:rPr>
      </w:pPr>
    </w:p>
    <w:p w14:paraId="6A7672C4" w14:textId="50AF3EB4" w:rsidR="003D0DEA" w:rsidRPr="005E320F" w:rsidRDefault="003D0DEA" w:rsidP="000664D1">
      <w:pPr>
        <w:tabs>
          <w:tab w:val="clear" w:pos="567"/>
        </w:tabs>
        <w:spacing w:line="240" w:lineRule="auto"/>
        <w:rPr>
          <w:snapToGrid/>
          <w:szCs w:val="22"/>
          <w:lang w:val="lt-LT"/>
        </w:rPr>
      </w:pPr>
      <w:r w:rsidRPr="005E320F">
        <w:rPr>
          <w:snapToGrid/>
          <w:szCs w:val="22"/>
          <w:lang w:val="lt-LT"/>
        </w:rPr>
        <w:t>MTL</w:t>
      </w:r>
      <w:r w:rsidR="00B71942" w:rsidRPr="005E320F">
        <w:rPr>
          <w:snapToGrid/>
          <w:szCs w:val="22"/>
          <w:lang w:val="lt-LT"/>
        </w:rPr>
        <w:t> </w:t>
      </w:r>
      <w:r w:rsidRPr="005E320F">
        <w:rPr>
          <w:snapToGrid/>
          <w:szCs w:val="22"/>
          <w:lang w:val="lt-LT"/>
        </w:rPr>
        <w:t xml:space="preserve">cholesterolis dažnai yra vadinamas „bloguoju“ </w:t>
      </w:r>
      <w:r w:rsidR="000664D1" w:rsidRPr="005E320F">
        <w:rPr>
          <w:snapToGrid/>
          <w:szCs w:val="22"/>
          <w:lang w:val="lt-LT"/>
        </w:rPr>
        <w:t>cholesterol</w:t>
      </w:r>
      <w:r w:rsidRPr="005E320F">
        <w:rPr>
          <w:snapToGrid/>
          <w:szCs w:val="22"/>
          <w:lang w:val="lt-LT"/>
        </w:rPr>
        <w:t>iu, nes jis gali kauptis arterijų sienelėse ir formuoti plokšteles. Galiausiai tokios plokštelės gali susiaurinti arterijas. Toks susiaurėjimas gali sulėtinti ar užblokuoti kraujo tekėjimą į gyvybiškai svarbius organus, tokius kaip širdis ir galvos smegenys. Toks kraujotakos užblokavimas gali sukelti širdies priepuolį ar insultą.</w:t>
      </w:r>
    </w:p>
    <w:p w14:paraId="5D1DA8A9" w14:textId="77777777" w:rsidR="000664D1" w:rsidRPr="005E320F" w:rsidRDefault="000664D1" w:rsidP="000664D1">
      <w:pPr>
        <w:tabs>
          <w:tab w:val="clear" w:pos="567"/>
        </w:tabs>
        <w:spacing w:line="240" w:lineRule="auto"/>
        <w:rPr>
          <w:snapToGrid/>
          <w:szCs w:val="22"/>
          <w:lang w:val="lt-LT"/>
        </w:rPr>
      </w:pPr>
    </w:p>
    <w:p w14:paraId="55DC44F8" w14:textId="6E055A5A" w:rsidR="000664D1" w:rsidRPr="005E320F" w:rsidRDefault="003D0DEA" w:rsidP="000664D1">
      <w:pPr>
        <w:tabs>
          <w:tab w:val="clear" w:pos="567"/>
        </w:tabs>
        <w:spacing w:line="240" w:lineRule="auto"/>
        <w:rPr>
          <w:snapToGrid/>
          <w:szCs w:val="22"/>
          <w:lang w:val="lt-LT"/>
        </w:rPr>
      </w:pPr>
      <w:r w:rsidRPr="005E320F">
        <w:rPr>
          <w:snapToGrid/>
          <w:szCs w:val="22"/>
          <w:lang w:val="lt-LT"/>
        </w:rPr>
        <w:t>DTL</w:t>
      </w:r>
      <w:r w:rsidR="00B71942" w:rsidRPr="005E320F">
        <w:rPr>
          <w:snapToGrid/>
          <w:szCs w:val="22"/>
          <w:lang w:val="lt-LT"/>
        </w:rPr>
        <w:t> </w:t>
      </w:r>
      <w:r w:rsidRPr="005E320F">
        <w:rPr>
          <w:snapToGrid/>
          <w:szCs w:val="22"/>
          <w:lang w:val="lt-LT"/>
        </w:rPr>
        <w:t>cholesterolis dažnai yra vadinamas „geruoju“</w:t>
      </w:r>
      <w:r w:rsidR="009D7115" w:rsidRPr="005E320F">
        <w:rPr>
          <w:snapToGrid/>
          <w:szCs w:val="22"/>
          <w:lang w:val="lt-LT"/>
        </w:rPr>
        <w:t xml:space="preserve"> cholesteroliu</w:t>
      </w:r>
      <w:r w:rsidRPr="005E320F">
        <w:rPr>
          <w:snapToGrid/>
          <w:szCs w:val="22"/>
          <w:lang w:val="lt-LT"/>
        </w:rPr>
        <w:t>, nes jis padeda neleisti „blogajam“ cholesteroliui kauptis arterijose ir apsaugo nuo širdies ligos.</w:t>
      </w:r>
    </w:p>
    <w:p w14:paraId="7E4EB54F" w14:textId="77777777" w:rsidR="000664D1" w:rsidRPr="005E320F" w:rsidRDefault="000664D1" w:rsidP="000664D1">
      <w:pPr>
        <w:tabs>
          <w:tab w:val="clear" w:pos="567"/>
        </w:tabs>
        <w:spacing w:line="240" w:lineRule="auto"/>
        <w:rPr>
          <w:snapToGrid/>
          <w:szCs w:val="22"/>
          <w:lang w:val="lt-LT"/>
        </w:rPr>
      </w:pPr>
    </w:p>
    <w:p w14:paraId="2C8E8206" w14:textId="77777777" w:rsidR="003D0DEA" w:rsidRPr="005E320F" w:rsidRDefault="003D0DEA" w:rsidP="000664D1">
      <w:pPr>
        <w:tabs>
          <w:tab w:val="clear" w:pos="567"/>
        </w:tabs>
        <w:spacing w:line="240" w:lineRule="auto"/>
        <w:rPr>
          <w:snapToGrid/>
          <w:szCs w:val="22"/>
          <w:lang w:val="lt-LT"/>
        </w:rPr>
      </w:pPr>
      <w:r w:rsidRPr="005E320F">
        <w:rPr>
          <w:snapToGrid/>
          <w:szCs w:val="22"/>
          <w:lang w:val="lt-LT"/>
        </w:rPr>
        <w:t>Trigliceridai yra kita kraujyje esančių riebalų forma, galinti didinti širdies ligos riziką.</w:t>
      </w:r>
    </w:p>
    <w:p w14:paraId="721EF06D" w14:textId="77777777" w:rsidR="000664D1" w:rsidRPr="005E320F" w:rsidRDefault="000664D1" w:rsidP="000664D1">
      <w:pPr>
        <w:tabs>
          <w:tab w:val="clear" w:pos="567"/>
        </w:tabs>
        <w:spacing w:line="240" w:lineRule="auto"/>
        <w:rPr>
          <w:snapToGrid/>
          <w:szCs w:val="22"/>
          <w:lang w:val="lt-LT"/>
        </w:rPr>
      </w:pPr>
    </w:p>
    <w:p w14:paraId="4E4299F2" w14:textId="5E681C2A" w:rsidR="003D0DEA" w:rsidRPr="005E320F" w:rsidRDefault="00FA47E7" w:rsidP="000664D1">
      <w:pPr>
        <w:tabs>
          <w:tab w:val="clear" w:pos="567"/>
        </w:tabs>
        <w:spacing w:line="240" w:lineRule="auto"/>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skirtas vartoti pacientams, kurie negali kontroliuoti cholesterolio kiekio vien dieta. Šio vaisto vartojimo metu būtina toliau laikytis cholesterolio kiekį mažinančios dietos</w:t>
      </w:r>
      <w:r w:rsidR="00D074B8" w:rsidRPr="005E320F">
        <w:rPr>
          <w:snapToGrid/>
          <w:szCs w:val="22"/>
          <w:lang w:val="lt-LT"/>
        </w:rPr>
        <w:t>.</w:t>
      </w:r>
    </w:p>
    <w:p w14:paraId="09779455" w14:textId="382BED4B" w:rsidR="003D0DEA" w:rsidRPr="005E320F" w:rsidRDefault="00FA47E7" w:rsidP="000664D1">
      <w:pPr>
        <w:tabs>
          <w:tab w:val="clear" w:pos="567"/>
        </w:tabs>
        <w:spacing w:line="240" w:lineRule="auto"/>
        <w:rPr>
          <w:snapToGrid/>
          <w:szCs w:val="22"/>
          <w:lang w:val="lt-LT"/>
        </w:rPr>
      </w:pPr>
      <w:r w:rsidRPr="005E320F">
        <w:rPr>
          <w:snapToGrid/>
          <w:szCs w:val="22"/>
          <w:lang w:val="lt-LT"/>
        </w:rPr>
        <w:t xml:space="preserve">Gydytojas Jums gali skirti </w:t>
      </w:r>
      <w:proofErr w:type="spellStart"/>
      <w:r w:rsidRPr="005E320F">
        <w:rPr>
          <w:snapToGrid/>
          <w:szCs w:val="22"/>
          <w:lang w:val="lt-LT"/>
        </w:rPr>
        <w:t>Torzelip</w:t>
      </w:r>
      <w:proofErr w:type="spellEnd"/>
      <w:r w:rsidRPr="005E320F">
        <w:rPr>
          <w:snapToGrid/>
          <w:szCs w:val="22"/>
          <w:lang w:val="lt-LT"/>
        </w:rPr>
        <w:t xml:space="preserve">, jei jau vartojate </w:t>
      </w:r>
      <w:proofErr w:type="spellStart"/>
      <w:r w:rsidRPr="005E320F">
        <w:rPr>
          <w:snapToGrid/>
          <w:szCs w:val="22"/>
          <w:lang w:val="lt-LT"/>
        </w:rPr>
        <w:t>atorvastatin</w:t>
      </w:r>
      <w:r w:rsidR="00B71942" w:rsidRPr="005E320F">
        <w:rPr>
          <w:snapToGrid/>
          <w:szCs w:val="22"/>
          <w:lang w:val="lt-LT"/>
        </w:rPr>
        <w:t>o</w:t>
      </w:r>
      <w:proofErr w:type="spellEnd"/>
      <w:r w:rsidRPr="005E320F">
        <w:rPr>
          <w:snapToGrid/>
          <w:szCs w:val="22"/>
          <w:lang w:val="lt-LT"/>
        </w:rPr>
        <w:t xml:space="preserve"> ir </w:t>
      </w:r>
      <w:proofErr w:type="spellStart"/>
      <w:r w:rsidRPr="005E320F">
        <w:rPr>
          <w:snapToGrid/>
          <w:szCs w:val="22"/>
          <w:lang w:val="lt-LT"/>
        </w:rPr>
        <w:t>ezetimib</w:t>
      </w:r>
      <w:r w:rsidR="00B71942" w:rsidRPr="005E320F">
        <w:rPr>
          <w:snapToGrid/>
          <w:szCs w:val="22"/>
          <w:lang w:val="lt-LT"/>
        </w:rPr>
        <w:t>o</w:t>
      </w:r>
      <w:proofErr w:type="spellEnd"/>
      <w:r w:rsidRPr="005E320F">
        <w:rPr>
          <w:snapToGrid/>
          <w:szCs w:val="22"/>
          <w:lang w:val="lt-LT"/>
        </w:rPr>
        <w:t xml:space="preserve"> tokiomis pačiomis dozėmis.</w:t>
      </w:r>
    </w:p>
    <w:p w14:paraId="15E59961" w14:textId="77777777" w:rsidR="00E35E43" w:rsidRPr="005E320F" w:rsidRDefault="00E35E43" w:rsidP="000664D1">
      <w:pPr>
        <w:tabs>
          <w:tab w:val="clear" w:pos="567"/>
        </w:tabs>
        <w:spacing w:line="240" w:lineRule="auto"/>
        <w:rPr>
          <w:snapToGrid/>
          <w:szCs w:val="22"/>
          <w:lang w:val="lt-LT"/>
        </w:rPr>
      </w:pPr>
    </w:p>
    <w:p w14:paraId="45520E61" w14:textId="644CD39F" w:rsidR="00E35E43" w:rsidRPr="005E320F" w:rsidRDefault="00E35E43" w:rsidP="000664D1">
      <w:pPr>
        <w:tabs>
          <w:tab w:val="clear" w:pos="567"/>
        </w:tabs>
        <w:spacing w:line="240" w:lineRule="auto"/>
        <w:rPr>
          <w:snapToGrid/>
          <w:szCs w:val="22"/>
          <w:lang w:val="lt-LT"/>
        </w:rPr>
      </w:pPr>
      <w:proofErr w:type="spellStart"/>
      <w:r w:rsidRPr="005E320F">
        <w:rPr>
          <w:snapToGrid/>
          <w:szCs w:val="22"/>
          <w:lang w:val="lt-LT"/>
        </w:rPr>
        <w:lastRenderedPageBreak/>
        <w:t>Torzelip</w:t>
      </w:r>
      <w:proofErr w:type="spellEnd"/>
      <w:r w:rsidRPr="005E320F">
        <w:rPr>
          <w:snapToGrid/>
          <w:szCs w:val="22"/>
          <w:lang w:val="lt-LT"/>
        </w:rPr>
        <w:t xml:space="preserve"> tabletės vartojamos, jeigu Jums yra:</w:t>
      </w:r>
    </w:p>
    <w:p w14:paraId="0ED9CEE9" w14:textId="1C32F7FC" w:rsidR="00E35E43" w:rsidRPr="005E320F" w:rsidRDefault="005E320F" w:rsidP="005E320F">
      <w:pPr>
        <w:pStyle w:val="Sraopastraipa"/>
        <w:numPr>
          <w:ilvl w:val="0"/>
          <w:numId w:val="38"/>
        </w:numPr>
        <w:ind w:left="567" w:hanging="567"/>
        <w:rPr>
          <w:sz w:val="22"/>
          <w:szCs w:val="22"/>
        </w:rPr>
      </w:pPr>
      <w:r w:rsidRPr="005E320F">
        <w:rPr>
          <w:sz w:val="22"/>
          <w:szCs w:val="22"/>
        </w:rPr>
        <w:t>p</w:t>
      </w:r>
      <w:r w:rsidR="00E35E43" w:rsidRPr="0054203F">
        <w:rPr>
          <w:sz w:val="22"/>
          <w:szCs w:val="22"/>
        </w:rPr>
        <w:t xml:space="preserve">adidėjęs cholesterolio kiekis kraujyje (pirminė </w:t>
      </w:r>
      <w:proofErr w:type="spellStart"/>
      <w:r w:rsidRPr="005E320F">
        <w:rPr>
          <w:sz w:val="22"/>
          <w:szCs w:val="22"/>
        </w:rPr>
        <w:t>hipercholesterolemija</w:t>
      </w:r>
      <w:proofErr w:type="spellEnd"/>
      <w:r w:rsidRPr="005E320F">
        <w:rPr>
          <w:sz w:val="22"/>
          <w:szCs w:val="22"/>
        </w:rPr>
        <w:t xml:space="preserve"> [</w:t>
      </w:r>
      <w:proofErr w:type="spellStart"/>
      <w:r w:rsidRPr="005E320F">
        <w:rPr>
          <w:sz w:val="22"/>
          <w:szCs w:val="22"/>
        </w:rPr>
        <w:t>heterozigotinė</w:t>
      </w:r>
      <w:proofErr w:type="spellEnd"/>
      <w:r w:rsidRPr="005E320F">
        <w:rPr>
          <w:sz w:val="22"/>
          <w:szCs w:val="22"/>
        </w:rPr>
        <w:t xml:space="preserve"> ir </w:t>
      </w:r>
      <w:proofErr w:type="spellStart"/>
      <w:r w:rsidRPr="005E320F">
        <w:rPr>
          <w:sz w:val="22"/>
          <w:szCs w:val="22"/>
        </w:rPr>
        <w:t>homozigotinė</w:t>
      </w:r>
      <w:proofErr w:type="spellEnd"/>
      <w:r w:rsidRPr="005E320F">
        <w:rPr>
          <w:sz w:val="22"/>
          <w:szCs w:val="22"/>
        </w:rPr>
        <w:t xml:space="preserve"> šeiminė bei nešeiminė]) arba padidėjęs riebalų kiekis kraujyje (mišri </w:t>
      </w:r>
      <w:proofErr w:type="spellStart"/>
      <w:r w:rsidRPr="005E320F">
        <w:rPr>
          <w:sz w:val="22"/>
          <w:szCs w:val="22"/>
        </w:rPr>
        <w:t>hiperlipidemija</w:t>
      </w:r>
      <w:proofErr w:type="spellEnd"/>
      <w:r w:rsidRPr="005E320F">
        <w:rPr>
          <w:sz w:val="22"/>
          <w:szCs w:val="22"/>
        </w:rPr>
        <w:t>);</w:t>
      </w:r>
    </w:p>
    <w:p w14:paraId="09D9BBC1" w14:textId="115F2DF3" w:rsidR="005E320F" w:rsidRPr="005E320F" w:rsidRDefault="005E320F" w:rsidP="0054203F">
      <w:pPr>
        <w:pStyle w:val="Sraopastraipa"/>
        <w:numPr>
          <w:ilvl w:val="0"/>
          <w:numId w:val="38"/>
        </w:numPr>
        <w:ind w:left="567" w:hanging="567"/>
        <w:rPr>
          <w:szCs w:val="22"/>
        </w:rPr>
      </w:pPr>
      <w:r w:rsidRPr="005E320F">
        <w:rPr>
          <w:sz w:val="22"/>
          <w:szCs w:val="22"/>
        </w:rPr>
        <w:t xml:space="preserve">širdies liga. </w:t>
      </w:r>
      <w:proofErr w:type="spellStart"/>
      <w:r w:rsidRPr="005E320F">
        <w:rPr>
          <w:sz w:val="22"/>
          <w:szCs w:val="22"/>
        </w:rPr>
        <w:t>Torzelip</w:t>
      </w:r>
      <w:proofErr w:type="spellEnd"/>
      <w:r w:rsidRPr="005E320F">
        <w:rPr>
          <w:sz w:val="22"/>
          <w:szCs w:val="22"/>
        </w:rPr>
        <w:t xml:space="preserve"> sumažina širdies priepuolio, insulto, širdies kraujotaką gerinančios operacijos ar hospitalizavimo dėl krūtinės skausmo riziką.</w:t>
      </w:r>
    </w:p>
    <w:p w14:paraId="6EAACC0D" w14:textId="77777777" w:rsidR="00E35E43" w:rsidRPr="005E320F" w:rsidRDefault="00E35E43" w:rsidP="000664D1">
      <w:pPr>
        <w:tabs>
          <w:tab w:val="clear" w:pos="567"/>
        </w:tabs>
        <w:spacing w:line="240" w:lineRule="auto"/>
        <w:rPr>
          <w:snapToGrid/>
          <w:szCs w:val="22"/>
          <w:lang w:val="lt-LT"/>
        </w:rPr>
      </w:pPr>
    </w:p>
    <w:p w14:paraId="4B824417" w14:textId="5F57C8B1" w:rsidR="000664D1" w:rsidRPr="005E320F" w:rsidRDefault="000664D1" w:rsidP="000664D1">
      <w:pPr>
        <w:tabs>
          <w:tab w:val="clear" w:pos="567"/>
        </w:tabs>
        <w:spacing w:line="240" w:lineRule="auto"/>
        <w:ind w:right="-2"/>
        <w:rPr>
          <w:snapToGrid/>
          <w:szCs w:val="22"/>
          <w:lang w:val="lt-LT"/>
        </w:rPr>
      </w:pPr>
      <w:proofErr w:type="spellStart"/>
      <w:r w:rsidRPr="005E320F">
        <w:rPr>
          <w:snapToGrid/>
          <w:color w:val="000000"/>
          <w:szCs w:val="22"/>
          <w:lang w:val="lt-LT" w:eastAsia="sl-SI"/>
        </w:rPr>
        <w:t>Torzelip</w:t>
      </w:r>
      <w:proofErr w:type="spellEnd"/>
      <w:r w:rsidRPr="005E320F">
        <w:rPr>
          <w:snapToGrid/>
          <w:color w:val="000000"/>
          <w:szCs w:val="22"/>
          <w:lang w:val="lt-LT" w:eastAsia="sl-SI"/>
        </w:rPr>
        <w:t xml:space="preserve"> nepadeda sumažinti kūno </w:t>
      </w:r>
      <w:r w:rsidR="00D074B8" w:rsidRPr="005E320F">
        <w:rPr>
          <w:snapToGrid/>
          <w:color w:val="000000"/>
          <w:szCs w:val="22"/>
          <w:lang w:val="lt-LT" w:eastAsia="sl-SI"/>
        </w:rPr>
        <w:t>ma</w:t>
      </w:r>
      <w:r w:rsidRPr="005E320F">
        <w:rPr>
          <w:snapToGrid/>
          <w:color w:val="000000"/>
          <w:szCs w:val="22"/>
          <w:lang w:val="lt-LT" w:eastAsia="sl-SI"/>
        </w:rPr>
        <w:t>s</w:t>
      </w:r>
      <w:r w:rsidR="00D074B8" w:rsidRPr="005E320F">
        <w:rPr>
          <w:snapToGrid/>
          <w:color w:val="000000"/>
          <w:szCs w:val="22"/>
          <w:lang w:val="lt-LT" w:eastAsia="sl-SI"/>
        </w:rPr>
        <w:t>ės</w:t>
      </w:r>
      <w:r w:rsidRPr="005E320F">
        <w:rPr>
          <w:snapToGrid/>
          <w:szCs w:val="22"/>
          <w:lang w:val="lt-LT"/>
        </w:rPr>
        <w:t>.</w:t>
      </w:r>
    </w:p>
    <w:p w14:paraId="5F7AFD92" w14:textId="77777777" w:rsidR="00381B7D" w:rsidRPr="005E320F" w:rsidRDefault="00381B7D" w:rsidP="00A31E3A">
      <w:pPr>
        <w:widowControl w:val="0"/>
        <w:tabs>
          <w:tab w:val="clear" w:pos="567"/>
        </w:tabs>
        <w:spacing w:line="240" w:lineRule="auto"/>
        <w:rPr>
          <w:snapToGrid/>
          <w:szCs w:val="22"/>
          <w:lang w:val="lt-LT" w:eastAsia="sl-SI"/>
        </w:rPr>
      </w:pPr>
    </w:p>
    <w:p w14:paraId="0C5EB45E" w14:textId="77777777" w:rsidR="00381B7D" w:rsidRPr="005E320F" w:rsidRDefault="00381B7D" w:rsidP="00A31E3A">
      <w:pPr>
        <w:widowControl w:val="0"/>
        <w:tabs>
          <w:tab w:val="clear" w:pos="567"/>
        </w:tabs>
        <w:spacing w:line="240" w:lineRule="auto"/>
        <w:rPr>
          <w:snapToGrid/>
          <w:szCs w:val="22"/>
          <w:lang w:val="lt-LT" w:eastAsia="sl-SI"/>
        </w:rPr>
      </w:pPr>
    </w:p>
    <w:p w14:paraId="283A23F6"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2.</w:t>
      </w:r>
      <w:r w:rsidRPr="005E320F">
        <w:rPr>
          <w:b/>
          <w:snapToGrid/>
          <w:szCs w:val="22"/>
          <w:lang w:val="lt-LT" w:eastAsia="sl-SI"/>
        </w:rPr>
        <w:tab/>
        <w:t xml:space="preserve">Kas žinotina prieš vartojant </w:t>
      </w:r>
      <w:proofErr w:type="spellStart"/>
      <w:r w:rsidR="004373BE" w:rsidRPr="005E320F">
        <w:rPr>
          <w:b/>
          <w:snapToGrid/>
          <w:szCs w:val="22"/>
          <w:lang w:val="lt-LT" w:eastAsia="sl-SI"/>
        </w:rPr>
        <w:t>Torzelip</w:t>
      </w:r>
      <w:proofErr w:type="spellEnd"/>
    </w:p>
    <w:p w14:paraId="5982557B" w14:textId="77777777" w:rsidR="00381B7D" w:rsidRPr="005E320F" w:rsidRDefault="00381B7D" w:rsidP="007E15ED">
      <w:pPr>
        <w:keepNext/>
        <w:widowControl w:val="0"/>
        <w:tabs>
          <w:tab w:val="clear" w:pos="567"/>
        </w:tabs>
        <w:spacing w:line="240" w:lineRule="auto"/>
        <w:rPr>
          <w:b/>
          <w:snapToGrid/>
          <w:szCs w:val="22"/>
          <w:lang w:val="lt-LT" w:eastAsia="sl-SI"/>
        </w:rPr>
      </w:pPr>
    </w:p>
    <w:p w14:paraId="7816239A" w14:textId="231AF05E" w:rsidR="00381B7D" w:rsidRPr="005E320F" w:rsidRDefault="004373BE" w:rsidP="007E15ED">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00381B7D" w:rsidRPr="005E320F">
        <w:rPr>
          <w:b/>
          <w:snapToGrid/>
          <w:szCs w:val="22"/>
          <w:lang w:val="lt-LT" w:eastAsia="sl-SI"/>
        </w:rPr>
        <w:t xml:space="preserve"> vartoti </w:t>
      </w:r>
      <w:r w:rsidR="008E23C5" w:rsidRPr="005E320F">
        <w:rPr>
          <w:b/>
          <w:snapToGrid/>
          <w:szCs w:val="22"/>
          <w:lang w:val="lt-LT" w:eastAsia="sl-SI"/>
        </w:rPr>
        <w:t>draudžiama</w:t>
      </w:r>
      <w:r w:rsidR="00381B7D" w:rsidRPr="005E320F">
        <w:rPr>
          <w:b/>
          <w:snapToGrid/>
          <w:szCs w:val="22"/>
          <w:lang w:val="lt-LT" w:eastAsia="sl-SI"/>
        </w:rPr>
        <w:t>:</w:t>
      </w:r>
    </w:p>
    <w:p w14:paraId="0460B592" w14:textId="1128865D" w:rsidR="00381B7D" w:rsidRPr="005E320F" w:rsidRDefault="00381B7D" w:rsidP="0054203F">
      <w:pPr>
        <w:widowControl w:val="0"/>
        <w:numPr>
          <w:ilvl w:val="0"/>
          <w:numId w:val="39"/>
        </w:numPr>
        <w:tabs>
          <w:tab w:val="clear" w:pos="567"/>
        </w:tabs>
        <w:spacing w:line="240" w:lineRule="auto"/>
        <w:ind w:left="567" w:hanging="567"/>
        <w:rPr>
          <w:szCs w:val="22"/>
          <w:lang w:val="lt-LT"/>
        </w:rPr>
      </w:pPr>
      <w:r w:rsidRPr="005E320F">
        <w:rPr>
          <w:szCs w:val="22"/>
          <w:lang w:val="lt-LT"/>
        </w:rPr>
        <w:t xml:space="preserve">jeigu yra alergija </w:t>
      </w:r>
      <w:proofErr w:type="spellStart"/>
      <w:r w:rsidRPr="005E320F">
        <w:rPr>
          <w:szCs w:val="22"/>
          <w:lang w:val="lt-LT"/>
        </w:rPr>
        <w:t>ezetimibui</w:t>
      </w:r>
      <w:proofErr w:type="spellEnd"/>
      <w:r w:rsidR="001F4FD1" w:rsidRPr="005E320F">
        <w:rPr>
          <w:szCs w:val="22"/>
          <w:lang w:val="lt-LT"/>
        </w:rPr>
        <w:t>,</w:t>
      </w:r>
      <w:r w:rsidRPr="005E320F">
        <w:rPr>
          <w:szCs w:val="22"/>
          <w:lang w:val="lt-LT"/>
        </w:rPr>
        <w:t xml:space="preserve"> </w:t>
      </w:r>
      <w:proofErr w:type="spellStart"/>
      <w:r w:rsidR="001F4FD1" w:rsidRPr="005E320F">
        <w:rPr>
          <w:szCs w:val="22"/>
          <w:lang w:val="lt-LT"/>
        </w:rPr>
        <w:t>atorvastatinui</w:t>
      </w:r>
      <w:proofErr w:type="spellEnd"/>
      <w:r w:rsidR="001F4FD1" w:rsidRPr="005E320F">
        <w:rPr>
          <w:szCs w:val="22"/>
          <w:lang w:val="lt-LT"/>
        </w:rPr>
        <w:t xml:space="preserve"> </w:t>
      </w:r>
      <w:r w:rsidRPr="005E320F">
        <w:rPr>
          <w:szCs w:val="22"/>
          <w:lang w:val="lt-LT"/>
        </w:rPr>
        <w:t>arba bet kuriai pagalbinei šio vaisto medžiagai (jos išvardytos 6 skyriuje);</w:t>
      </w:r>
    </w:p>
    <w:p w14:paraId="0D2267CD" w14:textId="77777777" w:rsidR="008D2209" w:rsidRPr="005E320F" w:rsidRDefault="008D2209" w:rsidP="0054203F">
      <w:pPr>
        <w:widowControl w:val="0"/>
        <w:numPr>
          <w:ilvl w:val="0"/>
          <w:numId w:val="39"/>
        </w:numPr>
        <w:tabs>
          <w:tab w:val="clear" w:pos="567"/>
        </w:tabs>
        <w:spacing w:line="240" w:lineRule="auto"/>
        <w:ind w:left="567" w:hanging="567"/>
        <w:rPr>
          <w:szCs w:val="22"/>
          <w:lang w:val="lt-LT"/>
        </w:rPr>
      </w:pPr>
      <w:r w:rsidRPr="005E320F">
        <w:rPr>
          <w:szCs w:val="22"/>
          <w:lang w:val="lt-LT"/>
        </w:rPr>
        <w:t>jeigu sergate arba sirgote liga, kuri pažeidžia kepenis;</w:t>
      </w:r>
    </w:p>
    <w:p w14:paraId="7BF4DB11" w14:textId="35BAE1A7" w:rsidR="008D2209" w:rsidRPr="005E320F" w:rsidRDefault="008D2209" w:rsidP="0054203F">
      <w:pPr>
        <w:widowControl w:val="0"/>
        <w:numPr>
          <w:ilvl w:val="0"/>
          <w:numId w:val="39"/>
        </w:numPr>
        <w:tabs>
          <w:tab w:val="clear" w:pos="567"/>
        </w:tabs>
        <w:spacing w:line="240" w:lineRule="auto"/>
        <w:ind w:left="567" w:hanging="567"/>
        <w:rPr>
          <w:szCs w:val="22"/>
          <w:lang w:val="lt-LT"/>
        </w:rPr>
      </w:pPr>
      <w:r w:rsidRPr="005E320F">
        <w:rPr>
          <w:szCs w:val="22"/>
          <w:lang w:val="lt-LT"/>
        </w:rPr>
        <w:t>jeigu dėl nežinomų priežasčių yra nenormaliai pakitę bet k</w:t>
      </w:r>
      <w:r w:rsidR="00B71942" w:rsidRPr="005E320F">
        <w:rPr>
          <w:szCs w:val="22"/>
          <w:lang w:val="lt-LT"/>
        </w:rPr>
        <w:t>ok</w:t>
      </w:r>
      <w:r w:rsidRPr="005E320F">
        <w:rPr>
          <w:szCs w:val="22"/>
          <w:lang w:val="lt-LT"/>
        </w:rPr>
        <w:t>ie kepenų funkcijos tyrimų rod</w:t>
      </w:r>
      <w:r w:rsidR="00B71942" w:rsidRPr="005E320F">
        <w:rPr>
          <w:szCs w:val="22"/>
          <w:lang w:val="lt-LT"/>
        </w:rPr>
        <w:t>ikliai</w:t>
      </w:r>
      <w:r w:rsidRPr="005E320F">
        <w:rPr>
          <w:szCs w:val="22"/>
          <w:lang w:val="lt-LT"/>
        </w:rPr>
        <w:t>;</w:t>
      </w:r>
    </w:p>
    <w:p w14:paraId="7B8512D5" w14:textId="77777777" w:rsidR="008D2209" w:rsidRPr="005E320F" w:rsidRDefault="008D2209" w:rsidP="0054203F">
      <w:pPr>
        <w:widowControl w:val="0"/>
        <w:numPr>
          <w:ilvl w:val="0"/>
          <w:numId w:val="39"/>
        </w:numPr>
        <w:tabs>
          <w:tab w:val="clear" w:pos="567"/>
        </w:tabs>
        <w:spacing w:line="240" w:lineRule="auto"/>
        <w:ind w:left="567" w:hanging="567"/>
        <w:rPr>
          <w:szCs w:val="22"/>
          <w:lang w:val="lt-LT"/>
        </w:rPr>
      </w:pPr>
      <w:r w:rsidRPr="005E320F">
        <w:rPr>
          <w:szCs w:val="22"/>
          <w:lang w:val="lt-LT"/>
        </w:rPr>
        <w:t xml:space="preserve">jeigu esate vaikų susilaukti galinti moteris ir nenaudojate </w:t>
      </w:r>
      <w:r w:rsidR="009D7115" w:rsidRPr="005E320F">
        <w:rPr>
          <w:szCs w:val="22"/>
          <w:lang w:val="lt-LT"/>
        </w:rPr>
        <w:t>patikimo kontracepcijos metodo;</w:t>
      </w:r>
    </w:p>
    <w:p w14:paraId="3B3078BB" w14:textId="5D6F968A" w:rsidR="00FF49A1" w:rsidRPr="005E320F" w:rsidRDefault="00FF49A1" w:rsidP="0054203F">
      <w:pPr>
        <w:widowControl w:val="0"/>
        <w:numPr>
          <w:ilvl w:val="0"/>
          <w:numId w:val="39"/>
        </w:numPr>
        <w:tabs>
          <w:tab w:val="clear" w:pos="567"/>
        </w:tabs>
        <w:spacing w:line="240" w:lineRule="auto"/>
        <w:ind w:left="567" w:hanging="567"/>
        <w:rPr>
          <w:szCs w:val="22"/>
          <w:lang w:val="lt-LT"/>
        </w:rPr>
      </w:pPr>
      <w:r w:rsidRPr="005E320F">
        <w:rPr>
          <w:szCs w:val="22"/>
          <w:lang w:val="lt-LT"/>
        </w:rPr>
        <w:t xml:space="preserve">jeigu esate nėščia, </w:t>
      </w:r>
      <w:r w:rsidR="009D7115" w:rsidRPr="005E320F">
        <w:rPr>
          <w:szCs w:val="22"/>
          <w:lang w:val="lt-LT"/>
        </w:rPr>
        <w:t>bandote</w:t>
      </w:r>
      <w:r w:rsidRPr="005E320F">
        <w:rPr>
          <w:szCs w:val="22"/>
          <w:lang w:val="lt-LT"/>
        </w:rPr>
        <w:t xml:space="preserve"> pastoti arba krūtimi maitinate kūdikį;</w:t>
      </w:r>
    </w:p>
    <w:p w14:paraId="4D946172" w14:textId="1829BA1D" w:rsidR="008D2209" w:rsidRPr="005E320F" w:rsidRDefault="008D2209" w:rsidP="0054203F">
      <w:pPr>
        <w:widowControl w:val="0"/>
        <w:numPr>
          <w:ilvl w:val="0"/>
          <w:numId w:val="39"/>
        </w:numPr>
        <w:tabs>
          <w:tab w:val="clear" w:pos="567"/>
        </w:tabs>
        <w:spacing w:line="240" w:lineRule="auto"/>
        <w:ind w:left="567" w:hanging="567"/>
        <w:rPr>
          <w:szCs w:val="22"/>
          <w:lang w:val="lt-LT"/>
        </w:rPr>
      </w:pPr>
      <w:r w:rsidRPr="005E320F">
        <w:rPr>
          <w:szCs w:val="22"/>
          <w:lang w:val="lt-LT"/>
        </w:rPr>
        <w:t xml:space="preserve">jeigu vartojate vaistų </w:t>
      </w:r>
      <w:proofErr w:type="spellStart"/>
      <w:r w:rsidRPr="005E320F">
        <w:rPr>
          <w:szCs w:val="22"/>
          <w:lang w:val="lt-LT"/>
        </w:rPr>
        <w:t>glekapreviro</w:t>
      </w:r>
      <w:proofErr w:type="spellEnd"/>
      <w:r w:rsidRPr="005E320F">
        <w:rPr>
          <w:szCs w:val="22"/>
          <w:lang w:val="lt-LT"/>
        </w:rPr>
        <w:t xml:space="preserve"> ir </w:t>
      </w:r>
      <w:proofErr w:type="spellStart"/>
      <w:r w:rsidRPr="005E320F">
        <w:rPr>
          <w:szCs w:val="22"/>
          <w:lang w:val="lt-LT"/>
        </w:rPr>
        <w:t>pibrentasviro</w:t>
      </w:r>
      <w:proofErr w:type="spellEnd"/>
      <w:r w:rsidRPr="005E320F">
        <w:rPr>
          <w:szCs w:val="22"/>
          <w:lang w:val="lt-LT"/>
        </w:rPr>
        <w:t xml:space="preserve"> derinį hepatitui</w:t>
      </w:r>
      <w:r w:rsidR="00B71942" w:rsidRPr="005E320F">
        <w:rPr>
          <w:szCs w:val="22"/>
          <w:lang w:val="lt-LT"/>
        </w:rPr>
        <w:t> </w:t>
      </w:r>
      <w:r w:rsidRPr="005E320F">
        <w:rPr>
          <w:szCs w:val="22"/>
          <w:lang w:val="lt-LT"/>
        </w:rPr>
        <w:t>C gydyti;</w:t>
      </w:r>
    </w:p>
    <w:p w14:paraId="506B1F24" w14:textId="31B33B94" w:rsidR="008D2209" w:rsidRPr="005E320F" w:rsidRDefault="00FF49A1" w:rsidP="0054203F">
      <w:pPr>
        <w:widowControl w:val="0"/>
        <w:numPr>
          <w:ilvl w:val="0"/>
          <w:numId w:val="39"/>
        </w:numPr>
        <w:tabs>
          <w:tab w:val="clear" w:pos="567"/>
        </w:tabs>
        <w:spacing w:line="240" w:lineRule="auto"/>
        <w:ind w:left="567" w:hanging="567"/>
        <w:rPr>
          <w:szCs w:val="22"/>
          <w:lang w:val="lt-LT"/>
        </w:rPr>
      </w:pPr>
      <w:r w:rsidRPr="005E320F">
        <w:rPr>
          <w:szCs w:val="22"/>
          <w:lang w:val="lt-LT"/>
        </w:rPr>
        <w:t xml:space="preserve">jeigu bakterijų sukeltai infekcinei ligai gydyti Jums reikia vartoti geriamosios </w:t>
      </w:r>
      <w:proofErr w:type="spellStart"/>
      <w:r w:rsidRPr="005E320F">
        <w:rPr>
          <w:szCs w:val="22"/>
          <w:lang w:val="lt-LT"/>
        </w:rPr>
        <w:t>fuzido</w:t>
      </w:r>
      <w:proofErr w:type="spellEnd"/>
      <w:r w:rsidRPr="005E320F">
        <w:rPr>
          <w:szCs w:val="22"/>
          <w:lang w:val="lt-LT"/>
        </w:rPr>
        <w:t xml:space="preserve"> rūgšties (tokiu atveju reikia laikinai sustabdyti šio vaisto vartojimą</w:t>
      </w:r>
      <w:r w:rsidR="00B71942" w:rsidRPr="005E320F">
        <w:rPr>
          <w:szCs w:val="22"/>
          <w:lang w:val="lt-LT"/>
        </w:rPr>
        <w:t xml:space="preserve">– </w:t>
      </w:r>
      <w:r w:rsidRPr="005E320F">
        <w:rPr>
          <w:szCs w:val="22"/>
          <w:lang w:val="lt-LT"/>
        </w:rPr>
        <w:t xml:space="preserve"> </w:t>
      </w:r>
      <w:r w:rsidR="00B71942" w:rsidRPr="005E320F">
        <w:rPr>
          <w:szCs w:val="22"/>
          <w:lang w:val="lt-LT"/>
        </w:rPr>
        <w:t>g</w:t>
      </w:r>
      <w:r w:rsidRPr="005E320F">
        <w:rPr>
          <w:szCs w:val="22"/>
          <w:lang w:val="lt-LT"/>
        </w:rPr>
        <w:t xml:space="preserve">ydytojas Jums pasakys, kada yra saugu atnaujinti </w:t>
      </w:r>
      <w:proofErr w:type="spellStart"/>
      <w:r w:rsidRPr="005E320F">
        <w:rPr>
          <w:szCs w:val="22"/>
          <w:lang w:val="lt-LT"/>
        </w:rPr>
        <w:t>Torzelip</w:t>
      </w:r>
      <w:proofErr w:type="spellEnd"/>
      <w:r w:rsidRPr="005E320F">
        <w:rPr>
          <w:szCs w:val="22"/>
          <w:lang w:val="lt-LT"/>
        </w:rPr>
        <w:t xml:space="preserve"> vartojimą</w:t>
      </w:r>
      <w:r w:rsidR="00D074B8" w:rsidRPr="005E320F">
        <w:rPr>
          <w:szCs w:val="22"/>
          <w:lang w:val="lt-LT"/>
        </w:rPr>
        <w:t>) –</w:t>
      </w:r>
      <w:r w:rsidRPr="005E320F">
        <w:rPr>
          <w:szCs w:val="22"/>
          <w:lang w:val="lt-LT"/>
        </w:rPr>
        <w:t xml:space="preserve"> </w:t>
      </w:r>
      <w:proofErr w:type="spellStart"/>
      <w:r w:rsidR="00B71942" w:rsidRPr="005E320F">
        <w:rPr>
          <w:szCs w:val="22"/>
          <w:lang w:val="lt-LT"/>
        </w:rPr>
        <w:t>f</w:t>
      </w:r>
      <w:r w:rsidRPr="005E320F">
        <w:rPr>
          <w:szCs w:val="22"/>
          <w:lang w:val="lt-LT"/>
        </w:rPr>
        <w:t>uzido</w:t>
      </w:r>
      <w:proofErr w:type="spellEnd"/>
      <w:r w:rsidRPr="005E320F">
        <w:rPr>
          <w:szCs w:val="22"/>
          <w:lang w:val="lt-LT"/>
        </w:rPr>
        <w:t xml:space="preserve"> rūgšties ir </w:t>
      </w:r>
      <w:proofErr w:type="spellStart"/>
      <w:r w:rsidRPr="005E320F">
        <w:rPr>
          <w:szCs w:val="22"/>
          <w:lang w:val="lt-LT"/>
        </w:rPr>
        <w:t>Torzelip</w:t>
      </w:r>
      <w:proofErr w:type="spellEnd"/>
      <w:r w:rsidRPr="005E320F">
        <w:rPr>
          <w:szCs w:val="22"/>
          <w:lang w:val="lt-LT"/>
        </w:rPr>
        <w:t xml:space="preserve"> derinys retai gali sukelti raumenų silpnumą, jautrumą ar skausmą (</w:t>
      </w:r>
      <w:proofErr w:type="spellStart"/>
      <w:r w:rsidRPr="005E320F">
        <w:rPr>
          <w:szCs w:val="22"/>
          <w:lang w:val="lt-LT"/>
        </w:rPr>
        <w:t>rabdomiolizę</w:t>
      </w:r>
      <w:proofErr w:type="spellEnd"/>
      <w:r w:rsidRPr="005E320F">
        <w:rPr>
          <w:szCs w:val="22"/>
          <w:lang w:val="lt-LT"/>
        </w:rPr>
        <w:t>)</w:t>
      </w:r>
      <w:r w:rsidR="00B71942" w:rsidRPr="005E320F">
        <w:rPr>
          <w:szCs w:val="22"/>
          <w:lang w:val="lt-LT"/>
        </w:rPr>
        <w:t>,</w:t>
      </w:r>
      <w:r w:rsidRPr="005E320F">
        <w:rPr>
          <w:szCs w:val="22"/>
          <w:lang w:val="lt-LT"/>
        </w:rPr>
        <w:t xml:space="preserve"> </w:t>
      </w:r>
      <w:r w:rsidR="00B71942" w:rsidRPr="005E320F">
        <w:rPr>
          <w:szCs w:val="22"/>
          <w:lang w:val="lt-LT"/>
        </w:rPr>
        <w:t>d</w:t>
      </w:r>
      <w:r w:rsidRPr="005E320F">
        <w:rPr>
          <w:szCs w:val="22"/>
          <w:lang w:val="lt-LT"/>
        </w:rPr>
        <w:t xml:space="preserve">augiau informacijos apie </w:t>
      </w:r>
      <w:proofErr w:type="spellStart"/>
      <w:r w:rsidRPr="005E320F">
        <w:rPr>
          <w:szCs w:val="22"/>
          <w:lang w:val="lt-LT"/>
        </w:rPr>
        <w:t>rabdomiolizę</w:t>
      </w:r>
      <w:proofErr w:type="spellEnd"/>
      <w:r w:rsidRPr="005E320F">
        <w:rPr>
          <w:szCs w:val="22"/>
          <w:lang w:val="lt-LT"/>
        </w:rPr>
        <w:t xml:space="preserve"> pateikiama 4 skyriuje.</w:t>
      </w:r>
    </w:p>
    <w:p w14:paraId="389681EB" w14:textId="77777777" w:rsidR="00381B7D" w:rsidRPr="005E320F" w:rsidRDefault="00381B7D" w:rsidP="00A31E3A">
      <w:pPr>
        <w:widowControl w:val="0"/>
        <w:tabs>
          <w:tab w:val="clear" w:pos="567"/>
        </w:tabs>
        <w:spacing w:line="240" w:lineRule="auto"/>
        <w:ind w:left="567" w:hanging="567"/>
        <w:rPr>
          <w:snapToGrid/>
          <w:szCs w:val="22"/>
          <w:lang w:val="lt-LT" w:eastAsia="sl-SI"/>
        </w:rPr>
      </w:pPr>
    </w:p>
    <w:p w14:paraId="0102E60C" w14:textId="77777777" w:rsidR="00381B7D" w:rsidRPr="005E320F" w:rsidRDefault="00381B7D" w:rsidP="007E15ED">
      <w:pPr>
        <w:keepNext/>
        <w:widowControl w:val="0"/>
        <w:spacing w:line="240" w:lineRule="auto"/>
        <w:jc w:val="both"/>
        <w:outlineLvl w:val="3"/>
        <w:rPr>
          <w:b/>
          <w:snapToGrid/>
          <w:szCs w:val="22"/>
          <w:lang w:val="lt-LT" w:eastAsia="sl-SI"/>
        </w:rPr>
      </w:pPr>
      <w:r w:rsidRPr="005E320F">
        <w:rPr>
          <w:b/>
          <w:snapToGrid/>
          <w:szCs w:val="22"/>
          <w:lang w:val="lt-LT" w:eastAsia="sl-SI"/>
        </w:rPr>
        <w:t>Įspėjimai ir atsargumo priemonės</w:t>
      </w:r>
    </w:p>
    <w:p w14:paraId="67400D62" w14:textId="77777777" w:rsidR="00381B7D" w:rsidRPr="005E320F" w:rsidRDefault="00381B7D" w:rsidP="007E15ED">
      <w:pPr>
        <w:keepNext/>
        <w:widowControl w:val="0"/>
        <w:numPr>
          <w:ilvl w:val="12"/>
          <w:numId w:val="0"/>
        </w:numPr>
        <w:tabs>
          <w:tab w:val="clear" w:pos="567"/>
        </w:tabs>
        <w:spacing w:line="240" w:lineRule="auto"/>
        <w:rPr>
          <w:snapToGrid/>
          <w:szCs w:val="22"/>
          <w:lang w:val="lt-LT" w:eastAsia="sl-SI"/>
        </w:rPr>
      </w:pPr>
      <w:r w:rsidRPr="005E320F">
        <w:rPr>
          <w:snapToGrid/>
          <w:szCs w:val="22"/>
          <w:lang w:val="lt-LT" w:eastAsia="sl-SI"/>
        </w:rPr>
        <w:t xml:space="preserve">Pasitarkite su gydytoju arba vaistininku, prieš pradėdami vartoti </w:t>
      </w:r>
      <w:proofErr w:type="spellStart"/>
      <w:r w:rsidR="004373BE" w:rsidRPr="005E320F">
        <w:rPr>
          <w:snapToGrid/>
          <w:szCs w:val="22"/>
          <w:lang w:val="lt-LT" w:eastAsia="sl-SI"/>
        </w:rPr>
        <w:t>Torzelip</w:t>
      </w:r>
      <w:proofErr w:type="spellEnd"/>
      <w:r w:rsidRPr="005E320F">
        <w:rPr>
          <w:snapToGrid/>
          <w:szCs w:val="22"/>
          <w:lang w:val="lt-LT" w:eastAsia="sl-SI"/>
        </w:rPr>
        <w:t>:</w:t>
      </w:r>
    </w:p>
    <w:p w14:paraId="1F4E5D32" w14:textId="77777777" w:rsidR="00F457F1" w:rsidRPr="005E320F" w:rsidRDefault="00CF2297"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patyrėte insultą su kraujavimu į galvos smegenis arba po anksčiau patirto insulto smegenyse susiformavo skysčio kišenės;</w:t>
      </w:r>
    </w:p>
    <w:p w14:paraId="1C59F805" w14:textId="77777777" w:rsidR="00F457F1" w:rsidRPr="005E320F" w:rsidRDefault="00CF2297"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yra inkstų sutrikimų;</w:t>
      </w:r>
    </w:p>
    <w:p w14:paraId="428C9BC7" w14:textId="77777777" w:rsidR="00F457F1" w:rsidRPr="005E320F" w:rsidRDefault="00CF2297"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yra susilpnėjusi skydliaukės veikla</w:t>
      </w:r>
      <w:r w:rsidR="00F457F1" w:rsidRPr="005E320F">
        <w:rPr>
          <w:snapToGrid/>
          <w:szCs w:val="22"/>
          <w:lang w:val="lt-LT"/>
        </w:rPr>
        <w:t xml:space="preserve"> (</w:t>
      </w:r>
      <w:r w:rsidRPr="005E320F">
        <w:rPr>
          <w:snapToGrid/>
          <w:szCs w:val="22"/>
          <w:lang w:val="lt-LT"/>
        </w:rPr>
        <w:t xml:space="preserve">yra </w:t>
      </w:r>
      <w:proofErr w:type="spellStart"/>
      <w:r w:rsidRPr="005E320F">
        <w:rPr>
          <w:snapToGrid/>
          <w:szCs w:val="22"/>
          <w:lang w:val="lt-LT"/>
        </w:rPr>
        <w:t>hipotirozė</w:t>
      </w:r>
      <w:proofErr w:type="spellEnd"/>
      <w:r w:rsidR="00F457F1" w:rsidRPr="005E320F">
        <w:rPr>
          <w:snapToGrid/>
          <w:szCs w:val="22"/>
          <w:lang w:val="lt-LT"/>
        </w:rPr>
        <w:t>)</w:t>
      </w:r>
      <w:r w:rsidRPr="005E320F">
        <w:rPr>
          <w:snapToGrid/>
          <w:szCs w:val="22"/>
          <w:lang w:val="lt-LT"/>
        </w:rPr>
        <w:t>;</w:t>
      </w:r>
    </w:p>
    <w:p w14:paraId="2740F178" w14:textId="049507FD" w:rsidR="00D074B8" w:rsidRPr="005E320F" w:rsidRDefault="00CF2297"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 xml:space="preserve">jeigu kartotinai ar dėl neaiškių priežasčių </w:t>
      </w:r>
      <w:r w:rsidR="00D074B8" w:rsidRPr="005E320F">
        <w:rPr>
          <w:snapToGrid/>
          <w:szCs w:val="22"/>
          <w:lang w:val="lt-LT"/>
        </w:rPr>
        <w:t>p</w:t>
      </w:r>
      <w:r w:rsidRPr="005E320F">
        <w:rPr>
          <w:snapToGrid/>
          <w:szCs w:val="22"/>
          <w:lang w:val="lt-LT"/>
        </w:rPr>
        <w:t>asir</w:t>
      </w:r>
      <w:r w:rsidR="00D074B8" w:rsidRPr="005E320F">
        <w:rPr>
          <w:snapToGrid/>
          <w:szCs w:val="22"/>
          <w:lang w:val="lt-LT"/>
        </w:rPr>
        <w:t>eiški</w:t>
      </w:r>
      <w:r w:rsidRPr="005E320F">
        <w:rPr>
          <w:snapToGrid/>
          <w:szCs w:val="22"/>
          <w:lang w:val="lt-LT"/>
        </w:rPr>
        <w:t>a raumenų maudimas ar skausmas arba jei Jums ar Jūsų kraujo giminaičiams yra buvę raumenų sutrikimų;</w:t>
      </w:r>
    </w:p>
    <w:p w14:paraId="017C49B6" w14:textId="77777777" w:rsidR="00A6092D" w:rsidRPr="005E320F" w:rsidRDefault="00A6092D"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 xml:space="preserve">jeigu anksčiau vartojant kitokių lipidų kiekį mažinančių vaistų (pvz., kitokių </w:t>
      </w:r>
      <w:proofErr w:type="spellStart"/>
      <w:r w:rsidRPr="005E320F">
        <w:rPr>
          <w:snapToGrid/>
          <w:szCs w:val="22"/>
          <w:lang w:val="lt-LT"/>
        </w:rPr>
        <w:t>statinų</w:t>
      </w:r>
      <w:proofErr w:type="spellEnd"/>
      <w:r w:rsidRPr="005E320F">
        <w:rPr>
          <w:snapToGrid/>
          <w:szCs w:val="22"/>
          <w:lang w:val="lt-LT"/>
        </w:rPr>
        <w:t xml:space="preserve"> ar </w:t>
      </w:r>
      <w:proofErr w:type="spellStart"/>
      <w:r w:rsidRPr="005E320F">
        <w:rPr>
          <w:snapToGrid/>
          <w:szCs w:val="22"/>
          <w:lang w:val="lt-LT"/>
        </w:rPr>
        <w:t>fibratų</w:t>
      </w:r>
      <w:proofErr w:type="spellEnd"/>
      <w:r w:rsidRPr="005E320F">
        <w:rPr>
          <w:snapToGrid/>
          <w:szCs w:val="22"/>
          <w:lang w:val="lt-LT"/>
        </w:rPr>
        <w:t>), buvo pasireiškę raumenų sutrikimų;</w:t>
      </w:r>
    </w:p>
    <w:p w14:paraId="4A36491C" w14:textId="593157D6" w:rsidR="00F457F1" w:rsidRPr="005E320F" w:rsidRDefault="00B83D09" w:rsidP="00A6092D">
      <w:pPr>
        <w:numPr>
          <w:ilvl w:val="0"/>
          <w:numId w:val="24"/>
        </w:numPr>
        <w:tabs>
          <w:tab w:val="clear" w:pos="567"/>
        </w:tabs>
        <w:spacing w:line="240" w:lineRule="auto"/>
        <w:ind w:left="567" w:hanging="567"/>
        <w:rPr>
          <w:snapToGrid/>
          <w:szCs w:val="22"/>
          <w:lang w:val="lt-LT"/>
        </w:rPr>
      </w:pPr>
      <w:r w:rsidRPr="005E320F">
        <w:rPr>
          <w:snapToGrid/>
          <w:szCs w:val="22"/>
          <w:lang w:val="lt-LT"/>
        </w:rPr>
        <w:t>j</w:t>
      </w:r>
      <w:r w:rsidR="00CF2297" w:rsidRPr="005E320F">
        <w:rPr>
          <w:snapToGrid/>
          <w:szCs w:val="22"/>
          <w:lang w:val="lt-LT"/>
        </w:rPr>
        <w:t xml:space="preserve">eigu vartojate arba paskutinių 7 dienų laikotarpiu vartojote geriamosios ar </w:t>
      </w:r>
      <w:proofErr w:type="spellStart"/>
      <w:r w:rsidR="00CF2297" w:rsidRPr="005E320F">
        <w:rPr>
          <w:snapToGrid/>
          <w:szCs w:val="22"/>
          <w:lang w:val="lt-LT"/>
        </w:rPr>
        <w:t>injekuojamosios</w:t>
      </w:r>
      <w:proofErr w:type="spellEnd"/>
      <w:r w:rsidR="00CF2297" w:rsidRPr="005E320F">
        <w:rPr>
          <w:snapToGrid/>
          <w:szCs w:val="22"/>
          <w:lang w:val="lt-LT"/>
        </w:rPr>
        <w:t xml:space="preserve"> </w:t>
      </w:r>
      <w:proofErr w:type="spellStart"/>
      <w:r w:rsidR="00CF2297" w:rsidRPr="005E320F">
        <w:rPr>
          <w:snapToGrid/>
          <w:szCs w:val="22"/>
          <w:lang w:val="lt-LT"/>
        </w:rPr>
        <w:t>fuzido</w:t>
      </w:r>
      <w:proofErr w:type="spellEnd"/>
      <w:r w:rsidR="00CF2297" w:rsidRPr="005E320F">
        <w:rPr>
          <w:snapToGrid/>
          <w:szCs w:val="22"/>
          <w:lang w:val="lt-LT"/>
        </w:rPr>
        <w:t xml:space="preserve"> rūgšties (vaisto nuo bakterijų sukeltos infekcinės ligos)</w:t>
      </w:r>
      <w:r w:rsidR="00B71942" w:rsidRPr="005E320F">
        <w:rPr>
          <w:snapToGrid/>
          <w:szCs w:val="22"/>
          <w:lang w:val="lt-LT"/>
        </w:rPr>
        <w:t xml:space="preserve"> –</w:t>
      </w:r>
      <w:r w:rsidR="00CF2297" w:rsidRPr="005E320F">
        <w:rPr>
          <w:snapToGrid/>
          <w:szCs w:val="22"/>
          <w:lang w:val="lt-LT"/>
        </w:rPr>
        <w:t xml:space="preserve"> </w:t>
      </w:r>
      <w:proofErr w:type="spellStart"/>
      <w:r w:rsidR="00B71942" w:rsidRPr="005E320F">
        <w:rPr>
          <w:snapToGrid/>
          <w:szCs w:val="22"/>
          <w:lang w:val="lt-LT"/>
        </w:rPr>
        <w:t>f</w:t>
      </w:r>
      <w:r w:rsidR="00CF2297" w:rsidRPr="005E320F">
        <w:rPr>
          <w:snapToGrid/>
          <w:szCs w:val="22"/>
          <w:lang w:val="lt-LT"/>
        </w:rPr>
        <w:t>uzido</w:t>
      </w:r>
      <w:proofErr w:type="spellEnd"/>
      <w:r w:rsidR="00CF2297" w:rsidRPr="005E320F">
        <w:rPr>
          <w:snapToGrid/>
          <w:szCs w:val="22"/>
          <w:lang w:val="lt-LT"/>
        </w:rPr>
        <w:t xml:space="preserve"> rūgšties ir </w:t>
      </w:r>
      <w:proofErr w:type="spellStart"/>
      <w:r w:rsidR="00A6092D" w:rsidRPr="005E320F">
        <w:rPr>
          <w:snapToGrid/>
          <w:szCs w:val="22"/>
          <w:lang w:val="lt-LT"/>
        </w:rPr>
        <w:t>e</w:t>
      </w:r>
      <w:r w:rsidR="00CF2297" w:rsidRPr="005E320F">
        <w:rPr>
          <w:snapToGrid/>
          <w:szCs w:val="22"/>
          <w:lang w:val="lt-LT"/>
        </w:rPr>
        <w:t>ze</w:t>
      </w:r>
      <w:r w:rsidR="00A6092D" w:rsidRPr="005E320F">
        <w:rPr>
          <w:snapToGrid/>
          <w:szCs w:val="22"/>
          <w:lang w:val="lt-LT"/>
        </w:rPr>
        <w:t>t</w:t>
      </w:r>
      <w:r w:rsidR="00CF2297" w:rsidRPr="005E320F">
        <w:rPr>
          <w:snapToGrid/>
          <w:szCs w:val="22"/>
          <w:lang w:val="lt-LT"/>
        </w:rPr>
        <w:t>i</w:t>
      </w:r>
      <w:r w:rsidR="00A6092D" w:rsidRPr="005E320F">
        <w:rPr>
          <w:snapToGrid/>
          <w:szCs w:val="22"/>
          <w:lang w:val="lt-LT"/>
        </w:rPr>
        <w:t>mibo</w:t>
      </w:r>
      <w:proofErr w:type="spellEnd"/>
      <w:r w:rsidR="00CF2297" w:rsidRPr="005E320F">
        <w:rPr>
          <w:snapToGrid/>
          <w:szCs w:val="22"/>
          <w:lang w:val="lt-LT"/>
        </w:rPr>
        <w:t xml:space="preserve"> </w:t>
      </w:r>
      <w:r w:rsidR="00D12471" w:rsidRPr="005E320F">
        <w:rPr>
          <w:snapToGrid/>
          <w:szCs w:val="22"/>
          <w:lang w:val="lt-LT"/>
        </w:rPr>
        <w:t xml:space="preserve">bei </w:t>
      </w:r>
      <w:proofErr w:type="spellStart"/>
      <w:r w:rsidR="00D12471" w:rsidRPr="005E320F">
        <w:rPr>
          <w:snapToGrid/>
          <w:szCs w:val="22"/>
          <w:lang w:val="lt-LT"/>
        </w:rPr>
        <w:t>atorvastatino</w:t>
      </w:r>
      <w:proofErr w:type="spellEnd"/>
      <w:r w:rsidR="00D12471" w:rsidRPr="005E320F">
        <w:rPr>
          <w:snapToGrid/>
          <w:szCs w:val="22"/>
          <w:lang w:val="lt-LT"/>
        </w:rPr>
        <w:t xml:space="preserve"> </w:t>
      </w:r>
      <w:r w:rsidR="00CF2297" w:rsidRPr="005E320F">
        <w:rPr>
          <w:snapToGrid/>
          <w:szCs w:val="22"/>
          <w:lang w:val="lt-LT"/>
        </w:rPr>
        <w:t>derinys gali sukelti sunkių raumenų sutrikimų (</w:t>
      </w:r>
      <w:proofErr w:type="spellStart"/>
      <w:r w:rsidR="00CF2297" w:rsidRPr="005E320F">
        <w:rPr>
          <w:snapToGrid/>
          <w:szCs w:val="22"/>
          <w:lang w:val="lt-LT"/>
        </w:rPr>
        <w:t>rabdomiolizę</w:t>
      </w:r>
      <w:proofErr w:type="spellEnd"/>
      <w:r w:rsidR="00CF2297" w:rsidRPr="005E320F">
        <w:rPr>
          <w:snapToGrid/>
          <w:szCs w:val="22"/>
          <w:lang w:val="lt-LT"/>
        </w:rPr>
        <w:t>);</w:t>
      </w:r>
    </w:p>
    <w:p w14:paraId="1F9F885C" w14:textId="77777777" w:rsidR="00F457F1" w:rsidRPr="005E320F" w:rsidRDefault="008A50E1"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reguliariai vartojate daug alkoholio;</w:t>
      </w:r>
    </w:p>
    <w:p w14:paraId="463EF0A9" w14:textId="77777777" w:rsidR="00F457F1" w:rsidRPr="005E320F" w:rsidRDefault="008A50E1"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esate sirgę kepenų liga;</w:t>
      </w:r>
    </w:p>
    <w:p w14:paraId="1632CB2B" w14:textId="77777777" w:rsidR="00D12471" w:rsidRPr="005E320F" w:rsidRDefault="008A50E1"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 xml:space="preserve">jeigu esate vyresnis </w:t>
      </w:r>
      <w:r w:rsidR="00B71942" w:rsidRPr="005E320F">
        <w:rPr>
          <w:snapToGrid/>
          <w:szCs w:val="22"/>
          <w:lang w:val="lt-LT"/>
        </w:rPr>
        <w:t>ka</w:t>
      </w:r>
      <w:r w:rsidRPr="005E320F">
        <w:rPr>
          <w:snapToGrid/>
          <w:szCs w:val="22"/>
          <w:lang w:val="lt-LT"/>
        </w:rPr>
        <w:t>i</w:t>
      </w:r>
      <w:r w:rsidR="00B71942" w:rsidRPr="005E320F">
        <w:rPr>
          <w:snapToGrid/>
          <w:szCs w:val="22"/>
          <w:lang w:val="lt-LT"/>
        </w:rPr>
        <w:t>p</w:t>
      </w:r>
      <w:r w:rsidRPr="005E320F">
        <w:rPr>
          <w:snapToGrid/>
          <w:szCs w:val="22"/>
          <w:lang w:val="lt-LT"/>
        </w:rPr>
        <w:t xml:space="preserve"> 70 metų</w:t>
      </w:r>
      <w:r w:rsidR="00D12471" w:rsidRPr="005E320F">
        <w:rPr>
          <w:snapToGrid/>
          <w:szCs w:val="22"/>
          <w:lang w:val="lt-LT"/>
        </w:rPr>
        <w:t>;</w:t>
      </w:r>
    </w:p>
    <w:p w14:paraId="4B2BC1DE" w14:textId="77777777" w:rsidR="00EF5D26" w:rsidRPr="005E320F" w:rsidRDefault="00D12471"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jeigu yra sunkus kvėpavimo nepakankamumas</w:t>
      </w:r>
      <w:r w:rsidR="00EF5D26" w:rsidRPr="005E320F">
        <w:rPr>
          <w:snapToGrid/>
          <w:szCs w:val="22"/>
          <w:lang w:val="lt-LT"/>
        </w:rPr>
        <w:t xml:space="preserve">; </w:t>
      </w:r>
    </w:p>
    <w:p w14:paraId="77A368EB" w14:textId="59CA910F" w:rsidR="00F457F1" w:rsidRPr="005E320F" w:rsidRDefault="00EF5D26" w:rsidP="008A50E1">
      <w:pPr>
        <w:numPr>
          <w:ilvl w:val="0"/>
          <w:numId w:val="24"/>
        </w:numPr>
        <w:tabs>
          <w:tab w:val="clear" w:pos="567"/>
        </w:tabs>
        <w:spacing w:line="240" w:lineRule="auto"/>
        <w:ind w:left="567" w:hanging="567"/>
        <w:rPr>
          <w:snapToGrid/>
          <w:szCs w:val="22"/>
          <w:lang w:val="lt-LT"/>
        </w:rPr>
      </w:pPr>
      <w:r w:rsidRPr="005E320F">
        <w:rPr>
          <w:snapToGrid/>
          <w:szCs w:val="22"/>
          <w:lang w:val="lt-LT"/>
        </w:rPr>
        <w:t xml:space="preserve">jeigu sergate arba sirgote </w:t>
      </w:r>
      <w:proofErr w:type="spellStart"/>
      <w:r w:rsidRPr="005E320F">
        <w:rPr>
          <w:snapToGrid/>
          <w:szCs w:val="22"/>
          <w:lang w:val="lt-LT"/>
        </w:rPr>
        <w:t>miastenija</w:t>
      </w:r>
      <w:proofErr w:type="spellEnd"/>
      <w:r w:rsidRPr="005E320F">
        <w:rPr>
          <w:snapToGrid/>
          <w:szCs w:val="22"/>
          <w:lang w:val="lt-LT"/>
        </w:rPr>
        <w:t xml:space="preserve"> (liga, sukeliančia bendrą raumenų silpnumą, įskaitant kai kuriais atvejais, kvėpuojant naudojamus raumenis) arba akių </w:t>
      </w:r>
      <w:proofErr w:type="spellStart"/>
      <w:r w:rsidRPr="005E320F">
        <w:rPr>
          <w:snapToGrid/>
          <w:szCs w:val="22"/>
          <w:lang w:val="lt-LT"/>
        </w:rPr>
        <w:t>miastenija</w:t>
      </w:r>
      <w:proofErr w:type="spellEnd"/>
      <w:r w:rsidRPr="005E320F">
        <w:rPr>
          <w:snapToGrid/>
          <w:szCs w:val="22"/>
          <w:lang w:val="lt-LT"/>
        </w:rPr>
        <w:t xml:space="preserve"> (liga, sukeliančia akių raumenų silpnumą), nes </w:t>
      </w:r>
      <w:proofErr w:type="spellStart"/>
      <w:r w:rsidRPr="005E320F">
        <w:rPr>
          <w:snapToGrid/>
          <w:szCs w:val="22"/>
          <w:lang w:val="lt-LT"/>
        </w:rPr>
        <w:t>statinai</w:t>
      </w:r>
      <w:proofErr w:type="spellEnd"/>
      <w:r w:rsidRPr="005E320F">
        <w:rPr>
          <w:snapToGrid/>
          <w:szCs w:val="22"/>
          <w:lang w:val="lt-LT"/>
        </w:rPr>
        <w:t xml:space="preserve"> kartais gali sukelti </w:t>
      </w:r>
      <w:proofErr w:type="spellStart"/>
      <w:r w:rsidRPr="005E320F">
        <w:rPr>
          <w:snapToGrid/>
          <w:szCs w:val="22"/>
          <w:lang w:val="lt-LT"/>
        </w:rPr>
        <w:t>miasteniją</w:t>
      </w:r>
      <w:proofErr w:type="spellEnd"/>
      <w:r w:rsidRPr="005E320F">
        <w:rPr>
          <w:snapToGrid/>
          <w:szCs w:val="22"/>
          <w:lang w:val="lt-LT"/>
        </w:rPr>
        <w:t xml:space="preserve"> arba pasunkinti ligą (žr. 4 skyrių)</w:t>
      </w:r>
      <w:r w:rsidR="008A50E1" w:rsidRPr="005E320F">
        <w:rPr>
          <w:snapToGrid/>
          <w:szCs w:val="22"/>
          <w:lang w:val="lt-LT"/>
        </w:rPr>
        <w:t>.</w:t>
      </w:r>
    </w:p>
    <w:p w14:paraId="52FD044B" w14:textId="77777777" w:rsidR="00F457F1" w:rsidRPr="005E320F" w:rsidRDefault="00F457F1" w:rsidP="00F457F1">
      <w:pPr>
        <w:tabs>
          <w:tab w:val="clear" w:pos="567"/>
        </w:tabs>
        <w:spacing w:line="240" w:lineRule="auto"/>
        <w:rPr>
          <w:snapToGrid/>
          <w:szCs w:val="22"/>
          <w:lang w:val="lt-LT"/>
        </w:rPr>
      </w:pPr>
    </w:p>
    <w:p w14:paraId="4F9A9413" w14:textId="77777777" w:rsidR="006D0F7D" w:rsidRPr="005E320F" w:rsidRDefault="006D0F7D" w:rsidP="00F457F1">
      <w:pPr>
        <w:tabs>
          <w:tab w:val="clear" w:pos="567"/>
        </w:tabs>
        <w:spacing w:line="240" w:lineRule="auto"/>
        <w:rPr>
          <w:snapToGrid/>
          <w:szCs w:val="22"/>
          <w:lang w:val="lt-LT"/>
        </w:rPr>
      </w:pPr>
      <w:r w:rsidRPr="005E320F">
        <w:rPr>
          <w:b/>
          <w:szCs w:val="22"/>
          <w:lang w:val="lt-LT"/>
        </w:rPr>
        <w:t xml:space="preserve">Nedelsdami kreipkitės į gydytoją, jei vartojant </w:t>
      </w:r>
      <w:proofErr w:type="spellStart"/>
      <w:r w:rsidRPr="005E320F">
        <w:rPr>
          <w:b/>
          <w:szCs w:val="22"/>
          <w:lang w:val="lt-LT"/>
        </w:rPr>
        <w:t>Torzelip</w:t>
      </w:r>
      <w:proofErr w:type="spellEnd"/>
      <w:r w:rsidRPr="005E320F">
        <w:rPr>
          <w:b/>
          <w:szCs w:val="22"/>
          <w:lang w:val="lt-LT"/>
        </w:rPr>
        <w:t xml:space="preserve"> pasireiškia neaiškių priežasčių sukeltas raumenų skausmas, jautrumas ar silpnumas</w:t>
      </w:r>
      <w:r w:rsidRPr="005E320F">
        <w:rPr>
          <w:snapToGrid/>
          <w:szCs w:val="22"/>
          <w:lang w:val="lt-LT"/>
        </w:rPr>
        <w:t xml:space="preserve">, kadangi retais atvejais gali atsirasti sunkių </w:t>
      </w:r>
      <w:r w:rsidR="009D7115" w:rsidRPr="005E320F">
        <w:rPr>
          <w:snapToGrid/>
          <w:szCs w:val="22"/>
          <w:lang w:val="lt-LT"/>
        </w:rPr>
        <w:t>raumenų</w:t>
      </w:r>
      <w:r w:rsidRPr="005E320F">
        <w:rPr>
          <w:snapToGrid/>
          <w:szCs w:val="22"/>
          <w:lang w:val="lt-LT"/>
        </w:rPr>
        <w:t xml:space="preserve"> sutrikimų, įskaitant inkstų pažaidą sukeliantį raumenų irimą.</w:t>
      </w:r>
    </w:p>
    <w:p w14:paraId="649D89CF" w14:textId="77777777" w:rsidR="00F457F1" w:rsidRPr="005E320F" w:rsidRDefault="00F457F1" w:rsidP="00F457F1">
      <w:pPr>
        <w:tabs>
          <w:tab w:val="clear" w:pos="567"/>
        </w:tabs>
        <w:spacing w:line="240" w:lineRule="auto"/>
        <w:rPr>
          <w:snapToGrid/>
          <w:szCs w:val="22"/>
          <w:lang w:val="lt-LT"/>
        </w:rPr>
      </w:pPr>
    </w:p>
    <w:p w14:paraId="0ABCA70A" w14:textId="0CB47886" w:rsidR="00F457F1" w:rsidRPr="005E320F" w:rsidRDefault="002741B0" w:rsidP="00F457F1">
      <w:pPr>
        <w:tabs>
          <w:tab w:val="clear" w:pos="567"/>
        </w:tabs>
        <w:spacing w:line="240" w:lineRule="auto"/>
        <w:rPr>
          <w:snapToGrid/>
          <w:szCs w:val="22"/>
          <w:lang w:val="lt-LT"/>
        </w:rPr>
      </w:pPr>
      <w:r w:rsidRPr="005E320F">
        <w:rPr>
          <w:snapToGrid/>
          <w:szCs w:val="22"/>
          <w:lang w:val="lt-LT"/>
        </w:rPr>
        <w:t xml:space="preserve">Jeigu </w:t>
      </w:r>
      <w:r w:rsidR="00843EF2" w:rsidRPr="005E320F">
        <w:rPr>
          <w:snapToGrid/>
          <w:szCs w:val="22"/>
          <w:lang w:val="lt-LT"/>
        </w:rPr>
        <w:t>bet kokia</w:t>
      </w:r>
      <w:r w:rsidRPr="005E320F">
        <w:rPr>
          <w:snapToGrid/>
          <w:szCs w:val="22"/>
          <w:lang w:val="lt-LT"/>
        </w:rPr>
        <w:t xml:space="preserve"> nurodyt</w:t>
      </w:r>
      <w:r w:rsidR="00843EF2" w:rsidRPr="005E320F">
        <w:rPr>
          <w:snapToGrid/>
          <w:szCs w:val="22"/>
          <w:lang w:val="lt-LT"/>
        </w:rPr>
        <w:t>a</w:t>
      </w:r>
      <w:r w:rsidRPr="005E320F">
        <w:rPr>
          <w:snapToGrid/>
          <w:szCs w:val="22"/>
          <w:lang w:val="lt-LT"/>
        </w:rPr>
        <w:t xml:space="preserve"> </w:t>
      </w:r>
      <w:r w:rsidR="00843EF2" w:rsidRPr="005E320F">
        <w:rPr>
          <w:snapToGrid/>
          <w:szCs w:val="22"/>
          <w:lang w:val="lt-LT"/>
        </w:rPr>
        <w:t>sąlyga Jums tinka</w:t>
      </w:r>
      <w:r w:rsidRPr="005E320F">
        <w:rPr>
          <w:snapToGrid/>
          <w:szCs w:val="22"/>
          <w:lang w:val="lt-LT"/>
        </w:rPr>
        <w:t xml:space="preserve"> (arba jei Jūs dėl to nesate tikri), </w:t>
      </w:r>
      <w:r w:rsidRPr="005E320F">
        <w:rPr>
          <w:snapToGrid/>
          <w:szCs w:val="22"/>
          <w:lang w:val="lt-LT" w:eastAsia="sl-SI"/>
        </w:rPr>
        <w:t xml:space="preserve">pasitarkite su gydytoju arba vaistininku, prieš pradėdami vartoti </w:t>
      </w:r>
      <w:proofErr w:type="spellStart"/>
      <w:r w:rsidRPr="005E320F">
        <w:rPr>
          <w:snapToGrid/>
          <w:szCs w:val="22"/>
          <w:lang w:val="lt-LT" w:eastAsia="sl-SI"/>
        </w:rPr>
        <w:t>Torzelip</w:t>
      </w:r>
      <w:proofErr w:type="spellEnd"/>
      <w:r w:rsidRPr="005E320F">
        <w:rPr>
          <w:snapToGrid/>
          <w:szCs w:val="22"/>
          <w:lang w:val="lt-LT" w:eastAsia="sl-SI"/>
        </w:rPr>
        <w:t>,</w:t>
      </w:r>
      <w:r w:rsidRPr="005E320F">
        <w:rPr>
          <w:snapToGrid/>
          <w:szCs w:val="22"/>
          <w:lang w:val="lt-LT"/>
        </w:rPr>
        <w:t xml:space="preserve"> nes prieš gydymą </w:t>
      </w:r>
      <w:proofErr w:type="spellStart"/>
      <w:r w:rsidRPr="005E320F">
        <w:rPr>
          <w:snapToGrid/>
          <w:szCs w:val="22"/>
          <w:lang w:val="lt-LT"/>
        </w:rPr>
        <w:t>Torzelip</w:t>
      </w:r>
      <w:proofErr w:type="spellEnd"/>
      <w:r w:rsidRPr="005E320F">
        <w:rPr>
          <w:snapToGrid/>
          <w:szCs w:val="22"/>
          <w:lang w:val="lt-LT"/>
        </w:rPr>
        <w:t xml:space="preserve"> ir galbūt jo metu gydytojas skirs atlikti kraujo tyrimus, kad numatytų su raumenų pažaida susijusio šalutinio poveikio riziką. Yra žinoma, kad šalutinio poveikio raumenims, pvz., </w:t>
      </w:r>
      <w:proofErr w:type="spellStart"/>
      <w:r w:rsidRPr="005E320F">
        <w:rPr>
          <w:snapToGrid/>
          <w:szCs w:val="22"/>
          <w:lang w:val="lt-LT"/>
        </w:rPr>
        <w:t>rabdomiolizės</w:t>
      </w:r>
      <w:proofErr w:type="spellEnd"/>
      <w:r w:rsidRPr="005E320F">
        <w:rPr>
          <w:snapToGrid/>
          <w:szCs w:val="22"/>
          <w:lang w:val="lt-LT"/>
        </w:rPr>
        <w:t xml:space="preserve"> (pažeistų </w:t>
      </w:r>
      <w:r w:rsidR="003B2789" w:rsidRPr="005E320F">
        <w:rPr>
          <w:snapToGrid/>
          <w:szCs w:val="22"/>
          <w:lang w:val="lt-LT"/>
        </w:rPr>
        <w:t>skeleto</w:t>
      </w:r>
      <w:r w:rsidRPr="005E320F">
        <w:rPr>
          <w:snapToGrid/>
          <w:szCs w:val="22"/>
          <w:lang w:val="lt-LT"/>
        </w:rPr>
        <w:t xml:space="preserve"> raumenų </w:t>
      </w:r>
      <w:r w:rsidRPr="005E320F">
        <w:rPr>
          <w:snapToGrid/>
          <w:szCs w:val="22"/>
          <w:lang w:val="lt-LT"/>
        </w:rPr>
        <w:lastRenderedPageBreak/>
        <w:t>irimo) rizika didėja, jei tuo pat metu yra vartojam</w:t>
      </w:r>
      <w:r w:rsidR="00B71942" w:rsidRPr="005E320F">
        <w:rPr>
          <w:snapToGrid/>
          <w:szCs w:val="22"/>
          <w:lang w:val="lt-LT"/>
        </w:rPr>
        <w:t>a</w:t>
      </w:r>
      <w:r w:rsidRPr="005E320F">
        <w:rPr>
          <w:snapToGrid/>
          <w:szCs w:val="22"/>
          <w:lang w:val="lt-LT"/>
        </w:rPr>
        <w:t xml:space="preserve"> kai kuri</w:t>
      </w:r>
      <w:r w:rsidR="00B71942" w:rsidRPr="005E320F">
        <w:rPr>
          <w:snapToGrid/>
          <w:szCs w:val="22"/>
          <w:lang w:val="lt-LT"/>
        </w:rPr>
        <w:t>ų</w:t>
      </w:r>
      <w:r w:rsidRPr="005E320F">
        <w:rPr>
          <w:snapToGrid/>
          <w:szCs w:val="22"/>
          <w:lang w:val="lt-LT"/>
        </w:rPr>
        <w:t xml:space="preserve"> vaist</w:t>
      </w:r>
      <w:r w:rsidR="00B71942" w:rsidRPr="005E320F">
        <w:rPr>
          <w:snapToGrid/>
          <w:szCs w:val="22"/>
          <w:lang w:val="lt-LT"/>
        </w:rPr>
        <w:t>ų</w:t>
      </w:r>
      <w:r w:rsidRPr="005E320F">
        <w:rPr>
          <w:snapToGrid/>
          <w:szCs w:val="22"/>
          <w:lang w:val="lt-LT"/>
        </w:rPr>
        <w:t xml:space="preserve"> (žr.</w:t>
      </w:r>
      <w:r w:rsidR="00B71942" w:rsidRPr="005E320F">
        <w:rPr>
          <w:snapToGrid/>
          <w:szCs w:val="22"/>
          <w:lang w:val="lt-LT"/>
        </w:rPr>
        <w:t> </w:t>
      </w:r>
      <w:r w:rsidRPr="005E320F">
        <w:rPr>
          <w:snapToGrid/>
          <w:szCs w:val="22"/>
          <w:lang w:val="lt-LT"/>
        </w:rPr>
        <w:t>2</w:t>
      </w:r>
      <w:r w:rsidR="00BB3E00" w:rsidRPr="005E320F">
        <w:rPr>
          <w:snapToGrid/>
          <w:szCs w:val="22"/>
          <w:lang w:val="lt-LT"/>
        </w:rPr>
        <w:t> </w:t>
      </w:r>
      <w:r w:rsidRPr="005E320F">
        <w:rPr>
          <w:snapToGrid/>
          <w:szCs w:val="22"/>
          <w:lang w:val="lt-LT"/>
        </w:rPr>
        <w:t>skyri</w:t>
      </w:r>
      <w:r w:rsidR="00B71942" w:rsidRPr="005E320F">
        <w:rPr>
          <w:snapToGrid/>
          <w:szCs w:val="22"/>
          <w:lang w:val="lt-LT"/>
        </w:rPr>
        <w:t>aus poskyrį</w:t>
      </w:r>
      <w:r w:rsidRPr="005E320F">
        <w:rPr>
          <w:snapToGrid/>
          <w:szCs w:val="22"/>
          <w:lang w:val="lt-LT"/>
        </w:rPr>
        <w:t xml:space="preserve"> „Kiti vaistai ir </w:t>
      </w:r>
      <w:proofErr w:type="spellStart"/>
      <w:r w:rsidRPr="005E320F">
        <w:rPr>
          <w:snapToGrid/>
          <w:szCs w:val="22"/>
          <w:lang w:val="lt-LT"/>
        </w:rPr>
        <w:t>Torzelip</w:t>
      </w:r>
      <w:proofErr w:type="spellEnd"/>
      <w:r w:rsidR="00BB3E00" w:rsidRPr="005E320F">
        <w:rPr>
          <w:snapToGrid/>
          <w:szCs w:val="22"/>
          <w:lang w:val="lt-LT"/>
        </w:rPr>
        <w:t>“</w:t>
      </w:r>
      <w:r w:rsidRPr="005E320F">
        <w:rPr>
          <w:snapToGrid/>
          <w:szCs w:val="22"/>
          <w:lang w:val="lt-LT"/>
        </w:rPr>
        <w:t>).</w:t>
      </w:r>
    </w:p>
    <w:p w14:paraId="0260E023" w14:textId="77777777" w:rsidR="00F457F1" w:rsidRPr="005E320F" w:rsidRDefault="00F457F1" w:rsidP="00F457F1">
      <w:pPr>
        <w:tabs>
          <w:tab w:val="clear" w:pos="567"/>
        </w:tabs>
        <w:spacing w:line="240" w:lineRule="auto"/>
        <w:rPr>
          <w:snapToGrid/>
          <w:szCs w:val="22"/>
          <w:lang w:val="lt-LT"/>
        </w:rPr>
      </w:pPr>
    </w:p>
    <w:p w14:paraId="5983465A" w14:textId="19390594" w:rsidR="00F457F1" w:rsidRPr="005E320F" w:rsidRDefault="00666182" w:rsidP="00F457F1">
      <w:pPr>
        <w:tabs>
          <w:tab w:val="clear" w:pos="567"/>
        </w:tabs>
        <w:spacing w:line="240" w:lineRule="auto"/>
        <w:rPr>
          <w:snapToGrid/>
          <w:szCs w:val="22"/>
          <w:lang w:val="lt-LT"/>
        </w:rPr>
      </w:pPr>
      <w:r w:rsidRPr="005E320F">
        <w:rPr>
          <w:snapToGrid/>
          <w:szCs w:val="22"/>
          <w:lang w:val="lt-LT"/>
        </w:rPr>
        <w:t>Kai vartosite š</w:t>
      </w:r>
      <w:r w:rsidR="00B71942" w:rsidRPr="005E320F">
        <w:rPr>
          <w:snapToGrid/>
          <w:szCs w:val="22"/>
          <w:lang w:val="lt-LT"/>
        </w:rPr>
        <w:t>io</w:t>
      </w:r>
      <w:r w:rsidRPr="005E320F">
        <w:rPr>
          <w:snapToGrid/>
          <w:szCs w:val="22"/>
          <w:lang w:val="lt-LT"/>
        </w:rPr>
        <w:t xml:space="preserve"> vaist</w:t>
      </w:r>
      <w:r w:rsidR="00B71942" w:rsidRPr="005E320F">
        <w:rPr>
          <w:snapToGrid/>
          <w:szCs w:val="22"/>
          <w:lang w:val="lt-LT"/>
        </w:rPr>
        <w:t>o</w:t>
      </w:r>
      <w:r w:rsidRPr="005E320F">
        <w:rPr>
          <w:snapToGrid/>
          <w:szCs w:val="22"/>
          <w:lang w:val="lt-LT"/>
        </w:rPr>
        <w:t xml:space="preserve">, gydytojas atidžiai </w:t>
      </w:r>
      <w:r w:rsidR="00843EF2" w:rsidRPr="005E320F">
        <w:rPr>
          <w:snapToGrid/>
          <w:szCs w:val="22"/>
          <w:lang w:val="lt-LT"/>
        </w:rPr>
        <w:t xml:space="preserve">Jus </w:t>
      </w:r>
      <w:r w:rsidRPr="005E320F">
        <w:rPr>
          <w:snapToGrid/>
          <w:szCs w:val="22"/>
          <w:lang w:val="lt-LT"/>
        </w:rPr>
        <w:t xml:space="preserve">stebės, </w:t>
      </w:r>
      <w:r w:rsidR="00843EF2" w:rsidRPr="005E320F">
        <w:rPr>
          <w:snapToGrid/>
          <w:szCs w:val="22"/>
          <w:lang w:val="lt-LT"/>
        </w:rPr>
        <w:t>jei sergate cukriniu diabetu arba yra jo pasireiškimo rizika</w:t>
      </w:r>
      <w:r w:rsidRPr="005E320F">
        <w:rPr>
          <w:snapToGrid/>
          <w:szCs w:val="22"/>
          <w:lang w:val="lt-LT"/>
        </w:rPr>
        <w:t>. Jums gali būti didesnė cukrini</w:t>
      </w:r>
      <w:r w:rsidR="00B71942" w:rsidRPr="005E320F">
        <w:rPr>
          <w:snapToGrid/>
          <w:szCs w:val="22"/>
          <w:lang w:val="lt-LT"/>
        </w:rPr>
        <w:t>o</w:t>
      </w:r>
      <w:r w:rsidRPr="005E320F">
        <w:rPr>
          <w:snapToGrid/>
          <w:szCs w:val="22"/>
          <w:lang w:val="lt-LT"/>
        </w:rPr>
        <w:t xml:space="preserve"> diabeto pasireiškimo rizika, jei kraujyje yra padidėjęs cukraus ir riebalų kiekis, turite viršsvorio ir yra padidėjęs kraujospūdis.</w:t>
      </w:r>
    </w:p>
    <w:p w14:paraId="2E543BE0" w14:textId="5074388C" w:rsidR="00F244BA" w:rsidRPr="005E320F" w:rsidRDefault="00F244BA" w:rsidP="00F244BA">
      <w:pPr>
        <w:widowControl w:val="0"/>
        <w:numPr>
          <w:ilvl w:val="12"/>
          <w:numId w:val="0"/>
        </w:numPr>
        <w:tabs>
          <w:tab w:val="clear" w:pos="567"/>
        </w:tabs>
        <w:spacing w:line="240" w:lineRule="auto"/>
        <w:ind w:right="-2"/>
        <w:rPr>
          <w:szCs w:val="22"/>
          <w:lang w:val="lt-LT"/>
        </w:rPr>
      </w:pPr>
      <w:r w:rsidRPr="005E320F">
        <w:rPr>
          <w:szCs w:val="22"/>
          <w:lang w:val="lt-LT"/>
        </w:rPr>
        <w:t xml:space="preserve">Nedideliam skaičiui žmonių </w:t>
      </w:r>
      <w:proofErr w:type="spellStart"/>
      <w:r w:rsidRPr="005E320F">
        <w:rPr>
          <w:szCs w:val="22"/>
          <w:lang w:val="lt-LT"/>
        </w:rPr>
        <w:t>statinai</w:t>
      </w:r>
      <w:proofErr w:type="spellEnd"/>
      <w:r w:rsidRPr="005E320F">
        <w:rPr>
          <w:szCs w:val="22"/>
          <w:lang w:val="lt-LT"/>
        </w:rPr>
        <w:t xml:space="preserve"> gali pažeisti kepenis. Tai patvirtinama paprastu tyrimu, nustatant kepenų fermentų aktyvumo padidėjimą kraujyje. Dėl šios priežasties gydytojas </w:t>
      </w:r>
      <w:r w:rsidR="00514D27" w:rsidRPr="005E320F">
        <w:rPr>
          <w:szCs w:val="22"/>
          <w:lang w:val="lt-LT"/>
        </w:rPr>
        <w:t xml:space="preserve">reguliariai </w:t>
      </w:r>
      <w:r w:rsidRPr="005E320F">
        <w:rPr>
          <w:szCs w:val="22"/>
          <w:lang w:val="lt-LT"/>
        </w:rPr>
        <w:t xml:space="preserve">atlikinės tokį kraujo tyrimą (kepenų funkcijos tyrimą) gydymo </w:t>
      </w:r>
      <w:proofErr w:type="spellStart"/>
      <w:r w:rsidRPr="005E320F">
        <w:rPr>
          <w:snapToGrid/>
          <w:szCs w:val="22"/>
          <w:lang w:val="lt-LT" w:eastAsia="sl-SI"/>
        </w:rPr>
        <w:t>Torzelip</w:t>
      </w:r>
      <w:proofErr w:type="spellEnd"/>
      <w:r w:rsidRPr="005E320F">
        <w:rPr>
          <w:szCs w:val="22"/>
          <w:lang w:val="lt-LT"/>
        </w:rPr>
        <w:t xml:space="preserve"> metu. Svarbu atvykti gydytojo nurodytiems laboratoriniams tyrimams.</w:t>
      </w:r>
    </w:p>
    <w:p w14:paraId="1C2EC7E9" w14:textId="77777777" w:rsidR="00F457F1" w:rsidRPr="005E320F" w:rsidRDefault="00F457F1" w:rsidP="00F457F1">
      <w:pPr>
        <w:tabs>
          <w:tab w:val="clear" w:pos="567"/>
        </w:tabs>
        <w:spacing w:line="240" w:lineRule="auto"/>
        <w:rPr>
          <w:snapToGrid/>
          <w:szCs w:val="22"/>
          <w:lang w:val="lt-LT"/>
        </w:rPr>
      </w:pPr>
    </w:p>
    <w:p w14:paraId="49B7FEA0" w14:textId="67446BCB" w:rsidR="00F457F1" w:rsidRPr="005E320F" w:rsidRDefault="00666182" w:rsidP="00F457F1">
      <w:pPr>
        <w:tabs>
          <w:tab w:val="clear" w:pos="567"/>
        </w:tabs>
        <w:spacing w:line="240" w:lineRule="auto"/>
        <w:rPr>
          <w:snapToGrid/>
          <w:szCs w:val="22"/>
          <w:lang w:val="lt-LT"/>
        </w:rPr>
      </w:pPr>
      <w:r w:rsidRPr="005E320F">
        <w:rPr>
          <w:snapToGrid/>
          <w:szCs w:val="22"/>
          <w:lang w:val="lt-LT"/>
        </w:rPr>
        <w:t xml:space="preserve">Savo gydytojui pasakykite apie visas </w:t>
      </w:r>
      <w:r w:rsidR="0046330D" w:rsidRPr="005E320F">
        <w:rPr>
          <w:snapToGrid/>
          <w:szCs w:val="22"/>
          <w:lang w:val="lt-LT"/>
        </w:rPr>
        <w:t xml:space="preserve">savo </w:t>
      </w:r>
      <w:r w:rsidRPr="005E320F">
        <w:rPr>
          <w:snapToGrid/>
          <w:szCs w:val="22"/>
          <w:lang w:val="lt-LT"/>
        </w:rPr>
        <w:t>medicinines būkles, įskaitant alergiją</w:t>
      </w:r>
      <w:r w:rsidR="00F457F1" w:rsidRPr="005E320F">
        <w:rPr>
          <w:snapToGrid/>
          <w:szCs w:val="22"/>
          <w:lang w:val="lt-LT"/>
        </w:rPr>
        <w:t>.</w:t>
      </w:r>
    </w:p>
    <w:p w14:paraId="32B016D1" w14:textId="77777777" w:rsidR="00381B7D" w:rsidRPr="005E320F" w:rsidRDefault="00381B7D" w:rsidP="00A31E3A">
      <w:pPr>
        <w:widowControl w:val="0"/>
        <w:numPr>
          <w:ilvl w:val="12"/>
          <w:numId w:val="0"/>
        </w:numPr>
        <w:tabs>
          <w:tab w:val="clear" w:pos="567"/>
        </w:tabs>
        <w:spacing w:line="240" w:lineRule="auto"/>
        <w:ind w:right="-2"/>
        <w:rPr>
          <w:szCs w:val="22"/>
          <w:lang w:val="lt-LT"/>
        </w:rPr>
      </w:pPr>
    </w:p>
    <w:p w14:paraId="28682FD6" w14:textId="12273829" w:rsidR="00381B7D" w:rsidRPr="005E320F" w:rsidRDefault="00843EF2" w:rsidP="007E15ED">
      <w:pPr>
        <w:keepNext/>
        <w:widowControl w:val="0"/>
        <w:spacing w:line="240" w:lineRule="auto"/>
        <w:jc w:val="both"/>
        <w:outlineLvl w:val="3"/>
        <w:rPr>
          <w:b/>
          <w:bCs/>
          <w:szCs w:val="22"/>
          <w:lang w:val="lt-LT" w:eastAsia="x-none"/>
        </w:rPr>
      </w:pPr>
      <w:r w:rsidRPr="005E320F">
        <w:rPr>
          <w:b/>
          <w:bCs/>
          <w:szCs w:val="22"/>
          <w:lang w:val="lt-LT" w:eastAsia="x-none"/>
        </w:rPr>
        <w:t>Vaikams</w:t>
      </w:r>
      <w:r w:rsidR="0046330D" w:rsidRPr="005E320F">
        <w:rPr>
          <w:b/>
          <w:bCs/>
          <w:szCs w:val="22"/>
          <w:lang w:val="lt-LT" w:eastAsia="x-none"/>
        </w:rPr>
        <w:t xml:space="preserve"> ir paaugliams</w:t>
      </w:r>
    </w:p>
    <w:p w14:paraId="3FFFEB66" w14:textId="77777777" w:rsidR="00381B7D" w:rsidRPr="005E320F" w:rsidRDefault="00381B7D" w:rsidP="00A31E3A">
      <w:pPr>
        <w:widowControl w:val="0"/>
        <w:numPr>
          <w:ilvl w:val="12"/>
          <w:numId w:val="0"/>
        </w:numPr>
        <w:tabs>
          <w:tab w:val="clear" w:pos="567"/>
        </w:tabs>
        <w:spacing w:line="240" w:lineRule="auto"/>
        <w:rPr>
          <w:color w:val="000000"/>
          <w:szCs w:val="22"/>
          <w:lang w:val="lt-LT"/>
        </w:rPr>
      </w:pPr>
      <w:r w:rsidRPr="005E320F">
        <w:rPr>
          <w:color w:val="000000"/>
          <w:szCs w:val="22"/>
          <w:lang w:val="lt-LT"/>
        </w:rPr>
        <w:t xml:space="preserve">Vaikams ir paaugliams </w:t>
      </w:r>
      <w:proofErr w:type="spellStart"/>
      <w:r w:rsidR="004373BE" w:rsidRPr="005E320F">
        <w:rPr>
          <w:color w:val="000000"/>
          <w:szCs w:val="22"/>
          <w:lang w:val="lt-LT"/>
        </w:rPr>
        <w:t>Torzelip</w:t>
      </w:r>
      <w:proofErr w:type="spellEnd"/>
      <w:r w:rsidRPr="005E320F">
        <w:rPr>
          <w:color w:val="000000"/>
          <w:szCs w:val="22"/>
          <w:lang w:val="lt-LT"/>
        </w:rPr>
        <w:t xml:space="preserve"> vartoti nerekomenduojama.</w:t>
      </w:r>
    </w:p>
    <w:p w14:paraId="57F68CE8" w14:textId="77777777" w:rsidR="00381B7D" w:rsidRPr="005E320F" w:rsidRDefault="00381B7D" w:rsidP="00A31E3A">
      <w:pPr>
        <w:widowControl w:val="0"/>
        <w:tabs>
          <w:tab w:val="clear" w:pos="567"/>
        </w:tabs>
        <w:spacing w:line="240" w:lineRule="auto"/>
        <w:rPr>
          <w:snapToGrid/>
          <w:szCs w:val="22"/>
          <w:lang w:val="lt-LT" w:eastAsia="sl-SI"/>
        </w:rPr>
      </w:pPr>
    </w:p>
    <w:p w14:paraId="28888CDB" w14:textId="77777777" w:rsidR="00381B7D" w:rsidRPr="005E320F" w:rsidRDefault="00381B7D" w:rsidP="007E15ED">
      <w:pPr>
        <w:keepNext/>
        <w:widowControl w:val="0"/>
        <w:tabs>
          <w:tab w:val="clear" w:pos="567"/>
        </w:tabs>
        <w:spacing w:line="240" w:lineRule="auto"/>
        <w:rPr>
          <w:b/>
          <w:snapToGrid/>
          <w:szCs w:val="22"/>
          <w:lang w:val="lt-LT" w:eastAsia="sl-SI"/>
        </w:rPr>
      </w:pPr>
      <w:r w:rsidRPr="005E320F">
        <w:rPr>
          <w:b/>
          <w:snapToGrid/>
          <w:szCs w:val="22"/>
          <w:lang w:val="lt-LT" w:eastAsia="sl-SI"/>
        </w:rPr>
        <w:t xml:space="preserve">Kiti vaistai ir </w:t>
      </w:r>
      <w:proofErr w:type="spellStart"/>
      <w:r w:rsidR="004373BE" w:rsidRPr="005E320F">
        <w:rPr>
          <w:b/>
          <w:snapToGrid/>
          <w:szCs w:val="22"/>
          <w:lang w:val="lt-LT" w:eastAsia="sl-SI"/>
        </w:rPr>
        <w:t>Torzelip</w:t>
      </w:r>
      <w:proofErr w:type="spellEnd"/>
    </w:p>
    <w:p w14:paraId="1990689B" w14:textId="3B97B6CB"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Jeigu vartojate arba neseniai vartojote kitų vaistų</w:t>
      </w:r>
      <w:r w:rsidRPr="005E320F">
        <w:rPr>
          <w:rFonts w:eastAsia="Calibri"/>
          <w:snapToGrid/>
          <w:szCs w:val="22"/>
          <w:lang w:val="lt-LT" w:eastAsia="sl-SI"/>
        </w:rPr>
        <w:t xml:space="preserve"> </w:t>
      </w:r>
      <w:r w:rsidRPr="005E320F">
        <w:rPr>
          <w:snapToGrid/>
          <w:szCs w:val="22"/>
          <w:lang w:val="lt-LT" w:eastAsia="sl-SI"/>
        </w:rPr>
        <w:t>arba dėl to nesate tikri, apie tai pasakykite gydytojui arba vaistininkui.</w:t>
      </w:r>
    </w:p>
    <w:p w14:paraId="5409BAE1" w14:textId="77777777" w:rsidR="00F35D1A" w:rsidRPr="005E320F" w:rsidRDefault="00F35D1A" w:rsidP="00F35D1A">
      <w:pPr>
        <w:numPr>
          <w:ilvl w:val="12"/>
          <w:numId w:val="0"/>
        </w:numPr>
        <w:tabs>
          <w:tab w:val="clear" w:pos="567"/>
        </w:tabs>
        <w:spacing w:line="240" w:lineRule="auto"/>
        <w:ind w:right="-2"/>
        <w:rPr>
          <w:snapToGrid/>
          <w:szCs w:val="22"/>
          <w:lang w:val="lt-LT"/>
        </w:rPr>
      </w:pPr>
    </w:p>
    <w:p w14:paraId="145328E6" w14:textId="77777777" w:rsidR="00F35D1A" w:rsidRPr="005E320F" w:rsidRDefault="00B83D09" w:rsidP="00F35D1A">
      <w:pPr>
        <w:numPr>
          <w:ilvl w:val="12"/>
          <w:numId w:val="0"/>
        </w:numPr>
        <w:tabs>
          <w:tab w:val="clear" w:pos="567"/>
        </w:tabs>
        <w:spacing w:line="240" w:lineRule="auto"/>
        <w:ind w:right="-2"/>
        <w:rPr>
          <w:snapToGrid/>
          <w:szCs w:val="22"/>
          <w:lang w:val="lt-LT"/>
        </w:rPr>
      </w:pPr>
      <w:r w:rsidRPr="005E320F">
        <w:rPr>
          <w:snapToGrid/>
          <w:szCs w:val="22"/>
          <w:lang w:val="lt-LT"/>
        </w:rPr>
        <w:t xml:space="preserve">Gydymo </w:t>
      </w:r>
      <w:proofErr w:type="spellStart"/>
      <w:r w:rsidRPr="005E320F">
        <w:rPr>
          <w:snapToGrid/>
          <w:szCs w:val="22"/>
          <w:lang w:val="lt-LT"/>
        </w:rPr>
        <w:t>Torzelip</w:t>
      </w:r>
      <w:proofErr w:type="spellEnd"/>
      <w:r w:rsidRPr="005E320F">
        <w:rPr>
          <w:snapToGrid/>
          <w:szCs w:val="22"/>
          <w:lang w:val="lt-LT"/>
        </w:rPr>
        <w:t xml:space="preserve"> metu reikia vengti vartoti </w:t>
      </w:r>
      <w:proofErr w:type="spellStart"/>
      <w:r w:rsidRPr="005E320F">
        <w:rPr>
          <w:snapToGrid/>
          <w:szCs w:val="22"/>
          <w:lang w:val="lt-LT"/>
        </w:rPr>
        <w:t>f</w:t>
      </w:r>
      <w:r w:rsidR="00F35D1A" w:rsidRPr="005E320F">
        <w:rPr>
          <w:snapToGrid/>
          <w:szCs w:val="22"/>
          <w:lang w:val="lt-LT"/>
        </w:rPr>
        <w:t>ibrat</w:t>
      </w:r>
      <w:r w:rsidRPr="005E320F">
        <w:rPr>
          <w:snapToGrid/>
          <w:szCs w:val="22"/>
          <w:lang w:val="lt-LT"/>
        </w:rPr>
        <w:t>ų</w:t>
      </w:r>
      <w:proofErr w:type="spellEnd"/>
      <w:r w:rsidR="00F35D1A" w:rsidRPr="005E320F">
        <w:rPr>
          <w:snapToGrid/>
          <w:szCs w:val="22"/>
          <w:lang w:val="lt-LT"/>
        </w:rPr>
        <w:t xml:space="preserve"> (</w:t>
      </w:r>
      <w:r w:rsidRPr="005E320F">
        <w:rPr>
          <w:snapToGrid/>
          <w:szCs w:val="22"/>
          <w:lang w:val="lt-LT"/>
        </w:rPr>
        <w:t>vaistų</w:t>
      </w:r>
      <w:r w:rsidR="00F35D1A" w:rsidRPr="005E320F">
        <w:rPr>
          <w:snapToGrid/>
          <w:szCs w:val="22"/>
          <w:lang w:val="lt-LT"/>
        </w:rPr>
        <w:t xml:space="preserve"> cholesterol</w:t>
      </w:r>
      <w:r w:rsidRPr="005E320F">
        <w:rPr>
          <w:snapToGrid/>
          <w:szCs w:val="22"/>
          <w:lang w:val="lt-LT"/>
        </w:rPr>
        <w:t>io kiekiui mažinti</w:t>
      </w:r>
      <w:r w:rsidR="00F35D1A" w:rsidRPr="005E320F">
        <w:rPr>
          <w:snapToGrid/>
          <w:szCs w:val="22"/>
          <w:lang w:val="lt-LT"/>
        </w:rPr>
        <w:t>).</w:t>
      </w:r>
    </w:p>
    <w:p w14:paraId="5554CD41" w14:textId="77777777" w:rsidR="00F35D1A" w:rsidRPr="005E320F" w:rsidRDefault="00F35D1A" w:rsidP="00F35D1A">
      <w:pPr>
        <w:numPr>
          <w:ilvl w:val="12"/>
          <w:numId w:val="0"/>
        </w:numPr>
        <w:tabs>
          <w:tab w:val="clear" w:pos="567"/>
        </w:tabs>
        <w:spacing w:line="240" w:lineRule="auto"/>
        <w:ind w:right="-2"/>
        <w:rPr>
          <w:snapToGrid/>
          <w:szCs w:val="22"/>
          <w:lang w:val="lt-LT"/>
        </w:rPr>
      </w:pPr>
    </w:p>
    <w:p w14:paraId="31531E51" w14:textId="7CDAE718" w:rsidR="00F35D1A" w:rsidRPr="005E320F" w:rsidRDefault="00B83D09" w:rsidP="00F35D1A">
      <w:pPr>
        <w:numPr>
          <w:ilvl w:val="12"/>
          <w:numId w:val="0"/>
        </w:numPr>
        <w:tabs>
          <w:tab w:val="clear" w:pos="567"/>
        </w:tabs>
        <w:spacing w:line="240" w:lineRule="auto"/>
        <w:ind w:right="-2"/>
        <w:rPr>
          <w:snapToGrid/>
          <w:szCs w:val="22"/>
          <w:lang w:val="lt-LT"/>
        </w:rPr>
      </w:pPr>
      <w:r w:rsidRPr="005E320F">
        <w:rPr>
          <w:snapToGrid/>
          <w:szCs w:val="22"/>
          <w:lang w:val="lt-LT"/>
        </w:rPr>
        <w:t xml:space="preserve">Kai kurie vaistai gali daryti įtaką </w:t>
      </w:r>
      <w:proofErr w:type="spellStart"/>
      <w:r w:rsidRPr="005E320F">
        <w:rPr>
          <w:snapToGrid/>
          <w:szCs w:val="22"/>
          <w:lang w:val="lt-LT"/>
        </w:rPr>
        <w:t>Torzelip</w:t>
      </w:r>
      <w:proofErr w:type="spellEnd"/>
      <w:r w:rsidRPr="005E320F">
        <w:rPr>
          <w:snapToGrid/>
          <w:szCs w:val="22"/>
          <w:lang w:val="lt-LT"/>
        </w:rPr>
        <w:t xml:space="preserve"> poveikiui, o </w:t>
      </w:r>
      <w:proofErr w:type="spellStart"/>
      <w:r w:rsidRPr="005E320F">
        <w:rPr>
          <w:snapToGrid/>
          <w:szCs w:val="22"/>
          <w:lang w:val="lt-LT"/>
        </w:rPr>
        <w:t>Torzelip</w:t>
      </w:r>
      <w:proofErr w:type="spellEnd"/>
      <w:r w:rsidRPr="005E320F">
        <w:rPr>
          <w:snapToGrid/>
          <w:szCs w:val="22"/>
          <w:lang w:val="lt-LT"/>
        </w:rPr>
        <w:t xml:space="preserve"> gali daryti įtaką kitų vaistų poveikiui (žr.</w:t>
      </w:r>
      <w:r w:rsidR="007F3DA9" w:rsidRPr="005E320F">
        <w:rPr>
          <w:snapToGrid/>
          <w:szCs w:val="22"/>
          <w:lang w:val="lt-LT"/>
        </w:rPr>
        <w:t> </w:t>
      </w:r>
      <w:r w:rsidRPr="005E320F">
        <w:rPr>
          <w:snapToGrid/>
          <w:szCs w:val="22"/>
          <w:lang w:val="lt-LT"/>
        </w:rPr>
        <w:t>3</w:t>
      </w:r>
      <w:r w:rsidR="00BB3E00" w:rsidRPr="005E320F">
        <w:rPr>
          <w:snapToGrid/>
          <w:szCs w:val="22"/>
          <w:lang w:val="lt-LT"/>
        </w:rPr>
        <w:t> </w:t>
      </w:r>
      <w:r w:rsidRPr="005E320F">
        <w:rPr>
          <w:snapToGrid/>
          <w:szCs w:val="22"/>
          <w:lang w:val="lt-LT"/>
        </w:rPr>
        <w:t xml:space="preserve">skyrių). Tokio pobūdžio sąveika gali </w:t>
      </w:r>
      <w:r w:rsidR="00843EF2" w:rsidRPr="005E320F">
        <w:rPr>
          <w:snapToGrid/>
          <w:szCs w:val="22"/>
          <w:lang w:val="lt-LT"/>
        </w:rPr>
        <w:t>mažinti</w:t>
      </w:r>
      <w:r w:rsidRPr="005E320F">
        <w:rPr>
          <w:snapToGrid/>
          <w:szCs w:val="22"/>
          <w:lang w:val="lt-LT"/>
        </w:rPr>
        <w:t xml:space="preserve"> vieno ar abiejų</w:t>
      </w:r>
      <w:r w:rsidR="007F3DA9" w:rsidRPr="005E320F">
        <w:rPr>
          <w:snapToGrid/>
          <w:szCs w:val="22"/>
          <w:lang w:val="lt-LT"/>
        </w:rPr>
        <w:t> </w:t>
      </w:r>
      <w:r w:rsidRPr="005E320F">
        <w:rPr>
          <w:snapToGrid/>
          <w:szCs w:val="22"/>
          <w:lang w:val="lt-LT"/>
        </w:rPr>
        <w:t xml:space="preserve">vaistų </w:t>
      </w:r>
      <w:r w:rsidR="00843EF2" w:rsidRPr="005E320F">
        <w:rPr>
          <w:snapToGrid/>
          <w:szCs w:val="22"/>
          <w:lang w:val="lt-LT"/>
        </w:rPr>
        <w:t>veiksmingumą</w:t>
      </w:r>
      <w:r w:rsidRPr="005E320F">
        <w:rPr>
          <w:snapToGrid/>
          <w:szCs w:val="22"/>
          <w:lang w:val="lt-LT"/>
        </w:rPr>
        <w:t>. Be to, gali didėti šalutinio poveikio, įskaitant raumenų i</w:t>
      </w:r>
      <w:r w:rsidR="00036BFF" w:rsidRPr="005E320F">
        <w:rPr>
          <w:snapToGrid/>
          <w:szCs w:val="22"/>
          <w:lang w:val="lt-LT"/>
        </w:rPr>
        <w:t>šsek</w:t>
      </w:r>
      <w:r w:rsidRPr="005E320F">
        <w:rPr>
          <w:snapToGrid/>
          <w:szCs w:val="22"/>
          <w:lang w:val="lt-LT"/>
        </w:rPr>
        <w:t xml:space="preserve">imą, vadinamą </w:t>
      </w:r>
      <w:proofErr w:type="spellStart"/>
      <w:r w:rsidRPr="005E320F">
        <w:rPr>
          <w:snapToGrid/>
          <w:szCs w:val="22"/>
          <w:lang w:val="lt-LT"/>
        </w:rPr>
        <w:t>rabdomiolize</w:t>
      </w:r>
      <w:proofErr w:type="spellEnd"/>
      <w:r w:rsidRPr="005E320F">
        <w:rPr>
          <w:snapToGrid/>
          <w:szCs w:val="22"/>
          <w:lang w:val="lt-LT"/>
        </w:rPr>
        <w:t xml:space="preserve"> (ji aprašyta 4 skyriuje), rizika ar sunkumas.</w:t>
      </w:r>
    </w:p>
    <w:p w14:paraId="5CBECBE3" w14:textId="77777777" w:rsidR="00F35D1A" w:rsidRPr="005E320F" w:rsidRDefault="00B83D09" w:rsidP="00B83D09">
      <w:pPr>
        <w:numPr>
          <w:ilvl w:val="0"/>
          <w:numId w:val="24"/>
        </w:numPr>
        <w:tabs>
          <w:tab w:val="clear" w:pos="567"/>
        </w:tabs>
        <w:spacing w:line="240" w:lineRule="auto"/>
        <w:ind w:left="567" w:hanging="567"/>
        <w:rPr>
          <w:snapToGrid/>
          <w:szCs w:val="22"/>
          <w:lang w:val="lt-LT"/>
        </w:rPr>
      </w:pPr>
      <w:proofErr w:type="spellStart"/>
      <w:r w:rsidRPr="005E320F">
        <w:rPr>
          <w:snapToGrid/>
          <w:szCs w:val="22"/>
          <w:lang w:val="lt-LT"/>
        </w:rPr>
        <w:t>Ciklosporinas</w:t>
      </w:r>
      <w:proofErr w:type="spellEnd"/>
      <w:r w:rsidR="00F35D1A" w:rsidRPr="005E320F">
        <w:rPr>
          <w:snapToGrid/>
          <w:szCs w:val="22"/>
          <w:lang w:val="lt-LT"/>
        </w:rPr>
        <w:t xml:space="preserve"> (</w:t>
      </w:r>
      <w:r w:rsidRPr="005E320F">
        <w:rPr>
          <w:snapToGrid/>
          <w:szCs w:val="22"/>
          <w:lang w:val="lt-LT"/>
        </w:rPr>
        <w:t xml:space="preserve">vaistas, </w:t>
      </w:r>
      <w:r w:rsidR="00843EF2" w:rsidRPr="005E320F">
        <w:rPr>
          <w:snapToGrid/>
          <w:szCs w:val="22"/>
          <w:lang w:val="lt-LT"/>
        </w:rPr>
        <w:t xml:space="preserve">dažnai </w:t>
      </w:r>
      <w:r w:rsidRPr="005E320F">
        <w:rPr>
          <w:snapToGrid/>
          <w:szCs w:val="22"/>
          <w:lang w:val="lt-LT"/>
        </w:rPr>
        <w:t>vartojamas pacientų po organų persodinimo</w:t>
      </w:r>
      <w:r w:rsidR="00F35D1A" w:rsidRPr="005E320F">
        <w:rPr>
          <w:snapToGrid/>
          <w:szCs w:val="22"/>
          <w:lang w:val="lt-LT"/>
        </w:rPr>
        <w:t>)</w:t>
      </w:r>
      <w:r w:rsidRPr="005E320F">
        <w:rPr>
          <w:snapToGrid/>
          <w:szCs w:val="22"/>
          <w:lang w:val="lt-LT"/>
        </w:rPr>
        <w:t>.</w:t>
      </w:r>
    </w:p>
    <w:p w14:paraId="1EA0A1BA" w14:textId="77777777" w:rsidR="00F35D1A" w:rsidRPr="005E320F" w:rsidRDefault="00B83D09" w:rsidP="00B83D09">
      <w:pPr>
        <w:numPr>
          <w:ilvl w:val="0"/>
          <w:numId w:val="24"/>
        </w:numPr>
        <w:tabs>
          <w:tab w:val="clear" w:pos="567"/>
        </w:tabs>
        <w:spacing w:line="240" w:lineRule="auto"/>
        <w:ind w:left="567" w:hanging="567"/>
        <w:rPr>
          <w:snapToGrid/>
          <w:szCs w:val="22"/>
          <w:lang w:val="lt-LT"/>
        </w:rPr>
      </w:pPr>
      <w:proofErr w:type="spellStart"/>
      <w:r w:rsidRPr="005E320F">
        <w:rPr>
          <w:szCs w:val="22"/>
          <w:lang w:val="lt-LT"/>
        </w:rPr>
        <w:t>Eritromicinas</w:t>
      </w:r>
      <w:proofErr w:type="spellEnd"/>
      <w:r w:rsidRPr="005E320F">
        <w:rPr>
          <w:szCs w:val="22"/>
          <w:lang w:val="lt-LT"/>
        </w:rPr>
        <w:t xml:space="preserve">, </w:t>
      </w:r>
      <w:proofErr w:type="spellStart"/>
      <w:r w:rsidRPr="005E320F">
        <w:rPr>
          <w:szCs w:val="22"/>
          <w:lang w:val="lt-LT"/>
        </w:rPr>
        <w:t>klaritromicinas</w:t>
      </w:r>
      <w:proofErr w:type="spellEnd"/>
      <w:r w:rsidRPr="005E320F">
        <w:rPr>
          <w:szCs w:val="22"/>
          <w:lang w:val="lt-LT"/>
        </w:rPr>
        <w:t xml:space="preserve">, </w:t>
      </w:r>
      <w:proofErr w:type="spellStart"/>
      <w:r w:rsidRPr="005E320F">
        <w:rPr>
          <w:szCs w:val="22"/>
          <w:lang w:val="lt-LT"/>
        </w:rPr>
        <w:t>telitromicinas</w:t>
      </w:r>
      <w:proofErr w:type="spellEnd"/>
      <w:r w:rsidRPr="005E320F">
        <w:rPr>
          <w:szCs w:val="22"/>
          <w:lang w:val="lt-LT"/>
        </w:rPr>
        <w:t xml:space="preserve">, </w:t>
      </w:r>
      <w:proofErr w:type="spellStart"/>
      <w:r w:rsidRPr="005E320F">
        <w:rPr>
          <w:szCs w:val="22"/>
          <w:lang w:val="lt-LT"/>
        </w:rPr>
        <w:t>fuzido</w:t>
      </w:r>
      <w:proofErr w:type="spellEnd"/>
      <w:r w:rsidRPr="005E320F">
        <w:rPr>
          <w:szCs w:val="22"/>
          <w:lang w:val="lt-LT"/>
        </w:rPr>
        <w:t xml:space="preserve"> rūgštis</w:t>
      </w:r>
      <w:r w:rsidR="00843EF2" w:rsidRPr="005E320F">
        <w:rPr>
          <w:szCs w:val="22"/>
          <w:lang w:val="lt-LT"/>
        </w:rPr>
        <w:t>,</w:t>
      </w:r>
      <w:r w:rsidRPr="005E320F">
        <w:rPr>
          <w:szCs w:val="22"/>
          <w:lang w:val="lt-LT"/>
        </w:rPr>
        <w:t xml:space="preserve"> </w:t>
      </w:r>
      <w:proofErr w:type="spellStart"/>
      <w:r w:rsidRPr="005E320F">
        <w:rPr>
          <w:szCs w:val="22"/>
          <w:lang w:val="lt-LT"/>
        </w:rPr>
        <w:t>rifampi</w:t>
      </w:r>
      <w:r w:rsidR="00036BFF" w:rsidRPr="005E320F">
        <w:rPr>
          <w:szCs w:val="22"/>
          <w:lang w:val="lt-LT"/>
        </w:rPr>
        <w:t>ci</w:t>
      </w:r>
      <w:r w:rsidRPr="005E320F">
        <w:rPr>
          <w:szCs w:val="22"/>
          <w:lang w:val="lt-LT"/>
        </w:rPr>
        <w:t>nas</w:t>
      </w:r>
      <w:proofErr w:type="spellEnd"/>
      <w:r w:rsidRPr="005E320F">
        <w:rPr>
          <w:szCs w:val="22"/>
          <w:lang w:val="lt-LT"/>
        </w:rPr>
        <w:t xml:space="preserve"> </w:t>
      </w:r>
      <w:r w:rsidR="00F35D1A" w:rsidRPr="005E320F">
        <w:rPr>
          <w:snapToGrid/>
          <w:szCs w:val="22"/>
          <w:lang w:val="lt-LT"/>
        </w:rPr>
        <w:t>(</w:t>
      </w:r>
      <w:r w:rsidRPr="005E320F">
        <w:rPr>
          <w:snapToGrid/>
          <w:szCs w:val="22"/>
          <w:lang w:val="lt-LT"/>
        </w:rPr>
        <w:t>vaistai nuo bakterijų sukeltų infekcinių ligų</w:t>
      </w:r>
      <w:r w:rsidR="00F35D1A" w:rsidRPr="005E320F">
        <w:rPr>
          <w:snapToGrid/>
          <w:szCs w:val="22"/>
          <w:lang w:val="lt-LT"/>
        </w:rPr>
        <w:t>)</w:t>
      </w:r>
      <w:r w:rsidRPr="005E320F">
        <w:rPr>
          <w:snapToGrid/>
          <w:szCs w:val="22"/>
          <w:lang w:val="lt-LT"/>
        </w:rPr>
        <w:t>.</w:t>
      </w:r>
    </w:p>
    <w:p w14:paraId="13692361" w14:textId="77777777" w:rsidR="00F35D1A" w:rsidRPr="005E320F" w:rsidRDefault="00B83D09" w:rsidP="00B83D09">
      <w:pPr>
        <w:numPr>
          <w:ilvl w:val="0"/>
          <w:numId w:val="24"/>
        </w:numPr>
        <w:tabs>
          <w:tab w:val="clear" w:pos="567"/>
        </w:tabs>
        <w:spacing w:line="240" w:lineRule="auto"/>
        <w:ind w:left="567" w:hanging="567"/>
        <w:rPr>
          <w:snapToGrid/>
          <w:szCs w:val="22"/>
          <w:lang w:val="lt-LT"/>
        </w:rPr>
      </w:pPr>
      <w:proofErr w:type="spellStart"/>
      <w:r w:rsidRPr="005E320F">
        <w:rPr>
          <w:szCs w:val="22"/>
          <w:lang w:val="lt-LT"/>
        </w:rPr>
        <w:t>Ketokonazolas</w:t>
      </w:r>
      <w:proofErr w:type="spellEnd"/>
      <w:r w:rsidRPr="005E320F">
        <w:rPr>
          <w:szCs w:val="22"/>
          <w:lang w:val="lt-LT"/>
        </w:rPr>
        <w:t xml:space="preserve">, </w:t>
      </w:r>
      <w:proofErr w:type="spellStart"/>
      <w:r w:rsidRPr="005E320F">
        <w:rPr>
          <w:szCs w:val="22"/>
          <w:lang w:val="lt-LT"/>
        </w:rPr>
        <w:t>itrakonazolas</w:t>
      </w:r>
      <w:proofErr w:type="spellEnd"/>
      <w:r w:rsidRPr="005E320F">
        <w:rPr>
          <w:szCs w:val="22"/>
          <w:lang w:val="lt-LT"/>
        </w:rPr>
        <w:t xml:space="preserve">, </w:t>
      </w:r>
      <w:proofErr w:type="spellStart"/>
      <w:r w:rsidRPr="005E320F">
        <w:rPr>
          <w:szCs w:val="22"/>
          <w:lang w:val="lt-LT"/>
        </w:rPr>
        <w:t>vorikonazolas</w:t>
      </w:r>
      <w:proofErr w:type="spellEnd"/>
      <w:r w:rsidRPr="005E320F">
        <w:rPr>
          <w:szCs w:val="22"/>
          <w:lang w:val="lt-LT"/>
        </w:rPr>
        <w:t xml:space="preserve">, </w:t>
      </w:r>
      <w:proofErr w:type="spellStart"/>
      <w:r w:rsidRPr="005E320F">
        <w:rPr>
          <w:szCs w:val="22"/>
          <w:lang w:val="lt-LT"/>
        </w:rPr>
        <w:t>flukonazolas</w:t>
      </w:r>
      <w:proofErr w:type="spellEnd"/>
      <w:r w:rsidRPr="005E320F">
        <w:rPr>
          <w:szCs w:val="22"/>
          <w:lang w:val="lt-LT"/>
        </w:rPr>
        <w:t xml:space="preserve">, </w:t>
      </w:r>
      <w:proofErr w:type="spellStart"/>
      <w:r w:rsidRPr="005E320F">
        <w:rPr>
          <w:szCs w:val="22"/>
          <w:lang w:val="lt-LT"/>
        </w:rPr>
        <w:t>pozakonazolas</w:t>
      </w:r>
      <w:proofErr w:type="spellEnd"/>
      <w:r w:rsidRPr="005E320F">
        <w:rPr>
          <w:snapToGrid/>
          <w:szCs w:val="22"/>
          <w:lang w:val="lt-LT"/>
        </w:rPr>
        <w:t xml:space="preserve"> </w:t>
      </w:r>
      <w:r w:rsidR="00F35D1A" w:rsidRPr="005E320F">
        <w:rPr>
          <w:snapToGrid/>
          <w:szCs w:val="22"/>
          <w:lang w:val="lt-LT"/>
        </w:rPr>
        <w:t>(</w:t>
      </w:r>
      <w:r w:rsidRPr="005E320F">
        <w:rPr>
          <w:snapToGrid/>
          <w:szCs w:val="22"/>
          <w:lang w:val="lt-LT"/>
        </w:rPr>
        <w:t>vaistai nuo grybelių sukeltų infekcinių ligų</w:t>
      </w:r>
      <w:r w:rsidR="00F35D1A" w:rsidRPr="005E320F">
        <w:rPr>
          <w:snapToGrid/>
          <w:szCs w:val="22"/>
          <w:lang w:val="lt-LT"/>
        </w:rPr>
        <w:t>)</w:t>
      </w:r>
      <w:r w:rsidRPr="005E320F">
        <w:rPr>
          <w:snapToGrid/>
          <w:szCs w:val="22"/>
          <w:lang w:val="lt-LT"/>
        </w:rPr>
        <w:t>.</w:t>
      </w:r>
    </w:p>
    <w:p w14:paraId="437F0CAA" w14:textId="77777777" w:rsidR="00F35D1A" w:rsidRPr="005E320F" w:rsidRDefault="00B83D09" w:rsidP="00B83D09">
      <w:pPr>
        <w:numPr>
          <w:ilvl w:val="0"/>
          <w:numId w:val="24"/>
        </w:numPr>
        <w:tabs>
          <w:tab w:val="clear" w:pos="567"/>
        </w:tabs>
        <w:spacing w:line="240" w:lineRule="auto"/>
        <w:ind w:left="567" w:hanging="567"/>
        <w:rPr>
          <w:snapToGrid/>
          <w:szCs w:val="22"/>
          <w:lang w:val="lt-LT"/>
        </w:rPr>
      </w:pPr>
      <w:proofErr w:type="spellStart"/>
      <w:r w:rsidRPr="005E320F">
        <w:rPr>
          <w:snapToGrid/>
          <w:szCs w:val="22"/>
          <w:lang w:val="lt-LT"/>
        </w:rPr>
        <w:t>G</w:t>
      </w:r>
      <w:r w:rsidR="00F35D1A" w:rsidRPr="005E320F">
        <w:rPr>
          <w:snapToGrid/>
          <w:szCs w:val="22"/>
          <w:lang w:val="lt-LT"/>
        </w:rPr>
        <w:t>emfibrozil</w:t>
      </w:r>
      <w:r w:rsidRPr="005E320F">
        <w:rPr>
          <w:snapToGrid/>
          <w:szCs w:val="22"/>
          <w:lang w:val="lt-LT"/>
        </w:rPr>
        <w:t>is</w:t>
      </w:r>
      <w:proofErr w:type="spellEnd"/>
      <w:r w:rsidR="00F35D1A" w:rsidRPr="005E320F">
        <w:rPr>
          <w:snapToGrid/>
          <w:szCs w:val="22"/>
          <w:lang w:val="lt-LT"/>
        </w:rPr>
        <w:t xml:space="preserve">, </w:t>
      </w:r>
      <w:r w:rsidRPr="005E320F">
        <w:rPr>
          <w:snapToGrid/>
          <w:szCs w:val="22"/>
          <w:lang w:val="lt-LT"/>
        </w:rPr>
        <w:t>kiti</w:t>
      </w:r>
      <w:r w:rsidR="00F35D1A" w:rsidRPr="005E320F">
        <w:rPr>
          <w:snapToGrid/>
          <w:szCs w:val="22"/>
          <w:lang w:val="lt-LT"/>
        </w:rPr>
        <w:t xml:space="preserve"> </w:t>
      </w:r>
      <w:proofErr w:type="spellStart"/>
      <w:r w:rsidR="00F35D1A" w:rsidRPr="005E320F">
        <w:rPr>
          <w:snapToGrid/>
          <w:szCs w:val="22"/>
          <w:lang w:val="lt-LT"/>
        </w:rPr>
        <w:t>fibrat</w:t>
      </w:r>
      <w:r w:rsidRPr="005E320F">
        <w:rPr>
          <w:snapToGrid/>
          <w:szCs w:val="22"/>
          <w:lang w:val="lt-LT"/>
        </w:rPr>
        <w:t>ai</w:t>
      </w:r>
      <w:proofErr w:type="spellEnd"/>
      <w:r w:rsidRPr="005E320F">
        <w:rPr>
          <w:snapToGrid/>
          <w:szCs w:val="22"/>
          <w:lang w:val="lt-LT"/>
        </w:rPr>
        <w:t>, nik</w:t>
      </w:r>
      <w:r w:rsidR="00F35D1A" w:rsidRPr="005E320F">
        <w:rPr>
          <w:snapToGrid/>
          <w:szCs w:val="22"/>
          <w:lang w:val="lt-LT"/>
        </w:rPr>
        <w:t>otin</w:t>
      </w:r>
      <w:r w:rsidRPr="005E320F">
        <w:rPr>
          <w:snapToGrid/>
          <w:szCs w:val="22"/>
          <w:lang w:val="lt-LT"/>
        </w:rPr>
        <w:t>o</w:t>
      </w:r>
      <w:r w:rsidR="00F35D1A" w:rsidRPr="005E320F">
        <w:rPr>
          <w:snapToGrid/>
          <w:szCs w:val="22"/>
          <w:lang w:val="lt-LT"/>
        </w:rPr>
        <w:t xml:space="preserve"> </w:t>
      </w:r>
      <w:r w:rsidRPr="005E320F">
        <w:rPr>
          <w:snapToGrid/>
          <w:szCs w:val="22"/>
          <w:lang w:val="lt-LT"/>
        </w:rPr>
        <w:t>rūgštis</w:t>
      </w:r>
      <w:r w:rsidR="00F35D1A" w:rsidRPr="005E320F">
        <w:rPr>
          <w:snapToGrid/>
          <w:szCs w:val="22"/>
          <w:lang w:val="lt-LT"/>
        </w:rPr>
        <w:t xml:space="preserve">, </w:t>
      </w:r>
      <w:r w:rsidRPr="005E320F">
        <w:rPr>
          <w:snapToGrid/>
          <w:szCs w:val="22"/>
          <w:lang w:val="lt-LT"/>
        </w:rPr>
        <w:t>dariniai</w:t>
      </w:r>
      <w:r w:rsidR="00F35D1A" w:rsidRPr="005E320F">
        <w:rPr>
          <w:snapToGrid/>
          <w:szCs w:val="22"/>
          <w:lang w:val="lt-LT"/>
        </w:rPr>
        <w:t xml:space="preserve">, </w:t>
      </w:r>
      <w:proofErr w:type="spellStart"/>
      <w:r w:rsidRPr="005E320F">
        <w:rPr>
          <w:snapToGrid/>
          <w:szCs w:val="22"/>
          <w:lang w:val="lt-LT"/>
        </w:rPr>
        <w:t>k</w:t>
      </w:r>
      <w:r w:rsidR="00F35D1A" w:rsidRPr="005E320F">
        <w:rPr>
          <w:snapToGrid/>
          <w:szCs w:val="22"/>
          <w:lang w:val="lt-LT"/>
        </w:rPr>
        <w:t>olestipol</w:t>
      </w:r>
      <w:r w:rsidRPr="005E320F">
        <w:rPr>
          <w:snapToGrid/>
          <w:szCs w:val="22"/>
          <w:lang w:val="lt-LT"/>
        </w:rPr>
        <w:t>is</w:t>
      </w:r>
      <w:proofErr w:type="spellEnd"/>
      <w:r w:rsidR="00F35D1A" w:rsidRPr="005E320F">
        <w:rPr>
          <w:snapToGrid/>
          <w:szCs w:val="22"/>
          <w:lang w:val="lt-LT"/>
        </w:rPr>
        <w:t xml:space="preserve">, </w:t>
      </w:r>
      <w:proofErr w:type="spellStart"/>
      <w:r w:rsidRPr="005E320F">
        <w:rPr>
          <w:snapToGrid/>
          <w:szCs w:val="22"/>
          <w:lang w:val="lt-LT"/>
        </w:rPr>
        <w:t>kolestiraminas</w:t>
      </w:r>
      <w:proofErr w:type="spellEnd"/>
      <w:r w:rsidR="00F35D1A" w:rsidRPr="005E320F">
        <w:rPr>
          <w:snapToGrid/>
          <w:szCs w:val="22"/>
          <w:lang w:val="lt-LT"/>
        </w:rPr>
        <w:t xml:space="preserve"> (</w:t>
      </w:r>
      <w:r w:rsidRPr="005E320F">
        <w:rPr>
          <w:snapToGrid/>
          <w:szCs w:val="22"/>
          <w:lang w:val="lt-LT"/>
        </w:rPr>
        <w:t>riebalų kiekį reguliuojantys vaistai</w:t>
      </w:r>
      <w:r w:rsidR="00F35D1A" w:rsidRPr="005E320F">
        <w:rPr>
          <w:snapToGrid/>
          <w:szCs w:val="22"/>
          <w:lang w:val="lt-LT"/>
        </w:rPr>
        <w:t>)</w:t>
      </w:r>
      <w:r w:rsidRPr="005E320F">
        <w:rPr>
          <w:snapToGrid/>
          <w:szCs w:val="22"/>
          <w:lang w:val="lt-LT"/>
        </w:rPr>
        <w:t>.</w:t>
      </w:r>
    </w:p>
    <w:p w14:paraId="7C15BA15" w14:textId="77777777" w:rsidR="002701D6" w:rsidRPr="005E320F" w:rsidRDefault="002701D6" w:rsidP="002701D6">
      <w:pPr>
        <w:numPr>
          <w:ilvl w:val="0"/>
          <w:numId w:val="24"/>
        </w:numPr>
        <w:tabs>
          <w:tab w:val="clear" w:pos="567"/>
        </w:tabs>
        <w:spacing w:line="240" w:lineRule="auto"/>
        <w:ind w:left="567" w:hanging="567"/>
        <w:rPr>
          <w:szCs w:val="22"/>
          <w:lang w:val="lt-LT"/>
        </w:rPr>
      </w:pPr>
      <w:r w:rsidRPr="005E320F">
        <w:rPr>
          <w:szCs w:val="22"/>
          <w:lang w:val="lt-LT"/>
        </w:rPr>
        <w:t xml:space="preserve">Kai kurie kalcio kanalų blokatoriai, kuriais gydoma krūtinės angina arba padidėjęs kraujospūdis, pvz., </w:t>
      </w:r>
      <w:proofErr w:type="spellStart"/>
      <w:r w:rsidRPr="005E320F">
        <w:rPr>
          <w:szCs w:val="22"/>
          <w:lang w:val="lt-LT"/>
        </w:rPr>
        <w:t>amlodipinas</w:t>
      </w:r>
      <w:proofErr w:type="spellEnd"/>
      <w:r w:rsidRPr="005E320F">
        <w:rPr>
          <w:szCs w:val="22"/>
          <w:lang w:val="lt-LT"/>
        </w:rPr>
        <w:t xml:space="preserve">, </w:t>
      </w:r>
      <w:proofErr w:type="spellStart"/>
      <w:r w:rsidRPr="005E320F">
        <w:rPr>
          <w:szCs w:val="22"/>
          <w:lang w:val="lt-LT"/>
        </w:rPr>
        <w:t>diltiazemas</w:t>
      </w:r>
      <w:proofErr w:type="spellEnd"/>
      <w:r w:rsidRPr="005E320F">
        <w:rPr>
          <w:szCs w:val="22"/>
          <w:lang w:val="lt-LT"/>
        </w:rPr>
        <w:t>.</w:t>
      </w:r>
    </w:p>
    <w:p w14:paraId="6890C025" w14:textId="5A9AEFA1" w:rsidR="002701D6" w:rsidRPr="005E320F" w:rsidRDefault="002701D6" w:rsidP="002701D6">
      <w:pPr>
        <w:numPr>
          <w:ilvl w:val="0"/>
          <w:numId w:val="24"/>
        </w:numPr>
        <w:tabs>
          <w:tab w:val="clear" w:pos="567"/>
        </w:tabs>
        <w:spacing w:line="240" w:lineRule="auto"/>
        <w:ind w:left="567" w:hanging="567"/>
        <w:rPr>
          <w:szCs w:val="22"/>
          <w:lang w:val="lt-LT"/>
        </w:rPr>
      </w:pPr>
      <w:proofErr w:type="spellStart"/>
      <w:r w:rsidRPr="005E320F">
        <w:rPr>
          <w:szCs w:val="22"/>
          <w:lang w:val="lt-LT"/>
        </w:rPr>
        <w:t>Digoksinas</w:t>
      </w:r>
      <w:proofErr w:type="spellEnd"/>
      <w:r w:rsidRPr="005E320F">
        <w:rPr>
          <w:szCs w:val="22"/>
          <w:lang w:val="lt-LT"/>
        </w:rPr>
        <w:t xml:space="preserve">, </w:t>
      </w:r>
      <w:proofErr w:type="spellStart"/>
      <w:r w:rsidRPr="005E320F">
        <w:rPr>
          <w:szCs w:val="22"/>
          <w:lang w:val="lt-LT"/>
        </w:rPr>
        <w:t>verapamilis</w:t>
      </w:r>
      <w:proofErr w:type="spellEnd"/>
      <w:r w:rsidRPr="005E320F">
        <w:rPr>
          <w:szCs w:val="22"/>
          <w:lang w:val="lt-LT"/>
        </w:rPr>
        <w:t xml:space="preserve">, </w:t>
      </w:r>
      <w:proofErr w:type="spellStart"/>
      <w:r w:rsidRPr="005E320F">
        <w:rPr>
          <w:szCs w:val="22"/>
          <w:lang w:val="lt-LT"/>
        </w:rPr>
        <w:t>amjodaronas</w:t>
      </w:r>
      <w:proofErr w:type="spellEnd"/>
      <w:r w:rsidRPr="005E320F">
        <w:rPr>
          <w:szCs w:val="22"/>
          <w:lang w:val="lt-LT"/>
        </w:rPr>
        <w:t xml:space="preserve"> (širdies ritmą reguliuojantys vaistai).</w:t>
      </w:r>
    </w:p>
    <w:p w14:paraId="04E7CD2E" w14:textId="1709FB30" w:rsidR="00E752DB" w:rsidRPr="005E320F" w:rsidRDefault="00E752DB" w:rsidP="002701D6">
      <w:pPr>
        <w:numPr>
          <w:ilvl w:val="0"/>
          <w:numId w:val="24"/>
        </w:numPr>
        <w:tabs>
          <w:tab w:val="clear" w:pos="567"/>
        </w:tabs>
        <w:spacing w:line="240" w:lineRule="auto"/>
        <w:ind w:left="567" w:hanging="567"/>
        <w:rPr>
          <w:szCs w:val="22"/>
          <w:lang w:val="lt-LT"/>
        </w:rPr>
      </w:pPr>
      <w:proofErr w:type="spellStart"/>
      <w:r w:rsidRPr="005E320F">
        <w:rPr>
          <w:szCs w:val="22"/>
          <w:lang w:val="lt-LT"/>
        </w:rPr>
        <w:t>Letermoviras</w:t>
      </w:r>
      <w:proofErr w:type="spellEnd"/>
      <w:r w:rsidRPr="005E320F">
        <w:rPr>
          <w:szCs w:val="22"/>
          <w:lang w:val="lt-LT"/>
        </w:rPr>
        <w:t xml:space="preserve"> (vaistas, padedantis ne</w:t>
      </w:r>
      <w:r w:rsidR="00514D27" w:rsidRPr="005E320F">
        <w:rPr>
          <w:szCs w:val="22"/>
          <w:lang w:val="lt-LT"/>
        </w:rPr>
        <w:t xml:space="preserve">leisti </w:t>
      </w:r>
      <w:r w:rsidRPr="005E320F">
        <w:rPr>
          <w:szCs w:val="22"/>
          <w:lang w:val="lt-LT"/>
        </w:rPr>
        <w:t xml:space="preserve">pasireikšti </w:t>
      </w:r>
      <w:proofErr w:type="spellStart"/>
      <w:r w:rsidRPr="005E320F">
        <w:rPr>
          <w:szCs w:val="22"/>
          <w:lang w:val="lt-LT"/>
        </w:rPr>
        <w:t>citomegaloviruso</w:t>
      </w:r>
      <w:proofErr w:type="spellEnd"/>
      <w:r w:rsidRPr="005E320F">
        <w:rPr>
          <w:szCs w:val="22"/>
          <w:lang w:val="lt-LT"/>
        </w:rPr>
        <w:t xml:space="preserve"> sukeltai ligai).</w:t>
      </w:r>
    </w:p>
    <w:p w14:paraId="142849D9" w14:textId="74E07B87" w:rsidR="00113C54" w:rsidRPr="005E320F" w:rsidRDefault="00113C54" w:rsidP="00113C54">
      <w:pPr>
        <w:numPr>
          <w:ilvl w:val="0"/>
          <w:numId w:val="24"/>
        </w:numPr>
        <w:tabs>
          <w:tab w:val="clear" w:pos="567"/>
        </w:tabs>
        <w:spacing w:line="240" w:lineRule="auto"/>
        <w:ind w:left="567" w:hanging="567"/>
        <w:rPr>
          <w:szCs w:val="22"/>
          <w:lang w:val="lt-LT" w:bidi="lt-LT"/>
        </w:rPr>
      </w:pPr>
      <w:r w:rsidRPr="005E320F">
        <w:rPr>
          <w:szCs w:val="22"/>
          <w:lang w:val="lt-LT" w:bidi="lt-LT"/>
        </w:rPr>
        <w:t>Vaistai, kuriais gydoma ŽIV</w:t>
      </w:r>
      <w:r w:rsidR="007F3DA9" w:rsidRPr="005E320F">
        <w:rPr>
          <w:szCs w:val="22"/>
          <w:lang w:val="lt-LT" w:bidi="lt-LT"/>
        </w:rPr>
        <w:t> </w:t>
      </w:r>
      <w:r w:rsidRPr="005E320F">
        <w:rPr>
          <w:szCs w:val="22"/>
          <w:lang w:val="lt-LT" w:bidi="lt-LT"/>
        </w:rPr>
        <w:t xml:space="preserve">infekcija, pvz., ritonaviras, lopinaviras, </w:t>
      </w:r>
      <w:proofErr w:type="spellStart"/>
      <w:r w:rsidRPr="005E320F">
        <w:rPr>
          <w:szCs w:val="22"/>
          <w:lang w:val="lt-LT" w:bidi="lt-LT"/>
        </w:rPr>
        <w:t>atazanaviras</w:t>
      </w:r>
      <w:proofErr w:type="spellEnd"/>
      <w:r w:rsidRPr="005E320F">
        <w:rPr>
          <w:szCs w:val="22"/>
          <w:lang w:val="lt-LT" w:bidi="lt-LT"/>
        </w:rPr>
        <w:t xml:space="preserve">, </w:t>
      </w:r>
      <w:proofErr w:type="spellStart"/>
      <w:r w:rsidRPr="005E320F">
        <w:rPr>
          <w:szCs w:val="22"/>
          <w:lang w:val="lt-LT" w:bidi="lt-LT"/>
        </w:rPr>
        <w:t>indinaviras</w:t>
      </w:r>
      <w:proofErr w:type="spellEnd"/>
      <w:r w:rsidRPr="005E320F">
        <w:rPr>
          <w:szCs w:val="22"/>
          <w:lang w:val="lt-LT" w:bidi="lt-LT"/>
        </w:rPr>
        <w:t xml:space="preserve">, </w:t>
      </w:r>
      <w:proofErr w:type="spellStart"/>
      <w:r w:rsidRPr="005E320F">
        <w:rPr>
          <w:szCs w:val="22"/>
          <w:lang w:val="lt-LT" w:bidi="lt-LT"/>
        </w:rPr>
        <w:t>darunaviras</w:t>
      </w:r>
      <w:proofErr w:type="spellEnd"/>
      <w:r w:rsidRPr="005E320F">
        <w:rPr>
          <w:szCs w:val="22"/>
          <w:lang w:val="lt-LT" w:bidi="lt-LT"/>
        </w:rPr>
        <w:t xml:space="preserve">, </w:t>
      </w:r>
      <w:proofErr w:type="spellStart"/>
      <w:r w:rsidRPr="005E320F">
        <w:rPr>
          <w:szCs w:val="22"/>
          <w:lang w:val="lt-LT" w:bidi="lt-LT"/>
        </w:rPr>
        <w:t>tipranaviro</w:t>
      </w:r>
      <w:proofErr w:type="spellEnd"/>
      <w:r w:rsidRPr="005E320F">
        <w:rPr>
          <w:szCs w:val="22"/>
          <w:lang w:val="lt-LT" w:bidi="lt-LT"/>
        </w:rPr>
        <w:t xml:space="preserve"> ir ritonaviro derinys bei kt. (vaistai nuo AIDS)</w:t>
      </w:r>
      <w:r w:rsidR="007F3DA9" w:rsidRPr="005E320F">
        <w:rPr>
          <w:szCs w:val="22"/>
          <w:lang w:val="lt-LT" w:bidi="lt-LT"/>
        </w:rPr>
        <w:t>.</w:t>
      </w:r>
    </w:p>
    <w:p w14:paraId="68A5CDB7" w14:textId="53747D64" w:rsidR="00937602" w:rsidRPr="005E320F" w:rsidRDefault="00937602" w:rsidP="00937602">
      <w:pPr>
        <w:numPr>
          <w:ilvl w:val="0"/>
          <w:numId w:val="24"/>
        </w:numPr>
        <w:tabs>
          <w:tab w:val="clear" w:pos="567"/>
        </w:tabs>
        <w:spacing w:line="240" w:lineRule="auto"/>
        <w:ind w:left="567" w:hanging="567"/>
        <w:rPr>
          <w:szCs w:val="22"/>
          <w:lang w:val="lt-LT" w:bidi="lt-LT"/>
        </w:rPr>
      </w:pPr>
      <w:r w:rsidRPr="005E320F">
        <w:rPr>
          <w:szCs w:val="22"/>
          <w:lang w:val="lt-LT" w:bidi="lt-LT"/>
        </w:rPr>
        <w:t>Kai kurie vaistai, kuriais gydomas hepatitas</w:t>
      </w:r>
      <w:r w:rsidR="007F3DA9" w:rsidRPr="005E320F">
        <w:rPr>
          <w:szCs w:val="22"/>
          <w:lang w:val="lt-LT" w:bidi="lt-LT"/>
        </w:rPr>
        <w:t> </w:t>
      </w:r>
      <w:r w:rsidRPr="005E320F">
        <w:rPr>
          <w:szCs w:val="22"/>
          <w:lang w:val="lt-LT" w:bidi="lt-LT"/>
        </w:rPr>
        <w:t xml:space="preserve">C, pvz., </w:t>
      </w:r>
      <w:proofErr w:type="spellStart"/>
      <w:r w:rsidRPr="005E320F">
        <w:rPr>
          <w:szCs w:val="22"/>
          <w:lang w:val="lt-LT" w:bidi="lt-LT"/>
        </w:rPr>
        <w:t>telapreviras</w:t>
      </w:r>
      <w:proofErr w:type="spellEnd"/>
      <w:r w:rsidRPr="005E320F">
        <w:rPr>
          <w:szCs w:val="22"/>
          <w:lang w:val="lt-LT" w:bidi="lt-LT"/>
        </w:rPr>
        <w:t xml:space="preserve">, </w:t>
      </w:r>
      <w:proofErr w:type="spellStart"/>
      <w:r w:rsidRPr="005E320F">
        <w:rPr>
          <w:szCs w:val="22"/>
          <w:lang w:val="lt-LT" w:bidi="lt-LT"/>
        </w:rPr>
        <w:t>bocepreviras</w:t>
      </w:r>
      <w:proofErr w:type="spellEnd"/>
      <w:r w:rsidRPr="005E320F">
        <w:rPr>
          <w:szCs w:val="22"/>
          <w:lang w:val="lt-LT" w:bidi="lt-LT"/>
        </w:rPr>
        <w:t xml:space="preserve">, </w:t>
      </w:r>
      <w:proofErr w:type="spellStart"/>
      <w:r w:rsidRPr="005E320F">
        <w:rPr>
          <w:szCs w:val="22"/>
          <w:lang w:val="lt-LT" w:bidi="lt-LT"/>
        </w:rPr>
        <w:t>elbasviro</w:t>
      </w:r>
      <w:proofErr w:type="spellEnd"/>
      <w:r w:rsidRPr="005E320F">
        <w:rPr>
          <w:szCs w:val="22"/>
          <w:lang w:val="lt-LT" w:bidi="lt-LT"/>
        </w:rPr>
        <w:t xml:space="preserve"> ir </w:t>
      </w:r>
      <w:proofErr w:type="spellStart"/>
      <w:r w:rsidRPr="005E320F">
        <w:rPr>
          <w:szCs w:val="22"/>
          <w:lang w:val="lt-LT" w:bidi="lt-LT"/>
        </w:rPr>
        <w:t>grazopreviro</w:t>
      </w:r>
      <w:proofErr w:type="spellEnd"/>
      <w:r w:rsidRPr="005E320F">
        <w:rPr>
          <w:szCs w:val="22"/>
          <w:lang w:val="lt-LT" w:bidi="lt-LT"/>
        </w:rPr>
        <w:t xml:space="preserve"> derinys</w:t>
      </w:r>
      <w:r w:rsidR="00DB7FA2" w:rsidRPr="005E320F">
        <w:rPr>
          <w:szCs w:val="22"/>
          <w:lang w:val="lt-LT" w:bidi="lt-LT"/>
        </w:rPr>
        <w:t xml:space="preserve">, </w:t>
      </w:r>
      <w:proofErr w:type="spellStart"/>
      <w:r w:rsidR="00DB7FA2" w:rsidRPr="005E320F">
        <w:rPr>
          <w:szCs w:val="22"/>
          <w:lang w:val="lt-LT" w:bidi="lt-LT"/>
        </w:rPr>
        <w:t>ledipasviro</w:t>
      </w:r>
      <w:proofErr w:type="spellEnd"/>
      <w:r w:rsidR="00DB7FA2" w:rsidRPr="005E320F">
        <w:rPr>
          <w:szCs w:val="22"/>
          <w:lang w:val="lt-LT" w:bidi="lt-LT"/>
        </w:rPr>
        <w:t xml:space="preserve"> ir </w:t>
      </w:r>
      <w:proofErr w:type="spellStart"/>
      <w:r w:rsidR="00DB7FA2" w:rsidRPr="005E320F">
        <w:rPr>
          <w:szCs w:val="22"/>
          <w:lang w:val="lt-LT" w:bidi="lt-LT"/>
        </w:rPr>
        <w:t>sofosbuviro</w:t>
      </w:r>
      <w:proofErr w:type="spellEnd"/>
      <w:r w:rsidR="00DB7FA2" w:rsidRPr="005E320F">
        <w:rPr>
          <w:szCs w:val="22"/>
          <w:lang w:val="lt-LT" w:bidi="lt-LT"/>
        </w:rPr>
        <w:t xml:space="preserve"> derinys.</w:t>
      </w:r>
    </w:p>
    <w:p w14:paraId="3BD1D50D" w14:textId="3F714FD4" w:rsidR="00937602" w:rsidRPr="005E320F" w:rsidRDefault="00937602" w:rsidP="00937602">
      <w:pPr>
        <w:numPr>
          <w:ilvl w:val="0"/>
          <w:numId w:val="24"/>
        </w:numPr>
        <w:tabs>
          <w:tab w:val="clear" w:pos="567"/>
        </w:tabs>
        <w:spacing w:line="240" w:lineRule="auto"/>
        <w:ind w:left="567" w:hanging="567"/>
        <w:rPr>
          <w:szCs w:val="22"/>
          <w:lang w:val="lt-LT" w:bidi="lt-LT"/>
        </w:rPr>
      </w:pPr>
      <w:r w:rsidRPr="005E320F">
        <w:rPr>
          <w:szCs w:val="22"/>
          <w:lang w:val="lt-LT" w:bidi="lt-LT"/>
        </w:rPr>
        <w:t xml:space="preserve">Jeigu Jums bakterijų sukeltai infekcinei ligai gydyti reikia vartoti geriamosios </w:t>
      </w:r>
      <w:proofErr w:type="spellStart"/>
      <w:r w:rsidRPr="005E320F">
        <w:rPr>
          <w:szCs w:val="22"/>
          <w:lang w:val="lt-LT" w:bidi="lt-LT"/>
        </w:rPr>
        <w:t>fuzido</w:t>
      </w:r>
      <w:proofErr w:type="spellEnd"/>
      <w:r w:rsidRPr="005E320F">
        <w:rPr>
          <w:szCs w:val="22"/>
          <w:lang w:val="lt-LT" w:bidi="lt-LT"/>
        </w:rPr>
        <w:t xml:space="preserve"> rūgšties, jos vartojim</w:t>
      </w:r>
      <w:r w:rsidR="00843EF2" w:rsidRPr="005E320F">
        <w:rPr>
          <w:szCs w:val="22"/>
          <w:lang w:val="lt-LT" w:bidi="lt-LT"/>
        </w:rPr>
        <w:t>o metu</w:t>
      </w:r>
      <w:r w:rsidRPr="005E320F">
        <w:rPr>
          <w:szCs w:val="22"/>
          <w:lang w:val="lt-LT" w:bidi="lt-LT"/>
        </w:rPr>
        <w:t xml:space="preserve"> gydym</w:t>
      </w:r>
      <w:r w:rsidR="00843EF2" w:rsidRPr="005E320F">
        <w:rPr>
          <w:szCs w:val="22"/>
          <w:lang w:val="lt-LT" w:bidi="lt-LT"/>
        </w:rPr>
        <w:t>ą</w:t>
      </w:r>
      <w:r w:rsidRPr="005E320F">
        <w:rPr>
          <w:szCs w:val="22"/>
          <w:lang w:val="lt-LT" w:bidi="lt-LT"/>
        </w:rPr>
        <w:t xml:space="preserve"> </w:t>
      </w:r>
      <w:proofErr w:type="spellStart"/>
      <w:r w:rsidRPr="005E320F">
        <w:rPr>
          <w:szCs w:val="22"/>
          <w:lang w:val="lt-LT" w:bidi="lt-LT"/>
        </w:rPr>
        <w:t>Torzelip</w:t>
      </w:r>
      <w:proofErr w:type="spellEnd"/>
      <w:r w:rsidRPr="005E320F">
        <w:rPr>
          <w:szCs w:val="22"/>
          <w:lang w:val="lt-LT" w:bidi="lt-LT"/>
        </w:rPr>
        <w:t xml:space="preserve"> turėsite laikinai nutraukti. Gydytojas Jums pasakys, kada yra saugu atnaujinti </w:t>
      </w:r>
      <w:proofErr w:type="spellStart"/>
      <w:r w:rsidRPr="005E320F">
        <w:rPr>
          <w:szCs w:val="22"/>
          <w:lang w:val="lt-LT" w:bidi="lt-LT"/>
        </w:rPr>
        <w:t>Torzelip</w:t>
      </w:r>
      <w:proofErr w:type="spellEnd"/>
      <w:r w:rsidRPr="005E320F">
        <w:rPr>
          <w:szCs w:val="22"/>
          <w:lang w:val="lt-LT" w:bidi="lt-LT"/>
        </w:rPr>
        <w:t xml:space="preserve"> vartojimą. </w:t>
      </w:r>
      <w:proofErr w:type="spellStart"/>
      <w:r w:rsidRPr="005E320F">
        <w:rPr>
          <w:szCs w:val="22"/>
          <w:lang w:val="lt-LT" w:bidi="lt-LT"/>
        </w:rPr>
        <w:t>Fuzido</w:t>
      </w:r>
      <w:proofErr w:type="spellEnd"/>
      <w:r w:rsidRPr="005E320F">
        <w:rPr>
          <w:szCs w:val="22"/>
          <w:lang w:val="lt-LT" w:bidi="lt-LT"/>
        </w:rPr>
        <w:t xml:space="preserve"> rūgšties ir </w:t>
      </w:r>
      <w:proofErr w:type="spellStart"/>
      <w:r w:rsidRPr="005E320F">
        <w:rPr>
          <w:szCs w:val="22"/>
          <w:lang w:val="lt-LT" w:bidi="lt-LT"/>
        </w:rPr>
        <w:t>Torzelip</w:t>
      </w:r>
      <w:proofErr w:type="spellEnd"/>
      <w:r w:rsidRPr="005E320F">
        <w:rPr>
          <w:szCs w:val="22"/>
          <w:lang w:val="lt-LT" w:bidi="lt-LT"/>
        </w:rPr>
        <w:t xml:space="preserve"> derinys retai gali sukelti raumenų silpnumą, jautrumą ar skausmą (</w:t>
      </w:r>
      <w:proofErr w:type="spellStart"/>
      <w:r w:rsidRPr="005E320F">
        <w:rPr>
          <w:szCs w:val="22"/>
          <w:lang w:val="lt-LT" w:bidi="lt-LT"/>
        </w:rPr>
        <w:t>rabdomiolizę</w:t>
      </w:r>
      <w:proofErr w:type="spellEnd"/>
      <w:r w:rsidRPr="005E320F">
        <w:rPr>
          <w:szCs w:val="22"/>
          <w:lang w:val="lt-LT" w:bidi="lt-LT"/>
        </w:rPr>
        <w:t xml:space="preserve">). Daugiau informacijos apie </w:t>
      </w:r>
      <w:proofErr w:type="spellStart"/>
      <w:r w:rsidRPr="005E320F">
        <w:rPr>
          <w:szCs w:val="22"/>
          <w:lang w:val="lt-LT" w:bidi="lt-LT"/>
        </w:rPr>
        <w:t>rabdomiolizę</w:t>
      </w:r>
      <w:proofErr w:type="spellEnd"/>
      <w:r w:rsidRPr="005E320F">
        <w:rPr>
          <w:szCs w:val="22"/>
          <w:lang w:val="lt-LT" w:bidi="lt-LT"/>
        </w:rPr>
        <w:t xml:space="preserve"> pateikiama 4 skyriuje.</w:t>
      </w:r>
    </w:p>
    <w:p w14:paraId="791041BE" w14:textId="50577D70" w:rsidR="006B3D47" w:rsidRPr="005E320F" w:rsidRDefault="006B3D47" w:rsidP="006B3D47">
      <w:pPr>
        <w:numPr>
          <w:ilvl w:val="0"/>
          <w:numId w:val="24"/>
        </w:numPr>
        <w:tabs>
          <w:tab w:val="clear" w:pos="567"/>
        </w:tabs>
        <w:spacing w:line="240" w:lineRule="auto"/>
        <w:ind w:left="567" w:hanging="567"/>
        <w:rPr>
          <w:szCs w:val="22"/>
          <w:lang w:val="lt-LT" w:bidi="lt-LT"/>
        </w:rPr>
      </w:pPr>
      <w:proofErr w:type="spellStart"/>
      <w:r w:rsidRPr="005E320F">
        <w:rPr>
          <w:szCs w:val="22"/>
          <w:lang w:val="lt-LT" w:bidi="lt-LT"/>
        </w:rPr>
        <w:t>Daptomicinas</w:t>
      </w:r>
      <w:proofErr w:type="spellEnd"/>
      <w:r w:rsidRPr="005E320F">
        <w:rPr>
          <w:szCs w:val="22"/>
          <w:lang w:val="lt-LT" w:bidi="lt-LT"/>
        </w:rPr>
        <w:t xml:space="preserve"> (vaistas, vartojamas esant sunkioms (komplikuotoms) odos ir odos struktūrų infekcinėms ligoms gydyti bei kraujyje esančioms bakterijoms naikinti).</w:t>
      </w:r>
    </w:p>
    <w:p w14:paraId="477408D4" w14:textId="77777777" w:rsidR="006B3D47" w:rsidRPr="005E320F" w:rsidRDefault="006B3D47" w:rsidP="00235505">
      <w:pPr>
        <w:tabs>
          <w:tab w:val="clear" w:pos="567"/>
        </w:tabs>
        <w:spacing w:line="240" w:lineRule="auto"/>
        <w:ind w:left="567"/>
        <w:rPr>
          <w:szCs w:val="22"/>
          <w:lang w:val="lt-LT" w:bidi="lt-LT"/>
        </w:rPr>
      </w:pPr>
    </w:p>
    <w:p w14:paraId="7BE718F4" w14:textId="25C9E95D" w:rsidR="00687016" w:rsidRPr="005E320F" w:rsidRDefault="00687016" w:rsidP="007E15ED">
      <w:pPr>
        <w:keepNext/>
        <w:numPr>
          <w:ilvl w:val="0"/>
          <w:numId w:val="24"/>
        </w:numPr>
        <w:tabs>
          <w:tab w:val="clear" w:pos="567"/>
        </w:tabs>
        <w:spacing w:line="240" w:lineRule="auto"/>
        <w:ind w:left="567" w:hanging="567"/>
        <w:rPr>
          <w:snapToGrid/>
          <w:szCs w:val="22"/>
          <w:lang w:val="lt-LT"/>
        </w:rPr>
      </w:pPr>
      <w:r w:rsidRPr="005E320F">
        <w:rPr>
          <w:snapToGrid/>
          <w:szCs w:val="22"/>
          <w:lang w:val="lt-LT"/>
        </w:rPr>
        <w:t xml:space="preserve">Kiti vaistai, kurie sukelia sąveiką su </w:t>
      </w:r>
      <w:proofErr w:type="spellStart"/>
      <w:r w:rsidRPr="005E320F">
        <w:rPr>
          <w:szCs w:val="22"/>
          <w:lang w:val="lt-LT" w:bidi="lt-LT"/>
        </w:rPr>
        <w:t>Torzelip</w:t>
      </w:r>
      <w:proofErr w:type="spellEnd"/>
      <w:r w:rsidR="007F3DA9" w:rsidRPr="005E320F">
        <w:rPr>
          <w:snapToGrid/>
          <w:szCs w:val="22"/>
          <w:lang w:val="lt-LT"/>
        </w:rPr>
        <w:t>:</w:t>
      </w:r>
    </w:p>
    <w:p w14:paraId="6BB5428C" w14:textId="4E0A6243" w:rsidR="00F35D1A" w:rsidRPr="005E320F" w:rsidRDefault="007F3DA9" w:rsidP="00687016">
      <w:pPr>
        <w:numPr>
          <w:ilvl w:val="0"/>
          <w:numId w:val="25"/>
        </w:numPr>
        <w:ind w:left="1134" w:hanging="567"/>
        <w:rPr>
          <w:snapToGrid/>
          <w:szCs w:val="22"/>
          <w:lang w:val="lt-LT"/>
        </w:rPr>
      </w:pPr>
      <w:r w:rsidRPr="005E320F">
        <w:rPr>
          <w:snapToGrid/>
          <w:szCs w:val="22"/>
          <w:lang w:val="lt-LT"/>
        </w:rPr>
        <w:t>g</w:t>
      </w:r>
      <w:r w:rsidR="00687016" w:rsidRPr="005E320F">
        <w:rPr>
          <w:snapToGrid/>
          <w:szCs w:val="22"/>
          <w:lang w:val="lt-LT"/>
        </w:rPr>
        <w:t>eriamieji kontraceptikai</w:t>
      </w:r>
      <w:r w:rsidR="00F35D1A" w:rsidRPr="005E320F">
        <w:rPr>
          <w:snapToGrid/>
          <w:szCs w:val="22"/>
          <w:lang w:val="lt-LT"/>
        </w:rPr>
        <w:t xml:space="preserve"> (</w:t>
      </w:r>
      <w:r w:rsidR="00687016" w:rsidRPr="005E320F">
        <w:rPr>
          <w:snapToGrid/>
          <w:szCs w:val="22"/>
          <w:lang w:val="lt-LT"/>
        </w:rPr>
        <w:t>nuo nėštumo apsaugantys vaistai</w:t>
      </w:r>
      <w:r w:rsidR="00F35D1A" w:rsidRPr="005E320F">
        <w:rPr>
          <w:snapToGrid/>
          <w:szCs w:val="22"/>
          <w:lang w:val="lt-LT"/>
        </w:rPr>
        <w:t>)</w:t>
      </w:r>
      <w:r w:rsidRPr="005E320F">
        <w:rPr>
          <w:snapToGrid/>
          <w:szCs w:val="22"/>
          <w:lang w:val="lt-LT"/>
        </w:rPr>
        <w:t>;</w:t>
      </w:r>
    </w:p>
    <w:p w14:paraId="23C6E315" w14:textId="65AF488A" w:rsidR="00F35D1A" w:rsidRPr="005E320F" w:rsidRDefault="007F3DA9" w:rsidP="00687016">
      <w:pPr>
        <w:numPr>
          <w:ilvl w:val="0"/>
          <w:numId w:val="25"/>
        </w:numPr>
        <w:ind w:left="1134" w:hanging="567"/>
        <w:rPr>
          <w:snapToGrid/>
          <w:szCs w:val="22"/>
          <w:lang w:val="lt-LT"/>
        </w:rPr>
      </w:pPr>
      <w:proofErr w:type="spellStart"/>
      <w:r w:rsidRPr="005E320F">
        <w:rPr>
          <w:snapToGrid/>
          <w:szCs w:val="22"/>
          <w:lang w:val="lt-LT"/>
        </w:rPr>
        <w:t>s</w:t>
      </w:r>
      <w:r w:rsidR="00F35D1A" w:rsidRPr="005E320F">
        <w:rPr>
          <w:snapToGrid/>
          <w:szCs w:val="22"/>
          <w:lang w:val="lt-LT"/>
        </w:rPr>
        <w:t>tiripentol</w:t>
      </w:r>
      <w:r w:rsidR="00687016" w:rsidRPr="005E320F">
        <w:rPr>
          <w:snapToGrid/>
          <w:szCs w:val="22"/>
          <w:lang w:val="lt-LT"/>
        </w:rPr>
        <w:t>is</w:t>
      </w:r>
      <w:proofErr w:type="spellEnd"/>
      <w:r w:rsidR="00F35D1A" w:rsidRPr="005E320F">
        <w:rPr>
          <w:snapToGrid/>
          <w:szCs w:val="22"/>
          <w:lang w:val="lt-LT"/>
        </w:rPr>
        <w:t xml:space="preserve"> (</w:t>
      </w:r>
      <w:r w:rsidR="00687016" w:rsidRPr="005E320F">
        <w:rPr>
          <w:snapToGrid/>
          <w:szCs w:val="22"/>
          <w:lang w:val="lt-LT"/>
        </w:rPr>
        <w:t>traukulius slopinantis vai</w:t>
      </w:r>
      <w:r w:rsidRPr="005E320F">
        <w:rPr>
          <w:snapToGrid/>
          <w:szCs w:val="22"/>
          <w:lang w:val="lt-LT"/>
        </w:rPr>
        <w:t>st</w:t>
      </w:r>
      <w:r w:rsidR="00687016" w:rsidRPr="005E320F">
        <w:rPr>
          <w:snapToGrid/>
          <w:szCs w:val="22"/>
          <w:lang w:val="lt-LT"/>
        </w:rPr>
        <w:t>as nuo epilepsijos</w:t>
      </w:r>
      <w:r w:rsidR="00F35D1A" w:rsidRPr="005E320F">
        <w:rPr>
          <w:snapToGrid/>
          <w:szCs w:val="22"/>
          <w:lang w:val="lt-LT"/>
        </w:rPr>
        <w:t>)</w:t>
      </w:r>
      <w:r w:rsidRPr="005E320F">
        <w:rPr>
          <w:snapToGrid/>
          <w:szCs w:val="22"/>
          <w:lang w:val="lt-LT"/>
        </w:rPr>
        <w:t>;</w:t>
      </w:r>
    </w:p>
    <w:p w14:paraId="2002579A" w14:textId="107EB346" w:rsidR="00F35D1A" w:rsidRPr="005E320F" w:rsidRDefault="007F3DA9" w:rsidP="00687016">
      <w:pPr>
        <w:numPr>
          <w:ilvl w:val="0"/>
          <w:numId w:val="25"/>
        </w:numPr>
        <w:ind w:left="1134" w:hanging="567"/>
        <w:rPr>
          <w:snapToGrid/>
          <w:szCs w:val="22"/>
          <w:lang w:val="lt-LT"/>
        </w:rPr>
      </w:pPr>
      <w:proofErr w:type="spellStart"/>
      <w:r w:rsidRPr="005E320F">
        <w:rPr>
          <w:snapToGrid/>
          <w:szCs w:val="22"/>
          <w:lang w:val="lt-LT"/>
        </w:rPr>
        <w:t>c</w:t>
      </w:r>
      <w:r w:rsidR="00F35D1A" w:rsidRPr="005E320F">
        <w:rPr>
          <w:snapToGrid/>
          <w:szCs w:val="22"/>
          <w:lang w:val="lt-LT"/>
        </w:rPr>
        <w:t>imetidin</w:t>
      </w:r>
      <w:r w:rsidR="00687016" w:rsidRPr="005E320F">
        <w:rPr>
          <w:snapToGrid/>
          <w:szCs w:val="22"/>
          <w:lang w:val="lt-LT"/>
        </w:rPr>
        <w:t>as</w:t>
      </w:r>
      <w:proofErr w:type="spellEnd"/>
      <w:r w:rsidR="00F35D1A" w:rsidRPr="005E320F">
        <w:rPr>
          <w:snapToGrid/>
          <w:szCs w:val="22"/>
          <w:lang w:val="lt-LT"/>
        </w:rPr>
        <w:t xml:space="preserve"> (</w:t>
      </w:r>
      <w:r w:rsidR="00687016" w:rsidRPr="005E320F">
        <w:rPr>
          <w:snapToGrid/>
          <w:szCs w:val="22"/>
          <w:lang w:val="lt-LT"/>
        </w:rPr>
        <w:t xml:space="preserve">vaistas nuo rėmens ir </w:t>
      </w:r>
      <w:proofErr w:type="spellStart"/>
      <w:r w:rsidR="00687016" w:rsidRPr="005E320F">
        <w:rPr>
          <w:snapToGrid/>
          <w:szCs w:val="22"/>
          <w:lang w:val="lt-LT"/>
        </w:rPr>
        <w:t>pepsinių</w:t>
      </w:r>
      <w:proofErr w:type="spellEnd"/>
      <w:r w:rsidR="00687016" w:rsidRPr="005E320F">
        <w:rPr>
          <w:snapToGrid/>
          <w:szCs w:val="22"/>
          <w:lang w:val="lt-LT"/>
        </w:rPr>
        <w:t xml:space="preserve"> opų</w:t>
      </w:r>
      <w:r w:rsidR="00F35D1A" w:rsidRPr="005E320F">
        <w:rPr>
          <w:snapToGrid/>
          <w:szCs w:val="22"/>
          <w:lang w:val="lt-LT"/>
        </w:rPr>
        <w:t>)</w:t>
      </w:r>
      <w:r w:rsidRPr="005E320F">
        <w:rPr>
          <w:snapToGrid/>
          <w:szCs w:val="22"/>
          <w:lang w:val="lt-LT"/>
        </w:rPr>
        <w:t>;</w:t>
      </w:r>
    </w:p>
    <w:p w14:paraId="14E7608D" w14:textId="2D48F97F" w:rsidR="00F35D1A" w:rsidRPr="005E320F" w:rsidRDefault="00682F0B" w:rsidP="00687016">
      <w:pPr>
        <w:numPr>
          <w:ilvl w:val="0"/>
          <w:numId w:val="25"/>
        </w:numPr>
        <w:ind w:left="1134" w:hanging="567"/>
        <w:rPr>
          <w:snapToGrid/>
          <w:szCs w:val="22"/>
          <w:lang w:val="lt-LT"/>
        </w:rPr>
      </w:pPr>
      <w:proofErr w:type="spellStart"/>
      <w:r w:rsidRPr="005E320F">
        <w:rPr>
          <w:snapToGrid/>
          <w:szCs w:val="22"/>
          <w:lang w:val="lt-LT"/>
        </w:rPr>
        <w:t>fenazonas</w:t>
      </w:r>
      <w:proofErr w:type="spellEnd"/>
      <w:r w:rsidRPr="005E320F">
        <w:rPr>
          <w:snapToGrid/>
          <w:szCs w:val="22"/>
          <w:lang w:val="lt-LT"/>
        </w:rPr>
        <w:t xml:space="preserve"> </w:t>
      </w:r>
      <w:r w:rsidR="00687016" w:rsidRPr="005E320F">
        <w:rPr>
          <w:snapToGrid/>
          <w:szCs w:val="22"/>
          <w:lang w:val="lt-LT"/>
        </w:rPr>
        <w:t>(vaistas nuo skausmo</w:t>
      </w:r>
      <w:r w:rsidR="00F35D1A" w:rsidRPr="005E320F">
        <w:rPr>
          <w:snapToGrid/>
          <w:szCs w:val="22"/>
          <w:lang w:val="lt-LT"/>
        </w:rPr>
        <w:t>)</w:t>
      </w:r>
      <w:r w:rsidR="007F3DA9" w:rsidRPr="005E320F">
        <w:rPr>
          <w:snapToGrid/>
          <w:szCs w:val="22"/>
          <w:lang w:val="lt-LT"/>
        </w:rPr>
        <w:t>;</w:t>
      </w:r>
    </w:p>
    <w:p w14:paraId="0B6FBE25" w14:textId="6D18BF91" w:rsidR="00687016" w:rsidRPr="005E320F" w:rsidRDefault="007F3DA9" w:rsidP="00687016">
      <w:pPr>
        <w:numPr>
          <w:ilvl w:val="0"/>
          <w:numId w:val="25"/>
        </w:numPr>
        <w:ind w:left="1134" w:hanging="567"/>
        <w:rPr>
          <w:snapToGrid/>
          <w:szCs w:val="22"/>
          <w:lang w:val="lt-LT"/>
        </w:rPr>
      </w:pPr>
      <w:proofErr w:type="spellStart"/>
      <w:r w:rsidRPr="005E320F">
        <w:rPr>
          <w:snapToGrid/>
          <w:szCs w:val="22"/>
          <w:lang w:val="lt-LT"/>
        </w:rPr>
        <w:t>a</w:t>
      </w:r>
      <w:r w:rsidR="00687016" w:rsidRPr="005E320F">
        <w:rPr>
          <w:snapToGrid/>
          <w:szCs w:val="22"/>
          <w:lang w:val="lt-LT"/>
        </w:rPr>
        <w:t>ntacidiniai</w:t>
      </w:r>
      <w:proofErr w:type="spellEnd"/>
      <w:r w:rsidR="00687016" w:rsidRPr="005E320F">
        <w:rPr>
          <w:snapToGrid/>
          <w:szCs w:val="22"/>
          <w:lang w:val="lt-LT"/>
        </w:rPr>
        <w:t xml:space="preserve"> vaistai</w:t>
      </w:r>
      <w:r w:rsidR="00F35D1A" w:rsidRPr="005E320F">
        <w:rPr>
          <w:snapToGrid/>
          <w:szCs w:val="22"/>
          <w:lang w:val="lt-LT"/>
        </w:rPr>
        <w:t xml:space="preserve"> (</w:t>
      </w:r>
      <w:r w:rsidR="00687016" w:rsidRPr="005E320F">
        <w:rPr>
          <w:snapToGrid/>
          <w:szCs w:val="22"/>
          <w:lang w:val="lt-LT"/>
        </w:rPr>
        <w:t xml:space="preserve">vaistai, kurių sudėtyje yra aliuminio ar magnio, nuo </w:t>
      </w:r>
      <w:proofErr w:type="spellStart"/>
      <w:r w:rsidR="00687016" w:rsidRPr="005E320F">
        <w:rPr>
          <w:snapToGrid/>
          <w:szCs w:val="22"/>
          <w:lang w:val="lt-LT"/>
        </w:rPr>
        <w:t>nevirškinimo</w:t>
      </w:r>
      <w:proofErr w:type="spellEnd"/>
      <w:r w:rsidR="00687016" w:rsidRPr="005E320F">
        <w:rPr>
          <w:snapToGrid/>
          <w:szCs w:val="22"/>
          <w:lang w:val="lt-LT"/>
        </w:rPr>
        <w:t>)</w:t>
      </w:r>
      <w:r w:rsidRPr="005E320F">
        <w:rPr>
          <w:snapToGrid/>
          <w:szCs w:val="22"/>
          <w:lang w:val="lt-LT"/>
        </w:rPr>
        <w:t>;</w:t>
      </w:r>
    </w:p>
    <w:p w14:paraId="58DE3867" w14:textId="6979FC62" w:rsidR="00F35D1A" w:rsidRPr="005E320F" w:rsidRDefault="007F3DA9" w:rsidP="00687016">
      <w:pPr>
        <w:numPr>
          <w:ilvl w:val="0"/>
          <w:numId w:val="25"/>
        </w:numPr>
        <w:ind w:left="1134" w:hanging="567"/>
        <w:rPr>
          <w:snapToGrid/>
          <w:szCs w:val="22"/>
          <w:lang w:val="lt-LT"/>
        </w:rPr>
      </w:pPr>
      <w:r w:rsidRPr="005E320F">
        <w:rPr>
          <w:snapToGrid/>
          <w:szCs w:val="22"/>
          <w:lang w:val="lt-LT"/>
        </w:rPr>
        <w:lastRenderedPageBreak/>
        <w:t>v</w:t>
      </w:r>
      <w:r w:rsidR="00F35D1A" w:rsidRPr="005E320F">
        <w:rPr>
          <w:snapToGrid/>
          <w:szCs w:val="22"/>
          <w:lang w:val="lt-LT"/>
        </w:rPr>
        <w:t>arfarin</w:t>
      </w:r>
      <w:r w:rsidR="00687016" w:rsidRPr="005E320F">
        <w:rPr>
          <w:snapToGrid/>
          <w:szCs w:val="22"/>
          <w:lang w:val="lt-LT"/>
        </w:rPr>
        <w:t>as</w:t>
      </w:r>
      <w:r w:rsidR="00F35D1A" w:rsidRPr="005E320F">
        <w:rPr>
          <w:snapToGrid/>
          <w:szCs w:val="22"/>
          <w:lang w:val="lt-LT"/>
        </w:rPr>
        <w:t xml:space="preserve">, </w:t>
      </w:r>
      <w:proofErr w:type="spellStart"/>
      <w:r w:rsidR="00687016" w:rsidRPr="005E320F">
        <w:rPr>
          <w:snapToGrid/>
          <w:szCs w:val="22"/>
          <w:lang w:val="lt-LT"/>
        </w:rPr>
        <w:t>fenprokumonas</w:t>
      </w:r>
      <w:proofErr w:type="spellEnd"/>
      <w:r w:rsidR="00F35D1A" w:rsidRPr="005E320F">
        <w:rPr>
          <w:snapToGrid/>
          <w:szCs w:val="22"/>
          <w:lang w:val="lt-LT"/>
        </w:rPr>
        <w:t xml:space="preserve">, </w:t>
      </w:r>
      <w:proofErr w:type="spellStart"/>
      <w:r w:rsidR="00687016" w:rsidRPr="005E320F">
        <w:rPr>
          <w:snapToGrid/>
          <w:szCs w:val="22"/>
          <w:lang w:val="lt-LT"/>
        </w:rPr>
        <w:t>acenokumarolis</w:t>
      </w:r>
      <w:proofErr w:type="spellEnd"/>
      <w:r w:rsidR="00687016" w:rsidRPr="005E320F">
        <w:rPr>
          <w:snapToGrid/>
          <w:szCs w:val="22"/>
          <w:lang w:val="lt-LT"/>
        </w:rPr>
        <w:t xml:space="preserve"> a</w:t>
      </w:r>
      <w:r w:rsidR="00F35D1A" w:rsidRPr="005E320F">
        <w:rPr>
          <w:snapToGrid/>
          <w:szCs w:val="22"/>
          <w:lang w:val="lt-LT"/>
        </w:rPr>
        <w:t xml:space="preserve">r </w:t>
      </w:r>
      <w:proofErr w:type="spellStart"/>
      <w:r w:rsidR="00F35D1A" w:rsidRPr="005E320F">
        <w:rPr>
          <w:snapToGrid/>
          <w:szCs w:val="22"/>
          <w:lang w:val="lt-LT"/>
        </w:rPr>
        <w:t>fluindion</w:t>
      </w:r>
      <w:r w:rsidR="00687016" w:rsidRPr="005E320F">
        <w:rPr>
          <w:snapToGrid/>
          <w:szCs w:val="22"/>
          <w:lang w:val="lt-LT"/>
        </w:rPr>
        <w:t>as</w:t>
      </w:r>
      <w:proofErr w:type="spellEnd"/>
      <w:r w:rsidR="00F35D1A" w:rsidRPr="005E320F">
        <w:rPr>
          <w:snapToGrid/>
          <w:szCs w:val="22"/>
          <w:lang w:val="lt-LT"/>
        </w:rPr>
        <w:t xml:space="preserve"> (</w:t>
      </w:r>
      <w:r w:rsidR="00687016" w:rsidRPr="005E320F">
        <w:rPr>
          <w:snapToGrid/>
          <w:szCs w:val="22"/>
          <w:lang w:val="lt-LT"/>
        </w:rPr>
        <w:t>vaistai, slopinantys kraujo krešulių susidarymą</w:t>
      </w:r>
      <w:r w:rsidR="00F35D1A" w:rsidRPr="005E320F">
        <w:rPr>
          <w:snapToGrid/>
          <w:szCs w:val="22"/>
          <w:lang w:val="lt-LT"/>
        </w:rPr>
        <w:t>)</w:t>
      </w:r>
      <w:r w:rsidRPr="005E320F">
        <w:rPr>
          <w:snapToGrid/>
          <w:szCs w:val="22"/>
          <w:lang w:val="lt-LT"/>
        </w:rPr>
        <w:t>;</w:t>
      </w:r>
    </w:p>
    <w:p w14:paraId="6026B2A4" w14:textId="07D42C39" w:rsidR="00F35D1A" w:rsidRPr="005E320F" w:rsidRDefault="007F3DA9" w:rsidP="00687016">
      <w:pPr>
        <w:numPr>
          <w:ilvl w:val="0"/>
          <w:numId w:val="25"/>
        </w:numPr>
        <w:ind w:left="1134" w:hanging="567"/>
        <w:rPr>
          <w:snapToGrid/>
          <w:szCs w:val="22"/>
          <w:lang w:val="lt-LT"/>
        </w:rPr>
      </w:pPr>
      <w:proofErr w:type="spellStart"/>
      <w:r w:rsidRPr="005E320F">
        <w:rPr>
          <w:snapToGrid/>
          <w:szCs w:val="22"/>
          <w:lang w:val="lt-LT"/>
        </w:rPr>
        <w:t>k</w:t>
      </w:r>
      <w:r w:rsidR="00687016" w:rsidRPr="005E320F">
        <w:rPr>
          <w:snapToGrid/>
          <w:szCs w:val="22"/>
          <w:lang w:val="lt-LT"/>
        </w:rPr>
        <w:t>olchicinas</w:t>
      </w:r>
      <w:proofErr w:type="spellEnd"/>
      <w:r w:rsidR="00F35D1A" w:rsidRPr="005E320F">
        <w:rPr>
          <w:snapToGrid/>
          <w:szCs w:val="22"/>
          <w:lang w:val="lt-LT"/>
        </w:rPr>
        <w:t xml:space="preserve"> (</w:t>
      </w:r>
      <w:r w:rsidR="00687016" w:rsidRPr="005E320F">
        <w:rPr>
          <w:snapToGrid/>
          <w:szCs w:val="22"/>
          <w:lang w:val="lt-LT"/>
        </w:rPr>
        <w:t>jis vartojamas podagrai gydyti</w:t>
      </w:r>
      <w:r w:rsidR="00F35D1A" w:rsidRPr="005E320F">
        <w:rPr>
          <w:snapToGrid/>
          <w:szCs w:val="22"/>
          <w:lang w:val="lt-LT"/>
        </w:rPr>
        <w:t>)</w:t>
      </w:r>
      <w:r w:rsidRPr="005E320F">
        <w:rPr>
          <w:snapToGrid/>
          <w:szCs w:val="22"/>
          <w:lang w:val="lt-LT"/>
        </w:rPr>
        <w:t>;</w:t>
      </w:r>
    </w:p>
    <w:p w14:paraId="47A014A5" w14:textId="77777777" w:rsidR="00F35D1A" w:rsidRPr="005E320F" w:rsidRDefault="007F3DA9" w:rsidP="00687016">
      <w:pPr>
        <w:numPr>
          <w:ilvl w:val="0"/>
          <w:numId w:val="25"/>
        </w:numPr>
        <w:ind w:left="1134" w:hanging="567"/>
        <w:rPr>
          <w:snapToGrid/>
          <w:szCs w:val="22"/>
          <w:lang w:val="lt-LT"/>
        </w:rPr>
      </w:pPr>
      <w:r w:rsidRPr="005E320F">
        <w:rPr>
          <w:snapToGrid/>
          <w:szCs w:val="22"/>
          <w:lang w:val="lt-LT"/>
        </w:rPr>
        <w:t>p</w:t>
      </w:r>
      <w:r w:rsidR="00687016" w:rsidRPr="005E320F">
        <w:rPr>
          <w:snapToGrid/>
          <w:szCs w:val="22"/>
          <w:lang w:val="lt-LT"/>
        </w:rPr>
        <w:t>aprastųjų jonažolių preparatai</w:t>
      </w:r>
      <w:r w:rsidR="00F35D1A" w:rsidRPr="005E320F">
        <w:rPr>
          <w:snapToGrid/>
          <w:szCs w:val="22"/>
          <w:lang w:val="lt-LT"/>
        </w:rPr>
        <w:t xml:space="preserve"> (</w:t>
      </w:r>
      <w:r w:rsidR="00687016" w:rsidRPr="005E320F">
        <w:rPr>
          <w:snapToGrid/>
          <w:szCs w:val="22"/>
          <w:lang w:val="lt-LT"/>
        </w:rPr>
        <w:t>vaistai depresijai gydyti</w:t>
      </w:r>
      <w:r w:rsidR="00F35D1A" w:rsidRPr="005E320F">
        <w:rPr>
          <w:snapToGrid/>
          <w:szCs w:val="22"/>
          <w:lang w:val="lt-LT"/>
        </w:rPr>
        <w:t>)</w:t>
      </w:r>
      <w:r w:rsidR="00687016" w:rsidRPr="005E320F">
        <w:rPr>
          <w:snapToGrid/>
          <w:szCs w:val="22"/>
          <w:lang w:val="lt-LT"/>
        </w:rPr>
        <w:t>.</w:t>
      </w:r>
    </w:p>
    <w:p w14:paraId="6344DA53" w14:textId="77777777" w:rsidR="00381B7D" w:rsidRPr="005E320F" w:rsidRDefault="00381B7D" w:rsidP="00A31E3A">
      <w:pPr>
        <w:widowControl w:val="0"/>
        <w:numPr>
          <w:ilvl w:val="12"/>
          <w:numId w:val="0"/>
        </w:numPr>
        <w:tabs>
          <w:tab w:val="clear" w:pos="567"/>
        </w:tabs>
        <w:spacing w:line="240" w:lineRule="auto"/>
        <w:ind w:right="-2"/>
        <w:rPr>
          <w:snapToGrid/>
          <w:color w:val="000000"/>
          <w:szCs w:val="22"/>
          <w:lang w:val="lt-LT" w:eastAsia="sl-SI"/>
        </w:rPr>
      </w:pPr>
    </w:p>
    <w:p w14:paraId="6378A0EE" w14:textId="77777777" w:rsidR="00381B7D" w:rsidRPr="005E320F" w:rsidRDefault="004373BE" w:rsidP="007E15ED">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00381B7D" w:rsidRPr="005E320F">
        <w:rPr>
          <w:b/>
          <w:snapToGrid/>
          <w:szCs w:val="22"/>
          <w:lang w:val="lt-LT" w:eastAsia="sl-SI"/>
        </w:rPr>
        <w:t xml:space="preserve"> vartojimas su maistu ir </w:t>
      </w:r>
      <w:r w:rsidR="006464FF" w:rsidRPr="005E320F">
        <w:rPr>
          <w:b/>
          <w:snapToGrid/>
          <w:szCs w:val="22"/>
          <w:lang w:val="lt-LT" w:eastAsia="sl-SI"/>
        </w:rPr>
        <w:t>alkoholiu</w:t>
      </w:r>
    </w:p>
    <w:p w14:paraId="25C2B131" w14:textId="71B13A68" w:rsidR="006464FF" w:rsidRPr="005E320F" w:rsidRDefault="006464FF" w:rsidP="006464FF">
      <w:pPr>
        <w:numPr>
          <w:ilvl w:val="12"/>
          <w:numId w:val="0"/>
        </w:numPr>
        <w:tabs>
          <w:tab w:val="clear" w:pos="567"/>
        </w:tabs>
        <w:spacing w:line="240" w:lineRule="auto"/>
        <w:ind w:right="-2"/>
        <w:rPr>
          <w:snapToGrid/>
          <w:szCs w:val="22"/>
          <w:lang w:val="lt-LT"/>
        </w:rPr>
      </w:pPr>
      <w:r w:rsidRPr="005E320F">
        <w:rPr>
          <w:snapToGrid/>
          <w:szCs w:val="22"/>
          <w:lang w:val="lt-LT"/>
        </w:rPr>
        <w:t>Žr.</w:t>
      </w:r>
      <w:r w:rsidR="007F3DA9" w:rsidRPr="005E320F">
        <w:rPr>
          <w:snapToGrid/>
          <w:szCs w:val="22"/>
          <w:lang w:val="lt-LT"/>
        </w:rPr>
        <w:t> </w:t>
      </w:r>
      <w:r w:rsidRPr="005E320F">
        <w:rPr>
          <w:snapToGrid/>
          <w:szCs w:val="22"/>
          <w:lang w:val="lt-LT"/>
        </w:rPr>
        <w:t xml:space="preserve">3 skyrių, kur pateikiama instrukcijų, kaip vartoti </w:t>
      </w:r>
      <w:proofErr w:type="spellStart"/>
      <w:r w:rsidRPr="005E320F">
        <w:rPr>
          <w:snapToGrid/>
          <w:szCs w:val="22"/>
          <w:lang w:val="lt-LT"/>
        </w:rPr>
        <w:t>Torzelip</w:t>
      </w:r>
      <w:proofErr w:type="spellEnd"/>
      <w:r w:rsidRPr="005E320F">
        <w:rPr>
          <w:snapToGrid/>
          <w:szCs w:val="22"/>
          <w:lang w:val="lt-LT"/>
        </w:rPr>
        <w:t>. Atkreipkite dėmesį į toliau pateikiamą informaciją.</w:t>
      </w:r>
    </w:p>
    <w:p w14:paraId="39145967" w14:textId="77777777" w:rsidR="006464FF" w:rsidRPr="005E320F" w:rsidRDefault="006464FF" w:rsidP="006464FF">
      <w:pPr>
        <w:numPr>
          <w:ilvl w:val="12"/>
          <w:numId w:val="0"/>
        </w:numPr>
        <w:tabs>
          <w:tab w:val="clear" w:pos="567"/>
        </w:tabs>
        <w:spacing w:line="240" w:lineRule="auto"/>
        <w:ind w:right="-2"/>
        <w:rPr>
          <w:snapToGrid/>
          <w:szCs w:val="22"/>
          <w:lang w:val="lt-LT"/>
        </w:rPr>
      </w:pPr>
    </w:p>
    <w:p w14:paraId="5CB68B86" w14:textId="77777777" w:rsidR="006464FF" w:rsidRPr="005E320F" w:rsidRDefault="006464FF" w:rsidP="007E15ED">
      <w:pPr>
        <w:keepNext/>
        <w:numPr>
          <w:ilvl w:val="12"/>
          <w:numId w:val="0"/>
        </w:numPr>
        <w:tabs>
          <w:tab w:val="clear" w:pos="567"/>
        </w:tabs>
        <w:spacing w:line="240" w:lineRule="auto"/>
        <w:rPr>
          <w:i/>
          <w:snapToGrid/>
          <w:szCs w:val="22"/>
          <w:lang w:val="lt-LT"/>
        </w:rPr>
      </w:pPr>
      <w:r w:rsidRPr="005E320F">
        <w:rPr>
          <w:i/>
          <w:snapToGrid/>
          <w:szCs w:val="22"/>
          <w:lang w:val="lt-LT"/>
        </w:rPr>
        <w:t>Greipfrutų sultys</w:t>
      </w:r>
    </w:p>
    <w:p w14:paraId="62137BFA" w14:textId="77777777" w:rsidR="006464FF" w:rsidRPr="005E320F" w:rsidRDefault="006464FF" w:rsidP="006464FF">
      <w:pPr>
        <w:numPr>
          <w:ilvl w:val="12"/>
          <w:numId w:val="0"/>
        </w:numPr>
        <w:tabs>
          <w:tab w:val="clear" w:pos="567"/>
        </w:tabs>
        <w:spacing w:line="240" w:lineRule="auto"/>
        <w:ind w:right="-2"/>
        <w:rPr>
          <w:snapToGrid/>
          <w:szCs w:val="22"/>
          <w:lang w:val="lt-LT"/>
        </w:rPr>
      </w:pPr>
      <w:r w:rsidRPr="005E320F">
        <w:rPr>
          <w:snapToGrid/>
          <w:szCs w:val="22"/>
          <w:lang w:val="lt-LT"/>
        </w:rPr>
        <w:t xml:space="preserve">Gydymo šiuo vaistu metu per dieną galima išgerti ne daugiau kaip vieną ar dvi mažas stiklines greipfrutų sulčių, nes didesnis greipfrutų sulčių kiekis gali pakeisti </w:t>
      </w:r>
      <w:proofErr w:type="spellStart"/>
      <w:r w:rsidRPr="005E320F">
        <w:rPr>
          <w:snapToGrid/>
          <w:szCs w:val="22"/>
          <w:lang w:val="lt-LT"/>
        </w:rPr>
        <w:t>Torzelip</w:t>
      </w:r>
      <w:proofErr w:type="spellEnd"/>
      <w:r w:rsidRPr="005E320F">
        <w:rPr>
          <w:snapToGrid/>
          <w:szCs w:val="22"/>
          <w:lang w:val="lt-LT"/>
        </w:rPr>
        <w:t xml:space="preserve"> poveikį.</w:t>
      </w:r>
    </w:p>
    <w:p w14:paraId="20882008" w14:textId="77777777" w:rsidR="006464FF" w:rsidRPr="005E320F" w:rsidRDefault="006464FF" w:rsidP="006464FF">
      <w:pPr>
        <w:numPr>
          <w:ilvl w:val="12"/>
          <w:numId w:val="0"/>
        </w:numPr>
        <w:tabs>
          <w:tab w:val="clear" w:pos="567"/>
        </w:tabs>
        <w:spacing w:line="240" w:lineRule="auto"/>
        <w:ind w:right="-2"/>
        <w:rPr>
          <w:snapToGrid/>
          <w:szCs w:val="22"/>
          <w:lang w:val="lt-LT"/>
        </w:rPr>
      </w:pPr>
    </w:p>
    <w:p w14:paraId="21419033" w14:textId="77777777" w:rsidR="006464FF" w:rsidRPr="005E320F" w:rsidRDefault="006464FF" w:rsidP="007E15ED">
      <w:pPr>
        <w:keepNext/>
        <w:numPr>
          <w:ilvl w:val="12"/>
          <w:numId w:val="0"/>
        </w:numPr>
        <w:tabs>
          <w:tab w:val="clear" w:pos="567"/>
        </w:tabs>
        <w:spacing w:line="240" w:lineRule="auto"/>
        <w:rPr>
          <w:i/>
          <w:snapToGrid/>
          <w:szCs w:val="22"/>
          <w:lang w:val="lt-LT"/>
        </w:rPr>
      </w:pPr>
      <w:r w:rsidRPr="005E320F">
        <w:rPr>
          <w:i/>
          <w:snapToGrid/>
          <w:szCs w:val="22"/>
          <w:lang w:val="lt-LT"/>
        </w:rPr>
        <w:t>Alkoholis</w:t>
      </w:r>
    </w:p>
    <w:p w14:paraId="6B45BE54" w14:textId="36BCE6FF" w:rsidR="006464FF" w:rsidRPr="005E320F" w:rsidRDefault="006464FF" w:rsidP="006464FF">
      <w:pPr>
        <w:numPr>
          <w:ilvl w:val="12"/>
          <w:numId w:val="0"/>
        </w:numPr>
        <w:tabs>
          <w:tab w:val="clear" w:pos="567"/>
        </w:tabs>
        <w:spacing w:line="240" w:lineRule="auto"/>
        <w:ind w:right="-2"/>
        <w:rPr>
          <w:snapToGrid/>
          <w:szCs w:val="22"/>
          <w:lang w:val="lt-LT"/>
        </w:rPr>
      </w:pPr>
      <w:r w:rsidRPr="005E320F">
        <w:rPr>
          <w:snapToGrid/>
          <w:szCs w:val="22"/>
          <w:lang w:val="lt-LT"/>
        </w:rPr>
        <w:t>Vartojant š</w:t>
      </w:r>
      <w:r w:rsidR="007F3DA9" w:rsidRPr="005E320F">
        <w:rPr>
          <w:snapToGrid/>
          <w:szCs w:val="22"/>
          <w:lang w:val="lt-LT"/>
        </w:rPr>
        <w:t>io</w:t>
      </w:r>
      <w:r w:rsidRPr="005E320F">
        <w:rPr>
          <w:snapToGrid/>
          <w:szCs w:val="22"/>
          <w:lang w:val="lt-LT"/>
        </w:rPr>
        <w:t xml:space="preserve"> vaist</w:t>
      </w:r>
      <w:r w:rsidR="007F3DA9" w:rsidRPr="005E320F">
        <w:rPr>
          <w:snapToGrid/>
          <w:szCs w:val="22"/>
          <w:lang w:val="lt-LT"/>
        </w:rPr>
        <w:t>o</w:t>
      </w:r>
      <w:r w:rsidRPr="005E320F">
        <w:rPr>
          <w:snapToGrid/>
          <w:szCs w:val="22"/>
          <w:lang w:val="lt-LT"/>
        </w:rPr>
        <w:t xml:space="preserve">, negalima </w:t>
      </w:r>
      <w:r w:rsidR="007F3DA9" w:rsidRPr="005E320F">
        <w:rPr>
          <w:snapToGrid/>
          <w:szCs w:val="22"/>
          <w:lang w:val="lt-LT"/>
        </w:rPr>
        <w:t>va</w:t>
      </w:r>
      <w:r w:rsidRPr="005E320F">
        <w:rPr>
          <w:snapToGrid/>
          <w:szCs w:val="22"/>
          <w:lang w:val="lt-LT"/>
        </w:rPr>
        <w:t>r</w:t>
      </w:r>
      <w:r w:rsidR="007F3DA9" w:rsidRPr="005E320F">
        <w:rPr>
          <w:snapToGrid/>
          <w:szCs w:val="22"/>
          <w:lang w:val="lt-LT"/>
        </w:rPr>
        <w:t>to</w:t>
      </w:r>
      <w:r w:rsidRPr="005E320F">
        <w:rPr>
          <w:snapToGrid/>
          <w:szCs w:val="22"/>
          <w:lang w:val="lt-LT"/>
        </w:rPr>
        <w:t xml:space="preserve">ti daug alkoholio. </w:t>
      </w:r>
      <w:r w:rsidR="00F94A22" w:rsidRPr="005E320F">
        <w:rPr>
          <w:snapToGrid/>
          <w:szCs w:val="22"/>
          <w:lang w:val="lt-LT"/>
        </w:rPr>
        <w:t>Daugiau informacijos pateikiama</w:t>
      </w:r>
      <w:r w:rsidRPr="005E320F">
        <w:rPr>
          <w:snapToGrid/>
          <w:szCs w:val="22"/>
          <w:lang w:val="lt-LT"/>
        </w:rPr>
        <w:t xml:space="preserve"> 2</w:t>
      </w:r>
      <w:r w:rsidR="001859FA" w:rsidRPr="005E320F">
        <w:rPr>
          <w:snapToGrid/>
          <w:szCs w:val="22"/>
          <w:lang w:val="lt-LT"/>
        </w:rPr>
        <w:t> </w:t>
      </w:r>
      <w:r w:rsidRPr="005E320F">
        <w:rPr>
          <w:snapToGrid/>
          <w:szCs w:val="22"/>
          <w:lang w:val="lt-LT"/>
        </w:rPr>
        <w:t>skyri</w:t>
      </w:r>
      <w:r w:rsidR="007F3DA9" w:rsidRPr="005E320F">
        <w:rPr>
          <w:snapToGrid/>
          <w:szCs w:val="22"/>
          <w:lang w:val="lt-LT"/>
        </w:rPr>
        <w:t>a</w:t>
      </w:r>
      <w:r w:rsidRPr="005E320F">
        <w:rPr>
          <w:snapToGrid/>
          <w:szCs w:val="22"/>
          <w:lang w:val="lt-LT"/>
        </w:rPr>
        <w:t>u</w:t>
      </w:r>
      <w:r w:rsidR="007F3DA9" w:rsidRPr="005E320F">
        <w:rPr>
          <w:snapToGrid/>
          <w:szCs w:val="22"/>
          <w:lang w:val="lt-LT"/>
        </w:rPr>
        <w:t>s poskyry</w:t>
      </w:r>
      <w:r w:rsidRPr="005E320F">
        <w:rPr>
          <w:snapToGrid/>
          <w:szCs w:val="22"/>
          <w:lang w:val="lt-LT"/>
        </w:rPr>
        <w:t>je „Įspėjimai ir atsargumo priemonės</w:t>
      </w:r>
      <w:r w:rsidR="001859FA" w:rsidRPr="005E320F">
        <w:rPr>
          <w:snapToGrid/>
          <w:szCs w:val="22"/>
          <w:lang w:val="lt-LT"/>
        </w:rPr>
        <w:t>“</w:t>
      </w:r>
      <w:r w:rsidRPr="005E320F">
        <w:rPr>
          <w:snapToGrid/>
          <w:szCs w:val="22"/>
          <w:lang w:val="lt-LT"/>
        </w:rPr>
        <w:t>.</w:t>
      </w:r>
    </w:p>
    <w:p w14:paraId="6DA3997E" w14:textId="77777777" w:rsidR="006464FF" w:rsidRPr="005E320F" w:rsidRDefault="006464FF" w:rsidP="006464FF">
      <w:pPr>
        <w:numPr>
          <w:ilvl w:val="12"/>
          <w:numId w:val="0"/>
        </w:numPr>
        <w:tabs>
          <w:tab w:val="clear" w:pos="567"/>
          <w:tab w:val="left" w:pos="1290"/>
        </w:tabs>
        <w:spacing w:line="240" w:lineRule="auto"/>
        <w:ind w:right="-2"/>
        <w:rPr>
          <w:snapToGrid/>
          <w:szCs w:val="22"/>
          <w:lang w:val="lt-LT"/>
        </w:rPr>
      </w:pPr>
    </w:p>
    <w:p w14:paraId="3572A81F" w14:textId="07F6A812" w:rsidR="001065B5" w:rsidRPr="005E320F" w:rsidRDefault="00381B7D" w:rsidP="007E15ED">
      <w:pPr>
        <w:keepNext/>
        <w:widowControl w:val="0"/>
        <w:tabs>
          <w:tab w:val="clear" w:pos="567"/>
        </w:tabs>
        <w:spacing w:line="240" w:lineRule="auto"/>
        <w:rPr>
          <w:color w:val="000000"/>
          <w:szCs w:val="22"/>
          <w:lang w:val="lt-LT"/>
        </w:rPr>
      </w:pPr>
      <w:r w:rsidRPr="005E320F">
        <w:rPr>
          <w:b/>
          <w:snapToGrid/>
          <w:szCs w:val="22"/>
          <w:lang w:val="lt-LT" w:eastAsia="sl-SI"/>
        </w:rPr>
        <w:t>Nėštumas</w:t>
      </w:r>
      <w:r w:rsidR="00932D0E" w:rsidRPr="005E320F">
        <w:rPr>
          <w:b/>
          <w:snapToGrid/>
          <w:szCs w:val="22"/>
          <w:lang w:val="lt-LT" w:eastAsia="sl-SI"/>
        </w:rPr>
        <w:t>,</w:t>
      </w:r>
      <w:r w:rsidRPr="005E320F">
        <w:rPr>
          <w:b/>
          <w:snapToGrid/>
          <w:szCs w:val="22"/>
          <w:lang w:val="lt-LT" w:eastAsia="sl-SI"/>
        </w:rPr>
        <w:t xml:space="preserve"> žindymo laikotarpis</w:t>
      </w:r>
      <w:r w:rsidR="00932D0E" w:rsidRPr="005E320F">
        <w:rPr>
          <w:b/>
          <w:snapToGrid/>
          <w:szCs w:val="22"/>
          <w:lang w:val="lt-LT" w:eastAsia="sl-SI"/>
        </w:rPr>
        <w:t xml:space="preserve"> ir vaisingumas</w:t>
      </w:r>
    </w:p>
    <w:p w14:paraId="0AA87259" w14:textId="77777777" w:rsidR="00932D0E" w:rsidRPr="005E320F" w:rsidRDefault="00932D0E" w:rsidP="00932D0E">
      <w:pPr>
        <w:widowControl w:val="0"/>
        <w:numPr>
          <w:ilvl w:val="12"/>
          <w:numId w:val="0"/>
        </w:numPr>
        <w:spacing w:line="240" w:lineRule="auto"/>
        <w:rPr>
          <w:color w:val="000000"/>
          <w:szCs w:val="22"/>
          <w:lang w:val="lt-LT"/>
        </w:rPr>
      </w:pPr>
      <w:r w:rsidRPr="005E320F">
        <w:rPr>
          <w:color w:val="000000"/>
          <w:szCs w:val="22"/>
          <w:lang w:val="lt-LT"/>
        </w:rPr>
        <w:t xml:space="preserve">Jeigu esate nėščia, </w:t>
      </w:r>
      <w:r w:rsidR="001065B5" w:rsidRPr="005E320F">
        <w:rPr>
          <w:color w:val="000000"/>
          <w:szCs w:val="22"/>
          <w:lang w:val="lt-LT"/>
        </w:rPr>
        <w:t>bandote</w:t>
      </w:r>
      <w:r w:rsidRPr="005E320F">
        <w:rPr>
          <w:color w:val="000000"/>
          <w:szCs w:val="22"/>
          <w:lang w:val="lt-LT"/>
        </w:rPr>
        <w:t xml:space="preserve"> pastoti arba manote, kad galbūt esate nėščia, </w:t>
      </w:r>
      <w:proofErr w:type="spellStart"/>
      <w:r w:rsidRPr="005E320F">
        <w:rPr>
          <w:color w:val="000000"/>
          <w:szCs w:val="22"/>
          <w:lang w:val="lt-LT"/>
        </w:rPr>
        <w:t>Torzelip</w:t>
      </w:r>
      <w:proofErr w:type="spellEnd"/>
      <w:r w:rsidRPr="005E320F">
        <w:rPr>
          <w:color w:val="000000"/>
          <w:szCs w:val="22"/>
          <w:lang w:val="lt-LT"/>
        </w:rPr>
        <w:t xml:space="preserve"> nevartokite.</w:t>
      </w:r>
    </w:p>
    <w:p w14:paraId="7B3785F0" w14:textId="77777777" w:rsidR="00932D0E" w:rsidRPr="005E320F" w:rsidRDefault="00932D0E" w:rsidP="00932D0E">
      <w:pPr>
        <w:widowControl w:val="0"/>
        <w:numPr>
          <w:ilvl w:val="12"/>
          <w:numId w:val="0"/>
        </w:numPr>
        <w:spacing w:line="240" w:lineRule="auto"/>
        <w:rPr>
          <w:color w:val="000000"/>
          <w:szCs w:val="22"/>
          <w:lang w:val="lt-LT"/>
        </w:rPr>
      </w:pPr>
      <w:r w:rsidRPr="005E320F">
        <w:rPr>
          <w:color w:val="000000"/>
          <w:szCs w:val="22"/>
          <w:lang w:val="lt-LT"/>
        </w:rPr>
        <w:t xml:space="preserve">Jeigu Jūs galite pastoti, </w:t>
      </w:r>
      <w:proofErr w:type="spellStart"/>
      <w:r w:rsidRPr="005E320F">
        <w:rPr>
          <w:color w:val="000000"/>
          <w:szCs w:val="22"/>
          <w:lang w:val="lt-LT"/>
        </w:rPr>
        <w:t>Torzelip</w:t>
      </w:r>
      <w:proofErr w:type="spellEnd"/>
      <w:r w:rsidRPr="005E320F">
        <w:rPr>
          <w:color w:val="000000"/>
          <w:szCs w:val="22"/>
          <w:lang w:val="lt-LT"/>
        </w:rPr>
        <w:t xml:space="preserve"> nevartokite, nebent naudojate patikimą kontracepcijos priemonę. Jei vartodama </w:t>
      </w:r>
      <w:proofErr w:type="spellStart"/>
      <w:r w:rsidRPr="005E320F">
        <w:rPr>
          <w:color w:val="000000"/>
          <w:szCs w:val="22"/>
          <w:lang w:val="lt-LT"/>
        </w:rPr>
        <w:t>Torzelip</w:t>
      </w:r>
      <w:proofErr w:type="spellEnd"/>
      <w:r w:rsidRPr="005E320F">
        <w:rPr>
          <w:color w:val="000000"/>
          <w:szCs w:val="22"/>
          <w:lang w:val="lt-LT"/>
        </w:rPr>
        <w:t xml:space="preserve"> pastosite, nedelsdama nutraukite jo vartojimą ir kreipkitės į gydytoją.</w:t>
      </w:r>
    </w:p>
    <w:p w14:paraId="1C1A3E94" w14:textId="77777777" w:rsidR="00932D0E" w:rsidRPr="005E320F" w:rsidRDefault="00932D0E" w:rsidP="00932D0E">
      <w:pPr>
        <w:widowControl w:val="0"/>
        <w:numPr>
          <w:ilvl w:val="12"/>
          <w:numId w:val="0"/>
        </w:numPr>
        <w:spacing w:line="240" w:lineRule="auto"/>
        <w:rPr>
          <w:color w:val="000000"/>
          <w:szCs w:val="22"/>
          <w:lang w:val="lt-LT"/>
        </w:rPr>
      </w:pPr>
    </w:p>
    <w:p w14:paraId="35DF66F1" w14:textId="77777777" w:rsidR="00932D0E" w:rsidRPr="005E320F" w:rsidRDefault="00932D0E" w:rsidP="00932D0E">
      <w:pPr>
        <w:widowControl w:val="0"/>
        <w:numPr>
          <w:ilvl w:val="12"/>
          <w:numId w:val="0"/>
        </w:numPr>
        <w:spacing w:line="240" w:lineRule="auto"/>
        <w:rPr>
          <w:color w:val="000000"/>
          <w:szCs w:val="22"/>
          <w:lang w:val="lt-LT"/>
        </w:rPr>
      </w:pPr>
      <w:r w:rsidRPr="005E320F">
        <w:rPr>
          <w:color w:val="000000"/>
          <w:szCs w:val="22"/>
          <w:lang w:val="lt-LT"/>
        </w:rPr>
        <w:t xml:space="preserve">Jeigu maitinate krūtimi, </w:t>
      </w:r>
      <w:proofErr w:type="spellStart"/>
      <w:r w:rsidRPr="005E320F">
        <w:rPr>
          <w:color w:val="000000"/>
          <w:szCs w:val="22"/>
          <w:lang w:val="lt-LT"/>
        </w:rPr>
        <w:t>Torzelip</w:t>
      </w:r>
      <w:proofErr w:type="spellEnd"/>
      <w:r w:rsidRPr="005E320F">
        <w:rPr>
          <w:color w:val="000000"/>
          <w:szCs w:val="22"/>
          <w:lang w:val="lt-LT"/>
        </w:rPr>
        <w:t xml:space="preserve"> nevartokite.</w:t>
      </w:r>
    </w:p>
    <w:p w14:paraId="567D07B6" w14:textId="77777777" w:rsidR="00932D0E" w:rsidRPr="005E320F" w:rsidRDefault="00932D0E" w:rsidP="00932D0E">
      <w:pPr>
        <w:widowControl w:val="0"/>
        <w:numPr>
          <w:ilvl w:val="12"/>
          <w:numId w:val="0"/>
        </w:numPr>
        <w:spacing w:line="240" w:lineRule="auto"/>
        <w:rPr>
          <w:color w:val="000000"/>
          <w:szCs w:val="22"/>
          <w:lang w:val="lt-LT"/>
        </w:rPr>
      </w:pPr>
    </w:p>
    <w:p w14:paraId="159DBAFE" w14:textId="77777777" w:rsidR="00381B7D" w:rsidRPr="005E320F" w:rsidRDefault="00932D0E" w:rsidP="00932D0E">
      <w:pPr>
        <w:widowControl w:val="0"/>
        <w:numPr>
          <w:ilvl w:val="12"/>
          <w:numId w:val="0"/>
        </w:numPr>
        <w:spacing w:line="240" w:lineRule="auto"/>
        <w:rPr>
          <w:color w:val="000000"/>
          <w:szCs w:val="22"/>
          <w:lang w:val="lt-LT"/>
        </w:rPr>
      </w:pPr>
      <w:r w:rsidRPr="005E320F">
        <w:rPr>
          <w:color w:val="000000"/>
          <w:szCs w:val="22"/>
          <w:lang w:val="lt-LT"/>
        </w:rPr>
        <w:t>Jeigu esate nėščia, žindote kūdikį, manote, kad galbūt esate nėščia, arba planuojate pastoti, tai prieš vartodama šį vaistą, pasitarkite su gydytoju arba vaistininku</w:t>
      </w:r>
      <w:r w:rsidR="00381B7D" w:rsidRPr="005E320F">
        <w:rPr>
          <w:color w:val="000000"/>
          <w:szCs w:val="22"/>
          <w:lang w:val="lt-LT"/>
        </w:rPr>
        <w:t>.</w:t>
      </w:r>
    </w:p>
    <w:p w14:paraId="5F1B6F00" w14:textId="77777777" w:rsidR="00381B7D" w:rsidRPr="005E320F" w:rsidRDefault="00381B7D" w:rsidP="00A31E3A">
      <w:pPr>
        <w:widowControl w:val="0"/>
        <w:tabs>
          <w:tab w:val="clear" w:pos="567"/>
        </w:tabs>
        <w:spacing w:line="240" w:lineRule="auto"/>
        <w:rPr>
          <w:snapToGrid/>
          <w:szCs w:val="22"/>
          <w:lang w:val="lt-LT" w:eastAsia="sl-SI"/>
        </w:rPr>
      </w:pPr>
    </w:p>
    <w:p w14:paraId="3A7E2CD7" w14:textId="77777777" w:rsidR="00381B7D" w:rsidRPr="005E320F" w:rsidRDefault="00381B7D" w:rsidP="007E15ED">
      <w:pPr>
        <w:keepNext/>
        <w:widowControl w:val="0"/>
        <w:tabs>
          <w:tab w:val="clear" w:pos="567"/>
        </w:tabs>
        <w:spacing w:line="240" w:lineRule="auto"/>
        <w:rPr>
          <w:b/>
          <w:snapToGrid/>
          <w:szCs w:val="22"/>
          <w:lang w:val="lt-LT" w:eastAsia="sl-SI"/>
        </w:rPr>
      </w:pPr>
      <w:r w:rsidRPr="005E320F">
        <w:rPr>
          <w:b/>
          <w:snapToGrid/>
          <w:szCs w:val="22"/>
          <w:lang w:val="lt-LT" w:eastAsia="sl-SI"/>
        </w:rPr>
        <w:t>Vairavimas ir mechanizmų valdymas</w:t>
      </w:r>
    </w:p>
    <w:p w14:paraId="158B05C8" w14:textId="6B6DB5EE" w:rsidR="00381B7D" w:rsidRPr="005E320F" w:rsidRDefault="00A345F8" w:rsidP="00A31E3A">
      <w:pPr>
        <w:widowControl w:val="0"/>
        <w:tabs>
          <w:tab w:val="clear" w:pos="567"/>
        </w:tabs>
        <w:spacing w:line="240" w:lineRule="auto"/>
        <w:rPr>
          <w:snapToGrid/>
          <w:szCs w:val="22"/>
          <w:lang w:val="lt-LT" w:eastAsia="sl-SI"/>
        </w:rPr>
      </w:pPr>
      <w:r w:rsidRPr="005E320F">
        <w:rPr>
          <w:snapToGrid/>
          <w:szCs w:val="22"/>
          <w:lang w:val="lt-LT" w:eastAsia="sl-SI"/>
        </w:rPr>
        <w:t xml:space="preserve">Nėra tikėtina, kad </w:t>
      </w:r>
      <w:proofErr w:type="spellStart"/>
      <w:r w:rsidRPr="005E320F">
        <w:rPr>
          <w:snapToGrid/>
          <w:szCs w:val="22"/>
          <w:lang w:val="lt-LT" w:eastAsia="sl-SI"/>
        </w:rPr>
        <w:t>Torzelip</w:t>
      </w:r>
      <w:proofErr w:type="spellEnd"/>
      <w:r w:rsidRPr="005E320F">
        <w:rPr>
          <w:snapToGrid/>
          <w:szCs w:val="22"/>
          <w:lang w:val="lt-LT" w:eastAsia="sl-SI"/>
        </w:rPr>
        <w:t xml:space="preserve"> veiktų gebėjimą vairuoti ar valdyti mechanizmus. Vis dėlto reikia atsižvelgti į tai, kad pavartojus </w:t>
      </w:r>
      <w:proofErr w:type="spellStart"/>
      <w:r w:rsidRPr="005E320F">
        <w:rPr>
          <w:snapToGrid/>
          <w:szCs w:val="22"/>
          <w:lang w:val="lt-LT" w:eastAsia="sl-SI"/>
        </w:rPr>
        <w:t>Torzelip</w:t>
      </w:r>
      <w:proofErr w:type="spellEnd"/>
      <w:r w:rsidRPr="005E320F">
        <w:rPr>
          <w:snapToGrid/>
          <w:szCs w:val="22"/>
          <w:lang w:val="lt-LT" w:eastAsia="sl-SI"/>
        </w:rPr>
        <w:t xml:space="preserve"> kai </w:t>
      </w:r>
      <w:r w:rsidR="001065B5" w:rsidRPr="005E320F">
        <w:rPr>
          <w:snapToGrid/>
          <w:szCs w:val="22"/>
          <w:lang w:val="lt-LT" w:eastAsia="sl-SI"/>
        </w:rPr>
        <w:t>kuriems</w:t>
      </w:r>
      <w:r w:rsidRPr="005E320F">
        <w:rPr>
          <w:snapToGrid/>
          <w:szCs w:val="22"/>
          <w:lang w:val="lt-LT" w:eastAsia="sl-SI"/>
        </w:rPr>
        <w:t xml:space="preserve"> žmonėms gali pa</w:t>
      </w:r>
      <w:r w:rsidR="007D6298" w:rsidRPr="005E320F">
        <w:rPr>
          <w:snapToGrid/>
          <w:szCs w:val="22"/>
          <w:lang w:val="lt-LT" w:eastAsia="sl-SI"/>
        </w:rPr>
        <w:t>sireikš</w:t>
      </w:r>
      <w:r w:rsidRPr="005E320F">
        <w:rPr>
          <w:snapToGrid/>
          <w:szCs w:val="22"/>
          <w:lang w:val="lt-LT" w:eastAsia="sl-SI"/>
        </w:rPr>
        <w:t>ti svaig</w:t>
      </w:r>
      <w:r w:rsidR="007D6298" w:rsidRPr="005E320F">
        <w:rPr>
          <w:snapToGrid/>
          <w:szCs w:val="22"/>
          <w:lang w:val="lt-LT" w:eastAsia="sl-SI"/>
        </w:rPr>
        <w:t>u</w:t>
      </w:r>
      <w:r w:rsidRPr="005E320F">
        <w:rPr>
          <w:snapToGrid/>
          <w:szCs w:val="22"/>
          <w:lang w:val="lt-LT" w:eastAsia="sl-SI"/>
        </w:rPr>
        <w:t>l</w:t>
      </w:r>
      <w:r w:rsidR="007D6298" w:rsidRPr="005E320F">
        <w:rPr>
          <w:snapToGrid/>
          <w:szCs w:val="22"/>
          <w:lang w:val="lt-LT" w:eastAsia="sl-SI"/>
        </w:rPr>
        <w:t>ys</w:t>
      </w:r>
      <w:r w:rsidRPr="005E320F">
        <w:rPr>
          <w:snapToGrid/>
          <w:szCs w:val="22"/>
          <w:lang w:val="lt-LT" w:eastAsia="sl-SI"/>
        </w:rPr>
        <w:t>. Jei po šio vaisto pavartojimo jaučiat</w:t>
      </w:r>
      <w:r w:rsidR="007D6298" w:rsidRPr="005E320F">
        <w:rPr>
          <w:snapToGrid/>
          <w:szCs w:val="22"/>
          <w:lang w:val="lt-LT" w:eastAsia="sl-SI"/>
        </w:rPr>
        <w:t>ės</w:t>
      </w:r>
      <w:r w:rsidRPr="005E320F">
        <w:rPr>
          <w:snapToGrid/>
          <w:szCs w:val="22"/>
          <w:lang w:val="lt-LT" w:eastAsia="sl-SI"/>
        </w:rPr>
        <w:t xml:space="preserve"> </w:t>
      </w:r>
      <w:r w:rsidR="007D6298" w:rsidRPr="005E320F">
        <w:rPr>
          <w:snapToGrid/>
          <w:szCs w:val="22"/>
          <w:lang w:val="lt-LT" w:eastAsia="sl-SI"/>
        </w:rPr>
        <w:t>ap</w:t>
      </w:r>
      <w:r w:rsidRPr="005E320F">
        <w:rPr>
          <w:snapToGrid/>
          <w:szCs w:val="22"/>
          <w:lang w:val="lt-LT" w:eastAsia="sl-SI"/>
        </w:rPr>
        <w:t>svaig</w:t>
      </w:r>
      <w:r w:rsidR="007D6298" w:rsidRPr="005E320F">
        <w:rPr>
          <w:snapToGrid/>
          <w:szCs w:val="22"/>
          <w:lang w:val="lt-LT" w:eastAsia="sl-SI"/>
        </w:rPr>
        <w:t>ęs</w:t>
      </w:r>
      <w:r w:rsidRPr="005E320F">
        <w:rPr>
          <w:snapToGrid/>
          <w:szCs w:val="22"/>
          <w:lang w:val="lt-LT" w:eastAsia="sl-SI"/>
        </w:rPr>
        <w:t>, nevairuokite ir nevaldykite mechanizmų.</w:t>
      </w:r>
    </w:p>
    <w:p w14:paraId="11697CB0" w14:textId="77777777" w:rsidR="00381B7D" w:rsidRPr="005E320F" w:rsidRDefault="00381B7D" w:rsidP="00A31E3A">
      <w:pPr>
        <w:widowControl w:val="0"/>
        <w:tabs>
          <w:tab w:val="clear" w:pos="567"/>
        </w:tabs>
        <w:spacing w:line="240" w:lineRule="auto"/>
        <w:rPr>
          <w:snapToGrid/>
          <w:szCs w:val="22"/>
          <w:lang w:val="lt-LT" w:eastAsia="sl-SI"/>
        </w:rPr>
      </w:pPr>
    </w:p>
    <w:p w14:paraId="16E113CD" w14:textId="591BBE2E" w:rsidR="00381B7D" w:rsidRPr="005E320F" w:rsidRDefault="004373BE" w:rsidP="007E15ED">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00381B7D" w:rsidRPr="005E320F">
        <w:rPr>
          <w:b/>
          <w:snapToGrid/>
          <w:szCs w:val="22"/>
          <w:lang w:val="lt-LT" w:eastAsia="sl-SI"/>
        </w:rPr>
        <w:t xml:space="preserve"> sudėtyje yra laktozės</w:t>
      </w:r>
      <w:r w:rsidR="00E752DB" w:rsidRPr="005E320F">
        <w:rPr>
          <w:b/>
          <w:snapToGrid/>
          <w:szCs w:val="22"/>
          <w:lang w:val="lt-LT" w:eastAsia="sl-SI"/>
        </w:rPr>
        <w:t xml:space="preserve"> ir natrio</w:t>
      </w:r>
    </w:p>
    <w:p w14:paraId="53C16B39" w14:textId="77777777" w:rsidR="00381B7D" w:rsidRPr="005E320F" w:rsidRDefault="00381B7D" w:rsidP="00A31E3A">
      <w:pPr>
        <w:widowControl w:val="0"/>
        <w:numPr>
          <w:ilvl w:val="12"/>
          <w:numId w:val="0"/>
        </w:numPr>
        <w:spacing w:line="240" w:lineRule="auto"/>
        <w:ind w:right="-2"/>
        <w:outlineLvl w:val="0"/>
        <w:rPr>
          <w:szCs w:val="22"/>
          <w:lang w:val="lt-LT"/>
        </w:rPr>
      </w:pPr>
      <w:r w:rsidRPr="005E320F">
        <w:rPr>
          <w:szCs w:val="22"/>
          <w:lang w:val="lt-LT"/>
        </w:rPr>
        <w:t>Jeigu gydytojas Jums yra sakęs, kad netoleruojate kokių nors angliavandenių, kreipkitės į jį prieš pradėdami vartoti šį vaistą.</w:t>
      </w:r>
    </w:p>
    <w:p w14:paraId="3E3B5C0C" w14:textId="77777777" w:rsidR="00381B7D" w:rsidRPr="005E320F" w:rsidRDefault="00381B7D" w:rsidP="00A31E3A">
      <w:pPr>
        <w:widowControl w:val="0"/>
        <w:numPr>
          <w:ilvl w:val="12"/>
          <w:numId w:val="0"/>
        </w:numPr>
        <w:spacing w:line="240" w:lineRule="auto"/>
        <w:ind w:right="-2"/>
        <w:rPr>
          <w:szCs w:val="22"/>
          <w:lang w:val="lt-LT"/>
        </w:rPr>
      </w:pPr>
    </w:p>
    <w:p w14:paraId="70A0340A" w14:textId="5F949451" w:rsidR="00A345F8" w:rsidRPr="005E320F" w:rsidRDefault="00E752DB" w:rsidP="00A345F8">
      <w:pPr>
        <w:widowControl w:val="0"/>
        <w:numPr>
          <w:ilvl w:val="12"/>
          <w:numId w:val="0"/>
        </w:numPr>
        <w:spacing w:line="240" w:lineRule="auto"/>
        <w:ind w:right="-2"/>
        <w:outlineLvl w:val="0"/>
        <w:rPr>
          <w:szCs w:val="22"/>
          <w:lang w:val="lt-LT"/>
        </w:rPr>
      </w:pPr>
      <w:r w:rsidRPr="005E320F">
        <w:rPr>
          <w:bCs/>
          <w:snapToGrid/>
          <w:szCs w:val="22"/>
          <w:lang w:val="lt-LT" w:eastAsia="sl-SI"/>
        </w:rPr>
        <w:t>Šio vaisto</w:t>
      </w:r>
      <w:r w:rsidR="00A345F8" w:rsidRPr="005E320F">
        <w:rPr>
          <w:szCs w:val="22"/>
          <w:lang w:val="lt-LT"/>
        </w:rPr>
        <w:t xml:space="preserve"> tabletėje yra mažiau kaip 1 </w:t>
      </w:r>
      <w:proofErr w:type="spellStart"/>
      <w:r w:rsidR="00A345F8" w:rsidRPr="005E320F">
        <w:rPr>
          <w:szCs w:val="22"/>
          <w:lang w:val="lt-LT"/>
        </w:rPr>
        <w:t>mmol</w:t>
      </w:r>
      <w:proofErr w:type="spellEnd"/>
      <w:r w:rsidR="00A345F8" w:rsidRPr="005E320F">
        <w:rPr>
          <w:szCs w:val="22"/>
          <w:lang w:val="lt-LT"/>
        </w:rPr>
        <w:t xml:space="preserve"> (23</w:t>
      </w:r>
      <w:r w:rsidR="00DB52C7" w:rsidRPr="005E320F">
        <w:rPr>
          <w:szCs w:val="22"/>
          <w:lang w:val="lt-LT"/>
        </w:rPr>
        <w:t> mg</w:t>
      </w:r>
      <w:r w:rsidR="00A345F8" w:rsidRPr="005E320F">
        <w:rPr>
          <w:szCs w:val="22"/>
          <w:lang w:val="lt-LT"/>
        </w:rPr>
        <w:t>) natrio, t.</w:t>
      </w:r>
      <w:r w:rsidR="007F3DA9" w:rsidRPr="005E320F">
        <w:rPr>
          <w:szCs w:val="22"/>
          <w:lang w:val="lt-LT"/>
        </w:rPr>
        <w:t> </w:t>
      </w:r>
      <w:r w:rsidR="00A345F8" w:rsidRPr="005E320F">
        <w:rPr>
          <w:szCs w:val="22"/>
          <w:lang w:val="lt-LT"/>
        </w:rPr>
        <w:t>y. jis beveik neturi reikšmės.</w:t>
      </w:r>
    </w:p>
    <w:p w14:paraId="4CF95FA4" w14:textId="77777777" w:rsidR="00381B7D" w:rsidRPr="005E320F" w:rsidRDefault="00381B7D" w:rsidP="00A31E3A">
      <w:pPr>
        <w:widowControl w:val="0"/>
        <w:tabs>
          <w:tab w:val="clear" w:pos="567"/>
        </w:tabs>
        <w:spacing w:line="240" w:lineRule="auto"/>
        <w:rPr>
          <w:snapToGrid/>
          <w:szCs w:val="22"/>
          <w:lang w:val="lt-LT" w:eastAsia="sl-SI"/>
        </w:rPr>
      </w:pPr>
    </w:p>
    <w:p w14:paraId="15D6E1BC" w14:textId="77777777" w:rsidR="00A345F8" w:rsidRPr="005E320F" w:rsidRDefault="00A345F8" w:rsidP="00A31E3A">
      <w:pPr>
        <w:widowControl w:val="0"/>
        <w:tabs>
          <w:tab w:val="clear" w:pos="567"/>
        </w:tabs>
        <w:spacing w:line="240" w:lineRule="auto"/>
        <w:rPr>
          <w:snapToGrid/>
          <w:szCs w:val="22"/>
          <w:lang w:val="lt-LT" w:eastAsia="sl-SI"/>
        </w:rPr>
      </w:pPr>
    </w:p>
    <w:p w14:paraId="6F9EA3E3"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3.</w:t>
      </w:r>
      <w:r w:rsidRPr="005E320F">
        <w:rPr>
          <w:b/>
          <w:snapToGrid/>
          <w:szCs w:val="22"/>
          <w:lang w:val="lt-LT" w:eastAsia="sl-SI"/>
        </w:rPr>
        <w:tab/>
        <w:t xml:space="preserve">Kaip vartoti </w:t>
      </w:r>
      <w:proofErr w:type="spellStart"/>
      <w:r w:rsidR="004373BE" w:rsidRPr="005E320F">
        <w:rPr>
          <w:b/>
          <w:snapToGrid/>
          <w:szCs w:val="22"/>
          <w:lang w:val="lt-LT" w:eastAsia="sl-SI"/>
        </w:rPr>
        <w:t>Torzelip</w:t>
      </w:r>
      <w:proofErr w:type="spellEnd"/>
    </w:p>
    <w:p w14:paraId="34023D51" w14:textId="77777777" w:rsidR="00381B7D" w:rsidRPr="005E320F" w:rsidRDefault="00381B7D" w:rsidP="007E15ED">
      <w:pPr>
        <w:keepNext/>
        <w:widowControl w:val="0"/>
        <w:tabs>
          <w:tab w:val="clear" w:pos="567"/>
        </w:tabs>
        <w:spacing w:line="240" w:lineRule="auto"/>
        <w:rPr>
          <w:snapToGrid/>
          <w:szCs w:val="22"/>
          <w:lang w:val="lt-LT" w:eastAsia="sl-SI"/>
        </w:rPr>
      </w:pPr>
    </w:p>
    <w:p w14:paraId="54F71E06" w14:textId="19300666"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 xml:space="preserve">Visada vartokite šį vaistą tiksliai kaip nurodė gydytojas. </w:t>
      </w:r>
      <w:r w:rsidR="004A1088" w:rsidRPr="005E320F">
        <w:rPr>
          <w:snapToGrid/>
          <w:szCs w:val="22"/>
          <w:lang w:val="lt-LT" w:eastAsia="sl-SI"/>
        </w:rPr>
        <w:t>Gydytojas, atsižvelgdamas į Jums taikomą gydymą ir individualią riziką, nusp</w:t>
      </w:r>
      <w:r w:rsidR="0022174F" w:rsidRPr="005E320F">
        <w:rPr>
          <w:snapToGrid/>
          <w:szCs w:val="22"/>
          <w:lang w:val="lt-LT" w:eastAsia="sl-SI"/>
        </w:rPr>
        <w:t>r</w:t>
      </w:r>
      <w:r w:rsidR="004A1088" w:rsidRPr="005E320F">
        <w:rPr>
          <w:snapToGrid/>
          <w:szCs w:val="22"/>
          <w:lang w:val="lt-LT" w:eastAsia="sl-SI"/>
        </w:rPr>
        <w:t xml:space="preserve">ęs, kokio stiprumo tabletė Jums tinka. </w:t>
      </w:r>
      <w:r w:rsidRPr="005E320F">
        <w:rPr>
          <w:snapToGrid/>
          <w:szCs w:val="22"/>
          <w:lang w:val="lt-LT" w:eastAsia="sl-SI"/>
        </w:rPr>
        <w:t>Jeigu abejojate, kreipkitės į gydytoją arba vaistininką.</w:t>
      </w:r>
    </w:p>
    <w:p w14:paraId="27479E9A" w14:textId="77777777" w:rsidR="00381B7D" w:rsidRPr="005E320F" w:rsidRDefault="00381B7D" w:rsidP="00A31E3A">
      <w:pPr>
        <w:widowControl w:val="0"/>
        <w:tabs>
          <w:tab w:val="clear" w:pos="567"/>
        </w:tabs>
        <w:spacing w:line="240" w:lineRule="auto"/>
        <w:rPr>
          <w:snapToGrid/>
          <w:szCs w:val="22"/>
          <w:lang w:val="lt-LT" w:eastAsia="sl-SI"/>
        </w:rPr>
      </w:pPr>
    </w:p>
    <w:p w14:paraId="019C4C4C" w14:textId="77777777" w:rsidR="00381B7D" w:rsidRPr="005E320F" w:rsidRDefault="00381B7D" w:rsidP="004A1088">
      <w:pPr>
        <w:widowControl w:val="0"/>
        <w:numPr>
          <w:ilvl w:val="0"/>
          <w:numId w:val="27"/>
        </w:numPr>
        <w:spacing w:line="240" w:lineRule="auto"/>
        <w:ind w:left="567" w:right="-2" w:hanging="567"/>
        <w:rPr>
          <w:snapToGrid/>
          <w:szCs w:val="22"/>
          <w:lang w:val="lt-LT"/>
        </w:rPr>
      </w:pPr>
      <w:r w:rsidRPr="005E320F">
        <w:rPr>
          <w:snapToGrid/>
          <w:szCs w:val="22"/>
          <w:lang w:val="lt-LT"/>
        </w:rPr>
        <w:t xml:space="preserve">Prieš pradėdami vartoti </w:t>
      </w:r>
      <w:proofErr w:type="spellStart"/>
      <w:r w:rsidR="004373BE" w:rsidRPr="005E320F">
        <w:rPr>
          <w:snapToGrid/>
          <w:szCs w:val="22"/>
          <w:lang w:val="lt-LT"/>
        </w:rPr>
        <w:t>Torzelip</w:t>
      </w:r>
      <w:proofErr w:type="spellEnd"/>
      <w:r w:rsidRPr="005E320F">
        <w:rPr>
          <w:snapToGrid/>
          <w:szCs w:val="22"/>
          <w:lang w:val="lt-LT"/>
        </w:rPr>
        <w:t>, turite laikytis cholesterolio kiekį mažinančios dietos.</w:t>
      </w:r>
    </w:p>
    <w:p w14:paraId="6427A49F" w14:textId="77777777" w:rsidR="00381B7D" w:rsidRPr="005E320F" w:rsidRDefault="00381B7D" w:rsidP="004A1088">
      <w:pPr>
        <w:widowControl w:val="0"/>
        <w:numPr>
          <w:ilvl w:val="0"/>
          <w:numId w:val="27"/>
        </w:numPr>
        <w:spacing w:line="240" w:lineRule="auto"/>
        <w:ind w:left="567" w:right="-2" w:hanging="567"/>
        <w:rPr>
          <w:snapToGrid/>
          <w:szCs w:val="22"/>
          <w:lang w:val="lt-LT"/>
        </w:rPr>
      </w:pPr>
      <w:r w:rsidRPr="005E320F">
        <w:rPr>
          <w:snapToGrid/>
          <w:szCs w:val="22"/>
          <w:lang w:val="lt-LT"/>
        </w:rPr>
        <w:t xml:space="preserve">Vartodami </w:t>
      </w:r>
      <w:proofErr w:type="spellStart"/>
      <w:r w:rsidR="004373BE" w:rsidRPr="005E320F">
        <w:rPr>
          <w:snapToGrid/>
          <w:szCs w:val="22"/>
          <w:lang w:val="lt-LT"/>
        </w:rPr>
        <w:t>Torzelip</w:t>
      </w:r>
      <w:proofErr w:type="spellEnd"/>
      <w:r w:rsidRPr="005E320F">
        <w:rPr>
          <w:snapToGrid/>
          <w:szCs w:val="22"/>
          <w:lang w:val="lt-LT"/>
        </w:rPr>
        <w:t xml:space="preserve"> turite toliau laikytis cholesterolio kiekį mažinančios dietos.</w:t>
      </w:r>
    </w:p>
    <w:p w14:paraId="5FE35DA0" w14:textId="77777777" w:rsidR="00381B7D" w:rsidRPr="005E320F" w:rsidRDefault="00381B7D" w:rsidP="00A31E3A">
      <w:pPr>
        <w:widowControl w:val="0"/>
        <w:numPr>
          <w:ilvl w:val="12"/>
          <w:numId w:val="0"/>
        </w:numPr>
        <w:spacing w:line="240" w:lineRule="auto"/>
        <w:ind w:right="-2"/>
        <w:rPr>
          <w:snapToGrid/>
          <w:szCs w:val="22"/>
          <w:lang w:val="lt-LT"/>
        </w:rPr>
      </w:pPr>
    </w:p>
    <w:p w14:paraId="308B9DB7" w14:textId="77777777" w:rsidR="004A1088" w:rsidRPr="005E320F" w:rsidRDefault="004A1088" w:rsidP="007E15ED">
      <w:pPr>
        <w:keepNext/>
        <w:widowControl w:val="0"/>
        <w:tabs>
          <w:tab w:val="clear" w:pos="567"/>
        </w:tabs>
        <w:spacing w:line="240" w:lineRule="auto"/>
        <w:rPr>
          <w:i/>
          <w:snapToGrid/>
          <w:szCs w:val="22"/>
          <w:lang w:val="lt-LT" w:eastAsia="sl-SI"/>
        </w:rPr>
      </w:pPr>
      <w:r w:rsidRPr="005E320F">
        <w:rPr>
          <w:i/>
          <w:snapToGrid/>
          <w:szCs w:val="22"/>
          <w:lang w:val="lt-LT" w:eastAsia="sl-SI"/>
        </w:rPr>
        <w:t>Kokią dozę vartoti</w:t>
      </w:r>
    </w:p>
    <w:p w14:paraId="772E401B" w14:textId="21577989" w:rsidR="00381B7D" w:rsidRPr="005E320F" w:rsidRDefault="00381B7D" w:rsidP="00A31E3A">
      <w:pPr>
        <w:widowControl w:val="0"/>
        <w:tabs>
          <w:tab w:val="clear" w:pos="567"/>
        </w:tabs>
        <w:spacing w:line="240" w:lineRule="auto"/>
        <w:rPr>
          <w:snapToGrid/>
          <w:szCs w:val="22"/>
          <w:lang w:val="lt-LT"/>
        </w:rPr>
      </w:pPr>
      <w:r w:rsidRPr="005E320F">
        <w:rPr>
          <w:snapToGrid/>
          <w:szCs w:val="22"/>
          <w:lang w:val="lt-LT" w:eastAsia="sl-SI"/>
        </w:rPr>
        <w:t xml:space="preserve">Rekomenduojama </w:t>
      </w:r>
      <w:proofErr w:type="spellStart"/>
      <w:r w:rsidR="004373BE" w:rsidRPr="005E320F">
        <w:rPr>
          <w:snapToGrid/>
          <w:szCs w:val="22"/>
          <w:lang w:val="lt-LT"/>
        </w:rPr>
        <w:t>Torzelip</w:t>
      </w:r>
      <w:proofErr w:type="spellEnd"/>
      <w:r w:rsidRPr="005E320F">
        <w:rPr>
          <w:snapToGrid/>
          <w:szCs w:val="22"/>
          <w:lang w:val="lt-LT" w:eastAsia="sl-SI"/>
        </w:rPr>
        <w:t xml:space="preserve"> dozė yra viena</w:t>
      </w:r>
      <w:r w:rsidR="007F3DA9" w:rsidRPr="005E320F">
        <w:rPr>
          <w:snapToGrid/>
          <w:szCs w:val="22"/>
          <w:lang w:val="lt-LT" w:eastAsia="sl-SI"/>
        </w:rPr>
        <w:t> </w:t>
      </w:r>
      <w:r w:rsidRPr="005E320F">
        <w:rPr>
          <w:snapToGrid/>
          <w:szCs w:val="22"/>
          <w:lang w:val="lt-LT" w:eastAsia="sl-SI"/>
        </w:rPr>
        <w:t>tabletė, ji vartojama kartą per</w:t>
      </w:r>
      <w:r w:rsidR="007F3DA9" w:rsidRPr="005E320F">
        <w:rPr>
          <w:snapToGrid/>
          <w:szCs w:val="22"/>
          <w:lang w:val="lt-LT" w:eastAsia="sl-SI"/>
        </w:rPr>
        <w:t> </w:t>
      </w:r>
      <w:r w:rsidRPr="005E320F">
        <w:rPr>
          <w:snapToGrid/>
          <w:szCs w:val="22"/>
          <w:lang w:val="lt-LT" w:eastAsia="sl-SI"/>
        </w:rPr>
        <w:t>parą</w:t>
      </w:r>
      <w:r w:rsidR="004A1088" w:rsidRPr="005E320F">
        <w:rPr>
          <w:snapToGrid/>
          <w:szCs w:val="22"/>
          <w:lang w:val="lt-LT" w:eastAsia="sl-SI"/>
        </w:rPr>
        <w:t xml:space="preserve">, geriausia – kasdien tuo pat metu. </w:t>
      </w:r>
      <w:r w:rsidRPr="005E320F">
        <w:rPr>
          <w:snapToGrid/>
          <w:szCs w:val="22"/>
          <w:lang w:val="lt-LT"/>
        </w:rPr>
        <w:t xml:space="preserve">Tabletę reikia nuryti </w:t>
      </w:r>
      <w:r w:rsidR="004A1088" w:rsidRPr="005E320F">
        <w:rPr>
          <w:snapToGrid/>
          <w:szCs w:val="22"/>
          <w:lang w:val="lt-LT"/>
        </w:rPr>
        <w:t>užgeriant pakankamu kiekiu skysčio (pvz., viena stikline vandens)</w:t>
      </w:r>
      <w:r w:rsidRPr="005E320F">
        <w:rPr>
          <w:snapToGrid/>
          <w:szCs w:val="22"/>
          <w:lang w:val="lt-LT"/>
        </w:rPr>
        <w:t>.</w:t>
      </w:r>
    </w:p>
    <w:p w14:paraId="445E48B7" w14:textId="77777777" w:rsidR="00381B7D" w:rsidRPr="005E320F" w:rsidRDefault="00381B7D" w:rsidP="00A31E3A">
      <w:pPr>
        <w:widowControl w:val="0"/>
        <w:numPr>
          <w:ilvl w:val="12"/>
          <w:numId w:val="0"/>
        </w:numPr>
        <w:spacing w:line="240" w:lineRule="auto"/>
        <w:ind w:right="-2"/>
        <w:rPr>
          <w:snapToGrid/>
          <w:szCs w:val="22"/>
          <w:lang w:val="lt-LT"/>
        </w:rPr>
      </w:pPr>
    </w:p>
    <w:p w14:paraId="70186686" w14:textId="77777777" w:rsidR="004A1088" w:rsidRPr="005E320F" w:rsidRDefault="004A1088" w:rsidP="007E15ED">
      <w:pPr>
        <w:keepNext/>
        <w:widowControl w:val="0"/>
        <w:numPr>
          <w:ilvl w:val="12"/>
          <w:numId w:val="0"/>
        </w:numPr>
        <w:spacing w:line="240" w:lineRule="auto"/>
        <w:rPr>
          <w:i/>
          <w:snapToGrid/>
          <w:szCs w:val="22"/>
          <w:lang w:val="lt-LT"/>
        </w:rPr>
      </w:pPr>
      <w:r w:rsidRPr="005E320F">
        <w:rPr>
          <w:i/>
          <w:snapToGrid/>
          <w:szCs w:val="22"/>
          <w:lang w:val="lt-LT"/>
        </w:rPr>
        <w:t>Kada vartoti</w:t>
      </w:r>
    </w:p>
    <w:p w14:paraId="73221EE8" w14:textId="77777777" w:rsidR="004A1088" w:rsidRPr="005E320F" w:rsidRDefault="004A1088" w:rsidP="004A1088">
      <w:pPr>
        <w:widowControl w:val="0"/>
        <w:numPr>
          <w:ilvl w:val="12"/>
          <w:numId w:val="0"/>
        </w:numPr>
        <w:spacing w:line="240" w:lineRule="auto"/>
        <w:ind w:right="-2"/>
        <w:rPr>
          <w:snapToGrid/>
          <w:szCs w:val="22"/>
          <w:lang w:val="lt-LT"/>
        </w:rPr>
      </w:pPr>
      <w:proofErr w:type="spellStart"/>
      <w:r w:rsidRPr="005E320F">
        <w:rPr>
          <w:snapToGrid/>
          <w:szCs w:val="22"/>
          <w:lang w:val="lt-LT"/>
        </w:rPr>
        <w:t>Torzelip</w:t>
      </w:r>
      <w:proofErr w:type="spellEnd"/>
      <w:r w:rsidRPr="005E320F">
        <w:rPr>
          <w:snapToGrid/>
          <w:szCs w:val="22"/>
          <w:lang w:val="lt-LT"/>
        </w:rPr>
        <w:t xml:space="preserve"> </w:t>
      </w:r>
      <w:r w:rsidR="00B33C3A" w:rsidRPr="005E320F">
        <w:rPr>
          <w:snapToGrid/>
          <w:szCs w:val="22"/>
          <w:lang w:val="lt-LT"/>
        </w:rPr>
        <w:t>galima vartoti bet kuriuo paros metu</w:t>
      </w:r>
      <w:r w:rsidRPr="005E320F">
        <w:rPr>
          <w:snapToGrid/>
          <w:szCs w:val="22"/>
          <w:lang w:val="lt-LT"/>
        </w:rPr>
        <w:t xml:space="preserve">. </w:t>
      </w:r>
      <w:r w:rsidR="00B33C3A" w:rsidRPr="005E320F">
        <w:rPr>
          <w:snapToGrid/>
          <w:szCs w:val="22"/>
          <w:lang w:val="lt-LT"/>
        </w:rPr>
        <w:t>Tabletę galima nuryti valgant arba nevalgant</w:t>
      </w:r>
      <w:r w:rsidRPr="005E320F">
        <w:rPr>
          <w:snapToGrid/>
          <w:szCs w:val="22"/>
          <w:lang w:val="lt-LT"/>
        </w:rPr>
        <w:t>.</w:t>
      </w:r>
    </w:p>
    <w:p w14:paraId="7F08B0C6" w14:textId="77777777" w:rsidR="004A1088" w:rsidRPr="005E320F" w:rsidRDefault="004A1088" w:rsidP="004A1088">
      <w:pPr>
        <w:widowControl w:val="0"/>
        <w:numPr>
          <w:ilvl w:val="12"/>
          <w:numId w:val="0"/>
        </w:numPr>
        <w:spacing w:line="240" w:lineRule="auto"/>
        <w:ind w:right="-2"/>
        <w:rPr>
          <w:snapToGrid/>
          <w:szCs w:val="22"/>
          <w:lang w:val="lt-LT"/>
        </w:rPr>
      </w:pPr>
    </w:p>
    <w:p w14:paraId="0B729DEF" w14:textId="77777777" w:rsidR="004A1088" w:rsidRPr="005E320F" w:rsidRDefault="00B33C3A" w:rsidP="004A1088">
      <w:pPr>
        <w:widowControl w:val="0"/>
        <w:numPr>
          <w:ilvl w:val="12"/>
          <w:numId w:val="0"/>
        </w:numPr>
        <w:spacing w:line="240" w:lineRule="auto"/>
        <w:ind w:right="-2"/>
        <w:rPr>
          <w:snapToGrid/>
          <w:szCs w:val="22"/>
          <w:lang w:val="lt-LT"/>
        </w:rPr>
      </w:pPr>
      <w:r w:rsidRPr="005E320F">
        <w:rPr>
          <w:szCs w:val="22"/>
          <w:lang w:val="lt-LT"/>
        </w:rPr>
        <w:t xml:space="preserve">Jei gydytojas </w:t>
      </w:r>
      <w:proofErr w:type="spellStart"/>
      <w:r w:rsidR="00B411D5" w:rsidRPr="005E320F">
        <w:rPr>
          <w:snapToGrid/>
          <w:szCs w:val="22"/>
          <w:lang w:val="lt-LT"/>
        </w:rPr>
        <w:t>Torzelip</w:t>
      </w:r>
      <w:proofErr w:type="spellEnd"/>
      <w:r w:rsidR="00B411D5" w:rsidRPr="005E320F">
        <w:rPr>
          <w:snapToGrid/>
          <w:szCs w:val="22"/>
          <w:lang w:val="lt-LT"/>
        </w:rPr>
        <w:t xml:space="preserve"> </w:t>
      </w:r>
      <w:r w:rsidRPr="005E320F">
        <w:rPr>
          <w:szCs w:val="22"/>
          <w:lang w:val="lt-LT"/>
        </w:rPr>
        <w:t xml:space="preserve">skyrė vartoti kartu su </w:t>
      </w:r>
      <w:proofErr w:type="spellStart"/>
      <w:r w:rsidRPr="005E320F">
        <w:rPr>
          <w:szCs w:val="22"/>
          <w:lang w:val="lt-LT"/>
        </w:rPr>
        <w:t>kolestiraminu</w:t>
      </w:r>
      <w:proofErr w:type="spellEnd"/>
      <w:r w:rsidRPr="005E320F">
        <w:rPr>
          <w:szCs w:val="22"/>
          <w:lang w:val="lt-LT"/>
        </w:rPr>
        <w:t xml:space="preserve"> ar kitokia </w:t>
      </w:r>
      <w:r w:rsidRPr="005E320F">
        <w:rPr>
          <w:snapToGrid/>
          <w:szCs w:val="22"/>
          <w:lang w:val="lt-LT"/>
        </w:rPr>
        <w:t xml:space="preserve">tulžies rūgštis surišančia medžiaga (vaistu cholesterolio </w:t>
      </w:r>
      <w:r w:rsidR="008F3DDC" w:rsidRPr="005E320F">
        <w:rPr>
          <w:snapToGrid/>
          <w:szCs w:val="22"/>
          <w:lang w:val="lt-LT"/>
        </w:rPr>
        <w:t>kiekiui</w:t>
      </w:r>
      <w:r w:rsidRPr="005E320F">
        <w:rPr>
          <w:snapToGrid/>
          <w:szCs w:val="22"/>
          <w:lang w:val="lt-LT"/>
        </w:rPr>
        <w:t xml:space="preserve"> mažinti), </w:t>
      </w:r>
      <w:proofErr w:type="spellStart"/>
      <w:r w:rsidRPr="005E320F">
        <w:rPr>
          <w:snapToGrid/>
          <w:szCs w:val="22"/>
          <w:lang w:val="lt-LT"/>
        </w:rPr>
        <w:t>Torzelip</w:t>
      </w:r>
      <w:proofErr w:type="spellEnd"/>
      <w:r w:rsidRPr="005E320F">
        <w:rPr>
          <w:snapToGrid/>
          <w:szCs w:val="22"/>
          <w:lang w:val="lt-LT"/>
        </w:rPr>
        <w:t xml:space="preserve"> reikia ge</w:t>
      </w:r>
      <w:r w:rsidR="008F3DDC" w:rsidRPr="005E320F">
        <w:rPr>
          <w:snapToGrid/>
          <w:szCs w:val="22"/>
          <w:lang w:val="lt-LT"/>
        </w:rPr>
        <w:t xml:space="preserve">rti arba likus ne mažiau kaip </w:t>
      </w:r>
      <w:r w:rsidR="008F3DDC" w:rsidRPr="005E320F">
        <w:rPr>
          <w:snapToGrid/>
          <w:szCs w:val="22"/>
          <w:lang w:val="lt-LT"/>
        </w:rPr>
        <w:lastRenderedPageBreak/>
        <w:t>2 </w:t>
      </w:r>
      <w:r w:rsidRPr="005E320F">
        <w:rPr>
          <w:snapToGrid/>
          <w:szCs w:val="22"/>
          <w:lang w:val="lt-LT"/>
        </w:rPr>
        <w:t>valandoms iki tulžies rūgštis surišančios medžiagos vartojimo, arba po jo var</w:t>
      </w:r>
      <w:r w:rsidR="008F3DDC" w:rsidRPr="005E320F">
        <w:rPr>
          <w:snapToGrid/>
          <w:szCs w:val="22"/>
          <w:lang w:val="lt-LT"/>
        </w:rPr>
        <w:t>tojimo praėjus ne mažiau kaip 4 </w:t>
      </w:r>
      <w:r w:rsidRPr="005E320F">
        <w:rPr>
          <w:snapToGrid/>
          <w:szCs w:val="22"/>
          <w:lang w:val="lt-LT"/>
        </w:rPr>
        <w:t>valandoms</w:t>
      </w:r>
      <w:r w:rsidR="00AD07BC" w:rsidRPr="005E320F">
        <w:rPr>
          <w:snapToGrid/>
          <w:szCs w:val="22"/>
          <w:lang w:val="lt-LT"/>
        </w:rPr>
        <w:t>.</w:t>
      </w:r>
    </w:p>
    <w:p w14:paraId="472192FF" w14:textId="77777777" w:rsidR="004A1088" w:rsidRPr="005E320F" w:rsidRDefault="004A1088" w:rsidP="00A31E3A">
      <w:pPr>
        <w:widowControl w:val="0"/>
        <w:numPr>
          <w:ilvl w:val="12"/>
          <w:numId w:val="0"/>
        </w:numPr>
        <w:spacing w:line="240" w:lineRule="auto"/>
        <w:ind w:right="-2"/>
        <w:rPr>
          <w:snapToGrid/>
          <w:szCs w:val="22"/>
          <w:lang w:val="lt-LT"/>
        </w:rPr>
      </w:pPr>
    </w:p>
    <w:p w14:paraId="6E110AD0" w14:textId="5B840A1B" w:rsidR="00381B7D" w:rsidRPr="005E320F" w:rsidRDefault="00381B7D" w:rsidP="007E15ED">
      <w:pPr>
        <w:keepNext/>
        <w:widowControl w:val="0"/>
        <w:tabs>
          <w:tab w:val="clear" w:pos="567"/>
        </w:tabs>
        <w:spacing w:line="240" w:lineRule="auto"/>
        <w:rPr>
          <w:b/>
          <w:snapToGrid/>
          <w:szCs w:val="22"/>
          <w:lang w:val="lt-LT" w:eastAsia="sl-SI"/>
        </w:rPr>
      </w:pPr>
      <w:r w:rsidRPr="005E320F">
        <w:rPr>
          <w:b/>
          <w:snapToGrid/>
          <w:szCs w:val="22"/>
          <w:lang w:val="lt-LT" w:eastAsia="sl-SI"/>
        </w:rPr>
        <w:t xml:space="preserve">Ką daryti pavartojus per didelę </w:t>
      </w:r>
      <w:proofErr w:type="spellStart"/>
      <w:r w:rsidR="004373BE" w:rsidRPr="005E320F">
        <w:rPr>
          <w:b/>
          <w:snapToGrid/>
          <w:szCs w:val="22"/>
          <w:lang w:val="lt-LT" w:eastAsia="sl-SI"/>
        </w:rPr>
        <w:t>Torzelip</w:t>
      </w:r>
      <w:proofErr w:type="spellEnd"/>
      <w:r w:rsidRPr="005E320F">
        <w:rPr>
          <w:b/>
          <w:snapToGrid/>
          <w:szCs w:val="22"/>
          <w:lang w:val="lt-LT" w:eastAsia="sl-SI"/>
        </w:rPr>
        <w:t xml:space="preserve"> dozę</w:t>
      </w:r>
    </w:p>
    <w:p w14:paraId="1ED8C706"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 xml:space="preserve">Kreipkitės į gydytoją arba </w:t>
      </w:r>
      <w:r w:rsidR="00B33C3A" w:rsidRPr="005E320F">
        <w:rPr>
          <w:snapToGrid/>
          <w:szCs w:val="22"/>
          <w:lang w:val="lt-LT" w:eastAsia="sl-SI"/>
        </w:rPr>
        <w:t>vaistininką</w:t>
      </w:r>
      <w:r w:rsidRPr="005E320F">
        <w:rPr>
          <w:snapToGrid/>
          <w:szCs w:val="22"/>
          <w:lang w:val="lt-LT" w:eastAsia="sl-SI"/>
        </w:rPr>
        <w:t>.</w:t>
      </w:r>
    </w:p>
    <w:p w14:paraId="7D57F596" w14:textId="77777777" w:rsidR="00381B7D" w:rsidRPr="005E320F" w:rsidRDefault="00381B7D" w:rsidP="00A31E3A">
      <w:pPr>
        <w:widowControl w:val="0"/>
        <w:tabs>
          <w:tab w:val="clear" w:pos="567"/>
        </w:tabs>
        <w:spacing w:line="240" w:lineRule="auto"/>
        <w:rPr>
          <w:snapToGrid/>
          <w:szCs w:val="22"/>
          <w:lang w:val="lt-LT" w:eastAsia="sl-SI"/>
        </w:rPr>
      </w:pPr>
    </w:p>
    <w:p w14:paraId="3275757A" w14:textId="77777777" w:rsidR="00381B7D" w:rsidRPr="005E320F" w:rsidRDefault="00381B7D" w:rsidP="007E15ED">
      <w:pPr>
        <w:keepNext/>
        <w:widowControl w:val="0"/>
        <w:tabs>
          <w:tab w:val="clear" w:pos="567"/>
        </w:tabs>
        <w:spacing w:line="240" w:lineRule="auto"/>
        <w:rPr>
          <w:b/>
          <w:snapToGrid/>
          <w:szCs w:val="22"/>
          <w:lang w:val="lt-LT" w:eastAsia="sl-SI"/>
        </w:rPr>
      </w:pPr>
      <w:r w:rsidRPr="005E320F">
        <w:rPr>
          <w:b/>
          <w:snapToGrid/>
          <w:szCs w:val="22"/>
          <w:lang w:val="lt-LT" w:eastAsia="sl-SI"/>
        </w:rPr>
        <w:t xml:space="preserve">Pamiršus pavartoti </w:t>
      </w:r>
      <w:proofErr w:type="spellStart"/>
      <w:r w:rsidR="004373BE" w:rsidRPr="005E320F">
        <w:rPr>
          <w:b/>
          <w:snapToGrid/>
          <w:szCs w:val="22"/>
          <w:lang w:val="lt-LT" w:eastAsia="sl-SI"/>
        </w:rPr>
        <w:t>Torzelip</w:t>
      </w:r>
      <w:proofErr w:type="spellEnd"/>
    </w:p>
    <w:p w14:paraId="5F289812" w14:textId="33DE3B7C" w:rsidR="00381B7D" w:rsidRPr="005E320F" w:rsidRDefault="00381B7D" w:rsidP="00A31E3A">
      <w:pPr>
        <w:widowControl w:val="0"/>
        <w:numPr>
          <w:ilvl w:val="12"/>
          <w:numId w:val="0"/>
        </w:numPr>
        <w:tabs>
          <w:tab w:val="clear" w:pos="567"/>
        </w:tabs>
        <w:spacing w:line="240" w:lineRule="auto"/>
        <w:ind w:right="-2"/>
        <w:rPr>
          <w:szCs w:val="22"/>
          <w:lang w:val="lt-LT"/>
        </w:rPr>
      </w:pPr>
      <w:r w:rsidRPr="005E320F">
        <w:rPr>
          <w:szCs w:val="22"/>
          <w:lang w:val="lt-LT"/>
        </w:rPr>
        <w:t>Negalima vartoti dvigubos</w:t>
      </w:r>
      <w:r w:rsidR="007F3DA9" w:rsidRPr="005E320F">
        <w:rPr>
          <w:szCs w:val="22"/>
          <w:lang w:val="lt-LT"/>
        </w:rPr>
        <w:t> </w:t>
      </w:r>
      <w:r w:rsidRPr="005E320F">
        <w:rPr>
          <w:szCs w:val="22"/>
          <w:lang w:val="lt-LT"/>
        </w:rPr>
        <w:t xml:space="preserve">dozės norint kompensuoti praleistą </w:t>
      </w:r>
      <w:r w:rsidR="00B33C3A" w:rsidRPr="005E320F">
        <w:rPr>
          <w:szCs w:val="22"/>
          <w:lang w:val="lt-LT"/>
        </w:rPr>
        <w:t>tabletę</w:t>
      </w:r>
      <w:r w:rsidRPr="005E320F">
        <w:rPr>
          <w:szCs w:val="22"/>
          <w:lang w:val="lt-LT"/>
        </w:rPr>
        <w:t>.</w:t>
      </w:r>
      <w:r w:rsidR="00B33C3A" w:rsidRPr="005E320F">
        <w:rPr>
          <w:szCs w:val="22"/>
          <w:lang w:val="lt-LT"/>
        </w:rPr>
        <w:t xml:space="preserve"> Kitą dozę gerkite kitą dieną numatytu laiku.</w:t>
      </w:r>
    </w:p>
    <w:p w14:paraId="335EC0B5" w14:textId="77777777" w:rsidR="00381B7D" w:rsidRPr="005E320F" w:rsidRDefault="00381B7D" w:rsidP="00A31E3A">
      <w:pPr>
        <w:widowControl w:val="0"/>
        <w:numPr>
          <w:ilvl w:val="12"/>
          <w:numId w:val="0"/>
        </w:numPr>
        <w:tabs>
          <w:tab w:val="clear" w:pos="567"/>
        </w:tabs>
        <w:spacing w:line="240" w:lineRule="auto"/>
        <w:ind w:right="-2"/>
        <w:rPr>
          <w:snapToGrid/>
          <w:szCs w:val="22"/>
          <w:lang w:val="lt-LT" w:eastAsia="sl-SI"/>
        </w:rPr>
      </w:pPr>
    </w:p>
    <w:p w14:paraId="5513B53F"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Jeigu kiltų daugiau klausimų dėl šio vaisto vartojimo, kreipkitės į gydytoją arba vaistininką.</w:t>
      </w:r>
    </w:p>
    <w:p w14:paraId="701D1564" w14:textId="77777777" w:rsidR="00381B7D" w:rsidRPr="005E320F" w:rsidRDefault="00381B7D" w:rsidP="00A31E3A">
      <w:pPr>
        <w:widowControl w:val="0"/>
        <w:tabs>
          <w:tab w:val="clear" w:pos="567"/>
        </w:tabs>
        <w:spacing w:line="240" w:lineRule="auto"/>
        <w:rPr>
          <w:snapToGrid/>
          <w:szCs w:val="22"/>
          <w:lang w:val="lt-LT" w:eastAsia="sl-SI"/>
        </w:rPr>
      </w:pPr>
    </w:p>
    <w:p w14:paraId="26CA7F90" w14:textId="77777777" w:rsidR="00381B7D" w:rsidRPr="005E320F" w:rsidRDefault="00381B7D" w:rsidP="00A31E3A">
      <w:pPr>
        <w:widowControl w:val="0"/>
        <w:tabs>
          <w:tab w:val="clear" w:pos="567"/>
        </w:tabs>
        <w:spacing w:line="240" w:lineRule="auto"/>
        <w:rPr>
          <w:snapToGrid/>
          <w:szCs w:val="22"/>
          <w:lang w:val="lt-LT" w:eastAsia="sl-SI"/>
        </w:rPr>
      </w:pPr>
    </w:p>
    <w:p w14:paraId="418C6FE2"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4.</w:t>
      </w:r>
      <w:r w:rsidRPr="005E320F">
        <w:rPr>
          <w:b/>
          <w:snapToGrid/>
          <w:szCs w:val="22"/>
          <w:lang w:val="lt-LT" w:eastAsia="sl-SI"/>
        </w:rPr>
        <w:tab/>
        <w:t>Galimas šalutinis poveikis</w:t>
      </w:r>
    </w:p>
    <w:p w14:paraId="43AD1043" w14:textId="77777777" w:rsidR="00381B7D" w:rsidRPr="005E320F" w:rsidRDefault="00381B7D" w:rsidP="007E15ED">
      <w:pPr>
        <w:keepNext/>
        <w:widowControl w:val="0"/>
        <w:tabs>
          <w:tab w:val="clear" w:pos="567"/>
        </w:tabs>
        <w:spacing w:line="240" w:lineRule="auto"/>
        <w:rPr>
          <w:snapToGrid/>
          <w:szCs w:val="22"/>
          <w:lang w:val="lt-LT" w:eastAsia="sl-SI"/>
        </w:rPr>
      </w:pPr>
    </w:p>
    <w:p w14:paraId="6155A80A"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Šis vaistas, kaip ir visi kiti, gali sukelti šalutinį poveikį, nors jis pasireiškia ne visiems žmonėms.</w:t>
      </w:r>
    </w:p>
    <w:p w14:paraId="2E1C6F56" w14:textId="77777777" w:rsidR="00381B7D" w:rsidRPr="005E320F" w:rsidRDefault="00381B7D" w:rsidP="00A31E3A">
      <w:pPr>
        <w:widowControl w:val="0"/>
        <w:tabs>
          <w:tab w:val="clear" w:pos="567"/>
        </w:tabs>
        <w:spacing w:line="240" w:lineRule="auto"/>
        <w:rPr>
          <w:snapToGrid/>
          <w:szCs w:val="22"/>
          <w:lang w:val="lt-LT" w:eastAsia="sl-SI"/>
        </w:rPr>
      </w:pPr>
    </w:p>
    <w:p w14:paraId="13E7F8B5" w14:textId="77777777" w:rsidR="00B33C3A" w:rsidRPr="005E320F" w:rsidRDefault="00F27FBD" w:rsidP="00B33C3A">
      <w:pPr>
        <w:numPr>
          <w:ilvl w:val="12"/>
          <w:numId w:val="0"/>
        </w:numPr>
        <w:tabs>
          <w:tab w:val="clear" w:pos="567"/>
        </w:tabs>
        <w:spacing w:line="240" w:lineRule="auto"/>
        <w:ind w:right="-29"/>
        <w:rPr>
          <w:snapToGrid/>
          <w:szCs w:val="22"/>
          <w:lang w:val="lt-LT"/>
        </w:rPr>
      </w:pPr>
      <w:r w:rsidRPr="005E320F">
        <w:rPr>
          <w:snapToGrid/>
          <w:szCs w:val="22"/>
          <w:lang w:val="lt-LT"/>
        </w:rPr>
        <w:t>Jeigu pasireiškia bet kuris toliau paminėtas sunkus šalutinis poveikis ar simptomas, nutraukite tablečių vartojimą ir nedelsdami kreipkitės į gydytoją arba vykite į artimiausios ligoninės skubios pagalbos skyrių (</w:t>
      </w:r>
      <w:r w:rsidR="004E4CF3" w:rsidRPr="005E320F">
        <w:rPr>
          <w:snapToGrid/>
          <w:szCs w:val="22"/>
          <w:lang w:val="lt-LT"/>
        </w:rPr>
        <w:t xml:space="preserve">su savimi </w:t>
      </w:r>
      <w:r w:rsidRPr="005E320F">
        <w:rPr>
          <w:snapToGrid/>
          <w:szCs w:val="22"/>
          <w:lang w:val="lt-LT"/>
        </w:rPr>
        <w:t>turėkite vartojamas tabletes).</w:t>
      </w:r>
    </w:p>
    <w:p w14:paraId="453CEFA7" w14:textId="77777777" w:rsidR="00B33C3A" w:rsidRPr="005E320F" w:rsidRDefault="00B33C3A" w:rsidP="00B33C3A">
      <w:pPr>
        <w:numPr>
          <w:ilvl w:val="12"/>
          <w:numId w:val="0"/>
        </w:numPr>
        <w:tabs>
          <w:tab w:val="clear" w:pos="567"/>
        </w:tabs>
        <w:spacing w:line="240" w:lineRule="auto"/>
        <w:ind w:right="-29"/>
        <w:rPr>
          <w:b/>
          <w:snapToGrid/>
          <w:szCs w:val="22"/>
          <w:lang w:val="lt-LT"/>
        </w:rPr>
      </w:pPr>
    </w:p>
    <w:p w14:paraId="4DC2A07A" w14:textId="6F9CDF28" w:rsidR="00F27FBD" w:rsidRPr="005E320F" w:rsidRDefault="00F27FBD" w:rsidP="00F27FBD">
      <w:pPr>
        <w:numPr>
          <w:ilvl w:val="0"/>
          <w:numId w:val="28"/>
        </w:numPr>
        <w:tabs>
          <w:tab w:val="clear" w:pos="567"/>
        </w:tabs>
        <w:spacing w:line="240" w:lineRule="auto"/>
        <w:ind w:left="567" w:right="-29" w:hanging="567"/>
        <w:rPr>
          <w:snapToGrid/>
          <w:szCs w:val="22"/>
          <w:lang w:val="lt-LT"/>
        </w:rPr>
      </w:pPr>
      <w:r w:rsidRPr="005E320F">
        <w:rPr>
          <w:snapToGrid/>
          <w:szCs w:val="22"/>
          <w:lang w:val="lt-LT"/>
        </w:rPr>
        <w:t>Sunki alerginė reakcija, dėl kurios pasireiškia veido, liežuvio ir gerklės pa</w:t>
      </w:r>
      <w:r w:rsidR="007F3DA9" w:rsidRPr="005E320F">
        <w:rPr>
          <w:snapToGrid/>
          <w:szCs w:val="22"/>
          <w:lang w:val="lt-LT"/>
        </w:rPr>
        <w:t>br</w:t>
      </w:r>
      <w:r w:rsidRPr="005E320F">
        <w:rPr>
          <w:snapToGrid/>
          <w:szCs w:val="22"/>
          <w:lang w:val="lt-LT"/>
        </w:rPr>
        <w:t>in</w:t>
      </w:r>
      <w:r w:rsidR="007F3DA9" w:rsidRPr="005E320F">
        <w:rPr>
          <w:snapToGrid/>
          <w:szCs w:val="22"/>
          <w:lang w:val="lt-LT"/>
        </w:rPr>
        <w:t>k</w:t>
      </w:r>
      <w:r w:rsidRPr="005E320F">
        <w:rPr>
          <w:snapToGrid/>
          <w:szCs w:val="22"/>
          <w:lang w:val="lt-LT"/>
        </w:rPr>
        <w:t>imas ir gali labai pasunk</w:t>
      </w:r>
      <w:r w:rsidR="006D35F0" w:rsidRPr="005E320F">
        <w:rPr>
          <w:snapToGrid/>
          <w:szCs w:val="22"/>
          <w:lang w:val="lt-LT"/>
        </w:rPr>
        <w:t>ėti kvėpavimas.</w:t>
      </w:r>
    </w:p>
    <w:p w14:paraId="3E9334BF" w14:textId="15D96353" w:rsidR="00F27FBD" w:rsidRPr="005E320F" w:rsidRDefault="00F27FBD" w:rsidP="00F27FBD">
      <w:pPr>
        <w:numPr>
          <w:ilvl w:val="0"/>
          <w:numId w:val="28"/>
        </w:numPr>
        <w:tabs>
          <w:tab w:val="clear" w:pos="567"/>
        </w:tabs>
        <w:spacing w:line="240" w:lineRule="auto"/>
        <w:ind w:left="567" w:right="-29" w:hanging="567"/>
        <w:rPr>
          <w:snapToGrid/>
          <w:szCs w:val="22"/>
          <w:lang w:val="lt-LT"/>
        </w:rPr>
      </w:pPr>
      <w:r w:rsidRPr="005E320F">
        <w:rPr>
          <w:snapToGrid/>
          <w:szCs w:val="22"/>
          <w:lang w:val="lt-LT"/>
        </w:rPr>
        <w:t>Sunkus sutrikimas, pasireiškiantis sunkiu odos lupimusi ir pa</w:t>
      </w:r>
      <w:r w:rsidR="007F3DA9" w:rsidRPr="005E320F">
        <w:rPr>
          <w:snapToGrid/>
          <w:szCs w:val="22"/>
          <w:lang w:val="lt-LT"/>
        </w:rPr>
        <w:t>br</w:t>
      </w:r>
      <w:r w:rsidRPr="005E320F">
        <w:rPr>
          <w:snapToGrid/>
          <w:szCs w:val="22"/>
          <w:lang w:val="lt-LT"/>
        </w:rPr>
        <w:t>in</w:t>
      </w:r>
      <w:r w:rsidR="007F3DA9" w:rsidRPr="005E320F">
        <w:rPr>
          <w:snapToGrid/>
          <w:szCs w:val="22"/>
          <w:lang w:val="lt-LT"/>
        </w:rPr>
        <w:t>k</w:t>
      </w:r>
      <w:r w:rsidRPr="005E320F">
        <w:rPr>
          <w:snapToGrid/>
          <w:szCs w:val="22"/>
          <w:lang w:val="lt-LT"/>
        </w:rPr>
        <w:t>imu, odos, burnos, akių ir lytinių organų pūslėmis bei karščiavimu</w:t>
      </w:r>
      <w:r w:rsidR="007F3DA9" w:rsidRPr="005E320F">
        <w:rPr>
          <w:snapToGrid/>
          <w:szCs w:val="22"/>
          <w:lang w:val="lt-LT"/>
        </w:rPr>
        <w:t>,</w:t>
      </w:r>
      <w:r w:rsidRPr="005E320F">
        <w:rPr>
          <w:snapToGrid/>
          <w:szCs w:val="22"/>
          <w:lang w:val="lt-LT"/>
        </w:rPr>
        <w:t xml:space="preserve"> odos išbėrimas su rausvai raudonomis dėmėmis (ypač delnų ar padų srityje), kur gali atsirasti pūslių.</w:t>
      </w:r>
    </w:p>
    <w:p w14:paraId="305B67B8" w14:textId="77777777" w:rsidR="007B588D" w:rsidRPr="005E320F" w:rsidRDefault="00F27FBD" w:rsidP="00F27FBD">
      <w:pPr>
        <w:numPr>
          <w:ilvl w:val="0"/>
          <w:numId w:val="28"/>
        </w:numPr>
        <w:tabs>
          <w:tab w:val="clear" w:pos="567"/>
        </w:tabs>
        <w:spacing w:line="240" w:lineRule="auto"/>
        <w:ind w:left="567" w:right="-29" w:hanging="567"/>
        <w:rPr>
          <w:snapToGrid/>
          <w:szCs w:val="22"/>
          <w:lang w:val="lt-LT"/>
        </w:rPr>
      </w:pPr>
      <w:r w:rsidRPr="005E320F">
        <w:rPr>
          <w:snapToGrid/>
          <w:szCs w:val="22"/>
          <w:lang w:val="lt-LT"/>
        </w:rPr>
        <w:t>Raumenų silpnumas, jautrumas, skausmas ar plyšimas arba šlapimo nusidažymas raudonai ruda spalva, ypač jeigu tuo pačiu metu blogai jaučiatės arba karščiuojate, nes tokį poveikį gali sukelti nenormalus raumenų irimas</w:t>
      </w:r>
      <w:r w:rsidR="007B588D" w:rsidRPr="005E320F">
        <w:rPr>
          <w:snapToGrid/>
          <w:szCs w:val="22"/>
          <w:lang w:val="lt-LT"/>
        </w:rPr>
        <w:t>, kuris gali būti pavojingas gyvybei ir sukelti inkstų sutrikimų.</w:t>
      </w:r>
    </w:p>
    <w:p w14:paraId="3DA6B9A3" w14:textId="77777777" w:rsidR="00F27FBD" w:rsidRPr="005E320F" w:rsidRDefault="007B588D" w:rsidP="00F27FBD">
      <w:pPr>
        <w:numPr>
          <w:ilvl w:val="0"/>
          <w:numId w:val="28"/>
        </w:numPr>
        <w:tabs>
          <w:tab w:val="clear" w:pos="567"/>
        </w:tabs>
        <w:spacing w:line="240" w:lineRule="auto"/>
        <w:ind w:left="567" w:right="-29" w:hanging="567"/>
        <w:rPr>
          <w:snapToGrid/>
          <w:szCs w:val="22"/>
          <w:lang w:val="lt-LT"/>
        </w:rPr>
      </w:pPr>
      <w:r w:rsidRPr="005E320F">
        <w:rPr>
          <w:snapToGrid/>
          <w:szCs w:val="22"/>
          <w:lang w:val="lt-LT"/>
        </w:rPr>
        <w:t>Į</w:t>
      </w:r>
      <w:r w:rsidR="00F27FBD" w:rsidRPr="005E320F">
        <w:rPr>
          <w:snapToGrid/>
          <w:szCs w:val="22"/>
          <w:lang w:val="lt-LT"/>
        </w:rPr>
        <w:t xml:space="preserve"> vilkligę panašus sindromas (įskaitant išbėrimą, sąnarių sutrikimus ir poveikį kraujo ląstelėms).</w:t>
      </w:r>
    </w:p>
    <w:p w14:paraId="402C7A1B" w14:textId="77777777" w:rsidR="00F27FBD" w:rsidRPr="005E320F" w:rsidRDefault="00F27FBD" w:rsidP="00B33C3A">
      <w:pPr>
        <w:numPr>
          <w:ilvl w:val="12"/>
          <w:numId w:val="0"/>
        </w:numPr>
        <w:tabs>
          <w:tab w:val="clear" w:pos="567"/>
        </w:tabs>
        <w:spacing w:line="240" w:lineRule="auto"/>
        <w:ind w:right="-2"/>
        <w:rPr>
          <w:snapToGrid/>
          <w:szCs w:val="22"/>
          <w:lang w:val="lt-LT"/>
        </w:rPr>
      </w:pPr>
    </w:p>
    <w:p w14:paraId="05553A20" w14:textId="77777777" w:rsidR="00F27FBD" w:rsidRPr="005E320F" w:rsidRDefault="00F27FBD" w:rsidP="007B588D">
      <w:pPr>
        <w:tabs>
          <w:tab w:val="clear" w:pos="567"/>
        </w:tabs>
        <w:spacing w:line="240" w:lineRule="auto"/>
        <w:ind w:right="-29"/>
        <w:rPr>
          <w:snapToGrid/>
          <w:szCs w:val="22"/>
          <w:lang w:val="lt-LT"/>
        </w:rPr>
      </w:pPr>
      <w:r w:rsidRPr="005E320F">
        <w:rPr>
          <w:snapToGrid/>
          <w:szCs w:val="22"/>
          <w:lang w:val="lt-LT"/>
        </w:rPr>
        <w:t xml:space="preserve">Jeigu Jums prasidėjo netikėtas ar neįprastas kraujavimas ar </w:t>
      </w:r>
      <w:r w:rsidR="007B588D" w:rsidRPr="005E320F">
        <w:rPr>
          <w:snapToGrid/>
          <w:szCs w:val="22"/>
          <w:lang w:val="lt-LT"/>
        </w:rPr>
        <w:t xml:space="preserve">atsirado </w:t>
      </w:r>
      <w:r w:rsidRPr="005E320F">
        <w:rPr>
          <w:snapToGrid/>
          <w:szCs w:val="22"/>
          <w:lang w:val="lt-LT"/>
        </w:rPr>
        <w:t>kraujosruv</w:t>
      </w:r>
      <w:r w:rsidR="007B588D" w:rsidRPr="005E320F">
        <w:rPr>
          <w:snapToGrid/>
          <w:szCs w:val="22"/>
          <w:lang w:val="lt-LT"/>
        </w:rPr>
        <w:t>ų</w:t>
      </w:r>
      <w:r w:rsidRPr="005E320F">
        <w:rPr>
          <w:snapToGrid/>
          <w:szCs w:val="22"/>
          <w:lang w:val="lt-LT"/>
        </w:rPr>
        <w:t xml:space="preserve">, </w:t>
      </w:r>
      <w:r w:rsidR="006D35F0" w:rsidRPr="005E320F">
        <w:rPr>
          <w:snapToGrid/>
          <w:szCs w:val="22"/>
          <w:lang w:val="lt-LT"/>
        </w:rPr>
        <w:t>kiek įmanoma</w:t>
      </w:r>
      <w:r w:rsidR="007B588D" w:rsidRPr="005E320F">
        <w:rPr>
          <w:snapToGrid/>
          <w:szCs w:val="22"/>
          <w:lang w:val="lt-LT"/>
        </w:rPr>
        <w:t xml:space="preserve"> greičiau kreipkitės į gydytoją, nes </w:t>
      </w:r>
      <w:r w:rsidRPr="005E320F">
        <w:rPr>
          <w:snapToGrid/>
          <w:szCs w:val="22"/>
          <w:lang w:val="lt-LT"/>
        </w:rPr>
        <w:t>t</w:t>
      </w:r>
      <w:r w:rsidR="007B588D" w:rsidRPr="005E320F">
        <w:rPr>
          <w:snapToGrid/>
          <w:szCs w:val="22"/>
          <w:lang w:val="lt-LT"/>
        </w:rPr>
        <w:t>ai gali būti kepenų sutrikimas.</w:t>
      </w:r>
    </w:p>
    <w:p w14:paraId="31A388B6" w14:textId="77777777" w:rsidR="00E06F60" w:rsidRPr="005E320F" w:rsidRDefault="00E06F60" w:rsidP="007B588D">
      <w:pPr>
        <w:tabs>
          <w:tab w:val="clear" w:pos="567"/>
        </w:tabs>
        <w:spacing w:line="240" w:lineRule="auto"/>
        <w:ind w:right="-29"/>
        <w:rPr>
          <w:snapToGrid/>
          <w:szCs w:val="22"/>
          <w:lang w:val="lt-LT"/>
        </w:rPr>
      </w:pPr>
    </w:p>
    <w:p w14:paraId="69C07299" w14:textId="77777777" w:rsidR="00E06F60" w:rsidRPr="005E320F" w:rsidRDefault="00E06F60" w:rsidP="007E15ED">
      <w:pPr>
        <w:keepNext/>
        <w:tabs>
          <w:tab w:val="clear" w:pos="567"/>
        </w:tabs>
        <w:spacing w:line="240" w:lineRule="auto"/>
        <w:ind w:right="-29"/>
        <w:rPr>
          <w:b/>
          <w:snapToGrid/>
          <w:szCs w:val="22"/>
          <w:lang w:val="lt-LT"/>
        </w:rPr>
      </w:pPr>
      <w:r w:rsidRPr="005E320F">
        <w:rPr>
          <w:b/>
          <w:snapToGrid/>
          <w:szCs w:val="22"/>
          <w:lang w:val="lt-LT"/>
        </w:rPr>
        <w:t xml:space="preserve">Kitas šalutinis poveikis, kuris gali pasireikšti vartojant </w:t>
      </w:r>
      <w:proofErr w:type="spellStart"/>
      <w:r w:rsidRPr="005E320F">
        <w:rPr>
          <w:b/>
          <w:snapToGrid/>
          <w:szCs w:val="22"/>
          <w:lang w:val="lt-LT"/>
        </w:rPr>
        <w:t>Torzelip</w:t>
      </w:r>
      <w:proofErr w:type="spellEnd"/>
    </w:p>
    <w:p w14:paraId="16F95889" w14:textId="77777777" w:rsidR="00B33C3A" w:rsidRPr="005E320F" w:rsidRDefault="00B33C3A" w:rsidP="007E15ED">
      <w:pPr>
        <w:keepNext/>
        <w:numPr>
          <w:ilvl w:val="12"/>
          <w:numId w:val="0"/>
        </w:numPr>
        <w:tabs>
          <w:tab w:val="clear" w:pos="567"/>
        </w:tabs>
        <w:spacing w:line="240" w:lineRule="auto"/>
        <w:ind w:right="-2"/>
        <w:rPr>
          <w:snapToGrid/>
          <w:szCs w:val="22"/>
          <w:lang w:val="lt-LT"/>
        </w:rPr>
      </w:pPr>
    </w:p>
    <w:p w14:paraId="76C64A65" w14:textId="49A91780" w:rsidR="00B33C3A" w:rsidRPr="005E320F" w:rsidRDefault="008E23C5" w:rsidP="007E15ED">
      <w:pPr>
        <w:keepNext/>
        <w:tabs>
          <w:tab w:val="clear" w:pos="567"/>
        </w:tabs>
        <w:spacing w:line="240" w:lineRule="auto"/>
        <w:rPr>
          <w:snapToGrid/>
          <w:szCs w:val="22"/>
          <w:lang w:val="lt-LT"/>
        </w:rPr>
      </w:pPr>
      <w:r w:rsidRPr="005E320F">
        <w:rPr>
          <w:b/>
          <w:bCs/>
          <w:szCs w:val="22"/>
          <w:lang w:val="lt-LT"/>
        </w:rPr>
        <w:t>Dažni šalutinio poveikio reiškiniai (gali pasireikšti rečiau kaip 1 iš 10 asmenų):</w:t>
      </w:r>
    </w:p>
    <w:p w14:paraId="30210199" w14:textId="3183610F"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Nosies ertmės uždegimas, gerklės skausmas, kraujavimas iš nosies.</w:t>
      </w:r>
    </w:p>
    <w:p w14:paraId="7D471CA0" w14:textId="77777777"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Alerginės reakcijos.</w:t>
      </w:r>
    </w:p>
    <w:p w14:paraId="2C22225C" w14:textId="55767367"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 xml:space="preserve">Padidėjęs </w:t>
      </w:r>
      <w:r w:rsidR="004A3CB3" w:rsidRPr="005E320F">
        <w:rPr>
          <w:snapToGrid/>
          <w:szCs w:val="22"/>
          <w:lang w:val="lt-LT"/>
        </w:rPr>
        <w:t xml:space="preserve">cukraus </w:t>
      </w:r>
      <w:r w:rsidRPr="005E320F">
        <w:rPr>
          <w:snapToGrid/>
          <w:szCs w:val="22"/>
          <w:lang w:val="lt-LT"/>
        </w:rPr>
        <w:t xml:space="preserve">kiekis kraujyje (sergant cukriniu diabetu būtina stebėti </w:t>
      </w:r>
      <w:r w:rsidR="004A3CB3" w:rsidRPr="005E320F">
        <w:rPr>
          <w:snapToGrid/>
          <w:szCs w:val="22"/>
          <w:lang w:val="lt-LT"/>
        </w:rPr>
        <w:t xml:space="preserve">cukraus </w:t>
      </w:r>
      <w:r w:rsidRPr="005E320F">
        <w:rPr>
          <w:snapToGrid/>
          <w:szCs w:val="22"/>
          <w:lang w:val="lt-LT"/>
        </w:rPr>
        <w:t>kiekį kraujyje).</w:t>
      </w:r>
    </w:p>
    <w:p w14:paraId="348CDD31" w14:textId="77777777" w:rsidR="001B2376"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Galvos skausmas.</w:t>
      </w:r>
    </w:p>
    <w:p w14:paraId="1B0E7C5E" w14:textId="77777777" w:rsidR="001B2376" w:rsidRPr="005E320F" w:rsidRDefault="00562C3D"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P</w:t>
      </w:r>
      <w:r w:rsidR="001B2376" w:rsidRPr="005E320F">
        <w:rPr>
          <w:snapToGrid/>
          <w:szCs w:val="22"/>
          <w:lang w:val="lt-LT"/>
        </w:rPr>
        <w:t xml:space="preserve">ykinimas, vidurių užkietėjimas, dujų kaupimasis, viduriavimas, </w:t>
      </w:r>
      <w:proofErr w:type="spellStart"/>
      <w:r w:rsidR="001B2376" w:rsidRPr="005E320F">
        <w:rPr>
          <w:snapToGrid/>
          <w:szCs w:val="22"/>
          <w:lang w:val="lt-LT"/>
        </w:rPr>
        <w:t>nevirškinimas</w:t>
      </w:r>
      <w:proofErr w:type="spellEnd"/>
      <w:r w:rsidR="001B2376" w:rsidRPr="005E320F">
        <w:rPr>
          <w:snapToGrid/>
          <w:szCs w:val="22"/>
          <w:lang w:val="lt-LT"/>
        </w:rPr>
        <w:t>, pilvo skausmas.</w:t>
      </w:r>
    </w:p>
    <w:p w14:paraId="15C5D447" w14:textId="182F3FAA"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Ryklės ir</w:t>
      </w:r>
      <w:r w:rsidR="000465BB" w:rsidRPr="005E320F">
        <w:rPr>
          <w:snapToGrid/>
          <w:szCs w:val="22"/>
          <w:lang w:val="lt-LT"/>
        </w:rPr>
        <w:t> </w:t>
      </w:r>
      <w:r w:rsidRPr="005E320F">
        <w:rPr>
          <w:snapToGrid/>
          <w:szCs w:val="22"/>
          <w:lang w:val="lt-LT"/>
        </w:rPr>
        <w:t>(arba) gerklų skausmas.</w:t>
      </w:r>
    </w:p>
    <w:p w14:paraId="616D6F1F" w14:textId="67AA0D9C"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zCs w:val="22"/>
          <w:lang w:val="lt-LT"/>
        </w:rPr>
        <w:t>S</w:t>
      </w:r>
      <w:r w:rsidRPr="005E320F">
        <w:rPr>
          <w:snapToGrid/>
          <w:szCs w:val="22"/>
          <w:lang w:val="lt-LT"/>
        </w:rPr>
        <w:t>ąnarių ir</w:t>
      </w:r>
      <w:r w:rsidR="000465BB" w:rsidRPr="005E320F">
        <w:rPr>
          <w:snapToGrid/>
          <w:szCs w:val="22"/>
          <w:lang w:val="lt-LT"/>
        </w:rPr>
        <w:t> </w:t>
      </w:r>
      <w:r w:rsidRPr="005E320F">
        <w:rPr>
          <w:snapToGrid/>
          <w:szCs w:val="22"/>
          <w:lang w:val="lt-LT"/>
        </w:rPr>
        <w:t>(arba) plaštakų ar pėdų skausmas, nugaros skausmas, raumenų skausmas (</w:t>
      </w:r>
      <w:proofErr w:type="spellStart"/>
      <w:r w:rsidRPr="005E320F">
        <w:rPr>
          <w:snapToGrid/>
          <w:szCs w:val="22"/>
          <w:lang w:val="lt-LT"/>
        </w:rPr>
        <w:t>mialgija</w:t>
      </w:r>
      <w:proofErr w:type="spellEnd"/>
      <w:r w:rsidRPr="005E320F">
        <w:rPr>
          <w:snapToGrid/>
          <w:szCs w:val="22"/>
          <w:lang w:val="lt-LT"/>
        </w:rPr>
        <w:t>), raumenų spazmai, sąnarių patinimas.</w:t>
      </w:r>
    </w:p>
    <w:p w14:paraId="3E4CF578" w14:textId="77777777" w:rsidR="00B33C3A" w:rsidRPr="005E320F" w:rsidRDefault="001B2376" w:rsidP="001B2376">
      <w:pPr>
        <w:numPr>
          <w:ilvl w:val="0"/>
          <w:numId w:val="29"/>
        </w:numPr>
        <w:tabs>
          <w:tab w:val="clear" w:pos="567"/>
        </w:tabs>
        <w:spacing w:line="240" w:lineRule="auto"/>
        <w:ind w:left="567" w:right="-2" w:hanging="567"/>
        <w:rPr>
          <w:snapToGrid/>
          <w:szCs w:val="22"/>
          <w:lang w:val="lt-LT"/>
        </w:rPr>
      </w:pPr>
      <w:proofErr w:type="spellStart"/>
      <w:r w:rsidRPr="005E320F">
        <w:rPr>
          <w:snapToGrid/>
          <w:szCs w:val="22"/>
          <w:lang w:val="lt-LT"/>
        </w:rPr>
        <w:t>Kreatinkinazės</w:t>
      </w:r>
      <w:proofErr w:type="spellEnd"/>
      <w:r w:rsidRPr="005E320F">
        <w:rPr>
          <w:snapToGrid/>
          <w:szCs w:val="22"/>
          <w:lang w:val="lt-LT"/>
        </w:rPr>
        <w:t xml:space="preserve"> aktyvumo kraujyje padidėjimas.</w:t>
      </w:r>
    </w:p>
    <w:p w14:paraId="2971C414" w14:textId="01D90400"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Kepenų fermentų</w:t>
      </w:r>
      <w:r w:rsidR="00B33C3A" w:rsidRPr="005E320F">
        <w:rPr>
          <w:snapToGrid/>
          <w:szCs w:val="22"/>
          <w:lang w:val="lt-LT"/>
        </w:rPr>
        <w:t xml:space="preserve"> ALT </w:t>
      </w:r>
      <w:r w:rsidRPr="005E320F">
        <w:rPr>
          <w:snapToGrid/>
          <w:szCs w:val="22"/>
          <w:lang w:val="lt-LT"/>
        </w:rPr>
        <w:t>ir</w:t>
      </w:r>
      <w:r w:rsidR="000465BB" w:rsidRPr="005E320F">
        <w:rPr>
          <w:snapToGrid/>
          <w:szCs w:val="22"/>
          <w:lang w:val="lt-LT"/>
        </w:rPr>
        <w:t> </w:t>
      </w:r>
      <w:r w:rsidRPr="005E320F">
        <w:rPr>
          <w:snapToGrid/>
          <w:szCs w:val="22"/>
          <w:lang w:val="lt-LT"/>
        </w:rPr>
        <w:t>(arba)</w:t>
      </w:r>
      <w:r w:rsidR="00B33C3A" w:rsidRPr="005E320F">
        <w:rPr>
          <w:snapToGrid/>
          <w:szCs w:val="22"/>
          <w:lang w:val="lt-LT"/>
        </w:rPr>
        <w:t xml:space="preserve"> AST</w:t>
      </w:r>
      <w:r w:rsidRPr="005E320F">
        <w:rPr>
          <w:snapToGrid/>
          <w:szCs w:val="22"/>
          <w:lang w:val="lt-LT"/>
        </w:rPr>
        <w:t xml:space="preserve"> aktyvumo padidėjimas.</w:t>
      </w:r>
    </w:p>
    <w:p w14:paraId="0C7BF1AF" w14:textId="77777777"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Nuovargio pojūtis.</w:t>
      </w:r>
    </w:p>
    <w:p w14:paraId="09F385D1" w14:textId="77777777" w:rsidR="00B33C3A" w:rsidRPr="005E320F" w:rsidRDefault="001B2376" w:rsidP="001B2376">
      <w:pPr>
        <w:numPr>
          <w:ilvl w:val="0"/>
          <w:numId w:val="29"/>
        </w:numPr>
        <w:tabs>
          <w:tab w:val="clear" w:pos="567"/>
        </w:tabs>
        <w:spacing w:line="240" w:lineRule="auto"/>
        <w:ind w:left="567" w:right="-2" w:hanging="567"/>
        <w:rPr>
          <w:snapToGrid/>
          <w:szCs w:val="22"/>
          <w:lang w:val="lt-LT"/>
        </w:rPr>
      </w:pPr>
      <w:r w:rsidRPr="005E320F">
        <w:rPr>
          <w:snapToGrid/>
          <w:szCs w:val="22"/>
          <w:lang w:val="lt-LT"/>
        </w:rPr>
        <w:t>Nenormalūs kepenų funkciją rodančių tyrimų rezultatai.</w:t>
      </w:r>
    </w:p>
    <w:p w14:paraId="5E616217" w14:textId="77777777" w:rsidR="00B33C3A" w:rsidRPr="005E320F" w:rsidRDefault="00B33C3A" w:rsidP="00562C3D">
      <w:pPr>
        <w:tabs>
          <w:tab w:val="clear" w:pos="567"/>
        </w:tabs>
        <w:spacing w:line="240" w:lineRule="auto"/>
        <w:ind w:right="-2"/>
        <w:rPr>
          <w:snapToGrid/>
          <w:szCs w:val="22"/>
          <w:lang w:val="lt-LT"/>
        </w:rPr>
      </w:pPr>
    </w:p>
    <w:p w14:paraId="58FCEAEA" w14:textId="69BE2EC3" w:rsidR="00603A37" w:rsidRPr="005E320F" w:rsidRDefault="008E23C5" w:rsidP="007E15ED">
      <w:pPr>
        <w:keepNext/>
        <w:tabs>
          <w:tab w:val="clear" w:pos="567"/>
        </w:tabs>
        <w:spacing w:line="240" w:lineRule="auto"/>
        <w:rPr>
          <w:i/>
          <w:snapToGrid/>
          <w:szCs w:val="22"/>
          <w:lang w:val="lt-LT"/>
        </w:rPr>
      </w:pPr>
      <w:bookmarkStart w:id="21" w:name="_Hlk98758554"/>
      <w:r w:rsidRPr="005E320F">
        <w:rPr>
          <w:b/>
          <w:bCs/>
          <w:szCs w:val="22"/>
          <w:lang w:val="lt-LT"/>
        </w:rPr>
        <w:t xml:space="preserve">Nedažni šalutinio poveikio reiškiniai (gali pasireikšti rečiau kaip 1 iš 100 asmenų): </w:t>
      </w:r>
      <w:bookmarkEnd w:id="21"/>
    </w:p>
    <w:p w14:paraId="46FA433E" w14:textId="4E71B73C" w:rsidR="00603A37" w:rsidRPr="005E320F" w:rsidRDefault="00603A3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 xml:space="preserve">Sumažėjęs </w:t>
      </w:r>
      <w:r w:rsidR="004A3CB3" w:rsidRPr="005E320F">
        <w:rPr>
          <w:snapToGrid/>
          <w:szCs w:val="22"/>
          <w:lang w:val="lt-LT"/>
        </w:rPr>
        <w:t xml:space="preserve">cukraus </w:t>
      </w:r>
      <w:r w:rsidRPr="005E320F">
        <w:rPr>
          <w:snapToGrid/>
          <w:szCs w:val="22"/>
          <w:lang w:val="lt-LT"/>
        </w:rPr>
        <w:t xml:space="preserve">kiekis kraujyje (sergant cukriniu diabetu būtina stebėti </w:t>
      </w:r>
      <w:r w:rsidR="00AE1372" w:rsidRPr="005E320F">
        <w:rPr>
          <w:snapToGrid/>
          <w:szCs w:val="22"/>
          <w:lang w:val="lt-LT"/>
        </w:rPr>
        <w:t xml:space="preserve">cukraus </w:t>
      </w:r>
      <w:r w:rsidRPr="005E320F">
        <w:rPr>
          <w:snapToGrid/>
          <w:szCs w:val="22"/>
          <w:lang w:val="lt-LT"/>
        </w:rPr>
        <w:t>kiekį kraujyje).</w:t>
      </w:r>
    </w:p>
    <w:p w14:paraId="09F2875B" w14:textId="739600FA" w:rsidR="00B33C3A" w:rsidRPr="005E320F" w:rsidRDefault="00603A3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 xml:space="preserve">Apetito </w:t>
      </w:r>
      <w:r w:rsidR="00E06F60" w:rsidRPr="005E320F">
        <w:rPr>
          <w:snapToGrid/>
          <w:szCs w:val="22"/>
          <w:lang w:val="lt-LT"/>
        </w:rPr>
        <w:t>s</w:t>
      </w:r>
      <w:r w:rsidRPr="005E320F">
        <w:rPr>
          <w:snapToGrid/>
          <w:szCs w:val="22"/>
          <w:lang w:val="lt-LT"/>
        </w:rPr>
        <w:t>t</w:t>
      </w:r>
      <w:r w:rsidR="00E06F60" w:rsidRPr="005E320F">
        <w:rPr>
          <w:snapToGrid/>
          <w:szCs w:val="22"/>
          <w:lang w:val="lt-LT"/>
        </w:rPr>
        <w:t>o</w:t>
      </w:r>
      <w:r w:rsidRPr="005E320F">
        <w:rPr>
          <w:snapToGrid/>
          <w:szCs w:val="22"/>
          <w:lang w:val="lt-LT"/>
        </w:rPr>
        <w:t xml:space="preserve">ka, kūno </w:t>
      </w:r>
      <w:r w:rsidR="00E06F60" w:rsidRPr="005E320F">
        <w:rPr>
          <w:snapToGrid/>
          <w:szCs w:val="22"/>
          <w:lang w:val="lt-LT"/>
        </w:rPr>
        <w:t>ma</w:t>
      </w:r>
      <w:r w:rsidRPr="005E320F">
        <w:rPr>
          <w:snapToGrid/>
          <w:szCs w:val="22"/>
          <w:lang w:val="lt-LT"/>
        </w:rPr>
        <w:t>s</w:t>
      </w:r>
      <w:r w:rsidR="00E06F60" w:rsidRPr="005E320F">
        <w:rPr>
          <w:snapToGrid/>
          <w:szCs w:val="22"/>
          <w:lang w:val="lt-LT"/>
        </w:rPr>
        <w:t>ės</w:t>
      </w:r>
      <w:r w:rsidRPr="005E320F">
        <w:rPr>
          <w:snapToGrid/>
          <w:szCs w:val="22"/>
          <w:lang w:val="lt-LT"/>
        </w:rPr>
        <w:t xml:space="preserve"> didėjimas.</w:t>
      </w:r>
    </w:p>
    <w:p w14:paraId="383F5BC4" w14:textId="77777777" w:rsidR="00B33C3A" w:rsidRPr="005E320F" w:rsidRDefault="00603A3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Kosulys.</w:t>
      </w:r>
    </w:p>
    <w:p w14:paraId="71B04066" w14:textId="74437FBC" w:rsidR="00B33C3A" w:rsidRPr="005E320F" w:rsidRDefault="00603A3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lastRenderedPageBreak/>
        <w:t>Raumenų silpnumas</w:t>
      </w:r>
      <w:r w:rsidR="00B33C3A" w:rsidRPr="005E320F">
        <w:rPr>
          <w:snapToGrid/>
          <w:szCs w:val="22"/>
          <w:lang w:val="lt-LT"/>
        </w:rPr>
        <w:t xml:space="preserve">, </w:t>
      </w:r>
      <w:r w:rsidRPr="005E320F">
        <w:rPr>
          <w:snapToGrid/>
          <w:szCs w:val="22"/>
          <w:lang w:val="lt-LT"/>
        </w:rPr>
        <w:t>kaklo skausmas, krūtinės skausmas</w:t>
      </w:r>
      <w:r w:rsidR="004A3CB3" w:rsidRPr="005E320F">
        <w:rPr>
          <w:snapToGrid/>
          <w:szCs w:val="22"/>
          <w:lang w:val="lt-LT"/>
        </w:rPr>
        <w:t>, pabrinkimas, ypač kulkšnių (edema), padidėjusi kūno temperatūra</w:t>
      </w:r>
      <w:r w:rsidRPr="005E320F">
        <w:rPr>
          <w:snapToGrid/>
          <w:szCs w:val="22"/>
          <w:lang w:val="lt-LT"/>
        </w:rPr>
        <w:t>.</w:t>
      </w:r>
    </w:p>
    <w:p w14:paraId="11A36CDD" w14:textId="5CB06E8E" w:rsidR="00B33C3A" w:rsidRPr="005E320F" w:rsidRDefault="00603A3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Paraudimas su karščio pojūčiu,</w:t>
      </w:r>
      <w:r w:rsidR="00B33C3A" w:rsidRPr="005E320F">
        <w:rPr>
          <w:snapToGrid/>
          <w:szCs w:val="22"/>
          <w:lang w:val="lt-LT"/>
        </w:rPr>
        <w:t xml:space="preserve"> </w:t>
      </w:r>
      <w:r w:rsidR="00CA1CFD" w:rsidRPr="005E320F">
        <w:rPr>
          <w:snapToGrid/>
          <w:szCs w:val="22"/>
          <w:lang w:val="lt-LT"/>
        </w:rPr>
        <w:t>aukšta</w:t>
      </w:r>
      <w:r w:rsidRPr="005E320F">
        <w:rPr>
          <w:snapToGrid/>
          <w:szCs w:val="22"/>
          <w:lang w:val="lt-LT"/>
        </w:rPr>
        <w:t>s kraujospūdis.</w:t>
      </w:r>
    </w:p>
    <w:p w14:paraId="45940BAA" w14:textId="22AC70AF" w:rsidR="00B33C3A" w:rsidRPr="005E320F" w:rsidRDefault="008216E7" w:rsidP="00DB52C7">
      <w:pPr>
        <w:numPr>
          <w:ilvl w:val="0"/>
          <w:numId w:val="29"/>
        </w:numPr>
        <w:tabs>
          <w:tab w:val="clear" w:pos="567"/>
        </w:tabs>
        <w:spacing w:line="240" w:lineRule="auto"/>
        <w:ind w:left="567" w:right="-2" w:hanging="567"/>
        <w:rPr>
          <w:snapToGrid/>
          <w:szCs w:val="22"/>
          <w:lang w:val="lt-LT"/>
        </w:rPr>
      </w:pPr>
      <w:r w:rsidRPr="005E320F">
        <w:rPr>
          <w:rFonts w:eastAsia="Calibri"/>
          <w:snapToGrid/>
          <w:szCs w:val="22"/>
          <w:lang w:val="lt-LT" w:eastAsia="lt-LT" w:bidi="lt-LT"/>
        </w:rPr>
        <w:t>V</w:t>
      </w:r>
      <w:r w:rsidRPr="005E320F">
        <w:rPr>
          <w:snapToGrid/>
          <w:szCs w:val="22"/>
          <w:lang w:val="lt-LT" w:bidi="lt-LT"/>
        </w:rPr>
        <w:t xml:space="preserve">ėmimas, raugėjimas, kasos ir kepenų uždegimas, rėmuo, skrandžio gleivinės uždegimas, </w:t>
      </w:r>
      <w:r w:rsidR="000465BB" w:rsidRPr="005E320F">
        <w:rPr>
          <w:snapToGrid/>
          <w:szCs w:val="22"/>
          <w:lang w:val="lt-LT" w:bidi="lt-LT"/>
        </w:rPr>
        <w:t xml:space="preserve">sausa </w:t>
      </w:r>
      <w:r w:rsidRPr="005E320F">
        <w:rPr>
          <w:snapToGrid/>
          <w:szCs w:val="22"/>
          <w:lang w:val="lt-LT" w:bidi="lt-LT"/>
        </w:rPr>
        <w:t>burna.</w:t>
      </w:r>
    </w:p>
    <w:p w14:paraId="5B904722" w14:textId="59A8340C"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Odos paraudimas</w:t>
      </w:r>
      <w:r w:rsidR="00B33C3A" w:rsidRPr="005E320F">
        <w:rPr>
          <w:snapToGrid/>
          <w:szCs w:val="22"/>
          <w:lang w:val="lt-LT"/>
        </w:rPr>
        <w:t xml:space="preserve">, </w:t>
      </w:r>
      <w:r w:rsidRPr="005E320F">
        <w:rPr>
          <w:snapToGrid/>
          <w:szCs w:val="22"/>
          <w:lang w:val="lt-LT"/>
        </w:rPr>
        <w:t>dilgėlinė</w:t>
      </w:r>
      <w:r w:rsidR="00B33C3A" w:rsidRPr="005E320F">
        <w:rPr>
          <w:snapToGrid/>
          <w:szCs w:val="22"/>
          <w:lang w:val="lt-LT"/>
        </w:rPr>
        <w:t xml:space="preserve">, </w:t>
      </w:r>
      <w:r w:rsidRPr="005E320F">
        <w:rPr>
          <w:snapToGrid/>
          <w:szCs w:val="22"/>
          <w:lang w:val="lt-LT"/>
        </w:rPr>
        <w:t>odos išbėrimas</w:t>
      </w:r>
      <w:r w:rsidR="00B33C3A" w:rsidRPr="005E320F">
        <w:rPr>
          <w:snapToGrid/>
          <w:szCs w:val="22"/>
          <w:lang w:val="lt-LT"/>
        </w:rPr>
        <w:t xml:space="preserve">, </w:t>
      </w:r>
      <w:r w:rsidRPr="005E320F">
        <w:rPr>
          <w:snapToGrid/>
          <w:szCs w:val="22"/>
          <w:lang w:val="lt-LT"/>
        </w:rPr>
        <w:t xml:space="preserve">niežėjimas, </w:t>
      </w:r>
      <w:r w:rsidR="00CA1CFD" w:rsidRPr="005E320F">
        <w:rPr>
          <w:snapToGrid/>
          <w:szCs w:val="22"/>
          <w:lang w:val="lt-LT"/>
        </w:rPr>
        <w:t>nu</w:t>
      </w:r>
      <w:r w:rsidRPr="005E320F">
        <w:rPr>
          <w:snapToGrid/>
          <w:szCs w:val="22"/>
          <w:lang w:val="lt-LT"/>
        </w:rPr>
        <w:t>plikimas.</w:t>
      </w:r>
    </w:p>
    <w:p w14:paraId="4905BD0A" w14:textId="24E187A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Košmariški sapnai</w:t>
      </w:r>
      <w:r w:rsidR="00B33C3A" w:rsidRPr="005E320F">
        <w:rPr>
          <w:snapToGrid/>
          <w:szCs w:val="22"/>
          <w:lang w:val="lt-LT"/>
        </w:rPr>
        <w:t xml:space="preserve">, </w:t>
      </w:r>
      <w:r w:rsidRPr="005E320F">
        <w:rPr>
          <w:snapToGrid/>
          <w:szCs w:val="22"/>
          <w:lang w:val="lt-LT"/>
        </w:rPr>
        <w:t>sutrikęs miegas.</w:t>
      </w:r>
    </w:p>
    <w:p w14:paraId="7C3212BA" w14:textId="7B8F44FF"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Svaigulys</w:t>
      </w:r>
      <w:r w:rsidR="00B33C3A" w:rsidRPr="005E320F">
        <w:rPr>
          <w:snapToGrid/>
          <w:szCs w:val="22"/>
          <w:lang w:val="lt-LT"/>
        </w:rPr>
        <w:t xml:space="preserve">, </w:t>
      </w:r>
      <w:r w:rsidRPr="005E320F">
        <w:rPr>
          <w:snapToGrid/>
          <w:szCs w:val="22"/>
          <w:lang w:val="lt-LT"/>
        </w:rPr>
        <w:t>tirpimas</w:t>
      </w:r>
      <w:r w:rsidR="00B33C3A" w:rsidRPr="005E320F">
        <w:rPr>
          <w:snapToGrid/>
          <w:szCs w:val="22"/>
          <w:lang w:val="lt-LT"/>
        </w:rPr>
        <w:t xml:space="preserve">, </w:t>
      </w:r>
      <w:r w:rsidRPr="005E320F">
        <w:rPr>
          <w:snapToGrid/>
          <w:szCs w:val="22"/>
          <w:lang w:val="lt-LT"/>
        </w:rPr>
        <w:t>skonio pojūčio sutrikimas</w:t>
      </w:r>
      <w:r w:rsidR="00B33C3A" w:rsidRPr="005E320F">
        <w:rPr>
          <w:snapToGrid/>
          <w:szCs w:val="22"/>
          <w:lang w:val="lt-LT"/>
        </w:rPr>
        <w:t xml:space="preserve">, </w:t>
      </w:r>
      <w:r w:rsidRPr="005E320F">
        <w:rPr>
          <w:snapToGrid/>
          <w:szCs w:val="22"/>
          <w:lang w:val="lt-LT"/>
        </w:rPr>
        <w:t>atminties sutrikimas</w:t>
      </w:r>
      <w:r w:rsidR="00B33C3A" w:rsidRPr="005E320F">
        <w:rPr>
          <w:snapToGrid/>
          <w:szCs w:val="22"/>
          <w:lang w:val="lt-LT"/>
        </w:rPr>
        <w:t xml:space="preserve">, </w:t>
      </w:r>
      <w:r w:rsidRPr="005E320F">
        <w:rPr>
          <w:snapToGrid/>
          <w:szCs w:val="22"/>
          <w:lang w:val="lt-LT"/>
        </w:rPr>
        <w:t>lokal</w:t>
      </w:r>
      <w:r w:rsidR="009102C7" w:rsidRPr="005E320F">
        <w:rPr>
          <w:snapToGrid/>
          <w:szCs w:val="22"/>
          <w:lang w:val="lt-LT"/>
        </w:rPr>
        <w:t>iai</w:t>
      </w:r>
      <w:r w:rsidRPr="005E320F">
        <w:rPr>
          <w:snapToGrid/>
          <w:szCs w:val="22"/>
          <w:lang w:val="lt-LT"/>
        </w:rPr>
        <w:t xml:space="preserve"> sutrikę pojūčiai</w:t>
      </w:r>
      <w:r w:rsidR="009102C7" w:rsidRPr="005E320F">
        <w:rPr>
          <w:snapToGrid/>
          <w:szCs w:val="22"/>
          <w:lang w:val="lt-LT"/>
        </w:rPr>
        <w:t>.</w:t>
      </w:r>
    </w:p>
    <w:p w14:paraId="28057191" w14:textId="7777777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 xml:space="preserve">Matomo vaizdo </w:t>
      </w:r>
      <w:proofErr w:type="spellStart"/>
      <w:r w:rsidR="00405A15" w:rsidRPr="005E320F">
        <w:rPr>
          <w:snapToGrid/>
          <w:szCs w:val="22"/>
          <w:lang w:val="lt-LT"/>
        </w:rPr>
        <w:t>neryškumas</w:t>
      </w:r>
      <w:proofErr w:type="spellEnd"/>
      <w:r w:rsidRPr="005E320F">
        <w:rPr>
          <w:snapToGrid/>
          <w:szCs w:val="22"/>
          <w:lang w:val="lt-LT"/>
        </w:rPr>
        <w:t>.</w:t>
      </w:r>
    </w:p>
    <w:p w14:paraId="73E29539" w14:textId="7777777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Spengimas ausyse.</w:t>
      </w:r>
    </w:p>
    <w:p w14:paraId="5683ABD5" w14:textId="1E731FC8"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Bendras negalavimas</w:t>
      </w:r>
      <w:r w:rsidR="00B33C3A" w:rsidRPr="005E320F">
        <w:rPr>
          <w:snapToGrid/>
          <w:szCs w:val="22"/>
          <w:lang w:val="lt-LT"/>
        </w:rPr>
        <w:t xml:space="preserve">, </w:t>
      </w:r>
      <w:r w:rsidRPr="005E320F">
        <w:rPr>
          <w:snapToGrid/>
          <w:szCs w:val="22"/>
          <w:lang w:val="lt-LT"/>
        </w:rPr>
        <w:t>n</w:t>
      </w:r>
      <w:r w:rsidR="00CA1CFD" w:rsidRPr="005E320F">
        <w:rPr>
          <w:snapToGrid/>
          <w:szCs w:val="22"/>
          <w:lang w:val="lt-LT"/>
        </w:rPr>
        <w:t>eram</w:t>
      </w:r>
      <w:r w:rsidRPr="005E320F">
        <w:rPr>
          <w:snapToGrid/>
          <w:szCs w:val="22"/>
          <w:lang w:val="lt-LT"/>
        </w:rPr>
        <w:t>umo pojūtis</w:t>
      </w:r>
      <w:r w:rsidR="00B33C3A" w:rsidRPr="005E320F">
        <w:rPr>
          <w:snapToGrid/>
          <w:szCs w:val="22"/>
          <w:lang w:val="lt-LT"/>
        </w:rPr>
        <w:t xml:space="preserve"> </w:t>
      </w:r>
      <w:r w:rsidRPr="005E320F">
        <w:rPr>
          <w:snapToGrid/>
          <w:szCs w:val="22"/>
          <w:lang w:val="lt-LT"/>
        </w:rPr>
        <w:t>ar skausmas.</w:t>
      </w:r>
    </w:p>
    <w:p w14:paraId="1463FB99" w14:textId="7777777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Silpnumas.</w:t>
      </w:r>
    </w:p>
    <w:p w14:paraId="5AB7E1AA" w14:textId="7777777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napToGrid/>
          <w:szCs w:val="22"/>
          <w:lang w:val="lt-LT"/>
        </w:rPr>
        <w:t>Padidėjęs kepenų fermento</w:t>
      </w:r>
      <w:r w:rsidR="00B33C3A" w:rsidRPr="005E320F">
        <w:rPr>
          <w:snapToGrid/>
          <w:szCs w:val="22"/>
          <w:lang w:val="lt-LT"/>
        </w:rPr>
        <w:t xml:space="preserve"> </w:t>
      </w:r>
      <w:proofErr w:type="spellStart"/>
      <w:r w:rsidR="00B33C3A" w:rsidRPr="005E320F">
        <w:rPr>
          <w:snapToGrid/>
          <w:szCs w:val="22"/>
          <w:lang w:val="lt-LT"/>
        </w:rPr>
        <w:t>gam</w:t>
      </w:r>
      <w:r w:rsidRPr="005E320F">
        <w:rPr>
          <w:snapToGrid/>
          <w:szCs w:val="22"/>
          <w:lang w:val="lt-LT"/>
        </w:rPr>
        <w:t>agliutamiltransferazės</w:t>
      </w:r>
      <w:proofErr w:type="spellEnd"/>
      <w:r w:rsidRPr="005E320F">
        <w:rPr>
          <w:snapToGrid/>
          <w:szCs w:val="22"/>
          <w:lang w:val="lt-LT"/>
        </w:rPr>
        <w:t xml:space="preserve"> aktyvumas.</w:t>
      </w:r>
    </w:p>
    <w:p w14:paraId="5B5922BA" w14:textId="77777777" w:rsidR="00B33C3A" w:rsidRPr="005E320F" w:rsidRDefault="008216E7" w:rsidP="00603A37">
      <w:pPr>
        <w:numPr>
          <w:ilvl w:val="0"/>
          <w:numId w:val="29"/>
        </w:numPr>
        <w:tabs>
          <w:tab w:val="clear" w:pos="567"/>
        </w:tabs>
        <w:spacing w:line="240" w:lineRule="auto"/>
        <w:ind w:left="567" w:right="-2" w:hanging="567"/>
        <w:rPr>
          <w:snapToGrid/>
          <w:szCs w:val="22"/>
          <w:lang w:val="lt-LT"/>
        </w:rPr>
      </w:pPr>
      <w:r w:rsidRPr="005E320F">
        <w:rPr>
          <w:szCs w:val="22"/>
          <w:lang w:val="lt-LT"/>
        </w:rPr>
        <w:t>Tiriant šlapimą, aptinkama baltųjų kraujo ląstelių</w:t>
      </w:r>
      <w:r w:rsidR="00B33C3A" w:rsidRPr="005E320F">
        <w:rPr>
          <w:snapToGrid/>
          <w:szCs w:val="22"/>
          <w:lang w:val="lt-LT"/>
        </w:rPr>
        <w:t>.</w:t>
      </w:r>
    </w:p>
    <w:p w14:paraId="05962FF6" w14:textId="77777777" w:rsidR="00B33C3A" w:rsidRPr="005E320F" w:rsidRDefault="00B33C3A" w:rsidP="00B33C3A">
      <w:pPr>
        <w:tabs>
          <w:tab w:val="clear" w:pos="567"/>
        </w:tabs>
        <w:spacing w:line="240" w:lineRule="auto"/>
        <w:ind w:right="-2"/>
        <w:rPr>
          <w:snapToGrid/>
          <w:szCs w:val="22"/>
          <w:lang w:val="lt-LT"/>
        </w:rPr>
      </w:pPr>
    </w:p>
    <w:p w14:paraId="6DBAA38A" w14:textId="0E476620" w:rsidR="008216E7" w:rsidRPr="005E320F" w:rsidRDefault="008E23C5" w:rsidP="007E15ED">
      <w:pPr>
        <w:keepNext/>
        <w:tabs>
          <w:tab w:val="clear" w:pos="567"/>
        </w:tabs>
        <w:spacing w:line="240" w:lineRule="auto"/>
        <w:rPr>
          <w:snapToGrid/>
          <w:szCs w:val="22"/>
          <w:lang w:val="lt-LT"/>
        </w:rPr>
      </w:pPr>
      <w:bookmarkStart w:id="22" w:name="_Hlk98758568"/>
      <w:r w:rsidRPr="005E320F">
        <w:rPr>
          <w:b/>
          <w:bCs/>
          <w:szCs w:val="22"/>
          <w:lang w:val="lt-LT"/>
        </w:rPr>
        <w:t>Reti šalutinio poveikio reiškiniai (gali pasireikšti rečiau kaip 1 iš 1 000 asmenų):</w:t>
      </w:r>
      <w:bookmarkEnd w:id="22"/>
    </w:p>
    <w:p w14:paraId="2C20E7A9" w14:textId="77777777"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Trombocitų kiekio sumažėjimas.</w:t>
      </w:r>
    </w:p>
    <w:p w14:paraId="68AFADBF" w14:textId="71BA0F4A" w:rsidR="003D5DC5" w:rsidRPr="005E320F" w:rsidRDefault="004A3CB3" w:rsidP="008216E7">
      <w:pPr>
        <w:numPr>
          <w:ilvl w:val="0"/>
          <w:numId w:val="29"/>
        </w:numPr>
        <w:tabs>
          <w:tab w:val="clear" w:pos="567"/>
        </w:tabs>
        <w:spacing w:line="240" w:lineRule="auto"/>
        <w:ind w:left="567" w:right="-2" w:hanging="567"/>
        <w:rPr>
          <w:szCs w:val="22"/>
          <w:lang w:val="lt-LT"/>
        </w:rPr>
      </w:pPr>
      <w:r w:rsidRPr="005E320F">
        <w:rPr>
          <w:szCs w:val="22"/>
          <w:lang w:val="lt-LT"/>
        </w:rPr>
        <w:t>Tirpimas, dilgčiojimas arba deginimas plaštakose ar pėdose (periferinė neuropatija)</w:t>
      </w:r>
      <w:r w:rsidR="003D5DC5" w:rsidRPr="005E320F">
        <w:rPr>
          <w:szCs w:val="22"/>
          <w:lang w:val="lt-LT"/>
        </w:rPr>
        <w:t>.</w:t>
      </w:r>
    </w:p>
    <w:p w14:paraId="36A97059" w14:textId="77777777" w:rsidR="008216E7" w:rsidRPr="005E320F" w:rsidRDefault="003B2789" w:rsidP="008216E7">
      <w:pPr>
        <w:numPr>
          <w:ilvl w:val="0"/>
          <w:numId w:val="29"/>
        </w:numPr>
        <w:tabs>
          <w:tab w:val="clear" w:pos="567"/>
        </w:tabs>
        <w:spacing w:line="240" w:lineRule="auto"/>
        <w:ind w:left="567" w:right="-2" w:hanging="567"/>
        <w:rPr>
          <w:szCs w:val="22"/>
          <w:lang w:val="lt-LT"/>
        </w:rPr>
      </w:pPr>
      <w:r w:rsidRPr="005E320F">
        <w:rPr>
          <w:szCs w:val="22"/>
          <w:lang w:val="lt-LT"/>
        </w:rPr>
        <w:t>Skeleto</w:t>
      </w:r>
      <w:r w:rsidR="008216E7" w:rsidRPr="005E320F">
        <w:rPr>
          <w:szCs w:val="22"/>
          <w:lang w:val="lt-LT"/>
        </w:rPr>
        <w:t xml:space="preserve"> raumenų uždegimas</w:t>
      </w:r>
      <w:r w:rsidR="00B33C3A" w:rsidRPr="005E320F">
        <w:rPr>
          <w:szCs w:val="22"/>
          <w:lang w:val="lt-LT"/>
        </w:rPr>
        <w:t xml:space="preserve">, </w:t>
      </w:r>
      <w:r w:rsidR="008216E7" w:rsidRPr="005E320F">
        <w:rPr>
          <w:szCs w:val="22"/>
          <w:lang w:val="lt-LT"/>
        </w:rPr>
        <w:t xml:space="preserve">sausgyslės uždegimas (kartais sausgyslė gali plyšti), raumenų silpnumas dėl </w:t>
      </w:r>
      <w:r w:rsidRPr="005E320F">
        <w:rPr>
          <w:szCs w:val="22"/>
          <w:lang w:val="lt-LT"/>
        </w:rPr>
        <w:t>skeleto</w:t>
      </w:r>
      <w:r w:rsidR="008216E7" w:rsidRPr="005E320F">
        <w:rPr>
          <w:szCs w:val="22"/>
          <w:lang w:val="lt-LT"/>
        </w:rPr>
        <w:t xml:space="preserve"> raumenų skaidulų nykimo.</w:t>
      </w:r>
    </w:p>
    <w:p w14:paraId="1D47D8C1" w14:textId="43A1AF92"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Reg</w:t>
      </w:r>
      <w:r w:rsidR="00CA1CFD" w:rsidRPr="005E320F">
        <w:rPr>
          <w:szCs w:val="22"/>
          <w:lang w:val="lt-LT"/>
        </w:rPr>
        <w:t>ėjim</w:t>
      </w:r>
      <w:r w:rsidRPr="005E320F">
        <w:rPr>
          <w:szCs w:val="22"/>
          <w:lang w:val="lt-LT"/>
        </w:rPr>
        <w:t>o sutrikimai.</w:t>
      </w:r>
    </w:p>
    <w:p w14:paraId="68533675" w14:textId="64C22921"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Odos ir akių baltymų pageltimas</w:t>
      </w:r>
      <w:r w:rsidR="00B33C3A" w:rsidRPr="005E320F">
        <w:rPr>
          <w:szCs w:val="22"/>
          <w:lang w:val="lt-LT"/>
        </w:rPr>
        <w:t>.</w:t>
      </w:r>
    </w:p>
    <w:p w14:paraId="43C9B9EB" w14:textId="77777777" w:rsidR="006B3D47" w:rsidRPr="005E320F" w:rsidRDefault="006B3D47" w:rsidP="008216E7">
      <w:pPr>
        <w:numPr>
          <w:ilvl w:val="0"/>
          <w:numId w:val="29"/>
        </w:numPr>
        <w:tabs>
          <w:tab w:val="clear" w:pos="567"/>
        </w:tabs>
        <w:spacing w:line="240" w:lineRule="auto"/>
        <w:ind w:left="567" w:right="-2" w:hanging="567"/>
        <w:rPr>
          <w:szCs w:val="22"/>
          <w:lang w:val="lt-LT"/>
        </w:rPr>
      </w:pPr>
      <w:r w:rsidRPr="005E320F">
        <w:rPr>
          <w:szCs w:val="22"/>
          <w:lang w:val="lt-LT"/>
        </w:rPr>
        <w:t>Išbėrimas, kuris gali atsirasti ant odos, arba burnos žaizdos (</w:t>
      </w:r>
      <w:proofErr w:type="spellStart"/>
      <w:r w:rsidRPr="005E320F">
        <w:rPr>
          <w:szCs w:val="22"/>
          <w:lang w:val="lt-LT"/>
        </w:rPr>
        <w:t>lichenoidinė</w:t>
      </w:r>
      <w:proofErr w:type="spellEnd"/>
      <w:r w:rsidRPr="005E320F">
        <w:rPr>
          <w:szCs w:val="22"/>
          <w:lang w:val="lt-LT"/>
        </w:rPr>
        <w:t xml:space="preserve"> [</w:t>
      </w:r>
      <w:proofErr w:type="spellStart"/>
      <w:r w:rsidRPr="005E320F">
        <w:rPr>
          <w:szCs w:val="22"/>
          <w:lang w:val="lt-LT"/>
        </w:rPr>
        <w:t>kerpligiška</w:t>
      </w:r>
      <w:proofErr w:type="spellEnd"/>
      <w:r w:rsidRPr="005E320F">
        <w:rPr>
          <w:szCs w:val="22"/>
          <w:lang w:val="lt-LT"/>
        </w:rPr>
        <w:t>] reakcija į vaistą).</w:t>
      </w:r>
    </w:p>
    <w:p w14:paraId="07B0C43D" w14:textId="48ED1FBF" w:rsidR="006B3D47" w:rsidRPr="005E320F" w:rsidRDefault="006B3D47" w:rsidP="008216E7">
      <w:pPr>
        <w:numPr>
          <w:ilvl w:val="0"/>
          <w:numId w:val="29"/>
        </w:numPr>
        <w:tabs>
          <w:tab w:val="clear" w:pos="567"/>
        </w:tabs>
        <w:spacing w:line="240" w:lineRule="auto"/>
        <w:ind w:left="567" w:right="-2" w:hanging="567"/>
        <w:rPr>
          <w:szCs w:val="22"/>
          <w:lang w:val="lt-LT"/>
        </w:rPr>
      </w:pPr>
      <w:r w:rsidRPr="005E320F">
        <w:rPr>
          <w:szCs w:val="22"/>
          <w:lang w:val="lt-LT"/>
        </w:rPr>
        <w:t>Violetin</w:t>
      </w:r>
      <w:r w:rsidR="005F2E3A" w:rsidRPr="005E320F">
        <w:rPr>
          <w:szCs w:val="22"/>
          <w:lang w:val="lt-LT"/>
        </w:rPr>
        <w:t>ės spalvos</w:t>
      </w:r>
      <w:r w:rsidRPr="005E320F">
        <w:rPr>
          <w:szCs w:val="22"/>
          <w:lang w:val="lt-LT"/>
        </w:rPr>
        <w:t xml:space="preserve"> odos pažeidimai (kraujagyslių uždegimo požymiai, </w:t>
      </w:r>
      <w:proofErr w:type="spellStart"/>
      <w:r w:rsidRPr="005E320F">
        <w:rPr>
          <w:szCs w:val="22"/>
          <w:lang w:val="lt-LT"/>
        </w:rPr>
        <w:t>vaskulitas</w:t>
      </w:r>
      <w:proofErr w:type="spellEnd"/>
      <w:r w:rsidRPr="005E320F">
        <w:rPr>
          <w:szCs w:val="22"/>
          <w:lang w:val="lt-LT"/>
        </w:rPr>
        <w:t>).</w:t>
      </w:r>
    </w:p>
    <w:p w14:paraId="5B5D183E" w14:textId="77777777" w:rsidR="00B33C3A" w:rsidRPr="005E320F" w:rsidRDefault="00B33C3A" w:rsidP="00B33C3A">
      <w:pPr>
        <w:tabs>
          <w:tab w:val="clear" w:pos="567"/>
        </w:tabs>
        <w:spacing w:line="240" w:lineRule="auto"/>
        <w:ind w:right="-2"/>
        <w:rPr>
          <w:snapToGrid/>
          <w:szCs w:val="22"/>
          <w:lang w:val="lt-LT"/>
        </w:rPr>
      </w:pPr>
    </w:p>
    <w:p w14:paraId="1D77F863" w14:textId="204178F6" w:rsidR="008216E7" w:rsidRPr="005E320F" w:rsidRDefault="008E23C5" w:rsidP="007E15ED">
      <w:pPr>
        <w:keepNext/>
        <w:tabs>
          <w:tab w:val="clear" w:pos="567"/>
        </w:tabs>
        <w:spacing w:line="240" w:lineRule="auto"/>
        <w:rPr>
          <w:snapToGrid/>
          <w:szCs w:val="22"/>
          <w:lang w:val="lt-LT"/>
        </w:rPr>
      </w:pPr>
      <w:bookmarkStart w:id="23" w:name="_Hlk98758366"/>
      <w:bookmarkStart w:id="24" w:name="_Hlk98758589"/>
      <w:r w:rsidRPr="005E320F">
        <w:rPr>
          <w:b/>
          <w:bCs/>
          <w:szCs w:val="22"/>
          <w:lang w:val="lt-LT"/>
        </w:rPr>
        <w:t>Labai reti šalutinio poveikio reiškiniai (gali pasireikšti rečiau kaip 1 iš 10 000 asmenų</w:t>
      </w:r>
      <w:bookmarkEnd w:id="23"/>
      <w:r w:rsidRPr="005E320F">
        <w:rPr>
          <w:b/>
          <w:bCs/>
          <w:szCs w:val="22"/>
          <w:lang w:val="lt-LT"/>
        </w:rPr>
        <w:t>):</w:t>
      </w:r>
      <w:bookmarkEnd w:id="24"/>
    </w:p>
    <w:p w14:paraId="1E80BD17" w14:textId="2494397B"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Alerginės reakcijos sukeltas anafilaksinis šokas.</w:t>
      </w:r>
    </w:p>
    <w:p w14:paraId="4BE2EE00" w14:textId="656DEC96" w:rsidR="00B33C3A" w:rsidRPr="005E320F" w:rsidRDefault="0053018E" w:rsidP="008216E7">
      <w:pPr>
        <w:numPr>
          <w:ilvl w:val="0"/>
          <w:numId w:val="29"/>
        </w:numPr>
        <w:tabs>
          <w:tab w:val="clear" w:pos="567"/>
        </w:tabs>
        <w:spacing w:line="240" w:lineRule="auto"/>
        <w:ind w:left="567" w:right="-2" w:hanging="567"/>
        <w:rPr>
          <w:szCs w:val="22"/>
          <w:lang w:val="lt-LT"/>
        </w:rPr>
      </w:pPr>
      <w:r w:rsidRPr="005E320F">
        <w:rPr>
          <w:szCs w:val="22"/>
          <w:lang w:val="lt-LT"/>
        </w:rPr>
        <w:t>Pri</w:t>
      </w:r>
      <w:r w:rsidR="009102C7" w:rsidRPr="005E320F">
        <w:rPr>
          <w:szCs w:val="22"/>
          <w:lang w:val="lt-LT"/>
        </w:rPr>
        <w:t>kurtimas</w:t>
      </w:r>
      <w:r w:rsidR="008216E7" w:rsidRPr="005E320F">
        <w:rPr>
          <w:szCs w:val="22"/>
          <w:lang w:val="lt-LT"/>
        </w:rPr>
        <w:t>.</w:t>
      </w:r>
    </w:p>
    <w:p w14:paraId="5BD15D40" w14:textId="77777777"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Kepenų nepakankamumas.</w:t>
      </w:r>
    </w:p>
    <w:p w14:paraId="09F345A2" w14:textId="77777777" w:rsidR="00B33C3A" w:rsidRPr="005E320F" w:rsidRDefault="008216E7" w:rsidP="008216E7">
      <w:pPr>
        <w:numPr>
          <w:ilvl w:val="0"/>
          <w:numId w:val="29"/>
        </w:numPr>
        <w:tabs>
          <w:tab w:val="clear" w:pos="567"/>
        </w:tabs>
        <w:spacing w:line="240" w:lineRule="auto"/>
        <w:ind w:left="567" w:right="-2" w:hanging="567"/>
        <w:rPr>
          <w:szCs w:val="22"/>
          <w:lang w:val="lt-LT"/>
        </w:rPr>
      </w:pPr>
      <w:r w:rsidRPr="005E320F">
        <w:rPr>
          <w:szCs w:val="22"/>
          <w:lang w:val="lt-LT"/>
        </w:rPr>
        <w:t>Krūtų padidėjimas vyrams</w:t>
      </w:r>
      <w:r w:rsidR="00B33C3A" w:rsidRPr="005E320F">
        <w:rPr>
          <w:szCs w:val="22"/>
          <w:lang w:val="lt-LT"/>
        </w:rPr>
        <w:t>.</w:t>
      </w:r>
    </w:p>
    <w:p w14:paraId="54C3021C" w14:textId="77777777" w:rsidR="00B33C3A" w:rsidRPr="005E320F" w:rsidRDefault="00B33C3A" w:rsidP="00B33C3A">
      <w:pPr>
        <w:tabs>
          <w:tab w:val="clear" w:pos="567"/>
        </w:tabs>
        <w:spacing w:line="240" w:lineRule="auto"/>
        <w:ind w:right="-2"/>
        <w:rPr>
          <w:snapToGrid/>
          <w:szCs w:val="22"/>
          <w:lang w:val="lt-LT"/>
        </w:rPr>
      </w:pPr>
    </w:p>
    <w:p w14:paraId="5834D718" w14:textId="2818FAF0" w:rsidR="00B33C3A" w:rsidRPr="005E320F" w:rsidRDefault="008E23C5" w:rsidP="007E15ED">
      <w:pPr>
        <w:keepNext/>
        <w:tabs>
          <w:tab w:val="clear" w:pos="567"/>
        </w:tabs>
        <w:spacing w:line="240" w:lineRule="auto"/>
        <w:rPr>
          <w:i/>
          <w:snapToGrid/>
          <w:szCs w:val="22"/>
          <w:lang w:val="lt-LT"/>
        </w:rPr>
      </w:pPr>
      <w:bookmarkStart w:id="25" w:name="_Hlk98758378"/>
      <w:r w:rsidRPr="005E320F">
        <w:rPr>
          <w:b/>
          <w:bCs/>
          <w:szCs w:val="22"/>
          <w:lang w:val="lt-LT"/>
        </w:rPr>
        <w:t xml:space="preserve">Šalutinio poveikio reiškiniai, kurių dažnis nežinomas (negali būti apskaičiuotas pagal turimus duomenis): </w:t>
      </w:r>
      <w:bookmarkEnd w:id="25"/>
    </w:p>
    <w:p w14:paraId="7E2C9546" w14:textId="451A2C94" w:rsidR="003C5F30" w:rsidRPr="005E320F" w:rsidRDefault="003C5F30" w:rsidP="008216E7">
      <w:pPr>
        <w:numPr>
          <w:ilvl w:val="0"/>
          <w:numId w:val="29"/>
        </w:numPr>
        <w:tabs>
          <w:tab w:val="clear" w:pos="567"/>
        </w:tabs>
        <w:spacing w:line="240" w:lineRule="auto"/>
        <w:ind w:left="567" w:right="-2" w:hanging="567"/>
        <w:rPr>
          <w:szCs w:val="22"/>
          <w:lang w:val="lt-LT"/>
        </w:rPr>
      </w:pPr>
      <w:r w:rsidRPr="005E320F">
        <w:rPr>
          <w:szCs w:val="22"/>
          <w:lang w:val="lt-LT"/>
        </w:rPr>
        <w:t>Alerginė reakcija, įskaitant</w:t>
      </w:r>
      <w:r w:rsidR="00B33C3A" w:rsidRPr="005E320F">
        <w:rPr>
          <w:szCs w:val="22"/>
          <w:lang w:val="lt-LT"/>
        </w:rPr>
        <w:t xml:space="preserve"> </w:t>
      </w:r>
      <w:r w:rsidRPr="005E320F">
        <w:rPr>
          <w:szCs w:val="22"/>
          <w:lang w:val="lt-LT"/>
        </w:rPr>
        <w:t>išbėrimą ir apatinių odos sluoksnių pa</w:t>
      </w:r>
      <w:r w:rsidR="000465BB" w:rsidRPr="005E320F">
        <w:rPr>
          <w:szCs w:val="22"/>
          <w:lang w:val="lt-LT"/>
        </w:rPr>
        <w:t>br</w:t>
      </w:r>
      <w:r w:rsidRPr="005E320F">
        <w:rPr>
          <w:szCs w:val="22"/>
          <w:lang w:val="lt-LT"/>
        </w:rPr>
        <w:t>in</w:t>
      </w:r>
      <w:r w:rsidR="000465BB" w:rsidRPr="005E320F">
        <w:rPr>
          <w:szCs w:val="22"/>
          <w:lang w:val="lt-LT"/>
        </w:rPr>
        <w:t>k</w:t>
      </w:r>
      <w:r w:rsidRPr="005E320F">
        <w:rPr>
          <w:szCs w:val="22"/>
          <w:lang w:val="lt-LT"/>
        </w:rPr>
        <w:t>imą.</w:t>
      </w:r>
    </w:p>
    <w:p w14:paraId="0F678B4E" w14:textId="182D0DCC" w:rsidR="003C5F30" w:rsidRPr="005E320F" w:rsidRDefault="003C5F30" w:rsidP="008216E7">
      <w:pPr>
        <w:numPr>
          <w:ilvl w:val="0"/>
          <w:numId w:val="29"/>
        </w:numPr>
        <w:tabs>
          <w:tab w:val="clear" w:pos="567"/>
        </w:tabs>
        <w:spacing w:line="240" w:lineRule="auto"/>
        <w:ind w:left="567" w:right="-2" w:hanging="567"/>
        <w:rPr>
          <w:szCs w:val="22"/>
          <w:lang w:val="lt-LT"/>
        </w:rPr>
      </w:pPr>
      <w:r w:rsidRPr="005E320F">
        <w:rPr>
          <w:szCs w:val="22"/>
          <w:lang w:val="lt-LT"/>
        </w:rPr>
        <w:t xml:space="preserve">Dusulys, tulžies pūslės uždegimas, tulžies </w:t>
      </w:r>
      <w:r w:rsidR="009102C7" w:rsidRPr="005E320F">
        <w:rPr>
          <w:szCs w:val="22"/>
          <w:lang w:val="lt-LT"/>
        </w:rPr>
        <w:t>akmenys</w:t>
      </w:r>
      <w:r w:rsidRPr="005E320F">
        <w:rPr>
          <w:szCs w:val="22"/>
          <w:lang w:val="lt-LT"/>
        </w:rPr>
        <w:t>.</w:t>
      </w:r>
    </w:p>
    <w:p w14:paraId="4D570AC6" w14:textId="77777777" w:rsidR="00EF5D26" w:rsidRPr="005E320F" w:rsidRDefault="004A3CB3" w:rsidP="008216E7">
      <w:pPr>
        <w:numPr>
          <w:ilvl w:val="0"/>
          <w:numId w:val="29"/>
        </w:numPr>
        <w:tabs>
          <w:tab w:val="clear" w:pos="567"/>
        </w:tabs>
        <w:spacing w:line="240" w:lineRule="auto"/>
        <w:ind w:left="567" w:right="-2" w:hanging="567"/>
        <w:rPr>
          <w:szCs w:val="22"/>
          <w:lang w:val="lt-LT"/>
        </w:rPr>
      </w:pPr>
      <w:r w:rsidRPr="005E320F">
        <w:rPr>
          <w:szCs w:val="22"/>
          <w:lang w:val="lt-LT"/>
        </w:rPr>
        <w:t>Išliekantis raumenų silpnumas</w:t>
      </w:r>
      <w:r w:rsidR="00B33C3A" w:rsidRPr="005E320F">
        <w:rPr>
          <w:szCs w:val="22"/>
          <w:lang w:val="lt-LT"/>
        </w:rPr>
        <w:t>.</w:t>
      </w:r>
      <w:r w:rsidR="00EF5D26" w:rsidRPr="005E320F">
        <w:rPr>
          <w:szCs w:val="22"/>
          <w:lang w:val="lt-LT"/>
        </w:rPr>
        <w:t xml:space="preserve"> </w:t>
      </w:r>
    </w:p>
    <w:p w14:paraId="16E63EE7" w14:textId="25A873CE" w:rsidR="00EF5D26" w:rsidRPr="005E320F" w:rsidRDefault="0078303E" w:rsidP="008216E7">
      <w:pPr>
        <w:numPr>
          <w:ilvl w:val="0"/>
          <w:numId w:val="29"/>
        </w:numPr>
        <w:tabs>
          <w:tab w:val="clear" w:pos="567"/>
        </w:tabs>
        <w:spacing w:line="240" w:lineRule="auto"/>
        <w:ind w:left="567" w:right="-2" w:hanging="567"/>
        <w:rPr>
          <w:szCs w:val="22"/>
          <w:lang w:val="lt-LT"/>
        </w:rPr>
      </w:pPr>
      <w:proofErr w:type="spellStart"/>
      <w:r w:rsidRPr="005E320F">
        <w:rPr>
          <w:szCs w:val="22"/>
          <w:lang w:val="lt-LT"/>
        </w:rPr>
        <w:t>Generalizuota</w:t>
      </w:r>
      <w:proofErr w:type="spellEnd"/>
      <w:r w:rsidR="00EF5D26" w:rsidRPr="005E320F">
        <w:rPr>
          <w:szCs w:val="22"/>
          <w:lang w:val="lt-LT"/>
        </w:rPr>
        <w:t xml:space="preserve"> </w:t>
      </w:r>
      <w:proofErr w:type="spellStart"/>
      <w:r w:rsidR="00EF5D26" w:rsidRPr="005E320F">
        <w:rPr>
          <w:szCs w:val="22"/>
          <w:lang w:val="lt-LT"/>
        </w:rPr>
        <w:t>miastenija</w:t>
      </w:r>
      <w:proofErr w:type="spellEnd"/>
      <w:r w:rsidR="00EF5D26" w:rsidRPr="005E320F">
        <w:rPr>
          <w:szCs w:val="22"/>
          <w:lang w:val="lt-LT"/>
        </w:rPr>
        <w:t xml:space="preserve"> (liga, sukelianti bendrą raumenų, įskaitant kai kuriais atvejais, kvėpuojant naudojamus raumenis, silpnumą). </w:t>
      </w:r>
    </w:p>
    <w:p w14:paraId="5037DC26" w14:textId="5E76B03E" w:rsidR="00B33C3A" w:rsidRPr="005E320F" w:rsidRDefault="00EF5D26" w:rsidP="008216E7">
      <w:pPr>
        <w:numPr>
          <w:ilvl w:val="0"/>
          <w:numId w:val="29"/>
        </w:numPr>
        <w:tabs>
          <w:tab w:val="clear" w:pos="567"/>
        </w:tabs>
        <w:spacing w:line="240" w:lineRule="auto"/>
        <w:ind w:left="567" w:right="-2" w:hanging="567"/>
        <w:rPr>
          <w:szCs w:val="22"/>
          <w:lang w:val="lt-LT"/>
        </w:rPr>
      </w:pPr>
      <w:r w:rsidRPr="005E320F">
        <w:rPr>
          <w:szCs w:val="22"/>
          <w:lang w:val="lt-LT"/>
        </w:rPr>
        <w:t xml:space="preserve">Akių </w:t>
      </w:r>
      <w:proofErr w:type="spellStart"/>
      <w:r w:rsidRPr="005E320F">
        <w:rPr>
          <w:szCs w:val="22"/>
          <w:lang w:val="lt-LT"/>
        </w:rPr>
        <w:t>miastenija</w:t>
      </w:r>
      <w:proofErr w:type="spellEnd"/>
      <w:r w:rsidRPr="005E320F">
        <w:rPr>
          <w:szCs w:val="22"/>
          <w:lang w:val="lt-LT"/>
        </w:rPr>
        <w:t xml:space="preserve"> (akių raumenų silpnumą sukelianti liga).</w:t>
      </w:r>
    </w:p>
    <w:p w14:paraId="0A057A58" w14:textId="13480DF2" w:rsidR="00B33C3A" w:rsidRPr="005E320F" w:rsidRDefault="00B33C3A" w:rsidP="008E23C5">
      <w:pPr>
        <w:tabs>
          <w:tab w:val="clear" w:pos="567"/>
        </w:tabs>
        <w:spacing w:line="240" w:lineRule="auto"/>
        <w:ind w:right="-2"/>
        <w:rPr>
          <w:snapToGrid/>
          <w:szCs w:val="22"/>
          <w:lang w:val="lt-LT"/>
        </w:rPr>
      </w:pPr>
    </w:p>
    <w:p w14:paraId="4E4BB123" w14:textId="56D082FA" w:rsidR="00EF5D26" w:rsidRPr="005E320F" w:rsidRDefault="00EF5D26" w:rsidP="008E23C5">
      <w:pPr>
        <w:tabs>
          <w:tab w:val="clear" w:pos="567"/>
        </w:tabs>
        <w:spacing w:line="240" w:lineRule="auto"/>
        <w:ind w:right="-2"/>
        <w:rPr>
          <w:snapToGrid/>
          <w:szCs w:val="22"/>
          <w:lang w:val="lt-LT"/>
        </w:rPr>
      </w:pPr>
      <w:r w:rsidRPr="005E320F">
        <w:rPr>
          <w:snapToGrid/>
          <w:szCs w:val="22"/>
          <w:lang w:val="lt-LT"/>
        </w:rPr>
        <w:t>Pasitarkite su gydytoju, jei jaučiate rankų ar kojų silpnumą, kuris pasunkėja aktyviau pajudėjus, jei dvejinasi akyse arba užkrenta akių vokai, sunku ryti arba pasireiškia dusulys.</w:t>
      </w:r>
    </w:p>
    <w:p w14:paraId="183D9FA4" w14:textId="77777777" w:rsidR="00EF5D26" w:rsidRPr="005E320F" w:rsidRDefault="00EF5D26" w:rsidP="009E5098">
      <w:pPr>
        <w:tabs>
          <w:tab w:val="clear" w:pos="567"/>
        </w:tabs>
        <w:spacing w:line="240" w:lineRule="auto"/>
        <w:ind w:right="-2"/>
        <w:rPr>
          <w:snapToGrid/>
          <w:szCs w:val="22"/>
          <w:lang w:val="lt-LT"/>
        </w:rPr>
      </w:pPr>
    </w:p>
    <w:p w14:paraId="0F3341F6" w14:textId="77777777" w:rsidR="00B33C3A" w:rsidRPr="005E320F" w:rsidRDefault="00A91C63" w:rsidP="007E15ED">
      <w:pPr>
        <w:tabs>
          <w:tab w:val="clear" w:pos="567"/>
        </w:tabs>
        <w:spacing w:line="240" w:lineRule="auto"/>
        <w:rPr>
          <w:snapToGrid/>
          <w:szCs w:val="22"/>
          <w:lang w:val="lt-LT"/>
        </w:rPr>
      </w:pPr>
      <w:r w:rsidRPr="005E320F">
        <w:rPr>
          <w:snapToGrid/>
          <w:szCs w:val="22"/>
          <w:lang w:val="lt-LT"/>
        </w:rPr>
        <w:t xml:space="preserve">Po kai kurių </w:t>
      </w:r>
      <w:proofErr w:type="spellStart"/>
      <w:r w:rsidRPr="005E320F">
        <w:rPr>
          <w:snapToGrid/>
          <w:szCs w:val="22"/>
          <w:lang w:val="lt-LT"/>
        </w:rPr>
        <w:t>statinų</w:t>
      </w:r>
      <w:proofErr w:type="spellEnd"/>
      <w:r w:rsidRPr="005E320F">
        <w:rPr>
          <w:snapToGrid/>
          <w:szCs w:val="22"/>
          <w:lang w:val="lt-LT"/>
        </w:rPr>
        <w:t xml:space="preserve"> (vaistų, vartojamų cholesterolio kiekiui mažinti) pateikimo į rinką papildomai pranešta apie toliau išvardytą šalutinį poveikį.</w:t>
      </w:r>
    </w:p>
    <w:p w14:paraId="3C76327D" w14:textId="47DA076D" w:rsidR="00B33C3A" w:rsidRPr="005E320F" w:rsidRDefault="0053018E" w:rsidP="003C5F30">
      <w:pPr>
        <w:numPr>
          <w:ilvl w:val="0"/>
          <w:numId w:val="29"/>
        </w:numPr>
        <w:tabs>
          <w:tab w:val="clear" w:pos="567"/>
        </w:tabs>
        <w:spacing w:line="240" w:lineRule="auto"/>
        <w:ind w:left="567" w:right="-2" w:hanging="567"/>
        <w:rPr>
          <w:szCs w:val="22"/>
          <w:lang w:val="lt-LT"/>
        </w:rPr>
      </w:pPr>
      <w:r w:rsidRPr="005E320F">
        <w:rPr>
          <w:szCs w:val="22"/>
          <w:lang w:val="lt-LT"/>
        </w:rPr>
        <w:t>K</w:t>
      </w:r>
      <w:r w:rsidR="003C5F30" w:rsidRPr="005E320F">
        <w:rPr>
          <w:szCs w:val="22"/>
          <w:lang w:val="lt-LT"/>
        </w:rPr>
        <w:t>vėpavimo sutrikimai, įskaitant užsitęsusį kosulį ir</w:t>
      </w:r>
      <w:r w:rsidR="000465BB" w:rsidRPr="005E320F">
        <w:rPr>
          <w:szCs w:val="22"/>
          <w:lang w:val="lt-LT"/>
        </w:rPr>
        <w:t> </w:t>
      </w:r>
      <w:r w:rsidR="003C5F30" w:rsidRPr="005E320F">
        <w:rPr>
          <w:szCs w:val="22"/>
          <w:lang w:val="lt-LT"/>
        </w:rPr>
        <w:t xml:space="preserve">(arba) </w:t>
      </w:r>
      <w:r w:rsidRPr="005E320F">
        <w:rPr>
          <w:szCs w:val="22"/>
          <w:lang w:val="lt-LT"/>
        </w:rPr>
        <w:t>kvėpavimo nepakankam</w:t>
      </w:r>
      <w:r w:rsidR="003C5F30" w:rsidRPr="005E320F">
        <w:rPr>
          <w:szCs w:val="22"/>
          <w:lang w:val="lt-LT"/>
        </w:rPr>
        <w:t>u</w:t>
      </w:r>
      <w:r w:rsidRPr="005E320F">
        <w:rPr>
          <w:szCs w:val="22"/>
          <w:lang w:val="lt-LT"/>
        </w:rPr>
        <w:t>mą</w:t>
      </w:r>
      <w:r w:rsidR="003C5F30" w:rsidRPr="005E320F">
        <w:rPr>
          <w:szCs w:val="22"/>
          <w:lang w:val="lt-LT"/>
        </w:rPr>
        <w:t xml:space="preserve"> arba karščiavimą</w:t>
      </w:r>
      <w:r w:rsidR="000465BB" w:rsidRPr="005E320F">
        <w:rPr>
          <w:szCs w:val="22"/>
          <w:lang w:val="lt-LT"/>
        </w:rPr>
        <w:t>.</w:t>
      </w:r>
    </w:p>
    <w:p w14:paraId="1D7BC120" w14:textId="0A87B169" w:rsidR="003C5F30" w:rsidRPr="005E320F" w:rsidRDefault="0053018E" w:rsidP="003C5F30">
      <w:pPr>
        <w:numPr>
          <w:ilvl w:val="0"/>
          <w:numId w:val="29"/>
        </w:numPr>
        <w:tabs>
          <w:tab w:val="clear" w:pos="567"/>
        </w:tabs>
        <w:spacing w:line="240" w:lineRule="auto"/>
        <w:ind w:left="567" w:right="-2" w:hanging="567"/>
        <w:rPr>
          <w:szCs w:val="22"/>
          <w:lang w:val="lt-LT"/>
        </w:rPr>
      </w:pPr>
      <w:r w:rsidRPr="005E320F">
        <w:rPr>
          <w:szCs w:val="22"/>
          <w:lang w:val="lt-LT"/>
        </w:rPr>
        <w:t>C</w:t>
      </w:r>
      <w:r w:rsidR="003C5F30" w:rsidRPr="005E320F">
        <w:rPr>
          <w:szCs w:val="22"/>
          <w:lang w:val="lt-LT"/>
        </w:rPr>
        <w:t>ukrinis diabetas</w:t>
      </w:r>
      <w:r w:rsidR="004A3CB3" w:rsidRPr="005E320F">
        <w:rPr>
          <w:szCs w:val="22"/>
          <w:lang w:val="lt-LT"/>
        </w:rPr>
        <w:t>. Jo pasireiškimo rizika yra didesnė, jei kraujyje yra didelis cukraus ar riebalų kiekis ir yra didelis kraujospūdis. Gydytojas stebės Jūsų būklę šio vaisto vartojimo laikotarpiu</w:t>
      </w:r>
      <w:r w:rsidR="003C5F30" w:rsidRPr="005E320F">
        <w:rPr>
          <w:szCs w:val="22"/>
          <w:lang w:val="lt-LT"/>
        </w:rPr>
        <w:t>.</w:t>
      </w:r>
    </w:p>
    <w:p w14:paraId="2FACA8B1" w14:textId="77777777" w:rsidR="00B33C3A" w:rsidRPr="005E320F" w:rsidRDefault="00B33C3A" w:rsidP="003C5F30">
      <w:pPr>
        <w:numPr>
          <w:ilvl w:val="0"/>
          <w:numId w:val="29"/>
        </w:numPr>
        <w:tabs>
          <w:tab w:val="clear" w:pos="567"/>
        </w:tabs>
        <w:spacing w:line="240" w:lineRule="auto"/>
        <w:ind w:left="567" w:right="-2" w:hanging="567"/>
        <w:rPr>
          <w:szCs w:val="22"/>
          <w:lang w:val="lt-LT"/>
        </w:rPr>
      </w:pPr>
      <w:r w:rsidRPr="005E320F">
        <w:rPr>
          <w:szCs w:val="22"/>
          <w:lang w:val="lt-LT"/>
        </w:rPr>
        <w:t>Depres</w:t>
      </w:r>
      <w:r w:rsidR="003C5F30" w:rsidRPr="005E320F">
        <w:rPr>
          <w:szCs w:val="22"/>
          <w:lang w:val="lt-LT"/>
        </w:rPr>
        <w:t>ija.</w:t>
      </w:r>
    </w:p>
    <w:p w14:paraId="0DD04D65" w14:textId="77777777" w:rsidR="00B33C3A" w:rsidRPr="005E320F" w:rsidRDefault="003C5F30" w:rsidP="003C5F30">
      <w:pPr>
        <w:numPr>
          <w:ilvl w:val="0"/>
          <w:numId w:val="29"/>
        </w:numPr>
        <w:tabs>
          <w:tab w:val="clear" w:pos="567"/>
        </w:tabs>
        <w:spacing w:line="240" w:lineRule="auto"/>
        <w:ind w:left="567" w:right="-2" w:hanging="567"/>
        <w:rPr>
          <w:szCs w:val="22"/>
          <w:lang w:val="lt-LT"/>
        </w:rPr>
      </w:pPr>
      <w:r w:rsidRPr="005E320F">
        <w:rPr>
          <w:szCs w:val="22"/>
          <w:lang w:val="lt-LT"/>
        </w:rPr>
        <w:t>Lytinės veiklos sutrikimas</w:t>
      </w:r>
      <w:r w:rsidR="00B33C3A" w:rsidRPr="005E320F">
        <w:rPr>
          <w:szCs w:val="22"/>
          <w:lang w:val="lt-LT"/>
        </w:rPr>
        <w:t>.</w:t>
      </w:r>
    </w:p>
    <w:p w14:paraId="0B35CCEC" w14:textId="77777777" w:rsidR="00381B7D" w:rsidRPr="005E320F" w:rsidRDefault="00381B7D" w:rsidP="00A31E3A">
      <w:pPr>
        <w:widowControl w:val="0"/>
        <w:tabs>
          <w:tab w:val="clear" w:pos="567"/>
        </w:tabs>
        <w:spacing w:line="240" w:lineRule="auto"/>
        <w:rPr>
          <w:snapToGrid/>
          <w:szCs w:val="22"/>
          <w:lang w:val="lt-LT" w:eastAsia="sl-SI"/>
        </w:rPr>
      </w:pPr>
    </w:p>
    <w:p w14:paraId="2A033A2D" w14:textId="77777777" w:rsidR="00381B7D" w:rsidRPr="005E320F" w:rsidRDefault="00381B7D" w:rsidP="007E15ED">
      <w:pPr>
        <w:keepNext/>
        <w:widowControl w:val="0"/>
        <w:spacing w:line="240" w:lineRule="auto"/>
        <w:rPr>
          <w:b/>
          <w:snapToGrid/>
          <w:szCs w:val="22"/>
          <w:lang w:val="lt-LT" w:eastAsia="sl-SI"/>
        </w:rPr>
      </w:pPr>
      <w:r w:rsidRPr="005E320F">
        <w:rPr>
          <w:b/>
          <w:snapToGrid/>
          <w:szCs w:val="22"/>
          <w:lang w:val="lt-LT" w:eastAsia="sl-SI"/>
        </w:rPr>
        <w:t>Pranešimas apie šalutinį poveikį</w:t>
      </w:r>
    </w:p>
    <w:p w14:paraId="58DB8BEA" w14:textId="31C7D75E" w:rsidR="00381B7D" w:rsidRPr="005E320F" w:rsidRDefault="00381B7D" w:rsidP="00A31E3A">
      <w:pPr>
        <w:widowControl w:val="0"/>
        <w:spacing w:line="240" w:lineRule="auto"/>
        <w:ind w:right="-449"/>
        <w:rPr>
          <w:snapToGrid/>
          <w:szCs w:val="22"/>
          <w:lang w:val="lt-LT" w:eastAsia="sl-SI"/>
        </w:rPr>
      </w:pPr>
      <w:r w:rsidRPr="005E320F">
        <w:rPr>
          <w:snapToGrid/>
          <w:szCs w:val="22"/>
          <w:lang w:val="lt-LT" w:eastAsia="sl-SI"/>
        </w:rPr>
        <w:t xml:space="preserve">Jeigu pasireiškė šalutinis poveikis, įskaitant šiame lapelyje nenurodytą, pasakykite gydytojui arba </w:t>
      </w:r>
      <w:r w:rsidRPr="005E320F">
        <w:rPr>
          <w:snapToGrid/>
          <w:szCs w:val="22"/>
          <w:lang w:val="lt-LT" w:eastAsia="sl-SI"/>
        </w:rPr>
        <w:lastRenderedPageBreak/>
        <w:t xml:space="preserve">vaistininkui. </w:t>
      </w:r>
      <w:bookmarkStart w:id="26" w:name="_Hlk98758632"/>
      <w:r w:rsidR="006B3D47" w:rsidRPr="005E320F">
        <w:rPr>
          <w:snapToGrid/>
          <w:color w:val="000000"/>
          <w:szCs w:val="22"/>
          <w:lang w:val="lt-LT"/>
        </w:rPr>
        <w:t xml:space="preserve">Pranešimą apie šalutinį poveikį galite užpildyti ir pateikti Valstybinės vaistų kontrolės tarnybos prie Lietuvos Respublikos sveikatos apsaugos ministerijos tinklalapyje </w:t>
      </w:r>
      <w:bookmarkStart w:id="27" w:name="_Hlk179381912"/>
      <w:r w:rsidR="006B3D47" w:rsidRPr="005E320F">
        <w:rPr>
          <w:snapToGrid/>
          <w:color w:val="0000EE"/>
          <w:szCs w:val="22"/>
          <w:u w:val="single"/>
          <w:lang w:val="lt-LT"/>
        </w:rPr>
        <w:t>https://vvkt.lrv.lt/lt/</w:t>
      </w:r>
      <w:r w:rsidR="006B3D47" w:rsidRPr="005E320F">
        <w:rPr>
          <w:snapToGrid/>
          <w:color w:val="000000"/>
          <w:szCs w:val="22"/>
          <w:lang w:val="lt-LT"/>
        </w:rPr>
        <w:t xml:space="preserve"> </w:t>
      </w:r>
      <w:bookmarkEnd w:id="27"/>
      <w:r w:rsidR="006B3D47" w:rsidRPr="005E320F">
        <w:rPr>
          <w:snapToGrid/>
          <w:color w:val="000000"/>
          <w:szCs w:val="22"/>
          <w:lang w:val="lt-LT"/>
        </w:rPr>
        <w:t xml:space="preserve">nurodytais būdais arba paskambinti nemokamu telefonu </w:t>
      </w:r>
      <w:r w:rsidR="0054203F" w:rsidRPr="00E906E9">
        <w:rPr>
          <w:snapToGrid/>
          <w:color w:val="000000"/>
          <w:szCs w:val="22"/>
          <w:lang w:val="lt-LT"/>
        </w:rPr>
        <w:t>+370</w:t>
      </w:r>
      <w:r w:rsidR="006B3D47" w:rsidRPr="005E320F">
        <w:rPr>
          <w:snapToGrid/>
          <w:color w:val="000000"/>
          <w:szCs w:val="22"/>
          <w:lang w:val="lt-LT"/>
        </w:rPr>
        <w:t xml:space="preserve"> 800 73 568.</w:t>
      </w:r>
      <w:bookmarkEnd w:id="26"/>
      <w:r w:rsidR="008E23C5" w:rsidRPr="005E320F">
        <w:rPr>
          <w:szCs w:val="22"/>
          <w:lang w:val="lt-LT"/>
        </w:rPr>
        <w:t xml:space="preserve"> </w:t>
      </w:r>
      <w:r w:rsidRPr="005E320F">
        <w:rPr>
          <w:snapToGrid/>
          <w:szCs w:val="22"/>
          <w:lang w:val="lt-LT" w:eastAsia="sl-SI"/>
        </w:rPr>
        <w:t>Pranešdami apie šalutinį poveikį galite mums padėti gauti daugiau informacijos apie šio vaisto saugumą</w:t>
      </w:r>
      <w:r w:rsidRPr="005E320F">
        <w:rPr>
          <w:szCs w:val="22"/>
          <w:lang w:val="lt-LT" w:eastAsia="sl-SI"/>
        </w:rPr>
        <w:t>.</w:t>
      </w:r>
    </w:p>
    <w:p w14:paraId="7993795B" w14:textId="77777777" w:rsidR="00381B7D" w:rsidRPr="005E320F" w:rsidRDefault="00381B7D" w:rsidP="00A31E3A">
      <w:pPr>
        <w:widowControl w:val="0"/>
        <w:tabs>
          <w:tab w:val="clear" w:pos="567"/>
        </w:tabs>
        <w:spacing w:line="240" w:lineRule="auto"/>
        <w:rPr>
          <w:snapToGrid/>
          <w:szCs w:val="22"/>
          <w:lang w:val="lt-LT" w:eastAsia="sl-SI"/>
        </w:rPr>
      </w:pPr>
    </w:p>
    <w:p w14:paraId="29A380BC" w14:textId="77777777" w:rsidR="00381B7D" w:rsidRPr="005E320F" w:rsidRDefault="00381B7D" w:rsidP="00A31E3A">
      <w:pPr>
        <w:widowControl w:val="0"/>
        <w:tabs>
          <w:tab w:val="clear" w:pos="567"/>
        </w:tabs>
        <w:spacing w:line="240" w:lineRule="auto"/>
        <w:rPr>
          <w:snapToGrid/>
          <w:szCs w:val="22"/>
          <w:lang w:val="lt-LT" w:eastAsia="sl-SI"/>
        </w:rPr>
      </w:pPr>
    </w:p>
    <w:p w14:paraId="008E7CB3"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5.</w:t>
      </w:r>
      <w:r w:rsidRPr="005E320F">
        <w:rPr>
          <w:b/>
          <w:snapToGrid/>
          <w:szCs w:val="22"/>
          <w:lang w:val="lt-LT" w:eastAsia="sl-SI"/>
        </w:rPr>
        <w:tab/>
        <w:t xml:space="preserve">Kaip laikyti </w:t>
      </w:r>
      <w:proofErr w:type="spellStart"/>
      <w:r w:rsidR="004373BE" w:rsidRPr="005E320F">
        <w:rPr>
          <w:b/>
          <w:snapToGrid/>
          <w:szCs w:val="22"/>
          <w:lang w:val="lt-LT" w:eastAsia="sl-SI"/>
        </w:rPr>
        <w:t>Torzelip</w:t>
      </w:r>
      <w:proofErr w:type="spellEnd"/>
    </w:p>
    <w:p w14:paraId="75528EAE" w14:textId="77777777" w:rsidR="00381B7D" w:rsidRPr="005E320F" w:rsidRDefault="00381B7D" w:rsidP="007E15ED">
      <w:pPr>
        <w:keepNext/>
        <w:widowControl w:val="0"/>
        <w:tabs>
          <w:tab w:val="clear" w:pos="567"/>
        </w:tabs>
        <w:spacing w:line="240" w:lineRule="auto"/>
        <w:rPr>
          <w:snapToGrid/>
          <w:szCs w:val="22"/>
          <w:lang w:val="lt-LT" w:eastAsia="sl-SI"/>
        </w:rPr>
      </w:pPr>
    </w:p>
    <w:p w14:paraId="7B389721"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Šį vaistą laikykite vaikams nepastebimoje ir nepasiekiamoje vietoje.</w:t>
      </w:r>
    </w:p>
    <w:p w14:paraId="450AC459" w14:textId="77777777" w:rsidR="00381B7D" w:rsidRPr="005E320F" w:rsidRDefault="00381B7D" w:rsidP="00A31E3A">
      <w:pPr>
        <w:widowControl w:val="0"/>
        <w:tabs>
          <w:tab w:val="clear" w:pos="567"/>
        </w:tabs>
        <w:spacing w:line="240" w:lineRule="auto"/>
        <w:rPr>
          <w:snapToGrid/>
          <w:szCs w:val="22"/>
          <w:lang w:val="lt-LT" w:eastAsia="sl-SI"/>
        </w:rPr>
      </w:pPr>
    </w:p>
    <w:p w14:paraId="491B71CF" w14:textId="77777777" w:rsidR="00381B7D" w:rsidRPr="005E320F" w:rsidRDefault="00381B7D" w:rsidP="00A31E3A">
      <w:pPr>
        <w:widowControl w:val="0"/>
        <w:tabs>
          <w:tab w:val="clear" w:pos="567"/>
        </w:tabs>
        <w:spacing w:line="240" w:lineRule="auto"/>
        <w:jc w:val="both"/>
        <w:rPr>
          <w:snapToGrid/>
          <w:szCs w:val="22"/>
          <w:lang w:val="lt-LT" w:eastAsia="sl-SI"/>
        </w:rPr>
      </w:pPr>
      <w:r w:rsidRPr="005E320F">
        <w:rPr>
          <w:snapToGrid/>
          <w:szCs w:val="22"/>
          <w:lang w:val="lt-LT" w:eastAsia="sl-SI"/>
        </w:rPr>
        <w:t>Ant dėžutės ir lizdinės plokštelės po „EXP“ nurodytam tinkamumo laikui pasibaigus, šio vaisto vartoti negalima. Vaistas tinkamas vartoti iki paskutinės nurodyto mėnesio dienos.</w:t>
      </w:r>
    </w:p>
    <w:p w14:paraId="3CE9E61F" w14:textId="77777777" w:rsidR="00381B7D" w:rsidRPr="005E320F" w:rsidRDefault="00381B7D" w:rsidP="00A31E3A">
      <w:pPr>
        <w:widowControl w:val="0"/>
        <w:tabs>
          <w:tab w:val="clear" w:pos="567"/>
        </w:tabs>
        <w:spacing w:line="240" w:lineRule="auto"/>
        <w:rPr>
          <w:snapToGrid/>
          <w:szCs w:val="22"/>
          <w:lang w:val="lt-LT" w:eastAsia="sl-SI"/>
        </w:rPr>
      </w:pPr>
    </w:p>
    <w:p w14:paraId="742DF785"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Laikyti gamintojo pakuotėje, kad vaistas būtų apsaugotas nuo šviesos.</w:t>
      </w:r>
    </w:p>
    <w:p w14:paraId="227D955D" w14:textId="77777777" w:rsidR="00381B7D" w:rsidRPr="005E320F" w:rsidRDefault="00381B7D" w:rsidP="00A31E3A">
      <w:pPr>
        <w:widowControl w:val="0"/>
        <w:tabs>
          <w:tab w:val="clear" w:pos="567"/>
        </w:tabs>
        <w:spacing w:line="240" w:lineRule="auto"/>
        <w:rPr>
          <w:snapToGrid/>
          <w:szCs w:val="22"/>
          <w:lang w:val="lt-LT" w:eastAsia="sl-SI"/>
        </w:rPr>
      </w:pPr>
    </w:p>
    <w:p w14:paraId="46D7E7ED"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Vaistų negalima išmesti į kanalizaciją arba su buitinėmis atliekomis. Kaip išmesti nereikalingus vaistus, klauskite vaistininko. Šios priemonės padės apsaugoti aplinką.</w:t>
      </w:r>
    </w:p>
    <w:p w14:paraId="63E95273" w14:textId="77777777" w:rsidR="00381B7D" w:rsidRPr="005E320F" w:rsidRDefault="00381B7D" w:rsidP="00A31E3A">
      <w:pPr>
        <w:widowControl w:val="0"/>
        <w:tabs>
          <w:tab w:val="clear" w:pos="567"/>
        </w:tabs>
        <w:spacing w:line="240" w:lineRule="auto"/>
        <w:rPr>
          <w:snapToGrid/>
          <w:szCs w:val="22"/>
          <w:lang w:val="lt-LT" w:eastAsia="sl-SI"/>
        </w:rPr>
      </w:pPr>
    </w:p>
    <w:p w14:paraId="090D0070" w14:textId="77777777" w:rsidR="00381B7D" w:rsidRPr="005E320F" w:rsidRDefault="00381B7D" w:rsidP="00A31E3A">
      <w:pPr>
        <w:widowControl w:val="0"/>
        <w:tabs>
          <w:tab w:val="clear" w:pos="567"/>
        </w:tabs>
        <w:spacing w:line="240" w:lineRule="auto"/>
        <w:rPr>
          <w:snapToGrid/>
          <w:szCs w:val="22"/>
          <w:lang w:val="lt-LT" w:eastAsia="sl-SI"/>
        </w:rPr>
      </w:pPr>
    </w:p>
    <w:p w14:paraId="52D6896D" w14:textId="77777777" w:rsidR="00381B7D" w:rsidRPr="005E320F" w:rsidRDefault="00381B7D" w:rsidP="007E15ED">
      <w:pPr>
        <w:keepNext/>
        <w:widowControl w:val="0"/>
        <w:tabs>
          <w:tab w:val="clear" w:pos="567"/>
        </w:tabs>
        <w:spacing w:line="240" w:lineRule="auto"/>
        <w:ind w:left="567" w:hanging="567"/>
        <w:rPr>
          <w:b/>
          <w:snapToGrid/>
          <w:szCs w:val="22"/>
          <w:lang w:val="lt-LT" w:eastAsia="sl-SI"/>
        </w:rPr>
      </w:pPr>
      <w:r w:rsidRPr="005E320F">
        <w:rPr>
          <w:b/>
          <w:snapToGrid/>
          <w:szCs w:val="22"/>
          <w:lang w:val="lt-LT" w:eastAsia="sl-SI"/>
        </w:rPr>
        <w:t>6.</w:t>
      </w:r>
      <w:r w:rsidRPr="005E320F">
        <w:rPr>
          <w:b/>
          <w:snapToGrid/>
          <w:szCs w:val="22"/>
          <w:lang w:val="lt-LT" w:eastAsia="sl-SI"/>
        </w:rPr>
        <w:tab/>
        <w:t>Pakuotės turinys ir kita informacija</w:t>
      </w:r>
    </w:p>
    <w:p w14:paraId="0B62F20B" w14:textId="77777777" w:rsidR="00381B7D" w:rsidRPr="005E320F" w:rsidRDefault="00381B7D" w:rsidP="007E15ED">
      <w:pPr>
        <w:keepNext/>
        <w:widowControl w:val="0"/>
        <w:spacing w:line="240" w:lineRule="auto"/>
        <w:rPr>
          <w:snapToGrid/>
          <w:szCs w:val="22"/>
          <w:lang w:val="lt-LT" w:eastAsia="sl-SI"/>
        </w:rPr>
      </w:pPr>
    </w:p>
    <w:p w14:paraId="6DEC427F" w14:textId="77777777" w:rsidR="00381B7D" w:rsidRPr="005E320F" w:rsidRDefault="004373BE" w:rsidP="007E15ED">
      <w:pPr>
        <w:keepNext/>
        <w:widowControl w:val="0"/>
        <w:tabs>
          <w:tab w:val="clear" w:pos="567"/>
        </w:tabs>
        <w:spacing w:line="240" w:lineRule="auto"/>
        <w:rPr>
          <w:b/>
          <w:snapToGrid/>
          <w:szCs w:val="22"/>
          <w:lang w:val="lt-LT" w:eastAsia="sl-SI"/>
        </w:rPr>
      </w:pPr>
      <w:proofErr w:type="spellStart"/>
      <w:r w:rsidRPr="005E320F">
        <w:rPr>
          <w:b/>
          <w:snapToGrid/>
          <w:szCs w:val="22"/>
          <w:lang w:val="lt-LT" w:eastAsia="sl-SI"/>
        </w:rPr>
        <w:t>Torzelip</w:t>
      </w:r>
      <w:proofErr w:type="spellEnd"/>
      <w:r w:rsidR="00381B7D" w:rsidRPr="005E320F">
        <w:rPr>
          <w:b/>
          <w:snapToGrid/>
          <w:szCs w:val="22"/>
          <w:lang w:val="lt-LT" w:eastAsia="sl-SI"/>
        </w:rPr>
        <w:t xml:space="preserve"> sudėtis</w:t>
      </w:r>
    </w:p>
    <w:p w14:paraId="1BBFEC50" w14:textId="674731ED" w:rsidR="00381B7D" w:rsidRPr="005E320F" w:rsidRDefault="00381B7D" w:rsidP="0054203F">
      <w:pPr>
        <w:widowControl w:val="0"/>
        <w:numPr>
          <w:ilvl w:val="0"/>
          <w:numId w:val="41"/>
        </w:numPr>
        <w:tabs>
          <w:tab w:val="clear" w:pos="567"/>
        </w:tabs>
        <w:autoSpaceDE w:val="0"/>
        <w:autoSpaceDN w:val="0"/>
        <w:adjustRightInd w:val="0"/>
        <w:spacing w:line="240" w:lineRule="auto"/>
        <w:ind w:left="567" w:hanging="567"/>
        <w:rPr>
          <w:snapToGrid/>
          <w:szCs w:val="22"/>
          <w:lang w:val="lt-LT" w:eastAsia="sl-SI"/>
        </w:rPr>
      </w:pPr>
      <w:r w:rsidRPr="005E320F">
        <w:rPr>
          <w:snapToGrid/>
          <w:szCs w:val="22"/>
          <w:lang w:val="lt-LT"/>
        </w:rPr>
        <w:t xml:space="preserve">Veikliosios medžiagos yra </w:t>
      </w:r>
      <w:proofErr w:type="spellStart"/>
      <w:r w:rsidRPr="005E320F">
        <w:rPr>
          <w:snapToGrid/>
          <w:szCs w:val="22"/>
          <w:lang w:val="lt-LT"/>
        </w:rPr>
        <w:t>ezetimibas</w:t>
      </w:r>
      <w:proofErr w:type="spellEnd"/>
      <w:r w:rsidR="00B7088D" w:rsidRPr="005E320F">
        <w:rPr>
          <w:snapToGrid/>
          <w:szCs w:val="22"/>
          <w:lang w:val="lt-LT"/>
        </w:rPr>
        <w:t xml:space="preserve"> ir </w:t>
      </w:r>
      <w:proofErr w:type="spellStart"/>
      <w:r w:rsidR="00B7088D" w:rsidRPr="005E320F">
        <w:rPr>
          <w:snapToGrid/>
          <w:szCs w:val="22"/>
          <w:lang w:val="lt-LT"/>
        </w:rPr>
        <w:t>atorvastatinas</w:t>
      </w:r>
      <w:proofErr w:type="spellEnd"/>
      <w:r w:rsidRPr="005E320F">
        <w:rPr>
          <w:snapToGrid/>
          <w:szCs w:val="22"/>
          <w:lang w:val="lt-LT"/>
        </w:rPr>
        <w:t>.</w:t>
      </w:r>
      <w:r w:rsidR="00B7088D" w:rsidRPr="005E320F">
        <w:rPr>
          <w:snapToGrid/>
          <w:szCs w:val="22"/>
          <w:lang w:val="lt-LT"/>
        </w:rPr>
        <w:t xml:space="preserve"> Kiekvienoje</w:t>
      </w:r>
      <w:r w:rsidR="000465BB" w:rsidRPr="005E320F">
        <w:rPr>
          <w:snapToGrid/>
          <w:szCs w:val="22"/>
          <w:lang w:val="lt-LT"/>
        </w:rPr>
        <w:t> </w:t>
      </w:r>
      <w:r w:rsidR="00B7088D" w:rsidRPr="005E320F">
        <w:rPr>
          <w:snapToGrid/>
          <w:szCs w:val="22"/>
          <w:lang w:val="lt-LT"/>
        </w:rPr>
        <w:t>tabletėje yra 10</w:t>
      </w:r>
      <w:r w:rsidR="00DB52C7" w:rsidRPr="005E320F">
        <w:rPr>
          <w:snapToGrid/>
          <w:szCs w:val="22"/>
          <w:lang w:val="lt-LT"/>
        </w:rPr>
        <w:t> mg</w:t>
      </w:r>
      <w:r w:rsidR="00B7088D" w:rsidRPr="005E320F">
        <w:rPr>
          <w:snapToGrid/>
          <w:szCs w:val="22"/>
          <w:lang w:val="lt-LT"/>
        </w:rPr>
        <w:t xml:space="preserve"> </w:t>
      </w:r>
      <w:proofErr w:type="spellStart"/>
      <w:r w:rsidR="00B7088D" w:rsidRPr="005E320F">
        <w:rPr>
          <w:snapToGrid/>
          <w:szCs w:val="22"/>
          <w:lang w:val="lt-LT"/>
        </w:rPr>
        <w:t>ezetimibo</w:t>
      </w:r>
      <w:proofErr w:type="spellEnd"/>
      <w:r w:rsidR="00B7088D" w:rsidRPr="005E320F">
        <w:rPr>
          <w:snapToGrid/>
          <w:szCs w:val="22"/>
          <w:lang w:val="lt-LT"/>
        </w:rPr>
        <w:t xml:space="preserve"> ir 10</w:t>
      </w:r>
      <w:r w:rsidR="00DB52C7" w:rsidRPr="005E320F">
        <w:rPr>
          <w:snapToGrid/>
          <w:szCs w:val="22"/>
          <w:lang w:val="lt-LT"/>
        </w:rPr>
        <w:t> mg</w:t>
      </w:r>
      <w:r w:rsidR="00B7088D" w:rsidRPr="005E320F">
        <w:rPr>
          <w:snapToGrid/>
          <w:szCs w:val="22"/>
          <w:highlight w:val="lightGray"/>
          <w:lang w:val="lt-LT"/>
        </w:rPr>
        <w:t>, 20</w:t>
      </w:r>
      <w:r w:rsidR="00DB52C7" w:rsidRPr="005E320F">
        <w:rPr>
          <w:snapToGrid/>
          <w:szCs w:val="22"/>
          <w:highlight w:val="lightGray"/>
          <w:lang w:val="lt-LT"/>
        </w:rPr>
        <w:t> mg</w:t>
      </w:r>
      <w:r w:rsidR="00B7088D" w:rsidRPr="005E320F">
        <w:rPr>
          <w:snapToGrid/>
          <w:szCs w:val="22"/>
          <w:highlight w:val="lightGray"/>
          <w:lang w:val="lt-LT"/>
        </w:rPr>
        <w:t>, 40</w:t>
      </w:r>
      <w:r w:rsidR="00DB52C7" w:rsidRPr="005E320F">
        <w:rPr>
          <w:snapToGrid/>
          <w:szCs w:val="22"/>
          <w:highlight w:val="lightGray"/>
          <w:lang w:val="lt-LT"/>
        </w:rPr>
        <w:t> mg</w:t>
      </w:r>
      <w:r w:rsidR="00B7088D" w:rsidRPr="005E320F">
        <w:rPr>
          <w:snapToGrid/>
          <w:szCs w:val="22"/>
          <w:highlight w:val="lightGray"/>
          <w:lang w:val="lt-LT"/>
        </w:rPr>
        <w:t xml:space="preserve"> arba 80</w:t>
      </w:r>
      <w:r w:rsidR="00DB52C7" w:rsidRPr="005E320F">
        <w:rPr>
          <w:snapToGrid/>
          <w:szCs w:val="22"/>
          <w:highlight w:val="lightGray"/>
          <w:lang w:val="lt-LT"/>
        </w:rPr>
        <w:t> mg</w:t>
      </w:r>
      <w:r w:rsidR="00B7088D" w:rsidRPr="005E320F">
        <w:rPr>
          <w:snapToGrid/>
          <w:szCs w:val="22"/>
          <w:lang w:val="lt-LT"/>
        </w:rPr>
        <w:t xml:space="preserve"> </w:t>
      </w:r>
      <w:proofErr w:type="spellStart"/>
      <w:r w:rsidR="00B7088D" w:rsidRPr="005E320F">
        <w:rPr>
          <w:snapToGrid/>
          <w:szCs w:val="22"/>
          <w:lang w:val="lt-LT"/>
        </w:rPr>
        <w:t>atorvastatino</w:t>
      </w:r>
      <w:proofErr w:type="spellEnd"/>
      <w:r w:rsidR="00B7088D" w:rsidRPr="005E320F">
        <w:rPr>
          <w:snapToGrid/>
          <w:szCs w:val="22"/>
          <w:lang w:val="lt-LT"/>
        </w:rPr>
        <w:t xml:space="preserve"> (</w:t>
      </w:r>
      <w:proofErr w:type="spellStart"/>
      <w:r w:rsidR="00B7088D" w:rsidRPr="005E320F">
        <w:rPr>
          <w:snapToGrid/>
          <w:szCs w:val="22"/>
          <w:lang w:val="lt-LT"/>
        </w:rPr>
        <w:t>atorvastatino</w:t>
      </w:r>
      <w:proofErr w:type="spellEnd"/>
      <w:r w:rsidR="00B7088D" w:rsidRPr="005E320F">
        <w:rPr>
          <w:snapToGrid/>
          <w:szCs w:val="22"/>
          <w:lang w:val="lt-LT"/>
        </w:rPr>
        <w:t xml:space="preserve"> kalcio druskos </w:t>
      </w:r>
      <w:proofErr w:type="spellStart"/>
      <w:r w:rsidR="00B7088D" w:rsidRPr="005E320F">
        <w:rPr>
          <w:snapToGrid/>
          <w:szCs w:val="22"/>
          <w:lang w:val="lt-LT"/>
        </w:rPr>
        <w:t>trihidrato</w:t>
      </w:r>
      <w:proofErr w:type="spellEnd"/>
      <w:r w:rsidR="00B7088D" w:rsidRPr="005E320F">
        <w:rPr>
          <w:snapToGrid/>
          <w:szCs w:val="22"/>
          <w:lang w:val="lt-LT"/>
        </w:rPr>
        <w:t xml:space="preserve"> pavidalu).</w:t>
      </w:r>
    </w:p>
    <w:p w14:paraId="2CD97B60" w14:textId="3AE0A867" w:rsidR="00381B7D" w:rsidRPr="005E320F" w:rsidRDefault="00381B7D" w:rsidP="0054203F">
      <w:pPr>
        <w:widowControl w:val="0"/>
        <w:numPr>
          <w:ilvl w:val="0"/>
          <w:numId w:val="41"/>
        </w:numPr>
        <w:tabs>
          <w:tab w:val="clear" w:pos="567"/>
        </w:tabs>
        <w:autoSpaceDE w:val="0"/>
        <w:autoSpaceDN w:val="0"/>
        <w:adjustRightInd w:val="0"/>
        <w:spacing w:line="240" w:lineRule="auto"/>
        <w:ind w:left="567" w:hanging="567"/>
        <w:rPr>
          <w:snapToGrid/>
          <w:szCs w:val="22"/>
          <w:lang w:val="lt-LT"/>
        </w:rPr>
      </w:pPr>
      <w:r w:rsidRPr="005E320F">
        <w:rPr>
          <w:snapToGrid/>
          <w:szCs w:val="22"/>
          <w:lang w:val="lt-LT"/>
        </w:rPr>
        <w:t xml:space="preserve">Pagalbinės medžiagos yra </w:t>
      </w:r>
      <w:r w:rsidR="00B7088D" w:rsidRPr="005E320F">
        <w:rPr>
          <w:snapToGrid/>
          <w:szCs w:val="22"/>
          <w:lang w:val="lt-LT"/>
        </w:rPr>
        <w:t xml:space="preserve">laktozė </w:t>
      </w:r>
      <w:proofErr w:type="spellStart"/>
      <w:r w:rsidR="00B7088D" w:rsidRPr="005E320F">
        <w:rPr>
          <w:snapToGrid/>
          <w:szCs w:val="22"/>
          <w:lang w:val="lt-LT"/>
        </w:rPr>
        <w:t>monohidratas</w:t>
      </w:r>
      <w:proofErr w:type="spellEnd"/>
      <w:r w:rsidR="00B7088D" w:rsidRPr="005E320F">
        <w:rPr>
          <w:snapToGrid/>
          <w:szCs w:val="22"/>
          <w:lang w:val="lt-LT"/>
        </w:rPr>
        <w:t xml:space="preserve">, kalcio karbonatas, </w:t>
      </w:r>
      <w:proofErr w:type="spellStart"/>
      <w:r w:rsidR="00B7088D" w:rsidRPr="005E320F">
        <w:rPr>
          <w:snapToGrid/>
          <w:szCs w:val="22"/>
          <w:lang w:val="lt-LT"/>
        </w:rPr>
        <w:t>mikrokristalinė</w:t>
      </w:r>
      <w:proofErr w:type="spellEnd"/>
      <w:r w:rsidR="00B7088D" w:rsidRPr="005E320F">
        <w:rPr>
          <w:snapToGrid/>
          <w:szCs w:val="22"/>
          <w:lang w:val="lt-LT"/>
        </w:rPr>
        <w:t xml:space="preserve"> celiuliozė, natrio </w:t>
      </w:r>
      <w:proofErr w:type="spellStart"/>
      <w:r w:rsidR="00B7088D" w:rsidRPr="005E320F">
        <w:rPr>
          <w:snapToGrid/>
          <w:szCs w:val="22"/>
          <w:lang w:val="lt-LT"/>
        </w:rPr>
        <w:t>laurilsulfatas</w:t>
      </w:r>
      <w:proofErr w:type="spellEnd"/>
      <w:r w:rsidR="00B7088D" w:rsidRPr="005E320F">
        <w:rPr>
          <w:snapToGrid/>
          <w:szCs w:val="22"/>
          <w:lang w:val="lt-LT"/>
        </w:rPr>
        <w:t xml:space="preserve"> </w:t>
      </w:r>
      <w:r w:rsidR="000465BB" w:rsidRPr="005E320F">
        <w:rPr>
          <w:snapToGrid/>
          <w:szCs w:val="22"/>
          <w:lang w:val="lt-LT"/>
        </w:rPr>
        <w:t>(</w:t>
      </w:r>
      <w:r w:rsidR="00B7088D" w:rsidRPr="005E320F">
        <w:rPr>
          <w:snapToGrid/>
          <w:szCs w:val="22"/>
          <w:lang w:val="lt-LT"/>
        </w:rPr>
        <w:t>E487</w:t>
      </w:r>
      <w:r w:rsidR="000465BB" w:rsidRPr="005E320F">
        <w:rPr>
          <w:snapToGrid/>
          <w:szCs w:val="22"/>
          <w:lang w:val="lt-LT"/>
        </w:rPr>
        <w:t>)</w:t>
      </w:r>
      <w:r w:rsidR="00B7088D" w:rsidRPr="005E320F">
        <w:rPr>
          <w:snapToGrid/>
          <w:szCs w:val="22"/>
          <w:lang w:val="lt-LT"/>
        </w:rPr>
        <w:t xml:space="preserve">, </w:t>
      </w:r>
      <w:proofErr w:type="spellStart"/>
      <w:r w:rsidR="00B7088D" w:rsidRPr="005E320F">
        <w:rPr>
          <w:snapToGrid/>
          <w:szCs w:val="22"/>
          <w:lang w:val="lt-LT"/>
        </w:rPr>
        <w:t>kroskarmeliozės</w:t>
      </w:r>
      <w:proofErr w:type="spellEnd"/>
      <w:r w:rsidR="00B7088D" w:rsidRPr="005E320F">
        <w:rPr>
          <w:snapToGrid/>
          <w:szCs w:val="22"/>
          <w:lang w:val="lt-LT"/>
        </w:rPr>
        <w:t xml:space="preserve"> natrio druska, </w:t>
      </w:r>
      <w:proofErr w:type="spellStart"/>
      <w:r w:rsidR="00B7088D" w:rsidRPr="005E320F">
        <w:rPr>
          <w:snapToGrid/>
          <w:szCs w:val="22"/>
          <w:lang w:val="lt-LT"/>
        </w:rPr>
        <w:t>povidonas</w:t>
      </w:r>
      <w:proofErr w:type="spellEnd"/>
      <w:r w:rsidR="000465BB" w:rsidRPr="005E320F">
        <w:rPr>
          <w:snapToGrid/>
          <w:szCs w:val="22"/>
          <w:lang w:val="lt-LT"/>
        </w:rPr>
        <w:t> </w:t>
      </w:r>
      <w:r w:rsidR="00B7088D" w:rsidRPr="005E320F">
        <w:rPr>
          <w:snapToGrid/>
          <w:szCs w:val="22"/>
          <w:lang w:val="lt-LT"/>
        </w:rPr>
        <w:t xml:space="preserve">K30, </w:t>
      </w:r>
      <w:proofErr w:type="spellStart"/>
      <w:r w:rsidR="00B7088D" w:rsidRPr="005E320F">
        <w:rPr>
          <w:snapToGrid/>
          <w:szCs w:val="22"/>
          <w:lang w:val="lt-LT"/>
        </w:rPr>
        <w:t>hidroksipropilceliuliozė</w:t>
      </w:r>
      <w:proofErr w:type="spellEnd"/>
      <w:r w:rsidR="00B7088D" w:rsidRPr="005E320F">
        <w:rPr>
          <w:snapToGrid/>
          <w:szCs w:val="22"/>
          <w:lang w:val="lt-LT"/>
        </w:rPr>
        <w:t xml:space="preserve">, magnio </w:t>
      </w:r>
      <w:proofErr w:type="spellStart"/>
      <w:r w:rsidR="00B7088D" w:rsidRPr="005E320F">
        <w:rPr>
          <w:snapToGrid/>
          <w:szCs w:val="22"/>
          <w:lang w:val="lt-LT"/>
        </w:rPr>
        <w:t>stearatas</w:t>
      </w:r>
      <w:proofErr w:type="spellEnd"/>
      <w:r w:rsidR="00B7088D" w:rsidRPr="005E320F">
        <w:rPr>
          <w:snapToGrid/>
          <w:szCs w:val="22"/>
          <w:lang w:val="lt-LT"/>
        </w:rPr>
        <w:t xml:space="preserve"> ir </w:t>
      </w:r>
      <w:proofErr w:type="spellStart"/>
      <w:r w:rsidR="00B7088D" w:rsidRPr="005E320F">
        <w:rPr>
          <w:snapToGrid/>
          <w:szCs w:val="22"/>
          <w:lang w:val="lt-LT"/>
        </w:rPr>
        <w:t>polisorbatas</w:t>
      </w:r>
      <w:proofErr w:type="spellEnd"/>
      <w:r w:rsidR="000465BB" w:rsidRPr="005E320F">
        <w:rPr>
          <w:snapToGrid/>
          <w:szCs w:val="22"/>
          <w:lang w:val="lt-LT"/>
        </w:rPr>
        <w:t> </w:t>
      </w:r>
      <w:r w:rsidR="00B7088D" w:rsidRPr="005E320F">
        <w:rPr>
          <w:snapToGrid/>
          <w:szCs w:val="22"/>
          <w:lang w:val="lt-LT"/>
        </w:rPr>
        <w:t>80</w:t>
      </w:r>
      <w:r w:rsidRPr="005E320F">
        <w:rPr>
          <w:snapToGrid/>
          <w:szCs w:val="22"/>
          <w:lang w:val="lt-LT"/>
        </w:rPr>
        <w:t>.</w:t>
      </w:r>
    </w:p>
    <w:p w14:paraId="2E5EE233" w14:textId="77777777" w:rsidR="00381B7D" w:rsidRPr="005E320F" w:rsidRDefault="00381B7D" w:rsidP="00A31E3A">
      <w:pPr>
        <w:widowControl w:val="0"/>
        <w:tabs>
          <w:tab w:val="clear" w:pos="567"/>
        </w:tabs>
        <w:spacing w:line="240" w:lineRule="auto"/>
        <w:rPr>
          <w:b/>
          <w:snapToGrid/>
          <w:szCs w:val="22"/>
          <w:lang w:val="lt-LT" w:eastAsia="sl-SI"/>
        </w:rPr>
      </w:pPr>
    </w:p>
    <w:p w14:paraId="0DFC3272" w14:textId="46F2609B" w:rsidR="00B7088D" w:rsidRPr="005E320F" w:rsidRDefault="004373BE" w:rsidP="007E15ED">
      <w:pPr>
        <w:keepNext/>
        <w:widowControl w:val="0"/>
        <w:tabs>
          <w:tab w:val="clear" w:pos="567"/>
        </w:tabs>
        <w:spacing w:line="240" w:lineRule="auto"/>
        <w:rPr>
          <w:snapToGrid/>
          <w:szCs w:val="22"/>
          <w:lang w:val="lt-LT"/>
        </w:rPr>
      </w:pPr>
      <w:proofErr w:type="spellStart"/>
      <w:r w:rsidRPr="005E320F">
        <w:rPr>
          <w:b/>
          <w:snapToGrid/>
          <w:szCs w:val="22"/>
          <w:lang w:val="lt-LT" w:eastAsia="sl-SI"/>
        </w:rPr>
        <w:t>Torzelip</w:t>
      </w:r>
      <w:proofErr w:type="spellEnd"/>
      <w:r w:rsidR="00381B7D" w:rsidRPr="005E320F">
        <w:rPr>
          <w:b/>
          <w:snapToGrid/>
          <w:szCs w:val="22"/>
          <w:lang w:val="lt-LT" w:eastAsia="sl-SI"/>
        </w:rPr>
        <w:t xml:space="preserve"> išvaizda ir kiekis pakuotėje</w:t>
      </w:r>
    </w:p>
    <w:p w14:paraId="1F28046D" w14:textId="5C2C7D8E" w:rsidR="00B7088D" w:rsidRPr="005E320F" w:rsidRDefault="00B7088D" w:rsidP="00B7088D">
      <w:pPr>
        <w:spacing w:line="240" w:lineRule="auto"/>
        <w:rPr>
          <w:snapToGrid/>
          <w:szCs w:val="22"/>
          <w:lang w:val="lt-LT" w:eastAsia="x-none"/>
        </w:rPr>
      </w:pPr>
      <w:proofErr w:type="spellStart"/>
      <w:r w:rsidRPr="005E320F">
        <w:rPr>
          <w:snapToGrid/>
          <w:szCs w:val="22"/>
          <w:lang w:val="lt-LT" w:eastAsia="sl-SI"/>
        </w:rPr>
        <w:t>Torzelip</w:t>
      </w:r>
      <w:proofErr w:type="spellEnd"/>
      <w:r w:rsidRPr="005E320F">
        <w:rPr>
          <w:snapToGrid/>
          <w:szCs w:val="22"/>
          <w:lang w:val="lt-LT" w:eastAsia="sl-SI"/>
        </w:rPr>
        <w:t xml:space="preserve"> </w:t>
      </w:r>
      <w:r w:rsidRPr="005E320F">
        <w:rPr>
          <w:snapToGrid/>
          <w:szCs w:val="22"/>
          <w:lang w:val="lt-LT"/>
        </w:rPr>
        <w:t>10</w:t>
      </w:r>
      <w:r w:rsidR="00DB52C7" w:rsidRPr="005E320F">
        <w:rPr>
          <w:snapToGrid/>
          <w:szCs w:val="22"/>
          <w:lang w:val="lt-LT"/>
        </w:rPr>
        <w:t> mg</w:t>
      </w:r>
      <w:r w:rsidRPr="005E320F">
        <w:rPr>
          <w:snapToGrid/>
          <w:szCs w:val="22"/>
          <w:lang w:val="lt-LT"/>
        </w:rPr>
        <w:t>/10</w:t>
      </w:r>
      <w:r w:rsidR="00DB52C7" w:rsidRPr="005E320F">
        <w:rPr>
          <w:snapToGrid/>
          <w:szCs w:val="22"/>
          <w:lang w:val="lt-LT"/>
        </w:rPr>
        <w:t> mg</w:t>
      </w:r>
      <w:r w:rsidRPr="005E320F">
        <w:rPr>
          <w:snapToGrid/>
          <w:szCs w:val="22"/>
          <w:lang w:val="lt-LT"/>
        </w:rPr>
        <w:t xml:space="preserve"> tabletės: </w:t>
      </w:r>
      <w:r w:rsidRPr="005E320F">
        <w:rPr>
          <w:snapToGrid/>
          <w:szCs w:val="22"/>
          <w:lang w:val="lt-LT" w:eastAsia="x-none"/>
        </w:rPr>
        <w:t>baltos arba balkšvos, kapsulės formos tabletės (12,7 mm</w:t>
      </w:r>
      <w:r w:rsidR="000465BB" w:rsidRPr="005E320F">
        <w:rPr>
          <w:snapToGrid/>
          <w:szCs w:val="22"/>
          <w:lang w:val="lt-LT" w:eastAsia="x-none"/>
        </w:rPr>
        <w:t> </w:t>
      </w:r>
      <w:r w:rsidRPr="005E320F">
        <w:rPr>
          <w:snapToGrid/>
          <w:szCs w:val="22"/>
          <w:lang w:val="lt-LT" w:eastAsia="x-none"/>
        </w:rPr>
        <w:t>x</w:t>
      </w:r>
      <w:r w:rsidR="000465BB" w:rsidRPr="005E320F">
        <w:rPr>
          <w:snapToGrid/>
          <w:szCs w:val="22"/>
          <w:lang w:val="lt-LT" w:eastAsia="x-none"/>
        </w:rPr>
        <w:t> </w:t>
      </w:r>
      <w:r w:rsidRPr="005E320F">
        <w:rPr>
          <w:snapToGrid/>
          <w:szCs w:val="22"/>
          <w:lang w:val="lt-LT" w:eastAsia="x-none"/>
        </w:rPr>
        <w:t>5,1 mm), vienoje</w:t>
      </w:r>
      <w:r w:rsidR="000465BB" w:rsidRPr="005E320F">
        <w:rPr>
          <w:snapToGrid/>
          <w:szCs w:val="22"/>
          <w:lang w:val="lt-LT" w:eastAsia="x-none"/>
        </w:rPr>
        <w:t> </w:t>
      </w:r>
      <w:r w:rsidRPr="005E320F">
        <w:rPr>
          <w:snapToGrid/>
          <w:szCs w:val="22"/>
          <w:lang w:val="lt-LT" w:eastAsia="x-none"/>
        </w:rPr>
        <w:t>pusėje įspausta „1“.</w:t>
      </w:r>
    </w:p>
    <w:p w14:paraId="5D3E883C" w14:textId="68CC8CA4" w:rsidR="00B7088D" w:rsidRPr="005E320F" w:rsidRDefault="00B7088D" w:rsidP="00B7088D">
      <w:pPr>
        <w:spacing w:line="240" w:lineRule="auto"/>
        <w:rPr>
          <w:snapToGrid/>
          <w:szCs w:val="22"/>
          <w:highlight w:val="lightGray"/>
          <w:lang w:val="lt-LT" w:eastAsia="x-none"/>
        </w:rPr>
      </w:pPr>
      <w:proofErr w:type="spellStart"/>
      <w:r w:rsidRPr="005E320F">
        <w:rPr>
          <w:snapToGrid/>
          <w:szCs w:val="22"/>
          <w:highlight w:val="lightGray"/>
          <w:lang w:val="lt-LT" w:eastAsia="sl-SI"/>
        </w:rPr>
        <w:t>Torzelip</w:t>
      </w:r>
      <w:proofErr w:type="spellEnd"/>
      <w:r w:rsidRPr="005E320F">
        <w:rPr>
          <w:snapToGrid/>
          <w:szCs w:val="22"/>
          <w:highlight w:val="lightGray"/>
          <w:lang w:val="lt-LT" w:eastAsia="sl-SI"/>
        </w:rPr>
        <w:t xml:space="preserve"> </w:t>
      </w:r>
      <w:r w:rsidRPr="005E320F">
        <w:rPr>
          <w:snapToGrid/>
          <w:szCs w:val="22"/>
          <w:highlight w:val="lightGray"/>
          <w:lang w:val="lt-LT"/>
        </w:rPr>
        <w:t>10</w:t>
      </w:r>
      <w:r w:rsidR="00DB52C7" w:rsidRPr="005E320F">
        <w:rPr>
          <w:snapToGrid/>
          <w:szCs w:val="22"/>
          <w:highlight w:val="lightGray"/>
          <w:lang w:val="lt-LT"/>
        </w:rPr>
        <w:t> mg</w:t>
      </w:r>
      <w:r w:rsidRPr="005E320F">
        <w:rPr>
          <w:snapToGrid/>
          <w:szCs w:val="22"/>
          <w:highlight w:val="lightGray"/>
          <w:lang w:val="lt-LT"/>
        </w:rPr>
        <w:t>/20</w:t>
      </w:r>
      <w:r w:rsidR="00DB52C7" w:rsidRPr="005E320F">
        <w:rPr>
          <w:snapToGrid/>
          <w:szCs w:val="22"/>
          <w:highlight w:val="lightGray"/>
          <w:lang w:val="lt-LT"/>
        </w:rPr>
        <w:t> mg</w:t>
      </w:r>
      <w:r w:rsidRPr="005E320F">
        <w:rPr>
          <w:snapToGrid/>
          <w:szCs w:val="22"/>
          <w:highlight w:val="lightGray"/>
          <w:lang w:val="lt-LT"/>
        </w:rPr>
        <w:t xml:space="preserve"> tabletės: </w:t>
      </w:r>
      <w:r w:rsidRPr="005E320F">
        <w:rPr>
          <w:snapToGrid/>
          <w:szCs w:val="22"/>
          <w:highlight w:val="lightGray"/>
          <w:lang w:val="lt-LT" w:eastAsia="x-none"/>
        </w:rPr>
        <w:t>baltos arba balkšvos, kapsulės formos tabletės (14,5 mm</w:t>
      </w:r>
      <w:r w:rsidR="000465BB" w:rsidRPr="005E320F">
        <w:rPr>
          <w:snapToGrid/>
          <w:szCs w:val="22"/>
          <w:highlight w:val="lightGray"/>
          <w:lang w:val="lt-LT" w:eastAsia="x-none"/>
        </w:rPr>
        <w:t> </w:t>
      </w:r>
      <w:r w:rsidRPr="005E320F">
        <w:rPr>
          <w:snapToGrid/>
          <w:szCs w:val="22"/>
          <w:highlight w:val="lightGray"/>
          <w:lang w:val="lt-LT" w:eastAsia="x-none"/>
        </w:rPr>
        <w:t>x</w:t>
      </w:r>
      <w:r w:rsidR="000465BB" w:rsidRPr="005E320F">
        <w:rPr>
          <w:snapToGrid/>
          <w:szCs w:val="22"/>
          <w:highlight w:val="lightGray"/>
          <w:lang w:val="lt-LT" w:eastAsia="x-none"/>
        </w:rPr>
        <w:t> </w:t>
      </w:r>
      <w:r w:rsidRPr="005E320F">
        <w:rPr>
          <w:snapToGrid/>
          <w:szCs w:val="22"/>
          <w:highlight w:val="lightGray"/>
          <w:lang w:val="lt-LT" w:eastAsia="x-none"/>
        </w:rPr>
        <w:t>6,8 mm), vienoje</w:t>
      </w:r>
      <w:r w:rsidR="000465BB" w:rsidRPr="005E320F">
        <w:rPr>
          <w:snapToGrid/>
          <w:szCs w:val="22"/>
          <w:highlight w:val="lightGray"/>
          <w:lang w:val="lt-LT" w:eastAsia="x-none"/>
        </w:rPr>
        <w:t> </w:t>
      </w:r>
      <w:r w:rsidRPr="005E320F">
        <w:rPr>
          <w:snapToGrid/>
          <w:szCs w:val="22"/>
          <w:highlight w:val="lightGray"/>
          <w:lang w:val="lt-LT" w:eastAsia="x-none"/>
        </w:rPr>
        <w:t>pusėje įspausta „2“.</w:t>
      </w:r>
    </w:p>
    <w:p w14:paraId="42FD604E" w14:textId="6E4DEFB3" w:rsidR="00B7088D" w:rsidRPr="005E320F" w:rsidRDefault="00B7088D" w:rsidP="00B7088D">
      <w:pPr>
        <w:spacing w:line="240" w:lineRule="auto"/>
        <w:rPr>
          <w:snapToGrid/>
          <w:szCs w:val="22"/>
          <w:highlight w:val="lightGray"/>
          <w:lang w:val="lt-LT" w:eastAsia="x-none"/>
        </w:rPr>
      </w:pPr>
      <w:proofErr w:type="spellStart"/>
      <w:r w:rsidRPr="005E320F">
        <w:rPr>
          <w:snapToGrid/>
          <w:szCs w:val="22"/>
          <w:highlight w:val="lightGray"/>
          <w:lang w:val="lt-LT" w:eastAsia="sl-SI"/>
        </w:rPr>
        <w:t>Torzelip</w:t>
      </w:r>
      <w:proofErr w:type="spellEnd"/>
      <w:r w:rsidRPr="005E320F">
        <w:rPr>
          <w:snapToGrid/>
          <w:szCs w:val="22"/>
          <w:highlight w:val="lightGray"/>
          <w:lang w:val="lt-LT" w:eastAsia="sl-SI"/>
        </w:rPr>
        <w:t xml:space="preserve"> </w:t>
      </w:r>
      <w:r w:rsidRPr="005E320F">
        <w:rPr>
          <w:snapToGrid/>
          <w:szCs w:val="22"/>
          <w:highlight w:val="lightGray"/>
          <w:lang w:val="lt-LT"/>
        </w:rPr>
        <w:t>10</w:t>
      </w:r>
      <w:r w:rsidR="00DB52C7" w:rsidRPr="005E320F">
        <w:rPr>
          <w:snapToGrid/>
          <w:szCs w:val="22"/>
          <w:highlight w:val="lightGray"/>
          <w:lang w:val="lt-LT"/>
        </w:rPr>
        <w:t> mg</w:t>
      </w:r>
      <w:r w:rsidRPr="005E320F">
        <w:rPr>
          <w:snapToGrid/>
          <w:szCs w:val="22"/>
          <w:highlight w:val="lightGray"/>
          <w:lang w:val="lt-LT"/>
        </w:rPr>
        <w:t>/40</w:t>
      </w:r>
      <w:r w:rsidR="00DB52C7" w:rsidRPr="005E320F">
        <w:rPr>
          <w:snapToGrid/>
          <w:szCs w:val="22"/>
          <w:highlight w:val="lightGray"/>
          <w:lang w:val="lt-LT"/>
        </w:rPr>
        <w:t> mg</w:t>
      </w:r>
      <w:r w:rsidRPr="005E320F">
        <w:rPr>
          <w:snapToGrid/>
          <w:szCs w:val="22"/>
          <w:highlight w:val="lightGray"/>
          <w:lang w:val="lt-LT"/>
        </w:rPr>
        <w:t xml:space="preserve"> tabletės: </w:t>
      </w:r>
      <w:r w:rsidRPr="005E320F">
        <w:rPr>
          <w:snapToGrid/>
          <w:szCs w:val="22"/>
          <w:highlight w:val="lightGray"/>
          <w:lang w:val="lt-LT" w:eastAsia="x-none"/>
        </w:rPr>
        <w:t>baltos arba balkšvos, kapsulės formos tabletės (16,4 mm</w:t>
      </w:r>
      <w:r w:rsidR="000465BB" w:rsidRPr="005E320F">
        <w:rPr>
          <w:snapToGrid/>
          <w:szCs w:val="22"/>
          <w:highlight w:val="lightGray"/>
          <w:lang w:val="lt-LT" w:eastAsia="x-none"/>
        </w:rPr>
        <w:t> </w:t>
      </w:r>
      <w:r w:rsidRPr="005E320F">
        <w:rPr>
          <w:snapToGrid/>
          <w:szCs w:val="22"/>
          <w:highlight w:val="lightGray"/>
          <w:lang w:val="lt-LT" w:eastAsia="x-none"/>
        </w:rPr>
        <w:t>x</w:t>
      </w:r>
      <w:r w:rsidR="000465BB" w:rsidRPr="005E320F">
        <w:rPr>
          <w:snapToGrid/>
          <w:szCs w:val="22"/>
          <w:highlight w:val="lightGray"/>
          <w:lang w:val="lt-LT" w:eastAsia="x-none"/>
        </w:rPr>
        <w:t> </w:t>
      </w:r>
      <w:r w:rsidRPr="005E320F">
        <w:rPr>
          <w:snapToGrid/>
          <w:szCs w:val="22"/>
          <w:highlight w:val="lightGray"/>
          <w:lang w:val="lt-LT" w:eastAsia="x-none"/>
        </w:rPr>
        <w:t>6,3 mm), vienoje</w:t>
      </w:r>
      <w:r w:rsidR="000465BB" w:rsidRPr="005E320F">
        <w:rPr>
          <w:snapToGrid/>
          <w:szCs w:val="22"/>
          <w:highlight w:val="lightGray"/>
          <w:lang w:val="lt-LT" w:eastAsia="x-none"/>
        </w:rPr>
        <w:t> </w:t>
      </w:r>
      <w:r w:rsidRPr="005E320F">
        <w:rPr>
          <w:snapToGrid/>
          <w:szCs w:val="22"/>
          <w:highlight w:val="lightGray"/>
          <w:lang w:val="lt-LT" w:eastAsia="x-none"/>
        </w:rPr>
        <w:t>pusėje įspausta „3“.</w:t>
      </w:r>
    </w:p>
    <w:p w14:paraId="0D646981" w14:textId="705E7534" w:rsidR="00B7088D" w:rsidRPr="005E320F" w:rsidRDefault="00B7088D" w:rsidP="00B7088D">
      <w:pPr>
        <w:spacing w:line="240" w:lineRule="auto"/>
        <w:rPr>
          <w:snapToGrid/>
          <w:szCs w:val="22"/>
          <w:lang w:val="lt-LT" w:eastAsia="fr-FR"/>
        </w:rPr>
      </w:pPr>
      <w:proofErr w:type="spellStart"/>
      <w:r w:rsidRPr="005E320F">
        <w:rPr>
          <w:snapToGrid/>
          <w:szCs w:val="22"/>
          <w:highlight w:val="lightGray"/>
          <w:lang w:val="lt-LT" w:eastAsia="sl-SI"/>
        </w:rPr>
        <w:t>Torzelip</w:t>
      </w:r>
      <w:proofErr w:type="spellEnd"/>
      <w:r w:rsidRPr="005E320F">
        <w:rPr>
          <w:snapToGrid/>
          <w:szCs w:val="22"/>
          <w:highlight w:val="lightGray"/>
          <w:lang w:val="lt-LT" w:eastAsia="sl-SI"/>
        </w:rPr>
        <w:t xml:space="preserve"> </w:t>
      </w:r>
      <w:r w:rsidRPr="005E320F">
        <w:rPr>
          <w:snapToGrid/>
          <w:szCs w:val="22"/>
          <w:highlight w:val="lightGray"/>
          <w:lang w:val="lt-LT"/>
        </w:rPr>
        <w:t>10</w:t>
      </w:r>
      <w:r w:rsidR="00DB52C7" w:rsidRPr="005E320F">
        <w:rPr>
          <w:snapToGrid/>
          <w:szCs w:val="22"/>
          <w:highlight w:val="lightGray"/>
          <w:lang w:val="lt-LT"/>
        </w:rPr>
        <w:t> mg</w:t>
      </w:r>
      <w:r w:rsidRPr="005E320F">
        <w:rPr>
          <w:snapToGrid/>
          <w:szCs w:val="22"/>
          <w:highlight w:val="lightGray"/>
          <w:lang w:val="lt-LT"/>
        </w:rPr>
        <w:t>/80</w:t>
      </w:r>
      <w:r w:rsidR="00DB52C7" w:rsidRPr="005E320F">
        <w:rPr>
          <w:snapToGrid/>
          <w:szCs w:val="22"/>
          <w:highlight w:val="lightGray"/>
          <w:lang w:val="lt-LT"/>
        </w:rPr>
        <w:t> mg</w:t>
      </w:r>
      <w:r w:rsidRPr="005E320F">
        <w:rPr>
          <w:snapToGrid/>
          <w:szCs w:val="22"/>
          <w:highlight w:val="lightGray"/>
          <w:lang w:val="lt-LT"/>
        </w:rPr>
        <w:t xml:space="preserve"> tabletės: </w:t>
      </w:r>
      <w:r w:rsidRPr="005E320F">
        <w:rPr>
          <w:snapToGrid/>
          <w:szCs w:val="22"/>
          <w:highlight w:val="lightGray"/>
          <w:lang w:val="lt-LT" w:eastAsia="fr-FR"/>
        </w:rPr>
        <w:t>baltos arba balkšvos, kapsulės formos tabletės (17,0 mm</w:t>
      </w:r>
      <w:r w:rsidR="000465BB" w:rsidRPr="005E320F">
        <w:rPr>
          <w:snapToGrid/>
          <w:szCs w:val="22"/>
          <w:highlight w:val="lightGray"/>
          <w:lang w:val="lt-LT" w:eastAsia="fr-FR"/>
        </w:rPr>
        <w:t> </w:t>
      </w:r>
      <w:r w:rsidRPr="005E320F">
        <w:rPr>
          <w:snapToGrid/>
          <w:szCs w:val="22"/>
          <w:highlight w:val="lightGray"/>
          <w:lang w:val="lt-LT" w:eastAsia="fr-FR"/>
        </w:rPr>
        <w:t>x</w:t>
      </w:r>
      <w:r w:rsidR="000465BB" w:rsidRPr="005E320F">
        <w:rPr>
          <w:snapToGrid/>
          <w:szCs w:val="22"/>
          <w:highlight w:val="lightGray"/>
          <w:lang w:val="lt-LT" w:eastAsia="fr-FR"/>
        </w:rPr>
        <w:t> </w:t>
      </w:r>
      <w:r w:rsidRPr="005E320F">
        <w:rPr>
          <w:snapToGrid/>
          <w:szCs w:val="22"/>
          <w:highlight w:val="lightGray"/>
          <w:lang w:val="lt-LT" w:eastAsia="fr-FR"/>
        </w:rPr>
        <w:t>8,0 mm), vienoje</w:t>
      </w:r>
      <w:r w:rsidR="000465BB" w:rsidRPr="005E320F">
        <w:rPr>
          <w:snapToGrid/>
          <w:szCs w:val="22"/>
          <w:highlight w:val="lightGray"/>
          <w:lang w:val="lt-LT" w:eastAsia="fr-FR"/>
        </w:rPr>
        <w:t> </w:t>
      </w:r>
      <w:r w:rsidRPr="005E320F">
        <w:rPr>
          <w:snapToGrid/>
          <w:szCs w:val="22"/>
          <w:highlight w:val="lightGray"/>
          <w:lang w:val="lt-LT" w:eastAsia="fr-FR"/>
        </w:rPr>
        <w:t>pusėje įspausta „4“.</w:t>
      </w:r>
    </w:p>
    <w:p w14:paraId="6030332F" w14:textId="77777777" w:rsidR="00381B7D" w:rsidRPr="005E320F" w:rsidRDefault="00381B7D" w:rsidP="00A31E3A">
      <w:pPr>
        <w:widowControl w:val="0"/>
        <w:tabs>
          <w:tab w:val="clear" w:pos="567"/>
        </w:tabs>
        <w:spacing w:line="240" w:lineRule="auto"/>
        <w:rPr>
          <w:snapToGrid/>
          <w:szCs w:val="22"/>
          <w:lang w:val="lt-LT" w:eastAsia="sl-SI"/>
        </w:rPr>
      </w:pPr>
    </w:p>
    <w:p w14:paraId="34286A31" w14:textId="77B8B797" w:rsidR="00381B7D" w:rsidRPr="005E320F" w:rsidRDefault="00B7088D" w:rsidP="00A31E3A">
      <w:pPr>
        <w:widowControl w:val="0"/>
        <w:tabs>
          <w:tab w:val="clear" w:pos="567"/>
        </w:tabs>
        <w:spacing w:line="240" w:lineRule="auto"/>
        <w:rPr>
          <w:snapToGrid/>
          <w:szCs w:val="22"/>
          <w:lang w:val="lt-LT" w:eastAsia="sl-SI"/>
        </w:rPr>
      </w:pPr>
      <w:proofErr w:type="spellStart"/>
      <w:r w:rsidRPr="005E320F">
        <w:rPr>
          <w:snapToGrid/>
          <w:szCs w:val="22"/>
          <w:lang w:val="lt-LT" w:eastAsia="sl-SI"/>
        </w:rPr>
        <w:t>Torzelip</w:t>
      </w:r>
      <w:proofErr w:type="spellEnd"/>
      <w:r w:rsidRPr="005E320F">
        <w:rPr>
          <w:snapToGrid/>
          <w:szCs w:val="22"/>
          <w:lang w:val="lt-LT" w:eastAsia="sl-SI"/>
        </w:rPr>
        <w:t xml:space="preserve"> tabletės tiekiamos dėžutėmis po 10, 30, 90 ir 100</w:t>
      </w:r>
      <w:r w:rsidR="000465BB" w:rsidRPr="005E320F">
        <w:rPr>
          <w:snapToGrid/>
          <w:szCs w:val="22"/>
          <w:lang w:val="lt-LT" w:eastAsia="sl-SI"/>
        </w:rPr>
        <w:t> </w:t>
      </w:r>
      <w:r w:rsidRPr="005E320F">
        <w:rPr>
          <w:snapToGrid/>
          <w:szCs w:val="22"/>
          <w:lang w:val="lt-LT" w:eastAsia="sl-SI"/>
        </w:rPr>
        <w:t>tablečių OPA/</w:t>
      </w:r>
      <w:r w:rsidR="00D82C0C" w:rsidRPr="005E320F">
        <w:rPr>
          <w:snapToGrid/>
          <w:szCs w:val="22"/>
          <w:lang w:val="lt-LT" w:eastAsia="sl-SI"/>
        </w:rPr>
        <w:t>aliuminio</w:t>
      </w:r>
      <w:r w:rsidRPr="005E320F">
        <w:rPr>
          <w:snapToGrid/>
          <w:szCs w:val="22"/>
          <w:lang w:val="lt-LT" w:eastAsia="sl-SI"/>
        </w:rPr>
        <w:t>/PVC lizdinėse plokštelėse</w:t>
      </w:r>
      <w:r w:rsidR="004A3CB3" w:rsidRPr="005E320F">
        <w:rPr>
          <w:snapToGrid/>
          <w:szCs w:val="22"/>
          <w:lang w:val="lt-LT" w:eastAsia="sl-SI"/>
        </w:rPr>
        <w:t>, padengtose aliuminio folija</w:t>
      </w:r>
      <w:r w:rsidR="00381B7D" w:rsidRPr="005E320F">
        <w:rPr>
          <w:snapToGrid/>
          <w:szCs w:val="22"/>
          <w:lang w:val="lt-LT" w:eastAsia="sl-SI"/>
        </w:rPr>
        <w:t>.</w:t>
      </w:r>
    </w:p>
    <w:p w14:paraId="0D7EA4A8" w14:textId="77777777" w:rsidR="00B7088D" w:rsidRPr="005E320F" w:rsidRDefault="00B7088D" w:rsidP="00A31E3A">
      <w:pPr>
        <w:widowControl w:val="0"/>
        <w:tabs>
          <w:tab w:val="clear" w:pos="567"/>
        </w:tabs>
        <w:spacing w:line="240" w:lineRule="auto"/>
        <w:rPr>
          <w:snapToGrid/>
          <w:szCs w:val="22"/>
          <w:lang w:val="lt-LT" w:eastAsia="sl-SI"/>
        </w:rPr>
      </w:pPr>
    </w:p>
    <w:p w14:paraId="4E7F861D" w14:textId="77777777" w:rsidR="00381B7D" w:rsidRPr="005E320F" w:rsidRDefault="00381B7D" w:rsidP="00A31E3A">
      <w:pPr>
        <w:widowControl w:val="0"/>
        <w:tabs>
          <w:tab w:val="clear" w:pos="567"/>
        </w:tabs>
        <w:spacing w:line="240" w:lineRule="auto"/>
        <w:rPr>
          <w:snapToGrid/>
          <w:szCs w:val="22"/>
          <w:lang w:val="lt-LT" w:eastAsia="sl-SI"/>
        </w:rPr>
      </w:pPr>
      <w:r w:rsidRPr="005E320F">
        <w:rPr>
          <w:snapToGrid/>
          <w:szCs w:val="22"/>
          <w:lang w:val="lt-LT" w:eastAsia="sl-SI"/>
        </w:rPr>
        <w:t>Gali būti tiekiamos ne visų dydžių pakuotės.</w:t>
      </w:r>
    </w:p>
    <w:p w14:paraId="0D48F283" w14:textId="77777777" w:rsidR="00381B7D" w:rsidRPr="005E320F" w:rsidRDefault="00381B7D" w:rsidP="00A31E3A">
      <w:pPr>
        <w:widowControl w:val="0"/>
        <w:tabs>
          <w:tab w:val="clear" w:pos="567"/>
        </w:tabs>
        <w:spacing w:line="240" w:lineRule="auto"/>
        <w:rPr>
          <w:snapToGrid/>
          <w:szCs w:val="22"/>
          <w:lang w:val="lt-LT" w:eastAsia="sl-SI"/>
        </w:rPr>
      </w:pPr>
    </w:p>
    <w:p w14:paraId="428C3540" w14:textId="77777777" w:rsidR="00381B7D" w:rsidRPr="005E320F" w:rsidRDefault="00381B7D" w:rsidP="007E15ED">
      <w:pPr>
        <w:keepNext/>
        <w:widowControl w:val="0"/>
        <w:tabs>
          <w:tab w:val="clear" w:pos="567"/>
        </w:tabs>
        <w:spacing w:line="240" w:lineRule="auto"/>
        <w:rPr>
          <w:b/>
          <w:snapToGrid/>
          <w:szCs w:val="22"/>
          <w:lang w:val="lt-LT" w:eastAsia="sl-SI"/>
        </w:rPr>
      </w:pPr>
      <w:r w:rsidRPr="005E320F">
        <w:rPr>
          <w:b/>
          <w:snapToGrid/>
          <w:szCs w:val="22"/>
          <w:lang w:val="lt-LT" w:eastAsia="sl-SI"/>
        </w:rPr>
        <w:t>Registruotojas ir gamintojas</w:t>
      </w:r>
    </w:p>
    <w:p w14:paraId="17E3B1CB" w14:textId="77777777" w:rsidR="00381B7D" w:rsidRPr="005E320F" w:rsidRDefault="00381B7D" w:rsidP="007E15ED">
      <w:pPr>
        <w:keepNext/>
        <w:widowControl w:val="0"/>
        <w:tabs>
          <w:tab w:val="clear" w:pos="567"/>
        </w:tabs>
        <w:spacing w:line="240" w:lineRule="auto"/>
        <w:rPr>
          <w:snapToGrid/>
          <w:szCs w:val="22"/>
          <w:lang w:val="lt-LT" w:eastAsia="sl-SI"/>
        </w:rPr>
      </w:pPr>
    </w:p>
    <w:p w14:paraId="15286E8C" w14:textId="77777777" w:rsidR="00381B7D" w:rsidRPr="005E320F" w:rsidRDefault="00381B7D" w:rsidP="007E15ED">
      <w:pPr>
        <w:keepNext/>
        <w:widowControl w:val="0"/>
        <w:tabs>
          <w:tab w:val="clear" w:pos="567"/>
          <w:tab w:val="left" w:pos="1296"/>
        </w:tabs>
        <w:snapToGrid w:val="0"/>
        <w:spacing w:line="240" w:lineRule="auto"/>
        <w:rPr>
          <w:i/>
          <w:snapToGrid/>
          <w:szCs w:val="22"/>
          <w:lang w:val="lt-LT"/>
        </w:rPr>
      </w:pPr>
      <w:bookmarkStart w:id="28" w:name="_Hlk58245270"/>
      <w:r w:rsidRPr="005E320F">
        <w:rPr>
          <w:i/>
          <w:snapToGrid/>
          <w:szCs w:val="22"/>
          <w:lang w:val="lt-LT"/>
        </w:rPr>
        <w:t>Registruotojas</w:t>
      </w:r>
    </w:p>
    <w:p w14:paraId="4B25B45F" w14:textId="1975ECE3" w:rsidR="0077016D" w:rsidRPr="005E320F" w:rsidRDefault="0077016D" w:rsidP="007E15ED">
      <w:pPr>
        <w:keepNext/>
        <w:widowControl w:val="0"/>
        <w:numPr>
          <w:ilvl w:val="12"/>
          <w:numId w:val="0"/>
        </w:numPr>
        <w:tabs>
          <w:tab w:val="clear" w:pos="567"/>
          <w:tab w:val="left" w:pos="1296"/>
        </w:tabs>
        <w:snapToGrid w:val="0"/>
        <w:spacing w:line="240" w:lineRule="auto"/>
        <w:ind w:right="-2"/>
        <w:rPr>
          <w:snapToGrid/>
          <w:szCs w:val="22"/>
          <w:lang w:val="lt-LT"/>
        </w:rPr>
      </w:pPr>
      <w:proofErr w:type="spellStart"/>
      <w:r w:rsidRPr="005E320F">
        <w:rPr>
          <w:snapToGrid/>
          <w:szCs w:val="22"/>
          <w:lang w:val="lt-LT"/>
        </w:rPr>
        <w:t>Zentiva</w:t>
      </w:r>
      <w:proofErr w:type="spellEnd"/>
      <w:r w:rsidR="00D1793F" w:rsidRPr="005E320F">
        <w:rPr>
          <w:snapToGrid/>
          <w:szCs w:val="22"/>
          <w:lang w:val="lt-LT"/>
        </w:rPr>
        <w:t>,</w:t>
      </w:r>
      <w:r w:rsidR="000465BB" w:rsidRPr="005E320F">
        <w:rPr>
          <w:snapToGrid/>
          <w:szCs w:val="22"/>
          <w:lang w:val="lt-LT"/>
        </w:rPr>
        <w:t> </w:t>
      </w:r>
      <w:proofErr w:type="spellStart"/>
      <w:r w:rsidRPr="005E320F">
        <w:rPr>
          <w:snapToGrid/>
          <w:szCs w:val="22"/>
          <w:lang w:val="lt-LT"/>
        </w:rPr>
        <w:t>k.s</w:t>
      </w:r>
      <w:proofErr w:type="spellEnd"/>
      <w:r w:rsidRPr="005E320F">
        <w:rPr>
          <w:snapToGrid/>
          <w:szCs w:val="22"/>
          <w:lang w:val="lt-LT"/>
        </w:rPr>
        <w:t>.</w:t>
      </w:r>
    </w:p>
    <w:p w14:paraId="00856D3E" w14:textId="3667179E" w:rsidR="0077016D" w:rsidRPr="005E320F" w:rsidRDefault="0077016D" w:rsidP="007E15ED">
      <w:pPr>
        <w:keepNext/>
        <w:widowControl w:val="0"/>
        <w:numPr>
          <w:ilvl w:val="12"/>
          <w:numId w:val="0"/>
        </w:numPr>
        <w:tabs>
          <w:tab w:val="clear" w:pos="567"/>
          <w:tab w:val="left" w:pos="1296"/>
        </w:tabs>
        <w:snapToGrid w:val="0"/>
        <w:spacing w:line="240" w:lineRule="auto"/>
        <w:ind w:right="-2"/>
        <w:rPr>
          <w:snapToGrid/>
          <w:szCs w:val="22"/>
          <w:lang w:val="lt-LT"/>
        </w:rPr>
      </w:pPr>
      <w:r w:rsidRPr="005E320F">
        <w:rPr>
          <w:snapToGrid/>
          <w:szCs w:val="22"/>
          <w:lang w:val="lt-LT"/>
        </w:rPr>
        <w:t>U</w:t>
      </w:r>
      <w:r w:rsidR="000465BB" w:rsidRPr="005E320F">
        <w:rPr>
          <w:snapToGrid/>
          <w:szCs w:val="22"/>
          <w:lang w:val="lt-LT"/>
        </w:rPr>
        <w:t> </w:t>
      </w:r>
      <w:proofErr w:type="spellStart"/>
      <w:r w:rsidRPr="005E320F">
        <w:rPr>
          <w:snapToGrid/>
          <w:szCs w:val="22"/>
          <w:lang w:val="lt-LT"/>
        </w:rPr>
        <w:t>kabelovny</w:t>
      </w:r>
      <w:proofErr w:type="spellEnd"/>
      <w:r w:rsidR="000465BB" w:rsidRPr="005E320F">
        <w:rPr>
          <w:snapToGrid/>
          <w:szCs w:val="22"/>
          <w:lang w:val="lt-LT"/>
        </w:rPr>
        <w:t> </w:t>
      </w:r>
      <w:r w:rsidRPr="005E320F">
        <w:rPr>
          <w:snapToGrid/>
          <w:szCs w:val="22"/>
          <w:lang w:val="lt-LT"/>
        </w:rPr>
        <w:t>130</w:t>
      </w:r>
    </w:p>
    <w:p w14:paraId="19BC9700" w14:textId="2C01E756" w:rsidR="0077016D" w:rsidRPr="005E320F" w:rsidRDefault="0077016D" w:rsidP="007E15ED">
      <w:pPr>
        <w:keepNext/>
        <w:widowControl w:val="0"/>
        <w:numPr>
          <w:ilvl w:val="12"/>
          <w:numId w:val="0"/>
        </w:numPr>
        <w:tabs>
          <w:tab w:val="clear" w:pos="567"/>
          <w:tab w:val="left" w:pos="1296"/>
        </w:tabs>
        <w:snapToGrid w:val="0"/>
        <w:spacing w:line="240" w:lineRule="auto"/>
        <w:ind w:right="-2"/>
        <w:rPr>
          <w:snapToGrid/>
          <w:szCs w:val="22"/>
          <w:lang w:val="lt-LT"/>
        </w:rPr>
      </w:pPr>
      <w:proofErr w:type="spellStart"/>
      <w:r w:rsidRPr="005E320F">
        <w:rPr>
          <w:snapToGrid/>
          <w:szCs w:val="22"/>
          <w:lang w:val="lt-LT"/>
        </w:rPr>
        <w:t>Dolní</w:t>
      </w:r>
      <w:proofErr w:type="spellEnd"/>
      <w:r w:rsidRPr="005E320F">
        <w:rPr>
          <w:snapToGrid/>
          <w:szCs w:val="22"/>
          <w:lang w:val="lt-LT"/>
        </w:rPr>
        <w:t xml:space="preserve"> </w:t>
      </w:r>
      <w:proofErr w:type="spellStart"/>
      <w:r w:rsidRPr="005E320F">
        <w:rPr>
          <w:snapToGrid/>
          <w:szCs w:val="22"/>
          <w:lang w:val="lt-LT"/>
        </w:rPr>
        <w:t>Měcholupy</w:t>
      </w:r>
      <w:proofErr w:type="spellEnd"/>
    </w:p>
    <w:p w14:paraId="72F9ACAC" w14:textId="41078CAF" w:rsidR="0077016D" w:rsidRPr="005E320F" w:rsidRDefault="0077016D" w:rsidP="007E15ED">
      <w:pPr>
        <w:keepNext/>
        <w:widowControl w:val="0"/>
        <w:numPr>
          <w:ilvl w:val="12"/>
          <w:numId w:val="0"/>
        </w:numPr>
        <w:tabs>
          <w:tab w:val="clear" w:pos="567"/>
          <w:tab w:val="left" w:pos="1296"/>
        </w:tabs>
        <w:snapToGrid w:val="0"/>
        <w:spacing w:line="240" w:lineRule="auto"/>
        <w:ind w:right="-2"/>
        <w:rPr>
          <w:snapToGrid/>
          <w:szCs w:val="22"/>
          <w:lang w:val="lt-LT"/>
        </w:rPr>
      </w:pPr>
      <w:r w:rsidRPr="005E320F">
        <w:rPr>
          <w:snapToGrid/>
          <w:szCs w:val="22"/>
          <w:lang w:val="lt-LT"/>
        </w:rPr>
        <w:t>102</w:t>
      </w:r>
      <w:r w:rsidR="000465BB" w:rsidRPr="005E320F">
        <w:rPr>
          <w:snapToGrid/>
          <w:szCs w:val="22"/>
          <w:lang w:val="lt-LT"/>
        </w:rPr>
        <w:t> </w:t>
      </w:r>
      <w:r w:rsidRPr="005E320F">
        <w:rPr>
          <w:snapToGrid/>
          <w:szCs w:val="22"/>
          <w:lang w:val="lt-LT"/>
        </w:rPr>
        <w:t>37</w:t>
      </w:r>
      <w:r w:rsidR="000465BB" w:rsidRPr="005E320F">
        <w:rPr>
          <w:snapToGrid/>
          <w:szCs w:val="22"/>
          <w:lang w:val="lt-LT"/>
        </w:rPr>
        <w:t> </w:t>
      </w:r>
      <w:r w:rsidRPr="005E320F">
        <w:rPr>
          <w:snapToGrid/>
          <w:szCs w:val="22"/>
          <w:lang w:val="lt-LT"/>
        </w:rPr>
        <w:t>Praha</w:t>
      </w:r>
      <w:r w:rsidR="000465BB" w:rsidRPr="005E320F">
        <w:rPr>
          <w:snapToGrid/>
          <w:szCs w:val="22"/>
          <w:lang w:val="lt-LT"/>
        </w:rPr>
        <w:t> </w:t>
      </w:r>
      <w:r w:rsidRPr="005E320F">
        <w:rPr>
          <w:snapToGrid/>
          <w:szCs w:val="22"/>
          <w:lang w:val="lt-LT"/>
        </w:rPr>
        <w:t>10</w:t>
      </w:r>
    </w:p>
    <w:p w14:paraId="6F62275F" w14:textId="77777777" w:rsidR="001859FA" w:rsidRPr="005E320F" w:rsidRDefault="0077016D" w:rsidP="00A31E3A">
      <w:pPr>
        <w:widowControl w:val="0"/>
        <w:numPr>
          <w:ilvl w:val="12"/>
          <w:numId w:val="0"/>
        </w:numPr>
        <w:tabs>
          <w:tab w:val="clear" w:pos="567"/>
          <w:tab w:val="left" w:pos="1296"/>
        </w:tabs>
        <w:snapToGrid w:val="0"/>
        <w:spacing w:line="240" w:lineRule="auto"/>
        <w:ind w:right="-2"/>
        <w:rPr>
          <w:snapToGrid/>
          <w:szCs w:val="22"/>
          <w:lang w:val="lt-LT"/>
        </w:rPr>
      </w:pPr>
      <w:r w:rsidRPr="005E320F">
        <w:rPr>
          <w:snapToGrid/>
          <w:szCs w:val="22"/>
          <w:lang w:val="lt-LT"/>
        </w:rPr>
        <w:t>Čekija</w:t>
      </w:r>
    </w:p>
    <w:p w14:paraId="238D6ADD" w14:textId="77777777" w:rsidR="001859FA" w:rsidRPr="005E320F" w:rsidRDefault="001859FA" w:rsidP="00A31E3A">
      <w:pPr>
        <w:widowControl w:val="0"/>
        <w:numPr>
          <w:ilvl w:val="12"/>
          <w:numId w:val="0"/>
        </w:numPr>
        <w:tabs>
          <w:tab w:val="clear" w:pos="567"/>
          <w:tab w:val="left" w:pos="1296"/>
        </w:tabs>
        <w:snapToGrid w:val="0"/>
        <w:spacing w:line="240" w:lineRule="auto"/>
        <w:ind w:right="-2"/>
        <w:rPr>
          <w:snapToGrid/>
          <w:szCs w:val="22"/>
          <w:lang w:val="lt-LT"/>
        </w:rPr>
      </w:pPr>
    </w:p>
    <w:p w14:paraId="034963CD" w14:textId="77777777" w:rsidR="00381B7D" w:rsidRPr="005E320F" w:rsidRDefault="00381B7D" w:rsidP="007E15ED">
      <w:pPr>
        <w:keepNext/>
        <w:widowControl w:val="0"/>
        <w:numPr>
          <w:ilvl w:val="12"/>
          <w:numId w:val="0"/>
        </w:numPr>
        <w:tabs>
          <w:tab w:val="clear" w:pos="567"/>
          <w:tab w:val="left" w:pos="1296"/>
        </w:tabs>
        <w:snapToGrid w:val="0"/>
        <w:spacing w:line="240" w:lineRule="auto"/>
        <w:rPr>
          <w:i/>
          <w:snapToGrid/>
          <w:szCs w:val="22"/>
          <w:lang w:val="lt-LT"/>
        </w:rPr>
      </w:pPr>
      <w:r w:rsidRPr="005E320F">
        <w:rPr>
          <w:i/>
          <w:snapToGrid/>
          <w:szCs w:val="22"/>
          <w:lang w:val="lt-LT"/>
        </w:rPr>
        <w:lastRenderedPageBreak/>
        <w:t>Gamintojas</w:t>
      </w:r>
    </w:p>
    <w:p w14:paraId="318655D6" w14:textId="35026EE9" w:rsidR="0077016D" w:rsidRPr="005E320F" w:rsidRDefault="0077016D" w:rsidP="007E15ED">
      <w:pPr>
        <w:keepNext/>
        <w:widowControl w:val="0"/>
        <w:numPr>
          <w:ilvl w:val="12"/>
          <w:numId w:val="0"/>
        </w:numPr>
        <w:tabs>
          <w:tab w:val="clear" w:pos="567"/>
          <w:tab w:val="left" w:pos="1296"/>
        </w:tabs>
        <w:snapToGrid w:val="0"/>
        <w:spacing w:line="240" w:lineRule="auto"/>
        <w:rPr>
          <w:bCs/>
          <w:snapToGrid/>
          <w:szCs w:val="22"/>
          <w:lang w:val="lt-LT"/>
        </w:rPr>
      </w:pPr>
      <w:proofErr w:type="spellStart"/>
      <w:r w:rsidRPr="005E320F">
        <w:rPr>
          <w:bCs/>
          <w:snapToGrid/>
          <w:szCs w:val="22"/>
          <w:lang w:val="lt-LT"/>
        </w:rPr>
        <w:t>Hennig</w:t>
      </w:r>
      <w:proofErr w:type="spellEnd"/>
      <w:r w:rsidRPr="005E320F">
        <w:rPr>
          <w:bCs/>
          <w:snapToGrid/>
          <w:szCs w:val="22"/>
          <w:lang w:val="lt-LT"/>
        </w:rPr>
        <w:t xml:space="preserve"> </w:t>
      </w:r>
      <w:proofErr w:type="spellStart"/>
      <w:r w:rsidRPr="005E320F">
        <w:rPr>
          <w:bCs/>
          <w:snapToGrid/>
          <w:szCs w:val="22"/>
          <w:lang w:val="lt-LT"/>
        </w:rPr>
        <w:t>Arzneimittel</w:t>
      </w:r>
      <w:proofErr w:type="spellEnd"/>
      <w:r w:rsidRPr="005E320F">
        <w:rPr>
          <w:bCs/>
          <w:snapToGrid/>
          <w:szCs w:val="22"/>
          <w:lang w:val="lt-LT"/>
        </w:rPr>
        <w:t xml:space="preserve"> </w:t>
      </w:r>
      <w:proofErr w:type="spellStart"/>
      <w:r w:rsidRPr="005E320F">
        <w:rPr>
          <w:bCs/>
          <w:snapToGrid/>
          <w:szCs w:val="22"/>
          <w:lang w:val="lt-LT"/>
        </w:rPr>
        <w:t>GmbH</w:t>
      </w:r>
      <w:proofErr w:type="spellEnd"/>
      <w:r w:rsidR="000465BB" w:rsidRPr="005E320F">
        <w:rPr>
          <w:bCs/>
          <w:snapToGrid/>
          <w:szCs w:val="22"/>
          <w:lang w:val="lt-LT"/>
        </w:rPr>
        <w:t> </w:t>
      </w:r>
      <w:r w:rsidRPr="005E320F">
        <w:rPr>
          <w:bCs/>
          <w:snapToGrid/>
          <w:szCs w:val="22"/>
          <w:lang w:val="lt-LT"/>
        </w:rPr>
        <w:t>&amp;</w:t>
      </w:r>
      <w:r w:rsidR="000465BB" w:rsidRPr="005E320F">
        <w:rPr>
          <w:bCs/>
          <w:snapToGrid/>
          <w:szCs w:val="22"/>
          <w:lang w:val="lt-LT"/>
        </w:rPr>
        <w:t> </w:t>
      </w:r>
      <w:proofErr w:type="spellStart"/>
      <w:r w:rsidRPr="005E320F">
        <w:rPr>
          <w:bCs/>
          <w:snapToGrid/>
          <w:szCs w:val="22"/>
          <w:lang w:val="lt-LT"/>
        </w:rPr>
        <w:t>Co</w:t>
      </w:r>
      <w:proofErr w:type="spellEnd"/>
      <w:r w:rsidRPr="005E320F">
        <w:rPr>
          <w:bCs/>
          <w:snapToGrid/>
          <w:szCs w:val="22"/>
          <w:lang w:val="lt-LT"/>
        </w:rPr>
        <w:t>.</w:t>
      </w:r>
      <w:r w:rsidR="000465BB" w:rsidRPr="005E320F">
        <w:rPr>
          <w:bCs/>
          <w:snapToGrid/>
          <w:szCs w:val="22"/>
          <w:lang w:val="lt-LT"/>
        </w:rPr>
        <w:t> </w:t>
      </w:r>
      <w:r w:rsidRPr="005E320F">
        <w:rPr>
          <w:bCs/>
          <w:snapToGrid/>
          <w:szCs w:val="22"/>
          <w:lang w:val="lt-LT"/>
        </w:rPr>
        <w:t>KG</w:t>
      </w:r>
    </w:p>
    <w:p w14:paraId="0997CC96" w14:textId="57A949FD" w:rsidR="0077016D" w:rsidRPr="005E320F" w:rsidRDefault="0077016D" w:rsidP="007E15ED">
      <w:pPr>
        <w:keepNext/>
        <w:widowControl w:val="0"/>
        <w:numPr>
          <w:ilvl w:val="12"/>
          <w:numId w:val="0"/>
        </w:numPr>
        <w:tabs>
          <w:tab w:val="clear" w:pos="567"/>
          <w:tab w:val="left" w:pos="1296"/>
        </w:tabs>
        <w:snapToGrid w:val="0"/>
        <w:spacing w:line="240" w:lineRule="auto"/>
        <w:rPr>
          <w:bCs/>
          <w:snapToGrid/>
          <w:szCs w:val="22"/>
          <w:lang w:val="lt-LT"/>
        </w:rPr>
      </w:pPr>
      <w:proofErr w:type="spellStart"/>
      <w:r w:rsidRPr="005E320F">
        <w:rPr>
          <w:bCs/>
          <w:snapToGrid/>
          <w:szCs w:val="22"/>
          <w:lang w:val="lt-LT"/>
        </w:rPr>
        <w:t>Liebigstr</w:t>
      </w:r>
      <w:r w:rsidR="00256BE7" w:rsidRPr="005E320F">
        <w:rPr>
          <w:bCs/>
          <w:snapToGrid/>
          <w:szCs w:val="22"/>
          <w:lang w:val="lt-LT"/>
        </w:rPr>
        <w:t>a</w:t>
      </w:r>
      <w:r w:rsidR="00256BE7" w:rsidRPr="005E320F">
        <w:rPr>
          <w:bCs/>
          <w:snapToGrid/>
          <w:szCs w:val="22"/>
          <w:lang w:val="de-DE"/>
        </w:rPr>
        <w:t>ße</w:t>
      </w:r>
      <w:proofErr w:type="spellEnd"/>
      <w:r w:rsidR="000465BB" w:rsidRPr="005E320F">
        <w:rPr>
          <w:bCs/>
          <w:snapToGrid/>
          <w:szCs w:val="22"/>
          <w:lang w:val="lt-LT"/>
        </w:rPr>
        <w:t> </w:t>
      </w:r>
      <w:r w:rsidRPr="005E320F">
        <w:rPr>
          <w:bCs/>
          <w:snapToGrid/>
          <w:szCs w:val="22"/>
          <w:lang w:val="lt-LT"/>
        </w:rPr>
        <w:t>1</w:t>
      </w:r>
      <w:r w:rsidR="00256BE7" w:rsidRPr="005E320F">
        <w:rPr>
          <w:bCs/>
          <w:snapToGrid/>
          <w:szCs w:val="22"/>
          <w:lang w:val="lt-LT"/>
        </w:rPr>
        <w:t>-</w:t>
      </w:r>
      <w:r w:rsidRPr="005E320F">
        <w:rPr>
          <w:bCs/>
          <w:snapToGrid/>
          <w:szCs w:val="22"/>
          <w:lang w:val="lt-LT"/>
        </w:rPr>
        <w:t>2</w:t>
      </w:r>
    </w:p>
    <w:p w14:paraId="7FABA728" w14:textId="2572FE39" w:rsidR="0077016D" w:rsidRPr="005E320F" w:rsidRDefault="00256BE7" w:rsidP="007E15ED">
      <w:pPr>
        <w:keepNext/>
        <w:widowControl w:val="0"/>
        <w:numPr>
          <w:ilvl w:val="12"/>
          <w:numId w:val="0"/>
        </w:numPr>
        <w:tabs>
          <w:tab w:val="clear" w:pos="567"/>
          <w:tab w:val="left" w:pos="1296"/>
        </w:tabs>
        <w:snapToGrid w:val="0"/>
        <w:spacing w:line="240" w:lineRule="auto"/>
        <w:rPr>
          <w:bCs/>
          <w:snapToGrid/>
          <w:szCs w:val="22"/>
          <w:lang w:val="lt-LT"/>
        </w:rPr>
      </w:pPr>
      <w:r w:rsidRPr="005E320F">
        <w:rPr>
          <w:bCs/>
          <w:snapToGrid/>
          <w:szCs w:val="22"/>
          <w:lang w:val="lt-LT"/>
        </w:rPr>
        <w:t xml:space="preserve">65439 </w:t>
      </w:r>
      <w:proofErr w:type="spellStart"/>
      <w:r w:rsidR="0077016D" w:rsidRPr="005E320F">
        <w:rPr>
          <w:bCs/>
          <w:snapToGrid/>
          <w:szCs w:val="22"/>
          <w:lang w:val="lt-LT"/>
        </w:rPr>
        <w:t>Flörsheim</w:t>
      </w:r>
      <w:proofErr w:type="spellEnd"/>
      <w:r w:rsidR="0077016D" w:rsidRPr="005E320F">
        <w:rPr>
          <w:bCs/>
          <w:snapToGrid/>
          <w:szCs w:val="22"/>
          <w:lang w:val="lt-LT"/>
        </w:rPr>
        <w:t xml:space="preserve"> am </w:t>
      </w:r>
      <w:proofErr w:type="spellStart"/>
      <w:r w:rsidR="0077016D" w:rsidRPr="005E320F">
        <w:rPr>
          <w:bCs/>
          <w:snapToGrid/>
          <w:szCs w:val="22"/>
          <w:lang w:val="lt-LT"/>
        </w:rPr>
        <w:t>Main</w:t>
      </w:r>
      <w:proofErr w:type="spellEnd"/>
      <w:r w:rsidR="0077016D" w:rsidRPr="005E320F">
        <w:rPr>
          <w:bCs/>
          <w:snapToGrid/>
          <w:szCs w:val="22"/>
          <w:lang w:val="lt-LT"/>
        </w:rPr>
        <w:t xml:space="preserve"> </w:t>
      </w:r>
    </w:p>
    <w:p w14:paraId="77389EF1" w14:textId="77777777" w:rsidR="0077016D" w:rsidRPr="005E320F" w:rsidRDefault="0077016D" w:rsidP="0077016D">
      <w:pPr>
        <w:widowControl w:val="0"/>
        <w:snapToGrid w:val="0"/>
        <w:spacing w:line="240" w:lineRule="auto"/>
        <w:jc w:val="both"/>
        <w:rPr>
          <w:bCs/>
          <w:snapToGrid/>
          <w:szCs w:val="22"/>
          <w:lang w:val="lt-LT"/>
        </w:rPr>
      </w:pPr>
      <w:r w:rsidRPr="005E320F">
        <w:rPr>
          <w:bCs/>
          <w:snapToGrid/>
          <w:szCs w:val="22"/>
          <w:lang w:val="lt-LT"/>
        </w:rPr>
        <w:t>Vokietija</w:t>
      </w:r>
    </w:p>
    <w:p w14:paraId="523675AA" w14:textId="4ABB2C0B" w:rsidR="00381B7D" w:rsidRPr="005E320F" w:rsidRDefault="00381B7D" w:rsidP="00A31E3A">
      <w:pPr>
        <w:widowControl w:val="0"/>
        <w:tabs>
          <w:tab w:val="clear" w:pos="567"/>
        </w:tabs>
        <w:spacing w:line="240" w:lineRule="auto"/>
        <w:rPr>
          <w:snapToGrid/>
          <w:szCs w:val="22"/>
          <w:lang w:val="lt-LT" w:eastAsia="sl-SI"/>
        </w:rPr>
      </w:pPr>
    </w:p>
    <w:p w14:paraId="3D00F0F6" w14:textId="77777777" w:rsidR="006B1F79" w:rsidRPr="005E320F" w:rsidRDefault="006B1F79" w:rsidP="006B1F79">
      <w:pPr>
        <w:widowControl w:val="0"/>
        <w:tabs>
          <w:tab w:val="clear" w:pos="567"/>
        </w:tabs>
        <w:spacing w:line="240" w:lineRule="auto"/>
        <w:rPr>
          <w:snapToGrid/>
          <w:szCs w:val="22"/>
          <w:lang w:val="lt-LT" w:eastAsia="sl-SI"/>
        </w:rPr>
      </w:pPr>
      <w:r w:rsidRPr="005E320F">
        <w:rPr>
          <w:snapToGrid/>
          <w:szCs w:val="22"/>
          <w:lang w:val="lt-LT" w:eastAsia="sl-SI"/>
        </w:rPr>
        <w:t xml:space="preserve">arba </w:t>
      </w:r>
    </w:p>
    <w:p w14:paraId="6828DFB6" w14:textId="77777777" w:rsidR="006B1F79" w:rsidRPr="005E320F" w:rsidRDefault="006B1F79" w:rsidP="006B1F79">
      <w:pPr>
        <w:widowControl w:val="0"/>
        <w:tabs>
          <w:tab w:val="clear" w:pos="567"/>
        </w:tabs>
        <w:spacing w:line="240" w:lineRule="auto"/>
        <w:rPr>
          <w:snapToGrid/>
          <w:szCs w:val="22"/>
          <w:lang w:val="lt-LT" w:eastAsia="sl-SI"/>
        </w:rPr>
      </w:pPr>
    </w:p>
    <w:p w14:paraId="031B3ADD" w14:textId="77777777" w:rsidR="006B1F79" w:rsidRPr="005E320F" w:rsidRDefault="006B1F79" w:rsidP="006B1F79">
      <w:pPr>
        <w:widowControl w:val="0"/>
        <w:tabs>
          <w:tab w:val="clear" w:pos="567"/>
        </w:tabs>
        <w:spacing w:line="240" w:lineRule="auto"/>
        <w:rPr>
          <w:snapToGrid/>
          <w:szCs w:val="22"/>
          <w:lang w:val="lt-LT" w:eastAsia="sl-SI"/>
        </w:rPr>
      </w:pPr>
      <w:proofErr w:type="spellStart"/>
      <w:r w:rsidRPr="005E320F">
        <w:rPr>
          <w:snapToGrid/>
          <w:szCs w:val="22"/>
          <w:lang w:val="lt-LT" w:eastAsia="sl-SI"/>
        </w:rPr>
        <w:t>Bluepharma</w:t>
      </w:r>
      <w:proofErr w:type="spellEnd"/>
      <w:r w:rsidRPr="005E320F">
        <w:rPr>
          <w:snapToGrid/>
          <w:szCs w:val="22"/>
          <w:lang w:val="lt-LT" w:eastAsia="sl-SI"/>
        </w:rPr>
        <w:t xml:space="preserve"> ‐ </w:t>
      </w:r>
      <w:proofErr w:type="spellStart"/>
      <w:r w:rsidRPr="005E320F">
        <w:rPr>
          <w:snapToGrid/>
          <w:szCs w:val="22"/>
          <w:lang w:val="lt-LT" w:eastAsia="sl-SI"/>
        </w:rPr>
        <w:t>Indústria</w:t>
      </w:r>
      <w:proofErr w:type="spellEnd"/>
      <w:r w:rsidRPr="005E320F">
        <w:rPr>
          <w:snapToGrid/>
          <w:szCs w:val="22"/>
          <w:lang w:val="lt-LT" w:eastAsia="sl-SI"/>
        </w:rPr>
        <w:t xml:space="preserve"> </w:t>
      </w:r>
      <w:proofErr w:type="spellStart"/>
      <w:r w:rsidRPr="005E320F">
        <w:rPr>
          <w:snapToGrid/>
          <w:szCs w:val="22"/>
          <w:lang w:val="lt-LT" w:eastAsia="sl-SI"/>
        </w:rPr>
        <w:t>Farmacêutica</w:t>
      </w:r>
      <w:proofErr w:type="spellEnd"/>
      <w:r w:rsidRPr="005E320F">
        <w:rPr>
          <w:snapToGrid/>
          <w:szCs w:val="22"/>
          <w:lang w:val="lt-LT" w:eastAsia="sl-SI"/>
        </w:rPr>
        <w:t>, S.A.</w:t>
      </w:r>
    </w:p>
    <w:p w14:paraId="46ADD96C" w14:textId="77777777" w:rsidR="006B1F79" w:rsidRPr="005E320F" w:rsidRDefault="006B1F79" w:rsidP="006B1F79">
      <w:pPr>
        <w:widowControl w:val="0"/>
        <w:tabs>
          <w:tab w:val="clear" w:pos="567"/>
        </w:tabs>
        <w:spacing w:line="240" w:lineRule="auto"/>
        <w:rPr>
          <w:snapToGrid/>
          <w:szCs w:val="22"/>
          <w:lang w:val="lt-LT" w:eastAsia="sl-SI"/>
        </w:rPr>
      </w:pPr>
      <w:proofErr w:type="spellStart"/>
      <w:r w:rsidRPr="005E320F">
        <w:rPr>
          <w:snapToGrid/>
          <w:szCs w:val="22"/>
          <w:lang w:val="lt-LT" w:eastAsia="sl-SI"/>
        </w:rPr>
        <w:t>Sao</w:t>
      </w:r>
      <w:proofErr w:type="spellEnd"/>
      <w:r w:rsidRPr="005E320F">
        <w:rPr>
          <w:snapToGrid/>
          <w:szCs w:val="22"/>
          <w:lang w:val="lt-LT" w:eastAsia="sl-SI"/>
        </w:rPr>
        <w:t xml:space="preserve"> </w:t>
      </w:r>
      <w:proofErr w:type="spellStart"/>
      <w:r w:rsidRPr="005E320F">
        <w:rPr>
          <w:snapToGrid/>
          <w:szCs w:val="22"/>
          <w:lang w:val="lt-LT" w:eastAsia="sl-SI"/>
        </w:rPr>
        <w:t>Martinho</w:t>
      </w:r>
      <w:proofErr w:type="spellEnd"/>
      <w:r w:rsidRPr="005E320F">
        <w:rPr>
          <w:snapToGrid/>
          <w:szCs w:val="22"/>
          <w:lang w:val="lt-LT" w:eastAsia="sl-SI"/>
        </w:rPr>
        <w:t xml:space="preserve"> </w:t>
      </w:r>
      <w:proofErr w:type="spellStart"/>
      <w:r w:rsidRPr="005E320F">
        <w:rPr>
          <w:snapToGrid/>
          <w:szCs w:val="22"/>
          <w:lang w:val="lt-LT" w:eastAsia="sl-SI"/>
        </w:rPr>
        <w:t>do</w:t>
      </w:r>
      <w:proofErr w:type="spellEnd"/>
      <w:r w:rsidRPr="005E320F">
        <w:rPr>
          <w:snapToGrid/>
          <w:szCs w:val="22"/>
          <w:lang w:val="lt-LT" w:eastAsia="sl-SI"/>
        </w:rPr>
        <w:t xml:space="preserve"> </w:t>
      </w:r>
      <w:proofErr w:type="spellStart"/>
      <w:r w:rsidRPr="005E320F">
        <w:rPr>
          <w:snapToGrid/>
          <w:szCs w:val="22"/>
          <w:lang w:val="lt-LT" w:eastAsia="sl-SI"/>
        </w:rPr>
        <w:t>Bispo</w:t>
      </w:r>
      <w:proofErr w:type="spellEnd"/>
    </w:p>
    <w:p w14:paraId="167AD35D" w14:textId="77777777" w:rsidR="006B1F79" w:rsidRPr="005E320F" w:rsidRDefault="006B1F79" w:rsidP="006B1F79">
      <w:pPr>
        <w:widowControl w:val="0"/>
        <w:tabs>
          <w:tab w:val="clear" w:pos="567"/>
        </w:tabs>
        <w:spacing w:line="240" w:lineRule="auto"/>
        <w:rPr>
          <w:snapToGrid/>
          <w:szCs w:val="22"/>
          <w:lang w:val="lt-LT" w:eastAsia="sl-SI"/>
        </w:rPr>
      </w:pPr>
      <w:r w:rsidRPr="005E320F">
        <w:rPr>
          <w:snapToGrid/>
          <w:szCs w:val="22"/>
          <w:lang w:val="lt-LT" w:eastAsia="sl-SI"/>
        </w:rPr>
        <w:t xml:space="preserve">3045‐016 </w:t>
      </w:r>
      <w:proofErr w:type="spellStart"/>
      <w:r w:rsidRPr="005E320F">
        <w:rPr>
          <w:snapToGrid/>
          <w:szCs w:val="22"/>
          <w:lang w:val="lt-LT" w:eastAsia="sl-SI"/>
        </w:rPr>
        <w:t>Coimbra</w:t>
      </w:r>
      <w:proofErr w:type="spellEnd"/>
    </w:p>
    <w:p w14:paraId="010B5A13" w14:textId="5BAF64F3" w:rsidR="006B1F79" w:rsidRPr="005E320F" w:rsidRDefault="006B1F79" w:rsidP="006B1F79">
      <w:pPr>
        <w:widowControl w:val="0"/>
        <w:tabs>
          <w:tab w:val="clear" w:pos="567"/>
        </w:tabs>
        <w:spacing w:line="240" w:lineRule="auto"/>
        <w:rPr>
          <w:snapToGrid/>
          <w:szCs w:val="22"/>
          <w:lang w:val="lt-LT" w:eastAsia="sl-SI"/>
        </w:rPr>
      </w:pPr>
      <w:r w:rsidRPr="005E320F">
        <w:rPr>
          <w:snapToGrid/>
          <w:szCs w:val="22"/>
          <w:lang w:val="lt-LT" w:eastAsia="sl-SI"/>
        </w:rPr>
        <w:t>Portugalija</w:t>
      </w:r>
    </w:p>
    <w:p w14:paraId="72C0B1F7" w14:textId="77777777" w:rsidR="003633F6" w:rsidRPr="005E320F" w:rsidRDefault="003633F6" w:rsidP="006B1F79">
      <w:pPr>
        <w:widowControl w:val="0"/>
        <w:tabs>
          <w:tab w:val="clear" w:pos="567"/>
        </w:tabs>
        <w:spacing w:line="240" w:lineRule="auto"/>
        <w:rPr>
          <w:snapToGrid/>
          <w:szCs w:val="22"/>
          <w:lang w:val="lt-LT" w:eastAsia="sl-SI"/>
        </w:rPr>
      </w:pPr>
    </w:p>
    <w:bookmarkEnd w:id="28"/>
    <w:p w14:paraId="255D8AC2" w14:textId="59ACF6AE" w:rsidR="00381B7D" w:rsidRPr="005E320F" w:rsidRDefault="00381B7D" w:rsidP="007E15ED">
      <w:pPr>
        <w:keepNext/>
        <w:widowControl w:val="0"/>
        <w:tabs>
          <w:tab w:val="clear" w:pos="567"/>
        </w:tabs>
        <w:spacing w:line="240" w:lineRule="auto"/>
        <w:rPr>
          <w:snapToGrid/>
          <w:szCs w:val="22"/>
          <w:lang w:val="lt-LT" w:eastAsia="sl-SI"/>
        </w:rPr>
      </w:pPr>
      <w:r w:rsidRPr="005E320F">
        <w:rPr>
          <w:b/>
          <w:snapToGrid/>
          <w:szCs w:val="22"/>
          <w:lang w:val="lt-LT" w:eastAsia="sl-SI"/>
        </w:rPr>
        <w:t>Šis vaistas E</w:t>
      </w:r>
      <w:r w:rsidR="008E23C5" w:rsidRPr="005E320F">
        <w:rPr>
          <w:b/>
          <w:snapToGrid/>
          <w:szCs w:val="22"/>
          <w:lang w:val="lt-LT" w:eastAsia="sl-SI"/>
        </w:rPr>
        <w:t>uropos ekonominės erdvės</w:t>
      </w:r>
      <w:r w:rsidRPr="005E320F">
        <w:rPr>
          <w:b/>
          <w:snapToGrid/>
          <w:szCs w:val="22"/>
          <w:lang w:val="lt-LT" w:eastAsia="sl-SI"/>
        </w:rPr>
        <w:t xml:space="preserve"> valstybėse narėse registruotas</w:t>
      </w:r>
      <w:r w:rsidRPr="005E320F" w:rsidDel="00DC45A6">
        <w:rPr>
          <w:b/>
          <w:snapToGrid/>
          <w:szCs w:val="22"/>
          <w:lang w:val="lt-LT" w:eastAsia="sl-SI"/>
        </w:rPr>
        <w:t xml:space="preserve"> </w:t>
      </w:r>
      <w:r w:rsidRPr="005E320F">
        <w:rPr>
          <w:b/>
          <w:snapToGrid/>
          <w:szCs w:val="22"/>
          <w:lang w:val="lt-LT" w:eastAsia="sl-SI"/>
        </w:rPr>
        <w:t>tokiais pavadinimais</w:t>
      </w:r>
      <w:r w:rsidR="006A00A6" w:rsidRPr="005E320F">
        <w:rPr>
          <w:b/>
          <w:snapToGrid/>
          <w:szCs w:val="22"/>
          <w:lang w:val="lt-LT" w:eastAsia="sl-SI"/>
        </w:rPr>
        <w:t>:</w:t>
      </w:r>
    </w:p>
    <w:p w14:paraId="0B592600" w14:textId="2D721D3E" w:rsidR="000B0980" w:rsidRPr="005E320F" w:rsidRDefault="000B0980" w:rsidP="007A11B7">
      <w:pPr>
        <w:widowControl w:val="0"/>
        <w:numPr>
          <w:ilvl w:val="12"/>
          <w:numId w:val="0"/>
        </w:numPr>
        <w:tabs>
          <w:tab w:val="clear" w:pos="567"/>
          <w:tab w:val="left" w:pos="3828"/>
        </w:tabs>
        <w:spacing w:line="240" w:lineRule="auto"/>
        <w:ind w:right="-2"/>
        <w:rPr>
          <w:snapToGrid/>
          <w:szCs w:val="22"/>
          <w:lang w:val="lt-LT" w:eastAsia="sl-SI"/>
        </w:rPr>
      </w:pPr>
      <w:r w:rsidRPr="005E320F">
        <w:rPr>
          <w:snapToGrid/>
          <w:szCs w:val="22"/>
          <w:lang w:val="lt-LT" w:eastAsia="sl-SI"/>
        </w:rPr>
        <w:t>Čekija</w:t>
      </w:r>
      <w:r w:rsidR="00973F2F" w:rsidRPr="005E320F">
        <w:rPr>
          <w:snapToGrid/>
          <w:szCs w:val="22"/>
          <w:lang w:val="lt-LT" w:eastAsia="sl-SI"/>
        </w:rPr>
        <w:t>, Slovakija, Rumunija, Portugalija</w:t>
      </w:r>
      <w:r w:rsidRPr="005E320F">
        <w:rPr>
          <w:snapToGrid/>
          <w:szCs w:val="22"/>
          <w:lang w:val="lt-LT" w:eastAsia="sl-SI"/>
        </w:rPr>
        <w:tab/>
        <w:t>ZETOVAR</w:t>
      </w:r>
    </w:p>
    <w:p w14:paraId="22681E08" w14:textId="4E297CAF" w:rsidR="000B0980" w:rsidRPr="005E320F" w:rsidRDefault="000B0980" w:rsidP="006E4368">
      <w:pPr>
        <w:widowControl w:val="0"/>
        <w:numPr>
          <w:ilvl w:val="12"/>
          <w:numId w:val="0"/>
        </w:numPr>
        <w:tabs>
          <w:tab w:val="clear" w:pos="567"/>
          <w:tab w:val="left" w:pos="3828"/>
        </w:tabs>
        <w:spacing w:line="240" w:lineRule="auto"/>
        <w:ind w:right="-2"/>
        <w:rPr>
          <w:snapToGrid/>
          <w:szCs w:val="22"/>
          <w:lang w:val="lt-LT" w:eastAsia="sl-SI"/>
        </w:rPr>
      </w:pPr>
      <w:r w:rsidRPr="005E320F">
        <w:rPr>
          <w:snapToGrid/>
          <w:szCs w:val="22"/>
          <w:lang w:val="lt-LT" w:eastAsia="sl-SI"/>
        </w:rPr>
        <w:t>Estija</w:t>
      </w:r>
      <w:r w:rsidR="00973F2F" w:rsidRPr="005E320F">
        <w:rPr>
          <w:snapToGrid/>
          <w:szCs w:val="22"/>
          <w:lang w:val="lt-LT" w:eastAsia="sl-SI"/>
        </w:rPr>
        <w:t xml:space="preserve">, </w:t>
      </w:r>
      <w:r w:rsidRPr="005E320F">
        <w:rPr>
          <w:snapToGrid/>
          <w:szCs w:val="22"/>
          <w:lang w:val="lt-LT" w:eastAsia="sl-SI"/>
        </w:rPr>
        <w:t>Latvija</w:t>
      </w:r>
      <w:r w:rsidR="00973F2F" w:rsidRPr="005E320F">
        <w:rPr>
          <w:snapToGrid/>
          <w:szCs w:val="22"/>
          <w:lang w:val="lt-LT" w:eastAsia="sl-SI"/>
        </w:rPr>
        <w:t xml:space="preserve">, </w:t>
      </w:r>
      <w:r w:rsidRPr="005E320F">
        <w:rPr>
          <w:snapToGrid/>
          <w:szCs w:val="22"/>
          <w:lang w:val="lt-LT" w:eastAsia="sl-SI"/>
        </w:rPr>
        <w:t>Lietuva</w:t>
      </w:r>
      <w:r w:rsidRPr="005E320F">
        <w:rPr>
          <w:snapToGrid/>
          <w:szCs w:val="22"/>
          <w:lang w:val="lt-LT" w:eastAsia="sl-SI"/>
        </w:rPr>
        <w:tab/>
      </w:r>
      <w:proofErr w:type="spellStart"/>
      <w:r w:rsidR="00E30B06" w:rsidRPr="005E320F">
        <w:rPr>
          <w:snapToGrid/>
          <w:szCs w:val="22"/>
          <w:lang w:val="lt-LT" w:eastAsia="sl-SI"/>
        </w:rPr>
        <w:t>Torzelip</w:t>
      </w:r>
      <w:proofErr w:type="spellEnd"/>
    </w:p>
    <w:p w14:paraId="0F54D90D" w14:textId="77777777" w:rsidR="000B0980" w:rsidRPr="005E320F" w:rsidRDefault="000B0980" w:rsidP="007A11B7">
      <w:pPr>
        <w:widowControl w:val="0"/>
        <w:numPr>
          <w:ilvl w:val="12"/>
          <w:numId w:val="0"/>
        </w:numPr>
        <w:tabs>
          <w:tab w:val="clear" w:pos="567"/>
          <w:tab w:val="left" w:pos="3828"/>
        </w:tabs>
        <w:spacing w:line="240" w:lineRule="auto"/>
        <w:ind w:right="-2"/>
        <w:rPr>
          <w:snapToGrid/>
          <w:szCs w:val="22"/>
          <w:lang w:val="lt-LT" w:eastAsia="sl-SI"/>
        </w:rPr>
      </w:pPr>
      <w:r w:rsidRPr="005E320F">
        <w:rPr>
          <w:snapToGrid/>
          <w:szCs w:val="22"/>
          <w:lang w:val="lt-LT" w:eastAsia="sl-SI"/>
        </w:rPr>
        <w:t>Lenki</w:t>
      </w:r>
      <w:r w:rsidR="00E459E1" w:rsidRPr="005E320F">
        <w:rPr>
          <w:snapToGrid/>
          <w:szCs w:val="22"/>
          <w:lang w:val="lt-LT" w:eastAsia="sl-SI"/>
        </w:rPr>
        <w:t>j</w:t>
      </w:r>
      <w:r w:rsidRPr="005E320F">
        <w:rPr>
          <w:snapToGrid/>
          <w:szCs w:val="22"/>
          <w:lang w:val="lt-LT" w:eastAsia="sl-SI"/>
        </w:rPr>
        <w:t>a</w:t>
      </w:r>
      <w:r w:rsidRPr="005E320F">
        <w:rPr>
          <w:snapToGrid/>
          <w:szCs w:val="22"/>
          <w:lang w:val="lt-LT" w:eastAsia="sl-SI"/>
        </w:rPr>
        <w:tab/>
        <w:t>ZENTASTA</w:t>
      </w:r>
    </w:p>
    <w:p w14:paraId="3159BFA4" w14:textId="77777777" w:rsidR="000B0980" w:rsidRPr="005E320F" w:rsidRDefault="000B0980" w:rsidP="000B0980">
      <w:pPr>
        <w:widowControl w:val="0"/>
        <w:numPr>
          <w:ilvl w:val="12"/>
          <w:numId w:val="0"/>
        </w:numPr>
        <w:tabs>
          <w:tab w:val="clear" w:pos="567"/>
        </w:tabs>
        <w:spacing w:line="240" w:lineRule="auto"/>
        <w:ind w:right="-2"/>
        <w:rPr>
          <w:snapToGrid/>
          <w:szCs w:val="22"/>
          <w:lang w:val="lt-LT" w:eastAsia="sl-SI"/>
        </w:rPr>
      </w:pPr>
    </w:p>
    <w:p w14:paraId="5B19B837" w14:textId="10049D8C" w:rsidR="00381B7D" w:rsidRPr="005E320F" w:rsidRDefault="00381B7D" w:rsidP="00A31E3A">
      <w:pPr>
        <w:widowControl w:val="0"/>
        <w:numPr>
          <w:ilvl w:val="12"/>
          <w:numId w:val="0"/>
        </w:numPr>
        <w:tabs>
          <w:tab w:val="clear" w:pos="567"/>
        </w:tabs>
        <w:spacing w:line="240" w:lineRule="auto"/>
        <w:ind w:right="-2"/>
        <w:rPr>
          <w:b/>
          <w:szCs w:val="22"/>
          <w:lang w:val="lt-LT"/>
        </w:rPr>
      </w:pPr>
      <w:r w:rsidRPr="005E320F">
        <w:rPr>
          <w:b/>
          <w:snapToGrid/>
          <w:szCs w:val="22"/>
          <w:lang w:val="lt-LT" w:eastAsia="sl-SI"/>
        </w:rPr>
        <w:t>Šis pakuotės lapelis paskutinį kartą peržiūrėtas</w:t>
      </w:r>
      <w:r w:rsidR="00D9392A" w:rsidRPr="005E320F">
        <w:rPr>
          <w:b/>
          <w:snapToGrid/>
          <w:szCs w:val="22"/>
          <w:lang w:val="lt-LT" w:eastAsia="sl-SI"/>
        </w:rPr>
        <w:t xml:space="preserve"> 202</w:t>
      </w:r>
      <w:r w:rsidR="0054203F">
        <w:rPr>
          <w:b/>
          <w:snapToGrid/>
          <w:szCs w:val="22"/>
          <w:lang w:val="lt-LT" w:eastAsia="sl-SI"/>
        </w:rPr>
        <w:t>5-04-23</w:t>
      </w:r>
      <w:r w:rsidR="007A11B7" w:rsidRPr="005E320F">
        <w:rPr>
          <w:b/>
          <w:szCs w:val="22"/>
          <w:lang w:val="lt-LT"/>
        </w:rPr>
        <w:t>.</w:t>
      </w:r>
    </w:p>
    <w:p w14:paraId="04BCF452" w14:textId="77777777" w:rsidR="00381B7D" w:rsidRPr="005E320F" w:rsidRDefault="00381B7D" w:rsidP="00A31E3A">
      <w:pPr>
        <w:widowControl w:val="0"/>
        <w:numPr>
          <w:ilvl w:val="12"/>
          <w:numId w:val="0"/>
        </w:numPr>
        <w:spacing w:line="240" w:lineRule="auto"/>
        <w:ind w:right="-2"/>
        <w:rPr>
          <w:snapToGrid/>
          <w:szCs w:val="22"/>
          <w:lang w:val="lt-LT" w:eastAsia="sl-SI"/>
        </w:rPr>
      </w:pPr>
    </w:p>
    <w:p w14:paraId="62BE5979" w14:textId="69DB0831" w:rsidR="00336C0B" w:rsidRDefault="00381B7D" w:rsidP="007E15ED">
      <w:pPr>
        <w:widowControl w:val="0"/>
        <w:tabs>
          <w:tab w:val="clear" w:pos="567"/>
        </w:tabs>
        <w:spacing w:line="240" w:lineRule="auto"/>
        <w:rPr>
          <w:snapToGrid/>
          <w:szCs w:val="22"/>
          <w:lang w:val="lt-LT" w:eastAsia="sl-SI"/>
        </w:rPr>
      </w:pPr>
      <w:r w:rsidRPr="005E320F">
        <w:rPr>
          <w:snapToGrid/>
          <w:szCs w:val="22"/>
          <w:lang w:val="lt-LT" w:eastAsia="sl-SI"/>
        </w:rPr>
        <w:t>Išsami informacija apie šį vaistą pateikiama Valstybinės vaistų kontrolės tarnybos prie Lietuvos Respublikos sveikatos apsaugos ministerijos tinklalapyje</w:t>
      </w:r>
      <w:r w:rsidRPr="005E320F">
        <w:rPr>
          <w:i/>
          <w:snapToGrid/>
          <w:szCs w:val="22"/>
          <w:lang w:val="lt-LT" w:eastAsia="sl-SI"/>
        </w:rPr>
        <w:t xml:space="preserve"> </w:t>
      </w:r>
      <w:r w:rsidR="006B3D47" w:rsidRPr="005E320F">
        <w:rPr>
          <w:snapToGrid/>
          <w:color w:val="0000EE"/>
          <w:szCs w:val="22"/>
          <w:u w:val="single"/>
          <w:lang w:val="lt-LT"/>
        </w:rPr>
        <w:t>https://vvkt.lrv.lt/lt/</w:t>
      </w:r>
      <w:r w:rsidR="00E04A58" w:rsidRPr="005E320F">
        <w:rPr>
          <w:snapToGrid/>
          <w:szCs w:val="22"/>
          <w:lang w:val="lt-LT" w:eastAsia="sl-SI"/>
        </w:rPr>
        <w:t>.</w:t>
      </w:r>
      <w:r w:rsidR="00A30B94">
        <w:rPr>
          <w:snapToGrid/>
          <w:szCs w:val="22"/>
          <w:lang w:val="lt-LT" w:eastAsia="sl-SI"/>
        </w:rPr>
        <w:t xml:space="preserve">     </w:t>
      </w:r>
    </w:p>
    <w:p w14:paraId="09D3C5D4" w14:textId="77777777" w:rsidR="00336C0B" w:rsidRPr="00923E74" w:rsidRDefault="00336C0B" w:rsidP="007E15ED">
      <w:pPr>
        <w:widowControl w:val="0"/>
        <w:tabs>
          <w:tab w:val="clear" w:pos="567"/>
        </w:tabs>
        <w:spacing w:line="240" w:lineRule="auto"/>
        <w:rPr>
          <w:szCs w:val="22"/>
          <w:lang w:val="lt-LT"/>
        </w:rPr>
      </w:pPr>
    </w:p>
    <w:sectPr w:rsidR="00336C0B" w:rsidRPr="00923E74" w:rsidSect="006C2AAF">
      <w:headerReference w:type="even" r:id="rId9"/>
      <w:headerReference w:type="default" r:id="rId10"/>
      <w:footerReference w:type="even" r:id="rId11"/>
      <w:headerReference w:type="first" r:id="rId12"/>
      <w:pgSz w:w="11907" w:h="16840" w:code="9"/>
      <w:pgMar w:top="1134" w:right="1417"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BB08" w14:textId="77777777" w:rsidR="009622C8" w:rsidRDefault="009622C8">
      <w:pPr>
        <w:spacing w:line="240" w:lineRule="auto"/>
      </w:pPr>
      <w:r>
        <w:separator/>
      </w:r>
    </w:p>
  </w:endnote>
  <w:endnote w:type="continuationSeparator" w:id="0">
    <w:p w14:paraId="62C004B7" w14:textId="77777777" w:rsidR="009622C8" w:rsidRDefault="009622C8">
      <w:pPr>
        <w:spacing w:line="240" w:lineRule="auto"/>
      </w:pPr>
      <w:r>
        <w:continuationSeparator/>
      </w:r>
    </w:p>
  </w:endnote>
  <w:endnote w:type="continuationNotice" w:id="1">
    <w:p w14:paraId="3D201314" w14:textId="77777777" w:rsidR="009622C8" w:rsidRDefault="009622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A932" w14:textId="77777777" w:rsidR="00A94DC2" w:rsidRDefault="00A94DC2" w:rsidP="003E6C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C3C027" w14:textId="77777777" w:rsidR="00A94DC2" w:rsidRDefault="00A94DC2" w:rsidP="003E6C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A1AA" w14:textId="77777777" w:rsidR="009622C8" w:rsidRDefault="009622C8">
      <w:pPr>
        <w:spacing w:line="240" w:lineRule="auto"/>
      </w:pPr>
      <w:r>
        <w:separator/>
      </w:r>
    </w:p>
  </w:footnote>
  <w:footnote w:type="continuationSeparator" w:id="0">
    <w:p w14:paraId="26E8B3BA" w14:textId="77777777" w:rsidR="009622C8" w:rsidRDefault="009622C8">
      <w:pPr>
        <w:spacing w:line="240" w:lineRule="auto"/>
      </w:pPr>
      <w:r>
        <w:continuationSeparator/>
      </w:r>
    </w:p>
  </w:footnote>
  <w:footnote w:type="continuationNotice" w:id="1">
    <w:p w14:paraId="66177D68" w14:textId="77777777" w:rsidR="009622C8" w:rsidRDefault="009622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65C8" w14:textId="2C0FF83C" w:rsidR="003933AD" w:rsidRDefault="003933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AE20" w14:textId="36F33A4A" w:rsidR="00A94DC2" w:rsidRDefault="00A94DC2" w:rsidP="003E6C61">
    <w:pPr>
      <w:spacing w:line="20" w:lineRule="exact"/>
    </w:pPr>
  </w:p>
  <w:p w14:paraId="6390D6BE" w14:textId="77777777" w:rsidR="00A94DC2" w:rsidRDefault="00A94DC2">
    <w:pPr>
      <w:pStyle w:val="Antrats"/>
    </w:pPr>
    <w:bookmarkStart w:id="29" w:name="TableTag1"/>
    <w:bookmarkEnd w:id="2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4622" w14:textId="776D4B6B" w:rsidR="003933AD" w:rsidRDefault="003933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72DD4"/>
    <w:multiLevelType w:val="hybridMultilevel"/>
    <w:tmpl w:val="A75878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692B7A"/>
    <w:multiLevelType w:val="hybridMultilevel"/>
    <w:tmpl w:val="4058D76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836544"/>
    <w:multiLevelType w:val="hybridMultilevel"/>
    <w:tmpl w:val="7B003B82"/>
    <w:lvl w:ilvl="0" w:tplc="ACB2C2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3BA7"/>
    <w:multiLevelType w:val="hybridMultilevel"/>
    <w:tmpl w:val="634E1BF4"/>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09ED097B"/>
    <w:multiLevelType w:val="hybridMultilevel"/>
    <w:tmpl w:val="CADE59B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E350DE"/>
    <w:multiLevelType w:val="hybridMultilevel"/>
    <w:tmpl w:val="4E2EA736"/>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677FDD"/>
    <w:multiLevelType w:val="hybridMultilevel"/>
    <w:tmpl w:val="9D487F1E"/>
    <w:lvl w:ilvl="0" w:tplc="04050001">
      <w:start w:val="1"/>
      <w:numFmt w:val="bullet"/>
      <w:lvlText w:val=""/>
      <w:lvlJc w:val="left"/>
      <w:pPr>
        <w:ind w:left="825" w:hanging="360"/>
      </w:pPr>
      <w:rPr>
        <w:rFonts w:ascii="Symbol" w:hAnsi="Symbol" w:hint="default"/>
      </w:rPr>
    </w:lvl>
    <w:lvl w:ilvl="1" w:tplc="04050003">
      <w:start w:val="1"/>
      <w:numFmt w:val="bullet"/>
      <w:lvlText w:val="o"/>
      <w:lvlJc w:val="left"/>
      <w:pPr>
        <w:ind w:left="1545" w:hanging="360"/>
      </w:pPr>
      <w:rPr>
        <w:rFonts w:ascii="Courier New" w:hAnsi="Courier New" w:cs="Courier New" w:hint="default"/>
      </w:rPr>
    </w:lvl>
    <w:lvl w:ilvl="2" w:tplc="04050005">
      <w:start w:val="1"/>
      <w:numFmt w:val="bullet"/>
      <w:lvlText w:val=""/>
      <w:lvlJc w:val="left"/>
      <w:pPr>
        <w:ind w:left="2265" w:hanging="360"/>
      </w:pPr>
      <w:rPr>
        <w:rFonts w:ascii="Wingdings" w:hAnsi="Wingdings" w:hint="default"/>
      </w:rPr>
    </w:lvl>
    <w:lvl w:ilvl="3" w:tplc="04050001">
      <w:start w:val="1"/>
      <w:numFmt w:val="bullet"/>
      <w:lvlText w:val=""/>
      <w:lvlJc w:val="left"/>
      <w:pPr>
        <w:ind w:left="2985" w:hanging="360"/>
      </w:pPr>
      <w:rPr>
        <w:rFonts w:ascii="Symbol" w:hAnsi="Symbol" w:hint="default"/>
      </w:rPr>
    </w:lvl>
    <w:lvl w:ilvl="4" w:tplc="04050003">
      <w:start w:val="1"/>
      <w:numFmt w:val="bullet"/>
      <w:lvlText w:val="o"/>
      <w:lvlJc w:val="left"/>
      <w:pPr>
        <w:ind w:left="3705" w:hanging="360"/>
      </w:pPr>
      <w:rPr>
        <w:rFonts w:ascii="Courier New" w:hAnsi="Courier New" w:cs="Courier New" w:hint="default"/>
      </w:rPr>
    </w:lvl>
    <w:lvl w:ilvl="5" w:tplc="04050005">
      <w:start w:val="1"/>
      <w:numFmt w:val="bullet"/>
      <w:lvlText w:val=""/>
      <w:lvlJc w:val="left"/>
      <w:pPr>
        <w:ind w:left="4425" w:hanging="360"/>
      </w:pPr>
      <w:rPr>
        <w:rFonts w:ascii="Wingdings" w:hAnsi="Wingdings" w:hint="default"/>
      </w:rPr>
    </w:lvl>
    <w:lvl w:ilvl="6" w:tplc="04050001">
      <w:start w:val="1"/>
      <w:numFmt w:val="bullet"/>
      <w:lvlText w:val=""/>
      <w:lvlJc w:val="left"/>
      <w:pPr>
        <w:ind w:left="5145" w:hanging="360"/>
      </w:pPr>
      <w:rPr>
        <w:rFonts w:ascii="Symbol" w:hAnsi="Symbol" w:hint="default"/>
      </w:rPr>
    </w:lvl>
    <w:lvl w:ilvl="7" w:tplc="04050003">
      <w:start w:val="1"/>
      <w:numFmt w:val="bullet"/>
      <w:lvlText w:val="o"/>
      <w:lvlJc w:val="left"/>
      <w:pPr>
        <w:ind w:left="5865" w:hanging="360"/>
      </w:pPr>
      <w:rPr>
        <w:rFonts w:ascii="Courier New" w:hAnsi="Courier New" w:cs="Courier New" w:hint="default"/>
      </w:rPr>
    </w:lvl>
    <w:lvl w:ilvl="8" w:tplc="04050005">
      <w:start w:val="1"/>
      <w:numFmt w:val="bullet"/>
      <w:lvlText w:val=""/>
      <w:lvlJc w:val="left"/>
      <w:pPr>
        <w:ind w:left="6585" w:hanging="360"/>
      </w:pPr>
      <w:rPr>
        <w:rFonts w:ascii="Wingdings" w:hAnsi="Wingdings" w:hint="default"/>
      </w:rPr>
    </w:lvl>
  </w:abstractNum>
  <w:abstractNum w:abstractNumId="9" w15:restartNumberingAfterBreak="0">
    <w:nsid w:val="15DB1A38"/>
    <w:multiLevelType w:val="hybridMultilevel"/>
    <w:tmpl w:val="138A1A9C"/>
    <w:lvl w:ilvl="0" w:tplc="ACB2C2D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8A47107"/>
    <w:multiLevelType w:val="hybridMultilevel"/>
    <w:tmpl w:val="F8BCDCE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5C7C9A"/>
    <w:multiLevelType w:val="hybridMultilevel"/>
    <w:tmpl w:val="09CA0B1C"/>
    <w:lvl w:ilvl="0" w:tplc="0427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3C7AEC"/>
    <w:multiLevelType w:val="hybridMultilevel"/>
    <w:tmpl w:val="F43A1FE6"/>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13" w15:restartNumberingAfterBreak="0">
    <w:nsid w:val="1C6D2DE9"/>
    <w:multiLevelType w:val="hybridMultilevel"/>
    <w:tmpl w:val="F8CC34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EAD7BBD"/>
    <w:multiLevelType w:val="hybridMultilevel"/>
    <w:tmpl w:val="A7A6FF4C"/>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B20BC"/>
    <w:multiLevelType w:val="hybridMultilevel"/>
    <w:tmpl w:val="5FF0E8C6"/>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CC2C56"/>
    <w:multiLevelType w:val="hybridMultilevel"/>
    <w:tmpl w:val="5A28228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E665B6"/>
    <w:multiLevelType w:val="hybridMultilevel"/>
    <w:tmpl w:val="A9F4A5C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A1EFE"/>
    <w:multiLevelType w:val="hybridMultilevel"/>
    <w:tmpl w:val="7526994A"/>
    <w:lvl w:ilvl="0" w:tplc="04270001">
      <w:start w:val="1"/>
      <w:numFmt w:val="bullet"/>
      <w:lvlText w:val=""/>
      <w:lvlJc w:val="left"/>
      <w:pPr>
        <w:ind w:left="720" w:hanging="360"/>
      </w:pPr>
      <w:rPr>
        <w:rFonts w:ascii="Symbol" w:hAnsi="Symbol"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9A0D29"/>
    <w:multiLevelType w:val="hybridMultilevel"/>
    <w:tmpl w:val="2ABE12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2E41A42"/>
    <w:multiLevelType w:val="hybridMultilevel"/>
    <w:tmpl w:val="FA9A7AF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2A185A"/>
    <w:multiLevelType w:val="hybridMultilevel"/>
    <w:tmpl w:val="AF98F0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3575E8B"/>
    <w:multiLevelType w:val="hybridMultilevel"/>
    <w:tmpl w:val="BB7623A2"/>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A383CB9"/>
    <w:multiLevelType w:val="hybridMultilevel"/>
    <w:tmpl w:val="280EF772"/>
    <w:lvl w:ilvl="0" w:tplc="ACB2C2DC">
      <w:start w:val="1"/>
      <w:numFmt w:val="bullet"/>
      <w:lvlText w:val=""/>
      <w:lvlJc w:val="left"/>
      <w:pPr>
        <w:ind w:left="720" w:hanging="360"/>
      </w:pPr>
      <w:rPr>
        <w:rFonts w:ascii="Symbol" w:hAnsi="Symbol" w:hint="default"/>
        <w:b w:val="0"/>
        <w:i w:val="0"/>
        <w:caps w:val="0"/>
        <w:strike w:val="0"/>
        <w:dstrike w:val="0"/>
        <w:vanish w:val="0"/>
        <w:color w:val="000000"/>
        <w:sz w:val="22"/>
        <w:szCs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B75410F"/>
    <w:multiLevelType w:val="hybridMultilevel"/>
    <w:tmpl w:val="B636C98E"/>
    <w:lvl w:ilvl="0" w:tplc="ACB2C2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D1460AF"/>
    <w:multiLevelType w:val="hybridMultilevel"/>
    <w:tmpl w:val="DD5E190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F426D8"/>
    <w:multiLevelType w:val="hybridMultilevel"/>
    <w:tmpl w:val="C6287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8F5BE8"/>
    <w:multiLevelType w:val="hybridMultilevel"/>
    <w:tmpl w:val="CDD4F008"/>
    <w:lvl w:ilvl="0" w:tplc="04070001">
      <w:start w:val="1"/>
      <w:numFmt w:val="bullet"/>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31" w15:restartNumberingAfterBreak="0">
    <w:nsid w:val="4F5415CD"/>
    <w:multiLevelType w:val="hybridMultilevel"/>
    <w:tmpl w:val="2FCE375E"/>
    <w:lvl w:ilvl="0" w:tplc="A1C0C3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01C05CD"/>
    <w:multiLevelType w:val="hybridMultilevel"/>
    <w:tmpl w:val="766229A0"/>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52F384D"/>
    <w:multiLevelType w:val="hybridMultilevel"/>
    <w:tmpl w:val="6562D1A2"/>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82972D7"/>
    <w:multiLevelType w:val="hybridMultilevel"/>
    <w:tmpl w:val="D980B76C"/>
    <w:lvl w:ilvl="0" w:tplc="A1C0C3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9FC3884"/>
    <w:multiLevelType w:val="hybridMultilevel"/>
    <w:tmpl w:val="A4140446"/>
    <w:lvl w:ilvl="0" w:tplc="ACB2C2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3B3577"/>
    <w:multiLevelType w:val="hybridMultilevel"/>
    <w:tmpl w:val="C41863D4"/>
    <w:lvl w:ilvl="0" w:tplc="ACB2C2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CB083F"/>
    <w:multiLevelType w:val="hybridMultilevel"/>
    <w:tmpl w:val="0700FA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50906244">
    <w:abstractNumId w:val="18"/>
  </w:num>
  <w:num w:numId="2" w16cid:durableId="1008824830">
    <w:abstractNumId w:val="21"/>
  </w:num>
  <w:num w:numId="3" w16cid:durableId="1004211554">
    <w:abstractNumId w:val="17"/>
  </w:num>
  <w:num w:numId="4" w16cid:durableId="284242710">
    <w:abstractNumId w:val="38"/>
  </w:num>
  <w:num w:numId="5" w16cid:durableId="663511758">
    <w:abstractNumId w:val="34"/>
  </w:num>
  <w:num w:numId="6" w16cid:durableId="1944528140">
    <w:abstractNumId w:val="22"/>
  </w:num>
  <w:num w:numId="7" w16cid:durableId="358698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596613">
    <w:abstractNumId w:val="13"/>
  </w:num>
  <w:num w:numId="9" w16cid:durableId="1986465062">
    <w:abstractNumId w:val="33"/>
  </w:num>
  <w:num w:numId="10" w16cid:durableId="450632568">
    <w:abstractNumId w:val="37"/>
  </w:num>
  <w:num w:numId="11" w16cid:durableId="1249272147">
    <w:abstractNumId w:val="7"/>
  </w:num>
  <w:num w:numId="12" w16cid:durableId="322584009">
    <w:abstractNumId w:val="16"/>
  </w:num>
  <w:num w:numId="13" w16cid:durableId="825436373">
    <w:abstractNumId w:val="2"/>
  </w:num>
  <w:num w:numId="14" w16cid:durableId="2127457145">
    <w:abstractNumId w:val="10"/>
  </w:num>
  <w:num w:numId="15" w16cid:durableId="1159685830">
    <w:abstractNumId w:val="5"/>
  </w:num>
  <w:num w:numId="16" w16cid:durableId="261180934">
    <w:abstractNumId w:val="40"/>
  </w:num>
  <w:num w:numId="17" w16cid:durableId="596986077">
    <w:abstractNumId w:val="1"/>
  </w:num>
  <w:num w:numId="18" w16cid:durableId="1477378371">
    <w:abstractNumId w:val="15"/>
  </w:num>
  <w:num w:numId="19" w16cid:durableId="607010685">
    <w:abstractNumId w:val="24"/>
  </w:num>
  <w:num w:numId="20" w16cid:durableId="1788085329">
    <w:abstractNumId w:val="20"/>
  </w:num>
  <w:num w:numId="21" w16cid:durableId="1215242128">
    <w:abstractNumId w:val="29"/>
  </w:num>
  <w:num w:numId="22" w16cid:durableId="1954552428">
    <w:abstractNumId w:val="35"/>
  </w:num>
  <w:num w:numId="23" w16cid:durableId="504784974">
    <w:abstractNumId w:val="0"/>
    <w:lvlOverride w:ilvl="0">
      <w:lvl w:ilvl="0">
        <w:start w:val="1"/>
        <w:numFmt w:val="bullet"/>
        <w:lvlText w:val="-"/>
        <w:legacy w:legacy="1" w:legacySpace="0" w:legacyIndent="360"/>
        <w:lvlJc w:val="left"/>
        <w:pPr>
          <w:ind w:left="360" w:hanging="360"/>
        </w:pPr>
      </w:lvl>
    </w:lvlOverride>
  </w:num>
  <w:num w:numId="24" w16cid:durableId="994796750">
    <w:abstractNumId w:val="25"/>
  </w:num>
  <w:num w:numId="25" w16cid:durableId="213273786">
    <w:abstractNumId w:val="4"/>
  </w:num>
  <w:num w:numId="26" w16cid:durableId="1928659327">
    <w:abstractNumId w:val="31"/>
  </w:num>
  <w:num w:numId="27" w16cid:durableId="682587479">
    <w:abstractNumId w:val="11"/>
  </w:num>
  <w:num w:numId="28" w16cid:durableId="1300190884">
    <w:abstractNumId w:val="30"/>
  </w:num>
  <w:num w:numId="29" w16cid:durableId="1442530919">
    <w:abstractNumId w:val="14"/>
  </w:num>
  <w:num w:numId="30" w16cid:durableId="1626693308">
    <w:abstractNumId w:val="28"/>
  </w:num>
  <w:num w:numId="31" w16cid:durableId="164907643">
    <w:abstractNumId w:val="19"/>
  </w:num>
  <w:num w:numId="32" w16cid:durableId="2029405752">
    <w:abstractNumId w:val="6"/>
  </w:num>
  <w:num w:numId="33" w16cid:durableId="1190416240">
    <w:abstractNumId w:val="23"/>
  </w:num>
  <w:num w:numId="34" w16cid:durableId="1420366521">
    <w:abstractNumId w:val="39"/>
  </w:num>
  <w:num w:numId="35" w16cid:durableId="1567566395">
    <w:abstractNumId w:val="8"/>
  </w:num>
  <w:num w:numId="36" w16cid:durableId="568417675">
    <w:abstractNumId w:val="12"/>
  </w:num>
  <w:num w:numId="37" w16cid:durableId="83263086">
    <w:abstractNumId w:val="9"/>
  </w:num>
  <w:num w:numId="38" w16cid:durableId="1156527803">
    <w:abstractNumId w:val="36"/>
  </w:num>
  <w:num w:numId="39" w16cid:durableId="1283078458">
    <w:abstractNumId w:val="26"/>
  </w:num>
  <w:num w:numId="40" w16cid:durableId="1280917794">
    <w:abstractNumId w:val="3"/>
  </w:num>
  <w:num w:numId="41" w16cid:durableId="367031455">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8C"/>
    <w:rsid w:val="00004BFB"/>
    <w:rsid w:val="000068B8"/>
    <w:rsid w:val="00021F5A"/>
    <w:rsid w:val="0002452F"/>
    <w:rsid w:val="00024E27"/>
    <w:rsid w:val="00025BC2"/>
    <w:rsid w:val="00025F49"/>
    <w:rsid w:val="0002622C"/>
    <w:rsid w:val="00027828"/>
    <w:rsid w:val="000333AD"/>
    <w:rsid w:val="00036BFF"/>
    <w:rsid w:val="000448A8"/>
    <w:rsid w:val="000465BB"/>
    <w:rsid w:val="000514AB"/>
    <w:rsid w:val="00053597"/>
    <w:rsid w:val="00057ED3"/>
    <w:rsid w:val="00060FD8"/>
    <w:rsid w:val="00063501"/>
    <w:rsid w:val="000664D1"/>
    <w:rsid w:val="00070492"/>
    <w:rsid w:val="00092A39"/>
    <w:rsid w:val="000936FC"/>
    <w:rsid w:val="000B0980"/>
    <w:rsid w:val="000B3237"/>
    <w:rsid w:val="000B6CDF"/>
    <w:rsid w:val="000C234A"/>
    <w:rsid w:val="000C7220"/>
    <w:rsid w:val="000D20DB"/>
    <w:rsid w:val="000D4BDC"/>
    <w:rsid w:val="000E08B9"/>
    <w:rsid w:val="000E0C97"/>
    <w:rsid w:val="000E3F8E"/>
    <w:rsid w:val="000F220D"/>
    <w:rsid w:val="001001F8"/>
    <w:rsid w:val="001056E2"/>
    <w:rsid w:val="001065B5"/>
    <w:rsid w:val="001107B7"/>
    <w:rsid w:val="00111E80"/>
    <w:rsid w:val="00113C54"/>
    <w:rsid w:val="00114F89"/>
    <w:rsid w:val="00116F91"/>
    <w:rsid w:val="00120467"/>
    <w:rsid w:val="001237B9"/>
    <w:rsid w:val="001310CD"/>
    <w:rsid w:val="001320DC"/>
    <w:rsid w:val="0013313B"/>
    <w:rsid w:val="0013328A"/>
    <w:rsid w:val="0014305F"/>
    <w:rsid w:val="00156323"/>
    <w:rsid w:val="001568E5"/>
    <w:rsid w:val="0015730D"/>
    <w:rsid w:val="00157667"/>
    <w:rsid w:val="00163A3A"/>
    <w:rsid w:val="00163A81"/>
    <w:rsid w:val="00163AFC"/>
    <w:rsid w:val="00164024"/>
    <w:rsid w:val="00165588"/>
    <w:rsid w:val="00165F8C"/>
    <w:rsid w:val="00170378"/>
    <w:rsid w:val="001818AC"/>
    <w:rsid w:val="001859FA"/>
    <w:rsid w:val="00185DD0"/>
    <w:rsid w:val="001925A0"/>
    <w:rsid w:val="001A1FE7"/>
    <w:rsid w:val="001A3B3B"/>
    <w:rsid w:val="001B2376"/>
    <w:rsid w:val="001B7C00"/>
    <w:rsid w:val="001C09AC"/>
    <w:rsid w:val="001C2B3F"/>
    <w:rsid w:val="001C310B"/>
    <w:rsid w:val="001C4505"/>
    <w:rsid w:val="001C656F"/>
    <w:rsid w:val="001D317C"/>
    <w:rsid w:val="001D603E"/>
    <w:rsid w:val="001E189D"/>
    <w:rsid w:val="001E1BBB"/>
    <w:rsid w:val="001E32AC"/>
    <w:rsid w:val="001E3BD1"/>
    <w:rsid w:val="001E6731"/>
    <w:rsid w:val="001F4FD1"/>
    <w:rsid w:val="00204EAC"/>
    <w:rsid w:val="00210F04"/>
    <w:rsid w:val="00215B8F"/>
    <w:rsid w:val="0022174F"/>
    <w:rsid w:val="00224883"/>
    <w:rsid w:val="002324E0"/>
    <w:rsid w:val="00235505"/>
    <w:rsid w:val="00236B0B"/>
    <w:rsid w:val="00237A7C"/>
    <w:rsid w:val="00240F47"/>
    <w:rsid w:val="002453C5"/>
    <w:rsid w:val="0024550C"/>
    <w:rsid w:val="00246B7F"/>
    <w:rsid w:val="002556EE"/>
    <w:rsid w:val="00256BE7"/>
    <w:rsid w:val="0026142A"/>
    <w:rsid w:val="0026190D"/>
    <w:rsid w:val="002701D6"/>
    <w:rsid w:val="00272627"/>
    <w:rsid w:val="002741B0"/>
    <w:rsid w:val="002846C3"/>
    <w:rsid w:val="00293A36"/>
    <w:rsid w:val="00294F0E"/>
    <w:rsid w:val="002A0C86"/>
    <w:rsid w:val="002A10F5"/>
    <w:rsid w:val="002A3AD4"/>
    <w:rsid w:val="002A4BA1"/>
    <w:rsid w:val="002A6A2C"/>
    <w:rsid w:val="002A6F65"/>
    <w:rsid w:val="002B23B0"/>
    <w:rsid w:val="002B4185"/>
    <w:rsid w:val="002C7180"/>
    <w:rsid w:val="002C72EB"/>
    <w:rsid w:val="002D12EC"/>
    <w:rsid w:val="002D6184"/>
    <w:rsid w:val="002F439F"/>
    <w:rsid w:val="002F4994"/>
    <w:rsid w:val="002F716E"/>
    <w:rsid w:val="00301C31"/>
    <w:rsid w:val="0031000F"/>
    <w:rsid w:val="003127D8"/>
    <w:rsid w:val="00317A17"/>
    <w:rsid w:val="00322C7B"/>
    <w:rsid w:val="003251F8"/>
    <w:rsid w:val="00332683"/>
    <w:rsid w:val="00336C0B"/>
    <w:rsid w:val="00336DE2"/>
    <w:rsid w:val="003434DB"/>
    <w:rsid w:val="003610D0"/>
    <w:rsid w:val="00362565"/>
    <w:rsid w:val="003633F6"/>
    <w:rsid w:val="00365238"/>
    <w:rsid w:val="00365984"/>
    <w:rsid w:val="0037029A"/>
    <w:rsid w:val="00373233"/>
    <w:rsid w:val="00373D71"/>
    <w:rsid w:val="00375006"/>
    <w:rsid w:val="00375648"/>
    <w:rsid w:val="00381B7D"/>
    <w:rsid w:val="00387241"/>
    <w:rsid w:val="003878BA"/>
    <w:rsid w:val="0039122D"/>
    <w:rsid w:val="00392AD8"/>
    <w:rsid w:val="003933AD"/>
    <w:rsid w:val="00393D95"/>
    <w:rsid w:val="0039435A"/>
    <w:rsid w:val="003B017E"/>
    <w:rsid w:val="003B0A49"/>
    <w:rsid w:val="003B12BF"/>
    <w:rsid w:val="003B2789"/>
    <w:rsid w:val="003B4B46"/>
    <w:rsid w:val="003C5F30"/>
    <w:rsid w:val="003D0DEA"/>
    <w:rsid w:val="003D4ED0"/>
    <w:rsid w:val="003D5DC5"/>
    <w:rsid w:val="003E054C"/>
    <w:rsid w:val="003E3A57"/>
    <w:rsid w:val="003E4291"/>
    <w:rsid w:val="003E6C61"/>
    <w:rsid w:val="003E722C"/>
    <w:rsid w:val="003F125F"/>
    <w:rsid w:val="003F2CA7"/>
    <w:rsid w:val="003F3FB0"/>
    <w:rsid w:val="00401F1F"/>
    <w:rsid w:val="0040498E"/>
    <w:rsid w:val="00405A15"/>
    <w:rsid w:val="00411219"/>
    <w:rsid w:val="00412285"/>
    <w:rsid w:val="004235AB"/>
    <w:rsid w:val="0043375A"/>
    <w:rsid w:val="004373BE"/>
    <w:rsid w:val="0044018D"/>
    <w:rsid w:val="004409D3"/>
    <w:rsid w:val="004458BF"/>
    <w:rsid w:val="0046330D"/>
    <w:rsid w:val="0047191B"/>
    <w:rsid w:val="00471F2D"/>
    <w:rsid w:val="004744A3"/>
    <w:rsid w:val="0047674D"/>
    <w:rsid w:val="00476BD6"/>
    <w:rsid w:val="004770B0"/>
    <w:rsid w:val="00481047"/>
    <w:rsid w:val="00482F76"/>
    <w:rsid w:val="004910D2"/>
    <w:rsid w:val="00491D5A"/>
    <w:rsid w:val="004A1088"/>
    <w:rsid w:val="004A23BD"/>
    <w:rsid w:val="004A3CB3"/>
    <w:rsid w:val="004B0D89"/>
    <w:rsid w:val="004B32BD"/>
    <w:rsid w:val="004B48CF"/>
    <w:rsid w:val="004C0197"/>
    <w:rsid w:val="004D0FB2"/>
    <w:rsid w:val="004D27E8"/>
    <w:rsid w:val="004D2E42"/>
    <w:rsid w:val="004E0E74"/>
    <w:rsid w:val="004E4BB5"/>
    <w:rsid w:val="004E4CF3"/>
    <w:rsid w:val="004E70A9"/>
    <w:rsid w:val="004F218B"/>
    <w:rsid w:val="004F6B58"/>
    <w:rsid w:val="004F6F0A"/>
    <w:rsid w:val="00500CA7"/>
    <w:rsid w:val="00505F7D"/>
    <w:rsid w:val="00514D27"/>
    <w:rsid w:val="00520E0F"/>
    <w:rsid w:val="005217E0"/>
    <w:rsid w:val="0053018E"/>
    <w:rsid w:val="0053213A"/>
    <w:rsid w:val="005336C4"/>
    <w:rsid w:val="0054203F"/>
    <w:rsid w:val="00547907"/>
    <w:rsid w:val="00547BE9"/>
    <w:rsid w:val="005560C0"/>
    <w:rsid w:val="005572AB"/>
    <w:rsid w:val="0056062F"/>
    <w:rsid w:val="00562C3D"/>
    <w:rsid w:val="005634C0"/>
    <w:rsid w:val="005716D9"/>
    <w:rsid w:val="00571E65"/>
    <w:rsid w:val="005824AF"/>
    <w:rsid w:val="005843DC"/>
    <w:rsid w:val="00584BE8"/>
    <w:rsid w:val="00585D76"/>
    <w:rsid w:val="00590CCC"/>
    <w:rsid w:val="00596F95"/>
    <w:rsid w:val="005A1153"/>
    <w:rsid w:val="005B20C8"/>
    <w:rsid w:val="005B4465"/>
    <w:rsid w:val="005D7ED0"/>
    <w:rsid w:val="005E28F5"/>
    <w:rsid w:val="005E320F"/>
    <w:rsid w:val="005E64BF"/>
    <w:rsid w:val="005E662A"/>
    <w:rsid w:val="005F2E3A"/>
    <w:rsid w:val="00600B65"/>
    <w:rsid w:val="00602338"/>
    <w:rsid w:val="006024AD"/>
    <w:rsid w:val="00603A37"/>
    <w:rsid w:val="006073A8"/>
    <w:rsid w:val="0061739F"/>
    <w:rsid w:val="00620115"/>
    <w:rsid w:val="0063384D"/>
    <w:rsid w:val="006344A7"/>
    <w:rsid w:val="00635DA0"/>
    <w:rsid w:val="0064385B"/>
    <w:rsid w:val="006464FF"/>
    <w:rsid w:val="00647409"/>
    <w:rsid w:val="00655E28"/>
    <w:rsid w:val="00663F0D"/>
    <w:rsid w:val="00666182"/>
    <w:rsid w:val="0066683E"/>
    <w:rsid w:val="0067168A"/>
    <w:rsid w:val="00672E0E"/>
    <w:rsid w:val="00682F0B"/>
    <w:rsid w:val="0068414E"/>
    <w:rsid w:val="0068609B"/>
    <w:rsid w:val="00687016"/>
    <w:rsid w:val="00687802"/>
    <w:rsid w:val="0069231A"/>
    <w:rsid w:val="00692B22"/>
    <w:rsid w:val="006A00A6"/>
    <w:rsid w:val="006A1130"/>
    <w:rsid w:val="006A4055"/>
    <w:rsid w:val="006A5887"/>
    <w:rsid w:val="006A62F4"/>
    <w:rsid w:val="006B1F79"/>
    <w:rsid w:val="006B3D47"/>
    <w:rsid w:val="006B4481"/>
    <w:rsid w:val="006C0C4C"/>
    <w:rsid w:val="006C2A48"/>
    <w:rsid w:val="006C2AAF"/>
    <w:rsid w:val="006C2CD7"/>
    <w:rsid w:val="006C3E5B"/>
    <w:rsid w:val="006C54A0"/>
    <w:rsid w:val="006C5A6E"/>
    <w:rsid w:val="006D0E50"/>
    <w:rsid w:val="006D0F4B"/>
    <w:rsid w:val="006D0F7D"/>
    <w:rsid w:val="006D0FD2"/>
    <w:rsid w:val="006D35F0"/>
    <w:rsid w:val="006D7C14"/>
    <w:rsid w:val="006E0A42"/>
    <w:rsid w:val="006E0F3C"/>
    <w:rsid w:val="006E4368"/>
    <w:rsid w:val="006F2713"/>
    <w:rsid w:val="006F6BFC"/>
    <w:rsid w:val="006F7483"/>
    <w:rsid w:val="006F75AA"/>
    <w:rsid w:val="007068F7"/>
    <w:rsid w:val="00715197"/>
    <w:rsid w:val="0072143F"/>
    <w:rsid w:val="00722687"/>
    <w:rsid w:val="00722B17"/>
    <w:rsid w:val="00726B4E"/>
    <w:rsid w:val="00732579"/>
    <w:rsid w:val="00740351"/>
    <w:rsid w:val="007425C0"/>
    <w:rsid w:val="00751637"/>
    <w:rsid w:val="007565D3"/>
    <w:rsid w:val="00762739"/>
    <w:rsid w:val="00764354"/>
    <w:rsid w:val="00767485"/>
    <w:rsid w:val="0077016D"/>
    <w:rsid w:val="00770797"/>
    <w:rsid w:val="00770BD8"/>
    <w:rsid w:val="00781860"/>
    <w:rsid w:val="00782AAD"/>
    <w:rsid w:val="0078303E"/>
    <w:rsid w:val="00794254"/>
    <w:rsid w:val="00796791"/>
    <w:rsid w:val="00797B1A"/>
    <w:rsid w:val="007A11B7"/>
    <w:rsid w:val="007A2849"/>
    <w:rsid w:val="007B280E"/>
    <w:rsid w:val="007B588D"/>
    <w:rsid w:val="007C0E32"/>
    <w:rsid w:val="007D204B"/>
    <w:rsid w:val="007D279E"/>
    <w:rsid w:val="007D394E"/>
    <w:rsid w:val="007D6298"/>
    <w:rsid w:val="007E15ED"/>
    <w:rsid w:val="007E63E7"/>
    <w:rsid w:val="007F218C"/>
    <w:rsid w:val="007F3DA9"/>
    <w:rsid w:val="00801BEF"/>
    <w:rsid w:val="00802C58"/>
    <w:rsid w:val="00807F24"/>
    <w:rsid w:val="008162CA"/>
    <w:rsid w:val="00816517"/>
    <w:rsid w:val="008216E7"/>
    <w:rsid w:val="008227CA"/>
    <w:rsid w:val="0083008C"/>
    <w:rsid w:val="00835A8E"/>
    <w:rsid w:val="00843EF2"/>
    <w:rsid w:val="00851AC0"/>
    <w:rsid w:val="00852485"/>
    <w:rsid w:val="008724D2"/>
    <w:rsid w:val="008771F4"/>
    <w:rsid w:val="00881105"/>
    <w:rsid w:val="00886D9F"/>
    <w:rsid w:val="008951EB"/>
    <w:rsid w:val="008A1034"/>
    <w:rsid w:val="008A50E1"/>
    <w:rsid w:val="008C0216"/>
    <w:rsid w:val="008C4E7D"/>
    <w:rsid w:val="008C7A53"/>
    <w:rsid w:val="008D2209"/>
    <w:rsid w:val="008D2A78"/>
    <w:rsid w:val="008D2B63"/>
    <w:rsid w:val="008E0AE3"/>
    <w:rsid w:val="008E23C5"/>
    <w:rsid w:val="008F3DDC"/>
    <w:rsid w:val="009060BF"/>
    <w:rsid w:val="00907DCE"/>
    <w:rsid w:val="009102C7"/>
    <w:rsid w:val="0092247B"/>
    <w:rsid w:val="00922EE3"/>
    <w:rsid w:val="00923E74"/>
    <w:rsid w:val="009301B3"/>
    <w:rsid w:val="00932D0E"/>
    <w:rsid w:val="00933988"/>
    <w:rsid w:val="009361E7"/>
    <w:rsid w:val="00936ACA"/>
    <w:rsid w:val="00937602"/>
    <w:rsid w:val="00941C97"/>
    <w:rsid w:val="009622C8"/>
    <w:rsid w:val="00973F2F"/>
    <w:rsid w:val="00984B51"/>
    <w:rsid w:val="009940C2"/>
    <w:rsid w:val="009956FC"/>
    <w:rsid w:val="00997293"/>
    <w:rsid w:val="009B2291"/>
    <w:rsid w:val="009C388E"/>
    <w:rsid w:val="009C5009"/>
    <w:rsid w:val="009C51D4"/>
    <w:rsid w:val="009C5715"/>
    <w:rsid w:val="009C7D09"/>
    <w:rsid w:val="009D7115"/>
    <w:rsid w:val="009E0BCE"/>
    <w:rsid w:val="009E3B70"/>
    <w:rsid w:val="009E5098"/>
    <w:rsid w:val="009E51EE"/>
    <w:rsid w:val="009E6D16"/>
    <w:rsid w:val="00A000A6"/>
    <w:rsid w:val="00A100B5"/>
    <w:rsid w:val="00A13DC2"/>
    <w:rsid w:val="00A22247"/>
    <w:rsid w:val="00A25A18"/>
    <w:rsid w:val="00A30B94"/>
    <w:rsid w:val="00A31E3A"/>
    <w:rsid w:val="00A345F8"/>
    <w:rsid w:val="00A34F4A"/>
    <w:rsid w:val="00A41074"/>
    <w:rsid w:val="00A47FBC"/>
    <w:rsid w:val="00A54A8F"/>
    <w:rsid w:val="00A55D51"/>
    <w:rsid w:val="00A5770B"/>
    <w:rsid w:val="00A6092D"/>
    <w:rsid w:val="00A67F23"/>
    <w:rsid w:val="00A71A98"/>
    <w:rsid w:val="00A749AD"/>
    <w:rsid w:val="00A76D3A"/>
    <w:rsid w:val="00A83477"/>
    <w:rsid w:val="00A91C63"/>
    <w:rsid w:val="00A91FE1"/>
    <w:rsid w:val="00A943AA"/>
    <w:rsid w:val="00A94B42"/>
    <w:rsid w:val="00A94DC2"/>
    <w:rsid w:val="00A94FB9"/>
    <w:rsid w:val="00AB34F7"/>
    <w:rsid w:val="00AC7D66"/>
    <w:rsid w:val="00AD07BC"/>
    <w:rsid w:val="00AD2FC0"/>
    <w:rsid w:val="00AD33AC"/>
    <w:rsid w:val="00AD4AF1"/>
    <w:rsid w:val="00AD6C48"/>
    <w:rsid w:val="00AD79CF"/>
    <w:rsid w:val="00AE02A9"/>
    <w:rsid w:val="00AE1372"/>
    <w:rsid w:val="00AE2B24"/>
    <w:rsid w:val="00AE6D88"/>
    <w:rsid w:val="00AF1A12"/>
    <w:rsid w:val="00AF4335"/>
    <w:rsid w:val="00B031DA"/>
    <w:rsid w:val="00B03EE5"/>
    <w:rsid w:val="00B0594B"/>
    <w:rsid w:val="00B07D26"/>
    <w:rsid w:val="00B14CD9"/>
    <w:rsid w:val="00B152F6"/>
    <w:rsid w:val="00B256CA"/>
    <w:rsid w:val="00B25F57"/>
    <w:rsid w:val="00B3138D"/>
    <w:rsid w:val="00B33C3A"/>
    <w:rsid w:val="00B33F48"/>
    <w:rsid w:val="00B34F29"/>
    <w:rsid w:val="00B411D5"/>
    <w:rsid w:val="00B626F8"/>
    <w:rsid w:val="00B646AF"/>
    <w:rsid w:val="00B7088D"/>
    <w:rsid w:val="00B71942"/>
    <w:rsid w:val="00B7355B"/>
    <w:rsid w:val="00B83D09"/>
    <w:rsid w:val="00B864EB"/>
    <w:rsid w:val="00B938D7"/>
    <w:rsid w:val="00B959E5"/>
    <w:rsid w:val="00B95FB9"/>
    <w:rsid w:val="00BA4B0A"/>
    <w:rsid w:val="00BA6990"/>
    <w:rsid w:val="00BB3E00"/>
    <w:rsid w:val="00BB691A"/>
    <w:rsid w:val="00BC334D"/>
    <w:rsid w:val="00BD3EAC"/>
    <w:rsid w:val="00BD503C"/>
    <w:rsid w:val="00BD6574"/>
    <w:rsid w:val="00BE27C5"/>
    <w:rsid w:val="00BF06B3"/>
    <w:rsid w:val="00BF0B37"/>
    <w:rsid w:val="00BF1CC8"/>
    <w:rsid w:val="00C00246"/>
    <w:rsid w:val="00C024E0"/>
    <w:rsid w:val="00C04587"/>
    <w:rsid w:val="00C05C6B"/>
    <w:rsid w:val="00C14FB2"/>
    <w:rsid w:val="00C20448"/>
    <w:rsid w:val="00C326C4"/>
    <w:rsid w:val="00C44CC7"/>
    <w:rsid w:val="00C575F8"/>
    <w:rsid w:val="00C6142E"/>
    <w:rsid w:val="00C61553"/>
    <w:rsid w:val="00C66B35"/>
    <w:rsid w:val="00C72CEE"/>
    <w:rsid w:val="00C73C59"/>
    <w:rsid w:val="00C74D19"/>
    <w:rsid w:val="00C74E28"/>
    <w:rsid w:val="00C764D6"/>
    <w:rsid w:val="00C767F7"/>
    <w:rsid w:val="00C8324F"/>
    <w:rsid w:val="00C91DC5"/>
    <w:rsid w:val="00CA0635"/>
    <w:rsid w:val="00CA1CFD"/>
    <w:rsid w:val="00CA4EC6"/>
    <w:rsid w:val="00CA56B0"/>
    <w:rsid w:val="00CB48FB"/>
    <w:rsid w:val="00CB7C84"/>
    <w:rsid w:val="00CB7F65"/>
    <w:rsid w:val="00CC5599"/>
    <w:rsid w:val="00CD3BFA"/>
    <w:rsid w:val="00CE0667"/>
    <w:rsid w:val="00CE20DB"/>
    <w:rsid w:val="00CF2297"/>
    <w:rsid w:val="00CF240B"/>
    <w:rsid w:val="00D04D2A"/>
    <w:rsid w:val="00D074B8"/>
    <w:rsid w:val="00D12264"/>
    <w:rsid w:val="00D12471"/>
    <w:rsid w:val="00D13F89"/>
    <w:rsid w:val="00D1793F"/>
    <w:rsid w:val="00D20584"/>
    <w:rsid w:val="00D2300C"/>
    <w:rsid w:val="00D23078"/>
    <w:rsid w:val="00D2618F"/>
    <w:rsid w:val="00D27FB3"/>
    <w:rsid w:val="00D309D6"/>
    <w:rsid w:val="00D42507"/>
    <w:rsid w:val="00D430C9"/>
    <w:rsid w:val="00D46C5B"/>
    <w:rsid w:val="00D56BE6"/>
    <w:rsid w:val="00D756D9"/>
    <w:rsid w:val="00D76E95"/>
    <w:rsid w:val="00D77648"/>
    <w:rsid w:val="00D82C0C"/>
    <w:rsid w:val="00D91C7F"/>
    <w:rsid w:val="00D926A4"/>
    <w:rsid w:val="00D9392A"/>
    <w:rsid w:val="00D977E4"/>
    <w:rsid w:val="00DA205B"/>
    <w:rsid w:val="00DA22AB"/>
    <w:rsid w:val="00DA22F4"/>
    <w:rsid w:val="00DA2B35"/>
    <w:rsid w:val="00DA4C12"/>
    <w:rsid w:val="00DA6FE4"/>
    <w:rsid w:val="00DA799C"/>
    <w:rsid w:val="00DB0680"/>
    <w:rsid w:val="00DB52C7"/>
    <w:rsid w:val="00DB61E7"/>
    <w:rsid w:val="00DB7FA2"/>
    <w:rsid w:val="00DC193D"/>
    <w:rsid w:val="00DC484A"/>
    <w:rsid w:val="00DC6D92"/>
    <w:rsid w:val="00DD1234"/>
    <w:rsid w:val="00DD188F"/>
    <w:rsid w:val="00DE3647"/>
    <w:rsid w:val="00DE5736"/>
    <w:rsid w:val="00E01836"/>
    <w:rsid w:val="00E01CB0"/>
    <w:rsid w:val="00E02642"/>
    <w:rsid w:val="00E04A58"/>
    <w:rsid w:val="00E06449"/>
    <w:rsid w:val="00E06F60"/>
    <w:rsid w:val="00E0746C"/>
    <w:rsid w:val="00E22CA2"/>
    <w:rsid w:val="00E27928"/>
    <w:rsid w:val="00E27FF7"/>
    <w:rsid w:val="00E30B06"/>
    <w:rsid w:val="00E35E43"/>
    <w:rsid w:val="00E41A89"/>
    <w:rsid w:val="00E422CC"/>
    <w:rsid w:val="00E4288C"/>
    <w:rsid w:val="00E459E1"/>
    <w:rsid w:val="00E505E6"/>
    <w:rsid w:val="00E52B35"/>
    <w:rsid w:val="00E53256"/>
    <w:rsid w:val="00E53360"/>
    <w:rsid w:val="00E55DB9"/>
    <w:rsid w:val="00E563E4"/>
    <w:rsid w:val="00E56E6A"/>
    <w:rsid w:val="00E65E22"/>
    <w:rsid w:val="00E7260E"/>
    <w:rsid w:val="00E752DB"/>
    <w:rsid w:val="00E81633"/>
    <w:rsid w:val="00E8719B"/>
    <w:rsid w:val="00E906E9"/>
    <w:rsid w:val="00EA547D"/>
    <w:rsid w:val="00EA7895"/>
    <w:rsid w:val="00EB19EF"/>
    <w:rsid w:val="00EC1808"/>
    <w:rsid w:val="00EC2337"/>
    <w:rsid w:val="00ED0C56"/>
    <w:rsid w:val="00EE2BE1"/>
    <w:rsid w:val="00EF5D26"/>
    <w:rsid w:val="00F017A5"/>
    <w:rsid w:val="00F01FC0"/>
    <w:rsid w:val="00F02AAD"/>
    <w:rsid w:val="00F05AC5"/>
    <w:rsid w:val="00F06E18"/>
    <w:rsid w:val="00F15D25"/>
    <w:rsid w:val="00F2211A"/>
    <w:rsid w:val="00F23712"/>
    <w:rsid w:val="00F24066"/>
    <w:rsid w:val="00F244BA"/>
    <w:rsid w:val="00F27FBD"/>
    <w:rsid w:val="00F30270"/>
    <w:rsid w:val="00F3031F"/>
    <w:rsid w:val="00F30C43"/>
    <w:rsid w:val="00F32A7B"/>
    <w:rsid w:val="00F352CA"/>
    <w:rsid w:val="00F35D1A"/>
    <w:rsid w:val="00F410C8"/>
    <w:rsid w:val="00F457F1"/>
    <w:rsid w:val="00F51632"/>
    <w:rsid w:val="00F615CE"/>
    <w:rsid w:val="00F620E6"/>
    <w:rsid w:val="00F634DA"/>
    <w:rsid w:val="00F64536"/>
    <w:rsid w:val="00F65C29"/>
    <w:rsid w:val="00F67594"/>
    <w:rsid w:val="00F73E17"/>
    <w:rsid w:val="00F769E2"/>
    <w:rsid w:val="00F82FA2"/>
    <w:rsid w:val="00F83F35"/>
    <w:rsid w:val="00F911D2"/>
    <w:rsid w:val="00F93DE4"/>
    <w:rsid w:val="00F94A22"/>
    <w:rsid w:val="00F9525D"/>
    <w:rsid w:val="00F973FC"/>
    <w:rsid w:val="00FA3B6E"/>
    <w:rsid w:val="00FA47E7"/>
    <w:rsid w:val="00FA49EA"/>
    <w:rsid w:val="00FB469F"/>
    <w:rsid w:val="00FC7F62"/>
    <w:rsid w:val="00FD128C"/>
    <w:rsid w:val="00FD267A"/>
    <w:rsid w:val="00FD3A79"/>
    <w:rsid w:val="00FD3FF5"/>
    <w:rsid w:val="00FD7232"/>
    <w:rsid w:val="00FE297A"/>
    <w:rsid w:val="00FE7B13"/>
    <w:rsid w:val="00FF49A1"/>
    <w:rsid w:val="00FF6BCB"/>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FC709"/>
  <w15:chartTrackingRefBased/>
  <w15:docId w15:val="{B61CC896-1176-42B1-A82D-C2C900AC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A15"/>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381B7D"/>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381B7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381B7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381B7D"/>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381B7D"/>
    <w:pPr>
      <w:keepNext/>
      <w:jc w:val="both"/>
      <w:outlineLvl w:val="4"/>
    </w:pPr>
    <w:rPr>
      <w:rFonts w:eastAsia="SimSun"/>
      <w:noProof/>
      <w:snapToGrid/>
    </w:rPr>
  </w:style>
  <w:style w:type="paragraph" w:styleId="Antrat6">
    <w:name w:val="heading 6"/>
    <w:basedOn w:val="prastasis"/>
    <w:next w:val="prastasis"/>
    <w:link w:val="Antrat6Diagrama"/>
    <w:qFormat/>
    <w:rsid w:val="00381B7D"/>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381B7D"/>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381B7D"/>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381B7D"/>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81B7D"/>
    <w:rPr>
      <w:rFonts w:ascii="Times New Roman" w:eastAsia="SimSun" w:hAnsi="Times New Roman" w:cs="Times New Roman"/>
      <w:b/>
      <w:caps/>
      <w:sz w:val="26"/>
      <w:szCs w:val="20"/>
      <w:lang w:val="en-US"/>
    </w:rPr>
  </w:style>
  <w:style w:type="character" w:customStyle="1" w:styleId="Antrat2Diagrama">
    <w:name w:val="Antraštė 2 Diagrama"/>
    <w:link w:val="Antrat2"/>
    <w:rsid w:val="00381B7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381B7D"/>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381B7D"/>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381B7D"/>
    <w:rPr>
      <w:rFonts w:ascii="Times New Roman" w:eastAsia="SimSun" w:hAnsi="Times New Roman" w:cs="Times New Roman"/>
      <w:noProof/>
      <w:szCs w:val="20"/>
      <w:lang w:val="en-GB"/>
    </w:rPr>
  </w:style>
  <w:style w:type="character" w:customStyle="1" w:styleId="Antrat6Diagrama">
    <w:name w:val="Antraštė 6 Diagrama"/>
    <w:link w:val="Antrat6"/>
    <w:rsid w:val="00381B7D"/>
    <w:rPr>
      <w:rFonts w:ascii="Times New Roman" w:eastAsia="SimSun" w:hAnsi="Times New Roman" w:cs="Times New Roman"/>
      <w:i/>
      <w:szCs w:val="20"/>
      <w:lang w:val="en-GB"/>
    </w:rPr>
  </w:style>
  <w:style w:type="character" w:customStyle="1" w:styleId="Antrat7Diagrama">
    <w:name w:val="Antraštė 7 Diagrama"/>
    <w:link w:val="Antrat7"/>
    <w:uiPriority w:val="99"/>
    <w:rsid w:val="00381B7D"/>
    <w:rPr>
      <w:rFonts w:ascii="Times New Roman" w:eastAsia="SimSun" w:hAnsi="Times New Roman" w:cs="Times New Roman"/>
      <w:i/>
      <w:szCs w:val="20"/>
      <w:lang w:val="en-GB"/>
    </w:rPr>
  </w:style>
  <w:style w:type="character" w:customStyle="1" w:styleId="Antrat8Diagrama">
    <w:name w:val="Antraštė 8 Diagrama"/>
    <w:link w:val="Antrat8"/>
    <w:uiPriority w:val="99"/>
    <w:rsid w:val="00381B7D"/>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381B7D"/>
    <w:rPr>
      <w:rFonts w:ascii="Times New Roman" w:eastAsia="SimSun" w:hAnsi="Times New Roman" w:cs="Times New Roman"/>
      <w:b/>
      <w:i/>
      <w:szCs w:val="20"/>
      <w:lang w:val="en-GB"/>
    </w:rPr>
  </w:style>
  <w:style w:type="paragraph" w:styleId="Porat">
    <w:name w:val="footer"/>
    <w:basedOn w:val="prastasis"/>
    <w:link w:val="PoratDiagrama"/>
    <w:uiPriority w:val="99"/>
    <w:rsid w:val="00381B7D"/>
    <w:pPr>
      <w:tabs>
        <w:tab w:val="center" w:pos="4536"/>
        <w:tab w:val="right" w:pos="8306"/>
      </w:tabs>
    </w:pPr>
    <w:rPr>
      <w:lang w:eastAsia="x-none"/>
    </w:rPr>
  </w:style>
  <w:style w:type="character" w:customStyle="1" w:styleId="PoratDiagrama">
    <w:name w:val="Poraštė Diagrama"/>
    <w:link w:val="Porat"/>
    <w:uiPriority w:val="99"/>
    <w:rsid w:val="00381B7D"/>
    <w:rPr>
      <w:rFonts w:ascii="Times New Roman" w:eastAsia="Times New Roman" w:hAnsi="Times New Roman" w:cs="Times New Roman"/>
      <w:snapToGrid w:val="0"/>
      <w:szCs w:val="20"/>
      <w:lang w:val="en-GB" w:eastAsia="x-none"/>
    </w:rPr>
  </w:style>
  <w:style w:type="character" w:customStyle="1" w:styleId="HeaderChar">
    <w:name w:val="Header Char"/>
    <w:rsid w:val="00381B7D"/>
    <w:rPr>
      <w:snapToGrid w:val="0"/>
      <w:sz w:val="22"/>
      <w:lang w:val="en-GB" w:eastAsia="en-US"/>
    </w:rPr>
  </w:style>
  <w:style w:type="character" w:styleId="Puslapionumeris">
    <w:name w:val="page number"/>
    <w:rsid w:val="00381B7D"/>
    <w:rPr>
      <w:rFonts w:cs="Times New Roman"/>
    </w:rPr>
  </w:style>
  <w:style w:type="character" w:styleId="Hipersaitas">
    <w:name w:val="Hyperlink"/>
    <w:rsid w:val="00381B7D"/>
    <w:rPr>
      <w:color w:val="0000FF"/>
      <w:u w:val="single"/>
    </w:rPr>
  </w:style>
  <w:style w:type="paragraph" w:customStyle="1" w:styleId="BodytextAgency">
    <w:name w:val="Body text (Agency)"/>
    <w:basedOn w:val="prastasis"/>
    <w:link w:val="BodytextAgencyChar"/>
    <w:uiPriority w:val="99"/>
    <w:rsid w:val="00381B7D"/>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381B7D"/>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381B7D"/>
    <w:pPr>
      <w:tabs>
        <w:tab w:val="clear" w:pos="567"/>
      </w:tabs>
      <w:spacing w:line="280" w:lineRule="exact"/>
    </w:pPr>
    <w:rPr>
      <w:rFonts w:ascii="Verdana" w:hAnsi="Verdana"/>
      <w:sz w:val="18"/>
    </w:rPr>
  </w:style>
  <w:style w:type="character" w:customStyle="1" w:styleId="tw4winError">
    <w:name w:val="tw4winError"/>
    <w:uiPriority w:val="99"/>
    <w:rsid w:val="00381B7D"/>
    <w:rPr>
      <w:rFonts w:ascii="Courier New" w:hAnsi="Courier New"/>
      <w:color w:val="00FF00"/>
      <w:sz w:val="40"/>
    </w:rPr>
  </w:style>
  <w:style w:type="character" w:customStyle="1" w:styleId="tw4winTerm">
    <w:name w:val="tw4winTerm"/>
    <w:uiPriority w:val="99"/>
    <w:rsid w:val="00381B7D"/>
    <w:rPr>
      <w:color w:val="0000FF"/>
    </w:rPr>
  </w:style>
  <w:style w:type="character" w:customStyle="1" w:styleId="tw4winPopup">
    <w:name w:val="tw4winPopup"/>
    <w:uiPriority w:val="99"/>
    <w:rsid w:val="00381B7D"/>
    <w:rPr>
      <w:rFonts w:ascii="Courier New" w:hAnsi="Courier New"/>
      <w:noProof/>
      <w:color w:val="008000"/>
    </w:rPr>
  </w:style>
  <w:style w:type="character" w:customStyle="1" w:styleId="tw4winJump">
    <w:name w:val="tw4winJump"/>
    <w:uiPriority w:val="99"/>
    <w:rsid w:val="00381B7D"/>
    <w:rPr>
      <w:rFonts w:ascii="Courier New" w:hAnsi="Courier New"/>
      <w:noProof/>
      <w:color w:val="008080"/>
    </w:rPr>
  </w:style>
  <w:style w:type="character" w:customStyle="1" w:styleId="tw4winExternal">
    <w:name w:val="tw4winExternal"/>
    <w:uiPriority w:val="99"/>
    <w:rsid w:val="00381B7D"/>
    <w:rPr>
      <w:rFonts w:ascii="Courier New" w:hAnsi="Courier New"/>
      <w:noProof/>
      <w:color w:val="808080"/>
    </w:rPr>
  </w:style>
  <w:style w:type="character" w:customStyle="1" w:styleId="tw4winInternal">
    <w:name w:val="tw4winInternal"/>
    <w:uiPriority w:val="99"/>
    <w:rsid w:val="00381B7D"/>
    <w:rPr>
      <w:rFonts w:ascii="Courier New" w:hAnsi="Courier New"/>
      <w:noProof/>
      <w:color w:val="FF0000"/>
    </w:rPr>
  </w:style>
  <w:style w:type="character" w:customStyle="1" w:styleId="DONOTTRANSLATE">
    <w:name w:val="DO_NOT_TRANSLATE"/>
    <w:uiPriority w:val="99"/>
    <w:rsid w:val="00381B7D"/>
    <w:rPr>
      <w:rFonts w:ascii="Courier New" w:hAnsi="Courier New"/>
      <w:noProof/>
      <w:color w:val="800000"/>
    </w:rPr>
  </w:style>
  <w:style w:type="paragraph" w:styleId="Debesliotekstas">
    <w:name w:val="Balloon Text"/>
    <w:basedOn w:val="prastasis"/>
    <w:link w:val="DebesliotekstasDiagrama"/>
    <w:rsid w:val="00381B7D"/>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381B7D"/>
    <w:rPr>
      <w:rFonts w:ascii="Tahoma" w:eastAsia="Times New Roman" w:hAnsi="Tahoma" w:cs="Times New Roman"/>
      <w:snapToGrid w:val="0"/>
      <w:sz w:val="16"/>
      <w:szCs w:val="16"/>
      <w:lang w:val="en-GB" w:eastAsia="x-none"/>
    </w:rPr>
  </w:style>
  <w:style w:type="character" w:styleId="Komentaronuoroda">
    <w:name w:val="annotation reference"/>
    <w:rsid w:val="00381B7D"/>
    <w:rPr>
      <w:sz w:val="16"/>
      <w:szCs w:val="16"/>
    </w:rPr>
  </w:style>
  <w:style w:type="paragraph" w:styleId="Komentarotekstas">
    <w:name w:val="annotation text"/>
    <w:basedOn w:val="prastasis"/>
    <w:link w:val="KomentarotekstasDiagrama"/>
    <w:uiPriority w:val="99"/>
    <w:rsid w:val="00381B7D"/>
    <w:rPr>
      <w:sz w:val="20"/>
    </w:rPr>
  </w:style>
  <w:style w:type="character" w:customStyle="1" w:styleId="KomentarotekstasDiagrama">
    <w:name w:val="Komentaro tekstas Diagrama"/>
    <w:link w:val="Komentarotekstas"/>
    <w:uiPriority w:val="99"/>
    <w:rsid w:val="00381B7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381B7D"/>
    <w:rPr>
      <w:b/>
      <w:bCs/>
    </w:rPr>
  </w:style>
  <w:style w:type="character" w:customStyle="1" w:styleId="KomentarotemaDiagrama">
    <w:name w:val="Komentaro tema Diagrama"/>
    <w:link w:val="Komentarotema"/>
    <w:rsid w:val="00381B7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81B7D"/>
    <w:rPr>
      <w:rFonts w:ascii="Times New Roman" w:eastAsia="Times New Roman" w:hAnsi="Times New Roman"/>
      <w:snapToGrid w:val="0"/>
      <w:sz w:val="22"/>
      <w:lang w:val="en-GB" w:eastAsia="en-US"/>
    </w:rPr>
  </w:style>
  <w:style w:type="paragraph" w:customStyle="1" w:styleId="EMEAEnBodyText">
    <w:name w:val="EMEA En Body Text"/>
    <w:basedOn w:val="prastasis"/>
    <w:rsid w:val="00381B7D"/>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81B7D"/>
    <w:rPr>
      <w:rFonts w:ascii="Courier New" w:hAnsi="Courier New"/>
      <w:vanish/>
      <w:color w:val="800080"/>
      <w:sz w:val="24"/>
      <w:vertAlign w:val="subscript"/>
    </w:rPr>
  </w:style>
  <w:style w:type="paragraph" w:styleId="Antrats">
    <w:name w:val="header"/>
    <w:basedOn w:val="prastasis"/>
    <w:link w:val="AntratsDiagrama"/>
    <w:rsid w:val="00381B7D"/>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381B7D"/>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381B7D"/>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381B7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81B7D"/>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381B7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81B7D"/>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381B7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81B7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381B7D"/>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381B7D"/>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381B7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381B7D"/>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381B7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81B7D"/>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81B7D"/>
    <w:pPr>
      <w:tabs>
        <w:tab w:val="clear" w:pos="720"/>
        <w:tab w:val="num" w:pos="360"/>
      </w:tabs>
      <w:ind w:left="709" w:hanging="425"/>
    </w:pPr>
    <w:rPr>
      <w:sz w:val="22"/>
    </w:rPr>
  </w:style>
  <w:style w:type="paragraph" w:customStyle="1" w:styleId="AHeader3">
    <w:name w:val="AHeader 3"/>
    <w:basedOn w:val="AHeader2"/>
    <w:uiPriority w:val="99"/>
    <w:rsid w:val="00381B7D"/>
    <w:pPr>
      <w:ind w:left="1276" w:hanging="567"/>
    </w:pPr>
  </w:style>
  <w:style w:type="paragraph" w:customStyle="1" w:styleId="AHeader2abc">
    <w:name w:val="AHeader 2 abc"/>
    <w:basedOn w:val="AHeader3"/>
    <w:uiPriority w:val="99"/>
    <w:rsid w:val="00381B7D"/>
    <w:pPr>
      <w:jc w:val="both"/>
    </w:pPr>
    <w:rPr>
      <w:b w:val="0"/>
      <w:bCs w:val="0"/>
    </w:rPr>
  </w:style>
  <w:style w:type="paragraph" w:customStyle="1" w:styleId="AHeader3abc">
    <w:name w:val="AHeader 3 abc"/>
    <w:basedOn w:val="AHeader2abc"/>
    <w:uiPriority w:val="99"/>
    <w:rsid w:val="00381B7D"/>
    <w:pPr>
      <w:ind w:left="1701" w:hanging="425"/>
    </w:pPr>
  </w:style>
  <w:style w:type="paragraph" w:styleId="Pagrindiniotekstotrauka3">
    <w:name w:val="Body Text Indent 3"/>
    <w:basedOn w:val="prastasis"/>
    <w:link w:val="Pagrindiniotekstotrauka3Diagrama"/>
    <w:uiPriority w:val="99"/>
    <w:rsid w:val="00381B7D"/>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381B7D"/>
    <w:rPr>
      <w:rFonts w:ascii="Times New Roman" w:eastAsia="SimSun" w:hAnsi="Times New Roman" w:cs="Times New Roman"/>
      <w:szCs w:val="21"/>
      <w:lang w:val="en-GB"/>
    </w:rPr>
  </w:style>
  <w:style w:type="character" w:styleId="Perirtashipersaitas">
    <w:name w:val="FollowedHyperlink"/>
    <w:rsid w:val="00381B7D"/>
    <w:rPr>
      <w:rFonts w:cs="Times New Roman"/>
      <w:color w:val="800080"/>
      <w:u w:val="single"/>
    </w:rPr>
  </w:style>
  <w:style w:type="character" w:styleId="Grietas">
    <w:name w:val="Strong"/>
    <w:qFormat/>
    <w:rsid w:val="00381B7D"/>
    <w:rPr>
      <w:rFonts w:cs="Times New Roman"/>
      <w:b/>
      <w:bCs/>
    </w:rPr>
  </w:style>
  <w:style w:type="character" w:customStyle="1" w:styleId="BodytextAgencyChar">
    <w:name w:val="Body text (Agency) Char"/>
    <w:link w:val="BodytextAgency"/>
    <w:uiPriority w:val="99"/>
    <w:locked/>
    <w:rsid w:val="00381B7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81B7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81B7D"/>
    <w:pPr>
      <w:keepNext/>
    </w:pPr>
    <w:rPr>
      <w:rFonts w:eastAsia="SimSun" w:cs="Verdana"/>
      <w:b/>
      <w:snapToGrid/>
      <w:szCs w:val="18"/>
      <w:lang w:eastAsia="en-GB"/>
    </w:rPr>
  </w:style>
  <w:style w:type="character" w:customStyle="1" w:styleId="NormalAgencyChar">
    <w:name w:val="Normal (Agency) Char"/>
    <w:link w:val="NormalAgency"/>
    <w:uiPriority w:val="99"/>
    <w:locked/>
    <w:rsid w:val="00381B7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rsid w:val="00381B7D"/>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rsid w:val="00381B7D"/>
    <w:rPr>
      <w:rFonts w:ascii="Courier New" w:eastAsia="SimSun" w:hAnsi="Courier New" w:cs="Times New Roman"/>
      <w:sz w:val="20"/>
      <w:szCs w:val="20"/>
      <w:lang w:val="en-US"/>
    </w:rPr>
  </w:style>
  <w:style w:type="paragraph" w:customStyle="1" w:styleId="Default">
    <w:name w:val="Default"/>
    <w:rsid w:val="00381B7D"/>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381B7D"/>
    <w:pPr>
      <w:tabs>
        <w:tab w:val="clear" w:pos="567"/>
      </w:tabs>
      <w:spacing w:line="240" w:lineRule="auto"/>
      <w:jc w:val="center"/>
    </w:pPr>
    <w:rPr>
      <w:rFonts w:eastAsia="SimSun"/>
      <w:b/>
      <w:snapToGrid/>
    </w:rPr>
  </w:style>
  <w:style w:type="character" w:customStyle="1" w:styleId="PavadinimasDiagrama">
    <w:name w:val="Pavadinimas Diagrama"/>
    <w:link w:val="Pavadinimas"/>
    <w:rsid w:val="00381B7D"/>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381B7D"/>
    <w:pPr>
      <w:spacing w:line="240" w:lineRule="auto"/>
    </w:pPr>
    <w:rPr>
      <w:rFonts w:eastAsia="SimSun"/>
      <w:snapToGrid/>
    </w:rPr>
  </w:style>
  <w:style w:type="character" w:customStyle="1" w:styleId="DokumentoinaostekstasDiagrama">
    <w:name w:val="Dokumento išnašos tekstas Diagrama"/>
    <w:link w:val="Dokumentoinaostekstas"/>
    <w:rsid w:val="00381B7D"/>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381B7D"/>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381B7D"/>
    <w:rPr>
      <w:rFonts w:ascii="Times New Roman" w:eastAsia="SimSun" w:hAnsi="Times New Roman" w:cs="Times New Roman"/>
      <w:noProof/>
      <w:sz w:val="20"/>
      <w:szCs w:val="20"/>
      <w:lang w:val="x-none" w:eastAsia="x-none"/>
    </w:rPr>
  </w:style>
  <w:style w:type="character" w:customStyle="1" w:styleId="CharChar12">
    <w:name w:val="Char Char12"/>
    <w:locked/>
    <w:rsid w:val="00381B7D"/>
    <w:rPr>
      <w:snapToGrid w:val="0"/>
      <w:lang w:val="en-GB" w:eastAsia="en-US" w:bidi="ar-SA"/>
    </w:rPr>
  </w:style>
  <w:style w:type="table" w:styleId="Lentelstinklelis">
    <w:name w:val="Table Grid"/>
    <w:basedOn w:val="prastojilentel"/>
    <w:uiPriority w:val="59"/>
    <w:rsid w:val="00381B7D"/>
    <w:rPr>
      <w:rFonts w:ascii="Times New Roman" w:eastAsia="Times New Roma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381B7D"/>
  </w:style>
  <w:style w:type="table" w:customStyle="1" w:styleId="Lentelstinklelis1">
    <w:name w:val="Lentelės tinklelis1"/>
    <w:basedOn w:val="prastojilentel"/>
    <w:next w:val="Lentelstinklelis"/>
    <w:rsid w:val="00381B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381B7D"/>
    <w:pPr>
      <w:tabs>
        <w:tab w:val="clear" w:pos="567"/>
      </w:tabs>
      <w:spacing w:line="240" w:lineRule="auto"/>
      <w:jc w:val="both"/>
    </w:pPr>
    <w:rPr>
      <w:snapToGrid/>
      <w:sz w:val="24"/>
      <w:lang w:eastAsia="sl-SI"/>
    </w:rPr>
  </w:style>
  <w:style w:type="paragraph" w:customStyle="1" w:styleId="Naslov1">
    <w:name w:val="Naslov1"/>
    <w:basedOn w:val="Antrat1"/>
    <w:rsid w:val="00381B7D"/>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rsid w:val="00381B7D"/>
    <w:pPr>
      <w:tabs>
        <w:tab w:val="clear" w:pos="567"/>
      </w:tabs>
      <w:spacing w:before="120" w:line="240" w:lineRule="auto"/>
    </w:pPr>
    <w:rPr>
      <w:b/>
      <w:bCs/>
      <w:i/>
      <w:iCs/>
      <w:snapToGrid/>
      <w:sz w:val="24"/>
      <w:szCs w:val="28"/>
      <w:lang w:val="sl-SI" w:eastAsia="sl-SI"/>
    </w:rPr>
  </w:style>
  <w:style w:type="numbering" w:customStyle="1" w:styleId="Sraonra11">
    <w:name w:val="Sąrašo nėra11"/>
    <w:next w:val="Sraonra"/>
    <w:semiHidden/>
    <w:rsid w:val="00381B7D"/>
  </w:style>
  <w:style w:type="numbering" w:customStyle="1" w:styleId="Brezseznama1">
    <w:name w:val="Brez seznama1"/>
    <w:next w:val="Sraonra"/>
    <w:semiHidden/>
    <w:rsid w:val="00381B7D"/>
  </w:style>
  <w:style w:type="numbering" w:customStyle="1" w:styleId="Brezseznama2">
    <w:name w:val="Brez seznama2"/>
    <w:next w:val="Sraonra"/>
    <w:semiHidden/>
    <w:rsid w:val="00381B7D"/>
  </w:style>
  <w:style w:type="numbering" w:customStyle="1" w:styleId="Brezseznama3">
    <w:name w:val="Brez seznama3"/>
    <w:next w:val="Sraonra"/>
    <w:semiHidden/>
    <w:rsid w:val="00381B7D"/>
  </w:style>
  <w:style w:type="numbering" w:customStyle="1" w:styleId="Brezseznama4">
    <w:name w:val="Brez seznama4"/>
    <w:next w:val="Sraonra"/>
    <w:semiHidden/>
    <w:rsid w:val="00381B7D"/>
  </w:style>
  <w:style w:type="paragraph" w:customStyle="1" w:styleId="TTEMEASMCA">
    <w:name w:val="TT EMEA_SMCA"/>
    <w:basedOn w:val="Antrat1"/>
    <w:link w:val="TTEMEASMCAChar"/>
    <w:autoRedefine/>
    <w:rsid w:val="00381B7D"/>
    <w:pPr>
      <w:spacing w:before="0" w:after="0" w:line="240" w:lineRule="auto"/>
      <w:ind w:left="567" w:hanging="567"/>
      <w:jc w:val="center"/>
    </w:pPr>
    <w:rPr>
      <w:rFonts w:eastAsia="Times New Roman"/>
      <w:sz w:val="22"/>
      <w:szCs w:val="22"/>
    </w:rPr>
  </w:style>
  <w:style w:type="paragraph" w:customStyle="1" w:styleId="BTAnIIEMEASMCA">
    <w:name w:val="BT(AnII) EMEA_SMCA"/>
    <w:basedOn w:val="prastasis"/>
    <w:autoRedefine/>
    <w:rsid w:val="00381B7D"/>
    <w:pPr>
      <w:tabs>
        <w:tab w:val="clear" w:pos="567"/>
        <w:tab w:val="left" w:pos="1701"/>
      </w:tabs>
      <w:spacing w:line="240" w:lineRule="auto"/>
      <w:ind w:left="1701" w:hanging="567"/>
    </w:pPr>
    <w:rPr>
      <w:rFonts w:cs="Tahoma"/>
      <w:b/>
      <w:snapToGrid/>
      <w:szCs w:val="22"/>
    </w:rPr>
  </w:style>
  <w:style w:type="paragraph" w:customStyle="1" w:styleId="PI-1EMEASMCA">
    <w:name w:val="PI-1 EMEA_SMCA"/>
    <w:basedOn w:val="Antrat2"/>
    <w:autoRedefine/>
    <w:rsid w:val="00381B7D"/>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uEMEASMCA">
    <w:name w:val="BT(u) EMEA_SMCA"/>
    <w:basedOn w:val="BTEMEASMCA"/>
    <w:autoRedefine/>
    <w:rsid w:val="00381B7D"/>
    <w:rPr>
      <w:rFonts w:eastAsia="Times New Roman"/>
      <w:noProof w:val="0"/>
      <w:sz w:val="22"/>
      <w:szCs w:val="22"/>
      <w:u w:val="single"/>
      <w:lang w:val="lt-LT" w:eastAsia="en-US"/>
    </w:rPr>
  </w:style>
  <w:style w:type="paragraph" w:customStyle="1" w:styleId="PI-2EMEASMCA">
    <w:name w:val="PI-2 EMEA_SMCA"/>
    <w:basedOn w:val="Antrat3"/>
    <w:autoRedefine/>
    <w:rsid w:val="00381B7D"/>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PI-1labEMEASMCA">
    <w:name w:val="PI-1_lab EMEA_SMCA"/>
    <w:basedOn w:val="prastasis"/>
    <w:link w:val="PI-1labEMEASMCAChar"/>
    <w:autoRedefine/>
    <w:rsid w:val="00381B7D"/>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BT-EMEASMCA">
    <w:name w:val="BT- EMEA_SMCA"/>
    <w:basedOn w:val="BTEMEASMCA"/>
    <w:autoRedefine/>
    <w:rsid w:val="00381B7D"/>
    <w:pPr>
      <w:numPr>
        <w:numId w:val="2"/>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sid w:val="00381B7D"/>
    <w:rPr>
      <w:rFonts w:eastAsia="Times New Roman"/>
      <w:b/>
      <w:noProof w:val="0"/>
      <w:sz w:val="22"/>
      <w:szCs w:val="22"/>
      <w:lang w:val="lt-LT" w:eastAsia="en-US"/>
    </w:rPr>
  </w:style>
  <w:style w:type="paragraph" w:customStyle="1" w:styleId="PI-3EMEASMCA">
    <w:name w:val="PI-3 EMEA_SMCA"/>
    <w:basedOn w:val="prastasis"/>
    <w:autoRedefine/>
    <w:rsid w:val="00381B7D"/>
    <w:pPr>
      <w:tabs>
        <w:tab w:val="clear" w:pos="567"/>
      </w:tabs>
      <w:spacing w:line="220" w:lineRule="exact"/>
    </w:pPr>
    <w:rPr>
      <w:b/>
      <w:bCs/>
      <w:snapToGrid/>
      <w:szCs w:val="22"/>
      <w:lang w:val="lt-LT"/>
    </w:rPr>
  </w:style>
  <w:style w:type="character" w:customStyle="1" w:styleId="PI-1labEMEASMCAChar">
    <w:name w:val="PI-1_lab EMEA_SMCA Char"/>
    <w:link w:val="PI-1labEMEASMCA"/>
    <w:rsid w:val="00381B7D"/>
    <w:rPr>
      <w:rFonts w:ascii="Times New Roman" w:eastAsia="Times New Roman" w:hAnsi="Times New Roman" w:cs="Times New Roman"/>
      <w:b/>
      <w:noProof/>
    </w:rPr>
  </w:style>
  <w:style w:type="paragraph" w:styleId="Paantrat">
    <w:name w:val="Subtitle"/>
    <w:basedOn w:val="prastasis"/>
    <w:link w:val="PaantratDiagrama"/>
    <w:qFormat/>
    <w:rsid w:val="00381B7D"/>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381B7D"/>
    <w:rPr>
      <w:rFonts w:ascii="TimesNewRoman,Bold" w:eastAsia="Times New Roman" w:hAnsi="TimesNewRoman,Bold" w:cs="Times New Roman"/>
      <w:b/>
      <w:color w:val="000000"/>
      <w:szCs w:val="20"/>
      <w:lang w:val="en-US" w:eastAsia="lt-LT"/>
    </w:rPr>
  </w:style>
  <w:style w:type="paragraph" w:customStyle="1" w:styleId="SlogObojestranskoPo0pt">
    <w:name w:val="Slog Obojestransko Po:  0 pt"/>
    <w:basedOn w:val="prastasis"/>
    <w:rsid w:val="00381B7D"/>
    <w:pPr>
      <w:tabs>
        <w:tab w:val="clear" w:pos="567"/>
      </w:tabs>
      <w:spacing w:line="240" w:lineRule="auto"/>
      <w:jc w:val="both"/>
    </w:pPr>
    <w:rPr>
      <w:snapToGrid/>
      <w:lang w:val="en-US"/>
    </w:rPr>
  </w:style>
  <w:style w:type="character" w:customStyle="1" w:styleId="SlogLeee">
    <w:name w:val="Slog Ležeče"/>
    <w:rsid w:val="00381B7D"/>
    <w:rPr>
      <w:iCs/>
    </w:rPr>
  </w:style>
  <w:style w:type="character" w:customStyle="1" w:styleId="TTEMEASMCAChar">
    <w:name w:val="TT EMEA_SMCA Char"/>
    <w:link w:val="TTEMEASMCA"/>
    <w:rsid w:val="00381B7D"/>
    <w:rPr>
      <w:rFonts w:ascii="Times New Roman" w:eastAsia="Times New Roman" w:hAnsi="Times New Roman" w:cs="Times New Roman"/>
      <w:b/>
      <w:caps/>
      <w:lang w:val="en-US"/>
    </w:rPr>
  </w:style>
  <w:style w:type="paragraph" w:styleId="Sraopastraipa">
    <w:name w:val="List Paragraph"/>
    <w:basedOn w:val="prastasis"/>
    <w:uiPriority w:val="34"/>
    <w:qFormat/>
    <w:rsid w:val="00381B7D"/>
    <w:pPr>
      <w:tabs>
        <w:tab w:val="clear" w:pos="567"/>
      </w:tabs>
      <w:spacing w:line="240" w:lineRule="auto"/>
      <w:ind w:left="720"/>
      <w:contextualSpacing/>
    </w:pPr>
    <w:rPr>
      <w:snapToGrid/>
      <w:sz w:val="24"/>
      <w:szCs w:val="24"/>
      <w:lang w:val="lt-LT"/>
    </w:rPr>
  </w:style>
  <w:style w:type="numbering" w:customStyle="1" w:styleId="Brezseznama5">
    <w:name w:val="Brez seznama5"/>
    <w:next w:val="Sraonra"/>
    <w:uiPriority w:val="99"/>
    <w:semiHidden/>
    <w:unhideWhenUsed/>
    <w:rsid w:val="00381B7D"/>
  </w:style>
  <w:style w:type="table" w:customStyle="1" w:styleId="Tabelamrea1">
    <w:name w:val="Tabela – mreža1"/>
    <w:basedOn w:val="prastojilentel"/>
    <w:next w:val="Lentelstinklelis"/>
    <w:rsid w:val="00381B7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381B7D"/>
  </w:style>
  <w:style w:type="numbering" w:customStyle="1" w:styleId="Brezseznama11">
    <w:name w:val="Brez seznama11"/>
    <w:next w:val="Sraonra"/>
    <w:semiHidden/>
    <w:rsid w:val="00381B7D"/>
  </w:style>
  <w:style w:type="numbering" w:customStyle="1" w:styleId="Brezseznama21">
    <w:name w:val="Brez seznama21"/>
    <w:next w:val="Sraonra"/>
    <w:semiHidden/>
    <w:rsid w:val="00381B7D"/>
  </w:style>
  <w:style w:type="numbering" w:customStyle="1" w:styleId="Brezseznama31">
    <w:name w:val="Brez seznama31"/>
    <w:next w:val="Sraonra"/>
    <w:semiHidden/>
    <w:rsid w:val="00381B7D"/>
  </w:style>
  <w:style w:type="numbering" w:customStyle="1" w:styleId="Brezseznama41">
    <w:name w:val="Brez seznama41"/>
    <w:next w:val="Sraonra"/>
    <w:semiHidden/>
    <w:rsid w:val="00381B7D"/>
  </w:style>
  <w:style w:type="paragraph" w:styleId="prastasiniatinklio">
    <w:name w:val="Normal (Web)"/>
    <w:basedOn w:val="prastasis"/>
    <w:rsid w:val="00381B7D"/>
    <w:pPr>
      <w:tabs>
        <w:tab w:val="clear" w:pos="567"/>
      </w:tabs>
      <w:spacing w:before="100" w:beforeAutospacing="1" w:after="69" w:line="240" w:lineRule="auto"/>
    </w:pPr>
    <w:rPr>
      <w:snapToGrid/>
      <w:color w:val="000000"/>
      <w:sz w:val="24"/>
      <w:szCs w:val="24"/>
      <w:lang w:val="en-US"/>
    </w:rPr>
  </w:style>
  <w:style w:type="paragraph" w:customStyle="1" w:styleId="A-TableText">
    <w:name w:val="A-Table Text"/>
    <w:uiPriority w:val="99"/>
    <w:rsid w:val="00381B7D"/>
    <w:pPr>
      <w:spacing w:before="60" w:after="60"/>
    </w:pPr>
    <w:rPr>
      <w:rFonts w:ascii="Times New Roman" w:eastAsia="Times New Roman" w:hAnsi="Times New Roman"/>
      <w:sz w:val="22"/>
      <w:szCs w:val="22"/>
      <w:lang w:val="en-GB" w:eastAsia="en-US"/>
    </w:rPr>
  </w:style>
  <w:style w:type="character" w:styleId="Emfaz">
    <w:name w:val="Emphasis"/>
    <w:uiPriority w:val="20"/>
    <w:qFormat/>
    <w:rsid w:val="004B4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688">
      <w:bodyDiv w:val="1"/>
      <w:marLeft w:val="0"/>
      <w:marRight w:val="0"/>
      <w:marTop w:val="0"/>
      <w:marBottom w:val="0"/>
      <w:divBdr>
        <w:top w:val="none" w:sz="0" w:space="0" w:color="auto"/>
        <w:left w:val="none" w:sz="0" w:space="0" w:color="auto"/>
        <w:bottom w:val="none" w:sz="0" w:space="0" w:color="auto"/>
        <w:right w:val="none" w:sz="0" w:space="0" w:color="auto"/>
      </w:divBdr>
    </w:div>
    <w:div w:id="131604252">
      <w:bodyDiv w:val="1"/>
      <w:marLeft w:val="0"/>
      <w:marRight w:val="0"/>
      <w:marTop w:val="0"/>
      <w:marBottom w:val="0"/>
      <w:divBdr>
        <w:top w:val="none" w:sz="0" w:space="0" w:color="auto"/>
        <w:left w:val="none" w:sz="0" w:space="0" w:color="auto"/>
        <w:bottom w:val="none" w:sz="0" w:space="0" w:color="auto"/>
        <w:right w:val="none" w:sz="0" w:space="0" w:color="auto"/>
      </w:divBdr>
    </w:div>
    <w:div w:id="164319821">
      <w:bodyDiv w:val="1"/>
      <w:marLeft w:val="0"/>
      <w:marRight w:val="0"/>
      <w:marTop w:val="0"/>
      <w:marBottom w:val="0"/>
      <w:divBdr>
        <w:top w:val="none" w:sz="0" w:space="0" w:color="auto"/>
        <w:left w:val="none" w:sz="0" w:space="0" w:color="auto"/>
        <w:bottom w:val="none" w:sz="0" w:space="0" w:color="auto"/>
        <w:right w:val="none" w:sz="0" w:space="0" w:color="auto"/>
      </w:divBdr>
    </w:div>
    <w:div w:id="633216257">
      <w:bodyDiv w:val="1"/>
      <w:marLeft w:val="0"/>
      <w:marRight w:val="0"/>
      <w:marTop w:val="0"/>
      <w:marBottom w:val="0"/>
      <w:divBdr>
        <w:top w:val="none" w:sz="0" w:space="0" w:color="auto"/>
        <w:left w:val="none" w:sz="0" w:space="0" w:color="auto"/>
        <w:bottom w:val="none" w:sz="0" w:space="0" w:color="auto"/>
        <w:right w:val="none" w:sz="0" w:space="0" w:color="auto"/>
      </w:divBdr>
    </w:div>
    <w:div w:id="727384183">
      <w:bodyDiv w:val="1"/>
      <w:marLeft w:val="0"/>
      <w:marRight w:val="0"/>
      <w:marTop w:val="0"/>
      <w:marBottom w:val="0"/>
      <w:divBdr>
        <w:top w:val="none" w:sz="0" w:space="0" w:color="auto"/>
        <w:left w:val="none" w:sz="0" w:space="0" w:color="auto"/>
        <w:bottom w:val="none" w:sz="0" w:space="0" w:color="auto"/>
        <w:right w:val="none" w:sz="0" w:space="0" w:color="auto"/>
      </w:divBdr>
    </w:div>
    <w:div w:id="900671161">
      <w:bodyDiv w:val="1"/>
      <w:marLeft w:val="0"/>
      <w:marRight w:val="0"/>
      <w:marTop w:val="0"/>
      <w:marBottom w:val="0"/>
      <w:divBdr>
        <w:top w:val="none" w:sz="0" w:space="0" w:color="auto"/>
        <w:left w:val="none" w:sz="0" w:space="0" w:color="auto"/>
        <w:bottom w:val="none" w:sz="0" w:space="0" w:color="auto"/>
        <w:right w:val="none" w:sz="0" w:space="0" w:color="auto"/>
      </w:divBdr>
    </w:div>
    <w:div w:id="934676740">
      <w:bodyDiv w:val="1"/>
      <w:marLeft w:val="0"/>
      <w:marRight w:val="0"/>
      <w:marTop w:val="0"/>
      <w:marBottom w:val="0"/>
      <w:divBdr>
        <w:top w:val="none" w:sz="0" w:space="0" w:color="auto"/>
        <w:left w:val="none" w:sz="0" w:space="0" w:color="auto"/>
        <w:bottom w:val="none" w:sz="0" w:space="0" w:color="auto"/>
        <w:right w:val="none" w:sz="0" w:space="0" w:color="auto"/>
      </w:divBdr>
    </w:div>
    <w:div w:id="1002050623">
      <w:bodyDiv w:val="1"/>
      <w:marLeft w:val="0"/>
      <w:marRight w:val="0"/>
      <w:marTop w:val="0"/>
      <w:marBottom w:val="0"/>
      <w:divBdr>
        <w:top w:val="none" w:sz="0" w:space="0" w:color="auto"/>
        <w:left w:val="none" w:sz="0" w:space="0" w:color="auto"/>
        <w:bottom w:val="none" w:sz="0" w:space="0" w:color="auto"/>
        <w:right w:val="none" w:sz="0" w:space="0" w:color="auto"/>
      </w:divBdr>
    </w:div>
    <w:div w:id="1059742647">
      <w:bodyDiv w:val="1"/>
      <w:marLeft w:val="0"/>
      <w:marRight w:val="0"/>
      <w:marTop w:val="0"/>
      <w:marBottom w:val="0"/>
      <w:divBdr>
        <w:top w:val="none" w:sz="0" w:space="0" w:color="auto"/>
        <w:left w:val="none" w:sz="0" w:space="0" w:color="auto"/>
        <w:bottom w:val="none" w:sz="0" w:space="0" w:color="auto"/>
        <w:right w:val="none" w:sz="0" w:space="0" w:color="auto"/>
      </w:divBdr>
    </w:div>
    <w:div w:id="1072043408">
      <w:bodyDiv w:val="1"/>
      <w:marLeft w:val="0"/>
      <w:marRight w:val="0"/>
      <w:marTop w:val="0"/>
      <w:marBottom w:val="0"/>
      <w:divBdr>
        <w:top w:val="none" w:sz="0" w:space="0" w:color="auto"/>
        <w:left w:val="none" w:sz="0" w:space="0" w:color="auto"/>
        <w:bottom w:val="none" w:sz="0" w:space="0" w:color="auto"/>
        <w:right w:val="none" w:sz="0" w:space="0" w:color="auto"/>
      </w:divBdr>
    </w:div>
    <w:div w:id="1218391370">
      <w:bodyDiv w:val="1"/>
      <w:marLeft w:val="0"/>
      <w:marRight w:val="0"/>
      <w:marTop w:val="0"/>
      <w:marBottom w:val="0"/>
      <w:divBdr>
        <w:top w:val="none" w:sz="0" w:space="0" w:color="auto"/>
        <w:left w:val="none" w:sz="0" w:space="0" w:color="auto"/>
        <w:bottom w:val="none" w:sz="0" w:space="0" w:color="auto"/>
        <w:right w:val="none" w:sz="0" w:space="0" w:color="auto"/>
      </w:divBdr>
    </w:div>
    <w:div w:id="1256592849">
      <w:bodyDiv w:val="1"/>
      <w:marLeft w:val="0"/>
      <w:marRight w:val="0"/>
      <w:marTop w:val="0"/>
      <w:marBottom w:val="0"/>
      <w:divBdr>
        <w:top w:val="none" w:sz="0" w:space="0" w:color="auto"/>
        <w:left w:val="none" w:sz="0" w:space="0" w:color="auto"/>
        <w:bottom w:val="none" w:sz="0" w:space="0" w:color="auto"/>
        <w:right w:val="none" w:sz="0" w:space="0" w:color="auto"/>
      </w:divBdr>
    </w:div>
    <w:div w:id="1457412727">
      <w:bodyDiv w:val="1"/>
      <w:marLeft w:val="0"/>
      <w:marRight w:val="0"/>
      <w:marTop w:val="0"/>
      <w:marBottom w:val="0"/>
      <w:divBdr>
        <w:top w:val="none" w:sz="0" w:space="0" w:color="auto"/>
        <w:left w:val="none" w:sz="0" w:space="0" w:color="auto"/>
        <w:bottom w:val="none" w:sz="0" w:space="0" w:color="auto"/>
        <w:right w:val="none" w:sz="0" w:space="0" w:color="auto"/>
      </w:divBdr>
    </w:div>
    <w:div w:id="1775203551">
      <w:bodyDiv w:val="1"/>
      <w:marLeft w:val="0"/>
      <w:marRight w:val="0"/>
      <w:marTop w:val="0"/>
      <w:marBottom w:val="0"/>
      <w:divBdr>
        <w:top w:val="none" w:sz="0" w:space="0" w:color="auto"/>
        <w:left w:val="none" w:sz="0" w:space="0" w:color="auto"/>
        <w:bottom w:val="none" w:sz="0" w:space="0" w:color="auto"/>
        <w:right w:val="none" w:sz="0" w:space="0" w:color="auto"/>
      </w:divBdr>
    </w:div>
    <w:div w:id="1818258852">
      <w:bodyDiv w:val="1"/>
      <w:marLeft w:val="0"/>
      <w:marRight w:val="0"/>
      <w:marTop w:val="0"/>
      <w:marBottom w:val="0"/>
      <w:divBdr>
        <w:top w:val="none" w:sz="0" w:space="0" w:color="auto"/>
        <w:left w:val="none" w:sz="0" w:space="0" w:color="auto"/>
        <w:bottom w:val="none" w:sz="0" w:space="0" w:color="auto"/>
        <w:right w:val="none" w:sz="0" w:space="0" w:color="auto"/>
      </w:divBdr>
    </w:div>
    <w:div w:id="1959485638">
      <w:bodyDiv w:val="1"/>
      <w:marLeft w:val="0"/>
      <w:marRight w:val="0"/>
      <w:marTop w:val="0"/>
      <w:marBottom w:val="0"/>
      <w:divBdr>
        <w:top w:val="none" w:sz="0" w:space="0" w:color="auto"/>
        <w:left w:val="none" w:sz="0" w:space="0" w:color="auto"/>
        <w:bottom w:val="none" w:sz="0" w:space="0" w:color="auto"/>
        <w:right w:val="none" w:sz="0" w:space="0" w:color="auto"/>
      </w:divBdr>
    </w:div>
    <w:div w:id="2056074423">
      <w:bodyDiv w:val="1"/>
      <w:marLeft w:val="0"/>
      <w:marRight w:val="0"/>
      <w:marTop w:val="0"/>
      <w:marBottom w:val="0"/>
      <w:divBdr>
        <w:top w:val="none" w:sz="0" w:space="0" w:color="auto"/>
        <w:left w:val="none" w:sz="0" w:space="0" w:color="auto"/>
        <w:bottom w:val="none" w:sz="0" w:space="0" w:color="auto"/>
        <w:right w:val="none" w:sz="0" w:space="0" w:color="auto"/>
      </w:divBdr>
    </w:div>
    <w:div w:id="21409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CF0C-6A12-47FF-8F37-D6D280F0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59945</Words>
  <Characters>34169</Characters>
  <Application>Microsoft Office Word</Application>
  <DocSecurity>4</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93927</CharactersWithSpaces>
  <SharedDoc>false</SharedDoc>
  <HLinks>
    <vt:vector size="54"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2026-05-25T05:57:00Z</dcterms:created>
  <dcterms:modified xsi:type="dcterms:W3CDTF">2026-05-25T05:57:00Z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2026-04-27T13:25:46Z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0fb8b866-449b-4b17-a17f-4b18a87a6967</vt:lpwstr>
  </property>
  <property fmtid="{D5CDD505-2E9C-101B-9397-08002B2CF9AE}" pid="8" name="MSIP_Label_c63a0701-319b-41bf-8431-58956e491e60_ContentBits">
    <vt:lpwstr>0</vt:lpwstr>
  </property>
  <property fmtid="{D5CDD505-2E9C-101B-9397-08002B2CF9AE}" pid="9" name="MSIP_Label_c63a0701-319b-41bf-8431-58956e491e60_Tag">
    <vt:lpwstr>10, 0, 1, 1</vt:lpwstr>
  </property>
</Properties>
</file>