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7DAF9" w14:textId="77777777" w:rsidR="00323207" w:rsidRPr="00F931D9" w:rsidRDefault="00323207" w:rsidP="00323207">
      <w:pPr>
        <w:widowControl w:val="0"/>
        <w:spacing w:after="0" w:line="240" w:lineRule="auto"/>
        <w:jc w:val="center"/>
        <w:rPr>
          <w:rFonts w:ascii="Times New Roman" w:hAnsi="Times New Roman"/>
          <w:kern w:val="0"/>
          <w:sz w:val="22"/>
          <w14:ligatures w14:val="none"/>
        </w:rPr>
      </w:pPr>
    </w:p>
    <w:p w14:paraId="327861D8" w14:textId="77777777" w:rsidR="00323207" w:rsidRPr="00F931D9" w:rsidRDefault="00323207" w:rsidP="00323207">
      <w:pPr>
        <w:widowControl w:val="0"/>
        <w:spacing w:after="0" w:line="240" w:lineRule="auto"/>
        <w:jc w:val="center"/>
        <w:rPr>
          <w:rFonts w:ascii="Times New Roman" w:hAnsi="Times New Roman"/>
          <w:kern w:val="0"/>
          <w:sz w:val="22"/>
          <w:lang w:val="en-GB"/>
          <w14:ligatures w14:val="none"/>
        </w:rPr>
      </w:pPr>
    </w:p>
    <w:p w14:paraId="4F4E57B6" w14:textId="77777777" w:rsidR="00323207" w:rsidRPr="00F931D9" w:rsidRDefault="00323207" w:rsidP="00323207">
      <w:pPr>
        <w:widowControl w:val="0"/>
        <w:spacing w:after="0" w:line="240" w:lineRule="auto"/>
        <w:jc w:val="center"/>
        <w:rPr>
          <w:rFonts w:ascii="Times New Roman" w:hAnsi="Times New Roman"/>
          <w:kern w:val="0"/>
          <w:sz w:val="22"/>
          <w:lang w:val="en-GB"/>
          <w14:ligatures w14:val="none"/>
        </w:rPr>
      </w:pPr>
    </w:p>
    <w:p w14:paraId="0B87BC75" w14:textId="77777777" w:rsidR="00323207" w:rsidRPr="00F931D9" w:rsidRDefault="00323207" w:rsidP="00323207">
      <w:pPr>
        <w:widowControl w:val="0"/>
        <w:spacing w:after="0" w:line="240" w:lineRule="auto"/>
        <w:jc w:val="center"/>
        <w:rPr>
          <w:rFonts w:ascii="Times New Roman" w:hAnsi="Times New Roman"/>
          <w:kern w:val="0"/>
          <w:sz w:val="22"/>
          <w:lang w:val="en-GB"/>
          <w14:ligatures w14:val="none"/>
        </w:rPr>
      </w:pPr>
    </w:p>
    <w:p w14:paraId="71559816" w14:textId="77777777" w:rsidR="00323207" w:rsidRPr="00F931D9" w:rsidRDefault="00323207" w:rsidP="00323207">
      <w:pPr>
        <w:widowControl w:val="0"/>
        <w:spacing w:after="0" w:line="240" w:lineRule="auto"/>
        <w:jc w:val="center"/>
        <w:rPr>
          <w:rFonts w:ascii="Times New Roman" w:hAnsi="Times New Roman"/>
          <w:kern w:val="0"/>
          <w:sz w:val="22"/>
          <w:lang w:val="en-GB"/>
          <w14:ligatures w14:val="none"/>
        </w:rPr>
      </w:pPr>
    </w:p>
    <w:p w14:paraId="7BB87E0C" w14:textId="77777777" w:rsidR="00323207" w:rsidRPr="00F931D9" w:rsidRDefault="00323207" w:rsidP="00323207">
      <w:pPr>
        <w:widowControl w:val="0"/>
        <w:spacing w:after="0" w:line="240" w:lineRule="auto"/>
        <w:jc w:val="center"/>
        <w:rPr>
          <w:rFonts w:ascii="Times New Roman" w:hAnsi="Times New Roman"/>
          <w:kern w:val="0"/>
          <w:sz w:val="22"/>
          <w:lang w:val="en-GB"/>
          <w14:ligatures w14:val="none"/>
        </w:rPr>
      </w:pPr>
    </w:p>
    <w:p w14:paraId="6FC88E83" w14:textId="77777777" w:rsidR="00323207" w:rsidRPr="00F931D9" w:rsidRDefault="00323207" w:rsidP="00323207">
      <w:pPr>
        <w:widowControl w:val="0"/>
        <w:spacing w:after="0" w:line="240" w:lineRule="auto"/>
        <w:jc w:val="center"/>
        <w:rPr>
          <w:rFonts w:ascii="Times New Roman" w:hAnsi="Times New Roman"/>
          <w:kern w:val="0"/>
          <w:sz w:val="22"/>
          <w:lang w:val="en-GB"/>
          <w14:ligatures w14:val="none"/>
        </w:rPr>
      </w:pPr>
    </w:p>
    <w:p w14:paraId="7C10370A" w14:textId="77777777" w:rsidR="00323207" w:rsidRPr="00F931D9" w:rsidRDefault="00323207" w:rsidP="00323207">
      <w:pPr>
        <w:widowControl w:val="0"/>
        <w:spacing w:after="0" w:line="240" w:lineRule="auto"/>
        <w:jc w:val="center"/>
        <w:rPr>
          <w:rFonts w:ascii="Times New Roman" w:hAnsi="Times New Roman"/>
          <w:kern w:val="0"/>
          <w:sz w:val="22"/>
          <w:lang w:val="en-GB"/>
          <w14:ligatures w14:val="none"/>
        </w:rPr>
      </w:pPr>
    </w:p>
    <w:p w14:paraId="151C79CA" w14:textId="77777777" w:rsidR="00323207" w:rsidRPr="00F931D9" w:rsidRDefault="00323207" w:rsidP="00323207">
      <w:pPr>
        <w:widowControl w:val="0"/>
        <w:spacing w:after="0" w:line="240" w:lineRule="auto"/>
        <w:jc w:val="center"/>
        <w:rPr>
          <w:rFonts w:ascii="Times New Roman" w:hAnsi="Times New Roman"/>
          <w:kern w:val="0"/>
          <w:sz w:val="22"/>
          <w:lang w:val="en-GB"/>
          <w14:ligatures w14:val="none"/>
        </w:rPr>
      </w:pPr>
    </w:p>
    <w:p w14:paraId="0078F74E" w14:textId="77777777" w:rsidR="00323207" w:rsidRPr="00F931D9" w:rsidRDefault="00323207" w:rsidP="00323207">
      <w:pPr>
        <w:widowControl w:val="0"/>
        <w:spacing w:after="0" w:line="240" w:lineRule="auto"/>
        <w:jc w:val="center"/>
        <w:rPr>
          <w:rFonts w:ascii="Times New Roman" w:hAnsi="Times New Roman"/>
          <w:kern w:val="0"/>
          <w:sz w:val="22"/>
          <w:lang w:val="en-GB"/>
          <w14:ligatures w14:val="none"/>
        </w:rPr>
      </w:pPr>
    </w:p>
    <w:p w14:paraId="3BB4124D" w14:textId="77777777" w:rsidR="00323207" w:rsidRPr="00F931D9" w:rsidRDefault="00323207" w:rsidP="00323207">
      <w:pPr>
        <w:widowControl w:val="0"/>
        <w:spacing w:after="0" w:line="240" w:lineRule="auto"/>
        <w:jc w:val="center"/>
        <w:rPr>
          <w:rFonts w:ascii="Times New Roman" w:hAnsi="Times New Roman"/>
          <w:kern w:val="0"/>
          <w:sz w:val="22"/>
          <w:lang w:val="en-GB"/>
          <w14:ligatures w14:val="none"/>
        </w:rPr>
      </w:pPr>
    </w:p>
    <w:p w14:paraId="062ED8D6" w14:textId="77777777" w:rsidR="00323207" w:rsidRPr="00F931D9" w:rsidRDefault="00323207" w:rsidP="00323207">
      <w:pPr>
        <w:widowControl w:val="0"/>
        <w:spacing w:after="0" w:line="240" w:lineRule="auto"/>
        <w:jc w:val="center"/>
        <w:rPr>
          <w:rFonts w:ascii="Times New Roman" w:hAnsi="Times New Roman"/>
          <w:kern w:val="0"/>
          <w:sz w:val="22"/>
          <w:lang w:val="en-GB"/>
          <w14:ligatures w14:val="none"/>
        </w:rPr>
      </w:pPr>
    </w:p>
    <w:p w14:paraId="4E4145E9" w14:textId="77777777" w:rsidR="00323207" w:rsidRPr="00F931D9" w:rsidRDefault="00323207" w:rsidP="00323207">
      <w:pPr>
        <w:widowControl w:val="0"/>
        <w:spacing w:after="0" w:line="240" w:lineRule="auto"/>
        <w:jc w:val="center"/>
        <w:rPr>
          <w:rFonts w:ascii="Times New Roman" w:hAnsi="Times New Roman"/>
          <w:kern w:val="0"/>
          <w:sz w:val="22"/>
          <w:lang w:val="en-GB"/>
          <w14:ligatures w14:val="none"/>
        </w:rPr>
      </w:pPr>
    </w:p>
    <w:p w14:paraId="3923D004" w14:textId="77777777" w:rsidR="00323207" w:rsidRPr="00F931D9" w:rsidRDefault="00323207" w:rsidP="00323207">
      <w:pPr>
        <w:widowControl w:val="0"/>
        <w:spacing w:after="0" w:line="240" w:lineRule="auto"/>
        <w:jc w:val="center"/>
        <w:rPr>
          <w:rFonts w:ascii="Times New Roman" w:hAnsi="Times New Roman"/>
          <w:kern w:val="0"/>
          <w:sz w:val="22"/>
          <w:lang w:val="en-GB"/>
          <w14:ligatures w14:val="none"/>
        </w:rPr>
      </w:pPr>
    </w:p>
    <w:p w14:paraId="2DEFF129" w14:textId="77777777" w:rsidR="00323207" w:rsidRPr="00F931D9" w:rsidRDefault="00323207" w:rsidP="00323207">
      <w:pPr>
        <w:widowControl w:val="0"/>
        <w:spacing w:after="0" w:line="240" w:lineRule="auto"/>
        <w:jc w:val="center"/>
        <w:rPr>
          <w:rFonts w:ascii="Times New Roman" w:hAnsi="Times New Roman"/>
          <w:kern w:val="0"/>
          <w:sz w:val="22"/>
          <w:lang w:val="en-GB"/>
          <w14:ligatures w14:val="none"/>
        </w:rPr>
      </w:pPr>
    </w:p>
    <w:p w14:paraId="69038536" w14:textId="77777777" w:rsidR="00323207" w:rsidRPr="00F931D9" w:rsidRDefault="00323207" w:rsidP="00323207">
      <w:pPr>
        <w:widowControl w:val="0"/>
        <w:spacing w:after="0" w:line="240" w:lineRule="auto"/>
        <w:jc w:val="center"/>
        <w:rPr>
          <w:rFonts w:ascii="Times New Roman" w:hAnsi="Times New Roman"/>
          <w:kern w:val="0"/>
          <w:sz w:val="22"/>
          <w:lang w:val="en-GB"/>
          <w14:ligatures w14:val="none"/>
        </w:rPr>
      </w:pPr>
    </w:p>
    <w:p w14:paraId="471A6838" w14:textId="77777777" w:rsidR="00323207" w:rsidRPr="00F931D9" w:rsidRDefault="00323207" w:rsidP="00323207">
      <w:pPr>
        <w:widowControl w:val="0"/>
        <w:spacing w:after="0" w:line="240" w:lineRule="auto"/>
        <w:jc w:val="center"/>
        <w:rPr>
          <w:rFonts w:ascii="Times New Roman" w:hAnsi="Times New Roman"/>
          <w:kern w:val="0"/>
          <w:sz w:val="22"/>
          <w:lang w:val="en-GB"/>
          <w14:ligatures w14:val="none"/>
        </w:rPr>
      </w:pPr>
    </w:p>
    <w:p w14:paraId="5B1D12FF" w14:textId="77777777" w:rsidR="00323207" w:rsidRPr="00F931D9" w:rsidRDefault="00323207" w:rsidP="00323207">
      <w:pPr>
        <w:widowControl w:val="0"/>
        <w:spacing w:after="0" w:line="240" w:lineRule="auto"/>
        <w:jc w:val="center"/>
        <w:rPr>
          <w:rFonts w:ascii="Times New Roman" w:hAnsi="Times New Roman"/>
          <w:kern w:val="0"/>
          <w:sz w:val="22"/>
          <w:lang w:val="en-GB"/>
          <w14:ligatures w14:val="none"/>
        </w:rPr>
      </w:pPr>
    </w:p>
    <w:p w14:paraId="056E94A3" w14:textId="77777777" w:rsidR="00323207" w:rsidRPr="00F931D9" w:rsidRDefault="00323207" w:rsidP="00323207">
      <w:pPr>
        <w:widowControl w:val="0"/>
        <w:spacing w:after="0" w:line="240" w:lineRule="auto"/>
        <w:jc w:val="center"/>
        <w:rPr>
          <w:rFonts w:ascii="Times New Roman" w:hAnsi="Times New Roman"/>
          <w:kern w:val="0"/>
          <w:sz w:val="22"/>
          <w:lang w:val="en-GB"/>
          <w14:ligatures w14:val="none"/>
        </w:rPr>
      </w:pPr>
    </w:p>
    <w:p w14:paraId="7E48D613" w14:textId="77777777" w:rsidR="00323207" w:rsidRPr="00F931D9" w:rsidRDefault="00323207" w:rsidP="00323207">
      <w:pPr>
        <w:widowControl w:val="0"/>
        <w:spacing w:after="0" w:line="240" w:lineRule="auto"/>
        <w:jc w:val="center"/>
        <w:rPr>
          <w:rFonts w:ascii="Times New Roman" w:hAnsi="Times New Roman"/>
          <w:kern w:val="0"/>
          <w:sz w:val="22"/>
          <w:lang w:val="en-GB"/>
          <w14:ligatures w14:val="none"/>
        </w:rPr>
      </w:pPr>
    </w:p>
    <w:p w14:paraId="4B49A531" w14:textId="77777777" w:rsidR="00323207" w:rsidRPr="00F931D9" w:rsidRDefault="00323207" w:rsidP="00323207">
      <w:pPr>
        <w:widowControl w:val="0"/>
        <w:spacing w:after="0" w:line="240" w:lineRule="auto"/>
        <w:jc w:val="center"/>
        <w:rPr>
          <w:rFonts w:ascii="Times New Roman" w:hAnsi="Times New Roman"/>
          <w:kern w:val="0"/>
          <w:sz w:val="22"/>
          <w:lang w:val="en-GB"/>
          <w14:ligatures w14:val="none"/>
        </w:rPr>
      </w:pPr>
    </w:p>
    <w:p w14:paraId="6353203E" w14:textId="77777777" w:rsidR="00323207" w:rsidRPr="00F931D9" w:rsidRDefault="00323207" w:rsidP="00323207">
      <w:pPr>
        <w:widowControl w:val="0"/>
        <w:spacing w:after="0" w:line="240" w:lineRule="auto"/>
        <w:jc w:val="center"/>
        <w:rPr>
          <w:rFonts w:ascii="Times New Roman" w:hAnsi="Times New Roman"/>
          <w:kern w:val="0"/>
          <w:sz w:val="22"/>
          <w:lang w:val="en-GB"/>
          <w14:ligatures w14:val="none"/>
        </w:rPr>
      </w:pPr>
    </w:p>
    <w:p w14:paraId="0708C364" w14:textId="77777777" w:rsidR="00323207" w:rsidRPr="00F931D9" w:rsidRDefault="00323207" w:rsidP="00323207">
      <w:pPr>
        <w:spacing w:after="0" w:line="240" w:lineRule="auto"/>
        <w:jc w:val="center"/>
        <w:rPr>
          <w:rFonts w:ascii="Times New Roman" w:hAnsi="Times New Roman"/>
          <w:b/>
          <w:kern w:val="0"/>
          <w:sz w:val="22"/>
          <w:lang w:val="lt-LT"/>
          <w14:ligatures w14:val="none"/>
        </w:rPr>
      </w:pPr>
    </w:p>
    <w:p w14:paraId="763C9723" w14:textId="77777777" w:rsidR="00323207" w:rsidRPr="00F931D9" w:rsidRDefault="00323207" w:rsidP="00323207">
      <w:pPr>
        <w:spacing w:after="0" w:line="240" w:lineRule="auto"/>
        <w:jc w:val="center"/>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I PRIEDAS</w:t>
      </w:r>
    </w:p>
    <w:p w14:paraId="0D7F0251" w14:textId="77777777" w:rsidR="00323207" w:rsidRPr="00F931D9" w:rsidRDefault="00323207" w:rsidP="00323207">
      <w:pPr>
        <w:widowControl w:val="0"/>
        <w:spacing w:after="0" w:line="240" w:lineRule="auto"/>
        <w:jc w:val="center"/>
        <w:rPr>
          <w:rFonts w:ascii="Times New Roman" w:hAnsi="Times New Roman"/>
          <w:kern w:val="0"/>
          <w:sz w:val="22"/>
          <w:lang w:val="it-IT"/>
          <w14:ligatures w14:val="none"/>
        </w:rPr>
      </w:pPr>
    </w:p>
    <w:p w14:paraId="5C88A6C7" w14:textId="77777777" w:rsidR="00323207" w:rsidRPr="00F931D9" w:rsidRDefault="00323207" w:rsidP="00323207">
      <w:pPr>
        <w:widowControl w:val="0"/>
        <w:spacing w:after="0" w:line="240" w:lineRule="auto"/>
        <w:jc w:val="center"/>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PREPARATO CHARAKTERISTIKŲ SANTRAUKA</w:t>
      </w:r>
    </w:p>
    <w:p w14:paraId="017319D5" w14:textId="77777777" w:rsidR="00323207" w:rsidRPr="00F931D9" w:rsidRDefault="00323207" w:rsidP="00323207">
      <w:pPr>
        <w:widowControl w:val="0"/>
        <w:spacing w:after="0" w:line="240" w:lineRule="auto"/>
        <w:rPr>
          <w:rFonts w:ascii="Times New Roman" w:hAnsi="Times New Roman"/>
          <w:kern w:val="0"/>
          <w:sz w:val="22"/>
          <w:lang w:val="it-IT"/>
          <w14:ligatures w14:val="none"/>
        </w:rPr>
      </w:pPr>
      <w:r w:rsidRPr="00F931D9">
        <w:rPr>
          <w:rFonts w:ascii="Times New Roman" w:hAnsi="Times New Roman"/>
          <w:kern w:val="0"/>
          <w:sz w:val="22"/>
          <w:lang w:val="it-IT"/>
          <w14:ligatures w14:val="none"/>
        </w:rPr>
        <w:br w:type="page"/>
      </w:r>
      <w:r w:rsidRPr="00F931D9">
        <w:rPr>
          <w:rFonts w:ascii="Times New Roman" w:hAnsi="Times New Roman"/>
          <w:b/>
          <w:caps/>
          <w:kern w:val="0"/>
          <w:sz w:val="22"/>
          <w:lang w:val="lt-LT"/>
          <w14:ligatures w14:val="none"/>
        </w:rPr>
        <w:lastRenderedPageBreak/>
        <w:t>1.</w:t>
      </w:r>
      <w:r w:rsidRPr="00F931D9">
        <w:rPr>
          <w:rFonts w:ascii="Times New Roman" w:hAnsi="Times New Roman"/>
          <w:b/>
          <w:caps/>
          <w:kern w:val="0"/>
          <w:sz w:val="22"/>
          <w:lang w:val="lt-LT"/>
          <w14:ligatures w14:val="none"/>
        </w:rPr>
        <w:tab/>
        <w:t>VAISTINIO PREPARATO PAVADINIMAS</w:t>
      </w:r>
    </w:p>
    <w:p w14:paraId="37B2A552" w14:textId="77777777" w:rsidR="00323207" w:rsidRPr="00F931D9" w:rsidRDefault="00323207" w:rsidP="00323207">
      <w:pPr>
        <w:spacing w:after="0" w:line="240" w:lineRule="auto"/>
        <w:rPr>
          <w:rFonts w:ascii="Times New Roman" w:hAnsi="Times New Roman"/>
          <w:kern w:val="0"/>
          <w:sz w:val="22"/>
          <w:lang w:val="it-IT"/>
          <w14:ligatures w14:val="none"/>
        </w:rPr>
      </w:pPr>
    </w:p>
    <w:p w14:paraId="5B7D0352" w14:textId="77777777" w:rsidR="00323207" w:rsidRPr="00F931D9" w:rsidRDefault="00323207" w:rsidP="00323207">
      <w:pPr>
        <w:shd w:val="clear" w:color="auto" w:fill="D9D9D9"/>
        <w:spacing w:after="0" w:line="240" w:lineRule="auto"/>
        <w:outlineLvl w:val="0"/>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25 mg minkštosios kapsulės</w:t>
      </w:r>
    </w:p>
    <w:p w14:paraId="65F53F7F" w14:textId="77777777" w:rsidR="00323207" w:rsidRPr="00F931D9" w:rsidRDefault="00323207" w:rsidP="00323207">
      <w:pPr>
        <w:shd w:val="clear" w:color="auto" w:fill="BFBFBF"/>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50 mg minkštosios kapsulės</w:t>
      </w:r>
    </w:p>
    <w:p w14:paraId="0C91DBC2" w14:textId="77777777" w:rsidR="00323207" w:rsidRPr="00F931D9" w:rsidRDefault="00323207" w:rsidP="00323207">
      <w:pPr>
        <w:shd w:val="clear" w:color="auto" w:fill="A6A6A6"/>
        <w:spacing w:after="0" w:line="240" w:lineRule="auto"/>
        <w:outlineLvl w:val="0"/>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100 mg minkštosios kapsulės</w:t>
      </w:r>
    </w:p>
    <w:p w14:paraId="52A8552D" w14:textId="77777777" w:rsidR="00323207" w:rsidRPr="00F931D9" w:rsidRDefault="00323207" w:rsidP="00323207">
      <w:pPr>
        <w:spacing w:after="0" w:line="240" w:lineRule="auto"/>
        <w:rPr>
          <w:rFonts w:ascii="Times New Roman" w:hAnsi="Times New Roman"/>
          <w:kern w:val="0"/>
          <w:sz w:val="22"/>
          <w:lang w:val="lt-LT"/>
          <w14:ligatures w14:val="none"/>
        </w:rPr>
      </w:pPr>
    </w:p>
    <w:p w14:paraId="1ED885ED" w14:textId="77777777" w:rsidR="00323207" w:rsidRPr="00F931D9" w:rsidRDefault="00323207" w:rsidP="00323207">
      <w:pPr>
        <w:widowControl w:val="0"/>
        <w:spacing w:after="0" w:line="240" w:lineRule="auto"/>
        <w:rPr>
          <w:rFonts w:ascii="Times New Roman" w:hAnsi="Times New Roman"/>
          <w:b/>
          <w:kern w:val="0"/>
          <w:sz w:val="22"/>
          <w:lang w:val="lt-LT"/>
          <w14:ligatures w14:val="none"/>
        </w:rPr>
      </w:pPr>
    </w:p>
    <w:p w14:paraId="7396A21F" w14:textId="77777777" w:rsidR="00323207" w:rsidRPr="00F931D9" w:rsidRDefault="00323207" w:rsidP="00323207">
      <w:pPr>
        <w:widowControl w:val="0"/>
        <w:spacing w:after="0" w:line="240" w:lineRule="auto"/>
        <w:rPr>
          <w:rFonts w:ascii="Times New Roman" w:hAnsi="Times New Roman"/>
          <w:kern w:val="0"/>
          <w:sz w:val="22"/>
          <w:lang w:val="lt-LT"/>
          <w14:ligatures w14:val="none"/>
        </w:rPr>
      </w:pPr>
      <w:r w:rsidRPr="00F931D9">
        <w:rPr>
          <w:rFonts w:ascii="Times New Roman" w:hAnsi="Times New Roman"/>
          <w:b/>
          <w:kern w:val="0"/>
          <w:sz w:val="22"/>
          <w:lang w:val="lt-LT"/>
          <w14:ligatures w14:val="none"/>
        </w:rPr>
        <w:t>2.</w:t>
      </w:r>
      <w:r w:rsidRPr="00F931D9">
        <w:rPr>
          <w:rFonts w:ascii="Times New Roman" w:hAnsi="Times New Roman"/>
          <w:b/>
          <w:kern w:val="0"/>
          <w:sz w:val="22"/>
          <w:lang w:val="lt-LT"/>
          <w14:ligatures w14:val="none"/>
        </w:rPr>
        <w:tab/>
      </w:r>
      <w:r w:rsidRPr="00F931D9">
        <w:rPr>
          <w:rFonts w:ascii="Times New Roman" w:hAnsi="Times New Roman"/>
          <w:b/>
          <w:caps/>
          <w:kern w:val="0"/>
          <w:sz w:val="22"/>
          <w:lang w:val="lt-LT"/>
          <w14:ligatures w14:val="none"/>
        </w:rPr>
        <w:t>kokybinė ir kiekybinė sudėtis</w:t>
      </w:r>
    </w:p>
    <w:p w14:paraId="74D674F9" w14:textId="77777777" w:rsidR="00323207" w:rsidRPr="00F931D9" w:rsidRDefault="00323207" w:rsidP="00323207">
      <w:pPr>
        <w:spacing w:after="0" w:line="240" w:lineRule="auto"/>
        <w:rPr>
          <w:rFonts w:ascii="Times New Roman" w:hAnsi="Times New Roman"/>
          <w:kern w:val="0"/>
          <w:sz w:val="22"/>
          <w:lang w:val="lt-LT"/>
          <w14:ligatures w14:val="none"/>
        </w:rPr>
      </w:pPr>
    </w:p>
    <w:p w14:paraId="62525C15" w14:textId="77777777" w:rsidR="00323207" w:rsidRPr="00F931D9" w:rsidRDefault="00323207" w:rsidP="00323207">
      <w:pPr>
        <w:shd w:val="clear" w:color="auto" w:fill="D9D9D9"/>
        <w:spacing w:after="0" w:line="240" w:lineRule="auto"/>
        <w:rPr>
          <w:rFonts w:ascii="Times New Roman" w:hAnsi="Times New Roman"/>
          <w:kern w:val="0"/>
          <w:sz w:val="22"/>
          <w:lang w:val="en-GB"/>
          <w14:ligatures w14:val="none"/>
        </w:rPr>
      </w:pPr>
      <w:r w:rsidRPr="00F931D9">
        <w:rPr>
          <w:rFonts w:ascii="Times New Roman" w:hAnsi="Times New Roman"/>
          <w:kern w:val="0"/>
          <w:sz w:val="22"/>
          <w:lang w:val="lt-LT"/>
          <w14:ligatures w14:val="none"/>
        </w:rPr>
        <w:t xml:space="preserve">Kiekvienoje kapsulėje yra 25 mg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i/>
          <w:kern w:val="0"/>
          <w:sz w:val="22"/>
          <w:lang w:val="en-GB"/>
          <w14:ligatures w14:val="none"/>
        </w:rPr>
        <w:t>ciclosporinum</w:t>
      </w:r>
      <w:proofErr w:type="spellEnd"/>
      <w:r w:rsidRPr="00F931D9">
        <w:rPr>
          <w:rFonts w:ascii="Times New Roman" w:hAnsi="Times New Roman"/>
          <w:kern w:val="0"/>
          <w:sz w:val="22"/>
          <w:lang w:val="en-GB"/>
          <w14:ligatures w14:val="none"/>
        </w:rPr>
        <w:t>).</w:t>
      </w:r>
    </w:p>
    <w:p w14:paraId="0CA37390" w14:textId="77777777" w:rsidR="00323207" w:rsidRPr="00F931D9" w:rsidRDefault="00323207" w:rsidP="00323207">
      <w:pPr>
        <w:shd w:val="clear" w:color="auto" w:fill="D9D9D9"/>
        <w:spacing w:after="0" w:line="240" w:lineRule="auto"/>
        <w:rPr>
          <w:rFonts w:ascii="Times New Roman" w:hAnsi="Times New Roman"/>
          <w:kern w:val="0"/>
          <w:sz w:val="22"/>
          <w:lang w:val="lt-LT"/>
          <w14:ligatures w14:val="none"/>
        </w:rPr>
      </w:pPr>
    </w:p>
    <w:p w14:paraId="75951E4C" w14:textId="77777777" w:rsidR="00323207" w:rsidRPr="00F931D9" w:rsidRDefault="00323207" w:rsidP="00323207">
      <w:pPr>
        <w:shd w:val="clear" w:color="auto" w:fill="D9D9D9"/>
        <w:spacing w:after="0" w:line="240" w:lineRule="auto"/>
        <w:outlineLvl w:val="0"/>
        <w:rPr>
          <w:rFonts w:ascii="Times New Roman" w:hAnsi="Times New Roman"/>
          <w:kern w:val="0"/>
          <w:sz w:val="22"/>
          <w:u w:val="single"/>
          <w:lang w:val="lt-LT"/>
          <w14:ligatures w14:val="none"/>
        </w:rPr>
      </w:pPr>
      <w:r w:rsidRPr="00F931D9">
        <w:rPr>
          <w:rFonts w:ascii="Times New Roman" w:hAnsi="Times New Roman"/>
          <w:kern w:val="0"/>
          <w:sz w:val="22"/>
          <w:u w:val="single"/>
          <w:lang w:val="lt-LT"/>
          <w14:ligatures w14:val="none"/>
        </w:rPr>
        <w:t>Pagalbinės medžiagos, kurių poveikis žinomas:</w:t>
      </w:r>
    </w:p>
    <w:p w14:paraId="74B83248" w14:textId="77777777" w:rsidR="00323207" w:rsidRPr="00F931D9" w:rsidRDefault="00323207" w:rsidP="00323207">
      <w:pPr>
        <w:shd w:val="clear" w:color="auto" w:fill="D9D9D9"/>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Etanolis: 25 mg kapsulėje.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minkštojoje kapsulėje yra 11,8 % V/V etanolio (9,4 % m/V).</w:t>
      </w:r>
    </w:p>
    <w:p w14:paraId="596DEAEB" w14:textId="77777777" w:rsidR="00323207" w:rsidRPr="00F931D9" w:rsidRDefault="00323207" w:rsidP="00323207">
      <w:pPr>
        <w:shd w:val="clear" w:color="auto" w:fill="D9D9D9"/>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Propilenglikolis</w:t>
      </w:r>
      <w:proofErr w:type="spellEnd"/>
      <w:r w:rsidRPr="00F931D9">
        <w:rPr>
          <w:rFonts w:ascii="Times New Roman" w:hAnsi="Times New Roman"/>
          <w:kern w:val="0"/>
          <w:sz w:val="22"/>
          <w:lang w:val="lt-LT"/>
          <w14:ligatures w14:val="none"/>
        </w:rPr>
        <w:t xml:space="preserve">: </w:t>
      </w:r>
      <w:r w:rsidRPr="00F931D9">
        <w:rPr>
          <w:rFonts w:ascii="Times New Roman" w:hAnsi="Times New Roman"/>
          <w:kern w:val="0"/>
          <w:sz w:val="22"/>
          <w:lang w:val="en-GB"/>
          <w14:ligatures w14:val="none"/>
        </w:rPr>
        <w:t>46,42</w:t>
      </w:r>
      <w:r w:rsidRPr="00F931D9">
        <w:rPr>
          <w:rFonts w:ascii="Times New Roman" w:hAnsi="Times New Roman"/>
          <w:kern w:val="0"/>
          <w:sz w:val="22"/>
          <w:lang w:val="lt-LT"/>
          <w14:ligatures w14:val="none"/>
        </w:rPr>
        <w:t> mg kapsulėje.</w:t>
      </w:r>
    </w:p>
    <w:p w14:paraId="68DA0F76" w14:textId="77777777" w:rsidR="00323207" w:rsidRPr="00F931D9" w:rsidRDefault="00323207" w:rsidP="00323207">
      <w:pPr>
        <w:shd w:val="clear" w:color="auto" w:fill="D9D9D9"/>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Makrogolglicerolio</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hidroksistearatas</w:t>
      </w:r>
      <w:proofErr w:type="spellEnd"/>
      <w:r w:rsidRPr="00F931D9">
        <w:rPr>
          <w:rFonts w:ascii="Times New Roman" w:hAnsi="Times New Roman"/>
          <w:kern w:val="0"/>
          <w:sz w:val="22"/>
          <w:lang w:val="lt-LT"/>
          <w14:ligatures w14:val="none"/>
        </w:rPr>
        <w:t xml:space="preserve"> / </w:t>
      </w:r>
      <w:proofErr w:type="spellStart"/>
      <w:r w:rsidRPr="00F931D9">
        <w:rPr>
          <w:rFonts w:ascii="Times New Roman" w:hAnsi="Times New Roman"/>
          <w:kern w:val="0"/>
          <w:sz w:val="22"/>
          <w:lang w:val="lt-LT"/>
          <w14:ligatures w14:val="none"/>
        </w:rPr>
        <w:t>Polioksil</w:t>
      </w:r>
      <w:proofErr w:type="spellEnd"/>
      <w:r w:rsidRPr="00F931D9">
        <w:rPr>
          <w:rFonts w:ascii="Times New Roman" w:hAnsi="Times New Roman"/>
          <w:kern w:val="0"/>
          <w:sz w:val="22"/>
          <w:lang w:val="lt-LT"/>
          <w14:ligatures w14:val="none"/>
        </w:rPr>
        <w:t xml:space="preserve"> 40 </w:t>
      </w:r>
      <w:proofErr w:type="spellStart"/>
      <w:r w:rsidRPr="00F931D9">
        <w:rPr>
          <w:rFonts w:ascii="Times New Roman" w:hAnsi="Times New Roman"/>
          <w:kern w:val="0"/>
          <w:sz w:val="22"/>
          <w:lang w:val="lt-LT"/>
          <w14:ligatures w14:val="none"/>
        </w:rPr>
        <w:t>hidrintas</w:t>
      </w:r>
      <w:proofErr w:type="spellEnd"/>
      <w:r w:rsidRPr="00F931D9">
        <w:rPr>
          <w:rFonts w:ascii="Times New Roman" w:hAnsi="Times New Roman"/>
          <w:kern w:val="0"/>
          <w:sz w:val="22"/>
          <w:lang w:val="lt-LT"/>
          <w14:ligatures w14:val="none"/>
        </w:rPr>
        <w:t xml:space="preserve"> ricinos aliejus: 101,25 mg kapsulėje.</w:t>
      </w:r>
    </w:p>
    <w:p w14:paraId="109016C2" w14:textId="77777777" w:rsidR="00323207" w:rsidRPr="00F931D9" w:rsidRDefault="00323207" w:rsidP="00323207">
      <w:pPr>
        <w:shd w:val="clear" w:color="auto" w:fill="BFBFBF"/>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Kiekvienoje kapsulėje yra 50 mg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i/>
          <w:kern w:val="0"/>
          <w:sz w:val="22"/>
          <w:lang w:val="en-GB"/>
          <w14:ligatures w14:val="none"/>
        </w:rPr>
        <w:t>ciclosporinum</w:t>
      </w:r>
      <w:proofErr w:type="spellEnd"/>
      <w:r w:rsidRPr="00F931D9">
        <w:rPr>
          <w:rFonts w:ascii="Times New Roman" w:hAnsi="Times New Roman"/>
          <w:kern w:val="0"/>
          <w:sz w:val="22"/>
          <w:lang w:val="en-GB"/>
          <w14:ligatures w14:val="none"/>
        </w:rPr>
        <w:t>)</w:t>
      </w:r>
      <w:r w:rsidRPr="00F931D9">
        <w:rPr>
          <w:rFonts w:ascii="Times New Roman" w:hAnsi="Times New Roman"/>
          <w:i/>
          <w:kern w:val="0"/>
          <w:sz w:val="22"/>
          <w:lang w:val="lt-LT"/>
          <w14:ligatures w14:val="none"/>
        </w:rPr>
        <w:t>.</w:t>
      </w:r>
    </w:p>
    <w:p w14:paraId="02C5D1BE" w14:textId="77777777" w:rsidR="00323207" w:rsidRPr="00F931D9" w:rsidRDefault="00323207" w:rsidP="00323207">
      <w:pPr>
        <w:shd w:val="clear" w:color="auto" w:fill="BFBFBF"/>
        <w:spacing w:after="0" w:line="240" w:lineRule="auto"/>
        <w:outlineLvl w:val="0"/>
        <w:rPr>
          <w:rFonts w:ascii="Times New Roman" w:hAnsi="Times New Roman"/>
          <w:kern w:val="0"/>
          <w:sz w:val="22"/>
          <w:u w:val="single"/>
          <w:lang w:val="lt-LT"/>
          <w14:ligatures w14:val="none"/>
        </w:rPr>
      </w:pPr>
      <w:r w:rsidRPr="00F931D9">
        <w:rPr>
          <w:rFonts w:ascii="Times New Roman" w:hAnsi="Times New Roman"/>
          <w:kern w:val="0"/>
          <w:sz w:val="22"/>
          <w:u w:val="single"/>
          <w:lang w:val="lt-LT"/>
          <w14:ligatures w14:val="none"/>
        </w:rPr>
        <w:t>Pagalbinės medžiagos, kurių poveikis žinomas:</w:t>
      </w:r>
    </w:p>
    <w:p w14:paraId="7A0C2183" w14:textId="77777777" w:rsidR="00323207" w:rsidRPr="00F931D9" w:rsidRDefault="00323207" w:rsidP="00323207">
      <w:pPr>
        <w:shd w:val="clear" w:color="auto" w:fill="BFBFBF"/>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Etanolis: 50 mg kapsulėje.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minkštojoje kapsulėje yra 11,8 % V/V etanolio (9,4 % m/V).</w:t>
      </w:r>
    </w:p>
    <w:p w14:paraId="3E6EA756" w14:textId="77777777" w:rsidR="00323207" w:rsidRPr="00F931D9" w:rsidRDefault="00323207" w:rsidP="00323207">
      <w:pPr>
        <w:shd w:val="clear" w:color="auto" w:fill="BFBFBF"/>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Propilenglikolis</w:t>
      </w:r>
      <w:proofErr w:type="spellEnd"/>
      <w:r w:rsidRPr="00F931D9">
        <w:rPr>
          <w:rFonts w:ascii="Times New Roman" w:hAnsi="Times New Roman"/>
          <w:kern w:val="0"/>
          <w:sz w:val="22"/>
          <w:lang w:val="lt-LT"/>
          <w14:ligatures w14:val="none"/>
        </w:rPr>
        <w:t xml:space="preserve">: </w:t>
      </w:r>
      <w:r w:rsidRPr="00F931D9">
        <w:rPr>
          <w:rFonts w:ascii="Times New Roman" w:hAnsi="Times New Roman"/>
          <w:kern w:val="0"/>
          <w:sz w:val="22"/>
          <w:lang w:val="en-GB"/>
          <w14:ligatures w14:val="none"/>
        </w:rPr>
        <w:t>90,36</w:t>
      </w:r>
      <w:r w:rsidRPr="00F931D9">
        <w:rPr>
          <w:rFonts w:ascii="Times New Roman" w:hAnsi="Times New Roman"/>
          <w:kern w:val="0"/>
          <w:sz w:val="22"/>
          <w:lang w:val="lt-LT"/>
          <w14:ligatures w14:val="none"/>
        </w:rPr>
        <w:t> mg kapsulėje.</w:t>
      </w:r>
    </w:p>
    <w:p w14:paraId="36166BAE" w14:textId="77777777" w:rsidR="00323207" w:rsidRPr="00F931D9" w:rsidRDefault="00323207" w:rsidP="00323207">
      <w:pPr>
        <w:shd w:val="clear" w:color="auto" w:fill="BFBFBF"/>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Makrogolglicerolio</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hidroksistearatas</w:t>
      </w:r>
      <w:proofErr w:type="spellEnd"/>
      <w:r w:rsidRPr="00F931D9">
        <w:rPr>
          <w:rFonts w:ascii="Times New Roman" w:hAnsi="Times New Roman"/>
          <w:kern w:val="0"/>
          <w:sz w:val="22"/>
          <w:lang w:val="lt-LT"/>
          <w14:ligatures w14:val="none"/>
        </w:rPr>
        <w:t xml:space="preserve"> / </w:t>
      </w:r>
      <w:proofErr w:type="spellStart"/>
      <w:r w:rsidRPr="00F931D9">
        <w:rPr>
          <w:rFonts w:ascii="Times New Roman" w:hAnsi="Times New Roman"/>
          <w:kern w:val="0"/>
          <w:sz w:val="22"/>
          <w:lang w:val="lt-LT"/>
          <w14:ligatures w14:val="none"/>
        </w:rPr>
        <w:t>Polioksil</w:t>
      </w:r>
      <w:proofErr w:type="spellEnd"/>
      <w:r w:rsidRPr="00F931D9">
        <w:rPr>
          <w:rFonts w:ascii="Times New Roman" w:hAnsi="Times New Roman"/>
          <w:kern w:val="0"/>
          <w:sz w:val="22"/>
          <w:lang w:val="lt-LT"/>
          <w14:ligatures w14:val="none"/>
        </w:rPr>
        <w:t xml:space="preserve"> 40 </w:t>
      </w:r>
      <w:proofErr w:type="spellStart"/>
      <w:r w:rsidRPr="00F931D9">
        <w:rPr>
          <w:rFonts w:ascii="Times New Roman" w:hAnsi="Times New Roman"/>
          <w:kern w:val="0"/>
          <w:sz w:val="22"/>
          <w:lang w:val="lt-LT"/>
          <w14:ligatures w14:val="none"/>
        </w:rPr>
        <w:t>hidrintas</w:t>
      </w:r>
      <w:proofErr w:type="spellEnd"/>
      <w:r w:rsidRPr="00F931D9">
        <w:rPr>
          <w:rFonts w:ascii="Times New Roman" w:hAnsi="Times New Roman"/>
          <w:kern w:val="0"/>
          <w:sz w:val="22"/>
          <w:lang w:val="lt-LT"/>
          <w14:ligatures w14:val="none"/>
        </w:rPr>
        <w:t xml:space="preserve"> ricinos aliejus: 202,5 mg kapsulėje.</w:t>
      </w:r>
    </w:p>
    <w:p w14:paraId="152DB919" w14:textId="77777777" w:rsidR="00323207" w:rsidRPr="00F931D9" w:rsidRDefault="00323207" w:rsidP="00323207">
      <w:pPr>
        <w:shd w:val="clear" w:color="auto" w:fill="A6A6A6"/>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Kiekvienoje kapsulėje yra 100 mg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i/>
          <w:kern w:val="0"/>
          <w:sz w:val="22"/>
          <w:lang w:val="en-GB"/>
          <w14:ligatures w14:val="none"/>
        </w:rPr>
        <w:t>ciclosporinum</w:t>
      </w:r>
      <w:proofErr w:type="spellEnd"/>
      <w:r w:rsidRPr="00F931D9">
        <w:rPr>
          <w:rFonts w:ascii="Times New Roman" w:hAnsi="Times New Roman"/>
          <w:kern w:val="0"/>
          <w:sz w:val="22"/>
          <w:lang w:val="en-GB"/>
          <w14:ligatures w14:val="none"/>
        </w:rPr>
        <w:t>)</w:t>
      </w:r>
      <w:r w:rsidRPr="00F931D9">
        <w:rPr>
          <w:rFonts w:ascii="Times New Roman" w:hAnsi="Times New Roman"/>
          <w:kern w:val="0"/>
          <w:sz w:val="22"/>
          <w:lang w:val="lt-LT"/>
          <w14:ligatures w14:val="none"/>
        </w:rPr>
        <w:t>.</w:t>
      </w:r>
    </w:p>
    <w:p w14:paraId="1622A11E" w14:textId="77777777" w:rsidR="00323207" w:rsidRPr="00F931D9" w:rsidRDefault="00323207" w:rsidP="00323207">
      <w:pPr>
        <w:shd w:val="clear" w:color="auto" w:fill="A6A6A6"/>
        <w:spacing w:after="0" w:line="240" w:lineRule="auto"/>
        <w:outlineLvl w:val="0"/>
        <w:rPr>
          <w:rFonts w:ascii="Times New Roman" w:hAnsi="Times New Roman"/>
          <w:kern w:val="0"/>
          <w:sz w:val="22"/>
          <w:u w:val="single"/>
          <w:lang w:val="lt-LT"/>
          <w14:ligatures w14:val="none"/>
        </w:rPr>
      </w:pPr>
      <w:r w:rsidRPr="00F931D9">
        <w:rPr>
          <w:rFonts w:ascii="Times New Roman" w:hAnsi="Times New Roman"/>
          <w:kern w:val="0"/>
          <w:sz w:val="22"/>
          <w:u w:val="single"/>
          <w:lang w:val="lt-LT"/>
          <w14:ligatures w14:val="none"/>
        </w:rPr>
        <w:t>Pagalbinės medžiagos, kurių poveikis žinomas:</w:t>
      </w:r>
    </w:p>
    <w:p w14:paraId="498BB5BE" w14:textId="77777777" w:rsidR="00323207" w:rsidRPr="00F931D9" w:rsidRDefault="00323207" w:rsidP="00323207">
      <w:pPr>
        <w:shd w:val="clear" w:color="auto" w:fill="A6A6A6"/>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Etanolis: 100 mg kapsulėje.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minkštojoje kapsulėje yra 11,8 % V/V etanolio (9,4 % m/V).</w:t>
      </w:r>
    </w:p>
    <w:p w14:paraId="0FC81C8F" w14:textId="77777777" w:rsidR="00323207" w:rsidRPr="00F931D9" w:rsidRDefault="00323207" w:rsidP="00323207">
      <w:pPr>
        <w:shd w:val="clear" w:color="auto" w:fill="A6A6A6"/>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Propilenglikolis</w:t>
      </w:r>
      <w:proofErr w:type="spellEnd"/>
      <w:r w:rsidRPr="00F931D9">
        <w:rPr>
          <w:rFonts w:ascii="Times New Roman" w:hAnsi="Times New Roman"/>
          <w:kern w:val="0"/>
          <w:sz w:val="22"/>
          <w:lang w:val="lt-LT"/>
          <w14:ligatures w14:val="none"/>
        </w:rPr>
        <w:t xml:space="preserve">: </w:t>
      </w:r>
      <w:r w:rsidRPr="00F931D9">
        <w:rPr>
          <w:rFonts w:ascii="Times New Roman" w:hAnsi="Times New Roman"/>
          <w:kern w:val="0"/>
          <w:sz w:val="22"/>
          <w:lang w:val="en-GB"/>
          <w14:ligatures w14:val="none"/>
        </w:rPr>
        <w:t>148,31</w:t>
      </w:r>
      <w:r w:rsidRPr="00F931D9">
        <w:rPr>
          <w:rFonts w:ascii="Times New Roman" w:hAnsi="Times New Roman"/>
          <w:kern w:val="0"/>
          <w:sz w:val="22"/>
          <w:lang w:val="lt-LT"/>
          <w14:ligatures w14:val="none"/>
        </w:rPr>
        <w:t> mg kapsulėje.</w:t>
      </w:r>
    </w:p>
    <w:p w14:paraId="0AFC47F5" w14:textId="77777777" w:rsidR="00323207" w:rsidRPr="00F931D9" w:rsidRDefault="00323207" w:rsidP="00323207">
      <w:pPr>
        <w:shd w:val="pct35" w:color="auto" w:fill="auto"/>
        <w:spacing w:after="0" w:line="240" w:lineRule="auto"/>
        <w:jc w:val="both"/>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Makrogolglicerolio</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hidroksistearatas</w:t>
      </w:r>
      <w:proofErr w:type="spellEnd"/>
      <w:r w:rsidRPr="00F931D9">
        <w:rPr>
          <w:rFonts w:ascii="Times New Roman" w:hAnsi="Times New Roman"/>
          <w:kern w:val="0"/>
          <w:sz w:val="22"/>
          <w:lang w:val="lt-LT"/>
          <w14:ligatures w14:val="none"/>
        </w:rPr>
        <w:t xml:space="preserve"> / </w:t>
      </w:r>
      <w:proofErr w:type="spellStart"/>
      <w:r w:rsidRPr="00F931D9">
        <w:rPr>
          <w:rFonts w:ascii="Times New Roman" w:hAnsi="Times New Roman"/>
          <w:kern w:val="0"/>
          <w:sz w:val="22"/>
          <w:lang w:val="lt-LT"/>
          <w14:ligatures w14:val="none"/>
        </w:rPr>
        <w:t>Polioksil</w:t>
      </w:r>
      <w:proofErr w:type="spellEnd"/>
      <w:r w:rsidRPr="00F931D9">
        <w:rPr>
          <w:rFonts w:ascii="Times New Roman" w:hAnsi="Times New Roman"/>
          <w:kern w:val="0"/>
          <w:sz w:val="22"/>
          <w:lang w:val="lt-LT"/>
          <w14:ligatures w14:val="none"/>
        </w:rPr>
        <w:t xml:space="preserve"> 40 </w:t>
      </w:r>
      <w:proofErr w:type="spellStart"/>
      <w:r w:rsidRPr="00F931D9">
        <w:rPr>
          <w:rFonts w:ascii="Times New Roman" w:hAnsi="Times New Roman"/>
          <w:kern w:val="0"/>
          <w:sz w:val="22"/>
          <w:lang w:val="lt-LT"/>
          <w14:ligatures w14:val="none"/>
        </w:rPr>
        <w:t>hidrintas</w:t>
      </w:r>
      <w:proofErr w:type="spellEnd"/>
      <w:r w:rsidRPr="00F931D9">
        <w:rPr>
          <w:rFonts w:ascii="Times New Roman" w:hAnsi="Times New Roman"/>
          <w:kern w:val="0"/>
          <w:sz w:val="22"/>
          <w:lang w:val="lt-LT"/>
          <w14:ligatures w14:val="none"/>
        </w:rPr>
        <w:t xml:space="preserve"> ricinos aliejus: 405,0 mg kapsulėje.</w:t>
      </w:r>
    </w:p>
    <w:p w14:paraId="0B6149B7" w14:textId="77777777" w:rsidR="00323207" w:rsidRPr="00F931D9" w:rsidRDefault="00323207" w:rsidP="00323207">
      <w:pPr>
        <w:spacing w:after="0" w:line="240" w:lineRule="auto"/>
        <w:jc w:val="both"/>
        <w:rPr>
          <w:rFonts w:ascii="Times New Roman" w:hAnsi="Times New Roman"/>
          <w:kern w:val="0"/>
          <w:sz w:val="22"/>
          <w:lang w:val="lt-LT"/>
          <w14:ligatures w14:val="none"/>
        </w:rPr>
      </w:pPr>
    </w:p>
    <w:p w14:paraId="2E559E70"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Visos pagalbinės medžiagos išvardytos 6.1 skyriuje.</w:t>
      </w:r>
    </w:p>
    <w:p w14:paraId="25AC07EE" w14:textId="77777777" w:rsidR="00323207" w:rsidRPr="00F931D9" w:rsidRDefault="00323207" w:rsidP="00323207">
      <w:pPr>
        <w:spacing w:after="0" w:line="240" w:lineRule="auto"/>
        <w:rPr>
          <w:rFonts w:ascii="Times New Roman" w:hAnsi="Times New Roman"/>
          <w:kern w:val="0"/>
          <w:sz w:val="22"/>
          <w:lang w:val="lt-LT"/>
          <w14:ligatures w14:val="none"/>
        </w:rPr>
      </w:pPr>
    </w:p>
    <w:p w14:paraId="53B8F5C0" w14:textId="77777777" w:rsidR="00323207" w:rsidRPr="00F931D9" w:rsidRDefault="00323207" w:rsidP="00323207">
      <w:pPr>
        <w:spacing w:after="0" w:line="240" w:lineRule="auto"/>
        <w:rPr>
          <w:rFonts w:ascii="Times New Roman" w:hAnsi="Times New Roman"/>
          <w:kern w:val="0"/>
          <w:sz w:val="22"/>
          <w:lang w:val="lt-LT"/>
          <w14:ligatures w14:val="none"/>
        </w:rPr>
      </w:pPr>
    </w:p>
    <w:p w14:paraId="79B89ABE" w14:textId="77777777" w:rsidR="00323207" w:rsidRPr="00F931D9" w:rsidRDefault="00323207" w:rsidP="00323207">
      <w:pPr>
        <w:spacing w:after="0" w:line="240" w:lineRule="auto"/>
        <w:ind w:left="567" w:hanging="567"/>
        <w:rPr>
          <w:rFonts w:ascii="Times New Roman" w:hAnsi="Times New Roman"/>
          <w:b/>
          <w:caps/>
          <w:kern w:val="0"/>
          <w:sz w:val="22"/>
          <w:lang w:val="lt-LT"/>
          <w14:ligatures w14:val="none"/>
        </w:rPr>
      </w:pPr>
      <w:r w:rsidRPr="00F931D9">
        <w:rPr>
          <w:rFonts w:ascii="Times New Roman" w:hAnsi="Times New Roman"/>
          <w:b/>
          <w:kern w:val="0"/>
          <w:sz w:val="22"/>
          <w:lang w:val="lt-LT"/>
          <w14:ligatures w14:val="none"/>
        </w:rPr>
        <w:t>3.</w:t>
      </w:r>
      <w:r w:rsidRPr="00F931D9">
        <w:rPr>
          <w:rFonts w:ascii="Times New Roman" w:hAnsi="Times New Roman"/>
          <w:b/>
          <w:kern w:val="0"/>
          <w:sz w:val="22"/>
          <w:lang w:val="lt-LT"/>
          <w14:ligatures w14:val="none"/>
        </w:rPr>
        <w:tab/>
      </w:r>
      <w:r w:rsidRPr="00F931D9">
        <w:rPr>
          <w:rFonts w:ascii="Times New Roman" w:hAnsi="Times New Roman"/>
          <w:b/>
          <w:caps/>
          <w:kern w:val="0"/>
          <w:sz w:val="22"/>
          <w:lang w:val="lt-LT"/>
          <w14:ligatures w14:val="none"/>
        </w:rPr>
        <w:t>FARMACINĖ forma</w:t>
      </w:r>
    </w:p>
    <w:p w14:paraId="3A155C9E" w14:textId="77777777" w:rsidR="00323207" w:rsidRPr="00F931D9" w:rsidRDefault="00323207" w:rsidP="00323207">
      <w:pPr>
        <w:spacing w:after="0" w:line="240" w:lineRule="auto"/>
        <w:rPr>
          <w:rFonts w:ascii="Times New Roman" w:hAnsi="Times New Roman"/>
          <w:kern w:val="0"/>
          <w:sz w:val="22"/>
          <w:lang w:val="lt-LT"/>
          <w14:ligatures w14:val="none"/>
        </w:rPr>
      </w:pPr>
    </w:p>
    <w:p w14:paraId="608EDAF6" w14:textId="77777777" w:rsidR="00323207" w:rsidRPr="00F931D9" w:rsidRDefault="00323207" w:rsidP="00323207">
      <w:pPr>
        <w:spacing w:after="0" w:line="240" w:lineRule="auto"/>
        <w:outlineLvl w:val="0"/>
        <w:rPr>
          <w:rFonts w:ascii="Times New Roman" w:hAnsi="Times New Roman"/>
          <w:kern w:val="0"/>
          <w:sz w:val="22"/>
          <w:lang w:val="lt-LT"/>
          <w14:ligatures w14:val="none"/>
        </w:rPr>
      </w:pPr>
      <w:r w:rsidRPr="00F931D9">
        <w:rPr>
          <w:rFonts w:ascii="Times New Roman" w:hAnsi="Times New Roman"/>
          <w:kern w:val="0"/>
          <w:sz w:val="22"/>
          <w:lang w:val="lt-LT"/>
          <w14:ligatures w14:val="none"/>
        </w:rPr>
        <w:t>Minkštoji kapsulė</w:t>
      </w:r>
    </w:p>
    <w:p w14:paraId="6372E6BB" w14:textId="77777777" w:rsidR="00323207" w:rsidRPr="00F931D9" w:rsidRDefault="00323207" w:rsidP="00323207">
      <w:pPr>
        <w:spacing w:after="0" w:line="240" w:lineRule="auto"/>
        <w:rPr>
          <w:rFonts w:ascii="Times New Roman" w:hAnsi="Times New Roman"/>
          <w:kern w:val="0"/>
          <w:sz w:val="22"/>
          <w:lang w:val="lt-LT"/>
          <w14:ligatures w14:val="none"/>
        </w:rPr>
      </w:pPr>
    </w:p>
    <w:p w14:paraId="4A0A8C31" w14:textId="77777777" w:rsidR="00323207" w:rsidRPr="00F931D9" w:rsidRDefault="00323207" w:rsidP="00323207">
      <w:pPr>
        <w:shd w:val="clear" w:color="auto" w:fill="D9D9D9"/>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Melsvai pilkos spalvos, ovalios minkštosios želatinos kapsulės, ant kurių raudonai įspausta „NVR 25 mg”.</w:t>
      </w:r>
    </w:p>
    <w:p w14:paraId="11B12219" w14:textId="77777777" w:rsidR="00323207" w:rsidRPr="00F931D9" w:rsidRDefault="00323207" w:rsidP="00323207">
      <w:pPr>
        <w:shd w:val="clear" w:color="auto" w:fill="BFBFBF"/>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Gelsvai baltos spalvos, pailgos minkštosios želatinos kapsulės, ant kurių raudonai įspausta „NVR 50 mg”.</w:t>
      </w:r>
    </w:p>
    <w:p w14:paraId="5375DAF1" w14:textId="77777777" w:rsidR="00323207" w:rsidRPr="00F931D9" w:rsidRDefault="00323207" w:rsidP="00323207">
      <w:pPr>
        <w:shd w:val="clear" w:color="auto" w:fill="A6A6A6"/>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Melsvai pilkos spalvos, pailgos minkštosios želatinos kapsulės, ant kurių raudonai įspausta „NVR 100 mg”.</w:t>
      </w:r>
    </w:p>
    <w:p w14:paraId="6B5D42CA" w14:textId="77777777" w:rsidR="00323207" w:rsidRPr="00F931D9" w:rsidRDefault="00323207" w:rsidP="00323207">
      <w:pPr>
        <w:spacing w:after="0" w:line="240" w:lineRule="auto"/>
        <w:rPr>
          <w:rFonts w:ascii="Times New Roman" w:hAnsi="Times New Roman"/>
          <w:kern w:val="0"/>
          <w:sz w:val="22"/>
          <w:lang w:val="lt-LT"/>
          <w14:ligatures w14:val="none"/>
        </w:rPr>
      </w:pPr>
    </w:p>
    <w:p w14:paraId="73D82728" w14:textId="77777777" w:rsidR="00323207" w:rsidRPr="00F931D9" w:rsidRDefault="00323207" w:rsidP="00323207">
      <w:pPr>
        <w:spacing w:after="0" w:line="240" w:lineRule="auto"/>
        <w:rPr>
          <w:rFonts w:ascii="Times New Roman" w:hAnsi="Times New Roman"/>
          <w:kern w:val="0"/>
          <w:sz w:val="22"/>
          <w:lang w:val="lt-LT"/>
          <w14:ligatures w14:val="none"/>
        </w:rPr>
      </w:pPr>
    </w:p>
    <w:p w14:paraId="46631966" w14:textId="77777777" w:rsidR="00323207" w:rsidRPr="00F931D9" w:rsidRDefault="00323207" w:rsidP="00323207">
      <w:pPr>
        <w:spacing w:after="0" w:line="240" w:lineRule="auto"/>
        <w:ind w:left="567" w:hanging="567"/>
        <w:rPr>
          <w:rFonts w:ascii="Times New Roman" w:hAnsi="Times New Roman"/>
          <w:caps/>
          <w:kern w:val="0"/>
          <w:sz w:val="22"/>
          <w:lang w:val="lt-LT"/>
          <w14:ligatures w14:val="none"/>
        </w:rPr>
      </w:pPr>
      <w:r w:rsidRPr="00F931D9">
        <w:rPr>
          <w:rFonts w:ascii="Times New Roman" w:hAnsi="Times New Roman"/>
          <w:b/>
          <w:caps/>
          <w:kern w:val="0"/>
          <w:sz w:val="22"/>
          <w:lang w:val="lt-LT"/>
          <w14:ligatures w14:val="none"/>
        </w:rPr>
        <w:t>4.</w:t>
      </w:r>
      <w:r w:rsidRPr="00F931D9">
        <w:rPr>
          <w:rFonts w:ascii="Times New Roman" w:hAnsi="Times New Roman"/>
          <w:b/>
          <w:caps/>
          <w:kern w:val="0"/>
          <w:sz w:val="22"/>
          <w:lang w:val="lt-LT"/>
          <w14:ligatures w14:val="none"/>
        </w:rPr>
        <w:tab/>
        <w:t>klinikinĖ informacija</w:t>
      </w:r>
    </w:p>
    <w:p w14:paraId="62D23F3C" w14:textId="77777777" w:rsidR="00323207" w:rsidRPr="00F931D9" w:rsidRDefault="00323207" w:rsidP="00323207">
      <w:pPr>
        <w:spacing w:after="0" w:line="240" w:lineRule="auto"/>
        <w:rPr>
          <w:rFonts w:ascii="Times New Roman" w:hAnsi="Times New Roman"/>
          <w:kern w:val="0"/>
          <w:sz w:val="22"/>
          <w:lang w:val="lt-LT"/>
          <w14:ligatures w14:val="none"/>
        </w:rPr>
      </w:pPr>
    </w:p>
    <w:p w14:paraId="36D0D131" w14:textId="77777777" w:rsidR="00323207" w:rsidRPr="00F931D9" w:rsidRDefault="00323207" w:rsidP="00323207">
      <w:pPr>
        <w:spacing w:after="0" w:line="240" w:lineRule="auto"/>
        <w:ind w:left="567" w:hanging="567"/>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4.1</w:t>
      </w:r>
      <w:r w:rsidRPr="00F931D9">
        <w:rPr>
          <w:rFonts w:ascii="Times New Roman" w:hAnsi="Times New Roman"/>
          <w:b/>
          <w:kern w:val="0"/>
          <w:sz w:val="22"/>
          <w:lang w:val="lt-LT"/>
          <w14:ligatures w14:val="none"/>
        </w:rPr>
        <w:tab/>
        <w:t>Terapinės indikacijos</w:t>
      </w:r>
    </w:p>
    <w:p w14:paraId="03F609F7" w14:textId="77777777" w:rsidR="00323207" w:rsidRPr="00F931D9" w:rsidRDefault="00323207" w:rsidP="00323207">
      <w:pPr>
        <w:spacing w:after="0" w:line="240" w:lineRule="auto"/>
        <w:ind w:left="567" w:hanging="567"/>
        <w:rPr>
          <w:rFonts w:ascii="Times New Roman" w:hAnsi="Times New Roman"/>
          <w:kern w:val="0"/>
          <w:sz w:val="22"/>
          <w:lang w:val="lt-LT"/>
          <w14:ligatures w14:val="none"/>
        </w:rPr>
      </w:pPr>
    </w:p>
    <w:p w14:paraId="10E8EEF2" w14:textId="77777777" w:rsidR="00323207" w:rsidRPr="00F931D9" w:rsidRDefault="00323207" w:rsidP="00323207">
      <w:pPr>
        <w:spacing w:after="0" w:line="240" w:lineRule="auto"/>
        <w:rPr>
          <w:rFonts w:ascii="Times New Roman" w:hAnsi="Times New Roman"/>
          <w:kern w:val="0"/>
          <w:sz w:val="22"/>
          <w:u w:val="single"/>
          <w:lang w:val="lt-LT"/>
          <w14:ligatures w14:val="none"/>
        </w:rPr>
      </w:pPr>
      <w:r w:rsidRPr="00F931D9">
        <w:rPr>
          <w:rFonts w:ascii="Times New Roman" w:hAnsi="Times New Roman"/>
          <w:kern w:val="0"/>
          <w:sz w:val="22"/>
          <w:u w:val="single"/>
          <w:lang w:val="lt-LT"/>
          <w14:ligatures w14:val="none"/>
        </w:rPr>
        <w:t>Transplantacijos indikacijos</w:t>
      </w:r>
    </w:p>
    <w:p w14:paraId="532385D1" w14:textId="77777777" w:rsidR="00323207" w:rsidRPr="00F931D9" w:rsidRDefault="00323207" w:rsidP="00323207">
      <w:pPr>
        <w:spacing w:after="0" w:line="240" w:lineRule="auto"/>
        <w:rPr>
          <w:rFonts w:ascii="Times New Roman" w:hAnsi="Times New Roman"/>
          <w:i/>
          <w:kern w:val="0"/>
          <w:sz w:val="22"/>
          <w:lang w:val="lt-LT"/>
          <w14:ligatures w14:val="none"/>
        </w:rPr>
      </w:pPr>
      <w:proofErr w:type="spellStart"/>
      <w:r w:rsidRPr="00F931D9">
        <w:rPr>
          <w:rFonts w:ascii="Times New Roman" w:hAnsi="Times New Roman"/>
          <w:i/>
          <w:kern w:val="0"/>
          <w:sz w:val="22"/>
          <w:lang w:val="lt-LT"/>
          <w14:ligatures w14:val="none"/>
        </w:rPr>
        <w:t>Solidinių</w:t>
      </w:r>
      <w:proofErr w:type="spellEnd"/>
      <w:r w:rsidRPr="00F931D9">
        <w:rPr>
          <w:rFonts w:ascii="Times New Roman" w:hAnsi="Times New Roman"/>
          <w:i/>
          <w:kern w:val="0"/>
          <w:sz w:val="22"/>
          <w:lang w:val="lt-LT"/>
          <w14:ligatures w14:val="none"/>
        </w:rPr>
        <w:t xml:space="preserve"> organų transplantacija</w:t>
      </w:r>
    </w:p>
    <w:p w14:paraId="14D17CD8" w14:textId="77777777" w:rsidR="00323207" w:rsidRPr="00F931D9" w:rsidRDefault="00323207" w:rsidP="00323207">
      <w:pPr>
        <w:spacing w:after="0" w:line="240" w:lineRule="auto"/>
        <w:rPr>
          <w:rFonts w:ascii="Times New Roman" w:hAnsi="Times New Roman"/>
          <w:kern w:val="0"/>
          <w:sz w:val="22"/>
          <w:lang w:val="lt-LT"/>
          <w14:ligatures w14:val="none"/>
        </w:rPr>
      </w:pPr>
    </w:p>
    <w:p w14:paraId="43AF1CBF" w14:textId="77777777" w:rsidR="00323207" w:rsidRPr="00F931D9" w:rsidRDefault="00323207" w:rsidP="00323207">
      <w:pPr>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Transplantato</w:t>
      </w:r>
      <w:proofErr w:type="spellEnd"/>
      <w:r w:rsidRPr="00F931D9">
        <w:rPr>
          <w:rFonts w:ascii="Times New Roman" w:hAnsi="Times New Roman"/>
          <w:kern w:val="0"/>
          <w:sz w:val="22"/>
          <w:lang w:val="lt-LT"/>
          <w14:ligatures w14:val="none"/>
        </w:rPr>
        <w:t xml:space="preserve"> atmetimo, atsirandančio po </w:t>
      </w:r>
      <w:proofErr w:type="spellStart"/>
      <w:r w:rsidRPr="00F931D9">
        <w:rPr>
          <w:rFonts w:ascii="Times New Roman" w:hAnsi="Times New Roman"/>
          <w:kern w:val="0"/>
          <w:sz w:val="22"/>
          <w:lang w:val="lt-LT"/>
          <w14:ligatures w14:val="none"/>
        </w:rPr>
        <w:t>solidinio</w:t>
      </w:r>
      <w:proofErr w:type="spellEnd"/>
      <w:r w:rsidRPr="00F931D9">
        <w:rPr>
          <w:rFonts w:ascii="Times New Roman" w:hAnsi="Times New Roman"/>
          <w:kern w:val="0"/>
          <w:sz w:val="22"/>
          <w:lang w:val="lt-LT"/>
          <w14:ligatures w14:val="none"/>
        </w:rPr>
        <w:t xml:space="preserve"> organo transplantacijos, profilaktikai.</w:t>
      </w:r>
    </w:p>
    <w:p w14:paraId="2FEEA0A8" w14:textId="77777777" w:rsidR="00323207" w:rsidRPr="00F931D9" w:rsidRDefault="00323207" w:rsidP="00323207">
      <w:pPr>
        <w:spacing w:after="0" w:line="240" w:lineRule="auto"/>
        <w:rPr>
          <w:rFonts w:ascii="Times New Roman" w:hAnsi="Times New Roman"/>
          <w:kern w:val="0"/>
          <w:sz w:val="22"/>
          <w:lang w:val="lt-LT"/>
          <w14:ligatures w14:val="none"/>
        </w:rPr>
      </w:pPr>
    </w:p>
    <w:p w14:paraId="70961BA1"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Ląstelinio imuniteto sukelto </w:t>
      </w:r>
      <w:proofErr w:type="spellStart"/>
      <w:r w:rsidRPr="00F931D9">
        <w:rPr>
          <w:rFonts w:ascii="Times New Roman" w:hAnsi="Times New Roman"/>
          <w:kern w:val="0"/>
          <w:sz w:val="22"/>
          <w:lang w:val="lt-LT"/>
          <w14:ligatures w14:val="none"/>
        </w:rPr>
        <w:t>transplantato</w:t>
      </w:r>
      <w:proofErr w:type="spellEnd"/>
      <w:r w:rsidRPr="00F931D9">
        <w:rPr>
          <w:rFonts w:ascii="Times New Roman" w:hAnsi="Times New Roman"/>
          <w:kern w:val="0"/>
          <w:sz w:val="22"/>
          <w:lang w:val="lt-LT"/>
          <w14:ligatures w14:val="none"/>
        </w:rPr>
        <w:t xml:space="preserve"> atmetimo, atsiradusio anksčiau kitų </w:t>
      </w:r>
      <w:proofErr w:type="spellStart"/>
      <w:r w:rsidRPr="00F931D9">
        <w:rPr>
          <w:rFonts w:ascii="Times New Roman" w:hAnsi="Times New Roman"/>
          <w:kern w:val="0"/>
          <w:sz w:val="22"/>
          <w:lang w:val="lt-LT"/>
          <w14:ligatures w14:val="none"/>
        </w:rPr>
        <w:t>imunosupresantų</w:t>
      </w:r>
      <w:proofErr w:type="spellEnd"/>
      <w:r w:rsidRPr="00F931D9">
        <w:rPr>
          <w:rFonts w:ascii="Times New Roman" w:hAnsi="Times New Roman"/>
          <w:kern w:val="0"/>
          <w:sz w:val="22"/>
          <w:lang w:val="lt-LT"/>
          <w14:ligatures w14:val="none"/>
        </w:rPr>
        <w:t xml:space="preserve"> vartojusiems ligoniams, gydymui.</w:t>
      </w:r>
    </w:p>
    <w:p w14:paraId="49AEDE15" w14:textId="77777777" w:rsidR="00323207" w:rsidRPr="00F931D9" w:rsidRDefault="00323207" w:rsidP="00323207">
      <w:pPr>
        <w:spacing w:after="0" w:line="240" w:lineRule="auto"/>
        <w:rPr>
          <w:rFonts w:ascii="Times New Roman" w:hAnsi="Times New Roman"/>
          <w:kern w:val="0"/>
          <w:sz w:val="22"/>
          <w:lang w:val="lt-LT"/>
          <w14:ligatures w14:val="none"/>
        </w:rPr>
      </w:pPr>
    </w:p>
    <w:p w14:paraId="548AA95D" w14:textId="77777777" w:rsidR="00323207" w:rsidRPr="00F931D9" w:rsidRDefault="00323207" w:rsidP="00323207">
      <w:pPr>
        <w:keepNext/>
        <w:spacing w:after="0" w:line="240" w:lineRule="auto"/>
        <w:rPr>
          <w:rFonts w:ascii="Times New Roman" w:hAnsi="Times New Roman"/>
          <w:i/>
          <w:kern w:val="0"/>
          <w:sz w:val="22"/>
          <w:lang w:val="lt-LT"/>
          <w14:ligatures w14:val="none"/>
        </w:rPr>
      </w:pPr>
      <w:r w:rsidRPr="00F931D9">
        <w:rPr>
          <w:rFonts w:ascii="Times New Roman" w:hAnsi="Times New Roman"/>
          <w:i/>
          <w:kern w:val="0"/>
          <w:sz w:val="22"/>
          <w:lang w:val="lt-LT"/>
          <w14:ligatures w14:val="none"/>
        </w:rPr>
        <w:lastRenderedPageBreak/>
        <w:t>Kaulų čiulpų transplantacija</w:t>
      </w:r>
    </w:p>
    <w:p w14:paraId="6690378A" w14:textId="77777777" w:rsidR="00323207" w:rsidRPr="00F931D9" w:rsidRDefault="00323207" w:rsidP="00323207">
      <w:pPr>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Transplantato</w:t>
      </w:r>
      <w:proofErr w:type="spellEnd"/>
      <w:r w:rsidRPr="00F931D9">
        <w:rPr>
          <w:rFonts w:ascii="Times New Roman" w:hAnsi="Times New Roman"/>
          <w:kern w:val="0"/>
          <w:sz w:val="22"/>
          <w:lang w:val="lt-LT"/>
          <w14:ligatures w14:val="none"/>
        </w:rPr>
        <w:t xml:space="preserve"> atmetimo, atsirandančio po alogeninio kaulų čiulpų ir kamieninių ląstelių persodinimo, profilaktikai.</w:t>
      </w:r>
    </w:p>
    <w:p w14:paraId="45AF9268" w14:textId="77777777" w:rsidR="00323207" w:rsidRPr="00F931D9" w:rsidRDefault="00323207" w:rsidP="00323207">
      <w:pPr>
        <w:spacing w:after="0" w:line="240" w:lineRule="auto"/>
        <w:rPr>
          <w:rFonts w:ascii="Times New Roman" w:hAnsi="Times New Roman"/>
          <w:kern w:val="0"/>
          <w:sz w:val="22"/>
          <w:lang w:val="lt-LT"/>
          <w14:ligatures w14:val="none"/>
        </w:rPr>
      </w:pPr>
    </w:p>
    <w:p w14:paraId="7B90817C" w14:textId="77777777" w:rsidR="00323207" w:rsidRPr="00F931D9" w:rsidRDefault="00323207" w:rsidP="00323207">
      <w:pPr>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Transplantato</w:t>
      </w:r>
      <w:proofErr w:type="spellEnd"/>
      <w:r w:rsidRPr="00F931D9">
        <w:rPr>
          <w:rFonts w:ascii="Times New Roman" w:hAnsi="Times New Roman"/>
          <w:kern w:val="0"/>
          <w:sz w:val="22"/>
          <w:lang w:val="lt-LT"/>
          <w14:ligatures w14:val="none"/>
        </w:rPr>
        <w:t xml:space="preserve"> prieš šeimininką ligos (TPŠL) profilaktikai ir gydymui.</w:t>
      </w:r>
    </w:p>
    <w:p w14:paraId="71C46CDA" w14:textId="77777777" w:rsidR="00323207" w:rsidRPr="00F931D9" w:rsidRDefault="00323207" w:rsidP="00323207">
      <w:pPr>
        <w:spacing w:after="0" w:line="240" w:lineRule="auto"/>
        <w:rPr>
          <w:rFonts w:ascii="Times New Roman" w:hAnsi="Times New Roman"/>
          <w:kern w:val="0"/>
          <w:sz w:val="22"/>
          <w:lang w:val="lt-LT"/>
          <w14:ligatures w14:val="none"/>
        </w:rPr>
      </w:pPr>
    </w:p>
    <w:p w14:paraId="1790DC50" w14:textId="77777777" w:rsidR="00323207" w:rsidRPr="00F931D9" w:rsidRDefault="00323207" w:rsidP="00323207">
      <w:pPr>
        <w:spacing w:after="0" w:line="240" w:lineRule="auto"/>
        <w:rPr>
          <w:rFonts w:ascii="Times New Roman" w:hAnsi="Times New Roman"/>
          <w:kern w:val="0"/>
          <w:sz w:val="22"/>
          <w:u w:val="single"/>
          <w:lang w:val="lt-LT"/>
          <w14:ligatures w14:val="none"/>
        </w:rPr>
      </w:pPr>
      <w:r w:rsidRPr="00F931D9">
        <w:rPr>
          <w:rFonts w:ascii="Times New Roman" w:hAnsi="Times New Roman"/>
          <w:kern w:val="0"/>
          <w:sz w:val="22"/>
          <w:u w:val="single"/>
          <w:lang w:val="lt-LT"/>
          <w14:ligatures w14:val="none"/>
        </w:rPr>
        <w:t>Ne transplantacijos indikacijos</w:t>
      </w:r>
    </w:p>
    <w:p w14:paraId="2B6098F1" w14:textId="77777777" w:rsidR="00323207" w:rsidRPr="00F931D9" w:rsidRDefault="00323207" w:rsidP="00323207">
      <w:pPr>
        <w:spacing w:after="0" w:line="240" w:lineRule="auto"/>
        <w:rPr>
          <w:rFonts w:ascii="Times New Roman" w:hAnsi="Times New Roman"/>
          <w:i/>
          <w:kern w:val="0"/>
          <w:sz w:val="22"/>
          <w:lang w:val="lt-LT"/>
          <w14:ligatures w14:val="none"/>
        </w:rPr>
      </w:pPr>
      <w:r w:rsidRPr="00F931D9">
        <w:rPr>
          <w:rFonts w:ascii="Times New Roman" w:hAnsi="Times New Roman"/>
          <w:i/>
          <w:kern w:val="0"/>
          <w:sz w:val="22"/>
          <w:lang w:val="lt-LT"/>
          <w14:ligatures w14:val="none"/>
        </w:rPr>
        <w:t xml:space="preserve">Endogeninis </w:t>
      </w:r>
      <w:proofErr w:type="spellStart"/>
      <w:r w:rsidRPr="00F931D9">
        <w:rPr>
          <w:rFonts w:ascii="Times New Roman" w:hAnsi="Times New Roman"/>
          <w:i/>
          <w:kern w:val="0"/>
          <w:sz w:val="22"/>
          <w:lang w:val="lt-LT"/>
          <w14:ligatures w14:val="none"/>
        </w:rPr>
        <w:t>uveitas</w:t>
      </w:r>
      <w:proofErr w:type="spellEnd"/>
    </w:p>
    <w:p w14:paraId="33D83203"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Keliančio aklumo pavojų, tarpinio ar užpakalinio neinfekcinio </w:t>
      </w:r>
      <w:proofErr w:type="spellStart"/>
      <w:r w:rsidRPr="00F931D9">
        <w:rPr>
          <w:rFonts w:ascii="Times New Roman" w:hAnsi="Times New Roman"/>
          <w:kern w:val="0"/>
          <w:sz w:val="22"/>
          <w:lang w:val="lt-LT"/>
          <w14:ligatures w14:val="none"/>
        </w:rPr>
        <w:t>uveito</w:t>
      </w:r>
      <w:proofErr w:type="spellEnd"/>
      <w:r w:rsidRPr="00F931D9">
        <w:rPr>
          <w:rFonts w:ascii="Times New Roman" w:hAnsi="Times New Roman"/>
          <w:kern w:val="0"/>
          <w:sz w:val="22"/>
          <w:lang w:val="lt-LT"/>
          <w14:ligatures w14:val="none"/>
        </w:rPr>
        <w:t xml:space="preserve"> gydymui, kai įprastinis gydymas neveiksmingas ar taip gydant atsiranda nepriimtinas nepageidaujamas poveikis.</w:t>
      </w:r>
    </w:p>
    <w:p w14:paraId="08037C7A" w14:textId="77777777" w:rsidR="00323207" w:rsidRPr="00F931D9" w:rsidRDefault="00323207" w:rsidP="00323207">
      <w:pPr>
        <w:spacing w:after="0" w:line="240" w:lineRule="auto"/>
        <w:rPr>
          <w:rFonts w:ascii="Times New Roman" w:hAnsi="Times New Roman"/>
          <w:kern w:val="0"/>
          <w:sz w:val="22"/>
          <w:lang w:val="lt-LT"/>
          <w14:ligatures w14:val="none"/>
        </w:rPr>
      </w:pPr>
    </w:p>
    <w:p w14:paraId="08CB1091" w14:textId="77777777" w:rsidR="00323207" w:rsidRPr="00F931D9" w:rsidRDefault="00323207" w:rsidP="00323207">
      <w:pPr>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Behcet</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uveito</w:t>
      </w:r>
      <w:proofErr w:type="spellEnd"/>
      <w:r w:rsidRPr="00F931D9">
        <w:rPr>
          <w:rFonts w:ascii="Times New Roman" w:hAnsi="Times New Roman"/>
          <w:kern w:val="0"/>
          <w:sz w:val="22"/>
          <w:lang w:val="lt-LT"/>
          <w14:ligatures w14:val="none"/>
        </w:rPr>
        <w:t xml:space="preserve"> su pasikartojančiu tinklainės uždegimu gydymui pacientams, kuriems nenustatyta neurologinių simptomų.</w:t>
      </w:r>
    </w:p>
    <w:p w14:paraId="71473FA6" w14:textId="77777777" w:rsidR="00323207" w:rsidRPr="00F931D9" w:rsidRDefault="00323207" w:rsidP="00323207">
      <w:pPr>
        <w:spacing w:after="0" w:line="240" w:lineRule="auto"/>
        <w:rPr>
          <w:rFonts w:ascii="Times New Roman" w:hAnsi="Times New Roman"/>
          <w:kern w:val="0"/>
          <w:sz w:val="22"/>
          <w:lang w:val="lt-LT"/>
          <w14:ligatures w14:val="none"/>
        </w:rPr>
      </w:pPr>
    </w:p>
    <w:p w14:paraId="5561AD41" w14:textId="77777777" w:rsidR="00323207" w:rsidRPr="00F931D9" w:rsidRDefault="00323207" w:rsidP="00323207">
      <w:pPr>
        <w:keepNext/>
        <w:spacing w:after="0" w:line="240" w:lineRule="auto"/>
        <w:rPr>
          <w:rFonts w:ascii="Times New Roman" w:hAnsi="Times New Roman"/>
          <w:i/>
          <w:kern w:val="0"/>
          <w:sz w:val="22"/>
          <w:lang w:val="lt-LT"/>
          <w14:ligatures w14:val="none"/>
        </w:rPr>
      </w:pPr>
      <w:proofErr w:type="spellStart"/>
      <w:r w:rsidRPr="00F931D9">
        <w:rPr>
          <w:rFonts w:ascii="Times New Roman" w:hAnsi="Times New Roman"/>
          <w:i/>
          <w:kern w:val="0"/>
          <w:sz w:val="22"/>
          <w:lang w:val="lt-LT"/>
          <w14:ligatures w14:val="none"/>
        </w:rPr>
        <w:t>Nefrozinis</w:t>
      </w:r>
      <w:proofErr w:type="spellEnd"/>
      <w:r w:rsidRPr="00F931D9">
        <w:rPr>
          <w:rFonts w:ascii="Times New Roman" w:hAnsi="Times New Roman"/>
          <w:i/>
          <w:kern w:val="0"/>
          <w:sz w:val="22"/>
          <w:lang w:val="lt-LT"/>
          <w14:ligatures w14:val="none"/>
        </w:rPr>
        <w:t xml:space="preserve"> sindromas</w:t>
      </w:r>
    </w:p>
    <w:p w14:paraId="1F406A76"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Nuo steroidų priklausomo ir steroidams atsparaus </w:t>
      </w:r>
      <w:proofErr w:type="spellStart"/>
      <w:r w:rsidRPr="00F931D9">
        <w:rPr>
          <w:rFonts w:ascii="Times New Roman" w:hAnsi="Times New Roman"/>
          <w:kern w:val="0"/>
          <w:sz w:val="22"/>
          <w:lang w:val="lt-LT"/>
          <w14:ligatures w14:val="none"/>
        </w:rPr>
        <w:t>nefrozinio</w:t>
      </w:r>
      <w:proofErr w:type="spellEnd"/>
      <w:r w:rsidRPr="00F931D9">
        <w:rPr>
          <w:rFonts w:ascii="Times New Roman" w:hAnsi="Times New Roman"/>
          <w:kern w:val="0"/>
          <w:sz w:val="22"/>
          <w:lang w:val="lt-LT"/>
          <w14:ligatures w14:val="none"/>
        </w:rPr>
        <w:t xml:space="preserve"> sindromo, sukelto pirminės </w:t>
      </w:r>
      <w:proofErr w:type="spellStart"/>
      <w:r w:rsidRPr="00F931D9">
        <w:rPr>
          <w:rFonts w:ascii="Times New Roman" w:hAnsi="Times New Roman"/>
          <w:kern w:val="0"/>
          <w:sz w:val="22"/>
          <w:lang w:val="lt-LT"/>
          <w14:ligatures w14:val="none"/>
        </w:rPr>
        <w:t>glomerulų</w:t>
      </w:r>
      <w:proofErr w:type="spellEnd"/>
      <w:r w:rsidRPr="00F931D9">
        <w:rPr>
          <w:rFonts w:ascii="Times New Roman" w:hAnsi="Times New Roman"/>
          <w:kern w:val="0"/>
          <w:sz w:val="22"/>
          <w:lang w:val="lt-LT"/>
          <w14:ligatures w14:val="none"/>
        </w:rPr>
        <w:t xml:space="preserve"> ligos (pavyzdžiui, minimalių pokyčių </w:t>
      </w:r>
      <w:proofErr w:type="spellStart"/>
      <w:r w:rsidRPr="00F931D9">
        <w:rPr>
          <w:rFonts w:ascii="Times New Roman" w:hAnsi="Times New Roman"/>
          <w:kern w:val="0"/>
          <w:sz w:val="22"/>
          <w:lang w:val="lt-LT"/>
          <w14:ligatures w14:val="none"/>
        </w:rPr>
        <w:t>nefropatijos</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židininės</w:t>
      </w:r>
      <w:proofErr w:type="spellEnd"/>
      <w:r w:rsidRPr="00F931D9">
        <w:rPr>
          <w:rFonts w:ascii="Times New Roman" w:hAnsi="Times New Roman"/>
          <w:kern w:val="0"/>
          <w:sz w:val="22"/>
          <w:lang w:val="lt-LT"/>
          <w14:ligatures w14:val="none"/>
        </w:rPr>
        <w:t xml:space="preserve"> segmentinės </w:t>
      </w:r>
      <w:proofErr w:type="spellStart"/>
      <w:r w:rsidRPr="00F931D9">
        <w:rPr>
          <w:rFonts w:ascii="Times New Roman" w:hAnsi="Times New Roman"/>
          <w:kern w:val="0"/>
          <w:sz w:val="22"/>
          <w:lang w:val="lt-LT"/>
          <w14:ligatures w14:val="none"/>
        </w:rPr>
        <w:t>glomerulosklerozės</w:t>
      </w:r>
      <w:proofErr w:type="spellEnd"/>
      <w:r w:rsidRPr="00F931D9">
        <w:rPr>
          <w:rFonts w:ascii="Times New Roman" w:hAnsi="Times New Roman"/>
          <w:kern w:val="0"/>
          <w:sz w:val="22"/>
          <w:lang w:val="lt-LT"/>
          <w14:ligatures w14:val="none"/>
        </w:rPr>
        <w:t xml:space="preserve"> ar membraninio </w:t>
      </w:r>
      <w:proofErr w:type="spellStart"/>
      <w:r w:rsidRPr="00F931D9">
        <w:rPr>
          <w:rFonts w:ascii="Times New Roman" w:hAnsi="Times New Roman"/>
          <w:kern w:val="0"/>
          <w:sz w:val="22"/>
          <w:lang w:val="lt-LT"/>
          <w14:ligatures w14:val="none"/>
        </w:rPr>
        <w:t>glomerulonefrito</w:t>
      </w:r>
      <w:proofErr w:type="spellEnd"/>
      <w:r w:rsidRPr="00F931D9">
        <w:rPr>
          <w:rFonts w:ascii="Times New Roman" w:hAnsi="Times New Roman"/>
          <w:kern w:val="0"/>
          <w:sz w:val="22"/>
          <w:lang w:val="lt-LT"/>
          <w14:ligatures w14:val="none"/>
        </w:rPr>
        <w:t>), gydymui.</w:t>
      </w:r>
    </w:p>
    <w:p w14:paraId="0540EE2A" w14:textId="77777777" w:rsidR="00323207" w:rsidRPr="00F931D9" w:rsidRDefault="00323207" w:rsidP="00323207">
      <w:pPr>
        <w:spacing w:after="0" w:line="240" w:lineRule="auto"/>
        <w:rPr>
          <w:rFonts w:ascii="Times New Roman" w:hAnsi="Times New Roman"/>
          <w:kern w:val="0"/>
          <w:sz w:val="22"/>
          <w:lang w:val="lt-LT"/>
          <w14:ligatures w14:val="none"/>
        </w:rPr>
      </w:pPr>
    </w:p>
    <w:p w14:paraId="26FD64B3" w14:textId="77777777" w:rsidR="00323207" w:rsidRPr="00F931D9" w:rsidRDefault="00323207" w:rsidP="00323207">
      <w:pPr>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gali būti skiriama pasiekti ir išlaikyti ligos remisiją. Vaistinio preparato taip pat gali būti skiriama išlaikyti steroidų sukeltą remisiją ir tokiu būdu nutraukti steroidų vartojimą.</w:t>
      </w:r>
    </w:p>
    <w:p w14:paraId="620CFDA5" w14:textId="77777777" w:rsidR="00323207" w:rsidRPr="00F931D9" w:rsidRDefault="00323207" w:rsidP="00323207">
      <w:pPr>
        <w:spacing w:after="0" w:line="240" w:lineRule="auto"/>
        <w:rPr>
          <w:rFonts w:ascii="Times New Roman" w:hAnsi="Times New Roman"/>
          <w:kern w:val="0"/>
          <w:sz w:val="22"/>
          <w:lang w:val="lt-LT"/>
          <w14:ligatures w14:val="none"/>
        </w:rPr>
      </w:pPr>
    </w:p>
    <w:p w14:paraId="276B7BE2" w14:textId="77777777" w:rsidR="00323207" w:rsidRPr="00F931D9" w:rsidRDefault="00323207" w:rsidP="00323207">
      <w:pPr>
        <w:spacing w:after="0" w:line="240" w:lineRule="auto"/>
        <w:rPr>
          <w:rFonts w:ascii="Times New Roman" w:hAnsi="Times New Roman"/>
          <w:i/>
          <w:kern w:val="0"/>
          <w:sz w:val="22"/>
          <w:lang w:val="lt-LT"/>
          <w14:ligatures w14:val="none"/>
        </w:rPr>
      </w:pPr>
      <w:r w:rsidRPr="00F931D9">
        <w:rPr>
          <w:rFonts w:ascii="Times New Roman" w:hAnsi="Times New Roman"/>
          <w:i/>
          <w:kern w:val="0"/>
          <w:sz w:val="22"/>
          <w:lang w:val="lt-LT"/>
          <w14:ligatures w14:val="none"/>
        </w:rPr>
        <w:t>Reumatoidinis artritas</w:t>
      </w:r>
    </w:p>
    <w:p w14:paraId="617C57E1"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Sunkaus, aktyvaus reumatoidinio artrito gydymui.</w:t>
      </w:r>
    </w:p>
    <w:p w14:paraId="7A443737" w14:textId="77777777" w:rsidR="00323207" w:rsidRPr="00F931D9" w:rsidRDefault="00323207" w:rsidP="00323207">
      <w:pPr>
        <w:spacing w:after="0" w:line="240" w:lineRule="auto"/>
        <w:rPr>
          <w:rFonts w:ascii="Times New Roman" w:hAnsi="Times New Roman"/>
          <w:kern w:val="0"/>
          <w:sz w:val="22"/>
          <w:lang w:val="lt-LT"/>
          <w14:ligatures w14:val="none"/>
        </w:rPr>
      </w:pPr>
    </w:p>
    <w:p w14:paraId="26072913" w14:textId="77777777" w:rsidR="00323207" w:rsidRPr="00F931D9" w:rsidRDefault="00323207" w:rsidP="00323207">
      <w:pPr>
        <w:spacing w:after="0" w:line="240" w:lineRule="auto"/>
        <w:rPr>
          <w:rFonts w:ascii="Times New Roman" w:hAnsi="Times New Roman"/>
          <w:i/>
          <w:kern w:val="0"/>
          <w:sz w:val="22"/>
          <w:lang w:val="lt-LT"/>
          <w14:ligatures w14:val="none"/>
        </w:rPr>
      </w:pPr>
      <w:r w:rsidRPr="00F931D9">
        <w:rPr>
          <w:rFonts w:ascii="Times New Roman" w:hAnsi="Times New Roman"/>
          <w:i/>
          <w:kern w:val="0"/>
          <w:sz w:val="22"/>
          <w:lang w:val="lt-LT"/>
          <w14:ligatures w14:val="none"/>
        </w:rPr>
        <w:t>Žvynelinė</w:t>
      </w:r>
    </w:p>
    <w:p w14:paraId="7BBF8D8C"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Sunkios žvynelinės gydymui pacientams, kuriems įprastinis gydymas neveiksmingas arba netinkamas.</w:t>
      </w:r>
    </w:p>
    <w:p w14:paraId="7EA63748" w14:textId="77777777" w:rsidR="00323207" w:rsidRPr="00F931D9" w:rsidRDefault="00323207" w:rsidP="00323207">
      <w:pPr>
        <w:spacing w:after="0" w:line="240" w:lineRule="auto"/>
        <w:rPr>
          <w:rFonts w:ascii="Times New Roman" w:hAnsi="Times New Roman"/>
          <w:b/>
          <w:kern w:val="0"/>
          <w:sz w:val="22"/>
          <w:lang w:val="lt-LT"/>
          <w14:ligatures w14:val="none"/>
        </w:rPr>
      </w:pPr>
    </w:p>
    <w:p w14:paraId="49A3B613" w14:textId="77777777" w:rsidR="00323207" w:rsidRPr="00F931D9" w:rsidRDefault="00323207" w:rsidP="00323207">
      <w:pPr>
        <w:spacing w:after="0" w:line="240" w:lineRule="auto"/>
        <w:rPr>
          <w:rFonts w:ascii="Times New Roman" w:hAnsi="Times New Roman"/>
          <w:i/>
          <w:kern w:val="0"/>
          <w:sz w:val="22"/>
          <w:lang w:val="lt-LT"/>
          <w14:ligatures w14:val="none"/>
        </w:rPr>
      </w:pPr>
      <w:r w:rsidRPr="00F931D9">
        <w:rPr>
          <w:rFonts w:ascii="Times New Roman" w:hAnsi="Times New Roman"/>
          <w:i/>
          <w:kern w:val="0"/>
          <w:sz w:val="22"/>
          <w:lang w:val="lt-LT"/>
          <w14:ligatures w14:val="none"/>
        </w:rPr>
        <w:t>Atopinis dermatitas</w:t>
      </w:r>
    </w:p>
    <w:p w14:paraId="288CC68E" w14:textId="77777777" w:rsidR="00323207" w:rsidRPr="00F931D9" w:rsidRDefault="00323207" w:rsidP="00323207">
      <w:pPr>
        <w:spacing w:after="0" w:line="240" w:lineRule="auto"/>
        <w:rPr>
          <w:rFonts w:ascii="Times New Roman" w:hAnsi="Times New Roman"/>
          <w:b/>
          <w:kern w:val="0"/>
          <w:sz w:val="22"/>
          <w:lang w:val="lt-LT"/>
          <w14:ligatures w14:val="none"/>
        </w:rPr>
      </w:pP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skirtas sunkaus atopinio dermatito gydymui, jei reikalinga sisteminė terapija.</w:t>
      </w:r>
    </w:p>
    <w:p w14:paraId="3BA9EC49" w14:textId="77777777" w:rsidR="00323207" w:rsidRPr="00F931D9" w:rsidRDefault="00323207" w:rsidP="00323207">
      <w:pPr>
        <w:spacing w:after="0" w:line="240" w:lineRule="auto"/>
        <w:rPr>
          <w:rFonts w:ascii="Times New Roman" w:hAnsi="Times New Roman"/>
          <w:kern w:val="0"/>
          <w:sz w:val="22"/>
          <w:lang w:val="lt-LT"/>
          <w14:ligatures w14:val="none"/>
        </w:rPr>
      </w:pPr>
    </w:p>
    <w:p w14:paraId="00DA76ED" w14:textId="77777777" w:rsidR="00323207" w:rsidRPr="00F931D9" w:rsidRDefault="00323207" w:rsidP="00323207">
      <w:pPr>
        <w:spacing w:after="0" w:line="240" w:lineRule="auto"/>
        <w:ind w:left="567" w:hanging="567"/>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4.2</w:t>
      </w:r>
      <w:r w:rsidRPr="00F931D9">
        <w:rPr>
          <w:rFonts w:ascii="Times New Roman" w:hAnsi="Times New Roman"/>
          <w:b/>
          <w:kern w:val="0"/>
          <w:sz w:val="22"/>
          <w:lang w:val="lt-LT"/>
          <w14:ligatures w14:val="none"/>
        </w:rPr>
        <w:tab/>
        <w:t>Dozavimas ir vartojimo metodas</w:t>
      </w:r>
    </w:p>
    <w:p w14:paraId="581123BC" w14:textId="77777777" w:rsidR="00323207" w:rsidRPr="00F931D9" w:rsidRDefault="00323207" w:rsidP="00323207">
      <w:pPr>
        <w:spacing w:after="0" w:line="240" w:lineRule="auto"/>
        <w:ind w:left="567" w:hanging="567"/>
        <w:rPr>
          <w:rFonts w:ascii="Times New Roman" w:hAnsi="Times New Roman"/>
          <w:kern w:val="0"/>
          <w:sz w:val="22"/>
          <w:lang w:val="lt-LT"/>
          <w14:ligatures w14:val="none"/>
        </w:rPr>
      </w:pPr>
    </w:p>
    <w:p w14:paraId="2494C1A2" w14:textId="77777777" w:rsidR="00323207" w:rsidRPr="00F931D9" w:rsidRDefault="00323207" w:rsidP="00323207">
      <w:pPr>
        <w:spacing w:after="0" w:line="240" w:lineRule="auto"/>
        <w:rPr>
          <w:rFonts w:ascii="Times New Roman" w:hAnsi="Times New Roman"/>
          <w:kern w:val="0"/>
          <w:sz w:val="22"/>
          <w:u w:val="single"/>
          <w:lang w:val="lt-LT"/>
          <w14:ligatures w14:val="none"/>
        </w:rPr>
      </w:pPr>
      <w:r w:rsidRPr="00F931D9">
        <w:rPr>
          <w:rFonts w:ascii="Times New Roman" w:hAnsi="Times New Roman"/>
          <w:kern w:val="0"/>
          <w:sz w:val="22"/>
          <w:u w:val="single"/>
          <w:lang w:val="lt-LT"/>
          <w14:ligatures w14:val="none"/>
        </w:rPr>
        <w:t>Dozavimas</w:t>
      </w:r>
    </w:p>
    <w:p w14:paraId="79D53D17"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Pateikiamas per burną vartojamo vaistinio preparato dozių intervalas yra tik rekomendacinio pobūdžio.</w:t>
      </w:r>
    </w:p>
    <w:p w14:paraId="04958203" w14:textId="77777777" w:rsidR="00323207" w:rsidRPr="00F931D9" w:rsidRDefault="00323207" w:rsidP="00323207">
      <w:pPr>
        <w:spacing w:after="0" w:line="240" w:lineRule="auto"/>
        <w:rPr>
          <w:rFonts w:ascii="Times New Roman" w:hAnsi="Times New Roman"/>
          <w:kern w:val="0"/>
          <w:sz w:val="22"/>
          <w:lang w:val="lt-LT"/>
          <w14:ligatures w14:val="none"/>
        </w:rPr>
      </w:pPr>
    </w:p>
    <w:p w14:paraId="76A95ADE" w14:textId="77777777" w:rsidR="00323207" w:rsidRPr="00F931D9" w:rsidRDefault="00323207" w:rsidP="00323207">
      <w:pPr>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paros dozę reikia vartoti per du kartus, lygiai paskirsčius paros laikotarpiui.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rekomenduojama vartoti tuo pačiu dienos metu ir tokiu pat būdu valgio metu ar nevalgius.</w:t>
      </w:r>
    </w:p>
    <w:p w14:paraId="5A0FF62D" w14:textId="77777777" w:rsidR="00323207" w:rsidRPr="00F931D9" w:rsidRDefault="00323207" w:rsidP="00323207">
      <w:pPr>
        <w:spacing w:after="0" w:line="240" w:lineRule="auto"/>
        <w:rPr>
          <w:rFonts w:ascii="Times New Roman" w:hAnsi="Times New Roman"/>
          <w:kern w:val="0"/>
          <w:sz w:val="22"/>
          <w:lang w:val="lt-LT"/>
          <w14:ligatures w14:val="none"/>
        </w:rPr>
      </w:pPr>
    </w:p>
    <w:p w14:paraId="3163FC2F" w14:textId="77777777" w:rsidR="00323207" w:rsidRPr="00F931D9" w:rsidRDefault="00323207" w:rsidP="00323207">
      <w:pPr>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turi paskirti gydymo </w:t>
      </w:r>
      <w:proofErr w:type="spellStart"/>
      <w:r w:rsidRPr="00F931D9">
        <w:rPr>
          <w:rFonts w:ascii="Times New Roman" w:hAnsi="Times New Roman"/>
          <w:kern w:val="0"/>
          <w:sz w:val="22"/>
          <w:lang w:val="lt-LT"/>
          <w14:ligatures w14:val="none"/>
        </w:rPr>
        <w:t>imunosupresantais</w:t>
      </w:r>
      <w:proofErr w:type="spellEnd"/>
      <w:r w:rsidRPr="00F931D9">
        <w:rPr>
          <w:rFonts w:ascii="Times New Roman" w:hAnsi="Times New Roman"/>
          <w:kern w:val="0"/>
          <w:sz w:val="22"/>
          <w:lang w:val="lt-LT"/>
          <w14:ligatures w14:val="none"/>
        </w:rPr>
        <w:t xml:space="preserve"> ir (arba) organų transplantacijos srityje patirties turintis gydytojas arba gydymas turi būti skiriamas glaudžiai bendradarbiaujant su šiuo gydytoju.</w:t>
      </w:r>
    </w:p>
    <w:p w14:paraId="63CE56C3" w14:textId="77777777" w:rsidR="00323207" w:rsidRPr="00F931D9" w:rsidRDefault="00323207" w:rsidP="00323207">
      <w:pPr>
        <w:spacing w:after="0" w:line="240" w:lineRule="auto"/>
        <w:rPr>
          <w:rFonts w:ascii="Times New Roman" w:hAnsi="Times New Roman"/>
          <w:kern w:val="0"/>
          <w:sz w:val="22"/>
          <w:u w:val="single"/>
          <w:lang w:val="lt-LT"/>
          <w14:ligatures w14:val="none"/>
        </w:rPr>
      </w:pPr>
    </w:p>
    <w:p w14:paraId="7DE35FD0" w14:textId="77777777" w:rsidR="00323207" w:rsidRPr="00F931D9" w:rsidRDefault="00323207" w:rsidP="00323207">
      <w:pPr>
        <w:spacing w:after="0" w:line="240" w:lineRule="auto"/>
        <w:rPr>
          <w:rFonts w:ascii="Times New Roman" w:hAnsi="Times New Roman"/>
          <w:i/>
          <w:kern w:val="0"/>
          <w:sz w:val="22"/>
          <w:u w:val="single"/>
          <w:lang w:val="lt-LT"/>
          <w14:ligatures w14:val="none"/>
        </w:rPr>
      </w:pPr>
      <w:r w:rsidRPr="00F931D9">
        <w:rPr>
          <w:rFonts w:ascii="Times New Roman" w:hAnsi="Times New Roman"/>
          <w:i/>
          <w:kern w:val="0"/>
          <w:sz w:val="22"/>
          <w:u w:val="single"/>
          <w:lang w:val="lt-LT"/>
          <w14:ligatures w14:val="none"/>
        </w:rPr>
        <w:t>Transplantacijos indikacijos</w:t>
      </w:r>
    </w:p>
    <w:p w14:paraId="16DF9AC3" w14:textId="77777777" w:rsidR="00323207" w:rsidRPr="00F931D9" w:rsidRDefault="00323207" w:rsidP="00323207">
      <w:pPr>
        <w:spacing w:after="0" w:line="240" w:lineRule="auto"/>
        <w:rPr>
          <w:rFonts w:ascii="Times New Roman" w:hAnsi="Times New Roman"/>
          <w:i/>
          <w:kern w:val="0"/>
          <w:sz w:val="22"/>
          <w:lang w:val="lt-LT"/>
          <w14:ligatures w14:val="none"/>
        </w:rPr>
      </w:pPr>
      <w:proofErr w:type="spellStart"/>
      <w:r w:rsidRPr="00F931D9">
        <w:rPr>
          <w:rFonts w:ascii="Times New Roman" w:hAnsi="Times New Roman"/>
          <w:i/>
          <w:kern w:val="0"/>
          <w:sz w:val="22"/>
          <w:lang w:val="lt-LT"/>
          <w14:ligatures w14:val="none"/>
        </w:rPr>
        <w:t>Solidinių</w:t>
      </w:r>
      <w:proofErr w:type="spellEnd"/>
      <w:r w:rsidRPr="00F931D9">
        <w:rPr>
          <w:rFonts w:ascii="Times New Roman" w:hAnsi="Times New Roman"/>
          <w:i/>
          <w:kern w:val="0"/>
          <w:sz w:val="22"/>
          <w:lang w:val="lt-LT"/>
          <w14:ligatures w14:val="none"/>
        </w:rPr>
        <w:t xml:space="preserve"> organų transplantacija</w:t>
      </w:r>
    </w:p>
    <w:p w14:paraId="1B40E968"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Gydytas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pradedamas skiriant 10–15 mg/kg kūno svorio paros dozę, kuri padalinta į dvi dalis duodama 12 valandų prieš operaciją. Po operacijos tokia pat palaikomąja doze gydoma 1–2 savaites. Vėliau, stebint koncentraciją kraujyje ir atsižvelgiant į vietinį </w:t>
      </w:r>
      <w:proofErr w:type="spellStart"/>
      <w:r w:rsidRPr="00F931D9">
        <w:rPr>
          <w:rFonts w:ascii="Times New Roman" w:hAnsi="Times New Roman"/>
          <w:kern w:val="0"/>
          <w:sz w:val="22"/>
          <w:lang w:val="lt-LT"/>
          <w14:ligatures w14:val="none"/>
        </w:rPr>
        <w:t>imunosupresantų</w:t>
      </w:r>
      <w:proofErr w:type="spellEnd"/>
      <w:r w:rsidRPr="00F931D9">
        <w:rPr>
          <w:rFonts w:ascii="Times New Roman" w:hAnsi="Times New Roman"/>
          <w:kern w:val="0"/>
          <w:sz w:val="22"/>
          <w:lang w:val="lt-LT"/>
          <w14:ligatures w14:val="none"/>
        </w:rPr>
        <w:t xml:space="preserve"> vartojimo protokolą, dozė palaipsniui mažinama iki rekomenduojamos palaikomosios, t. y. 2–6 mg/kg kūno svorio, paros dozės, kuri vartojama per du kartus. </w:t>
      </w:r>
    </w:p>
    <w:p w14:paraId="244707F6" w14:textId="77777777" w:rsidR="00323207" w:rsidRPr="00F931D9" w:rsidRDefault="00323207" w:rsidP="00323207">
      <w:pPr>
        <w:spacing w:after="0" w:line="240" w:lineRule="auto"/>
        <w:rPr>
          <w:rFonts w:ascii="Times New Roman" w:hAnsi="Times New Roman"/>
          <w:kern w:val="0"/>
          <w:sz w:val="22"/>
          <w:lang w:val="lt-LT"/>
          <w14:ligatures w14:val="none"/>
        </w:rPr>
      </w:pPr>
    </w:p>
    <w:p w14:paraId="54091F4A"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Jei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skiriama kartu su kitais imunitetą slopinančiais vaistiniais preparatais, pvz., kortikosteroidais, arba šis vaistinis preparatas yra gydymo trimis ar keturiais vaistiniais preparatais sudėtinė dalis, iš pradžių gali būti skiriama mažesnė dozė (pvz., 3–6 mg/kg kūno svorio paros dozė per du kartus).</w:t>
      </w:r>
    </w:p>
    <w:p w14:paraId="7D023930" w14:textId="77777777" w:rsidR="00323207" w:rsidRPr="00F931D9" w:rsidRDefault="00323207" w:rsidP="00323207">
      <w:pPr>
        <w:spacing w:after="0" w:line="240" w:lineRule="auto"/>
        <w:rPr>
          <w:rFonts w:ascii="Times New Roman" w:hAnsi="Times New Roman"/>
          <w:kern w:val="0"/>
          <w:sz w:val="22"/>
          <w:lang w:val="lt-LT"/>
          <w14:ligatures w14:val="none"/>
        </w:rPr>
      </w:pPr>
    </w:p>
    <w:p w14:paraId="5958E870" w14:textId="77777777" w:rsidR="00323207" w:rsidRPr="00F931D9" w:rsidRDefault="00323207" w:rsidP="00323207">
      <w:pPr>
        <w:spacing w:after="0" w:line="240" w:lineRule="auto"/>
        <w:rPr>
          <w:rFonts w:ascii="Times New Roman" w:hAnsi="Times New Roman"/>
          <w:i/>
          <w:kern w:val="0"/>
          <w:sz w:val="22"/>
          <w:lang w:val="lt-LT"/>
          <w14:ligatures w14:val="none"/>
        </w:rPr>
      </w:pPr>
      <w:r w:rsidRPr="00F931D9">
        <w:rPr>
          <w:rFonts w:ascii="Times New Roman" w:hAnsi="Times New Roman"/>
          <w:i/>
          <w:kern w:val="0"/>
          <w:sz w:val="22"/>
          <w:lang w:val="lt-LT"/>
          <w14:ligatures w14:val="none"/>
        </w:rPr>
        <w:t>Kaulų čiulpų transplantacija</w:t>
      </w:r>
    </w:p>
    <w:p w14:paraId="42D9F039"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Pradinė dozė skiriama dieną prieš transplantaciją, dažniausiai pasirenkamas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xml:space="preserve"> koncentratas infuziniam tirpalui. Rekomenduojama pradinė į veną leidžiama paros dozė yra 3–5 mg/kg kūno svorio. Tokia vaistinio preparato dozė po transplantacijos </w:t>
      </w:r>
      <w:proofErr w:type="spellStart"/>
      <w:r w:rsidRPr="00F931D9">
        <w:rPr>
          <w:rFonts w:ascii="Times New Roman" w:hAnsi="Times New Roman"/>
          <w:kern w:val="0"/>
          <w:sz w:val="22"/>
          <w:lang w:val="lt-LT"/>
          <w14:ligatures w14:val="none"/>
        </w:rPr>
        <w:t>infuzuojama</w:t>
      </w:r>
      <w:proofErr w:type="spellEnd"/>
      <w:r w:rsidRPr="00F931D9">
        <w:rPr>
          <w:rFonts w:ascii="Times New Roman" w:hAnsi="Times New Roman"/>
          <w:kern w:val="0"/>
          <w:sz w:val="22"/>
          <w:lang w:val="lt-LT"/>
          <w14:ligatures w14:val="none"/>
        </w:rPr>
        <w:t xml:space="preserve"> kasdien ilgiausiai 2 savaites, paskui pradedamas palaikomasis gydymas geriamąja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forma. Palaikomajam gydymui skiriama maždaug 12,5 mg/kg kūno svorio paros dozė per du kartus. </w:t>
      </w:r>
    </w:p>
    <w:p w14:paraId="3DE184E3" w14:textId="77777777" w:rsidR="00323207" w:rsidRPr="00F931D9" w:rsidRDefault="00323207" w:rsidP="00323207">
      <w:pPr>
        <w:spacing w:after="0" w:line="240" w:lineRule="auto"/>
        <w:rPr>
          <w:rFonts w:ascii="Times New Roman" w:hAnsi="Times New Roman"/>
          <w:kern w:val="0"/>
          <w:sz w:val="22"/>
          <w:lang w:val="lt-LT"/>
          <w14:ligatures w14:val="none"/>
        </w:rPr>
      </w:pPr>
    </w:p>
    <w:p w14:paraId="0FB3CB90"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Gydyti tokia palaikomąja doze reikia mažiausiai 3 mėnesius (geriau 6 mėnesius), paskui ji laipsniškai mažinama ir, praėjus metams po transplantacijos, gydymas visiškai nutraukiamas. </w:t>
      </w:r>
    </w:p>
    <w:p w14:paraId="7F9517A5" w14:textId="77777777" w:rsidR="00323207" w:rsidRPr="00F931D9" w:rsidRDefault="00323207" w:rsidP="00323207">
      <w:pPr>
        <w:spacing w:after="0" w:line="240" w:lineRule="auto"/>
        <w:rPr>
          <w:rFonts w:ascii="Times New Roman" w:hAnsi="Times New Roman"/>
          <w:kern w:val="0"/>
          <w:sz w:val="22"/>
          <w:lang w:val="lt-LT"/>
          <w14:ligatures w14:val="none"/>
        </w:rPr>
      </w:pPr>
    </w:p>
    <w:p w14:paraId="15B907F6"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Jei gydyti pradedama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rekomenduojama paros dozė yra 12,5-15 mg/kg kūno svorio per du kartus (pradedama vartoti dieną prieš transplantaciją). </w:t>
      </w:r>
    </w:p>
    <w:p w14:paraId="767314F2" w14:textId="77777777" w:rsidR="00323207" w:rsidRPr="00F931D9" w:rsidRDefault="00323207" w:rsidP="00323207">
      <w:pPr>
        <w:spacing w:after="0" w:line="240" w:lineRule="auto"/>
        <w:rPr>
          <w:rFonts w:ascii="Times New Roman" w:hAnsi="Times New Roman"/>
          <w:kern w:val="0"/>
          <w:sz w:val="22"/>
          <w:lang w:val="lt-LT"/>
          <w14:ligatures w14:val="none"/>
        </w:rPr>
      </w:pPr>
    </w:p>
    <w:p w14:paraId="37F78B0A"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Jei yra virškinimo trakto sutrikimų, gali mažėti vaistinio preparato absorbcija, todėl gali reikėti skirti didesnę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dozę arba pasirinkti intraveninę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xml:space="preserve"> formą.</w:t>
      </w:r>
    </w:p>
    <w:p w14:paraId="2E9DD3AE" w14:textId="77777777" w:rsidR="00323207" w:rsidRPr="00F931D9" w:rsidRDefault="00323207" w:rsidP="00323207">
      <w:pPr>
        <w:spacing w:after="0" w:line="240" w:lineRule="auto"/>
        <w:rPr>
          <w:rFonts w:ascii="Times New Roman" w:hAnsi="Times New Roman"/>
          <w:kern w:val="0"/>
          <w:sz w:val="22"/>
          <w:lang w:val="lt-LT"/>
          <w14:ligatures w14:val="none"/>
        </w:rPr>
      </w:pPr>
    </w:p>
    <w:p w14:paraId="77CE73E7"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Kai kuriems ligoniams nutraukus gydymą </w:t>
      </w:r>
      <w:proofErr w:type="spellStart"/>
      <w:r w:rsidRPr="00F931D9">
        <w:rPr>
          <w:rFonts w:ascii="Times New Roman" w:hAnsi="Times New Roman"/>
          <w:kern w:val="0"/>
          <w:sz w:val="22"/>
          <w:lang w:val="lt-LT"/>
          <w14:ligatures w14:val="none"/>
        </w:rPr>
        <w:t>ciklosporinu</w:t>
      </w:r>
      <w:proofErr w:type="spellEnd"/>
      <w:r w:rsidRPr="00F931D9">
        <w:rPr>
          <w:rFonts w:ascii="Times New Roman" w:hAnsi="Times New Roman"/>
          <w:kern w:val="0"/>
          <w:sz w:val="22"/>
          <w:lang w:val="lt-LT"/>
          <w14:ligatures w14:val="none"/>
        </w:rPr>
        <w:t xml:space="preserve">, pasireškia </w:t>
      </w:r>
      <w:proofErr w:type="spellStart"/>
      <w:r w:rsidRPr="00F931D9">
        <w:rPr>
          <w:rFonts w:ascii="Times New Roman" w:hAnsi="Times New Roman"/>
          <w:kern w:val="0"/>
          <w:sz w:val="22"/>
          <w:lang w:val="lt-LT"/>
          <w14:ligatures w14:val="none"/>
        </w:rPr>
        <w:t>Transplantato</w:t>
      </w:r>
      <w:proofErr w:type="spellEnd"/>
      <w:r w:rsidRPr="00F931D9">
        <w:rPr>
          <w:rFonts w:ascii="Times New Roman" w:hAnsi="Times New Roman"/>
          <w:kern w:val="0"/>
          <w:sz w:val="22"/>
          <w:lang w:val="lt-LT"/>
          <w14:ligatures w14:val="none"/>
        </w:rPr>
        <w:t xml:space="preserve"> prieš šeimininką liga (TPŠL), tačiau atnaujinus gydymą ji paprastai išnyksta. Tokiu atveju reikia skirti pradinę įsotinamąją 10</w:t>
      </w:r>
      <w:r w:rsidRPr="00F931D9">
        <w:rPr>
          <w:rFonts w:ascii="Times New Roman" w:hAnsi="Times New Roman"/>
          <w:kern w:val="0"/>
          <w:sz w:val="22"/>
          <w:lang w:val="lt-LT"/>
          <w14:ligatures w14:val="none"/>
        </w:rPr>
        <w:noBreakHyphen/>
        <w:t xml:space="preserve">12,5 mg/kg kūno svorio dozę per burną, o vėliau kasdien skirti anksčiau pasiektą tinkamą palaikomąją dozę. Lengvą lėtinę TPŠL formą reikėtų gydyti maža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doze.</w:t>
      </w:r>
    </w:p>
    <w:p w14:paraId="46415FE0" w14:textId="77777777" w:rsidR="00323207" w:rsidRPr="00F931D9" w:rsidRDefault="00323207" w:rsidP="00323207">
      <w:pPr>
        <w:spacing w:after="0" w:line="240" w:lineRule="auto"/>
        <w:rPr>
          <w:rFonts w:ascii="Times New Roman" w:hAnsi="Times New Roman"/>
          <w:kern w:val="0"/>
          <w:sz w:val="22"/>
          <w:lang w:val="lt-LT"/>
          <w14:ligatures w14:val="none"/>
        </w:rPr>
      </w:pPr>
    </w:p>
    <w:p w14:paraId="5507F10F" w14:textId="77777777" w:rsidR="00323207" w:rsidRPr="00F931D9" w:rsidRDefault="00323207" w:rsidP="00323207">
      <w:pPr>
        <w:spacing w:after="0" w:line="240" w:lineRule="auto"/>
        <w:rPr>
          <w:rFonts w:ascii="Times New Roman" w:hAnsi="Times New Roman"/>
          <w:i/>
          <w:kern w:val="0"/>
          <w:sz w:val="22"/>
          <w:u w:val="single"/>
          <w:lang w:val="lt-LT"/>
          <w14:ligatures w14:val="none"/>
        </w:rPr>
      </w:pPr>
      <w:r w:rsidRPr="00F931D9">
        <w:rPr>
          <w:rFonts w:ascii="Times New Roman" w:hAnsi="Times New Roman"/>
          <w:i/>
          <w:kern w:val="0"/>
          <w:sz w:val="22"/>
          <w:u w:val="single"/>
          <w:lang w:val="lt-LT"/>
          <w14:ligatures w14:val="none"/>
        </w:rPr>
        <w:t>Ne transplantacijos indikacijos</w:t>
      </w:r>
    </w:p>
    <w:p w14:paraId="2CB7C0BD" w14:textId="77777777" w:rsidR="00323207" w:rsidRPr="00F931D9" w:rsidRDefault="00323207" w:rsidP="00323207">
      <w:pPr>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skiriant bet kuriai nustatytai ne transplantacijos indikacijai, reikia laikytis toliau išvardytų bendrųjų taisyklių.</w:t>
      </w:r>
    </w:p>
    <w:p w14:paraId="2069E8E8" w14:textId="77777777" w:rsidR="00323207" w:rsidRPr="00F931D9" w:rsidRDefault="00323207" w:rsidP="00323207">
      <w:pPr>
        <w:spacing w:after="0" w:line="240" w:lineRule="auto"/>
        <w:rPr>
          <w:rFonts w:ascii="Times New Roman" w:hAnsi="Times New Roman"/>
          <w:kern w:val="0"/>
          <w:sz w:val="22"/>
          <w:lang w:val="lt-LT"/>
          <w14:ligatures w14:val="none"/>
        </w:rPr>
      </w:pPr>
    </w:p>
    <w:p w14:paraId="1A18C262"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Prieš pradedant skirti gydymą reikia nustatyti pradinę inkstų funkciją, atliekant bent du tyrimus. Suaugusiųjų inkstų funkcijai įvertinti galima naudoti pagal MDRD formulę apskaičiuoto </w:t>
      </w:r>
      <w:proofErr w:type="spellStart"/>
      <w:r w:rsidRPr="00F931D9">
        <w:rPr>
          <w:rFonts w:ascii="Times New Roman" w:hAnsi="Times New Roman"/>
          <w:kern w:val="0"/>
          <w:sz w:val="22"/>
          <w:lang w:val="lt-LT"/>
          <w14:ligatures w14:val="none"/>
        </w:rPr>
        <w:t>glomerulų</w:t>
      </w:r>
      <w:proofErr w:type="spellEnd"/>
      <w:r w:rsidRPr="00F931D9">
        <w:rPr>
          <w:rFonts w:ascii="Times New Roman" w:hAnsi="Times New Roman"/>
          <w:kern w:val="0"/>
          <w:sz w:val="22"/>
          <w:lang w:val="lt-LT"/>
          <w14:ligatures w14:val="none"/>
        </w:rPr>
        <w:t xml:space="preserve"> filtracijos greičio (</w:t>
      </w:r>
      <w:proofErr w:type="spellStart"/>
      <w:r w:rsidRPr="00F931D9">
        <w:rPr>
          <w:rFonts w:ascii="Times New Roman" w:hAnsi="Times New Roman"/>
          <w:kern w:val="0"/>
          <w:sz w:val="22"/>
          <w:lang w:val="lt-LT"/>
          <w14:ligatures w14:val="none"/>
        </w:rPr>
        <w:t>aGFG</w:t>
      </w:r>
      <w:proofErr w:type="spellEnd"/>
      <w:r w:rsidRPr="00F931D9">
        <w:rPr>
          <w:rFonts w:ascii="Times New Roman" w:hAnsi="Times New Roman"/>
          <w:kern w:val="0"/>
          <w:sz w:val="22"/>
          <w:lang w:val="lt-LT"/>
          <w14:ligatures w14:val="none"/>
        </w:rPr>
        <w:t xml:space="preserve">) reikšmę, o vaikų </w:t>
      </w:r>
      <w:proofErr w:type="spellStart"/>
      <w:r w:rsidRPr="00F931D9">
        <w:rPr>
          <w:rFonts w:ascii="Times New Roman" w:hAnsi="Times New Roman"/>
          <w:kern w:val="0"/>
          <w:sz w:val="22"/>
          <w:lang w:val="lt-LT"/>
          <w14:ligatures w14:val="none"/>
        </w:rPr>
        <w:t>aGFG</w:t>
      </w:r>
      <w:proofErr w:type="spellEnd"/>
      <w:r w:rsidRPr="00F931D9">
        <w:rPr>
          <w:rFonts w:ascii="Times New Roman" w:hAnsi="Times New Roman"/>
          <w:kern w:val="0"/>
          <w:sz w:val="22"/>
          <w:lang w:val="lt-LT"/>
          <w14:ligatures w14:val="none"/>
        </w:rPr>
        <w:t xml:space="preserve"> rodikliui įvertinti reikia naudoti atitinkamai parinktą formulę. Kadangi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gali pabloginti inkstų funkciją, pacientams ją būtina dažnai tirti. Tais atvejais, kai </w:t>
      </w:r>
      <w:proofErr w:type="spellStart"/>
      <w:r w:rsidRPr="00F931D9">
        <w:rPr>
          <w:rFonts w:ascii="Times New Roman" w:hAnsi="Times New Roman"/>
          <w:kern w:val="0"/>
          <w:sz w:val="22"/>
          <w:lang w:val="lt-LT"/>
          <w14:ligatures w14:val="none"/>
        </w:rPr>
        <w:t>aGFG</w:t>
      </w:r>
      <w:proofErr w:type="spellEnd"/>
      <w:r w:rsidRPr="00F931D9">
        <w:rPr>
          <w:rFonts w:ascii="Times New Roman" w:hAnsi="Times New Roman"/>
          <w:kern w:val="0"/>
          <w:sz w:val="22"/>
          <w:lang w:val="lt-LT"/>
          <w14:ligatures w14:val="none"/>
        </w:rPr>
        <w:t xml:space="preserve"> reikšmė sumažėja daugiau kaip 25 % nuo pradinių reikšmių ir tokia nustatoma daugiau kaip vieno tyrimo metu,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dozę reikia mažinti 25-50 %. Jeigu </w:t>
      </w:r>
      <w:proofErr w:type="spellStart"/>
      <w:r w:rsidRPr="00F931D9">
        <w:rPr>
          <w:rFonts w:ascii="Times New Roman" w:hAnsi="Times New Roman"/>
          <w:kern w:val="0"/>
          <w:sz w:val="22"/>
          <w:lang w:val="lt-LT"/>
          <w14:ligatures w14:val="none"/>
        </w:rPr>
        <w:t>aGFG</w:t>
      </w:r>
      <w:proofErr w:type="spellEnd"/>
      <w:r w:rsidRPr="00F931D9">
        <w:rPr>
          <w:rFonts w:ascii="Times New Roman" w:hAnsi="Times New Roman"/>
          <w:kern w:val="0"/>
          <w:sz w:val="22"/>
          <w:lang w:val="lt-LT"/>
          <w14:ligatures w14:val="none"/>
        </w:rPr>
        <w:t xml:space="preserve"> reikšmė sumažėja daugiau kaip 35 % nuo pradinių reikšmių, reikia apsvarstyti tolesnio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dozės mažinimo galimybę. Šių rekomendacijų reikia laikytis net ir tais atvejais, kai </w:t>
      </w:r>
      <w:proofErr w:type="spellStart"/>
      <w:r w:rsidRPr="00F931D9">
        <w:rPr>
          <w:rFonts w:ascii="Times New Roman" w:hAnsi="Times New Roman"/>
          <w:kern w:val="0"/>
          <w:sz w:val="22"/>
          <w:lang w:val="lt-LT"/>
          <w14:ligatures w14:val="none"/>
        </w:rPr>
        <w:t>aGFG</w:t>
      </w:r>
      <w:proofErr w:type="spellEnd"/>
      <w:r w:rsidRPr="00F931D9">
        <w:rPr>
          <w:rFonts w:ascii="Times New Roman" w:hAnsi="Times New Roman"/>
          <w:kern w:val="0"/>
          <w:sz w:val="22"/>
          <w:lang w:val="lt-LT"/>
          <w14:ligatures w14:val="none"/>
        </w:rPr>
        <w:t xml:space="preserve"> reikšmė pacientui vis dar yra normaliųjų laboratorinių reikšmių ribose. Jeigu sumažinus vaistinio preparato dozę per vieną mėnesį </w:t>
      </w:r>
      <w:proofErr w:type="spellStart"/>
      <w:r w:rsidRPr="00F931D9">
        <w:rPr>
          <w:rFonts w:ascii="Times New Roman" w:hAnsi="Times New Roman"/>
          <w:kern w:val="0"/>
          <w:sz w:val="22"/>
          <w:lang w:val="lt-LT"/>
          <w14:ligatures w14:val="none"/>
        </w:rPr>
        <w:t>aGFG</w:t>
      </w:r>
      <w:proofErr w:type="spellEnd"/>
      <w:r w:rsidRPr="00F931D9">
        <w:rPr>
          <w:rFonts w:ascii="Times New Roman" w:hAnsi="Times New Roman"/>
          <w:kern w:val="0"/>
          <w:sz w:val="22"/>
          <w:lang w:val="lt-LT"/>
          <w14:ligatures w14:val="none"/>
        </w:rPr>
        <w:t xml:space="preserve"> reikšmė nepadidėja,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vartojimą reikia nutraukti (žr. 4.4 skyrių).</w:t>
      </w:r>
    </w:p>
    <w:p w14:paraId="42E5E29F" w14:textId="77777777" w:rsidR="00323207" w:rsidRPr="00F931D9" w:rsidRDefault="00323207" w:rsidP="00323207">
      <w:pPr>
        <w:spacing w:after="0" w:line="240" w:lineRule="auto"/>
        <w:rPr>
          <w:rFonts w:ascii="Times New Roman" w:hAnsi="Times New Roman"/>
          <w:kern w:val="0"/>
          <w:sz w:val="22"/>
          <w:lang w:val="lt-LT"/>
          <w14:ligatures w14:val="none"/>
        </w:rPr>
      </w:pPr>
    </w:p>
    <w:p w14:paraId="0833D05F"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Būtina reguliariai matuoti kraujospūdį.</w:t>
      </w:r>
    </w:p>
    <w:p w14:paraId="46CD817C" w14:textId="77777777" w:rsidR="00323207" w:rsidRPr="00F931D9" w:rsidRDefault="00323207" w:rsidP="00323207">
      <w:pPr>
        <w:spacing w:after="0" w:line="240" w:lineRule="auto"/>
        <w:rPr>
          <w:rFonts w:ascii="Times New Roman" w:hAnsi="Times New Roman"/>
          <w:kern w:val="0"/>
          <w:sz w:val="22"/>
          <w:lang w:val="lt-LT"/>
          <w14:ligatures w14:val="none"/>
        </w:rPr>
      </w:pPr>
    </w:p>
    <w:p w14:paraId="54ED5BFF"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Prieš pradedant vaistinio preparato vartojimą būtina nustatyti </w:t>
      </w:r>
      <w:proofErr w:type="spellStart"/>
      <w:r w:rsidRPr="00F931D9">
        <w:rPr>
          <w:rFonts w:ascii="Times New Roman" w:hAnsi="Times New Roman"/>
          <w:kern w:val="0"/>
          <w:sz w:val="22"/>
          <w:lang w:val="lt-LT"/>
          <w14:ligatures w14:val="none"/>
        </w:rPr>
        <w:t>bilirubino</w:t>
      </w:r>
      <w:proofErr w:type="spellEnd"/>
      <w:r w:rsidRPr="00F931D9">
        <w:rPr>
          <w:rFonts w:ascii="Times New Roman" w:hAnsi="Times New Roman"/>
          <w:kern w:val="0"/>
          <w:sz w:val="22"/>
          <w:lang w:val="lt-LT"/>
          <w14:ligatures w14:val="none"/>
        </w:rPr>
        <w:t xml:space="preserve"> koncentraciją ir kepenų funkcijos rodiklius, o gydymo metu šiuos rodiklius rekomenduojama atidžiai stebėti. Prieš pradedant gydymą ir reguliariai vaistinio preparato vartojimo metu rekomenduojama tirti lipidų, kalio, magnio ir šlapimo rūgšties koncentracijas serume.</w:t>
      </w:r>
    </w:p>
    <w:p w14:paraId="30EF1955" w14:textId="77777777" w:rsidR="00323207" w:rsidRPr="00F931D9" w:rsidRDefault="00323207" w:rsidP="00323207">
      <w:pPr>
        <w:spacing w:after="0" w:line="240" w:lineRule="auto"/>
        <w:rPr>
          <w:rFonts w:ascii="Times New Roman" w:hAnsi="Times New Roman"/>
          <w:kern w:val="0"/>
          <w:sz w:val="22"/>
          <w:lang w:val="lt-LT"/>
          <w14:ligatures w14:val="none"/>
        </w:rPr>
      </w:pPr>
    </w:p>
    <w:p w14:paraId="5FABA798"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Vaistinio preparato skiriant ne transplantacijos indikacijoms, gali būti svarbu retkarčiais ištirti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koncentraciją kraujyje, pvz., kai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skiriama kartu su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farmakokinetiką galinčiomis pakeisti medžiagomis arba pasireiškus neįprastam klinikiniam atsakui (pvz., nustačius veiksmingumo stoką ar padidėjusį vaistinio preparato netoleravimą, kaip antai, sutrikusią inkstų funkciją).</w:t>
      </w:r>
    </w:p>
    <w:p w14:paraId="57496AA1" w14:textId="77777777" w:rsidR="00323207" w:rsidRPr="00F931D9" w:rsidRDefault="00323207" w:rsidP="00323207">
      <w:pPr>
        <w:spacing w:after="0" w:line="240" w:lineRule="auto"/>
        <w:rPr>
          <w:rFonts w:ascii="Times New Roman" w:hAnsi="Times New Roman"/>
          <w:kern w:val="0"/>
          <w:sz w:val="22"/>
          <w:lang w:val="lt-LT"/>
          <w14:ligatures w14:val="none"/>
        </w:rPr>
      </w:pPr>
    </w:p>
    <w:p w14:paraId="368C785B"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Įprastas vaistinio preparato vartojimo būdas yra per burną. Jeigu skiriama koncentrato infuziniam tirpalui, reikia atidžiai apsvarstyti, ar skiriama pakankama dozė į veną ir ar ji atitinka per burną vartojamą vaistinio preparato dozę. Rekomenduojama pasikonsultuoti su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skyrimo patirties turinčiu gydytoju.</w:t>
      </w:r>
    </w:p>
    <w:p w14:paraId="45F21B0B" w14:textId="77777777" w:rsidR="00323207" w:rsidRPr="00F931D9" w:rsidRDefault="00323207" w:rsidP="00323207">
      <w:pPr>
        <w:spacing w:after="0" w:line="240" w:lineRule="auto"/>
        <w:rPr>
          <w:rFonts w:ascii="Times New Roman" w:hAnsi="Times New Roman"/>
          <w:kern w:val="0"/>
          <w:sz w:val="22"/>
          <w:lang w:val="lt-LT"/>
          <w14:ligatures w14:val="none"/>
        </w:rPr>
      </w:pPr>
    </w:p>
    <w:p w14:paraId="7404429E"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lastRenderedPageBreak/>
        <w:t xml:space="preserve">Bendra paros dozė niekada negali viršyti 5 mg/kg kūno svorio, išskyrus skiriant aklumo pavojų keliančiu endogeniniu </w:t>
      </w:r>
      <w:proofErr w:type="spellStart"/>
      <w:r w:rsidRPr="00F931D9">
        <w:rPr>
          <w:rFonts w:ascii="Times New Roman" w:hAnsi="Times New Roman"/>
          <w:kern w:val="0"/>
          <w:sz w:val="22"/>
          <w:lang w:val="lt-LT"/>
          <w14:ligatures w14:val="none"/>
        </w:rPr>
        <w:t>uveitu</w:t>
      </w:r>
      <w:proofErr w:type="spellEnd"/>
      <w:r w:rsidRPr="00F931D9">
        <w:rPr>
          <w:rFonts w:ascii="Times New Roman" w:hAnsi="Times New Roman"/>
          <w:kern w:val="0"/>
          <w:sz w:val="22"/>
          <w:lang w:val="lt-LT"/>
          <w14:ligatures w14:val="none"/>
        </w:rPr>
        <w:t xml:space="preserve"> sergantiems pacientams ir </w:t>
      </w:r>
      <w:proofErr w:type="spellStart"/>
      <w:r w:rsidRPr="00F931D9">
        <w:rPr>
          <w:rFonts w:ascii="Times New Roman" w:hAnsi="Times New Roman"/>
          <w:kern w:val="0"/>
          <w:sz w:val="22"/>
          <w:lang w:val="lt-LT"/>
          <w14:ligatures w14:val="none"/>
        </w:rPr>
        <w:t>nefroziniu</w:t>
      </w:r>
      <w:proofErr w:type="spellEnd"/>
      <w:r w:rsidRPr="00F931D9">
        <w:rPr>
          <w:rFonts w:ascii="Times New Roman" w:hAnsi="Times New Roman"/>
          <w:kern w:val="0"/>
          <w:sz w:val="22"/>
          <w:lang w:val="lt-LT"/>
          <w14:ligatures w14:val="none"/>
        </w:rPr>
        <w:t xml:space="preserve"> sindromu sergantiems vaikams.</w:t>
      </w:r>
    </w:p>
    <w:p w14:paraId="627CAE7E" w14:textId="77777777" w:rsidR="00323207" w:rsidRPr="00F931D9" w:rsidRDefault="00323207" w:rsidP="00323207">
      <w:pPr>
        <w:spacing w:after="0" w:line="240" w:lineRule="auto"/>
        <w:rPr>
          <w:rFonts w:ascii="Times New Roman" w:hAnsi="Times New Roman"/>
          <w:kern w:val="0"/>
          <w:sz w:val="22"/>
          <w:lang w:val="lt-LT"/>
          <w14:ligatures w14:val="none"/>
        </w:rPr>
      </w:pPr>
    </w:p>
    <w:p w14:paraId="643F04CB"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Palaikomajam gydymui skiriama mažiausioji veiksminga ir gerai toleruojama dozė turi būti nustatoma individualiai.</w:t>
      </w:r>
    </w:p>
    <w:p w14:paraId="60A7C499" w14:textId="77777777" w:rsidR="00323207" w:rsidRPr="00F931D9" w:rsidRDefault="00323207" w:rsidP="00323207">
      <w:pPr>
        <w:spacing w:after="0" w:line="240" w:lineRule="auto"/>
        <w:rPr>
          <w:rFonts w:ascii="Times New Roman" w:hAnsi="Times New Roman"/>
          <w:kern w:val="0"/>
          <w:sz w:val="22"/>
          <w:lang w:val="lt-LT"/>
          <w14:ligatures w14:val="none"/>
        </w:rPr>
      </w:pPr>
    </w:p>
    <w:p w14:paraId="1F2E0E28"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Pacientams, kuriems per nustatytą laiką (specifinė informacija apie tai pateikiama toliau) nepasiekiamas tinkamas atsakas arba veiksminga dozė neatitinka nustatytų saugumo rekomendacijų, gydymą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reiki nutraukti.</w:t>
      </w:r>
    </w:p>
    <w:p w14:paraId="44E1CF93" w14:textId="77777777" w:rsidR="00323207" w:rsidRPr="00F931D9" w:rsidRDefault="00323207" w:rsidP="00323207">
      <w:pPr>
        <w:spacing w:after="0" w:line="240" w:lineRule="auto"/>
        <w:rPr>
          <w:rFonts w:ascii="Times New Roman" w:hAnsi="Times New Roman"/>
          <w:kern w:val="0"/>
          <w:sz w:val="22"/>
          <w:lang w:val="lt-LT"/>
          <w14:ligatures w14:val="none"/>
        </w:rPr>
      </w:pPr>
    </w:p>
    <w:p w14:paraId="25E51957" w14:textId="77777777" w:rsidR="00323207" w:rsidRPr="00F931D9" w:rsidRDefault="00323207" w:rsidP="00323207">
      <w:pPr>
        <w:spacing w:after="0" w:line="240" w:lineRule="auto"/>
        <w:rPr>
          <w:rFonts w:ascii="Times New Roman" w:hAnsi="Times New Roman"/>
          <w:i/>
          <w:kern w:val="0"/>
          <w:sz w:val="22"/>
          <w:lang w:val="lt-LT"/>
          <w14:ligatures w14:val="none"/>
        </w:rPr>
      </w:pPr>
      <w:r w:rsidRPr="00F931D9">
        <w:rPr>
          <w:rFonts w:ascii="Times New Roman" w:hAnsi="Times New Roman"/>
          <w:i/>
          <w:kern w:val="0"/>
          <w:sz w:val="22"/>
          <w:lang w:val="lt-LT"/>
          <w14:ligatures w14:val="none"/>
        </w:rPr>
        <w:t xml:space="preserve">Endogeninis </w:t>
      </w:r>
      <w:proofErr w:type="spellStart"/>
      <w:r w:rsidRPr="00F931D9">
        <w:rPr>
          <w:rFonts w:ascii="Times New Roman" w:hAnsi="Times New Roman"/>
          <w:i/>
          <w:kern w:val="0"/>
          <w:sz w:val="22"/>
          <w:lang w:val="lt-LT"/>
          <w14:ligatures w14:val="none"/>
        </w:rPr>
        <w:t>uveitas</w:t>
      </w:r>
      <w:proofErr w:type="spellEnd"/>
    </w:p>
    <w:p w14:paraId="6109D766" w14:textId="77777777" w:rsidR="00323207" w:rsidRPr="00F931D9" w:rsidRDefault="00323207" w:rsidP="00323207">
      <w:pPr>
        <w:spacing w:after="0" w:line="240" w:lineRule="auto"/>
        <w:rPr>
          <w:rFonts w:ascii="Times New Roman" w:hAnsi="Times New Roman"/>
          <w:color w:val="000000"/>
          <w:kern w:val="0"/>
          <w:sz w:val="22"/>
          <w:lang w:val="lt-LT"/>
          <w14:ligatures w14:val="none"/>
        </w:rPr>
      </w:pPr>
      <w:r w:rsidRPr="00F931D9">
        <w:rPr>
          <w:rFonts w:ascii="Times New Roman" w:hAnsi="Times New Roman"/>
          <w:kern w:val="0"/>
          <w:sz w:val="22"/>
          <w:lang w:val="lt-LT"/>
          <w14:ligatures w14:val="none"/>
        </w:rPr>
        <w:t>Ligos remisijai sukelti rekomenduojama iš pradžių skirti 5 mg/kg kūno svorio paros</w:t>
      </w:r>
      <w:r w:rsidRPr="00F931D9">
        <w:rPr>
          <w:rFonts w:ascii="Times New Roman" w:hAnsi="Times New Roman"/>
          <w:color w:val="000000"/>
          <w:kern w:val="0"/>
          <w:sz w:val="22"/>
          <w:lang w:val="lt-LT"/>
          <w14:ligatures w14:val="none"/>
        </w:rPr>
        <w:t xml:space="preserve"> dozę</w:t>
      </w:r>
      <w:r w:rsidRPr="00F931D9">
        <w:rPr>
          <w:rFonts w:ascii="Times New Roman" w:hAnsi="Times New Roman"/>
          <w:kern w:val="0"/>
          <w:sz w:val="22"/>
          <w:lang w:val="lt-LT"/>
          <w14:ligatures w14:val="none"/>
        </w:rPr>
        <w:t xml:space="preserve"> per du kartus</w:t>
      </w:r>
      <w:r w:rsidRPr="00F931D9">
        <w:rPr>
          <w:rFonts w:ascii="Times New Roman" w:hAnsi="Times New Roman"/>
          <w:color w:val="000000"/>
          <w:kern w:val="0"/>
          <w:sz w:val="22"/>
          <w:lang w:val="lt-LT"/>
          <w14:ligatures w14:val="none"/>
        </w:rPr>
        <w:t>. Tokią dozę reikia skirti tol, kol pasireikš ūminio rainelės uždegimo remisija ir pagerės regėjimo aštrumas. Jei liga atspari gydymui, ribotą laiką galima gydyti didesne, t. y. 7 mg/kg kūno svorio, paros doze.</w:t>
      </w:r>
    </w:p>
    <w:p w14:paraId="5199581E" w14:textId="77777777" w:rsidR="00323207" w:rsidRPr="00F931D9" w:rsidRDefault="00323207" w:rsidP="00323207">
      <w:pPr>
        <w:spacing w:after="0" w:line="240" w:lineRule="auto"/>
        <w:rPr>
          <w:rFonts w:ascii="Times New Roman" w:hAnsi="Times New Roman"/>
          <w:color w:val="000000"/>
          <w:kern w:val="0"/>
          <w:sz w:val="22"/>
          <w:lang w:val="lt-LT"/>
          <w14:ligatures w14:val="none"/>
        </w:rPr>
      </w:pPr>
    </w:p>
    <w:p w14:paraId="02D65E9A" w14:textId="77777777" w:rsidR="00323207" w:rsidRPr="00F931D9" w:rsidRDefault="00323207" w:rsidP="00323207">
      <w:pPr>
        <w:spacing w:after="0" w:line="240" w:lineRule="auto"/>
        <w:rPr>
          <w:rFonts w:ascii="Times New Roman" w:hAnsi="Times New Roman"/>
          <w:color w:val="000000"/>
          <w:kern w:val="0"/>
          <w:sz w:val="22"/>
          <w:lang w:val="lt-LT"/>
          <w14:ligatures w14:val="none"/>
        </w:rPr>
      </w:pPr>
      <w:r w:rsidRPr="00F931D9">
        <w:rPr>
          <w:rFonts w:ascii="Times New Roman" w:hAnsi="Times New Roman"/>
          <w:color w:val="000000"/>
          <w:kern w:val="0"/>
          <w:sz w:val="22"/>
          <w:lang w:val="lt-LT"/>
          <w14:ligatures w14:val="none"/>
        </w:rPr>
        <w:t xml:space="preserve">Jei remisijai pasiekti ar akių uždegimo recidyvų profilaktikai </w:t>
      </w:r>
      <w:proofErr w:type="spellStart"/>
      <w:r w:rsidRPr="00F931D9">
        <w:rPr>
          <w:rFonts w:ascii="Times New Roman" w:hAnsi="Times New Roman"/>
          <w:color w:val="000000"/>
          <w:kern w:val="0"/>
          <w:sz w:val="22"/>
          <w:lang w:val="lt-LT"/>
          <w14:ligatures w14:val="none"/>
        </w:rPr>
        <w:t>monoterapijos</w:t>
      </w:r>
      <w:proofErr w:type="spellEnd"/>
      <w:r w:rsidRPr="00F931D9">
        <w:rPr>
          <w:rFonts w:ascii="Times New Roman" w:hAnsi="Times New Roman"/>
          <w:color w:val="000000"/>
          <w:kern w:val="0"/>
          <w:sz w:val="22"/>
          <w:lang w:val="lt-LT"/>
          <w14:ligatures w14:val="none"/>
        </w:rPr>
        <w:t xml:space="preserve"> </w:t>
      </w:r>
      <w:proofErr w:type="spellStart"/>
      <w:r w:rsidRPr="00F931D9">
        <w:rPr>
          <w:rFonts w:ascii="Times New Roman" w:hAnsi="Times New Roman"/>
          <w:color w:val="000000"/>
          <w:kern w:val="0"/>
          <w:sz w:val="22"/>
          <w:lang w:val="lt-LT"/>
          <w14:ligatures w14:val="none"/>
        </w:rPr>
        <w:t>Sandimmun</w:t>
      </w:r>
      <w:proofErr w:type="spellEnd"/>
      <w:r w:rsidRPr="00F931D9">
        <w:rPr>
          <w:rFonts w:ascii="Times New Roman" w:hAnsi="Times New Roman"/>
          <w:color w:val="000000"/>
          <w:kern w:val="0"/>
          <w:sz w:val="22"/>
          <w:lang w:val="lt-LT"/>
          <w14:ligatures w14:val="none"/>
        </w:rPr>
        <w:t> </w:t>
      </w:r>
      <w:proofErr w:type="spellStart"/>
      <w:r w:rsidRPr="00F931D9">
        <w:rPr>
          <w:rFonts w:ascii="Times New Roman" w:hAnsi="Times New Roman"/>
          <w:color w:val="000000"/>
          <w:kern w:val="0"/>
          <w:sz w:val="22"/>
          <w:lang w:val="lt-LT"/>
          <w14:ligatures w14:val="none"/>
        </w:rPr>
        <w:t>Neoral</w:t>
      </w:r>
      <w:proofErr w:type="spellEnd"/>
      <w:r w:rsidRPr="00F931D9">
        <w:rPr>
          <w:rFonts w:ascii="Times New Roman" w:hAnsi="Times New Roman"/>
          <w:color w:val="000000"/>
          <w:kern w:val="0"/>
          <w:sz w:val="22"/>
          <w:lang w:val="lt-LT"/>
          <w14:ligatures w14:val="none"/>
        </w:rPr>
        <w:t xml:space="preserve"> nepakanka, galima kartu skirti sisteminio poveikio kortikosteroidų (0,2-0,6 mg/kg kūno svorio </w:t>
      </w:r>
      <w:r w:rsidRPr="00F931D9">
        <w:rPr>
          <w:rFonts w:ascii="Times New Roman" w:hAnsi="Times New Roman"/>
          <w:kern w:val="0"/>
          <w:sz w:val="22"/>
          <w:lang w:val="lt-LT"/>
          <w14:ligatures w14:val="none"/>
        </w:rPr>
        <w:t>prednizono</w:t>
      </w:r>
      <w:r w:rsidRPr="00F931D9">
        <w:rPr>
          <w:rFonts w:ascii="Times New Roman" w:hAnsi="Times New Roman"/>
          <w:color w:val="000000"/>
          <w:kern w:val="0"/>
          <w:sz w:val="22"/>
          <w:lang w:val="lt-LT"/>
          <w14:ligatures w14:val="none"/>
        </w:rPr>
        <w:t xml:space="preserve"> arba ekvivalentišką kitokio kortikosteroido paros dozę). Po 3 mėnesių kortikosteroidų dozę galima mažinti iki mažiausios veiksmingos dozės.</w:t>
      </w:r>
    </w:p>
    <w:p w14:paraId="74F7FC67" w14:textId="77777777" w:rsidR="00323207" w:rsidRPr="00F931D9" w:rsidRDefault="00323207" w:rsidP="00323207">
      <w:pPr>
        <w:spacing w:after="0" w:line="240" w:lineRule="auto"/>
        <w:jc w:val="both"/>
        <w:rPr>
          <w:rFonts w:ascii="Times New Roman" w:hAnsi="Times New Roman"/>
          <w:color w:val="000000"/>
          <w:kern w:val="0"/>
          <w:sz w:val="22"/>
          <w:lang w:val="lt-LT"/>
          <w14:ligatures w14:val="none"/>
        </w:rPr>
      </w:pPr>
    </w:p>
    <w:p w14:paraId="689B000B" w14:textId="77777777" w:rsidR="00323207" w:rsidRPr="00F931D9" w:rsidRDefault="00323207" w:rsidP="00323207">
      <w:pPr>
        <w:spacing w:after="0" w:line="240" w:lineRule="auto"/>
        <w:rPr>
          <w:rFonts w:ascii="Times New Roman" w:hAnsi="Times New Roman"/>
          <w:color w:val="000000"/>
          <w:kern w:val="0"/>
          <w:sz w:val="22"/>
          <w:lang w:val="lt-LT"/>
          <w14:ligatures w14:val="none"/>
        </w:rPr>
      </w:pPr>
      <w:r w:rsidRPr="00F931D9">
        <w:rPr>
          <w:rFonts w:ascii="Times New Roman" w:hAnsi="Times New Roman"/>
          <w:color w:val="000000"/>
          <w:kern w:val="0"/>
          <w:sz w:val="22"/>
          <w:lang w:val="lt-LT"/>
          <w14:ligatures w14:val="none"/>
        </w:rPr>
        <w:t>Palaikomojo gydymo metu dozę reikėtų lėtai mažinti iki mažiausios veiksmingos paros dozės, kuri remisijos laikotarpiu turėtų būti ne didesnė kaip 5 mg/kg kūno svorio.</w:t>
      </w:r>
    </w:p>
    <w:p w14:paraId="1D5D83E2" w14:textId="77777777" w:rsidR="00323207" w:rsidRPr="00F931D9" w:rsidRDefault="00323207" w:rsidP="00323207">
      <w:pPr>
        <w:spacing w:after="0" w:line="240" w:lineRule="auto"/>
        <w:rPr>
          <w:rFonts w:ascii="Times New Roman" w:hAnsi="Times New Roman"/>
          <w:color w:val="000000"/>
          <w:kern w:val="0"/>
          <w:sz w:val="22"/>
          <w:lang w:val="lt-LT"/>
          <w14:ligatures w14:val="none"/>
        </w:rPr>
      </w:pPr>
    </w:p>
    <w:p w14:paraId="27993F6F" w14:textId="77777777" w:rsidR="00323207" w:rsidRPr="00F931D9" w:rsidRDefault="00323207" w:rsidP="00323207">
      <w:pPr>
        <w:spacing w:after="0" w:line="240" w:lineRule="auto"/>
        <w:rPr>
          <w:rFonts w:ascii="Times New Roman" w:hAnsi="Times New Roman"/>
          <w:color w:val="000000"/>
          <w:kern w:val="0"/>
          <w:sz w:val="22"/>
          <w:lang w:val="lt-LT"/>
          <w14:ligatures w14:val="none"/>
        </w:rPr>
      </w:pPr>
      <w:r w:rsidRPr="00F931D9">
        <w:rPr>
          <w:rFonts w:ascii="Times New Roman" w:hAnsi="Times New Roman"/>
          <w:color w:val="000000"/>
          <w:kern w:val="0"/>
          <w:sz w:val="22"/>
          <w:lang w:val="lt-LT"/>
          <w14:ligatures w14:val="none"/>
        </w:rPr>
        <w:t xml:space="preserve">Prieš pradedant skirti </w:t>
      </w:r>
      <w:proofErr w:type="spellStart"/>
      <w:r w:rsidRPr="00F931D9">
        <w:rPr>
          <w:rFonts w:ascii="Times New Roman" w:hAnsi="Times New Roman"/>
          <w:color w:val="000000"/>
          <w:kern w:val="0"/>
          <w:sz w:val="22"/>
          <w:lang w:val="lt-LT"/>
          <w14:ligatures w14:val="none"/>
        </w:rPr>
        <w:t>imunosupresantų</w:t>
      </w:r>
      <w:proofErr w:type="spellEnd"/>
      <w:r w:rsidRPr="00F931D9">
        <w:rPr>
          <w:rFonts w:ascii="Times New Roman" w:hAnsi="Times New Roman"/>
          <w:color w:val="000000"/>
          <w:kern w:val="0"/>
          <w:sz w:val="22"/>
          <w:lang w:val="lt-LT"/>
          <w14:ligatures w14:val="none"/>
        </w:rPr>
        <w:t xml:space="preserve">, reikia atmesti infekcines </w:t>
      </w:r>
      <w:proofErr w:type="spellStart"/>
      <w:r w:rsidRPr="00F931D9">
        <w:rPr>
          <w:rFonts w:ascii="Times New Roman" w:hAnsi="Times New Roman"/>
          <w:color w:val="000000"/>
          <w:kern w:val="0"/>
          <w:sz w:val="22"/>
          <w:lang w:val="lt-LT"/>
          <w14:ligatures w14:val="none"/>
        </w:rPr>
        <w:t>uveito</w:t>
      </w:r>
      <w:proofErr w:type="spellEnd"/>
      <w:r w:rsidRPr="00F931D9">
        <w:rPr>
          <w:rFonts w:ascii="Times New Roman" w:hAnsi="Times New Roman"/>
          <w:color w:val="000000"/>
          <w:kern w:val="0"/>
          <w:sz w:val="22"/>
          <w:lang w:val="lt-LT"/>
          <w14:ligatures w14:val="none"/>
        </w:rPr>
        <w:t xml:space="preserve"> priežastis.</w:t>
      </w:r>
    </w:p>
    <w:p w14:paraId="3D233FFE" w14:textId="77777777" w:rsidR="00323207" w:rsidRPr="00F931D9" w:rsidRDefault="00323207" w:rsidP="00323207">
      <w:pPr>
        <w:spacing w:after="0" w:line="240" w:lineRule="auto"/>
        <w:rPr>
          <w:rFonts w:ascii="Times New Roman" w:hAnsi="Times New Roman"/>
          <w:color w:val="000000"/>
          <w:kern w:val="0"/>
          <w:sz w:val="22"/>
          <w:lang w:val="lt-LT"/>
          <w14:ligatures w14:val="none"/>
        </w:rPr>
      </w:pPr>
    </w:p>
    <w:p w14:paraId="0C5AD5BC" w14:textId="77777777" w:rsidR="00323207" w:rsidRPr="00F931D9" w:rsidRDefault="00323207" w:rsidP="00323207">
      <w:pPr>
        <w:spacing w:after="0" w:line="240" w:lineRule="auto"/>
        <w:rPr>
          <w:rFonts w:ascii="Times New Roman" w:hAnsi="Times New Roman"/>
          <w:i/>
          <w:kern w:val="0"/>
          <w:sz w:val="22"/>
          <w:lang w:val="lt-LT"/>
          <w14:ligatures w14:val="none"/>
        </w:rPr>
      </w:pPr>
      <w:proofErr w:type="spellStart"/>
      <w:r w:rsidRPr="00F931D9">
        <w:rPr>
          <w:rFonts w:ascii="Times New Roman" w:hAnsi="Times New Roman"/>
          <w:i/>
          <w:kern w:val="0"/>
          <w:sz w:val="22"/>
          <w:lang w:val="lt-LT"/>
          <w14:ligatures w14:val="none"/>
        </w:rPr>
        <w:t>Nefrozinis</w:t>
      </w:r>
      <w:proofErr w:type="spellEnd"/>
      <w:r w:rsidRPr="00F931D9">
        <w:rPr>
          <w:rFonts w:ascii="Times New Roman" w:hAnsi="Times New Roman"/>
          <w:i/>
          <w:kern w:val="0"/>
          <w:sz w:val="22"/>
          <w:lang w:val="lt-LT"/>
          <w14:ligatures w14:val="none"/>
        </w:rPr>
        <w:t xml:space="preserve"> sindromas</w:t>
      </w:r>
    </w:p>
    <w:p w14:paraId="13C63456"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Ligos remisijai sukelti rekomenduojamą paros dozę reikia vartoti per burną per 2 kartus.</w:t>
      </w:r>
    </w:p>
    <w:p w14:paraId="35D29312" w14:textId="77777777" w:rsidR="00323207" w:rsidRPr="00F931D9" w:rsidRDefault="00323207" w:rsidP="00323207">
      <w:pPr>
        <w:spacing w:after="0" w:line="240" w:lineRule="auto"/>
        <w:rPr>
          <w:rFonts w:ascii="Times New Roman" w:hAnsi="Times New Roman"/>
          <w:kern w:val="0"/>
          <w:sz w:val="22"/>
          <w:lang w:val="lt-LT"/>
          <w14:ligatures w14:val="none"/>
        </w:rPr>
      </w:pPr>
    </w:p>
    <w:p w14:paraId="6A60EC7B"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Jei inkstų funkcija normali (išskyrus </w:t>
      </w:r>
      <w:proofErr w:type="spellStart"/>
      <w:r w:rsidRPr="00F931D9">
        <w:rPr>
          <w:rFonts w:ascii="Times New Roman" w:hAnsi="Times New Roman"/>
          <w:kern w:val="0"/>
          <w:sz w:val="22"/>
          <w:lang w:val="lt-LT"/>
          <w14:ligatures w14:val="none"/>
        </w:rPr>
        <w:t>proteinuriją</w:t>
      </w:r>
      <w:proofErr w:type="spellEnd"/>
      <w:r w:rsidRPr="00F931D9">
        <w:rPr>
          <w:rFonts w:ascii="Times New Roman" w:hAnsi="Times New Roman"/>
          <w:kern w:val="0"/>
          <w:sz w:val="22"/>
          <w:lang w:val="lt-LT"/>
          <w14:ligatures w14:val="none"/>
        </w:rPr>
        <w:t>), rekomenduojama paros dozė nurodyta toliau:</w:t>
      </w:r>
    </w:p>
    <w:p w14:paraId="235D2DCF" w14:textId="77777777" w:rsidR="00323207" w:rsidRPr="00F931D9" w:rsidRDefault="00323207" w:rsidP="00323207">
      <w:pPr>
        <w:numPr>
          <w:ilvl w:val="0"/>
          <w:numId w:val="24"/>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suaugusiesiems: 5 mg/kg kūno svorio, </w:t>
      </w:r>
    </w:p>
    <w:p w14:paraId="48B33318" w14:textId="77777777" w:rsidR="00323207" w:rsidRPr="00F931D9" w:rsidRDefault="00323207" w:rsidP="00323207">
      <w:pPr>
        <w:numPr>
          <w:ilvl w:val="0"/>
          <w:numId w:val="24"/>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vaikams: 6 mg/kg kūno svorio. </w:t>
      </w:r>
    </w:p>
    <w:p w14:paraId="1DBBF1D8" w14:textId="77777777" w:rsidR="00323207" w:rsidRPr="00F931D9" w:rsidRDefault="00323207" w:rsidP="00323207">
      <w:pPr>
        <w:spacing w:after="0" w:line="240" w:lineRule="auto"/>
        <w:rPr>
          <w:rFonts w:ascii="Times New Roman" w:hAnsi="Times New Roman"/>
          <w:kern w:val="0"/>
          <w:sz w:val="22"/>
          <w:lang w:val="lt-LT"/>
          <w14:ligatures w14:val="none"/>
        </w:rPr>
      </w:pPr>
    </w:p>
    <w:p w14:paraId="4E39A1F1"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Jei inkstų veikla sutrikusi, iš pradžių reikia vartoti ne didesnę kaip 2,5 mg/kg kūno svorio paros dozę. </w:t>
      </w:r>
    </w:p>
    <w:p w14:paraId="1406766A" w14:textId="77777777" w:rsidR="00323207" w:rsidRPr="00F931D9" w:rsidRDefault="00323207" w:rsidP="00323207">
      <w:pPr>
        <w:spacing w:after="0" w:line="240" w:lineRule="auto"/>
        <w:rPr>
          <w:rFonts w:ascii="Times New Roman" w:hAnsi="Times New Roman"/>
          <w:kern w:val="0"/>
          <w:sz w:val="22"/>
          <w:lang w:val="lt-LT"/>
          <w14:ligatures w14:val="none"/>
        </w:rPr>
      </w:pPr>
    </w:p>
    <w:p w14:paraId="56F98E82"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Kartu su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rekomenduojama vartoti mažas geriamųjų kortikosteroidų dozes, jei gydymo vien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veiksmingumas yra nepakankamas, ypač jei pacientas serga steroidų poveikiui nejautriu </w:t>
      </w:r>
      <w:proofErr w:type="spellStart"/>
      <w:r w:rsidRPr="00F931D9">
        <w:rPr>
          <w:rFonts w:ascii="Times New Roman" w:hAnsi="Times New Roman"/>
          <w:kern w:val="0"/>
          <w:sz w:val="22"/>
          <w:lang w:val="lt-LT"/>
          <w14:ligatures w14:val="none"/>
        </w:rPr>
        <w:t>nefroziniu</w:t>
      </w:r>
      <w:proofErr w:type="spellEnd"/>
      <w:r w:rsidRPr="00F931D9">
        <w:rPr>
          <w:rFonts w:ascii="Times New Roman" w:hAnsi="Times New Roman"/>
          <w:kern w:val="0"/>
          <w:sz w:val="22"/>
          <w:lang w:val="lt-LT"/>
          <w14:ligatures w14:val="none"/>
        </w:rPr>
        <w:t xml:space="preserve"> sindromu.</w:t>
      </w:r>
    </w:p>
    <w:p w14:paraId="3EDCEE70" w14:textId="77777777" w:rsidR="00323207" w:rsidRPr="00F931D9" w:rsidRDefault="00323207" w:rsidP="00323207">
      <w:pPr>
        <w:spacing w:after="0" w:line="240" w:lineRule="auto"/>
        <w:rPr>
          <w:rFonts w:ascii="Times New Roman" w:hAnsi="Times New Roman"/>
          <w:kern w:val="0"/>
          <w:sz w:val="22"/>
          <w:lang w:val="lt-LT"/>
          <w14:ligatures w14:val="none"/>
        </w:rPr>
      </w:pPr>
    </w:p>
    <w:p w14:paraId="3CB41707"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Laikas iki ligos pagerėjimo svyruoja nuo 3 mėnesių iki 6 mėnesių, priklausomai nuo </w:t>
      </w:r>
      <w:proofErr w:type="spellStart"/>
      <w:r w:rsidRPr="00F931D9">
        <w:rPr>
          <w:rFonts w:ascii="Times New Roman" w:hAnsi="Times New Roman"/>
          <w:kern w:val="0"/>
          <w:sz w:val="22"/>
          <w:lang w:val="lt-LT"/>
          <w14:ligatures w14:val="none"/>
        </w:rPr>
        <w:t>glomerulopatijos</w:t>
      </w:r>
      <w:proofErr w:type="spellEnd"/>
      <w:r w:rsidRPr="00F931D9">
        <w:rPr>
          <w:rFonts w:ascii="Times New Roman" w:hAnsi="Times New Roman"/>
          <w:kern w:val="0"/>
          <w:sz w:val="22"/>
          <w:lang w:val="lt-LT"/>
          <w14:ligatures w14:val="none"/>
        </w:rPr>
        <w:t xml:space="preserve"> tipo. Jeigu per šį laikotarpį pacientų būklė nepagerėja, gydymą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reikia nutraukti.</w:t>
      </w:r>
    </w:p>
    <w:p w14:paraId="63E4474D" w14:textId="77777777" w:rsidR="00323207" w:rsidRPr="00F931D9" w:rsidRDefault="00323207" w:rsidP="00323207">
      <w:pPr>
        <w:spacing w:after="0" w:line="240" w:lineRule="auto"/>
        <w:rPr>
          <w:rFonts w:ascii="Times New Roman" w:hAnsi="Times New Roman"/>
          <w:kern w:val="0"/>
          <w:sz w:val="22"/>
          <w:lang w:val="lt-LT"/>
          <w14:ligatures w14:val="none"/>
        </w:rPr>
      </w:pPr>
    </w:p>
    <w:p w14:paraId="4790340E"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Vaistinio preparato dozę būtina nustatyti kiekvienam pacientui atskirai, atsižvelgiant į veiksmingumą (</w:t>
      </w:r>
      <w:proofErr w:type="spellStart"/>
      <w:r w:rsidRPr="00F931D9">
        <w:rPr>
          <w:rFonts w:ascii="Times New Roman" w:hAnsi="Times New Roman"/>
          <w:kern w:val="0"/>
          <w:sz w:val="22"/>
          <w:lang w:val="lt-LT"/>
          <w14:ligatures w14:val="none"/>
        </w:rPr>
        <w:t>proteinuriją</w:t>
      </w:r>
      <w:proofErr w:type="spellEnd"/>
      <w:r w:rsidRPr="00F931D9">
        <w:rPr>
          <w:rFonts w:ascii="Times New Roman" w:hAnsi="Times New Roman"/>
          <w:kern w:val="0"/>
          <w:sz w:val="22"/>
          <w:lang w:val="lt-LT"/>
          <w14:ligatures w14:val="none"/>
        </w:rPr>
        <w:t xml:space="preserve">) ir saugumą, tačiau paros dozė suaugusiesiems neturi viršyti 5 mg/kg kūno svorio, o vaikams – 6 mg/kg kūno svorio. </w:t>
      </w:r>
    </w:p>
    <w:p w14:paraId="0229EA30" w14:textId="77777777" w:rsidR="00323207" w:rsidRPr="00F931D9" w:rsidRDefault="00323207" w:rsidP="00323207">
      <w:pPr>
        <w:spacing w:after="0" w:line="240" w:lineRule="auto"/>
        <w:rPr>
          <w:rFonts w:ascii="Times New Roman" w:hAnsi="Times New Roman"/>
          <w:kern w:val="0"/>
          <w:sz w:val="22"/>
          <w:lang w:val="lt-LT"/>
          <w14:ligatures w14:val="none"/>
        </w:rPr>
      </w:pPr>
    </w:p>
    <w:p w14:paraId="1D09D289"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Palaikomojo gydymo metu dozę reikia lėtai mažinti iki mažiausios veiksmingos dozės.</w:t>
      </w:r>
    </w:p>
    <w:p w14:paraId="1CDE93DC" w14:textId="77777777" w:rsidR="00323207" w:rsidRPr="00F931D9" w:rsidRDefault="00323207" w:rsidP="00323207">
      <w:pPr>
        <w:spacing w:after="0" w:line="240" w:lineRule="auto"/>
        <w:rPr>
          <w:rFonts w:ascii="Times New Roman" w:hAnsi="Times New Roman"/>
          <w:kern w:val="0"/>
          <w:sz w:val="22"/>
          <w:lang w:val="lt-LT"/>
          <w14:ligatures w14:val="none"/>
        </w:rPr>
      </w:pPr>
    </w:p>
    <w:p w14:paraId="21DB3158" w14:textId="77777777" w:rsidR="00323207" w:rsidRPr="00F931D9" w:rsidRDefault="00323207" w:rsidP="00323207">
      <w:pPr>
        <w:spacing w:after="0" w:line="240" w:lineRule="auto"/>
        <w:rPr>
          <w:rFonts w:ascii="Times New Roman" w:hAnsi="Times New Roman"/>
          <w:i/>
          <w:kern w:val="0"/>
          <w:sz w:val="22"/>
          <w:lang w:val="lt-LT"/>
          <w14:ligatures w14:val="none"/>
        </w:rPr>
      </w:pPr>
      <w:r w:rsidRPr="00F931D9">
        <w:rPr>
          <w:rFonts w:ascii="Times New Roman" w:hAnsi="Times New Roman"/>
          <w:i/>
          <w:kern w:val="0"/>
          <w:sz w:val="22"/>
          <w:lang w:val="lt-LT"/>
          <w14:ligatures w14:val="none"/>
        </w:rPr>
        <w:t>Reumatoidinis artritas</w:t>
      </w:r>
    </w:p>
    <w:p w14:paraId="7100CF50"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Rekomenduojama paros dozė pirmomis 6 gydymo savaitėmis yra 3 mg/kg kūno svorio. Ji vartojama per burną per du kartus. Jei poveikis yra nepakankamas, dozę reikia laipsniškai didinti iki didžiausios toleruojamos dozės, tačiau ji neturi viršyti 5 mg/kg kūno svorio paros dozės. Kad pasireikštų pakankamas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poveikis, tokią pradinę vaistinio preparato dozę gali reikėti vartoti iki 12 savaičių. </w:t>
      </w:r>
    </w:p>
    <w:p w14:paraId="471E21CE" w14:textId="77777777" w:rsidR="00323207" w:rsidRPr="00F931D9" w:rsidRDefault="00323207" w:rsidP="00323207">
      <w:pPr>
        <w:spacing w:after="0" w:line="240" w:lineRule="auto"/>
        <w:rPr>
          <w:rFonts w:ascii="Times New Roman" w:hAnsi="Times New Roman"/>
          <w:kern w:val="0"/>
          <w:sz w:val="22"/>
          <w:lang w:val="lt-LT"/>
          <w14:ligatures w14:val="none"/>
        </w:rPr>
      </w:pPr>
    </w:p>
    <w:p w14:paraId="6A03AB7C"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Palaikomajam gydymui dozė individualiai titruojama iki mažiausios veiksmingos dozės, atsižvelgiant į vaistinio preparato toleravimą.</w:t>
      </w:r>
    </w:p>
    <w:p w14:paraId="29D6911C" w14:textId="77777777" w:rsidR="00323207" w:rsidRPr="00F931D9" w:rsidRDefault="00323207" w:rsidP="00323207">
      <w:pPr>
        <w:spacing w:after="0" w:line="240" w:lineRule="auto"/>
        <w:rPr>
          <w:rFonts w:ascii="Times New Roman" w:hAnsi="Times New Roman"/>
          <w:kern w:val="0"/>
          <w:sz w:val="22"/>
          <w:lang w:val="lt-LT"/>
          <w14:ligatures w14:val="none"/>
        </w:rPr>
      </w:pPr>
    </w:p>
    <w:p w14:paraId="2789A994"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Kartu su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galima vartoti mažas geriamųjų kortikosteroidų ir (arba) nesteroidinių vaistinių preparatų nuo uždegimo (NVNU) dozes (žr. 4.4 skyrių). Be to,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galima vartoti kartu su mažomis kartą per savaitę skiriamo </w:t>
      </w:r>
      <w:proofErr w:type="spellStart"/>
      <w:r w:rsidRPr="00F931D9">
        <w:rPr>
          <w:rFonts w:ascii="Times New Roman" w:hAnsi="Times New Roman"/>
          <w:kern w:val="0"/>
          <w:sz w:val="22"/>
          <w:lang w:val="lt-LT"/>
          <w14:ligatures w14:val="none"/>
        </w:rPr>
        <w:t>metotreksato</w:t>
      </w:r>
      <w:proofErr w:type="spellEnd"/>
      <w:r w:rsidRPr="00F931D9">
        <w:rPr>
          <w:rFonts w:ascii="Times New Roman" w:hAnsi="Times New Roman"/>
          <w:kern w:val="0"/>
          <w:sz w:val="22"/>
          <w:lang w:val="lt-LT"/>
          <w14:ligatures w14:val="none"/>
        </w:rPr>
        <w:t xml:space="preserve"> dozėmis pacientams, kuriems gydymas vien </w:t>
      </w:r>
      <w:proofErr w:type="spellStart"/>
      <w:r w:rsidRPr="00F931D9">
        <w:rPr>
          <w:rFonts w:ascii="Times New Roman" w:hAnsi="Times New Roman"/>
          <w:kern w:val="0"/>
          <w:sz w:val="22"/>
          <w:lang w:val="lt-LT"/>
          <w14:ligatures w14:val="none"/>
        </w:rPr>
        <w:t>metotreksatu</w:t>
      </w:r>
      <w:proofErr w:type="spellEnd"/>
      <w:r w:rsidRPr="00F931D9">
        <w:rPr>
          <w:rFonts w:ascii="Times New Roman" w:hAnsi="Times New Roman"/>
          <w:kern w:val="0"/>
          <w:sz w:val="22"/>
          <w:lang w:val="lt-LT"/>
          <w14:ligatures w14:val="none"/>
        </w:rPr>
        <w:t xml:space="preserve"> yra nepakankamai veiksmingas. Tokiu atveju iš pradžių skiriama 2,5 mg/kg kūno svorio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paros dozė per du kartus, vėliau ją galima didinti iki didžiausios toleruojamos dozės.</w:t>
      </w:r>
    </w:p>
    <w:p w14:paraId="673B5467" w14:textId="77777777" w:rsidR="00323207" w:rsidRPr="00F931D9" w:rsidRDefault="00323207" w:rsidP="00323207">
      <w:pPr>
        <w:spacing w:after="0" w:line="240" w:lineRule="auto"/>
        <w:rPr>
          <w:rFonts w:ascii="Times New Roman" w:hAnsi="Times New Roman"/>
          <w:kern w:val="0"/>
          <w:sz w:val="22"/>
          <w:lang w:val="lt-LT"/>
          <w14:ligatures w14:val="none"/>
        </w:rPr>
      </w:pPr>
    </w:p>
    <w:p w14:paraId="6A21D1C0" w14:textId="77777777" w:rsidR="00323207" w:rsidRPr="00F931D9" w:rsidRDefault="00323207" w:rsidP="00323207">
      <w:pPr>
        <w:spacing w:after="0" w:line="240" w:lineRule="auto"/>
        <w:rPr>
          <w:rFonts w:ascii="Times New Roman" w:hAnsi="Times New Roman"/>
          <w:i/>
          <w:kern w:val="0"/>
          <w:sz w:val="22"/>
          <w:lang w:val="lt-LT"/>
          <w14:ligatures w14:val="none"/>
        </w:rPr>
      </w:pPr>
      <w:r w:rsidRPr="00F931D9">
        <w:rPr>
          <w:rFonts w:ascii="Times New Roman" w:hAnsi="Times New Roman"/>
          <w:i/>
          <w:kern w:val="0"/>
          <w:sz w:val="22"/>
          <w:lang w:val="lt-LT"/>
          <w14:ligatures w14:val="none"/>
        </w:rPr>
        <w:t>Žvynelinė</w:t>
      </w:r>
    </w:p>
    <w:p w14:paraId="2E78A6E4" w14:textId="77777777" w:rsidR="00323207" w:rsidRPr="00F931D9" w:rsidRDefault="00323207" w:rsidP="00323207">
      <w:pPr>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turi paskirti žvynelinės diagnostikos ir gydymo patirties turintis gydytojas. Kadangi ši būklė įvairi, gydymą būtina nustatyti kiekvienam pacientui atskirai. Remisijai sukelti rekomenduojama pradinė dozė yra 2,5 mg/kg kūno svorio per parą per du kartus. Jei per 1 mėnesį ligos simptomai nesusilpnėja, paros dozė gali būti laipsniškai didinama, tačiau ji negali viršyti 5 mg/kg kūno svorio. Pacientų, kuriems po 6 savaičių gydymo 5 mg/kg kūno svorio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paros dozė ligos simptomus susilpnina nepakankamai arba kuriems pasiekta veiksminga dozė neatitinka saugaus vartojimo reikalavimų, gydymą reikia nutraukti (žr. 4.4 skyrių).</w:t>
      </w:r>
    </w:p>
    <w:p w14:paraId="65A74122" w14:textId="77777777" w:rsidR="00323207" w:rsidRPr="00F931D9" w:rsidRDefault="00323207" w:rsidP="00323207">
      <w:pPr>
        <w:spacing w:after="0" w:line="240" w:lineRule="auto"/>
        <w:rPr>
          <w:rFonts w:ascii="Times New Roman" w:hAnsi="Times New Roman"/>
          <w:kern w:val="0"/>
          <w:sz w:val="22"/>
          <w:lang w:val="lt-LT"/>
          <w14:ligatures w14:val="none"/>
        </w:rPr>
      </w:pPr>
    </w:p>
    <w:p w14:paraId="5C7A9A0E"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Pacientams, kurių būklę būtina labai greitai palengvinti, galima skirti pradinę 5 mg/kg kūno svorio paros dozę. Kai tik pasireiškia pageidaujamas atsakas,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vartojimą galima nutraukti ir paskui atsiradusį ligos recidyvą vėl pradėti gydyti ankstesne veiksminga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doze. Kai kuriems pacientams gali reikėti nuolatinio palaikomojo gydymo.</w:t>
      </w:r>
    </w:p>
    <w:p w14:paraId="6674E9B8" w14:textId="77777777" w:rsidR="00323207" w:rsidRPr="00F931D9" w:rsidRDefault="00323207" w:rsidP="00323207">
      <w:pPr>
        <w:spacing w:after="0" w:line="240" w:lineRule="auto"/>
        <w:rPr>
          <w:rFonts w:ascii="Times New Roman" w:hAnsi="Times New Roman"/>
          <w:kern w:val="0"/>
          <w:sz w:val="22"/>
          <w:lang w:val="lt-LT"/>
          <w14:ligatures w14:val="none"/>
        </w:rPr>
      </w:pPr>
    </w:p>
    <w:p w14:paraId="2E37217E"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Palaikomajam gydymui dozę kiekvienam pacientui būtina palaipsniui mažinti iki mažiausios veiksmingos paros dozės, kuri turėtų būti ne didesnė kaip 5 mg/kg kūno svorio. </w:t>
      </w:r>
    </w:p>
    <w:p w14:paraId="140CBCF6" w14:textId="77777777" w:rsidR="00323207" w:rsidRPr="00F931D9" w:rsidRDefault="00323207" w:rsidP="00323207">
      <w:pPr>
        <w:spacing w:after="0" w:line="240" w:lineRule="auto"/>
        <w:rPr>
          <w:rFonts w:ascii="Times New Roman" w:hAnsi="Times New Roman"/>
          <w:kern w:val="0"/>
          <w:sz w:val="22"/>
          <w:lang w:val="lt-LT"/>
          <w14:ligatures w14:val="none"/>
        </w:rPr>
      </w:pPr>
    </w:p>
    <w:p w14:paraId="47B9E935" w14:textId="77777777" w:rsidR="00323207" w:rsidRPr="00F931D9" w:rsidRDefault="00323207" w:rsidP="00323207">
      <w:pPr>
        <w:spacing w:after="0" w:line="240" w:lineRule="auto"/>
        <w:rPr>
          <w:rFonts w:ascii="Times New Roman" w:hAnsi="Times New Roman"/>
          <w:i/>
          <w:kern w:val="0"/>
          <w:sz w:val="22"/>
          <w:lang w:val="lt-LT"/>
          <w14:ligatures w14:val="none"/>
        </w:rPr>
      </w:pPr>
      <w:r w:rsidRPr="00F931D9">
        <w:rPr>
          <w:rFonts w:ascii="Times New Roman" w:hAnsi="Times New Roman"/>
          <w:i/>
          <w:kern w:val="0"/>
          <w:sz w:val="22"/>
          <w:lang w:val="lt-LT"/>
          <w14:ligatures w14:val="none"/>
        </w:rPr>
        <w:t>Atopinis dermatitas</w:t>
      </w:r>
    </w:p>
    <w:p w14:paraId="423466CD" w14:textId="77777777" w:rsidR="00323207" w:rsidRPr="00F931D9" w:rsidRDefault="00323207" w:rsidP="00323207">
      <w:pPr>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turi paskirti atopinio dermatito diagnostikos ir gydymo patirties turintis gydytojas. Kadangi ši būklė įvairi, gydymą būtina nustatyti kiekvienam pacientui atskirai. Rekomenduojama skirti 2,5</w:t>
      </w:r>
      <w:r w:rsidRPr="00F931D9">
        <w:rPr>
          <w:rFonts w:ascii="Times New Roman" w:hAnsi="Times New Roman"/>
          <w:kern w:val="0"/>
          <w:sz w:val="22"/>
          <w:lang w:val="lt-LT"/>
          <w14:ligatures w14:val="none"/>
        </w:rPr>
        <w:noBreakHyphen/>
        <w:t xml:space="preserve">5 mg/kg kūno svorio paros dozę. Ją reikia gerti per du kartus. Jei pradėjus gydyti 2,5 mg/kg kūno svorio paros doze per dvi savaites būklė nepagerėja, paros dozę galima greitai didinti iki didžiausios, t. y. 5 mg/kg kūno svorio, dozės. Pacientus, kurių liga labai sunki, greitas ir pakankamas būklės pagerėjimas daug dažniau pasiekiamas, jei pradedama gydyti 5 mg/kg kūno svorio paros doze. Kai tik pasireiškia reikiamas atsakas, dozę reikia laipsniškai mažinti ir, jei tik įmanoma,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vartojimą nutraukti. Vėlesnius ligos recidyvus galima gydyti tolesniais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kursais. </w:t>
      </w:r>
    </w:p>
    <w:p w14:paraId="6F58AA6D" w14:textId="77777777" w:rsidR="00323207" w:rsidRPr="00F931D9" w:rsidRDefault="00323207" w:rsidP="00323207">
      <w:pPr>
        <w:spacing w:after="0" w:line="240" w:lineRule="auto"/>
        <w:rPr>
          <w:rFonts w:ascii="Times New Roman" w:hAnsi="Times New Roman"/>
          <w:kern w:val="0"/>
          <w:sz w:val="22"/>
          <w:lang w:val="lt-LT"/>
          <w14:ligatures w14:val="none"/>
        </w:rPr>
      </w:pPr>
    </w:p>
    <w:p w14:paraId="378EFD47"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Nors 8 savaičių gydymo gali pakakti, kad oda taptų sveika, nustatyta, kad iki 1 metų trunkantis gydymas yra veiksmingas ir gerai toleruojamas, jei laikomasi stebėjimo nurodymų.</w:t>
      </w:r>
    </w:p>
    <w:p w14:paraId="03975301" w14:textId="77777777" w:rsidR="00323207" w:rsidRPr="00F931D9" w:rsidRDefault="00323207" w:rsidP="00323207">
      <w:pPr>
        <w:spacing w:after="0" w:line="240" w:lineRule="auto"/>
        <w:rPr>
          <w:rFonts w:ascii="Times New Roman" w:hAnsi="Times New Roman"/>
          <w:kern w:val="0"/>
          <w:sz w:val="22"/>
          <w:lang w:val="lt-LT"/>
          <w14:ligatures w14:val="none"/>
        </w:rPr>
      </w:pPr>
    </w:p>
    <w:p w14:paraId="5F580868" w14:textId="77777777" w:rsidR="00323207" w:rsidRPr="00F931D9" w:rsidRDefault="00323207" w:rsidP="00323207">
      <w:pPr>
        <w:spacing w:after="0" w:line="240" w:lineRule="auto"/>
        <w:rPr>
          <w:rFonts w:ascii="Times New Roman" w:hAnsi="Times New Roman"/>
          <w:i/>
          <w:kern w:val="0"/>
          <w:sz w:val="22"/>
          <w:u w:val="single"/>
          <w:lang w:val="lt-LT"/>
          <w14:ligatures w14:val="none"/>
        </w:rPr>
      </w:pPr>
      <w:proofErr w:type="spellStart"/>
      <w:r w:rsidRPr="00F931D9">
        <w:rPr>
          <w:rFonts w:ascii="Times New Roman" w:hAnsi="Times New Roman"/>
          <w:i/>
          <w:kern w:val="0"/>
          <w:sz w:val="22"/>
          <w:u w:val="single"/>
          <w:lang w:val="lt-LT"/>
          <w14:ligatures w14:val="none"/>
        </w:rPr>
        <w:t>Sandimmun</w:t>
      </w:r>
      <w:proofErr w:type="spellEnd"/>
      <w:r w:rsidRPr="00F931D9">
        <w:rPr>
          <w:rFonts w:ascii="Times New Roman" w:hAnsi="Times New Roman"/>
          <w:i/>
          <w:kern w:val="0"/>
          <w:sz w:val="22"/>
          <w:u w:val="single"/>
          <w:lang w:val="lt-LT"/>
          <w14:ligatures w14:val="none"/>
        </w:rPr>
        <w:t xml:space="preserve"> vartojamų per burną vaistinių preparatų keitimas į </w:t>
      </w:r>
      <w:proofErr w:type="spellStart"/>
      <w:r w:rsidRPr="00F931D9">
        <w:rPr>
          <w:rFonts w:ascii="Times New Roman" w:hAnsi="Times New Roman"/>
          <w:i/>
          <w:kern w:val="0"/>
          <w:sz w:val="22"/>
          <w:u w:val="single"/>
          <w:lang w:val="lt-LT"/>
          <w14:ligatures w14:val="none"/>
        </w:rPr>
        <w:t>Sandimmun</w:t>
      </w:r>
      <w:proofErr w:type="spellEnd"/>
      <w:r w:rsidRPr="00F931D9">
        <w:rPr>
          <w:rFonts w:ascii="Times New Roman" w:hAnsi="Times New Roman"/>
          <w:i/>
          <w:kern w:val="0"/>
          <w:sz w:val="22"/>
          <w:u w:val="single"/>
          <w:lang w:val="lt-LT"/>
          <w14:ligatures w14:val="none"/>
        </w:rPr>
        <w:t> </w:t>
      </w:r>
      <w:proofErr w:type="spellStart"/>
      <w:r w:rsidRPr="00F931D9">
        <w:rPr>
          <w:rFonts w:ascii="Times New Roman" w:hAnsi="Times New Roman"/>
          <w:i/>
          <w:kern w:val="0"/>
          <w:sz w:val="22"/>
          <w:u w:val="single"/>
          <w:lang w:val="lt-LT"/>
          <w14:ligatures w14:val="none"/>
        </w:rPr>
        <w:t>Neoral</w:t>
      </w:r>
      <w:proofErr w:type="spellEnd"/>
      <w:r w:rsidRPr="00F931D9">
        <w:rPr>
          <w:rFonts w:ascii="Times New Roman" w:hAnsi="Times New Roman"/>
          <w:i/>
          <w:kern w:val="0"/>
          <w:sz w:val="22"/>
          <w:u w:val="single"/>
          <w:lang w:val="lt-LT"/>
          <w14:ligatures w14:val="none"/>
        </w:rPr>
        <w:t xml:space="preserve"> vartojamus per burną vaistinius preparatus</w:t>
      </w:r>
    </w:p>
    <w:p w14:paraId="4F475CB7"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Turimi duomenys rodo, kad pakeitus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xml:space="preserve"> vartojamo per burną į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vartojamo per burną santykiu 1:1, mažiausia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koncentracija kraujyje būna panaši, tačiau daugumai pacientų gali būti didesnė didžiausia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koncentracija (</w:t>
      </w:r>
      <w:proofErr w:type="spellStart"/>
      <w:r w:rsidRPr="00F931D9">
        <w:rPr>
          <w:rFonts w:ascii="Times New Roman" w:hAnsi="Times New Roman"/>
          <w:kern w:val="0"/>
          <w:sz w:val="22"/>
          <w:lang w:val="lt-LT"/>
          <w14:ligatures w14:val="none"/>
        </w:rPr>
        <w:t>C</w:t>
      </w:r>
      <w:r w:rsidRPr="00F931D9">
        <w:rPr>
          <w:rFonts w:ascii="Times New Roman" w:hAnsi="Times New Roman"/>
          <w:kern w:val="0"/>
          <w:sz w:val="22"/>
          <w:vertAlign w:val="subscript"/>
          <w:lang w:val="lt-LT"/>
          <w14:ligatures w14:val="none"/>
        </w:rPr>
        <w:t>max</w:t>
      </w:r>
      <w:proofErr w:type="spellEnd"/>
      <w:r w:rsidRPr="00F931D9">
        <w:rPr>
          <w:rFonts w:ascii="Times New Roman" w:hAnsi="Times New Roman"/>
          <w:kern w:val="0"/>
          <w:sz w:val="22"/>
          <w:lang w:val="lt-LT"/>
          <w14:ligatures w14:val="none"/>
        </w:rPr>
        <w:t xml:space="preserve">) bei padidėti vaistinio preparato ekspozicija (AUC). Mažai pacientų daliai minėti pokyčiai gali būti didesni, todėl gali būti reikšmingi klinikai. Be to,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absorbcija iš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vartojamo per burną yra tolygesnė ir koreliacija tarp mažiausios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koncentracijos bei vaistinio preparato ekspozicijos (išreikštos AUC) yra stipresnė, lyginant su vartojamu per burną vaistiniu preparatu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w:t>
      </w:r>
    </w:p>
    <w:p w14:paraId="7FBCB7A3" w14:textId="77777777" w:rsidR="00323207" w:rsidRPr="00F931D9" w:rsidRDefault="00323207" w:rsidP="00323207">
      <w:pPr>
        <w:spacing w:after="0" w:line="240" w:lineRule="auto"/>
        <w:rPr>
          <w:rFonts w:ascii="Times New Roman" w:hAnsi="Times New Roman"/>
          <w:kern w:val="0"/>
          <w:sz w:val="22"/>
          <w:lang w:val="lt-LT"/>
          <w14:ligatures w14:val="none"/>
        </w:rPr>
      </w:pPr>
    </w:p>
    <w:p w14:paraId="05DDDC48"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Kadangi vietoj vartojamo per burną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xml:space="preserve"> pradėjus vartoti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vartojamo per burną, gali didėti vaistinio preparato ekspozicija, būtina laikytis toliau nurodytų taisyklių.</w:t>
      </w:r>
    </w:p>
    <w:p w14:paraId="2B587792" w14:textId="77777777" w:rsidR="00323207" w:rsidRPr="00F931D9" w:rsidRDefault="00323207" w:rsidP="00323207">
      <w:pPr>
        <w:spacing w:after="0" w:line="240" w:lineRule="auto"/>
        <w:rPr>
          <w:rFonts w:ascii="Times New Roman" w:hAnsi="Times New Roman"/>
          <w:kern w:val="0"/>
          <w:sz w:val="22"/>
          <w:lang w:val="lt-LT"/>
          <w14:ligatures w14:val="none"/>
        </w:rPr>
      </w:pPr>
    </w:p>
    <w:p w14:paraId="7BEFE577"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Pacientams po transplantacijos reikia pradėti vartoti tokią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vartojamo per burną vaistinio preparato paros dozę, kuri atitinka prieš tai vartotą per burną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xml:space="preserve"> dozę. Pradėjus vartoti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vartojamo per burną vaistinio preparato,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mažiausioji koncentracija kraujyje turi būti nustatoma po 4–7 dienų. Be to, reikia stebėti ir kitus klinikinio saugumo rodmenis, pvz., po vaistinio preparato pakeitimo, du pirmuosius mėnesius reikia stebėti </w:t>
      </w:r>
      <w:r w:rsidRPr="00F931D9">
        <w:rPr>
          <w:rFonts w:ascii="Times New Roman" w:hAnsi="Times New Roman"/>
          <w:kern w:val="0"/>
          <w:sz w:val="22"/>
          <w:lang w:val="lt-LT"/>
          <w14:ligatures w14:val="none"/>
        </w:rPr>
        <w:lastRenderedPageBreak/>
        <w:t xml:space="preserve">inkstų funkciją ir kraujospūdį. Jei mažiausioji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koncentracija kraujyje neatitinka terapinių ribų ir (arba) pablogėja klinikinio saugumo rodmenys, vaistinio preparato dozę būtina atitinkamai koreguoti.</w:t>
      </w:r>
    </w:p>
    <w:p w14:paraId="3D4306BC" w14:textId="77777777" w:rsidR="00323207" w:rsidRPr="00F931D9" w:rsidRDefault="00323207" w:rsidP="00323207">
      <w:pPr>
        <w:spacing w:after="0" w:line="240" w:lineRule="auto"/>
        <w:rPr>
          <w:rFonts w:ascii="Times New Roman" w:hAnsi="Times New Roman"/>
          <w:kern w:val="0"/>
          <w:sz w:val="22"/>
          <w:lang w:val="lt-LT"/>
          <w14:ligatures w14:val="none"/>
        </w:rPr>
      </w:pPr>
    </w:p>
    <w:p w14:paraId="4F66218E"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Jei pacientas gydomas ne dėl transplantacijos indikacijų, reikia pradėti vartoti tokią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vartojamo per burną paros dozę, kuri atitinka prieš tai vartotą per burną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xml:space="preserve"> dozę. Po vaistinio preparato pakeitimo, inkstų funkciją ir kraujospūdį būtina stebėti 2</w:t>
      </w:r>
      <w:r w:rsidRPr="00F931D9">
        <w:rPr>
          <w:rFonts w:ascii="Times New Roman" w:hAnsi="Times New Roman"/>
          <w:kern w:val="0"/>
          <w:sz w:val="22"/>
          <w:lang w:val="lt-LT"/>
          <w14:ligatures w14:val="none"/>
        </w:rPr>
        <w:noBreakHyphen/>
        <w:t>ąją, 4</w:t>
      </w:r>
      <w:r w:rsidRPr="00F931D9">
        <w:rPr>
          <w:rFonts w:ascii="Times New Roman" w:hAnsi="Times New Roman"/>
          <w:kern w:val="0"/>
          <w:sz w:val="22"/>
          <w:lang w:val="lt-LT"/>
          <w14:ligatures w14:val="none"/>
        </w:rPr>
        <w:noBreakHyphen/>
        <w:t>ąją ir 8</w:t>
      </w:r>
      <w:r w:rsidRPr="00F931D9">
        <w:rPr>
          <w:rFonts w:ascii="Times New Roman" w:hAnsi="Times New Roman"/>
          <w:kern w:val="0"/>
          <w:sz w:val="22"/>
          <w:lang w:val="lt-LT"/>
          <w14:ligatures w14:val="none"/>
        </w:rPr>
        <w:noBreakHyphen/>
        <w:t xml:space="preserve">ąją savaitę. Jei kraujospūdis reikšmingai viršija reikšmę, buvusią prieš vaistinių preparatų keitimą, arba daugiau negu vieno tyrimo duomenimis, </w:t>
      </w:r>
      <w:proofErr w:type="spellStart"/>
      <w:r w:rsidRPr="00F931D9">
        <w:rPr>
          <w:rFonts w:ascii="Times New Roman" w:hAnsi="Times New Roman"/>
          <w:kern w:val="0"/>
          <w:sz w:val="22"/>
          <w:lang w:val="lt-LT"/>
          <w14:ligatures w14:val="none"/>
        </w:rPr>
        <w:t>aGFG</w:t>
      </w:r>
      <w:proofErr w:type="spellEnd"/>
      <w:r w:rsidRPr="00F931D9">
        <w:rPr>
          <w:rFonts w:ascii="Times New Roman" w:hAnsi="Times New Roman"/>
          <w:kern w:val="0"/>
          <w:sz w:val="22"/>
          <w:lang w:val="lt-LT"/>
          <w14:ligatures w14:val="none"/>
        </w:rPr>
        <w:t xml:space="preserve"> reikšmė sumažėja daugiau kaip 25 % nuo buvusių prieš gydymą vartojamu per burną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xml:space="preserve">, dozę reikia mažinti (taip pat žr. 4.4 skyriuje informaciją apie papildomas atsargumo priemones). Netikėto toksinio poveikio ar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neveiksmingumo atveju taip pat reikia nustatyti mažiausią vaistinio preparato koncentraciją kraujyje.</w:t>
      </w:r>
    </w:p>
    <w:p w14:paraId="1C221476" w14:textId="77777777" w:rsidR="00323207" w:rsidRPr="00F931D9" w:rsidRDefault="00323207" w:rsidP="00323207">
      <w:pPr>
        <w:spacing w:after="0" w:line="240" w:lineRule="auto"/>
        <w:rPr>
          <w:rFonts w:ascii="Times New Roman" w:hAnsi="Times New Roman"/>
          <w:kern w:val="0"/>
          <w:sz w:val="22"/>
          <w:lang w:val="lt-LT"/>
          <w14:ligatures w14:val="none"/>
        </w:rPr>
      </w:pPr>
    </w:p>
    <w:p w14:paraId="6277BE78" w14:textId="77777777" w:rsidR="00323207" w:rsidRPr="00F931D9" w:rsidRDefault="00323207" w:rsidP="00323207">
      <w:pPr>
        <w:spacing w:after="0" w:line="240" w:lineRule="auto"/>
        <w:rPr>
          <w:rFonts w:ascii="Times New Roman" w:hAnsi="Times New Roman"/>
          <w:i/>
          <w:kern w:val="0"/>
          <w:sz w:val="22"/>
          <w:u w:val="single"/>
          <w:lang w:val="lt-LT"/>
          <w14:ligatures w14:val="none"/>
        </w:rPr>
      </w:pPr>
      <w:r w:rsidRPr="00F931D9">
        <w:rPr>
          <w:rFonts w:ascii="Times New Roman" w:hAnsi="Times New Roman"/>
          <w:i/>
          <w:kern w:val="0"/>
          <w:sz w:val="22"/>
          <w:u w:val="single"/>
          <w:lang w:val="lt-LT"/>
          <w14:ligatures w14:val="none"/>
        </w:rPr>
        <w:t xml:space="preserve">Per burną vartojamų </w:t>
      </w:r>
      <w:proofErr w:type="spellStart"/>
      <w:r w:rsidRPr="00F931D9">
        <w:rPr>
          <w:rFonts w:ascii="Times New Roman" w:hAnsi="Times New Roman"/>
          <w:i/>
          <w:kern w:val="0"/>
          <w:sz w:val="22"/>
          <w:u w:val="single"/>
          <w:lang w:val="lt-LT"/>
          <w14:ligatures w14:val="none"/>
        </w:rPr>
        <w:t>ciklosporino</w:t>
      </w:r>
      <w:proofErr w:type="spellEnd"/>
      <w:r w:rsidRPr="00F931D9">
        <w:rPr>
          <w:rFonts w:ascii="Times New Roman" w:hAnsi="Times New Roman"/>
          <w:i/>
          <w:kern w:val="0"/>
          <w:sz w:val="22"/>
          <w:u w:val="single"/>
          <w:lang w:val="lt-LT"/>
          <w14:ligatures w14:val="none"/>
        </w:rPr>
        <w:t xml:space="preserve"> formų keitimas</w:t>
      </w:r>
    </w:p>
    <w:p w14:paraId="26D2E600"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Pacientams po transplantacijos vienos per burną vartojamos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formos skyrimą keisti kita forma reikia prižiūrint gydytojui, įskaitant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koncentracijos kraujyje tyrimą.</w:t>
      </w:r>
    </w:p>
    <w:p w14:paraId="03CE50C4" w14:textId="77777777" w:rsidR="00323207" w:rsidRPr="00F931D9" w:rsidRDefault="00323207" w:rsidP="00323207">
      <w:pPr>
        <w:spacing w:after="0" w:line="240" w:lineRule="auto"/>
        <w:rPr>
          <w:rFonts w:ascii="Times New Roman" w:hAnsi="Times New Roman"/>
          <w:kern w:val="0"/>
          <w:sz w:val="22"/>
          <w:lang w:val="lt-LT"/>
          <w14:ligatures w14:val="none"/>
        </w:rPr>
      </w:pPr>
    </w:p>
    <w:p w14:paraId="1CFD1C9D" w14:textId="77777777" w:rsidR="00323207" w:rsidRPr="00F931D9" w:rsidRDefault="00323207" w:rsidP="00323207">
      <w:pPr>
        <w:keepNext/>
        <w:spacing w:after="0" w:line="240" w:lineRule="auto"/>
        <w:rPr>
          <w:rFonts w:ascii="Times New Roman" w:hAnsi="Times New Roman"/>
          <w:i/>
          <w:kern w:val="0"/>
          <w:sz w:val="22"/>
          <w:u w:val="single"/>
          <w:lang w:val="lt-LT"/>
          <w14:ligatures w14:val="none"/>
        </w:rPr>
      </w:pPr>
      <w:r w:rsidRPr="00F931D9">
        <w:rPr>
          <w:rFonts w:ascii="Times New Roman" w:hAnsi="Times New Roman"/>
          <w:i/>
          <w:kern w:val="0"/>
          <w:sz w:val="22"/>
          <w:u w:val="single"/>
          <w:lang w:val="lt-LT"/>
          <w14:ligatures w14:val="none"/>
        </w:rPr>
        <w:t>Ypatingos pacientų grupės</w:t>
      </w:r>
    </w:p>
    <w:p w14:paraId="353F695C" w14:textId="77777777" w:rsidR="00323207" w:rsidRPr="00F931D9" w:rsidRDefault="00323207" w:rsidP="00323207">
      <w:pPr>
        <w:keepNext/>
        <w:spacing w:after="0" w:line="240" w:lineRule="auto"/>
        <w:rPr>
          <w:rFonts w:ascii="Times New Roman" w:hAnsi="Times New Roman"/>
          <w:i/>
          <w:kern w:val="0"/>
          <w:sz w:val="22"/>
          <w:lang w:val="lt-LT"/>
          <w14:ligatures w14:val="none"/>
        </w:rPr>
      </w:pPr>
    </w:p>
    <w:p w14:paraId="5CB9BC59" w14:textId="77777777" w:rsidR="00323207" w:rsidRPr="00F931D9" w:rsidRDefault="00323207" w:rsidP="00323207">
      <w:pPr>
        <w:keepNext/>
        <w:spacing w:after="0" w:line="240" w:lineRule="auto"/>
        <w:rPr>
          <w:rFonts w:ascii="Times New Roman" w:hAnsi="Times New Roman"/>
          <w:i/>
          <w:kern w:val="0"/>
          <w:sz w:val="22"/>
          <w:lang w:val="lt-LT"/>
          <w14:ligatures w14:val="none"/>
        </w:rPr>
      </w:pPr>
      <w:r w:rsidRPr="00F931D9">
        <w:rPr>
          <w:rFonts w:ascii="Times New Roman" w:hAnsi="Times New Roman"/>
          <w:i/>
          <w:kern w:val="0"/>
          <w:sz w:val="22"/>
          <w:lang w:val="lt-LT"/>
          <w14:ligatures w14:val="none"/>
        </w:rPr>
        <w:t>Pacientai, kuriems sutrikusi inkstų veikla</w:t>
      </w:r>
    </w:p>
    <w:p w14:paraId="5C7B7893" w14:textId="77777777" w:rsidR="00323207" w:rsidRPr="00F931D9" w:rsidRDefault="00323207" w:rsidP="00323207">
      <w:pPr>
        <w:keepNext/>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Visos indikacijos</w:t>
      </w:r>
    </w:p>
    <w:p w14:paraId="07CD7BDE"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Per inkstus eliminuojamas nedidelis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kiekis, todėl jo farmakokinetikai inkstų funkcijos sutrikimas reikšmingos įtakos neturi (žr. 5.2 skyrių). Tačiau dėl </w:t>
      </w:r>
      <w:proofErr w:type="spellStart"/>
      <w:r w:rsidRPr="00F931D9">
        <w:rPr>
          <w:rFonts w:ascii="Times New Roman" w:hAnsi="Times New Roman"/>
          <w:kern w:val="0"/>
          <w:sz w:val="22"/>
          <w:lang w:val="lt-LT"/>
          <w14:ligatures w14:val="none"/>
        </w:rPr>
        <w:t>nefrotoksinio</w:t>
      </w:r>
      <w:proofErr w:type="spellEnd"/>
      <w:r w:rsidRPr="00F931D9">
        <w:rPr>
          <w:rFonts w:ascii="Times New Roman" w:hAnsi="Times New Roman"/>
          <w:kern w:val="0"/>
          <w:sz w:val="22"/>
          <w:lang w:val="lt-LT"/>
          <w14:ligatures w14:val="none"/>
        </w:rPr>
        <w:t xml:space="preserve"> vaistinio </w:t>
      </w:r>
      <w:proofErr w:type="spellStart"/>
      <w:r w:rsidRPr="00F931D9">
        <w:rPr>
          <w:rFonts w:ascii="Times New Roman" w:hAnsi="Times New Roman"/>
          <w:kern w:val="0"/>
          <w:sz w:val="22"/>
          <w:lang w:val="lt-LT"/>
          <w14:ligatures w14:val="none"/>
        </w:rPr>
        <w:t>preparto</w:t>
      </w:r>
      <w:proofErr w:type="spellEnd"/>
      <w:r w:rsidRPr="00F931D9">
        <w:rPr>
          <w:rFonts w:ascii="Times New Roman" w:hAnsi="Times New Roman"/>
          <w:kern w:val="0"/>
          <w:sz w:val="22"/>
          <w:lang w:val="lt-LT"/>
          <w14:ligatures w14:val="none"/>
        </w:rPr>
        <w:t xml:space="preserve"> poveikio (žr. 4.8 skyrių), rekomenduojama atidžiai stebėti inkstų funkciją (žr. 4.4 skyrių).</w:t>
      </w:r>
    </w:p>
    <w:p w14:paraId="7115ACAB" w14:textId="77777777" w:rsidR="00323207" w:rsidRPr="00F931D9" w:rsidRDefault="00323207" w:rsidP="00323207">
      <w:pPr>
        <w:spacing w:after="0" w:line="240" w:lineRule="auto"/>
        <w:rPr>
          <w:rFonts w:ascii="Times New Roman" w:hAnsi="Times New Roman"/>
          <w:kern w:val="0"/>
          <w:sz w:val="22"/>
          <w:lang w:val="lt-LT"/>
          <w14:ligatures w14:val="none"/>
        </w:rPr>
      </w:pPr>
    </w:p>
    <w:p w14:paraId="678DFEBA"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Ne transplantacijos indikacijos</w:t>
      </w:r>
    </w:p>
    <w:p w14:paraId="4D7200E8"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Pacientams, kuriems sutrikusi inkstų veikla (išskyrus sergančiuosius </w:t>
      </w:r>
      <w:proofErr w:type="spellStart"/>
      <w:r w:rsidRPr="00F931D9">
        <w:rPr>
          <w:rFonts w:ascii="Times New Roman" w:hAnsi="Times New Roman"/>
          <w:kern w:val="0"/>
          <w:sz w:val="22"/>
          <w:lang w:val="lt-LT"/>
          <w14:ligatures w14:val="none"/>
        </w:rPr>
        <w:t>nefroziniu</w:t>
      </w:r>
      <w:proofErr w:type="spellEnd"/>
      <w:r w:rsidRPr="00F931D9">
        <w:rPr>
          <w:rFonts w:ascii="Times New Roman" w:hAnsi="Times New Roman"/>
          <w:kern w:val="0"/>
          <w:sz w:val="22"/>
          <w:lang w:val="lt-LT"/>
          <w14:ligatures w14:val="none"/>
        </w:rPr>
        <w:t xml:space="preserve"> sindromu),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skirti nereikėtų (žr. 4.4 skyriuje informaciją apie papildomas atsargumo priemones ne transplantacijos indikacijoms). </w:t>
      </w:r>
      <w:proofErr w:type="spellStart"/>
      <w:r w:rsidRPr="00F931D9">
        <w:rPr>
          <w:rFonts w:ascii="Times New Roman" w:hAnsi="Times New Roman"/>
          <w:kern w:val="0"/>
          <w:sz w:val="22"/>
          <w:lang w:val="lt-LT"/>
          <w14:ligatures w14:val="none"/>
        </w:rPr>
        <w:t>Nefroziniu</w:t>
      </w:r>
      <w:proofErr w:type="spellEnd"/>
      <w:r w:rsidRPr="00F931D9">
        <w:rPr>
          <w:rFonts w:ascii="Times New Roman" w:hAnsi="Times New Roman"/>
          <w:kern w:val="0"/>
          <w:sz w:val="22"/>
          <w:lang w:val="lt-LT"/>
          <w14:ligatures w14:val="none"/>
        </w:rPr>
        <w:t xml:space="preserve"> sindromu sergantiems pacientams, kuriems sutrikusi inkstų veikla, pradinė vaistinio preparato paros dozė neturi viršyti 2,5 mg/kg kūno svorio.</w:t>
      </w:r>
    </w:p>
    <w:p w14:paraId="2999AE3B" w14:textId="77777777" w:rsidR="00323207" w:rsidRPr="00F931D9" w:rsidRDefault="00323207" w:rsidP="00323207">
      <w:pPr>
        <w:spacing w:after="0" w:line="240" w:lineRule="auto"/>
        <w:rPr>
          <w:rFonts w:ascii="Times New Roman" w:hAnsi="Times New Roman"/>
          <w:kern w:val="0"/>
          <w:sz w:val="22"/>
          <w:lang w:val="lt-LT"/>
          <w14:ligatures w14:val="none"/>
        </w:rPr>
      </w:pPr>
    </w:p>
    <w:p w14:paraId="07BDE122" w14:textId="77777777" w:rsidR="00323207" w:rsidRPr="00F931D9" w:rsidRDefault="00323207" w:rsidP="00323207">
      <w:pPr>
        <w:spacing w:after="0" w:line="240" w:lineRule="auto"/>
        <w:rPr>
          <w:rFonts w:ascii="Times New Roman" w:hAnsi="Times New Roman"/>
          <w:i/>
          <w:kern w:val="0"/>
          <w:sz w:val="22"/>
          <w:lang w:val="lt-LT"/>
          <w14:ligatures w14:val="none"/>
        </w:rPr>
      </w:pPr>
      <w:r w:rsidRPr="00F931D9">
        <w:rPr>
          <w:rFonts w:ascii="Times New Roman" w:hAnsi="Times New Roman"/>
          <w:i/>
          <w:kern w:val="0"/>
          <w:sz w:val="22"/>
          <w:lang w:val="lt-LT"/>
          <w14:ligatures w14:val="none"/>
        </w:rPr>
        <w:t>Pacientai, kuriems sutrikusi kepenų veikla</w:t>
      </w:r>
    </w:p>
    <w:p w14:paraId="1A7284B5" w14:textId="77777777" w:rsidR="00323207" w:rsidRPr="00F931D9" w:rsidRDefault="00323207" w:rsidP="00323207">
      <w:pPr>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Ciklosporinas</w:t>
      </w:r>
      <w:proofErr w:type="spellEnd"/>
      <w:r w:rsidRPr="00F931D9">
        <w:rPr>
          <w:rFonts w:ascii="Times New Roman" w:hAnsi="Times New Roman"/>
          <w:kern w:val="0"/>
          <w:sz w:val="22"/>
          <w:lang w:val="lt-LT"/>
          <w14:ligatures w14:val="none"/>
        </w:rPr>
        <w:t xml:space="preserve"> ekstensyviai </w:t>
      </w:r>
      <w:proofErr w:type="spellStart"/>
      <w:r w:rsidRPr="00F931D9">
        <w:rPr>
          <w:rFonts w:ascii="Times New Roman" w:hAnsi="Times New Roman"/>
          <w:kern w:val="0"/>
          <w:sz w:val="22"/>
          <w:lang w:val="lt-LT"/>
          <w14:ligatures w14:val="none"/>
        </w:rPr>
        <w:t>metabolizuojamas</w:t>
      </w:r>
      <w:proofErr w:type="spellEnd"/>
      <w:r w:rsidRPr="00F931D9">
        <w:rPr>
          <w:rFonts w:ascii="Times New Roman" w:hAnsi="Times New Roman"/>
          <w:kern w:val="0"/>
          <w:sz w:val="22"/>
          <w:lang w:val="lt-LT"/>
          <w14:ligatures w14:val="none"/>
        </w:rPr>
        <w:t xml:space="preserve"> kepenyse. Pacientams, kuriems sutrikusi kepenų veikla, gali būti stebima maždaug 2-3 kartus padidėjusi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ekspozicija. Siekiant vaistinio </w:t>
      </w:r>
      <w:proofErr w:type="spellStart"/>
      <w:r w:rsidRPr="00F931D9">
        <w:rPr>
          <w:rFonts w:ascii="Times New Roman" w:hAnsi="Times New Roman"/>
          <w:kern w:val="0"/>
          <w:sz w:val="22"/>
          <w:lang w:val="lt-LT"/>
          <w14:ligatures w14:val="none"/>
        </w:rPr>
        <w:t>prepeparato</w:t>
      </w:r>
      <w:proofErr w:type="spellEnd"/>
      <w:r w:rsidRPr="00F931D9">
        <w:rPr>
          <w:rFonts w:ascii="Times New Roman" w:hAnsi="Times New Roman"/>
          <w:kern w:val="0"/>
          <w:sz w:val="22"/>
          <w:lang w:val="lt-LT"/>
          <w14:ligatures w14:val="none"/>
        </w:rPr>
        <w:t xml:space="preserve"> koncentraciją kraujyje išlaikyti rekomenduojamose tikslinėse ribose pacientams, kuriems yra sunkus kepenų veiklos sutrikimas, gali reikėti mažinti dozę (žr. 4.4 ir 5.2 skyrius); taip pat rekomenduojama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koncentraciją kraujyje stebėti tol, kol pasiekiamos stabilios koncentracijos reikšmės.</w:t>
      </w:r>
    </w:p>
    <w:p w14:paraId="3659E5CD" w14:textId="77777777" w:rsidR="00323207" w:rsidRPr="00F931D9" w:rsidRDefault="00323207" w:rsidP="00323207">
      <w:pPr>
        <w:spacing w:after="0" w:line="240" w:lineRule="auto"/>
        <w:rPr>
          <w:rFonts w:ascii="Times New Roman" w:hAnsi="Times New Roman"/>
          <w:kern w:val="0"/>
          <w:sz w:val="22"/>
          <w:lang w:val="lt-LT"/>
          <w14:ligatures w14:val="none"/>
        </w:rPr>
      </w:pPr>
    </w:p>
    <w:p w14:paraId="31D1BF57" w14:textId="77777777" w:rsidR="00323207" w:rsidRPr="00F931D9" w:rsidRDefault="00323207" w:rsidP="00323207">
      <w:pPr>
        <w:spacing w:after="0" w:line="240" w:lineRule="auto"/>
        <w:rPr>
          <w:rFonts w:ascii="Times New Roman" w:hAnsi="Times New Roman"/>
          <w:i/>
          <w:kern w:val="0"/>
          <w:sz w:val="22"/>
          <w:lang w:val="lt-LT"/>
          <w14:ligatures w14:val="none"/>
        </w:rPr>
      </w:pPr>
      <w:r w:rsidRPr="00F931D9">
        <w:rPr>
          <w:rFonts w:ascii="Times New Roman" w:hAnsi="Times New Roman"/>
          <w:i/>
          <w:kern w:val="0"/>
          <w:sz w:val="22"/>
          <w:lang w:val="lt-LT"/>
          <w14:ligatures w14:val="none"/>
        </w:rPr>
        <w:t>Vaikų populiacija</w:t>
      </w:r>
    </w:p>
    <w:p w14:paraId="56A64C96"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Į klinikinius tyrimus buvo įtraukti vyresni kaip 1 metų vaikai. </w:t>
      </w:r>
      <w:r w:rsidRPr="00F931D9">
        <w:rPr>
          <w:rFonts w:ascii="Times New Roman" w:hAnsi="Times New Roman"/>
          <w:color w:val="000000"/>
          <w:kern w:val="0"/>
          <w:sz w:val="22"/>
          <w:lang w:val="lt-LT"/>
          <w14:ligatures w14:val="none"/>
        </w:rPr>
        <w:t xml:space="preserve">Kai kurių tyrimų duomenimis, vaikams prireikė ir jie toleravo didesnę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w:t>
      </w:r>
      <w:r w:rsidRPr="00F931D9">
        <w:rPr>
          <w:rFonts w:ascii="Times New Roman" w:hAnsi="Times New Roman"/>
          <w:color w:val="000000"/>
          <w:kern w:val="0"/>
          <w:sz w:val="22"/>
          <w:lang w:val="lt-LT"/>
          <w14:ligatures w14:val="none"/>
        </w:rPr>
        <w:t>dozę (apskaičiuotą kilogramui kūno svorio) negu suaugusieji</w:t>
      </w:r>
      <w:r w:rsidRPr="00F931D9">
        <w:rPr>
          <w:rFonts w:ascii="Times New Roman" w:hAnsi="Times New Roman"/>
          <w:kern w:val="0"/>
          <w:sz w:val="22"/>
          <w:lang w:val="lt-LT"/>
          <w14:ligatures w14:val="none"/>
        </w:rPr>
        <w:t>.</w:t>
      </w:r>
    </w:p>
    <w:p w14:paraId="44D50A7B" w14:textId="77777777" w:rsidR="00323207" w:rsidRPr="00F931D9" w:rsidRDefault="00323207" w:rsidP="00323207">
      <w:pPr>
        <w:spacing w:after="0" w:line="240" w:lineRule="auto"/>
        <w:rPr>
          <w:rFonts w:ascii="Times New Roman" w:hAnsi="Times New Roman"/>
          <w:kern w:val="0"/>
          <w:sz w:val="22"/>
          <w:lang w:val="lt-LT"/>
          <w14:ligatures w14:val="none"/>
        </w:rPr>
      </w:pPr>
    </w:p>
    <w:p w14:paraId="3BFFF16B" w14:textId="77777777" w:rsidR="00323207" w:rsidRPr="00F931D9" w:rsidRDefault="00323207" w:rsidP="00323207">
      <w:pPr>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nerekomenduojama vartoti vaikams ne transplantacijos indikacijoms, išskyrus </w:t>
      </w:r>
      <w:proofErr w:type="spellStart"/>
      <w:r w:rsidRPr="00F931D9">
        <w:rPr>
          <w:rFonts w:ascii="Times New Roman" w:hAnsi="Times New Roman"/>
          <w:kern w:val="0"/>
          <w:sz w:val="22"/>
          <w:lang w:val="lt-LT"/>
          <w14:ligatures w14:val="none"/>
        </w:rPr>
        <w:t>nefrozinį</w:t>
      </w:r>
      <w:proofErr w:type="spellEnd"/>
      <w:r w:rsidRPr="00F931D9">
        <w:rPr>
          <w:rFonts w:ascii="Times New Roman" w:hAnsi="Times New Roman"/>
          <w:kern w:val="0"/>
          <w:sz w:val="22"/>
          <w:lang w:val="lt-LT"/>
          <w14:ligatures w14:val="none"/>
        </w:rPr>
        <w:t xml:space="preserve"> sindromą (žr. 4.4 skyrių).</w:t>
      </w:r>
    </w:p>
    <w:p w14:paraId="64DD5C74" w14:textId="77777777" w:rsidR="00323207" w:rsidRPr="00F931D9" w:rsidRDefault="00323207" w:rsidP="00323207">
      <w:pPr>
        <w:spacing w:after="0" w:line="240" w:lineRule="auto"/>
        <w:rPr>
          <w:rFonts w:ascii="Times New Roman" w:hAnsi="Times New Roman"/>
          <w:kern w:val="0"/>
          <w:sz w:val="22"/>
          <w:lang w:val="lt-LT"/>
          <w14:ligatures w14:val="none"/>
        </w:rPr>
      </w:pPr>
    </w:p>
    <w:p w14:paraId="1B30AC07" w14:textId="77777777" w:rsidR="00323207" w:rsidRPr="00F931D9" w:rsidRDefault="00323207" w:rsidP="00323207">
      <w:pPr>
        <w:spacing w:after="0" w:line="240" w:lineRule="auto"/>
        <w:rPr>
          <w:rFonts w:ascii="Times New Roman" w:hAnsi="Times New Roman"/>
          <w:i/>
          <w:kern w:val="0"/>
          <w:sz w:val="22"/>
          <w:lang w:val="lt-LT"/>
          <w14:ligatures w14:val="none"/>
        </w:rPr>
      </w:pPr>
      <w:r w:rsidRPr="00F931D9">
        <w:rPr>
          <w:rFonts w:ascii="Times New Roman" w:hAnsi="Times New Roman"/>
          <w:i/>
          <w:kern w:val="0"/>
          <w:sz w:val="22"/>
          <w:lang w:val="lt-LT"/>
          <w14:ligatures w14:val="none"/>
        </w:rPr>
        <w:t>Senyviems pacientams (65 metų ir vyresniems)</w:t>
      </w:r>
    </w:p>
    <w:p w14:paraId="354452DF" w14:textId="77777777" w:rsidR="00323207" w:rsidRPr="00F931D9" w:rsidRDefault="00323207" w:rsidP="00323207">
      <w:pPr>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vartojimo senyviems asmenims patirties yra nedaug. </w:t>
      </w:r>
    </w:p>
    <w:p w14:paraId="192C160C" w14:textId="77777777" w:rsidR="00323207" w:rsidRPr="00F931D9" w:rsidRDefault="00323207" w:rsidP="00323207">
      <w:pPr>
        <w:spacing w:after="0" w:line="240" w:lineRule="auto"/>
        <w:rPr>
          <w:rFonts w:ascii="Times New Roman" w:hAnsi="Times New Roman"/>
          <w:kern w:val="0"/>
          <w:sz w:val="22"/>
          <w:lang w:val="lt-LT"/>
          <w14:ligatures w14:val="none"/>
        </w:rPr>
      </w:pPr>
    </w:p>
    <w:p w14:paraId="4B568674"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Reumatoidinio artrito gydymo geriamuoju </w:t>
      </w:r>
      <w:proofErr w:type="spellStart"/>
      <w:r w:rsidRPr="00F931D9">
        <w:rPr>
          <w:rFonts w:ascii="Times New Roman" w:hAnsi="Times New Roman"/>
          <w:kern w:val="0"/>
          <w:sz w:val="22"/>
          <w:lang w:val="lt-LT"/>
          <w14:ligatures w14:val="none"/>
        </w:rPr>
        <w:t>ciklosporinu</w:t>
      </w:r>
      <w:proofErr w:type="spellEnd"/>
      <w:r w:rsidRPr="00F931D9">
        <w:rPr>
          <w:rFonts w:ascii="Times New Roman" w:hAnsi="Times New Roman"/>
          <w:kern w:val="0"/>
          <w:sz w:val="22"/>
          <w:lang w:val="lt-LT"/>
          <w14:ligatures w14:val="none"/>
        </w:rPr>
        <w:t xml:space="preserve"> klinikinių tyrimų metu nustatyta, kad 65 metų arba vyresniems pacientams gydymo metu dažniau galima </w:t>
      </w:r>
      <w:proofErr w:type="spellStart"/>
      <w:r w:rsidRPr="00F931D9">
        <w:rPr>
          <w:rFonts w:ascii="Times New Roman" w:hAnsi="Times New Roman"/>
          <w:kern w:val="0"/>
          <w:sz w:val="22"/>
          <w:lang w:val="lt-LT"/>
          <w14:ligatures w14:val="none"/>
        </w:rPr>
        <w:t>sistolinė</w:t>
      </w:r>
      <w:proofErr w:type="spellEnd"/>
      <w:r w:rsidRPr="00F931D9">
        <w:rPr>
          <w:rFonts w:ascii="Times New Roman" w:hAnsi="Times New Roman"/>
          <w:kern w:val="0"/>
          <w:sz w:val="22"/>
          <w:lang w:val="lt-LT"/>
          <w14:ligatures w14:val="none"/>
        </w:rPr>
        <w:t xml:space="preserve"> hipertenzija ir po 3</w:t>
      </w:r>
      <w:r w:rsidRPr="00F931D9">
        <w:rPr>
          <w:rFonts w:ascii="Times New Roman" w:hAnsi="Times New Roman"/>
          <w:kern w:val="0"/>
          <w:sz w:val="22"/>
          <w:lang w:val="lt-LT"/>
          <w14:ligatures w14:val="none"/>
        </w:rPr>
        <w:noBreakHyphen/>
        <w:t>4 gydymo mėnesių jiems dažniau pasireiškė 50 % arba daugiau padidėjusi kreatinino koncentracija serume, lyginant su buvusia iki pradedant gydymą.</w:t>
      </w:r>
    </w:p>
    <w:p w14:paraId="5170DD8A" w14:textId="77777777" w:rsidR="00323207" w:rsidRPr="00F931D9" w:rsidRDefault="00323207" w:rsidP="00323207">
      <w:pPr>
        <w:spacing w:after="0" w:line="240" w:lineRule="auto"/>
        <w:rPr>
          <w:rFonts w:ascii="Times New Roman" w:hAnsi="Times New Roman"/>
          <w:kern w:val="0"/>
          <w:sz w:val="22"/>
          <w:lang w:val="lt-LT"/>
          <w14:ligatures w14:val="none"/>
        </w:rPr>
      </w:pPr>
    </w:p>
    <w:p w14:paraId="71EFE952"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lastRenderedPageBreak/>
        <w:t>Senyviems pacientams dozę reikia nustatyti atsargiai, paprastai iš pradžių skirti mažiausią dozavimo intervalo dozę, atsižvelgiant į dažnesnį kepenų, inkstų ar širdies veiklos susilpnėjimą ir dažnesnes kitas paciento ligas ar gydymą kitais vaistiniais preparatais bei į padidėjusį imlumą infekcijoms.</w:t>
      </w:r>
    </w:p>
    <w:p w14:paraId="1BD6E81A" w14:textId="77777777" w:rsidR="00323207" w:rsidRPr="00F931D9" w:rsidRDefault="00323207" w:rsidP="00323207">
      <w:pPr>
        <w:spacing w:after="0" w:line="240" w:lineRule="auto"/>
        <w:rPr>
          <w:rFonts w:ascii="Times New Roman" w:hAnsi="Times New Roman"/>
          <w:kern w:val="0"/>
          <w:sz w:val="22"/>
          <w:lang w:val="lt-LT"/>
          <w14:ligatures w14:val="none"/>
        </w:rPr>
      </w:pPr>
    </w:p>
    <w:p w14:paraId="1E92E3EC" w14:textId="77777777" w:rsidR="00323207" w:rsidRPr="00F931D9" w:rsidRDefault="00323207" w:rsidP="00323207">
      <w:pPr>
        <w:spacing w:after="0" w:line="240" w:lineRule="auto"/>
        <w:rPr>
          <w:rFonts w:ascii="Times New Roman" w:hAnsi="Times New Roman"/>
          <w:kern w:val="0"/>
          <w:sz w:val="22"/>
          <w:u w:val="single"/>
          <w:lang w:val="lt-LT"/>
          <w14:ligatures w14:val="none"/>
        </w:rPr>
      </w:pPr>
      <w:r w:rsidRPr="00F931D9">
        <w:rPr>
          <w:rFonts w:ascii="Times New Roman" w:hAnsi="Times New Roman"/>
          <w:kern w:val="0"/>
          <w:sz w:val="22"/>
          <w:u w:val="single"/>
          <w:lang w:val="lt-LT"/>
          <w14:ligatures w14:val="none"/>
        </w:rPr>
        <w:t>Vartojimo metodas</w:t>
      </w:r>
    </w:p>
    <w:p w14:paraId="043E8A3D"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Vartoti per burną.</w:t>
      </w:r>
    </w:p>
    <w:p w14:paraId="6E49EDCB" w14:textId="77777777" w:rsidR="00323207" w:rsidRPr="00F931D9" w:rsidRDefault="00323207" w:rsidP="00323207">
      <w:pPr>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kapsules reikia nuryti nepažeistas.</w:t>
      </w:r>
    </w:p>
    <w:p w14:paraId="25348852" w14:textId="77777777" w:rsidR="00323207" w:rsidRPr="00F931D9" w:rsidRDefault="00323207" w:rsidP="00323207">
      <w:pPr>
        <w:spacing w:after="0" w:line="240" w:lineRule="auto"/>
        <w:rPr>
          <w:rFonts w:ascii="Times New Roman" w:hAnsi="Times New Roman"/>
          <w:i/>
          <w:kern w:val="0"/>
          <w:sz w:val="22"/>
          <w:lang w:val="lt-LT"/>
          <w14:ligatures w14:val="none"/>
        </w:rPr>
      </w:pPr>
    </w:p>
    <w:p w14:paraId="6B5E8A21" w14:textId="77777777" w:rsidR="00323207" w:rsidRPr="00F931D9" w:rsidRDefault="00323207" w:rsidP="00323207">
      <w:pPr>
        <w:spacing w:after="0" w:line="240" w:lineRule="auto"/>
        <w:ind w:left="562" w:hanging="562"/>
        <w:rPr>
          <w:rFonts w:ascii="Times New Roman" w:hAnsi="Times New Roman"/>
          <w:kern w:val="0"/>
          <w:sz w:val="22"/>
          <w:lang w:val="lt-LT"/>
          <w14:ligatures w14:val="none"/>
        </w:rPr>
      </w:pPr>
      <w:r w:rsidRPr="00F931D9">
        <w:rPr>
          <w:rFonts w:ascii="Times New Roman" w:hAnsi="Times New Roman"/>
          <w:b/>
          <w:kern w:val="0"/>
          <w:sz w:val="22"/>
          <w:lang w:val="lt-LT"/>
          <w14:ligatures w14:val="none"/>
        </w:rPr>
        <w:t>4.3</w:t>
      </w:r>
      <w:r w:rsidRPr="00F931D9">
        <w:rPr>
          <w:rFonts w:ascii="Times New Roman" w:hAnsi="Times New Roman"/>
          <w:b/>
          <w:kern w:val="0"/>
          <w:sz w:val="22"/>
          <w:lang w:val="lt-LT"/>
          <w14:ligatures w14:val="none"/>
        </w:rPr>
        <w:tab/>
        <w:t>Kontraindikacijos</w:t>
      </w:r>
    </w:p>
    <w:p w14:paraId="24E5F3C0" w14:textId="77777777" w:rsidR="00323207" w:rsidRPr="00F931D9" w:rsidRDefault="00323207" w:rsidP="00323207">
      <w:pPr>
        <w:spacing w:after="0" w:line="240" w:lineRule="auto"/>
        <w:rPr>
          <w:rFonts w:ascii="Times New Roman" w:hAnsi="Times New Roman"/>
          <w:kern w:val="0"/>
          <w:sz w:val="22"/>
          <w:lang w:val="lt-LT"/>
          <w14:ligatures w14:val="none"/>
        </w:rPr>
      </w:pPr>
    </w:p>
    <w:p w14:paraId="24C4C59F"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Padidėjęs jautrumas veikliajai arba bet kuriai 6.1 skyriuje nurodytai pagalbinei medžiagai.</w:t>
      </w:r>
    </w:p>
    <w:p w14:paraId="2BDE396F"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074E148B"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Kartu vartojant produktus</w:t>
      </w:r>
      <w:r w:rsidRPr="00F931D9">
        <w:rPr>
          <w:rFonts w:ascii="Times New Roman" w:hAnsi="Times New Roman"/>
          <w:color w:val="000000"/>
          <w:kern w:val="0"/>
          <w:sz w:val="22"/>
          <w:lang w:val="lt-LT"/>
          <w14:ligatures w14:val="none"/>
        </w:rPr>
        <w:t xml:space="preserve">, kurių sudėtyje yra </w:t>
      </w:r>
      <w:proofErr w:type="spellStart"/>
      <w:r w:rsidRPr="00F931D9">
        <w:rPr>
          <w:rFonts w:ascii="Times New Roman" w:hAnsi="Times New Roman"/>
          <w:i/>
          <w:kern w:val="0"/>
          <w:sz w:val="22"/>
          <w:lang w:val="lt-LT"/>
          <w14:ligatures w14:val="none"/>
        </w:rPr>
        <w:t>Hypericum</w:t>
      </w:r>
      <w:proofErr w:type="spellEnd"/>
      <w:r w:rsidRPr="00F931D9">
        <w:rPr>
          <w:rFonts w:ascii="Times New Roman" w:hAnsi="Times New Roman"/>
          <w:i/>
          <w:kern w:val="0"/>
          <w:sz w:val="22"/>
          <w:lang w:val="lt-LT"/>
          <w14:ligatures w14:val="none"/>
        </w:rPr>
        <w:t xml:space="preserve"> </w:t>
      </w:r>
      <w:proofErr w:type="spellStart"/>
      <w:r w:rsidRPr="00F931D9">
        <w:rPr>
          <w:rFonts w:ascii="Times New Roman" w:hAnsi="Times New Roman"/>
          <w:i/>
          <w:kern w:val="0"/>
          <w:sz w:val="22"/>
          <w:lang w:val="lt-LT"/>
          <w14:ligatures w14:val="none"/>
        </w:rPr>
        <w:t>perforatum</w:t>
      </w:r>
      <w:proofErr w:type="spellEnd"/>
      <w:r w:rsidRPr="00F931D9">
        <w:rPr>
          <w:rFonts w:ascii="Times New Roman" w:hAnsi="Times New Roman"/>
          <w:kern w:val="0"/>
          <w:sz w:val="22"/>
          <w:lang w:val="lt-LT"/>
          <w14:ligatures w14:val="none"/>
        </w:rPr>
        <w:t xml:space="preserve"> (paprastosios jonažolės) (žr. 4.5 skyrių).</w:t>
      </w:r>
    </w:p>
    <w:p w14:paraId="5976DB55"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3FC9269E"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Kartu vartojant vaistinius preparatus, kurie yra daugelio vaistinių preparatų eliminacijos sistemos nešiklio P-</w:t>
      </w:r>
      <w:proofErr w:type="spellStart"/>
      <w:r w:rsidRPr="00F931D9">
        <w:rPr>
          <w:rFonts w:ascii="Times New Roman" w:hAnsi="Times New Roman"/>
          <w:kern w:val="0"/>
          <w:sz w:val="22"/>
          <w:lang w:val="lt-LT"/>
          <w14:ligatures w14:val="none"/>
        </w:rPr>
        <w:t>glikoproteino</w:t>
      </w:r>
      <w:proofErr w:type="spellEnd"/>
      <w:r w:rsidRPr="00F931D9">
        <w:rPr>
          <w:rFonts w:ascii="Times New Roman" w:hAnsi="Times New Roman"/>
          <w:kern w:val="0"/>
          <w:sz w:val="22"/>
          <w:lang w:val="lt-LT"/>
          <w14:ligatures w14:val="none"/>
        </w:rPr>
        <w:t xml:space="preserve"> (P</w:t>
      </w:r>
      <w:r w:rsidRPr="00F931D9">
        <w:rPr>
          <w:rFonts w:ascii="Times New Roman" w:hAnsi="Times New Roman"/>
          <w:kern w:val="0"/>
          <w:sz w:val="22"/>
          <w:lang w:val="lt-LT"/>
          <w14:ligatures w14:val="none"/>
        </w:rPr>
        <w:noBreakHyphen/>
      </w:r>
      <w:proofErr w:type="spellStart"/>
      <w:r w:rsidRPr="00F931D9">
        <w:rPr>
          <w:rFonts w:ascii="Times New Roman" w:hAnsi="Times New Roman"/>
          <w:kern w:val="0"/>
          <w:sz w:val="22"/>
          <w:lang w:val="lt-LT"/>
          <w14:ligatures w14:val="none"/>
        </w:rPr>
        <w:t>gp</w:t>
      </w:r>
      <w:proofErr w:type="spellEnd"/>
      <w:r w:rsidRPr="00F931D9">
        <w:rPr>
          <w:rFonts w:ascii="Times New Roman" w:hAnsi="Times New Roman"/>
          <w:kern w:val="0"/>
          <w:sz w:val="22"/>
          <w:lang w:val="lt-LT"/>
          <w14:ligatures w14:val="none"/>
        </w:rPr>
        <w:t xml:space="preserve">, angl. </w:t>
      </w:r>
      <w:proofErr w:type="spellStart"/>
      <w:r w:rsidRPr="00F931D9">
        <w:rPr>
          <w:rFonts w:ascii="Times New Roman" w:hAnsi="Times New Roman"/>
          <w:i/>
          <w:kern w:val="0"/>
          <w:sz w:val="22"/>
          <w:lang w:val="lt-LT"/>
          <w14:ligatures w14:val="none"/>
        </w:rPr>
        <w:t>multidrug</w:t>
      </w:r>
      <w:proofErr w:type="spellEnd"/>
      <w:r w:rsidRPr="00F931D9">
        <w:rPr>
          <w:rFonts w:ascii="Times New Roman" w:hAnsi="Times New Roman"/>
          <w:i/>
          <w:kern w:val="0"/>
          <w:sz w:val="22"/>
          <w:lang w:val="lt-LT"/>
          <w14:ligatures w14:val="none"/>
        </w:rPr>
        <w:t xml:space="preserve"> </w:t>
      </w:r>
      <w:proofErr w:type="spellStart"/>
      <w:r w:rsidRPr="00F931D9">
        <w:rPr>
          <w:rFonts w:ascii="Times New Roman" w:hAnsi="Times New Roman"/>
          <w:i/>
          <w:kern w:val="0"/>
          <w:sz w:val="22"/>
          <w:lang w:val="lt-LT"/>
          <w14:ligatures w14:val="none"/>
        </w:rPr>
        <w:t>efflux</w:t>
      </w:r>
      <w:proofErr w:type="spellEnd"/>
      <w:r w:rsidRPr="00F931D9">
        <w:rPr>
          <w:rFonts w:ascii="Times New Roman" w:hAnsi="Times New Roman"/>
          <w:i/>
          <w:kern w:val="0"/>
          <w:sz w:val="22"/>
          <w:lang w:val="lt-LT"/>
          <w14:ligatures w14:val="none"/>
        </w:rPr>
        <w:t xml:space="preserve"> </w:t>
      </w:r>
      <w:proofErr w:type="spellStart"/>
      <w:r w:rsidRPr="00F931D9">
        <w:rPr>
          <w:rFonts w:ascii="Times New Roman" w:hAnsi="Times New Roman"/>
          <w:i/>
          <w:kern w:val="0"/>
          <w:sz w:val="22"/>
          <w:lang w:val="lt-LT"/>
          <w14:ligatures w14:val="none"/>
        </w:rPr>
        <w:t>transporter</w:t>
      </w:r>
      <w:proofErr w:type="spellEnd"/>
      <w:r w:rsidRPr="00F931D9">
        <w:rPr>
          <w:rFonts w:ascii="Times New Roman" w:hAnsi="Times New Roman"/>
          <w:i/>
          <w:kern w:val="0"/>
          <w:sz w:val="22"/>
          <w:lang w:val="lt-LT"/>
          <w14:ligatures w14:val="none"/>
        </w:rPr>
        <w:t xml:space="preserve"> P-</w:t>
      </w:r>
      <w:proofErr w:type="spellStart"/>
      <w:r w:rsidRPr="00F931D9">
        <w:rPr>
          <w:rFonts w:ascii="Times New Roman" w:hAnsi="Times New Roman"/>
          <w:i/>
          <w:kern w:val="0"/>
          <w:sz w:val="22"/>
          <w:lang w:val="lt-LT"/>
          <w14:ligatures w14:val="none"/>
        </w:rPr>
        <w:t>glycoprotein</w:t>
      </w:r>
      <w:proofErr w:type="spellEnd"/>
      <w:r w:rsidRPr="00F931D9">
        <w:rPr>
          <w:rFonts w:ascii="Times New Roman" w:hAnsi="Times New Roman"/>
          <w:kern w:val="0"/>
          <w:sz w:val="22"/>
          <w:lang w:val="lt-LT"/>
          <w14:ligatures w14:val="none"/>
        </w:rPr>
        <w:t xml:space="preserve">) ar organinių anijonų pernašos baltymų (angl. </w:t>
      </w:r>
      <w:proofErr w:type="spellStart"/>
      <w:r w:rsidRPr="00F931D9">
        <w:rPr>
          <w:rFonts w:ascii="Times New Roman" w:hAnsi="Times New Roman"/>
          <w:i/>
          <w:kern w:val="0"/>
          <w:sz w:val="22"/>
          <w:lang w:val="lt-LT"/>
          <w14:ligatures w14:val="none"/>
        </w:rPr>
        <w:t>organic</w:t>
      </w:r>
      <w:proofErr w:type="spellEnd"/>
      <w:r w:rsidRPr="00F931D9">
        <w:rPr>
          <w:rFonts w:ascii="Times New Roman" w:hAnsi="Times New Roman"/>
          <w:i/>
          <w:kern w:val="0"/>
          <w:sz w:val="22"/>
          <w:lang w:val="lt-LT"/>
          <w14:ligatures w14:val="none"/>
        </w:rPr>
        <w:t xml:space="preserve"> </w:t>
      </w:r>
      <w:proofErr w:type="spellStart"/>
      <w:r w:rsidRPr="00F931D9">
        <w:rPr>
          <w:rFonts w:ascii="Times New Roman" w:hAnsi="Times New Roman"/>
          <w:i/>
          <w:kern w:val="0"/>
          <w:sz w:val="22"/>
          <w:lang w:val="lt-LT"/>
          <w14:ligatures w14:val="none"/>
        </w:rPr>
        <w:t>anion</w:t>
      </w:r>
      <w:proofErr w:type="spellEnd"/>
      <w:r w:rsidRPr="00F931D9">
        <w:rPr>
          <w:rFonts w:ascii="Times New Roman" w:hAnsi="Times New Roman"/>
          <w:i/>
          <w:kern w:val="0"/>
          <w:sz w:val="22"/>
          <w:lang w:val="lt-LT"/>
          <w14:ligatures w14:val="none"/>
        </w:rPr>
        <w:t xml:space="preserve"> </w:t>
      </w:r>
      <w:proofErr w:type="spellStart"/>
      <w:r w:rsidRPr="00F931D9">
        <w:rPr>
          <w:rFonts w:ascii="Times New Roman" w:hAnsi="Times New Roman"/>
          <w:i/>
          <w:kern w:val="0"/>
          <w:sz w:val="22"/>
          <w:lang w:val="lt-LT"/>
          <w14:ligatures w14:val="none"/>
        </w:rPr>
        <w:t>transporter</w:t>
      </w:r>
      <w:proofErr w:type="spellEnd"/>
      <w:r w:rsidRPr="00F931D9">
        <w:rPr>
          <w:rFonts w:ascii="Times New Roman" w:hAnsi="Times New Roman"/>
          <w:i/>
          <w:kern w:val="0"/>
          <w:sz w:val="22"/>
          <w:lang w:val="lt-LT"/>
          <w14:ligatures w14:val="none"/>
        </w:rPr>
        <w:t xml:space="preserve"> </w:t>
      </w:r>
      <w:proofErr w:type="spellStart"/>
      <w:r w:rsidRPr="00F931D9">
        <w:rPr>
          <w:rFonts w:ascii="Times New Roman" w:hAnsi="Times New Roman"/>
          <w:i/>
          <w:kern w:val="0"/>
          <w:sz w:val="22"/>
          <w:lang w:val="lt-LT"/>
          <w14:ligatures w14:val="none"/>
        </w:rPr>
        <w:t>proteins</w:t>
      </w:r>
      <w:proofErr w:type="spellEnd"/>
      <w:r w:rsidRPr="00F931D9">
        <w:rPr>
          <w:rFonts w:ascii="Times New Roman" w:hAnsi="Times New Roman"/>
          <w:kern w:val="0"/>
          <w:sz w:val="22"/>
          <w:lang w:val="lt-LT"/>
          <w14:ligatures w14:val="none"/>
        </w:rPr>
        <w:t xml:space="preserve">, OATP) substratai ir kurių koncentracijos padidėjimas plazmoje yra susijęs su sunkiais ir (arba) gyvybei pavojingais reiškiniais, pvz., </w:t>
      </w:r>
      <w:proofErr w:type="spellStart"/>
      <w:r w:rsidRPr="00F931D9">
        <w:rPr>
          <w:rFonts w:ascii="Times New Roman" w:hAnsi="Times New Roman"/>
          <w:kern w:val="0"/>
          <w:sz w:val="22"/>
          <w:lang w:val="lt-LT"/>
          <w14:ligatures w14:val="none"/>
        </w:rPr>
        <w:t>bosentano</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dabigatrano</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eteksilato</w:t>
      </w:r>
      <w:proofErr w:type="spellEnd"/>
      <w:r w:rsidRPr="00F931D9">
        <w:rPr>
          <w:rFonts w:ascii="Times New Roman" w:hAnsi="Times New Roman"/>
          <w:kern w:val="0"/>
          <w:sz w:val="22"/>
          <w:lang w:val="lt-LT"/>
          <w14:ligatures w14:val="none"/>
        </w:rPr>
        <w:t xml:space="preserve"> ir </w:t>
      </w:r>
      <w:proofErr w:type="spellStart"/>
      <w:r w:rsidRPr="00F931D9">
        <w:rPr>
          <w:rFonts w:ascii="Times New Roman" w:hAnsi="Times New Roman"/>
          <w:kern w:val="0"/>
          <w:sz w:val="22"/>
          <w:lang w:val="lt-LT"/>
          <w14:ligatures w14:val="none"/>
        </w:rPr>
        <w:t>aliskireno</w:t>
      </w:r>
      <w:proofErr w:type="spellEnd"/>
      <w:r w:rsidRPr="00F931D9">
        <w:rPr>
          <w:rFonts w:ascii="Times New Roman" w:hAnsi="Times New Roman"/>
          <w:kern w:val="0"/>
          <w:sz w:val="22"/>
          <w:lang w:val="lt-LT"/>
          <w14:ligatures w14:val="none"/>
        </w:rPr>
        <w:t xml:space="preserve"> (žr. 4.5 skyrių).</w:t>
      </w:r>
    </w:p>
    <w:p w14:paraId="22DB53F7"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5330F908" w14:textId="77777777" w:rsidR="00323207" w:rsidRPr="00F931D9" w:rsidRDefault="00323207" w:rsidP="00323207">
      <w:pPr>
        <w:keepNext/>
        <w:spacing w:after="0" w:line="240" w:lineRule="auto"/>
        <w:ind w:left="561" w:hanging="561"/>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4.4</w:t>
      </w:r>
      <w:r w:rsidRPr="00F931D9">
        <w:rPr>
          <w:rFonts w:ascii="Times New Roman" w:hAnsi="Times New Roman"/>
          <w:b/>
          <w:kern w:val="0"/>
          <w:sz w:val="22"/>
          <w:lang w:val="lt-LT"/>
          <w14:ligatures w14:val="none"/>
        </w:rPr>
        <w:tab/>
        <w:t>Specialūs įspėjimai ir atsargumo priemonės</w:t>
      </w:r>
    </w:p>
    <w:p w14:paraId="18CE7AA1" w14:textId="77777777" w:rsidR="00323207" w:rsidRPr="00F931D9" w:rsidRDefault="00323207" w:rsidP="00323207">
      <w:pPr>
        <w:keepNext/>
        <w:spacing w:after="0" w:line="240" w:lineRule="auto"/>
        <w:ind w:left="561" w:hanging="561"/>
        <w:rPr>
          <w:rFonts w:ascii="Times New Roman" w:hAnsi="Times New Roman"/>
          <w:kern w:val="0"/>
          <w:sz w:val="22"/>
          <w:lang w:val="lt-LT"/>
          <w14:ligatures w14:val="none"/>
        </w:rPr>
      </w:pPr>
    </w:p>
    <w:p w14:paraId="44433A58" w14:textId="77777777" w:rsidR="00323207" w:rsidRPr="00F931D9" w:rsidRDefault="00323207" w:rsidP="00323207">
      <w:pPr>
        <w:keepNext/>
        <w:spacing w:after="0" w:line="240" w:lineRule="auto"/>
        <w:ind w:left="561" w:hanging="561"/>
        <w:rPr>
          <w:rFonts w:ascii="Times New Roman" w:hAnsi="Times New Roman"/>
          <w:kern w:val="0"/>
          <w:sz w:val="22"/>
          <w:u w:val="single"/>
          <w:lang w:val="lt-LT"/>
          <w14:ligatures w14:val="none"/>
        </w:rPr>
      </w:pPr>
      <w:r w:rsidRPr="00F931D9">
        <w:rPr>
          <w:rFonts w:ascii="Times New Roman" w:hAnsi="Times New Roman"/>
          <w:kern w:val="0"/>
          <w:sz w:val="22"/>
          <w:u w:val="single"/>
          <w:lang w:val="lt-LT"/>
          <w14:ligatures w14:val="none"/>
        </w:rPr>
        <w:t>Paciento būklės stebėjimas</w:t>
      </w:r>
    </w:p>
    <w:p w14:paraId="62222339"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Gydyti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gali tik gydytojas, turintis gydymo </w:t>
      </w:r>
      <w:proofErr w:type="spellStart"/>
      <w:r w:rsidRPr="00F931D9">
        <w:rPr>
          <w:rFonts w:ascii="Times New Roman" w:hAnsi="Times New Roman"/>
          <w:kern w:val="0"/>
          <w:sz w:val="22"/>
          <w:lang w:val="lt-LT"/>
          <w14:ligatures w14:val="none"/>
        </w:rPr>
        <w:t>imunosupresantais</w:t>
      </w:r>
      <w:proofErr w:type="spellEnd"/>
      <w:r w:rsidRPr="00F931D9">
        <w:rPr>
          <w:rFonts w:ascii="Times New Roman" w:hAnsi="Times New Roman"/>
          <w:kern w:val="0"/>
          <w:sz w:val="22"/>
          <w:lang w:val="lt-LT"/>
          <w14:ligatures w14:val="none"/>
        </w:rPr>
        <w:t xml:space="preserve"> patirties ir galintis užtikrinti tinkamą ligonio stebėjimą, įskaitant reguliarų ir išsamų klinikinės būklės ištyrimą, kraujospūdžio matavimą bei laboratorinių saugumo rodmenų kontrolę.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vartojančius ligonius, kuriems atlikta transplantacija, būtina gydyti įstaigose, kuriose yra reikiama laboratorinė ir palaikomajam gydymui būtina įranga. Už palaikomąjį paciento gydymą atsakingas gydytojas turi gauti visą informaciją apie ligonio būklę. </w:t>
      </w:r>
    </w:p>
    <w:p w14:paraId="52AE3911"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00D02895"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r w:rsidRPr="00F931D9">
        <w:rPr>
          <w:rFonts w:ascii="Times New Roman" w:hAnsi="Times New Roman"/>
          <w:kern w:val="0"/>
          <w:sz w:val="22"/>
          <w:u w:val="single"/>
          <w:lang w:val="lt-LT"/>
          <w14:ligatures w14:val="none"/>
        </w:rPr>
        <w:t>Limfomos ir kiti piktybiniai navikai</w:t>
      </w:r>
    </w:p>
    <w:p w14:paraId="4CB182B7"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Ciklosporinas</w:t>
      </w:r>
      <w:proofErr w:type="spellEnd"/>
      <w:r w:rsidRPr="00F931D9">
        <w:rPr>
          <w:rFonts w:ascii="Times New Roman" w:hAnsi="Times New Roman"/>
          <w:kern w:val="0"/>
          <w:sz w:val="22"/>
          <w:lang w:val="lt-LT"/>
          <w14:ligatures w14:val="none"/>
        </w:rPr>
        <w:t xml:space="preserve">, kaip ir kitokie </w:t>
      </w:r>
      <w:proofErr w:type="spellStart"/>
      <w:r w:rsidRPr="00F931D9">
        <w:rPr>
          <w:rFonts w:ascii="Times New Roman" w:hAnsi="Times New Roman"/>
          <w:kern w:val="0"/>
          <w:sz w:val="22"/>
          <w:lang w:val="lt-LT"/>
          <w14:ligatures w14:val="none"/>
        </w:rPr>
        <w:t>imunosupresantai</w:t>
      </w:r>
      <w:proofErr w:type="spellEnd"/>
      <w:r w:rsidRPr="00F931D9">
        <w:rPr>
          <w:rFonts w:ascii="Times New Roman" w:hAnsi="Times New Roman"/>
          <w:kern w:val="0"/>
          <w:sz w:val="22"/>
          <w:lang w:val="lt-LT"/>
          <w14:ligatures w14:val="none"/>
        </w:rPr>
        <w:t xml:space="preserve">, didina limfomų bei kitokių piktybinių navikų, ypač odos, pasireiškimo riziką. Manoma, kad didesnė rizika yra labiau susijusi su imuniteto slopinimo laipsniu ir trukme, negu su vartojamo vaistinio preparato pobūdžiu. </w:t>
      </w:r>
    </w:p>
    <w:p w14:paraId="50F0953A"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3899A2D8"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Vadinasi, vartoti iš karto kelių </w:t>
      </w:r>
      <w:proofErr w:type="spellStart"/>
      <w:r w:rsidRPr="00F931D9">
        <w:rPr>
          <w:rFonts w:ascii="Times New Roman" w:hAnsi="Times New Roman"/>
          <w:kern w:val="0"/>
          <w:sz w:val="22"/>
          <w:lang w:val="lt-LT"/>
          <w14:ligatures w14:val="none"/>
        </w:rPr>
        <w:t>imunosupresantų</w:t>
      </w:r>
      <w:proofErr w:type="spellEnd"/>
      <w:r w:rsidRPr="00F931D9">
        <w:rPr>
          <w:rFonts w:ascii="Times New Roman" w:hAnsi="Times New Roman"/>
          <w:kern w:val="0"/>
          <w:sz w:val="22"/>
          <w:lang w:val="lt-LT"/>
          <w14:ligatures w14:val="none"/>
        </w:rPr>
        <w:t xml:space="preserve"> (įskaitant </w:t>
      </w:r>
      <w:proofErr w:type="spellStart"/>
      <w:r w:rsidRPr="00F931D9">
        <w:rPr>
          <w:rFonts w:ascii="Times New Roman" w:hAnsi="Times New Roman"/>
          <w:kern w:val="0"/>
          <w:sz w:val="22"/>
          <w:lang w:val="lt-LT"/>
          <w14:ligatures w14:val="none"/>
        </w:rPr>
        <w:t>ciklosporiną</w:t>
      </w:r>
      <w:proofErr w:type="spellEnd"/>
      <w:r w:rsidRPr="00F931D9">
        <w:rPr>
          <w:rFonts w:ascii="Times New Roman" w:hAnsi="Times New Roman"/>
          <w:kern w:val="0"/>
          <w:sz w:val="22"/>
          <w:lang w:val="lt-LT"/>
          <w14:ligatures w14:val="none"/>
        </w:rPr>
        <w:t xml:space="preserve">) reikia atsargiai, kadangi gali dažniau pasireikšti </w:t>
      </w:r>
      <w:proofErr w:type="spellStart"/>
      <w:r w:rsidRPr="00F931D9">
        <w:rPr>
          <w:rFonts w:ascii="Times New Roman" w:hAnsi="Times New Roman"/>
          <w:kern w:val="0"/>
          <w:sz w:val="22"/>
          <w:lang w:val="lt-LT"/>
          <w14:ligatures w14:val="none"/>
        </w:rPr>
        <w:t>limfoproliferacinių</w:t>
      </w:r>
      <w:proofErr w:type="spellEnd"/>
      <w:r w:rsidRPr="00F931D9">
        <w:rPr>
          <w:rFonts w:ascii="Times New Roman" w:hAnsi="Times New Roman"/>
          <w:kern w:val="0"/>
          <w:sz w:val="22"/>
          <w:lang w:val="lt-LT"/>
          <w14:ligatures w14:val="none"/>
        </w:rPr>
        <w:t xml:space="preserve"> sutrikimų bei atsirasti </w:t>
      </w:r>
      <w:proofErr w:type="spellStart"/>
      <w:r w:rsidRPr="00F931D9">
        <w:rPr>
          <w:rFonts w:ascii="Times New Roman" w:hAnsi="Times New Roman"/>
          <w:kern w:val="0"/>
          <w:sz w:val="22"/>
          <w:lang w:val="lt-LT"/>
          <w14:ligatures w14:val="none"/>
        </w:rPr>
        <w:t>solidinių</w:t>
      </w:r>
      <w:proofErr w:type="spellEnd"/>
      <w:r w:rsidRPr="00F931D9">
        <w:rPr>
          <w:rFonts w:ascii="Times New Roman" w:hAnsi="Times New Roman"/>
          <w:kern w:val="0"/>
          <w:sz w:val="22"/>
          <w:lang w:val="lt-LT"/>
          <w14:ligatures w14:val="none"/>
        </w:rPr>
        <w:t xml:space="preserve"> organų navikų, kurie kai kuriais atvejais gali lemti mirtį. </w:t>
      </w:r>
    </w:p>
    <w:p w14:paraId="79090AF6"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6AF67F0B"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Atsižvelgiant į galimą piktybinių odos darinių atsiradimo riziką,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vartojančius pacientus, ypatingai šio vaistinio preparato vartojančius žvynelinei ar atopiniam dermatitui gydyti, reikia įspėti vengti pernelyg ilgai būti saulėje be apsaugos priemonių, taip pat jiems negalima kartu skirti gydymo ultravioletiniais B spinduliais ar PUVA </w:t>
      </w:r>
      <w:proofErr w:type="spellStart"/>
      <w:r w:rsidRPr="00F931D9">
        <w:rPr>
          <w:rFonts w:ascii="Times New Roman" w:hAnsi="Times New Roman"/>
          <w:kern w:val="0"/>
          <w:sz w:val="22"/>
          <w:lang w:val="lt-LT"/>
          <w14:ligatures w14:val="none"/>
        </w:rPr>
        <w:t>fotochemoterapijos</w:t>
      </w:r>
      <w:proofErr w:type="spellEnd"/>
      <w:r w:rsidRPr="00F931D9">
        <w:rPr>
          <w:rFonts w:ascii="Times New Roman" w:hAnsi="Times New Roman"/>
          <w:kern w:val="0"/>
          <w:sz w:val="22"/>
          <w:lang w:val="lt-LT"/>
          <w14:ligatures w14:val="none"/>
        </w:rPr>
        <w:t>.</w:t>
      </w:r>
    </w:p>
    <w:p w14:paraId="0D74B69F"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518E9B59"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r w:rsidRPr="00F931D9">
        <w:rPr>
          <w:rFonts w:ascii="Times New Roman" w:hAnsi="Times New Roman"/>
          <w:kern w:val="0"/>
          <w:sz w:val="22"/>
          <w:u w:val="single"/>
          <w:lang w:val="lt-LT"/>
          <w14:ligatures w14:val="none"/>
        </w:rPr>
        <w:t>Infekcijos</w:t>
      </w:r>
    </w:p>
    <w:p w14:paraId="66EA77E7"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Kaip ir kitokie </w:t>
      </w:r>
      <w:proofErr w:type="spellStart"/>
      <w:r w:rsidRPr="00F931D9">
        <w:rPr>
          <w:rFonts w:ascii="Times New Roman" w:hAnsi="Times New Roman"/>
          <w:kern w:val="0"/>
          <w:sz w:val="22"/>
          <w:lang w:val="lt-LT"/>
          <w14:ligatures w14:val="none"/>
        </w:rPr>
        <w:t>imunosupresantai</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ciklosporinas</w:t>
      </w:r>
      <w:proofErr w:type="spellEnd"/>
      <w:r w:rsidRPr="00F931D9">
        <w:rPr>
          <w:rFonts w:ascii="Times New Roman" w:hAnsi="Times New Roman"/>
          <w:kern w:val="0"/>
          <w:sz w:val="22"/>
          <w:lang w:val="lt-LT"/>
          <w14:ligatures w14:val="none"/>
        </w:rPr>
        <w:t xml:space="preserve"> skatina įvairių bakterinių, grybelinių, parazitinių bei virusinių ligų, kurias dažnai sukelia oportunistinės padermės, atsiradimą. Pacientams, vartojantiems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dėl latentinio </w:t>
      </w:r>
      <w:proofErr w:type="spellStart"/>
      <w:r w:rsidRPr="00F931D9">
        <w:rPr>
          <w:rFonts w:ascii="Times New Roman" w:hAnsi="Times New Roman"/>
          <w:kern w:val="0"/>
          <w:sz w:val="22"/>
          <w:lang w:val="lt-LT"/>
          <w14:ligatures w14:val="none"/>
        </w:rPr>
        <w:t>poliomos</w:t>
      </w:r>
      <w:proofErr w:type="spellEnd"/>
      <w:r w:rsidRPr="00F931D9">
        <w:rPr>
          <w:rFonts w:ascii="Times New Roman" w:hAnsi="Times New Roman"/>
          <w:kern w:val="0"/>
          <w:sz w:val="22"/>
          <w:lang w:val="lt-LT"/>
          <w14:ligatures w14:val="none"/>
        </w:rPr>
        <w:t xml:space="preserve"> viruso aktyvavimosi, gali pasireikšti su </w:t>
      </w:r>
      <w:proofErr w:type="spellStart"/>
      <w:r w:rsidRPr="00F931D9">
        <w:rPr>
          <w:rFonts w:ascii="Times New Roman" w:hAnsi="Times New Roman"/>
          <w:kern w:val="0"/>
          <w:sz w:val="22"/>
          <w:lang w:val="lt-LT"/>
          <w14:ligatures w14:val="none"/>
        </w:rPr>
        <w:t>poliomos</w:t>
      </w:r>
      <w:proofErr w:type="spellEnd"/>
      <w:r w:rsidRPr="00F931D9">
        <w:rPr>
          <w:rFonts w:ascii="Times New Roman" w:hAnsi="Times New Roman"/>
          <w:kern w:val="0"/>
          <w:sz w:val="22"/>
          <w:lang w:val="lt-LT"/>
          <w14:ligatures w14:val="none"/>
        </w:rPr>
        <w:t xml:space="preserve"> virusu susijusi </w:t>
      </w:r>
      <w:proofErr w:type="spellStart"/>
      <w:r w:rsidRPr="00F931D9">
        <w:rPr>
          <w:rFonts w:ascii="Times New Roman" w:hAnsi="Times New Roman"/>
          <w:kern w:val="0"/>
          <w:sz w:val="22"/>
          <w:lang w:val="lt-LT"/>
          <w14:ligatures w14:val="none"/>
        </w:rPr>
        <w:t>nefropatija</w:t>
      </w:r>
      <w:proofErr w:type="spellEnd"/>
      <w:r w:rsidRPr="00F931D9">
        <w:rPr>
          <w:rFonts w:ascii="Times New Roman" w:hAnsi="Times New Roman"/>
          <w:kern w:val="0"/>
          <w:sz w:val="22"/>
          <w:lang w:val="lt-LT"/>
          <w14:ligatures w14:val="none"/>
        </w:rPr>
        <w:t xml:space="preserve"> (PVSN), ypač BK viruso </w:t>
      </w:r>
      <w:proofErr w:type="spellStart"/>
      <w:r w:rsidRPr="00F931D9">
        <w:rPr>
          <w:rFonts w:ascii="Times New Roman" w:hAnsi="Times New Roman"/>
          <w:kern w:val="0"/>
          <w:sz w:val="22"/>
          <w:lang w:val="lt-LT"/>
          <w14:ligatures w14:val="none"/>
        </w:rPr>
        <w:t>nefropatija</w:t>
      </w:r>
      <w:proofErr w:type="spellEnd"/>
      <w:r w:rsidRPr="00F931D9">
        <w:rPr>
          <w:rFonts w:ascii="Times New Roman" w:hAnsi="Times New Roman"/>
          <w:kern w:val="0"/>
          <w:sz w:val="22"/>
          <w:lang w:val="lt-LT"/>
          <w14:ligatures w14:val="none"/>
        </w:rPr>
        <w:t xml:space="preserve"> (BKVN), arba su JC virusu susijusi progresuojanti </w:t>
      </w:r>
      <w:proofErr w:type="spellStart"/>
      <w:r w:rsidRPr="00F931D9">
        <w:rPr>
          <w:rFonts w:ascii="Times New Roman" w:hAnsi="Times New Roman"/>
          <w:kern w:val="0"/>
          <w:sz w:val="22"/>
          <w:lang w:val="lt-LT"/>
          <w14:ligatures w14:val="none"/>
        </w:rPr>
        <w:t>daugiažidininė</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leukoencefalopatija</w:t>
      </w:r>
      <w:proofErr w:type="spellEnd"/>
      <w:r w:rsidRPr="00F931D9">
        <w:rPr>
          <w:rFonts w:ascii="Times New Roman" w:hAnsi="Times New Roman"/>
          <w:kern w:val="0"/>
          <w:sz w:val="22"/>
          <w:lang w:val="lt-LT"/>
          <w14:ligatures w14:val="none"/>
        </w:rPr>
        <w:t xml:space="preserve"> (PDL). Šios būklės dažnai yra lydimos stipraus bendro imunitetą slopinančio poveikio, todėl pacientams, kuriems slopinamas imunitetas ir progresuoja inkstų funkcijos sutrikimas arba yra neurologinių simptomų, turi būti apsvarstyta šių būklių diferencinė diagnostika. Gauta pranešimų apie sunkius ir (arba) mirtimi pasibaigusius atvejus. Ligoniams, ypač ilgai gydomiems iš karto keliais </w:t>
      </w:r>
      <w:proofErr w:type="spellStart"/>
      <w:r w:rsidRPr="00F931D9">
        <w:rPr>
          <w:rFonts w:ascii="Times New Roman" w:hAnsi="Times New Roman"/>
          <w:kern w:val="0"/>
          <w:sz w:val="22"/>
          <w:lang w:val="lt-LT"/>
          <w14:ligatures w14:val="none"/>
        </w:rPr>
        <w:t>imunosupresantais</w:t>
      </w:r>
      <w:proofErr w:type="spellEnd"/>
      <w:r w:rsidRPr="00F931D9">
        <w:rPr>
          <w:rFonts w:ascii="Times New Roman" w:hAnsi="Times New Roman"/>
          <w:kern w:val="0"/>
          <w:sz w:val="22"/>
          <w:lang w:val="lt-LT"/>
          <w14:ligatures w14:val="none"/>
        </w:rPr>
        <w:t xml:space="preserve">, reikia taikyti veiksmingas prevencijos ir gydymo priemones. </w:t>
      </w:r>
    </w:p>
    <w:p w14:paraId="4C06B933"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38FBC307"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r w:rsidRPr="00F931D9">
        <w:rPr>
          <w:rFonts w:ascii="Times New Roman" w:hAnsi="Times New Roman"/>
          <w:kern w:val="0"/>
          <w:sz w:val="22"/>
          <w:u w:val="single"/>
          <w:lang w:val="lt-LT"/>
          <w14:ligatures w14:val="none"/>
        </w:rPr>
        <w:lastRenderedPageBreak/>
        <w:t>Toksinis poveikis inkstams</w:t>
      </w:r>
    </w:p>
    <w:p w14:paraId="2D75B3CB"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Gydymo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metu dažnai serume gali padidėti kreatinino ir šlapalo koncentracija (ši komplikacija gali būti sunki). Šie funkciniai pokyčiai priklauso nuo dozės ir iš pradžių yra laikini. Sumažinus vaistinio preparato dozę, jie paprastai išnyksta. Kai kuriems ilgai gydomiems ligoniams gali atsirasti inkstų struktūros pokyčių (pvz., </w:t>
      </w:r>
      <w:proofErr w:type="spellStart"/>
      <w:r w:rsidRPr="00F931D9">
        <w:rPr>
          <w:rFonts w:ascii="Times New Roman" w:hAnsi="Times New Roman"/>
          <w:kern w:val="0"/>
          <w:sz w:val="22"/>
          <w:lang w:val="lt-LT"/>
          <w14:ligatures w14:val="none"/>
        </w:rPr>
        <w:t>intersticinė</w:t>
      </w:r>
      <w:proofErr w:type="spellEnd"/>
      <w:r w:rsidRPr="00F931D9">
        <w:rPr>
          <w:rFonts w:ascii="Times New Roman" w:hAnsi="Times New Roman"/>
          <w:kern w:val="0"/>
          <w:sz w:val="22"/>
          <w:lang w:val="lt-LT"/>
          <w14:ligatures w14:val="none"/>
        </w:rPr>
        <w:t xml:space="preserve"> fibrozė), kuriuos būtina skirti nuo lėtinės atmetimo reakcijos sukeltų pokyčių (jų gali atsirasti pacientams, kuriems persodinti inkstai). Todėl būtina dažnai tirti inkstų funkciją, atsižvelgiant į vietines gaires, kai vaistinio preparato skiriama atitinkamai indikacijai (žr. 4.2 ir 4.8 skyrius).</w:t>
      </w:r>
    </w:p>
    <w:p w14:paraId="177F3AD4"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0700A6D1"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r w:rsidRPr="00F931D9">
        <w:rPr>
          <w:rFonts w:ascii="Times New Roman" w:hAnsi="Times New Roman"/>
          <w:kern w:val="0"/>
          <w:sz w:val="22"/>
          <w:u w:val="single"/>
          <w:lang w:val="lt-LT"/>
          <w14:ligatures w14:val="none"/>
        </w:rPr>
        <w:t>Toksinis poveikis kepenims</w:t>
      </w:r>
    </w:p>
    <w:p w14:paraId="3F0C648F"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taip pat gali sukelti nuo dozės priklausomą, laikiną </w:t>
      </w:r>
      <w:proofErr w:type="spellStart"/>
      <w:r w:rsidRPr="00F931D9">
        <w:rPr>
          <w:rFonts w:ascii="Times New Roman" w:hAnsi="Times New Roman"/>
          <w:kern w:val="0"/>
          <w:sz w:val="22"/>
          <w:lang w:val="lt-LT"/>
          <w14:ligatures w14:val="none"/>
        </w:rPr>
        <w:t>bilirubino</w:t>
      </w:r>
      <w:proofErr w:type="spellEnd"/>
      <w:r w:rsidRPr="00F931D9">
        <w:rPr>
          <w:rFonts w:ascii="Times New Roman" w:hAnsi="Times New Roman"/>
          <w:kern w:val="0"/>
          <w:sz w:val="22"/>
          <w:lang w:val="lt-LT"/>
          <w14:ligatures w14:val="none"/>
        </w:rPr>
        <w:t xml:space="preserve"> koncentracijos serume ir, retkarčiais, kepenų fermentų aktyvumo padidėjimą (žr. 4.8 skyrių). Vaistiniam preparatui patekus į rinką, sužinota ar gauta spontaninių pranešimų apie </w:t>
      </w:r>
      <w:proofErr w:type="spellStart"/>
      <w:r w:rsidRPr="00F931D9">
        <w:rPr>
          <w:rFonts w:ascii="Times New Roman" w:hAnsi="Times New Roman"/>
          <w:kern w:val="0"/>
          <w:sz w:val="22"/>
          <w:lang w:val="lt-LT"/>
          <w14:ligatures w14:val="none"/>
        </w:rPr>
        <w:t>ciklosporinu</w:t>
      </w:r>
      <w:proofErr w:type="spellEnd"/>
      <w:r w:rsidRPr="00F931D9">
        <w:rPr>
          <w:rFonts w:ascii="Times New Roman" w:hAnsi="Times New Roman"/>
          <w:kern w:val="0"/>
          <w:sz w:val="22"/>
          <w:lang w:val="lt-LT"/>
          <w14:ligatures w14:val="none"/>
        </w:rPr>
        <w:t xml:space="preserve"> gydytiems pacientams pasireiškusius toksinio poveikio kepenims ir kepenų pažeidimo, įskaitant </w:t>
      </w:r>
      <w:proofErr w:type="spellStart"/>
      <w:r w:rsidRPr="00F931D9">
        <w:rPr>
          <w:rFonts w:ascii="Times New Roman" w:hAnsi="Times New Roman"/>
          <w:kern w:val="0"/>
          <w:sz w:val="22"/>
          <w:lang w:val="lt-LT"/>
          <w14:ligatures w14:val="none"/>
        </w:rPr>
        <w:t>cholestazės</w:t>
      </w:r>
      <w:proofErr w:type="spellEnd"/>
      <w:r w:rsidRPr="00F931D9">
        <w:rPr>
          <w:rFonts w:ascii="Times New Roman" w:hAnsi="Times New Roman"/>
          <w:kern w:val="0"/>
          <w:sz w:val="22"/>
          <w:lang w:val="lt-LT"/>
          <w14:ligatures w14:val="none"/>
        </w:rPr>
        <w:t>, geltos, hepatito ir kepenų nepakankamumo, atvejus. Daugeliu praneštų atvejų pacientai sirgo ir kitomis reikšmingomis ligomis ar jiems buvo kitų tokius sutrikimus galinčių lemti būklių bei buvo kitų netikslų vertinimą galinčių lemti veiksnių, įskaitant infekcines komplikacijas ir kartu vartojamus kitus toksinį poveikį kepenims galinčius sukelti vaistinius preparatus. Kai kuriais atvejais, daugiausia pacientams po transplantacijos, pranešta apie mirtį lėmusius poveikius (žr. 4.8 skyrių). Būtina dažnai tirti kepenų funkcijos rodiklius, o nustačius šių rodiklių pokyčių gali reikėti mažinti vaistinio preparato dozę (žr. 4.2 ir 5.2 skyrius).</w:t>
      </w:r>
    </w:p>
    <w:p w14:paraId="597AAA79"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51EACCB5" w14:textId="77777777" w:rsidR="00323207" w:rsidRPr="00F931D9" w:rsidRDefault="00323207" w:rsidP="00323207">
      <w:pPr>
        <w:spacing w:after="0" w:line="240" w:lineRule="auto"/>
        <w:rPr>
          <w:rFonts w:ascii="Times New Roman" w:hAnsi="Times New Roman"/>
          <w:kern w:val="0"/>
          <w:sz w:val="22"/>
          <w:u w:val="single"/>
          <w:lang w:val="lt-LT"/>
          <w14:ligatures w14:val="none"/>
        </w:rPr>
      </w:pPr>
      <w:r w:rsidRPr="00F931D9">
        <w:rPr>
          <w:rFonts w:ascii="Times New Roman" w:hAnsi="Times New Roman"/>
          <w:kern w:val="0"/>
          <w:sz w:val="22"/>
          <w:u w:val="single"/>
          <w:lang w:val="lt-LT"/>
          <w14:ligatures w14:val="none"/>
        </w:rPr>
        <w:t>Senyviems pacientams (65 metų ir vyresniems)</w:t>
      </w:r>
    </w:p>
    <w:p w14:paraId="37BC130C"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Senyviems pacientams inkstų funkciją reikia stebėti ypatingai atidžiai.</w:t>
      </w:r>
    </w:p>
    <w:p w14:paraId="45337E4A"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6380A8EF"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u w:val="single"/>
          <w:lang w:val="lt-LT"/>
          <w14:ligatures w14:val="none"/>
        </w:rPr>
        <w:t>Ciklosporino</w:t>
      </w:r>
      <w:proofErr w:type="spellEnd"/>
      <w:r w:rsidRPr="00F931D9">
        <w:rPr>
          <w:rFonts w:ascii="Times New Roman" w:hAnsi="Times New Roman"/>
          <w:kern w:val="0"/>
          <w:sz w:val="22"/>
          <w:u w:val="single"/>
          <w:lang w:val="lt-LT"/>
          <w14:ligatures w14:val="none"/>
        </w:rPr>
        <w:t xml:space="preserve"> koncentracijos stebėjimas (žr. 4.2 skyrių)</w:t>
      </w:r>
    </w:p>
    <w:p w14:paraId="59DDC0AC"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Laikantis saugumo reikalavimų,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vartojantiems pacientams po transplantacijos reikia reguliariai tirti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koncentraciją kraujyje.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(pirminio vaistinio preparato) kiekiui kraujyje stebėti geriau tinka specifinių </w:t>
      </w:r>
      <w:proofErr w:type="spellStart"/>
      <w:r w:rsidRPr="00F931D9">
        <w:rPr>
          <w:rFonts w:ascii="Times New Roman" w:hAnsi="Times New Roman"/>
          <w:kern w:val="0"/>
          <w:sz w:val="22"/>
          <w:lang w:val="lt-LT"/>
          <w14:ligatures w14:val="none"/>
        </w:rPr>
        <w:t>monokloninių</w:t>
      </w:r>
      <w:proofErr w:type="spellEnd"/>
      <w:r w:rsidRPr="00F931D9">
        <w:rPr>
          <w:rFonts w:ascii="Times New Roman" w:hAnsi="Times New Roman"/>
          <w:kern w:val="0"/>
          <w:sz w:val="22"/>
          <w:lang w:val="lt-LT"/>
          <w14:ligatures w14:val="none"/>
        </w:rPr>
        <w:t xml:space="preserve"> antikūnų metodas. Be to, galima naudoti ir HPLC (angl. </w:t>
      </w:r>
      <w:proofErr w:type="spellStart"/>
      <w:r w:rsidRPr="00F931D9">
        <w:rPr>
          <w:rFonts w:ascii="Times New Roman" w:hAnsi="Times New Roman"/>
          <w:i/>
          <w:kern w:val="0"/>
          <w:sz w:val="22"/>
          <w:lang w:val="lt-LT"/>
          <w14:ligatures w14:val="none"/>
        </w:rPr>
        <w:t>High-performance</w:t>
      </w:r>
      <w:proofErr w:type="spellEnd"/>
      <w:r w:rsidRPr="00F931D9">
        <w:rPr>
          <w:rFonts w:ascii="Times New Roman" w:hAnsi="Times New Roman"/>
          <w:i/>
          <w:kern w:val="0"/>
          <w:sz w:val="22"/>
          <w:lang w:val="lt-LT"/>
          <w14:ligatures w14:val="none"/>
        </w:rPr>
        <w:t xml:space="preserve"> </w:t>
      </w:r>
      <w:proofErr w:type="spellStart"/>
      <w:r w:rsidRPr="00F931D9">
        <w:rPr>
          <w:rFonts w:ascii="Times New Roman" w:hAnsi="Times New Roman"/>
          <w:i/>
          <w:kern w:val="0"/>
          <w:sz w:val="22"/>
          <w:lang w:val="lt-LT"/>
          <w14:ligatures w14:val="none"/>
        </w:rPr>
        <w:t>Liquid</w:t>
      </w:r>
      <w:proofErr w:type="spellEnd"/>
      <w:r w:rsidRPr="00F931D9">
        <w:rPr>
          <w:rFonts w:ascii="Times New Roman" w:hAnsi="Times New Roman"/>
          <w:i/>
          <w:kern w:val="0"/>
          <w:sz w:val="22"/>
          <w:lang w:val="lt-LT"/>
          <w14:ligatures w14:val="none"/>
        </w:rPr>
        <w:t xml:space="preserve"> </w:t>
      </w:r>
      <w:proofErr w:type="spellStart"/>
      <w:r w:rsidRPr="00F931D9">
        <w:rPr>
          <w:rFonts w:ascii="Times New Roman" w:hAnsi="Times New Roman"/>
          <w:i/>
          <w:kern w:val="0"/>
          <w:sz w:val="22"/>
          <w:lang w:val="lt-LT"/>
          <w14:ligatures w14:val="none"/>
        </w:rPr>
        <w:t>Chromatography</w:t>
      </w:r>
      <w:proofErr w:type="spellEnd"/>
      <w:r w:rsidRPr="00F931D9">
        <w:rPr>
          <w:rFonts w:ascii="Times New Roman" w:hAnsi="Times New Roman"/>
          <w:kern w:val="0"/>
          <w:sz w:val="22"/>
          <w:lang w:val="lt-LT"/>
          <w14:ligatures w14:val="none"/>
        </w:rPr>
        <w:t xml:space="preserve">) metodą, kadangi juo taip pat nustatomas pirminis vaistinis preparatas. Jei tyrimui naudojama plazma ar serumas, reikia laikytis laiko ir temperatūros, nurodytų standartinio atskyrimo protokole. Kad ligoniams, kuriems persodintos kepenys, būtų užtikrintas dozavimas, sukeliantis pakankamą imuniteto slopinimą, iš pradžių koncentraciją reikia stebėti naudojant specifinių </w:t>
      </w:r>
      <w:proofErr w:type="spellStart"/>
      <w:r w:rsidRPr="00F931D9">
        <w:rPr>
          <w:rFonts w:ascii="Times New Roman" w:hAnsi="Times New Roman"/>
          <w:kern w:val="0"/>
          <w:sz w:val="22"/>
          <w:lang w:val="lt-LT"/>
          <w14:ligatures w14:val="none"/>
        </w:rPr>
        <w:t>monokloninių</w:t>
      </w:r>
      <w:proofErr w:type="spellEnd"/>
      <w:r w:rsidRPr="00F931D9">
        <w:rPr>
          <w:rFonts w:ascii="Times New Roman" w:hAnsi="Times New Roman"/>
          <w:kern w:val="0"/>
          <w:sz w:val="22"/>
          <w:lang w:val="lt-LT"/>
          <w14:ligatures w14:val="none"/>
        </w:rPr>
        <w:t xml:space="preserve"> antikūnų arba kartu specifinių </w:t>
      </w:r>
      <w:proofErr w:type="spellStart"/>
      <w:r w:rsidRPr="00F931D9">
        <w:rPr>
          <w:rFonts w:ascii="Times New Roman" w:hAnsi="Times New Roman"/>
          <w:kern w:val="0"/>
          <w:sz w:val="22"/>
          <w:lang w:val="lt-LT"/>
          <w14:ligatures w14:val="none"/>
        </w:rPr>
        <w:t>monokloninių</w:t>
      </w:r>
      <w:proofErr w:type="spellEnd"/>
      <w:r w:rsidRPr="00F931D9">
        <w:rPr>
          <w:rFonts w:ascii="Times New Roman" w:hAnsi="Times New Roman"/>
          <w:kern w:val="0"/>
          <w:sz w:val="22"/>
          <w:lang w:val="lt-LT"/>
          <w14:ligatures w14:val="none"/>
        </w:rPr>
        <w:t xml:space="preserve"> antikūnų bei nespecifinių </w:t>
      </w:r>
      <w:proofErr w:type="spellStart"/>
      <w:r w:rsidRPr="00F931D9">
        <w:rPr>
          <w:rFonts w:ascii="Times New Roman" w:hAnsi="Times New Roman"/>
          <w:kern w:val="0"/>
          <w:sz w:val="22"/>
          <w:lang w:val="lt-LT"/>
          <w14:ligatures w14:val="none"/>
        </w:rPr>
        <w:t>monokloninių</w:t>
      </w:r>
      <w:proofErr w:type="spellEnd"/>
      <w:r w:rsidRPr="00F931D9">
        <w:rPr>
          <w:rFonts w:ascii="Times New Roman" w:hAnsi="Times New Roman"/>
          <w:kern w:val="0"/>
          <w:sz w:val="22"/>
          <w:lang w:val="lt-LT"/>
          <w14:ligatures w14:val="none"/>
        </w:rPr>
        <w:t xml:space="preserve"> antikūnų metodą. </w:t>
      </w:r>
    </w:p>
    <w:p w14:paraId="2B357D3F"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3E12AFE8"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Vaistinio preparato skiriant ne transplantacijos indikacijoms, rekomenduojama retkarčiais ištirti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koncentraciją kraujyje, pvz., kai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skiriama kartu su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farmakokinetiką galinčiomis pakeisti medžiagomis arba pasireiškus neįprastam klinikiniam atsakui (pvz., nustačius veiksmingumo stoką ar padidėjusį vaistinio preparato netoleravimą, kaip antai, sutrikusią inkstų funkciją).</w:t>
      </w:r>
    </w:p>
    <w:p w14:paraId="6DF31ED6"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Būtina prisiminti, kad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koncentracija kraujyje, plazmoje ir serume yra tik vienas iš daugelio veiksnių, darančių įtaką paciento sveikatos būklei, todėl dozuojant jais galima vadovautis tik kartu atsižvelgiant į kitus klinikinių ir laboratorinių tyrimų rodmenis.</w:t>
      </w:r>
    </w:p>
    <w:p w14:paraId="22F2E37E"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5B0E140A"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r w:rsidRPr="00F931D9">
        <w:rPr>
          <w:rFonts w:ascii="Times New Roman" w:hAnsi="Times New Roman"/>
          <w:kern w:val="0"/>
          <w:sz w:val="22"/>
          <w:u w:val="single"/>
          <w:lang w:val="lt-LT"/>
          <w14:ligatures w14:val="none"/>
        </w:rPr>
        <w:t>Hipertenzija</w:t>
      </w:r>
    </w:p>
    <w:p w14:paraId="4623B779"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Gydant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būtina reguliariai matuoti kraujospūdį. Jei atsiranda hipertenzija, būtina pradėti vartoti tinkamų vaistinių preparatų nuo hipertenzijos. Rekomenduojama rinktis tuos vaistinius preparatus nuo hipertenzijos, kurie neturi įtakos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farmakokinetikai, pvz., </w:t>
      </w:r>
      <w:proofErr w:type="spellStart"/>
      <w:r w:rsidRPr="00F931D9">
        <w:rPr>
          <w:rFonts w:ascii="Times New Roman" w:hAnsi="Times New Roman"/>
          <w:kern w:val="0"/>
          <w:sz w:val="22"/>
          <w:lang w:val="lt-LT"/>
          <w14:ligatures w14:val="none"/>
        </w:rPr>
        <w:t>isradipiną</w:t>
      </w:r>
      <w:proofErr w:type="spellEnd"/>
      <w:r w:rsidRPr="00F931D9">
        <w:rPr>
          <w:rFonts w:ascii="Times New Roman" w:hAnsi="Times New Roman"/>
          <w:kern w:val="0"/>
          <w:sz w:val="22"/>
          <w:lang w:val="lt-LT"/>
          <w14:ligatures w14:val="none"/>
        </w:rPr>
        <w:t xml:space="preserve"> (žr. 4.5 skyrių).</w:t>
      </w:r>
    </w:p>
    <w:p w14:paraId="63426FC0"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06C60DF1" w14:textId="77777777" w:rsidR="00323207" w:rsidRPr="00F931D9" w:rsidRDefault="00323207" w:rsidP="00323207">
      <w:pPr>
        <w:keepNext/>
        <w:autoSpaceDE w:val="0"/>
        <w:autoSpaceDN w:val="0"/>
        <w:adjustRightInd w:val="0"/>
        <w:spacing w:after="0" w:line="240" w:lineRule="auto"/>
        <w:rPr>
          <w:rFonts w:ascii="Times New Roman" w:hAnsi="Times New Roman"/>
          <w:kern w:val="0"/>
          <w:sz w:val="22"/>
          <w:lang w:val="lt-LT"/>
          <w14:ligatures w14:val="none"/>
        </w:rPr>
      </w:pPr>
      <w:r w:rsidRPr="00F931D9">
        <w:rPr>
          <w:rFonts w:ascii="Times New Roman" w:hAnsi="Times New Roman"/>
          <w:kern w:val="0"/>
          <w:sz w:val="22"/>
          <w:u w:val="single"/>
          <w:lang w:val="lt-LT"/>
          <w14:ligatures w14:val="none"/>
        </w:rPr>
        <w:t>Padidėjęs lipidų kiekis kraujyje</w:t>
      </w:r>
    </w:p>
    <w:p w14:paraId="77118D52"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Pranešta atvejų, kad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vartojančių pacientų kraujyje laikinai šiek tiek padidėja lipidų kiekis, todėl prieš gydymą ir po pirmojo mėnesio nuo jo pradžios patariama nustatyti lipidų kiekį kraujyje. Jei jis padidėjęs, rekomenduojama apsvarstyti, ar nereikėtų mažinti riebalų kiekio maiste ir, jei galima, mažinti vaistinio preparato dozės.</w:t>
      </w:r>
    </w:p>
    <w:p w14:paraId="77677A85"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57D44AB5"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u w:val="single"/>
          <w:lang w:val="lt-LT"/>
          <w14:ligatures w14:val="none"/>
        </w:rPr>
        <w:lastRenderedPageBreak/>
        <w:t>Hiperkalemija</w:t>
      </w:r>
      <w:proofErr w:type="spellEnd"/>
    </w:p>
    <w:p w14:paraId="0642EE7B"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Vartojant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didėja </w:t>
      </w:r>
      <w:proofErr w:type="spellStart"/>
      <w:r w:rsidRPr="00F931D9">
        <w:rPr>
          <w:rFonts w:ascii="Times New Roman" w:hAnsi="Times New Roman"/>
          <w:kern w:val="0"/>
          <w:sz w:val="22"/>
          <w:lang w:val="lt-LT"/>
          <w14:ligatures w14:val="none"/>
        </w:rPr>
        <w:t>hiperkalemijos</w:t>
      </w:r>
      <w:proofErr w:type="spellEnd"/>
      <w:r w:rsidRPr="00F931D9">
        <w:rPr>
          <w:rFonts w:ascii="Times New Roman" w:hAnsi="Times New Roman"/>
          <w:kern w:val="0"/>
          <w:sz w:val="22"/>
          <w:lang w:val="lt-LT"/>
          <w14:ligatures w14:val="none"/>
        </w:rPr>
        <w:t xml:space="preserve"> pasireiškimo rizika, ypač ligoniams, kuriems yra inkstų veiklos sutrikimas. Be to,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būtina atsargiai skirti kartu su kalį organizme sulaikančiais vaistiniais preparatais (pvz., kalį sulaikančiais diuretikais, </w:t>
      </w:r>
      <w:proofErr w:type="spellStart"/>
      <w:r w:rsidRPr="00F931D9">
        <w:rPr>
          <w:rFonts w:ascii="Times New Roman" w:hAnsi="Times New Roman"/>
          <w:kern w:val="0"/>
          <w:sz w:val="22"/>
          <w:lang w:val="lt-LT"/>
          <w14:ligatures w14:val="none"/>
        </w:rPr>
        <w:t>angiotenziną</w:t>
      </w:r>
      <w:proofErr w:type="spellEnd"/>
      <w:r w:rsidRPr="00F931D9">
        <w:rPr>
          <w:rFonts w:ascii="Times New Roman" w:hAnsi="Times New Roman"/>
          <w:kern w:val="0"/>
          <w:sz w:val="22"/>
          <w:lang w:val="lt-LT"/>
          <w14:ligatures w14:val="none"/>
        </w:rPr>
        <w:t xml:space="preserve"> konvertuojančio fermento (AKF) inhibitoriais, </w:t>
      </w:r>
      <w:proofErr w:type="spellStart"/>
      <w:r w:rsidRPr="00F931D9">
        <w:rPr>
          <w:rFonts w:ascii="Times New Roman" w:hAnsi="Times New Roman"/>
          <w:kern w:val="0"/>
          <w:sz w:val="22"/>
          <w:lang w:val="lt-LT"/>
          <w14:ligatures w14:val="none"/>
        </w:rPr>
        <w:t>angiotenzino</w:t>
      </w:r>
      <w:proofErr w:type="spellEnd"/>
      <w:r w:rsidRPr="00F931D9">
        <w:rPr>
          <w:rFonts w:ascii="Times New Roman" w:hAnsi="Times New Roman"/>
          <w:kern w:val="0"/>
          <w:sz w:val="22"/>
          <w:lang w:val="lt-LT"/>
          <w14:ligatures w14:val="none"/>
        </w:rPr>
        <w:t xml:space="preserve"> II receptorių blokatoriais) ir vaistiniais preparatais, kurių sudėtyje yra kalio, bei valgant maistą, kuriame yra gausu kalio. Tokiu atveju patariama stebėti kalio kiekį kraujyje.</w:t>
      </w:r>
    </w:p>
    <w:p w14:paraId="50C3874D"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782A6BA9"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u w:val="single"/>
          <w:lang w:val="lt-LT"/>
          <w14:ligatures w14:val="none"/>
        </w:rPr>
        <w:t>Hipomagnezemija</w:t>
      </w:r>
      <w:proofErr w:type="spellEnd"/>
    </w:p>
    <w:p w14:paraId="0E7138AB"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Ciklosporinas</w:t>
      </w:r>
      <w:proofErr w:type="spellEnd"/>
      <w:r w:rsidRPr="00F931D9">
        <w:rPr>
          <w:rFonts w:ascii="Times New Roman" w:hAnsi="Times New Roman"/>
          <w:kern w:val="0"/>
          <w:sz w:val="22"/>
          <w:lang w:val="lt-LT"/>
          <w14:ligatures w14:val="none"/>
        </w:rPr>
        <w:t xml:space="preserve"> didina magnio klirensą, todėl gali atsirasti simptominė </w:t>
      </w:r>
      <w:proofErr w:type="spellStart"/>
      <w:r w:rsidRPr="00F931D9">
        <w:rPr>
          <w:rFonts w:ascii="Times New Roman" w:hAnsi="Times New Roman"/>
          <w:kern w:val="0"/>
          <w:sz w:val="22"/>
          <w:lang w:val="lt-LT"/>
          <w14:ligatures w14:val="none"/>
        </w:rPr>
        <w:t>hipomagnezemija</w:t>
      </w:r>
      <w:proofErr w:type="spellEnd"/>
      <w:r w:rsidRPr="00F931D9">
        <w:rPr>
          <w:rFonts w:ascii="Times New Roman" w:hAnsi="Times New Roman"/>
          <w:kern w:val="0"/>
          <w:sz w:val="22"/>
          <w:lang w:val="lt-LT"/>
          <w14:ligatures w14:val="none"/>
        </w:rPr>
        <w:t xml:space="preserve">, ypač </w:t>
      </w:r>
      <w:proofErr w:type="spellStart"/>
      <w:r w:rsidRPr="00F931D9">
        <w:rPr>
          <w:rFonts w:ascii="Times New Roman" w:hAnsi="Times New Roman"/>
          <w:kern w:val="0"/>
          <w:sz w:val="22"/>
          <w:lang w:val="lt-LT"/>
          <w14:ligatures w14:val="none"/>
        </w:rPr>
        <w:t>peritransplantaciniu</w:t>
      </w:r>
      <w:proofErr w:type="spellEnd"/>
      <w:r w:rsidRPr="00F931D9">
        <w:rPr>
          <w:rFonts w:ascii="Times New Roman" w:hAnsi="Times New Roman"/>
          <w:kern w:val="0"/>
          <w:sz w:val="22"/>
          <w:lang w:val="lt-LT"/>
          <w14:ligatures w14:val="none"/>
        </w:rPr>
        <w:t xml:space="preserve"> laikotarpiu. Dėl šios priežasties </w:t>
      </w:r>
      <w:proofErr w:type="spellStart"/>
      <w:r w:rsidRPr="00F931D9">
        <w:rPr>
          <w:rFonts w:ascii="Times New Roman" w:hAnsi="Times New Roman"/>
          <w:kern w:val="0"/>
          <w:sz w:val="22"/>
          <w:lang w:val="lt-LT"/>
          <w14:ligatures w14:val="none"/>
        </w:rPr>
        <w:t>peritransplantaciniu</w:t>
      </w:r>
      <w:proofErr w:type="spellEnd"/>
      <w:r w:rsidRPr="00F931D9">
        <w:rPr>
          <w:rFonts w:ascii="Times New Roman" w:hAnsi="Times New Roman"/>
          <w:kern w:val="0"/>
          <w:sz w:val="22"/>
          <w:lang w:val="lt-LT"/>
          <w14:ligatures w14:val="none"/>
        </w:rPr>
        <w:t xml:space="preserve"> laikotarpiu rekomenduojama stebėti magnio kiekį serume, ypač jei yra neurologinių simptomų ar požymių. Jei manoma, jog reikalinga, turėtų būti skiriama magnio papildų.</w:t>
      </w:r>
    </w:p>
    <w:p w14:paraId="2897BEC8"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607EBD25"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u w:val="single"/>
          <w:lang w:val="lt-LT"/>
          <w14:ligatures w14:val="none"/>
        </w:rPr>
        <w:t>Hiperurikemija</w:t>
      </w:r>
      <w:proofErr w:type="spellEnd"/>
    </w:p>
    <w:p w14:paraId="792B2102"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Atsargumas būtinas gydant ligonius, kuriems yra </w:t>
      </w:r>
      <w:proofErr w:type="spellStart"/>
      <w:r w:rsidRPr="00F931D9">
        <w:rPr>
          <w:rFonts w:ascii="Times New Roman" w:hAnsi="Times New Roman"/>
          <w:kern w:val="0"/>
          <w:sz w:val="22"/>
          <w:lang w:val="lt-LT"/>
          <w14:ligatures w14:val="none"/>
        </w:rPr>
        <w:t>hiperurikemija</w:t>
      </w:r>
      <w:proofErr w:type="spellEnd"/>
      <w:r w:rsidRPr="00F931D9">
        <w:rPr>
          <w:rFonts w:ascii="Times New Roman" w:hAnsi="Times New Roman"/>
          <w:kern w:val="0"/>
          <w:sz w:val="22"/>
          <w:lang w:val="lt-LT"/>
          <w14:ligatures w14:val="none"/>
        </w:rPr>
        <w:t>.</w:t>
      </w:r>
    </w:p>
    <w:p w14:paraId="069E5180"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02A95413"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r w:rsidRPr="00F931D9">
        <w:rPr>
          <w:rFonts w:ascii="Times New Roman" w:hAnsi="Times New Roman"/>
          <w:kern w:val="0"/>
          <w:sz w:val="22"/>
          <w:u w:val="single"/>
          <w:lang w:val="lt-LT"/>
          <w14:ligatures w14:val="none"/>
        </w:rPr>
        <w:t xml:space="preserve">Gyvosios </w:t>
      </w:r>
      <w:proofErr w:type="spellStart"/>
      <w:r w:rsidRPr="00F931D9">
        <w:rPr>
          <w:rFonts w:ascii="Times New Roman" w:hAnsi="Times New Roman"/>
          <w:kern w:val="0"/>
          <w:sz w:val="22"/>
          <w:u w:val="single"/>
          <w:lang w:val="lt-LT"/>
          <w14:ligatures w14:val="none"/>
        </w:rPr>
        <w:t>susilpnintos</w:t>
      </w:r>
      <w:proofErr w:type="spellEnd"/>
      <w:r w:rsidRPr="00F931D9">
        <w:rPr>
          <w:rFonts w:ascii="Times New Roman" w:hAnsi="Times New Roman"/>
          <w:kern w:val="0"/>
          <w:sz w:val="22"/>
          <w:u w:val="single"/>
          <w:lang w:val="lt-LT"/>
          <w14:ligatures w14:val="none"/>
        </w:rPr>
        <w:t xml:space="preserve"> vakcinos</w:t>
      </w:r>
    </w:p>
    <w:p w14:paraId="350B15B3"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Ciklosporinu</w:t>
      </w:r>
      <w:proofErr w:type="spellEnd"/>
      <w:r w:rsidRPr="00F931D9">
        <w:rPr>
          <w:rFonts w:ascii="Times New Roman" w:hAnsi="Times New Roman"/>
          <w:kern w:val="0"/>
          <w:sz w:val="22"/>
          <w:lang w:val="lt-LT"/>
          <w14:ligatures w14:val="none"/>
        </w:rPr>
        <w:t xml:space="preserve"> gydomiems ligoniams skiepijimas gali būti mažiau veiksmingas. Tokius pacientus reikia vengti skiepyti gyva susilpnintų ligos sukėlėjų vakcina (žr. 4.5 skyrių).</w:t>
      </w:r>
    </w:p>
    <w:p w14:paraId="054C41BC" w14:textId="77777777" w:rsidR="00323207" w:rsidRPr="00F931D9" w:rsidRDefault="00323207" w:rsidP="00323207">
      <w:pPr>
        <w:spacing w:after="0" w:line="240" w:lineRule="auto"/>
        <w:rPr>
          <w:rFonts w:ascii="Times New Roman" w:hAnsi="Times New Roman"/>
          <w:kern w:val="0"/>
          <w:sz w:val="22"/>
          <w:lang w:val="lt-LT"/>
          <w14:ligatures w14:val="none"/>
        </w:rPr>
      </w:pPr>
    </w:p>
    <w:p w14:paraId="59827B46"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r w:rsidRPr="00F931D9">
        <w:rPr>
          <w:rFonts w:ascii="Times New Roman" w:hAnsi="Times New Roman"/>
          <w:kern w:val="0"/>
          <w:sz w:val="22"/>
          <w:u w:val="single"/>
          <w:lang w:val="lt-LT"/>
          <w14:ligatures w14:val="none"/>
        </w:rPr>
        <w:t>Vaistinių preparatų sąveika</w:t>
      </w:r>
    </w:p>
    <w:p w14:paraId="7DC00C2F" w14:textId="77777777" w:rsidR="00323207" w:rsidRPr="00F931D9" w:rsidRDefault="00323207" w:rsidP="00323207">
      <w:pPr>
        <w:spacing w:after="0" w:line="240" w:lineRule="auto"/>
        <w:rPr>
          <w:rFonts w:ascii="Times New Roman" w:hAnsi="Times New Roman"/>
          <w:color w:val="000000"/>
          <w:kern w:val="0"/>
          <w:sz w:val="22"/>
          <w:lang w:val="lt-LT"/>
          <w14:ligatures w14:val="none"/>
        </w:rPr>
      </w:pPr>
      <w:r w:rsidRPr="00F931D9">
        <w:rPr>
          <w:rFonts w:ascii="Times New Roman" w:hAnsi="Times New Roman"/>
          <w:kern w:val="0"/>
          <w:sz w:val="22"/>
          <w:lang w:val="lt-LT"/>
          <w14:ligatures w14:val="none"/>
        </w:rPr>
        <w:t xml:space="preserve">Būtina laikytis atsargumo priemonių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skiriant kartu su </w:t>
      </w:r>
      <w:r w:rsidRPr="00F931D9">
        <w:rPr>
          <w:rFonts w:ascii="Times New Roman" w:hAnsi="Times New Roman"/>
          <w:color w:val="000000"/>
          <w:kern w:val="0"/>
          <w:sz w:val="22"/>
          <w:lang w:val="lt-LT"/>
          <w14:ligatures w14:val="none"/>
        </w:rPr>
        <w:t>vaistiniais preparatais</w:t>
      </w:r>
      <w:r w:rsidRPr="00F931D9">
        <w:rPr>
          <w:rFonts w:ascii="Times New Roman" w:hAnsi="Times New Roman"/>
          <w:kern w:val="0"/>
          <w:sz w:val="22"/>
          <w:lang w:val="lt-LT"/>
          <w14:ligatures w14:val="none"/>
        </w:rPr>
        <w:t xml:space="preserve">, kurie slopindami ar skatindami </w:t>
      </w:r>
      <w:r w:rsidRPr="00F931D9">
        <w:rPr>
          <w:rFonts w:ascii="Times New Roman" w:hAnsi="Times New Roman"/>
          <w:color w:val="000000"/>
          <w:kern w:val="0"/>
          <w:sz w:val="22"/>
          <w:lang w:val="lt-LT"/>
          <w14:ligatures w14:val="none"/>
        </w:rPr>
        <w:t>CYP3A4 fermentą ir (arba) P</w:t>
      </w:r>
      <w:r w:rsidRPr="00F931D9">
        <w:rPr>
          <w:rFonts w:ascii="Times New Roman" w:hAnsi="Times New Roman"/>
          <w:color w:val="000000"/>
          <w:kern w:val="0"/>
          <w:sz w:val="22"/>
          <w:lang w:val="lt-LT"/>
          <w14:ligatures w14:val="none"/>
        </w:rPr>
        <w:noBreakHyphen/>
      </w:r>
      <w:proofErr w:type="spellStart"/>
      <w:r w:rsidRPr="00F931D9">
        <w:rPr>
          <w:rFonts w:ascii="Times New Roman" w:hAnsi="Times New Roman"/>
          <w:color w:val="000000"/>
          <w:kern w:val="0"/>
          <w:sz w:val="22"/>
          <w:lang w:val="lt-LT"/>
          <w14:ligatures w14:val="none"/>
        </w:rPr>
        <w:t>gp</w:t>
      </w:r>
      <w:proofErr w:type="spellEnd"/>
      <w:r w:rsidRPr="00F931D9">
        <w:rPr>
          <w:rFonts w:ascii="Times New Roman" w:hAnsi="Times New Roman"/>
          <w:color w:val="000000"/>
          <w:kern w:val="0"/>
          <w:sz w:val="22"/>
          <w:lang w:val="lt-LT"/>
          <w14:ligatures w14:val="none"/>
        </w:rPr>
        <w:t xml:space="preserve"> </w:t>
      </w:r>
      <w:r w:rsidRPr="00F931D9">
        <w:rPr>
          <w:rFonts w:ascii="Times New Roman" w:hAnsi="Times New Roman"/>
          <w:kern w:val="0"/>
          <w:sz w:val="22"/>
          <w:lang w:val="lt-LT"/>
          <w14:ligatures w14:val="none"/>
        </w:rPr>
        <w:t>reikšmingai didina ar mažina</w:t>
      </w:r>
      <w:r w:rsidRPr="00F931D9">
        <w:rPr>
          <w:rFonts w:ascii="Times New Roman" w:hAnsi="Times New Roman"/>
          <w:color w:val="000000"/>
          <w:kern w:val="0"/>
          <w:sz w:val="22"/>
          <w:lang w:val="lt-LT"/>
          <w14:ligatures w14:val="none"/>
        </w:rPr>
        <w:t xml:space="preserve">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koncentraciją plazmoje</w:t>
      </w:r>
      <w:r w:rsidRPr="00F931D9">
        <w:rPr>
          <w:rFonts w:ascii="Times New Roman" w:hAnsi="Times New Roman"/>
          <w:color w:val="000000"/>
          <w:kern w:val="0"/>
          <w:sz w:val="22"/>
          <w:lang w:val="lt-LT"/>
          <w14:ligatures w14:val="none"/>
        </w:rPr>
        <w:t xml:space="preserve"> (žr. 4.5 skyrių).</w:t>
      </w:r>
    </w:p>
    <w:p w14:paraId="4BA06C85" w14:textId="77777777" w:rsidR="00323207" w:rsidRPr="00F931D9" w:rsidRDefault="00323207" w:rsidP="00323207">
      <w:pPr>
        <w:spacing w:after="0" w:line="240" w:lineRule="auto"/>
        <w:rPr>
          <w:rFonts w:ascii="Times New Roman" w:hAnsi="Times New Roman"/>
          <w:color w:val="000000"/>
          <w:kern w:val="0"/>
          <w:sz w:val="22"/>
          <w:lang w:val="lt-LT"/>
          <w14:ligatures w14:val="none"/>
        </w:rPr>
      </w:pPr>
    </w:p>
    <w:p w14:paraId="6470177C"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Būtina stebėti toksinio poveikio inkstams pasireiškimą, kai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pradedama vartoti kartu su tomis veikliosiomis medžiagomis, kurios didina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koncentraciją arba kurios pasižymi </w:t>
      </w:r>
      <w:proofErr w:type="spellStart"/>
      <w:r w:rsidRPr="00F931D9">
        <w:rPr>
          <w:rFonts w:ascii="Times New Roman" w:hAnsi="Times New Roman"/>
          <w:kern w:val="0"/>
          <w:sz w:val="22"/>
          <w:lang w:val="lt-LT"/>
          <w14:ligatures w14:val="none"/>
        </w:rPr>
        <w:t>sinergistiniu</w:t>
      </w:r>
      <w:proofErr w:type="spellEnd"/>
      <w:r w:rsidRPr="00F931D9">
        <w:rPr>
          <w:rFonts w:ascii="Times New Roman" w:hAnsi="Times New Roman"/>
          <w:kern w:val="0"/>
          <w:sz w:val="22"/>
          <w:lang w:val="lt-LT"/>
          <w14:ligatures w14:val="none"/>
        </w:rPr>
        <w:t xml:space="preserve"> toksiniu poveikiu inkstams (</w:t>
      </w:r>
      <w:r w:rsidRPr="00F931D9">
        <w:rPr>
          <w:rFonts w:ascii="Times New Roman" w:hAnsi="Times New Roman"/>
          <w:color w:val="000000"/>
          <w:kern w:val="0"/>
          <w:sz w:val="22"/>
          <w:lang w:val="lt-LT"/>
          <w14:ligatures w14:val="none"/>
        </w:rPr>
        <w:t>žr. 4.5 skyrių</w:t>
      </w:r>
      <w:r w:rsidRPr="00F931D9">
        <w:rPr>
          <w:rFonts w:ascii="Times New Roman" w:hAnsi="Times New Roman"/>
          <w:kern w:val="0"/>
          <w:sz w:val="22"/>
          <w:lang w:val="lt-LT"/>
          <w14:ligatures w14:val="none"/>
        </w:rPr>
        <w:t xml:space="preserve">). Reikia atidžiai stebėti paciento klinikinę būklę. Gali prireikti stebėti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koncentraciją kraujyje ir koreguoti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dozę.</w:t>
      </w:r>
    </w:p>
    <w:p w14:paraId="3B41E2D6" w14:textId="77777777" w:rsidR="00323207" w:rsidRPr="00F931D9" w:rsidRDefault="00323207" w:rsidP="00323207">
      <w:pPr>
        <w:spacing w:after="0" w:line="240" w:lineRule="auto"/>
        <w:jc w:val="both"/>
        <w:rPr>
          <w:rFonts w:ascii="Times New Roman" w:hAnsi="Times New Roman"/>
          <w:kern w:val="0"/>
          <w:sz w:val="22"/>
          <w:lang w:val="lt-LT"/>
          <w14:ligatures w14:val="none"/>
        </w:rPr>
      </w:pPr>
    </w:p>
    <w:p w14:paraId="69A81012"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Reikia vengti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vartoti kartu su </w:t>
      </w:r>
      <w:proofErr w:type="spellStart"/>
      <w:r w:rsidRPr="00F931D9">
        <w:rPr>
          <w:rFonts w:ascii="Times New Roman" w:hAnsi="Times New Roman"/>
          <w:kern w:val="0"/>
          <w:sz w:val="22"/>
          <w:lang w:val="lt-LT"/>
          <w14:ligatures w14:val="none"/>
        </w:rPr>
        <w:t>takrolimuzu</w:t>
      </w:r>
      <w:proofErr w:type="spellEnd"/>
      <w:r w:rsidRPr="00F931D9">
        <w:rPr>
          <w:rFonts w:ascii="Times New Roman" w:hAnsi="Times New Roman"/>
          <w:kern w:val="0"/>
          <w:sz w:val="22"/>
          <w:lang w:val="lt-LT"/>
          <w14:ligatures w14:val="none"/>
        </w:rPr>
        <w:t xml:space="preserve"> (žr. 4.5 skyrių).</w:t>
      </w:r>
    </w:p>
    <w:p w14:paraId="6F7D64B1"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388CD88E"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Ciklosporinas</w:t>
      </w:r>
      <w:proofErr w:type="spellEnd"/>
      <w:r w:rsidRPr="00F931D9">
        <w:rPr>
          <w:rFonts w:ascii="Times New Roman" w:hAnsi="Times New Roman"/>
          <w:kern w:val="0"/>
          <w:sz w:val="22"/>
          <w:lang w:val="lt-LT"/>
          <w14:ligatures w14:val="none"/>
        </w:rPr>
        <w:t xml:space="preserve"> yra CYP3A4 fermento, daugelio vaistinių preparatų eliminacijos sistemos nešiklio P</w:t>
      </w:r>
      <w:r w:rsidRPr="00F931D9">
        <w:rPr>
          <w:rFonts w:ascii="Times New Roman" w:hAnsi="Times New Roman"/>
          <w:kern w:val="0"/>
          <w:sz w:val="22"/>
          <w:lang w:val="lt-LT"/>
          <w14:ligatures w14:val="none"/>
        </w:rPr>
        <w:noBreakHyphen/>
      </w:r>
      <w:proofErr w:type="spellStart"/>
      <w:r w:rsidRPr="00F931D9">
        <w:rPr>
          <w:rFonts w:ascii="Times New Roman" w:hAnsi="Times New Roman"/>
          <w:kern w:val="0"/>
          <w:sz w:val="22"/>
          <w:lang w:val="lt-LT"/>
          <w14:ligatures w14:val="none"/>
        </w:rPr>
        <w:t>gp</w:t>
      </w:r>
      <w:proofErr w:type="spellEnd"/>
      <w:r w:rsidRPr="00F931D9">
        <w:rPr>
          <w:rFonts w:ascii="Times New Roman" w:hAnsi="Times New Roman"/>
          <w:kern w:val="0"/>
          <w:sz w:val="22"/>
          <w:lang w:val="lt-LT"/>
          <w14:ligatures w14:val="none"/>
        </w:rPr>
        <w:t xml:space="preserve"> ir organinių anijonų pernašos baltymų (angl. </w:t>
      </w:r>
      <w:proofErr w:type="spellStart"/>
      <w:r w:rsidRPr="00F931D9">
        <w:rPr>
          <w:rFonts w:ascii="Times New Roman" w:hAnsi="Times New Roman"/>
          <w:i/>
          <w:kern w:val="0"/>
          <w:sz w:val="22"/>
          <w:lang w:val="lt-LT"/>
          <w14:ligatures w14:val="none"/>
        </w:rPr>
        <w:t>organic</w:t>
      </w:r>
      <w:proofErr w:type="spellEnd"/>
      <w:r w:rsidRPr="00F931D9">
        <w:rPr>
          <w:rFonts w:ascii="Times New Roman" w:hAnsi="Times New Roman"/>
          <w:i/>
          <w:kern w:val="0"/>
          <w:sz w:val="22"/>
          <w:lang w:val="lt-LT"/>
          <w14:ligatures w14:val="none"/>
        </w:rPr>
        <w:t xml:space="preserve"> </w:t>
      </w:r>
      <w:proofErr w:type="spellStart"/>
      <w:r w:rsidRPr="00F931D9">
        <w:rPr>
          <w:rFonts w:ascii="Times New Roman" w:hAnsi="Times New Roman"/>
          <w:i/>
          <w:kern w:val="0"/>
          <w:sz w:val="22"/>
          <w:lang w:val="lt-LT"/>
          <w14:ligatures w14:val="none"/>
        </w:rPr>
        <w:t>anion</w:t>
      </w:r>
      <w:proofErr w:type="spellEnd"/>
      <w:r w:rsidRPr="00F931D9">
        <w:rPr>
          <w:rFonts w:ascii="Times New Roman" w:hAnsi="Times New Roman"/>
          <w:i/>
          <w:kern w:val="0"/>
          <w:sz w:val="22"/>
          <w:lang w:val="lt-LT"/>
          <w14:ligatures w14:val="none"/>
        </w:rPr>
        <w:t xml:space="preserve"> </w:t>
      </w:r>
      <w:proofErr w:type="spellStart"/>
      <w:r w:rsidRPr="00F931D9">
        <w:rPr>
          <w:rFonts w:ascii="Times New Roman" w:hAnsi="Times New Roman"/>
          <w:i/>
          <w:kern w:val="0"/>
          <w:sz w:val="22"/>
          <w:lang w:val="lt-LT"/>
          <w14:ligatures w14:val="none"/>
        </w:rPr>
        <w:t>transporter</w:t>
      </w:r>
      <w:proofErr w:type="spellEnd"/>
      <w:r w:rsidRPr="00F931D9">
        <w:rPr>
          <w:rFonts w:ascii="Times New Roman" w:hAnsi="Times New Roman"/>
          <w:i/>
          <w:kern w:val="0"/>
          <w:sz w:val="22"/>
          <w:lang w:val="lt-LT"/>
          <w14:ligatures w14:val="none"/>
        </w:rPr>
        <w:t xml:space="preserve"> </w:t>
      </w:r>
      <w:proofErr w:type="spellStart"/>
      <w:r w:rsidRPr="00F931D9">
        <w:rPr>
          <w:rFonts w:ascii="Times New Roman" w:hAnsi="Times New Roman"/>
          <w:i/>
          <w:kern w:val="0"/>
          <w:sz w:val="22"/>
          <w:lang w:val="lt-LT"/>
          <w14:ligatures w14:val="none"/>
        </w:rPr>
        <w:t>proteins</w:t>
      </w:r>
      <w:proofErr w:type="spellEnd"/>
      <w:r w:rsidRPr="00F931D9">
        <w:rPr>
          <w:rFonts w:ascii="Times New Roman" w:hAnsi="Times New Roman"/>
          <w:i/>
          <w:kern w:val="0"/>
          <w:sz w:val="22"/>
          <w:lang w:val="lt-LT"/>
          <w14:ligatures w14:val="none"/>
        </w:rPr>
        <w:t xml:space="preserve"> – OATP</w:t>
      </w:r>
      <w:r w:rsidRPr="00F931D9">
        <w:rPr>
          <w:rFonts w:ascii="Times New Roman" w:hAnsi="Times New Roman"/>
          <w:kern w:val="0"/>
          <w:sz w:val="22"/>
          <w:lang w:val="lt-LT"/>
          <w14:ligatures w14:val="none"/>
        </w:rPr>
        <w:t>) inhibitorius ir gali didinti kartu vartojamų vaistinių preparatų, kurie yra šio fermento ir (arba) nešiklio substratais, koncentracijas plazmoje.</w:t>
      </w:r>
      <w:r w:rsidRPr="00F931D9">
        <w:rPr>
          <w:rFonts w:ascii="Times New Roman" w:hAnsi="Times New Roman"/>
          <w:b/>
          <w:kern w:val="0"/>
          <w:sz w:val="22"/>
          <w:lang w:val="lt-LT"/>
          <w14:ligatures w14:val="none"/>
        </w:rPr>
        <w:t xml:space="preserve"> </w:t>
      </w:r>
      <w:r w:rsidRPr="00F931D9">
        <w:rPr>
          <w:rFonts w:ascii="Times New Roman" w:hAnsi="Times New Roman"/>
          <w:kern w:val="0"/>
          <w:sz w:val="22"/>
          <w:lang w:val="lt-LT"/>
          <w14:ligatures w14:val="none"/>
        </w:rPr>
        <w:t xml:space="preserve">Būtina laikytis atsargumo priemonių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skiriant kartu su šiais vaistiniais preparatais arba jų vartoti kartu nerekomenduojama (žr. 4.5 skyrių). </w:t>
      </w:r>
      <w:proofErr w:type="spellStart"/>
      <w:r w:rsidRPr="00F931D9">
        <w:rPr>
          <w:rFonts w:ascii="Times New Roman" w:hAnsi="Times New Roman"/>
          <w:kern w:val="0"/>
          <w:sz w:val="22"/>
          <w:lang w:val="lt-LT"/>
          <w14:ligatures w14:val="none"/>
        </w:rPr>
        <w:t>Ciklosporinas</w:t>
      </w:r>
      <w:proofErr w:type="spellEnd"/>
      <w:r w:rsidRPr="00F931D9">
        <w:rPr>
          <w:rFonts w:ascii="Times New Roman" w:hAnsi="Times New Roman"/>
          <w:kern w:val="0"/>
          <w:sz w:val="22"/>
          <w:lang w:val="lt-LT"/>
          <w14:ligatures w14:val="none"/>
        </w:rPr>
        <w:t xml:space="preserve"> didina 3-hidroksi-3-metil </w:t>
      </w:r>
      <w:proofErr w:type="spellStart"/>
      <w:r w:rsidRPr="00F931D9">
        <w:rPr>
          <w:rFonts w:ascii="Times New Roman" w:hAnsi="Times New Roman"/>
          <w:kern w:val="0"/>
          <w:sz w:val="22"/>
          <w:lang w:val="lt-LT"/>
          <w14:ligatures w14:val="none"/>
        </w:rPr>
        <w:t>kofermento</w:t>
      </w:r>
      <w:proofErr w:type="spellEnd"/>
      <w:r w:rsidRPr="00F931D9">
        <w:rPr>
          <w:rFonts w:ascii="Times New Roman" w:hAnsi="Times New Roman"/>
          <w:kern w:val="0"/>
          <w:sz w:val="22"/>
          <w:lang w:val="lt-LT"/>
          <w14:ligatures w14:val="none"/>
        </w:rPr>
        <w:t xml:space="preserve"> A (HMG-</w:t>
      </w:r>
      <w:proofErr w:type="spellStart"/>
      <w:r w:rsidRPr="00F931D9">
        <w:rPr>
          <w:rFonts w:ascii="Times New Roman" w:hAnsi="Times New Roman"/>
          <w:kern w:val="0"/>
          <w:sz w:val="22"/>
          <w:lang w:val="lt-LT"/>
          <w14:ligatures w14:val="none"/>
        </w:rPr>
        <w:t>CoA</w:t>
      </w:r>
      <w:proofErr w:type="spellEnd"/>
      <w:r w:rsidRPr="00F931D9">
        <w:rPr>
          <w:rFonts w:ascii="Times New Roman" w:hAnsi="Times New Roman"/>
          <w:kern w:val="0"/>
          <w:sz w:val="22"/>
          <w:lang w:val="lt-LT"/>
          <w14:ligatures w14:val="none"/>
        </w:rPr>
        <w:t xml:space="preserve"> ) reduktazės inhibitorių (</w:t>
      </w:r>
      <w:proofErr w:type="spellStart"/>
      <w:r w:rsidRPr="00F931D9">
        <w:rPr>
          <w:rFonts w:ascii="Times New Roman" w:hAnsi="Times New Roman"/>
          <w:kern w:val="0"/>
          <w:sz w:val="22"/>
          <w:lang w:val="lt-LT"/>
          <w14:ligatures w14:val="none"/>
        </w:rPr>
        <w:t>statinų</w:t>
      </w:r>
      <w:proofErr w:type="spellEnd"/>
      <w:r w:rsidRPr="00F931D9">
        <w:rPr>
          <w:rFonts w:ascii="Times New Roman" w:hAnsi="Times New Roman"/>
          <w:kern w:val="0"/>
          <w:sz w:val="22"/>
          <w:lang w:val="lt-LT"/>
          <w14:ligatures w14:val="none"/>
        </w:rPr>
        <w:t>) ekspoziciją. K</w:t>
      </w:r>
      <w:r w:rsidRPr="00F931D9">
        <w:rPr>
          <w:rFonts w:ascii="Times New Roman" w:hAnsi="Times New Roman"/>
          <w:color w:val="000000"/>
          <w:kern w:val="0"/>
          <w:sz w:val="22"/>
          <w:lang w:val="lt-LT"/>
          <w14:ligatures w14:val="none"/>
        </w:rPr>
        <w:t xml:space="preserve">artu su </w:t>
      </w:r>
      <w:proofErr w:type="spellStart"/>
      <w:r w:rsidRPr="00F931D9">
        <w:rPr>
          <w:rFonts w:ascii="Times New Roman" w:hAnsi="Times New Roman"/>
          <w:color w:val="000000"/>
          <w:kern w:val="0"/>
          <w:sz w:val="22"/>
          <w:lang w:val="lt-LT"/>
          <w14:ligatures w14:val="none"/>
        </w:rPr>
        <w:t>ciklosporinu</w:t>
      </w:r>
      <w:proofErr w:type="spellEnd"/>
      <w:r w:rsidRPr="00F931D9">
        <w:rPr>
          <w:rFonts w:ascii="Times New Roman" w:hAnsi="Times New Roman"/>
          <w:color w:val="000000"/>
          <w:kern w:val="0"/>
          <w:sz w:val="22"/>
          <w:lang w:val="lt-LT"/>
          <w14:ligatures w14:val="none"/>
        </w:rPr>
        <w:t xml:space="preserve"> vartojamų </w:t>
      </w:r>
      <w:proofErr w:type="spellStart"/>
      <w:r w:rsidRPr="00F931D9">
        <w:rPr>
          <w:rFonts w:ascii="Times New Roman" w:hAnsi="Times New Roman"/>
          <w:color w:val="000000"/>
          <w:kern w:val="0"/>
          <w:sz w:val="22"/>
          <w:lang w:val="lt-LT"/>
          <w14:ligatures w14:val="none"/>
        </w:rPr>
        <w:t>statinų</w:t>
      </w:r>
      <w:proofErr w:type="spellEnd"/>
      <w:r w:rsidRPr="00F931D9">
        <w:rPr>
          <w:rFonts w:ascii="Times New Roman" w:hAnsi="Times New Roman"/>
          <w:color w:val="000000"/>
          <w:kern w:val="0"/>
          <w:sz w:val="22"/>
          <w:lang w:val="lt-LT"/>
          <w14:ligatures w14:val="none"/>
        </w:rPr>
        <w:t xml:space="preserve"> dozę reikia mažinti arba reikia vengti tam tikrų </w:t>
      </w:r>
      <w:proofErr w:type="spellStart"/>
      <w:r w:rsidRPr="00F931D9">
        <w:rPr>
          <w:rFonts w:ascii="Times New Roman" w:hAnsi="Times New Roman"/>
          <w:color w:val="000000"/>
          <w:kern w:val="0"/>
          <w:sz w:val="22"/>
          <w:lang w:val="lt-LT"/>
          <w14:ligatures w14:val="none"/>
        </w:rPr>
        <w:t>statinų</w:t>
      </w:r>
      <w:proofErr w:type="spellEnd"/>
      <w:r w:rsidRPr="00F931D9">
        <w:rPr>
          <w:rFonts w:ascii="Times New Roman" w:hAnsi="Times New Roman"/>
          <w:color w:val="000000"/>
          <w:kern w:val="0"/>
          <w:sz w:val="22"/>
          <w:lang w:val="lt-LT"/>
          <w14:ligatures w14:val="none"/>
        </w:rPr>
        <w:t xml:space="preserve"> vartoti kartu pagal preparatų charakteristikų santraukose nurodytas rekomendacijas. Pacientams, kuriems atsirado </w:t>
      </w:r>
      <w:proofErr w:type="spellStart"/>
      <w:r w:rsidRPr="00F931D9">
        <w:rPr>
          <w:rFonts w:ascii="Times New Roman" w:hAnsi="Times New Roman"/>
          <w:color w:val="000000"/>
          <w:kern w:val="0"/>
          <w:sz w:val="22"/>
          <w:lang w:val="lt-LT"/>
          <w14:ligatures w14:val="none"/>
        </w:rPr>
        <w:t>miopatijos</w:t>
      </w:r>
      <w:proofErr w:type="spellEnd"/>
      <w:r w:rsidRPr="00F931D9">
        <w:rPr>
          <w:rFonts w:ascii="Times New Roman" w:hAnsi="Times New Roman"/>
          <w:color w:val="000000"/>
          <w:kern w:val="0"/>
          <w:sz w:val="22"/>
          <w:lang w:val="lt-LT"/>
          <w14:ligatures w14:val="none"/>
        </w:rPr>
        <w:t xml:space="preserve"> požymių ir simptomų ar kuriems yra rizikos veiksnių, skatinančių sunkaus inkstų pažeidimo, įskaitant </w:t>
      </w:r>
      <w:proofErr w:type="spellStart"/>
      <w:r w:rsidRPr="00F931D9">
        <w:rPr>
          <w:rFonts w:ascii="Times New Roman" w:hAnsi="Times New Roman"/>
          <w:color w:val="000000"/>
          <w:kern w:val="0"/>
          <w:sz w:val="22"/>
          <w:lang w:val="lt-LT"/>
          <w14:ligatures w14:val="none"/>
        </w:rPr>
        <w:t>rabdomiolizės</w:t>
      </w:r>
      <w:proofErr w:type="spellEnd"/>
      <w:r w:rsidRPr="00F931D9">
        <w:rPr>
          <w:rFonts w:ascii="Times New Roman" w:hAnsi="Times New Roman"/>
          <w:color w:val="000000"/>
          <w:kern w:val="0"/>
          <w:sz w:val="22"/>
          <w:lang w:val="lt-LT"/>
          <w14:ligatures w14:val="none"/>
        </w:rPr>
        <w:t xml:space="preserve"> sukeltą inkstų nepakankamumą, atsiradimą, gydymą </w:t>
      </w:r>
      <w:proofErr w:type="spellStart"/>
      <w:r w:rsidRPr="00F931D9">
        <w:rPr>
          <w:rFonts w:ascii="Times New Roman" w:hAnsi="Times New Roman"/>
          <w:color w:val="000000"/>
          <w:kern w:val="0"/>
          <w:sz w:val="22"/>
          <w:lang w:val="lt-LT"/>
          <w14:ligatures w14:val="none"/>
        </w:rPr>
        <w:t>statinais</w:t>
      </w:r>
      <w:proofErr w:type="spellEnd"/>
      <w:r w:rsidRPr="00F931D9">
        <w:rPr>
          <w:rFonts w:ascii="Times New Roman" w:hAnsi="Times New Roman"/>
          <w:color w:val="000000"/>
          <w:kern w:val="0"/>
          <w:sz w:val="22"/>
          <w:lang w:val="lt-LT"/>
          <w14:ligatures w14:val="none"/>
        </w:rPr>
        <w:t xml:space="preserve"> reikia laikinai ar visiškai nutraukti</w:t>
      </w:r>
      <w:r w:rsidRPr="00F931D9">
        <w:rPr>
          <w:rFonts w:ascii="Times New Roman" w:hAnsi="Times New Roman"/>
          <w:kern w:val="0"/>
          <w:sz w:val="22"/>
          <w:lang w:val="lt-LT"/>
          <w14:ligatures w14:val="none"/>
        </w:rPr>
        <w:t xml:space="preserve"> (žr. 4.5 skyrių).</w:t>
      </w:r>
    </w:p>
    <w:p w14:paraId="0E5C9BFA"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11D877E0" w14:textId="77777777" w:rsidR="00323207" w:rsidRPr="00F931D9" w:rsidRDefault="00323207" w:rsidP="00323207">
      <w:pPr>
        <w:spacing w:after="0" w:line="240" w:lineRule="auto"/>
        <w:rPr>
          <w:rFonts w:ascii="Times New Roman" w:hAnsi="Times New Roman"/>
          <w:kern w:val="0"/>
          <w:sz w:val="22"/>
          <w:lang w:val="lt-LT"/>
          <w14:ligatures w14:val="none"/>
        </w:rPr>
      </w:pPr>
      <w:proofErr w:type="spellStart"/>
      <w:r w:rsidRPr="00F931D9">
        <w:rPr>
          <w:rFonts w:ascii="Times New Roman" w:hAnsi="Times New Roman"/>
          <w:color w:val="000000"/>
          <w:kern w:val="0"/>
          <w:sz w:val="22"/>
          <w:lang w:val="lt-LT"/>
          <w14:ligatures w14:val="none"/>
        </w:rPr>
        <w:t>Ciklosporino</w:t>
      </w:r>
      <w:proofErr w:type="spellEnd"/>
      <w:r w:rsidRPr="00F931D9">
        <w:rPr>
          <w:rFonts w:ascii="Times New Roman" w:hAnsi="Times New Roman"/>
          <w:color w:val="000000"/>
          <w:kern w:val="0"/>
          <w:sz w:val="22"/>
          <w:lang w:val="lt-LT"/>
          <w14:ligatures w14:val="none"/>
        </w:rPr>
        <w:t xml:space="preserve"> vartojant kartu su </w:t>
      </w:r>
      <w:proofErr w:type="spellStart"/>
      <w:r w:rsidRPr="00F931D9">
        <w:rPr>
          <w:rFonts w:ascii="Times New Roman" w:hAnsi="Times New Roman"/>
          <w:i/>
          <w:color w:val="000000"/>
          <w:kern w:val="0"/>
          <w:sz w:val="22"/>
          <w:lang w:val="lt-LT"/>
          <w14:ligatures w14:val="none"/>
        </w:rPr>
        <w:t>lerkanidipinu</w:t>
      </w:r>
      <w:proofErr w:type="spellEnd"/>
      <w:r w:rsidRPr="00F931D9">
        <w:rPr>
          <w:rFonts w:ascii="Times New Roman" w:hAnsi="Times New Roman"/>
          <w:color w:val="000000"/>
          <w:kern w:val="0"/>
          <w:sz w:val="22"/>
          <w:lang w:val="lt-LT"/>
          <w14:ligatures w14:val="none"/>
        </w:rPr>
        <w:t xml:space="preserve">, pastarojo AUC rodiklis padidėjo tris kartus, o </w:t>
      </w:r>
      <w:proofErr w:type="spellStart"/>
      <w:r w:rsidRPr="00F931D9">
        <w:rPr>
          <w:rFonts w:ascii="Times New Roman" w:hAnsi="Times New Roman"/>
          <w:color w:val="000000"/>
          <w:kern w:val="0"/>
          <w:sz w:val="22"/>
          <w:lang w:val="lt-LT"/>
          <w14:ligatures w14:val="none"/>
        </w:rPr>
        <w:t>ciklosporino</w:t>
      </w:r>
      <w:proofErr w:type="spellEnd"/>
      <w:r w:rsidRPr="00F931D9">
        <w:rPr>
          <w:rFonts w:ascii="Times New Roman" w:hAnsi="Times New Roman"/>
          <w:color w:val="000000"/>
          <w:kern w:val="0"/>
          <w:sz w:val="22"/>
          <w:lang w:val="lt-LT"/>
          <w14:ligatures w14:val="none"/>
        </w:rPr>
        <w:t xml:space="preserve"> AUC padidėjo 21 %.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ir </w:t>
      </w:r>
      <w:proofErr w:type="spellStart"/>
      <w:r w:rsidRPr="00F931D9">
        <w:rPr>
          <w:rFonts w:ascii="Times New Roman" w:hAnsi="Times New Roman"/>
          <w:kern w:val="0"/>
          <w:sz w:val="22"/>
          <w:lang w:val="lt-LT"/>
          <w14:ligatures w14:val="none"/>
        </w:rPr>
        <w:t>lerkanidipino</w:t>
      </w:r>
      <w:proofErr w:type="spellEnd"/>
      <w:r w:rsidRPr="00F931D9">
        <w:rPr>
          <w:rFonts w:ascii="Times New Roman" w:hAnsi="Times New Roman"/>
          <w:kern w:val="0"/>
          <w:sz w:val="22"/>
          <w:lang w:val="lt-LT"/>
          <w14:ligatures w14:val="none"/>
        </w:rPr>
        <w:t xml:space="preserve"> kartu vartoti nerekomenduojama.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pavartojus po </w:t>
      </w:r>
      <w:proofErr w:type="spellStart"/>
      <w:r w:rsidRPr="00F931D9">
        <w:rPr>
          <w:rFonts w:ascii="Times New Roman" w:hAnsi="Times New Roman"/>
          <w:kern w:val="0"/>
          <w:sz w:val="22"/>
          <w:lang w:val="lt-LT"/>
          <w14:ligatures w14:val="none"/>
        </w:rPr>
        <w:t>lerkanidipino</w:t>
      </w:r>
      <w:proofErr w:type="spellEnd"/>
      <w:r w:rsidRPr="00F931D9">
        <w:rPr>
          <w:rFonts w:ascii="Times New Roman" w:hAnsi="Times New Roman"/>
          <w:kern w:val="0"/>
          <w:sz w:val="22"/>
          <w:lang w:val="lt-LT"/>
          <w14:ligatures w14:val="none"/>
        </w:rPr>
        <w:t xml:space="preserve"> pavartojimo praėjus 3 valandoms, poveikio </w:t>
      </w:r>
      <w:proofErr w:type="spellStart"/>
      <w:r w:rsidRPr="00F931D9">
        <w:rPr>
          <w:rFonts w:ascii="Times New Roman" w:hAnsi="Times New Roman"/>
          <w:kern w:val="0"/>
          <w:sz w:val="22"/>
          <w:lang w:val="lt-LT"/>
          <w14:ligatures w14:val="none"/>
        </w:rPr>
        <w:t>lerkanidipino</w:t>
      </w:r>
      <w:proofErr w:type="spellEnd"/>
      <w:r w:rsidRPr="00F931D9">
        <w:rPr>
          <w:rFonts w:ascii="Times New Roman" w:hAnsi="Times New Roman"/>
          <w:kern w:val="0"/>
          <w:sz w:val="22"/>
          <w:lang w:val="lt-LT"/>
          <w14:ligatures w14:val="none"/>
        </w:rPr>
        <w:t xml:space="preserve"> AUC nebuvo, tačiau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AUC padidėjo 27 %. Minėtų vaistinių preparatų derinį vartoti būtina atsargiai, tarp jų vartojimo turi praeiti mažiausiai 3 valandos</w:t>
      </w:r>
      <w:r w:rsidRPr="00F931D9">
        <w:rPr>
          <w:rFonts w:ascii="Times New Roman" w:hAnsi="Times New Roman"/>
          <w:color w:val="000000"/>
          <w:kern w:val="0"/>
          <w:sz w:val="22"/>
          <w:lang w:val="lt-LT"/>
          <w14:ligatures w14:val="none"/>
        </w:rPr>
        <w:t>.</w:t>
      </w:r>
    </w:p>
    <w:p w14:paraId="387B8CBD"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76D3099F" w14:textId="77777777" w:rsidR="00323207" w:rsidRPr="00F931D9" w:rsidRDefault="00323207" w:rsidP="00323207">
      <w:pPr>
        <w:spacing w:after="0" w:line="240" w:lineRule="auto"/>
        <w:rPr>
          <w:rFonts w:ascii="Times New Roman" w:hAnsi="Times New Roman"/>
          <w:kern w:val="0"/>
          <w:sz w:val="22"/>
          <w:u w:val="single"/>
          <w:lang w:val="lt-LT"/>
          <w14:ligatures w14:val="none"/>
        </w:rPr>
      </w:pPr>
      <w:r w:rsidRPr="00F931D9">
        <w:rPr>
          <w:rFonts w:ascii="Times New Roman" w:hAnsi="Times New Roman"/>
          <w:kern w:val="0"/>
          <w:sz w:val="22"/>
          <w:u w:val="single"/>
          <w:lang w:val="lt-LT"/>
          <w14:ligatures w14:val="none"/>
        </w:rPr>
        <w:t xml:space="preserve">Tam tikros pagalbinės medžiagos: </w:t>
      </w:r>
      <w:proofErr w:type="spellStart"/>
      <w:r w:rsidRPr="00F931D9">
        <w:rPr>
          <w:rFonts w:ascii="Times New Roman" w:hAnsi="Times New Roman"/>
          <w:kern w:val="0"/>
          <w:sz w:val="22"/>
          <w:u w:val="single"/>
          <w:lang w:val="lt-LT"/>
          <w14:ligatures w14:val="none"/>
        </w:rPr>
        <w:t>polioksil</w:t>
      </w:r>
      <w:proofErr w:type="spellEnd"/>
      <w:r w:rsidRPr="00F931D9">
        <w:rPr>
          <w:rFonts w:ascii="Times New Roman" w:hAnsi="Times New Roman"/>
          <w:kern w:val="0"/>
          <w:sz w:val="22"/>
          <w:u w:val="single"/>
          <w:lang w:val="lt-LT"/>
          <w14:ligatures w14:val="none"/>
        </w:rPr>
        <w:t xml:space="preserve"> 40 </w:t>
      </w:r>
      <w:proofErr w:type="spellStart"/>
      <w:r w:rsidRPr="00F931D9">
        <w:rPr>
          <w:rFonts w:ascii="Times New Roman" w:hAnsi="Times New Roman"/>
          <w:kern w:val="0"/>
          <w:sz w:val="22"/>
          <w:u w:val="single"/>
          <w:lang w:val="lt-LT"/>
          <w14:ligatures w14:val="none"/>
        </w:rPr>
        <w:t>hidrintas</w:t>
      </w:r>
      <w:proofErr w:type="spellEnd"/>
      <w:r w:rsidRPr="00F931D9">
        <w:rPr>
          <w:rFonts w:ascii="Times New Roman" w:hAnsi="Times New Roman"/>
          <w:kern w:val="0"/>
          <w:sz w:val="22"/>
          <w:u w:val="single"/>
          <w:lang w:val="lt-LT"/>
          <w14:ligatures w14:val="none"/>
        </w:rPr>
        <w:t xml:space="preserve"> ricinos aliejus</w:t>
      </w:r>
    </w:p>
    <w:p w14:paraId="1925063C" w14:textId="77777777" w:rsidR="00323207" w:rsidRPr="00F931D9" w:rsidRDefault="00323207" w:rsidP="00323207">
      <w:pPr>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sudėtyje yra </w:t>
      </w:r>
      <w:proofErr w:type="spellStart"/>
      <w:r w:rsidRPr="00F931D9">
        <w:rPr>
          <w:rFonts w:ascii="Times New Roman" w:hAnsi="Times New Roman"/>
          <w:kern w:val="0"/>
          <w:sz w:val="22"/>
          <w:lang w:val="lt-LT"/>
          <w14:ligatures w14:val="none"/>
        </w:rPr>
        <w:t>polioksil</w:t>
      </w:r>
      <w:proofErr w:type="spellEnd"/>
      <w:r w:rsidRPr="00F931D9">
        <w:rPr>
          <w:rFonts w:ascii="Times New Roman" w:hAnsi="Times New Roman"/>
          <w:kern w:val="0"/>
          <w:sz w:val="22"/>
          <w:lang w:val="lt-LT"/>
          <w14:ligatures w14:val="none"/>
        </w:rPr>
        <w:t xml:space="preserve"> 40 </w:t>
      </w:r>
      <w:proofErr w:type="spellStart"/>
      <w:r w:rsidRPr="00F931D9">
        <w:rPr>
          <w:rFonts w:ascii="Times New Roman" w:hAnsi="Times New Roman"/>
          <w:kern w:val="0"/>
          <w:sz w:val="22"/>
          <w:lang w:val="lt-LT"/>
          <w14:ligatures w14:val="none"/>
        </w:rPr>
        <w:t>hidrinto</w:t>
      </w:r>
      <w:proofErr w:type="spellEnd"/>
      <w:r w:rsidRPr="00F931D9">
        <w:rPr>
          <w:rFonts w:ascii="Times New Roman" w:hAnsi="Times New Roman"/>
          <w:kern w:val="0"/>
          <w:sz w:val="22"/>
          <w:lang w:val="lt-LT"/>
          <w14:ligatures w14:val="none"/>
        </w:rPr>
        <w:t xml:space="preserve"> ricinos aliejaus, kuris gali sukelti skrandžio sutrikimų ir viduriavimą.</w:t>
      </w:r>
    </w:p>
    <w:p w14:paraId="3C6CEDCF" w14:textId="77777777" w:rsidR="00323207" w:rsidRPr="00F931D9" w:rsidRDefault="00323207" w:rsidP="00323207">
      <w:pPr>
        <w:spacing w:after="0" w:line="240" w:lineRule="auto"/>
        <w:rPr>
          <w:rFonts w:ascii="Times New Roman" w:hAnsi="Times New Roman"/>
          <w:kern w:val="0"/>
          <w:sz w:val="22"/>
          <w:lang w:val="lt-LT"/>
          <w14:ligatures w14:val="none"/>
        </w:rPr>
      </w:pPr>
    </w:p>
    <w:p w14:paraId="39EBF903" w14:textId="77777777" w:rsidR="00323207" w:rsidRPr="00F931D9" w:rsidRDefault="00323207" w:rsidP="00323207">
      <w:pPr>
        <w:autoSpaceDE w:val="0"/>
        <w:autoSpaceDN w:val="0"/>
        <w:adjustRightInd w:val="0"/>
        <w:spacing w:after="0" w:line="240" w:lineRule="auto"/>
        <w:rPr>
          <w:rFonts w:ascii="Times New Roman" w:hAnsi="Times New Roman"/>
          <w:kern w:val="0"/>
          <w:sz w:val="22"/>
          <w:u w:val="single"/>
          <w:lang w:val="lt-LT"/>
          <w14:ligatures w14:val="none"/>
        </w:rPr>
      </w:pPr>
      <w:r w:rsidRPr="00F931D9">
        <w:rPr>
          <w:rFonts w:ascii="Times New Roman" w:hAnsi="Times New Roman"/>
          <w:kern w:val="0"/>
          <w:sz w:val="22"/>
          <w:u w:val="single"/>
          <w:lang w:val="lt-LT"/>
          <w14:ligatures w14:val="none"/>
        </w:rPr>
        <w:t>Papildomos atsargumo priemonės ne transplantacijos indikacijoms</w:t>
      </w:r>
    </w:p>
    <w:p w14:paraId="2CBCC7A0"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lastRenderedPageBreak/>
        <w:t xml:space="preserve">Pacientų, kuriems yra inkstų veiklos sutrikimas (išskyrus ligonius, kuriems yra </w:t>
      </w:r>
      <w:proofErr w:type="spellStart"/>
      <w:r w:rsidRPr="00F931D9">
        <w:rPr>
          <w:rFonts w:ascii="Times New Roman" w:hAnsi="Times New Roman"/>
          <w:kern w:val="0"/>
          <w:sz w:val="22"/>
          <w:lang w:val="lt-LT"/>
          <w14:ligatures w14:val="none"/>
        </w:rPr>
        <w:t>nefrozinis</w:t>
      </w:r>
      <w:proofErr w:type="spellEnd"/>
      <w:r w:rsidRPr="00F931D9">
        <w:rPr>
          <w:rFonts w:ascii="Times New Roman" w:hAnsi="Times New Roman"/>
          <w:kern w:val="0"/>
          <w:sz w:val="22"/>
          <w:lang w:val="lt-LT"/>
          <w14:ligatures w14:val="none"/>
        </w:rPr>
        <w:t xml:space="preserve"> sindromas su toleruojamo laipsnio inkstų veiklos sutrikimu), nekontroliuojama hipertenzija, nekontroliuojama infekcinė liga ar bet kokios rūšies piktybinis navikas, </w:t>
      </w:r>
      <w:proofErr w:type="spellStart"/>
      <w:r w:rsidRPr="00F931D9">
        <w:rPr>
          <w:rFonts w:ascii="Times New Roman" w:hAnsi="Times New Roman"/>
          <w:kern w:val="0"/>
          <w:sz w:val="22"/>
          <w:lang w:val="lt-LT"/>
          <w14:ligatures w14:val="none"/>
        </w:rPr>
        <w:t>ciklosporinu</w:t>
      </w:r>
      <w:proofErr w:type="spellEnd"/>
      <w:r w:rsidRPr="00F931D9">
        <w:rPr>
          <w:rFonts w:ascii="Times New Roman" w:hAnsi="Times New Roman"/>
          <w:kern w:val="0"/>
          <w:sz w:val="22"/>
          <w:lang w:val="lt-LT"/>
          <w14:ligatures w14:val="none"/>
        </w:rPr>
        <w:t xml:space="preserve"> gydyti negalima.</w:t>
      </w:r>
    </w:p>
    <w:p w14:paraId="61430F4D"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64AEF66E"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Prieš pradedant skirti gydymą reikia nustatyti pradinę inkstų funkciją, atliekant bent du </w:t>
      </w:r>
      <w:proofErr w:type="spellStart"/>
      <w:r w:rsidRPr="00F931D9">
        <w:rPr>
          <w:rFonts w:ascii="Times New Roman" w:hAnsi="Times New Roman"/>
          <w:kern w:val="0"/>
          <w:sz w:val="22"/>
          <w:lang w:val="lt-LT"/>
          <w14:ligatures w14:val="none"/>
        </w:rPr>
        <w:t>aGFG</w:t>
      </w:r>
      <w:proofErr w:type="spellEnd"/>
      <w:r w:rsidRPr="00F931D9">
        <w:rPr>
          <w:rFonts w:ascii="Times New Roman" w:hAnsi="Times New Roman"/>
          <w:kern w:val="0"/>
          <w:sz w:val="22"/>
          <w:lang w:val="lt-LT"/>
          <w14:ligatures w14:val="none"/>
        </w:rPr>
        <w:t xml:space="preserve"> apskaičiavimus. Viso gydymo metu būtina dažnai tirti inkstų funkciją ir prireikus koreguoti vaistinio preparato dozę (žr. 4.2 skyrių).</w:t>
      </w:r>
    </w:p>
    <w:p w14:paraId="2730C4A9"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14F5540D" w14:textId="77777777" w:rsidR="00323207" w:rsidRPr="00F931D9" w:rsidRDefault="00323207" w:rsidP="00323207">
      <w:pPr>
        <w:autoSpaceDE w:val="0"/>
        <w:autoSpaceDN w:val="0"/>
        <w:adjustRightInd w:val="0"/>
        <w:spacing w:after="0" w:line="240" w:lineRule="auto"/>
        <w:rPr>
          <w:rFonts w:ascii="Times New Roman" w:hAnsi="Times New Roman"/>
          <w:kern w:val="0"/>
          <w:sz w:val="22"/>
          <w:u w:val="single"/>
          <w:lang w:val="lt-LT"/>
          <w14:ligatures w14:val="none"/>
        </w:rPr>
      </w:pPr>
      <w:r w:rsidRPr="00F931D9">
        <w:rPr>
          <w:rFonts w:ascii="Times New Roman" w:hAnsi="Times New Roman"/>
          <w:kern w:val="0"/>
          <w:sz w:val="22"/>
          <w:u w:val="single"/>
          <w:lang w:val="lt-LT"/>
          <w14:ligatures w14:val="none"/>
        </w:rPr>
        <w:t xml:space="preserve">Papildomos atsargumo priemonės endogeniniu </w:t>
      </w:r>
      <w:proofErr w:type="spellStart"/>
      <w:r w:rsidRPr="00F931D9">
        <w:rPr>
          <w:rFonts w:ascii="Times New Roman" w:hAnsi="Times New Roman"/>
          <w:kern w:val="0"/>
          <w:sz w:val="22"/>
          <w:u w:val="single"/>
          <w:lang w:val="lt-LT"/>
          <w14:ligatures w14:val="none"/>
        </w:rPr>
        <w:t>uveitu</w:t>
      </w:r>
      <w:proofErr w:type="spellEnd"/>
      <w:r w:rsidRPr="00F931D9">
        <w:rPr>
          <w:rFonts w:ascii="Times New Roman" w:hAnsi="Times New Roman"/>
          <w:kern w:val="0"/>
          <w:sz w:val="22"/>
          <w:u w:val="single"/>
          <w:lang w:val="lt-LT"/>
          <w14:ligatures w14:val="none"/>
        </w:rPr>
        <w:t xml:space="preserve"> sergantiems pacientams</w:t>
      </w:r>
    </w:p>
    <w:p w14:paraId="22A6233B"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Neoralreikia</w:t>
      </w:r>
      <w:proofErr w:type="spellEnd"/>
      <w:r w:rsidRPr="00F931D9">
        <w:rPr>
          <w:rFonts w:ascii="Times New Roman" w:hAnsi="Times New Roman"/>
          <w:kern w:val="0"/>
          <w:sz w:val="22"/>
          <w:lang w:val="lt-LT"/>
          <w14:ligatures w14:val="none"/>
        </w:rPr>
        <w:t xml:space="preserve"> atsargiai skirti pacientams, kuriems yra neurologinis </w:t>
      </w:r>
      <w:proofErr w:type="spellStart"/>
      <w:r w:rsidRPr="00F931D9">
        <w:rPr>
          <w:rFonts w:ascii="Times New Roman" w:hAnsi="Times New Roman"/>
          <w:kern w:val="0"/>
          <w:sz w:val="22"/>
          <w:lang w:val="lt-LT"/>
          <w14:ligatures w14:val="none"/>
        </w:rPr>
        <w:t>Behcet</w:t>
      </w:r>
      <w:proofErr w:type="spellEnd"/>
      <w:r w:rsidRPr="00F931D9">
        <w:rPr>
          <w:rFonts w:ascii="Times New Roman" w:hAnsi="Times New Roman"/>
          <w:kern w:val="0"/>
          <w:sz w:val="22"/>
          <w:lang w:val="lt-LT"/>
          <w14:ligatures w14:val="none"/>
        </w:rPr>
        <w:t xml:space="preserve"> sindromas. Reikia atidžiai stebėti šių ligonių neurologinę būklę.</w:t>
      </w:r>
    </w:p>
    <w:p w14:paraId="5AA2643A"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22EBDE16"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vartojimo patirties endogeniniu </w:t>
      </w:r>
      <w:proofErr w:type="spellStart"/>
      <w:r w:rsidRPr="00F931D9">
        <w:rPr>
          <w:rFonts w:ascii="Times New Roman" w:hAnsi="Times New Roman"/>
          <w:kern w:val="0"/>
          <w:sz w:val="22"/>
          <w:lang w:val="lt-LT"/>
          <w14:ligatures w14:val="none"/>
        </w:rPr>
        <w:t>uveitu</w:t>
      </w:r>
      <w:proofErr w:type="spellEnd"/>
      <w:r w:rsidRPr="00F931D9">
        <w:rPr>
          <w:rFonts w:ascii="Times New Roman" w:hAnsi="Times New Roman"/>
          <w:kern w:val="0"/>
          <w:sz w:val="22"/>
          <w:lang w:val="lt-LT"/>
          <w14:ligatures w14:val="none"/>
        </w:rPr>
        <w:t xml:space="preserve"> sergantiems vaikams yra nedaug.</w:t>
      </w:r>
    </w:p>
    <w:p w14:paraId="4DB3C3BD"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04690A06" w14:textId="77777777" w:rsidR="00323207" w:rsidRPr="00F931D9" w:rsidRDefault="00323207" w:rsidP="00323207">
      <w:pPr>
        <w:autoSpaceDE w:val="0"/>
        <w:autoSpaceDN w:val="0"/>
        <w:adjustRightInd w:val="0"/>
        <w:spacing w:after="0" w:line="240" w:lineRule="auto"/>
        <w:rPr>
          <w:rFonts w:ascii="Times New Roman" w:hAnsi="Times New Roman"/>
          <w:kern w:val="0"/>
          <w:sz w:val="22"/>
          <w:u w:val="single"/>
          <w:lang w:val="lt-LT"/>
          <w14:ligatures w14:val="none"/>
        </w:rPr>
      </w:pPr>
      <w:r w:rsidRPr="00F931D9">
        <w:rPr>
          <w:rFonts w:ascii="Times New Roman" w:hAnsi="Times New Roman"/>
          <w:kern w:val="0"/>
          <w:sz w:val="22"/>
          <w:u w:val="single"/>
          <w:lang w:val="lt-LT"/>
          <w14:ligatures w14:val="none"/>
        </w:rPr>
        <w:t xml:space="preserve">Papildomos atsargumo priemonės </w:t>
      </w:r>
      <w:proofErr w:type="spellStart"/>
      <w:r w:rsidRPr="00F931D9">
        <w:rPr>
          <w:rFonts w:ascii="Times New Roman" w:hAnsi="Times New Roman"/>
          <w:kern w:val="0"/>
          <w:sz w:val="22"/>
          <w:u w:val="single"/>
          <w:lang w:val="lt-LT"/>
          <w14:ligatures w14:val="none"/>
        </w:rPr>
        <w:t>nefroziniu</w:t>
      </w:r>
      <w:proofErr w:type="spellEnd"/>
      <w:r w:rsidRPr="00F931D9">
        <w:rPr>
          <w:rFonts w:ascii="Times New Roman" w:hAnsi="Times New Roman"/>
          <w:kern w:val="0"/>
          <w:sz w:val="22"/>
          <w:u w:val="single"/>
          <w:lang w:val="lt-LT"/>
          <w14:ligatures w14:val="none"/>
        </w:rPr>
        <w:t xml:space="preserve"> sindromu sergantiems pacientams</w:t>
      </w:r>
    </w:p>
    <w:p w14:paraId="4CB22BEC"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Jei paciento inkstų veikla sutrikusi, iš pradžių reikia vartoti ne didesnę kaip 2,5 mg/kg kūno svorio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paros dozę ir pacientą labai atidžiai stebėti. </w:t>
      </w:r>
    </w:p>
    <w:p w14:paraId="6A4BC8DC"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78658EBD"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Kai kuriems </w:t>
      </w:r>
      <w:proofErr w:type="spellStart"/>
      <w:r w:rsidRPr="00F931D9">
        <w:rPr>
          <w:rFonts w:ascii="Times New Roman" w:hAnsi="Times New Roman"/>
          <w:kern w:val="0"/>
          <w:sz w:val="22"/>
          <w:lang w:val="lt-LT"/>
          <w14:ligatures w14:val="none"/>
        </w:rPr>
        <w:t>nefroziniu</w:t>
      </w:r>
      <w:proofErr w:type="spellEnd"/>
      <w:r w:rsidRPr="00F931D9">
        <w:rPr>
          <w:rFonts w:ascii="Times New Roman" w:hAnsi="Times New Roman"/>
          <w:kern w:val="0"/>
          <w:sz w:val="22"/>
          <w:lang w:val="lt-LT"/>
          <w14:ligatures w14:val="none"/>
        </w:rPr>
        <w:t xml:space="preserve"> sindromu sergantiems pacientams gali būti sunku nustatyti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sukeltą inkstų pažeidimą, kadangi inkstų veiklos pokyčiai gali būti susiję su </w:t>
      </w:r>
      <w:proofErr w:type="spellStart"/>
      <w:r w:rsidRPr="00F931D9">
        <w:rPr>
          <w:rFonts w:ascii="Times New Roman" w:hAnsi="Times New Roman"/>
          <w:kern w:val="0"/>
          <w:sz w:val="22"/>
          <w:lang w:val="lt-LT"/>
          <w14:ligatures w14:val="none"/>
        </w:rPr>
        <w:t>nefroziniu</w:t>
      </w:r>
      <w:proofErr w:type="spellEnd"/>
      <w:r w:rsidRPr="00F931D9">
        <w:rPr>
          <w:rFonts w:ascii="Times New Roman" w:hAnsi="Times New Roman"/>
          <w:kern w:val="0"/>
          <w:sz w:val="22"/>
          <w:lang w:val="lt-LT"/>
          <w14:ligatures w14:val="none"/>
        </w:rPr>
        <w:t xml:space="preserve"> sindromu. Šia aplinkybe galima paaiškinti, kodėl retais atvejais su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susiję inkstų struktūros pokyčiai nesukelia kreatinino koncentracijos serume padidėjimo. Jei pacientas, sergantis nuo steroidų priklausoma minimalių pokyčių </w:t>
      </w:r>
      <w:proofErr w:type="spellStart"/>
      <w:r w:rsidRPr="00F931D9">
        <w:rPr>
          <w:rFonts w:ascii="Times New Roman" w:hAnsi="Times New Roman"/>
          <w:kern w:val="0"/>
          <w:sz w:val="22"/>
          <w:lang w:val="lt-LT"/>
          <w14:ligatures w14:val="none"/>
        </w:rPr>
        <w:t>nefropatija</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gydomas ilgiau negu vienerius metus, patariama apsvarstyti, ar nereikia atlikti inkstų biopsijos.</w:t>
      </w:r>
    </w:p>
    <w:p w14:paraId="6B21DB4C"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0CE6EF85"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Pastebėta, kad </w:t>
      </w:r>
      <w:proofErr w:type="spellStart"/>
      <w:r w:rsidRPr="00F931D9">
        <w:rPr>
          <w:rFonts w:ascii="Times New Roman" w:hAnsi="Times New Roman"/>
          <w:kern w:val="0"/>
          <w:sz w:val="22"/>
          <w:lang w:val="lt-LT"/>
          <w14:ligatures w14:val="none"/>
        </w:rPr>
        <w:t>nefroziniu</w:t>
      </w:r>
      <w:proofErr w:type="spellEnd"/>
      <w:r w:rsidRPr="00F931D9">
        <w:rPr>
          <w:rFonts w:ascii="Times New Roman" w:hAnsi="Times New Roman"/>
          <w:kern w:val="0"/>
          <w:sz w:val="22"/>
          <w:lang w:val="lt-LT"/>
          <w14:ligatures w14:val="none"/>
        </w:rPr>
        <w:t xml:space="preserve"> sindromu sergantiems ligoniams, kurie gydomi </w:t>
      </w:r>
      <w:proofErr w:type="spellStart"/>
      <w:r w:rsidRPr="00F931D9">
        <w:rPr>
          <w:rFonts w:ascii="Times New Roman" w:hAnsi="Times New Roman"/>
          <w:kern w:val="0"/>
          <w:sz w:val="22"/>
          <w:lang w:val="lt-LT"/>
          <w14:ligatures w14:val="none"/>
        </w:rPr>
        <w:t>imunosupresantais</w:t>
      </w:r>
      <w:proofErr w:type="spellEnd"/>
      <w:r w:rsidRPr="00F931D9">
        <w:rPr>
          <w:rFonts w:ascii="Times New Roman" w:hAnsi="Times New Roman"/>
          <w:kern w:val="0"/>
          <w:sz w:val="22"/>
          <w:lang w:val="lt-LT"/>
          <w14:ligatures w14:val="none"/>
        </w:rPr>
        <w:t xml:space="preserve"> (įskaitant </w:t>
      </w:r>
      <w:proofErr w:type="spellStart"/>
      <w:r w:rsidRPr="00F931D9">
        <w:rPr>
          <w:rFonts w:ascii="Times New Roman" w:hAnsi="Times New Roman"/>
          <w:kern w:val="0"/>
          <w:sz w:val="22"/>
          <w:lang w:val="lt-LT"/>
          <w14:ligatures w14:val="none"/>
        </w:rPr>
        <w:t>ciklosporiną</w:t>
      </w:r>
      <w:proofErr w:type="spellEnd"/>
      <w:r w:rsidRPr="00F931D9">
        <w:rPr>
          <w:rFonts w:ascii="Times New Roman" w:hAnsi="Times New Roman"/>
          <w:kern w:val="0"/>
          <w:sz w:val="22"/>
          <w:lang w:val="lt-LT"/>
          <w14:ligatures w14:val="none"/>
        </w:rPr>
        <w:t xml:space="preserve">), retkarčiais atsiranda piktybinių navikų, įskaitant </w:t>
      </w:r>
      <w:proofErr w:type="spellStart"/>
      <w:r w:rsidRPr="00F931D9">
        <w:rPr>
          <w:rFonts w:ascii="Times New Roman" w:hAnsi="Times New Roman"/>
          <w:kern w:val="0"/>
          <w:sz w:val="22"/>
          <w:lang w:val="lt-LT"/>
          <w14:ligatures w14:val="none"/>
        </w:rPr>
        <w:t>Hodžkino</w:t>
      </w:r>
      <w:proofErr w:type="spellEnd"/>
      <w:r w:rsidRPr="00F931D9">
        <w:rPr>
          <w:rFonts w:ascii="Times New Roman" w:hAnsi="Times New Roman"/>
          <w:kern w:val="0"/>
          <w:sz w:val="22"/>
          <w:lang w:val="lt-LT"/>
          <w14:ligatures w14:val="none"/>
        </w:rPr>
        <w:t xml:space="preserve"> limfomą.</w:t>
      </w:r>
    </w:p>
    <w:p w14:paraId="127F6D01"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3D856EDE" w14:textId="77777777" w:rsidR="00323207" w:rsidRPr="00F931D9" w:rsidRDefault="00323207" w:rsidP="00323207">
      <w:pPr>
        <w:autoSpaceDE w:val="0"/>
        <w:autoSpaceDN w:val="0"/>
        <w:adjustRightInd w:val="0"/>
        <w:spacing w:after="0" w:line="240" w:lineRule="auto"/>
        <w:rPr>
          <w:rFonts w:ascii="Times New Roman" w:hAnsi="Times New Roman"/>
          <w:kern w:val="0"/>
          <w:sz w:val="22"/>
          <w:u w:val="single"/>
          <w:lang w:val="lt-LT"/>
          <w14:ligatures w14:val="none"/>
        </w:rPr>
      </w:pPr>
      <w:r w:rsidRPr="00F931D9">
        <w:rPr>
          <w:rFonts w:ascii="Times New Roman" w:hAnsi="Times New Roman"/>
          <w:kern w:val="0"/>
          <w:sz w:val="22"/>
          <w:u w:val="single"/>
          <w:lang w:val="lt-LT"/>
          <w14:ligatures w14:val="none"/>
        </w:rPr>
        <w:t>Papildomos atsargumo priemonės reumatoidiniu artritu sergantiems pacientams</w:t>
      </w:r>
    </w:p>
    <w:p w14:paraId="42FB1AA2"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Po 6 gydymo mėnesių, atsižvelgiant į ligos stabilumą, kartu vartojamus vaistinius preparatus bei kitas ligas, kuriomis pacientas serga, inkstų funkciją reikia įvertinti kas 4-8 savaites. Dažniau tikrinti reikia, jei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dozė didinama, kartu pradedama vartoti nesteroidinių vaistinių preparatų nuo uždegimo ar jų dozė didinama. Gydymą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gali reikėti nutraukti, jei vartojant šio vaistinio preparato atsiranda hipertenzija, kuri yra atspari tinkamam </w:t>
      </w:r>
      <w:proofErr w:type="spellStart"/>
      <w:r w:rsidRPr="00F931D9">
        <w:rPr>
          <w:rFonts w:ascii="Times New Roman" w:hAnsi="Times New Roman"/>
          <w:kern w:val="0"/>
          <w:sz w:val="22"/>
          <w:lang w:val="lt-LT"/>
          <w14:ligatures w14:val="none"/>
        </w:rPr>
        <w:t>antihipertenziniam</w:t>
      </w:r>
      <w:proofErr w:type="spellEnd"/>
      <w:r w:rsidRPr="00F931D9">
        <w:rPr>
          <w:rFonts w:ascii="Times New Roman" w:hAnsi="Times New Roman"/>
          <w:kern w:val="0"/>
          <w:sz w:val="22"/>
          <w:lang w:val="lt-LT"/>
          <w14:ligatures w14:val="none"/>
        </w:rPr>
        <w:t xml:space="preserve"> gydymui.</w:t>
      </w:r>
    </w:p>
    <w:p w14:paraId="3639867A"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57E8D70D"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Reikia atsiminti, kad ilgai gydant </w:t>
      </w:r>
      <w:proofErr w:type="spellStart"/>
      <w:r w:rsidRPr="00F931D9">
        <w:rPr>
          <w:rFonts w:ascii="Times New Roman" w:hAnsi="Times New Roman"/>
          <w:kern w:val="0"/>
          <w:sz w:val="22"/>
          <w:lang w:val="lt-LT"/>
          <w14:ligatures w14:val="none"/>
        </w:rPr>
        <w:t>imunosupresantais</w:t>
      </w:r>
      <w:proofErr w:type="spellEnd"/>
      <w:r w:rsidRPr="00F931D9">
        <w:rPr>
          <w:rFonts w:ascii="Times New Roman" w:hAnsi="Times New Roman"/>
          <w:kern w:val="0"/>
          <w:sz w:val="22"/>
          <w:lang w:val="lt-LT"/>
          <w14:ligatures w14:val="none"/>
        </w:rPr>
        <w:t xml:space="preserve"> (įskaitant </w:t>
      </w:r>
      <w:proofErr w:type="spellStart"/>
      <w:r w:rsidRPr="00F931D9">
        <w:rPr>
          <w:rFonts w:ascii="Times New Roman" w:hAnsi="Times New Roman"/>
          <w:kern w:val="0"/>
          <w:sz w:val="22"/>
          <w:lang w:val="lt-LT"/>
          <w14:ligatures w14:val="none"/>
        </w:rPr>
        <w:t>ciklosporiną</w:t>
      </w:r>
      <w:proofErr w:type="spellEnd"/>
      <w:r w:rsidRPr="00F931D9">
        <w:rPr>
          <w:rFonts w:ascii="Times New Roman" w:hAnsi="Times New Roman"/>
          <w:kern w:val="0"/>
          <w:sz w:val="22"/>
          <w:lang w:val="lt-LT"/>
          <w14:ligatures w14:val="none"/>
        </w:rPr>
        <w:t xml:space="preserve">), padidėja </w:t>
      </w:r>
      <w:proofErr w:type="spellStart"/>
      <w:r w:rsidRPr="00F931D9">
        <w:rPr>
          <w:rFonts w:ascii="Times New Roman" w:hAnsi="Times New Roman"/>
          <w:kern w:val="0"/>
          <w:sz w:val="22"/>
          <w:lang w:val="lt-LT"/>
          <w14:ligatures w14:val="none"/>
        </w:rPr>
        <w:t>limfoproliferacinių</w:t>
      </w:r>
      <w:proofErr w:type="spellEnd"/>
      <w:r w:rsidRPr="00F931D9">
        <w:rPr>
          <w:rFonts w:ascii="Times New Roman" w:hAnsi="Times New Roman"/>
          <w:kern w:val="0"/>
          <w:sz w:val="22"/>
          <w:lang w:val="lt-LT"/>
          <w14:ligatures w14:val="none"/>
        </w:rPr>
        <w:t xml:space="preserve"> sutrikimų atsiradimo rizika. Jei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vartojama kartu su </w:t>
      </w:r>
      <w:proofErr w:type="spellStart"/>
      <w:r w:rsidRPr="00F931D9">
        <w:rPr>
          <w:rFonts w:ascii="Times New Roman" w:hAnsi="Times New Roman"/>
          <w:kern w:val="0"/>
          <w:sz w:val="22"/>
          <w:lang w:val="lt-LT"/>
          <w14:ligatures w14:val="none"/>
        </w:rPr>
        <w:t>metotreksatu</w:t>
      </w:r>
      <w:proofErr w:type="spellEnd"/>
      <w:r w:rsidRPr="00F931D9">
        <w:rPr>
          <w:rFonts w:ascii="Times New Roman" w:hAnsi="Times New Roman"/>
          <w:kern w:val="0"/>
          <w:sz w:val="22"/>
          <w:lang w:val="lt-LT"/>
          <w14:ligatures w14:val="none"/>
        </w:rPr>
        <w:t xml:space="preserve">, reikia laikytis ypatingų atsargumo priemonių, kadangi pasireiškia sinerginis toksinis poveikis inkstams. </w:t>
      </w:r>
    </w:p>
    <w:p w14:paraId="1A8EFAAC"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7A335001" w14:textId="77777777" w:rsidR="00323207" w:rsidRPr="00F931D9" w:rsidRDefault="00323207" w:rsidP="00323207">
      <w:pPr>
        <w:autoSpaceDE w:val="0"/>
        <w:autoSpaceDN w:val="0"/>
        <w:adjustRightInd w:val="0"/>
        <w:spacing w:after="0" w:line="240" w:lineRule="auto"/>
        <w:rPr>
          <w:rFonts w:ascii="Times New Roman" w:hAnsi="Times New Roman"/>
          <w:kern w:val="0"/>
          <w:sz w:val="22"/>
          <w:u w:val="single"/>
          <w:lang w:val="lt-LT"/>
          <w14:ligatures w14:val="none"/>
        </w:rPr>
      </w:pPr>
      <w:r w:rsidRPr="00F931D9">
        <w:rPr>
          <w:rFonts w:ascii="Times New Roman" w:hAnsi="Times New Roman"/>
          <w:kern w:val="0"/>
          <w:sz w:val="22"/>
          <w:u w:val="single"/>
          <w:lang w:val="lt-LT"/>
          <w14:ligatures w14:val="none"/>
        </w:rPr>
        <w:t>Papildomos atsargumo priemonės žvyneline sergantiems pacientams</w:t>
      </w:r>
    </w:p>
    <w:p w14:paraId="1D91270F"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Gydymą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gali reikėti nutraukti, jei vartojant šio vaistinio preparato atsiranda hipertenzija, kuri yra atspari tinkamam </w:t>
      </w:r>
      <w:proofErr w:type="spellStart"/>
      <w:r w:rsidRPr="00F931D9">
        <w:rPr>
          <w:rFonts w:ascii="Times New Roman" w:hAnsi="Times New Roman"/>
          <w:kern w:val="0"/>
          <w:sz w:val="22"/>
          <w:lang w:val="lt-LT"/>
          <w14:ligatures w14:val="none"/>
        </w:rPr>
        <w:t>antihipertenziniam</w:t>
      </w:r>
      <w:proofErr w:type="spellEnd"/>
      <w:r w:rsidRPr="00F931D9">
        <w:rPr>
          <w:rFonts w:ascii="Times New Roman" w:hAnsi="Times New Roman"/>
          <w:kern w:val="0"/>
          <w:sz w:val="22"/>
          <w:lang w:val="lt-LT"/>
          <w14:ligatures w14:val="none"/>
        </w:rPr>
        <w:t xml:space="preserve"> gydymui.</w:t>
      </w:r>
    </w:p>
    <w:p w14:paraId="6494251E"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2260D25B"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Senyvus pacientus reikia gydyti tik tokiu atveju, jei yra neįgalumą sukelianti žvynelinė, ir labai atidžiai stebėti inkstų veiklą. </w:t>
      </w:r>
    </w:p>
    <w:p w14:paraId="7772BA75"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07680CB3"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vartojimo patirties žvyneline sergantiems vaikams yra nedaug.</w:t>
      </w:r>
    </w:p>
    <w:p w14:paraId="3DBBDB9C"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6AE4CC6E"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Pastebėta, kad žvyneline sergantiems ligoniams vartojant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kaip ir kitokių </w:t>
      </w:r>
      <w:proofErr w:type="spellStart"/>
      <w:r w:rsidRPr="00F931D9">
        <w:rPr>
          <w:rFonts w:ascii="Times New Roman" w:hAnsi="Times New Roman"/>
          <w:kern w:val="0"/>
          <w:sz w:val="22"/>
          <w:lang w:val="lt-LT"/>
          <w14:ligatures w14:val="none"/>
        </w:rPr>
        <w:t>imunosupresantų</w:t>
      </w:r>
      <w:proofErr w:type="spellEnd"/>
      <w:r w:rsidRPr="00F931D9">
        <w:rPr>
          <w:rFonts w:ascii="Times New Roman" w:hAnsi="Times New Roman"/>
          <w:kern w:val="0"/>
          <w:sz w:val="22"/>
          <w:lang w:val="lt-LT"/>
          <w14:ligatures w14:val="none"/>
        </w:rPr>
        <w:t xml:space="preserve">, atsirado piktybinių navikų, ypač odos. Jei yra odos pažeidimų, kurie yra nebūdingi žvynelinei, ir įtariama, kad jie gali būti piktybiniai ar </w:t>
      </w:r>
      <w:proofErr w:type="spellStart"/>
      <w:r w:rsidRPr="00F931D9">
        <w:rPr>
          <w:rFonts w:ascii="Times New Roman" w:hAnsi="Times New Roman"/>
          <w:kern w:val="0"/>
          <w:sz w:val="22"/>
          <w:lang w:val="lt-LT"/>
          <w14:ligatures w14:val="none"/>
        </w:rPr>
        <w:t>ikinavikiniai</w:t>
      </w:r>
      <w:proofErr w:type="spellEnd"/>
      <w:r w:rsidRPr="00F931D9">
        <w:rPr>
          <w:rFonts w:ascii="Times New Roman" w:hAnsi="Times New Roman"/>
          <w:kern w:val="0"/>
          <w:sz w:val="22"/>
          <w:lang w:val="lt-LT"/>
          <w14:ligatures w14:val="none"/>
        </w:rPr>
        <w:t xml:space="preserve">, prieš pradedant gydyti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reikia atlikti šių pažeidimų biopsiją. Pacientus, kuriems yra piktybinių ar </w:t>
      </w:r>
      <w:proofErr w:type="spellStart"/>
      <w:r w:rsidRPr="00F931D9">
        <w:rPr>
          <w:rFonts w:ascii="Times New Roman" w:hAnsi="Times New Roman"/>
          <w:kern w:val="0"/>
          <w:sz w:val="22"/>
          <w:lang w:val="lt-LT"/>
          <w14:ligatures w14:val="none"/>
        </w:rPr>
        <w:t>ikinavikinių</w:t>
      </w:r>
      <w:proofErr w:type="spellEnd"/>
      <w:r w:rsidRPr="00F931D9">
        <w:rPr>
          <w:rFonts w:ascii="Times New Roman" w:hAnsi="Times New Roman"/>
          <w:kern w:val="0"/>
          <w:sz w:val="22"/>
          <w:lang w:val="lt-LT"/>
          <w14:ligatures w14:val="none"/>
        </w:rPr>
        <w:t xml:space="preserve"> odos pokyčių,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galima vartoti tik po tinkamo minėtų pokyčių gydymo ir tik tokiu atveju, jei negalima pasirinkti kitokio veiksmingo gydymo.</w:t>
      </w:r>
    </w:p>
    <w:p w14:paraId="66839337"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60B39D8A"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lastRenderedPageBreak/>
        <w:t xml:space="preserve">Keliems žvyneline sergantiems pacientams, kurie buvo gydomi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atsirado </w:t>
      </w:r>
      <w:proofErr w:type="spellStart"/>
      <w:r w:rsidRPr="00F931D9">
        <w:rPr>
          <w:rFonts w:ascii="Times New Roman" w:hAnsi="Times New Roman"/>
          <w:kern w:val="0"/>
          <w:sz w:val="22"/>
          <w:lang w:val="lt-LT"/>
          <w14:ligatures w14:val="none"/>
        </w:rPr>
        <w:t>limfoproliferacinių</w:t>
      </w:r>
      <w:proofErr w:type="spellEnd"/>
      <w:r w:rsidRPr="00F931D9">
        <w:rPr>
          <w:rFonts w:ascii="Times New Roman" w:hAnsi="Times New Roman"/>
          <w:kern w:val="0"/>
          <w:sz w:val="22"/>
          <w:lang w:val="lt-LT"/>
          <w14:ligatures w14:val="none"/>
        </w:rPr>
        <w:t xml:space="preserve"> sutrikimų. Greitai nutraukus vaistinio preparato vartojimą, šis sutrikimas išnyko.</w:t>
      </w:r>
    </w:p>
    <w:p w14:paraId="65AF9AEF"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1CD7C0EE"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Jei ligonis vartoja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jį švitinti ultravioletiniais B spinduliais ar taikyti PUVA </w:t>
      </w:r>
      <w:proofErr w:type="spellStart"/>
      <w:r w:rsidRPr="00F931D9">
        <w:rPr>
          <w:rFonts w:ascii="Times New Roman" w:hAnsi="Times New Roman"/>
          <w:kern w:val="0"/>
          <w:sz w:val="22"/>
          <w:lang w:val="lt-LT"/>
          <w14:ligatures w14:val="none"/>
        </w:rPr>
        <w:t>fotochemoterapiją</w:t>
      </w:r>
      <w:proofErr w:type="spellEnd"/>
      <w:r w:rsidRPr="00F931D9">
        <w:rPr>
          <w:rFonts w:ascii="Times New Roman" w:hAnsi="Times New Roman"/>
          <w:kern w:val="0"/>
          <w:sz w:val="22"/>
          <w:lang w:val="lt-LT"/>
          <w14:ligatures w14:val="none"/>
        </w:rPr>
        <w:t xml:space="preserve"> negalima.</w:t>
      </w:r>
    </w:p>
    <w:p w14:paraId="1C1138D7"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5BBE436E" w14:textId="77777777" w:rsidR="00323207" w:rsidRPr="00F931D9" w:rsidRDefault="00323207" w:rsidP="00323207">
      <w:pPr>
        <w:autoSpaceDE w:val="0"/>
        <w:autoSpaceDN w:val="0"/>
        <w:adjustRightInd w:val="0"/>
        <w:spacing w:after="0" w:line="240" w:lineRule="auto"/>
        <w:rPr>
          <w:rFonts w:ascii="Times New Roman" w:hAnsi="Times New Roman"/>
          <w:kern w:val="0"/>
          <w:sz w:val="22"/>
          <w:u w:val="single"/>
          <w:lang w:val="lt-LT"/>
          <w14:ligatures w14:val="none"/>
        </w:rPr>
      </w:pPr>
      <w:r w:rsidRPr="00F931D9">
        <w:rPr>
          <w:rFonts w:ascii="Times New Roman" w:hAnsi="Times New Roman"/>
          <w:kern w:val="0"/>
          <w:sz w:val="22"/>
          <w:u w:val="single"/>
          <w:lang w:val="lt-LT"/>
          <w14:ligatures w14:val="none"/>
        </w:rPr>
        <w:t>Papildomos atsargumo priemonės atopiniu dermatitu sergantiems pacientams</w:t>
      </w:r>
    </w:p>
    <w:p w14:paraId="2D2DBD10"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Gydymą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gali reikėti nutraukti, jei vartojant šio vaistinio preparato atsiranda hipertenzija, kuri yra atspari tinkamam </w:t>
      </w:r>
      <w:proofErr w:type="spellStart"/>
      <w:r w:rsidRPr="00F931D9">
        <w:rPr>
          <w:rFonts w:ascii="Times New Roman" w:hAnsi="Times New Roman"/>
          <w:kern w:val="0"/>
          <w:sz w:val="22"/>
          <w:lang w:val="lt-LT"/>
          <w14:ligatures w14:val="none"/>
        </w:rPr>
        <w:t>antihipertenziniam</w:t>
      </w:r>
      <w:proofErr w:type="spellEnd"/>
      <w:r w:rsidRPr="00F931D9">
        <w:rPr>
          <w:rFonts w:ascii="Times New Roman" w:hAnsi="Times New Roman"/>
          <w:kern w:val="0"/>
          <w:sz w:val="22"/>
          <w:lang w:val="lt-LT"/>
          <w14:ligatures w14:val="none"/>
        </w:rPr>
        <w:t xml:space="preserve"> gydymui.</w:t>
      </w:r>
    </w:p>
    <w:p w14:paraId="4EBACA15"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6EE7551A"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vartojimo patirties atopiniu dermatitu sergantiems vaikams yra nedaug.</w:t>
      </w:r>
    </w:p>
    <w:p w14:paraId="3BB8BF9B"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399B6C35"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Senyvus pacientus reikia gydyti tik tokiu atveju, jei yra neįgalumą sukeliantis atopinis dermatitas, ir labai atidžiai stebėti inkstų veiklą. </w:t>
      </w:r>
    </w:p>
    <w:p w14:paraId="1A93115C"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170DC3AD"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Gerybinė </w:t>
      </w:r>
      <w:proofErr w:type="spellStart"/>
      <w:r w:rsidRPr="00F931D9">
        <w:rPr>
          <w:rFonts w:ascii="Times New Roman" w:hAnsi="Times New Roman"/>
          <w:kern w:val="0"/>
          <w:sz w:val="22"/>
          <w:lang w:val="lt-LT"/>
          <w14:ligatures w14:val="none"/>
        </w:rPr>
        <w:t>limfadenopatija</w:t>
      </w:r>
      <w:proofErr w:type="spellEnd"/>
      <w:r w:rsidRPr="00F931D9">
        <w:rPr>
          <w:rFonts w:ascii="Times New Roman" w:hAnsi="Times New Roman"/>
          <w:kern w:val="0"/>
          <w:sz w:val="22"/>
          <w:lang w:val="lt-LT"/>
          <w14:ligatures w14:val="none"/>
        </w:rPr>
        <w:t xml:space="preserve"> dažnai būna susijusi su atopinio dermatito paūmėjimu ir paprastai išnyksta savaime arba pagerėjus sveikatos būklei. </w:t>
      </w:r>
    </w:p>
    <w:p w14:paraId="061881BE"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75360AD8"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Gydymo </w:t>
      </w:r>
      <w:proofErr w:type="spellStart"/>
      <w:r w:rsidRPr="00F931D9">
        <w:rPr>
          <w:rFonts w:ascii="Times New Roman" w:hAnsi="Times New Roman"/>
          <w:kern w:val="0"/>
          <w:sz w:val="22"/>
          <w:lang w:val="lt-LT"/>
          <w14:ligatures w14:val="none"/>
        </w:rPr>
        <w:t>ciklosporinu</w:t>
      </w:r>
      <w:proofErr w:type="spellEnd"/>
      <w:r w:rsidRPr="00F931D9">
        <w:rPr>
          <w:rFonts w:ascii="Times New Roman" w:hAnsi="Times New Roman"/>
          <w:kern w:val="0"/>
          <w:sz w:val="22"/>
          <w:lang w:val="lt-LT"/>
          <w14:ligatures w14:val="none"/>
        </w:rPr>
        <w:t xml:space="preserve"> metu atsiradusią </w:t>
      </w:r>
      <w:proofErr w:type="spellStart"/>
      <w:r w:rsidRPr="00F931D9">
        <w:rPr>
          <w:rFonts w:ascii="Times New Roman" w:hAnsi="Times New Roman"/>
          <w:kern w:val="0"/>
          <w:sz w:val="22"/>
          <w:lang w:val="lt-LT"/>
          <w14:ligatures w14:val="none"/>
        </w:rPr>
        <w:t>limfadenopatiją</w:t>
      </w:r>
      <w:proofErr w:type="spellEnd"/>
      <w:r w:rsidRPr="00F931D9">
        <w:rPr>
          <w:rFonts w:ascii="Times New Roman" w:hAnsi="Times New Roman"/>
          <w:kern w:val="0"/>
          <w:sz w:val="22"/>
          <w:lang w:val="lt-LT"/>
          <w14:ligatures w14:val="none"/>
        </w:rPr>
        <w:t xml:space="preserve"> reikia reguliariai stebėti. </w:t>
      </w:r>
    </w:p>
    <w:p w14:paraId="354B02D8"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19B8F469"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Jei </w:t>
      </w:r>
      <w:proofErr w:type="spellStart"/>
      <w:r w:rsidRPr="00F931D9">
        <w:rPr>
          <w:rFonts w:ascii="Times New Roman" w:hAnsi="Times New Roman"/>
          <w:kern w:val="0"/>
          <w:sz w:val="22"/>
          <w:lang w:val="lt-LT"/>
          <w14:ligatures w14:val="none"/>
        </w:rPr>
        <w:t>limfadenopatija</w:t>
      </w:r>
      <w:proofErr w:type="spellEnd"/>
      <w:r w:rsidRPr="00F931D9">
        <w:rPr>
          <w:rFonts w:ascii="Times New Roman" w:hAnsi="Times New Roman"/>
          <w:kern w:val="0"/>
          <w:sz w:val="22"/>
          <w:lang w:val="lt-LT"/>
          <w14:ligatures w14:val="none"/>
        </w:rPr>
        <w:t>, nepaisant ligos aktyvumo mažėjimo, išlieka, dėl atsargumo reikia atlikti biopsiją ir patikrinti, ar nėra limfomos.</w:t>
      </w:r>
    </w:p>
    <w:p w14:paraId="67850EBF"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7693B4D6"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Jei pacientas serga ūmine paprastąja pūsleline,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galima pradėti vartoti tik po to, kai pacientas pasveiksta, bet jei minėta liga suserga ligonis, kuris jau vartoja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vaistinio preparato vartojimo nutraukti nereikia, nebent infekcinė liga būtų sunki.</w:t>
      </w:r>
    </w:p>
    <w:p w14:paraId="1B8D74D3"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1CC77887"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roofErr w:type="spellStart"/>
      <w:r w:rsidRPr="00F931D9">
        <w:rPr>
          <w:rFonts w:ascii="Times New Roman" w:hAnsi="Times New Roman"/>
          <w:i/>
          <w:kern w:val="0"/>
          <w:sz w:val="22"/>
          <w:lang w:val="lt-LT"/>
          <w14:ligatures w14:val="none"/>
        </w:rPr>
        <w:t>Staphylococcus</w:t>
      </w:r>
      <w:proofErr w:type="spellEnd"/>
      <w:r w:rsidRPr="00F931D9">
        <w:rPr>
          <w:rFonts w:ascii="Times New Roman" w:hAnsi="Times New Roman"/>
          <w:i/>
          <w:kern w:val="0"/>
          <w:sz w:val="22"/>
          <w:lang w:val="lt-LT"/>
          <w14:ligatures w14:val="none"/>
        </w:rPr>
        <w:t xml:space="preserve"> </w:t>
      </w:r>
      <w:proofErr w:type="spellStart"/>
      <w:r w:rsidRPr="00F931D9">
        <w:rPr>
          <w:rFonts w:ascii="Times New Roman" w:hAnsi="Times New Roman"/>
          <w:i/>
          <w:kern w:val="0"/>
          <w:sz w:val="22"/>
          <w:lang w:val="lt-LT"/>
          <w14:ligatures w14:val="none"/>
        </w:rPr>
        <w:t>aureus</w:t>
      </w:r>
      <w:proofErr w:type="spellEnd"/>
      <w:r w:rsidRPr="00F931D9">
        <w:rPr>
          <w:rFonts w:ascii="Times New Roman" w:hAnsi="Times New Roman"/>
          <w:kern w:val="0"/>
          <w:sz w:val="22"/>
          <w:lang w:val="lt-LT"/>
          <w14:ligatures w14:val="none"/>
        </w:rPr>
        <w:t xml:space="preserve"> sukelta odos infekcija nėra absoliuti kontraindikacija skirti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tik ją reikia gydyti tinkamais antibakteriniais vaistiniais preparatais. Geriamojo </w:t>
      </w:r>
      <w:proofErr w:type="spellStart"/>
      <w:r w:rsidRPr="00F931D9">
        <w:rPr>
          <w:rFonts w:ascii="Times New Roman" w:hAnsi="Times New Roman"/>
          <w:kern w:val="0"/>
          <w:sz w:val="22"/>
          <w:lang w:val="lt-LT"/>
          <w14:ligatures w14:val="none"/>
        </w:rPr>
        <w:t>eritromicino</w:t>
      </w:r>
      <w:proofErr w:type="spellEnd"/>
      <w:r w:rsidRPr="00F931D9">
        <w:rPr>
          <w:rFonts w:ascii="Times New Roman" w:hAnsi="Times New Roman"/>
          <w:kern w:val="0"/>
          <w:sz w:val="22"/>
          <w:lang w:val="lt-LT"/>
          <w14:ligatures w14:val="none"/>
        </w:rPr>
        <w:t xml:space="preserve"> vartoti nerekomenduojama, nes jis gali padidinti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koncentraciją kraujyje (žr. 4.5 skyrių). Jei vietoje geriamojo </w:t>
      </w:r>
      <w:proofErr w:type="spellStart"/>
      <w:r w:rsidRPr="00F931D9">
        <w:rPr>
          <w:rFonts w:ascii="Times New Roman" w:hAnsi="Times New Roman"/>
          <w:kern w:val="0"/>
          <w:sz w:val="22"/>
          <w:lang w:val="lt-LT"/>
          <w14:ligatures w14:val="none"/>
        </w:rPr>
        <w:t>eritromicino</w:t>
      </w:r>
      <w:proofErr w:type="spellEnd"/>
      <w:r w:rsidRPr="00F931D9">
        <w:rPr>
          <w:rFonts w:ascii="Times New Roman" w:hAnsi="Times New Roman"/>
          <w:kern w:val="0"/>
          <w:sz w:val="22"/>
          <w:lang w:val="lt-LT"/>
          <w14:ligatures w14:val="none"/>
        </w:rPr>
        <w:t xml:space="preserve"> negalima vartoti kitokio medikamento, reikia atidžiai stebėti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koncentraciją kraujyje, inkstų veiklą ir tikrinti, ar neatsirado nepageidaujamo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poveikio.</w:t>
      </w:r>
    </w:p>
    <w:p w14:paraId="2B679D86"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4112E649"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Jei ligonis vartoja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jį švitinti ultravioletiniais B spinduliais ar taikyti PUVA </w:t>
      </w:r>
      <w:proofErr w:type="spellStart"/>
      <w:r w:rsidRPr="00F931D9">
        <w:rPr>
          <w:rFonts w:ascii="Times New Roman" w:hAnsi="Times New Roman"/>
          <w:kern w:val="0"/>
          <w:sz w:val="22"/>
          <w:lang w:val="lt-LT"/>
          <w14:ligatures w14:val="none"/>
        </w:rPr>
        <w:t>fotochemoterapiją</w:t>
      </w:r>
      <w:proofErr w:type="spellEnd"/>
      <w:r w:rsidRPr="00F931D9">
        <w:rPr>
          <w:rFonts w:ascii="Times New Roman" w:hAnsi="Times New Roman"/>
          <w:kern w:val="0"/>
          <w:sz w:val="22"/>
          <w:lang w:val="lt-LT"/>
          <w14:ligatures w14:val="none"/>
        </w:rPr>
        <w:t xml:space="preserve"> negalima. </w:t>
      </w:r>
    </w:p>
    <w:p w14:paraId="0D1958BD"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206DF273" w14:textId="77777777" w:rsidR="00323207" w:rsidRPr="00F931D9" w:rsidRDefault="00323207" w:rsidP="00323207">
      <w:pPr>
        <w:autoSpaceDE w:val="0"/>
        <w:autoSpaceDN w:val="0"/>
        <w:adjustRightInd w:val="0"/>
        <w:spacing w:after="0" w:line="240" w:lineRule="auto"/>
        <w:rPr>
          <w:rFonts w:ascii="Times New Roman" w:hAnsi="Times New Roman"/>
          <w:kern w:val="0"/>
          <w:sz w:val="22"/>
          <w:u w:val="single"/>
          <w:lang w:val="lt-LT"/>
          <w14:ligatures w14:val="none"/>
        </w:rPr>
      </w:pPr>
      <w:r w:rsidRPr="00F931D9">
        <w:rPr>
          <w:rFonts w:ascii="Times New Roman" w:hAnsi="Times New Roman"/>
          <w:kern w:val="0"/>
          <w:sz w:val="22"/>
          <w:u w:val="single"/>
          <w:lang w:val="lt-LT"/>
          <w14:ligatures w14:val="none"/>
        </w:rPr>
        <w:t>Vartojimas vaikams ne transplantacijos indikacijoms</w:t>
      </w:r>
    </w:p>
    <w:p w14:paraId="34FAEA90"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vartojimo patirties vaikams nepakanka, išskyrus </w:t>
      </w:r>
      <w:proofErr w:type="spellStart"/>
      <w:r w:rsidRPr="00F931D9">
        <w:rPr>
          <w:rFonts w:ascii="Times New Roman" w:hAnsi="Times New Roman"/>
          <w:kern w:val="0"/>
          <w:sz w:val="22"/>
          <w:lang w:val="lt-LT"/>
          <w14:ligatures w14:val="none"/>
        </w:rPr>
        <w:t>nefroziniu</w:t>
      </w:r>
      <w:proofErr w:type="spellEnd"/>
      <w:r w:rsidRPr="00F931D9">
        <w:rPr>
          <w:rFonts w:ascii="Times New Roman" w:hAnsi="Times New Roman"/>
          <w:kern w:val="0"/>
          <w:sz w:val="22"/>
          <w:lang w:val="lt-LT"/>
          <w14:ligatures w14:val="none"/>
        </w:rPr>
        <w:t xml:space="preserve"> sindromu sergančius vaikus; todėl šio vaistinio preparato nerekomenduojama vartoti jaunesniems kaip 16 metų vaikams, kai yra ne transplantacijos indikacijų, išskyrus sergančiuosius </w:t>
      </w:r>
      <w:proofErr w:type="spellStart"/>
      <w:r w:rsidRPr="00F931D9">
        <w:rPr>
          <w:rFonts w:ascii="Times New Roman" w:hAnsi="Times New Roman"/>
          <w:kern w:val="0"/>
          <w:sz w:val="22"/>
          <w:lang w:val="lt-LT"/>
          <w14:ligatures w14:val="none"/>
        </w:rPr>
        <w:t>nefroziniu</w:t>
      </w:r>
      <w:proofErr w:type="spellEnd"/>
      <w:r w:rsidRPr="00F931D9">
        <w:rPr>
          <w:rFonts w:ascii="Times New Roman" w:hAnsi="Times New Roman"/>
          <w:kern w:val="0"/>
          <w:sz w:val="22"/>
          <w:lang w:val="lt-LT"/>
          <w14:ligatures w14:val="none"/>
        </w:rPr>
        <w:t xml:space="preserve"> sindromu.</w:t>
      </w:r>
    </w:p>
    <w:p w14:paraId="1905666A" w14:textId="77777777" w:rsidR="00323207" w:rsidRPr="00F931D9" w:rsidRDefault="00323207" w:rsidP="00323207">
      <w:pPr>
        <w:spacing w:after="0" w:line="240" w:lineRule="auto"/>
        <w:rPr>
          <w:rFonts w:ascii="Times New Roman" w:hAnsi="Times New Roman"/>
          <w:kern w:val="0"/>
          <w:sz w:val="22"/>
          <w:u w:val="single"/>
          <w:lang w:val="lt-LT"/>
          <w14:ligatures w14:val="none"/>
        </w:rPr>
      </w:pPr>
    </w:p>
    <w:p w14:paraId="7F36AAA6" w14:textId="77777777" w:rsidR="00323207" w:rsidRPr="00F931D9" w:rsidRDefault="00323207" w:rsidP="00323207">
      <w:pPr>
        <w:spacing w:after="0" w:line="240" w:lineRule="auto"/>
        <w:rPr>
          <w:rFonts w:ascii="Times New Roman" w:hAnsi="Times New Roman"/>
          <w:kern w:val="0"/>
          <w:sz w:val="22"/>
          <w:u w:val="single"/>
          <w:lang w:val="lt-LT"/>
          <w14:ligatures w14:val="none"/>
        </w:rPr>
      </w:pPr>
      <w:r w:rsidRPr="00F931D9">
        <w:rPr>
          <w:rFonts w:ascii="Times New Roman" w:hAnsi="Times New Roman"/>
          <w:kern w:val="0"/>
          <w:sz w:val="22"/>
          <w:u w:val="single"/>
          <w:lang w:val="lt-LT"/>
          <w14:ligatures w14:val="none"/>
        </w:rPr>
        <w:t xml:space="preserve">Tam tikros pagalbinės medžiagos: </w:t>
      </w:r>
      <w:proofErr w:type="spellStart"/>
      <w:r w:rsidRPr="00F931D9">
        <w:rPr>
          <w:rFonts w:ascii="Times New Roman" w:hAnsi="Times New Roman"/>
          <w:kern w:val="0"/>
          <w:sz w:val="22"/>
          <w:u w:val="single"/>
          <w:lang w:val="lt-LT"/>
          <w14:ligatures w14:val="none"/>
        </w:rPr>
        <w:t>polioksil</w:t>
      </w:r>
      <w:proofErr w:type="spellEnd"/>
      <w:r w:rsidRPr="00F931D9">
        <w:rPr>
          <w:rFonts w:ascii="Times New Roman" w:hAnsi="Times New Roman"/>
          <w:kern w:val="0"/>
          <w:sz w:val="22"/>
          <w:u w:val="single"/>
          <w:lang w:val="lt-LT"/>
          <w14:ligatures w14:val="none"/>
        </w:rPr>
        <w:t xml:space="preserve"> 40 </w:t>
      </w:r>
      <w:proofErr w:type="spellStart"/>
      <w:r w:rsidRPr="00F931D9">
        <w:rPr>
          <w:rFonts w:ascii="Times New Roman" w:hAnsi="Times New Roman"/>
          <w:kern w:val="0"/>
          <w:sz w:val="22"/>
          <w:u w:val="single"/>
          <w:lang w:val="lt-LT"/>
          <w14:ligatures w14:val="none"/>
        </w:rPr>
        <w:t>hidrintas</w:t>
      </w:r>
      <w:proofErr w:type="spellEnd"/>
      <w:r w:rsidRPr="00F931D9">
        <w:rPr>
          <w:rFonts w:ascii="Times New Roman" w:hAnsi="Times New Roman"/>
          <w:kern w:val="0"/>
          <w:sz w:val="22"/>
          <w:u w:val="single"/>
          <w:lang w:val="lt-LT"/>
          <w14:ligatures w14:val="none"/>
        </w:rPr>
        <w:t xml:space="preserve"> ricinos aliejus</w:t>
      </w:r>
    </w:p>
    <w:p w14:paraId="6F3DA0B5" w14:textId="77777777" w:rsidR="00323207" w:rsidRPr="00F931D9" w:rsidRDefault="00323207" w:rsidP="00323207">
      <w:pPr>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sudėtyje yra </w:t>
      </w:r>
      <w:proofErr w:type="spellStart"/>
      <w:r w:rsidRPr="00F931D9">
        <w:rPr>
          <w:rFonts w:ascii="Times New Roman" w:hAnsi="Times New Roman"/>
          <w:kern w:val="0"/>
          <w:sz w:val="22"/>
          <w:lang w:val="lt-LT"/>
          <w14:ligatures w14:val="none"/>
        </w:rPr>
        <w:t>polioksil</w:t>
      </w:r>
      <w:proofErr w:type="spellEnd"/>
      <w:r w:rsidRPr="00F931D9">
        <w:rPr>
          <w:rFonts w:ascii="Times New Roman" w:hAnsi="Times New Roman"/>
          <w:kern w:val="0"/>
          <w:sz w:val="22"/>
          <w:lang w:val="lt-LT"/>
          <w14:ligatures w14:val="none"/>
        </w:rPr>
        <w:t xml:space="preserve"> 40 </w:t>
      </w:r>
      <w:proofErr w:type="spellStart"/>
      <w:r w:rsidRPr="00F931D9">
        <w:rPr>
          <w:rFonts w:ascii="Times New Roman" w:hAnsi="Times New Roman"/>
          <w:kern w:val="0"/>
          <w:sz w:val="22"/>
          <w:lang w:val="lt-LT"/>
          <w14:ligatures w14:val="none"/>
        </w:rPr>
        <w:t>hidrinto</w:t>
      </w:r>
      <w:proofErr w:type="spellEnd"/>
      <w:r w:rsidRPr="00F931D9">
        <w:rPr>
          <w:rFonts w:ascii="Times New Roman" w:hAnsi="Times New Roman"/>
          <w:kern w:val="0"/>
          <w:sz w:val="22"/>
          <w:lang w:val="lt-LT"/>
          <w14:ligatures w14:val="none"/>
        </w:rPr>
        <w:t xml:space="preserve"> ricinos aliejaus, kuris gali sukelti skrandžio sutrikimų ir viduriavimą.</w:t>
      </w:r>
    </w:p>
    <w:p w14:paraId="2A4B2A14" w14:textId="77777777" w:rsidR="00323207" w:rsidRPr="00F931D9" w:rsidRDefault="00323207" w:rsidP="00323207">
      <w:pPr>
        <w:spacing w:after="0" w:line="240" w:lineRule="auto"/>
        <w:rPr>
          <w:rFonts w:ascii="Times New Roman" w:hAnsi="Times New Roman"/>
          <w:kern w:val="0"/>
          <w:sz w:val="22"/>
          <w:lang w:val="lt-LT"/>
          <w14:ligatures w14:val="none"/>
        </w:rPr>
      </w:pPr>
    </w:p>
    <w:p w14:paraId="209A1184"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u w:val="single"/>
          <w:lang w:val="lt-LT"/>
          <w14:ligatures w14:val="none"/>
        </w:rPr>
        <w:t>Tam tikros pagalbinės medžiagos: etanolis</w:t>
      </w:r>
    </w:p>
    <w:p w14:paraId="519EBD09"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Kiekvienoje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25, 50, 100 mg kapsulėje yra atitinkamai 11,8 tūrio% etanolio. 500 mg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dozėje yra 500 mg etanolio, kuris atitinka beveik 13 ml alaus arba 5 ml vyno.</w:t>
      </w:r>
    </w:p>
    <w:p w14:paraId="51C6D211"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14:ligatures w14:val="none"/>
        </w:rPr>
        <w:t>Mažas</w:t>
      </w:r>
      <w:proofErr w:type="spellEnd"/>
      <w:r w:rsidRPr="00F931D9">
        <w:rPr>
          <w:rFonts w:ascii="Times New Roman" w:hAnsi="Times New Roman"/>
          <w:kern w:val="0"/>
          <w:sz w:val="22"/>
          <w14:ligatures w14:val="none"/>
        </w:rPr>
        <w:t xml:space="preserve"> </w:t>
      </w:r>
      <w:proofErr w:type="spellStart"/>
      <w:r w:rsidRPr="00F931D9">
        <w:rPr>
          <w:rFonts w:ascii="Times New Roman" w:hAnsi="Times New Roman"/>
          <w:kern w:val="0"/>
          <w:sz w:val="22"/>
          <w14:ligatures w14:val="none"/>
        </w:rPr>
        <w:t>alkoholio</w:t>
      </w:r>
      <w:proofErr w:type="spellEnd"/>
      <w:r w:rsidRPr="00F931D9">
        <w:rPr>
          <w:rFonts w:ascii="Times New Roman" w:hAnsi="Times New Roman"/>
          <w:kern w:val="0"/>
          <w:sz w:val="22"/>
          <w14:ligatures w14:val="none"/>
        </w:rPr>
        <w:t xml:space="preserve"> </w:t>
      </w:r>
      <w:proofErr w:type="spellStart"/>
      <w:r w:rsidRPr="00F931D9">
        <w:rPr>
          <w:rFonts w:ascii="Times New Roman" w:hAnsi="Times New Roman"/>
          <w:kern w:val="0"/>
          <w:sz w:val="22"/>
          <w14:ligatures w14:val="none"/>
        </w:rPr>
        <w:t>kiekis</w:t>
      </w:r>
      <w:proofErr w:type="spellEnd"/>
      <w:r w:rsidRPr="00F931D9">
        <w:rPr>
          <w:rFonts w:ascii="Times New Roman" w:hAnsi="Times New Roman"/>
          <w:kern w:val="0"/>
          <w:sz w:val="22"/>
          <w14:ligatures w14:val="none"/>
        </w:rPr>
        <w:t xml:space="preserve">, </w:t>
      </w:r>
      <w:proofErr w:type="spellStart"/>
      <w:r w:rsidRPr="00F931D9">
        <w:rPr>
          <w:rFonts w:ascii="Times New Roman" w:hAnsi="Times New Roman"/>
          <w:kern w:val="0"/>
          <w:sz w:val="22"/>
          <w14:ligatures w14:val="none"/>
        </w:rPr>
        <w:t>esantis</w:t>
      </w:r>
      <w:proofErr w:type="spellEnd"/>
      <w:r w:rsidRPr="00F931D9">
        <w:rPr>
          <w:rFonts w:ascii="Times New Roman" w:hAnsi="Times New Roman"/>
          <w:kern w:val="0"/>
          <w:sz w:val="22"/>
          <w14:ligatures w14:val="none"/>
        </w:rPr>
        <w:t xml:space="preserve"> </w:t>
      </w:r>
      <w:proofErr w:type="spellStart"/>
      <w:r w:rsidRPr="00F931D9">
        <w:rPr>
          <w:rFonts w:ascii="Times New Roman" w:hAnsi="Times New Roman"/>
          <w:kern w:val="0"/>
          <w:sz w:val="22"/>
          <w14:ligatures w14:val="none"/>
        </w:rPr>
        <w:t>šio</w:t>
      </w:r>
      <w:proofErr w:type="spellEnd"/>
      <w:r w:rsidRPr="00F931D9">
        <w:rPr>
          <w:rFonts w:ascii="Times New Roman" w:hAnsi="Times New Roman"/>
          <w:kern w:val="0"/>
          <w:sz w:val="22"/>
          <w14:ligatures w14:val="none"/>
        </w:rPr>
        <w:t xml:space="preserve"> </w:t>
      </w:r>
      <w:proofErr w:type="spellStart"/>
      <w:r w:rsidRPr="00F931D9">
        <w:rPr>
          <w:rFonts w:ascii="Times New Roman" w:hAnsi="Times New Roman"/>
          <w:kern w:val="0"/>
          <w:sz w:val="22"/>
          <w14:ligatures w14:val="none"/>
        </w:rPr>
        <w:t>vaistinio</w:t>
      </w:r>
      <w:proofErr w:type="spellEnd"/>
      <w:r w:rsidRPr="00F931D9">
        <w:rPr>
          <w:rFonts w:ascii="Times New Roman" w:hAnsi="Times New Roman"/>
          <w:kern w:val="0"/>
          <w:sz w:val="22"/>
          <w14:ligatures w14:val="none"/>
        </w:rPr>
        <w:t xml:space="preserve"> </w:t>
      </w:r>
      <w:proofErr w:type="spellStart"/>
      <w:r w:rsidRPr="00F931D9">
        <w:rPr>
          <w:rFonts w:ascii="Times New Roman" w:hAnsi="Times New Roman"/>
          <w:kern w:val="0"/>
          <w:sz w:val="22"/>
          <w14:ligatures w14:val="none"/>
        </w:rPr>
        <w:t>preparato</w:t>
      </w:r>
      <w:proofErr w:type="spellEnd"/>
      <w:r w:rsidRPr="00F931D9">
        <w:rPr>
          <w:rFonts w:ascii="Times New Roman" w:hAnsi="Times New Roman"/>
          <w:kern w:val="0"/>
          <w:sz w:val="22"/>
          <w14:ligatures w14:val="none"/>
        </w:rPr>
        <w:t xml:space="preserve"> </w:t>
      </w:r>
      <w:proofErr w:type="spellStart"/>
      <w:r w:rsidRPr="00F931D9">
        <w:rPr>
          <w:rFonts w:ascii="Times New Roman" w:hAnsi="Times New Roman"/>
          <w:kern w:val="0"/>
          <w:sz w:val="22"/>
          <w14:ligatures w14:val="none"/>
        </w:rPr>
        <w:t>sudėtyje</w:t>
      </w:r>
      <w:proofErr w:type="spellEnd"/>
      <w:r w:rsidRPr="00F931D9">
        <w:rPr>
          <w:rFonts w:ascii="Times New Roman" w:hAnsi="Times New Roman"/>
          <w:kern w:val="0"/>
          <w:sz w:val="22"/>
          <w14:ligatures w14:val="none"/>
        </w:rPr>
        <w:t xml:space="preserve">, </w:t>
      </w:r>
      <w:proofErr w:type="spellStart"/>
      <w:r w:rsidRPr="00F931D9">
        <w:rPr>
          <w:rFonts w:ascii="Times New Roman" w:hAnsi="Times New Roman"/>
          <w:kern w:val="0"/>
          <w:sz w:val="22"/>
          <w14:ligatures w14:val="none"/>
        </w:rPr>
        <w:t>nesukelia</w:t>
      </w:r>
      <w:proofErr w:type="spellEnd"/>
      <w:r w:rsidRPr="00F931D9">
        <w:rPr>
          <w:rFonts w:ascii="Times New Roman" w:hAnsi="Times New Roman"/>
          <w:kern w:val="0"/>
          <w:sz w:val="22"/>
          <w14:ligatures w14:val="none"/>
        </w:rPr>
        <w:t xml:space="preserve"> </w:t>
      </w:r>
      <w:proofErr w:type="spellStart"/>
      <w:r w:rsidRPr="00F931D9">
        <w:rPr>
          <w:rFonts w:ascii="Times New Roman" w:hAnsi="Times New Roman"/>
          <w:kern w:val="0"/>
          <w:sz w:val="22"/>
          <w14:ligatures w14:val="none"/>
        </w:rPr>
        <w:t>pastebimo</w:t>
      </w:r>
      <w:proofErr w:type="spellEnd"/>
      <w:r w:rsidRPr="00F931D9">
        <w:rPr>
          <w:rFonts w:ascii="Times New Roman" w:hAnsi="Times New Roman"/>
          <w:kern w:val="0"/>
          <w:sz w:val="22"/>
          <w14:ligatures w14:val="none"/>
        </w:rPr>
        <w:t xml:space="preserve"> </w:t>
      </w:r>
      <w:proofErr w:type="spellStart"/>
      <w:r w:rsidRPr="00F931D9">
        <w:rPr>
          <w:rFonts w:ascii="Times New Roman" w:hAnsi="Times New Roman"/>
          <w:kern w:val="0"/>
          <w:sz w:val="22"/>
          <w14:ligatures w14:val="none"/>
        </w:rPr>
        <w:t>poveikio</w:t>
      </w:r>
      <w:proofErr w:type="spellEnd"/>
      <w:r w:rsidRPr="00F931D9">
        <w:rPr>
          <w:rFonts w:ascii="Times New Roman" w:hAnsi="Times New Roman"/>
          <w:kern w:val="0"/>
          <w:sz w:val="22"/>
          <w:lang w:val="lt-LT"/>
          <w14:ligatures w14:val="none"/>
        </w:rPr>
        <w:t>.</w:t>
      </w:r>
    </w:p>
    <w:p w14:paraId="5375C12C"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67809D82" w14:textId="77777777" w:rsidR="00323207" w:rsidRPr="00F931D9" w:rsidRDefault="00323207" w:rsidP="00323207">
      <w:pPr>
        <w:autoSpaceDE w:val="0"/>
        <w:autoSpaceDN w:val="0"/>
        <w:adjustRightInd w:val="0"/>
        <w:spacing w:after="0" w:line="240" w:lineRule="auto"/>
        <w:rPr>
          <w:rFonts w:ascii="Times New Roman" w:hAnsi="Times New Roman"/>
          <w:kern w:val="0"/>
          <w:sz w:val="22"/>
          <w:u w:val="single"/>
          <w:lang w:val="lt-LT"/>
          <w14:ligatures w14:val="none"/>
        </w:rPr>
      </w:pPr>
      <w:r w:rsidRPr="00F931D9">
        <w:rPr>
          <w:rFonts w:ascii="Times New Roman" w:hAnsi="Times New Roman"/>
          <w:kern w:val="0"/>
          <w:sz w:val="22"/>
          <w:u w:val="single"/>
          <w:lang w:val="lt-LT"/>
          <w14:ligatures w14:val="none"/>
        </w:rPr>
        <w:t>Tam tikros pagalbinės medžiagos: natris</w:t>
      </w:r>
    </w:p>
    <w:p w14:paraId="4C276CFA"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Šio vaistinio preparato 25 mg, 50 mg ir 100 mg kapsulėje yra mažiau kaip 1 </w:t>
      </w:r>
      <w:proofErr w:type="spellStart"/>
      <w:r w:rsidRPr="00F931D9">
        <w:rPr>
          <w:rFonts w:ascii="Times New Roman" w:hAnsi="Times New Roman"/>
          <w:kern w:val="0"/>
          <w:sz w:val="22"/>
          <w:lang w:val="lt-LT"/>
          <w14:ligatures w14:val="none"/>
        </w:rPr>
        <w:t>mmol</w:t>
      </w:r>
      <w:proofErr w:type="spellEnd"/>
      <w:r w:rsidRPr="00F931D9">
        <w:rPr>
          <w:rFonts w:ascii="Times New Roman" w:hAnsi="Times New Roman"/>
          <w:kern w:val="0"/>
          <w:sz w:val="22"/>
          <w:lang w:val="lt-LT"/>
          <w14:ligatures w14:val="none"/>
        </w:rPr>
        <w:t xml:space="preserve"> (23 mg) natrio, t. y. jis beveik neturi reikšmės.</w:t>
      </w:r>
    </w:p>
    <w:p w14:paraId="1F8C8A1D"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6D9B4576" w14:textId="77777777" w:rsidR="00323207" w:rsidRPr="00F931D9" w:rsidRDefault="00323207" w:rsidP="00323207">
      <w:pPr>
        <w:keepNext/>
        <w:spacing w:after="0" w:line="240" w:lineRule="auto"/>
        <w:ind w:left="567" w:hanging="567"/>
        <w:rPr>
          <w:rFonts w:ascii="Times New Roman" w:hAnsi="Times New Roman"/>
          <w:kern w:val="0"/>
          <w:sz w:val="22"/>
          <w:lang w:val="lt-LT"/>
          <w14:ligatures w14:val="none"/>
        </w:rPr>
      </w:pPr>
      <w:r w:rsidRPr="00F931D9">
        <w:rPr>
          <w:rFonts w:ascii="Times New Roman" w:hAnsi="Times New Roman"/>
          <w:b/>
          <w:kern w:val="0"/>
          <w:sz w:val="22"/>
          <w:lang w:val="lt-LT"/>
          <w14:ligatures w14:val="none"/>
        </w:rPr>
        <w:lastRenderedPageBreak/>
        <w:t>4.5</w:t>
      </w:r>
      <w:r w:rsidRPr="00F931D9">
        <w:rPr>
          <w:rFonts w:ascii="Times New Roman" w:hAnsi="Times New Roman"/>
          <w:b/>
          <w:kern w:val="0"/>
          <w:sz w:val="22"/>
          <w:lang w:val="lt-LT"/>
          <w14:ligatures w14:val="none"/>
        </w:rPr>
        <w:tab/>
        <w:t>Sąveika su kitais vaistiniais preparatais ir kitokia sąveika</w:t>
      </w:r>
    </w:p>
    <w:p w14:paraId="78C4B248" w14:textId="77777777" w:rsidR="00323207" w:rsidRPr="00F931D9" w:rsidRDefault="00323207" w:rsidP="00323207">
      <w:pPr>
        <w:keepNext/>
        <w:spacing w:after="0" w:line="240" w:lineRule="auto"/>
        <w:rPr>
          <w:rFonts w:ascii="Times New Roman" w:hAnsi="Times New Roman"/>
          <w:kern w:val="0"/>
          <w:sz w:val="22"/>
          <w:lang w:val="lt-LT"/>
          <w14:ligatures w14:val="none"/>
        </w:rPr>
      </w:pPr>
    </w:p>
    <w:p w14:paraId="2CF85C15" w14:textId="77777777" w:rsidR="00323207" w:rsidRPr="00F931D9" w:rsidRDefault="00323207" w:rsidP="00323207">
      <w:pPr>
        <w:autoSpaceDE w:val="0"/>
        <w:autoSpaceDN w:val="0"/>
        <w:adjustRightInd w:val="0"/>
        <w:spacing w:after="0" w:line="240" w:lineRule="auto"/>
        <w:rPr>
          <w:rFonts w:ascii="Times New Roman" w:hAnsi="Times New Roman"/>
          <w:kern w:val="0"/>
          <w:sz w:val="22"/>
          <w:u w:val="single"/>
          <w:lang w:val="lt-LT"/>
          <w14:ligatures w14:val="none"/>
        </w:rPr>
      </w:pPr>
      <w:r w:rsidRPr="00F931D9">
        <w:rPr>
          <w:rFonts w:ascii="Times New Roman" w:hAnsi="Times New Roman"/>
          <w:kern w:val="0"/>
          <w:sz w:val="22"/>
          <w:u w:val="single"/>
          <w:lang w:val="lt-LT"/>
          <w14:ligatures w14:val="none"/>
        </w:rPr>
        <w:t>Vaistinių preparatų sąveika</w:t>
      </w:r>
    </w:p>
    <w:p w14:paraId="4EF16912"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Pastebėta, kad daugelis vaistinių preparatų sąveikauja su </w:t>
      </w:r>
      <w:proofErr w:type="spellStart"/>
      <w:r w:rsidRPr="00F931D9">
        <w:rPr>
          <w:rFonts w:ascii="Times New Roman" w:hAnsi="Times New Roman"/>
          <w:kern w:val="0"/>
          <w:sz w:val="22"/>
          <w:lang w:val="lt-LT"/>
          <w14:ligatures w14:val="none"/>
        </w:rPr>
        <w:t>ciklosporinu</w:t>
      </w:r>
      <w:proofErr w:type="spellEnd"/>
      <w:r w:rsidRPr="00F931D9">
        <w:rPr>
          <w:rFonts w:ascii="Times New Roman" w:hAnsi="Times New Roman"/>
          <w:kern w:val="0"/>
          <w:sz w:val="22"/>
          <w:lang w:val="lt-LT"/>
          <w14:ligatures w14:val="none"/>
        </w:rPr>
        <w:t>. Toliau išvardyta pakankamai įrodyta ir laikoma reikšminga klinikai vaistinių preparatų sąveika.</w:t>
      </w:r>
    </w:p>
    <w:p w14:paraId="1E58B068"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4B744997"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Nustatyta, kad įvairūs vaistiniai preparatai, kurie dažniausiai slopina ar aktyvuoja </w:t>
      </w:r>
      <w:proofErr w:type="spellStart"/>
      <w:r w:rsidRPr="00F931D9">
        <w:rPr>
          <w:rFonts w:ascii="Times New Roman" w:hAnsi="Times New Roman"/>
          <w:kern w:val="0"/>
          <w:sz w:val="22"/>
          <w:lang w:val="lt-LT"/>
          <w14:ligatures w14:val="none"/>
        </w:rPr>
        <w:t>ciklosporiną</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metabolizuojančius</w:t>
      </w:r>
      <w:proofErr w:type="spellEnd"/>
      <w:r w:rsidRPr="00F931D9">
        <w:rPr>
          <w:rFonts w:ascii="Times New Roman" w:hAnsi="Times New Roman"/>
          <w:kern w:val="0"/>
          <w:sz w:val="22"/>
          <w:lang w:val="lt-LT"/>
          <w14:ligatures w14:val="none"/>
        </w:rPr>
        <w:t xml:space="preserve"> fermentus, ypač CYP3A4, didina arba mažina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koncentraciją plazmoje ar kraujyje.</w:t>
      </w:r>
    </w:p>
    <w:p w14:paraId="47380E75"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4C8F67DC"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Ciklosporinas</w:t>
      </w:r>
      <w:proofErr w:type="spellEnd"/>
      <w:r w:rsidRPr="00F931D9">
        <w:rPr>
          <w:rFonts w:ascii="Times New Roman" w:hAnsi="Times New Roman"/>
          <w:kern w:val="0"/>
          <w:sz w:val="22"/>
          <w:lang w:val="lt-LT"/>
          <w14:ligatures w14:val="none"/>
        </w:rPr>
        <w:t xml:space="preserve"> taip pat slopina CYP3A4, daugelį vaistinių preparatų pernešantį P</w:t>
      </w:r>
      <w:r w:rsidRPr="00F931D9">
        <w:rPr>
          <w:rFonts w:ascii="Times New Roman" w:hAnsi="Times New Roman"/>
          <w:kern w:val="0"/>
          <w:sz w:val="22"/>
          <w:lang w:val="lt-LT"/>
          <w14:ligatures w14:val="none"/>
        </w:rPr>
        <w:noBreakHyphen/>
      </w:r>
      <w:proofErr w:type="spellStart"/>
      <w:r w:rsidRPr="00F931D9">
        <w:rPr>
          <w:rFonts w:ascii="Times New Roman" w:hAnsi="Times New Roman"/>
          <w:kern w:val="0"/>
          <w:sz w:val="22"/>
          <w:lang w:val="lt-LT"/>
          <w14:ligatures w14:val="none"/>
        </w:rPr>
        <w:t>gp</w:t>
      </w:r>
      <w:proofErr w:type="spellEnd"/>
      <w:r w:rsidRPr="00F931D9">
        <w:rPr>
          <w:rFonts w:ascii="Times New Roman" w:hAnsi="Times New Roman"/>
          <w:kern w:val="0"/>
          <w:sz w:val="22"/>
          <w:lang w:val="lt-LT"/>
          <w14:ligatures w14:val="none"/>
        </w:rPr>
        <w:t xml:space="preserve"> ir organinių anijonų pernašos baltymus (angl. </w:t>
      </w:r>
      <w:proofErr w:type="spellStart"/>
      <w:r w:rsidRPr="00F931D9">
        <w:rPr>
          <w:rFonts w:ascii="Times New Roman" w:hAnsi="Times New Roman"/>
          <w:i/>
          <w:kern w:val="0"/>
          <w:sz w:val="22"/>
          <w:lang w:val="lt-LT"/>
          <w14:ligatures w14:val="none"/>
        </w:rPr>
        <w:t>organic</w:t>
      </w:r>
      <w:proofErr w:type="spellEnd"/>
      <w:r w:rsidRPr="00F931D9">
        <w:rPr>
          <w:rFonts w:ascii="Times New Roman" w:hAnsi="Times New Roman"/>
          <w:i/>
          <w:kern w:val="0"/>
          <w:sz w:val="22"/>
          <w:lang w:val="lt-LT"/>
          <w14:ligatures w14:val="none"/>
        </w:rPr>
        <w:t xml:space="preserve"> </w:t>
      </w:r>
      <w:proofErr w:type="spellStart"/>
      <w:r w:rsidRPr="00F931D9">
        <w:rPr>
          <w:rFonts w:ascii="Times New Roman" w:hAnsi="Times New Roman"/>
          <w:i/>
          <w:kern w:val="0"/>
          <w:sz w:val="22"/>
          <w:lang w:val="lt-LT"/>
          <w14:ligatures w14:val="none"/>
        </w:rPr>
        <w:t>anion</w:t>
      </w:r>
      <w:proofErr w:type="spellEnd"/>
      <w:r w:rsidRPr="00F931D9">
        <w:rPr>
          <w:rFonts w:ascii="Times New Roman" w:hAnsi="Times New Roman"/>
          <w:i/>
          <w:kern w:val="0"/>
          <w:sz w:val="22"/>
          <w:lang w:val="lt-LT"/>
          <w14:ligatures w14:val="none"/>
        </w:rPr>
        <w:t xml:space="preserve"> </w:t>
      </w:r>
      <w:proofErr w:type="spellStart"/>
      <w:r w:rsidRPr="00F931D9">
        <w:rPr>
          <w:rFonts w:ascii="Times New Roman" w:hAnsi="Times New Roman"/>
          <w:i/>
          <w:kern w:val="0"/>
          <w:sz w:val="22"/>
          <w:lang w:val="lt-LT"/>
          <w14:ligatures w14:val="none"/>
        </w:rPr>
        <w:t>transporter</w:t>
      </w:r>
      <w:proofErr w:type="spellEnd"/>
      <w:r w:rsidRPr="00F931D9">
        <w:rPr>
          <w:rFonts w:ascii="Times New Roman" w:hAnsi="Times New Roman"/>
          <w:i/>
          <w:kern w:val="0"/>
          <w:sz w:val="22"/>
          <w:lang w:val="lt-LT"/>
          <w14:ligatures w14:val="none"/>
        </w:rPr>
        <w:t xml:space="preserve"> </w:t>
      </w:r>
      <w:proofErr w:type="spellStart"/>
      <w:r w:rsidRPr="00F931D9">
        <w:rPr>
          <w:rFonts w:ascii="Times New Roman" w:hAnsi="Times New Roman"/>
          <w:i/>
          <w:kern w:val="0"/>
          <w:sz w:val="22"/>
          <w:lang w:val="lt-LT"/>
          <w14:ligatures w14:val="none"/>
        </w:rPr>
        <w:t>proteins</w:t>
      </w:r>
      <w:proofErr w:type="spellEnd"/>
      <w:r w:rsidRPr="00F931D9">
        <w:rPr>
          <w:rFonts w:ascii="Times New Roman" w:hAnsi="Times New Roman"/>
          <w:i/>
          <w:kern w:val="0"/>
          <w:sz w:val="22"/>
          <w:lang w:val="lt-LT"/>
          <w14:ligatures w14:val="none"/>
        </w:rPr>
        <w:t xml:space="preserve"> – OATP</w:t>
      </w:r>
      <w:r w:rsidRPr="00F931D9">
        <w:rPr>
          <w:rFonts w:ascii="Times New Roman" w:hAnsi="Times New Roman"/>
          <w:kern w:val="0"/>
          <w:sz w:val="22"/>
          <w:lang w:val="lt-LT"/>
          <w14:ligatures w14:val="none"/>
        </w:rPr>
        <w:t>) bei gali padidinti kartu vartojamų vaistinių preparatų, kurie yra šio fermento ir (arba) šių pernešėjų substratai, koncentraciją plazmoje.</w:t>
      </w:r>
    </w:p>
    <w:p w14:paraId="34903618"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1B780206" w14:textId="77777777" w:rsidR="00323207" w:rsidRPr="00F931D9" w:rsidRDefault="00323207" w:rsidP="00323207">
      <w:pPr>
        <w:autoSpaceDE w:val="0"/>
        <w:autoSpaceDN w:val="0"/>
        <w:adjustRightInd w:val="0"/>
        <w:spacing w:after="0" w:line="240" w:lineRule="auto"/>
        <w:rPr>
          <w:rFonts w:ascii="Times New Roman" w:hAnsi="Times New Roman"/>
          <w:color w:val="000000"/>
          <w:kern w:val="0"/>
          <w:sz w:val="22"/>
          <w:lang w:val="lt-LT"/>
          <w14:ligatures w14:val="none"/>
        </w:rPr>
      </w:pPr>
      <w:r w:rsidRPr="00F931D9">
        <w:rPr>
          <w:rFonts w:ascii="Times New Roman" w:hAnsi="Times New Roman"/>
          <w:color w:val="000000"/>
          <w:kern w:val="0"/>
          <w:sz w:val="22"/>
          <w:lang w:val="lt-LT"/>
          <w14:ligatures w14:val="none"/>
        </w:rPr>
        <w:t xml:space="preserve">Vaistiniai preparatai, kurie mažina arba didina </w:t>
      </w:r>
      <w:proofErr w:type="spellStart"/>
      <w:r w:rsidRPr="00F931D9">
        <w:rPr>
          <w:rFonts w:ascii="Times New Roman" w:hAnsi="Times New Roman"/>
          <w:color w:val="000000"/>
          <w:kern w:val="0"/>
          <w:sz w:val="22"/>
          <w:lang w:val="lt-LT"/>
          <w14:ligatures w14:val="none"/>
        </w:rPr>
        <w:t>ciklosporino</w:t>
      </w:r>
      <w:proofErr w:type="spellEnd"/>
      <w:r w:rsidRPr="00F931D9">
        <w:rPr>
          <w:rFonts w:ascii="Times New Roman" w:hAnsi="Times New Roman"/>
          <w:color w:val="000000"/>
          <w:kern w:val="0"/>
          <w:sz w:val="22"/>
          <w:lang w:val="lt-LT"/>
          <w14:ligatures w14:val="none"/>
        </w:rPr>
        <w:t xml:space="preserve"> biologinį prieinamumą: pacientams, kuriems atlikta transplantacija, reikia dažnai tikrinti </w:t>
      </w:r>
      <w:proofErr w:type="spellStart"/>
      <w:r w:rsidRPr="00F931D9">
        <w:rPr>
          <w:rFonts w:ascii="Times New Roman" w:hAnsi="Times New Roman"/>
          <w:color w:val="000000"/>
          <w:kern w:val="0"/>
          <w:sz w:val="22"/>
          <w:lang w:val="lt-LT"/>
          <w14:ligatures w14:val="none"/>
        </w:rPr>
        <w:t>ciklosporino</w:t>
      </w:r>
      <w:proofErr w:type="spellEnd"/>
      <w:r w:rsidRPr="00F931D9">
        <w:rPr>
          <w:rFonts w:ascii="Times New Roman" w:hAnsi="Times New Roman"/>
          <w:color w:val="000000"/>
          <w:kern w:val="0"/>
          <w:sz w:val="22"/>
          <w:lang w:val="lt-LT"/>
          <w14:ligatures w14:val="none"/>
        </w:rPr>
        <w:t xml:space="preserve"> koncentraciją ir prireikus koreguoti šio vaistinio preparato dozavimą, ypač pradedant ir baigiant gydymą kartu vartojamais vaistiniais preparatais. Pacientams, kurie </w:t>
      </w:r>
      <w:proofErr w:type="spellStart"/>
      <w:r w:rsidRPr="00F931D9">
        <w:rPr>
          <w:rFonts w:ascii="Times New Roman" w:hAnsi="Times New Roman"/>
          <w:color w:val="000000"/>
          <w:kern w:val="0"/>
          <w:sz w:val="22"/>
          <w:lang w:val="lt-LT"/>
          <w14:ligatures w14:val="none"/>
        </w:rPr>
        <w:t>ciklosporino</w:t>
      </w:r>
      <w:proofErr w:type="spellEnd"/>
      <w:r w:rsidRPr="00F931D9">
        <w:rPr>
          <w:rFonts w:ascii="Times New Roman" w:hAnsi="Times New Roman"/>
          <w:color w:val="000000"/>
          <w:kern w:val="0"/>
          <w:sz w:val="22"/>
          <w:lang w:val="lt-LT"/>
          <w14:ligatures w14:val="none"/>
        </w:rPr>
        <w:t xml:space="preserve"> vartoja ne dėl su transplantacija susijusių indikacijų, </w:t>
      </w:r>
      <w:r w:rsidRPr="00F931D9">
        <w:rPr>
          <w:rFonts w:ascii="Times New Roman" w:hAnsi="Times New Roman"/>
          <w:kern w:val="0"/>
          <w:sz w:val="22"/>
          <w:lang w:val="lt-LT"/>
          <w14:ligatures w14:val="none"/>
        </w:rPr>
        <w:t>šio vaistinio preparato koncentracijos kraujyje ryšys su klinikiniu poveikiu ištirtas mažiau.</w:t>
      </w:r>
      <w:r w:rsidRPr="00F931D9">
        <w:rPr>
          <w:rFonts w:ascii="Times New Roman" w:hAnsi="Times New Roman"/>
          <w:color w:val="000000"/>
          <w:kern w:val="0"/>
          <w:sz w:val="22"/>
          <w:lang w:val="lt-LT"/>
          <w14:ligatures w14:val="none"/>
        </w:rPr>
        <w:t xml:space="preserve"> Jeigu kartu vartojama vaistinio preparato, kuris didina </w:t>
      </w:r>
      <w:proofErr w:type="spellStart"/>
      <w:r w:rsidRPr="00F931D9">
        <w:rPr>
          <w:rFonts w:ascii="Times New Roman" w:hAnsi="Times New Roman"/>
          <w:color w:val="000000"/>
          <w:kern w:val="0"/>
          <w:sz w:val="22"/>
          <w:lang w:val="lt-LT"/>
          <w14:ligatures w14:val="none"/>
        </w:rPr>
        <w:t>ciklosporino</w:t>
      </w:r>
      <w:proofErr w:type="spellEnd"/>
      <w:r w:rsidRPr="00F931D9">
        <w:rPr>
          <w:rFonts w:ascii="Times New Roman" w:hAnsi="Times New Roman"/>
          <w:color w:val="000000"/>
          <w:kern w:val="0"/>
          <w:sz w:val="22"/>
          <w:lang w:val="lt-LT"/>
          <w14:ligatures w14:val="none"/>
        </w:rPr>
        <w:t xml:space="preserve"> kiekį kraujyje, dažnas inkstų veiklos tikrinimas bei kruopštus su </w:t>
      </w:r>
      <w:proofErr w:type="spellStart"/>
      <w:r w:rsidRPr="00F931D9">
        <w:rPr>
          <w:rFonts w:ascii="Times New Roman" w:hAnsi="Times New Roman"/>
          <w:color w:val="000000"/>
          <w:kern w:val="0"/>
          <w:sz w:val="22"/>
          <w:lang w:val="lt-LT"/>
          <w14:ligatures w14:val="none"/>
        </w:rPr>
        <w:t>ciklosporinu</w:t>
      </w:r>
      <w:proofErr w:type="spellEnd"/>
      <w:r w:rsidRPr="00F931D9">
        <w:rPr>
          <w:rFonts w:ascii="Times New Roman" w:hAnsi="Times New Roman"/>
          <w:color w:val="000000"/>
          <w:kern w:val="0"/>
          <w:sz w:val="22"/>
          <w:lang w:val="lt-LT"/>
          <w14:ligatures w14:val="none"/>
        </w:rPr>
        <w:t xml:space="preserve"> susijusio nepageidaujamo poveikio stebėjimas gali būti naudingesnis, negu </w:t>
      </w:r>
      <w:proofErr w:type="spellStart"/>
      <w:r w:rsidRPr="00F931D9">
        <w:rPr>
          <w:rFonts w:ascii="Times New Roman" w:hAnsi="Times New Roman"/>
          <w:color w:val="000000"/>
          <w:kern w:val="0"/>
          <w:sz w:val="22"/>
          <w:lang w:val="lt-LT"/>
          <w14:ligatures w14:val="none"/>
        </w:rPr>
        <w:t>ciklosporino</w:t>
      </w:r>
      <w:proofErr w:type="spellEnd"/>
      <w:r w:rsidRPr="00F931D9">
        <w:rPr>
          <w:rFonts w:ascii="Times New Roman" w:hAnsi="Times New Roman"/>
          <w:color w:val="000000"/>
          <w:kern w:val="0"/>
          <w:sz w:val="22"/>
          <w:lang w:val="lt-LT"/>
          <w14:ligatures w14:val="none"/>
        </w:rPr>
        <w:t xml:space="preserve"> kiekio kraujyje nustatymas.</w:t>
      </w:r>
    </w:p>
    <w:p w14:paraId="65F268B5"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1FA7E15D" w14:textId="77777777" w:rsidR="00323207" w:rsidRPr="00F931D9" w:rsidRDefault="00323207" w:rsidP="00323207">
      <w:pPr>
        <w:autoSpaceDE w:val="0"/>
        <w:autoSpaceDN w:val="0"/>
        <w:adjustRightInd w:val="0"/>
        <w:spacing w:after="0" w:line="240" w:lineRule="auto"/>
        <w:rPr>
          <w:rFonts w:ascii="Times New Roman" w:hAnsi="Times New Roman"/>
          <w:i/>
          <w:kern w:val="0"/>
          <w:sz w:val="22"/>
          <w:u w:val="single"/>
          <w:lang w:val="lt-LT"/>
          <w14:ligatures w14:val="none"/>
        </w:rPr>
      </w:pPr>
      <w:r w:rsidRPr="00F931D9">
        <w:rPr>
          <w:rFonts w:ascii="Times New Roman" w:hAnsi="Times New Roman"/>
          <w:i/>
          <w:kern w:val="0"/>
          <w:sz w:val="22"/>
          <w:u w:val="single"/>
          <w:lang w:val="lt-LT"/>
          <w14:ligatures w14:val="none"/>
        </w:rPr>
        <w:t xml:space="preserve">Vaistiniai preparatai, mažinantys </w:t>
      </w:r>
      <w:proofErr w:type="spellStart"/>
      <w:r w:rsidRPr="00F931D9">
        <w:rPr>
          <w:rFonts w:ascii="Times New Roman" w:hAnsi="Times New Roman"/>
          <w:i/>
          <w:kern w:val="0"/>
          <w:sz w:val="22"/>
          <w:u w:val="single"/>
          <w:lang w:val="lt-LT"/>
          <w14:ligatures w14:val="none"/>
        </w:rPr>
        <w:t>ciklosporino</w:t>
      </w:r>
      <w:proofErr w:type="spellEnd"/>
      <w:r w:rsidRPr="00F931D9">
        <w:rPr>
          <w:rFonts w:ascii="Times New Roman" w:hAnsi="Times New Roman"/>
          <w:i/>
          <w:kern w:val="0"/>
          <w:sz w:val="22"/>
          <w:u w:val="single"/>
          <w:lang w:val="lt-LT"/>
          <w14:ligatures w14:val="none"/>
        </w:rPr>
        <w:t xml:space="preserve"> koncentraciją</w:t>
      </w:r>
    </w:p>
    <w:p w14:paraId="067D7F0F"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Tikėtina, kad visi CYP3A4 fermento ir (arba) P</w:t>
      </w:r>
      <w:r w:rsidRPr="00F931D9">
        <w:rPr>
          <w:rFonts w:ascii="Times New Roman" w:hAnsi="Times New Roman"/>
          <w:kern w:val="0"/>
          <w:sz w:val="22"/>
          <w:lang w:val="lt-LT"/>
          <w14:ligatures w14:val="none"/>
        </w:rPr>
        <w:noBreakHyphen/>
      </w:r>
      <w:proofErr w:type="spellStart"/>
      <w:r w:rsidRPr="00F931D9">
        <w:rPr>
          <w:rFonts w:ascii="Times New Roman" w:hAnsi="Times New Roman"/>
          <w:kern w:val="0"/>
          <w:sz w:val="22"/>
          <w:lang w:val="lt-LT"/>
          <w14:ligatures w14:val="none"/>
        </w:rPr>
        <w:t>gp</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induktoriai</w:t>
      </w:r>
      <w:proofErr w:type="spellEnd"/>
      <w:r w:rsidRPr="00F931D9">
        <w:rPr>
          <w:rFonts w:ascii="Times New Roman" w:hAnsi="Times New Roman"/>
          <w:kern w:val="0"/>
          <w:sz w:val="22"/>
          <w:lang w:val="lt-LT"/>
          <w14:ligatures w14:val="none"/>
        </w:rPr>
        <w:t xml:space="preserve"> mažins kartu vartojamo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koncentraciją. Tokių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koncentraciją mažinančių vaistinių preparatų pavyzdžiai yra:</w:t>
      </w:r>
    </w:p>
    <w:p w14:paraId="178026DD" w14:textId="77777777" w:rsidR="00323207" w:rsidRPr="00F931D9" w:rsidRDefault="00323207" w:rsidP="00323207">
      <w:pPr>
        <w:autoSpaceDE w:val="0"/>
        <w:autoSpaceDN w:val="0"/>
        <w:adjustRightInd w:val="0"/>
        <w:spacing w:after="0" w:line="240" w:lineRule="auto"/>
        <w:rPr>
          <w:rFonts w:ascii="Times New Roman" w:hAnsi="Times New Roman"/>
          <w:i/>
          <w:kern w:val="0"/>
          <w:sz w:val="22"/>
          <w:lang w:val="lt-LT"/>
          <w14:ligatures w14:val="none"/>
        </w:rPr>
      </w:pPr>
      <w:r w:rsidRPr="00F931D9">
        <w:rPr>
          <w:rFonts w:ascii="Times New Roman" w:hAnsi="Times New Roman"/>
          <w:i/>
          <w:kern w:val="0"/>
          <w:sz w:val="22"/>
          <w:lang w:val="lt-LT"/>
          <w14:ligatures w14:val="none"/>
        </w:rPr>
        <w:t xml:space="preserve">barbitūratai, </w:t>
      </w:r>
      <w:proofErr w:type="spellStart"/>
      <w:r w:rsidRPr="00F931D9">
        <w:rPr>
          <w:rFonts w:ascii="Times New Roman" w:hAnsi="Times New Roman"/>
          <w:i/>
          <w:kern w:val="0"/>
          <w:sz w:val="22"/>
          <w:lang w:val="lt-LT"/>
          <w14:ligatures w14:val="none"/>
        </w:rPr>
        <w:t>karbamazepinas</w:t>
      </w:r>
      <w:proofErr w:type="spellEnd"/>
      <w:r w:rsidRPr="00F931D9">
        <w:rPr>
          <w:rFonts w:ascii="Times New Roman" w:hAnsi="Times New Roman"/>
          <w:i/>
          <w:kern w:val="0"/>
          <w:sz w:val="22"/>
          <w:lang w:val="lt-LT"/>
          <w14:ligatures w14:val="none"/>
        </w:rPr>
        <w:t xml:space="preserve">, </w:t>
      </w:r>
      <w:proofErr w:type="spellStart"/>
      <w:r w:rsidRPr="00F931D9">
        <w:rPr>
          <w:rFonts w:ascii="Times New Roman" w:hAnsi="Times New Roman"/>
          <w:i/>
          <w:kern w:val="0"/>
          <w:sz w:val="22"/>
          <w:lang w:val="lt-LT"/>
          <w14:ligatures w14:val="none"/>
        </w:rPr>
        <w:t>okskarbazepinas</w:t>
      </w:r>
      <w:proofErr w:type="spellEnd"/>
      <w:r w:rsidRPr="00F931D9">
        <w:rPr>
          <w:rFonts w:ascii="Times New Roman" w:hAnsi="Times New Roman"/>
          <w:i/>
          <w:kern w:val="0"/>
          <w:sz w:val="22"/>
          <w:lang w:val="lt-LT"/>
          <w14:ligatures w14:val="none"/>
        </w:rPr>
        <w:t xml:space="preserve">, </w:t>
      </w:r>
      <w:proofErr w:type="spellStart"/>
      <w:r w:rsidRPr="00F931D9">
        <w:rPr>
          <w:rFonts w:ascii="Times New Roman" w:hAnsi="Times New Roman"/>
          <w:i/>
          <w:kern w:val="0"/>
          <w:sz w:val="22"/>
          <w:lang w:val="lt-LT"/>
          <w14:ligatures w14:val="none"/>
        </w:rPr>
        <w:t>fenitoinas</w:t>
      </w:r>
      <w:proofErr w:type="spellEnd"/>
      <w:r w:rsidRPr="00F931D9">
        <w:rPr>
          <w:rFonts w:ascii="Times New Roman" w:hAnsi="Times New Roman"/>
          <w:i/>
          <w:kern w:val="0"/>
          <w:sz w:val="22"/>
          <w:lang w:val="lt-LT"/>
          <w14:ligatures w14:val="none"/>
        </w:rPr>
        <w:t xml:space="preserve">, </w:t>
      </w:r>
      <w:proofErr w:type="spellStart"/>
      <w:r w:rsidRPr="00F931D9">
        <w:rPr>
          <w:rFonts w:ascii="Times New Roman" w:hAnsi="Times New Roman"/>
          <w:i/>
          <w:kern w:val="0"/>
          <w:sz w:val="22"/>
          <w:lang w:val="lt-LT"/>
          <w14:ligatures w14:val="none"/>
        </w:rPr>
        <w:t>nafcilinas</w:t>
      </w:r>
      <w:proofErr w:type="spellEnd"/>
      <w:r w:rsidRPr="00F931D9">
        <w:rPr>
          <w:rFonts w:ascii="Times New Roman" w:hAnsi="Times New Roman"/>
          <w:i/>
          <w:kern w:val="0"/>
          <w:sz w:val="22"/>
          <w:lang w:val="lt-LT"/>
          <w14:ligatures w14:val="none"/>
        </w:rPr>
        <w:t xml:space="preserve">, į veną leidžiamas </w:t>
      </w:r>
      <w:proofErr w:type="spellStart"/>
      <w:r w:rsidRPr="00F931D9">
        <w:rPr>
          <w:rFonts w:ascii="Times New Roman" w:hAnsi="Times New Roman"/>
          <w:i/>
          <w:kern w:val="0"/>
          <w:sz w:val="22"/>
          <w:lang w:val="lt-LT"/>
          <w14:ligatures w14:val="none"/>
        </w:rPr>
        <w:t>sulfadimidinas</w:t>
      </w:r>
      <w:proofErr w:type="spellEnd"/>
      <w:r w:rsidRPr="00F931D9">
        <w:rPr>
          <w:rFonts w:ascii="Times New Roman" w:hAnsi="Times New Roman"/>
          <w:i/>
          <w:kern w:val="0"/>
          <w:sz w:val="22"/>
          <w:lang w:val="lt-LT"/>
          <w14:ligatures w14:val="none"/>
        </w:rPr>
        <w:t xml:space="preserve">, </w:t>
      </w:r>
      <w:proofErr w:type="spellStart"/>
      <w:r w:rsidRPr="00F931D9">
        <w:rPr>
          <w:rFonts w:ascii="Times New Roman" w:hAnsi="Times New Roman"/>
          <w:i/>
          <w:kern w:val="0"/>
          <w:sz w:val="22"/>
          <w:lang w:val="lt-LT"/>
          <w14:ligatures w14:val="none"/>
        </w:rPr>
        <w:t>probukolis</w:t>
      </w:r>
      <w:proofErr w:type="spellEnd"/>
      <w:r w:rsidRPr="00F931D9">
        <w:rPr>
          <w:rFonts w:ascii="Times New Roman" w:hAnsi="Times New Roman"/>
          <w:i/>
          <w:kern w:val="0"/>
          <w:sz w:val="22"/>
          <w:lang w:val="lt-LT"/>
          <w14:ligatures w14:val="none"/>
        </w:rPr>
        <w:t xml:space="preserve">, </w:t>
      </w:r>
      <w:proofErr w:type="spellStart"/>
      <w:r w:rsidRPr="00F931D9">
        <w:rPr>
          <w:rFonts w:ascii="Times New Roman" w:hAnsi="Times New Roman"/>
          <w:i/>
          <w:kern w:val="0"/>
          <w:sz w:val="22"/>
          <w:lang w:val="lt-LT"/>
          <w14:ligatures w14:val="none"/>
        </w:rPr>
        <w:t>orlistatas</w:t>
      </w:r>
      <w:proofErr w:type="spellEnd"/>
      <w:r w:rsidRPr="00F931D9">
        <w:rPr>
          <w:rFonts w:ascii="Times New Roman" w:hAnsi="Times New Roman"/>
          <w:i/>
          <w:kern w:val="0"/>
          <w:sz w:val="22"/>
          <w:lang w:val="lt-LT"/>
          <w14:ligatures w14:val="none"/>
        </w:rPr>
        <w:t>, jonažolių (</w:t>
      </w:r>
      <w:proofErr w:type="spellStart"/>
      <w:r w:rsidRPr="00F931D9">
        <w:rPr>
          <w:rFonts w:ascii="Times New Roman" w:hAnsi="Times New Roman"/>
          <w:i/>
          <w:kern w:val="0"/>
          <w:sz w:val="22"/>
          <w:lang w:val="lt-LT"/>
          <w14:ligatures w14:val="none"/>
        </w:rPr>
        <w:t>Hypericum</w:t>
      </w:r>
      <w:proofErr w:type="spellEnd"/>
      <w:r w:rsidRPr="00F931D9">
        <w:rPr>
          <w:rFonts w:ascii="Times New Roman" w:hAnsi="Times New Roman"/>
          <w:i/>
          <w:kern w:val="0"/>
          <w:sz w:val="22"/>
          <w:lang w:val="lt-LT"/>
          <w14:ligatures w14:val="none"/>
        </w:rPr>
        <w:t xml:space="preserve"> </w:t>
      </w:r>
      <w:proofErr w:type="spellStart"/>
      <w:r w:rsidRPr="00F931D9">
        <w:rPr>
          <w:rFonts w:ascii="Times New Roman" w:hAnsi="Times New Roman"/>
          <w:i/>
          <w:kern w:val="0"/>
          <w:sz w:val="22"/>
          <w:lang w:val="lt-LT"/>
          <w14:ligatures w14:val="none"/>
        </w:rPr>
        <w:t>perforatum</w:t>
      </w:r>
      <w:proofErr w:type="spellEnd"/>
      <w:r w:rsidRPr="00F931D9">
        <w:rPr>
          <w:rFonts w:ascii="Times New Roman" w:hAnsi="Times New Roman"/>
          <w:i/>
          <w:kern w:val="0"/>
          <w:sz w:val="22"/>
          <w:lang w:val="lt-LT"/>
          <w14:ligatures w14:val="none"/>
        </w:rPr>
        <w:t xml:space="preserve">) preparatai, </w:t>
      </w:r>
      <w:proofErr w:type="spellStart"/>
      <w:r w:rsidRPr="00F931D9">
        <w:rPr>
          <w:rFonts w:ascii="Times New Roman" w:hAnsi="Times New Roman"/>
          <w:i/>
          <w:kern w:val="0"/>
          <w:sz w:val="22"/>
          <w:lang w:val="lt-LT"/>
          <w14:ligatures w14:val="none"/>
        </w:rPr>
        <w:t>tiklopidinas</w:t>
      </w:r>
      <w:proofErr w:type="spellEnd"/>
      <w:r w:rsidRPr="00F931D9">
        <w:rPr>
          <w:rFonts w:ascii="Times New Roman" w:hAnsi="Times New Roman"/>
          <w:i/>
          <w:kern w:val="0"/>
          <w:sz w:val="22"/>
          <w:lang w:val="lt-LT"/>
          <w14:ligatures w14:val="none"/>
        </w:rPr>
        <w:t xml:space="preserve">, </w:t>
      </w:r>
      <w:proofErr w:type="spellStart"/>
      <w:r w:rsidRPr="00F931D9">
        <w:rPr>
          <w:rFonts w:ascii="Times New Roman" w:hAnsi="Times New Roman"/>
          <w:i/>
          <w:kern w:val="0"/>
          <w:sz w:val="22"/>
          <w:lang w:val="lt-LT"/>
          <w14:ligatures w14:val="none"/>
        </w:rPr>
        <w:t>sulfinpirazonas</w:t>
      </w:r>
      <w:proofErr w:type="spellEnd"/>
      <w:r w:rsidRPr="00F931D9">
        <w:rPr>
          <w:rFonts w:ascii="Times New Roman" w:hAnsi="Times New Roman"/>
          <w:i/>
          <w:kern w:val="0"/>
          <w:sz w:val="22"/>
          <w:lang w:val="lt-LT"/>
          <w14:ligatures w14:val="none"/>
        </w:rPr>
        <w:t xml:space="preserve">, </w:t>
      </w:r>
      <w:proofErr w:type="spellStart"/>
      <w:r w:rsidRPr="00F931D9">
        <w:rPr>
          <w:rFonts w:ascii="Times New Roman" w:hAnsi="Times New Roman"/>
          <w:i/>
          <w:kern w:val="0"/>
          <w:sz w:val="22"/>
          <w:lang w:val="lt-LT"/>
          <w14:ligatures w14:val="none"/>
        </w:rPr>
        <w:t>terbinafinas</w:t>
      </w:r>
      <w:proofErr w:type="spellEnd"/>
      <w:r w:rsidRPr="00F931D9">
        <w:rPr>
          <w:rFonts w:ascii="Times New Roman" w:hAnsi="Times New Roman"/>
          <w:i/>
          <w:kern w:val="0"/>
          <w:sz w:val="22"/>
          <w:lang w:val="lt-LT"/>
          <w14:ligatures w14:val="none"/>
        </w:rPr>
        <w:t xml:space="preserve">, </w:t>
      </w:r>
      <w:proofErr w:type="spellStart"/>
      <w:r w:rsidRPr="00F931D9">
        <w:rPr>
          <w:rFonts w:ascii="Times New Roman" w:hAnsi="Times New Roman"/>
          <w:i/>
          <w:kern w:val="0"/>
          <w:sz w:val="22"/>
          <w:lang w:val="lt-LT"/>
          <w14:ligatures w14:val="none"/>
        </w:rPr>
        <w:t>bosentanas</w:t>
      </w:r>
      <w:proofErr w:type="spellEnd"/>
      <w:r w:rsidRPr="00F931D9">
        <w:rPr>
          <w:rFonts w:ascii="Times New Roman" w:hAnsi="Times New Roman"/>
          <w:i/>
          <w:kern w:val="0"/>
          <w:sz w:val="22"/>
          <w:lang w:val="lt-LT"/>
          <w14:ligatures w14:val="none"/>
        </w:rPr>
        <w:t>.</w:t>
      </w:r>
    </w:p>
    <w:p w14:paraId="2A5F998B"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3092383F" w14:textId="77777777" w:rsidR="00323207" w:rsidRPr="00F931D9" w:rsidRDefault="00323207" w:rsidP="00323207">
      <w:pPr>
        <w:autoSpaceDE w:val="0"/>
        <w:autoSpaceDN w:val="0"/>
        <w:adjustRightInd w:val="0"/>
        <w:spacing w:after="0" w:line="240" w:lineRule="auto"/>
        <w:outlineLvl w:val="0"/>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kartu su produktais, kurių sudėtyje yra </w:t>
      </w:r>
      <w:proofErr w:type="spellStart"/>
      <w:r w:rsidRPr="00F931D9">
        <w:rPr>
          <w:rFonts w:ascii="Times New Roman" w:hAnsi="Times New Roman"/>
          <w:i/>
          <w:kern w:val="0"/>
          <w:sz w:val="22"/>
          <w:lang w:val="lt-LT"/>
          <w14:ligatures w14:val="none"/>
        </w:rPr>
        <w:t>Hypericum</w:t>
      </w:r>
      <w:proofErr w:type="spellEnd"/>
      <w:r w:rsidRPr="00F931D9">
        <w:rPr>
          <w:rFonts w:ascii="Times New Roman" w:hAnsi="Times New Roman"/>
          <w:i/>
          <w:kern w:val="0"/>
          <w:sz w:val="22"/>
          <w:lang w:val="lt-LT"/>
          <w14:ligatures w14:val="none"/>
        </w:rPr>
        <w:t xml:space="preserve"> </w:t>
      </w:r>
      <w:proofErr w:type="spellStart"/>
      <w:r w:rsidRPr="00F931D9">
        <w:rPr>
          <w:rFonts w:ascii="Times New Roman" w:hAnsi="Times New Roman"/>
          <w:i/>
          <w:kern w:val="0"/>
          <w:sz w:val="22"/>
          <w:lang w:val="lt-LT"/>
          <w14:ligatures w14:val="none"/>
        </w:rPr>
        <w:t>perforatum</w:t>
      </w:r>
      <w:proofErr w:type="spellEnd"/>
      <w:r w:rsidRPr="00F931D9">
        <w:rPr>
          <w:rFonts w:ascii="Times New Roman" w:hAnsi="Times New Roman"/>
          <w:kern w:val="0"/>
          <w:sz w:val="22"/>
          <w:lang w:val="lt-LT"/>
          <w14:ligatures w14:val="none"/>
        </w:rPr>
        <w:t xml:space="preserve"> (paprastosios jonažolės), vartoti draudžiama, kadangi gali sumažėti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koncentracija kraujyje ir tuo būdu susilpnėti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poveikis (žr. 4.3 skyrių).</w:t>
      </w:r>
    </w:p>
    <w:p w14:paraId="74849F0D"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1ED6B195"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roofErr w:type="spellStart"/>
      <w:r w:rsidRPr="00F931D9">
        <w:rPr>
          <w:rFonts w:ascii="Times New Roman" w:hAnsi="Times New Roman"/>
          <w:i/>
          <w:kern w:val="0"/>
          <w:sz w:val="22"/>
          <w:lang w:val="lt-LT"/>
          <w14:ligatures w14:val="none"/>
        </w:rPr>
        <w:t>Rifampicinas</w:t>
      </w:r>
      <w:proofErr w:type="spellEnd"/>
      <w:r w:rsidRPr="00F931D9">
        <w:rPr>
          <w:rFonts w:ascii="Times New Roman" w:hAnsi="Times New Roman"/>
          <w:kern w:val="0"/>
          <w:sz w:val="22"/>
          <w:lang w:val="lt-LT"/>
          <w14:ligatures w14:val="none"/>
        </w:rPr>
        <w:t xml:space="preserve"> skatina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metabolizmą žarnyne ir kepenyse. Kartu vartojamo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dozę gali reikėti didinti 3-5 kartus.</w:t>
      </w:r>
    </w:p>
    <w:p w14:paraId="2D675E59"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719B3F2A"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roofErr w:type="spellStart"/>
      <w:r w:rsidRPr="00F931D9">
        <w:rPr>
          <w:rFonts w:ascii="Times New Roman" w:hAnsi="Times New Roman"/>
          <w:i/>
          <w:kern w:val="0"/>
          <w:sz w:val="22"/>
          <w:lang w:val="lt-LT"/>
          <w14:ligatures w14:val="none"/>
        </w:rPr>
        <w:t>Oktreotidas</w:t>
      </w:r>
      <w:proofErr w:type="spellEnd"/>
      <w:r w:rsidRPr="00F931D9">
        <w:rPr>
          <w:rFonts w:ascii="Times New Roman" w:hAnsi="Times New Roman"/>
          <w:kern w:val="0"/>
          <w:sz w:val="22"/>
          <w:lang w:val="lt-LT"/>
          <w14:ligatures w14:val="none"/>
        </w:rPr>
        <w:t xml:space="preserve"> mažina per burną vartojamo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absorbciją, todėl gali reikėti 50 % didinti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dozę arba pradėti šio vaistinio preparato leisti į veną.</w:t>
      </w:r>
    </w:p>
    <w:p w14:paraId="6BD32F5B"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1FCCB510" w14:textId="77777777" w:rsidR="00323207" w:rsidRPr="00F931D9" w:rsidRDefault="00323207" w:rsidP="00323207">
      <w:pPr>
        <w:autoSpaceDE w:val="0"/>
        <w:autoSpaceDN w:val="0"/>
        <w:adjustRightInd w:val="0"/>
        <w:spacing w:after="0" w:line="240" w:lineRule="auto"/>
        <w:rPr>
          <w:rFonts w:ascii="Times New Roman" w:hAnsi="Times New Roman"/>
          <w:i/>
          <w:kern w:val="0"/>
          <w:sz w:val="22"/>
          <w:u w:val="single"/>
          <w:lang w:val="lt-LT"/>
          <w14:ligatures w14:val="none"/>
        </w:rPr>
      </w:pPr>
      <w:r w:rsidRPr="00F931D9">
        <w:rPr>
          <w:rFonts w:ascii="Times New Roman" w:hAnsi="Times New Roman"/>
          <w:i/>
          <w:kern w:val="0"/>
          <w:sz w:val="22"/>
          <w:u w:val="single"/>
          <w:lang w:val="lt-LT"/>
          <w14:ligatures w14:val="none"/>
        </w:rPr>
        <w:t xml:space="preserve">Vaistiniai preparatai, didinantys </w:t>
      </w:r>
      <w:proofErr w:type="spellStart"/>
      <w:r w:rsidRPr="00F931D9">
        <w:rPr>
          <w:rFonts w:ascii="Times New Roman" w:hAnsi="Times New Roman"/>
          <w:i/>
          <w:kern w:val="0"/>
          <w:sz w:val="22"/>
          <w:u w:val="single"/>
          <w:lang w:val="lt-LT"/>
          <w14:ligatures w14:val="none"/>
        </w:rPr>
        <w:t>ciklosporino</w:t>
      </w:r>
      <w:proofErr w:type="spellEnd"/>
      <w:r w:rsidRPr="00F931D9">
        <w:rPr>
          <w:rFonts w:ascii="Times New Roman" w:hAnsi="Times New Roman"/>
          <w:i/>
          <w:kern w:val="0"/>
          <w:sz w:val="22"/>
          <w:u w:val="single"/>
          <w:lang w:val="lt-LT"/>
          <w14:ligatures w14:val="none"/>
        </w:rPr>
        <w:t xml:space="preserve"> koncentraciją</w:t>
      </w:r>
    </w:p>
    <w:p w14:paraId="0B4AFC29"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Visi CYP3A4 fermento ir (arba) P</w:t>
      </w:r>
      <w:r w:rsidRPr="00F931D9">
        <w:rPr>
          <w:rFonts w:ascii="Times New Roman" w:hAnsi="Times New Roman"/>
          <w:kern w:val="0"/>
          <w:sz w:val="22"/>
          <w:lang w:val="lt-LT"/>
          <w14:ligatures w14:val="none"/>
        </w:rPr>
        <w:noBreakHyphen/>
      </w:r>
      <w:proofErr w:type="spellStart"/>
      <w:r w:rsidRPr="00F931D9">
        <w:rPr>
          <w:rFonts w:ascii="Times New Roman" w:hAnsi="Times New Roman"/>
          <w:kern w:val="0"/>
          <w:sz w:val="22"/>
          <w:lang w:val="lt-LT"/>
          <w14:ligatures w14:val="none"/>
        </w:rPr>
        <w:t>gp</w:t>
      </w:r>
      <w:proofErr w:type="spellEnd"/>
      <w:r w:rsidRPr="00F931D9">
        <w:rPr>
          <w:rFonts w:ascii="Times New Roman" w:hAnsi="Times New Roman"/>
          <w:kern w:val="0"/>
          <w:sz w:val="22"/>
          <w:lang w:val="lt-LT"/>
          <w14:ligatures w14:val="none"/>
        </w:rPr>
        <w:t xml:space="preserve"> inhibitoriai gali didinti kartu vartojamo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koncentraciją. Tokių vaistinių preparatų pavyzdžiai yra:</w:t>
      </w:r>
    </w:p>
    <w:p w14:paraId="56B86019" w14:textId="77777777" w:rsidR="00323207" w:rsidRPr="00F931D9" w:rsidRDefault="00323207" w:rsidP="00323207">
      <w:pPr>
        <w:autoSpaceDE w:val="0"/>
        <w:autoSpaceDN w:val="0"/>
        <w:adjustRightInd w:val="0"/>
        <w:spacing w:after="0" w:line="240" w:lineRule="auto"/>
        <w:rPr>
          <w:rFonts w:ascii="Times New Roman" w:hAnsi="Times New Roman"/>
          <w:i/>
          <w:kern w:val="0"/>
          <w:sz w:val="22"/>
          <w:lang w:val="lt-LT"/>
          <w14:ligatures w14:val="none"/>
        </w:rPr>
      </w:pPr>
      <w:proofErr w:type="spellStart"/>
      <w:r w:rsidRPr="00F931D9">
        <w:rPr>
          <w:rFonts w:ascii="Times New Roman" w:hAnsi="Times New Roman"/>
          <w:i/>
          <w:kern w:val="0"/>
          <w:sz w:val="22"/>
          <w:lang w:val="lt-LT"/>
          <w14:ligatures w14:val="none"/>
        </w:rPr>
        <w:t>nikardipinas</w:t>
      </w:r>
      <w:proofErr w:type="spellEnd"/>
      <w:r w:rsidRPr="00F931D9">
        <w:rPr>
          <w:rFonts w:ascii="Times New Roman" w:hAnsi="Times New Roman"/>
          <w:i/>
          <w:kern w:val="0"/>
          <w:sz w:val="22"/>
          <w:lang w:val="lt-LT"/>
          <w14:ligatures w14:val="none"/>
        </w:rPr>
        <w:t xml:space="preserve">, </w:t>
      </w:r>
      <w:proofErr w:type="spellStart"/>
      <w:r w:rsidRPr="00F931D9">
        <w:rPr>
          <w:rFonts w:ascii="Times New Roman" w:hAnsi="Times New Roman"/>
          <w:i/>
          <w:kern w:val="0"/>
          <w:sz w:val="22"/>
          <w:lang w:val="lt-LT"/>
          <w14:ligatures w14:val="none"/>
        </w:rPr>
        <w:t>metoklopramidas</w:t>
      </w:r>
      <w:proofErr w:type="spellEnd"/>
      <w:r w:rsidRPr="00F931D9">
        <w:rPr>
          <w:rFonts w:ascii="Times New Roman" w:hAnsi="Times New Roman"/>
          <w:i/>
          <w:kern w:val="0"/>
          <w:sz w:val="22"/>
          <w:lang w:val="lt-LT"/>
          <w14:ligatures w14:val="none"/>
        </w:rPr>
        <w:t xml:space="preserve">, geriamieji kontraceptikai, didelė </w:t>
      </w:r>
      <w:proofErr w:type="spellStart"/>
      <w:r w:rsidRPr="00F931D9">
        <w:rPr>
          <w:rFonts w:ascii="Times New Roman" w:hAnsi="Times New Roman"/>
          <w:i/>
          <w:kern w:val="0"/>
          <w:sz w:val="22"/>
          <w:lang w:val="lt-LT"/>
          <w14:ligatures w14:val="none"/>
        </w:rPr>
        <w:t>metilprednizolono</w:t>
      </w:r>
      <w:proofErr w:type="spellEnd"/>
      <w:r w:rsidRPr="00F931D9">
        <w:rPr>
          <w:rFonts w:ascii="Times New Roman" w:hAnsi="Times New Roman"/>
          <w:i/>
          <w:kern w:val="0"/>
          <w:sz w:val="22"/>
          <w:lang w:val="lt-LT"/>
          <w14:ligatures w14:val="none"/>
        </w:rPr>
        <w:t xml:space="preserve"> dozė, </w:t>
      </w:r>
      <w:proofErr w:type="spellStart"/>
      <w:r w:rsidRPr="00F931D9">
        <w:rPr>
          <w:rFonts w:ascii="Times New Roman" w:hAnsi="Times New Roman"/>
          <w:i/>
          <w:kern w:val="0"/>
          <w:sz w:val="22"/>
          <w:lang w:val="lt-LT"/>
          <w14:ligatures w14:val="none"/>
        </w:rPr>
        <w:t>alopurinolis</w:t>
      </w:r>
      <w:proofErr w:type="spellEnd"/>
      <w:r w:rsidRPr="00F931D9">
        <w:rPr>
          <w:rFonts w:ascii="Times New Roman" w:hAnsi="Times New Roman"/>
          <w:i/>
          <w:kern w:val="0"/>
          <w:sz w:val="22"/>
          <w:lang w:val="lt-LT"/>
          <w14:ligatures w14:val="none"/>
        </w:rPr>
        <w:t xml:space="preserve">, cholino rūgšties junginiai, proteazės inhibitoriai, </w:t>
      </w:r>
      <w:proofErr w:type="spellStart"/>
      <w:r w:rsidRPr="00F931D9">
        <w:rPr>
          <w:rFonts w:ascii="Times New Roman" w:hAnsi="Times New Roman"/>
          <w:i/>
          <w:kern w:val="0"/>
          <w:sz w:val="22"/>
          <w:lang w:val="lt-LT"/>
          <w14:ligatures w14:val="none"/>
        </w:rPr>
        <w:t>imatinibas</w:t>
      </w:r>
      <w:proofErr w:type="spellEnd"/>
      <w:r w:rsidRPr="00F931D9">
        <w:rPr>
          <w:rFonts w:ascii="Times New Roman" w:hAnsi="Times New Roman"/>
          <w:i/>
          <w:kern w:val="0"/>
          <w:sz w:val="22"/>
          <w:lang w:val="lt-LT"/>
          <w14:ligatures w14:val="none"/>
        </w:rPr>
        <w:t xml:space="preserve">, </w:t>
      </w:r>
      <w:proofErr w:type="spellStart"/>
      <w:r w:rsidRPr="00F931D9">
        <w:rPr>
          <w:rFonts w:ascii="Times New Roman" w:hAnsi="Times New Roman"/>
          <w:i/>
          <w:kern w:val="0"/>
          <w:sz w:val="22"/>
          <w:lang w:val="lt-LT"/>
          <w14:ligatures w14:val="none"/>
        </w:rPr>
        <w:t>kolchicinas</w:t>
      </w:r>
      <w:proofErr w:type="spellEnd"/>
      <w:r w:rsidRPr="00F931D9">
        <w:rPr>
          <w:rFonts w:ascii="Times New Roman" w:hAnsi="Times New Roman"/>
          <w:i/>
          <w:kern w:val="0"/>
          <w:sz w:val="22"/>
          <w:lang w:val="lt-LT"/>
          <w14:ligatures w14:val="none"/>
        </w:rPr>
        <w:t xml:space="preserve">, </w:t>
      </w:r>
      <w:proofErr w:type="spellStart"/>
      <w:r w:rsidRPr="00F931D9">
        <w:rPr>
          <w:rFonts w:ascii="Times New Roman" w:hAnsi="Times New Roman"/>
          <w:i/>
          <w:kern w:val="0"/>
          <w:sz w:val="22"/>
          <w:lang w:val="lt-LT"/>
          <w14:ligatures w14:val="none"/>
        </w:rPr>
        <w:t>nefazodonas</w:t>
      </w:r>
      <w:proofErr w:type="spellEnd"/>
      <w:r w:rsidRPr="00F931D9">
        <w:rPr>
          <w:rFonts w:ascii="Times New Roman" w:hAnsi="Times New Roman"/>
          <w:i/>
          <w:kern w:val="0"/>
          <w:sz w:val="22"/>
          <w:lang w:val="lt-LT"/>
          <w14:ligatures w14:val="none"/>
        </w:rPr>
        <w:t xml:space="preserve">. </w:t>
      </w:r>
    </w:p>
    <w:p w14:paraId="7A4B898D"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3EE8EAB2"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roofErr w:type="spellStart"/>
      <w:r w:rsidRPr="00F931D9">
        <w:rPr>
          <w:rFonts w:ascii="Times New Roman" w:hAnsi="Times New Roman"/>
          <w:i/>
          <w:kern w:val="0"/>
          <w:sz w:val="22"/>
          <w:lang w:val="lt-LT"/>
          <w14:ligatures w14:val="none"/>
        </w:rPr>
        <w:t>Makrolidų</w:t>
      </w:r>
      <w:proofErr w:type="spellEnd"/>
      <w:r w:rsidRPr="00F931D9">
        <w:rPr>
          <w:rFonts w:ascii="Times New Roman" w:hAnsi="Times New Roman"/>
          <w:i/>
          <w:kern w:val="0"/>
          <w:sz w:val="22"/>
          <w:lang w:val="lt-LT"/>
          <w14:ligatures w14:val="none"/>
        </w:rPr>
        <w:t xml:space="preserve"> grupės antibiotikai: </w:t>
      </w:r>
      <w:proofErr w:type="spellStart"/>
      <w:r w:rsidRPr="00F931D9">
        <w:rPr>
          <w:rFonts w:ascii="Times New Roman" w:hAnsi="Times New Roman"/>
          <w:i/>
          <w:kern w:val="0"/>
          <w:sz w:val="22"/>
          <w:lang w:val="lt-LT"/>
          <w14:ligatures w14:val="none"/>
        </w:rPr>
        <w:t>eritromicinas</w:t>
      </w:r>
      <w:proofErr w:type="spellEnd"/>
      <w:r w:rsidRPr="00F931D9">
        <w:rPr>
          <w:rFonts w:ascii="Times New Roman" w:hAnsi="Times New Roman"/>
          <w:i/>
          <w:kern w:val="0"/>
          <w:sz w:val="22"/>
          <w:lang w:val="lt-LT"/>
          <w14:ligatures w14:val="none"/>
        </w:rPr>
        <w:t xml:space="preserve"> </w:t>
      </w:r>
      <w:r w:rsidRPr="00F931D9">
        <w:rPr>
          <w:rFonts w:ascii="Times New Roman" w:hAnsi="Times New Roman"/>
          <w:kern w:val="0"/>
          <w:sz w:val="22"/>
          <w:lang w:val="lt-LT"/>
          <w14:ligatures w14:val="none"/>
        </w:rPr>
        <w:t xml:space="preserve">gali 4-7 kartus padidinti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ekspoziciją, dėl to kartais gali pasireikšti toksinis poveikis inkstams. Gauta pranešimų, kad </w:t>
      </w:r>
      <w:proofErr w:type="spellStart"/>
      <w:r w:rsidRPr="00F931D9">
        <w:rPr>
          <w:rFonts w:ascii="Times New Roman" w:hAnsi="Times New Roman"/>
          <w:i/>
          <w:kern w:val="0"/>
          <w:sz w:val="22"/>
          <w:lang w:val="lt-LT"/>
          <w14:ligatures w14:val="none"/>
        </w:rPr>
        <w:t>klaritromicinas</w:t>
      </w:r>
      <w:proofErr w:type="spellEnd"/>
      <w:r w:rsidRPr="00F931D9">
        <w:rPr>
          <w:rFonts w:ascii="Times New Roman" w:hAnsi="Times New Roman"/>
          <w:kern w:val="0"/>
          <w:sz w:val="22"/>
          <w:lang w:val="lt-LT"/>
          <w14:ligatures w14:val="none"/>
        </w:rPr>
        <w:t xml:space="preserve"> padvigubina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ekspoziciją</w:t>
      </w:r>
      <w:r w:rsidRPr="00F931D9">
        <w:rPr>
          <w:rFonts w:ascii="Times New Roman" w:hAnsi="Times New Roman"/>
          <w:i/>
          <w:kern w:val="0"/>
          <w:sz w:val="22"/>
          <w:lang w:val="lt-LT"/>
          <w14:ligatures w14:val="none"/>
        </w:rPr>
        <w:t xml:space="preserve">. </w:t>
      </w:r>
      <w:proofErr w:type="spellStart"/>
      <w:r w:rsidRPr="00F931D9">
        <w:rPr>
          <w:rFonts w:ascii="Times New Roman" w:hAnsi="Times New Roman"/>
          <w:i/>
          <w:kern w:val="0"/>
          <w:sz w:val="22"/>
          <w:lang w:val="lt-LT"/>
          <w14:ligatures w14:val="none"/>
        </w:rPr>
        <w:t>Azitromicinas</w:t>
      </w:r>
      <w:proofErr w:type="spellEnd"/>
      <w:r w:rsidRPr="00F931D9">
        <w:rPr>
          <w:rFonts w:ascii="Times New Roman" w:hAnsi="Times New Roman"/>
          <w:kern w:val="0"/>
          <w:sz w:val="22"/>
          <w:lang w:val="lt-LT"/>
          <w14:ligatures w14:val="none"/>
        </w:rPr>
        <w:t xml:space="preserve"> maždaug 20 % didina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koncentraciją kraujyje.</w:t>
      </w:r>
    </w:p>
    <w:p w14:paraId="08808DE7"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46D08539"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roofErr w:type="spellStart"/>
      <w:r w:rsidRPr="00F931D9">
        <w:rPr>
          <w:rFonts w:ascii="Times New Roman" w:hAnsi="Times New Roman"/>
          <w:i/>
          <w:kern w:val="0"/>
          <w:sz w:val="22"/>
          <w:lang w:val="lt-LT"/>
          <w14:ligatures w14:val="none"/>
        </w:rPr>
        <w:t>Azolo</w:t>
      </w:r>
      <w:proofErr w:type="spellEnd"/>
      <w:r w:rsidRPr="00F931D9">
        <w:rPr>
          <w:rFonts w:ascii="Times New Roman" w:hAnsi="Times New Roman"/>
          <w:i/>
          <w:kern w:val="0"/>
          <w:sz w:val="22"/>
          <w:lang w:val="lt-LT"/>
          <w14:ligatures w14:val="none"/>
        </w:rPr>
        <w:t xml:space="preserve"> grupės priešgrybelinės medžiagos: </w:t>
      </w:r>
      <w:proofErr w:type="spellStart"/>
      <w:r w:rsidRPr="00F931D9">
        <w:rPr>
          <w:rFonts w:ascii="Times New Roman" w:hAnsi="Times New Roman"/>
          <w:i/>
          <w:kern w:val="0"/>
          <w:sz w:val="22"/>
          <w:lang w:val="lt-LT"/>
          <w14:ligatures w14:val="none"/>
        </w:rPr>
        <w:t>ketokonazolas</w:t>
      </w:r>
      <w:proofErr w:type="spellEnd"/>
      <w:r w:rsidRPr="00F931D9">
        <w:rPr>
          <w:rFonts w:ascii="Times New Roman" w:hAnsi="Times New Roman"/>
          <w:i/>
          <w:kern w:val="0"/>
          <w:sz w:val="22"/>
          <w:lang w:val="lt-LT"/>
          <w14:ligatures w14:val="none"/>
        </w:rPr>
        <w:t xml:space="preserve">, </w:t>
      </w:r>
      <w:proofErr w:type="spellStart"/>
      <w:r w:rsidRPr="00F931D9">
        <w:rPr>
          <w:rFonts w:ascii="Times New Roman" w:hAnsi="Times New Roman"/>
          <w:i/>
          <w:kern w:val="0"/>
          <w:sz w:val="22"/>
          <w:lang w:val="lt-LT"/>
          <w14:ligatures w14:val="none"/>
        </w:rPr>
        <w:t>flukonazolas</w:t>
      </w:r>
      <w:proofErr w:type="spellEnd"/>
      <w:r w:rsidRPr="00F931D9">
        <w:rPr>
          <w:rFonts w:ascii="Times New Roman" w:hAnsi="Times New Roman"/>
          <w:i/>
          <w:kern w:val="0"/>
          <w:sz w:val="22"/>
          <w:lang w:val="lt-LT"/>
          <w14:ligatures w14:val="none"/>
        </w:rPr>
        <w:t xml:space="preserve">, </w:t>
      </w:r>
      <w:proofErr w:type="spellStart"/>
      <w:r w:rsidRPr="00F931D9">
        <w:rPr>
          <w:rFonts w:ascii="Times New Roman" w:hAnsi="Times New Roman"/>
          <w:i/>
          <w:kern w:val="0"/>
          <w:sz w:val="22"/>
          <w:lang w:val="lt-LT"/>
          <w14:ligatures w14:val="none"/>
        </w:rPr>
        <w:t>itrakonazolas</w:t>
      </w:r>
      <w:proofErr w:type="spellEnd"/>
      <w:r w:rsidRPr="00F931D9">
        <w:rPr>
          <w:rFonts w:ascii="Times New Roman" w:hAnsi="Times New Roman"/>
          <w:i/>
          <w:kern w:val="0"/>
          <w:sz w:val="22"/>
          <w:lang w:val="lt-LT"/>
          <w14:ligatures w14:val="none"/>
        </w:rPr>
        <w:t xml:space="preserve"> ir </w:t>
      </w:r>
      <w:proofErr w:type="spellStart"/>
      <w:r w:rsidRPr="00F931D9">
        <w:rPr>
          <w:rFonts w:ascii="Times New Roman" w:hAnsi="Times New Roman"/>
          <w:i/>
          <w:kern w:val="0"/>
          <w:sz w:val="22"/>
          <w:lang w:val="lt-LT"/>
          <w14:ligatures w14:val="none"/>
        </w:rPr>
        <w:t>vorikonazolas</w:t>
      </w:r>
      <w:proofErr w:type="spellEnd"/>
      <w:r w:rsidRPr="00F931D9">
        <w:rPr>
          <w:rFonts w:ascii="Times New Roman" w:hAnsi="Times New Roman"/>
          <w:i/>
          <w:kern w:val="0"/>
          <w:sz w:val="22"/>
          <w:lang w:val="lt-LT"/>
          <w14:ligatures w14:val="none"/>
        </w:rPr>
        <w:t xml:space="preserve"> </w:t>
      </w:r>
      <w:r w:rsidRPr="00F931D9">
        <w:rPr>
          <w:rFonts w:ascii="Times New Roman" w:hAnsi="Times New Roman"/>
          <w:kern w:val="0"/>
          <w:sz w:val="22"/>
          <w:lang w:val="lt-LT"/>
          <w14:ligatures w14:val="none"/>
        </w:rPr>
        <w:t xml:space="preserve">gali daugiau kaip dvigubai padidinti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ekspoziciją.</w:t>
      </w:r>
    </w:p>
    <w:p w14:paraId="4893BF49"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671E3CB7" w14:textId="77777777" w:rsidR="00323207" w:rsidRPr="00F931D9" w:rsidRDefault="00323207" w:rsidP="00323207">
      <w:pPr>
        <w:autoSpaceDE w:val="0"/>
        <w:autoSpaceDN w:val="0"/>
        <w:adjustRightInd w:val="0"/>
        <w:spacing w:after="0" w:line="240" w:lineRule="auto"/>
        <w:outlineLvl w:val="0"/>
        <w:rPr>
          <w:rFonts w:ascii="Times New Roman" w:hAnsi="Times New Roman"/>
          <w:kern w:val="0"/>
          <w:sz w:val="22"/>
          <w:lang w:val="lt-LT"/>
          <w14:ligatures w14:val="none"/>
        </w:rPr>
      </w:pPr>
      <w:proofErr w:type="spellStart"/>
      <w:r w:rsidRPr="00F931D9">
        <w:rPr>
          <w:rFonts w:ascii="Times New Roman" w:hAnsi="Times New Roman"/>
          <w:i/>
          <w:kern w:val="0"/>
          <w:sz w:val="22"/>
          <w:lang w:val="lt-LT"/>
          <w14:ligatures w14:val="none"/>
        </w:rPr>
        <w:t>Verapamilis</w:t>
      </w:r>
      <w:proofErr w:type="spellEnd"/>
      <w:r w:rsidRPr="00F931D9">
        <w:rPr>
          <w:rFonts w:ascii="Times New Roman" w:hAnsi="Times New Roman"/>
          <w:i/>
          <w:kern w:val="0"/>
          <w:sz w:val="22"/>
          <w:lang w:val="lt-LT"/>
          <w14:ligatures w14:val="none"/>
        </w:rPr>
        <w:t xml:space="preserve"> </w:t>
      </w:r>
      <w:r w:rsidRPr="00F931D9">
        <w:rPr>
          <w:rFonts w:ascii="Times New Roman" w:hAnsi="Times New Roman"/>
          <w:kern w:val="0"/>
          <w:sz w:val="22"/>
          <w:lang w:val="lt-LT"/>
          <w14:ligatures w14:val="none"/>
        </w:rPr>
        <w:t xml:space="preserve">2-3 kartus padidina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koncentraciją kraujyje.</w:t>
      </w:r>
    </w:p>
    <w:p w14:paraId="0E0C3996" w14:textId="77777777" w:rsidR="00323207" w:rsidRPr="00F931D9" w:rsidRDefault="00323207" w:rsidP="00323207">
      <w:pPr>
        <w:autoSpaceDE w:val="0"/>
        <w:autoSpaceDN w:val="0"/>
        <w:adjustRightInd w:val="0"/>
        <w:spacing w:after="0" w:line="240" w:lineRule="auto"/>
        <w:outlineLvl w:val="0"/>
        <w:rPr>
          <w:rFonts w:ascii="Times New Roman" w:hAnsi="Times New Roman"/>
          <w:i/>
          <w:kern w:val="0"/>
          <w:sz w:val="22"/>
          <w:lang w:val="lt-LT"/>
          <w14:ligatures w14:val="none"/>
        </w:rPr>
      </w:pPr>
    </w:p>
    <w:p w14:paraId="0609E1B3"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lastRenderedPageBreak/>
        <w:t xml:space="preserve">Kartu vartojant </w:t>
      </w:r>
      <w:proofErr w:type="spellStart"/>
      <w:r w:rsidRPr="00F931D9">
        <w:rPr>
          <w:rFonts w:ascii="Times New Roman" w:hAnsi="Times New Roman"/>
          <w:i/>
          <w:kern w:val="0"/>
          <w:sz w:val="22"/>
          <w:lang w:val="lt-LT"/>
          <w14:ligatures w14:val="none"/>
        </w:rPr>
        <w:t>telapreviro</w:t>
      </w:r>
      <w:proofErr w:type="spellEnd"/>
      <w:r w:rsidRPr="00F931D9">
        <w:rPr>
          <w:rFonts w:ascii="Times New Roman" w:hAnsi="Times New Roman"/>
          <w:kern w:val="0"/>
          <w:sz w:val="22"/>
          <w:lang w:val="lt-LT"/>
          <w14:ligatures w14:val="none"/>
        </w:rPr>
        <w:t xml:space="preserve">, pagal dozę apskaičiuota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ekspozicija (AUC) padidėjo maždaug 4,64 karto.</w:t>
      </w:r>
    </w:p>
    <w:p w14:paraId="442437F7"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3C83D174"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roofErr w:type="spellStart"/>
      <w:r w:rsidRPr="00F931D9">
        <w:rPr>
          <w:rFonts w:ascii="Times New Roman" w:hAnsi="Times New Roman"/>
          <w:i/>
          <w:kern w:val="0"/>
          <w:sz w:val="22"/>
          <w:lang w:val="lt-LT"/>
          <w14:ligatures w14:val="none"/>
        </w:rPr>
        <w:t>Amjodaronas</w:t>
      </w:r>
      <w:proofErr w:type="spellEnd"/>
      <w:r w:rsidRPr="00F931D9">
        <w:rPr>
          <w:rFonts w:ascii="Times New Roman" w:hAnsi="Times New Roman"/>
          <w:kern w:val="0"/>
          <w:sz w:val="22"/>
          <w:lang w:val="lt-LT"/>
          <w14:ligatures w14:val="none"/>
        </w:rPr>
        <w:t xml:space="preserve"> reikšmingai didina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koncentraciją plazmoje ir kartu didina kreatinino koncentraciją serume. Kadangi </w:t>
      </w:r>
      <w:proofErr w:type="spellStart"/>
      <w:r w:rsidRPr="00F931D9">
        <w:rPr>
          <w:rFonts w:ascii="Times New Roman" w:hAnsi="Times New Roman"/>
          <w:kern w:val="0"/>
          <w:sz w:val="22"/>
          <w:lang w:val="lt-LT"/>
          <w14:ligatures w14:val="none"/>
        </w:rPr>
        <w:t>amjodarono</w:t>
      </w:r>
      <w:proofErr w:type="spellEnd"/>
      <w:r w:rsidRPr="00F931D9">
        <w:rPr>
          <w:rFonts w:ascii="Times New Roman" w:hAnsi="Times New Roman"/>
          <w:kern w:val="0"/>
          <w:sz w:val="22"/>
          <w:lang w:val="lt-LT"/>
          <w14:ligatures w14:val="none"/>
        </w:rPr>
        <w:t xml:space="preserve"> pusinės eliminacijos periodas yra labai ilgas (apie 50 dienų), tokia sąveika gali tęstis ilgą laiką ir nutraukus šio vaistinio preparato vartojimą.</w:t>
      </w:r>
    </w:p>
    <w:p w14:paraId="28071700" w14:textId="77777777" w:rsidR="00323207" w:rsidRPr="00F931D9" w:rsidRDefault="00323207" w:rsidP="00323207">
      <w:pPr>
        <w:autoSpaceDE w:val="0"/>
        <w:autoSpaceDN w:val="0"/>
        <w:adjustRightInd w:val="0"/>
        <w:spacing w:after="0" w:line="240" w:lineRule="auto"/>
        <w:jc w:val="both"/>
        <w:rPr>
          <w:rFonts w:ascii="Times New Roman" w:hAnsi="Times New Roman"/>
          <w:kern w:val="0"/>
          <w:sz w:val="22"/>
          <w:lang w:val="lt-LT"/>
          <w14:ligatures w14:val="none"/>
        </w:rPr>
      </w:pPr>
    </w:p>
    <w:p w14:paraId="330A15E5" w14:textId="77777777" w:rsidR="00323207" w:rsidRPr="00F931D9" w:rsidRDefault="00323207" w:rsidP="00323207">
      <w:pPr>
        <w:autoSpaceDE w:val="0"/>
        <w:autoSpaceDN w:val="0"/>
        <w:adjustRightInd w:val="0"/>
        <w:spacing w:after="0" w:line="240" w:lineRule="auto"/>
        <w:jc w:val="both"/>
        <w:outlineLvl w:val="0"/>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Gauta pranešimų, kad </w:t>
      </w:r>
      <w:proofErr w:type="spellStart"/>
      <w:r w:rsidRPr="00F931D9">
        <w:rPr>
          <w:rFonts w:ascii="Times New Roman" w:hAnsi="Times New Roman"/>
          <w:i/>
          <w:kern w:val="0"/>
          <w:sz w:val="22"/>
          <w:lang w:val="lt-LT"/>
          <w14:ligatures w14:val="none"/>
        </w:rPr>
        <w:t>danazolis</w:t>
      </w:r>
      <w:proofErr w:type="spellEnd"/>
      <w:r w:rsidRPr="00F931D9">
        <w:rPr>
          <w:rFonts w:ascii="Times New Roman" w:hAnsi="Times New Roman"/>
          <w:kern w:val="0"/>
          <w:sz w:val="22"/>
          <w:lang w:val="lt-LT"/>
          <w14:ligatures w14:val="none"/>
        </w:rPr>
        <w:t xml:space="preserve"> maždaug 50 % didina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koncentraciją kraujyje.</w:t>
      </w:r>
    </w:p>
    <w:p w14:paraId="24F6C331" w14:textId="77777777" w:rsidR="00323207" w:rsidRPr="00F931D9" w:rsidRDefault="00323207" w:rsidP="00323207">
      <w:pPr>
        <w:autoSpaceDE w:val="0"/>
        <w:autoSpaceDN w:val="0"/>
        <w:adjustRightInd w:val="0"/>
        <w:spacing w:after="0" w:line="240" w:lineRule="auto"/>
        <w:jc w:val="both"/>
        <w:rPr>
          <w:rFonts w:ascii="Times New Roman" w:hAnsi="Times New Roman"/>
          <w:kern w:val="0"/>
          <w:sz w:val="22"/>
          <w:lang w:val="lt-LT"/>
          <w14:ligatures w14:val="none"/>
        </w:rPr>
      </w:pPr>
    </w:p>
    <w:p w14:paraId="29AAEFD7" w14:textId="77777777" w:rsidR="00323207" w:rsidRPr="00F931D9" w:rsidRDefault="00323207" w:rsidP="00323207">
      <w:pPr>
        <w:autoSpaceDE w:val="0"/>
        <w:autoSpaceDN w:val="0"/>
        <w:adjustRightInd w:val="0"/>
        <w:spacing w:after="0" w:line="240" w:lineRule="auto"/>
        <w:outlineLvl w:val="0"/>
        <w:rPr>
          <w:rFonts w:ascii="Times New Roman" w:hAnsi="Times New Roman"/>
          <w:kern w:val="0"/>
          <w:sz w:val="22"/>
          <w:lang w:val="lt-LT"/>
          <w14:ligatures w14:val="none"/>
        </w:rPr>
      </w:pPr>
      <w:proofErr w:type="spellStart"/>
      <w:r w:rsidRPr="00F931D9">
        <w:rPr>
          <w:rFonts w:ascii="Times New Roman" w:hAnsi="Times New Roman"/>
          <w:i/>
          <w:kern w:val="0"/>
          <w:sz w:val="22"/>
          <w:lang w:val="lt-LT"/>
          <w14:ligatures w14:val="none"/>
        </w:rPr>
        <w:t>Diltiazemas</w:t>
      </w:r>
      <w:proofErr w:type="spellEnd"/>
      <w:r w:rsidRPr="00F931D9">
        <w:rPr>
          <w:rFonts w:ascii="Times New Roman" w:hAnsi="Times New Roman"/>
          <w:i/>
          <w:kern w:val="0"/>
          <w:sz w:val="22"/>
          <w:lang w:val="lt-LT"/>
          <w14:ligatures w14:val="none"/>
        </w:rPr>
        <w:t xml:space="preserve"> </w:t>
      </w:r>
      <w:r w:rsidRPr="00F931D9">
        <w:rPr>
          <w:rFonts w:ascii="Times New Roman" w:hAnsi="Times New Roman"/>
          <w:kern w:val="0"/>
          <w:sz w:val="22"/>
          <w:lang w:val="lt-LT"/>
          <w14:ligatures w14:val="none"/>
        </w:rPr>
        <w:t>(90 mg paros dozė)</w:t>
      </w:r>
      <w:r w:rsidRPr="00F931D9">
        <w:rPr>
          <w:rFonts w:ascii="Times New Roman" w:hAnsi="Times New Roman"/>
          <w:i/>
          <w:kern w:val="0"/>
          <w:sz w:val="22"/>
          <w:lang w:val="lt-LT"/>
          <w14:ligatures w14:val="none"/>
        </w:rPr>
        <w:t xml:space="preserve"> </w:t>
      </w:r>
      <w:r w:rsidRPr="00F931D9">
        <w:rPr>
          <w:rFonts w:ascii="Times New Roman" w:hAnsi="Times New Roman"/>
          <w:kern w:val="0"/>
          <w:sz w:val="22"/>
          <w:lang w:val="lt-LT"/>
          <w14:ligatures w14:val="none"/>
        </w:rPr>
        <w:t xml:space="preserve">iki 50 % gali padidinti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koncentraciją plazmoje.</w:t>
      </w:r>
    </w:p>
    <w:p w14:paraId="1DBFD80F"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63D07FD4" w14:textId="77777777" w:rsidR="00323207" w:rsidRPr="00F931D9" w:rsidRDefault="00323207" w:rsidP="00323207">
      <w:pPr>
        <w:autoSpaceDE w:val="0"/>
        <w:autoSpaceDN w:val="0"/>
        <w:adjustRightInd w:val="0"/>
        <w:spacing w:after="0" w:line="240" w:lineRule="auto"/>
        <w:outlineLvl w:val="0"/>
        <w:rPr>
          <w:rFonts w:ascii="Times New Roman" w:hAnsi="Times New Roman"/>
          <w:kern w:val="0"/>
          <w:sz w:val="22"/>
          <w:lang w:val="lt-LT"/>
          <w14:ligatures w14:val="none"/>
        </w:rPr>
      </w:pPr>
      <w:proofErr w:type="spellStart"/>
      <w:r w:rsidRPr="00F931D9">
        <w:rPr>
          <w:rFonts w:ascii="Times New Roman" w:hAnsi="Times New Roman"/>
          <w:i/>
          <w:kern w:val="0"/>
          <w:sz w:val="22"/>
          <w:lang w:val="lt-LT"/>
          <w14:ligatures w14:val="none"/>
        </w:rPr>
        <w:t>Imatinibas</w:t>
      </w:r>
      <w:proofErr w:type="spellEnd"/>
      <w:r w:rsidRPr="00F931D9">
        <w:rPr>
          <w:rFonts w:ascii="Times New Roman" w:hAnsi="Times New Roman"/>
          <w:kern w:val="0"/>
          <w:sz w:val="22"/>
          <w:lang w:val="lt-LT"/>
          <w14:ligatures w14:val="none"/>
        </w:rPr>
        <w:t xml:space="preserve"> gali maždaug 20 % didinti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ekspoziciją ir </w:t>
      </w:r>
      <w:proofErr w:type="spellStart"/>
      <w:r w:rsidRPr="00F931D9">
        <w:rPr>
          <w:rFonts w:ascii="Times New Roman" w:hAnsi="Times New Roman"/>
          <w:kern w:val="0"/>
          <w:sz w:val="22"/>
          <w:lang w:val="lt-LT"/>
          <w14:ligatures w14:val="none"/>
        </w:rPr>
        <w:t>C</w:t>
      </w:r>
      <w:r w:rsidRPr="00F931D9">
        <w:rPr>
          <w:rFonts w:ascii="Times New Roman" w:hAnsi="Times New Roman"/>
          <w:kern w:val="0"/>
          <w:sz w:val="22"/>
          <w:vertAlign w:val="subscript"/>
          <w:lang w:val="lt-LT"/>
          <w14:ligatures w14:val="none"/>
        </w:rPr>
        <w:t>max</w:t>
      </w:r>
      <w:proofErr w:type="spellEnd"/>
      <w:r w:rsidRPr="00F931D9">
        <w:rPr>
          <w:rFonts w:ascii="Times New Roman" w:hAnsi="Times New Roman"/>
          <w:kern w:val="0"/>
          <w:sz w:val="22"/>
          <w:lang w:val="lt-LT"/>
          <w14:ligatures w14:val="none"/>
        </w:rPr>
        <w:t xml:space="preserve"> rodiklį.</w:t>
      </w:r>
    </w:p>
    <w:p w14:paraId="50C4D3B0" w14:textId="77777777" w:rsidR="00323207" w:rsidRPr="00F931D9" w:rsidRDefault="00323207" w:rsidP="00323207">
      <w:pPr>
        <w:autoSpaceDE w:val="0"/>
        <w:autoSpaceDN w:val="0"/>
        <w:adjustRightInd w:val="0"/>
        <w:spacing w:after="0" w:line="240" w:lineRule="auto"/>
        <w:outlineLvl w:val="0"/>
        <w:rPr>
          <w:rFonts w:ascii="Times New Roman" w:hAnsi="Times New Roman"/>
          <w:kern w:val="0"/>
          <w:sz w:val="22"/>
          <w:lang w:val="lt-LT"/>
          <w14:ligatures w14:val="none"/>
        </w:rPr>
      </w:pPr>
    </w:p>
    <w:p w14:paraId="29F9E174" w14:textId="77777777" w:rsidR="00323207" w:rsidRPr="00F931D9" w:rsidRDefault="00323207" w:rsidP="00323207">
      <w:pPr>
        <w:autoSpaceDE w:val="0"/>
        <w:autoSpaceDN w:val="0"/>
        <w:adjustRightInd w:val="0"/>
        <w:spacing w:after="0" w:line="240" w:lineRule="auto"/>
        <w:outlineLvl w:val="0"/>
        <w:rPr>
          <w:rFonts w:ascii="Times New Roman" w:hAnsi="Times New Roman"/>
          <w:kern w:val="0"/>
          <w:sz w:val="22"/>
          <w:lang w:val="lt-LT"/>
          <w14:ligatures w14:val="none"/>
        </w:rPr>
      </w:pPr>
      <w:proofErr w:type="spellStart"/>
      <w:r w:rsidRPr="00F931D9">
        <w:rPr>
          <w:rFonts w:ascii="Times New Roman" w:hAnsi="Times New Roman"/>
          <w:i/>
          <w:kern w:val="0"/>
          <w:sz w:val="22"/>
          <w:lang w:val="lt-LT"/>
          <w14:ligatures w14:val="none"/>
        </w:rPr>
        <w:t>Kanabidiolis</w:t>
      </w:r>
      <w:proofErr w:type="spellEnd"/>
      <w:r w:rsidRPr="00F931D9">
        <w:rPr>
          <w:rFonts w:ascii="Times New Roman" w:hAnsi="Times New Roman"/>
          <w:i/>
          <w:kern w:val="0"/>
          <w:sz w:val="22"/>
          <w:lang w:val="lt-LT"/>
          <w14:ligatures w14:val="none"/>
        </w:rPr>
        <w:t xml:space="preserve"> (P-</w:t>
      </w:r>
      <w:proofErr w:type="spellStart"/>
      <w:r w:rsidRPr="00F931D9">
        <w:rPr>
          <w:rFonts w:ascii="Times New Roman" w:hAnsi="Times New Roman"/>
          <w:i/>
          <w:kern w:val="0"/>
          <w:sz w:val="22"/>
          <w:lang w:val="lt-LT"/>
          <w14:ligatures w14:val="none"/>
        </w:rPr>
        <w:t>gp</w:t>
      </w:r>
      <w:proofErr w:type="spellEnd"/>
      <w:r w:rsidRPr="00F931D9">
        <w:rPr>
          <w:rFonts w:ascii="Times New Roman" w:hAnsi="Times New Roman"/>
          <w:i/>
          <w:kern w:val="0"/>
          <w:sz w:val="22"/>
          <w:lang w:val="lt-LT"/>
          <w14:ligatures w14:val="none"/>
        </w:rPr>
        <w:t xml:space="preserve"> inhibitorius).</w:t>
      </w:r>
      <w:r w:rsidRPr="00F931D9">
        <w:rPr>
          <w:rFonts w:ascii="Times New Roman" w:hAnsi="Times New Roman"/>
          <w:kern w:val="0"/>
          <w:sz w:val="22"/>
          <w:lang w:val="lt-LT"/>
          <w14:ligatures w14:val="none"/>
        </w:rPr>
        <w:t xml:space="preserve"> Gauta pranešimų apie kartu su </w:t>
      </w:r>
      <w:proofErr w:type="spellStart"/>
      <w:r w:rsidRPr="00F931D9">
        <w:rPr>
          <w:rFonts w:ascii="Times New Roman" w:hAnsi="Times New Roman"/>
          <w:kern w:val="0"/>
          <w:sz w:val="22"/>
          <w:lang w:val="lt-LT"/>
          <w14:ligatures w14:val="none"/>
        </w:rPr>
        <w:t>kanabidioliu</w:t>
      </w:r>
      <w:proofErr w:type="spellEnd"/>
      <w:r w:rsidRPr="00F931D9">
        <w:rPr>
          <w:rFonts w:ascii="Times New Roman" w:hAnsi="Times New Roman"/>
          <w:kern w:val="0"/>
          <w:sz w:val="22"/>
          <w:lang w:val="lt-LT"/>
          <w14:ligatures w14:val="none"/>
        </w:rPr>
        <w:t xml:space="preserve"> vartojamo kito </w:t>
      </w:r>
      <w:proofErr w:type="spellStart"/>
      <w:r w:rsidRPr="00F931D9">
        <w:rPr>
          <w:rFonts w:ascii="Times New Roman" w:hAnsi="Times New Roman"/>
          <w:kern w:val="0"/>
          <w:sz w:val="22"/>
          <w:lang w:val="lt-LT"/>
          <w14:ligatures w14:val="none"/>
        </w:rPr>
        <w:t>kalcineurino</w:t>
      </w:r>
      <w:proofErr w:type="spellEnd"/>
      <w:r w:rsidRPr="00F931D9">
        <w:rPr>
          <w:rFonts w:ascii="Times New Roman" w:hAnsi="Times New Roman"/>
          <w:kern w:val="0"/>
          <w:sz w:val="22"/>
          <w:lang w:val="lt-LT"/>
          <w14:ligatures w14:val="none"/>
        </w:rPr>
        <w:t xml:space="preserve"> inhibitoriaus koncentracijos kraujyje padidėjimą. Ši sąveika gali pasireikšti dėl žarnyno P</w:t>
      </w:r>
      <w:r w:rsidRPr="00F931D9">
        <w:rPr>
          <w:rFonts w:ascii="Times New Roman" w:hAnsi="Times New Roman"/>
          <w:kern w:val="0"/>
          <w:sz w:val="22"/>
          <w:lang w:val="lt-LT"/>
          <w14:ligatures w14:val="none"/>
        </w:rPr>
        <w:noBreakHyphen/>
      </w:r>
      <w:proofErr w:type="spellStart"/>
      <w:r w:rsidRPr="00F931D9">
        <w:rPr>
          <w:rFonts w:ascii="Times New Roman" w:hAnsi="Times New Roman"/>
          <w:kern w:val="0"/>
          <w:sz w:val="22"/>
          <w:lang w:val="lt-LT"/>
          <w14:ligatures w14:val="none"/>
        </w:rPr>
        <w:t>gp</w:t>
      </w:r>
      <w:proofErr w:type="spellEnd"/>
      <w:r w:rsidRPr="00F931D9">
        <w:rPr>
          <w:rFonts w:ascii="Times New Roman" w:hAnsi="Times New Roman"/>
          <w:kern w:val="0"/>
          <w:sz w:val="22"/>
          <w:lang w:val="lt-LT"/>
          <w14:ligatures w14:val="none"/>
        </w:rPr>
        <w:t xml:space="preserve"> išmetimo slopinimo, dėl kurio padidėja </w:t>
      </w:r>
      <w:proofErr w:type="spellStart"/>
      <w:r w:rsidRPr="00F931D9">
        <w:rPr>
          <w:rFonts w:ascii="Times New Roman" w:hAnsi="Times New Roman"/>
          <w:kern w:val="0"/>
          <w:sz w:val="22"/>
          <w:lang w:val="lt-LT"/>
          <w14:ligatures w14:val="none"/>
        </w:rPr>
        <w:t>kalcineurino</w:t>
      </w:r>
      <w:proofErr w:type="spellEnd"/>
      <w:r w:rsidRPr="00F931D9">
        <w:rPr>
          <w:rFonts w:ascii="Times New Roman" w:hAnsi="Times New Roman"/>
          <w:kern w:val="0"/>
          <w:sz w:val="22"/>
          <w:lang w:val="lt-LT"/>
          <w14:ligatures w14:val="none"/>
        </w:rPr>
        <w:t xml:space="preserve"> inhibitoriaus biologinis įsisavinimas. Todėl </w:t>
      </w:r>
      <w:proofErr w:type="spellStart"/>
      <w:r w:rsidRPr="00F931D9">
        <w:rPr>
          <w:rFonts w:ascii="Times New Roman" w:hAnsi="Times New Roman"/>
          <w:kern w:val="0"/>
          <w:sz w:val="22"/>
          <w:lang w:val="lt-LT"/>
          <w14:ligatures w14:val="none"/>
        </w:rPr>
        <w:t>ciklosporiną</w:t>
      </w:r>
      <w:proofErr w:type="spellEnd"/>
      <w:r w:rsidRPr="00F931D9">
        <w:rPr>
          <w:rFonts w:ascii="Times New Roman" w:hAnsi="Times New Roman"/>
          <w:kern w:val="0"/>
          <w:sz w:val="22"/>
          <w:lang w:val="lt-LT"/>
          <w14:ligatures w14:val="none"/>
        </w:rPr>
        <w:t xml:space="preserve"> ir </w:t>
      </w:r>
      <w:proofErr w:type="spellStart"/>
      <w:r w:rsidRPr="00F931D9">
        <w:rPr>
          <w:rFonts w:ascii="Times New Roman" w:hAnsi="Times New Roman"/>
          <w:kern w:val="0"/>
          <w:sz w:val="22"/>
          <w:lang w:val="lt-LT"/>
          <w14:ligatures w14:val="none"/>
        </w:rPr>
        <w:t>kanabidiolį</w:t>
      </w:r>
      <w:proofErr w:type="spellEnd"/>
      <w:r w:rsidRPr="00F931D9">
        <w:rPr>
          <w:rFonts w:ascii="Times New Roman" w:hAnsi="Times New Roman"/>
          <w:kern w:val="0"/>
          <w:sz w:val="22"/>
          <w:lang w:val="lt-LT"/>
          <w14:ligatures w14:val="none"/>
        </w:rPr>
        <w:t xml:space="preserve"> kartu vartoti reikia atsargiai ir atidžiai stebėti, ar nepasireiškia šalutinis poveikis. Gydant transplantacijos recipientus, reikia stebėti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koncentraciją kraujyje viso gydymo metu ir prireikus koreguoti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dozę. Reikėtų apsvarstyti galimybę stebėti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koncentraciją pacientų, kuriems nebuvo atlikta transplantacija, kraujyje ir prireikus koreguoti vaistinio preparato dozę (žr. 4.2 ir 4.4 skyrius).</w:t>
      </w:r>
    </w:p>
    <w:p w14:paraId="724AE2CC"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3DEBAD23" w14:textId="77777777" w:rsidR="00323207" w:rsidRPr="00F931D9" w:rsidRDefault="00323207" w:rsidP="00323207">
      <w:pPr>
        <w:keepNext/>
        <w:autoSpaceDE w:val="0"/>
        <w:autoSpaceDN w:val="0"/>
        <w:adjustRightInd w:val="0"/>
        <w:spacing w:after="0" w:line="240" w:lineRule="auto"/>
        <w:rPr>
          <w:rFonts w:ascii="Times New Roman" w:hAnsi="Times New Roman"/>
          <w:kern w:val="0"/>
          <w:sz w:val="22"/>
          <w:u w:val="single"/>
          <w:lang w:val="lt-LT"/>
          <w14:ligatures w14:val="none"/>
        </w:rPr>
      </w:pPr>
      <w:r w:rsidRPr="00F931D9">
        <w:rPr>
          <w:rFonts w:ascii="Times New Roman" w:hAnsi="Times New Roman"/>
          <w:kern w:val="0"/>
          <w:sz w:val="22"/>
          <w:u w:val="single"/>
          <w:lang w:val="lt-LT"/>
          <w14:ligatures w14:val="none"/>
        </w:rPr>
        <w:t>Sąveika su maistu</w:t>
      </w:r>
    </w:p>
    <w:p w14:paraId="155DE977"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Pastebėta, kad kartu vartojami greipfrutai ar greipfrutų sultys didina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biologinį prieinamumą.</w:t>
      </w:r>
    </w:p>
    <w:p w14:paraId="4ED23439"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712A5F2C" w14:textId="77777777" w:rsidR="00323207" w:rsidRPr="00F931D9" w:rsidRDefault="00323207" w:rsidP="00323207">
      <w:pPr>
        <w:autoSpaceDE w:val="0"/>
        <w:autoSpaceDN w:val="0"/>
        <w:adjustRightInd w:val="0"/>
        <w:spacing w:after="0" w:line="240" w:lineRule="auto"/>
        <w:rPr>
          <w:rFonts w:ascii="Times New Roman" w:hAnsi="Times New Roman"/>
          <w:i/>
          <w:color w:val="000000"/>
          <w:kern w:val="0"/>
          <w:sz w:val="22"/>
          <w:u w:val="single"/>
          <w:lang w:val="lt-LT"/>
          <w14:ligatures w14:val="none"/>
        </w:rPr>
      </w:pPr>
      <w:r w:rsidRPr="00F931D9">
        <w:rPr>
          <w:rFonts w:ascii="Times New Roman" w:hAnsi="Times New Roman"/>
          <w:i/>
          <w:color w:val="000000"/>
          <w:kern w:val="0"/>
          <w:sz w:val="22"/>
          <w:u w:val="single"/>
          <w:lang w:val="lt-LT"/>
          <w14:ligatures w14:val="none"/>
        </w:rPr>
        <w:t>Vaistinių preparatų deriniai, kurie didina toksinio poveikio inkstams pasireiškimo riziką</w:t>
      </w:r>
    </w:p>
    <w:p w14:paraId="01920D7B" w14:textId="77777777" w:rsidR="00323207" w:rsidRPr="00F931D9" w:rsidRDefault="00323207" w:rsidP="00323207">
      <w:pPr>
        <w:autoSpaceDE w:val="0"/>
        <w:autoSpaceDN w:val="0"/>
        <w:adjustRightInd w:val="0"/>
        <w:spacing w:after="0" w:line="240" w:lineRule="auto"/>
        <w:rPr>
          <w:rFonts w:ascii="Times New Roman" w:hAnsi="Times New Roman"/>
          <w:color w:val="000000"/>
          <w:kern w:val="0"/>
          <w:sz w:val="22"/>
          <w:lang w:val="lt-LT"/>
          <w14:ligatures w14:val="none"/>
        </w:rPr>
      </w:pPr>
      <w:proofErr w:type="spellStart"/>
      <w:r w:rsidRPr="00F931D9">
        <w:rPr>
          <w:rFonts w:ascii="Times New Roman" w:hAnsi="Times New Roman"/>
          <w:color w:val="000000"/>
          <w:kern w:val="0"/>
          <w:sz w:val="22"/>
          <w:lang w:val="lt-LT"/>
          <w14:ligatures w14:val="none"/>
        </w:rPr>
        <w:t>Ciklosporino</w:t>
      </w:r>
      <w:proofErr w:type="spellEnd"/>
      <w:r w:rsidRPr="00F931D9">
        <w:rPr>
          <w:rFonts w:ascii="Times New Roman" w:hAnsi="Times New Roman"/>
          <w:color w:val="000000"/>
          <w:kern w:val="0"/>
          <w:sz w:val="22"/>
          <w:lang w:val="lt-LT"/>
          <w14:ligatures w14:val="none"/>
        </w:rPr>
        <w:t xml:space="preserve"> reikia vartoti atsargiai kartu su kitomis veikliosiomis medžiagomis, kurios stiprina </w:t>
      </w:r>
      <w:proofErr w:type="spellStart"/>
      <w:r w:rsidRPr="00F931D9">
        <w:rPr>
          <w:rFonts w:ascii="Times New Roman" w:hAnsi="Times New Roman"/>
          <w:color w:val="000000"/>
          <w:kern w:val="0"/>
          <w:sz w:val="22"/>
          <w:lang w:val="lt-LT"/>
          <w14:ligatures w14:val="none"/>
        </w:rPr>
        <w:t>nefrotoksinį</w:t>
      </w:r>
      <w:proofErr w:type="spellEnd"/>
      <w:r w:rsidRPr="00F931D9">
        <w:rPr>
          <w:rFonts w:ascii="Times New Roman" w:hAnsi="Times New Roman"/>
          <w:color w:val="000000"/>
          <w:kern w:val="0"/>
          <w:sz w:val="22"/>
          <w:lang w:val="lt-LT"/>
          <w14:ligatures w14:val="none"/>
        </w:rPr>
        <w:t xml:space="preserve"> poveikį, pvz., </w:t>
      </w:r>
      <w:proofErr w:type="spellStart"/>
      <w:r w:rsidRPr="00F931D9">
        <w:rPr>
          <w:rFonts w:ascii="Times New Roman" w:hAnsi="Times New Roman"/>
          <w:i/>
          <w:color w:val="000000"/>
          <w:kern w:val="0"/>
          <w:sz w:val="22"/>
          <w:lang w:val="lt-LT"/>
          <w14:ligatures w14:val="none"/>
        </w:rPr>
        <w:t>aminoglikozidais</w:t>
      </w:r>
      <w:proofErr w:type="spellEnd"/>
      <w:r w:rsidRPr="00F931D9">
        <w:rPr>
          <w:rFonts w:ascii="Times New Roman" w:hAnsi="Times New Roman"/>
          <w:i/>
          <w:color w:val="000000"/>
          <w:kern w:val="0"/>
          <w:sz w:val="22"/>
          <w:lang w:val="lt-LT"/>
          <w14:ligatures w14:val="none"/>
        </w:rPr>
        <w:t xml:space="preserve"> (įskaitant </w:t>
      </w:r>
      <w:proofErr w:type="spellStart"/>
      <w:r w:rsidRPr="00F931D9">
        <w:rPr>
          <w:rFonts w:ascii="Times New Roman" w:hAnsi="Times New Roman"/>
          <w:i/>
          <w:color w:val="000000"/>
          <w:kern w:val="0"/>
          <w:sz w:val="22"/>
          <w:lang w:val="lt-LT"/>
          <w14:ligatures w14:val="none"/>
        </w:rPr>
        <w:t>gentamiciną</w:t>
      </w:r>
      <w:proofErr w:type="spellEnd"/>
      <w:r w:rsidRPr="00F931D9">
        <w:rPr>
          <w:rFonts w:ascii="Times New Roman" w:hAnsi="Times New Roman"/>
          <w:i/>
          <w:color w:val="000000"/>
          <w:kern w:val="0"/>
          <w:sz w:val="22"/>
          <w:lang w:val="lt-LT"/>
          <w14:ligatures w14:val="none"/>
        </w:rPr>
        <w:t xml:space="preserve"> ir </w:t>
      </w:r>
      <w:proofErr w:type="spellStart"/>
      <w:r w:rsidRPr="00F931D9">
        <w:rPr>
          <w:rFonts w:ascii="Times New Roman" w:hAnsi="Times New Roman"/>
          <w:i/>
          <w:color w:val="000000"/>
          <w:kern w:val="0"/>
          <w:sz w:val="22"/>
          <w:lang w:val="lt-LT"/>
          <w14:ligatures w14:val="none"/>
        </w:rPr>
        <w:t>tobramiciną</w:t>
      </w:r>
      <w:proofErr w:type="spellEnd"/>
      <w:r w:rsidRPr="00F931D9">
        <w:rPr>
          <w:rFonts w:ascii="Times New Roman" w:hAnsi="Times New Roman"/>
          <w:i/>
          <w:color w:val="000000"/>
          <w:kern w:val="0"/>
          <w:sz w:val="22"/>
          <w:lang w:val="lt-LT"/>
          <w14:ligatures w14:val="none"/>
        </w:rPr>
        <w:t xml:space="preserve">), </w:t>
      </w:r>
      <w:proofErr w:type="spellStart"/>
      <w:r w:rsidRPr="00F931D9">
        <w:rPr>
          <w:rFonts w:ascii="Times New Roman" w:hAnsi="Times New Roman"/>
          <w:i/>
          <w:color w:val="000000"/>
          <w:kern w:val="0"/>
          <w:sz w:val="22"/>
          <w:lang w:val="lt-LT"/>
          <w14:ligatures w14:val="none"/>
        </w:rPr>
        <w:t>amfotericinu</w:t>
      </w:r>
      <w:proofErr w:type="spellEnd"/>
      <w:r w:rsidRPr="00F931D9">
        <w:rPr>
          <w:rFonts w:ascii="Times New Roman" w:hAnsi="Times New Roman"/>
          <w:i/>
          <w:color w:val="000000"/>
          <w:kern w:val="0"/>
          <w:sz w:val="22"/>
          <w:lang w:val="lt-LT"/>
          <w14:ligatures w14:val="none"/>
        </w:rPr>
        <w:t xml:space="preserve"> B, </w:t>
      </w:r>
      <w:proofErr w:type="spellStart"/>
      <w:r w:rsidRPr="00F931D9">
        <w:rPr>
          <w:rFonts w:ascii="Times New Roman" w:hAnsi="Times New Roman"/>
          <w:i/>
          <w:color w:val="000000"/>
          <w:kern w:val="0"/>
          <w:sz w:val="22"/>
          <w:lang w:val="lt-LT"/>
          <w14:ligatures w14:val="none"/>
        </w:rPr>
        <w:t>ciprofloksacinu</w:t>
      </w:r>
      <w:proofErr w:type="spellEnd"/>
      <w:r w:rsidRPr="00F931D9">
        <w:rPr>
          <w:rFonts w:ascii="Times New Roman" w:hAnsi="Times New Roman"/>
          <w:i/>
          <w:color w:val="000000"/>
          <w:kern w:val="0"/>
          <w:sz w:val="22"/>
          <w:lang w:val="lt-LT"/>
          <w14:ligatures w14:val="none"/>
        </w:rPr>
        <w:t xml:space="preserve">, </w:t>
      </w:r>
      <w:proofErr w:type="spellStart"/>
      <w:r w:rsidRPr="00F931D9">
        <w:rPr>
          <w:rFonts w:ascii="Times New Roman" w:hAnsi="Times New Roman"/>
          <w:i/>
          <w:color w:val="000000"/>
          <w:kern w:val="0"/>
          <w:sz w:val="22"/>
          <w:lang w:val="lt-LT"/>
          <w14:ligatures w14:val="none"/>
        </w:rPr>
        <w:t>vankomicinu</w:t>
      </w:r>
      <w:proofErr w:type="spellEnd"/>
      <w:r w:rsidRPr="00F931D9">
        <w:rPr>
          <w:rFonts w:ascii="Times New Roman" w:hAnsi="Times New Roman"/>
          <w:i/>
          <w:color w:val="000000"/>
          <w:kern w:val="0"/>
          <w:sz w:val="22"/>
          <w:lang w:val="lt-LT"/>
          <w14:ligatures w14:val="none"/>
        </w:rPr>
        <w:t xml:space="preserve">, </w:t>
      </w:r>
      <w:proofErr w:type="spellStart"/>
      <w:r w:rsidRPr="00F931D9">
        <w:rPr>
          <w:rFonts w:ascii="Times New Roman" w:hAnsi="Times New Roman"/>
          <w:i/>
          <w:color w:val="000000"/>
          <w:kern w:val="0"/>
          <w:sz w:val="22"/>
          <w:lang w:val="lt-LT"/>
          <w14:ligatures w14:val="none"/>
        </w:rPr>
        <w:t>trimetoprimu</w:t>
      </w:r>
      <w:proofErr w:type="spellEnd"/>
      <w:r w:rsidRPr="00F931D9">
        <w:rPr>
          <w:rFonts w:ascii="Times New Roman" w:hAnsi="Times New Roman"/>
          <w:i/>
          <w:color w:val="000000"/>
          <w:kern w:val="0"/>
          <w:sz w:val="22"/>
          <w:lang w:val="lt-LT"/>
          <w14:ligatures w14:val="none"/>
        </w:rPr>
        <w:t xml:space="preserve"> (taip pat jo preparatais, kurių sudėtyje yra ir </w:t>
      </w:r>
      <w:proofErr w:type="spellStart"/>
      <w:r w:rsidRPr="00F931D9">
        <w:rPr>
          <w:rFonts w:ascii="Times New Roman" w:hAnsi="Times New Roman"/>
          <w:i/>
          <w:color w:val="000000"/>
          <w:kern w:val="0"/>
          <w:sz w:val="22"/>
          <w:lang w:val="lt-LT"/>
          <w14:ligatures w14:val="none"/>
        </w:rPr>
        <w:t>sulfametoksazolo</w:t>
      </w:r>
      <w:proofErr w:type="spellEnd"/>
      <w:r w:rsidRPr="00F931D9">
        <w:rPr>
          <w:rFonts w:ascii="Times New Roman" w:hAnsi="Times New Roman"/>
          <w:i/>
          <w:color w:val="000000"/>
          <w:kern w:val="0"/>
          <w:sz w:val="22"/>
          <w:lang w:val="lt-LT"/>
          <w14:ligatures w14:val="none"/>
        </w:rPr>
        <w:t xml:space="preserve">); </w:t>
      </w:r>
      <w:proofErr w:type="spellStart"/>
      <w:r w:rsidRPr="00F931D9">
        <w:rPr>
          <w:rFonts w:ascii="Times New Roman" w:hAnsi="Times New Roman"/>
          <w:i/>
          <w:color w:val="000000"/>
          <w:kern w:val="0"/>
          <w:sz w:val="22"/>
          <w:lang w:val="lt-LT"/>
          <w14:ligatures w14:val="none"/>
        </w:rPr>
        <w:t>fibro</w:t>
      </w:r>
      <w:proofErr w:type="spellEnd"/>
      <w:r w:rsidRPr="00F931D9">
        <w:rPr>
          <w:rFonts w:ascii="Times New Roman" w:hAnsi="Times New Roman"/>
          <w:i/>
          <w:color w:val="000000"/>
          <w:kern w:val="0"/>
          <w:sz w:val="22"/>
          <w:lang w:val="lt-LT"/>
          <w14:ligatures w14:val="none"/>
        </w:rPr>
        <w:t xml:space="preserve"> rūgšties junginiais (pvz., </w:t>
      </w:r>
      <w:proofErr w:type="spellStart"/>
      <w:r w:rsidRPr="00F931D9">
        <w:rPr>
          <w:rFonts w:ascii="Times New Roman" w:hAnsi="Times New Roman"/>
          <w:i/>
          <w:color w:val="000000"/>
          <w:kern w:val="0"/>
          <w:sz w:val="22"/>
          <w:lang w:val="lt-LT"/>
          <w14:ligatures w14:val="none"/>
        </w:rPr>
        <w:t>bezafibratu</w:t>
      </w:r>
      <w:proofErr w:type="spellEnd"/>
      <w:r w:rsidRPr="00F931D9">
        <w:rPr>
          <w:rFonts w:ascii="Times New Roman" w:hAnsi="Times New Roman"/>
          <w:i/>
          <w:color w:val="000000"/>
          <w:kern w:val="0"/>
          <w:sz w:val="22"/>
          <w:lang w:val="lt-LT"/>
          <w14:ligatures w14:val="none"/>
        </w:rPr>
        <w:t xml:space="preserve">, </w:t>
      </w:r>
      <w:proofErr w:type="spellStart"/>
      <w:r w:rsidRPr="00F931D9">
        <w:rPr>
          <w:rFonts w:ascii="Times New Roman" w:hAnsi="Times New Roman"/>
          <w:i/>
          <w:color w:val="000000"/>
          <w:kern w:val="0"/>
          <w:sz w:val="22"/>
          <w:lang w:val="lt-LT"/>
          <w14:ligatures w14:val="none"/>
        </w:rPr>
        <w:t>fenofibratu</w:t>
      </w:r>
      <w:proofErr w:type="spellEnd"/>
      <w:r w:rsidRPr="00F931D9">
        <w:rPr>
          <w:rFonts w:ascii="Times New Roman" w:hAnsi="Times New Roman"/>
          <w:i/>
          <w:color w:val="000000"/>
          <w:kern w:val="0"/>
          <w:sz w:val="22"/>
          <w:lang w:val="lt-LT"/>
          <w14:ligatures w14:val="none"/>
        </w:rPr>
        <w:t xml:space="preserve">), NVNU (įskaitant </w:t>
      </w:r>
      <w:proofErr w:type="spellStart"/>
      <w:r w:rsidRPr="00F931D9">
        <w:rPr>
          <w:rFonts w:ascii="Times New Roman" w:hAnsi="Times New Roman"/>
          <w:i/>
          <w:color w:val="000000"/>
          <w:kern w:val="0"/>
          <w:sz w:val="22"/>
          <w:lang w:val="lt-LT"/>
          <w14:ligatures w14:val="none"/>
        </w:rPr>
        <w:t>diklofenaką</w:t>
      </w:r>
      <w:proofErr w:type="spellEnd"/>
      <w:r w:rsidRPr="00F931D9">
        <w:rPr>
          <w:rFonts w:ascii="Times New Roman" w:hAnsi="Times New Roman"/>
          <w:i/>
          <w:color w:val="000000"/>
          <w:kern w:val="0"/>
          <w:sz w:val="22"/>
          <w:lang w:val="lt-LT"/>
          <w14:ligatures w14:val="none"/>
        </w:rPr>
        <w:t xml:space="preserve">, </w:t>
      </w:r>
      <w:proofErr w:type="spellStart"/>
      <w:r w:rsidRPr="00F931D9">
        <w:rPr>
          <w:rFonts w:ascii="Times New Roman" w:hAnsi="Times New Roman"/>
          <w:i/>
          <w:color w:val="000000"/>
          <w:kern w:val="0"/>
          <w:sz w:val="22"/>
          <w:lang w:val="lt-LT"/>
          <w14:ligatures w14:val="none"/>
        </w:rPr>
        <w:t>naprokseną</w:t>
      </w:r>
      <w:proofErr w:type="spellEnd"/>
      <w:r w:rsidRPr="00F931D9">
        <w:rPr>
          <w:rFonts w:ascii="Times New Roman" w:hAnsi="Times New Roman"/>
          <w:i/>
          <w:color w:val="000000"/>
          <w:kern w:val="0"/>
          <w:sz w:val="22"/>
          <w:lang w:val="lt-LT"/>
          <w14:ligatures w14:val="none"/>
        </w:rPr>
        <w:t xml:space="preserve">, </w:t>
      </w:r>
      <w:proofErr w:type="spellStart"/>
      <w:r w:rsidRPr="00F931D9">
        <w:rPr>
          <w:rFonts w:ascii="Times New Roman" w:hAnsi="Times New Roman"/>
          <w:i/>
          <w:color w:val="000000"/>
          <w:kern w:val="0"/>
          <w:sz w:val="22"/>
          <w:lang w:val="lt-LT"/>
          <w14:ligatures w14:val="none"/>
        </w:rPr>
        <w:t>sulindaką</w:t>
      </w:r>
      <w:proofErr w:type="spellEnd"/>
      <w:r w:rsidRPr="00F931D9">
        <w:rPr>
          <w:rFonts w:ascii="Times New Roman" w:hAnsi="Times New Roman"/>
          <w:i/>
          <w:color w:val="000000"/>
          <w:kern w:val="0"/>
          <w:sz w:val="22"/>
          <w:lang w:val="lt-LT"/>
          <w14:ligatures w14:val="none"/>
        </w:rPr>
        <w:t xml:space="preserve">), </w:t>
      </w:r>
      <w:proofErr w:type="spellStart"/>
      <w:r w:rsidRPr="00F931D9">
        <w:rPr>
          <w:rFonts w:ascii="Times New Roman" w:hAnsi="Times New Roman"/>
          <w:i/>
          <w:color w:val="000000"/>
          <w:kern w:val="0"/>
          <w:sz w:val="22"/>
          <w:lang w:val="lt-LT"/>
          <w14:ligatures w14:val="none"/>
        </w:rPr>
        <w:t>melfalanu</w:t>
      </w:r>
      <w:proofErr w:type="spellEnd"/>
      <w:r w:rsidRPr="00F931D9">
        <w:rPr>
          <w:rFonts w:ascii="Times New Roman" w:hAnsi="Times New Roman"/>
          <w:i/>
          <w:color w:val="000000"/>
          <w:kern w:val="0"/>
          <w:sz w:val="22"/>
          <w:lang w:val="lt-LT"/>
          <w14:ligatures w14:val="none"/>
        </w:rPr>
        <w:t xml:space="preserve">, </w:t>
      </w:r>
      <w:proofErr w:type="spellStart"/>
      <w:r w:rsidRPr="00F931D9">
        <w:rPr>
          <w:rFonts w:ascii="Times New Roman" w:hAnsi="Times New Roman"/>
          <w:i/>
          <w:color w:val="000000"/>
          <w:kern w:val="0"/>
          <w:sz w:val="22"/>
          <w:lang w:val="lt-LT"/>
          <w14:ligatures w14:val="none"/>
        </w:rPr>
        <w:t>histamino</w:t>
      </w:r>
      <w:proofErr w:type="spellEnd"/>
      <w:r w:rsidRPr="00F931D9">
        <w:rPr>
          <w:rFonts w:ascii="Times New Roman" w:hAnsi="Times New Roman"/>
          <w:i/>
          <w:color w:val="000000"/>
          <w:kern w:val="0"/>
          <w:sz w:val="22"/>
          <w:lang w:val="lt-LT"/>
          <w14:ligatures w14:val="none"/>
        </w:rPr>
        <w:t xml:space="preserve"> H2 receptorių antagonistais (pvz., </w:t>
      </w:r>
      <w:proofErr w:type="spellStart"/>
      <w:r w:rsidRPr="00F931D9">
        <w:rPr>
          <w:rFonts w:ascii="Times New Roman" w:hAnsi="Times New Roman"/>
          <w:i/>
          <w:color w:val="000000"/>
          <w:kern w:val="0"/>
          <w:sz w:val="22"/>
          <w:lang w:val="lt-LT"/>
          <w14:ligatures w14:val="none"/>
        </w:rPr>
        <w:t>cimetidinu</w:t>
      </w:r>
      <w:proofErr w:type="spellEnd"/>
      <w:r w:rsidRPr="00F931D9">
        <w:rPr>
          <w:rFonts w:ascii="Times New Roman" w:hAnsi="Times New Roman"/>
          <w:i/>
          <w:color w:val="000000"/>
          <w:kern w:val="0"/>
          <w:sz w:val="22"/>
          <w:lang w:val="lt-LT"/>
          <w14:ligatures w14:val="none"/>
        </w:rPr>
        <w:t xml:space="preserve">, </w:t>
      </w:r>
      <w:proofErr w:type="spellStart"/>
      <w:r w:rsidRPr="00F931D9">
        <w:rPr>
          <w:rFonts w:ascii="Times New Roman" w:hAnsi="Times New Roman"/>
          <w:i/>
          <w:color w:val="000000"/>
          <w:kern w:val="0"/>
          <w:sz w:val="22"/>
          <w:lang w:val="lt-LT"/>
          <w14:ligatures w14:val="none"/>
        </w:rPr>
        <w:t>ranitidinu</w:t>
      </w:r>
      <w:proofErr w:type="spellEnd"/>
      <w:r w:rsidRPr="00F931D9">
        <w:rPr>
          <w:rFonts w:ascii="Times New Roman" w:hAnsi="Times New Roman"/>
          <w:i/>
          <w:color w:val="000000"/>
          <w:kern w:val="0"/>
          <w:sz w:val="22"/>
          <w:lang w:val="lt-LT"/>
          <w14:ligatures w14:val="none"/>
        </w:rPr>
        <w:t xml:space="preserve">), </w:t>
      </w:r>
      <w:proofErr w:type="spellStart"/>
      <w:r w:rsidRPr="00F931D9">
        <w:rPr>
          <w:rFonts w:ascii="Times New Roman" w:hAnsi="Times New Roman"/>
          <w:i/>
          <w:color w:val="000000"/>
          <w:kern w:val="0"/>
          <w:sz w:val="22"/>
          <w:lang w:val="lt-LT"/>
          <w14:ligatures w14:val="none"/>
        </w:rPr>
        <w:t>metotreksatu</w:t>
      </w:r>
      <w:proofErr w:type="spellEnd"/>
      <w:r w:rsidRPr="00F931D9">
        <w:rPr>
          <w:rFonts w:ascii="Times New Roman" w:hAnsi="Times New Roman"/>
          <w:i/>
          <w:color w:val="000000"/>
          <w:kern w:val="0"/>
          <w:sz w:val="22"/>
          <w:lang w:val="lt-LT"/>
          <w14:ligatures w14:val="none"/>
        </w:rPr>
        <w:t xml:space="preserve"> (žr. 4.4 skyrių)</w:t>
      </w:r>
      <w:r w:rsidRPr="00F931D9">
        <w:rPr>
          <w:rFonts w:ascii="Times New Roman" w:hAnsi="Times New Roman"/>
          <w:color w:val="000000"/>
          <w:kern w:val="0"/>
          <w:sz w:val="22"/>
          <w:lang w:val="lt-LT"/>
          <w14:ligatures w14:val="none"/>
        </w:rPr>
        <w:t>.</w:t>
      </w:r>
    </w:p>
    <w:p w14:paraId="5B1BC9C6" w14:textId="77777777" w:rsidR="00323207" w:rsidRPr="00F931D9" w:rsidRDefault="00323207" w:rsidP="00323207">
      <w:pPr>
        <w:autoSpaceDE w:val="0"/>
        <w:autoSpaceDN w:val="0"/>
        <w:adjustRightInd w:val="0"/>
        <w:spacing w:after="0" w:line="240" w:lineRule="auto"/>
        <w:rPr>
          <w:rFonts w:ascii="Times New Roman" w:hAnsi="Times New Roman"/>
          <w:color w:val="000000"/>
          <w:kern w:val="0"/>
          <w:sz w:val="22"/>
          <w:lang w:val="lt-LT"/>
          <w14:ligatures w14:val="none"/>
        </w:rPr>
      </w:pPr>
    </w:p>
    <w:p w14:paraId="5418A392" w14:textId="77777777" w:rsidR="00323207" w:rsidRPr="00F931D9" w:rsidRDefault="00323207" w:rsidP="00323207">
      <w:pPr>
        <w:autoSpaceDE w:val="0"/>
        <w:autoSpaceDN w:val="0"/>
        <w:adjustRightInd w:val="0"/>
        <w:spacing w:after="0" w:line="240" w:lineRule="auto"/>
        <w:rPr>
          <w:rFonts w:ascii="Times New Roman" w:hAnsi="Times New Roman"/>
          <w:color w:val="000000"/>
          <w:kern w:val="0"/>
          <w:sz w:val="22"/>
          <w:lang w:val="lt-LT"/>
          <w14:ligatures w14:val="none"/>
        </w:rPr>
      </w:pPr>
      <w:r w:rsidRPr="00F931D9">
        <w:rPr>
          <w:rFonts w:ascii="Times New Roman" w:hAnsi="Times New Roman"/>
          <w:color w:val="000000"/>
          <w:kern w:val="0"/>
          <w:sz w:val="22"/>
          <w:lang w:val="lt-LT"/>
          <w14:ligatures w14:val="none"/>
        </w:rPr>
        <w:t xml:space="preserve">Kartu vartojant vaistinio preparato, kuris gali pasižymėti </w:t>
      </w:r>
      <w:proofErr w:type="spellStart"/>
      <w:r w:rsidRPr="00F931D9">
        <w:rPr>
          <w:rFonts w:ascii="Times New Roman" w:hAnsi="Times New Roman"/>
          <w:color w:val="000000"/>
          <w:kern w:val="0"/>
          <w:sz w:val="22"/>
          <w:lang w:val="lt-LT"/>
          <w14:ligatures w14:val="none"/>
        </w:rPr>
        <w:t>sinergistiniu</w:t>
      </w:r>
      <w:proofErr w:type="spellEnd"/>
      <w:r w:rsidRPr="00F931D9">
        <w:rPr>
          <w:rFonts w:ascii="Times New Roman" w:hAnsi="Times New Roman"/>
          <w:color w:val="000000"/>
          <w:kern w:val="0"/>
          <w:sz w:val="22"/>
          <w:lang w:val="lt-LT"/>
          <w14:ligatures w14:val="none"/>
        </w:rPr>
        <w:t xml:space="preserve"> toksiniu poveikiu inkstams, reikia atidžiai stebėti inkstų funkciją. Jeigu pasireiškia reikšmingas inkstų funkcijos sutrikimas, reikia mažinti kartu vartojamo vaistinio preparato dozę arba apsvarstyti alternatyvaus gydymo galimybę.</w:t>
      </w:r>
    </w:p>
    <w:p w14:paraId="5047F9E5" w14:textId="77777777" w:rsidR="00323207" w:rsidRPr="00F931D9" w:rsidRDefault="00323207" w:rsidP="00323207">
      <w:pPr>
        <w:autoSpaceDE w:val="0"/>
        <w:autoSpaceDN w:val="0"/>
        <w:adjustRightInd w:val="0"/>
        <w:spacing w:after="0" w:line="240" w:lineRule="auto"/>
        <w:rPr>
          <w:rFonts w:ascii="Times New Roman" w:hAnsi="Times New Roman"/>
          <w:color w:val="000000"/>
          <w:kern w:val="0"/>
          <w:sz w:val="22"/>
          <w:lang w:val="lt-LT"/>
          <w14:ligatures w14:val="none"/>
        </w:rPr>
      </w:pPr>
    </w:p>
    <w:p w14:paraId="744AA892" w14:textId="77777777" w:rsidR="00323207" w:rsidRPr="00F931D9" w:rsidRDefault="00323207" w:rsidP="00323207">
      <w:pPr>
        <w:autoSpaceDE w:val="0"/>
        <w:autoSpaceDN w:val="0"/>
        <w:adjustRightInd w:val="0"/>
        <w:spacing w:after="0" w:line="240" w:lineRule="auto"/>
        <w:rPr>
          <w:rFonts w:ascii="Times New Roman" w:hAnsi="Times New Roman"/>
          <w:color w:val="000000"/>
          <w:kern w:val="0"/>
          <w:sz w:val="22"/>
          <w:lang w:val="lt-LT"/>
          <w14:ligatures w14:val="none"/>
        </w:rPr>
      </w:pPr>
      <w:r w:rsidRPr="00F931D9">
        <w:rPr>
          <w:rFonts w:ascii="Times New Roman" w:hAnsi="Times New Roman"/>
          <w:kern w:val="0"/>
          <w:sz w:val="22"/>
          <w:lang w:val="lt-LT"/>
          <w14:ligatures w14:val="none"/>
        </w:rPr>
        <w:t xml:space="preserve">Reikia vengti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vartoti kartu su </w:t>
      </w:r>
      <w:proofErr w:type="spellStart"/>
      <w:r w:rsidRPr="00F931D9">
        <w:rPr>
          <w:rFonts w:ascii="Times New Roman" w:hAnsi="Times New Roman"/>
          <w:kern w:val="0"/>
          <w:sz w:val="22"/>
          <w:lang w:val="lt-LT"/>
          <w14:ligatures w14:val="none"/>
        </w:rPr>
        <w:t>takrolimuzu</w:t>
      </w:r>
      <w:proofErr w:type="spellEnd"/>
      <w:r w:rsidRPr="00F931D9">
        <w:rPr>
          <w:rFonts w:ascii="Times New Roman" w:hAnsi="Times New Roman"/>
          <w:kern w:val="0"/>
          <w:sz w:val="22"/>
          <w:lang w:val="lt-LT"/>
          <w14:ligatures w14:val="none"/>
        </w:rPr>
        <w:t xml:space="preserve">, kadangi gali padidėti </w:t>
      </w:r>
      <w:proofErr w:type="spellStart"/>
      <w:r w:rsidRPr="00F931D9">
        <w:rPr>
          <w:rFonts w:ascii="Times New Roman" w:hAnsi="Times New Roman"/>
          <w:kern w:val="0"/>
          <w:sz w:val="22"/>
          <w:lang w:val="lt-LT"/>
          <w14:ligatures w14:val="none"/>
        </w:rPr>
        <w:t>nefrotoksinio</w:t>
      </w:r>
      <w:proofErr w:type="spellEnd"/>
      <w:r w:rsidRPr="00F931D9">
        <w:rPr>
          <w:rFonts w:ascii="Times New Roman" w:hAnsi="Times New Roman"/>
          <w:kern w:val="0"/>
          <w:sz w:val="22"/>
          <w:lang w:val="lt-LT"/>
          <w14:ligatures w14:val="none"/>
        </w:rPr>
        <w:t xml:space="preserve"> poveikio ir </w:t>
      </w:r>
      <w:proofErr w:type="spellStart"/>
      <w:r w:rsidRPr="00F931D9">
        <w:rPr>
          <w:rFonts w:ascii="Times New Roman" w:hAnsi="Times New Roman"/>
          <w:kern w:val="0"/>
          <w:sz w:val="22"/>
          <w:lang w:val="lt-LT"/>
          <w14:ligatures w14:val="none"/>
        </w:rPr>
        <w:t>farmakokinetinės</w:t>
      </w:r>
      <w:proofErr w:type="spellEnd"/>
      <w:r w:rsidRPr="00F931D9">
        <w:rPr>
          <w:rFonts w:ascii="Times New Roman" w:hAnsi="Times New Roman"/>
          <w:kern w:val="0"/>
          <w:sz w:val="22"/>
          <w:lang w:val="lt-LT"/>
          <w14:ligatures w14:val="none"/>
        </w:rPr>
        <w:t xml:space="preserve"> sąveikos, </w:t>
      </w:r>
      <w:proofErr w:type="spellStart"/>
      <w:r w:rsidRPr="00F931D9">
        <w:rPr>
          <w:rFonts w:ascii="Times New Roman" w:hAnsi="Times New Roman"/>
          <w:kern w:val="0"/>
          <w:sz w:val="22"/>
          <w:lang w:val="lt-LT"/>
          <w14:ligatures w14:val="none"/>
        </w:rPr>
        <w:t>susiujusios</w:t>
      </w:r>
      <w:proofErr w:type="spellEnd"/>
      <w:r w:rsidRPr="00F931D9">
        <w:rPr>
          <w:rFonts w:ascii="Times New Roman" w:hAnsi="Times New Roman"/>
          <w:kern w:val="0"/>
          <w:sz w:val="22"/>
          <w:lang w:val="lt-LT"/>
          <w14:ligatures w14:val="none"/>
        </w:rPr>
        <w:t xml:space="preserve"> su </w:t>
      </w:r>
      <w:r w:rsidRPr="00F931D9">
        <w:rPr>
          <w:rFonts w:ascii="Times New Roman" w:hAnsi="Times New Roman"/>
          <w:color w:val="000000"/>
          <w:kern w:val="0"/>
          <w:sz w:val="22"/>
          <w:lang w:val="lt-LT"/>
          <w14:ligatures w14:val="none"/>
        </w:rPr>
        <w:t>CYP3A4 ir (arba) P-</w:t>
      </w:r>
      <w:proofErr w:type="spellStart"/>
      <w:r w:rsidRPr="00F931D9">
        <w:rPr>
          <w:rFonts w:ascii="Times New Roman" w:hAnsi="Times New Roman"/>
          <w:color w:val="000000"/>
          <w:kern w:val="0"/>
          <w:sz w:val="22"/>
          <w:lang w:val="lt-LT"/>
          <w14:ligatures w14:val="none"/>
        </w:rPr>
        <w:t>gp</w:t>
      </w:r>
      <w:proofErr w:type="spellEnd"/>
      <w:r w:rsidRPr="00F931D9">
        <w:rPr>
          <w:rFonts w:ascii="Times New Roman" w:hAnsi="Times New Roman"/>
          <w:color w:val="000000"/>
          <w:kern w:val="0"/>
          <w:sz w:val="22"/>
          <w:lang w:val="lt-LT"/>
          <w14:ligatures w14:val="none"/>
        </w:rPr>
        <w:t xml:space="preserve">, </w:t>
      </w:r>
      <w:r w:rsidRPr="00F931D9">
        <w:rPr>
          <w:rFonts w:ascii="Times New Roman" w:hAnsi="Times New Roman"/>
          <w:kern w:val="0"/>
          <w:sz w:val="22"/>
          <w:lang w:val="lt-LT"/>
          <w14:ligatures w14:val="none"/>
        </w:rPr>
        <w:t>pasireiškimo rizika (žr. 4.4 skyrių).</w:t>
      </w:r>
    </w:p>
    <w:p w14:paraId="6F31D5D5" w14:textId="77777777" w:rsidR="00323207" w:rsidRPr="00F931D9" w:rsidRDefault="00323207" w:rsidP="00323207">
      <w:pPr>
        <w:tabs>
          <w:tab w:val="left" w:pos="567"/>
        </w:tabs>
        <w:autoSpaceDE w:val="0"/>
        <w:autoSpaceDN w:val="0"/>
        <w:adjustRightInd w:val="0"/>
        <w:spacing w:after="0" w:line="240" w:lineRule="auto"/>
        <w:rPr>
          <w:rFonts w:ascii="Times New Roman" w:hAnsi="Times New Roman"/>
          <w:kern w:val="0"/>
          <w:sz w:val="22"/>
          <w:u w:val="single"/>
          <w:lang w:val="lt-LT"/>
          <w14:ligatures w14:val="none"/>
        </w:rPr>
      </w:pPr>
    </w:p>
    <w:p w14:paraId="65E542B0" w14:textId="77777777" w:rsidR="00323207" w:rsidRPr="00F931D9" w:rsidRDefault="00323207" w:rsidP="00323207">
      <w:pPr>
        <w:tabs>
          <w:tab w:val="left" w:pos="567"/>
        </w:tabs>
        <w:autoSpaceDE w:val="0"/>
        <w:autoSpaceDN w:val="0"/>
        <w:adjustRightInd w:val="0"/>
        <w:spacing w:after="0" w:line="240" w:lineRule="auto"/>
        <w:rPr>
          <w:rFonts w:ascii="Times New Roman" w:hAnsi="Times New Roman"/>
          <w:kern w:val="0"/>
          <w:sz w:val="22"/>
          <w:u w:val="single"/>
          <w:lang w:val="lt-LT"/>
          <w14:ligatures w14:val="none"/>
        </w:rPr>
      </w:pPr>
      <w:r w:rsidRPr="00F931D9">
        <w:rPr>
          <w:rFonts w:ascii="Times New Roman" w:hAnsi="Times New Roman"/>
          <w:kern w:val="0"/>
          <w:sz w:val="22"/>
          <w:u w:val="single"/>
          <w:lang w:val="lt-LT"/>
          <w14:ligatures w14:val="none"/>
        </w:rPr>
        <w:t>DAA terapijos poveikis</w:t>
      </w:r>
    </w:p>
    <w:p w14:paraId="273C52F3" w14:textId="77777777" w:rsidR="00323207" w:rsidRPr="00F931D9" w:rsidRDefault="00323207" w:rsidP="00323207">
      <w:pPr>
        <w:tabs>
          <w:tab w:val="left" w:pos="567"/>
        </w:tabs>
        <w:autoSpaceDE w:val="0"/>
        <w:autoSpaceDN w:val="0"/>
        <w:adjustRightInd w:val="0"/>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Gydymo DAA metu,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farmakokinetikai gali turėti įtakos kepenų funkcijos pokyčiai, susiję su HCV viruso klirensu. Norint užtikrinti nuolatinį veiksmingumą, būtina atidžiai stebėti ir koreguoti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dozę.</w:t>
      </w:r>
    </w:p>
    <w:p w14:paraId="5046F52A" w14:textId="77777777" w:rsidR="00323207" w:rsidRPr="00F931D9" w:rsidRDefault="00323207" w:rsidP="00323207">
      <w:pPr>
        <w:autoSpaceDE w:val="0"/>
        <w:autoSpaceDN w:val="0"/>
        <w:adjustRightInd w:val="0"/>
        <w:spacing w:after="0" w:line="240" w:lineRule="auto"/>
        <w:rPr>
          <w:rFonts w:ascii="Times New Roman" w:hAnsi="Times New Roman"/>
          <w:color w:val="000000"/>
          <w:kern w:val="0"/>
          <w:sz w:val="22"/>
          <w:lang w:val="lt-LT"/>
          <w14:ligatures w14:val="none"/>
        </w:rPr>
      </w:pPr>
    </w:p>
    <w:p w14:paraId="4D3831A3" w14:textId="77777777" w:rsidR="00323207" w:rsidRPr="00F931D9" w:rsidRDefault="00323207" w:rsidP="00323207">
      <w:pPr>
        <w:autoSpaceDE w:val="0"/>
        <w:autoSpaceDN w:val="0"/>
        <w:adjustRightInd w:val="0"/>
        <w:spacing w:after="0" w:line="240" w:lineRule="auto"/>
        <w:outlineLvl w:val="0"/>
        <w:rPr>
          <w:rFonts w:ascii="Times New Roman" w:hAnsi="Times New Roman"/>
          <w:i/>
          <w:color w:val="000000"/>
          <w:kern w:val="0"/>
          <w:sz w:val="22"/>
          <w:u w:val="single"/>
          <w:lang w:val="lt-LT"/>
          <w14:ligatures w14:val="none"/>
        </w:rPr>
      </w:pPr>
      <w:proofErr w:type="spellStart"/>
      <w:r w:rsidRPr="00F931D9">
        <w:rPr>
          <w:rFonts w:ascii="Times New Roman" w:hAnsi="Times New Roman"/>
          <w:i/>
          <w:color w:val="000000"/>
          <w:kern w:val="0"/>
          <w:sz w:val="22"/>
          <w:u w:val="single"/>
          <w:lang w:val="lt-LT"/>
          <w14:ligatures w14:val="none"/>
        </w:rPr>
        <w:t>Ciklosporino</w:t>
      </w:r>
      <w:proofErr w:type="spellEnd"/>
      <w:r w:rsidRPr="00F931D9">
        <w:rPr>
          <w:rFonts w:ascii="Times New Roman" w:hAnsi="Times New Roman"/>
          <w:i/>
          <w:color w:val="000000"/>
          <w:kern w:val="0"/>
          <w:sz w:val="22"/>
          <w:u w:val="single"/>
          <w:lang w:val="lt-LT"/>
          <w14:ligatures w14:val="none"/>
        </w:rPr>
        <w:t xml:space="preserve"> poveikis kitiems vaistiniams preparatams</w:t>
      </w:r>
    </w:p>
    <w:p w14:paraId="7FD50AD6"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Ciklosporinas</w:t>
      </w:r>
      <w:proofErr w:type="spellEnd"/>
      <w:r w:rsidRPr="00F931D9">
        <w:rPr>
          <w:rFonts w:ascii="Times New Roman" w:hAnsi="Times New Roman"/>
          <w:kern w:val="0"/>
          <w:sz w:val="22"/>
          <w:lang w:val="lt-LT"/>
          <w14:ligatures w14:val="none"/>
        </w:rPr>
        <w:t xml:space="preserve"> yra CYP3A4 fermento, daugelio vaistinių preparatų eliminacijos sistemos nešiklio P</w:t>
      </w:r>
      <w:r w:rsidRPr="00F931D9">
        <w:rPr>
          <w:rFonts w:ascii="Times New Roman" w:hAnsi="Times New Roman"/>
          <w:kern w:val="0"/>
          <w:sz w:val="22"/>
          <w:lang w:val="lt-LT"/>
          <w14:ligatures w14:val="none"/>
        </w:rPr>
        <w:noBreakHyphen/>
      </w:r>
      <w:proofErr w:type="spellStart"/>
      <w:r w:rsidRPr="00F931D9">
        <w:rPr>
          <w:rFonts w:ascii="Times New Roman" w:hAnsi="Times New Roman"/>
          <w:kern w:val="0"/>
          <w:sz w:val="22"/>
          <w:lang w:val="lt-LT"/>
          <w14:ligatures w14:val="none"/>
        </w:rPr>
        <w:t>gp</w:t>
      </w:r>
      <w:proofErr w:type="spellEnd"/>
      <w:r w:rsidRPr="00F931D9">
        <w:rPr>
          <w:rFonts w:ascii="Times New Roman" w:hAnsi="Times New Roman"/>
          <w:kern w:val="0"/>
          <w:sz w:val="22"/>
          <w:lang w:val="lt-LT"/>
          <w14:ligatures w14:val="none"/>
        </w:rPr>
        <w:t xml:space="preserve"> ir organinių anijonų pernašos baltymų (OATP) inhibitorius. Kartu su </w:t>
      </w:r>
      <w:proofErr w:type="spellStart"/>
      <w:r w:rsidRPr="00F931D9">
        <w:rPr>
          <w:rFonts w:ascii="Times New Roman" w:hAnsi="Times New Roman"/>
          <w:kern w:val="0"/>
          <w:sz w:val="22"/>
          <w:lang w:val="lt-LT"/>
          <w14:ligatures w14:val="none"/>
        </w:rPr>
        <w:t>ciklosporinu</w:t>
      </w:r>
      <w:proofErr w:type="spellEnd"/>
      <w:r w:rsidRPr="00F931D9">
        <w:rPr>
          <w:rFonts w:ascii="Times New Roman" w:hAnsi="Times New Roman"/>
          <w:kern w:val="0"/>
          <w:sz w:val="22"/>
          <w:lang w:val="lt-LT"/>
          <w14:ligatures w14:val="none"/>
        </w:rPr>
        <w:t xml:space="preserve"> skiriant vaistinių preparatų, kurie yra CYP3A4, P-</w:t>
      </w:r>
      <w:proofErr w:type="spellStart"/>
      <w:r w:rsidRPr="00F931D9">
        <w:rPr>
          <w:rFonts w:ascii="Times New Roman" w:hAnsi="Times New Roman"/>
          <w:kern w:val="0"/>
          <w:sz w:val="22"/>
          <w:lang w:val="lt-LT"/>
          <w14:ligatures w14:val="none"/>
        </w:rPr>
        <w:t>gp</w:t>
      </w:r>
      <w:proofErr w:type="spellEnd"/>
      <w:r w:rsidRPr="00F931D9">
        <w:rPr>
          <w:rFonts w:ascii="Times New Roman" w:hAnsi="Times New Roman"/>
          <w:kern w:val="0"/>
          <w:sz w:val="22"/>
          <w:lang w:val="lt-LT"/>
          <w14:ligatures w14:val="none"/>
        </w:rPr>
        <w:t xml:space="preserve"> ir OATP substratais, gali padidėti šių kartu vartojamų vaistinių preparatų koncentracijas plazmoje. </w:t>
      </w:r>
    </w:p>
    <w:p w14:paraId="2B0D9EAB"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448CC164"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Toliau išvardyti kai kurie pavyzdžiai:</w:t>
      </w:r>
    </w:p>
    <w:p w14:paraId="66E3E6CD" w14:textId="77777777" w:rsidR="00323207" w:rsidRPr="00F931D9" w:rsidRDefault="00323207" w:rsidP="00323207">
      <w:pPr>
        <w:autoSpaceDE w:val="0"/>
        <w:autoSpaceDN w:val="0"/>
        <w:adjustRightInd w:val="0"/>
        <w:spacing w:after="0" w:line="240" w:lineRule="auto"/>
        <w:rPr>
          <w:rFonts w:ascii="Times New Roman" w:hAnsi="Times New Roman"/>
          <w:color w:val="000000"/>
          <w:kern w:val="0"/>
          <w:sz w:val="22"/>
          <w:lang w:val="lt-LT"/>
          <w14:ligatures w14:val="none"/>
        </w:rPr>
      </w:pPr>
      <w:proofErr w:type="spellStart"/>
      <w:r w:rsidRPr="00F931D9">
        <w:rPr>
          <w:rFonts w:ascii="Times New Roman" w:hAnsi="Times New Roman"/>
          <w:color w:val="000000"/>
          <w:kern w:val="0"/>
          <w:sz w:val="22"/>
          <w:lang w:val="lt-LT"/>
          <w14:ligatures w14:val="none"/>
        </w:rPr>
        <w:t>ciklosporinas</w:t>
      </w:r>
      <w:proofErr w:type="spellEnd"/>
      <w:r w:rsidRPr="00F931D9">
        <w:rPr>
          <w:rFonts w:ascii="Times New Roman" w:hAnsi="Times New Roman"/>
          <w:color w:val="000000"/>
          <w:kern w:val="0"/>
          <w:sz w:val="22"/>
          <w:lang w:val="lt-LT"/>
          <w14:ligatures w14:val="none"/>
        </w:rPr>
        <w:t xml:space="preserve"> gali mažinti </w:t>
      </w:r>
      <w:proofErr w:type="spellStart"/>
      <w:r w:rsidRPr="00F931D9">
        <w:rPr>
          <w:rFonts w:ascii="Times New Roman" w:hAnsi="Times New Roman"/>
          <w:i/>
          <w:color w:val="000000"/>
          <w:kern w:val="0"/>
          <w:sz w:val="22"/>
          <w:lang w:val="lt-LT"/>
          <w14:ligatures w14:val="none"/>
        </w:rPr>
        <w:t>digoksino</w:t>
      </w:r>
      <w:proofErr w:type="spellEnd"/>
      <w:r w:rsidRPr="00F931D9">
        <w:rPr>
          <w:rFonts w:ascii="Times New Roman" w:hAnsi="Times New Roman"/>
          <w:i/>
          <w:color w:val="000000"/>
          <w:kern w:val="0"/>
          <w:sz w:val="22"/>
          <w:lang w:val="lt-LT"/>
          <w14:ligatures w14:val="none"/>
        </w:rPr>
        <w:t xml:space="preserve">, </w:t>
      </w:r>
      <w:proofErr w:type="spellStart"/>
      <w:r w:rsidRPr="00F931D9">
        <w:rPr>
          <w:rFonts w:ascii="Times New Roman" w:hAnsi="Times New Roman"/>
          <w:i/>
          <w:color w:val="000000"/>
          <w:kern w:val="0"/>
          <w:sz w:val="22"/>
          <w:lang w:val="lt-LT"/>
          <w14:ligatures w14:val="none"/>
        </w:rPr>
        <w:t>kolchicino</w:t>
      </w:r>
      <w:proofErr w:type="spellEnd"/>
      <w:r w:rsidRPr="00F931D9">
        <w:rPr>
          <w:rFonts w:ascii="Times New Roman" w:hAnsi="Times New Roman"/>
          <w:i/>
          <w:color w:val="000000"/>
          <w:kern w:val="0"/>
          <w:sz w:val="22"/>
          <w:lang w:val="lt-LT"/>
          <w14:ligatures w14:val="none"/>
        </w:rPr>
        <w:t xml:space="preserve">, 3-hidroksi-3-metil-gliutaril-kofermento A (HMG- </w:t>
      </w:r>
      <w:proofErr w:type="spellStart"/>
      <w:r w:rsidRPr="00F931D9">
        <w:rPr>
          <w:rFonts w:ascii="Times New Roman" w:hAnsi="Times New Roman"/>
          <w:i/>
          <w:color w:val="000000"/>
          <w:kern w:val="0"/>
          <w:sz w:val="22"/>
          <w:lang w:val="lt-LT"/>
          <w14:ligatures w14:val="none"/>
        </w:rPr>
        <w:t>CoA</w:t>
      </w:r>
      <w:proofErr w:type="spellEnd"/>
      <w:r w:rsidRPr="00F931D9">
        <w:rPr>
          <w:rFonts w:ascii="Times New Roman" w:hAnsi="Times New Roman"/>
          <w:i/>
          <w:color w:val="000000"/>
          <w:kern w:val="0"/>
          <w:sz w:val="22"/>
          <w:lang w:val="lt-LT"/>
          <w14:ligatures w14:val="none"/>
        </w:rPr>
        <w:t>) reduktazės inhibitorių (</w:t>
      </w:r>
      <w:proofErr w:type="spellStart"/>
      <w:r w:rsidRPr="00F931D9">
        <w:rPr>
          <w:rFonts w:ascii="Times New Roman" w:hAnsi="Times New Roman"/>
          <w:i/>
          <w:color w:val="000000"/>
          <w:kern w:val="0"/>
          <w:sz w:val="22"/>
          <w:lang w:val="lt-LT"/>
          <w14:ligatures w14:val="none"/>
        </w:rPr>
        <w:t>statinų</w:t>
      </w:r>
      <w:proofErr w:type="spellEnd"/>
      <w:r w:rsidRPr="00F931D9">
        <w:rPr>
          <w:rFonts w:ascii="Times New Roman" w:hAnsi="Times New Roman"/>
          <w:i/>
          <w:color w:val="000000"/>
          <w:kern w:val="0"/>
          <w:sz w:val="22"/>
          <w:lang w:val="lt-LT"/>
          <w14:ligatures w14:val="none"/>
        </w:rPr>
        <w:t>)</w:t>
      </w:r>
      <w:r w:rsidRPr="00F931D9">
        <w:rPr>
          <w:rFonts w:ascii="Times New Roman" w:hAnsi="Times New Roman"/>
          <w:color w:val="000000"/>
          <w:kern w:val="0"/>
          <w:sz w:val="22"/>
          <w:lang w:val="lt-LT"/>
          <w14:ligatures w14:val="none"/>
        </w:rPr>
        <w:t xml:space="preserve"> ir </w:t>
      </w:r>
      <w:proofErr w:type="spellStart"/>
      <w:r w:rsidRPr="00F931D9">
        <w:rPr>
          <w:rFonts w:ascii="Times New Roman" w:hAnsi="Times New Roman"/>
          <w:i/>
          <w:color w:val="000000"/>
          <w:kern w:val="0"/>
          <w:sz w:val="22"/>
          <w:lang w:val="lt-LT"/>
          <w14:ligatures w14:val="none"/>
        </w:rPr>
        <w:t>etopozido</w:t>
      </w:r>
      <w:proofErr w:type="spellEnd"/>
      <w:r w:rsidRPr="00F931D9">
        <w:rPr>
          <w:rFonts w:ascii="Times New Roman" w:hAnsi="Times New Roman"/>
          <w:color w:val="000000"/>
          <w:kern w:val="0"/>
          <w:sz w:val="22"/>
          <w:lang w:val="lt-LT"/>
          <w14:ligatures w14:val="none"/>
        </w:rPr>
        <w:t xml:space="preserve"> klirensą</w:t>
      </w:r>
      <w:r w:rsidRPr="00F931D9">
        <w:rPr>
          <w:rFonts w:ascii="Times New Roman" w:hAnsi="Times New Roman"/>
          <w:kern w:val="0"/>
          <w:sz w:val="22"/>
          <w:lang w:val="lt-LT"/>
          <w14:ligatures w14:val="none"/>
        </w:rPr>
        <w:t xml:space="preserve">. Jeigu bet kurių iš šių vaistinių preparatų skiriama kartu su </w:t>
      </w:r>
      <w:proofErr w:type="spellStart"/>
      <w:r w:rsidRPr="00F931D9">
        <w:rPr>
          <w:rFonts w:ascii="Times New Roman" w:hAnsi="Times New Roman"/>
          <w:kern w:val="0"/>
          <w:sz w:val="22"/>
          <w:lang w:val="lt-LT"/>
          <w14:ligatures w14:val="none"/>
        </w:rPr>
        <w:t>ciklosporinu</w:t>
      </w:r>
      <w:proofErr w:type="spellEnd"/>
      <w:r w:rsidRPr="00F931D9">
        <w:rPr>
          <w:rFonts w:ascii="Times New Roman" w:hAnsi="Times New Roman"/>
          <w:kern w:val="0"/>
          <w:sz w:val="22"/>
          <w:lang w:val="lt-LT"/>
          <w14:ligatures w14:val="none"/>
        </w:rPr>
        <w:t xml:space="preserve">, būtina atidžiai stebėti klinikinė būklę, siekiant kaip galima anksčiau nustatyti toksinio šių vaistinių preparatų poveikio pasireiškimą ir po to sumažinti jų dozę arba </w:t>
      </w:r>
      <w:r w:rsidRPr="00F931D9">
        <w:rPr>
          <w:rFonts w:ascii="Times New Roman" w:hAnsi="Times New Roman"/>
          <w:kern w:val="0"/>
          <w:sz w:val="22"/>
          <w:lang w:val="lt-LT"/>
          <w14:ligatures w14:val="none"/>
        </w:rPr>
        <w:lastRenderedPageBreak/>
        <w:t>nutraukti jų vartojimą. K</w:t>
      </w:r>
      <w:r w:rsidRPr="00F931D9">
        <w:rPr>
          <w:rFonts w:ascii="Times New Roman" w:hAnsi="Times New Roman"/>
          <w:color w:val="000000"/>
          <w:kern w:val="0"/>
          <w:sz w:val="22"/>
          <w:lang w:val="lt-LT"/>
          <w14:ligatures w14:val="none"/>
        </w:rPr>
        <w:t xml:space="preserve">artu su </w:t>
      </w:r>
      <w:proofErr w:type="spellStart"/>
      <w:r w:rsidRPr="00F931D9">
        <w:rPr>
          <w:rFonts w:ascii="Times New Roman" w:hAnsi="Times New Roman"/>
          <w:color w:val="000000"/>
          <w:kern w:val="0"/>
          <w:sz w:val="22"/>
          <w:lang w:val="lt-LT"/>
          <w14:ligatures w14:val="none"/>
        </w:rPr>
        <w:t>ciklosporinu</w:t>
      </w:r>
      <w:proofErr w:type="spellEnd"/>
      <w:r w:rsidRPr="00F931D9">
        <w:rPr>
          <w:rFonts w:ascii="Times New Roman" w:hAnsi="Times New Roman"/>
          <w:color w:val="000000"/>
          <w:kern w:val="0"/>
          <w:sz w:val="22"/>
          <w:lang w:val="lt-LT"/>
          <w14:ligatures w14:val="none"/>
        </w:rPr>
        <w:t xml:space="preserve"> vartojamų </w:t>
      </w:r>
      <w:proofErr w:type="spellStart"/>
      <w:r w:rsidRPr="00F931D9">
        <w:rPr>
          <w:rFonts w:ascii="Times New Roman" w:hAnsi="Times New Roman"/>
          <w:color w:val="000000"/>
          <w:kern w:val="0"/>
          <w:sz w:val="22"/>
          <w:lang w:val="lt-LT"/>
          <w14:ligatures w14:val="none"/>
        </w:rPr>
        <w:t>statinų</w:t>
      </w:r>
      <w:proofErr w:type="spellEnd"/>
      <w:r w:rsidRPr="00F931D9">
        <w:rPr>
          <w:rFonts w:ascii="Times New Roman" w:hAnsi="Times New Roman"/>
          <w:color w:val="000000"/>
          <w:kern w:val="0"/>
          <w:sz w:val="22"/>
          <w:lang w:val="lt-LT"/>
          <w14:ligatures w14:val="none"/>
        </w:rPr>
        <w:t xml:space="preserve"> dozę reikia mažinti ir vengti tam tikrų </w:t>
      </w:r>
      <w:proofErr w:type="spellStart"/>
      <w:r w:rsidRPr="00F931D9">
        <w:rPr>
          <w:rFonts w:ascii="Times New Roman" w:hAnsi="Times New Roman"/>
          <w:color w:val="000000"/>
          <w:kern w:val="0"/>
          <w:sz w:val="22"/>
          <w:lang w:val="lt-LT"/>
          <w14:ligatures w14:val="none"/>
        </w:rPr>
        <w:t>statinų</w:t>
      </w:r>
      <w:proofErr w:type="spellEnd"/>
      <w:r w:rsidRPr="00F931D9">
        <w:rPr>
          <w:rFonts w:ascii="Times New Roman" w:hAnsi="Times New Roman"/>
          <w:color w:val="000000"/>
          <w:kern w:val="0"/>
          <w:sz w:val="22"/>
          <w:lang w:val="lt-LT"/>
          <w14:ligatures w14:val="none"/>
        </w:rPr>
        <w:t xml:space="preserve"> vartoti kartu pagal preparatų charakteristikų santraukose nurodytas jų rekomendacijas. Dažniausiai skiriamų </w:t>
      </w:r>
      <w:proofErr w:type="spellStart"/>
      <w:r w:rsidRPr="00F931D9">
        <w:rPr>
          <w:rFonts w:ascii="Times New Roman" w:hAnsi="Times New Roman"/>
          <w:color w:val="000000"/>
          <w:kern w:val="0"/>
          <w:sz w:val="22"/>
          <w:lang w:val="lt-LT"/>
          <w14:ligatures w14:val="none"/>
        </w:rPr>
        <w:t>statinų</w:t>
      </w:r>
      <w:proofErr w:type="spellEnd"/>
      <w:r w:rsidRPr="00F931D9">
        <w:rPr>
          <w:rFonts w:ascii="Times New Roman" w:hAnsi="Times New Roman"/>
          <w:color w:val="000000"/>
          <w:kern w:val="0"/>
          <w:sz w:val="22"/>
          <w:lang w:val="lt-LT"/>
          <w14:ligatures w14:val="none"/>
        </w:rPr>
        <w:t xml:space="preserve"> ekspozicijos pokyčiai, kai kartu vartojama </w:t>
      </w:r>
      <w:proofErr w:type="spellStart"/>
      <w:r w:rsidRPr="00F931D9">
        <w:rPr>
          <w:rFonts w:ascii="Times New Roman" w:hAnsi="Times New Roman"/>
          <w:color w:val="000000"/>
          <w:kern w:val="0"/>
          <w:sz w:val="22"/>
          <w:lang w:val="lt-LT"/>
          <w14:ligatures w14:val="none"/>
        </w:rPr>
        <w:t>ciklosporino</w:t>
      </w:r>
      <w:proofErr w:type="spellEnd"/>
      <w:r w:rsidRPr="00F931D9">
        <w:rPr>
          <w:rFonts w:ascii="Times New Roman" w:hAnsi="Times New Roman"/>
          <w:color w:val="000000"/>
          <w:kern w:val="0"/>
          <w:sz w:val="22"/>
          <w:lang w:val="lt-LT"/>
          <w14:ligatures w14:val="none"/>
        </w:rPr>
        <w:t xml:space="preserve">, pateikti 1 lentelėje. Pacientams, kuriems atsirado </w:t>
      </w:r>
      <w:proofErr w:type="spellStart"/>
      <w:r w:rsidRPr="00F931D9">
        <w:rPr>
          <w:rFonts w:ascii="Times New Roman" w:hAnsi="Times New Roman"/>
          <w:color w:val="000000"/>
          <w:kern w:val="0"/>
          <w:sz w:val="22"/>
          <w:lang w:val="lt-LT"/>
          <w14:ligatures w14:val="none"/>
        </w:rPr>
        <w:t>miopatijos</w:t>
      </w:r>
      <w:proofErr w:type="spellEnd"/>
      <w:r w:rsidRPr="00F931D9">
        <w:rPr>
          <w:rFonts w:ascii="Times New Roman" w:hAnsi="Times New Roman"/>
          <w:color w:val="000000"/>
          <w:kern w:val="0"/>
          <w:sz w:val="22"/>
          <w:lang w:val="lt-LT"/>
          <w14:ligatures w14:val="none"/>
        </w:rPr>
        <w:t xml:space="preserve"> požymių ir simptomų ar kuriems yra rizikos veiksnių, skatinančių sunkaus inkstų pažeidimo, įskaitant </w:t>
      </w:r>
      <w:proofErr w:type="spellStart"/>
      <w:r w:rsidRPr="00F931D9">
        <w:rPr>
          <w:rFonts w:ascii="Times New Roman" w:hAnsi="Times New Roman"/>
          <w:color w:val="000000"/>
          <w:kern w:val="0"/>
          <w:sz w:val="22"/>
          <w:lang w:val="lt-LT"/>
          <w14:ligatures w14:val="none"/>
        </w:rPr>
        <w:t>rabdomiolizės</w:t>
      </w:r>
      <w:proofErr w:type="spellEnd"/>
      <w:r w:rsidRPr="00F931D9">
        <w:rPr>
          <w:rFonts w:ascii="Times New Roman" w:hAnsi="Times New Roman"/>
          <w:color w:val="000000"/>
          <w:kern w:val="0"/>
          <w:sz w:val="22"/>
          <w:lang w:val="lt-LT"/>
          <w14:ligatures w14:val="none"/>
        </w:rPr>
        <w:t xml:space="preserve"> sukeltą inkstų veiklos nepakankamumą, atsiradimą, gydymą </w:t>
      </w:r>
      <w:proofErr w:type="spellStart"/>
      <w:r w:rsidRPr="00F931D9">
        <w:rPr>
          <w:rFonts w:ascii="Times New Roman" w:hAnsi="Times New Roman"/>
          <w:color w:val="000000"/>
          <w:kern w:val="0"/>
          <w:sz w:val="22"/>
          <w:lang w:val="lt-LT"/>
          <w14:ligatures w14:val="none"/>
        </w:rPr>
        <w:t>statinais</w:t>
      </w:r>
      <w:proofErr w:type="spellEnd"/>
      <w:r w:rsidRPr="00F931D9">
        <w:rPr>
          <w:rFonts w:ascii="Times New Roman" w:hAnsi="Times New Roman"/>
          <w:color w:val="000000"/>
          <w:kern w:val="0"/>
          <w:sz w:val="22"/>
          <w:lang w:val="lt-LT"/>
          <w14:ligatures w14:val="none"/>
        </w:rPr>
        <w:t xml:space="preserve"> reikia laikinai ar visiškai nutraukti.</w:t>
      </w:r>
    </w:p>
    <w:p w14:paraId="501A3FA2"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1A07F8AE" w14:textId="77777777" w:rsidR="00323207" w:rsidRPr="00F931D9" w:rsidRDefault="00323207" w:rsidP="00323207">
      <w:pPr>
        <w:keepNext/>
        <w:autoSpaceDE w:val="0"/>
        <w:autoSpaceDN w:val="0"/>
        <w:adjustRightInd w:val="0"/>
        <w:spacing w:after="0" w:line="240" w:lineRule="auto"/>
        <w:ind w:left="1134" w:hanging="1134"/>
        <w:rPr>
          <w:rFonts w:ascii="Times New Roman" w:hAnsi="Times New Roman"/>
          <w:kern w:val="0"/>
          <w:sz w:val="22"/>
          <w:lang w:val="lt-LT"/>
          <w14:ligatures w14:val="none"/>
        </w:rPr>
      </w:pPr>
      <w:r w:rsidRPr="00F931D9">
        <w:rPr>
          <w:rFonts w:ascii="Times New Roman" w:hAnsi="Times New Roman"/>
          <w:kern w:val="0"/>
          <w:sz w:val="22"/>
          <w:lang w:val="lt-LT"/>
          <w14:ligatures w14:val="none"/>
        </w:rPr>
        <w:t>1 lentelė</w:t>
      </w:r>
      <w:r w:rsidRPr="00F931D9">
        <w:rPr>
          <w:rFonts w:ascii="Times New Roman" w:hAnsi="Times New Roman"/>
          <w:kern w:val="0"/>
          <w:sz w:val="22"/>
          <w:lang w:val="lt-LT"/>
          <w14:ligatures w14:val="none"/>
        </w:rPr>
        <w:tab/>
        <w:t xml:space="preserve">Dažnai vartojamų </w:t>
      </w:r>
      <w:proofErr w:type="spellStart"/>
      <w:r w:rsidRPr="00F931D9">
        <w:rPr>
          <w:rFonts w:ascii="Times New Roman" w:hAnsi="Times New Roman"/>
          <w:kern w:val="0"/>
          <w:sz w:val="22"/>
          <w:lang w:val="lt-LT"/>
          <w14:ligatures w14:val="none"/>
        </w:rPr>
        <w:t>statinų</w:t>
      </w:r>
      <w:proofErr w:type="spellEnd"/>
      <w:r w:rsidRPr="00F931D9">
        <w:rPr>
          <w:rFonts w:ascii="Times New Roman" w:hAnsi="Times New Roman"/>
          <w:kern w:val="0"/>
          <w:sz w:val="22"/>
          <w:lang w:val="lt-LT"/>
          <w14:ligatures w14:val="none"/>
        </w:rPr>
        <w:t xml:space="preserve"> ekspozicijos pokyčių apibendrinimas jų skiriant kartu su </w:t>
      </w:r>
      <w:proofErr w:type="spellStart"/>
      <w:r w:rsidRPr="00F931D9">
        <w:rPr>
          <w:rFonts w:ascii="Times New Roman" w:hAnsi="Times New Roman"/>
          <w:kern w:val="0"/>
          <w:sz w:val="22"/>
          <w:lang w:val="lt-LT"/>
          <w14:ligatures w14:val="none"/>
        </w:rPr>
        <w:t>ciklosporinu</w:t>
      </w:r>
      <w:proofErr w:type="spellEnd"/>
    </w:p>
    <w:p w14:paraId="3EDBE1FC" w14:textId="77777777" w:rsidR="00323207" w:rsidRPr="00F931D9" w:rsidRDefault="00323207" w:rsidP="00323207">
      <w:pPr>
        <w:keepNext/>
        <w:autoSpaceDE w:val="0"/>
        <w:autoSpaceDN w:val="0"/>
        <w:adjustRightInd w:val="0"/>
        <w:spacing w:after="0" w:line="240" w:lineRule="auto"/>
        <w:ind w:left="1134" w:hanging="1134"/>
        <w:rPr>
          <w:rFonts w:ascii="Times New Roman" w:hAnsi="Times New Roman"/>
          <w:kern w:val="0"/>
          <w:sz w:val="22"/>
          <w:u w:val="single"/>
          <w:lang w:val="lt-LT"/>
          <w14:ligatures w14:val="none"/>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1984"/>
        <w:gridCol w:w="1843"/>
      </w:tblGrid>
      <w:tr w:rsidR="00323207" w:rsidRPr="00323207" w14:paraId="3A12F09F" w14:textId="77777777" w:rsidTr="003338CB">
        <w:tc>
          <w:tcPr>
            <w:tcW w:w="1667" w:type="dxa"/>
          </w:tcPr>
          <w:p w14:paraId="147951EC" w14:textId="77777777" w:rsidR="00323207" w:rsidRPr="00F931D9" w:rsidRDefault="00323207" w:rsidP="00323207">
            <w:pPr>
              <w:widowControl w:val="0"/>
              <w:spacing w:after="0" w:line="240" w:lineRule="auto"/>
              <w:rPr>
                <w:rFonts w:ascii="Times New Roman" w:hAnsi="Times New Roman"/>
                <w:b/>
                <w:kern w:val="0"/>
                <w:sz w:val="22"/>
                <w:lang w:val="lt-LT"/>
                <w14:ligatures w14:val="none"/>
              </w:rPr>
            </w:pPr>
            <w:proofErr w:type="spellStart"/>
            <w:r w:rsidRPr="00F931D9">
              <w:rPr>
                <w:rFonts w:ascii="Times New Roman" w:hAnsi="Times New Roman"/>
                <w:b/>
                <w:kern w:val="0"/>
                <w:sz w:val="22"/>
                <w:lang w:val="lt-LT"/>
                <w14:ligatures w14:val="none"/>
              </w:rPr>
              <w:t>Statinas</w:t>
            </w:r>
            <w:proofErr w:type="spellEnd"/>
          </w:p>
        </w:tc>
        <w:tc>
          <w:tcPr>
            <w:tcW w:w="1984" w:type="dxa"/>
          </w:tcPr>
          <w:p w14:paraId="0D488841" w14:textId="77777777" w:rsidR="00323207" w:rsidRPr="00F931D9" w:rsidRDefault="00323207" w:rsidP="00323207">
            <w:pPr>
              <w:widowControl w:val="0"/>
              <w:spacing w:after="0" w:line="240" w:lineRule="auto"/>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Vartojamos dozės</w:t>
            </w:r>
          </w:p>
        </w:tc>
        <w:tc>
          <w:tcPr>
            <w:tcW w:w="1843" w:type="dxa"/>
          </w:tcPr>
          <w:p w14:paraId="329FDDF6" w14:textId="77777777" w:rsidR="00323207" w:rsidRPr="00F931D9" w:rsidRDefault="00323207" w:rsidP="00323207">
            <w:pPr>
              <w:widowControl w:val="0"/>
              <w:spacing w:after="0" w:line="240" w:lineRule="auto"/>
              <w:rPr>
                <w:rFonts w:ascii="Times New Roman" w:hAnsi="Times New Roman"/>
                <w:b/>
                <w:kern w:val="0"/>
                <w:sz w:val="22"/>
                <w:lang w:val="lt-LT"/>
                <w14:ligatures w14:val="none"/>
              </w:rPr>
            </w:pPr>
            <w:proofErr w:type="spellStart"/>
            <w:r w:rsidRPr="00F931D9">
              <w:rPr>
                <w:rFonts w:ascii="Times New Roman" w:hAnsi="Times New Roman"/>
                <w:b/>
                <w:kern w:val="0"/>
                <w:sz w:val="22"/>
                <w:lang w:val="lt-LT"/>
                <w14:ligatures w14:val="none"/>
              </w:rPr>
              <w:t>Statinų</w:t>
            </w:r>
            <w:proofErr w:type="spellEnd"/>
            <w:r w:rsidRPr="00F931D9">
              <w:rPr>
                <w:rFonts w:ascii="Times New Roman" w:hAnsi="Times New Roman"/>
                <w:b/>
                <w:kern w:val="0"/>
                <w:sz w:val="22"/>
                <w:lang w:val="lt-LT"/>
                <w14:ligatures w14:val="none"/>
              </w:rPr>
              <w:t xml:space="preserve"> ekspozicijos pokytis (kartais) skiriant kartu su </w:t>
            </w:r>
            <w:proofErr w:type="spellStart"/>
            <w:r w:rsidRPr="00F931D9">
              <w:rPr>
                <w:rFonts w:ascii="Times New Roman" w:hAnsi="Times New Roman"/>
                <w:b/>
                <w:kern w:val="0"/>
                <w:sz w:val="22"/>
                <w:lang w:val="lt-LT"/>
                <w14:ligatures w14:val="none"/>
              </w:rPr>
              <w:t>ciklosporinu</w:t>
            </w:r>
            <w:proofErr w:type="spellEnd"/>
          </w:p>
        </w:tc>
      </w:tr>
      <w:tr w:rsidR="00323207" w:rsidRPr="00323207" w14:paraId="655DD037" w14:textId="77777777" w:rsidTr="003338CB">
        <w:tc>
          <w:tcPr>
            <w:tcW w:w="1667" w:type="dxa"/>
          </w:tcPr>
          <w:p w14:paraId="03A5DDD4" w14:textId="77777777" w:rsidR="00323207" w:rsidRPr="00F931D9" w:rsidRDefault="00323207" w:rsidP="00323207">
            <w:pPr>
              <w:keepNext/>
              <w:spacing w:after="0" w:line="240" w:lineRule="auto"/>
              <w:jc w:val="both"/>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Atorvastatinas</w:t>
            </w:r>
            <w:proofErr w:type="spellEnd"/>
          </w:p>
        </w:tc>
        <w:tc>
          <w:tcPr>
            <w:tcW w:w="1984" w:type="dxa"/>
          </w:tcPr>
          <w:p w14:paraId="0D3BCE3C" w14:textId="77777777" w:rsidR="00323207" w:rsidRPr="00F931D9" w:rsidRDefault="00323207" w:rsidP="00323207">
            <w:pPr>
              <w:keepNext/>
              <w:spacing w:after="0" w:line="240" w:lineRule="auto"/>
              <w:jc w:val="both"/>
              <w:rPr>
                <w:rFonts w:ascii="Times New Roman" w:hAnsi="Times New Roman"/>
                <w:kern w:val="0"/>
                <w:sz w:val="22"/>
                <w:lang w:val="lt-LT"/>
                <w14:ligatures w14:val="none"/>
              </w:rPr>
            </w:pPr>
            <w:r w:rsidRPr="00F931D9">
              <w:rPr>
                <w:rFonts w:ascii="Times New Roman" w:hAnsi="Times New Roman"/>
                <w:kern w:val="0"/>
                <w:sz w:val="22"/>
                <w:lang w:val="lt-LT"/>
                <w14:ligatures w14:val="none"/>
              </w:rPr>
              <w:t>10</w:t>
            </w:r>
            <w:r w:rsidRPr="00F931D9">
              <w:rPr>
                <w:rFonts w:ascii="Times New Roman" w:hAnsi="Times New Roman"/>
                <w:kern w:val="0"/>
                <w:sz w:val="22"/>
                <w:lang w:val="lt-LT"/>
                <w14:ligatures w14:val="none"/>
              </w:rPr>
              <w:noBreakHyphen/>
              <w:t>80 mg</w:t>
            </w:r>
          </w:p>
        </w:tc>
        <w:tc>
          <w:tcPr>
            <w:tcW w:w="1843" w:type="dxa"/>
          </w:tcPr>
          <w:p w14:paraId="4A637A76" w14:textId="77777777" w:rsidR="00323207" w:rsidRPr="00F931D9" w:rsidRDefault="00323207" w:rsidP="00323207">
            <w:pPr>
              <w:keepNext/>
              <w:spacing w:after="0" w:line="240" w:lineRule="auto"/>
              <w:jc w:val="both"/>
              <w:rPr>
                <w:rFonts w:ascii="Times New Roman" w:hAnsi="Times New Roman"/>
                <w:kern w:val="0"/>
                <w:sz w:val="22"/>
                <w:lang w:val="lt-LT"/>
                <w14:ligatures w14:val="none"/>
              </w:rPr>
            </w:pPr>
            <w:r w:rsidRPr="00F931D9">
              <w:rPr>
                <w:rFonts w:ascii="Times New Roman" w:hAnsi="Times New Roman"/>
                <w:kern w:val="0"/>
                <w:sz w:val="22"/>
                <w:lang w:val="lt-LT"/>
                <w14:ligatures w14:val="none"/>
              </w:rPr>
              <w:t>8</w:t>
            </w:r>
            <w:r w:rsidRPr="00F931D9">
              <w:rPr>
                <w:rFonts w:ascii="Times New Roman" w:hAnsi="Times New Roman"/>
                <w:kern w:val="0"/>
                <w:sz w:val="22"/>
                <w:lang w:val="lt-LT"/>
                <w14:ligatures w14:val="none"/>
              </w:rPr>
              <w:noBreakHyphen/>
              <w:t>10</w:t>
            </w:r>
          </w:p>
        </w:tc>
      </w:tr>
      <w:tr w:rsidR="00323207" w:rsidRPr="00323207" w14:paraId="2E1CE7CF" w14:textId="77777777" w:rsidTr="003338CB">
        <w:tc>
          <w:tcPr>
            <w:tcW w:w="1667" w:type="dxa"/>
          </w:tcPr>
          <w:p w14:paraId="5B09B588" w14:textId="77777777" w:rsidR="00323207" w:rsidRPr="00F931D9" w:rsidRDefault="00323207" w:rsidP="00323207">
            <w:pPr>
              <w:keepNext/>
              <w:spacing w:after="0" w:line="240" w:lineRule="auto"/>
              <w:jc w:val="both"/>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Simvastatinas</w:t>
            </w:r>
            <w:proofErr w:type="spellEnd"/>
          </w:p>
        </w:tc>
        <w:tc>
          <w:tcPr>
            <w:tcW w:w="1984" w:type="dxa"/>
          </w:tcPr>
          <w:p w14:paraId="1E85FD4C" w14:textId="77777777" w:rsidR="00323207" w:rsidRPr="00F931D9" w:rsidRDefault="00323207" w:rsidP="00323207">
            <w:pPr>
              <w:keepNext/>
              <w:spacing w:after="0" w:line="240" w:lineRule="auto"/>
              <w:jc w:val="both"/>
              <w:rPr>
                <w:rFonts w:ascii="Times New Roman" w:hAnsi="Times New Roman"/>
                <w:kern w:val="0"/>
                <w:sz w:val="22"/>
                <w:lang w:val="lt-LT"/>
                <w14:ligatures w14:val="none"/>
              </w:rPr>
            </w:pPr>
            <w:r w:rsidRPr="00F931D9">
              <w:rPr>
                <w:rFonts w:ascii="Times New Roman" w:hAnsi="Times New Roman"/>
                <w:kern w:val="0"/>
                <w:sz w:val="22"/>
                <w:lang w:val="lt-LT"/>
                <w14:ligatures w14:val="none"/>
              </w:rPr>
              <w:t>10</w:t>
            </w:r>
            <w:r w:rsidRPr="00F931D9">
              <w:rPr>
                <w:rFonts w:ascii="Times New Roman" w:hAnsi="Times New Roman"/>
                <w:kern w:val="0"/>
                <w:sz w:val="22"/>
                <w:lang w:val="lt-LT"/>
                <w14:ligatures w14:val="none"/>
              </w:rPr>
              <w:noBreakHyphen/>
              <w:t>80 mg</w:t>
            </w:r>
          </w:p>
        </w:tc>
        <w:tc>
          <w:tcPr>
            <w:tcW w:w="1843" w:type="dxa"/>
          </w:tcPr>
          <w:p w14:paraId="15530CC0" w14:textId="77777777" w:rsidR="00323207" w:rsidRPr="00F931D9" w:rsidRDefault="00323207" w:rsidP="00323207">
            <w:pPr>
              <w:keepNext/>
              <w:spacing w:after="0" w:line="240" w:lineRule="auto"/>
              <w:jc w:val="both"/>
              <w:rPr>
                <w:rFonts w:ascii="Times New Roman" w:hAnsi="Times New Roman"/>
                <w:kern w:val="0"/>
                <w:sz w:val="22"/>
                <w:lang w:val="lt-LT"/>
                <w14:ligatures w14:val="none"/>
              </w:rPr>
            </w:pPr>
            <w:r w:rsidRPr="00F931D9">
              <w:rPr>
                <w:rFonts w:ascii="Times New Roman" w:hAnsi="Times New Roman"/>
                <w:kern w:val="0"/>
                <w:sz w:val="22"/>
                <w:lang w:val="lt-LT"/>
                <w14:ligatures w14:val="none"/>
              </w:rPr>
              <w:t>6</w:t>
            </w:r>
            <w:r w:rsidRPr="00F931D9">
              <w:rPr>
                <w:rFonts w:ascii="Times New Roman" w:hAnsi="Times New Roman"/>
                <w:kern w:val="0"/>
                <w:sz w:val="22"/>
                <w:lang w:val="lt-LT"/>
                <w14:ligatures w14:val="none"/>
              </w:rPr>
              <w:noBreakHyphen/>
              <w:t xml:space="preserve">8 </w:t>
            </w:r>
          </w:p>
        </w:tc>
      </w:tr>
      <w:tr w:rsidR="00323207" w:rsidRPr="00323207" w14:paraId="7FB95C8F" w14:textId="77777777" w:rsidTr="003338CB">
        <w:tc>
          <w:tcPr>
            <w:tcW w:w="1667" w:type="dxa"/>
          </w:tcPr>
          <w:p w14:paraId="25F5C3AC" w14:textId="77777777" w:rsidR="00323207" w:rsidRPr="00F931D9" w:rsidRDefault="00323207" w:rsidP="00323207">
            <w:pPr>
              <w:keepNext/>
              <w:spacing w:after="0" w:line="240" w:lineRule="auto"/>
              <w:jc w:val="both"/>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Fluvastatinas</w:t>
            </w:r>
            <w:proofErr w:type="spellEnd"/>
          </w:p>
        </w:tc>
        <w:tc>
          <w:tcPr>
            <w:tcW w:w="1984" w:type="dxa"/>
          </w:tcPr>
          <w:p w14:paraId="60605E4C" w14:textId="77777777" w:rsidR="00323207" w:rsidRPr="00F931D9" w:rsidRDefault="00323207" w:rsidP="00323207">
            <w:pPr>
              <w:keepNext/>
              <w:spacing w:after="0" w:line="240" w:lineRule="auto"/>
              <w:jc w:val="both"/>
              <w:rPr>
                <w:rFonts w:ascii="Times New Roman" w:hAnsi="Times New Roman"/>
                <w:kern w:val="0"/>
                <w:sz w:val="22"/>
                <w:lang w:val="lt-LT"/>
                <w14:ligatures w14:val="none"/>
              </w:rPr>
            </w:pPr>
            <w:r w:rsidRPr="00F931D9">
              <w:rPr>
                <w:rFonts w:ascii="Times New Roman" w:hAnsi="Times New Roman"/>
                <w:kern w:val="0"/>
                <w:sz w:val="22"/>
                <w:lang w:val="lt-LT"/>
                <w14:ligatures w14:val="none"/>
              </w:rPr>
              <w:t>20</w:t>
            </w:r>
            <w:r w:rsidRPr="00F931D9">
              <w:rPr>
                <w:rFonts w:ascii="Times New Roman" w:hAnsi="Times New Roman"/>
                <w:kern w:val="0"/>
                <w:sz w:val="22"/>
                <w:lang w:val="lt-LT"/>
                <w14:ligatures w14:val="none"/>
              </w:rPr>
              <w:noBreakHyphen/>
              <w:t>80 mg</w:t>
            </w:r>
          </w:p>
        </w:tc>
        <w:tc>
          <w:tcPr>
            <w:tcW w:w="1843" w:type="dxa"/>
          </w:tcPr>
          <w:p w14:paraId="6C0E6804" w14:textId="77777777" w:rsidR="00323207" w:rsidRPr="00F931D9" w:rsidRDefault="00323207" w:rsidP="00323207">
            <w:pPr>
              <w:keepNext/>
              <w:spacing w:after="0" w:line="240" w:lineRule="auto"/>
              <w:jc w:val="both"/>
              <w:rPr>
                <w:rFonts w:ascii="Times New Roman" w:hAnsi="Times New Roman"/>
                <w:kern w:val="0"/>
                <w:sz w:val="22"/>
                <w:lang w:val="lt-LT"/>
                <w14:ligatures w14:val="none"/>
              </w:rPr>
            </w:pPr>
            <w:r w:rsidRPr="00F931D9">
              <w:rPr>
                <w:rFonts w:ascii="Times New Roman" w:hAnsi="Times New Roman"/>
                <w:kern w:val="0"/>
                <w:sz w:val="22"/>
                <w:lang w:val="lt-LT"/>
                <w14:ligatures w14:val="none"/>
              </w:rPr>
              <w:t>2</w:t>
            </w:r>
            <w:r w:rsidRPr="00F931D9">
              <w:rPr>
                <w:rFonts w:ascii="Times New Roman" w:hAnsi="Times New Roman"/>
                <w:kern w:val="0"/>
                <w:sz w:val="22"/>
                <w:lang w:val="lt-LT"/>
                <w14:ligatures w14:val="none"/>
              </w:rPr>
              <w:noBreakHyphen/>
              <w:t>4</w:t>
            </w:r>
          </w:p>
        </w:tc>
      </w:tr>
      <w:tr w:rsidR="00323207" w:rsidRPr="00323207" w14:paraId="74D125DA" w14:textId="77777777" w:rsidTr="003338CB">
        <w:tc>
          <w:tcPr>
            <w:tcW w:w="1667" w:type="dxa"/>
          </w:tcPr>
          <w:p w14:paraId="0520C493" w14:textId="77777777" w:rsidR="00323207" w:rsidRPr="00F931D9" w:rsidRDefault="00323207" w:rsidP="00323207">
            <w:pPr>
              <w:keepNext/>
              <w:spacing w:after="0" w:line="240" w:lineRule="auto"/>
              <w:jc w:val="both"/>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Lovastatinas</w:t>
            </w:r>
            <w:proofErr w:type="spellEnd"/>
          </w:p>
        </w:tc>
        <w:tc>
          <w:tcPr>
            <w:tcW w:w="1984" w:type="dxa"/>
          </w:tcPr>
          <w:p w14:paraId="55220129" w14:textId="77777777" w:rsidR="00323207" w:rsidRPr="00F931D9" w:rsidRDefault="00323207" w:rsidP="00323207">
            <w:pPr>
              <w:keepNext/>
              <w:spacing w:after="0" w:line="240" w:lineRule="auto"/>
              <w:jc w:val="both"/>
              <w:rPr>
                <w:rFonts w:ascii="Times New Roman" w:hAnsi="Times New Roman"/>
                <w:kern w:val="0"/>
                <w:sz w:val="22"/>
                <w:lang w:val="lt-LT"/>
                <w14:ligatures w14:val="none"/>
              </w:rPr>
            </w:pPr>
            <w:r w:rsidRPr="00F931D9">
              <w:rPr>
                <w:rFonts w:ascii="Times New Roman" w:hAnsi="Times New Roman"/>
                <w:kern w:val="0"/>
                <w:sz w:val="22"/>
                <w:lang w:val="lt-LT"/>
                <w14:ligatures w14:val="none"/>
              </w:rPr>
              <w:t>20</w:t>
            </w:r>
            <w:r w:rsidRPr="00F931D9">
              <w:rPr>
                <w:rFonts w:ascii="Times New Roman" w:hAnsi="Times New Roman"/>
                <w:kern w:val="0"/>
                <w:sz w:val="22"/>
                <w:lang w:val="lt-LT"/>
                <w14:ligatures w14:val="none"/>
              </w:rPr>
              <w:noBreakHyphen/>
              <w:t>40 mg</w:t>
            </w:r>
          </w:p>
        </w:tc>
        <w:tc>
          <w:tcPr>
            <w:tcW w:w="1843" w:type="dxa"/>
          </w:tcPr>
          <w:p w14:paraId="14935FDC" w14:textId="77777777" w:rsidR="00323207" w:rsidRPr="00F931D9" w:rsidRDefault="00323207" w:rsidP="00323207">
            <w:pPr>
              <w:keepNext/>
              <w:spacing w:after="0" w:line="240" w:lineRule="auto"/>
              <w:jc w:val="both"/>
              <w:rPr>
                <w:rFonts w:ascii="Times New Roman" w:hAnsi="Times New Roman"/>
                <w:kern w:val="0"/>
                <w:sz w:val="22"/>
                <w:lang w:val="lt-LT"/>
                <w14:ligatures w14:val="none"/>
              </w:rPr>
            </w:pPr>
            <w:r w:rsidRPr="00F931D9">
              <w:rPr>
                <w:rFonts w:ascii="Times New Roman" w:hAnsi="Times New Roman"/>
                <w:kern w:val="0"/>
                <w:sz w:val="22"/>
                <w:lang w:val="lt-LT"/>
                <w14:ligatures w14:val="none"/>
              </w:rPr>
              <w:t>5</w:t>
            </w:r>
            <w:r w:rsidRPr="00F931D9">
              <w:rPr>
                <w:rFonts w:ascii="Times New Roman" w:hAnsi="Times New Roman"/>
                <w:kern w:val="0"/>
                <w:sz w:val="22"/>
                <w:lang w:val="lt-LT"/>
                <w14:ligatures w14:val="none"/>
              </w:rPr>
              <w:noBreakHyphen/>
              <w:t>8</w:t>
            </w:r>
          </w:p>
        </w:tc>
      </w:tr>
      <w:tr w:rsidR="00323207" w:rsidRPr="00323207" w14:paraId="44E6520E" w14:textId="77777777" w:rsidTr="003338CB">
        <w:tc>
          <w:tcPr>
            <w:tcW w:w="1667" w:type="dxa"/>
          </w:tcPr>
          <w:p w14:paraId="16A61F79" w14:textId="77777777" w:rsidR="00323207" w:rsidRPr="00F931D9" w:rsidRDefault="00323207" w:rsidP="00323207">
            <w:pPr>
              <w:keepNext/>
              <w:spacing w:after="0" w:line="240" w:lineRule="auto"/>
              <w:jc w:val="both"/>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Pravastatinas</w:t>
            </w:r>
            <w:proofErr w:type="spellEnd"/>
          </w:p>
        </w:tc>
        <w:tc>
          <w:tcPr>
            <w:tcW w:w="1984" w:type="dxa"/>
          </w:tcPr>
          <w:p w14:paraId="7E12216C" w14:textId="77777777" w:rsidR="00323207" w:rsidRPr="00F931D9" w:rsidRDefault="00323207" w:rsidP="00323207">
            <w:pPr>
              <w:keepNext/>
              <w:spacing w:after="0" w:line="240" w:lineRule="auto"/>
              <w:jc w:val="both"/>
              <w:rPr>
                <w:rFonts w:ascii="Times New Roman" w:hAnsi="Times New Roman"/>
                <w:kern w:val="0"/>
                <w:sz w:val="22"/>
                <w:lang w:val="lt-LT"/>
                <w14:ligatures w14:val="none"/>
              </w:rPr>
            </w:pPr>
            <w:r w:rsidRPr="00F931D9">
              <w:rPr>
                <w:rFonts w:ascii="Times New Roman" w:hAnsi="Times New Roman"/>
                <w:kern w:val="0"/>
                <w:sz w:val="22"/>
                <w:lang w:val="lt-LT"/>
                <w14:ligatures w14:val="none"/>
              </w:rPr>
              <w:t>20</w:t>
            </w:r>
            <w:r w:rsidRPr="00F931D9">
              <w:rPr>
                <w:rFonts w:ascii="Times New Roman" w:hAnsi="Times New Roman"/>
                <w:kern w:val="0"/>
                <w:sz w:val="22"/>
                <w:lang w:val="lt-LT"/>
                <w14:ligatures w14:val="none"/>
              </w:rPr>
              <w:noBreakHyphen/>
              <w:t>80 mg</w:t>
            </w:r>
          </w:p>
        </w:tc>
        <w:tc>
          <w:tcPr>
            <w:tcW w:w="1843" w:type="dxa"/>
          </w:tcPr>
          <w:p w14:paraId="18991C7B" w14:textId="77777777" w:rsidR="00323207" w:rsidRPr="00F931D9" w:rsidRDefault="00323207" w:rsidP="00323207">
            <w:pPr>
              <w:keepNext/>
              <w:spacing w:after="0" w:line="240" w:lineRule="auto"/>
              <w:jc w:val="both"/>
              <w:rPr>
                <w:rFonts w:ascii="Times New Roman" w:hAnsi="Times New Roman"/>
                <w:kern w:val="0"/>
                <w:sz w:val="22"/>
                <w:lang w:val="lt-LT"/>
                <w14:ligatures w14:val="none"/>
              </w:rPr>
            </w:pPr>
            <w:r w:rsidRPr="00F931D9">
              <w:rPr>
                <w:rFonts w:ascii="Times New Roman" w:hAnsi="Times New Roman"/>
                <w:kern w:val="0"/>
                <w:sz w:val="22"/>
                <w:lang w:val="lt-LT"/>
                <w14:ligatures w14:val="none"/>
              </w:rPr>
              <w:t>5</w:t>
            </w:r>
            <w:r w:rsidRPr="00F931D9">
              <w:rPr>
                <w:rFonts w:ascii="Times New Roman" w:hAnsi="Times New Roman"/>
                <w:kern w:val="0"/>
                <w:sz w:val="22"/>
                <w:lang w:val="lt-LT"/>
                <w14:ligatures w14:val="none"/>
              </w:rPr>
              <w:noBreakHyphen/>
              <w:t>10</w:t>
            </w:r>
          </w:p>
        </w:tc>
      </w:tr>
      <w:tr w:rsidR="00323207" w:rsidRPr="00323207" w14:paraId="14185C5C" w14:textId="77777777" w:rsidTr="003338CB">
        <w:tc>
          <w:tcPr>
            <w:tcW w:w="1667" w:type="dxa"/>
          </w:tcPr>
          <w:p w14:paraId="52E6C5D7" w14:textId="77777777" w:rsidR="00323207" w:rsidRPr="00F931D9" w:rsidRDefault="00323207" w:rsidP="00323207">
            <w:pPr>
              <w:keepNext/>
              <w:spacing w:after="0" w:line="240" w:lineRule="auto"/>
              <w:jc w:val="both"/>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Rozuvastatinas</w:t>
            </w:r>
            <w:proofErr w:type="spellEnd"/>
          </w:p>
        </w:tc>
        <w:tc>
          <w:tcPr>
            <w:tcW w:w="1984" w:type="dxa"/>
          </w:tcPr>
          <w:p w14:paraId="7A40B260" w14:textId="77777777" w:rsidR="00323207" w:rsidRPr="00F931D9" w:rsidRDefault="00323207" w:rsidP="00323207">
            <w:pPr>
              <w:keepNext/>
              <w:spacing w:after="0" w:line="240" w:lineRule="auto"/>
              <w:jc w:val="both"/>
              <w:rPr>
                <w:rFonts w:ascii="Times New Roman" w:hAnsi="Times New Roman"/>
                <w:kern w:val="0"/>
                <w:sz w:val="22"/>
                <w:lang w:val="lt-LT"/>
                <w14:ligatures w14:val="none"/>
              </w:rPr>
            </w:pPr>
            <w:r w:rsidRPr="00F931D9">
              <w:rPr>
                <w:rFonts w:ascii="Times New Roman" w:hAnsi="Times New Roman"/>
                <w:kern w:val="0"/>
                <w:sz w:val="22"/>
                <w:lang w:val="lt-LT"/>
                <w14:ligatures w14:val="none"/>
              </w:rPr>
              <w:t>5</w:t>
            </w:r>
            <w:r w:rsidRPr="00F931D9">
              <w:rPr>
                <w:rFonts w:ascii="Times New Roman" w:hAnsi="Times New Roman"/>
                <w:kern w:val="0"/>
                <w:sz w:val="22"/>
                <w:lang w:val="lt-LT"/>
                <w14:ligatures w14:val="none"/>
              </w:rPr>
              <w:noBreakHyphen/>
              <w:t>40 mg</w:t>
            </w:r>
          </w:p>
        </w:tc>
        <w:tc>
          <w:tcPr>
            <w:tcW w:w="1843" w:type="dxa"/>
          </w:tcPr>
          <w:p w14:paraId="1F0814F2" w14:textId="77777777" w:rsidR="00323207" w:rsidRPr="00F931D9" w:rsidRDefault="00323207" w:rsidP="00323207">
            <w:pPr>
              <w:keepNext/>
              <w:spacing w:after="0" w:line="240" w:lineRule="auto"/>
              <w:jc w:val="both"/>
              <w:rPr>
                <w:rFonts w:ascii="Times New Roman" w:hAnsi="Times New Roman"/>
                <w:kern w:val="0"/>
                <w:sz w:val="22"/>
                <w:lang w:val="lt-LT"/>
                <w14:ligatures w14:val="none"/>
              </w:rPr>
            </w:pPr>
            <w:r w:rsidRPr="00F931D9">
              <w:rPr>
                <w:rFonts w:ascii="Times New Roman" w:hAnsi="Times New Roman"/>
                <w:kern w:val="0"/>
                <w:sz w:val="22"/>
                <w:lang w:val="lt-LT"/>
                <w14:ligatures w14:val="none"/>
              </w:rPr>
              <w:t>5</w:t>
            </w:r>
            <w:r w:rsidRPr="00F931D9">
              <w:rPr>
                <w:rFonts w:ascii="Times New Roman" w:hAnsi="Times New Roman"/>
                <w:kern w:val="0"/>
                <w:sz w:val="22"/>
                <w:lang w:val="lt-LT"/>
                <w14:ligatures w14:val="none"/>
              </w:rPr>
              <w:noBreakHyphen/>
              <w:t>10</w:t>
            </w:r>
          </w:p>
        </w:tc>
      </w:tr>
      <w:tr w:rsidR="00323207" w:rsidRPr="00323207" w14:paraId="2AF431B3" w14:textId="77777777" w:rsidTr="003338CB">
        <w:tc>
          <w:tcPr>
            <w:tcW w:w="1667" w:type="dxa"/>
          </w:tcPr>
          <w:p w14:paraId="059C041A" w14:textId="77777777" w:rsidR="00323207" w:rsidRPr="00F931D9" w:rsidRDefault="00323207" w:rsidP="00323207">
            <w:pPr>
              <w:keepNext/>
              <w:spacing w:after="0" w:line="240" w:lineRule="auto"/>
              <w:jc w:val="both"/>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Pitavastatinas</w:t>
            </w:r>
            <w:proofErr w:type="spellEnd"/>
          </w:p>
        </w:tc>
        <w:tc>
          <w:tcPr>
            <w:tcW w:w="1984" w:type="dxa"/>
          </w:tcPr>
          <w:p w14:paraId="4D560248" w14:textId="77777777" w:rsidR="00323207" w:rsidRPr="00F931D9" w:rsidRDefault="00323207" w:rsidP="00323207">
            <w:pPr>
              <w:keepNext/>
              <w:spacing w:after="0" w:line="240" w:lineRule="auto"/>
              <w:jc w:val="both"/>
              <w:rPr>
                <w:rFonts w:ascii="Times New Roman" w:hAnsi="Times New Roman"/>
                <w:kern w:val="0"/>
                <w:sz w:val="22"/>
                <w:lang w:val="lt-LT"/>
                <w14:ligatures w14:val="none"/>
              </w:rPr>
            </w:pPr>
            <w:r w:rsidRPr="00F931D9">
              <w:rPr>
                <w:rFonts w:ascii="Times New Roman" w:hAnsi="Times New Roman"/>
                <w:kern w:val="0"/>
                <w:sz w:val="22"/>
                <w:lang w:val="lt-LT"/>
                <w14:ligatures w14:val="none"/>
              </w:rPr>
              <w:t>1</w:t>
            </w:r>
            <w:r w:rsidRPr="00F931D9">
              <w:rPr>
                <w:rFonts w:ascii="Times New Roman" w:hAnsi="Times New Roman"/>
                <w:kern w:val="0"/>
                <w:sz w:val="22"/>
                <w:lang w:val="lt-LT"/>
                <w14:ligatures w14:val="none"/>
              </w:rPr>
              <w:noBreakHyphen/>
              <w:t>4 mg</w:t>
            </w:r>
          </w:p>
        </w:tc>
        <w:tc>
          <w:tcPr>
            <w:tcW w:w="1843" w:type="dxa"/>
          </w:tcPr>
          <w:p w14:paraId="77A25DC4" w14:textId="77777777" w:rsidR="00323207" w:rsidRPr="00F931D9" w:rsidRDefault="00323207" w:rsidP="00323207">
            <w:pPr>
              <w:keepNext/>
              <w:spacing w:after="0" w:line="240" w:lineRule="auto"/>
              <w:jc w:val="both"/>
              <w:rPr>
                <w:rFonts w:ascii="Times New Roman" w:hAnsi="Times New Roman"/>
                <w:kern w:val="0"/>
                <w:sz w:val="22"/>
                <w:lang w:val="lt-LT"/>
                <w14:ligatures w14:val="none"/>
              </w:rPr>
            </w:pPr>
            <w:r w:rsidRPr="00F931D9">
              <w:rPr>
                <w:rFonts w:ascii="Times New Roman" w:hAnsi="Times New Roman"/>
                <w:kern w:val="0"/>
                <w:sz w:val="22"/>
                <w:lang w:val="lt-LT"/>
                <w14:ligatures w14:val="none"/>
              </w:rPr>
              <w:t>4</w:t>
            </w:r>
            <w:r w:rsidRPr="00F931D9">
              <w:rPr>
                <w:rFonts w:ascii="Times New Roman" w:hAnsi="Times New Roman"/>
                <w:kern w:val="0"/>
                <w:sz w:val="22"/>
                <w:lang w:val="lt-LT"/>
                <w14:ligatures w14:val="none"/>
              </w:rPr>
              <w:noBreakHyphen/>
              <w:t>6</w:t>
            </w:r>
          </w:p>
        </w:tc>
      </w:tr>
    </w:tbl>
    <w:p w14:paraId="75235F7D" w14:textId="77777777" w:rsidR="00323207" w:rsidRPr="00F931D9" w:rsidRDefault="00323207" w:rsidP="00323207">
      <w:pPr>
        <w:autoSpaceDE w:val="0"/>
        <w:autoSpaceDN w:val="0"/>
        <w:adjustRightInd w:val="0"/>
        <w:spacing w:after="0" w:line="240" w:lineRule="auto"/>
        <w:rPr>
          <w:rFonts w:ascii="Times New Roman" w:hAnsi="Times New Roman"/>
          <w:color w:val="000000"/>
          <w:kern w:val="0"/>
          <w:sz w:val="22"/>
          <w:lang w:val="lt-LT"/>
          <w14:ligatures w14:val="none"/>
        </w:rPr>
      </w:pPr>
    </w:p>
    <w:p w14:paraId="691338D7" w14:textId="77777777" w:rsidR="00323207" w:rsidRPr="00F931D9" w:rsidRDefault="00323207" w:rsidP="00323207">
      <w:pPr>
        <w:autoSpaceDE w:val="0"/>
        <w:autoSpaceDN w:val="0"/>
        <w:adjustRightInd w:val="0"/>
        <w:spacing w:after="0" w:line="240" w:lineRule="auto"/>
        <w:rPr>
          <w:rFonts w:ascii="Times New Roman" w:hAnsi="Times New Roman"/>
          <w:color w:val="000000"/>
          <w:kern w:val="0"/>
          <w:sz w:val="22"/>
          <w:lang w:val="lt-LT"/>
          <w14:ligatures w14:val="none"/>
        </w:rPr>
      </w:pPr>
      <w:proofErr w:type="spellStart"/>
      <w:r w:rsidRPr="00F931D9">
        <w:rPr>
          <w:rFonts w:ascii="Times New Roman" w:hAnsi="Times New Roman"/>
          <w:color w:val="000000"/>
          <w:kern w:val="0"/>
          <w:sz w:val="22"/>
          <w:lang w:val="lt-LT"/>
          <w14:ligatures w14:val="none"/>
        </w:rPr>
        <w:t>Ciklosporino</w:t>
      </w:r>
      <w:proofErr w:type="spellEnd"/>
      <w:r w:rsidRPr="00F931D9">
        <w:rPr>
          <w:rFonts w:ascii="Times New Roman" w:hAnsi="Times New Roman"/>
          <w:color w:val="000000"/>
          <w:kern w:val="0"/>
          <w:sz w:val="22"/>
          <w:lang w:val="lt-LT"/>
          <w14:ligatures w14:val="none"/>
        </w:rPr>
        <w:t xml:space="preserve"> rekomenduojama atsargiai vartoti kartu su </w:t>
      </w:r>
      <w:proofErr w:type="spellStart"/>
      <w:r w:rsidRPr="00F931D9">
        <w:rPr>
          <w:rFonts w:ascii="Times New Roman" w:hAnsi="Times New Roman"/>
          <w:color w:val="000000"/>
          <w:kern w:val="0"/>
          <w:sz w:val="22"/>
          <w:lang w:val="lt-LT"/>
          <w14:ligatures w14:val="none"/>
        </w:rPr>
        <w:t>lerkanidipinu</w:t>
      </w:r>
      <w:proofErr w:type="spellEnd"/>
      <w:r w:rsidRPr="00F931D9">
        <w:rPr>
          <w:rFonts w:ascii="Times New Roman" w:hAnsi="Times New Roman"/>
          <w:color w:val="000000"/>
          <w:kern w:val="0"/>
          <w:sz w:val="22"/>
          <w:lang w:val="lt-LT"/>
          <w14:ligatures w14:val="none"/>
        </w:rPr>
        <w:t xml:space="preserve"> (žr. 4.4 skyrių).</w:t>
      </w:r>
    </w:p>
    <w:p w14:paraId="217888D1" w14:textId="77777777" w:rsidR="00323207" w:rsidRPr="00F931D9" w:rsidRDefault="00323207" w:rsidP="00323207">
      <w:pPr>
        <w:autoSpaceDE w:val="0"/>
        <w:autoSpaceDN w:val="0"/>
        <w:adjustRightInd w:val="0"/>
        <w:spacing w:after="0" w:line="240" w:lineRule="auto"/>
        <w:rPr>
          <w:rFonts w:ascii="Times New Roman" w:hAnsi="Times New Roman"/>
          <w:color w:val="000000"/>
          <w:kern w:val="0"/>
          <w:sz w:val="22"/>
          <w:lang w:val="lt-LT"/>
          <w14:ligatures w14:val="none"/>
        </w:rPr>
      </w:pPr>
    </w:p>
    <w:p w14:paraId="2825854E" w14:textId="77777777" w:rsidR="00323207" w:rsidRPr="00F931D9" w:rsidRDefault="00323207" w:rsidP="00323207">
      <w:pPr>
        <w:autoSpaceDE w:val="0"/>
        <w:autoSpaceDN w:val="0"/>
        <w:adjustRightInd w:val="0"/>
        <w:spacing w:after="0" w:line="240" w:lineRule="auto"/>
        <w:rPr>
          <w:rFonts w:ascii="Times New Roman" w:hAnsi="Times New Roman"/>
          <w:color w:val="000000"/>
          <w:kern w:val="0"/>
          <w:sz w:val="22"/>
          <w:lang w:val="lt-LT"/>
          <w14:ligatures w14:val="none"/>
        </w:rPr>
      </w:pPr>
      <w:r w:rsidRPr="00F931D9">
        <w:rPr>
          <w:rFonts w:ascii="Times New Roman" w:hAnsi="Times New Roman"/>
          <w:color w:val="000000"/>
          <w:kern w:val="0"/>
          <w:sz w:val="22"/>
          <w:lang w:val="lt-LT"/>
          <w14:ligatures w14:val="none"/>
        </w:rPr>
        <w:t xml:space="preserve">Kartu vartojant </w:t>
      </w:r>
      <w:proofErr w:type="spellStart"/>
      <w:r w:rsidRPr="00F931D9">
        <w:rPr>
          <w:rFonts w:ascii="Times New Roman" w:hAnsi="Times New Roman"/>
          <w:color w:val="000000"/>
          <w:kern w:val="0"/>
          <w:sz w:val="22"/>
          <w:lang w:val="lt-LT"/>
          <w14:ligatures w14:val="none"/>
        </w:rPr>
        <w:t>ciklosporino</w:t>
      </w:r>
      <w:proofErr w:type="spellEnd"/>
      <w:r w:rsidRPr="00F931D9">
        <w:rPr>
          <w:rFonts w:ascii="Times New Roman" w:hAnsi="Times New Roman"/>
          <w:color w:val="000000"/>
          <w:kern w:val="0"/>
          <w:sz w:val="22"/>
          <w:lang w:val="lt-LT"/>
          <w14:ligatures w14:val="none"/>
        </w:rPr>
        <w:t xml:space="preserve"> ir </w:t>
      </w:r>
      <w:r w:rsidRPr="00F931D9">
        <w:rPr>
          <w:rFonts w:ascii="Times New Roman" w:hAnsi="Times New Roman"/>
          <w:kern w:val="0"/>
          <w:sz w:val="22"/>
          <w:lang w:val="lt-LT"/>
          <w14:ligatures w14:val="none"/>
        </w:rPr>
        <w:t>P-</w:t>
      </w:r>
      <w:proofErr w:type="spellStart"/>
      <w:r w:rsidRPr="00F931D9">
        <w:rPr>
          <w:rFonts w:ascii="Times New Roman" w:hAnsi="Times New Roman"/>
          <w:kern w:val="0"/>
          <w:sz w:val="22"/>
          <w:lang w:val="lt-LT"/>
          <w14:ligatures w14:val="none"/>
        </w:rPr>
        <w:t>gp</w:t>
      </w:r>
      <w:proofErr w:type="spellEnd"/>
      <w:r w:rsidRPr="00F931D9">
        <w:rPr>
          <w:rFonts w:ascii="Times New Roman" w:hAnsi="Times New Roman"/>
          <w:kern w:val="0"/>
          <w:sz w:val="22"/>
          <w:lang w:val="lt-LT"/>
          <w14:ligatures w14:val="none"/>
        </w:rPr>
        <w:t xml:space="preserve"> substrato</w:t>
      </w:r>
      <w:r w:rsidRPr="00F931D9">
        <w:rPr>
          <w:rFonts w:ascii="Times New Roman" w:hAnsi="Times New Roman"/>
          <w:color w:val="000000"/>
          <w:kern w:val="0"/>
          <w:sz w:val="22"/>
          <w:lang w:val="lt-LT"/>
          <w14:ligatures w14:val="none"/>
        </w:rPr>
        <w:t xml:space="preserve"> </w:t>
      </w:r>
      <w:proofErr w:type="spellStart"/>
      <w:r w:rsidRPr="00F931D9">
        <w:rPr>
          <w:rFonts w:ascii="Times New Roman" w:hAnsi="Times New Roman"/>
          <w:i/>
          <w:color w:val="000000"/>
          <w:kern w:val="0"/>
          <w:sz w:val="22"/>
          <w:lang w:val="lt-LT"/>
          <w14:ligatures w14:val="none"/>
        </w:rPr>
        <w:t>aliskireno</w:t>
      </w:r>
      <w:proofErr w:type="spellEnd"/>
      <w:r w:rsidRPr="00F931D9">
        <w:rPr>
          <w:rFonts w:ascii="Times New Roman" w:hAnsi="Times New Roman"/>
          <w:color w:val="000000"/>
          <w:kern w:val="0"/>
          <w:sz w:val="22"/>
          <w:lang w:val="lt-LT"/>
          <w14:ligatures w14:val="none"/>
        </w:rPr>
        <w:t>, pastarojo vaistinio preparato didžiausia koncentracija kraujyje (</w:t>
      </w:r>
      <w:proofErr w:type="spellStart"/>
      <w:r w:rsidRPr="00F931D9">
        <w:rPr>
          <w:rFonts w:ascii="Times New Roman" w:hAnsi="Times New Roman"/>
          <w:color w:val="000000"/>
          <w:kern w:val="0"/>
          <w:sz w:val="22"/>
          <w:lang w:val="lt-LT"/>
          <w14:ligatures w14:val="none"/>
        </w:rPr>
        <w:t>C</w:t>
      </w:r>
      <w:r w:rsidRPr="00F931D9">
        <w:rPr>
          <w:rFonts w:ascii="Times New Roman" w:hAnsi="Times New Roman"/>
          <w:color w:val="000000"/>
          <w:kern w:val="0"/>
          <w:sz w:val="22"/>
          <w:vertAlign w:val="subscript"/>
          <w:lang w:val="lt-LT"/>
          <w14:ligatures w14:val="none"/>
        </w:rPr>
        <w:t>max</w:t>
      </w:r>
      <w:proofErr w:type="spellEnd"/>
      <w:r w:rsidRPr="00F931D9">
        <w:rPr>
          <w:rFonts w:ascii="Times New Roman" w:hAnsi="Times New Roman"/>
          <w:color w:val="000000"/>
          <w:kern w:val="0"/>
          <w:sz w:val="22"/>
          <w:lang w:val="lt-LT"/>
          <w14:ligatures w14:val="none"/>
        </w:rPr>
        <w:t xml:space="preserve">) padidėjo maždaug 2,5 karto, o ploto po koncentracijos kreive (AUC) rodiklis – maždaug 5 kartus. Tačiau </w:t>
      </w:r>
      <w:proofErr w:type="spellStart"/>
      <w:r w:rsidRPr="00F931D9">
        <w:rPr>
          <w:rFonts w:ascii="Times New Roman" w:hAnsi="Times New Roman"/>
          <w:color w:val="000000"/>
          <w:kern w:val="0"/>
          <w:sz w:val="22"/>
          <w:lang w:val="lt-LT"/>
          <w14:ligatures w14:val="none"/>
        </w:rPr>
        <w:t>farmakokinetinės</w:t>
      </w:r>
      <w:proofErr w:type="spellEnd"/>
      <w:r w:rsidRPr="00F931D9">
        <w:rPr>
          <w:rFonts w:ascii="Times New Roman" w:hAnsi="Times New Roman"/>
          <w:color w:val="000000"/>
          <w:kern w:val="0"/>
          <w:sz w:val="22"/>
          <w:lang w:val="lt-LT"/>
          <w14:ligatures w14:val="none"/>
        </w:rPr>
        <w:t xml:space="preserve"> </w:t>
      </w:r>
      <w:proofErr w:type="spellStart"/>
      <w:r w:rsidRPr="00F931D9">
        <w:rPr>
          <w:rFonts w:ascii="Times New Roman" w:hAnsi="Times New Roman"/>
          <w:color w:val="000000"/>
          <w:kern w:val="0"/>
          <w:sz w:val="22"/>
          <w:lang w:val="lt-LT"/>
          <w14:ligatures w14:val="none"/>
        </w:rPr>
        <w:t>ciklosporino</w:t>
      </w:r>
      <w:proofErr w:type="spellEnd"/>
      <w:r w:rsidRPr="00F931D9">
        <w:rPr>
          <w:rFonts w:ascii="Times New Roman" w:hAnsi="Times New Roman"/>
          <w:color w:val="000000"/>
          <w:kern w:val="0"/>
          <w:sz w:val="22"/>
          <w:lang w:val="lt-LT"/>
          <w14:ligatures w14:val="none"/>
        </w:rPr>
        <w:t xml:space="preserve"> savybės reikšmingai nepakito. </w:t>
      </w:r>
      <w:proofErr w:type="spellStart"/>
      <w:r w:rsidRPr="00F931D9">
        <w:rPr>
          <w:rFonts w:ascii="Times New Roman" w:hAnsi="Times New Roman"/>
          <w:color w:val="000000"/>
          <w:kern w:val="0"/>
          <w:sz w:val="22"/>
          <w:lang w:val="lt-LT"/>
          <w14:ligatures w14:val="none"/>
        </w:rPr>
        <w:t>Ciklosporino</w:t>
      </w:r>
      <w:proofErr w:type="spellEnd"/>
      <w:r w:rsidRPr="00F931D9">
        <w:rPr>
          <w:rFonts w:ascii="Times New Roman" w:hAnsi="Times New Roman"/>
          <w:color w:val="000000"/>
          <w:kern w:val="0"/>
          <w:sz w:val="22"/>
          <w:lang w:val="lt-LT"/>
          <w14:ligatures w14:val="none"/>
        </w:rPr>
        <w:t xml:space="preserve"> vartoti kartu su </w:t>
      </w:r>
      <w:proofErr w:type="spellStart"/>
      <w:r w:rsidRPr="00F931D9">
        <w:rPr>
          <w:rFonts w:ascii="Times New Roman" w:hAnsi="Times New Roman"/>
          <w:color w:val="000000"/>
          <w:kern w:val="0"/>
          <w:sz w:val="22"/>
          <w:lang w:val="lt-LT"/>
          <w14:ligatures w14:val="none"/>
        </w:rPr>
        <w:t>aliskirenu</w:t>
      </w:r>
      <w:proofErr w:type="spellEnd"/>
      <w:r w:rsidRPr="00F931D9">
        <w:rPr>
          <w:rFonts w:ascii="Times New Roman" w:hAnsi="Times New Roman"/>
          <w:color w:val="000000"/>
          <w:kern w:val="0"/>
          <w:sz w:val="22"/>
          <w:lang w:val="lt-LT"/>
          <w14:ligatures w14:val="none"/>
        </w:rPr>
        <w:t xml:space="preserve"> nerekomenduojama (žr. 4.3 skyrių).</w:t>
      </w:r>
    </w:p>
    <w:p w14:paraId="4277D0D6" w14:textId="77777777" w:rsidR="00323207" w:rsidRPr="00F931D9" w:rsidRDefault="00323207" w:rsidP="00323207">
      <w:pPr>
        <w:autoSpaceDE w:val="0"/>
        <w:autoSpaceDN w:val="0"/>
        <w:adjustRightInd w:val="0"/>
        <w:spacing w:after="0" w:line="240" w:lineRule="auto"/>
        <w:rPr>
          <w:rFonts w:ascii="Times New Roman" w:hAnsi="Times New Roman"/>
          <w:color w:val="000000"/>
          <w:kern w:val="0"/>
          <w:sz w:val="22"/>
          <w:lang w:val="lt-LT"/>
          <w14:ligatures w14:val="none"/>
        </w:rPr>
      </w:pPr>
    </w:p>
    <w:p w14:paraId="099370DF" w14:textId="77777777" w:rsidR="00323207" w:rsidRPr="00F931D9" w:rsidRDefault="00323207" w:rsidP="00323207">
      <w:pPr>
        <w:autoSpaceDE w:val="0"/>
        <w:autoSpaceDN w:val="0"/>
        <w:adjustRightInd w:val="0"/>
        <w:spacing w:after="0" w:line="240" w:lineRule="auto"/>
        <w:rPr>
          <w:rFonts w:ascii="Times New Roman" w:hAnsi="Times New Roman"/>
          <w:color w:val="000000"/>
          <w:kern w:val="0"/>
          <w:sz w:val="22"/>
          <w:lang w:val="lt-LT"/>
          <w14:ligatures w14:val="none"/>
        </w:rPr>
      </w:pPr>
      <w:r w:rsidRPr="00F931D9">
        <w:rPr>
          <w:rFonts w:ascii="Times New Roman" w:hAnsi="Times New Roman"/>
          <w:color w:val="000000"/>
          <w:kern w:val="0"/>
          <w:sz w:val="22"/>
          <w:lang w:val="lt-LT"/>
          <w14:ligatures w14:val="none"/>
        </w:rPr>
        <w:t xml:space="preserve">Kartu skirti </w:t>
      </w:r>
      <w:proofErr w:type="spellStart"/>
      <w:r w:rsidRPr="00F931D9">
        <w:rPr>
          <w:rFonts w:ascii="Times New Roman" w:hAnsi="Times New Roman"/>
          <w:color w:val="000000"/>
          <w:kern w:val="0"/>
          <w:sz w:val="22"/>
          <w:lang w:val="lt-LT"/>
          <w14:ligatures w14:val="none"/>
        </w:rPr>
        <w:t>dabigatrano</w:t>
      </w:r>
      <w:proofErr w:type="spellEnd"/>
      <w:r w:rsidRPr="00F931D9">
        <w:rPr>
          <w:rFonts w:ascii="Times New Roman" w:hAnsi="Times New Roman"/>
          <w:color w:val="000000"/>
          <w:kern w:val="0"/>
          <w:sz w:val="22"/>
          <w:lang w:val="lt-LT"/>
          <w14:ligatures w14:val="none"/>
        </w:rPr>
        <w:t xml:space="preserve"> </w:t>
      </w:r>
      <w:proofErr w:type="spellStart"/>
      <w:r w:rsidRPr="00F931D9">
        <w:rPr>
          <w:rFonts w:ascii="Times New Roman" w:hAnsi="Times New Roman"/>
          <w:kern w:val="0"/>
          <w:sz w:val="22"/>
          <w:lang w:val="lt-LT"/>
          <w14:ligatures w14:val="none"/>
        </w:rPr>
        <w:t>eteksilato</w:t>
      </w:r>
      <w:proofErr w:type="spellEnd"/>
      <w:r w:rsidRPr="00F931D9">
        <w:rPr>
          <w:rFonts w:ascii="Times New Roman" w:hAnsi="Times New Roman"/>
          <w:kern w:val="0"/>
          <w:sz w:val="22"/>
          <w:lang w:val="lt-LT"/>
          <w14:ligatures w14:val="none"/>
        </w:rPr>
        <w:t xml:space="preserve"> nerekomenduojama dėl P-</w:t>
      </w:r>
      <w:proofErr w:type="spellStart"/>
      <w:r w:rsidRPr="00F931D9">
        <w:rPr>
          <w:rFonts w:ascii="Times New Roman" w:hAnsi="Times New Roman"/>
          <w:kern w:val="0"/>
          <w:sz w:val="22"/>
          <w:lang w:val="lt-LT"/>
          <w14:ligatures w14:val="none"/>
        </w:rPr>
        <w:t>gp</w:t>
      </w:r>
      <w:proofErr w:type="spellEnd"/>
      <w:r w:rsidRPr="00F931D9">
        <w:rPr>
          <w:rFonts w:ascii="Times New Roman" w:hAnsi="Times New Roman"/>
          <w:kern w:val="0"/>
          <w:sz w:val="22"/>
          <w:lang w:val="lt-LT"/>
          <w14:ligatures w14:val="none"/>
        </w:rPr>
        <w:t xml:space="preserve"> inhibitoriaus aktyvumo </w:t>
      </w:r>
      <w:proofErr w:type="spellStart"/>
      <w:r w:rsidRPr="00F931D9">
        <w:rPr>
          <w:rFonts w:ascii="Times New Roman" w:hAnsi="Times New Roman"/>
          <w:kern w:val="0"/>
          <w:sz w:val="22"/>
          <w:lang w:val="lt-LT"/>
          <w14:ligatures w14:val="none"/>
        </w:rPr>
        <w:t>ciklosporinui</w:t>
      </w:r>
      <w:proofErr w:type="spellEnd"/>
      <w:r w:rsidRPr="00F931D9">
        <w:rPr>
          <w:rFonts w:ascii="Times New Roman" w:hAnsi="Times New Roman"/>
          <w:kern w:val="0"/>
          <w:sz w:val="22"/>
          <w:lang w:val="lt-LT"/>
          <w14:ligatures w14:val="none"/>
        </w:rPr>
        <w:t xml:space="preserve"> </w:t>
      </w:r>
      <w:r w:rsidRPr="00F931D9">
        <w:rPr>
          <w:rFonts w:ascii="Times New Roman" w:hAnsi="Times New Roman"/>
          <w:color w:val="000000"/>
          <w:kern w:val="0"/>
          <w:sz w:val="22"/>
          <w:lang w:val="lt-LT"/>
          <w14:ligatures w14:val="none"/>
        </w:rPr>
        <w:t>(žr. 4.3 skyrių).</w:t>
      </w:r>
    </w:p>
    <w:p w14:paraId="785DC74B" w14:textId="77777777" w:rsidR="00323207" w:rsidRPr="00F931D9" w:rsidRDefault="00323207" w:rsidP="00323207">
      <w:pPr>
        <w:autoSpaceDE w:val="0"/>
        <w:autoSpaceDN w:val="0"/>
        <w:adjustRightInd w:val="0"/>
        <w:spacing w:after="0" w:line="240" w:lineRule="auto"/>
        <w:rPr>
          <w:rFonts w:ascii="Times New Roman" w:hAnsi="Times New Roman"/>
          <w:color w:val="000000"/>
          <w:kern w:val="0"/>
          <w:sz w:val="22"/>
          <w:lang w:val="lt-LT"/>
          <w14:ligatures w14:val="none"/>
        </w:rPr>
      </w:pPr>
    </w:p>
    <w:p w14:paraId="40B36F7F" w14:textId="77777777" w:rsidR="00323207" w:rsidRPr="00F931D9" w:rsidRDefault="00323207" w:rsidP="00323207">
      <w:pPr>
        <w:autoSpaceDE w:val="0"/>
        <w:autoSpaceDN w:val="0"/>
        <w:adjustRightInd w:val="0"/>
        <w:spacing w:after="0" w:line="240" w:lineRule="auto"/>
        <w:rPr>
          <w:rFonts w:ascii="Times New Roman" w:hAnsi="Times New Roman"/>
          <w:color w:val="000000"/>
          <w:kern w:val="0"/>
          <w:sz w:val="22"/>
          <w:lang w:val="lt-LT"/>
          <w14:ligatures w14:val="none"/>
        </w:rPr>
      </w:pPr>
      <w:r w:rsidRPr="00F931D9">
        <w:rPr>
          <w:rFonts w:ascii="Times New Roman" w:hAnsi="Times New Roman"/>
          <w:color w:val="000000"/>
          <w:kern w:val="0"/>
          <w:sz w:val="22"/>
          <w:lang w:val="lt-LT"/>
          <w14:ligatures w14:val="none"/>
        </w:rPr>
        <w:t xml:space="preserve">Jei </w:t>
      </w:r>
      <w:proofErr w:type="spellStart"/>
      <w:r w:rsidRPr="00F931D9">
        <w:rPr>
          <w:rFonts w:ascii="Times New Roman" w:hAnsi="Times New Roman"/>
          <w:color w:val="000000"/>
          <w:kern w:val="0"/>
          <w:sz w:val="22"/>
          <w:lang w:val="lt-LT"/>
          <w14:ligatures w14:val="none"/>
        </w:rPr>
        <w:t>ciklosporino</w:t>
      </w:r>
      <w:proofErr w:type="spellEnd"/>
      <w:r w:rsidRPr="00F931D9">
        <w:rPr>
          <w:rFonts w:ascii="Times New Roman" w:hAnsi="Times New Roman"/>
          <w:color w:val="000000"/>
          <w:kern w:val="0"/>
          <w:sz w:val="22"/>
          <w:lang w:val="lt-LT"/>
          <w14:ligatures w14:val="none"/>
        </w:rPr>
        <w:t xml:space="preserve"> vartojama kartu su </w:t>
      </w:r>
      <w:proofErr w:type="spellStart"/>
      <w:r w:rsidRPr="00F931D9">
        <w:rPr>
          <w:rFonts w:ascii="Times New Roman" w:hAnsi="Times New Roman"/>
          <w:i/>
          <w:color w:val="000000"/>
          <w:kern w:val="0"/>
          <w:sz w:val="22"/>
          <w:lang w:val="lt-LT"/>
          <w14:ligatures w14:val="none"/>
        </w:rPr>
        <w:t>nifedipinu</w:t>
      </w:r>
      <w:proofErr w:type="spellEnd"/>
      <w:r w:rsidRPr="00F931D9">
        <w:rPr>
          <w:rFonts w:ascii="Times New Roman" w:hAnsi="Times New Roman"/>
          <w:color w:val="000000"/>
          <w:kern w:val="0"/>
          <w:sz w:val="22"/>
          <w:lang w:val="lt-LT"/>
          <w14:ligatures w14:val="none"/>
        </w:rPr>
        <w:t xml:space="preserve">, dantenų </w:t>
      </w:r>
      <w:proofErr w:type="spellStart"/>
      <w:r w:rsidRPr="00F931D9">
        <w:rPr>
          <w:rFonts w:ascii="Times New Roman" w:hAnsi="Times New Roman"/>
          <w:color w:val="000000"/>
          <w:kern w:val="0"/>
          <w:sz w:val="22"/>
          <w:lang w:val="lt-LT"/>
          <w14:ligatures w14:val="none"/>
        </w:rPr>
        <w:t>hiperplazija</w:t>
      </w:r>
      <w:proofErr w:type="spellEnd"/>
      <w:r w:rsidRPr="00F931D9">
        <w:rPr>
          <w:rFonts w:ascii="Times New Roman" w:hAnsi="Times New Roman"/>
          <w:color w:val="000000"/>
          <w:kern w:val="0"/>
          <w:sz w:val="22"/>
          <w:lang w:val="lt-LT"/>
          <w14:ligatures w14:val="none"/>
        </w:rPr>
        <w:t xml:space="preserve"> gali atsirasti dažniau, negu vartojant vieno </w:t>
      </w:r>
      <w:proofErr w:type="spellStart"/>
      <w:r w:rsidRPr="00F931D9">
        <w:rPr>
          <w:rFonts w:ascii="Times New Roman" w:hAnsi="Times New Roman"/>
          <w:color w:val="000000"/>
          <w:kern w:val="0"/>
          <w:sz w:val="22"/>
          <w:lang w:val="lt-LT"/>
          <w14:ligatures w14:val="none"/>
        </w:rPr>
        <w:t>ciklosporino</w:t>
      </w:r>
      <w:proofErr w:type="spellEnd"/>
      <w:r w:rsidRPr="00F931D9">
        <w:rPr>
          <w:rFonts w:ascii="Times New Roman" w:hAnsi="Times New Roman"/>
          <w:color w:val="000000"/>
          <w:kern w:val="0"/>
          <w:sz w:val="22"/>
          <w:lang w:val="lt-LT"/>
          <w14:ligatures w14:val="none"/>
        </w:rPr>
        <w:t xml:space="preserve">. </w:t>
      </w:r>
    </w:p>
    <w:p w14:paraId="3EC940AA" w14:textId="77777777" w:rsidR="00323207" w:rsidRPr="00F931D9" w:rsidRDefault="00323207" w:rsidP="00323207">
      <w:pPr>
        <w:autoSpaceDE w:val="0"/>
        <w:autoSpaceDN w:val="0"/>
        <w:adjustRightInd w:val="0"/>
        <w:spacing w:after="0" w:line="240" w:lineRule="auto"/>
        <w:rPr>
          <w:rFonts w:ascii="Times New Roman" w:hAnsi="Times New Roman"/>
          <w:color w:val="000000"/>
          <w:kern w:val="0"/>
          <w:sz w:val="22"/>
          <w:lang w:val="lt-LT"/>
          <w14:ligatures w14:val="none"/>
        </w:rPr>
      </w:pPr>
    </w:p>
    <w:p w14:paraId="49C29851" w14:textId="77777777" w:rsidR="00323207" w:rsidRPr="00F931D9" w:rsidRDefault="00323207" w:rsidP="00323207">
      <w:pPr>
        <w:autoSpaceDE w:val="0"/>
        <w:autoSpaceDN w:val="0"/>
        <w:adjustRightInd w:val="0"/>
        <w:spacing w:after="0" w:line="240" w:lineRule="auto"/>
        <w:rPr>
          <w:rFonts w:ascii="Times New Roman" w:hAnsi="Times New Roman"/>
          <w:color w:val="000000"/>
          <w:kern w:val="0"/>
          <w:sz w:val="22"/>
          <w:lang w:val="lt-LT"/>
          <w14:ligatures w14:val="none"/>
        </w:rPr>
      </w:pPr>
      <w:r w:rsidRPr="00F931D9">
        <w:rPr>
          <w:rFonts w:ascii="Times New Roman" w:hAnsi="Times New Roman"/>
          <w:color w:val="000000"/>
          <w:kern w:val="0"/>
          <w:sz w:val="22"/>
          <w:lang w:val="lt-LT"/>
          <w14:ligatures w14:val="none"/>
        </w:rPr>
        <w:t xml:space="preserve">Nustatyta, kad </w:t>
      </w:r>
      <w:proofErr w:type="spellStart"/>
      <w:r w:rsidRPr="00F931D9">
        <w:rPr>
          <w:rFonts w:ascii="Times New Roman" w:hAnsi="Times New Roman"/>
          <w:color w:val="000000"/>
          <w:kern w:val="0"/>
          <w:sz w:val="22"/>
          <w:lang w:val="lt-LT"/>
          <w14:ligatures w14:val="none"/>
        </w:rPr>
        <w:t>ciklosporinas</w:t>
      </w:r>
      <w:proofErr w:type="spellEnd"/>
      <w:r w:rsidRPr="00F931D9">
        <w:rPr>
          <w:rFonts w:ascii="Times New Roman" w:hAnsi="Times New Roman"/>
          <w:color w:val="000000"/>
          <w:kern w:val="0"/>
          <w:sz w:val="22"/>
          <w:lang w:val="lt-LT"/>
          <w14:ligatures w14:val="none"/>
        </w:rPr>
        <w:t xml:space="preserve">, vartojamas kartu su </w:t>
      </w:r>
      <w:proofErr w:type="spellStart"/>
      <w:r w:rsidRPr="00F931D9">
        <w:rPr>
          <w:rFonts w:ascii="Times New Roman" w:hAnsi="Times New Roman"/>
          <w:i/>
          <w:color w:val="000000"/>
          <w:kern w:val="0"/>
          <w:sz w:val="22"/>
          <w:lang w:val="lt-LT"/>
          <w14:ligatures w14:val="none"/>
        </w:rPr>
        <w:t>diklofenaku</w:t>
      </w:r>
      <w:proofErr w:type="spellEnd"/>
      <w:r w:rsidRPr="00F931D9">
        <w:rPr>
          <w:rFonts w:ascii="Times New Roman" w:hAnsi="Times New Roman"/>
          <w:color w:val="000000"/>
          <w:kern w:val="0"/>
          <w:sz w:val="22"/>
          <w:lang w:val="lt-LT"/>
          <w14:ligatures w14:val="none"/>
        </w:rPr>
        <w:t xml:space="preserve">, reikšmingai padidina šio vaistinio preparato biologinį prieinamumą, todėl gali laikinai sutrikti inkstų veikla. </w:t>
      </w:r>
      <w:proofErr w:type="spellStart"/>
      <w:r w:rsidRPr="00F931D9">
        <w:rPr>
          <w:rFonts w:ascii="Times New Roman" w:hAnsi="Times New Roman"/>
          <w:color w:val="000000"/>
          <w:kern w:val="0"/>
          <w:sz w:val="22"/>
          <w:lang w:val="lt-LT"/>
          <w14:ligatures w14:val="none"/>
        </w:rPr>
        <w:t>Diklofenako</w:t>
      </w:r>
      <w:proofErr w:type="spellEnd"/>
      <w:r w:rsidRPr="00F931D9">
        <w:rPr>
          <w:rFonts w:ascii="Times New Roman" w:hAnsi="Times New Roman"/>
          <w:color w:val="000000"/>
          <w:kern w:val="0"/>
          <w:sz w:val="22"/>
          <w:lang w:val="lt-LT"/>
          <w14:ligatures w14:val="none"/>
        </w:rPr>
        <w:t xml:space="preserve"> biologinis prieinamumas tikriausiai padidėja dėl sumažėjusio šios medžiagos metabolizmo pirmojo prasiskverbimo per kepenis metu. Jei </w:t>
      </w:r>
      <w:proofErr w:type="spellStart"/>
      <w:r w:rsidRPr="00F931D9">
        <w:rPr>
          <w:rFonts w:ascii="Times New Roman" w:hAnsi="Times New Roman"/>
          <w:color w:val="000000"/>
          <w:kern w:val="0"/>
          <w:sz w:val="22"/>
          <w:lang w:val="lt-LT"/>
          <w14:ligatures w14:val="none"/>
        </w:rPr>
        <w:t>ciklosporino</w:t>
      </w:r>
      <w:proofErr w:type="spellEnd"/>
      <w:r w:rsidRPr="00F931D9">
        <w:rPr>
          <w:rFonts w:ascii="Times New Roman" w:hAnsi="Times New Roman"/>
          <w:color w:val="000000"/>
          <w:kern w:val="0"/>
          <w:sz w:val="22"/>
          <w:lang w:val="lt-LT"/>
          <w14:ligatures w14:val="none"/>
        </w:rPr>
        <w:t xml:space="preserve"> vartojama kartu su </w:t>
      </w:r>
      <w:r w:rsidRPr="00F931D9">
        <w:rPr>
          <w:rFonts w:ascii="Times New Roman" w:hAnsi="Times New Roman"/>
          <w:i/>
          <w:color w:val="000000"/>
          <w:kern w:val="0"/>
          <w:sz w:val="22"/>
          <w:lang w:val="lt-LT"/>
          <w14:ligatures w14:val="none"/>
        </w:rPr>
        <w:t>NVNU</w:t>
      </w:r>
      <w:r w:rsidRPr="00F931D9">
        <w:rPr>
          <w:rFonts w:ascii="Times New Roman" w:hAnsi="Times New Roman"/>
          <w:color w:val="000000"/>
          <w:kern w:val="0"/>
          <w:sz w:val="22"/>
          <w:lang w:val="lt-LT"/>
          <w14:ligatures w14:val="none"/>
        </w:rPr>
        <w:t xml:space="preserve">, kurie pirmojo prasiskverbimo per kepenis metu mažai </w:t>
      </w:r>
      <w:proofErr w:type="spellStart"/>
      <w:r w:rsidRPr="00F931D9">
        <w:rPr>
          <w:rFonts w:ascii="Times New Roman" w:hAnsi="Times New Roman"/>
          <w:color w:val="000000"/>
          <w:kern w:val="0"/>
          <w:sz w:val="22"/>
          <w:lang w:val="lt-LT"/>
          <w14:ligatures w14:val="none"/>
        </w:rPr>
        <w:t>metabolizuojami</w:t>
      </w:r>
      <w:proofErr w:type="spellEnd"/>
      <w:r w:rsidRPr="00F931D9">
        <w:rPr>
          <w:rFonts w:ascii="Times New Roman" w:hAnsi="Times New Roman"/>
          <w:color w:val="000000"/>
          <w:kern w:val="0"/>
          <w:sz w:val="22"/>
          <w:lang w:val="lt-LT"/>
          <w14:ligatures w14:val="none"/>
        </w:rPr>
        <w:t xml:space="preserve">, pvz., </w:t>
      </w:r>
      <w:proofErr w:type="spellStart"/>
      <w:r w:rsidRPr="00F931D9">
        <w:rPr>
          <w:rFonts w:ascii="Times New Roman" w:hAnsi="Times New Roman"/>
          <w:color w:val="000000"/>
          <w:kern w:val="0"/>
          <w:sz w:val="22"/>
          <w:lang w:val="lt-LT"/>
          <w14:ligatures w14:val="none"/>
        </w:rPr>
        <w:t>acetilsalicilo</w:t>
      </w:r>
      <w:proofErr w:type="spellEnd"/>
      <w:r w:rsidRPr="00F931D9">
        <w:rPr>
          <w:rFonts w:ascii="Times New Roman" w:hAnsi="Times New Roman"/>
          <w:color w:val="000000"/>
          <w:kern w:val="0"/>
          <w:sz w:val="22"/>
          <w:lang w:val="lt-LT"/>
          <w14:ligatures w14:val="none"/>
        </w:rPr>
        <w:t xml:space="preserve"> rūgštimi, jų biologinis prieinamumas tikriausiai nepadidės.</w:t>
      </w:r>
    </w:p>
    <w:p w14:paraId="495A3E1B" w14:textId="77777777" w:rsidR="00323207" w:rsidRPr="00F931D9" w:rsidRDefault="00323207" w:rsidP="00323207">
      <w:pPr>
        <w:autoSpaceDE w:val="0"/>
        <w:autoSpaceDN w:val="0"/>
        <w:adjustRightInd w:val="0"/>
        <w:spacing w:after="0" w:line="240" w:lineRule="auto"/>
        <w:rPr>
          <w:rFonts w:ascii="Times New Roman" w:hAnsi="Times New Roman"/>
          <w:color w:val="000000"/>
          <w:kern w:val="0"/>
          <w:sz w:val="22"/>
          <w:lang w:val="lt-LT"/>
          <w14:ligatures w14:val="none"/>
        </w:rPr>
      </w:pPr>
    </w:p>
    <w:p w14:paraId="260D741E" w14:textId="77777777" w:rsidR="00323207" w:rsidRPr="00F931D9" w:rsidRDefault="00323207" w:rsidP="00323207">
      <w:pPr>
        <w:autoSpaceDE w:val="0"/>
        <w:autoSpaceDN w:val="0"/>
        <w:adjustRightInd w:val="0"/>
        <w:spacing w:after="0" w:line="240" w:lineRule="auto"/>
        <w:rPr>
          <w:rFonts w:ascii="Times New Roman" w:hAnsi="Times New Roman"/>
          <w:color w:val="000000"/>
          <w:kern w:val="0"/>
          <w:sz w:val="22"/>
          <w:lang w:val="lt-LT"/>
          <w14:ligatures w14:val="none"/>
        </w:rPr>
      </w:pPr>
      <w:r w:rsidRPr="00F931D9">
        <w:rPr>
          <w:rFonts w:ascii="Times New Roman" w:hAnsi="Times New Roman"/>
          <w:color w:val="000000"/>
          <w:kern w:val="0"/>
          <w:sz w:val="22"/>
          <w:lang w:val="lt-LT"/>
          <w14:ligatures w14:val="none"/>
        </w:rPr>
        <w:t xml:space="preserve">Klinikinių tyrimų metu pastebėta, kad vartojant </w:t>
      </w:r>
      <w:proofErr w:type="spellStart"/>
      <w:r w:rsidRPr="00F931D9">
        <w:rPr>
          <w:rFonts w:ascii="Times New Roman" w:hAnsi="Times New Roman"/>
          <w:i/>
          <w:color w:val="000000"/>
          <w:kern w:val="0"/>
          <w:sz w:val="22"/>
          <w:lang w:val="lt-LT"/>
          <w14:ligatures w14:val="none"/>
        </w:rPr>
        <w:t>everolimuzo</w:t>
      </w:r>
      <w:proofErr w:type="spellEnd"/>
      <w:r w:rsidRPr="00F931D9">
        <w:rPr>
          <w:rFonts w:ascii="Times New Roman" w:hAnsi="Times New Roman"/>
          <w:color w:val="000000"/>
          <w:kern w:val="0"/>
          <w:sz w:val="22"/>
          <w:lang w:val="lt-LT"/>
          <w14:ligatures w14:val="none"/>
        </w:rPr>
        <w:t xml:space="preserve"> ar </w:t>
      </w:r>
      <w:proofErr w:type="spellStart"/>
      <w:r w:rsidRPr="00F931D9">
        <w:rPr>
          <w:rFonts w:ascii="Times New Roman" w:hAnsi="Times New Roman"/>
          <w:i/>
          <w:color w:val="000000"/>
          <w:kern w:val="0"/>
          <w:sz w:val="22"/>
          <w:lang w:val="lt-LT"/>
          <w14:ligatures w14:val="none"/>
        </w:rPr>
        <w:t>sirolimuzo</w:t>
      </w:r>
      <w:proofErr w:type="spellEnd"/>
      <w:r w:rsidRPr="00F931D9">
        <w:rPr>
          <w:rFonts w:ascii="Times New Roman" w:hAnsi="Times New Roman"/>
          <w:color w:val="000000"/>
          <w:kern w:val="0"/>
          <w:sz w:val="22"/>
          <w:lang w:val="lt-LT"/>
          <w14:ligatures w14:val="none"/>
        </w:rPr>
        <w:t xml:space="preserve"> kartu su visa </w:t>
      </w:r>
      <w:proofErr w:type="spellStart"/>
      <w:r w:rsidRPr="00F931D9">
        <w:rPr>
          <w:rFonts w:ascii="Times New Roman" w:hAnsi="Times New Roman"/>
          <w:color w:val="000000"/>
          <w:kern w:val="0"/>
          <w:sz w:val="22"/>
          <w:lang w:val="lt-LT"/>
          <w14:ligatures w14:val="none"/>
        </w:rPr>
        <w:t>ciklosporino</w:t>
      </w:r>
      <w:proofErr w:type="spellEnd"/>
      <w:r w:rsidRPr="00F931D9">
        <w:rPr>
          <w:rFonts w:ascii="Times New Roman" w:hAnsi="Times New Roman"/>
          <w:color w:val="000000"/>
          <w:kern w:val="0"/>
          <w:sz w:val="22"/>
          <w:lang w:val="lt-LT"/>
          <w14:ligatures w14:val="none"/>
        </w:rPr>
        <w:t xml:space="preserve"> </w:t>
      </w:r>
      <w:proofErr w:type="spellStart"/>
      <w:r w:rsidRPr="00F931D9">
        <w:rPr>
          <w:rFonts w:ascii="Times New Roman" w:hAnsi="Times New Roman"/>
          <w:color w:val="000000"/>
          <w:kern w:val="0"/>
          <w:sz w:val="22"/>
          <w:lang w:val="lt-LT"/>
          <w14:ligatures w14:val="none"/>
        </w:rPr>
        <w:t>mikroemulsijos</w:t>
      </w:r>
      <w:proofErr w:type="spellEnd"/>
      <w:r w:rsidRPr="00F931D9">
        <w:rPr>
          <w:rFonts w:ascii="Times New Roman" w:hAnsi="Times New Roman"/>
          <w:color w:val="000000"/>
          <w:kern w:val="0"/>
          <w:sz w:val="22"/>
          <w:lang w:val="lt-LT"/>
          <w14:ligatures w14:val="none"/>
        </w:rPr>
        <w:t xml:space="preserve"> doze, serume padidėja kreatinino kiekis. Sumažinus </w:t>
      </w:r>
      <w:proofErr w:type="spellStart"/>
      <w:r w:rsidRPr="00F931D9">
        <w:rPr>
          <w:rFonts w:ascii="Times New Roman" w:hAnsi="Times New Roman"/>
          <w:color w:val="000000"/>
          <w:kern w:val="0"/>
          <w:sz w:val="22"/>
          <w:lang w:val="lt-LT"/>
          <w14:ligatures w14:val="none"/>
        </w:rPr>
        <w:t>ciklosporino</w:t>
      </w:r>
      <w:proofErr w:type="spellEnd"/>
      <w:r w:rsidRPr="00F931D9">
        <w:rPr>
          <w:rFonts w:ascii="Times New Roman" w:hAnsi="Times New Roman"/>
          <w:color w:val="000000"/>
          <w:kern w:val="0"/>
          <w:sz w:val="22"/>
          <w:lang w:val="lt-LT"/>
          <w14:ligatures w14:val="none"/>
        </w:rPr>
        <w:t xml:space="preserve"> dozę, šis pokytis paprastai išnyksta. </w:t>
      </w:r>
      <w:proofErr w:type="spellStart"/>
      <w:r w:rsidRPr="00F931D9">
        <w:rPr>
          <w:rFonts w:ascii="Times New Roman" w:hAnsi="Times New Roman"/>
          <w:color w:val="000000"/>
          <w:kern w:val="0"/>
          <w:sz w:val="22"/>
          <w:lang w:val="lt-LT"/>
          <w14:ligatures w14:val="none"/>
        </w:rPr>
        <w:t>Everolimuzas</w:t>
      </w:r>
      <w:proofErr w:type="spellEnd"/>
      <w:r w:rsidRPr="00F931D9">
        <w:rPr>
          <w:rFonts w:ascii="Times New Roman" w:hAnsi="Times New Roman"/>
          <w:color w:val="000000"/>
          <w:kern w:val="0"/>
          <w:sz w:val="22"/>
          <w:lang w:val="lt-LT"/>
          <w14:ligatures w14:val="none"/>
        </w:rPr>
        <w:t xml:space="preserve"> ir </w:t>
      </w:r>
      <w:proofErr w:type="spellStart"/>
      <w:r w:rsidRPr="00F931D9">
        <w:rPr>
          <w:rFonts w:ascii="Times New Roman" w:hAnsi="Times New Roman"/>
          <w:color w:val="000000"/>
          <w:kern w:val="0"/>
          <w:sz w:val="22"/>
          <w:lang w:val="lt-LT"/>
          <w14:ligatures w14:val="none"/>
        </w:rPr>
        <w:t>sirolimuzas</w:t>
      </w:r>
      <w:proofErr w:type="spellEnd"/>
      <w:r w:rsidRPr="00F931D9">
        <w:rPr>
          <w:rFonts w:ascii="Times New Roman" w:hAnsi="Times New Roman"/>
          <w:color w:val="000000"/>
          <w:kern w:val="0"/>
          <w:sz w:val="22"/>
          <w:lang w:val="lt-LT"/>
          <w14:ligatures w14:val="none"/>
        </w:rPr>
        <w:t xml:space="preserve"> </w:t>
      </w:r>
      <w:proofErr w:type="spellStart"/>
      <w:r w:rsidRPr="00F931D9">
        <w:rPr>
          <w:rFonts w:ascii="Times New Roman" w:hAnsi="Times New Roman"/>
          <w:color w:val="000000"/>
          <w:kern w:val="0"/>
          <w:sz w:val="22"/>
          <w:lang w:val="lt-LT"/>
          <w14:ligatures w14:val="none"/>
        </w:rPr>
        <w:t>ciklosporino</w:t>
      </w:r>
      <w:proofErr w:type="spellEnd"/>
      <w:r w:rsidRPr="00F931D9">
        <w:rPr>
          <w:rFonts w:ascii="Times New Roman" w:hAnsi="Times New Roman"/>
          <w:color w:val="000000"/>
          <w:kern w:val="0"/>
          <w:sz w:val="22"/>
          <w:lang w:val="lt-LT"/>
          <w14:ligatures w14:val="none"/>
        </w:rPr>
        <w:t xml:space="preserve"> farmakokinetikai daro mažą įtaką. </w:t>
      </w:r>
      <w:proofErr w:type="spellStart"/>
      <w:r w:rsidRPr="00F931D9">
        <w:rPr>
          <w:rFonts w:ascii="Times New Roman" w:hAnsi="Times New Roman"/>
          <w:color w:val="000000"/>
          <w:kern w:val="0"/>
          <w:sz w:val="22"/>
          <w:lang w:val="lt-LT"/>
          <w14:ligatures w14:val="none"/>
        </w:rPr>
        <w:t>Ciklosporinas</w:t>
      </w:r>
      <w:proofErr w:type="spellEnd"/>
      <w:r w:rsidRPr="00F931D9">
        <w:rPr>
          <w:rFonts w:ascii="Times New Roman" w:hAnsi="Times New Roman"/>
          <w:color w:val="000000"/>
          <w:kern w:val="0"/>
          <w:sz w:val="22"/>
          <w:lang w:val="lt-LT"/>
          <w14:ligatures w14:val="none"/>
        </w:rPr>
        <w:t xml:space="preserve">, vartojamas kartu su </w:t>
      </w:r>
      <w:proofErr w:type="spellStart"/>
      <w:r w:rsidRPr="00F931D9">
        <w:rPr>
          <w:rFonts w:ascii="Times New Roman" w:hAnsi="Times New Roman"/>
          <w:color w:val="000000"/>
          <w:kern w:val="0"/>
          <w:sz w:val="22"/>
          <w:lang w:val="lt-LT"/>
          <w14:ligatures w14:val="none"/>
        </w:rPr>
        <w:t>everolimuzu</w:t>
      </w:r>
      <w:proofErr w:type="spellEnd"/>
      <w:r w:rsidRPr="00F931D9">
        <w:rPr>
          <w:rFonts w:ascii="Times New Roman" w:hAnsi="Times New Roman"/>
          <w:color w:val="000000"/>
          <w:kern w:val="0"/>
          <w:sz w:val="22"/>
          <w:lang w:val="lt-LT"/>
          <w14:ligatures w14:val="none"/>
        </w:rPr>
        <w:t xml:space="preserve"> ar </w:t>
      </w:r>
      <w:proofErr w:type="spellStart"/>
      <w:r w:rsidRPr="00F931D9">
        <w:rPr>
          <w:rFonts w:ascii="Times New Roman" w:hAnsi="Times New Roman"/>
          <w:color w:val="000000"/>
          <w:kern w:val="0"/>
          <w:sz w:val="22"/>
          <w:lang w:val="lt-LT"/>
          <w14:ligatures w14:val="none"/>
        </w:rPr>
        <w:t>sirolimuzu</w:t>
      </w:r>
      <w:proofErr w:type="spellEnd"/>
      <w:r w:rsidRPr="00F931D9">
        <w:rPr>
          <w:rFonts w:ascii="Times New Roman" w:hAnsi="Times New Roman"/>
          <w:color w:val="000000"/>
          <w:kern w:val="0"/>
          <w:sz w:val="22"/>
          <w:lang w:val="lt-LT"/>
          <w14:ligatures w14:val="none"/>
        </w:rPr>
        <w:t>, reikšmingai didina šių vaistinių preparatų koncentraciją plazmoje.</w:t>
      </w:r>
    </w:p>
    <w:p w14:paraId="6D2C625C" w14:textId="77777777" w:rsidR="00323207" w:rsidRPr="00F931D9" w:rsidRDefault="00323207" w:rsidP="00323207">
      <w:pPr>
        <w:autoSpaceDE w:val="0"/>
        <w:autoSpaceDN w:val="0"/>
        <w:adjustRightInd w:val="0"/>
        <w:spacing w:after="0" w:line="240" w:lineRule="auto"/>
        <w:rPr>
          <w:rFonts w:ascii="Times New Roman" w:hAnsi="Times New Roman"/>
          <w:color w:val="000000"/>
          <w:kern w:val="0"/>
          <w:sz w:val="22"/>
          <w:lang w:val="lt-LT"/>
          <w14:ligatures w14:val="none"/>
        </w:rPr>
      </w:pPr>
    </w:p>
    <w:p w14:paraId="5AC65DDA" w14:textId="77777777" w:rsidR="00323207" w:rsidRPr="00F931D9" w:rsidRDefault="00323207" w:rsidP="00323207">
      <w:pPr>
        <w:autoSpaceDE w:val="0"/>
        <w:autoSpaceDN w:val="0"/>
        <w:adjustRightInd w:val="0"/>
        <w:spacing w:after="0" w:line="240" w:lineRule="auto"/>
        <w:rPr>
          <w:rFonts w:ascii="Times New Roman" w:hAnsi="Times New Roman"/>
          <w:color w:val="000000"/>
          <w:kern w:val="0"/>
          <w:sz w:val="22"/>
          <w:lang w:val="lt-LT"/>
          <w14:ligatures w14:val="none"/>
        </w:rPr>
      </w:pPr>
      <w:r w:rsidRPr="00F931D9">
        <w:rPr>
          <w:rFonts w:ascii="Times New Roman" w:hAnsi="Times New Roman"/>
          <w:color w:val="000000"/>
          <w:kern w:val="0"/>
          <w:sz w:val="22"/>
          <w:lang w:val="lt-LT"/>
          <w14:ligatures w14:val="none"/>
        </w:rPr>
        <w:t xml:space="preserve">Būtina laikytis atsargumo priemonių </w:t>
      </w:r>
      <w:proofErr w:type="spellStart"/>
      <w:r w:rsidRPr="00F931D9">
        <w:rPr>
          <w:rFonts w:ascii="Times New Roman" w:hAnsi="Times New Roman"/>
          <w:color w:val="000000"/>
          <w:kern w:val="0"/>
          <w:sz w:val="22"/>
          <w:lang w:val="lt-LT"/>
          <w14:ligatures w14:val="none"/>
        </w:rPr>
        <w:t>ciklosporino</w:t>
      </w:r>
      <w:proofErr w:type="spellEnd"/>
      <w:r w:rsidRPr="00F931D9">
        <w:rPr>
          <w:rFonts w:ascii="Times New Roman" w:hAnsi="Times New Roman"/>
          <w:color w:val="000000"/>
          <w:kern w:val="0"/>
          <w:sz w:val="22"/>
          <w:lang w:val="lt-LT"/>
          <w14:ligatures w14:val="none"/>
        </w:rPr>
        <w:t xml:space="preserve"> vartojant kartu su </w:t>
      </w:r>
      <w:r w:rsidRPr="00F931D9">
        <w:rPr>
          <w:rFonts w:ascii="Times New Roman" w:hAnsi="Times New Roman"/>
          <w:i/>
          <w:color w:val="000000"/>
          <w:kern w:val="0"/>
          <w:sz w:val="22"/>
          <w:lang w:val="lt-LT"/>
          <w14:ligatures w14:val="none"/>
        </w:rPr>
        <w:t xml:space="preserve">kalį organizme sulaikančiais vaistiniais preparatais (pvz., kalį sulaikančiais diuretikais, AKF inhibitoriais, </w:t>
      </w:r>
      <w:proofErr w:type="spellStart"/>
      <w:r w:rsidRPr="00F931D9">
        <w:rPr>
          <w:rFonts w:ascii="Times New Roman" w:hAnsi="Times New Roman"/>
          <w:i/>
          <w:color w:val="000000"/>
          <w:kern w:val="0"/>
          <w:sz w:val="22"/>
          <w:lang w:val="lt-LT"/>
          <w14:ligatures w14:val="none"/>
        </w:rPr>
        <w:t>angiotenzino</w:t>
      </w:r>
      <w:proofErr w:type="spellEnd"/>
      <w:r w:rsidRPr="00F931D9">
        <w:rPr>
          <w:rFonts w:ascii="Times New Roman" w:hAnsi="Times New Roman"/>
          <w:i/>
          <w:color w:val="000000"/>
          <w:kern w:val="0"/>
          <w:sz w:val="22"/>
          <w:lang w:val="lt-LT"/>
          <w14:ligatures w14:val="none"/>
        </w:rPr>
        <w:t xml:space="preserve"> II receptorių blokatoriais)</w:t>
      </w:r>
      <w:r w:rsidRPr="00F931D9">
        <w:rPr>
          <w:rFonts w:ascii="Times New Roman" w:hAnsi="Times New Roman"/>
          <w:color w:val="000000"/>
          <w:kern w:val="0"/>
          <w:sz w:val="22"/>
          <w:lang w:val="lt-LT"/>
          <w14:ligatures w14:val="none"/>
        </w:rPr>
        <w:t xml:space="preserve"> ir </w:t>
      </w:r>
      <w:r w:rsidRPr="00F931D9">
        <w:rPr>
          <w:rFonts w:ascii="Times New Roman" w:hAnsi="Times New Roman"/>
          <w:i/>
          <w:color w:val="000000"/>
          <w:kern w:val="0"/>
          <w:sz w:val="22"/>
          <w:lang w:val="lt-LT"/>
          <w14:ligatures w14:val="none"/>
        </w:rPr>
        <w:t>preparatais, kurių sudėtyje yra kalio</w:t>
      </w:r>
      <w:r w:rsidRPr="00F931D9">
        <w:rPr>
          <w:rFonts w:ascii="Times New Roman" w:hAnsi="Times New Roman"/>
          <w:color w:val="000000"/>
          <w:kern w:val="0"/>
          <w:sz w:val="22"/>
          <w:lang w:val="lt-LT"/>
          <w14:ligatures w14:val="none"/>
        </w:rPr>
        <w:t>, kadangi tokiu atveju gali reikšmingai padidėti kalio kiekis serume (žr. 4.4 skyrių).</w:t>
      </w:r>
    </w:p>
    <w:p w14:paraId="070B6CE9" w14:textId="77777777" w:rsidR="00323207" w:rsidRPr="00F931D9" w:rsidRDefault="00323207" w:rsidP="00323207">
      <w:pPr>
        <w:autoSpaceDE w:val="0"/>
        <w:autoSpaceDN w:val="0"/>
        <w:adjustRightInd w:val="0"/>
        <w:spacing w:after="0" w:line="240" w:lineRule="auto"/>
        <w:rPr>
          <w:rFonts w:ascii="Times New Roman" w:hAnsi="Times New Roman"/>
          <w:color w:val="000000"/>
          <w:kern w:val="0"/>
          <w:sz w:val="22"/>
          <w:lang w:val="lt-LT"/>
          <w14:ligatures w14:val="none"/>
        </w:rPr>
      </w:pPr>
    </w:p>
    <w:p w14:paraId="5C5DCBA8" w14:textId="77777777" w:rsidR="00323207" w:rsidRPr="00F931D9" w:rsidRDefault="00323207" w:rsidP="00323207">
      <w:pPr>
        <w:autoSpaceDE w:val="0"/>
        <w:autoSpaceDN w:val="0"/>
        <w:adjustRightInd w:val="0"/>
        <w:spacing w:after="0" w:line="240" w:lineRule="auto"/>
        <w:rPr>
          <w:rFonts w:ascii="Times New Roman" w:hAnsi="Times New Roman"/>
          <w:color w:val="000000"/>
          <w:kern w:val="0"/>
          <w:sz w:val="22"/>
          <w:lang w:val="lt-LT"/>
          <w14:ligatures w14:val="none"/>
        </w:rPr>
      </w:pPr>
      <w:proofErr w:type="spellStart"/>
      <w:r w:rsidRPr="00F931D9">
        <w:rPr>
          <w:rFonts w:ascii="Times New Roman" w:hAnsi="Times New Roman"/>
          <w:color w:val="000000"/>
          <w:kern w:val="0"/>
          <w:sz w:val="22"/>
          <w:lang w:val="lt-LT"/>
          <w14:ligatures w14:val="none"/>
        </w:rPr>
        <w:t>Ciklosporinas</w:t>
      </w:r>
      <w:proofErr w:type="spellEnd"/>
      <w:r w:rsidRPr="00F931D9">
        <w:rPr>
          <w:rFonts w:ascii="Times New Roman" w:hAnsi="Times New Roman"/>
          <w:color w:val="000000"/>
          <w:kern w:val="0"/>
          <w:sz w:val="22"/>
          <w:lang w:val="lt-LT"/>
          <w14:ligatures w14:val="none"/>
        </w:rPr>
        <w:t xml:space="preserve"> gali padidinti </w:t>
      </w:r>
      <w:proofErr w:type="spellStart"/>
      <w:r w:rsidRPr="00F931D9">
        <w:rPr>
          <w:rFonts w:ascii="Times New Roman" w:hAnsi="Times New Roman"/>
          <w:i/>
          <w:color w:val="000000"/>
          <w:kern w:val="0"/>
          <w:sz w:val="22"/>
          <w:lang w:val="lt-LT"/>
          <w14:ligatures w14:val="none"/>
        </w:rPr>
        <w:t>repaglinido</w:t>
      </w:r>
      <w:proofErr w:type="spellEnd"/>
      <w:r w:rsidRPr="00F931D9">
        <w:rPr>
          <w:rFonts w:ascii="Times New Roman" w:hAnsi="Times New Roman"/>
          <w:color w:val="000000"/>
          <w:kern w:val="0"/>
          <w:sz w:val="22"/>
          <w:lang w:val="lt-LT"/>
          <w14:ligatures w14:val="none"/>
        </w:rPr>
        <w:t xml:space="preserve"> koncentraciją kraujo plazmoje ir taip padidinti hipoglikemijos pavojų.</w:t>
      </w:r>
    </w:p>
    <w:p w14:paraId="155AE1E5" w14:textId="77777777" w:rsidR="00323207" w:rsidRPr="00F931D9" w:rsidRDefault="00323207" w:rsidP="00323207">
      <w:pPr>
        <w:autoSpaceDE w:val="0"/>
        <w:autoSpaceDN w:val="0"/>
        <w:adjustRightInd w:val="0"/>
        <w:spacing w:after="0" w:line="240" w:lineRule="auto"/>
        <w:rPr>
          <w:rFonts w:ascii="Times New Roman" w:hAnsi="Times New Roman"/>
          <w:color w:val="000000"/>
          <w:kern w:val="0"/>
          <w:sz w:val="22"/>
          <w:lang w:val="lt-LT"/>
          <w14:ligatures w14:val="none"/>
        </w:rPr>
      </w:pPr>
    </w:p>
    <w:p w14:paraId="5A98DD50"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lastRenderedPageBreak/>
        <w:t xml:space="preserve">Sveikiems savanoriams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skiriant kartu su </w:t>
      </w:r>
      <w:proofErr w:type="spellStart"/>
      <w:r w:rsidRPr="00F931D9">
        <w:rPr>
          <w:rFonts w:ascii="Times New Roman" w:hAnsi="Times New Roman"/>
          <w:i/>
          <w:kern w:val="0"/>
          <w:sz w:val="22"/>
          <w:lang w:val="lt-LT"/>
          <w14:ligatures w14:val="none"/>
        </w:rPr>
        <w:t>bosentanu</w:t>
      </w:r>
      <w:proofErr w:type="spellEnd"/>
      <w:r w:rsidRPr="00F931D9">
        <w:rPr>
          <w:rFonts w:ascii="Times New Roman" w:hAnsi="Times New Roman"/>
          <w:kern w:val="0"/>
          <w:sz w:val="22"/>
          <w:lang w:val="lt-LT"/>
          <w14:ligatures w14:val="none"/>
        </w:rPr>
        <w:t xml:space="preserve">, jo ekspozicija padidėjo kelis kartus, o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ekspozicija sumažėjo 35 %.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ir </w:t>
      </w:r>
      <w:proofErr w:type="spellStart"/>
      <w:r w:rsidRPr="00F931D9">
        <w:rPr>
          <w:rFonts w:ascii="Times New Roman" w:hAnsi="Times New Roman"/>
          <w:kern w:val="0"/>
          <w:sz w:val="22"/>
          <w:lang w:val="lt-LT"/>
          <w14:ligatures w14:val="none"/>
        </w:rPr>
        <w:t>bosentano</w:t>
      </w:r>
      <w:proofErr w:type="spellEnd"/>
      <w:r w:rsidRPr="00F931D9">
        <w:rPr>
          <w:rFonts w:ascii="Times New Roman" w:hAnsi="Times New Roman"/>
          <w:kern w:val="0"/>
          <w:sz w:val="22"/>
          <w:lang w:val="lt-LT"/>
          <w14:ligatures w14:val="none"/>
        </w:rPr>
        <w:t xml:space="preserve"> kartu vartoti nerekomenduojama (žr. aukščiau esantį poskyrį „Vaistiniai preparatai, mažinantys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koncentraciją“ ir 4.3 skyrių).</w:t>
      </w:r>
    </w:p>
    <w:p w14:paraId="356F3F13" w14:textId="77777777" w:rsidR="00323207" w:rsidRPr="00F931D9" w:rsidRDefault="00323207" w:rsidP="00323207">
      <w:pPr>
        <w:spacing w:after="0" w:line="240" w:lineRule="auto"/>
        <w:rPr>
          <w:rFonts w:ascii="Times New Roman" w:hAnsi="Times New Roman"/>
          <w:color w:val="000000"/>
          <w:kern w:val="0"/>
          <w:sz w:val="22"/>
          <w:lang w:val="lt-LT"/>
          <w14:ligatures w14:val="none"/>
        </w:rPr>
      </w:pPr>
    </w:p>
    <w:p w14:paraId="07D37CCB"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Sveikiems savanoriams skiriant kartotines </w:t>
      </w:r>
      <w:proofErr w:type="spellStart"/>
      <w:r w:rsidRPr="00F931D9">
        <w:rPr>
          <w:rFonts w:ascii="Times New Roman" w:hAnsi="Times New Roman"/>
          <w:i/>
          <w:kern w:val="0"/>
          <w:sz w:val="22"/>
          <w:lang w:val="lt-LT"/>
          <w14:ligatures w14:val="none"/>
        </w:rPr>
        <w:t>ambrisentano</w:t>
      </w:r>
      <w:proofErr w:type="spellEnd"/>
      <w:r w:rsidRPr="00F931D9">
        <w:rPr>
          <w:rFonts w:ascii="Times New Roman" w:hAnsi="Times New Roman"/>
          <w:kern w:val="0"/>
          <w:sz w:val="22"/>
          <w:lang w:val="lt-LT"/>
          <w14:ligatures w14:val="none"/>
        </w:rPr>
        <w:t xml:space="preserve"> ir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dozes, </w:t>
      </w:r>
      <w:proofErr w:type="spellStart"/>
      <w:r w:rsidRPr="00F931D9">
        <w:rPr>
          <w:rFonts w:ascii="Times New Roman" w:hAnsi="Times New Roman"/>
          <w:kern w:val="0"/>
          <w:sz w:val="22"/>
          <w:lang w:val="lt-LT"/>
          <w14:ligatures w14:val="none"/>
        </w:rPr>
        <w:t>ambrisentano</w:t>
      </w:r>
      <w:proofErr w:type="spellEnd"/>
      <w:r w:rsidRPr="00F931D9">
        <w:rPr>
          <w:rFonts w:ascii="Times New Roman" w:hAnsi="Times New Roman"/>
          <w:kern w:val="0"/>
          <w:sz w:val="22"/>
          <w:lang w:val="lt-LT"/>
          <w14:ligatures w14:val="none"/>
        </w:rPr>
        <w:t xml:space="preserve"> ekspozicija padidėjo maždaug 2 kartus, o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ekspozicija padidėjo nežymiai (maždaug 10 %). </w:t>
      </w:r>
    </w:p>
    <w:p w14:paraId="576736C2" w14:textId="77777777" w:rsidR="00323207" w:rsidRPr="00F931D9" w:rsidRDefault="00323207" w:rsidP="00323207">
      <w:pPr>
        <w:spacing w:after="0" w:line="240" w:lineRule="auto"/>
        <w:rPr>
          <w:rFonts w:ascii="Times New Roman" w:hAnsi="Times New Roman"/>
          <w:kern w:val="0"/>
          <w:sz w:val="22"/>
          <w:lang w:val="lt-LT"/>
          <w14:ligatures w14:val="none"/>
        </w:rPr>
      </w:pPr>
    </w:p>
    <w:p w14:paraId="2DACA777"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Onkologinėmis ligomis sergantiems pacientams kartu paskyrus į veną leidžiamų </w:t>
      </w:r>
      <w:proofErr w:type="spellStart"/>
      <w:r w:rsidRPr="00F931D9">
        <w:rPr>
          <w:rFonts w:ascii="Times New Roman" w:hAnsi="Times New Roman"/>
          <w:i/>
          <w:kern w:val="0"/>
          <w:sz w:val="22"/>
          <w:lang w:val="lt-LT"/>
          <w14:ligatures w14:val="none"/>
        </w:rPr>
        <w:t>antraciklinų</w:t>
      </w:r>
      <w:proofErr w:type="spellEnd"/>
      <w:r w:rsidRPr="00F931D9">
        <w:rPr>
          <w:rFonts w:ascii="Times New Roman" w:hAnsi="Times New Roman"/>
          <w:i/>
          <w:kern w:val="0"/>
          <w:sz w:val="22"/>
          <w:lang w:val="lt-LT"/>
          <w14:ligatures w14:val="none"/>
        </w:rPr>
        <w:t xml:space="preserve"> grupės antibiotikų (pvz., </w:t>
      </w:r>
      <w:proofErr w:type="spellStart"/>
      <w:r w:rsidRPr="00F931D9">
        <w:rPr>
          <w:rFonts w:ascii="Times New Roman" w:hAnsi="Times New Roman"/>
          <w:i/>
          <w:kern w:val="0"/>
          <w:sz w:val="22"/>
          <w:lang w:val="lt-LT"/>
          <w14:ligatures w14:val="none"/>
        </w:rPr>
        <w:t>doksorubicino</w:t>
      </w:r>
      <w:proofErr w:type="spellEnd"/>
      <w:r w:rsidRPr="00F931D9">
        <w:rPr>
          <w:rFonts w:ascii="Times New Roman" w:hAnsi="Times New Roman"/>
          <w:i/>
          <w:kern w:val="0"/>
          <w:sz w:val="22"/>
          <w:lang w:val="lt-LT"/>
          <w14:ligatures w14:val="none"/>
        </w:rPr>
        <w:t xml:space="preserve">, </w:t>
      </w:r>
      <w:proofErr w:type="spellStart"/>
      <w:r w:rsidRPr="00F931D9">
        <w:rPr>
          <w:rFonts w:ascii="Times New Roman" w:hAnsi="Times New Roman"/>
          <w:i/>
          <w:kern w:val="0"/>
          <w:sz w:val="22"/>
          <w:lang w:val="lt-LT"/>
          <w14:ligatures w14:val="none"/>
        </w:rPr>
        <w:t>mitoksantrono</w:t>
      </w:r>
      <w:proofErr w:type="spellEnd"/>
      <w:r w:rsidRPr="00F931D9">
        <w:rPr>
          <w:rFonts w:ascii="Times New Roman" w:hAnsi="Times New Roman"/>
          <w:i/>
          <w:kern w:val="0"/>
          <w:sz w:val="22"/>
          <w:lang w:val="lt-LT"/>
          <w14:ligatures w14:val="none"/>
        </w:rPr>
        <w:t xml:space="preserve">, </w:t>
      </w:r>
      <w:proofErr w:type="spellStart"/>
      <w:r w:rsidRPr="00F931D9">
        <w:rPr>
          <w:rFonts w:ascii="Times New Roman" w:hAnsi="Times New Roman"/>
          <w:i/>
          <w:kern w:val="0"/>
          <w:sz w:val="22"/>
          <w:lang w:val="lt-LT"/>
          <w14:ligatures w14:val="none"/>
        </w:rPr>
        <w:t>daunorubicino</w:t>
      </w:r>
      <w:proofErr w:type="spellEnd"/>
      <w:r w:rsidRPr="00F931D9">
        <w:rPr>
          <w:rFonts w:ascii="Times New Roman" w:hAnsi="Times New Roman"/>
          <w:i/>
          <w:kern w:val="0"/>
          <w:sz w:val="22"/>
          <w:lang w:val="lt-LT"/>
          <w14:ligatures w14:val="none"/>
        </w:rPr>
        <w:t>)</w:t>
      </w:r>
      <w:r w:rsidRPr="00F931D9">
        <w:rPr>
          <w:rFonts w:ascii="Times New Roman" w:hAnsi="Times New Roman"/>
          <w:kern w:val="0"/>
          <w:sz w:val="22"/>
          <w:lang w:val="lt-LT"/>
          <w14:ligatures w14:val="none"/>
        </w:rPr>
        <w:t xml:space="preserve"> ir labai didelę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dozę, nustatyta reikšmingai padidėjusi </w:t>
      </w:r>
      <w:proofErr w:type="spellStart"/>
      <w:r w:rsidRPr="00F931D9">
        <w:rPr>
          <w:rFonts w:ascii="Times New Roman" w:hAnsi="Times New Roman"/>
          <w:kern w:val="0"/>
          <w:sz w:val="22"/>
          <w:lang w:val="lt-LT"/>
          <w14:ligatures w14:val="none"/>
        </w:rPr>
        <w:t>antraciklinų</w:t>
      </w:r>
      <w:proofErr w:type="spellEnd"/>
      <w:r w:rsidRPr="00F931D9">
        <w:rPr>
          <w:rFonts w:ascii="Times New Roman" w:hAnsi="Times New Roman"/>
          <w:kern w:val="0"/>
          <w:sz w:val="22"/>
          <w:lang w:val="lt-LT"/>
          <w14:ligatures w14:val="none"/>
        </w:rPr>
        <w:t xml:space="preserve"> grupės antibiotikų ekspozicija. </w:t>
      </w:r>
    </w:p>
    <w:p w14:paraId="53A144CA" w14:textId="77777777" w:rsidR="00323207" w:rsidRPr="00F931D9" w:rsidRDefault="00323207" w:rsidP="00323207">
      <w:pPr>
        <w:autoSpaceDE w:val="0"/>
        <w:autoSpaceDN w:val="0"/>
        <w:adjustRightInd w:val="0"/>
        <w:spacing w:after="0" w:line="240" w:lineRule="auto"/>
        <w:rPr>
          <w:rFonts w:ascii="Times New Roman" w:hAnsi="Times New Roman"/>
          <w:color w:val="000000"/>
          <w:kern w:val="0"/>
          <w:sz w:val="22"/>
          <w:lang w:val="lt-LT"/>
          <w14:ligatures w14:val="none"/>
        </w:rPr>
      </w:pPr>
    </w:p>
    <w:p w14:paraId="6CD8DAF0" w14:textId="77777777" w:rsidR="00323207" w:rsidRPr="00F931D9" w:rsidRDefault="00323207" w:rsidP="00323207">
      <w:pPr>
        <w:spacing w:after="0" w:line="240" w:lineRule="auto"/>
        <w:rPr>
          <w:rFonts w:ascii="Times New Roman" w:hAnsi="Times New Roman"/>
          <w:b/>
          <w:kern w:val="0"/>
          <w:sz w:val="22"/>
          <w:lang w:val="lt-LT"/>
          <w14:ligatures w14:val="none"/>
        </w:rPr>
      </w:pPr>
      <w:proofErr w:type="spellStart"/>
      <w:r w:rsidRPr="00F931D9">
        <w:rPr>
          <w:rFonts w:ascii="Times New Roman" w:hAnsi="Times New Roman"/>
          <w:kern w:val="0"/>
          <w:sz w:val="22"/>
          <w:lang w:val="lt-LT"/>
          <w14:ligatures w14:val="none"/>
        </w:rPr>
        <w:t>Ciklosporinu</w:t>
      </w:r>
      <w:proofErr w:type="spellEnd"/>
      <w:r w:rsidRPr="00F931D9">
        <w:rPr>
          <w:rFonts w:ascii="Times New Roman" w:hAnsi="Times New Roman"/>
          <w:kern w:val="0"/>
          <w:sz w:val="22"/>
          <w:lang w:val="lt-LT"/>
          <w14:ligatures w14:val="none"/>
        </w:rPr>
        <w:t xml:space="preserve"> gydomiems ligoniams skiepijimas gali būti mažiau veiksmingas, todėl tokius pacientus reikia vengti skiepyti gyva susilpnintų ligos sukėlėjų vakcina.</w:t>
      </w:r>
    </w:p>
    <w:p w14:paraId="5654160F" w14:textId="77777777" w:rsidR="00323207" w:rsidRPr="00F931D9" w:rsidRDefault="00323207" w:rsidP="00323207">
      <w:pPr>
        <w:autoSpaceDE w:val="0"/>
        <w:autoSpaceDN w:val="0"/>
        <w:adjustRightInd w:val="0"/>
        <w:spacing w:after="0" w:line="240" w:lineRule="auto"/>
        <w:rPr>
          <w:rFonts w:ascii="Times New Roman" w:hAnsi="Times New Roman"/>
          <w:color w:val="000000"/>
          <w:kern w:val="0"/>
          <w:sz w:val="22"/>
          <w:lang w:val="lt-LT"/>
          <w14:ligatures w14:val="none"/>
        </w:rPr>
      </w:pPr>
    </w:p>
    <w:p w14:paraId="72DF1470" w14:textId="77777777" w:rsidR="00323207" w:rsidRPr="00F931D9" w:rsidRDefault="00323207" w:rsidP="00F931D9">
      <w:pPr>
        <w:keepNext/>
        <w:spacing w:after="0" w:line="240" w:lineRule="auto"/>
        <w:outlineLvl w:val="2"/>
        <w:rPr>
          <w:rFonts w:ascii="Times New Roman" w:hAnsi="Times New Roman"/>
          <w:i/>
          <w:kern w:val="0"/>
          <w:sz w:val="22"/>
          <w:lang w:val="lt-LT"/>
          <w14:ligatures w14:val="none"/>
        </w:rPr>
      </w:pPr>
      <w:bookmarkStart w:id="0" w:name="_Hlk135908368"/>
      <w:r w:rsidRPr="00F931D9">
        <w:rPr>
          <w:rFonts w:ascii="Times New Roman" w:hAnsi="Times New Roman"/>
          <w:i/>
          <w:kern w:val="0"/>
          <w:sz w:val="22"/>
          <w:lang w:val="lt-LT"/>
          <w14:ligatures w14:val="none"/>
        </w:rPr>
        <w:t>Vaistinių preparatų sąveika, dėl kurios sumažėja kitų vaistinių preparatų koncentracijos</w:t>
      </w:r>
    </w:p>
    <w:p w14:paraId="73200877"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Pacientams po transplantacijos kartu paskyrus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ir </w:t>
      </w:r>
      <w:proofErr w:type="spellStart"/>
      <w:r w:rsidRPr="00F931D9">
        <w:rPr>
          <w:rFonts w:ascii="Times New Roman" w:hAnsi="Times New Roman"/>
          <w:kern w:val="0"/>
          <w:sz w:val="22"/>
          <w:lang w:val="lt-LT"/>
          <w14:ligatures w14:val="none"/>
        </w:rPr>
        <w:t>mikofenolato</w:t>
      </w:r>
      <w:proofErr w:type="spellEnd"/>
      <w:r w:rsidRPr="00F931D9">
        <w:rPr>
          <w:rFonts w:ascii="Times New Roman" w:hAnsi="Times New Roman"/>
          <w:kern w:val="0"/>
          <w:sz w:val="22"/>
          <w:lang w:val="lt-LT"/>
          <w14:ligatures w14:val="none"/>
        </w:rPr>
        <w:t xml:space="preserve"> natrio druskos arba </w:t>
      </w:r>
      <w:proofErr w:type="spellStart"/>
      <w:r w:rsidRPr="00F931D9">
        <w:rPr>
          <w:rFonts w:ascii="Times New Roman" w:hAnsi="Times New Roman"/>
          <w:kern w:val="0"/>
          <w:sz w:val="22"/>
          <w:lang w:val="lt-LT"/>
          <w14:ligatures w14:val="none"/>
        </w:rPr>
        <w:t>mikofenolato</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mofetilio</w:t>
      </w:r>
      <w:proofErr w:type="spellEnd"/>
      <w:r w:rsidRPr="00F931D9">
        <w:rPr>
          <w:rFonts w:ascii="Times New Roman" w:hAnsi="Times New Roman"/>
          <w:kern w:val="0"/>
          <w:sz w:val="22"/>
          <w:lang w:val="lt-LT"/>
          <w14:ligatures w14:val="none"/>
        </w:rPr>
        <w:t xml:space="preserve">, vidutinė </w:t>
      </w:r>
      <w:proofErr w:type="spellStart"/>
      <w:r w:rsidRPr="00F931D9">
        <w:rPr>
          <w:rFonts w:ascii="Times New Roman" w:hAnsi="Times New Roman"/>
          <w:kern w:val="0"/>
          <w:sz w:val="22"/>
          <w:lang w:val="lt-LT"/>
          <w14:ligatures w14:val="none"/>
        </w:rPr>
        <w:t>mikofenolio</w:t>
      </w:r>
      <w:proofErr w:type="spellEnd"/>
      <w:r w:rsidRPr="00F931D9">
        <w:rPr>
          <w:rFonts w:ascii="Times New Roman" w:hAnsi="Times New Roman"/>
          <w:kern w:val="0"/>
          <w:sz w:val="22"/>
          <w:lang w:val="lt-LT"/>
          <w14:ligatures w14:val="none"/>
        </w:rPr>
        <w:t xml:space="preserve"> rūgšties ekspozicija gali sumažėti 20</w:t>
      </w:r>
      <w:r w:rsidRPr="00F931D9">
        <w:rPr>
          <w:rFonts w:ascii="Times New Roman" w:hAnsi="Times New Roman"/>
          <w:kern w:val="0"/>
          <w:sz w:val="22"/>
          <w:lang w:val="lt-LT"/>
          <w14:ligatures w14:val="none"/>
        </w:rPr>
        <w:noBreakHyphen/>
        <w:t xml:space="preserve">50 %, lyginant su rodmenimis, nustatomais vartojant kitų </w:t>
      </w:r>
      <w:proofErr w:type="spellStart"/>
      <w:r w:rsidRPr="00F931D9">
        <w:rPr>
          <w:rFonts w:ascii="Times New Roman" w:hAnsi="Times New Roman"/>
          <w:kern w:val="0"/>
          <w:sz w:val="22"/>
          <w:lang w:val="lt-LT"/>
          <w14:ligatures w14:val="none"/>
        </w:rPr>
        <w:t>imunosupresantų</w:t>
      </w:r>
      <w:proofErr w:type="spellEnd"/>
      <w:r w:rsidRPr="00F931D9">
        <w:rPr>
          <w:rFonts w:ascii="Times New Roman" w:hAnsi="Times New Roman"/>
          <w:kern w:val="0"/>
          <w:sz w:val="22"/>
          <w:lang w:val="lt-LT"/>
          <w14:ligatures w14:val="none"/>
        </w:rPr>
        <w:t xml:space="preserve">. Į šią informaciją reikia atsižvelgti, ypatingai tuomet, kai laikinai ar visam laikui nutraukiamas gydymas </w:t>
      </w:r>
      <w:proofErr w:type="spellStart"/>
      <w:r w:rsidRPr="00F931D9">
        <w:rPr>
          <w:rFonts w:ascii="Times New Roman" w:hAnsi="Times New Roman"/>
          <w:kern w:val="0"/>
          <w:sz w:val="22"/>
          <w:lang w:val="lt-LT"/>
          <w14:ligatures w14:val="none"/>
        </w:rPr>
        <w:t>ciklosporinu</w:t>
      </w:r>
      <w:proofErr w:type="spellEnd"/>
      <w:r w:rsidRPr="00F931D9">
        <w:rPr>
          <w:rFonts w:ascii="Times New Roman" w:hAnsi="Times New Roman"/>
          <w:kern w:val="0"/>
          <w:sz w:val="22"/>
          <w:lang w:val="lt-LT"/>
          <w14:ligatures w14:val="none"/>
        </w:rPr>
        <w:t>.</w:t>
      </w:r>
    </w:p>
    <w:p w14:paraId="2EF1C022" w14:textId="77777777" w:rsidR="00323207" w:rsidRPr="00F931D9" w:rsidRDefault="00323207" w:rsidP="00323207">
      <w:pPr>
        <w:spacing w:after="0" w:line="240" w:lineRule="auto"/>
        <w:rPr>
          <w:rFonts w:ascii="Times New Roman" w:hAnsi="Times New Roman"/>
          <w:kern w:val="0"/>
          <w:sz w:val="22"/>
          <w:lang w:val="lt-LT"/>
          <w14:ligatures w14:val="none"/>
        </w:rPr>
      </w:pPr>
    </w:p>
    <w:p w14:paraId="0B64986B" w14:textId="77777777" w:rsidR="00323207" w:rsidRPr="00F931D9" w:rsidRDefault="00323207" w:rsidP="00323207">
      <w:pPr>
        <w:spacing w:after="0" w:line="240" w:lineRule="auto"/>
        <w:rPr>
          <w:rFonts w:ascii="Times New Roman" w:hAnsi="Times New Roman"/>
          <w:b/>
          <w:kern w:val="0"/>
          <w:sz w:val="22"/>
          <w:lang w:val="lt-LT"/>
          <w14:ligatures w14:val="none"/>
        </w:rPr>
      </w:pPr>
      <w:r w:rsidRPr="00F931D9">
        <w:rPr>
          <w:rFonts w:ascii="Times New Roman" w:hAnsi="Times New Roman"/>
          <w:kern w:val="0"/>
          <w:sz w:val="22"/>
          <w:lang w:val="lt-LT"/>
          <w14:ligatures w14:val="none"/>
        </w:rPr>
        <w:t xml:space="preserve">Kartu paskyrus vieną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dozę (200 mg arba 600 mg) kartu su viena </w:t>
      </w:r>
      <w:proofErr w:type="spellStart"/>
      <w:r w:rsidRPr="00F931D9">
        <w:rPr>
          <w:rFonts w:ascii="Times New Roman" w:hAnsi="Times New Roman"/>
          <w:kern w:val="0"/>
          <w:sz w:val="22"/>
          <w:lang w:val="lt-LT"/>
          <w14:ligatures w14:val="none"/>
        </w:rPr>
        <w:t>eltrombopago</w:t>
      </w:r>
      <w:proofErr w:type="spellEnd"/>
      <w:r w:rsidRPr="00F931D9">
        <w:rPr>
          <w:rFonts w:ascii="Times New Roman" w:hAnsi="Times New Roman"/>
          <w:kern w:val="0"/>
          <w:sz w:val="22"/>
          <w:lang w:val="lt-LT"/>
          <w14:ligatures w14:val="none"/>
        </w:rPr>
        <w:t xml:space="preserve"> doze (50 mg), </w:t>
      </w:r>
      <w:proofErr w:type="spellStart"/>
      <w:r w:rsidRPr="00F931D9">
        <w:rPr>
          <w:rFonts w:ascii="Times New Roman" w:hAnsi="Times New Roman"/>
          <w:kern w:val="0"/>
          <w:sz w:val="22"/>
          <w:lang w:val="lt-LT"/>
          <w14:ligatures w14:val="none"/>
        </w:rPr>
        <w:t>eltrombopago</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AUC</w:t>
      </w:r>
      <w:r w:rsidRPr="00F931D9">
        <w:rPr>
          <w:rFonts w:ascii="Times New Roman" w:hAnsi="Times New Roman"/>
          <w:kern w:val="0"/>
          <w:sz w:val="22"/>
          <w:vertAlign w:val="subscript"/>
          <w:lang w:val="lt-LT"/>
          <w14:ligatures w14:val="none"/>
        </w:rPr>
        <w:t>inf</w:t>
      </w:r>
      <w:proofErr w:type="spellEnd"/>
      <w:r w:rsidRPr="00F931D9">
        <w:rPr>
          <w:rFonts w:ascii="Times New Roman" w:hAnsi="Times New Roman"/>
          <w:kern w:val="0"/>
          <w:sz w:val="22"/>
          <w:lang w:val="lt-LT"/>
          <w14:ligatures w14:val="none"/>
        </w:rPr>
        <w:t xml:space="preserve"> rodmuo plazmoje sumažėjo 18</w:t>
      </w:r>
      <w:r w:rsidRPr="00F931D9">
        <w:rPr>
          <w:rFonts w:ascii="Times New Roman" w:hAnsi="Times New Roman"/>
          <w:kern w:val="0"/>
          <w:sz w:val="22"/>
          <w:lang w:val="lt-LT"/>
          <w14:ligatures w14:val="none"/>
        </w:rPr>
        <w:noBreakHyphen/>
        <w:t xml:space="preserve">24 %, o </w:t>
      </w:r>
      <w:proofErr w:type="spellStart"/>
      <w:r w:rsidRPr="00F931D9">
        <w:rPr>
          <w:rFonts w:ascii="Times New Roman" w:hAnsi="Times New Roman"/>
          <w:kern w:val="0"/>
          <w:sz w:val="22"/>
          <w:lang w:val="lt-LT"/>
          <w14:ligatures w14:val="none"/>
        </w:rPr>
        <w:t>C</w:t>
      </w:r>
      <w:r w:rsidRPr="00F931D9">
        <w:rPr>
          <w:rFonts w:ascii="Times New Roman" w:hAnsi="Times New Roman"/>
          <w:kern w:val="0"/>
          <w:sz w:val="22"/>
          <w:vertAlign w:val="subscript"/>
          <w:lang w:val="lt-LT"/>
          <w14:ligatures w14:val="none"/>
        </w:rPr>
        <w:t>max</w:t>
      </w:r>
      <w:proofErr w:type="spellEnd"/>
      <w:r w:rsidRPr="00F931D9">
        <w:rPr>
          <w:rFonts w:ascii="Times New Roman" w:hAnsi="Times New Roman"/>
          <w:kern w:val="0"/>
          <w:sz w:val="22"/>
          <w:lang w:val="lt-LT"/>
          <w14:ligatures w14:val="none"/>
        </w:rPr>
        <w:t xml:space="preserve"> rodmuo sumažėjo 25</w:t>
      </w:r>
      <w:r w:rsidRPr="00F931D9">
        <w:rPr>
          <w:rFonts w:ascii="Times New Roman" w:hAnsi="Times New Roman"/>
          <w:kern w:val="0"/>
          <w:sz w:val="22"/>
          <w:lang w:val="lt-LT"/>
          <w14:ligatures w14:val="none"/>
        </w:rPr>
        <w:noBreakHyphen/>
        <w:t xml:space="preserve">39 %. Gydymo kurso metu galima koreguoti </w:t>
      </w:r>
      <w:proofErr w:type="spellStart"/>
      <w:r w:rsidRPr="00F931D9">
        <w:rPr>
          <w:rFonts w:ascii="Times New Roman" w:hAnsi="Times New Roman"/>
          <w:kern w:val="0"/>
          <w:sz w:val="22"/>
          <w:lang w:val="lt-LT"/>
          <w14:ligatures w14:val="none"/>
        </w:rPr>
        <w:t>eltrombopago</w:t>
      </w:r>
      <w:proofErr w:type="spellEnd"/>
      <w:r w:rsidRPr="00F931D9">
        <w:rPr>
          <w:rFonts w:ascii="Times New Roman" w:hAnsi="Times New Roman"/>
          <w:kern w:val="0"/>
          <w:sz w:val="22"/>
          <w:lang w:val="lt-LT"/>
          <w14:ligatures w14:val="none"/>
        </w:rPr>
        <w:t xml:space="preserve"> dozę, atsižvelgiant į trombocitų kiekį paciento kraujyje. </w:t>
      </w:r>
      <w:proofErr w:type="spellStart"/>
      <w:r w:rsidRPr="00F931D9">
        <w:rPr>
          <w:rFonts w:ascii="Times New Roman" w:hAnsi="Times New Roman"/>
          <w:kern w:val="0"/>
          <w:sz w:val="22"/>
          <w:lang w:val="lt-LT"/>
          <w14:ligatures w14:val="none"/>
        </w:rPr>
        <w:t>Eltrombopago</w:t>
      </w:r>
      <w:proofErr w:type="spellEnd"/>
      <w:r w:rsidRPr="00F931D9">
        <w:rPr>
          <w:rFonts w:ascii="Times New Roman" w:hAnsi="Times New Roman"/>
          <w:kern w:val="0"/>
          <w:sz w:val="22"/>
          <w:lang w:val="lt-LT"/>
          <w14:ligatures w14:val="none"/>
        </w:rPr>
        <w:t xml:space="preserve"> paskyrus kartu su </w:t>
      </w:r>
      <w:proofErr w:type="spellStart"/>
      <w:r w:rsidRPr="00F931D9">
        <w:rPr>
          <w:rFonts w:ascii="Times New Roman" w:hAnsi="Times New Roman"/>
          <w:kern w:val="0"/>
          <w:sz w:val="22"/>
          <w:lang w:val="lt-LT"/>
          <w14:ligatures w14:val="none"/>
        </w:rPr>
        <w:t>ciklosporinu</w:t>
      </w:r>
      <w:proofErr w:type="spellEnd"/>
      <w:r w:rsidRPr="00F931D9">
        <w:rPr>
          <w:rFonts w:ascii="Times New Roman" w:hAnsi="Times New Roman"/>
          <w:kern w:val="0"/>
          <w:sz w:val="22"/>
          <w:lang w:val="lt-LT"/>
          <w14:ligatures w14:val="none"/>
        </w:rPr>
        <w:t>, trombocitų kiekį pirmąsias 2</w:t>
      </w:r>
      <w:r w:rsidRPr="00F931D9">
        <w:rPr>
          <w:rFonts w:ascii="Times New Roman" w:hAnsi="Times New Roman"/>
          <w:kern w:val="0"/>
          <w:sz w:val="22"/>
          <w:lang w:val="lt-LT"/>
          <w14:ligatures w14:val="none"/>
        </w:rPr>
        <w:noBreakHyphen/>
        <w:t xml:space="preserve">3 savaites reikia tirti bent kartą per savaitę. Atsižvelgiant į nustatytą trombocitų kiekį, </w:t>
      </w:r>
      <w:proofErr w:type="spellStart"/>
      <w:r w:rsidRPr="00F931D9">
        <w:rPr>
          <w:rFonts w:ascii="Times New Roman" w:hAnsi="Times New Roman"/>
          <w:kern w:val="0"/>
          <w:sz w:val="22"/>
          <w:lang w:val="lt-LT"/>
          <w14:ligatures w14:val="none"/>
        </w:rPr>
        <w:t>eltrombopago</w:t>
      </w:r>
      <w:proofErr w:type="spellEnd"/>
      <w:r w:rsidRPr="00F931D9">
        <w:rPr>
          <w:rFonts w:ascii="Times New Roman" w:hAnsi="Times New Roman"/>
          <w:kern w:val="0"/>
          <w:sz w:val="22"/>
          <w:lang w:val="lt-LT"/>
          <w14:ligatures w14:val="none"/>
        </w:rPr>
        <w:t xml:space="preserve"> dozę gali reikėti didinti.</w:t>
      </w:r>
    </w:p>
    <w:bookmarkEnd w:id="0"/>
    <w:p w14:paraId="2D37FFF6" w14:textId="77777777" w:rsidR="00323207" w:rsidRPr="00F931D9" w:rsidRDefault="00323207" w:rsidP="00323207">
      <w:pPr>
        <w:autoSpaceDE w:val="0"/>
        <w:autoSpaceDN w:val="0"/>
        <w:adjustRightInd w:val="0"/>
        <w:spacing w:after="0" w:line="240" w:lineRule="auto"/>
        <w:rPr>
          <w:rFonts w:ascii="Times New Roman" w:hAnsi="Times New Roman"/>
          <w:color w:val="000000"/>
          <w:kern w:val="0"/>
          <w:sz w:val="22"/>
          <w:lang w:val="lt-LT"/>
          <w14:ligatures w14:val="none"/>
        </w:rPr>
      </w:pPr>
    </w:p>
    <w:p w14:paraId="586357F5" w14:textId="77777777" w:rsidR="00323207" w:rsidRPr="00F931D9" w:rsidRDefault="00323207" w:rsidP="00323207">
      <w:pPr>
        <w:spacing w:after="0" w:line="240" w:lineRule="auto"/>
        <w:rPr>
          <w:rFonts w:ascii="Times New Roman" w:hAnsi="Times New Roman"/>
          <w:kern w:val="0"/>
          <w:sz w:val="22"/>
          <w:u w:val="single"/>
          <w:lang w:val="lt-LT"/>
          <w14:ligatures w14:val="none"/>
        </w:rPr>
      </w:pPr>
      <w:r w:rsidRPr="00F931D9">
        <w:rPr>
          <w:rFonts w:ascii="Times New Roman" w:hAnsi="Times New Roman"/>
          <w:kern w:val="0"/>
          <w:sz w:val="22"/>
          <w:u w:val="single"/>
          <w:lang w:val="lt-LT"/>
          <w14:ligatures w14:val="none"/>
        </w:rPr>
        <w:t>Vaikų populiacija</w:t>
      </w:r>
    </w:p>
    <w:p w14:paraId="763238CD"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Sąveikos tyrimai atlikti tik suaugusiesiems.</w:t>
      </w:r>
    </w:p>
    <w:p w14:paraId="7FBA18C3" w14:textId="77777777" w:rsidR="00323207" w:rsidRPr="00F931D9" w:rsidRDefault="00323207" w:rsidP="00323207">
      <w:pPr>
        <w:spacing w:after="0" w:line="240" w:lineRule="auto"/>
        <w:rPr>
          <w:rFonts w:ascii="Times New Roman" w:hAnsi="Times New Roman"/>
          <w:kern w:val="0"/>
          <w:sz w:val="22"/>
          <w:lang w:val="lt-LT"/>
          <w14:ligatures w14:val="none"/>
        </w:rPr>
      </w:pPr>
    </w:p>
    <w:p w14:paraId="215500A1" w14:textId="77777777" w:rsidR="00323207" w:rsidRPr="00F931D9" w:rsidRDefault="00323207" w:rsidP="00323207">
      <w:pPr>
        <w:spacing w:after="0" w:line="240" w:lineRule="auto"/>
        <w:ind w:left="562" w:hanging="562"/>
        <w:rPr>
          <w:rFonts w:ascii="Times New Roman" w:hAnsi="Times New Roman"/>
          <w:kern w:val="0"/>
          <w:sz w:val="22"/>
          <w:lang w:val="lt-LT"/>
          <w14:ligatures w14:val="none"/>
        </w:rPr>
      </w:pPr>
      <w:r w:rsidRPr="00F931D9">
        <w:rPr>
          <w:rFonts w:ascii="Times New Roman" w:hAnsi="Times New Roman"/>
          <w:b/>
          <w:kern w:val="0"/>
          <w:sz w:val="22"/>
          <w:lang w:val="lt-LT"/>
          <w14:ligatures w14:val="none"/>
        </w:rPr>
        <w:t>4.6</w:t>
      </w:r>
      <w:r w:rsidRPr="00F931D9">
        <w:rPr>
          <w:rFonts w:ascii="Times New Roman" w:hAnsi="Times New Roman"/>
          <w:b/>
          <w:kern w:val="0"/>
          <w:sz w:val="22"/>
          <w:lang w:val="lt-LT"/>
          <w14:ligatures w14:val="none"/>
        </w:rPr>
        <w:tab/>
        <w:t>Vaisingumas, nėštumo ir žindymo laikotarpis</w:t>
      </w:r>
    </w:p>
    <w:p w14:paraId="5505E9D8" w14:textId="77777777" w:rsidR="00323207" w:rsidRPr="00F931D9" w:rsidRDefault="00323207" w:rsidP="00323207">
      <w:pPr>
        <w:spacing w:after="0" w:line="240" w:lineRule="auto"/>
        <w:rPr>
          <w:rFonts w:ascii="Times New Roman" w:hAnsi="Times New Roman"/>
          <w:kern w:val="0"/>
          <w:sz w:val="22"/>
          <w:lang w:val="lt-LT"/>
          <w14:ligatures w14:val="none"/>
        </w:rPr>
      </w:pPr>
    </w:p>
    <w:p w14:paraId="5EE8D6A3" w14:textId="77777777" w:rsidR="00323207" w:rsidRPr="00F931D9" w:rsidRDefault="00323207" w:rsidP="00323207">
      <w:pPr>
        <w:spacing w:after="0" w:line="240" w:lineRule="auto"/>
        <w:rPr>
          <w:rFonts w:ascii="Times New Roman" w:hAnsi="Times New Roman"/>
          <w:kern w:val="0"/>
          <w:sz w:val="22"/>
          <w:u w:val="single"/>
          <w:lang w:val="lt-LT"/>
          <w14:ligatures w14:val="none"/>
        </w:rPr>
      </w:pPr>
      <w:r w:rsidRPr="00F931D9">
        <w:rPr>
          <w:rFonts w:ascii="Times New Roman" w:hAnsi="Times New Roman"/>
          <w:kern w:val="0"/>
          <w:sz w:val="22"/>
          <w:u w:val="single"/>
          <w:lang w:val="lt-LT"/>
          <w14:ligatures w14:val="none"/>
        </w:rPr>
        <w:t>Nėštumas</w:t>
      </w:r>
    </w:p>
    <w:p w14:paraId="257F1CE2"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Tinkamų ar gerai kontroliuotų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vartojimo nėštumo metu klinikinių tyrimų neatlikta. Turima nedaug duomenų apie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vartojimą nėštumo metu, remiantis patirtimi po vaistinio preparato pateikimo į rinką, įskaitant transplantacijų registrus ir paskelbtus duomenis literatūros šaltiniuose, o daugelis žinomų atvejų buvo susiję su </w:t>
      </w:r>
      <w:proofErr w:type="spellStart"/>
      <w:r w:rsidRPr="00F931D9">
        <w:rPr>
          <w:rFonts w:ascii="Times New Roman" w:hAnsi="Times New Roman"/>
          <w:kern w:val="0"/>
          <w:sz w:val="22"/>
          <w:lang w:val="lt-LT"/>
          <w14:ligatures w14:val="none"/>
        </w:rPr>
        <w:t>recipientėmis</w:t>
      </w:r>
      <w:proofErr w:type="spellEnd"/>
      <w:r w:rsidRPr="00F931D9">
        <w:rPr>
          <w:rFonts w:ascii="Times New Roman" w:hAnsi="Times New Roman"/>
          <w:kern w:val="0"/>
          <w:sz w:val="22"/>
          <w:lang w:val="lt-LT"/>
          <w14:ligatures w14:val="none"/>
        </w:rPr>
        <w:t xml:space="preserve"> po transplantacijų. Nėščiosioms, kurios po transplantacijos gydomos </w:t>
      </w:r>
      <w:proofErr w:type="spellStart"/>
      <w:r w:rsidRPr="00F931D9">
        <w:rPr>
          <w:rFonts w:ascii="Times New Roman" w:hAnsi="Times New Roman"/>
          <w:kern w:val="0"/>
          <w:sz w:val="22"/>
          <w:lang w:val="lt-LT"/>
          <w14:ligatures w14:val="none"/>
        </w:rPr>
        <w:t>imunosupresantais</w:t>
      </w:r>
      <w:proofErr w:type="spellEnd"/>
      <w:r w:rsidRPr="00F931D9">
        <w:rPr>
          <w:rFonts w:ascii="Times New Roman" w:hAnsi="Times New Roman"/>
          <w:kern w:val="0"/>
          <w:sz w:val="22"/>
          <w:lang w:val="lt-LT"/>
          <w14:ligatures w14:val="none"/>
        </w:rPr>
        <w:t xml:space="preserve">, įskaitant </w:t>
      </w:r>
      <w:proofErr w:type="spellStart"/>
      <w:r w:rsidRPr="00F931D9">
        <w:rPr>
          <w:rFonts w:ascii="Times New Roman" w:hAnsi="Times New Roman"/>
          <w:kern w:val="0"/>
          <w:sz w:val="22"/>
          <w:lang w:val="lt-LT"/>
          <w14:ligatures w14:val="none"/>
        </w:rPr>
        <w:t>ciklosporiną</w:t>
      </w:r>
      <w:proofErr w:type="spellEnd"/>
      <w:r w:rsidRPr="00F931D9">
        <w:rPr>
          <w:rFonts w:ascii="Times New Roman" w:hAnsi="Times New Roman"/>
          <w:kern w:val="0"/>
          <w:sz w:val="22"/>
          <w:lang w:val="lt-LT"/>
          <w14:ligatures w14:val="none"/>
        </w:rPr>
        <w:t xml:space="preserve"> ar vaistinių preparatų deriniais su </w:t>
      </w:r>
      <w:proofErr w:type="spellStart"/>
      <w:r w:rsidRPr="00F931D9">
        <w:rPr>
          <w:rFonts w:ascii="Times New Roman" w:hAnsi="Times New Roman"/>
          <w:kern w:val="0"/>
          <w:sz w:val="22"/>
          <w:lang w:val="lt-LT"/>
          <w14:ligatures w14:val="none"/>
        </w:rPr>
        <w:t>ciklosporinu</w:t>
      </w:r>
      <w:proofErr w:type="spellEnd"/>
      <w:r w:rsidRPr="00F931D9">
        <w:rPr>
          <w:rFonts w:ascii="Times New Roman" w:hAnsi="Times New Roman"/>
          <w:kern w:val="0"/>
          <w:sz w:val="22"/>
          <w:lang w:val="lt-LT"/>
          <w14:ligatures w14:val="none"/>
        </w:rPr>
        <w:t>, padidėja priešlaikinio gimdymo (&lt; 37 savaičių) rizika.</w:t>
      </w:r>
    </w:p>
    <w:p w14:paraId="1883D2A3" w14:textId="77777777" w:rsidR="00323207" w:rsidRPr="00F931D9" w:rsidRDefault="00323207" w:rsidP="00323207">
      <w:pPr>
        <w:spacing w:after="0" w:line="240" w:lineRule="auto"/>
        <w:rPr>
          <w:rFonts w:ascii="Times New Roman" w:hAnsi="Times New Roman"/>
          <w:kern w:val="0"/>
          <w:sz w:val="22"/>
          <w:lang w:val="lt-LT"/>
          <w14:ligatures w14:val="none"/>
        </w:rPr>
      </w:pPr>
    </w:p>
    <w:p w14:paraId="1434641A" w14:textId="77777777" w:rsidR="00323207" w:rsidRPr="008F4573" w:rsidRDefault="00323207" w:rsidP="00F931D9">
      <w:pPr>
        <w:spacing w:after="0" w:line="240" w:lineRule="auto"/>
        <w:rPr>
          <w:sz w:val="22"/>
          <w:lang w:val="lt-LT"/>
        </w:rPr>
      </w:pPr>
      <w:bookmarkStart w:id="1" w:name="_Hlk135908445"/>
      <w:r w:rsidRPr="00F931D9">
        <w:rPr>
          <w:rFonts w:ascii="Times New Roman" w:hAnsi="Times New Roman"/>
          <w:kern w:val="0"/>
          <w:sz w:val="22"/>
          <w:lang w:val="lt-LT"/>
          <w14:ligatures w14:val="none"/>
        </w:rPr>
        <w:t xml:space="preserve">Su žiurkėmis ir triušėmis atliktų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poveikio embrionų ir vaisių vystymuisi tyrimų duomenys parodė toksinį poveikį embrionams ir vaisiams, kai buvo skiriamos mažesnės dozės nei žmogui rekomenduojama didžiausia dozė (ŽRDD), atsižvelgiant į kūno paviršiaus plotą (KPP) (žr. 5.3 skyrių).</w:t>
      </w:r>
    </w:p>
    <w:bookmarkEnd w:id="1"/>
    <w:p w14:paraId="38F0E55B" w14:textId="77777777" w:rsidR="00323207" w:rsidRPr="00F931D9" w:rsidRDefault="00323207" w:rsidP="00323207">
      <w:pPr>
        <w:spacing w:after="0" w:line="240" w:lineRule="auto"/>
        <w:rPr>
          <w:rFonts w:ascii="Times New Roman" w:hAnsi="Times New Roman"/>
          <w:kern w:val="0"/>
          <w:sz w:val="22"/>
          <w:lang w:val="lt-LT"/>
          <w14:ligatures w14:val="none"/>
        </w:rPr>
      </w:pPr>
    </w:p>
    <w:p w14:paraId="0C9B9879"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Nėštumo metu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vartoti negalima, išskyrus atvejus, kai laukiama nauda moteriai yra didesnė už galimą pavojų vaisiui. Vaistinio preparato skiriant nėščiosioms, taip pat būtina atsižvelgti į šios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farmacinės formos sudėtyje esantį etanolį (žr. 4.4 skyrių).</w:t>
      </w:r>
    </w:p>
    <w:p w14:paraId="48350737" w14:textId="77777777" w:rsidR="00323207" w:rsidRPr="008F4573" w:rsidRDefault="00323207" w:rsidP="00F931D9">
      <w:pPr>
        <w:spacing w:after="0" w:line="240" w:lineRule="auto"/>
        <w:rPr>
          <w:sz w:val="22"/>
          <w:lang w:val="lt-LT"/>
        </w:rPr>
      </w:pPr>
    </w:p>
    <w:p w14:paraId="356297BB" w14:textId="77777777" w:rsidR="00323207" w:rsidRPr="008F4573" w:rsidRDefault="00323207" w:rsidP="00F931D9">
      <w:pPr>
        <w:spacing w:after="0" w:line="240" w:lineRule="auto"/>
        <w:rPr>
          <w:sz w:val="22"/>
          <w:lang w:val="lt-LT"/>
        </w:rPr>
      </w:pPr>
      <w:bookmarkStart w:id="2" w:name="_Hlk135908505"/>
      <w:bookmarkStart w:id="3" w:name="_Hlk104682258"/>
      <w:r w:rsidRPr="00F931D9">
        <w:rPr>
          <w:rFonts w:ascii="Times New Roman" w:hAnsi="Times New Roman"/>
          <w:kern w:val="0"/>
          <w:sz w:val="22"/>
          <w:lang w:val="lt-LT"/>
          <w14:ligatures w14:val="none"/>
        </w:rPr>
        <w:t xml:space="preserve">Paskelbti Nacionalinio transplantacijų ir nėštumų registro (NTNR) duomenys apibūdino nėštumų baigtis moterims po inksto (482), kepenų (97) ir širdies (43) transplantacijų, kai joms buvo skiriama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Duomenys rodo sėkmingas nėštumų baigtis, kai 76 %, 76,9 % ir 64 % </w:t>
      </w:r>
      <w:proofErr w:type="spellStart"/>
      <w:r w:rsidRPr="00F931D9">
        <w:rPr>
          <w:rFonts w:ascii="Times New Roman" w:hAnsi="Times New Roman"/>
          <w:kern w:val="0"/>
          <w:sz w:val="22"/>
          <w:lang w:val="lt-LT"/>
          <w14:ligatures w14:val="none"/>
        </w:rPr>
        <w:t>recipienčių</w:t>
      </w:r>
      <w:proofErr w:type="spellEnd"/>
      <w:r w:rsidRPr="00F931D9">
        <w:rPr>
          <w:rFonts w:ascii="Times New Roman" w:hAnsi="Times New Roman"/>
          <w:kern w:val="0"/>
          <w:sz w:val="22"/>
          <w:lang w:val="lt-LT"/>
          <w14:ligatures w14:val="none"/>
        </w:rPr>
        <w:t xml:space="preserve"> pagimdė gyvus naujagimius atitinkamai po inksto, kepenų ir širdies transplantacijų. Priešlaikinis gimdymas (&lt; 37 savaičių) nustatytas 52 %, 35 % ir 35 % </w:t>
      </w:r>
      <w:proofErr w:type="spellStart"/>
      <w:r w:rsidRPr="00F931D9">
        <w:rPr>
          <w:rFonts w:ascii="Times New Roman" w:hAnsi="Times New Roman"/>
          <w:kern w:val="0"/>
          <w:sz w:val="22"/>
          <w:lang w:val="lt-LT"/>
          <w14:ligatures w14:val="none"/>
        </w:rPr>
        <w:t>recipienčių</w:t>
      </w:r>
      <w:proofErr w:type="spellEnd"/>
      <w:r w:rsidRPr="00F931D9">
        <w:rPr>
          <w:rFonts w:ascii="Times New Roman" w:hAnsi="Times New Roman"/>
          <w:kern w:val="0"/>
          <w:sz w:val="22"/>
          <w:lang w:val="lt-LT"/>
          <w14:ligatures w14:val="none"/>
        </w:rPr>
        <w:t xml:space="preserve"> atitinkamai po inksto, kepenų ir širdies transplantacijų.</w:t>
      </w:r>
    </w:p>
    <w:p w14:paraId="2263B71A" w14:textId="77777777" w:rsidR="00323207" w:rsidRPr="008F4573" w:rsidRDefault="00323207" w:rsidP="00F931D9">
      <w:pPr>
        <w:spacing w:after="0" w:line="240" w:lineRule="auto"/>
        <w:rPr>
          <w:sz w:val="22"/>
          <w:lang w:val="lt-LT"/>
        </w:rPr>
      </w:pPr>
    </w:p>
    <w:p w14:paraId="667435F0" w14:textId="77777777" w:rsidR="00323207" w:rsidRPr="008F4573" w:rsidRDefault="00323207" w:rsidP="00F931D9">
      <w:pPr>
        <w:spacing w:after="0" w:line="240" w:lineRule="auto"/>
        <w:rPr>
          <w:sz w:val="22"/>
          <w:lang w:val="lt-LT"/>
        </w:rPr>
      </w:pPr>
      <w:r w:rsidRPr="00F931D9">
        <w:rPr>
          <w:rFonts w:ascii="Times New Roman" w:hAnsi="Times New Roman"/>
          <w:kern w:val="0"/>
          <w:sz w:val="22"/>
          <w:lang w:val="lt-LT"/>
          <w14:ligatures w14:val="none"/>
        </w:rPr>
        <w:lastRenderedPageBreak/>
        <w:t xml:space="preserve">Nustatyti persileidimų ir didžiųjų apsigimimų dažniai buvo panašūs į stebėtuosius dažnius bendrojoje populiacijoje. Atsižvelgiant į registrams ir </w:t>
      </w:r>
      <w:proofErr w:type="spellStart"/>
      <w:r w:rsidRPr="00F931D9">
        <w:rPr>
          <w:rFonts w:ascii="Times New Roman" w:hAnsi="Times New Roman"/>
          <w:kern w:val="0"/>
          <w:sz w:val="22"/>
          <w:lang w:val="lt-LT"/>
          <w14:ligatures w14:val="none"/>
        </w:rPr>
        <w:t>poregistraciniams</w:t>
      </w:r>
      <w:proofErr w:type="spellEnd"/>
      <w:r w:rsidRPr="00F931D9">
        <w:rPr>
          <w:rFonts w:ascii="Times New Roman" w:hAnsi="Times New Roman"/>
          <w:kern w:val="0"/>
          <w:sz w:val="22"/>
          <w:lang w:val="lt-LT"/>
          <w14:ligatures w14:val="none"/>
        </w:rPr>
        <w:t xml:space="preserve"> saugumo pranešimams būdingus ribotus duomenis, negalima atmesti galimo tiesioginio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poveikio motinų hipertenzijos, </w:t>
      </w:r>
      <w:proofErr w:type="spellStart"/>
      <w:r w:rsidRPr="00F931D9">
        <w:rPr>
          <w:rFonts w:ascii="Times New Roman" w:hAnsi="Times New Roman"/>
          <w:kern w:val="0"/>
          <w:sz w:val="22"/>
          <w:lang w:val="lt-LT"/>
          <w14:ligatures w14:val="none"/>
        </w:rPr>
        <w:t>preeklampsijos</w:t>
      </w:r>
      <w:proofErr w:type="spellEnd"/>
      <w:r w:rsidRPr="00F931D9">
        <w:rPr>
          <w:rFonts w:ascii="Times New Roman" w:hAnsi="Times New Roman"/>
          <w:kern w:val="0"/>
          <w:sz w:val="22"/>
          <w:lang w:val="lt-LT"/>
          <w14:ligatures w14:val="none"/>
        </w:rPr>
        <w:t>, infekcijų ar diabeto pasireiškimui.</w:t>
      </w:r>
    </w:p>
    <w:p w14:paraId="13461BB2" w14:textId="77777777" w:rsidR="00323207" w:rsidRPr="008F4573" w:rsidRDefault="00323207" w:rsidP="00F931D9">
      <w:pPr>
        <w:spacing w:after="0" w:line="240" w:lineRule="auto"/>
        <w:rPr>
          <w:sz w:val="22"/>
          <w:lang w:val="lt-LT"/>
        </w:rPr>
      </w:pPr>
    </w:p>
    <w:bookmarkEnd w:id="2"/>
    <w:p w14:paraId="03A13789" w14:textId="77777777" w:rsidR="00323207" w:rsidRPr="00F931D9" w:rsidRDefault="00323207" w:rsidP="00323207">
      <w:pPr>
        <w:spacing w:after="0" w:line="240" w:lineRule="auto"/>
        <w:rPr>
          <w:rFonts w:ascii="Times New Roman" w:hAnsi="Times New Roman"/>
          <w:kern w:val="0"/>
          <w:sz w:val="22"/>
          <w:u w:val="single"/>
          <w:lang w:val="lt-LT"/>
          <w14:ligatures w14:val="none"/>
        </w:rPr>
      </w:pPr>
      <w:r w:rsidRPr="00F931D9">
        <w:rPr>
          <w:rFonts w:ascii="Times New Roman" w:hAnsi="Times New Roman"/>
          <w:kern w:val="0"/>
          <w:sz w:val="22"/>
          <w:lang w:val="lt-LT"/>
          <w14:ligatures w14:val="none"/>
        </w:rPr>
        <w:t xml:space="preserve">Nedidelio skaičiaus vaikų, kurių motinos nėštumo metu vartojo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stebėjimo iki maždaug 7 metų duomenimis, šių vaikų inkstų veikla ir kraujospūdis yra normalūs.</w:t>
      </w:r>
      <w:bookmarkEnd w:id="3"/>
    </w:p>
    <w:p w14:paraId="5ADC3B44" w14:textId="77777777" w:rsidR="00323207" w:rsidRPr="00F931D9" w:rsidRDefault="00323207" w:rsidP="00323207">
      <w:pPr>
        <w:spacing w:after="0" w:line="240" w:lineRule="auto"/>
        <w:rPr>
          <w:rFonts w:ascii="Times New Roman" w:hAnsi="Times New Roman"/>
          <w:kern w:val="0"/>
          <w:sz w:val="22"/>
          <w:u w:val="single"/>
          <w:lang w:val="lt-LT"/>
          <w14:ligatures w14:val="none"/>
        </w:rPr>
      </w:pPr>
    </w:p>
    <w:p w14:paraId="4DDA77E5" w14:textId="77777777" w:rsidR="00323207" w:rsidRPr="00F931D9" w:rsidRDefault="00323207" w:rsidP="00323207">
      <w:pPr>
        <w:spacing w:after="0" w:line="240" w:lineRule="auto"/>
        <w:rPr>
          <w:rFonts w:ascii="Times New Roman" w:hAnsi="Times New Roman"/>
          <w:kern w:val="0"/>
          <w:sz w:val="22"/>
          <w:u w:val="single"/>
          <w:lang w:val="lt-LT"/>
          <w14:ligatures w14:val="none"/>
        </w:rPr>
      </w:pPr>
      <w:r w:rsidRPr="00F931D9">
        <w:rPr>
          <w:rFonts w:ascii="Times New Roman" w:hAnsi="Times New Roman"/>
          <w:kern w:val="0"/>
          <w:sz w:val="22"/>
          <w:u w:val="single"/>
          <w:lang w:val="lt-LT"/>
          <w14:ligatures w14:val="none"/>
        </w:rPr>
        <w:t>Žindymas</w:t>
      </w:r>
    </w:p>
    <w:p w14:paraId="51365E03" w14:textId="77777777" w:rsidR="00323207" w:rsidRPr="00F931D9" w:rsidRDefault="00323207" w:rsidP="00323207">
      <w:pPr>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išsiskiria į motinos pieną.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vartojančioms moterims žindyti negalima, kadangi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gali sukelti sunkių nepageidaujamų reakcijų žindomiems naujagimiams ar kūdikiams. Atsižvelgiant į žindymo naudą naujagimiui ar kūdikiui ir gydymo naudą motinai, reikia nuspręsti, ar nutraukti žindymą ar nutraukti/susilaikyti nuo gydymo šiuo vaistiniu preparatu.</w:t>
      </w:r>
    </w:p>
    <w:p w14:paraId="2DC1806B" w14:textId="77777777" w:rsidR="00323207" w:rsidRPr="00F931D9" w:rsidRDefault="00323207" w:rsidP="00323207">
      <w:pPr>
        <w:spacing w:after="0" w:line="240" w:lineRule="auto"/>
        <w:rPr>
          <w:rFonts w:ascii="Times New Roman" w:hAnsi="Times New Roman"/>
          <w:kern w:val="0"/>
          <w:sz w:val="22"/>
          <w:u w:val="single"/>
          <w:lang w:val="lt-LT"/>
          <w14:ligatures w14:val="none"/>
        </w:rPr>
      </w:pPr>
    </w:p>
    <w:p w14:paraId="73684EDA"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Riboti duomenys rodo, kad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koncentracijų motinos piene ir kraujyje santykis yra 0,17</w:t>
      </w:r>
      <w:r w:rsidRPr="00F931D9">
        <w:rPr>
          <w:rFonts w:ascii="Times New Roman" w:hAnsi="Times New Roman"/>
          <w:kern w:val="0"/>
          <w:sz w:val="22"/>
          <w:lang w:val="lt-LT"/>
          <w14:ligatures w14:val="none"/>
        </w:rPr>
        <w:noBreakHyphen/>
        <w:t xml:space="preserve">1,4 ribose. Atsižvelgiant į kūdikio suvartojamą motinos pieno kiekį, apskaičiuotoji didžiausia pilnai pamaitintos kūdikio suvartota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dozė buvo maždaug 2 % motinos suvartotos pagal kūno svorį koreguotos dozės.</w:t>
      </w:r>
    </w:p>
    <w:p w14:paraId="03A5F410" w14:textId="77777777" w:rsidR="00323207" w:rsidRPr="00F931D9" w:rsidRDefault="00323207" w:rsidP="00323207">
      <w:pPr>
        <w:spacing w:after="0" w:line="240" w:lineRule="auto"/>
        <w:rPr>
          <w:rFonts w:ascii="Times New Roman" w:hAnsi="Times New Roman"/>
          <w:kern w:val="0"/>
          <w:sz w:val="22"/>
          <w:lang w:val="lt-LT"/>
          <w14:ligatures w14:val="none"/>
        </w:rPr>
      </w:pPr>
    </w:p>
    <w:p w14:paraId="1090CED3" w14:textId="77777777" w:rsidR="00323207" w:rsidRPr="00F931D9" w:rsidRDefault="00323207" w:rsidP="00323207">
      <w:pPr>
        <w:spacing w:after="0" w:line="240" w:lineRule="auto"/>
        <w:rPr>
          <w:rFonts w:ascii="Times New Roman" w:hAnsi="Times New Roman"/>
          <w:kern w:val="0"/>
          <w:sz w:val="22"/>
          <w:u w:val="single"/>
          <w:lang w:val="lt-LT"/>
          <w14:ligatures w14:val="none"/>
        </w:rPr>
      </w:pPr>
      <w:r w:rsidRPr="00F931D9">
        <w:rPr>
          <w:rFonts w:ascii="Times New Roman" w:hAnsi="Times New Roman"/>
          <w:kern w:val="0"/>
          <w:sz w:val="22"/>
          <w:lang w:val="lt-LT"/>
          <w14:ligatures w14:val="none"/>
        </w:rPr>
        <w:t xml:space="preserve">Vaistinio preparato skiriant žindymo laikotarpiu, taip pat būtina atsižvelgti į šios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farmacinės formos sudėtyje esantį etanolį (žr. 4.4 skyrių).</w:t>
      </w:r>
    </w:p>
    <w:p w14:paraId="1E5B334B" w14:textId="77777777" w:rsidR="00323207" w:rsidRPr="00F931D9" w:rsidRDefault="00323207" w:rsidP="00323207">
      <w:pPr>
        <w:spacing w:after="0" w:line="240" w:lineRule="auto"/>
        <w:rPr>
          <w:rFonts w:ascii="Times New Roman" w:hAnsi="Times New Roman"/>
          <w:kern w:val="0"/>
          <w:sz w:val="22"/>
          <w:u w:val="single"/>
          <w:lang w:val="lt-LT"/>
          <w14:ligatures w14:val="none"/>
        </w:rPr>
      </w:pPr>
    </w:p>
    <w:p w14:paraId="2BCB9864" w14:textId="77777777" w:rsidR="00323207" w:rsidRPr="00F931D9" w:rsidRDefault="00323207" w:rsidP="00323207">
      <w:pPr>
        <w:spacing w:after="0" w:line="240" w:lineRule="auto"/>
        <w:rPr>
          <w:rFonts w:ascii="Times New Roman" w:hAnsi="Times New Roman"/>
          <w:kern w:val="0"/>
          <w:sz w:val="22"/>
          <w:u w:val="single"/>
          <w:lang w:val="lt-LT"/>
          <w14:ligatures w14:val="none"/>
        </w:rPr>
      </w:pPr>
      <w:r w:rsidRPr="00F931D9">
        <w:rPr>
          <w:rFonts w:ascii="Times New Roman" w:hAnsi="Times New Roman"/>
          <w:kern w:val="0"/>
          <w:sz w:val="22"/>
          <w:u w:val="single"/>
          <w:lang w:val="lt-LT"/>
          <w14:ligatures w14:val="none"/>
        </w:rPr>
        <w:t>Vaisingumas</w:t>
      </w:r>
    </w:p>
    <w:p w14:paraId="3CA20D7E" w14:textId="77777777" w:rsidR="00323207" w:rsidRPr="00F931D9" w:rsidRDefault="00323207" w:rsidP="00323207">
      <w:pPr>
        <w:spacing w:after="0" w:line="240" w:lineRule="auto"/>
        <w:rPr>
          <w:rFonts w:ascii="Times New Roman" w:hAnsi="Times New Roman"/>
          <w:kern w:val="0"/>
          <w:sz w:val="22"/>
          <w:u w:val="single"/>
          <w:lang w:val="lt-LT"/>
          <w14:ligatures w14:val="none"/>
        </w:rPr>
      </w:pPr>
      <w:r w:rsidRPr="00F931D9">
        <w:rPr>
          <w:rFonts w:ascii="Times New Roman" w:hAnsi="Times New Roman"/>
          <w:kern w:val="0"/>
          <w:sz w:val="22"/>
          <w:lang w:val="lt-LT"/>
          <w14:ligatures w14:val="none"/>
        </w:rPr>
        <w:t xml:space="preserve">Duomenų apie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poveikį žmonių vaisingumui yra nedaug (žr. 5.3 skyrių). </w:t>
      </w:r>
      <w:bookmarkStart w:id="4" w:name="_Hlk135908568"/>
      <w:r w:rsidRPr="00F931D9">
        <w:rPr>
          <w:rFonts w:ascii="Times New Roman" w:hAnsi="Times New Roman"/>
          <w:kern w:val="0"/>
          <w:sz w:val="22"/>
          <w:lang w:val="lt-LT"/>
          <w14:ligatures w14:val="none"/>
        </w:rPr>
        <w:t>Nebuvo nustatyta nepageidaujamo poveikio žiurkių patinų ir patelių vislumui, kai žiurkėms buvo skiriama iki 15 mg/kg paros dozė (mažesnė nei ŽRDD, nustatyta pagal KPP) (žr. 5.3 skyrių).</w:t>
      </w:r>
      <w:bookmarkEnd w:id="4"/>
    </w:p>
    <w:p w14:paraId="2FEC7A75" w14:textId="77777777" w:rsidR="00323207" w:rsidRPr="00F931D9" w:rsidRDefault="00323207" w:rsidP="00323207">
      <w:pPr>
        <w:spacing w:after="0" w:line="240" w:lineRule="auto"/>
        <w:ind w:left="567" w:hanging="567"/>
        <w:rPr>
          <w:rFonts w:ascii="Times New Roman" w:hAnsi="Times New Roman"/>
          <w:kern w:val="0"/>
          <w:sz w:val="22"/>
          <w:lang w:val="lt-LT"/>
          <w14:ligatures w14:val="none"/>
        </w:rPr>
      </w:pPr>
    </w:p>
    <w:p w14:paraId="1E22B29F" w14:textId="77777777" w:rsidR="00323207" w:rsidRPr="00F931D9" w:rsidRDefault="00323207" w:rsidP="00323207">
      <w:pPr>
        <w:keepNext/>
        <w:spacing w:after="0" w:line="240" w:lineRule="auto"/>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4.7</w:t>
      </w:r>
      <w:r w:rsidRPr="00F931D9">
        <w:rPr>
          <w:rFonts w:ascii="Times New Roman" w:hAnsi="Times New Roman"/>
          <w:b/>
          <w:kern w:val="0"/>
          <w:sz w:val="22"/>
          <w:lang w:val="lt-LT"/>
          <w14:ligatures w14:val="none"/>
        </w:rPr>
        <w:tab/>
        <w:t>Poveikis gebėjimui vairuoti ir valdyti mechanizmus</w:t>
      </w:r>
    </w:p>
    <w:p w14:paraId="342B489E" w14:textId="77777777" w:rsidR="00323207" w:rsidRPr="00F931D9" w:rsidRDefault="00323207" w:rsidP="00323207">
      <w:pPr>
        <w:keepNext/>
        <w:spacing w:after="0" w:line="240" w:lineRule="auto"/>
        <w:rPr>
          <w:rFonts w:ascii="Times New Roman" w:hAnsi="Times New Roman"/>
          <w:b/>
          <w:kern w:val="0"/>
          <w:sz w:val="22"/>
          <w:lang w:val="lt-LT"/>
          <w14:ligatures w14:val="none"/>
        </w:rPr>
      </w:pPr>
    </w:p>
    <w:p w14:paraId="7B8D9A7B" w14:textId="77777777" w:rsidR="00323207" w:rsidRPr="00F931D9" w:rsidRDefault="00323207" w:rsidP="00323207">
      <w:pPr>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vartojimas gali sukelti nervų sistemos ir regėjimo sutrikimų (žr. 4.8 skyrių).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gali vidutiniškai veikti gebėjimą vairuoti ir valdyti mechanizmus. Vairuojant motorines transporto priemones ar valdant mechanizmus reikia laikytis atsargumo priemonių.</w:t>
      </w:r>
    </w:p>
    <w:p w14:paraId="026C4CA9" w14:textId="77777777" w:rsidR="00323207" w:rsidRPr="00F931D9" w:rsidRDefault="00323207" w:rsidP="00323207">
      <w:pPr>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poveikio gebėjimui vairuoti ir valdyti mechanizmus tyrimų neatlikta.</w:t>
      </w:r>
    </w:p>
    <w:p w14:paraId="0FC59922" w14:textId="77777777" w:rsidR="00323207" w:rsidRPr="00F931D9" w:rsidRDefault="00323207" w:rsidP="00323207">
      <w:pPr>
        <w:spacing w:after="0" w:line="240" w:lineRule="auto"/>
        <w:rPr>
          <w:rFonts w:ascii="Times New Roman" w:hAnsi="Times New Roman"/>
          <w:kern w:val="0"/>
          <w:sz w:val="22"/>
          <w:lang w:val="lt-LT"/>
          <w14:ligatures w14:val="none"/>
        </w:rPr>
      </w:pPr>
    </w:p>
    <w:p w14:paraId="2A906780" w14:textId="77777777" w:rsidR="00323207" w:rsidRPr="00F931D9" w:rsidRDefault="00323207" w:rsidP="00323207">
      <w:pPr>
        <w:keepNext/>
        <w:spacing w:after="0" w:line="240" w:lineRule="auto"/>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4.8</w:t>
      </w:r>
      <w:r w:rsidRPr="00F931D9">
        <w:rPr>
          <w:rFonts w:ascii="Times New Roman" w:hAnsi="Times New Roman"/>
          <w:b/>
          <w:kern w:val="0"/>
          <w:sz w:val="22"/>
          <w:lang w:val="lt-LT"/>
          <w14:ligatures w14:val="none"/>
        </w:rPr>
        <w:tab/>
        <w:t>Nepageidaujamas poveikis</w:t>
      </w:r>
    </w:p>
    <w:p w14:paraId="00DF622F" w14:textId="77777777" w:rsidR="00323207" w:rsidRPr="00F931D9" w:rsidRDefault="00323207" w:rsidP="00323207">
      <w:pPr>
        <w:keepNext/>
        <w:spacing w:after="0" w:line="240" w:lineRule="auto"/>
        <w:rPr>
          <w:rFonts w:ascii="Times New Roman" w:hAnsi="Times New Roman"/>
          <w:kern w:val="0"/>
          <w:sz w:val="22"/>
          <w:lang w:val="lt-LT"/>
          <w14:ligatures w14:val="none"/>
        </w:rPr>
      </w:pPr>
    </w:p>
    <w:p w14:paraId="14C65FE5" w14:textId="77777777" w:rsidR="00323207" w:rsidRPr="00F931D9" w:rsidRDefault="00323207" w:rsidP="00323207">
      <w:pPr>
        <w:keepNext/>
        <w:spacing w:after="0" w:line="240" w:lineRule="auto"/>
        <w:rPr>
          <w:rFonts w:ascii="Times New Roman" w:hAnsi="Times New Roman"/>
          <w:kern w:val="0"/>
          <w:sz w:val="22"/>
          <w:u w:val="single"/>
          <w:lang w:val="lt-LT"/>
          <w14:ligatures w14:val="none"/>
        </w:rPr>
      </w:pPr>
      <w:r w:rsidRPr="00F931D9">
        <w:rPr>
          <w:rFonts w:ascii="Times New Roman" w:hAnsi="Times New Roman"/>
          <w:kern w:val="0"/>
          <w:sz w:val="22"/>
          <w:u w:val="single"/>
          <w:lang w:val="lt-LT"/>
          <w14:ligatures w14:val="none"/>
        </w:rPr>
        <w:t>Saugumo duomenų santrauka</w:t>
      </w:r>
    </w:p>
    <w:p w14:paraId="19599E39"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Svarbiausios klinikinių tyrimų metu pasireiškusios su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vartojimu susijusios nepageidaujamos reakcijos yra inkstų veiklos sutrikimas, tremoras, </w:t>
      </w:r>
      <w:proofErr w:type="spellStart"/>
      <w:r w:rsidRPr="00F931D9">
        <w:rPr>
          <w:rFonts w:ascii="Times New Roman" w:hAnsi="Times New Roman"/>
          <w:kern w:val="0"/>
          <w:sz w:val="22"/>
          <w:lang w:val="lt-LT"/>
          <w14:ligatures w14:val="none"/>
        </w:rPr>
        <w:t>hirsutizmas</w:t>
      </w:r>
      <w:proofErr w:type="spellEnd"/>
      <w:r w:rsidRPr="00F931D9">
        <w:rPr>
          <w:rFonts w:ascii="Times New Roman" w:hAnsi="Times New Roman"/>
          <w:kern w:val="0"/>
          <w:sz w:val="22"/>
          <w:lang w:val="lt-LT"/>
          <w14:ligatures w14:val="none"/>
        </w:rPr>
        <w:t>, hipertenzija, viduriavimas, apetito praradimas, pykinimas ir vėmimas.</w:t>
      </w:r>
    </w:p>
    <w:p w14:paraId="1E17C15F" w14:textId="77777777" w:rsidR="00323207" w:rsidRPr="00F931D9" w:rsidRDefault="00323207" w:rsidP="00323207">
      <w:pPr>
        <w:spacing w:after="0" w:line="240" w:lineRule="auto"/>
        <w:rPr>
          <w:rFonts w:ascii="Times New Roman" w:hAnsi="Times New Roman"/>
          <w:kern w:val="0"/>
          <w:sz w:val="22"/>
          <w:lang w:val="lt-LT"/>
          <w14:ligatures w14:val="none"/>
        </w:rPr>
      </w:pPr>
    </w:p>
    <w:p w14:paraId="10620E60"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Daugelis šalutinių reiškinių, susijusių su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vartojimu, priklauso nuo dozės ir silpnėja ją mažinant. Jie yra iš esmės panašūs, vaistinio preparato vartojant bet kurios indikacijos atveju, nors yra dažnio ir sunkumo skirtumų. Kadangi ligoniams po transplantacijos reikia didesnių įsotinamųjų dozių ir ilgesnio palaikomojo gydymo, jiems nepageidaujamas poveikis paprastai atsiranda dažniau ir būna sunkesnis negu pacientams, vaistinio preparato vartojantiems dėl kitokių indikacijų.</w:t>
      </w:r>
    </w:p>
    <w:p w14:paraId="1CCE4531" w14:textId="77777777" w:rsidR="00323207" w:rsidRPr="00F931D9" w:rsidRDefault="00323207" w:rsidP="00323207">
      <w:pPr>
        <w:spacing w:after="0" w:line="240" w:lineRule="auto"/>
        <w:rPr>
          <w:rFonts w:ascii="Times New Roman" w:hAnsi="Times New Roman"/>
          <w:kern w:val="0"/>
          <w:sz w:val="22"/>
          <w:lang w:val="lt-LT"/>
          <w14:ligatures w14:val="none"/>
        </w:rPr>
      </w:pPr>
    </w:p>
    <w:p w14:paraId="30412F7F" w14:textId="77777777" w:rsidR="00323207" w:rsidRPr="00F931D9" w:rsidRDefault="00323207" w:rsidP="00323207">
      <w:pPr>
        <w:spacing w:after="0" w:line="240" w:lineRule="auto"/>
        <w:rPr>
          <w:rFonts w:ascii="Times New Roman" w:hAnsi="Times New Roman"/>
          <w:kern w:val="0"/>
          <w:sz w:val="22"/>
          <w:u w:val="single"/>
          <w:lang w:val="lt-LT"/>
          <w14:ligatures w14:val="none"/>
        </w:rPr>
      </w:pPr>
      <w:r w:rsidRPr="00F931D9">
        <w:rPr>
          <w:rFonts w:ascii="Times New Roman" w:hAnsi="Times New Roman"/>
          <w:kern w:val="0"/>
          <w:sz w:val="22"/>
          <w:u w:val="single"/>
          <w:lang w:val="lt-LT"/>
          <w14:ligatures w14:val="none"/>
        </w:rPr>
        <w:t xml:space="preserve">Infekcijos ir </w:t>
      </w:r>
      <w:proofErr w:type="spellStart"/>
      <w:r w:rsidRPr="00F931D9">
        <w:rPr>
          <w:rFonts w:ascii="Times New Roman" w:hAnsi="Times New Roman"/>
          <w:kern w:val="0"/>
          <w:sz w:val="22"/>
          <w:u w:val="single"/>
          <w:lang w:val="lt-LT"/>
          <w14:ligatures w14:val="none"/>
        </w:rPr>
        <w:t>infestacijos</w:t>
      </w:r>
      <w:proofErr w:type="spellEnd"/>
    </w:p>
    <w:p w14:paraId="4FC7F04B"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Pacientai, kuriems skiriama </w:t>
      </w:r>
      <w:proofErr w:type="spellStart"/>
      <w:r w:rsidRPr="00F931D9">
        <w:rPr>
          <w:rFonts w:ascii="Times New Roman" w:hAnsi="Times New Roman"/>
          <w:kern w:val="0"/>
          <w:sz w:val="22"/>
          <w:lang w:val="lt-LT"/>
          <w14:ligatures w14:val="none"/>
        </w:rPr>
        <w:t>imunosupresantų</w:t>
      </w:r>
      <w:proofErr w:type="spellEnd"/>
      <w:r w:rsidRPr="00F931D9">
        <w:rPr>
          <w:rFonts w:ascii="Times New Roman" w:hAnsi="Times New Roman"/>
          <w:kern w:val="0"/>
          <w:sz w:val="22"/>
          <w:lang w:val="lt-LT"/>
          <w14:ligatures w14:val="none"/>
        </w:rPr>
        <w:t xml:space="preserve">, įskaitant </w:t>
      </w:r>
      <w:proofErr w:type="spellStart"/>
      <w:r w:rsidRPr="00F931D9">
        <w:rPr>
          <w:rFonts w:ascii="Times New Roman" w:hAnsi="Times New Roman"/>
          <w:color w:val="000000"/>
          <w:kern w:val="0"/>
          <w:sz w:val="22"/>
          <w:lang w:val="lt-LT"/>
          <w14:ligatures w14:val="none"/>
        </w:rPr>
        <w:t>ciklosporino</w:t>
      </w:r>
      <w:proofErr w:type="spellEnd"/>
      <w:r w:rsidRPr="00F931D9">
        <w:rPr>
          <w:rFonts w:ascii="Times New Roman" w:hAnsi="Times New Roman"/>
          <w:color w:val="000000"/>
          <w:kern w:val="0"/>
          <w:sz w:val="22"/>
          <w:lang w:val="lt-LT"/>
          <w14:ligatures w14:val="none"/>
        </w:rPr>
        <w:t xml:space="preserve"> ar vaistinių preparatų derinių su </w:t>
      </w:r>
      <w:proofErr w:type="spellStart"/>
      <w:r w:rsidRPr="00F931D9">
        <w:rPr>
          <w:rFonts w:ascii="Times New Roman" w:hAnsi="Times New Roman"/>
          <w:color w:val="000000"/>
          <w:kern w:val="0"/>
          <w:sz w:val="22"/>
          <w:lang w:val="lt-LT"/>
          <w14:ligatures w14:val="none"/>
        </w:rPr>
        <w:t>ciklosporinu</w:t>
      </w:r>
      <w:proofErr w:type="spellEnd"/>
      <w:r w:rsidRPr="00F931D9">
        <w:rPr>
          <w:rFonts w:ascii="Times New Roman" w:hAnsi="Times New Roman"/>
          <w:color w:val="000000"/>
          <w:kern w:val="0"/>
          <w:sz w:val="22"/>
          <w:lang w:val="lt-LT"/>
          <w14:ligatures w14:val="none"/>
        </w:rPr>
        <w:t xml:space="preserve">, </w:t>
      </w:r>
      <w:r w:rsidRPr="00F931D9">
        <w:rPr>
          <w:rFonts w:ascii="Times New Roman" w:hAnsi="Times New Roman"/>
          <w:kern w:val="0"/>
          <w:sz w:val="22"/>
          <w:lang w:val="lt-LT"/>
          <w14:ligatures w14:val="none"/>
        </w:rPr>
        <w:t xml:space="preserve">padidėja infekcijų (virusinių, bakterinių, grybelinių ir parazitinių) rizika (žr. 4.4 skyrių). Jiems gali atsirasti tiek lokalių, tiek išplitusių po visą organizmą infekcijų. Taip pat gali pasunkėti prieš gydymą buvusių infekcijų eiga ir </w:t>
      </w:r>
      <w:proofErr w:type="spellStart"/>
      <w:r w:rsidRPr="00F931D9">
        <w:rPr>
          <w:rFonts w:ascii="Times New Roman" w:hAnsi="Times New Roman"/>
          <w:kern w:val="0"/>
          <w:sz w:val="22"/>
          <w:lang w:val="lt-LT"/>
          <w14:ligatures w14:val="none"/>
        </w:rPr>
        <w:t>reaktyvuotis</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poliomos</w:t>
      </w:r>
      <w:proofErr w:type="spellEnd"/>
      <w:r w:rsidRPr="00F931D9">
        <w:rPr>
          <w:rFonts w:ascii="Times New Roman" w:hAnsi="Times New Roman"/>
          <w:kern w:val="0"/>
          <w:sz w:val="22"/>
          <w:lang w:val="lt-LT"/>
          <w14:ligatures w14:val="none"/>
        </w:rPr>
        <w:t xml:space="preserve"> viruso infekcija, kuri gali sukelti su </w:t>
      </w:r>
      <w:proofErr w:type="spellStart"/>
      <w:r w:rsidRPr="00F931D9">
        <w:rPr>
          <w:rFonts w:ascii="Times New Roman" w:hAnsi="Times New Roman"/>
          <w:kern w:val="0"/>
          <w:sz w:val="22"/>
          <w:lang w:val="lt-LT"/>
          <w14:ligatures w14:val="none"/>
        </w:rPr>
        <w:t>poliomos</w:t>
      </w:r>
      <w:proofErr w:type="spellEnd"/>
      <w:r w:rsidRPr="00F931D9">
        <w:rPr>
          <w:rFonts w:ascii="Times New Roman" w:hAnsi="Times New Roman"/>
          <w:kern w:val="0"/>
          <w:sz w:val="22"/>
          <w:lang w:val="lt-LT"/>
          <w14:ligatures w14:val="none"/>
        </w:rPr>
        <w:t xml:space="preserve"> virusu susijusią </w:t>
      </w:r>
      <w:proofErr w:type="spellStart"/>
      <w:r w:rsidRPr="00F931D9">
        <w:rPr>
          <w:rFonts w:ascii="Times New Roman" w:hAnsi="Times New Roman"/>
          <w:kern w:val="0"/>
          <w:sz w:val="22"/>
          <w:lang w:val="lt-LT"/>
          <w14:ligatures w14:val="none"/>
        </w:rPr>
        <w:t>nefropatiją</w:t>
      </w:r>
      <w:proofErr w:type="spellEnd"/>
      <w:r w:rsidRPr="00F931D9">
        <w:rPr>
          <w:rFonts w:ascii="Times New Roman" w:hAnsi="Times New Roman"/>
          <w:kern w:val="0"/>
          <w:sz w:val="22"/>
          <w:lang w:val="lt-LT"/>
          <w14:ligatures w14:val="none"/>
        </w:rPr>
        <w:t xml:space="preserve"> (PVSN) arba su JC virusu susijusią progresuojančią </w:t>
      </w:r>
      <w:proofErr w:type="spellStart"/>
      <w:r w:rsidRPr="00F931D9">
        <w:rPr>
          <w:rFonts w:ascii="Times New Roman" w:hAnsi="Times New Roman"/>
          <w:kern w:val="0"/>
          <w:sz w:val="22"/>
          <w:lang w:val="lt-LT"/>
          <w14:ligatures w14:val="none"/>
        </w:rPr>
        <w:t>daugiažidininę</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leukoencefalopatiją</w:t>
      </w:r>
      <w:proofErr w:type="spellEnd"/>
      <w:r w:rsidRPr="00F931D9">
        <w:rPr>
          <w:rFonts w:ascii="Times New Roman" w:hAnsi="Times New Roman"/>
          <w:kern w:val="0"/>
          <w:sz w:val="22"/>
          <w:lang w:val="lt-LT"/>
          <w14:ligatures w14:val="none"/>
        </w:rPr>
        <w:t xml:space="preserve"> (PDL). Gauta pranešimų apie sunkius ir (arba) </w:t>
      </w:r>
      <w:r w:rsidRPr="00F931D9">
        <w:rPr>
          <w:rFonts w:ascii="Times New Roman" w:hAnsi="Times New Roman"/>
          <w:color w:val="000000"/>
          <w:kern w:val="0"/>
          <w:sz w:val="22"/>
          <w:lang w:val="lt-LT"/>
          <w14:ligatures w14:val="none"/>
        </w:rPr>
        <w:t xml:space="preserve">mirtį lėmusius </w:t>
      </w:r>
      <w:r w:rsidRPr="00F931D9">
        <w:rPr>
          <w:rFonts w:ascii="Times New Roman" w:hAnsi="Times New Roman"/>
          <w:kern w:val="0"/>
          <w:sz w:val="22"/>
          <w:lang w:val="lt-LT"/>
          <w14:ligatures w14:val="none"/>
        </w:rPr>
        <w:t>atvejus.</w:t>
      </w:r>
    </w:p>
    <w:p w14:paraId="445A4493" w14:textId="77777777" w:rsidR="00323207" w:rsidRPr="00F931D9" w:rsidRDefault="00323207" w:rsidP="00323207">
      <w:pPr>
        <w:spacing w:after="0" w:line="240" w:lineRule="auto"/>
        <w:rPr>
          <w:rFonts w:ascii="Times New Roman" w:hAnsi="Times New Roman"/>
          <w:kern w:val="0"/>
          <w:sz w:val="22"/>
          <w:lang w:val="lt-LT"/>
          <w14:ligatures w14:val="none"/>
        </w:rPr>
      </w:pPr>
    </w:p>
    <w:p w14:paraId="56059CF5" w14:textId="77777777" w:rsidR="00323207" w:rsidRPr="00F931D9" w:rsidRDefault="00323207" w:rsidP="00323207">
      <w:pPr>
        <w:spacing w:after="0" w:line="240" w:lineRule="auto"/>
        <w:rPr>
          <w:rFonts w:ascii="Times New Roman" w:hAnsi="Times New Roman"/>
          <w:i/>
          <w:kern w:val="0"/>
          <w:sz w:val="22"/>
          <w:u w:val="single"/>
          <w:lang w:val="lt-LT"/>
          <w14:ligatures w14:val="none"/>
        </w:rPr>
      </w:pPr>
      <w:r w:rsidRPr="00F931D9">
        <w:rPr>
          <w:rFonts w:ascii="Times New Roman" w:hAnsi="Times New Roman"/>
          <w:kern w:val="0"/>
          <w:sz w:val="22"/>
          <w:u w:val="single"/>
          <w:lang w:val="lt-LT"/>
          <w14:ligatures w14:val="none"/>
        </w:rPr>
        <w:t>Gerybiniai, piktybiniai ir nepatikslinti navikai (tarp jų cistos ir polipai)</w:t>
      </w:r>
    </w:p>
    <w:p w14:paraId="30634FE0"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lastRenderedPageBreak/>
        <w:t xml:space="preserve">Pacientai, kuriems skiriama </w:t>
      </w:r>
      <w:proofErr w:type="spellStart"/>
      <w:r w:rsidRPr="00F931D9">
        <w:rPr>
          <w:rFonts w:ascii="Times New Roman" w:hAnsi="Times New Roman"/>
          <w:kern w:val="0"/>
          <w:sz w:val="22"/>
          <w:lang w:val="lt-LT"/>
          <w14:ligatures w14:val="none"/>
        </w:rPr>
        <w:t>imunosupresantų</w:t>
      </w:r>
      <w:proofErr w:type="spellEnd"/>
      <w:r w:rsidRPr="00F931D9">
        <w:rPr>
          <w:rFonts w:ascii="Times New Roman" w:hAnsi="Times New Roman"/>
          <w:kern w:val="0"/>
          <w:sz w:val="22"/>
          <w:lang w:val="lt-LT"/>
          <w14:ligatures w14:val="none"/>
        </w:rPr>
        <w:t xml:space="preserve">, įskaitant </w:t>
      </w:r>
      <w:proofErr w:type="spellStart"/>
      <w:r w:rsidRPr="00F931D9">
        <w:rPr>
          <w:rFonts w:ascii="Times New Roman" w:hAnsi="Times New Roman"/>
          <w:color w:val="000000"/>
          <w:kern w:val="0"/>
          <w:sz w:val="22"/>
          <w:lang w:val="lt-LT"/>
          <w14:ligatures w14:val="none"/>
        </w:rPr>
        <w:t>ciklosporino</w:t>
      </w:r>
      <w:proofErr w:type="spellEnd"/>
      <w:r w:rsidRPr="00F931D9">
        <w:rPr>
          <w:rFonts w:ascii="Times New Roman" w:hAnsi="Times New Roman"/>
          <w:color w:val="000000"/>
          <w:kern w:val="0"/>
          <w:sz w:val="22"/>
          <w:lang w:val="lt-LT"/>
          <w14:ligatures w14:val="none"/>
        </w:rPr>
        <w:t xml:space="preserve"> ar vaistinių preparatų derinių su </w:t>
      </w:r>
      <w:proofErr w:type="spellStart"/>
      <w:r w:rsidRPr="00F931D9">
        <w:rPr>
          <w:rFonts w:ascii="Times New Roman" w:hAnsi="Times New Roman"/>
          <w:color w:val="000000"/>
          <w:kern w:val="0"/>
          <w:sz w:val="22"/>
          <w:lang w:val="lt-LT"/>
          <w14:ligatures w14:val="none"/>
        </w:rPr>
        <w:t>ciklosporinu</w:t>
      </w:r>
      <w:proofErr w:type="spellEnd"/>
      <w:r w:rsidRPr="00F931D9">
        <w:rPr>
          <w:rFonts w:ascii="Times New Roman" w:hAnsi="Times New Roman"/>
          <w:color w:val="000000"/>
          <w:kern w:val="0"/>
          <w:sz w:val="22"/>
          <w:lang w:val="lt-LT"/>
          <w14:ligatures w14:val="none"/>
        </w:rPr>
        <w:t xml:space="preserve">, </w:t>
      </w:r>
      <w:r w:rsidRPr="00F931D9">
        <w:rPr>
          <w:rFonts w:ascii="Times New Roman" w:hAnsi="Times New Roman"/>
          <w:kern w:val="0"/>
          <w:sz w:val="22"/>
          <w:lang w:val="lt-LT"/>
          <w14:ligatures w14:val="none"/>
        </w:rPr>
        <w:t xml:space="preserve">padidėja limfomų arba </w:t>
      </w:r>
      <w:proofErr w:type="spellStart"/>
      <w:r w:rsidRPr="00F931D9">
        <w:rPr>
          <w:rFonts w:ascii="Times New Roman" w:hAnsi="Times New Roman"/>
          <w:kern w:val="0"/>
          <w:sz w:val="22"/>
          <w:lang w:val="lt-LT"/>
          <w14:ligatures w14:val="none"/>
        </w:rPr>
        <w:t>limfoproliferacinių</w:t>
      </w:r>
      <w:proofErr w:type="spellEnd"/>
      <w:r w:rsidRPr="00F931D9">
        <w:rPr>
          <w:rFonts w:ascii="Times New Roman" w:hAnsi="Times New Roman"/>
          <w:kern w:val="0"/>
          <w:sz w:val="22"/>
          <w:lang w:val="lt-LT"/>
          <w14:ligatures w14:val="none"/>
        </w:rPr>
        <w:t xml:space="preserve"> sutrikimų ir kitokių piktybinių navikų, ypatingai odos, atsiradimo rizika. Piktybinių navikų atsiradimo dažnis didėja, didėjant gydymo intensyvumui ir trukmei (žr. 4.4 skyrių). Kai kurie navikiniai susirgimai gali baigtis mirtimi. </w:t>
      </w:r>
    </w:p>
    <w:p w14:paraId="6CFC1B4A" w14:textId="77777777" w:rsidR="00323207" w:rsidRPr="00F931D9" w:rsidRDefault="00323207" w:rsidP="00323207">
      <w:pPr>
        <w:spacing w:after="0" w:line="240" w:lineRule="auto"/>
        <w:rPr>
          <w:rFonts w:ascii="Times New Roman" w:hAnsi="Times New Roman"/>
          <w:kern w:val="0"/>
          <w:sz w:val="22"/>
          <w:lang w:val="lt-LT"/>
          <w14:ligatures w14:val="none"/>
        </w:rPr>
      </w:pPr>
    </w:p>
    <w:p w14:paraId="1EAFDAB3" w14:textId="77777777" w:rsidR="00323207" w:rsidRPr="00F931D9" w:rsidRDefault="00323207" w:rsidP="00323207">
      <w:pPr>
        <w:keepNext/>
        <w:spacing w:after="0" w:line="240" w:lineRule="auto"/>
        <w:rPr>
          <w:rFonts w:ascii="Times New Roman" w:hAnsi="Times New Roman"/>
          <w:kern w:val="0"/>
          <w:sz w:val="22"/>
          <w:u w:val="single"/>
          <w:lang w:val="lt-LT"/>
          <w14:ligatures w14:val="none"/>
        </w:rPr>
      </w:pPr>
      <w:r w:rsidRPr="00F931D9">
        <w:rPr>
          <w:rFonts w:ascii="Times New Roman" w:hAnsi="Times New Roman"/>
          <w:kern w:val="0"/>
          <w:sz w:val="22"/>
          <w:u w:val="single"/>
          <w:lang w:val="lt-LT"/>
          <w14:ligatures w14:val="none"/>
        </w:rPr>
        <w:t>Klinikinių tyrimų metu stebėtų nepageidaujamų reakcijų santrauka lentelėje</w:t>
      </w:r>
    </w:p>
    <w:p w14:paraId="5B65BF65"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Klinikinių tyrimų metu pasireiškusios nepageidaujamos reakcijos (žr. 2 lentelę) išvardytos pagal </w:t>
      </w:r>
      <w:proofErr w:type="spellStart"/>
      <w:r w:rsidRPr="00F931D9">
        <w:rPr>
          <w:rFonts w:ascii="Times New Roman" w:hAnsi="Times New Roman"/>
          <w:kern w:val="0"/>
          <w:sz w:val="22"/>
          <w:lang w:val="lt-LT"/>
          <w14:ligatures w14:val="none"/>
        </w:rPr>
        <w:t>MedDRA</w:t>
      </w:r>
      <w:proofErr w:type="spellEnd"/>
      <w:r w:rsidRPr="00F931D9">
        <w:rPr>
          <w:rFonts w:ascii="Times New Roman" w:hAnsi="Times New Roman"/>
          <w:kern w:val="0"/>
          <w:sz w:val="22"/>
          <w:lang w:val="lt-LT"/>
          <w14:ligatures w14:val="none"/>
        </w:rPr>
        <w:t xml:space="preserve"> organų sistemų klasę. Kiekvienoje organų sistemų klasėje nepageidaujamos reakcijos suskirstytos pagal dažnį, pirmiausia nurodant dažniausias. Kiekvienoje dažnio grupėje nepageidaujamos reakcijos išvardytos mažėjančio sunkumo tvarka. Be to, nepageidaujami poveikiai išvardyti pagal dažnį, naudojant tokius apibūdinimus: labai dažni (≥</w:t>
      </w:r>
      <w:r w:rsidRPr="00F931D9">
        <w:rPr>
          <w:rFonts w:ascii="Times New Roman" w:hAnsi="Times New Roman" w:hint="eastAsia"/>
          <w:kern w:val="0"/>
          <w:sz w:val="22"/>
          <w:lang w:val="lt-LT"/>
          <w14:ligatures w14:val="none"/>
        </w:rPr>
        <w:t> </w:t>
      </w:r>
      <w:r w:rsidRPr="00F931D9">
        <w:rPr>
          <w:rFonts w:ascii="Times New Roman" w:hAnsi="Times New Roman"/>
          <w:kern w:val="0"/>
          <w:sz w:val="22"/>
          <w:lang w:val="lt-LT"/>
          <w14:ligatures w14:val="none"/>
        </w:rPr>
        <w:t>1/10); dažni (nuo ≥</w:t>
      </w:r>
      <w:r w:rsidRPr="00F931D9">
        <w:rPr>
          <w:rFonts w:ascii="Times New Roman" w:hAnsi="Times New Roman" w:hint="eastAsia"/>
          <w:kern w:val="0"/>
          <w:sz w:val="22"/>
          <w:lang w:val="lt-LT"/>
          <w14:ligatures w14:val="none"/>
        </w:rPr>
        <w:t> </w:t>
      </w:r>
      <w:r w:rsidRPr="00F931D9">
        <w:rPr>
          <w:rFonts w:ascii="Times New Roman" w:hAnsi="Times New Roman"/>
          <w:kern w:val="0"/>
          <w:sz w:val="22"/>
          <w:lang w:val="lt-LT"/>
          <w14:ligatures w14:val="none"/>
        </w:rPr>
        <w:t>1/100 iki &lt; 1/10); nedažni (nuo ≥</w:t>
      </w:r>
      <w:r w:rsidRPr="00F931D9">
        <w:rPr>
          <w:rFonts w:ascii="Times New Roman" w:hAnsi="Times New Roman" w:hint="eastAsia"/>
          <w:kern w:val="0"/>
          <w:sz w:val="22"/>
          <w:lang w:val="lt-LT"/>
          <w14:ligatures w14:val="none"/>
        </w:rPr>
        <w:t> </w:t>
      </w:r>
      <w:r w:rsidRPr="00F931D9">
        <w:rPr>
          <w:rFonts w:ascii="Times New Roman" w:hAnsi="Times New Roman"/>
          <w:kern w:val="0"/>
          <w:sz w:val="22"/>
          <w:lang w:val="lt-LT"/>
          <w14:ligatures w14:val="none"/>
        </w:rPr>
        <w:t>1/1 000 iki &lt; 1/100); reti (nuo ≥</w:t>
      </w:r>
      <w:r w:rsidRPr="00F931D9">
        <w:rPr>
          <w:rFonts w:ascii="Times New Roman" w:hAnsi="Times New Roman" w:hint="eastAsia"/>
          <w:kern w:val="0"/>
          <w:sz w:val="22"/>
          <w:lang w:val="lt-LT"/>
          <w14:ligatures w14:val="none"/>
        </w:rPr>
        <w:t> </w:t>
      </w:r>
      <w:r w:rsidRPr="00F931D9">
        <w:rPr>
          <w:rFonts w:ascii="Times New Roman" w:hAnsi="Times New Roman"/>
          <w:kern w:val="0"/>
          <w:sz w:val="22"/>
          <w:lang w:val="lt-LT"/>
          <w14:ligatures w14:val="none"/>
        </w:rPr>
        <w:t xml:space="preserve">1/10 000 iki &lt; 1/1 000); labai reti (&lt; 1/10 000); dažnis nežinomas (negali būti apskaičiuotas pagal turimus duomenis). </w:t>
      </w:r>
    </w:p>
    <w:p w14:paraId="696C72A3" w14:textId="77777777" w:rsidR="00323207" w:rsidRPr="00F931D9" w:rsidRDefault="00323207" w:rsidP="00323207">
      <w:pPr>
        <w:spacing w:after="0" w:line="240" w:lineRule="auto"/>
        <w:rPr>
          <w:rFonts w:ascii="Times New Roman" w:hAnsi="Times New Roman"/>
          <w:kern w:val="0"/>
          <w:sz w:val="22"/>
          <w:lang w:val="lt-LT"/>
          <w14:ligatures w14:val="none"/>
        </w:rPr>
      </w:pPr>
    </w:p>
    <w:p w14:paraId="0076B51B" w14:textId="77777777" w:rsidR="00323207" w:rsidRPr="00F931D9" w:rsidRDefault="00323207" w:rsidP="00323207">
      <w:pPr>
        <w:spacing w:after="0" w:line="240" w:lineRule="auto"/>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2 lentelė. Klinikinių tyrimų metu pasireiškusios nepageidaujamos reakcijos</w:t>
      </w:r>
    </w:p>
    <w:p w14:paraId="650E70C6" w14:textId="77777777" w:rsidR="00323207" w:rsidRPr="00F931D9" w:rsidRDefault="00323207" w:rsidP="00323207">
      <w:pPr>
        <w:spacing w:after="0" w:line="240" w:lineRule="auto"/>
        <w:rPr>
          <w:rFonts w:ascii="Times New Roman" w:hAnsi="Times New Roman"/>
          <w:b/>
          <w:kern w:val="0"/>
          <w:sz w:val="22"/>
          <w:lang w:val="lt-LT"/>
          <w14:ligatures w14:val="none"/>
        </w:rPr>
      </w:pPr>
    </w:p>
    <w:tbl>
      <w:tblPr>
        <w:tblW w:w="0" w:type="auto"/>
        <w:tblLook w:val="01E0" w:firstRow="1" w:lastRow="1" w:firstColumn="1" w:lastColumn="1" w:noHBand="0" w:noVBand="0"/>
      </w:tblPr>
      <w:tblGrid>
        <w:gridCol w:w="1595"/>
        <w:gridCol w:w="7476"/>
      </w:tblGrid>
      <w:tr w:rsidR="00323207" w:rsidRPr="00323207" w14:paraId="5B749749" w14:textId="77777777" w:rsidTr="003338CB">
        <w:tc>
          <w:tcPr>
            <w:tcW w:w="0" w:type="auto"/>
            <w:gridSpan w:val="2"/>
          </w:tcPr>
          <w:p w14:paraId="76093CF6" w14:textId="77777777" w:rsidR="00323207" w:rsidRPr="00F931D9" w:rsidRDefault="00323207" w:rsidP="00323207">
            <w:pPr>
              <w:spacing w:after="0" w:line="240" w:lineRule="auto"/>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Kraujo ir limfinės sistemos sutrikimai</w:t>
            </w:r>
          </w:p>
        </w:tc>
      </w:tr>
      <w:tr w:rsidR="00323207" w:rsidRPr="00323207" w14:paraId="28CE93DE" w14:textId="77777777" w:rsidTr="003338CB">
        <w:tc>
          <w:tcPr>
            <w:tcW w:w="1595" w:type="dxa"/>
          </w:tcPr>
          <w:p w14:paraId="22DCB758"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Dažni</w:t>
            </w:r>
          </w:p>
        </w:tc>
        <w:tc>
          <w:tcPr>
            <w:tcW w:w="7476" w:type="dxa"/>
          </w:tcPr>
          <w:p w14:paraId="08726D0F" w14:textId="77777777" w:rsidR="00323207" w:rsidRPr="00F931D9" w:rsidRDefault="00323207" w:rsidP="00323207">
            <w:pPr>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Leukopenija</w:t>
            </w:r>
            <w:proofErr w:type="spellEnd"/>
          </w:p>
        </w:tc>
      </w:tr>
      <w:tr w:rsidR="00323207" w:rsidRPr="00323207" w14:paraId="4D7754B9" w14:textId="77777777" w:rsidTr="003338CB">
        <w:tc>
          <w:tcPr>
            <w:tcW w:w="1595" w:type="dxa"/>
          </w:tcPr>
          <w:p w14:paraId="180B8710"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Nedažni</w:t>
            </w:r>
          </w:p>
        </w:tc>
        <w:tc>
          <w:tcPr>
            <w:tcW w:w="7476" w:type="dxa"/>
          </w:tcPr>
          <w:p w14:paraId="0D493B5F" w14:textId="77777777" w:rsidR="00323207" w:rsidRPr="00F931D9" w:rsidRDefault="00323207" w:rsidP="00323207">
            <w:pPr>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Trombocitopenija</w:t>
            </w:r>
            <w:proofErr w:type="spellEnd"/>
            <w:r w:rsidRPr="00F931D9">
              <w:rPr>
                <w:rFonts w:ascii="Times New Roman" w:hAnsi="Times New Roman"/>
                <w:kern w:val="0"/>
                <w:sz w:val="22"/>
                <w:lang w:val="lt-LT"/>
                <w14:ligatures w14:val="none"/>
              </w:rPr>
              <w:t>, anemija</w:t>
            </w:r>
          </w:p>
        </w:tc>
      </w:tr>
      <w:tr w:rsidR="00323207" w:rsidRPr="00323207" w14:paraId="7E67D2C2" w14:textId="77777777" w:rsidTr="003338CB">
        <w:tc>
          <w:tcPr>
            <w:tcW w:w="1595" w:type="dxa"/>
          </w:tcPr>
          <w:p w14:paraId="75FA134C"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Reti</w:t>
            </w:r>
          </w:p>
        </w:tc>
        <w:tc>
          <w:tcPr>
            <w:tcW w:w="7476" w:type="dxa"/>
          </w:tcPr>
          <w:p w14:paraId="15C33F80"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Hemolizinis uremijos sindromas, </w:t>
            </w:r>
            <w:proofErr w:type="spellStart"/>
            <w:r w:rsidRPr="00F931D9">
              <w:rPr>
                <w:rFonts w:ascii="Times New Roman" w:hAnsi="Times New Roman"/>
                <w:kern w:val="0"/>
                <w:sz w:val="22"/>
                <w:lang w:val="lt-LT"/>
                <w14:ligatures w14:val="none"/>
              </w:rPr>
              <w:t>mikroangiopatinė</w:t>
            </w:r>
            <w:proofErr w:type="spellEnd"/>
            <w:r w:rsidRPr="00F931D9">
              <w:rPr>
                <w:rFonts w:ascii="Times New Roman" w:hAnsi="Times New Roman"/>
                <w:kern w:val="0"/>
                <w:sz w:val="22"/>
                <w:lang w:val="lt-LT"/>
                <w14:ligatures w14:val="none"/>
              </w:rPr>
              <w:t xml:space="preserve"> hemolizinė mažakraujystė</w:t>
            </w:r>
          </w:p>
        </w:tc>
      </w:tr>
      <w:tr w:rsidR="00323207" w:rsidRPr="00323207" w14:paraId="5104C99C" w14:textId="77777777" w:rsidTr="003338CB">
        <w:tc>
          <w:tcPr>
            <w:tcW w:w="1595" w:type="dxa"/>
          </w:tcPr>
          <w:p w14:paraId="700D64B2"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Dažnis nežinomas*</w:t>
            </w:r>
          </w:p>
        </w:tc>
        <w:tc>
          <w:tcPr>
            <w:tcW w:w="7476" w:type="dxa"/>
          </w:tcPr>
          <w:p w14:paraId="4CDCE332" w14:textId="77777777" w:rsidR="00323207" w:rsidRPr="00F931D9" w:rsidRDefault="00323207" w:rsidP="00323207">
            <w:pPr>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Trombozinė</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mikroangiopatija</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trombozinė</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trombocitopeninė</w:t>
            </w:r>
            <w:proofErr w:type="spellEnd"/>
            <w:r w:rsidRPr="00F931D9">
              <w:rPr>
                <w:rFonts w:ascii="Times New Roman" w:hAnsi="Times New Roman"/>
                <w:kern w:val="0"/>
                <w:sz w:val="22"/>
                <w:lang w:val="lt-LT"/>
                <w14:ligatures w14:val="none"/>
              </w:rPr>
              <w:t xml:space="preserve"> purpura</w:t>
            </w:r>
          </w:p>
        </w:tc>
      </w:tr>
      <w:tr w:rsidR="00323207" w:rsidRPr="00323207" w14:paraId="72600987" w14:textId="77777777" w:rsidTr="003338CB">
        <w:tc>
          <w:tcPr>
            <w:tcW w:w="0" w:type="auto"/>
            <w:gridSpan w:val="2"/>
          </w:tcPr>
          <w:p w14:paraId="3FB73459" w14:textId="77777777" w:rsidR="00323207" w:rsidRPr="00F931D9" w:rsidRDefault="00323207" w:rsidP="00323207">
            <w:pPr>
              <w:spacing w:after="0" w:line="240" w:lineRule="auto"/>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Metabolizmo ir mitybos sutrikimai</w:t>
            </w:r>
          </w:p>
        </w:tc>
      </w:tr>
      <w:tr w:rsidR="00323207" w:rsidRPr="00323207" w14:paraId="7DBF83AA" w14:textId="77777777" w:rsidTr="003338CB">
        <w:tc>
          <w:tcPr>
            <w:tcW w:w="1595" w:type="dxa"/>
          </w:tcPr>
          <w:p w14:paraId="695A8005"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Labai dažni</w:t>
            </w:r>
          </w:p>
        </w:tc>
        <w:tc>
          <w:tcPr>
            <w:tcW w:w="7476" w:type="dxa"/>
          </w:tcPr>
          <w:p w14:paraId="4FEE22F2" w14:textId="77777777" w:rsidR="00323207" w:rsidRPr="00F931D9" w:rsidRDefault="00323207" w:rsidP="00323207">
            <w:pPr>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Hiperlipidemija</w:t>
            </w:r>
            <w:proofErr w:type="spellEnd"/>
          </w:p>
        </w:tc>
      </w:tr>
      <w:tr w:rsidR="00323207" w:rsidRPr="00323207" w14:paraId="2CF50A7B" w14:textId="77777777" w:rsidTr="003338CB">
        <w:tc>
          <w:tcPr>
            <w:tcW w:w="1595" w:type="dxa"/>
          </w:tcPr>
          <w:p w14:paraId="372B0439"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Dažni</w:t>
            </w:r>
          </w:p>
        </w:tc>
        <w:tc>
          <w:tcPr>
            <w:tcW w:w="7476" w:type="dxa"/>
          </w:tcPr>
          <w:p w14:paraId="084DD51A"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Hiperglikemija, anoreksija, </w:t>
            </w:r>
            <w:proofErr w:type="spellStart"/>
            <w:r w:rsidRPr="00F931D9">
              <w:rPr>
                <w:rFonts w:ascii="Times New Roman" w:hAnsi="Times New Roman"/>
                <w:kern w:val="0"/>
                <w:sz w:val="22"/>
                <w:lang w:val="lt-LT"/>
                <w14:ligatures w14:val="none"/>
              </w:rPr>
              <w:t>hiperurikemija</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hiperkalemija</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hipomagnezemija</w:t>
            </w:r>
            <w:proofErr w:type="spellEnd"/>
          </w:p>
        </w:tc>
      </w:tr>
      <w:tr w:rsidR="00323207" w:rsidRPr="00323207" w14:paraId="448D6D02" w14:textId="77777777" w:rsidTr="003338CB">
        <w:tc>
          <w:tcPr>
            <w:tcW w:w="9071" w:type="dxa"/>
            <w:gridSpan w:val="2"/>
          </w:tcPr>
          <w:p w14:paraId="4F9FE7D3" w14:textId="77777777" w:rsidR="00323207" w:rsidRPr="00F931D9" w:rsidRDefault="00323207" w:rsidP="00323207">
            <w:pPr>
              <w:spacing w:after="0" w:line="240" w:lineRule="auto"/>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Ausų ir labirintų sutrikimai</w:t>
            </w:r>
          </w:p>
        </w:tc>
      </w:tr>
      <w:tr w:rsidR="00323207" w:rsidRPr="00323207" w14:paraId="2E6066D1" w14:textId="77777777" w:rsidTr="003338CB">
        <w:tc>
          <w:tcPr>
            <w:tcW w:w="1595" w:type="dxa"/>
          </w:tcPr>
          <w:p w14:paraId="009BBA06" w14:textId="77777777" w:rsidR="00323207" w:rsidRPr="00F931D9" w:rsidRDefault="00323207" w:rsidP="00323207">
            <w:pPr>
              <w:spacing w:after="0" w:line="240" w:lineRule="auto"/>
              <w:rPr>
                <w:rFonts w:ascii="Times New Roman" w:hAnsi="Times New Roman"/>
                <w:kern w:val="0"/>
                <w:sz w:val="22"/>
                <w14:ligatures w14:val="none"/>
              </w:rPr>
            </w:pPr>
            <w:r w:rsidRPr="00F931D9">
              <w:rPr>
                <w:rFonts w:ascii="Times New Roman" w:hAnsi="Times New Roman"/>
                <w:kern w:val="0"/>
                <w:sz w:val="22"/>
                <w:lang w:val="lt-LT"/>
                <w14:ligatures w14:val="none"/>
              </w:rPr>
              <w:t>Dažnis nežinomas*</w:t>
            </w:r>
          </w:p>
        </w:tc>
        <w:tc>
          <w:tcPr>
            <w:tcW w:w="7476" w:type="dxa"/>
          </w:tcPr>
          <w:p w14:paraId="713C38EA"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Klausos sutrikimas</w:t>
            </w:r>
            <w:r w:rsidRPr="00F931D9">
              <w:rPr>
                <w:rFonts w:ascii="Times New Roman" w:hAnsi="Times New Roman"/>
                <w:kern w:val="0"/>
                <w:sz w:val="22"/>
                <w:vertAlign w:val="superscript"/>
                <w14:ligatures w14:val="none"/>
              </w:rPr>
              <w:t>#</w:t>
            </w:r>
          </w:p>
        </w:tc>
      </w:tr>
      <w:tr w:rsidR="00323207" w:rsidRPr="00323207" w14:paraId="336E55BA" w14:textId="77777777" w:rsidTr="003338CB">
        <w:tc>
          <w:tcPr>
            <w:tcW w:w="0" w:type="auto"/>
            <w:gridSpan w:val="2"/>
          </w:tcPr>
          <w:p w14:paraId="43551E0B" w14:textId="77777777" w:rsidR="00323207" w:rsidRPr="00F931D9" w:rsidRDefault="00323207" w:rsidP="00323207">
            <w:pPr>
              <w:spacing w:after="0" w:line="240" w:lineRule="auto"/>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Nervų sistemos sutrikimai</w:t>
            </w:r>
          </w:p>
        </w:tc>
      </w:tr>
      <w:tr w:rsidR="00323207" w:rsidRPr="00323207" w14:paraId="492F0D2F" w14:textId="77777777" w:rsidTr="003338CB">
        <w:tc>
          <w:tcPr>
            <w:tcW w:w="1595" w:type="dxa"/>
          </w:tcPr>
          <w:p w14:paraId="2ADB9039"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Labai dažni</w:t>
            </w:r>
          </w:p>
        </w:tc>
        <w:tc>
          <w:tcPr>
            <w:tcW w:w="7476" w:type="dxa"/>
          </w:tcPr>
          <w:p w14:paraId="44389168"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Tremoras, galvos skausmas</w:t>
            </w:r>
          </w:p>
        </w:tc>
      </w:tr>
      <w:tr w:rsidR="00323207" w:rsidRPr="00323207" w14:paraId="761978EF" w14:textId="77777777" w:rsidTr="003338CB">
        <w:tc>
          <w:tcPr>
            <w:tcW w:w="1595" w:type="dxa"/>
          </w:tcPr>
          <w:p w14:paraId="2D19AC13"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Dažni</w:t>
            </w:r>
          </w:p>
        </w:tc>
        <w:tc>
          <w:tcPr>
            <w:tcW w:w="7476" w:type="dxa"/>
          </w:tcPr>
          <w:p w14:paraId="4CEB333D"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Traukuliai, </w:t>
            </w:r>
            <w:proofErr w:type="spellStart"/>
            <w:r w:rsidRPr="00F931D9">
              <w:rPr>
                <w:rFonts w:ascii="Times New Roman" w:hAnsi="Times New Roman"/>
                <w:kern w:val="0"/>
                <w:sz w:val="22"/>
                <w:lang w:val="lt-LT"/>
                <w14:ligatures w14:val="none"/>
              </w:rPr>
              <w:t>parestezija</w:t>
            </w:r>
            <w:proofErr w:type="spellEnd"/>
          </w:p>
        </w:tc>
      </w:tr>
      <w:tr w:rsidR="00323207" w:rsidRPr="00323207" w14:paraId="209943D4" w14:textId="77777777" w:rsidTr="003338CB">
        <w:tc>
          <w:tcPr>
            <w:tcW w:w="1595" w:type="dxa"/>
          </w:tcPr>
          <w:p w14:paraId="4A41577E"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Nedažni</w:t>
            </w:r>
          </w:p>
        </w:tc>
        <w:tc>
          <w:tcPr>
            <w:tcW w:w="7476" w:type="dxa"/>
          </w:tcPr>
          <w:p w14:paraId="47C6618D" w14:textId="77777777" w:rsidR="00323207" w:rsidRPr="00F931D9" w:rsidRDefault="00323207" w:rsidP="00323207">
            <w:pPr>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Encefalopatija</w:t>
            </w:r>
            <w:proofErr w:type="spellEnd"/>
            <w:r w:rsidRPr="00F931D9">
              <w:rPr>
                <w:rFonts w:ascii="Times New Roman" w:hAnsi="Times New Roman"/>
                <w:kern w:val="0"/>
                <w:sz w:val="22"/>
                <w:lang w:val="lt-LT"/>
                <w14:ligatures w14:val="none"/>
              </w:rPr>
              <w:t xml:space="preserve">, įskaitant grįžtamąjį užpakalinės </w:t>
            </w:r>
            <w:proofErr w:type="spellStart"/>
            <w:r w:rsidRPr="00F931D9">
              <w:rPr>
                <w:rFonts w:ascii="Times New Roman" w:hAnsi="Times New Roman"/>
                <w:kern w:val="0"/>
                <w:sz w:val="22"/>
                <w:lang w:val="lt-LT"/>
                <w14:ligatures w14:val="none"/>
              </w:rPr>
              <w:t>encefalopatijos</w:t>
            </w:r>
            <w:proofErr w:type="spellEnd"/>
            <w:r w:rsidRPr="00F931D9">
              <w:rPr>
                <w:rFonts w:ascii="Times New Roman" w:hAnsi="Times New Roman"/>
                <w:kern w:val="0"/>
                <w:sz w:val="22"/>
                <w:lang w:val="lt-LT"/>
                <w14:ligatures w14:val="none"/>
              </w:rPr>
              <w:t xml:space="preserve"> sindromą (PRES), kurios požymiai ir simptomai yra: traukuliai, sumišimas, orientacijos sutrikimas, reakcijos susilpnėjimas, sujaudinimas, nemiga, regos sutrikimas, aklumas dėl smegenų žievės regos centro pažeidimo, koma, parezė, </w:t>
            </w:r>
            <w:proofErr w:type="spellStart"/>
            <w:r w:rsidRPr="00F931D9">
              <w:rPr>
                <w:rFonts w:ascii="Times New Roman" w:hAnsi="Times New Roman"/>
                <w:kern w:val="0"/>
                <w:sz w:val="22"/>
                <w:lang w:val="lt-LT"/>
                <w14:ligatures w14:val="none"/>
              </w:rPr>
              <w:t>ataksija</w:t>
            </w:r>
            <w:proofErr w:type="spellEnd"/>
            <w:r w:rsidRPr="00F931D9">
              <w:rPr>
                <w:rFonts w:ascii="Times New Roman" w:hAnsi="Times New Roman"/>
                <w:kern w:val="0"/>
                <w:sz w:val="22"/>
                <w:lang w:val="lt-LT"/>
                <w14:ligatures w14:val="none"/>
              </w:rPr>
              <w:t xml:space="preserve"> dėl smegenėlių pažeidimo</w:t>
            </w:r>
          </w:p>
        </w:tc>
      </w:tr>
      <w:tr w:rsidR="00323207" w:rsidRPr="00323207" w14:paraId="27F503C0" w14:textId="77777777" w:rsidTr="003338CB">
        <w:tc>
          <w:tcPr>
            <w:tcW w:w="1595" w:type="dxa"/>
          </w:tcPr>
          <w:p w14:paraId="32CBDB2E"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Reti</w:t>
            </w:r>
          </w:p>
        </w:tc>
        <w:tc>
          <w:tcPr>
            <w:tcW w:w="7476" w:type="dxa"/>
          </w:tcPr>
          <w:p w14:paraId="51A45245"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Motorinė polineuropatija</w:t>
            </w:r>
          </w:p>
        </w:tc>
      </w:tr>
      <w:tr w:rsidR="00323207" w:rsidRPr="00323207" w14:paraId="34605A22" w14:textId="77777777" w:rsidTr="003338CB">
        <w:tc>
          <w:tcPr>
            <w:tcW w:w="1595" w:type="dxa"/>
          </w:tcPr>
          <w:p w14:paraId="7D9D98B0"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Labai reti</w:t>
            </w:r>
          </w:p>
        </w:tc>
        <w:tc>
          <w:tcPr>
            <w:tcW w:w="7476" w:type="dxa"/>
          </w:tcPr>
          <w:p w14:paraId="21F7A421"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Dėl gerybinės </w:t>
            </w:r>
            <w:proofErr w:type="spellStart"/>
            <w:r w:rsidRPr="00F931D9">
              <w:rPr>
                <w:rFonts w:ascii="Times New Roman" w:hAnsi="Times New Roman"/>
                <w:kern w:val="0"/>
                <w:sz w:val="22"/>
                <w:lang w:val="lt-LT"/>
                <w14:ligatures w14:val="none"/>
              </w:rPr>
              <w:t>intrakraninės</w:t>
            </w:r>
            <w:proofErr w:type="spellEnd"/>
            <w:r w:rsidRPr="00F931D9">
              <w:rPr>
                <w:rFonts w:ascii="Times New Roman" w:hAnsi="Times New Roman"/>
                <w:kern w:val="0"/>
                <w:sz w:val="22"/>
                <w:lang w:val="lt-LT"/>
                <w14:ligatures w14:val="none"/>
              </w:rPr>
              <w:t xml:space="preserve"> hipertenzijos atsiradusi regos nervo edema, įskaitant regos nervo disko edemą, kuri kartais sukelia regos sutrikimą</w:t>
            </w:r>
          </w:p>
        </w:tc>
      </w:tr>
      <w:tr w:rsidR="00323207" w:rsidRPr="00323207" w14:paraId="1800EB69" w14:textId="77777777" w:rsidTr="003338CB">
        <w:tc>
          <w:tcPr>
            <w:tcW w:w="1595" w:type="dxa"/>
          </w:tcPr>
          <w:p w14:paraId="6F6EA383"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Dažnis nežinomas*</w:t>
            </w:r>
          </w:p>
        </w:tc>
        <w:tc>
          <w:tcPr>
            <w:tcW w:w="7476" w:type="dxa"/>
          </w:tcPr>
          <w:p w14:paraId="0283DEA4"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Migrena</w:t>
            </w:r>
          </w:p>
        </w:tc>
      </w:tr>
      <w:tr w:rsidR="00323207" w:rsidRPr="00323207" w14:paraId="06F70047" w14:textId="77777777" w:rsidTr="003338CB">
        <w:tc>
          <w:tcPr>
            <w:tcW w:w="0" w:type="auto"/>
            <w:gridSpan w:val="2"/>
          </w:tcPr>
          <w:p w14:paraId="7653C69A" w14:textId="77777777" w:rsidR="00323207" w:rsidRPr="00F931D9" w:rsidRDefault="00323207" w:rsidP="00323207">
            <w:pPr>
              <w:spacing w:after="0" w:line="240" w:lineRule="auto"/>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Kraujagyslių sutrikimai</w:t>
            </w:r>
          </w:p>
        </w:tc>
      </w:tr>
      <w:tr w:rsidR="00323207" w:rsidRPr="00323207" w14:paraId="0A18F50F" w14:textId="77777777" w:rsidTr="003338CB">
        <w:tc>
          <w:tcPr>
            <w:tcW w:w="1595" w:type="dxa"/>
          </w:tcPr>
          <w:p w14:paraId="4CD260DC"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Labai dažni</w:t>
            </w:r>
          </w:p>
        </w:tc>
        <w:tc>
          <w:tcPr>
            <w:tcW w:w="7476" w:type="dxa"/>
          </w:tcPr>
          <w:p w14:paraId="3DDAB32F"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Hipertenzija</w:t>
            </w:r>
          </w:p>
        </w:tc>
      </w:tr>
      <w:tr w:rsidR="00323207" w:rsidRPr="00323207" w14:paraId="7D34DFFB" w14:textId="77777777" w:rsidTr="003338CB">
        <w:tc>
          <w:tcPr>
            <w:tcW w:w="1595" w:type="dxa"/>
          </w:tcPr>
          <w:p w14:paraId="7A7DF1E6"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Dažni</w:t>
            </w:r>
          </w:p>
        </w:tc>
        <w:tc>
          <w:tcPr>
            <w:tcW w:w="7476" w:type="dxa"/>
          </w:tcPr>
          <w:p w14:paraId="4CB60043"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Veido raudonis </w:t>
            </w:r>
          </w:p>
        </w:tc>
      </w:tr>
      <w:tr w:rsidR="00323207" w:rsidRPr="00323207" w14:paraId="35BC8144" w14:textId="77777777" w:rsidTr="003338CB">
        <w:tc>
          <w:tcPr>
            <w:tcW w:w="0" w:type="auto"/>
            <w:gridSpan w:val="2"/>
          </w:tcPr>
          <w:p w14:paraId="7081919F" w14:textId="77777777" w:rsidR="00323207" w:rsidRPr="00F931D9" w:rsidRDefault="00323207" w:rsidP="00323207">
            <w:pPr>
              <w:spacing w:after="0" w:line="240" w:lineRule="auto"/>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Virškinimo trakto sutrikimai</w:t>
            </w:r>
          </w:p>
        </w:tc>
      </w:tr>
      <w:tr w:rsidR="00323207" w:rsidRPr="00323207" w14:paraId="02A96321" w14:textId="77777777" w:rsidTr="003338CB">
        <w:tc>
          <w:tcPr>
            <w:tcW w:w="1595" w:type="dxa"/>
          </w:tcPr>
          <w:p w14:paraId="1BB7D4F6"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Dažni</w:t>
            </w:r>
          </w:p>
        </w:tc>
        <w:tc>
          <w:tcPr>
            <w:tcW w:w="7476" w:type="dxa"/>
          </w:tcPr>
          <w:p w14:paraId="7671B13D"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Pykinimas, vėmimas, pilvo skausmas, viduriavimas, dantenų </w:t>
            </w:r>
            <w:proofErr w:type="spellStart"/>
            <w:r w:rsidRPr="00F931D9">
              <w:rPr>
                <w:rFonts w:ascii="Times New Roman" w:hAnsi="Times New Roman"/>
                <w:kern w:val="0"/>
                <w:sz w:val="22"/>
                <w:lang w:val="lt-LT"/>
                <w14:ligatures w14:val="none"/>
              </w:rPr>
              <w:t>hiperplazija</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pepsinė</w:t>
            </w:r>
            <w:proofErr w:type="spellEnd"/>
            <w:r w:rsidRPr="00F931D9">
              <w:rPr>
                <w:rFonts w:ascii="Times New Roman" w:hAnsi="Times New Roman"/>
                <w:kern w:val="0"/>
                <w:sz w:val="22"/>
                <w:lang w:val="lt-LT"/>
                <w14:ligatures w14:val="none"/>
              </w:rPr>
              <w:t xml:space="preserve"> opa</w:t>
            </w:r>
          </w:p>
        </w:tc>
      </w:tr>
      <w:tr w:rsidR="00323207" w:rsidRPr="00323207" w14:paraId="0B5714CA" w14:textId="77777777" w:rsidTr="003338CB">
        <w:tc>
          <w:tcPr>
            <w:tcW w:w="1595" w:type="dxa"/>
          </w:tcPr>
          <w:p w14:paraId="374CA71B"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Reti</w:t>
            </w:r>
          </w:p>
        </w:tc>
        <w:tc>
          <w:tcPr>
            <w:tcW w:w="7476" w:type="dxa"/>
          </w:tcPr>
          <w:p w14:paraId="12B3808B"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Pankreatitas</w:t>
            </w:r>
          </w:p>
        </w:tc>
      </w:tr>
      <w:tr w:rsidR="00323207" w:rsidRPr="00323207" w14:paraId="76DC5FAE" w14:textId="77777777" w:rsidTr="003338CB">
        <w:tc>
          <w:tcPr>
            <w:tcW w:w="0" w:type="auto"/>
            <w:gridSpan w:val="2"/>
          </w:tcPr>
          <w:p w14:paraId="26C53704" w14:textId="77777777" w:rsidR="00323207" w:rsidRPr="00F931D9" w:rsidRDefault="00323207" w:rsidP="00323207">
            <w:pPr>
              <w:spacing w:after="0" w:line="240" w:lineRule="auto"/>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Kepenų, tulžies pūslės ir latakų sutrikimai</w:t>
            </w:r>
          </w:p>
        </w:tc>
      </w:tr>
      <w:tr w:rsidR="00323207" w:rsidRPr="00323207" w14:paraId="4758C379" w14:textId="77777777" w:rsidTr="003338CB">
        <w:tc>
          <w:tcPr>
            <w:tcW w:w="1595" w:type="dxa"/>
          </w:tcPr>
          <w:p w14:paraId="7F4F7E22"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Dažni</w:t>
            </w:r>
          </w:p>
        </w:tc>
        <w:tc>
          <w:tcPr>
            <w:tcW w:w="7476" w:type="dxa"/>
          </w:tcPr>
          <w:p w14:paraId="27A6DC28"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Sutrikusi kepenų funkcija (žr. 4.4 skyrių)</w:t>
            </w:r>
          </w:p>
        </w:tc>
      </w:tr>
      <w:tr w:rsidR="00323207" w:rsidRPr="00323207" w14:paraId="3B0C8706" w14:textId="77777777" w:rsidTr="003338CB">
        <w:tc>
          <w:tcPr>
            <w:tcW w:w="1595" w:type="dxa"/>
          </w:tcPr>
          <w:p w14:paraId="334FC3BD"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Dažnis nežinomas*</w:t>
            </w:r>
          </w:p>
        </w:tc>
        <w:tc>
          <w:tcPr>
            <w:tcW w:w="7476" w:type="dxa"/>
          </w:tcPr>
          <w:p w14:paraId="1614E7C7"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Toksinis poveikis kepenims ir kepenų pažeidimas, įskaitant </w:t>
            </w:r>
            <w:proofErr w:type="spellStart"/>
            <w:r w:rsidRPr="00F931D9">
              <w:rPr>
                <w:rFonts w:ascii="Times New Roman" w:hAnsi="Times New Roman"/>
                <w:kern w:val="0"/>
                <w:sz w:val="22"/>
                <w:lang w:val="lt-LT"/>
                <w14:ligatures w14:val="none"/>
              </w:rPr>
              <w:t>cholestazę</w:t>
            </w:r>
            <w:proofErr w:type="spellEnd"/>
            <w:r w:rsidRPr="00F931D9">
              <w:rPr>
                <w:rFonts w:ascii="Times New Roman" w:hAnsi="Times New Roman"/>
                <w:kern w:val="0"/>
                <w:sz w:val="22"/>
                <w:lang w:val="lt-LT"/>
                <w14:ligatures w14:val="none"/>
              </w:rPr>
              <w:t>, geltą, hepatitą ir kepenų nepakankamumą, kuris kartais gali lemti mirtį (žr. 4.4 skyrių)</w:t>
            </w:r>
          </w:p>
        </w:tc>
      </w:tr>
      <w:tr w:rsidR="00323207" w:rsidRPr="00323207" w14:paraId="4D866213" w14:textId="77777777" w:rsidTr="003338CB">
        <w:tc>
          <w:tcPr>
            <w:tcW w:w="0" w:type="auto"/>
            <w:gridSpan w:val="2"/>
          </w:tcPr>
          <w:p w14:paraId="6AA4C0D4" w14:textId="77777777" w:rsidR="00323207" w:rsidRPr="00F931D9" w:rsidRDefault="00323207" w:rsidP="00323207">
            <w:pPr>
              <w:keepNext/>
              <w:spacing w:after="0" w:line="240" w:lineRule="auto"/>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Odos ir poodinio audinio sutrikimai</w:t>
            </w:r>
          </w:p>
        </w:tc>
      </w:tr>
      <w:tr w:rsidR="00323207" w:rsidRPr="00323207" w14:paraId="543AA698" w14:textId="77777777" w:rsidTr="003338CB">
        <w:tc>
          <w:tcPr>
            <w:tcW w:w="1595" w:type="dxa"/>
          </w:tcPr>
          <w:p w14:paraId="376D63AC"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Labai dažni</w:t>
            </w:r>
          </w:p>
        </w:tc>
        <w:tc>
          <w:tcPr>
            <w:tcW w:w="7476" w:type="dxa"/>
          </w:tcPr>
          <w:p w14:paraId="7A957F1E" w14:textId="77777777" w:rsidR="00323207" w:rsidRPr="00F931D9" w:rsidRDefault="00323207" w:rsidP="00323207">
            <w:pPr>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Hirsutizmas</w:t>
            </w:r>
            <w:proofErr w:type="spellEnd"/>
          </w:p>
        </w:tc>
      </w:tr>
      <w:tr w:rsidR="00323207" w:rsidRPr="00323207" w14:paraId="518DEC2A" w14:textId="77777777" w:rsidTr="003338CB">
        <w:tc>
          <w:tcPr>
            <w:tcW w:w="1595" w:type="dxa"/>
          </w:tcPr>
          <w:p w14:paraId="6916096E"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Dažni</w:t>
            </w:r>
          </w:p>
        </w:tc>
        <w:tc>
          <w:tcPr>
            <w:tcW w:w="7476" w:type="dxa"/>
          </w:tcPr>
          <w:p w14:paraId="0D74B69A" w14:textId="77777777" w:rsidR="00323207" w:rsidRPr="00F931D9" w:rsidRDefault="00323207" w:rsidP="00323207">
            <w:pPr>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Aknė</w:t>
            </w:r>
            <w:proofErr w:type="spellEnd"/>
            <w:r w:rsidRPr="00F931D9">
              <w:rPr>
                <w:rFonts w:ascii="Times New Roman" w:hAnsi="Times New Roman"/>
                <w:kern w:val="0"/>
                <w:sz w:val="22"/>
                <w:lang w:val="lt-LT"/>
                <w14:ligatures w14:val="none"/>
              </w:rPr>
              <w:t>, padidėjęs plaukuotumas</w:t>
            </w:r>
          </w:p>
        </w:tc>
      </w:tr>
      <w:tr w:rsidR="00323207" w:rsidRPr="00323207" w14:paraId="1A0748F6" w14:textId="77777777" w:rsidTr="003338CB">
        <w:tc>
          <w:tcPr>
            <w:tcW w:w="1595" w:type="dxa"/>
          </w:tcPr>
          <w:p w14:paraId="4CA9E644"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Nedažni</w:t>
            </w:r>
          </w:p>
        </w:tc>
        <w:tc>
          <w:tcPr>
            <w:tcW w:w="7476" w:type="dxa"/>
          </w:tcPr>
          <w:p w14:paraId="2CF3A4D5"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Alerginis bėrimas</w:t>
            </w:r>
          </w:p>
        </w:tc>
      </w:tr>
      <w:tr w:rsidR="00323207" w:rsidRPr="00323207" w14:paraId="61902F91" w14:textId="77777777" w:rsidTr="003338CB">
        <w:tc>
          <w:tcPr>
            <w:tcW w:w="0" w:type="auto"/>
            <w:gridSpan w:val="2"/>
          </w:tcPr>
          <w:p w14:paraId="2486C715" w14:textId="77777777" w:rsidR="00323207" w:rsidRPr="00F931D9" w:rsidRDefault="00323207" w:rsidP="00323207">
            <w:pPr>
              <w:spacing w:after="0" w:line="240" w:lineRule="auto"/>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Skeleto, raumenų ir jungiamojo audinio sutrikimai</w:t>
            </w:r>
          </w:p>
        </w:tc>
      </w:tr>
      <w:tr w:rsidR="00323207" w:rsidRPr="00323207" w14:paraId="590FF74D" w14:textId="77777777" w:rsidTr="003338CB">
        <w:tc>
          <w:tcPr>
            <w:tcW w:w="1595" w:type="dxa"/>
          </w:tcPr>
          <w:p w14:paraId="737DBDB1"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lastRenderedPageBreak/>
              <w:t>Dažni</w:t>
            </w:r>
          </w:p>
        </w:tc>
        <w:tc>
          <w:tcPr>
            <w:tcW w:w="7476" w:type="dxa"/>
          </w:tcPr>
          <w:p w14:paraId="39E31E58"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Raumenų skausmas, raumenų mėšlungis</w:t>
            </w:r>
          </w:p>
        </w:tc>
      </w:tr>
      <w:tr w:rsidR="00323207" w:rsidRPr="00323207" w14:paraId="2C42F6EC" w14:textId="77777777" w:rsidTr="003338CB">
        <w:tc>
          <w:tcPr>
            <w:tcW w:w="1595" w:type="dxa"/>
          </w:tcPr>
          <w:p w14:paraId="548F1CF0"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Reti</w:t>
            </w:r>
          </w:p>
        </w:tc>
        <w:tc>
          <w:tcPr>
            <w:tcW w:w="7476" w:type="dxa"/>
          </w:tcPr>
          <w:p w14:paraId="11560678"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Raumenų silpnumas, </w:t>
            </w:r>
            <w:proofErr w:type="spellStart"/>
            <w:r w:rsidRPr="00F931D9">
              <w:rPr>
                <w:rFonts w:ascii="Times New Roman" w:hAnsi="Times New Roman"/>
                <w:kern w:val="0"/>
                <w:sz w:val="22"/>
                <w:lang w:val="lt-LT"/>
                <w14:ligatures w14:val="none"/>
              </w:rPr>
              <w:t>miopatija</w:t>
            </w:r>
            <w:proofErr w:type="spellEnd"/>
          </w:p>
        </w:tc>
      </w:tr>
      <w:tr w:rsidR="00323207" w:rsidRPr="00323207" w14:paraId="6FDFB2E7" w14:textId="77777777" w:rsidTr="003338CB">
        <w:tc>
          <w:tcPr>
            <w:tcW w:w="1595" w:type="dxa"/>
          </w:tcPr>
          <w:p w14:paraId="20078099"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Dažnis nežinomas*</w:t>
            </w:r>
          </w:p>
        </w:tc>
        <w:tc>
          <w:tcPr>
            <w:tcW w:w="7476" w:type="dxa"/>
          </w:tcPr>
          <w:p w14:paraId="5ADD1E49"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Apatinių galūnių skausmas</w:t>
            </w:r>
          </w:p>
        </w:tc>
      </w:tr>
      <w:tr w:rsidR="00323207" w:rsidRPr="00323207" w14:paraId="57A80164" w14:textId="77777777" w:rsidTr="003338CB">
        <w:tc>
          <w:tcPr>
            <w:tcW w:w="0" w:type="auto"/>
            <w:gridSpan w:val="2"/>
          </w:tcPr>
          <w:p w14:paraId="73DF46B2" w14:textId="77777777" w:rsidR="00323207" w:rsidRPr="00F931D9" w:rsidRDefault="00323207" w:rsidP="00323207">
            <w:pPr>
              <w:spacing w:after="0" w:line="240" w:lineRule="auto"/>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Inkstų ir šlapimo takų sutrikimai</w:t>
            </w:r>
          </w:p>
        </w:tc>
      </w:tr>
      <w:tr w:rsidR="00323207" w:rsidRPr="00323207" w14:paraId="7B5916E2" w14:textId="77777777" w:rsidTr="003338CB">
        <w:tc>
          <w:tcPr>
            <w:tcW w:w="1595" w:type="dxa"/>
          </w:tcPr>
          <w:p w14:paraId="634A345D"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Labai dažni</w:t>
            </w:r>
          </w:p>
        </w:tc>
        <w:tc>
          <w:tcPr>
            <w:tcW w:w="7476" w:type="dxa"/>
          </w:tcPr>
          <w:p w14:paraId="30C7C83A"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Inkstų veiklos sutrikimas (žr. 4.4 skyrių)</w:t>
            </w:r>
          </w:p>
        </w:tc>
      </w:tr>
      <w:tr w:rsidR="00323207" w:rsidRPr="00323207" w14:paraId="776BD7B4" w14:textId="77777777" w:rsidTr="003338CB">
        <w:tc>
          <w:tcPr>
            <w:tcW w:w="0" w:type="auto"/>
            <w:gridSpan w:val="2"/>
          </w:tcPr>
          <w:p w14:paraId="23CFD6B0" w14:textId="77777777" w:rsidR="00323207" w:rsidRPr="00F931D9" w:rsidRDefault="00323207" w:rsidP="00323207">
            <w:pPr>
              <w:spacing w:after="0" w:line="240" w:lineRule="auto"/>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Lytinės sistemos ir krūties sutrikimai</w:t>
            </w:r>
          </w:p>
        </w:tc>
      </w:tr>
      <w:tr w:rsidR="00323207" w:rsidRPr="00323207" w14:paraId="0E513386" w14:textId="77777777" w:rsidTr="003338CB">
        <w:tc>
          <w:tcPr>
            <w:tcW w:w="1595" w:type="dxa"/>
          </w:tcPr>
          <w:p w14:paraId="7F3F1650"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Reti</w:t>
            </w:r>
          </w:p>
        </w:tc>
        <w:tc>
          <w:tcPr>
            <w:tcW w:w="7476" w:type="dxa"/>
          </w:tcPr>
          <w:p w14:paraId="3247FA11"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Mėnesinių sutrikimas, </w:t>
            </w:r>
            <w:proofErr w:type="spellStart"/>
            <w:r w:rsidRPr="00F931D9">
              <w:rPr>
                <w:rFonts w:ascii="Times New Roman" w:hAnsi="Times New Roman"/>
                <w:kern w:val="0"/>
                <w:sz w:val="22"/>
                <w:lang w:val="lt-LT"/>
                <w14:ligatures w14:val="none"/>
              </w:rPr>
              <w:t>ginekomastija</w:t>
            </w:r>
            <w:proofErr w:type="spellEnd"/>
          </w:p>
        </w:tc>
      </w:tr>
      <w:tr w:rsidR="00323207" w:rsidRPr="00323207" w14:paraId="106FAA94" w14:textId="77777777" w:rsidTr="003338CB">
        <w:tc>
          <w:tcPr>
            <w:tcW w:w="0" w:type="auto"/>
            <w:gridSpan w:val="2"/>
          </w:tcPr>
          <w:p w14:paraId="5C324AE2" w14:textId="77777777" w:rsidR="00323207" w:rsidRPr="00F931D9" w:rsidRDefault="00323207" w:rsidP="00323207">
            <w:pPr>
              <w:spacing w:after="0" w:line="240" w:lineRule="auto"/>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Bendrieji sutrikimai ir vartojimo vietos pažeidimai</w:t>
            </w:r>
          </w:p>
        </w:tc>
      </w:tr>
      <w:tr w:rsidR="00323207" w:rsidRPr="00323207" w14:paraId="62701252" w14:textId="77777777" w:rsidTr="003338CB">
        <w:tc>
          <w:tcPr>
            <w:tcW w:w="1595" w:type="dxa"/>
          </w:tcPr>
          <w:p w14:paraId="26EFA784"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Dažni</w:t>
            </w:r>
          </w:p>
        </w:tc>
        <w:tc>
          <w:tcPr>
            <w:tcW w:w="7476" w:type="dxa"/>
          </w:tcPr>
          <w:p w14:paraId="52FA2BD3"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Karščiavimas, nuovargis</w:t>
            </w:r>
          </w:p>
        </w:tc>
      </w:tr>
      <w:tr w:rsidR="00323207" w:rsidRPr="00323207" w14:paraId="36008313" w14:textId="77777777" w:rsidTr="003338CB">
        <w:tc>
          <w:tcPr>
            <w:tcW w:w="1595" w:type="dxa"/>
          </w:tcPr>
          <w:p w14:paraId="007BB75F"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Nedažni</w:t>
            </w:r>
          </w:p>
        </w:tc>
        <w:tc>
          <w:tcPr>
            <w:tcW w:w="7476" w:type="dxa"/>
          </w:tcPr>
          <w:p w14:paraId="25367A5A"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Edema, svorio padidėjimas</w:t>
            </w:r>
          </w:p>
        </w:tc>
      </w:tr>
    </w:tbl>
    <w:p w14:paraId="4CB12D9B"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Vaistinį preparatą pateikus į rinką praneštos nepageidaujamos reakcijos, kurių dažnis nežinomas, nes nepakanka duomenų.</w:t>
      </w:r>
    </w:p>
    <w:p w14:paraId="442F7038"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vertAlign w:val="superscript"/>
          <w:lang w:val="lt-LT"/>
          <w14:ligatures w14:val="none"/>
        </w:rPr>
        <w:t>#</w:t>
      </w:r>
      <w:r w:rsidRPr="00F931D9">
        <w:rPr>
          <w:rFonts w:ascii="Times New Roman" w:hAnsi="Times New Roman"/>
          <w:kern w:val="0"/>
          <w:sz w:val="22"/>
          <w:lang w:val="lt-LT"/>
          <w14:ligatures w14:val="none"/>
        </w:rPr>
        <w:t xml:space="preserve"> Po vaistinio preparato pateikimo rinkai gauta pranešimų apie dideles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dozes vartojusiems pacientams nustatyto klausos sutrikimo atvejus.</w:t>
      </w:r>
    </w:p>
    <w:p w14:paraId="6AF0F72C" w14:textId="77777777" w:rsidR="00323207" w:rsidRPr="00F931D9" w:rsidRDefault="00323207" w:rsidP="00323207">
      <w:pPr>
        <w:spacing w:after="0" w:line="240" w:lineRule="auto"/>
        <w:rPr>
          <w:rFonts w:ascii="Times New Roman" w:hAnsi="Times New Roman"/>
          <w:kern w:val="0"/>
          <w:sz w:val="22"/>
          <w:lang w:val="lt-LT"/>
          <w14:ligatures w14:val="none"/>
        </w:rPr>
      </w:pPr>
    </w:p>
    <w:p w14:paraId="3947433A" w14:textId="77777777" w:rsidR="00323207" w:rsidRPr="00F931D9" w:rsidRDefault="00323207" w:rsidP="00323207">
      <w:pPr>
        <w:spacing w:after="0" w:line="240" w:lineRule="auto"/>
        <w:rPr>
          <w:rFonts w:ascii="Times New Roman" w:hAnsi="Times New Roman"/>
          <w:kern w:val="0"/>
          <w:sz w:val="22"/>
          <w:u w:val="single"/>
          <w:lang w:val="lt-LT"/>
          <w14:ligatures w14:val="none"/>
        </w:rPr>
      </w:pPr>
      <w:r w:rsidRPr="00F931D9">
        <w:rPr>
          <w:rFonts w:ascii="Times New Roman" w:hAnsi="Times New Roman"/>
          <w:kern w:val="0"/>
          <w:sz w:val="22"/>
          <w:u w:val="single"/>
          <w:lang w:val="lt-LT"/>
          <w14:ligatures w14:val="none"/>
        </w:rPr>
        <w:t>Kitos nepageidaujamos reakcijos, praneštos vaistinį preparatą pateikus į rinką</w:t>
      </w:r>
    </w:p>
    <w:p w14:paraId="7DEAE5CD"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Vaistinį preparatą pateikus į rinką, sužinota ar gauta spontaninių pranešimų apie </w:t>
      </w:r>
      <w:proofErr w:type="spellStart"/>
      <w:r w:rsidRPr="00F931D9">
        <w:rPr>
          <w:rFonts w:ascii="Times New Roman" w:hAnsi="Times New Roman"/>
          <w:kern w:val="0"/>
          <w:sz w:val="22"/>
          <w:lang w:val="lt-LT"/>
          <w14:ligatures w14:val="none"/>
        </w:rPr>
        <w:t>ciklosporinu</w:t>
      </w:r>
      <w:proofErr w:type="spellEnd"/>
      <w:r w:rsidRPr="00F931D9">
        <w:rPr>
          <w:rFonts w:ascii="Times New Roman" w:hAnsi="Times New Roman"/>
          <w:kern w:val="0"/>
          <w:sz w:val="22"/>
          <w:lang w:val="lt-LT"/>
          <w14:ligatures w14:val="none"/>
        </w:rPr>
        <w:t xml:space="preserve"> gydytiems pacientams pasireiškusius toksinio poveikio kepenims ir kepenų pažeidimo, įskaitant </w:t>
      </w:r>
      <w:proofErr w:type="spellStart"/>
      <w:r w:rsidRPr="00F931D9">
        <w:rPr>
          <w:rFonts w:ascii="Times New Roman" w:hAnsi="Times New Roman"/>
          <w:kern w:val="0"/>
          <w:sz w:val="22"/>
          <w:lang w:val="lt-LT"/>
          <w14:ligatures w14:val="none"/>
        </w:rPr>
        <w:t>cholestazės</w:t>
      </w:r>
      <w:proofErr w:type="spellEnd"/>
      <w:r w:rsidRPr="00F931D9">
        <w:rPr>
          <w:rFonts w:ascii="Times New Roman" w:hAnsi="Times New Roman"/>
          <w:kern w:val="0"/>
          <w:sz w:val="22"/>
          <w:lang w:val="lt-LT"/>
          <w14:ligatures w14:val="none"/>
        </w:rPr>
        <w:t>, geltos, hepatito ir kepenų nepakankamumo, atvejus. Daugeliu praneštų atvejų pacientai sirgo ir kitomis reikšmingomis ligomis ar jiems buvo kitų tokius sutrikimus galinčių lemti būklių bei buvo kitų netikslų vertinimą galinčių lemti veiksnių, įskaitant infekcines komplikacijas ir kartu vartojamus kitus toksinį poveikį kepenims galinčius sukelti vaistinius preparatus. Kai kuriais atvejais, daugiausia pacientams po transplantacijos, pranešta apie mirtį lėmusius poveikius (žr. 4.4 skyrių).</w:t>
      </w:r>
    </w:p>
    <w:p w14:paraId="377EF298" w14:textId="77777777" w:rsidR="00323207" w:rsidRPr="00F931D9" w:rsidRDefault="00323207" w:rsidP="00323207">
      <w:pPr>
        <w:spacing w:after="0" w:line="240" w:lineRule="auto"/>
        <w:rPr>
          <w:rFonts w:ascii="Times New Roman" w:hAnsi="Times New Roman"/>
          <w:kern w:val="0"/>
          <w:sz w:val="22"/>
          <w:lang w:val="lt-LT"/>
          <w14:ligatures w14:val="none"/>
        </w:rPr>
      </w:pPr>
    </w:p>
    <w:p w14:paraId="1C2D7448" w14:textId="77777777" w:rsidR="00323207" w:rsidRPr="00F931D9" w:rsidRDefault="00323207" w:rsidP="00323207">
      <w:pPr>
        <w:spacing w:after="0" w:line="240" w:lineRule="auto"/>
        <w:rPr>
          <w:rFonts w:ascii="Times New Roman" w:hAnsi="Times New Roman"/>
          <w:kern w:val="0"/>
          <w:sz w:val="22"/>
          <w:u w:val="single"/>
          <w:lang w:val="lt-LT"/>
          <w14:ligatures w14:val="none"/>
        </w:rPr>
      </w:pPr>
      <w:r w:rsidRPr="00F931D9">
        <w:rPr>
          <w:rFonts w:ascii="Times New Roman" w:hAnsi="Times New Roman"/>
          <w:kern w:val="0"/>
          <w:sz w:val="22"/>
          <w:u w:val="single"/>
          <w:lang w:val="lt-LT"/>
          <w14:ligatures w14:val="none"/>
        </w:rPr>
        <w:t>Ūminis ir lėtinis toksinis poveikis inkstams</w:t>
      </w:r>
    </w:p>
    <w:p w14:paraId="16D2B770"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Pacientai, kuriems skiriama </w:t>
      </w:r>
      <w:proofErr w:type="spellStart"/>
      <w:r w:rsidRPr="00F931D9">
        <w:rPr>
          <w:rFonts w:ascii="Times New Roman" w:hAnsi="Times New Roman"/>
          <w:kern w:val="0"/>
          <w:sz w:val="22"/>
          <w:lang w:val="lt-LT"/>
          <w14:ligatures w14:val="none"/>
        </w:rPr>
        <w:t>kalcineurino</w:t>
      </w:r>
      <w:proofErr w:type="spellEnd"/>
      <w:r w:rsidRPr="00F931D9">
        <w:rPr>
          <w:rFonts w:ascii="Times New Roman" w:hAnsi="Times New Roman"/>
          <w:kern w:val="0"/>
          <w:sz w:val="22"/>
          <w:lang w:val="lt-LT"/>
          <w14:ligatures w14:val="none"/>
        </w:rPr>
        <w:t xml:space="preserve"> inhibitorių (KNI), įskaitant </w:t>
      </w:r>
      <w:proofErr w:type="spellStart"/>
      <w:r w:rsidRPr="00F931D9">
        <w:rPr>
          <w:rFonts w:ascii="Times New Roman" w:hAnsi="Times New Roman"/>
          <w:color w:val="000000"/>
          <w:kern w:val="0"/>
          <w:sz w:val="22"/>
          <w:lang w:val="lt-LT"/>
          <w14:ligatures w14:val="none"/>
        </w:rPr>
        <w:t>ciklosporino</w:t>
      </w:r>
      <w:proofErr w:type="spellEnd"/>
      <w:r w:rsidRPr="00F931D9">
        <w:rPr>
          <w:rFonts w:ascii="Times New Roman" w:hAnsi="Times New Roman"/>
          <w:color w:val="000000"/>
          <w:kern w:val="0"/>
          <w:sz w:val="22"/>
          <w:lang w:val="lt-LT"/>
          <w14:ligatures w14:val="none"/>
        </w:rPr>
        <w:t xml:space="preserve"> ar vaistinių preparatų derinių su </w:t>
      </w:r>
      <w:proofErr w:type="spellStart"/>
      <w:r w:rsidRPr="00F931D9">
        <w:rPr>
          <w:rFonts w:ascii="Times New Roman" w:hAnsi="Times New Roman"/>
          <w:color w:val="000000"/>
          <w:kern w:val="0"/>
          <w:sz w:val="22"/>
          <w:lang w:val="lt-LT"/>
          <w14:ligatures w14:val="none"/>
        </w:rPr>
        <w:t>ciklosporinu</w:t>
      </w:r>
      <w:proofErr w:type="spellEnd"/>
      <w:r w:rsidRPr="00F931D9">
        <w:rPr>
          <w:rFonts w:ascii="Times New Roman" w:hAnsi="Times New Roman"/>
          <w:color w:val="000000"/>
          <w:kern w:val="0"/>
          <w:sz w:val="22"/>
          <w:lang w:val="lt-LT"/>
          <w14:ligatures w14:val="none"/>
        </w:rPr>
        <w:t xml:space="preserve">, padidėja ūminio arba lėtinio toksinio poveikio inkstams pasireiškimo rizika. Klinikinių tyrimų metu ir vaistiniam preparatui patekus į rinką gauta pranešimų apie tokį poveikį vartojant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Ūminio </w:t>
      </w:r>
      <w:r w:rsidRPr="00F931D9">
        <w:rPr>
          <w:rFonts w:ascii="Times New Roman" w:hAnsi="Times New Roman"/>
          <w:color w:val="000000"/>
          <w:kern w:val="0"/>
          <w:sz w:val="22"/>
          <w:lang w:val="lt-LT"/>
          <w14:ligatures w14:val="none"/>
        </w:rPr>
        <w:t xml:space="preserve">toksinio poveikio inkstams atveju pasireiškė jonų homeostazės sutrikimų, pavyzdžiui, </w:t>
      </w:r>
      <w:proofErr w:type="spellStart"/>
      <w:r w:rsidRPr="00F931D9">
        <w:rPr>
          <w:rFonts w:ascii="Times New Roman" w:hAnsi="Times New Roman"/>
          <w:kern w:val="0"/>
          <w:sz w:val="22"/>
          <w:lang w:val="lt-LT"/>
          <w14:ligatures w14:val="none"/>
        </w:rPr>
        <w:t>hiperkalemija</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hipomagnezemija</w:t>
      </w:r>
      <w:proofErr w:type="spellEnd"/>
      <w:r w:rsidRPr="00F931D9">
        <w:rPr>
          <w:rFonts w:ascii="Times New Roman" w:hAnsi="Times New Roman"/>
          <w:kern w:val="0"/>
          <w:sz w:val="22"/>
          <w:lang w:val="lt-LT"/>
          <w14:ligatures w14:val="none"/>
        </w:rPr>
        <w:t xml:space="preserve"> ir </w:t>
      </w:r>
      <w:proofErr w:type="spellStart"/>
      <w:r w:rsidRPr="00F931D9">
        <w:rPr>
          <w:rFonts w:ascii="Times New Roman" w:hAnsi="Times New Roman"/>
          <w:kern w:val="0"/>
          <w:sz w:val="22"/>
          <w:lang w:val="lt-LT"/>
          <w14:ligatures w14:val="none"/>
        </w:rPr>
        <w:t>hiperkalcemija</w:t>
      </w:r>
      <w:proofErr w:type="spellEnd"/>
      <w:r w:rsidRPr="00F931D9">
        <w:rPr>
          <w:rFonts w:ascii="Times New Roman" w:hAnsi="Times New Roman"/>
          <w:kern w:val="0"/>
          <w:sz w:val="22"/>
          <w:lang w:val="lt-LT"/>
          <w14:ligatures w14:val="none"/>
        </w:rPr>
        <w:t xml:space="preserve">. Pastebėta lėtinių morfologinių pokyčių, įskaitant </w:t>
      </w:r>
      <w:proofErr w:type="spellStart"/>
      <w:r w:rsidRPr="00F931D9">
        <w:rPr>
          <w:rFonts w:ascii="Times New Roman" w:hAnsi="Times New Roman"/>
          <w:kern w:val="0"/>
          <w:sz w:val="22"/>
          <w:lang w:val="lt-LT"/>
          <w14:ligatures w14:val="none"/>
        </w:rPr>
        <w:t>arteriolių</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hialinozę</w:t>
      </w:r>
      <w:proofErr w:type="spellEnd"/>
      <w:r w:rsidRPr="00F931D9">
        <w:rPr>
          <w:rFonts w:ascii="Times New Roman" w:hAnsi="Times New Roman"/>
          <w:kern w:val="0"/>
          <w:sz w:val="22"/>
          <w:lang w:val="lt-LT"/>
          <w14:ligatures w14:val="none"/>
        </w:rPr>
        <w:t xml:space="preserve">, inkstų kanalėlių atrofiją ir </w:t>
      </w:r>
      <w:proofErr w:type="spellStart"/>
      <w:r w:rsidRPr="00F931D9">
        <w:rPr>
          <w:rFonts w:ascii="Times New Roman" w:hAnsi="Times New Roman"/>
          <w:kern w:val="0"/>
          <w:sz w:val="22"/>
          <w:lang w:val="lt-LT"/>
          <w14:ligatures w14:val="none"/>
        </w:rPr>
        <w:t>intersticinę</w:t>
      </w:r>
      <w:proofErr w:type="spellEnd"/>
      <w:r w:rsidRPr="00F931D9">
        <w:rPr>
          <w:rFonts w:ascii="Times New Roman" w:hAnsi="Times New Roman"/>
          <w:kern w:val="0"/>
          <w:sz w:val="22"/>
          <w:lang w:val="lt-LT"/>
          <w14:ligatures w14:val="none"/>
        </w:rPr>
        <w:t xml:space="preserve"> fibrozę (žr. 4.4 skyrių).</w:t>
      </w:r>
    </w:p>
    <w:p w14:paraId="2CD40FE4" w14:textId="77777777" w:rsidR="00323207" w:rsidRPr="00F931D9" w:rsidRDefault="00323207" w:rsidP="00323207">
      <w:pPr>
        <w:spacing w:after="0" w:line="240" w:lineRule="auto"/>
        <w:rPr>
          <w:rFonts w:ascii="Times New Roman" w:hAnsi="Times New Roman"/>
          <w:kern w:val="0"/>
          <w:sz w:val="22"/>
          <w:lang w:val="lt-LT"/>
          <w14:ligatures w14:val="none"/>
        </w:rPr>
      </w:pPr>
    </w:p>
    <w:p w14:paraId="5E726D40" w14:textId="77777777" w:rsidR="00323207" w:rsidRPr="00F931D9" w:rsidRDefault="00323207" w:rsidP="00323207">
      <w:pPr>
        <w:spacing w:after="0" w:line="240" w:lineRule="auto"/>
        <w:rPr>
          <w:rFonts w:ascii="Times New Roman" w:hAnsi="Times New Roman"/>
          <w:kern w:val="0"/>
          <w:sz w:val="22"/>
          <w:u w:val="single"/>
          <w:lang w:val="lt-LT"/>
          <w14:ligatures w14:val="none"/>
        </w:rPr>
      </w:pPr>
      <w:r w:rsidRPr="00F931D9">
        <w:rPr>
          <w:rFonts w:ascii="Times New Roman" w:hAnsi="Times New Roman"/>
          <w:kern w:val="0"/>
          <w:sz w:val="22"/>
          <w:u w:val="single"/>
          <w:lang w:val="lt-LT"/>
          <w14:ligatures w14:val="none"/>
        </w:rPr>
        <w:t>Apatinių galūnių skausmas</w:t>
      </w:r>
    </w:p>
    <w:p w14:paraId="66D61EC4"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Gauta pavienių pranešimų apie apatinių galūnių skausmo atvejus vartojant </w:t>
      </w:r>
      <w:proofErr w:type="spellStart"/>
      <w:r w:rsidRPr="00F931D9">
        <w:rPr>
          <w:rFonts w:ascii="Times New Roman" w:hAnsi="Times New Roman"/>
          <w:kern w:val="0"/>
          <w:sz w:val="22"/>
          <w:lang w:val="lt-LT"/>
          <w14:ligatures w14:val="none"/>
        </w:rPr>
        <w:t>ciklosporiną</w:t>
      </w:r>
      <w:proofErr w:type="spellEnd"/>
      <w:r w:rsidRPr="00F931D9">
        <w:rPr>
          <w:rFonts w:ascii="Times New Roman" w:hAnsi="Times New Roman"/>
          <w:kern w:val="0"/>
          <w:sz w:val="22"/>
          <w:lang w:val="lt-LT"/>
          <w14:ligatures w14:val="none"/>
        </w:rPr>
        <w:t xml:space="preserve">. Apatinių galūnių skausmas gali būti kaip </w:t>
      </w:r>
      <w:proofErr w:type="spellStart"/>
      <w:r w:rsidRPr="00F931D9">
        <w:rPr>
          <w:rFonts w:ascii="Times New Roman" w:hAnsi="Times New Roman"/>
          <w:kern w:val="0"/>
          <w:sz w:val="22"/>
          <w:lang w:val="lt-LT"/>
          <w14:ligatures w14:val="none"/>
        </w:rPr>
        <w:t>kalcineurino</w:t>
      </w:r>
      <w:proofErr w:type="spellEnd"/>
      <w:r w:rsidRPr="00F931D9">
        <w:rPr>
          <w:rFonts w:ascii="Times New Roman" w:hAnsi="Times New Roman"/>
          <w:kern w:val="0"/>
          <w:sz w:val="22"/>
          <w:lang w:val="lt-LT"/>
          <w14:ligatures w14:val="none"/>
        </w:rPr>
        <w:t xml:space="preserve"> inhibitoriaus sukeltas skausminio sindromo (</w:t>
      </w:r>
      <w:r w:rsidRPr="00F931D9">
        <w:rPr>
          <w:rFonts w:ascii="Times New Roman" w:hAnsi="Times New Roman"/>
          <w:i/>
          <w:kern w:val="0"/>
          <w:sz w:val="22"/>
          <w:lang w:val="lt-LT"/>
          <w14:ligatures w14:val="none"/>
        </w:rPr>
        <w:t>CIPS</w:t>
      </w:r>
      <w:r w:rsidRPr="00F931D9">
        <w:rPr>
          <w:rFonts w:ascii="Times New Roman" w:hAnsi="Times New Roman"/>
          <w:kern w:val="0"/>
          <w:sz w:val="22"/>
          <w:lang w:val="lt-LT"/>
          <w14:ligatures w14:val="none"/>
        </w:rPr>
        <w:t>) požymis.</w:t>
      </w:r>
    </w:p>
    <w:p w14:paraId="3F674255" w14:textId="77777777" w:rsidR="00323207" w:rsidRPr="00F931D9" w:rsidRDefault="00323207" w:rsidP="00323207">
      <w:pPr>
        <w:spacing w:after="0" w:line="240" w:lineRule="auto"/>
        <w:rPr>
          <w:rFonts w:ascii="Times New Roman" w:hAnsi="Times New Roman"/>
          <w:kern w:val="0"/>
          <w:sz w:val="22"/>
          <w:lang w:val="lt-LT"/>
          <w14:ligatures w14:val="none"/>
        </w:rPr>
      </w:pPr>
    </w:p>
    <w:p w14:paraId="77689DC1" w14:textId="77777777" w:rsidR="00323207" w:rsidRPr="00F931D9" w:rsidRDefault="00323207" w:rsidP="00323207">
      <w:pPr>
        <w:spacing w:after="0" w:line="240" w:lineRule="auto"/>
        <w:rPr>
          <w:rFonts w:ascii="Times New Roman" w:hAnsi="Times New Roman"/>
          <w:kern w:val="0"/>
          <w:sz w:val="22"/>
          <w:u w:val="single"/>
          <w:lang w:val="lt-LT"/>
          <w14:ligatures w14:val="none"/>
        </w:rPr>
      </w:pPr>
      <w:r w:rsidRPr="00F931D9">
        <w:rPr>
          <w:rFonts w:ascii="Times New Roman" w:hAnsi="Times New Roman"/>
          <w:kern w:val="0"/>
          <w:sz w:val="22"/>
          <w:u w:val="single"/>
          <w:lang w:val="lt-LT"/>
          <w14:ligatures w14:val="none"/>
        </w:rPr>
        <w:t>Vaikų populiacija</w:t>
      </w:r>
    </w:p>
    <w:p w14:paraId="0378DE04"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Į klinikinius tyrimus buvo įtraukti vyresni kaip 1 metų vaikai, jiems buvo skiriamos įprastos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dozės; o saugumo savybės buvo panašios į suaugusiųjų duomenis.</w:t>
      </w:r>
    </w:p>
    <w:p w14:paraId="4EE9FE51" w14:textId="77777777" w:rsidR="00323207" w:rsidRPr="00F931D9" w:rsidRDefault="00323207" w:rsidP="00323207">
      <w:pPr>
        <w:autoSpaceDE w:val="0"/>
        <w:autoSpaceDN w:val="0"/>
        <w:adjustRightInd w:val="0"/>
        <w:spacing w:after="0" w:line="240" w:lineRule="auto"/>
        <w:rPr>
          <w:rFonts w:ascii="Times New Roman" w:hAnsi="Times New Roman"/>
          <w:kern w:val="0"/>
          <w:sz w:val="22"/>
          <w:u w:val="single"/>
          <w:lang w:val="lt-LT"/>
          <w14:ligatures w14:val="none"/>
        </w:rPr>
      </w:pPr>
    </w:p>
    <w:p w14:paraId="01CE527B" w14:textId="77777777" w:rsidR="00323207" w:rsidRPr="00F931D9" w:rsidRDefault="00323207" w:rsidP="00323207">
      <w:pPr>
        <w:tabs>
          <w:tab w:val="left" w:pos="567"/>
        </w:tabs>
        <w:autoSpaceDE w:val="0"/>
        <w:autoSpaceDN w:val="0"/>
        <w:adjustRightInd w:val="0"/>
        <w:spacing w:after="0" w:line="260" w:lineRule="exact"/>
        <w:jc w:val="both"/>
        <w:rPr>
          <w:rFonts w:ascii="Times New Roman" w:hAnsi="Times New Roman"/>
          <w:kern w:val="0"/>
          <w:sz w:val="22"/>
          <w:u w:val="single"/>
          <w:lang w:val="lt-LT"/>
          <w14:ligatures w14:val="none"/>
        </w:rPr>
      </w:pPr>
      <w:r w:rsidRPr="00F931D9">
        <w:rPr>
          <w:rFonts w:ascii="Times New Roman" w:hAnsi="Times New Roman"/>
          <w:kern w:val="0"/>
          <w:sz w:val="22"/>
          <w:u w:val="single"/>
          <w:lang w:val="lt-LT"/>
          <w14:ligatures w14:val="none"/>
        </w:rPr>
        <w:t>Pranešimas apie įtariamas nepageidaujamas reakcijas</w:t>
      </w:r>
    </w:p>
    <w:p w14:paraId="633EDF1F"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7E028911" w14:textId="77777777" w:rsidR="00323207" w:rsidRPr="00F931D9" w:rsidRDefault="00323207" w:rsidP="00323207">
      <w:pPr>
        <w:spacing w:after="0" w:line="240" w:lineRule="auto"/>
        <w:ind w:left="562" w:hanging="562"/>
        <w:rPr>
          <w:rFonts w:ascii="Times New Roman" w:hAnsi="Times New Roman"/>
          <w:b/>
          <w:kern w:val="0"/>
          <w:sz w:val="22"/>
          <w:lang w:val="lt-LT"/>
          <w14:ligatures w14:val="none"/>
        </w:rPr>
      </w:pPr>
    </w:p>
    <w:p w14:paraId="42515C18" w14:textId="77777777" w:rsidR="00323207" w:rsidRPr="00F931D9" w:rsidRDefault="00323207" w:rsidP="00323207">
      <w:pPr>
        <w:spacing w:after="0" w:line="240" w:lineRule="auto"/>
        <w:ind w:left="562" w:hanging="562"/>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4.9</w:t>
      </w:r>
      <w:r w:rsidRPr="00F931D9">
        <w:rPr>
          <w:rFonts w:ascii="Times New Roman" w:hAnsi="Times New Roman"/>
          <w:b/>
          <w:kern w:val="0"/>
          <w:sz w:val="22"/>
          <w:lang w:val="lt-LT"/>
          <w14:ligatures w14:val="none"/>
        </w:rPr>
        <w:tab/>
        <w:t>Perdozavimas</w:t>
      </w:r>
    </w:p>
    <w:p w14:paraId="4646D591" w14:textId="77777777" w:rsidR="00323207" w:rsidRPr="00F931D9" w:rsidRDefault="00323207" w:rsidP="00323207">
      <w:pPr>
        <w:spacing w:after="0" w:line="240" w:lineRule="auto"/>
        <w:ind w:left="562" w:hanging="562"/>
        <w:rPr>
          <w:rFonts w:ascii="Times New Roman" w:hAnsi="Times New Roman"/>
          <w:kern w:val="0"/>
          <w:sz w:val="22"/>
          <w:lang w:val="lt-LT"/>
          <w14:ligatures w14:val="none"/>
        </w:rPr>
      </w:pPr>
    </w:p>
    <w:p w14:paraId="267BF524"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Per burną vartojamo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LD</w:t>
      </w:r>
      <w:r w:rsidRPr="00F931D9">
        <w:rPr>
          <w:rFonts w:ascii="Times New Roman" w:hAnsi="Times New Roman"/>
          <w:kern w:val="0"/>
          <w:sz w:val="22"/>
          <w:vertAlign w:val="subscript"/>
          <w:lang w:val="lt-LT"/>
          <w14:ligatures w14:val="none"/>
        </w:rPr>
        <w:t>50</w:t>
      </w:r>
      <w:r w:rsidRPr="00F931D9">
        <w:rPr>
          <w:rFonts w:ascii="Times New Roman" w:hAnsi="Times New Roman"/>
          <w:kern w:val="0"/>
          <w:sz w:val="22"/>
          <w:lang w:val="lt-LT"/>
          <w14:ligatures w14:val="none"/>
        </w:rPr>
        <w:t xml:space="preserve"> pelėms yra 2 329 mg/kg kūno svorio, žiurkėms – 1 480 mg/kg kūno svorio, triušiams – daugiau negu 1 000 mg/kg kūno svorio, jei jo suleidžiama į veną, LD</w:t>
      </w:r>
      <w:r w:rsidRPr="00F931D9">
        <w:rPr>
          <w:rFonts w:ascii="Times New Roman" w:hAnsi="Times New Roman"/>
          <w:kern w:val="0"/>
          <w:sz w:val="22"/>
          <w:vertAlign w:val="subscript"/>
          <w:lang w:val="lt-LT"/>
          <w14:ligatures w14:val="none"/>
        </w:rPr>
        <w:t>50</w:t>
      </w:r>
      <w:r w:rsidRPr="00F931D9">
        <w:rPr>
          <w:rFonts w:ascii="Times New Roman" w:hAnsi="Times New Roman"/>
          <w:kern w:val="0"/>
          <w:sz w:val="22"/>
          <w:lang w:val="lt-LT"/>
          <w14:ligatures w14:val="none"/>
        </w:rPr>
        <w:t xml:space="preserve"> pelėms yra 148 mg/kg kūno svorio, žiurkėms – 104 mg/kg kūno svorio, triušiams – 46 mg/kg kūno svorio.</w:t>
      </w:r>
    </w:p>
    <w:p w14:paraId="7C783B45" w14:textId="77777777" w:rsidR="00323207" w:rsidRPr="00F931D9" w:rsidRDefault="00323207" w:rsidP="00323207">
      <w:pPr>
        <w:spacing w:after="0" w:line="240" w:lineRule="auto"/>
        <w:rPr>
          <w:rFonts w:ascii="Times New Roman" w:hAnsi="Times New Roman"/>
          <w:kern w:val="0"/>
          <w:sz w:val="22"/>
          <w:lang w:val="lt-LT"/>
          <w14:ligatures w14:val="none"/>
        </w:rPr>
      </w:pPr>
    </w:p>
    <w:p w14:paraId="2B86B410" w14:textId="77777777" w:rsidR="00323207" w:rsidRPr="00F931D9" w:rsidRDefault="00323207" w:rsidP="00323207">
      <w:pPr>
        <w:keepNext/>
        <w:spacing w:after="0" w:line="240" w:lineRule="auto"/>
        <w:rPr>
          <w:rFonts w:ascii="Times New Roman" w:hAnsi="Times New Roman"/>
          <w:kern w:val="0"/>
          <w:sz w:val="22"/>
          <w:u w:val="single"/>
          <w:lang w:val="lt-LT"/>
          <w14:ligatures w14:val="none"/>
        </w:rPr>
      </w:pPr>
      <w:r w:rsidRPr="00F931D9">
        <w:rPr>
          <w:rFonts w:ascii="Times New Roman" w:hAnsi="Times New Roman"/>
          <w:kern w:val="0"/>
          <w:sz w:val="22"/>
          <w:u w:val="single"/>
          <w:lang w:val="lt-LT"/>
          <w14:ligatures w14:val="none"/>
        </w:rPr>
        <w:lastRenderedPageBreak/>
        <w:t>Simptomai</w:t>
      </w:r>
    </w:p>
    <w:p w14:paraId="69B6962A"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Ūminio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perdozavimo patirties yra nedaug. Ne didesnės kaip 10 g (apie 150 mg/kg kūno svorio) per burną vartojamos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dozės buvo gerai toleruojamos, ir pasireiškė sąlyginai mažai klinikinių pasekmių, tokių kaip, vėmimas, mieguistumas, galvos skausmas, tachikardija ir, keliems pacientams, vidutiniškai sunkus grįžtamas inkstų funkcijos sutrikimas. Tačiau gauta pranešimų apie sunkius intoksikacijos požymius neišnešiotiems naujagimiams, kuriems buvo atsitiktinai perdozuotas </w:t>
      </w:r>
      <w:proofErr w:type="spellStart"/>
      <w:r w:rsidRPr="00F931D9">
        <w:rPr>
          <w:rFonts w:ascii="Times New Roman" w:hAnsi="Times New Roman"/>
          <w:kern w:val="0"/>
          <w:sz w:val="22"/>
          <w:lang w:val="lt-LT"/>
          <w14:ligatures w14:val="none"/>
        </w:rPr>
        <w:t>parenteraliai</w:t>
      </w:r>
      <w:proofErr w:type="spellEnd"/>
      <w:r w:rsidRPr="00F931D9">
        <w:rPr>
          <w:rFonts w:ascii="Times New Roman" w:hAnsi="Times New Roman"/>
          <w:kern w:val="0"/>
          <w:sz w:val="22"/>
          <w:lang w:val="lt-LT"/>
          <w14:ligatures w14:val="none"/>
        </w:rPr>
        <w:t xml:space="preserve"> skirtas </w:t>
      </w:r>
      <w:proofErr w:type="spellStart"/>
      <w:r w:rsidRPr="00F931D9">
        <w:rPr>
          <w:rFonts w:ascii="Times New Roman" w:hAnsi="Times New Roman"/>
          <w:kern w:val="0"/>
          <w:sz w:val="22"/>
          <w:lang w:val="lt-LT"/>
          <w14:ligatures w14:val="none"/>
        </w:rPr>
        <w:t>ciklosporinas</w:t>
      </w:r>
      <w:proofErr w:type="spellEnd"/>
      <w:r w:rsidRPr="00F931D9">
        <w:rPr>
          <w:rFonts w:ascii="Times New Roman" w:hAnsi="Times New Roman"/>
          <w:kern w:val="0"/>
          <w:sz w:val="22"/>
          <w:lang w:val="lt-LT"/>
          <w14:ligatures w14:val="none"/>
        </w:rPr>
        <w:t>.</w:t>
      </w:r>
    </w:p>
    <w:p w14:paraId="1CABA69F" w14:textId="77777777" w:rsidR="00323207" w:rsidRPr="00F931D9" w:rsidRDefault="00323207" w:rsidP="00323207">
      <w:pPr>
        <w:spacing w:after="0" w:line="240" w:lineRule="auto"/>
        <w:rPr>
          <w:rFonts w:ascii="Times New Roman" w:hAnsi="Times New Roman"/>
          <w:kern w:val="0"/>
          <w:sz w:val="22"/>
          <w:lang w:val="lt-LT"/>
          <w14:ligatures w14:val="none"/>
        </w:rPr>
      </w:pPr>
    </w:p>
    <w:p w14:paraId="0023E1AE" w14:textId="77777777" w:rsidR="00323207" w:rsidRPr="00F931D9" w:rsidRDefault="00323207" w:rsidP="00323207">
      <w:pPr>
        <w:spacing w:after="0" w:line="240" w:lineRule="auto"/>
        <w:rPr>
          <w:rFonts w:ascii="Times New Roman" w:hAnsi="Times New Roman"/>
          <w:kern w:val="0"/>
          <w:sz w:val="22"/>
          <w:u w:val="single"/>
          <w:lang w:val="lt-LT"/>
          <w14:ligatures w14:val="none"/>
        </w:rPr>
      </w:pPr>
      <w:r w:rsidRPr="00F931D9">
        <w:rPr>
          <w:rFonts w:ascii="Times New Roman" w:hAnsi="Times New Roman"/>
          <w:kern w:val="0"/>
          <w:sz w:val="22"/>
          <w:u w:val="single"/>
          <w:lang w:val="lt-LT"/>
          <w14:ligatures w14:val="none"/>
        </w:rPr>
        <w:t>Gydymas</w:t>
      </w:r>
    </w:p>
    <w:p w14:paraId="7B95815C"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Visais atvejais turi būti taikomos įprastinės palaikomosios priemonės ir simptominis gydymas. Per pirmąsias kelias valandas po vaistinio preparato pavartojimo per burną gali būti naudinga skatinti vėmimą ar išplauti skrandį. Nei dializės metu, nei atliekant kraujo filtraciją per aktyvintą anglį nėra pašalinamas reikšmingas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kiekis.</w:t>
      </w:r>
    </w:p>
    <w:p w14:paraId="3190AC9F" w14:textId="77777777" w:rsidR="00323207" w:rsidRPr="00F931D9" w:rsidRDefault="00323207" w:rsidP="00323207">
      <w:pPr>
        <w:spacing w:after="0" w:line="240" w:lineRule="auto"/>
        <w:rPr>
          <w:rFonts w:ascii="Times New Roman" w:hAnsi="Times New Roman"/>
          <w:kern w:val="0"/>
          <w:sz w:val="22"/>
          <w:lang w:val="lt-LT"/>
          <w14:ligatures w14:val="none"/>
        </w:rPr>
      </w:pPr>
    </w:p>
    <w:p w14:paraId="163B1DEA" w14:textId="77777777" w:rsidR="00323207" w:rsidRPr="00F931D9" w:rsidRDefault="00323207" w:rsidP="00323207">
      <w:pPr>
        <w:spacing w:after="0" w:line="240" w:lineRule="auto"/>
        <w:rPr>
          <w:rFonts w:ascii="Times New Roman" w:hAnsi="Times New Roman"/>
          <w:kern w:val="0"/>
          <w:sz w:val="22"/>
          <w:lang w:val="lt-LT"/>
          <w14:ligatures w14:val="none"/>
        </w:rPr>
      </w:pPr>
    </w:p>
    <w:p w14:paraId="74F75ECA" w14:textId="77777777" w:rsidR="00323207" w:rsidRPr="00F931D9" w:rsidRDefault="00323207" w:rsidP="00323207">
      <w:pPr>
        <w:keepNext/>
        <w:spacing w:after="0" w:line="240" w:lineRule="auto"/>
        <w:ind w:left="562" w:hanging="562"/>
        <w:rPr>
          <w:rFonts w:ascii="Times New Roman" w:hAnsi="Times New Roman"/>
          <w:b/>
          <w:caps/>
          <w:kern w:val="0"/>
          <w:sz w:val="22"/>
          <w:lang w:val="lt-LT"/>
          <w14:ligatures w14:val="none"/>
        </w:rPr>
      </w:pPr>
      <w:r w:rsidRPr="00F931D9">
        <w:rPr>
          <w:rFonts w:ascii="Times New Roman" w:hAnsi="Times New Roman"/>
          <w:b/>
          <w:kern w:val="0"/>
          <w:sz w:val="22"/>
          <w:lang w:val="lt-LT"/>
          <w14:ligatures w14:val="none"/>
        </w:rPr>
        <w:t>5.</w:t>
      </w:r>
      <w:r w:rsidRPr="00F931D9">
        <w:rPr>
          <w:rFonts w:ascii="Times New Roman" w:hAnsi="Times New Roman"/>
          <w:b/>
          <w:kern w:val="0"/>
          <w:sz w:val="22"/>
          <w:lang w:val="lt-LT"/>
          <w14:ligatures w14:val="none"/>
        </w:rPr>
        <w:tab/>
        <w:t xml:space="preserve">FARMAKOLOGINĖS </w:t>
      </w:r>
      <w:r w:rsidRPr="00F931D9">
        <w:rPr>
          <w:rFonts w:ascii="Times New Roman" w:hAnsi="Times New Roman"/>
          <w:b/>
          <w:caps/>
          <w:kern w:val="0"/>
          <w:sz w:val="22"/>
          <w:lang w:val="lt-LT"/>
          <w14:ligatures w14:val="none"/>
        </w:rPr>
        <w:t>savybės</w:t>
      </w:r>
    </w:p>
    <w:p w14:paraId="50FC61D8" w14:textId="77777777" w:rsidR="00323207" w:rsidRPr="00F931D9" w:rsidRDefault="00323207" w:rsidP="00323207">
      <w:pPr>
        <w:keepNext/>
        <w:spacing w:after="0" w:line="240" w:lineRule="auto"/>
        <w:ind w:left="562" w:hanging="562"/>
        <w:rPr>
          <w:rFonts w:ascii="Times New Roman" w:hAnsi="Times New Roman"/>
          <w:kern w:val="0"/>
          <w:sz w:val="22"/>
          <w:lang w:val="lt-LT"/>
          <w14:ligatures w14:val="none"/>
        </w:rPr>
      </w:pPr>
    </w:p>
    <w:p w14:paraId="7D427C0C" w14:textId="77777777" w:rsidR="00323207" w:rsidRPr="00F931D9" w:rsidRDefault="00323207" w:rsidP="00323207">
      <w:pPr>
        <w:spacing w:after="0" w:line="240" w:lineRule="auto"/>
        <w:ind w:left="567" w:hanging="567"/>
        <w:rPr>
          <w:rFonts w:ascii="Times New Roman" w:hAnsi="Times New Roman"/>
          <w:kern w:val="0"/>
          <w:sz w:val="22"/>
          <w:lang w:val="lt-LT"/>
          <w14:ligatures w14:val="none"/>
        </w:rPr>
      </w:pPr>
      <w:r w:rsidRPr="00F931D9">
        <w:rPr>
          <w:rFonts w:ascii="Times New Roman" w:hAnsi="Times New Roman"/>
          <w:b/>
          <w:kern w:val="0"/>
          <w:sz w:val="22"/>
          <w:lang w:val="lt-LT"/>
          <w14:ligatures w14:val="none"/>
        </w:rPr>
        <w:t>5.1</w:t>
      </w:r>
      <w:r w:rsidRPr="00F931D9">
        <w:rPr>
          <w:rFonts w:ascii="Times New Roman" w:hAnsi="Times New Roman"/>
          <w:b/>
          <w:kern w:val="0"/>
          <w:sz w:val="22"/>
          <w:lang w:val="lt-LT"/>
          <w14:ligatures w14:val="none"/>
        </w:rPr>
        <w:tab/>
      </w:r>
      <w:proofErr w:type="spellStart"/>
      <w:r w:rsidRPr="00F931D9">
        <w:rPr>
          <w:rFonts w:ascii="Times New Roman" w:hAnsi="Times New Roman"/>
          <w:b/>
          <w:kern w:val="0"/>
          <w:sz w:val="22"/>
          <w:lang w:val="lt-LT"/>
          <w14:ligatures w14:val="none"/>
        </w:rPr>
        <w:t>Farmakodinaminės</w:t>
      </w:r>
      <w:proofErr w:type="spellEnd"/>
      <w:r w:rsidRPr="00F931D9">
        <w:rPr>
          <w:rFonts w:ascii="Times New Roman" w:hAnsi="Times New Roman"/>
          <w:b/>
          <w:kern w:val="0"/>
          <w:sz w:val="22"/>
          <w:lang w:val="lt-LT"/>
          <w14:ligatures w14:val="none"/>
        </w:rPr>
        <w:t xml:space="preserve"> savybės</w:t>
      </w:r>
    </w:p>
    <w:p w14:paraId="7A9DDDBA" w14:textId="77777777" w:rsidR="00323207" w:rsidRPr="00F931D9" w:rsidRDefault="00323207" w:rsidP="00323207">
      <w:pPr>
        <w:spacing w:after="0" w:line="240" w:lineRule="auto"/>
        <w:rPr>
          <w:rFonts w:ascii="Times New Roman" w:hAnsi="Times New Roman"/>
          <w:kern w:val="0"/>
          <w:sz w:val="22"/>
          <w:lang w:val="lt-LT"/>
          <w14:ligatures w14:val="none"/>
        </w:rPr>
      </w:pPr>
    </w:p>
    <w:p w14:paraId="15503510" w14:textId="77777777" w:rsidR="00323207" w:rsidRPr="00F931D9" w:rsidRDefault="00323207" w:rsidP="00323207">
      <w:pPr>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Farmakoterapinė</w:t>
      </w:r>
      <w:proofErr w:type="spellEnd"/>
      <w:r w:rsidRPr="00F931D9">
        <w:rPr>
          <w:rFonts w:ascii="Times New Roman" w:hAnsi="Times New Roman"/>
          <w:kern w:val="0"/>
          <w:sz w:val="22"/>
          <w:lang w:val="lt-LT"/>
          <w14:ligatures w14:val="none"/>
        </w:rPr>
        <w:t xml:space="preserve"> grupė – </w:t>
      </w:r>
      <w:proofErr w:type="spellStart"/>
      <w:r w:rsidRPr="00F931D9">
        <w:rPr>
          <w:rFonts w:ascii="Times New Roman" w:hAnsi="Times New Roman"/>
          <w:kern w:val="0"/>
          <w:sz w:val="22"/>
          <w:lang w:val="lt-LT"/>
          <w14:ligatures w14:val="none"/>
        </w:rPr>
        <w:t>imunosupresantai</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kalcineurino</w:t>
      </w:r>
      <w:proofErr w:type="spellEnd"/>
      <w:r w:rsidRPr="00F931D9">
        <w:rPr>
          <w:rFonts w:ascii="Times New Roman" w:hAnsi="Times New Roman"/>
          <w:kern w:val="0"/>
          <w:sz w:val="22"/>
          <w:lang w:val="lt-LT"/>
          <w14:ligatures w14:val="none"/>
        </w:rPr>
        <w:t xml:space="preserve"> inhibitoriai, ATC kodas – L04AD01</w:t>
      </w:r>
    </w:p>
    <w:p w14:paraId="41107078" w14:textId="77777777" w:rsidR="00323207" w:rsidRPr="00F931D9" w:rsidRDefault="00323207" w:rsidP="00323207">
      <w:pPr>
        <w:spacing w:after="0" w:line="240" w:lineRule="auto"/>
        <w:rPr>
          <w:rFonts w:ascii="Times New Roman" w:hAnsi="Times New Roman"/>
          <w:kern w:val="0"/>
          <w:sz w:val="22"/>
          <w:lang w:val="lt-LT"/>
          <w14:ligatures w14:val="none"/>
        </w:rPr>
      </w:pPr>
    </w:p>
    <w:p w14:paraId="2EB77447" w14:textId="77777777" w:rsidR="00323207" w:rsidRPr="00F931D9" w:rsidRDefault="00323207" w:rsidP="00323207">
      <w:pPr>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Ciklosporinas</w:t>
      </w:r>
      <w:proofErr w:type="spellEnd"/>
      <w:r w:rsidRPr="00F931D9">
        <w:rPr>
          <w:rFonts w:ascii="Times New Roman" w:hAnsi="Times New Roman"/>
          <w:kern w:val="0"/>
          <w:sz w:val="22"/>
          <w:lang w:val="lt-LT"/>
          <w14:ligatures w14:val="none"/>
        </w:rPr>
        <w:t xml:space="preserve"> (taip pat vadinamas </w:t>
      </w:r>
      <w:proofErr w:type="spellStart"/>
      <w:r w:rsidRPr="00F931D9">
        <w:rPr>
          <w:rFonts w:ascii="Times New Roman" w:hAnsi="Times New Roman"/>
          <w:kern w:val="0"/>
          <w:sz w:val="22"/>
          <w:lang w:val="lt-LT"/>
          <w14:ligatures w14:val="none"/>
        </w:rPr>
        <w:t>ciklosporinu</w:t>
      </w:r>
      <w:proofErr w:type="spellEnd"/>
      <w:r w:rsidRPr="00F931D9">
        <w:rPr>
          <w:rFonts w:ascii="Times New Roman" w:hAnsi="Times New Roman"/>
          <w:kern w:val="0"/>
          <w:sz w:val="22"/>
          <w:lang w:val="lt-LT"/>
          <w14:ligatures w14:val="none"/>
        </w:rPr>
        <w:t xml:space="preserve"> A), yra ciklinis </w:t>
      </w:r>
      <w:proofErr w:type="spellStart"/>
      <w:r w:rsidRPr="00F931D9">
        <w:rPr>
          <w:rFonts w:ascii="Times New Roman" w:hAnsi="Times New Roman"/>
          <w:kern w:val="0"/>
          <w:sz w:val="22"/>
          <w:lang w:val="lt-LT"/>
          <w14:ligatures w14:val="none"/>
        </w:rPr>
        <w:t>polipeptidas</w:t>
      </w:r>
      <w:proofErr w:type="spellEnd"/>
      <w:r w:rsidRPr="00F931D9">
        <w:rPr>
          <w:rFonts w:ascii="Times New Roman" w:hAnsi="Times New Roman"/>
          <w:kern w:val="0"/>
          <w:sz w:val="22"/>
          <w:lang w:val="lt-LT"/>
          <w14:ligatures w14:val="none"/>
        </w:rPr>
        <w:t xml:space="preserve">, kurio sudėtyje yra 11 aminorūgščių. Jis yra stiprus </w:t>
      </w:r>
      <w:proofErr w:type="spellStart"/>
      <w:r w:rsidRPr="00F931D9">
        <w:rPr>
          <w:rFonts w:ascii="Times New Roman" w:hAnsi="Times New Roman"/>
          <w:kern w:val="0"/>
          <w:sz w:val="22"/>
          <w:lang w:val="lt-LT"/>
          <w14:ligatures w14:val="none"/>
        </w:rPr>
        <w:t>imunosupresantas</w:t>
      </w:r>
      <w:proofErr w:type="spellEnd"/>
      <w:r w:rsidRPr="00F931D9">
        <w:rPr>
          <w:rFonts w:ascii="Times New Roman" w:hAnsi="Times New Roman"/>
          <w:kern w:val="0"/>
          <w:sz w:val="22"/>
          <w:lang w:val="lt-LT"/>
          <w14:ligatures w14:val="none"/>
        </w:rPr>
        <w:t xml:space="preserve">, kuris gyvūnams pailgina odos, širdies, inkstų, kasos, kaulų čiulpų, plonųjų žarnų bei plaučių </w:t>
      </w:r>
      <w:proofErr w:type="spellStart"/>
      <w:r w:rsidRPr="00F931D9">
        <w:rPr>
          <w:rFonts w:ascii="Times New Roman" w:hAnsi="Times New Roman"/>
          <w:kern w:val="0"/>
          <w:sz w:val="22"/>
          <w:lang w:val="lt-LT"/>
          <w14:ligatures w14:val="none"/>
        </w:rPr>
        <w:t>alotransplantatų</w:t>
      </w:r>
      <w:proofErr w:type="spellEnd"/>
      <w:r w:rsidRPr="00F931D9">
        <w:rPr>
          <w:rFonts w:ascii="Times New Roman" w:hAnsi="Times New Roman"/>
          <w:kern w:val="0"/>
          <w:sz w:val="22"/>
          <w:lang w:val="lt-LT"/>
          <w14:ligatures w14:val="none"/>
        </w:rPr>
        <w:t xml:space="preserve"> išlikimo laiką. Tyrimų duomenys rodo, kad </w:t>
      </w:r>
      <w:proofErr w:type="spellStart"/>
      <w:r w:rsidRPr="00F931D9">
        <w:rPr>
          <w:rFonts w:ascii="Times New Roman" w:hAnsi="Times New Roman"/>
          <w:kern w:val="0"/>
          <w:sz w:val="22"/>
          <w:lang w:val="lt-LT"/>
          <w14:ligatures w14:val="none"/>
        </w:rPr>
        <w:t>ciklosporinas</w:t>
      </w:r>
      <w:proofErr w:type="spellEnd"/>
      <w:r w:rsidRPr="00F931D9">
        <w:rPr>
          <w:rFonts w:ascii="Times New Roman" w:hAnsi="Times New Roman"/>
          <w:kern w:val="0"/>
          <w:sz w:val="22"/>
          <w:lang w:val="lt-LT"/>
          <w14:ligatures w14:val="none"/>
        </w:rPr>
        <w:t xml:space="preserve"> slopina ląstelinio imuniteto reakcijas, pvz., </w:t>
      </w:r>
      <w:proofErr w:type="spellStart"/>
      <w:r w:rsidRPr="00F931D9">
        <w:rPr>
          <w:rFonts w:ascii="Times New Roman" w:hAnsi="Times New Roman"/>
          <w:kern w:val="0"/>
          <w:sz w:val="22"/>
          <w:lang w:val="lt-LT"/>
          <w14:ligatures w14:val="none"/>
        </w:rPr>
        <w:t>alotransplantato</w:t>
      </w:r>
      <w:proofErr w:type="spellEnd"/>
      <w:r w:rsidRPr="00F931D9">
        <w:rPr>
          <w:rFonts w:ascii="Times New Roman" w:hAnsi="Times New Roman"/>
          <w:kern w:val="0"/>
          <w:sz w:val="22"/>
          <w:lang w:val="lt-LT"/>
          <w14:ligatures w14:val="none"/>
        </w:rPr>
        <w:t xml:space="preserve"> atmetimo reakciją, vėlyvąją padidėjusio odos jautrumo reakciją, eksperimentinį alerginį </w:t>
      </w:r>
      <w:proofErr w:type="spellStart"/>
      <w:r w:rsidRPr="00F931D9">
        <w:rPr>
          <w:rFonts w:ascii="Times New Roman" w:hAnsi="Times New Roman"/>
          <w:kern w:val="0"/>
          <w:sz w:val="22"/>
          <w:lang w:val="lt-LT"/>
          <w14:ligatures w14:val="none"/>
        </w:rPr>
        <w:t>encefalomielitą</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Freundo</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adjuvanto</w:t>
      </w:r>
      <w:proofErr w:type="spellEnd"/>
      <w:r w:rsidRPr="00F931D9">
        <w:rPr>
          <w:rFonts w:ascii="Times New Roman" w:hAnsi="Times New Roman"/>
          <w:kern w:val="0"/>
          <w:sz w:val="22"/>
          <w:lang w:val="lt-LT"/>
          <w14:ligatures w14:val="none"/>
        </w:rPr>
        <w:t xml:space="preserve"> sukeltą artritą, „</w:t>
      </w:r>
      <w:proofErr w:type="spellStart"/>
      <w:r w:rsidRPr="00F931D9">
        <w:rPr>
          <w:rFonts w:ascii="Times New Roman" w:hAnsi="Times New Roman"/>
          <w:kern w:val="0"/>
          <w:sz w:val="22"/>
          <w:lang w:val="lt-LT"/>
          <w14:ligatures w14:val="none"/>
        </w:rPr>
        <w:t>Transplantato</w:t>
      </w:r>
      <w:proofErr w:type="spellEnd"/>
      <w:r w:rsidRPr="00F931D9">
        <w:rPr>
          <w:rFonts w:ascii="Times New Roman" w:hAnsi="Times New Roman"/>
          <w:kern w:val="0"/>
          <w:sz w:val="22"/>
          <w:lang w:val="lt-LT"/>
          <w14:ligatures w14:val="none"/>
        </w:rPr>
        <w:t xml:space="preserve"> prieš šeimininką“ ligą ir nuo T ląstelių priklausomą antikūnų sintezę. Šis vaistinis preparatas ląstelėse slopina </w:t>
      </w:r>
      <w:proofErr w:type="spellStart"/>
      <w:r w:rsidRPr="00F931D9">
        <w:rPr>
          <w:rFonts w:ascii="Times New Roman" w:hAnsi="Times New Roman"/>
          <w:kern w:val="0"/>
          <w:sz w:val="22"/>
          <w:lang w:val="lt-LT"/>
          <w14:ligatures w14:val="none"/>
        </w:rPr>
        <w:t>limfokinų</w:t>
      </w:r>
      <w:proofErr w:type="spellEnd"/>
      <w:r w:rsidRPr="00F931D9">
        <w:rPr>
          <w:rFonts w:ascii="Times New Roman" w:hAnsi="Times New Roman"/>
          <w:kern w:val="0"/>
          <w:sz w:val="22"/>
          <w:lang w:val="lt-LT"/>
          <w14:ligatures w14:val="none"/>
        </w:rPr>
        <w:t xml:space="preserve">, įskaitant </w:t>
      </w:r>
      <w:proofErr w:type="spellStart"/>
      <w:r w:rsidRPr="00F931D9">
        <w:rPr>
          <w:rFonts w:ascii="Times New Roman" w:hAnsi="Times New Roman"/>
          <w:kern w:val="0"/>
          <w:sz w:val="22"/>
          <w:lang w:val="lt-LT"/>
          <w14:ligatures w14:val="none"/>
        </w:rPr>
        <w:t>interleukino</w:t>
      </w:r>
      <w:proofErr w:type="spellEnd"/>
      <w:r w:rsidRPr="00F931D9">
        <w:rPr>
          <w:rFonts w:ascii="Times New Roman" w:hAnsi="Times New Roman"/>
          <w:kern w:val="0"/>
          <w:sz w:val="22"/>
          <w:lang w:val="lt-LT"/>
          <w14:ligatures w14:val="none"/>
        </w:rPr>
        <w:t xml:space="preserve"> 2 (T ląstelių augimo faktoriaus), sintezę ir atpalaidavimą. Be to, </w:t>
      </w:r>
      <w:proofErr w:type="spellStart"/>
      <w:r w:rsidRPr="00F931D9">
        <w:rPr>
          <w:rFonts w:ascii="Times New Roman" w:hAnsi="Times New Roman"/>
          <w:kern w:val="0"/>
          <w:sz w:val="22"/>
          <w:lang w:val="lt-LT"/>
          <w14:ligatures w14:val="none"/>
        </w:rPr>
        <w:t>ciklosporinas</w:t>
      </w:r>
      <w:proofErr w:type="spellEnd"/>
      <w:r w:rsidRPr="00F931D9">
        <w:rPr>
          <w:rFonts w:ascii="Times New Roman" w:hAnsi="Times New Roman"/>
          <w:kern w:val="0"/>
          <w:sz w:val="22"/>
          <w:lang w:val="lt-LT"/>
          <w14:ligatures w14:val="none"/>
        </w:rPr>
        <w:t xml:space="preserve"> tikriausiai blokuoja ląstelės dalijimosi ciklo G</w:t>
      </w:r>
      <w:r w:rsidRPr="00F931D9">
        <w:rPr>
          <w:rFonts w:ascii="Times New Roman" w:hAnsi="Times New Roman"/>
          <w:kern w:val="0"/>
          <w:sz w:val="22"/>
          <w:vertAlign w:val="subscript"/>
          <w:lang w:val="lt-LT"/>
          <w14:ligatures w14:val="none"/>
        </w:rPr>
        <w:t>0</w:t>
      </w:r>
      <w:r w:rsidRPr="00F931D9">
        <w:rPr>
          <w:rFonts w:ascii="Times New Roman" w:hAnsi="Times New Roman"/>
          <w:kern w:val="0"/>
          <w:sz w:val="22"/>
          <w:lang w:val="lt-LT"/>
          <w14:ligatures w14:val="none"/>
        </w:rPr>
        <w:t xml:space="preserve"> ar G</w:t>
      </w:r>
      <w:r w:rsidRPr="00F931D9">
        <w:rPr>
          <w:rFonts w:ascii="Times New Roman" w:hAnsi="Times New Roman"/>
          <w:kern w:val="0"/>
          <w:sz w:val="22"/>
          <w:vertAlign w:val="subscript"/>
          <w:lang w:val="lt-LT"/>
          <w14:ligatures w14:val="none"/>
        </w:rPr>
        <w:t>1</w:t>
      </w:r>
      <w:r w:rsidRPr="00F931D9">
        <w:rPr>
          <w:rFonts w:ascii="Times New Roman" w:hAnsi="Times New Roman"/>
          <w:kern w:val="0"/>
          <w:sz w:val="22"/>
          <w:lang w:val="lt-LT"/>
          <w14:ligatures w14:val="none"/>
        </w:rPr>
        <w:t xml:space="preserve"> fazės metu ramybės būsenoje esančius limfocitus ir slopina antigeno skatinamą </w:t>
      </w:r>
      <w:proofErr w:type="spellStart"/>
      <w:r w:rsidRPr="00F931D9">
        <w:rPr>
          <w:rFonts w:ascii="Times New Roman" w:hAnsi="Times New Roman"/>
          <w:kern w:val="0"/>
          <w:sz w:val="22"/>
          <w:lang w:val="lt-LT"/>
          <w14:ligatures w14:val="none"/>
        </w:rPr>
        <w:t>limfokinų</w:t>
      </w:r>
      <w:proofErr w:type="spellEnd"/>
      <w:r w:rsidRPr="00F931D9">
        <w:rPr>
          <w:rFonts w:ascii="Times New Roman" w:hAnsi="Times New Roman"/>
          <w:kern w:val="0"/>
          <w:sz w:val="22"/>
          <w:lang w:val="lt-LT"/>
          <w14:ligatures w14:val="none"/>
        </w:rPr>
        <w:t xml:space="preserve"> atsipalaidavimą iš aktyvuotų T ląstelių. </w:t>
      </w:r>
    </w:p>
    <w:p w14:paraId="4EF4829C" w14:textId="77777777" w:rsidR="00323207" w:rsidRPr="00F931D9" w:rsidRDefault="00323207" w:rsidP="00323207">
      <w:pPr>
        <w:spacing w:after="0" w:line="240" w:lineRule="auto"/>
        <w:rPr>
          <w:rFonts w:ascii="Times New Roman" w:hAnsi="Times New Roman"/>
          <w:kern w:val="0"/>
          <w:sz w:val="22"/>
          <w:lang w:val="lt-LT"/>
          <w14:ligatures w14:val="none"/>
        </w:rPr>
      </w:pPr>
    </w:p>
    <w:p w14:paraId="15438B11"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Visi turimi duomenys rodo, kad </w:t>
      </w:r>
      <w:proofErr w:type="spellStart"/>
      <w:r w:rsidRPr="00F931D9">
        <w:rPr>
          <w:rFonts w:ascii="Times New Roman" w:hAnsi="Times New Roman"/>
          <w:kern w:val="0"/>
          <w:sz w:val="22"/>
          <w:lang w:val="lt-LT"/>
          <w14:ligatures w14:val="none"/>
        </w:rPr>
        <w:t>ciklosporinas</w:t>
      </w:r>
      <w:proofErr w:type="spellEnd"/>
      <w:r w:rsidRPr="00F931D9">
        <w:rPr>
          <w:rFonts w:ascii="Times New Roman" w:hAnsi="Times New Roman"/>
          <w:kern w:val="0"/>
          <w:sz w:val="22"/>
          <w:lang w:val="lt-LT"/>
          <w14:ligatures w14:val="none"/>
        </w:rPr>
        <w:t xml:space="preserve"> limfocitus veikia specifiškai ir grįžtamai. Priešingai nei </w:t>
      </w:r>
      <w:proofErr w:type="spellStart"/>
      <w:r w:rsidRPr="00F931D9">
        <w:rPr>
          <w:rFonts w:ascii="Times New Roman" w:hAnsi="Times New Roman"/>
          <w:kern w:val="0"/>
          <w:sz w:val="22"/>
          <w:lang w:val="lt-LT"/>
          <w14:ligatures w14:val="none"/>
        </w:rPr>
        <w:t>citostatiniai</w:t>
      </w:r>
      <w:proofErr w:type="spellEnd"/>
      <w:r w:rsidRPr="00F931D9">
        <w:rPr>
          <w:rFonts w:ascii="Times New Roman" w:hAnsi="Times New Roman"/>
          <w:kern w:val="0"/>
          <w:sz w:val="22"/>
          <w:lang w:val="lt-LT"/>
          <w14:ligatures w14:val="none"/>
        </w:rPr>
        <w:t xml:space="preserve"> preparatai, </w:t>
      </w:r>
      <w:proofErr w:type="spellStart"/>
      <w:r w:rsidRPr="00F931D9">
        <w:rPr>
          <w:rFonts w:ascii="Times New Roman" w:hAnsi="Times New Roman"/>
          <w:kern w:val="0"/>
          <w:sz w:val="22"/>
          <w:lang w:val="lt-LT"/>
          <w14:ligatures w14:val="none"/>
        </w:rPr>
        <w:t>ciklosporinas</w:t>
      </w:r>
      <w:proofErr w:type="spellEnd"/>
      <w:r w:rsidRPr="00F931D9">
        <w:rPr>
          <w:rFonts w:ascii="Times New Roman" w:hAnsi="Times New Roman"/>
          <w:kern w:val="0"/>
          <w:sz w:val="22"/>
          <w:lang w:val="lt-LT"/>
          <w14:ligatures w14:val="none"/>
        </w:rPr>
        <w:t xml:space="preserve"> neslopina </w:t>
      </w:r>
      <w:proofErr w:type="spellStart"/>
      <w:r w:rsidRPr="00F931D9">
        <w:rPr>
          <w:rFonts w:ascii="Times New Roman" w:hAnsi="Times New Roman"/>
          <w:kern w:val="0"/>
          <w:sz w:val="22"/>
          <w:lang w:val="lt-LT"/>
          <w14:ligatures w14:val="none"/>
        </w:rPr>
        <w:t>kraujodaros</w:t>
      </w:r>
      <w:proofErr w:type="spellEnd"/>
      <w:r w:rsidRPr="00F931D9">
        <w:rPr>
          <w:rFonts w:ascii="Times New Roman" w:hAnsi="Times New Roman"/>
          <w:kern w:val="0"/>
          <w:sz w:val="22"/>
          <w:lang w:val="lt-LT"/>
          <w14:ligatures w14:val="none"/>
        </w:rPr>
        <w:t xml:space="preserve"> ir nedaro įtakos </w:t>
      </w:r>
      <w:proofErr w:type="spellStart"/>
      <w:r w:rsidRPr="00F931D9">
        <w:rPr>
          <w:rFonts w:ascii="Times New Roman" w:hAnsi="Times New Roman"/>
          <w:kern w:val="0"/>
          <w:sz w:val="22"/>
          <w:lang w:val="lt-LT"/>
          <w14:ligatures w14:val="none"/>
        </w:rPr>
        <w:t>fagocitų</w:t>
      </w:r>
      <w:proofErr w:type="spellEnd"/>
      <w:r w:rsidRPr="00F931D9">
        <w:rPr>
          <w:rFonts w:ascii="Times New Roman" w:hAnsi="Times New Roman"/>
          <w:kern w:val="0"/>
          <w:sz w:val="22"/>
          <w:lang w:val="lt-LT"/>
          <w14:ligatures w14:val="none"/>
        </w:rPr>
        <w:t xml:space="preserve"> veiklai.</w:t>
      </w:r>
    </w:p>
    <w:p w14:paraId="5B3AD055" w14:textId="77777777" w:rsidR="00323207" w:rsidRPr="00F931D9" w:rsidRDefault="00323207" w:rsidP="00323207">
      <w:pPr>
        <w:spacing w:after="0" w:line="240" w:lineRule="auto"/>
        <w:rPr>
          <w:rFonts w:ascii="Times New Roman" w:hAnsi="Times New Roman"/>
          <w:kern w:val="0"/>
          <w:sz w:val="22"/>
          <w:lang w:val="lt-LT"/>
          <w14:ligatures w14:val="none"/>
        </w:rPr>
      </w:pPr>
    </w:p>
    <w:p w14:paraId="7A573FD1"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Vartojant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transplantato</w:t>
      </w:r>
      <w:proofErr w:type="spellEnd"/>
      <w:r w:rsidRPr="00F931D9">
        <w:rPr>
          <w:rFonts w:ascii="Times New Roman" w:hAnsi="Times New Roman"/>
          <w:kern w:val="0"/>
          <w:sz w:val="22"/>
          <w:lang w:val="lt-LT"/>
          <w14:ligatures w14:val="none"/>
        </w:rPr>
        <w:t xml:space="preserve"> atmetimo reakcijai ir „</w:t>
      </w:r>
      <w:proofErr w:type="spellStart"/>
      <w:r w:rsidRPr="00F931D9">
        <w:rPr>
          <w:rFonts w:ascii="Times New Roman" w:hAnsi="Times New Roman"/>
          <w:kern w:val="0"/>
          <w:sz w:val="22"/>
          <w:lang w:val="lt-LT"/>
          <w14:ligatures w14:val="none"/>
        </w:rPr>
        <w:t>Transplantato</w:t>
      </w:r>
      <w:proofErr w:type="spellEnd"/>
      <w:r w:rsidRPr="00F931D9">
        <w:rPr>
          <w:rFonts w:ascii="Times New Roman" w:hAnsi="Times New Roman"/>
          <w:kern w:val="0"/>
          <w:sz w:val="22"/>
          <w:lang w:val="lt-LT"/>
          <w14:ligatures w14:val="none"/>
        </w:rPr>
        <w:t xml:space="preserve"> prieš šeimininką“ ligai gydyti bei šių sutrikimų profilaktikai, žmonėms buvo sėkmingai persodinti </w:t>
      </w:r>
      <w:proofErr w:type="spellStart"/>
      <w:r w:rsidRPr="00F931D9">
        <w:rPr>
          <w:rFonts w:ascii="Times New Roman" w:hAnsi="Times New Roman"/>
          <w:kern w:val="0"/>
          <w:sz w:val="22"/>
          <w:lang w:val="lt-LT"/>
          <w14:ligatures w14:val="none"/>
        </w:rPr>
        <w:t>solidiniai</w:t>
      </w:r>
      <w:proofErr w:type="spellEnd"/>
      <w:r w:rsidRPr="00F931D9">
        <w:rPr>
          <w:rFonts w:ascii="Times New Roman" w:hAnsi="Times New Roman"/>
          <w:kern w:val="0"/>
          <w:sz w:val="22"/>
          <w:lang w:val="lt-LT"/>
          <w14:ligatures w14:val="none"/>
        </w:rPr>
        <w:t xml:space="preserve"> organai ir kaulų čiulpai. </w:t>
      </w:r>
      <w:proofErr w:type="spellStart"/>
      <w:r w:rsidRPr="00F931D9">
        <w:rPr>
          <w:rFonts w:ascii="Times New Roman" w:hAnsi="Times New Roman"/>
          <w:kern w:val="0"/>
          <w:sz w:val="22"/>
          <w:lang w:val="lt-LT"/>
          <w14:ligatures w14:val="none"/>
        </w:rPr>
        <w:t>Ciklosporiną</w:t>
      </w:r>
      <w:proofErr w:type="spellEnd"/>
      <w:r w:rsidRPr="00F931D9">
        <w:rPr>
          <w:rFonts w:ascii="Times New Roman" w:hAnsi="Times New Roman"/>
          <w:kern w:val="0"/>
          <w:sz w:val="22"/>
          <w:lang w:val="lt-LT"/>
          <w14:ligatures w14:val="none"/>
        </w:rPr>
        <w:t xml:space="preserve"> sėkmingai vartojo tiek hepatito C virusui (HCV) teigiami, tiek HCV neigiami </w:t>
      </w:r>
      <w:proofErr w:type="spellStart"/>
      <w:r w:rsidRPr="00F931D9">
        <w:rPr>
          <w:rFonts w:ascii="Times New Roman" w:hAnsi="Times New Roman"/>
          <w:kern w:val="0"/>
          <w:sz w:val="22"/>
          <w:lang w:val="lt-LT"/>
          <w14:ligatures w14:val="none"/>
        </w:rPr>
        <w:t>transplantato</w:t>
      </w:r>
      <w:proofErr w:type="spellEnd"/>
      <w:r w:rsidRPr="00F931D9">
        <w:rPr>
          <w:rFonts w:ascii="Times New Roman" w:hAnsi="Times New Roman"/>
          <w:kern w:val="0"/>
          <w:sz w:val="22"/>
          <w:lang w:val="lt-LT"/>
          <w14:ligatures w14:val="none"/>
        </w:rPr>
        <w:t xml:space="preserve"> recipientai. Nustatyta, kad įvairiems sutrikimams, kuriuos sukelia arba manoma, jog sukelia, autoimuninė reakcija, gydymas </w:t>
      </w:r>
      <w:proofErr w:type="spellStart"/>
      <w:r w:rsidRPr="00F931D9">
        <w:rPr>
          <w:rFonts w:ascii="Times New Roman" w:hAnsi="Times New Roman"/>
          <w:kern w:val="0"/>
          <w:sz w:val="22"/>
          <w:lang w:val="lt-LT"/>
          <w14:ligatures w14:val="none"/>
        </w:rPr>
        <w:t>ciklosporinu</w:t>
      </w:r>
      <w:proofErr w:type="spellEnd"/>
      <w:r w:rsidRPr="00F931D9">
        <w:rPr>
          <w:rFonts w:ascii="Times New Roman" w:hAnsi="Times New Roman"/>
          <w:kern w:val="0"/>
          <w:sz w:val="22"/>
          <w:lang w:val="lt-LT"/>
          <w14:ligatures w14:val="none"/>
        </w:rPr>
        <w:t xml:space="preserve"> daro palankų poveikį.</w:t>
      </w:r>
    </w:p>
    <w:p w14:paraId="00382732" w14:textId="77777777" w:rsidR="00323207" w:rsidRPr="00F931D9" w:rsidRDefault="00323207" w:rsidP="00323207">
      <w:pPr>
        <w:spacing w:after="0" w:line="240" w:lineRule="auto"/>
        <w:rPr>
          <w:rFonts w:ascii="Times New Roman" w:hAnsi="Times New Roman"/>
          <w:kern w:val="0"/>
          <w:sz w:val="22"/>
          <w:lang w:val="lt-LT"/>
          <w14:ligatures w14:val="none"/>
        </w:rPr>
      </w:pPr>
    </w:p>
    <w:p w14:paraId="05445CCB" w14:textId="77777777" w:rsidR="00323207" w:rsidRPr="00F931D9" w:rsidRDefault="00323207" w:rsidP="00323207">
      <w:pPr>
        <w:spacing w:after="0" w:line="240" w:lineRule="auto"/>
        <w:rPr>
          <w:rFonts w:ascii="Times New Roman" w:hAnsi="Times New Roman"/>
          <w:kern w:val="0"/>
          <w:sz w:val="22"/>
          <w:u w:val="single"/>
          <w:lang w:val="lt-LT"/>
          <w14:ligatures w14:val="none"/>
        </w:rPr>
      </w:pPr>
      <w:r w:rsidRPr="00F931D9">
        <w:rPr>
          <w:rFonts w:ascii="Times New Roman" w:hAnsi="Times New Roman"/>
          <w:kern w:val="0"/>
          <w:sz w:val="22"/>
          <w:u w:val="single"/>
          <w:lang w:val="lt-LT"/>
          <w14:ligatures w14:val="none"/>
        </w:rPr>
        <w:t>Vaikų populiacija</w:t>
      </w:r>
    </w:p>
    <w:p w14:paraId="2AA890FF"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Nustatyta, kad </w:t>
      </w:r>
      <w:proofErr w:type="spellStart"/>
      <w:r w:rsidRPr="00F931D9">
        <w:rPr>
          <w:rFonts w:ascii="Times New Roman" w:hAnsi="Times New Roman"/>
          <w:kern w:val="0"/>
          <w:sz w:val="22"/>
          <w:lang w:val="lt-LT"/>
          <w14:ligatures w14:val="none"/>
        </w:rPr>
        <w:t>ciklosporinas</w:t>
      </w:r>
      <w:proofErr w:type="spellEnd"/>
      <w:r w:rsidRPr="00F931D9">
        <w:rPr>
          <w:rFonts w:ascii="Times New Roman" w:hAnsi="Times New Roman"/>
          <w:kern w:val="0"/>
          <w:sz w:val="22"/>
          <w:lang w:val="lt-LT"/>
          <w14:ligatures w14:val="none"/>
        </w:rPr>
        <w:t xml:space="preserve"> yra veiksmingas gydant nuo steroidų priklausomą </w:t>
      </w:r>
      <w:proofErr w:type="spellStart"/>
      <w:r w:rsidRPr="00F931D9">
        <w:rPr>
          <w:rFonts w:ascii="Times New Roman" w:hAnsi="Times New Roman"/>
          <w:kern w:val="0"/>
          <w:sz w:val="22"/>
          <w:lang w:val="lt-LT"/>
          <w14:ligatures w14:val="none"/>
        </w:rPr>
        <w:t>nefrozinį</w:t>
      </w:r>
      <w:proofErr w:type="spellEnd"/>
      <w:r w:rsidRPr="00F931D9">
        <w:rPr>
          <w:rFonts w:ascii="Times New Roman" w:hAnsi="Times New Roman"/>
          <w:kern w:val="0"/>
          <w:sz w:val="22"/>
          <w:lang w:val="lt-LT"/>
          <w14:ligatures w14:val="none"/>
        </w:rPr>
        <w:t xml:space="preserve"> sindromą.</w:t>
      </w:r>
    </w:p>
    <w:p w14:paraId="1FCF3FCC"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6CCF2865" w14:textId="77777777" w:rsidR="00323207" w:rsidRPr="00F931D9" w:rsidRDefault="00323207" w:rsidP="00323207">
      <w:pPr>
        <w:spacing w:after="0" w:line="240" w:lineRule="auto"/>
        <w:ind w:left="562" w:hanging="562"/>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5.2</w:t>
      </w:r>
      <w:r w:rsidRPr="00F931D9">
        <w:rPr>
          <w:rFonts w:ascii="Times New Roman" w:hAnsi="Times New Roman"/>
          <w:b/>
          <w:kern w:val="0"/>
          <w:sz w:val="22"/>
          <w:lang w:val="lt-LT"/>
          <w14:ligatures w14:val="none"/>
        </w:rPr>
        <w:tab/>
      </w:r>
      <w:proofErr w:type="spellStart"/>
      <w:r w:rsidRPr="00F931D9">
        <w:rPr>
          <w:rFonts w:ascii="Times New Roman" w:hAnsi="Times New Roman"/>
          <w:b/>
          <w:kern w:val="0"/>
          <w:sz w:val="22"/>
          <w:lang w:val="lt-LT"/>
          <w14:ligatures w14:val="none"/>
        </w:rPr>
        <w:t>Farmakokinetinės</w:t>
      </w:r>
      <w:proofErr w:type="spellEnd"/>
      <w:r w:rsidRPr="00F931D9">
        <w:rPr>
          <w:rFonts w:ascii="Times New Roman" w:hAnsi="Times New Roman"/>
          <w:b/>
          <w:kern w:val="0"/>
          <w:sz w:val="22"/>
          <w:lang w:val="lt-LT"/>
          <w14:ligatures w14:val="none"/>
        </w:rPr>
        <w:t xml:space="preserve"> savybės</w:t>
      </w:r>
    </w:p>
    <w:p w14:paraId="624DA47C" w14:textId="77777777" w:rsidR="00323207" w:rsidRPr="00F931D9" w:rsidRDefault="00323207" w:rsidP="00323207">
      <w:pPr>
        <w:spacing w:after="0" w:line="240" w:lineRule="auto"/>
        <w:rPr>
          <w:rFonts w:ascii="Times New Roman" w:hAnsi="Times New Roman"/>
          <w:kern w:val="0"/>
          <w:sz w:val="22"/>
          <w:lang w:val="lt-LT"/>
          <w14:ligatures w14:val="none"/>
        </w:rPr>
      </w:pPr>
    </w:p>
    <w:p w14:paraId="57AC1FF5" w14:textId="77777777" w:rsidR="00323207" w:rsidRPr="00F931D9" w:rsidRDefault="00323207" w:rsidP="00323207">
      <w:pPr>
        <w:widowControl w:val="0"/>
        <w:numPr>
          <w:ilvl w:val="12"/>
          <w:numId w:val="0"/>
        </w:numPr>
        <w:spacing w:after="0" w:line="240" w:lineRule="auto"/>
        <w:rPr>
          <w:rFonts w:ascii="Times New Roman" w:hAnsi="Times New Roman"/>
          <w:kern w:val="0"/>
          <w:sz w:val="22"/>
          <w:u w:val="single"/>
          <w:lang w:val="lt-LT"/>
          <w14:ligatures w14:val="none"/>
        </w:rPr>
      </w:pPr>
      <w:r w:rsidRPr="00F931D9">
        <w:rPr>
          <w:rFonts w:ascii="Times New Roman" w:hAnsi="Times New Roman"/>
          <w:kern w:val="0"/>
          <w:sz w:val="22"/>
          <w:u w:val="single"/>
          <w:lang w:val="lt-LT"/>
          <w14:ligatures w14:val="none"/>
        </w:rPr>
        <w:t>Absorbcija</w:t>
      </w:r>
    </w:p>
    <w:p w14:paraId="0152DDF6" w14:textId="77777777" w:rsidR="00323207" w:rsidRPr="00F931D9" w:rsidRDefault="00323207" w:rsidP="00323207">
      <w:pPr>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pavartojus per burną, didžiausioji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koncentracija kraujyje susidaro po 1</w:t>
      </w:r>
      <w:r w:rsidRPr="00F931D9">
        <w:rPr>
          <w:rFonts w:ascii="Times New Roman" w:hAnsi="Times New Roman"/>
          <w:kern w:val="0"/>
          <w:sz w:val="22"/>
          <w:lang w:val="lt-LT"/>
          <w14:ligatures w14:val="none"/>
        </w:rPr>
        <w:noBreakHyphen/>
        <w:t xml:space="preserve">2 valandų.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pavartojus per burną, absoliutus biologinis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prieinamumas yra 20</w:t>
      </w:r>
      <w:r w:rsidRPr="00F931D9">
        <w:rPr>
          <w:rFonts w:ascii="Times New Roman" w:hAnsi="Times New Roman"/>
          <w:kern w:val="0"/>
          <w:sz w:val="22"/>
          <w:lang w:val="lt-LT"/>
          <w14:ligatures w14:val="none"/>
        </w:rPr>
        <w:noBreakHyphen/>
        <w:t xml:space="preserve">50 %.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vartojant kartu su daug riebalų turinčiu maistu,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AUC ir </w:t>
      </w:r>
      <w:proofErr w:type="spellStart"/>
      <w:r w:rsidRPr="00F931D9">
        <w:rPr>
          <w:rFonts w:ascii="Times New Roman" w:hAnsi="Times New Roman"/>
          <w:kern w:val="0"/>
          <w:sz w:val="22"/>
          <w:lang w:val="lt-LT"/>
          <w14:ligatures w14:val="none"/>
        </w:rPr>
        <w:t>C</w:t>
      </w:r>
      <w:r w:rsidRPr="00F931D9">
        <w:rPr>
          <w:rFonts w:ascii="Times New Roman" w:hAnsi="Times New Roman"/>
          <w:kern w:val="0"/>
          <w:sz w:val="22"/>
          <w:vertAlign w:val="subscript"/>
          <w:lang w:val="lt-LT"/>
          <w14:ligatures w14:val="none"/>
        </w:rPr>
        <w:t>max</w:t>
      </w:r>
      <w:proofErr w:type="spellEnd"/>
      <w:r w:rsidRPr="00F931D9">
        <w:rPr>
          <w:rFonts w:ascii="Times New Roman" w:hAnsi="Times New Roman"/>
          <w:kern w:val="0"/>
          <w:sz w:val="22"/>
          <w:lang w:val="lt-LT"/>
          <w14:ligatures w14:val="none"/>
        </w:rPr>
        <w:t xml:space="preserve"> rodikliai sumažėjo maždaug 13 % ir 33 %. Skiriant terapines vaistinio preparato dozes, suvartotos dozės ir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ekspozicijos (AUC) priklausomybė yra tiesinio pobūdžio. AUC ir </w:t>
      </w:r>
      <w:proofErr w:type="spellStart"/>
      <w:r w:rsidRPr="00F931D9">
        <w:rPr>
          <w:rFonts w:ascii="Times New Roman" w:hAnsi="Times New Roman"/>
          <w:kern w:val="0"/>
          <w:sz w:val="22"/>
          <w:lang w:val="lt-LT"/>
          <w14:ligatures w14:val="none"/>
        </w:rPr>
        <w:t>C</w:t>
      </w:r>
      <w:r w:rsidRPr="00F931D9">
        <w:rPr>
          <w:rFonts w:ascii="Times New Roman" w:hAnsi="Times New Roman"/>
          <w:kern w:val="0"/>
          <w:sz w:val="22"/>
          <w:vertAlign w:val="subscript"/>
          <w:lang w:val="lt-LT"/>
          <w14:ligatures w14:val="none"/>
        </w:rPr>
        <w:t>max</w:t>
      </w:r>
      <w:proofErr w:type="spellEnd"/>
      <w:r w:rsidRPr="00F931D9">
        <w:rPr>
          <w:rFonts w:ascii="Times New Roman" w:hAnsi="Times New Roman"/>
          <w:kern w:val="0"/>
          <w:sz w:val="22"/>
          <w:lang w:val="lt-LT"/>
          <w14:ligatures w14:val="none"/>
        </w:rPr>
        <w:t xml:space="preserve"> rodiklių kintamumas skirtingiems asmenims ir tam pačiam asmeniui yra maždaug 10</w:t>
      </w:r>
      <w:r w:rsidRPr="00F931D9">
        <w:rPr>
          <w:rFonts w:ascii="Times New Roman" w:hAnsi="Times New Roman"/>
          <w:kern w:val="0"/>
          <w:sz w:val="22"/>
          <w:lang w:val="lt-LT"/>
          <w14:ligatures w14:val="none"/>
        </w:rPr>
        <w:noBreakHyphen/>
        <w:t xml:space="preserve">20 %.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geriamasis tirpalas ir minkštosios želatininės kapsulės yra biologiškai ekvivalentiškos farmacinės formos.</w:t>
      </w:r>
    </w:p>
    <w:p w14:paraId="6319E5AE" w14:textId="77777777" w:rsidR="00323207" w:rsidRPr="00F931D9" w:rsidRDefault="00323207" w:rsidP="00323207">
      <w:pPr>
        <w:spacing w:after="0" w:line="240" w:lineRule="auto"/>
        <w:rPr>
          <w:rFonts w:ascii="Times New Roman" w:hAnsi="Times New Roman"/>
          <w:kern w:val="0"/>
          <w:sz w:val="22"/>
          <w:lang w:val="lt-LT"/>
          <w14:ligatures w14:val="none"/>
        </w:rPr>
      </w:pPr>
    </w:p>
    <w:p w14:paraId="738D30B5" w14:textId="77777777" w:rsidR="00323207" w:rsidRPr="00F931D9" w:rsidRDefault="00323207" w:rsidP="00323207">
      <w:pPr>
        <w:widowControl w:val="0"/>
        <w:numPr>
          <w:ilvl w:val="12"/>
          <w:numId w:val="0"/>
        </w:numPr>
        <w:suppressLineNumbers/>
        <w:spacing w:after="0" w:line="240" w:lineRule="auto"/>
        <w:rPr>
          <w:rFonts w:ascii="Times New Roman" w:hAnsi="Times New Roman"/>
          <w:kern w:val="0"/>
          <w:sz w:val="22"/>
          <w:u w:val="single"/>
          <w:lang w:val="lt-LT"/>
          <w14:ligatures w14:val="none"/>
        </w:rPr>
      </w:pPr>
      <w:r w:rsidRPr="00F931D9">
        <w:rPr>
          <w:rFonts w:ascii="Times New Roman" w:hAnsi="Times New Roman"/>
          <w:kern w:val="0"/>
          <w:sz w:val="22"/>
          <w:lang w:val="lt-LT"/>
          <w14:ligatures w14:val="none"/>
        </w:rPr>
        <w:t xml:space="preserve">Skiriant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ir lyginant su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xml:space="preserve">, susidaro 59 % didesnė </w:t>
      </w:r>
      <w:proofErr w:type="spellStart"/>
      <w:r w:rsidRPr="00F931D9">
        <w:rPr>
          <w:rFonts w:ascii="Times New Roman" w:hAnsi="Times New Roman"/>
          <w:kern w:val="0"/>
          <w:sz w:val="22"/>
          <w:lang w:val="lt-LT"/>
          <w14:ligatures w14:val="none"/>
        </w:rPr>
        <w:t>C</w:t>
      </w:r>
      <w:r w:rsidRPr="00F931D9">
        <w:rPr>
          <w:rFonts w:ascii="Times New Roman" w:hAnsi="Times New Roman"/>
          <w:kern w:val="0"/>
          <w:sz w:val="22"/>
          <w:vertAlign w:val="subscript"/>
          <w:lang w:val="lt-LT"/>
          <w14:ligatures w14:val="none"/>
        </w:rPr>
        <w:t>max</w:t>
      </w:r>
      <w:proofErr w:type="spellEnd"/>
      <w:r w:rsidRPr="00F931D9">
        <w:rPr>
          <w:rFonts w:ascii="Times New Roman" w:hAnsi="Times New Roman"/>
          <w:kern w:val="0"/>
          <w:sz w:val="22"/>
          <w:lang w:val="lt-LT"/>
          <w14:ligatures w14:val="none"/>
        </w:rPr>
        <w:t xml:space="preserve"> reikšmė ir </w:t>
      </w:r>
      <w:r w:rsidRPr="00F931D9">
        <w:rPr>
          <w:rFonts w:ascii="Times New Roman" w:hAnsi="Times New Roman"/>
          <w:kern w:val="0"/>
          <w:sz w:val="22"/>
          <w:lang w:val="lt-LT"/>
          <w14:ligatures w14:val="none"/>
        </w:rPr>
        <w:lastRenderedPageBreak/>
        <w:t xml:space="preserve">maždaug 29 % didesnis biologinis prieinamumas. Turimi duomenys rodo, kad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xml:space="preserve"> minkštųjų želatininių kapsulių vartojimą pakeitus į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minkštąsias želatinines kapsules santykiu 1:1, mažiausiosios koncentracijos visame kraujyje būna panašios ir išlieka pageidaujamame terapinės koncentracijos intervale. Skiriant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ekspozicijos priklausomybės nuo dozės kreivė (AUC</w:t>
      </w:r>
      <w:r w:rsidRPr="00F931D9">
        <w:rPr>
          <w:rFonts w:ascii="Times New Roman" w:hAnsi="Times New Roman"/>
          <w:kern w:val="0"/>
          <w:sz w:val="22"/>
          <w:vertAlign w:val="subscript"/>
          <w:lang w:val="lt-LT"/>
          <w14:ligatures w14:val="none"/>
        </w:rPr>
        <w:t>B</w:t>
      </w:r>
      <w:r w:rsidRPr="00F931D9">
        <w:rPr>
          <w:rFonts w:ascii="Times New Roman" w:hAnsi="Times New Roman"/>
          <w:kern w:val="0"/>
          <w:sz w:val="22"/>
          <w:lang w:val="lt-LT"/>
          <w14:ligatures w14:val="none"/>
        </w:rPr>
        <w:t xml:space="preserve">) yra labiau linijinio pobūdžio, absorbcija pastovesnė ir mažiau priklausoma nuo kartu vartojamo maisto bei paros ritmo, lyginant su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xml:space="preserve"> vartojimu.</w:t>
      </w:r>
    </w:p>
    <w:p w14:paraId="0A9275A9" w14:textId="77777777" w:rsidR="00323207" w:rsidRPr="00F931D9" w:rsidRDefault="00323207" w:rsidP="00323207">
      <w:pPr>
        <w:spacing w:after="0" w:line="240" w:lineRule="auto"/>
        <w:rPr>
          <w:rFonts w:ascii="Times New Roman" w:hAnsi="Times New Roman"/>
          <w:kern w:val="0"/>
          <w:sz w:val="22"/>
          <w:lang w:val="lt-LT"/>
          <w14:ligatures w14:val="none"/>
        </w:rPr>
      </w:pPr>
    </w:p>
    <w:p w14:paraId="2FB88912" w14:textId="77777777" w:rsidR="00323207" w:rsidRPr="00F931D9" w:rsidRDefault="00323207" w:rsidP="00323207">
      <w:pPr>
        <w:widowControl w:val="0"/>
        <w:numPr>
          <w:ilvl w:val="12"/>
          <w:numId w:val="0"/>
        </w:numPr>
        <w:spacing w:after="0" w:line="240" w:lineRule="auto"/>
        <w:rPr>
          <w:rFonts w:ascii="Times New Roman" w:hAnsi="Times New Roman"/>
          <w:kern w:val="0"/>
          <w:sz w:val="22"/>
          <w:u w:val="single"/>
          <w:lang w:val="lt-LT"/>
          <w14:ligatures w14:val="none"/>
        </w:rPr>
      </w:pPr>
      <w:r w:rsidRPr="00F931D9">
        <w:rPr>
          <w:rFonts w:ascii="Times New Roman" w:hAnsi="Times New Roman"/>
          <w:kern w:val="0"/>
          <w:sz w:val="22"/>
          <w:u w:val="single"/>
          <w:lang w:val="lt-LT"/>
          <w14:ligatures w14:val="none"/>
        </w:rPr>
        <w:t>Pasiskirstymas</w:t>
      </w:r>
    </w:p>
    <w:p w14:paraId="556F459D"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Didžioji dalis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iš kraujo prasiskverbia į audinius, o vidutinis tariamas pasiskirstymo tūris yra 3,5 l/kg. 33-47 % kraujyje esančio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būna plazmoje, 4-9 % limfocituose, 5-12 % </w:t>
      </w:r>
      <w:proofErr w:type="spellStart"/>
      <w:r w:rsidRPr="00F931D9">
        <w:rPr>
          <w:rFonts w:ascii="Times New Roman" w:hAnsi="Times New Roman"/>
          <w:kern w:val="0"/>
          <w:sz w:val="22"/>
          <w:lang w:val="lt-LT"/>
          <w14:ligatures w14:val="none"/>
        </w:rPr>
        <w:t>granulocituose</w:t>
      </w:r>
      <w:proofErr w:type="spellEnd"/>
      <w:r w:rsidRPr="00F931D9">
        <w:rPr>
          <w:rFonts w:ascii="Times New Roman" w:hAnsi="Times New Roman"/>
          <w:kern w:val="0"/>
          <w:sz w:val="22"/>
          <w:lang w:val="lt-LT"/>
          <w14:ligatures w14:val="none"/>
        </w:rPr>
        <w:t xml:space="preserve"> ir 41-58 % eritrocituose. Maždaug 90 % plazmoje esančio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būna junginių su baltymais, daugiausiai lipoproteinais, forma. </w:t>
      </w:r>
    </w:p>
    <w:p w14:paraId="28CE7C37" w14:textId="77777777" w:rsidR="00323207" w:rsidRPr="00F931D9" w:rsidRDefault="00323207" w:rsidP="00323207">
      <w:pPr>
        <w:spacing w:after="0" w:line="240" w:lineRule="auto"/>
        <w:rPr>
          <w:rFonts w:ascii="Times New Roman" w:hAnsi="Times New Roman"/>
          <w:kern w:val="0"/>
          <w:sz w:val="22"/>
          <w:lang w:val="lt-LT"/>
          <w14:ligatures w14:val="none"/>
        </w:rPr>
      </w:pPr>
    </w:p>
    <w:p w14:paraId="14801E34" w14:textId="77777777" w:rsidR="00323207" w:rsidRPr="00F931D9" w:rsidRDefault="00323207" w:rsidP="00323207">
      <w:pPr>
        <w:widowControl w:val="0"/>
        <w:numPr>
          <w:ilvl w:val="12"/>
          <w:numId w:val="0"/>
        </w:numPr>
        <w:spacing w:after="0" w:line="240" w:lineRule="auto"/>
        <w:rPr>
          <w:rFonts w:ascii="Times New Roman" w:hAnsi="Times New Roman"/>
          <w:kern w:val="0"/>
          <w:sz w:val="22"/>
          <w:u w:val="single"/>
          <w:lang w:val="lt-LT"/>
          <w14:ligatures w14:val="none"/>
        </w:rPr>
      </w:pPr>
      <w:proofErr w:type="spellStart"/>
      <w:r w:rsidRPr="00F931D9">
        <w:rPr>
          <w:rFonts w:ascii="Times New Roman" w:hAnsi="Times New Roman"/>
          <w:kern w:val="0"/>
          <w:sz w:val="22"/>
          <w:u w:val="single"/>
          <w:lang w:val="lt-LT"/>
          <w14:ligatures w14:val="none"/>
        </w:rPr>
        <w:t>Biotransformacija</w:t>
      </w:r>
      <w:proofErr w:type="spellEnd"/>
    </w:p>
    <w:p w14:paraId="12136AAA" w14:textId="77777777" w:rsidR="00323207" w:rsidRPr="00F931D9" w:rsidRDefault="00323207" w:rsidP="00323207">
      <w:pPr>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Ciklosporinas</w:t>
      </w:r>
      <w:proofErr w:type="spellEnd"/>
      <w:r w:rsidRPr="00F931D9">
        <w:rPr>
          <w:rFonts w:ascii="Times New Roman" w:hAnsi="Times New Roman"/>
          <w:kern w:val="0"/>
          <w:sz w:val="22"/>
          <w:lang w:val="lt-LT"/>
          <w14:ligatures w14:val="none"/>
        </w:rPr>
        <w:t xml:space="preserve"> ekstensyviai </w:t>
      </w:r>
      <w:proofErr w:type="spellStart"/>
      <w:r w:rsidRPr="00F931D9">
        <w:rPr>
          <w:rFonts w:ascii="Times New Roman" w:hAnsi="Times New Roman"/>
          <w:kern w:val="0"/>
          <w:sz w:val="22"/>
          <w:lang w:val="lt-LT"/>
          <w14:ligatures w14:val="none"/>
        </w:rPr>
        <w:t>metabolizuojamas</w:t>
      </w:r>
      <w:proofErr w:type="spellEnd"/>
      <w:r w:rsidRPr="00F931D9">
        <w:rPr>
          <w:rFonts w:ascii="Times New Roman" w:hAnsi="Times New Roman"/>
          <w:kern w:val="0"/>
          <w:sz w:val="22"/>
          <w:lang w:val="lt-LT"/>
          <w14:ligatures w14:val="none"/>
        </w:rPr>
        <w:t xml:space="preserve"> į maždaug 15 metabolitų. Metabolizmas daugiausia vyksta kepenyse dalyvaujant </w:t>
      </w:r>
      <w:proofErr w:type="spellStart"/>
      <w:r w:rsidRPr="00F931D9">
        <w:rPr>
          <w:rFonts w:ascii="Times New Roman" w:hAnsi="Times New Roman"/>
          <w:kern w:val="0"/>
          <w:sz w:val="22"/>
          <w:lang w:val="lt-LT"/>
          <w14:ligatures w14:val="none"/>
        </w:rPr>
        <w:t>citochromui</w:t>
      </w:r>
      <w:proofErr w:type="spellEnd"/>
      <w:r w:rsidRPr="00F931D9">
        <w:rPr>
          <w:rFonts w:ascii="Times New Roman" w:hAnsi="Times New Roman"/>
          <w:kern w:val="0"/>
          <w:sz w:val="22"/>
          <w:lang w:val="lt-LT"/>
          <w14:ligatures w14:val="none"/>
        </w:rPr>
        <w:t xml:space="preserve"> P450 3A4 (CYP3A4), o svariausio metabolizmo mechanizmo metu vyksta įvairių molekulės sričių </w:t>
      </w:r>
      <w:proofErr w:type="spellStart"/>
      <w:r w:rsidRPr="00F931D9">
        <w:rPr>
          <w:rFonts w:ascii="Times New Roman" w:hAnsi="Times New Roman"/>
          <w:kern w:val="0"/>
          <w:sz w:val="22"/>
          <w:lang w:val="lt-LT"/>
          <w14:ligatures w14:val="none"/>
        </w:rPr>
        <w:t>monohidroksilinimas</w:t>
      </w:r>
      <w:proofErr w:type="spellEnd"/>
      <w:r w:rsidRPr="00F931D9">
        <w:rPr>
          <w:rFonts w:ascii="Times New Roman" w:hAnsi="Times New Roman"/>
          <w:kern w:val="0"/>
          <w:sz w:val="22"/>
          <w:lang w:val="lt-LT"/>
          <w14:ligatures w14:val="none"/>
        </w:rPr>
        <w:t xml:space="preserve"> ir </w:t>
      </w:r>
      <w:proofErr w:type="spellStart"/>
      <w:r w:rsidRPr="00F931D9">
        <w:rPr>
          <w:rFonts w:ascii="Times New Roman" w:hAnsi="Times New Roman"/>
          <w:kern w:val="0"/>
          <w:sz w:val="22"/>
          <w:lang w:val="lt-LT"/>
          <w14:ligatures w14:val="none"/>
        </w:rPr>
        <w:t>dihidroksilinimas</w:t>
      </w:r>
      <w:proofErr w:type="spellEnd"/>
      <w:r w:rsidRPr="00F931D9">
        <w:rPr>
          <w:rFonts w:ascii="Times New Roman" w:hAnsi="Times New Roman"/>
          <w:kern w:val="0"/>
          <w:sz w:val="22"/>
          <w:lang w:val="lt-LT"/>
          <w14:ligatures w14:val="none"/>
        </w:rPr>
        <w:t xml:space="preserve"> bei N-</w:t>
      </w:r>
      <w:proofErr w:type="spellStart"/>
      <w:r w:rsidRPr="00F931D9">
        <w:rPr>
          <w:rFonts w:ascii="Times New Roman" w:hAnsi="Times New Roman"/>
          <w:kern w:val="0"/>
          <w:sz w:val="22"/>
          <w:lang w:val="lt-LT"/>
          <w14:ligatures w14:val="none"/>
        </w:rPr>
        <w:t>demetilinimas</w:t>
      </w:r>
      <w:proofErr w:type="spellEnd"/>
      <w:r w:rsidRPr="00F931D9">
        <w:rPr>
          <w:rFonts w:ascii="Times New Roman" w:hAnsi="Times New Roman"/>
          <w:kern w:val="0"/>
          <w:sz w:val="22"/>
          <w:lang w:val="lt-LT"/>
          <w14:ligatures w14:val="none"/>
        </w:rPr>
        <w:t xml:space="preserve">. Visų iki šiol nustatytų metabolitų sudėtyje yra nepakitusi pirminės medžiagos baltymų struktūra; kai kurie metabolitai pasižymi silpnu imunosupresiniu poveikiu (iki vienos dešimtosios nepakitusio vaistinio preparato poveikio stiprumo dalies). </w:t>
      </w:r>
    </w:p>
    <w:p w14:paraId="0DEFB0F6" w14:textId="77777777" w:rsidR="00323207" w:rsidRPr="00F931D9" w:rsidRDefault="00323207" w:rsidP="00323207">
      <w:pPr>
        <w:spacing w:after="0" w:line="240" w:lineRule="auto"/>
        <w:rPr>
          <w:rFonts w:ascii="Times New Roman" w:hAnsi="Times New Roman"/>
          <w:kern w:val="0"/>
          <w:sz w:val="22"/>
          <w:lang w:val="lt-LT"/>
          <w14:ligatures w14:val="none"/>
        </w:rPr>
      </w:pPr>
    </w:p>
    <w:p w14:paraId="3F647F7F" w14:textId="77777777" w:rsidR="00323207" w:rsidRPr="00F931D9" w:rsidRDefault="00323207" w:rsidP="00323207">
      <w:pPr>
        <w:widowControl w:val="0"/>
        <w:numPr>
          <w:ilvl w:val="12"/>
          <w:numId w:val="0"/>
        </w:numPr>
        <w:spacing w:after="0" w:line="240" w:lineRule="auto"/>
        <w:rPr>
          <w:rFonts w:ascii="Times New Roman" w:hAnsi="Times New Roman"/>
          <w:kern w:val="0"/>
          <w:sz w:val="22"/>
          <w:u w:val="single"/>
          <w:lang w:val="lt-LT"/>
          <w14:ligatures w14:val="none"/>
        </w:rPr>
      </w:pPr>
      <w:r w:rsidRPr="00F931D9">
        <w:rPr>
          <w:rFonts w:ascii="Times New Roman" w:hAnsi="Times New Roman"/>
          <w:kern w:val="0"/>
          <w:sz w:val="22"/>
          <w:u w:val="single"/>
          <w:lang w:val="lt-LT"/>
          <w14:ligatures w14:val="none"/>
        </w:rPr>
        <w:t>Eliminacija</w:t>
      </w:r>
    </w:p>
    <w:p w14:paraId="0D7BF279"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Daugiausia vaistinio preparato išskiriama su tulžimi, tik 6 % išgertos dozės šalinama su šlapimu ir tik 0,1 % išgertos dozės šalinama su šlapimu nepakitusio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pavidalu.</w:t>
      </w:r>
    </w:p>
    <w:p w14:paraId="6711BC6F" w14:textId="77777777" w:rsidR="00323207" w:rsidRPr="00F931D9" w:rsidRDefault="00323207" w:rsidP="00323207">
      <w:pPr>
        <w:spacing w:after="0" w:line="240" w:lineRule="auto"/>
        <w:rPr>
          <w:rFonts w:ascii="Times New Roman" w:hAnsi="Times New Roman"/>
          <w:kern w:val="0"/>
          <w:sz w:val="22"/>
          <w:lang w:val="lt-LT"/>
          <w14:ligatures w14:val="none"/>
        </w:rPr>
      </w:pPr>
    </w:p>
    <w:p w14:paraId="2E76DC2C"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Priklausomai nuo tyrimo metodo ir tirtų pacientų, apie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galutinį pusinės eliminacijos laiką pateikiami labai skirtingi duomenys. Galutinis pusinės eliminacijos laikas yra nuo 6,3 val. sveikiems savanoriams iki 20,4 val. sunkia kepenų liga sergantiems ligoniams (žr. 4.2 ir 4.4 skyrius). Pacientams, kuriems atlikta inksto transplantacija, pusinės eliminacijos laikas buvo maždaug 11 valandų (svyravo nuo 4 valandų iki 25 valandų).</w:t>
      </w:r>
    </w:p>
    <w:p w14:paraId="20E94267" w14:textId="77777777" w:rsidR="00323207" w:rsidRPr="00F931D9" w:rsidRDefault="00323207" w:rsidP="00323207">
      <w:pPr>
        <w:spacing w:after="0" w:line="240" w:lineRule="auto"/>
        <w:rPr>
          <w:rFonts w:ascii="Times New Roman" w:hAnsi="Times New Roman"/>
          <w:kern w:val="0"/>
          <w:sz w:val="22"/>
          <w:lang w:val="lt-LT"/>
          <w14:ligatures w14:val="none"/>
        </w:rPr>
      </w:pPr>
    </w:p>
    <w:p w14:paraId="2FA528A9" w14:textId="77777777" w:rsidR="00323207" w:rsidRPr="00F931D9" w:rsidRDefault="00323207" w:rsidP="00323207">
      <w:pPr>
        <w:widowControl w:val="0"/>
        <w:numPr>
          <w:ilvl w:val="12"/>
          <w:numId w:val="0"/>
        </w:numPr>
        <w:spacing w:after="0" w:line="240" w:lineRule="auto"/>
        <w:rPr>
          <w:rFonts w:ascii="Times New Roman" w:hAnsi="Times New Roman"/>
          <w:kern w:val="0"/>
          <w:sz w:val="22"/>
          <w:u w:val="single"/>
          <w:lang w:val="lt-LT"/>
          <w14:ligatures w14:val="none"/>
        </w:rPr>
      </w:pPr>
      <w:bookmarkStart w:id="5" w:name="_Toc259706943"/>
      <w:bookmarkStart w:id="6" w:name="_Toc259707115"/>
      <w:bookmarkStart w:id="7" w:name="_Toc259707178"/>
      <w:bookmarkStart w:id="8" w:name="_Toc259713124"/>
      <w:r w:rsidRPr="00F931D9">
        <w:rPr>
          <w:rFonts w:ascii="Times New Roman" w:hAnsi="Times New Roman"/>
          <w:kern w:val="0"/>
          <w:sz w:val="22"/>
          <w:u w:val="single"/>
          <w:lang w:val="lt-LT"/>
          <w14:ligatures w14:val="none"/>
        </w:rPr>
        <w:t>Ypatingos populiacijos</w:t>
      </w:r>
    </w:p>
    <w:p w14:paraId="6E159A8E" w14:textId="77777777" w:rsidR="00323207" w:rsidRPr="00F931D9" w:rsidRDefault="00323207" w:rsidP="00323207">
      <w:pPr>
        <w:spacing w:after="0" w:line="240" w:lineRule="auto"/>
        <w:rPr>
          <w:rFonts w:ascii="Times New Roman" w:hAnsi="Times New Roman"/>
          <w:i/>
          <w:kern w:val="0"/>
          <w:sz w:val="22"/>
          <w:lang w:val="lt-LT"/>
          <w14:ligatures w14:val="none"/>
        </w:rPr>
      </w:pPr>
      <w:r w:rsidRPr="00F931D9">
        <w:rPr>
          <w:rFonts w:ascii="Times New Roman" w:hAnsi="Times New Roman"/>
          <w:i/>
          <w:kern w:val="0"/>
          <w:sz w:val="22"/>
          <w:lang w:val="lt-LT"/>
          <w14:ligatures w14:val="none"/>
        </w:rPr>
        <w:t>Pacientai, kuriems sutrikusi inkstų veikla</w:t>
      </w:r>
    </w:p>
    <w:p w14:paraId="4DD73E82"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Su galutinės stadijos inkstų nepakankamumu sergančiais pacientais atlikto tyrimo duomenimis, sisteminis klirensas sudarė maždaug du trečdalius vidutinio sisteminio klirenso, nustatyto pacientams, kurių inkstų funkcija buvo nesutrikusi. Mažiau kaip 1 % suvartotos dozės yra pašalinama dializės procedūros metu.</w:t>
      </w:r>
    </w:p>
    <w:p w14:paraId="5585E40E" w14:textId="77777777" w:rsidR="00323207" w:rsidRPr="00F931D9" w:rsidRDefault="00323207" w:rsidP="00323207">
      <w:pPr>
        <w:spacing w:after="0" w:line="240" w:lineRule="auto"/>
        <w:rPr>
          <w:rFonts w:ascii="Times New Roman" w:hAnsi="Times New Roman"/>
          <w:kern w:val="0"/>
          <w:sz w:val="22"/>
          <w:lang w:val="lt-LT"/>
          <w14:ligatures w14:val="none"/>
        </w:rPr>
      </w:pPr>
    </w:p>
    <w:p w14:paraId="0C8ADD55" w14:textId="77777777" w:rsidR="00323207" w:rsidRPr="00F931D9" w:rsidRDefault="00323207" w:rsidP="00323207">
      <w:pPr>
        <w:widowControl w:val="0"/>
        <w:spacing w:after="0" w:line="240" w:lineRule="auto"/>
        <w:rPr>
          <w:rFonts w:ascii="Times New Roman" w:hAnsi="Times New Roman"/>
          <w:i/>
          <w:kern w:val="0"/>
          <w:sz w:val="22"/>
          <w:lang w:val="lt-LT"/>
          <w14:ligatures w14:val="none"/>
        </w:rPr>
      </w:pPr>
      <w:r w:rsidRPr="00F931D9">
        <w:rPr>
          <w:rFonts w:ascii="Times New Roman" w:hAnsi="Times New Roman"/>
          <w:i/>
          <w:kern w:val="0"/>
          <w:sz w:val="22"/>
          <w:lang w:val="lt-LT"/>
          <w14:ligatures w14:val="none"/>
        </w:rPr>
        <w:t>Pacientai, kuriems sutrikusi kepenų veikla</w:t>
      </w:r>
    </w:p>
    <w:p w14:paraId="4659BD1A"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Pacientams, kuriems sutrikusi kepenų veikla, gali būti stebima maždaug 2</w:t>
      </w:r>
      <w:r w:rsidRPr="00F931D9">
        <w:rPr>
          <w:rFonts w:ascii="Times New Roman" w:hAnsi="Times New Roman"/>
          <w:kern w:val="0"/>
          <w:sz w:val="22"/>
          <w:lang w:val="lt-LT"/>
          <w14:ligatures w14:val="none"/>
        </w:rPr>
        <w:noBreakHyphen/>
        <w:t xml:space="preserve">3 kartus padidėjusi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ekspozicija. Su sunkia kepenų liga sergančiais pacientais (kuriems biopsijos būdu buvo patvirtinta cirozė) atlikto tyrimo duomenimis, galutinis pusinės eliminacijos laikas buvo 20,4 valandų (svyravo nuo 10,8 iki 48,0 valandų), palyginus su 7,4</w:t>
      </w:r>
      <w:r w:rsidRPr="00F931D9">
        <w:rPr>
          <w:rFonts w:ascii="Times New Roman" w:hAnsi="Times New Roman"/>
          <w:kern w:val="0"/>
          <w:sz w:val="22"/>
          <w:lang w:val="lt-LT"/>
          <w14:ligatures w14:val="none"/>
        </w:rPr>
        <w:noBreakHyphen/>
        <w:t xml:space="preserve">11,0 valandų rodikliu sveikiems tiriamiesiems. </w:t>
      </w:r>
    </w:p>
    <w:p w14:paraId="7BB86343" w14:textId="77777777" w:rsidR="00323207" w:rsidRPr="00F931D9" w:rsidRDefault="00323207" w:rsidP="00323207">
      <w:pPr>
        <w:spacing w:after="0" w:line="240" w:lineRule="auto"/>
        <w:rPr>
          <w:rFonts w:ascii="Times New Roman" w:hAnsi="Times New Roman"/>
          <w:kern w:val="0"/>
          <w:sz w:val="22"/>
          <w:lang w:val="lt-LT"/>
          <w14:ligatures w14:val="none"/>
        </w:rPr>
      </w:pPr>
    </w:p>
    <w:bookmarkEnd w:id="5"/>
    <w:bookmarkEnd w:id="6"/>
    <w:bookmarkEnd w:id="7"/>
    <w:bookmarkEnd w:id="8"/>
    <w:p w14:paraId="6BC4F2DB" w14:textId="77777777" w:rsidR="00323207" w:rsidRPr="00F931D9" w:rsidRDefault="00323207" w:rsidP="00323207">
      <w:pPr>
        <w:spacing w:after="0" w:line="240" w:lineRule="auto"/>
        <w:rPr>
          <w:rFonts w:ascii="Times New Roman" w:hAnsi="Times New Roman"/>
          <w:kern w:val="0"/>
          <w14:ligatures w14:val="none"/>
        </w:rPr>
      </w:pPr>
      <w:r w:rsidRPr="00F931D9">
        <w:rPr>
          <w:rFonts w:ascii="Times New Roman" w:hAnsi="Times New Roman"/>
          <w:kern w:val="0"/>
          <w:sz w:val="22"/>
          <w:u w:val="single"/>
          <w:lang w:val="lt-LT"/>
          <w14:ligatures w14:val="none"/>
        </w:rPr>
        <w:t>Vaikų populiacija</w:t>
      </w:r>
    </w:p>
    <w:p w14:paraId="7DA59C96" w14:textId="77777777" w:rsidR="00323207" w:rsidRPr="00F931D9" w:rsidRDefault="00323207" w:rsidP="00323207">
      <w:pPr>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arba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xml:space="preserve"> vartojimo vaikams farmakokinetikos duomenų yra labai nedaug. 15 vaikų, kuriems atlikta inksto transplantacija ir kurių amžius buvo 3</w:t>
      </w:r>
      <w:r w:rsidRPr="00F931D9">
        <w:rPr>
          <w:rFonts w:ascii="Times New Roman" w:hAnsi="Times New Roman"/>
          <w:kern w:val="0"/>
          <w:sz w:val="22"/>
          <w:lang w:val="lt-LT"/>
          <w14:ligatures w14:val="none"/>
        </w:rPr>
        <w:noBreakHyphen/>
        <w:t xml:space="preserve">16 metų, paskyrus intraveninio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klirensas kraujyje buvo 10,6±3,7 ml/min./kg kūno svorio (naudotas specifinis </w:t>
      </w:r>
      <w:proofErr w:type="spellStart"/>
      <w:r w:rsidRPr="00F931D9">
        <w:rPr>
          <w:rFonts w:ascii="Times New Roman" w:hAnsi="Times New Roman"/>
          <w:kern w:val="0"/>
          <w:sz w:val="22"/>
          <w:lang w:val="lt-LT"/>
          <w14:ligatures w14:val="none"/>
        </w:rPr>
        <w:t>radioimuninis</w:t>
      </w:r>
      <w:proofErr w:type="spellEnd"/>
      <w:r w:rsidRPr="00F931D9">
        <w:rPr>
          <w:rFonts w:ascii="Times New Roman" w:hAnsi="Times New Roman"/>
          <w:kern w:val="0"/>
          <w:sz w:val="22"/>
          <w:lang w:val="lt-LT"/>
          <w14:ligatures w14:val="none"/>
        </w:rPr>
        <w:t xml:space="preserve"> tyrimo metodas „</w:t>
      </w:r>
      <w:proofErr w:type="spellStart"/>
      <w:r w:rsidRPr="00F931D9">
        <w:rPr>
          <w:rFonts w:ascii="Times New Roman" w:hAnsi="Times New Roman"/>
          <w:kern w:val="0"/>
          <w:sz w:val="22"/>
          <w:lang w:val="lt-LT"/>
          <w14:ligatures w14:val="none"/>
        </w:rPr>
        <w:t>Cyclo-trac</w:t>
      </w:r>
      <w:proofErr w:type="spellEnd"/>
      <w:r w:rsidRPr="00F931D9">
        <w:rPr>
          <w:rFonts w:ascii="Times New Roman" w:hAnsi="Times New Roman"/>
          <w:kern w:val="0"/>
          <w:sz w:val="22"/>
          <w:lang w:val="lt-LT"/>
          <w14:ligatures w14:val="none"/>
        </w:rPr>
        <w:t>“). Tyrimo su 7 vaikais, kuriems atlikta inksto transplantacija ir kurių amžius buvo 2</w:t>
      </w:r>
      <w:r w:rsidRPr="00F931D9">
        <w:rPr>
          <w:rFonts w:ascii="Times New Roman" w:hAnsi="Times New Roman"/>
          <w:kern w:val="0"/>
          <w:sz w:val="22"/>
          <w:lang w:val="lt-LT"/>
          <w14:ligatures w14:val="none"/>
        </w:rPr>
        <w:noBreakHyphen/>
        <w:t xml:space="preserve">16 metų, metu nustatyta, kad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klirensas buvo 9,8</w:t>
      </w:r>
      <w:r w:rsidRPr="00F931D9">
        <w:rPr>
          <w:rFonts w:ascii="Times New Roman" w:hAnsi="Times New Roman"/>
          <w:kern w:val="0"/>
          <w:sz w:val="22"/>
          <w:lang w:val="lt-LT"/>
          <w14:ligatures w14:val="none"/>
        </w:rPr>
        <w:noBreakHyphen/>
        <w:t>15,5 ml/min./kg kūno svorio. 9 vaikams, kuriems atlikta kepenų transplantacija ir kurių amžius buvo 0,6</w:t>
      </w:r>
      <w:r w:rsidRPr="00F931D9">
        <w:rPr>
          <w:rFonts w:ascii="Times New Roman" w:hAnsi="Times New Roman"/>
          <w:kern w:val="0"/>
          <w:sz w:val="22"/>
          <w:lang w:val="lt-LT"/>
          <w14:ligatures w14:val="none"/>
        </w:rPr>
        <w:noBreakHyphen/>
        <w:t xml:space="preserve">5,6 metų,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klirensas buvo 9,3±5,4 ml/min./kg kūno svorio (tyrimo metodas: HPLC).</w:t>
      </w:r>
      <w:r w:rsidRPr="00F931D9">
        <w:rPr>
          <w:rFonts w:ascii="Times New Roman" w:hAnsi="Times New Roman"/>
          <w:color w:val="000000"/>
          <w:kern w:val="0"/>
          <w:sz w:val="22"/>
          <w:lang w:val="lt-LT"/>
          <w14:ligatures w14:val="none"/>
        </w:rPr>
        <w:t xml:space="preserve"> Įvertinus duomenis, gautus tiriant suaugusius transplantaciją patyrusius pacientus, nustatyta, kad biologinio </w:t>
      </w:r>
      <w:proofErr w:type="spellStart"/>
      <w:r w:rsidRPr="00F931D9">
        <w:rPr>
          <w:rFonts w:ascii="Times New Roman" w:hAnsi="Times New Roman"/>
          <w:color w:val="000000"/>
          <w:kern w:val="0"/>
          <w:sz w:val="22"/>
          <w:lang w:val="lt-LT"/>
          <w14:ligatures w14:val="none"/>
        </w:rPr>
        <w:t>Sandimmun</w:t>
      </w:r>
      <w:proofErr w:type="spellEnd"/>
      <w:r w:rsidRPr="00F931D9">
        <w:rPr>
          <w:rFonts w:ascii="Times New Roman" w:hAnsi="Times New Roman"/>
          <w:color w:val="000000"/>
          <w:kern w:val="0"/>
          <w:sz w:val="22"/>
          <w:lang w:val="lt-LT"/>
          <w14:ligatures w14:val="none"/>
        </w:rPr>
        <w:t> </w:t>
      </w:r>
      <w:proofErr w:type="spellStart"/>
      <w:r w:rsidRPr="00F931D9">
        <w:rPr>
          <w:rFonts w:ascii="Times New Roman" w:hAnsi="Times New Roman"/>
          <w:color w:val="000000"/>
          <w:kern w:val="0"/>
          <w:sz w:val="22"/>
          <w:lang w:val="lt-LT"/>
          <w14:ligatures w14:val="none"/>
        </w:rPr>
        <w:t>Neoral</w:t>
      </w:r>
      <w:proofErr w:type="spellEnd"/>
      <w:r w:rsidRPr="00F931D9">
        <w:rPr>
          <w:rFonts w:ascii="Times New Roman" w:hAnsi="Times New Roman"/>
          <w:color w:val="000000"/>
          <w:kern w:val="0"/>
          <w:sz w:val="22"/>
          <w:lang w:val="lt-LT"/>
          <w14:ligatures w14:val="none"/>
        </w:rPr>
        <w:t xml:space="preserve"> ir </w:t>
      </w:r>
      <w:proofErr w:type="spellStart"/>
      <w:r w:rsidRPr="00F931D9">
        <w:rPr>
          <w:rFonts w:ascii="Times New Roman" w:hAnsi="Times New Roman"/>
          <w:color w:val="000000"/>
          <w:kern w:val="0"/>
          <w:sz w:val="22"/>
          <w:lang w:val="lt-LT"/>
          <w14:ligatures w14:val="none"/>
        </w:rPr>
        <w:t>Sandimmun</w:t>
      </w:r>
      <w:proofErr w:type="spellEnd"/>
      <w:r w:rsidRPr="00F931D9">
        <w:rPr>
          <w:rFonts w:ascii="Times New Roman" w:hAnsi="Times New Roman"/>
          <w:color w:val="000000"/>
          <w:kern w:val="0"/>
          <w:sz w:val="22"/>
          <w:lang w:val="lt-LT"/>
          <w14:ligatures w14:val="none"/>
        </w:rPr>
        <w:t xml:space="preserve"> prieinamumo skirtumas pediatrinių pacientų organizme yra panašus į nustatytą suaugusiems žmonėms.</w:t>
      </w:r>
    </w:p>
    <w:p w14:paraId="55752F63" w14:textId="77777777" w:rsidR="00323207" w:rsidRPr="00F931D9" w:rsidRDefault="00323207" w:rsidP="00323207">
      <w:pPr>
        <w:spacing w:after="0" w:line="240" w:lineRule="auto"/>
        <w:rPr>
          <w:rFonts w:ascii="Times New Roman" w:hAnsi="Times New Roman"/>
          <w:kern w:val="0"/>
          <w:sz w:val="22"/>
          <w:lang w:val="lt-LT"/>
          <w14:ligatures w14:val="none"/>
        </w:rPr>
      </w:pPr>
    </w:p>
    <w:p w14:paraId="0BA7BD6A" w14:textId="77777777" w:rsidR="00323207" w:rsidRPr="00F931D9" w:rsidRDefault="00323207" w:rsidP="00323207">
      <w:pPr>
        <w:keepNext/>
        <w:spacing w:after="0" w:line="240" w:lineRule="auto"/>
        <w:ind w:left="562" w:hanging="562"/>
        <w:rPr>
          <w:rFonts w:ascii="Times New Roman" w:hAnsi="Times New Roman"/>
          <w:kern w:val="0"/>
          <w:sz w:val="22"/>
          <w:lang w:val="lt-LT"/>
          <w14:ligatures w14:val="none"/>
        </w:rPr>
      </w:pPr>
      <w:r w:rsidRPr="00F931D9">
        <w:rPr>
          <w:rFonts w:ascii="Times New Roman" w:hAnsi="Times New Roman"/>
          <w:b/>
          <w:kern w:val="0"/>
          <w:sz w:val="22"/>
          <w:lang w:val="lt-LT"/>
          <w14:ligatures w14:val="none"/>
        </w:rPr>
        <w:lastRenderedPageBreak/>
        <w:t>5.3</w:t>
      </w:r>
      <w:r w:rsidRPr="00F931D9">
        <w:rPr>
          <w:rFonts w:ascii="Times New Roman" w:hAnsi="Times New Roman"/>
          <w:b/>
          <w:kern w:val="0"/>
          <w:sz w:val="22"/>
          <w:lang w:val="lt-LT"/>
          <w14:ligatures w14:val="none"/>
        </w:rPr>
        <w:tab/>
      </w:r>
      <w:proofErr w:type="spellStart"/>
      <w:r w:rsidRPr="00F931D9">
        <w:rPr>
          <w:rFonts w:ascii="Times New Roman" w:hAnsi="Times New Roman"/>
          <w:b/>
          <w:kern w:val="0"/>
          <w:sz w:val="22"/>
          <w:lang w:val="lt-LT"/>
          <w14:ligatures w14:val="none"/>
        </w:rPr>
        <w:t>Ikiklinikinių</w:t>
      </w:r>
      <w:proofErr w:type="spellEnd"/>
      <w:r w:rsidRPr="00F931D9">
        <w:rPr>
          <w:rFonts w:ascii="Times New Roman" w:hAnsi="Times New Roman"/>
          <w:b/>
          <w:kern w:val="0"/>
          <w:sz w:val="22"/>
          <w:lang w:val="lt-LT"/>
          <w14:ligatures w14:val="none"/>
        </w:rPr>
        <w:t xml:space="preserve"> saugumo tyrimų duomenys</w:t>
      </w:r>
    </w:p>
    <w:p w14:paraId="3D1A33D2" w14:textId="77777777" w:rsidR="00323207" w:rsidRPr="00F931D9" w:rsidRDefault="00323207" w:rsidP="00323207">
      <w:pPr>
        <w:keepNext/>
        <w:spacing w:after="0" w:line="240" w:lineRule="auto"/>
        <w:rPr>
          <w:rFonts w:ascii="Times New Roman" w:hAnsi="Times New Roman"/>
          <w:kern w:val="0"/>
          <w:sz w:val="22"/>
          <w:lang w:val="lt-LT"/>
          <w14:ligatures w14:val="none"/>
        </w:rPr>
      </w:pPr>
    </w:p>
    <w:p w14:paraId="3142CE7D" w14:textId="77777777" w:rsidR="00323207" w:rsidRPr="00F931D9" w:rsidRDefault="00323207" w:rsidP="00323207">
      <w:pPr>
        <w:spacing w:after="0" w:line="240" w:lineRule="auto"/>
        <w:rPr>
          <w:rFonts w:ascii="Times New Roman" w:hAnsi="Times New Roman"/>
          <w:kern w:val="0"/>
          <w:sz w:val="22"/>
          <w:lang w:val="lt-LT"/>
          <w14:ligatures w14:val="none"/>
        </w:rPr>
      </w:pPr>
      <w:bookmarkStart w:id="9" w:name="_Hlk135908757"/>
      <w:r w:rsidRPr="00F931D9">
        <w:rPr>
          <w:rFonts w:ascii="Times New Roman" w:hAnsi="Times New Roman"/>
          <w:kern w:val="0"/>
          <w:sz w:val="22"/>
          <w:lang w:val="lt-LT"/>
          <w14:ligatures w14:val="none"/>
        </w:rPr>
        <w:t xml:space="preserve">Triušiams ir žiurkėms sugirdytas </w:t>
      </w:r>
      <w:proofErr w:type="spellStart"/>
      <w:r w:rsidRPr="00F931D9">
        <w:rPr>
          <w:rFonts w:ascii="Times New Roman" w:hAnsi="Times New Roman"/>
          <w:kern w:val="0"/>
          <w:sz w:val="22"/>
          <w:lang w:val="lt-LT"/>
          <w14:ligatures w14:val="none"/>
        </w:rPr>
        <w:t>ciklosporinas</w:t>
      </w:r>
      <w:proofErr w:type="spellEnd"/>
      <w:r w:rsidRPr="00F931D9">
        <w:rPr>
          <w:rFonts w:ascii="Times New Roman" w:hAnsi="Times New Roman"/>
          <w:kern w:val="0"/>
          <w:sz w:val="22"/>
          <w:lang w:val="lt-LT"/>
          <w14:ligatures w14:val="none"/>
        </w:rPr>
        <w:t xml:space="preserve"> (iki 300 mg/kg per parą dozė) </w:t>
      </w:r>
      <w:proofErr w:type="spellStart"/>
      <w:r w:rsidRPr="00F931D9">
        <w:rPr>
          <w:rFonts w:ascii="Times New Roman" w:hAnsi="Times New Roman"/>
          <w:kern w:val="0"/>
          <w:sz w:val="22"/>
          <w:lang w:val="lt-LT"/>
          <w14:ligatures w14:val="none"/>
        </w:rPr>
        <w:t>teratogeninio</w:t>
      </w:r>
      <w:proofErr w:type="spellEnd"/>
      <w:r w:rsidRPr="00F931D9">
        <w:rPr>
          <w:rFonts w:ascii="Times New Roman" w:hAnsi="Times New Roman"/>
          <w:kern w:val="0"/>
          <w:sz w:val="22"/>
          <w:lang w:val="lt-LT"/>
          <w14:ligatures w14:val="none"/>
        </w:rPr>
        <w:t xml:space="preserve"> poveikio nesukėlė. Nustatyta, kad </w:t>
      </w:r>
      <w:proofErr w:type="spellStart"/>
      <w:r w:rsidRPr="00F931D9">
        <w:rPr>
          <w:rFonts w:ascii="Times New Roman" w:hAnsi="Times New Roman"/>
          <w:kern w:val="0"/>
          <w:sz w:val="22"/>
          <w:lang w:val="lt-LT"/>
          <w14:ligatures w14:val="none"/>
        </w:rPr>
        <w:t>ciklosporinas</w:t>
      </w:r>
      <w:proofErr w:type="spellEnd"/>
      <w:r w:rsidRPr="00F931D9">
        <w:rPr>
          <w:rFonts w:ascii="Times New Roman" w:hAnsi="Times New Roman"/>
          <w:kern w:val="0"/>
          <w:sz w:val="22"/>
          <w:lang w:val="lt-LT"/>
          <w14:ligatures w14:val="none"/>
        </w:rPr>
        <w:t xml:space="preserve"> sukėlė toksinį poveikį embrionui ir vaisiui, t. y. mažino vaisiaus svorį bei lėtino skeleto vystymąsi. Nepageidaujamo poveikio nesukelianti vaistinio preparato koncentracija (angl.</w:t>
      </w:r>
      <w:r w:rsidRPr="00F931D9">
        <w:rPr>
          <w:kern w:val="0"/>
          <w14:ligatures w14:val="none"/>
        </w:rPr>
        <w:t xml:space="preserve"> </w:t>
      </w:r>
      <w:proofErr w:type="spellStart"/>
      <w:r w:rsidRPr="00F931D9">
        <w:rPr>
          <w:rFonts w:ascii="Times New Roman" w:hAnsi="Times New Roman"/>
          <w:i/>
          <w:kern w:val="0"/>
          <w:sz w:val="22"/>
          <w:lang w:val="lt-LT"/>
          <w14:ligatures w14:val="none"/>
        </w:rPr>
        <w:t>no-observed-effect</w:t>
      </w:r>
      <w:proofErr w:type="spellEnd"/>
      <w:r w:rsidRPr="00F931D9">
        <w:rPr>
          <w:rFonts w:ascii="Times New Roman" w:hAnsi="Times New Roman"/>
          <w:i/>
          <w:kern w:val="0"/>
          <w:sz w:val="22"/>
          <w:lang w:val="lt-LT"/>
          <w14:ligatures w14:val="none"/>
        </w:rPr>
        <w:t xml:space="preserve"> </w:t>
      </w:r>
      <w:proofErr w:type="spellStart"/>
      <w:r w:rsidRPr="00F931D9">
        <w:rPr>
          <w:rFonts w:ascii="Times New Roman" w:hAnsi="Times New Roman"/>
          <w:i/>
          <w:kern w:val="0"/>
          <w:sz w:val="22"/>
          <w:lang w:val="lt-LT"/>
          <w14:ligatures w14:val="none"/>
        </w:rPr>
        <w:t>level</w:t>
      </w:r>
      <w:proofErr w:type="spellEnd"/>
      <w:r w:rsidRPr="00F931D9">
        <w:rPr>
          <w:rFonts w:ascii="Times New Roman" w:hAnsi="Times New Roman"/>
          <w:i/>
          <w:kern w:val="0"/>
          <w:sz w:val="22"/>
          <w:lang w:val="lt-LT"/>
          <w14:ligatures w14:val="none"/>
        </w:rPr>
        <w:t>, NOEL</w:t>
      </w:r>
      <w:r w:rsidRPr="00F931D9">
        <w:rPr>
          <w:rFonts w:ascii="Times New Roman" w:hAnsi="Times New Roman"/>
          <w:kern w:val="0"/>
          <w:sz w:val="22"/>
          <w:lang w:val="lt-LT"/>
          <w14:ligatures w14:val="none"/>
        </w:rPr>
        <w:t xml:space="preserve">) yra mažesnė nei žmonėms rekomenduojama didžiausia dozė (ŽRDD), atsižvelgiant į kūno paviršiaus plotą (KPP). Vaikingoms žiurkėms į veną leidžiant 6 mg/kg arba 12 mg/kg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per parą (mažiau nei ŽRDD, atsižvelgiant į KPP), jų vaisiams padidėjo skilvelių pertvarkos defekto pasireiškimo dažnis.</w:t>
      </w:r>
      <w:bookmarkEnd w:id="9"/>
    </w:p>
    <w:p w14:paraId="6AF86B06" w14:textId="77777777" w:rsidR="00323207" w:rsidRPr="00F931D9" w:rsidRDefault="00323207" w:rsidP="00323207">
      <w:pPr>
        <w:spacing w:after="0" w:line="240" w:lineRule="auto"/>
        <w:rPr>
          <w:rFonts w:ascii="Times New Roman" w:hAnsi="Times New Roman"/>
          <w:kern w:val="0"/>
          <w:sz w:val="22"/>
          <w:lang w:val="lt-LT"/>
          <w14:ligatures w14:val="none"/>
        </w:rPr>
      </w:pPr>
    </w:p>
    <w:p w14:paraId="572EA84F"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Dviejų paskelbtų mokslinių tyrimų duomenimis, triušiams, kurie gimdoje buvo veikiami </w:t>
      </w:r>
      <w:proofErr w:type="spellStart"/>
      <w:r w:rsidRPr="00F931D9">
        <w:rPr>
          <w:rFonts w:ascii="Times New Roman" w:hAnsi="Times New Roman"/>
          <w:kern w:val="0"/>
          <w:sz w:val="22"/>
          <w:lang w:val="lt-LT"/>
          <w14:ligatures w14:val="none"/>
        </w:rPr>
        <w:t>ciklosporinu</w:t>
      </w:r>
      <w:proofErr w:type="spellEnd"/>
      <w:r w:rsidRPr="00F931D9">
        <w:rPr>
          <w:rFonts w:ascii="Times New Roman" w:hAnsi="Times New Roman"/>
          <w:kern w:val="0"/>
          <w:sz w:val="22"/>
          <w:lang w:val="lt-LT"/>
          <w14:ligatures w14:val="none"/>
        </w:rPr>
        <w:t xml:space="preserve"> (vaikingai patelei po oda buvo skiriama 10 mg/kg kūno svorio paros dozė), per 35 gyvenimo savaites nustatytas sumažėjęs </w:t>
      </w:r>
      <w:proofErr w:type="spellStart"/>
      <w:r w:rsidRPr="00F931D9">
        <w:rPr>
          <w:rFonts w:ascii="Times New Roman" w:hAnsi="Times New Roman"/>
          <w:kern w:val="0"/>
          <w:sz w:val="22"/>
          <w:lang w:val="lt-LT"/>
          <w14:ligatures w14:val="none"/>
        </w:rPr>
        <w:t>nefronų</w:t>
      </w:r>
      <w:proofErr w:type="spellEnd"/>
      <w:r w:rsidRPr="00F931D9">
        <w:rPr>
          <w:rFonts w:ascii="Times New Roman" w:hAnsi="Times New Roman"/>
          <w:kern w:val="0"/>
          <w:sz w:val="22"/>
          <w:lang w:val="lt-LT"/>
          <w14:ligatures w14:val="none"/>
        </w:rPr>
        <w:t xml:space="preserve"> kiekis, inkstų hipertrofija, sisteminė hipertenzija ir progresuojantis inkstų nepakankamumas. Kitų rūšių gyvūnams šių sutrikimų nepastebėta, todėl jų reikšmė žmogui nežinoma.</w:t>
      </w:r>
    </w:p>
    <w:p w14:paraId="33FBC487" w14:textId="77777777" w:rsidR="00323207" w:rsidRPr="00F931D9" w:rsidRDefault="00323207" w:rsidP="00323207">
      <w:pPr>
        <w:spacing w:after="0" w:line="240" w:lineRule="auto"/>
        <w:rPr>
          <w:rFonts w:ascii="Times New Roman" w:hAnsi="Times New Roman"/>
          <w:kern w:val="0"/>
          <w:sz w:val="22"/>
          <w:lang w:val="lt-LT"/>
          <w14:ligatures w14:val="none"/>
        </w:rPr>
      </w:pPr>
    </w:p>
    <w:p w14:paraId="5CAF431C" w14:textId="77777777" w:rsidR="00323207" w:rsidRPr="00F931D9" w:rsidRDefault="00323207" w:rsidP="00323207">
      <w:pPr>
        <w:spacing w:after="0" w:line="240" w:lineRule="auto"/>
        <w:rPr>
          <w:rFonts w:ascii="Times New Roman" w:hAnsi="Times New Roman"/>
          <w:kern w:val="0"/>
          <w:sz w:val="22"/>
          <w:lang w:val="lt-LT"/>
          <w14:ligatures w14:val="none"/>
        </w:rPr>
      </w:pPr>
      <w:bookmarkStart w:id="10" w:name="_Hlk135908791"/>
      <w:r w:rsidRPr="00F931D9">
        <w:rPr>
          <w:rFonts w:ascii="Times New Roman" w:hAnsi="Times New Roman"/>
          <w:kern w:val="0"/>
          <w:sz w:val="22"/>
          <w:lang w:val="lt-LT"/>
          <w14:ligatures w14:val="none"/>
        </w:rPr>
        <w:t xml:space="preserve">Su žiurkėmis atlikto poveikio perinataliniam ir </w:t>
      </w:r>
      <w:proofErr w:type="spellStart"/>
      <w:r w:rsidRPr="00F931D9">
        <w:rPr>
          <w:rFonts w:ascii="Times New Roman" w:hAnsi="Times New Roman"/>
          <w:kern w:val="0"/>
          <w:sz w:val="22"/>
          <w:lang w:val="lt-LT"/>
          <w14:ligatures w14:val="none"/>
        </w:rPr>
        <w:t>postnataliniam</w:t>
      </w:r>
      <w:proofErr w:type="spellEnd"/>
      <w:r w:rsidRPr="00F931D9">
        <w:rPr>
          <w:rFonts w:ascii="Times New Roman" w:hAnsi="Times New Roman"/>
          <w:kern w:val="0"/>
          <w:sz w:val="22"/>
          <w:lang w:val="lt-LT"/>
          <w14:ligatures w14:val="none"/>
        </w:rPr>
        <w:t xml:space="preserve"> vystymuisi tyrimo duomenimis, skiriant didžiausią 45 mg/kg per parą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dozę, padidėjo </w:t>
      </w:r>
      <w:proofErr w:type="spellStart"/>
      <w:r w:rsidRPr="00F931D9">
        <w:rPr>
          <w:rFonts w:ascii="Times New Roman" w:hAnsi="Times New Roman"/>
          <w:kern w:val="0"/>
          <w:sz w:val="22"/>
          <w:lang w:val="lt-LT"/>
          <w14:ligatures w14:val="none"/>
        </w:rPr>
        <w:t>preimplantacinio</w:t>
      </w:r>
      <w:proofErr w:type="spellEnd"/>
      <w:r w:rsidRPr="00F931D9">
        <w:rPr>
          <w:rFonts w:ascii="Times New Roman" w:hAnsi="Times New Roman"/>
          <w:kern w:val="0"/>
          <w:sz w:val="22"/>
          <w:lang w:val="lt-LT"/>
          <w14:ligatures w14:val="none"/>
        </w:rPr>
        <w:t xml:space="preserve"> ir </w:t>
      </w:r>
      <w:proofErr w:type="spellStart"/>
      <w:r w:rsidRPr="00F931D9">
        <w:rPr>
          <w:rFonts w:ascii="Times New Roman" w:hAnsi="Times New Roman"/>
          <w:kern w:val="0"/>
          <w:sz w:val="22"/>
          <w:lang w:val="lt-LT"/>
          <w14:ligatures w14:val="none"/>
        </w:rPr>
        <w:t>postimplantacinio</w:t>
      </w:r>
      <w:proofErr w:type="spellEnd"/>
      <w:r w:rsidRPr="00F931D9">
        <w:rPr>
          <w:rFonts w:ascii="Times New Roman" w:hAnsi="Times New Roman"/>
          <w:kern w:val="0"/>
          <w:sz w:val="22"/>
          <w:lang w:val="lt-LT"/>
          <w14:ligatures w14:val="none"/>
        </w:rPr>
        <w:t xml:space="preserve"> vaisių kritimo dažnis ir sumažėjo išgyvenusių jauniklių kūno svorio prieaugis. NOEL rodmuo yra mažesnis nei ŽRDD, atsižvelgiant į KPP.</w:t>
      </w:r>
    </w:p>
    <w:p w14:paraId="4AAE81BB" w14:textId="77777777" w:rsidR="00323207" w:rsidRPr="00F931D9" w:rsidRDefault="00323207" w:rsidP="00323207">
      <w:pPr>
        <w:spacing w:after="0" w:line="240" w:lineRule="auto"/>
        <w:rPr>
          <w:rFonts w:ascii="Times New Roman" w:hAnsi="Times New Roman"/>
          <w:kern w:val="0"/>
          <w:sz w:val="22"/>
          <w:lang w:val="lt-LT"/>
          <w14:ligatures w14:val="none"/>
        </w:rPr>
      </w:pPr>
    </w:p>
    <w:p w14:paraId="23B3C6BD"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SU žiurkėmis atlikto poveikio vislumui tyrimo duomenimis, nepageidaujamo poveikio žiurkių patinų ir patelių vislumui bei reprodukcijai nebuvo stebima skiriant iki 15 mg/kg per parą dozę (mažesnę nei ŽRDD, atsižvelgiant į KPP).</w:t>
      </w:r>
    </w:p>
    <w:bookmarkEnd w:id="10"/>
    <w:p w14:paraId="42DC1867" w14:textId="77777777" w:rsidR="00323207" w:rsidRPr="00F931D9" w:rsidRDefault="00323207" w:rsidP="00323207">
      <w:pPr>
        <w:spacing w:after="0" w:line="240" w:lineRule="auto"/>
        <w:rPr>
          <w:rFonts w:ascii="Times New Roman" w:hAnsi="Times New Roman"/>
          <w:kern w:val="0"/>
          <w:sz w:val="22"/>
          <w:lang w:val="lt-LT"/>
          <w14:ligatures w14:val="none"/>
        </w:rPr>
      </w:pPr>
    </w:p>
    <w:p w14:paraId="10A0F5CC"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Atlikta nemažai </w:t>
      </w:r>
      <w:proofErr w:type="spellStart"/>
      <w:r w:rsidRPr="00F931D9">
        <w:rPr>
          <w:rFonts w:ascii="Times New Roman" w:hAnsi="Times New Roman"/>
          <w:kern w:val="0"/>
          <w:sz w:val="22"/>
          <w:lang w:val="lt-LT"/>
          <w14:ligatures w14:val="none"/>
        </w:rPr>
        <w:t>genotoksinio</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poveikio tyrimų </w:t>
      </w:r>
      <w:proofErr w:type="spellStart"/>
      <w:r w:rsidRPr="00F931D9">
        <w:rPr>
          <w:rFonts w:ascii="Times New Roman" w:hAnsi="Times New Roman"/>
          <w:i/>
          <w:kern w:val="0"/>
          <w:sz w:val="22"/>
          <w:lang w:val="lt-LT"/>
          <w14:ligatures w14:val="none"/>
        </w:rPr>
        <w:t>in</w:t>
      </w:r>
      <w:proofErr w:type="spellEnd"/>
      <w:r w:rsidRPr="00F931D9">
        <w:rPr>
          <w:rFonts w:ascii="Times New Roman" w:hAnsi="Times New Roman"/>
          <w:i/>
          <w:kern w:val="0"/>
          <w:sz w:val="22"/>
          <w:lang w:val="lt-LT"/>
          <w14:ligatures w14:val="none"/>
        </w:rPr>
        <w:t xml:space="preserve"> </w:t>
      </w:r>
      <w:proofErr w:type="spellStart"/>
      <w:r w:rsidRPr="00F931D9">
        <w:rPr>
          <w:rFonts w:ascii="Times New Roman" w:hAnsi="Times New Roman"/>
          <w:i/>
          <w:kern w:val="0"/>
          <w:sz w:val="22"/>
          <w:lang w:val="lt-LT"/>
          <w14:ligatures w14:val="none"/>
        </w:rPr>
        <w:t>vitro</w:t>
      </w:r>
      <w:proofErr w:type="spellEnd"/>
      <w:r w:rsidRPr="00F931D9">
        <w:rPr>
          <w:rFonts w:ascii="Times New Roman" w:hAnsi="Times New Roman"/>
          <w:kern w:val="0"/>
          <w:sz w:val="22"/>
          <w:lang w:val="lt-LT"/>
          <w14:ligatures w14:val="none"/>
        </w:rPr>
        <w:t xml:space="preserve"> ir </w:t>
      </w:r>
      <w:proofErr w:type="spellStart"/>
      <w:r w:rsidRPr="00F931D9">
        <w:rPr>
          <w:rFonts w:ascii="Times New Roman" w:hAnsi="Times New Roman"/>
          <w:i/>
          <w:kern w:val="0"/>
          <w:sz w:val="22"/>
          <w:lang w:val="lt-LT"/>
          <w14:ligatures w14:val="none"/>
        </w:rPr>
        <w:t>in</w:t>
      </w:r>
      <w:proofErr w:type="spellEnd"/>
      <w:r w:rsidRPr="00F931D9">
        <w:rPr>
          <w:rFonts w:ascii="Times New Roman" w:hAnsi="Times New Roman"/>
          <w:i/>
          <w:kern w:val="0"/>
          <w:sz w:val="22"/>
          <w:lang w:val="lt-LT"/>
          <w14:ligatures w14:val="none"/>
        </w:rPr>
        <w:t xml:space="preserve"> </w:t>
      </w:r>
      <w:proofErr w:type="spellStart"/>
      <w:r w:rsidRPr="00F931D9">
        <w:rPr>
          <w:rFonts w:ascii="Times New Roman" w:hAnsi="Times New Roman"/>
          <w:i/>
          <w:kern w:val="0"/>
          <w:sz w:val="22"/>
          <w:lang w:val="lt-LT"/>
          <w14:ligatures w14:val="none"/>
        </w:rPr>
        <w:t>vivo</w:t>
      </w:r>
      <w:proofErr w:type="spellEnd"/>
      <w:r w:rsidRPr="00F931D9">
        <w:rPr>
          <w:rFonts w:ascii="Times New Roman" w:hAnsi="Times New Roman"/>
          <w:kern w:val="0"/>
          <w:sz w:val="22"/>
          <w:lang w:val="lt-LT"/>
          <w14:ligatures w14:val="none"/>
        </w:rPr>
        <w:t>, tačiau duomenų apie kliniškai reikšmingą mutageninį poveikį negauta.</w:t>
      </w:r>
    </w:p>
    <w:p w14:paraId="0A024670" w14:textId="77777777" w:rsidR="00323207" w:rsidRPr="00F931D9" w:rsidRDefault="00323207" w:rsidP="00323207">
      <w:pPr>
        <w:spacing w:after="0" w:line="240" w:lineRule="auto"/>
        <w:rPr>
          <w:rFonts w:ascii="Times New Roman" w:hAnsi="Times New Roman"/>
          <w:kern w:val="0"/>
          <w:sz w:val="22"/>
          <w:lang w:val="lt-LT"/>
          <w14:ligatures w14:val="none"/>
        </w:rPr>
      </w:pPr>
    </w:p>
    <w:p w14:paraId="1454FA6D"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Kancerogeninio poveikio tyrimai atlikti su pelių ir žiurkių patinais bei patelėmis. Tyrimo su pelėmis, kurioms 78 savaites buvo skiriama 1 mg/kg kūno svorio, 4 mg/kg kūno svorio arba 16 mg/kg kūno svorio paros dozės, duomenimis, patelėms nustatytas statistiškai reikšmingas polinkis atsirasti </w:t>
      </w:r>
      <w:proofErr w:type="spellStart"/>
      <w:r w:rsidRPr="00F931D9">
        <w:rPr>
          <w:rFonts w:ascii="Times New Roman" w:hAnsi="Times New Roman"/>
          <w:kern w:val="0"/>
          <w:sz w:val="22"/>
          <w:lang w:val="lt-LT"/>
          <w14:ligatures w14:val="none"/>
        </w:rPr>
        <w:t>limfocitinei</w:t>
      </w:r>
      <w:proofErr w:type="spellEnd"/>
      <w:r w:rsidRPr="00F931D9">
        <w:rPr>
          <w:rFonts w:ascii="Times New Roman" w:hAnsi="Times New Roman"/>
          <w:kern w:val="0"/>
          <w:sz w:val="22"/>
          <w:lang w:val="lt-LT"/>
          <w14:ligatures w14:val="none"/>
        </w:rPr>
        <w:t xml:space="preserve"> limfomai, o patinams, kurie vartojo vidurinę dozę, – reikšmingai didesnis negu kontrolinėje grupėje kepenų ląstelių karcinomos pasireiškimo dažnis. 24 mėnesių trukmės tyrimo su žiurkėmis, kurioms buvo skiriama 0,5 mg/kg kūno svorio, 2 mg/kg kūno svorio arba 8 mg/kg kūno svorio paros dozės, duomenimis, gyvūnams, kurie vartojo mažą dozę, lyginant su kontrolinės grupės gyvūnais, pastebėta reikšmingai daugiau kasos </w:t>
      </w:r>
      <w:proofErr w:type="spellStart"/>
      <w:r w:rsidRPr="00F931D9">
        <w:rPr>
          <w:rFonts w:ascii="Times New Roman" w:hAnsi="Times New Roman"/>
          <w:kern w:val="0"/>
          <w:sz w:val="22"/>
          <w:lang w:val="lt-LT"/>
          <w14:ligatures w14:val="none"/>
        </w:rPr>
        <w:t>Langerhanso</w:t>
      </w:r>
      <w:proofErr w:type="spellEnd"/>
      <w:r w:rsidRPr="00F931D9">
        <w:rPr>
          <w:rFonts w:ascii="Times New Roman" w:hAnsi="Times New Roman"/>
          <w:kern w:val="0"/>
          <w:sz w:val="22"/>
          <w:lang w:val="lt-LT"/>
          <w14:ligatures w14:val="none"/>
        </w:rPr>
        <w:t xml:space="preserve"> salelių ląstelių adenomų atvejų. Kepenų ląstelių karcinomos ir kasos </w:t>
      </w:r>
      <w:proofErr w:type="spellStart"/>
      <w:r w:rsidRPr="00F931D9">
        <w:rPr>
          <w:rFonts w:ascii="Times New Roman" w:hAnsi="Times New Roman"/>
          <w:kern w:val="0"/>
          <w:sz w:val="22"/>
          <w:lang w:val="lt-LT"/>
          <w14:ligatures w14:val="none"/>
        </w:rPr>
        <w:t>Langerhanso</w:t>
      </w:r>
      <w:proofErr w:type="spellEnd"/>
      <w:r w:rsidRPr="00F931D9">
        <w:rPr>
          <w:rFonts w:ascii="Times New Roman" w:hAnsi="Times New Roman"/>
          <w:kern w:val="0"/>
          <w:sz w:val="22"/>
          <w:lang w:val="lt-LT"/>
          <w14:ligatures w14:val="none"/>
        </w:rPr>
        <w:t xml:space="preserve"> salelių ląstelių adenomos pasireiškimas nuo dozės nepriklausė.</w:t>
      </w:r>
    </w:p>
    <w:p w14:paraId="1B17E2DE" w14:textId="77777777" w:rsidR="00323207" w:rsidRPr="00F931D9" w:rsidRDefault="00323207" w:rsidP="00323207">
      <w:pPr>
        <w:spacing w:after="0" w:line="240" w:lineRule="auto"/>
        <w:rPr>
          <w:rFonts w:ascii="Times New Roman" w:hAnsi="Times New Roman"/>
          <w:kern w:val="0"/>
          <w:sz w:val="22"/>
          <w:lang w:val="lt-LT"/>
          <w14:ligatures w14:val="none"/>
        </w:rPr>
      </w:pPr>
    </w:p>
    <w:p w14:paraId="7E672C1F" w14:textId="77777777" w:rsidR="00323207" w:rsidRPr="00F931D9" w:rsidRDefault="00323207" w:rsidP="00323207">
      <w:pPr>
        <w:spacing w:after="0" w:line="240" w:lineRule="auto"/>
        <w:rPr>
          <w:rFonts w:ascii="Times New Roman" w:hAnsi="Times New Roman"/>
          <w:kern w:val="0"/>
          <w:sz w:val="22"/>
          <w:lang w:val="lt-LT"/>
          <w14:ligatures w14:val="none"/>
        </w:rPr>
      </w:pPr>
    </w:p>
    <w:p w14:paraId="57149A6B" w14:textId="77777777" w:rsidR="00323207" w:rsidRPr="00F931D9" w:rsidRDefault="00323207" w:rsidP="00323207">
      <w:pPr>
        <w:keepNext/>
        <w:spacing w:after="0" w:line="240" w:lineRule="auto"/>
        <w:ind w:left="567" w:hanging="567"/>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6.</w:t>
      </w:r>
      <w:r w:rsidRPr="00F931D9">
        <w:rPr>
          <w:rFonts w:ascii="Times New Roman" w:hAnsi="Times New Roman"/>
          <w:b/>
          <w:kern w:val="0"/>
          <w:sz w:val="22"/>
          <w:lang w:val="lt-LT"/>
          <w14:ligatures w14:val="none"/>
        </w:rPr>
        <w:tab/>
      </w:r>
      <w:r w:rsidRPr="00F931D9">
        <w:rPr>
          <w:rFonts w:ascii="Times New Roman" w:hAnsi="Times New Roman"/>
          <w:b/>
          <w:caps/>
          <w:kern w:val="0"/>
          <w:sz w:val="22"/>
          <w:lang w:val="lt-LT"/>
          <w14:ligatures w14:val="none"/>
        </w:rPr>
        <w:t>farmacinė informacija</w:t>
      </w:r>
    </w:p>
    <w:p w14:paraId="4C74F022" w14:textId="77777777" w:rsidR="00323207" w:rsidRPr="00F931D9" w:rsidRDefault="00323207" w:rsidP="00323207">
      <w:pPr>
        <w:keepNext/>
        <w:spacing w:after="0" w:line="240" w:lineRule="auto"/>
        <w:rPr>
          <w:rFonts w:ascii="Times New Roman" w:hAnsi="Times New Roman"/>
          <w:b/>
          <w:kern w:val="0"/>
          <w:sz w:val="22"/>
          <w:lang w:val="lt-LT"/>
          <w14:ligatures w14:val="none"/>
        </w:rPr>
      </w:pPr>
    </w:p>
    <w:p w14:paraId="3D2D2C75" w14:textId="77777777" w:rsidR="00323207" w:rsidRPr="00F931D9" w:rsidRDefault="00323207" w:rsidP="00323207">
      <w:pPr>
        <w:keepNext/>
        <w:spacing w:after="0" w:line="240" w:lineRule="auto"/>
        <w:ind w:left="567" w:hanging="567"/>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6.1</w:t>
      </w:r>
      <w:r w:rsidRPr="00F931D9">
        <w:rPr>
          <w:rFonts w:ascii="Times New Roman" w:hAnsi="Times New Roman"/>
          <w:b/>
          <w:kern w:val="0"/>
          <w:sz w:val="22"/>
          <w:lang w:val="lt-LT"/>
          <w14:ligatures w14:val="none"/>
        </w:rPr>
        <w:tab/>
        <w:t>Pagalbinių medžiagų sąrašas</w:t>
      </w:r>
    </w:p>
    <w:p w14:paraId="090F51C2" w14:textId="77777777" w:rsidR="00323207" w:rsidRPr="00F931D9" w:rsidRDefault="00323207" w:rsidP="00323207">
      <w:pPr>
        <w:keepNext/>
        <w:spacing w:after="0" w:line="240" w:lineRule="auto"/>
        <w:rPr>
          <w:rFonts w:ascii="Times New Roman" w:hAnsi="Times New Roman"/>
          <w:kern w:val="0"/>
          <w:sz w:val="22"/>
          <w:lang w:val="lt-LT"/>
          <w14:ligatures w14:val="none"/>
        </w:rPr>
      </w:pPr>
    </w:p>
    <w:p w14:paraId="2BC03D5E" w14:textId="77777777" w:rsidR="00323207" w:rsidRPr="00F931D9" w:rsidRDefault="00323207" w:rsidP="00323207">
      <w:pPr>
        <w:keepNext/>
        <w:shd w:val="clear" w:color="auto" w:fill="D9D9D9"/>
        <w:spacing w:after="0" w:line="240" w:lineRule="auto"/>
        <w:outlineLvl w:val="0"/>
        <w:rPr>
          <w:rFonts w:ascii="Times New Roman" w:hAnsi="Times New Roman"/>
          <w:kern w:val="0"/>
          <w:sz w:val="22"/>
          <w:u w:val="single"/>
          <w:lang w:val="lt-LT"/>
          <w14:ligatures w14:val="none"/>
        </w:rPr>
      </w:pPr>
      <w:r w:rsidRPr="00F931D9">
        <w:rPr>
          <w:rFonts w:ascii="Times New Roman" w:hAnsi="Times New Roman"/>
          <w:kern w:val="0"/>
          <w:sz w:val="22"/>
          <w:u w:val="single"/>
          <w:lang w:val="lt-LT"/>
          <w14:ligatures w14:val="none"/>
        </w:rPr>
        <w:t>Kapsulės turinys</w:t>
      </w:r>
    </w:p>
    <w:p w14:paraId="08FF1A57" w14:textId="77777777" w:rsidR="00323207" w:rsidRPr="00F931D9" w:rsidRDefault="00323207" w:rsidP="00323207">
      <w:pPr>
        <w:shd w:val="clear" w:color="auto" w:fill="D9D9D9"/>
        <w:spacing w:after="0" w:line="240" w:lineRule="auto"/>
        <w:outlineLvl w:val="0"/>
        <w:rPr>
          <w:rFonts w:ascii="Times New Roman" w:hAnsi="Times New Roman"/>
          <w:kern w:val="0"/>
          <w:sz w:val="22"/>
          <w:lang w:val="lt-LT"/>
          <w14:ligatures w14:val="none"/>
        </w:rPr>
      </w:pPr>
      <w:r w:rsidRPr="00F931D9">
        <w:rPr>
          <w:rFonts w:ascii="Times New Roman" w:hAnsi="Times New Roman"/>
          <w:kern w:val="0"/>
          <w:sz w:val="22"/>
          <w:lang w:val="lt-LT"/>
          <w14:ligatures w14:val="none"/>
        </w:rPr>
        <w:t>Alfa-</w:t>
      </w:r>
      <w:proofErr w:type="spellStart"/>
      <w:r w:rsidRPr="00F931D9">
        <w:rPr>
          <w:rFonts w:ascii="Times New Roman" w:hAnsi="Times New Roman"/>
          <w:kern w:val="0"/>
          <w:sz w:val="22"/>
          <w:lang w:val="lt-LT"/>
          <w14:ligatures w14:val="none"/>
        </w:rPr>
        <w:t>tokoferolis</w:t>
      </w:r>
      <w:proofErr w:type="spellEnd"/>
    </w:p>
    <w:p w14:paraId="3DA23141" w14:textId="77777777" w:rsidR="00323207" w:rsidRPr="00F931D9" w:rsidRDefault="00323207" w:rsidP="00323207">
      <w:pPr>
        <w:shd w:val="clear" w:color="auto" w:fill="D9D9D9"/>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Bevandenis etanolis</w:t>
      </w:r>
    </w:p>
    <w:p w14:paraId="1248668E" w14:textId="77777777" w:rsidR="00323207" w:rsidRPr="00F931D9" w:rsidRDefault="00323207" w:rsidP="00323207">
      <w:pPr>
        <w:shd w:val="clear" w:color="auto" w:fill="D9D9D9"/>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Propilenglikolis</w:t>
      </w:r>
      <w:proofErr w:type="spellEnd"/>
    </w:p>
    <w:p w14:paraId="7E930430" w14:textId="77777777" w:rsidR="00323207" w:rsidRPr="00F931D9" w:rsidRDefault="00323207" w:rsidP="00323207">
      <w:pPr>
        <w:shd w:val="clear" w:color="auto" w:fill="D9D9D9"/>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Kukurūzų aliejaus </w:t>
      </w:r>
      <w:proofErr w:type="spellStart"/>
      <w:r w:rsidRPr="00F931D9">
        <w:rPr>
          <w:rFonts w:ascii="Times New Roman" w:hAnsi="Times New Roman"/>
          <w:kern w:val="0"/>
          <w:sz w:val="22"/>
          <w:lang w:val="lt-LT"/>
          <w14:ligatures w14:val="none"/>
        </w:rPr>
        <w:t>monogliceridai</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digliceridai</w:t>
      </w:r>
      <w:proofErr w:type="spellEnd"/>
      <w:r w:rsidRPr="00F931D9">
        <w:rPr>
          <w:rFonts w:ascii="Times New Roman" w:hAnsi="Times New Roman"/>
          <w:kern w:val="0"/>
          <w:sz w:val="22"/>
          <w:lang w:val="lt-LT"/>
          <w14:ligatures w14:val="none"/>
        </w:rPr>
        <w:t xml:space="preserve"> ir trigliceridai</w:t>
      </w:r>
    </w:p>
    <w:p w14:paraId="6914A4E3" w14:textId="77777777" w:rsidR="00323207" w:rsidRPr="00F931D9" w:rsidRDefault="00323207" w:rsidP="00323207">
      <w:pPr>
        <w:shd w:val="clear" w:color="auto" w:fill="D9D9D9"/>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Makrogolglicerolio</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hidroksistearatas</w:t>
      </w:r>
      <w:proofErr w:type="spellEnd"/>
      <w:r w:rsidRPr="00F931D9">
        <w:rPr>
          <w:rFonts w:ascii="Times New Roman" w:hAnsi="Times New Roman"/>
          <w:kern w:val="0"/>
          <w:sz w:val="22"/>
          <w:lang w:val="lt-LT"/>
          <w14:ligatures w14:val="none"/>
        </w:rPr>
        <w:t xml:space="preserve"> / </w:t>
      </w:r>
      <w:proofErr w:type="spellStart"/>
      <w:r w:rsidRPr="00F931D9">
        <w:rPr>
          <w:rFonts w:ascii="Times New Roman" w:hAnsi="Times New Roman"/>
          <w:kern w:val="0"/>
          <w:sz w:val="22"/>
          <w:lang w:val="lt-LT"/>
          <w14:ligatures w14:val="none"/>
        </w:rPr>
        <w:t>Polioksil</w:t>
      </w:r>
      <w:proofErr w:type="spellEnd"/>
      <w:r w:rsidRPr="00F931D9">
        <w:rPr>
          <w:rFonts w:ascii="Times New Roman" w:hAnsi="Times New Roman"/>
          <w:kern w:val="0"/>
          <w:sz w:val="22"/>
          <w:lang w:val="lt-LT"/>
          <w14:ligatures w14:val="none"/>
        </w:rPr>
        <w:t xml:space="preserve"> 40 </w:t>
      </w:r>
      <w:proofErr w:type="spellStart"/>
      <w:r w:rsidRPr="00F931D9">
        <w:rPr>
          <w:rFonts w:ascii="Times New Roman" w:hAnsi="Times New Roman"/>
          <w:kern w:val="0"/>
          <w:sz w:val="22"/>
          <w:lang w:val="lt-LT"/>
          <w14:ligatures w14:val="none"/>
        </w:rPr>
        <w:t>hidrintas</w:t>
      </w:r>
      <w:proofErr w:type="spellEnd"/>
      <w:r w:rsidRPr="00F931D9">
        <w:rPr>
          <w:rFonts w:ascii="Times New Roman" w:hAnsi="Times New Roman"/>
          <w:kern w:val="0"/>
          <w:sz w:val="22"/>
          <w:lang w:val="lt-LT"/>
          <w14:ligatures w14:val="none"/>
        </w:rPr>
        <w:t xml:space="preserve"> ricinos aliejus</w:t>
      </w:r>
    </w:p>
    <w:p w14:paraId="5806979E" w14:textId="77777777" w:rsidR="00323207" w:rsidRPr="00F931D9" w:rsidRDefault="00323207" w:rsidP="00323207">
      <w:pPr>
        <w:shd w:val="clear" w:color="auto" w:fill="D9D9D9"/>
        <w:spacing w:after="0" w:line="240" w:lineRule="auto"/>
        <w:rPr>
          <w:rFonts w:ascii="Times New Roman" w:hAnsi="Times New Roman"/>
          <w:kern w:val="0"/>
          <w:sz w:val="22"/>
          <w:lang w:val="es-ES"/>
          <w14:ligatures w14:val="none"/>
        </w:rPr>
      </w:pPr>
      <w:r w:rsidRPr="00F931D9">
        <w:rPr>
          <w:rFonts w:ascii="Times New Roman" w:hAnsi="Times New Roman"/>
          <w:kern w:val="0"/>
          <w:sz w:val="22"/>
          <w:lang w:val="es-ES"/>
          <w14:ligatures w14:val="none"/>
        </w:rPr>
        <w:t xml:space="preserve"> </w:t>
      </w:r>
    </w:p>
    <w:p w14:paraId="0FF36B9B" w14:textId="77777777" w:rsidR="00323207" w:rsidRPr="00F931D9" w:rsidRDefault="00323207" w:rsidP="00323207">
      <w:pPr>
        <w:shd w:val="clear" w:color="auto" w:fill="D9D9D9"/>
        <w:spacing w:after="0" w:line="240" w:lineRule="auto"/>
        <w:outlineLvl w:val="0"/>
        <w:rPr>
          <w:rFonts w:ascii="Times New Roman" w:hAnsi="Times New Roman"/>
          <w:kern w:val="0"/>
          <w:sz w:val="22"/>
          <w:u w:val="single"/>
          <w:lang w:val="lt-LT"/>
          <w14:ligatures w14:val="none"/>
        </w:rPr>
      </w:pPr>
      <w:r w:rsidRPr="00F931D9">
        <w:rPr>
          <w:rFonts w:ascii="Times New Roman" w:hAnsi="Times New Roman"/>
          <w:kern w:val="0"/>
          <w:sz w:val="22"/>
          <w:u w:val="single"/>
          <w:lang w:val="lt-LT"/>
          <w14:ligatures w14:val="none"/>
        </w:rPr>
        <w:t>Kapsulės apvalkalas</w:t>
      </w:r>
    </w:p>
    <w:p w14:paraId="0873DFAC" w14:textId="77777777" w:rsidR="00323207" w:rsidRPr="00F931D9" w:rsidRDefault="00323207" w:rsidP="00323207">
      <w:pPr>
        <w:shd w:val="clear" w:color="auto" w:fill="D9D9D9"/>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Juodasis geležies oksidas (E172)</w:t>
      </w:r>
    </w:p>
    <w:p w14:paraId="60586C19" w14:textId="77777777" w:rsidR="00323207" w:rsidRPr="00F931D9" w:rsidRDefault="00323207" w:rsidP="00323207">
      <w:pPr>
        <w:shd w:val="clear" w:color="auto" w:fill="D9D9D9"/>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Titano dioksidas (E171)</w:t>
      </w:r>
    </w:p>
    <w:p w14:paraId="3B37F823" w14:textId="77777777" w:rsidR="00323207" w:rsidRPr="00F931D9" w:rsidRDefault="00323207" w:rsidP="00323207">
      <w:pPr>
        <w:shd w:val="clear" w:color="auto" w:fill="D9D9D9"/>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Glicerolis</w:t>
      </w:r>
      <w:proofErr w:type="spellEnd"/>
      <w:r w:rsidRPr="00F931D9">
        <w:rPr>
          <w:rFonts w:ascii="Times New Roman" w:hAnsi="Times New Roman"/>
          <w:kern w:val="0"/>
          <w:sz w:val="22"/>
          <w:lang w:val="lt-LT"/>
          <w14:ligatures w14:val="none"/>
        </w:rPr>
        <w:t xml:space="preserve"> (85 %)</w:t>
      </w:r>
    </w:p>
    <w:p w14:paraId="6D37369F" w14:textId="77777777" w:rsidR="00323207" w:rsidRPr="00F931D9" w:rsidRDefault="00323207" w:rsidP="00323207">
      <w:pPr>
        <w:shd w:val="clear" w:color="auto" w:fill="D9D9D9"/>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Propilenglikolis</w:t>
      </w:r>
      <w:proofErr w:type="spellEnd"/>
    </w:p>
    <w:p w14:paraId="7A375EC7" w14:textId="77777777" w:rsidR="00323207" w:rsidRPr="00F931D9" w:rsidRDefault="00323207" w:rsidP="00323207">
      <w:pPr>
        <w:shd w:val="clear" w:color="auto" w:fill="D9D9D9"/>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Želatina</w:t>
      </w:r>
    </w:p>
    <w:p w14:paraId="393C0396" w14:textId="77777777" w:rsidR="00323207" w:rsidRPr="00F931D9" w:rsidRDefault="00323207" w:rsidP="00323207">
      <w:pPr>
        <w:shd w:val="clear" w:color="auto" w:fill="D9D9D9"/>
        <w:spacing w:after="0" w:line="240" w:lineRule="auto"/>
        <w:rPr>
          <w:rFonts w:ascii="Times New Roman" w:hAnsi="Times New Roman"/>
          <w:kern w:val="0"/>
          <w:sz w:val="22"/>
          <w:u w:val="single"/>
          <w:lang w:val="lt-LT"/>
          <w14:ligatures w14:val="none"/>
        </w:rPr>
      </w:pPr>
    </w:p>
    <w:p w14:paraId="4E625EBE" w14:textId="77777777" w:rsidR="00323207" w:rsidRPr="00F931D9" w:rsidRDefault="00323207" w:rsidP="00323207">
      <w:pPr>
        <w:shd w:val="clear" w:color="auto" w:fill="D9D9D9"/>
        <w:spacing w:after="0" w:line="240" w:lineRule="auto"/>
        <w:outlineLvl w:val="0"/>
        <w:rPr>
          <w:rFonts w:ascii="Times New Roman" w:hAnsi="Times New Roman"/>
          <w:kern w:val="0"/>
          <w:sz w:val="22"/>
          <w:u w:val="single"/>
          <w:lang w:val="lt-LT"/>
          <w14:ligatures w14:val="none"/>
        </w:rPr>
      </w:pPr>
      <w:r w:rsidRPr="00F931D9">
        <w:rPr>
          <w:rFonts w:ascii="Times New Roman" w:hAnsi="Times New Roman"/>
          <w:kern w:val="0"/>
          <w:sz w:val="22"/>
          <w:u w:val="single"/>
          <w:lang w:val="lt-LT"/>
          <w14:ligatures w14:val="none"/>
        </w:rPr>
        <w:t>Atspaudas</w:t>
      </w:r>
    </w:p>
    <w:p w14:paraId="2ED98347" w14:textId="77777777" w:rsidR="00323207" w:rsidRPr="00F931D9" w:rsidRDefault="00323207" w:rsidP="00323207">
      <w:pPr>
        <w:shd w:val="clear" w:color="auto" w:fill="D9D9D9"/>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Karmino</w:t>
      </w:r>
      <w:proofErr w:type="spellEnd"/>
      <w:r w:rsidRPr="00F931D9">
        <w:rPr>
          <w:rFonts w:ascii="Times New Roman" w:hAnsi="Times New Roman"/>
          <w:kern w:val="0"/>
          <w:sz w:val="22"/>
          <w:lang w:val="lt-LT"/>
          <w14:ligatures w14:val="none"/>
        </w:rPr>
        <w:t xml:space="preserve"> rūgštis (E120)</w:t>
      </w:r>
    </w:p>
    <w:p w14:paraId="698E15FA" w14:textId="77777777" w:rsidR="00323207" w:rsidRPr="00F931D9" w:rsidRDefault="00323207" w:rsidP="00323207">
      <w:pPr>
        <w:shd w:val="clear" w:color="auto" w:fill="D9D9D9"/>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Aliuminio chloridas </w:t>
      </w:r>
      <w:proofErr w:type="spellStart"/>
      <w:r w:rsidRPr="00F931D9">
        <w:rPr>
          <w:rFonts w:ascii="Times New Roman" w:hAnsi="Times New Roman"/>
          <w:kern w:val="0"/>
          <w:sz w:val="22"/>
          <w:lang w:val="lt-LT"/>
          <w14:ligatures w14:val="none"/>
        </w:rPr>
        <w:t>heksahidratas</w:t>
      </w:r>
      <w:proofErr w:type="spellEnd"/>
    </w:p>
    <w:p w14:paraId="0AEE1A33" w14:textId="77777777" w:rsidR="00323207" w:rsidRPr="00F931D9" w:rsidRDefault="00323207" w:rsidP="00323207">
      <w:pPr>
        <w:shd w:val="clear" w:color="auto" w:fill="D9D9D9"/>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Natrio hidroksidas</w:t>
      </w:r>
    </w:p>
    <w:p w14:paraId="6B6FCC19" w14:textId="77777777" w:rsidR="00323207" w:rsidRPr="00F931D9" w:rsidRDefault="00323207" w:rsidP="00323207">
      <w:pPr>
        <w:shd w:val="clear" w:color="auto" w:fill="D9D9D9"/>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Propilenglikolis</w:t>
      </w:r>
      <w:proofErr w:type="spellEnd"/>
    </w:p>
    <w:p w14:paraId="3AF5D66A" w14:textId="77777777" w:rsidR="00323207" w:rsidRPr="00F931D9" w:rsidRDefault="00323207" w:rsidP="00323207">
      <w:pPr>
        <w:shd w:val="clear" w:color="auto" w:fill="D9D9D9"/>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Hipromeliozė</w:t>
      </w:r>
      <w:proofErr w:type="spellEnd"/>
      <w:r w:rsidRPr="00F931D9">
        <w:rPr>
          <w:rFonts w:ascii="Times New Roman" w:hAnsi="Times New Roman"/>
          <w:kern w:val="0"/>
          <w:sz w:val="22"/>
          <w:lang w:val="lt-LT"/>
          <w14:ligatures w14:val="none"/>
        </w:rPr>
        <w:t xml:space="preserve"> / </w:t>
      </w:r>
      <w:proofErr w:type="spellStart"/>
      <w:r w:rsidRPr="00F931D9">
        <w:rPr>
          <w:rFonts w:ascii="Times New Roman" w:hAnsi="Times New Roman"/>
          <w:kern w:val="0"/>
          <w:sz w:val="22"/>
          <w:lang w:val="lt-LT"/>
          <w14:ligatures w14:val="none"/>
        </w:rPr>
        <w:t>Hidroksipropilmetilceliuliozė</w:t>
      </w:r>
      <w:proofErr w:type="spellEnd"/>
      <w:r w:rsidRPr="00F931D9">
        <w:rPr>
          <w:rFonts w:ascii="Times New Roman" w:hAnsi="Times New Roman"/>
          <w:kern w:val="0"/>
          <w:sz w:val="22"/>
          <w:lang w:val="lt-LT"/>
          <w14:ligatures w14:val="none"/>
        </w:rPr>
        <w:t xml:space="preserve"> 2910</w:t>
      </w:r>
    </w:p>
    <w:p w14:paraId="042F79C0" w14:textId="77777777" w:rsidR="00323207" w:rsidRPr="00F931D9" w:rsidRDefault="00323207" w:rsidP="00323207">
      <w:pPr>
        <w:shd w:val="clear" w:color="auto" w:fill="D9D9D9"/>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Izopropanolis</w:t>
      </w:r>
      <w:proofErr w:type="spellEnd"/>
      <w:r w:rsidRPr="00F931D9">
        <w:rPr>
          <w:rFonts w:ascii="Times New Roman" w:hAnsi="Times New Roman"/>
          <w:kern w:val="0"/>
          <w:sz w:val="22"/>
          <w:lang w:val="lt-LT"/>
          <w14:ligatures w14:val="none"/>
        </w:rPr>
        <w:t xml:space="preserve"> / Izopropilo alkoholis</w:t>
      </w:r>
    </w:p>
    <w:p w14:paraId="2C5E7B0A" w14:textId="77777777" w:rsidR="00323207" w:rsidRPr="00F931D9" w:rsidRDefault="00323207" w:rsidP="00323207">
      <w:pPr>
        <w:shd w:val="clear" w:color="auto" w:fill="D9D9D9"/>
        <w:spacing w:after="0" w:line="240" w:lineRule="auto"/>
        <w:rPr>
          <w:rFonts w:ascii="Times New Roman" w:hAnsi="Times New Roman"/>
          <w:kern w:val="0"/>
          <w:sz w:val="22"/>
          <w:lang w:val="lt-LT"/>
          <w14:ligatures w14:val="none"/>
        </w:rPr>
      </w:pPr>
    </w:p>
    <w:p w14:paraId="3FA302A1" w14:textId="77777777" w:rsidR="00323207" w:rsidRPr="00F931D9" w:rsidRDefault="00323207" w:rsidP="00323207">
      <w:pPr>
        <w:shd w:val="clear" w:color="auto" w:fill="BFBFBF"/>
        <w:spacing w:after="0" w:line="240" w:lineRule="auto"/>
        <w:outlineLvl w:val="0"/>
        <w:rPr>
          <w:rFonts w:ascii="Times New Roman" w:hAnsi="Times New Roman"/>
          <w:kern w:val="0"/>
          <w:sz w:val="22"/>
          <w:u w:val="single"/>
          <w:lang w:val="lt-LT"/>
          <w14:ligatures w14:val="none"/>
        </w:rPr>
      </w:pPr>
      <w:r w:rsidRPr="00F931D9">
        <w:rPr>
          <w:rFonts w:ascii="Times New Roman" w:hAnsi="Times New Roman"/>
          <w:kern w:val="0"/>
          <w:sz w:val="22"/>
          <w:u w:val="single"/>
          <w:lang w:val="lt-LT"/>
          <w14:ligatures w14:val="none"/>
        </w:rPr>
        <w:t>Kapsulės turinys</w:t>
      </w:r>
    </w:p>
    <w:p w14:paraId="6BA8A5B7" w14:textId="77777777" w:rsidR="00323207" w:rsidRPr="00F931D9" w:rsidRDefault="00323207" w:rsidP="00323207">
      <w:pPr>
        <w:shd w:val="clear" w:color="auto" w:fill="BFBFBF"/>
        <w:spacing w:after="0" w:line="240" w:lineRule="auto"/>
        <w:outlineLvl w:val="0"/>
        <w:rPr>
          <w:rFonts w:ascii="Times New Roman" w:hAnsi="Times New Roman"/>
          <w:kern w:val="0"/>
          <w:sz w:val="22"/>
          <w:lang w:val="lt-LT"/>
          <w14:ligatures w14:val="none"/>
        </w:rPr>
      </w:pPr>
      <w:r w:rsidRPr="00F931D9">
        <w:rPr>
          <w:rFonts w:ascii="Times New Roman" w:hAnsi="Times New Roman"/>
          <w:kern w:val="0"/>
          <w:sz w:val="22"/>
          <w:lang w:val="lt-LT"/>
          <w14:ligatures w14:val="none"/>
        </w:rPr>
        <w:t>Alfa-</w:t>
      </w:r>
      <w:proofErr w:type="spellStart"/>
      <w:r w:rsidRPr="00F931D9">
        <w:rPr>
          <w:rFonts w:ascii="Times New Roman" w:hAnsi="Times New Roman"/>
          <w:kern w:val="0"/>
          <w:sz w:val="22"/>
          <w:lang w:val="lt-LT"/>
          <w14:ligatures w14:val="none"/>
        </w:rPr>
        <w:t>tokoferolis</w:t>
      </w:r>
      <w:proofErr w:type="spellEnd"/>
    </w:p>
    <w:p w14:paraId="3FEA4568" w14:textId="77777777" w:rsidR="00323207" w:rsidRPr="00F931D9" w:rsidRDefault="00323207" w:rsidP="00323207">
      <w:pPr>
        <w:shd w:val="clear" w:color="auto" w:fill="BFBFBF"/>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Bevandenis etanolis</w:t>
      </w:r>
    </w:p>
    <w:p w14:paraId="19757E3A" w14:textId="77777777" w:rsidR="00323207" w:rsidRPr="00F931D9" w:rsidRDefault="00323207" w:rsidP="00323207">
      <w:pPr>
        <w:shd w:val="clear" w:color="auto" w:fill="BFBFBF"/>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Propilenglikolis</w:t>
      </w:r>
      <w:proofErr w:type="spellEnd"/>
    </w:p>
    <w:p w14:paraId="4B782992" w14:textId="77777777" w:rsidR="00323207" w:rsidRPr="00F931D9" w:rsidRDefault="00323207" w:rsidP="00323207">
      <w:pPr>
        <w:shd w:val="clear" w:color="auto" w:fill="BFBFBF"/>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Kukurūzų aliejaus </w:t>
      </w:r>
      <w:proofErr w:type="spellStart"/>
      <w:r w:rsidRPr="00F931D9">
        <w:rPr>
          <w:rFonts w:ascii="Times New Roman" w:hAnsi="Times New Roman"/>
          <w:kern w:val="0"/>
          <w:sz w:val="22"/>
          <w:lang w:val="lt-LT"/>
          <w14:ligatures w14:val="none"/>
        </w:rPr>
        <w:t>monogliceridai</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digliceridai</w:t>
      </w:r>
      <w:proofErr w:type="spellEnd"/>
      <w:r w:rsidRPr="00F931D9">
        <w:rPr>
          <w:rFonts w:ascii="Times New Roman" w:hAnsi="Times New Roman"/>
          <w:kern w:val="0"/>
          <w:sz w:val="22"/>
          <w:lang w:val="lt-LT"/>
          <w14:ligatures w14:val="none"/>
        </w:rPr>
        <w:t xml:space="preserve"> ir trigliceridai</w:t>
      </w:r>
    </w:p>
    <w:p w14:paraId="5BDFB036" w14:textId="77777777" w:rsidR="00323207" w:rsidRPr="00F931D9" w:rsidRDefault="00323207" w:rsidP="00323207">
      <w:pPr>
        <w:shd w:val="clear" w:color="auto" w:fill="BFBFBF"/>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Makrogolglicerolio</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hidroksistearatas</w:t>
      </w:r>
      <w:proofErr w:type="spellEnd"/>
      <w:r w:rsidRPr="00F931D9">
        <w:rPr>
          <w:rFonts w:ascii="Times New Roman" w:hAnsi="Times New Roman"/>
          <w:kern w:val="0"/>
          <w:sz w:val="22"/>
          <w:lang w:val="lt-LT"/>
          <w14:ligatures w14:val="none"/>
        </w:rPr>
        <w:t xml:space="preserve"> / </w:t>
      </w:r>
      <w:proofErr w:type="spellStart"/>
      <w:r w:rsidRPr="00F931D9">
        <w:rPr>
          <w:rFonts w:ascii="Times New Roman" w:hAnsi="Times New Roman"/>
          <w:kern w:val="0"/>
          <w:sz w:val="22"/>
          <w:lang w:val="lt-LT"/>
          <w14:ligatures w14:val="none"/>
        </w:rPr>
        <w:t>Polioksil</w:t>
      </w:r>
      <w:proofErr w:type="spellEnd"/>
      <w:r w:rsidRPr="00F931D9">
        <w:rPr>
          <w:rFonts w:ascii="Times New Roman" w:hAnsi="Times New Roman"/>
          <w:kern w:val="0"/>
          <w:sz w:val="22"/>
          <w:lang w:val="lt-LT"/>
          <w14:ligatures w14:val="none"/>
        </w:rPr>
        <w:t xml:space="preserve"> 40 </w:t>
      </w:r>
      <w:proofErr w:type="spellStart"/>
      <w:r w:rsidRPr="00F931D9">
        <w:rPr>
          <w:rFonts w:ascii="Times New Roman" w:hAnsi="Times New Roman"/>
          <w:kern w:val="0"/>
          <w:sz w:val="22"/>
          <w:lang w:val="lt-LT"/>
          <w14:ligatures w14:val="none"/>
        </w:rPr>
        <w:t>hidrintas</w:t>
      </w:r>
      <w:proofErr w:type="spellEnd"/>
      <w:r w:rsidRPr="00F931D9">
        <w:rPr>
          <w:rFonts w:ascii="Times New Roman" w:hAnsi="Times New Roman"/>
          <w:kern w:val="0"/>
          <w:sz w:val="22"/>
          <w:lang w:val="lt-LT"/>
          <w14:ligatures w14:val="none"/>
        </w:rPr>
        <w:t xml:space="preserve"> ricinos aliejus</w:t>
      </w:r>
    </w:p>
    <w:p w14:paraId="2F77F038" w14:textId="77777777" w:rsidR="00323207" w:rsidRPr="00F931D9" w:rsidRDefault="00323207" w:rsidP="00323207">
      <w:pPr>
        <w:shd w:val="clear" w:color="auto" w:fill="BFBFBF"/>
        <w:spacing w:after="0" w:line="240" w:lineRule="auto"/>
        <w:rPr>
          <w:rFonts w:ascii="Times New Roman" w:hAnsi="Times New Roman"/>
          <w:kern w:val="0"/>
          <w:sz w:val="22"/>
          <w:lang w:val="es-ES"/>
          <w14:ligatures w14:val="none"/>
        </w:rPr>
      </w:pPr>
      <w:r w:rsidRPr="00F931D9">
        <w:rPr>
          <w:rFonts w:ascii="Times New Roman" w:hAnsi="Times New Roman"/>
          <w:kern w:val="0"/>
          <w:sz w:val="22"/>
          <w:lang w:val="es-ES"/>
          <w14:ligatures w14:val="none"/>
        </w:rPr>
        <w:t xml:space="preserve"> </w:t>
      </w:r>
    </w:p>
    <w:p w14:paraId="27475DB3" w14:textId="77777777" w:rsidR="00323207" w:rsidRPr="00F931D9" w:rsidRDefault="00323207" w:rsidP="00323207">
      <w:pPr>
        <w:shd w:val="clear" w:color="auto" w:fill="BFBFBF"/>
        <w:spacing w:after="0" w:line="240" w:lineRule="auto"/>
        <w:outlineLvl w:val="0"/>
        <w:rPr>
          <w:rFonts w:ascii="Times New Roman" w:hAnsi="Times New Roman"/>
          <w:kern w:val="0"/>
          <w:sz w:val="22"/>
          <w:u w:val="single"/>
          <w:lang w:val="lt-LT"/>
          <w14:ligatures w14:val="none"/>
        </w:rPr>
      </w:pPr>
      <w:r w:rsidRPr="00F931D9">
        <w:rPr>
          <w:rFonts w:ascii="Times New Roman" w:hAnsi="Times New Roman"/>
          <w:kern w:val="0"/>
          <w:sz w:val="22"/>
          <w:u w:val="single"/>
          <w:lang w:val="lt-LT"/>
          <w14:ligatures w14:val="none"/>
        </w:rPr>
        <w:t>Kapsulės apvalkalas</w:t>
      </w:r>
    </w:p>
    <w:p w14:paraId="77E26F32" w14:textId="77777777" w:rsidR="00323207" w:rsidRPr="00F931D9" w:rsidRDefault="00323207" w:rsidP="00323207">
      <w:pPr>
        <w:shd w:val="clear" w:color="auto" w:fill="BFBFBF"/>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Titano dioksidas (E171)</w:t>
      </w:r>
    </w:p>
    <w:p w14:paraId="44D0C2D5" w14:textId="77777777" w:rsidR="00323207" w:rsidRPr="00F931D9" w:rsidRDefault="00323207" w:rsidP="00323207">
      <w:pPr>
        <w:shd w:val="clear" w:color="auto" w:fill="BFBFBF"/>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Glicerolis</w:t>
      </w:r>
      <w:proofErr w:type="spellEnd"/>
      <w:r w:rsidRPr="00F931D9">
        <w:rPr>
          <w:rFonts w:ascii="Times New Roman" w:hAnsi="Times New Roman"/>
          <w:kern w:val="0"/>
          <w:sz w:val="22"/>
          <w:lang w:val="lt-LT"/>
          <w14:ligatures w14:val="none"/>
        </w:rPr>
        <w:t xml:space="preserve"> (85 %)</w:t>
      </w:r>
    </w:p>
    <w:p w14:paraId="17CF2DFD" w14:textId="77777777" w:rsidR="00323207" w:rsidRPr="00F931D9" w:rsidRDefault="00323207" w:rsidP="00323207">
      <w:pPr>
        <w:shd w:val="clear" w:color="auto" w:fill="BFBFBF"/>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Propilenglikolis</w:t>
      </w:r>
      <w:proofErr w:type="spellEnd"/>
    </w:p>
    <w:p w14:paraId="0223F6C4" w14:textId="77777777" w:rsidR="00323207" w:rsidRPr="00F931D9" w:rsidRDefault="00323207" w:rsidP="00323207">
      <w:pPr>
        <w:shd w:val="clear" w:color="auto" w:fill="BFBFBF"/>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Želatina</w:t>
      </w:r>
    </w:p>
    <w:p w14:paraId="38BE64FE" w14:textId="77777777" w:rsidR="00323207" w:rsidRPr="00F931D9" w:rsidRDefault="00323207" w:rsidP="00323207">
      <w:pPr>
        <w:shd w:val="clear" w:color="auto" w:fill="BFBFBF"/>
        <w:spacing w:after="0" w:line="240" w:lineRule="auto"/>
        <w:rPr>
          <w:rFonts w:ascii="Times New Roman" w:hAnsi="Times New Roman"/>
          <w:kern w:val="0"/>
          <w:sz w:val="22"/>
          <w:lang w:val="lt-LT"/>
          <w14:ligatures w14:val="none"/>
        </w:rPr>
      </w:pPr>
    </w:p>
    <w:p w14:paraId="7B35290F" w14:textId="77777777" w:rsidR="00323207" w:rsidRPr="00F931D9" w:rsidRDefault="00323207" w:rsidP="00323207">
      <w:pPr>
        <w:shd w:val="clear" w:color="auto" w:fill="BFBFBF"/>
        <w:spacing w:after="0" w:line="240" w:lineRule="auto"/>
        <w:outlineLvl w:val="0"/>
        <w:rPr>
          <w:rFonts w:ascii="Times New Roman" w:hAnsi="Times New Roman"/>
          <w:kern w:val="0"/>
          <w:sz w:val="22"/>
          <w:u w:val="single"/>
          <w:lang w:val="lt-LT"/>
          <w14:ligatures w14:val="none"/>
        </w:rPr>
      </w:pPr>
      <w:r w:rsidRPr="00F931D9">
        <w:rPr>
          <w:rFonts w:ascii="Times New Roman" w:hAnsi="Times New Roman"/>
          <w:kern w:val="0"/>
          <w:sz w:val="22"/>
          <w:u w:val="single"/>
          <w:lang w:val="lt-LT"/>
          <w14:ligatures w14:val="none"/>
        </w:rPr>
        <w:t>Atspaudas</w:t>
      </w:r>
    </w:p>
    <w:p w14:paraId="41750B8D" w14:textId="77777777" w:rsidR="00323207" w:rsidRPr="00F931D9" w:rsidRDefault="00323207" w:rsidP="00323207">
      <w:pPr>
        <w:shd w:val="clear" w:color="auto" w:fill="BFBFBF"/>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Karmino</w:t>
      </w:r>
      <w:proofErr w:type="spellEnd"/>
      <w:r w:rsidRPr="00F931D9">
        <w:rPr>
          <w:rFonts w:ascii="Times New Roman" w:hAnsi="Times New Roman"/>
          <w:kern w:val="0"/>
          <w:sz w:val="22"/>
          <w:lang w:val="lt-LT"/>
          <w14:ligatures w14:val="none"/>
        </w:rPr>
        <w:t xml:space="preserve"> rūgštis (E120)</w:t>
      </w:r>
    </w:p>
    <w:p w14:paraId="4248F7AA" w14:textId="77777777" w:rsidR="00323207" w:rsidRPr="00F931D9" w:rsidRDefault="00323207" w:rsidP="00323207">
      <w:pPr>
        <w:shd w:val="clear" w:color="auto" w:fill="BFBFBF"/>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Aliuminio chloridas </w:t>
      </w:r>
      <w:proofErr w:type="spellStart"/>
      <w:r w:rsidRPr="00F931D9">
        <w:rPr>
          <w:rFonts w:ascii="Times New Roman" w:hAnsi="Times New Roman"/>
          <w:kern w:val="0"/>
          <w:sz w:val="22"/>
          <w:lang w:val="lt-LT"/>
          <w14:ligatures w14:val="none"/>
        </w:rPr>
        <w:t>heksahidratas</w:t>
      </w:r>
      <w:proofErr w:type="spellEnd"/>
    </w:p>
    <w:p w14:paraId="04520DA0" w14:textId="77777777" w:rsidR="00323207" w:rsidRPr="00F931D9" w:rsidRDefault="00323207" w:rsidP="00323207">
      <w:pPr>
        <w:shd w:val="clear" w:color="auto" w:fill="BFBFBF"/>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Natrio hidroksidas</w:t>
      </w:r>
    </w:p>
    <w:p w14:paraId="5AE176EF" w14:textId="77777777" w:rsidR="00323207" w:rsidRPr="00F931D9" w:rsidRDefault="00323207" w:rsidP="00323207">
      <w:pPr>
        <w:shd w:val="clear" w:color="auto" w:fill="BFBFBF"/>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Propilenglikolis</w:t>
      </w:r>
      <w:proofErr w:type="spellEnd"/>
    </w:p>
    <w:p w14:paraId="169C976D" w14:textId="77777777" w:rsidR="00323207" w:rsidRPr="00F931D9" w:rsidRDefault="00323207" w:rsidP="00323207">
      <w:pPr>
        <w:shd w:val="clear" w:color="auto" w:fill="BFBFBF"/>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Hipromeliozė</w:t>
      </w:r>
      <w:proofErr w:type="spellEnd"/>
      <w:r w:rsidRPr="00F931D9">
        <w:rPr>
          <w:rFonts w:ascii="Times New Roman" w:hAnsi="Times New Roman"/>
          <w:kern w:val="0"/>
          <w:sz w:val="22"/>
          <w:lang w:val="lt-LT"/>
          <w14:ligatures w14:val="none"/>
        </w:rPr>
        <w:t xml:space="preserve"> / </w:t>
      </w:r>
      <w:proofErr w:type="spellStart"/>
      <w:r w:rsidRPr="00F931D9">
        <w:rPr>
          <w:rFonts w:ascii="Times New Roman" w:hAnsi="Times New Roman"/>
          <w:kern w:val="0"/>
          <w:sz w:val="22"/>
          <w:lang w:val="lt-LT"/>
          <w14:ligatures w14:val="none"/>
        </w:rPr>
        <w:t>Hidroksipropilmetilceliuliozė</w:t>
      </w:r>
      <w:proofErr w:type="spellEnd"/>
      <w:r w:rsidRPr="00F931D9">
        <w:rPr>
          <w:rFonts w:ascii="Times New Roman" w:hAnsi="Times New Roman"/>
          <w:kern w:val="0"/>
          <w:sz w:val="22"/>
          <w:lang w:val="lt-LT"/>
          <w14:ligatures w14:val="none"/>
        </w:rPr>
        <w:t xml:space="preserve"> 2910</w:t>
      </w:r>
    </w:p>
    <w:p w14:paraId="1069F9F5" w14:textId="77777777" w:rsidR="00323207" w:rsidRPr="00F931D9" w:rsidRDefault="00323207" w:rsidP="00323207">
      <w:pPr>
        <w:shd w:val="clear" w:color="auto" w:fill="BFBFBF"/>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Izopropanolis</w:t>
      </w:r>
      <w:proofErr w:type="spellEnd"/>
      <w:r w:rsidRPr="00F931D9">
        <w:rPr>
          <w:rFonts w:ascii="Times New Roman" w:hAnsi="Times New Roman"/>
          <w:kern w:val="0"/>
          <w:sz w:val="22"/>
          <w:lang w:val="lt-LT"/>
          <w14:ligatures w14:val="none"/>
        </w:rPr>
        <w:t xml:space="preserve"> / Izopropilo alkoholis</w:t>
      </w:r>
    </w:p>
    <w:p w14:paraId="4CA6D8D0" w14:textId="77777777" w:rsidR="00323207" w:rsidRPr="00F931D9" w:rsidRDefault="00323207" w:rsidP="00323207">
      <w:pPr>
        <w:shd w:val="clear" w:color="auto" w:fill="BFBFBF"/>
        <w:spacing w:after="0" w:line="240" w:lineRule="auto"/>
        <w:rPr>
          <w:rFonts w:ascii="Times New Roman" w:hAnsi="Times New Roman"/>
          <w:kern w:val="0"/>
          <w:sz w:val="22"/>
          <w:lang w:val="lt-LT"/>
          <w14:ligatures w14:val="none"/>
        </w:rPr>
      </w:pPr>
    </w:p>
    <w:p w14:paraId="37D86EDE" w14:textId="77777777" w:rsidR="00323207" w:rsidRPr="00F931D9" w:rsidRDefault="00323207" w:rsidP="00323207">
      <w:pPr>
        <w:shd w:val="clear" w:color="auto" w:fill="A6A6A6"/>
        <w:spacing w:after="0" w:line="240" w:lineRule="auto"/>
        <w:outlineLvl w:val="0"/>
        <w:rPr>
          <w:rFonts w:ascii="Times New Roman" w:hAnsi="Times New Roman"/>
          <w:kern w:val="0"/>
          <w:sz w:val="22"/>
          <w:u w:val="single"/>
          <w:lang w:val="lt-LT"/>
          <w14:ligatures w14:val="none"/>
        </w:rPr>
      </w:pPr>
      <w:r w:rsidRPr="00F931D9">
        <w:rPr>
          <w:rFonts w:ascii="Times New Roman" w:hAnsi="Times New Roman"/>
          <w:kern w:val="0"/>
          <w:sz w:val="22"/>
          <w:u w:val="single"/>
          <w:lang w:val="lt-LT"/>
          <w14:ligatures w14:val="none"/>
        </w:rPr>
        <w:t>Kapsulės turinys</w:t>
      </w:r>
    </w:p>
    <w:p w14:paraId="0522032F" w14:textId="77777777" w:rsidR="00323207" w:rsidRPr="00F931D9" w:rsidRDefault="00323207" w:rsidP="00323207">
      <w:pPr>
        <w:shd w:val="clear" w:color="auto" w:fill="A6A6A6"/>
        <w:spacing w:after="0" w:line="240" w:lineRule="auto"/>
        <w:outlineLvl w:val="0"/>
        <w:rPr>
          <w:rFonts w:ascii="Times New Roman" w:hAnsi="Times New Roman"/>
          <w:kern w:val="0"/>
          <w:sz w:val="22"/>
          <w:lang w:val="lt-LT"/>
          <w14:ligatures w14:val="none"/>
        </w:rPr>
      </w:pPr>
      <w:r w:rsidRPr="00F931D9">
        <w:rPr>
          <w:rFonts w:ascii="Times New Roman" w:hAnsi="Times New Roman"/>
          <w:kern w:val="0"/>
          <w:sz w:val="22"/>
          <w:lang w:val="lt-LT"/>
          <w14:ligatures w14:val="none"/>
        </w:rPr>
        <w:t>Alfa-</w:t>
      </w:r>
      <w:proofErr w:type="spellStart"/>
      <w:r w:rsidRPr="00F931D9">
        <w:rPr>
          <w:rFonts w:ascii="Times New Roman" w:hAnsi="Times New Roman"/>
          <w:kern w:val="0"/>
          <w:sz w:val="22"/>
          <w:lang w:val="lt-LT"/>
          <w14:ligatures w14:val="none"/>
        </w:rPr>
        <w:t>tokoferolis</w:t>
      </w:r>
      <w:proofErr w:type="spellEnd"/>
    </w:p>
    <w:p w14:paraId="04E0CEF6" w14:textId="77777777" w:rsidR="00323207" w:rsidRPr="00F931D9" w:rsidRDefault="00323207" w:rsidP="00323207">
      <w:pPr>
        <w:shd w:val="clear" w:color="auto" w:fill="A6A6A6"/>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Bevandenis etanolis</w:t>
      </w:r>
    </w:p>
    <w:p w14:paraId="3F705F47" w14:textId="77777777" w:rsidR="00323207" w:rsidRPr="00F931D9" w:rsidRDefault="00323207" w:rsidP="00323207">
      <w:pPr>
        <w:shd w:val="clear" w:color="auto" w:fill="A6A6A6"/>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Propilenglikolis</w:t>
      </w:r>
      <w:proofErr w:type="spellEnd"/>
    </w:p>
    <w:p w14:paraId="5503EB34" w14:textId="77777777" w:rsidR="00323207" w:rsidRPr="00F931D9" w:rsidRDefault="00323207" w:rsidP="00323207">
      <w:pPr>
        <w:shd w:val="clear" w:color="auto" w:fill="A6A6A6"/>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Kukurūzų aliejaus </w:t>
      </w:r>
      <w:proofErr w:type="spellStart"/>
      <w:r w:rsidRPr="00F931D9">
        <w:rPr>
          <w:rFonts w:ascii="Times New Roman" w:hAnsi="Times New Roman"/>
          <w:kern w:val="0"/>
          <w:sz w:val="22"/>
          <w:lang w:val="lt-LT"/>
          <w14:ligatures w14:val="none"/>
        </w:rPr>
        <w:t>monogliceridai</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digliceridai</w:t>
      </w:r>
      <w:proofErr w:type="spellEnd"/>
      <w:r w:rsidRPr="00F931D9">
        <w:rPr>
          <w:rFonts w:ascii="Times New Roman" w:hAnsi="Times New Roman"/>
          <w:kern w:val="0"/>
          <w:sz w:val="22"/>
          <w:lang w:val="lt-LT"/>
          <w14:ligatures w14:val="none"/>
        </w:rPr>
        <w:t xml:space="preserve"> ir trigliceridai</w:t>
      </w:r>
    </w:p>
    <w:p w14:paraId="1262FD84" w14:textId="77777777" w:rsidR="00323207" w:rsidRPr="00F931D9" w:rsidRDefault="00323207" w:rsidP="00323207">
      <w:pPr>
        <w:shd w:val="clear" w:color="auto" w:fill="A6A6A6"/>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Makrogolglicerolio</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hidroksistearatas</w:t>
      </w:r>
      <w:proofErr w:type="spellEnd"/>
      <w:r w:rsidRPr="00F931D9">
        <w:rPr>
          <w:rFonts w:ascii="Times New Roman" w:hAnsi="Times New Roman"/>
          <w:kern w:val="0"/>
          <w:sz w:val="22"/>
          <w:lang w:val="lt-LT"/>
          <w14:ligatures w14:val="none"/>
        </w:rPr>
        <w:t xml:space="preserve"> / </w:t>
      </w:r>
      <w:proofErr w:type="spellStart"/>
      <w:r w:rsidRPr="00F931D9">
        <w:rPr>
          <w:rFonts w:ascii="Times New Roman" w:hAnsi="Times New Roman"/>
          <w:kern w:val="0"/>
          <w:sz w:val="22"/>
          <w:lang w:val="lt-LT"/>
          <w14:ligatures w14:val="none"/>
        </w:rPr>
        <w:t>Polioksil</w:t>
      </w:r>
      <w:proofErr w:type="spellEnd"/>
      <w:r w:rsidRPr="00F931D9">
        <w:rPr>
          <w:rFonts w:ascii="Times New Roman" w:hAnsi="Times New Roman"/>
          <w:kern w:val="0"/>
          <w:sz w:val="22"/>
          <w:lang w:val="lt-LT"/>
          <w14:ligatures w14:val="none"/>
        </w:rPr>
        <w:t xml:space="preserve"> 40 </w:t>
      </w:r>
      <w:proofErr w:type="spellStart"/>
      <w:r w:rsidRPr="00F931D9">
        <w:rPr>
          <w:rFonts w:ascii="Times New Roman" w:hAnsi="Times New Roman"/>
          <w:kern w:val="0"/>
          <w:sz w:val="22"/>
          <w:lang w:val="lt-LT"/>
          <w14:ligatures w14:val="none"/>
        </w:rPr>
        <w:t>hidrintas</w:t>
      </w:r>
      <w:proofErr w:type="spellEnd"/>
      <w:r w:rsidRPr="00F931D9">
        <w:rPr>
          <w:rFonts w:ascii="Times New Roman" w:hAnsi="Times New Roman"/>
          <w:kern w:val="0"/>
          <w:sz w:val="22"/>
          <w:lang w:val="lt-LT"/>
          <w14:ligatures w14:val="none"/>
        </w:rPr>
        <w:t xml:space="preserve"> ricinos aliejus</w:t>
      </w:r>
    </w:p>
    <w:p w14:paraId="7AA45956" w14:textId="77777777" w:rsidR="00323207" w:rsidRPr="00F931D9" w:rsidRDefault="00323207" w:rsidP="00323207">
      <w:pPr>
        <w:shd w:val="clear" w:color="auto" w:fill="A6A6A6"/>
        <w:spacing w:after="0" w:line="240" w:lineRule="auto"/>
        <w:rPr>
          <w:rFonts w:ascii="Times New Roman" w:hAnsi="Times New Roman"/>
          <w:kern w:val="0"/>
          <w:sz w:val="22"/>
          <w:lang w:val="lt-LT"/>
          <w14:ligatures w14:val="none"/>
        </w:rPr>
      </w:pPr>
    </w:p>
    <w:p w14:paraId="0E0434C7" w14:textId="77777777" w:rsidR="00323207" w:rsidRPr="00F931D9" w:rsidRDefault="00323207" w:rsidP="00323207">
      <w:pPr>
        <w:shd w:val="clear" w:color="auto" w:fill="A6A6A6"/>
        <w:spacing w:after="0" w:line="240" w:lineRule="auto"/>
        <w:outlineLvl w:val="0"/>
        <w:rPr>
          <w:rFonts w:ascii="Times New Roman" w:hAnsi="Times New Roman"/>
          <w:kern w:val="0"/>
          <w:sz w:val="22"/>
          <w:u w:val="single"/>
          <w:lang w:val="lt-LT"/>
          <w14:ligatures w14:val="none"/>
        </w:rPr>
      </w:pPr>
      <w:r w:rsidRPr="00F931D9">
        <w:rPr>
          <w:rFonts w:ascii="Times New Roman" w:hAnsi="Times New Roman"/>
          <w:kern w:val="0"/>
          <w:sz w:val="22"/>
          <w:u w:val="single"/>
          <w:lang w:val="lt-LT"/>
          <w14:ligatures w14:val="none"/>
        </w:rPr>
        <w:t>Kapsulės apvalkalas</w:t>
      </w:r>
    </w:p>
    <w:p w14:paraId="52696592" w14:textId="77777777" w:rsidR="00323207" w:rsidRPr="00F931D9" w:rsidRDefault="00323207" w:rsidP="00323207">
      <w:pPr>
        <w:shd w:val="clear" w:color="auto" w:fill="A6A6A6"/>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Juodasis geležies oksidas (E172)</w:t>
      </w:r>
    </w:p>
    <w:p w14:paraId="306A837B" w14:textId="77777777" w:rsidR="00323207" w:rsidRPr="00F931D9" w:rsidRDefault="00323207" w:rsidP="00323207">
      <w:pPr>
        <w:shd w:val="clear" w:color="auto" w:fill="A6A6A6"/>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Titano dioksidas (E171)</w:t>
      </w:r>
    </w:p>
    <w:p w14:paraId="0142DFAD" w14:textId="77777777" w:rsidR="00323207" w:rsidRPr="00F931D9" w:rsidRDefault="00323207" w:rsidP="00323207">
      <w:pPr>
        <w:shd w:val="clear" w:color="auto" w:fill="A6A6A6"/>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Glicerolis</w:t>
      </w:r>
      <w:proofErr w:type="spellEnd"/>
      <w:r w:rsidRPr="00F931D9">
        <w:rPr>
          <w:rFonts w:ascii="Times New Roman" w:hAnsi="Times New Roman"/>
          <w:kern w:val="0"/>
          <w:sz w:val="22"/>
          <w:lang w:val="lt-LT"/>
          <w14:ligatures w14:val="none"/>
        </w:rPr>
        <w:t xml:space="preserve"> (85 %)</w:t>
      </w:r>
    </w:p>
    <w:p w14:paraId="7D8BA917" w14:textId="77777777" w:rsidR="00323207" w:rsidRPr="00F931D9" w:rsidRDefault="00323207" w:rsidP="00323207">
      <w:pPr>
        <w:shd w:val="clear" w:color="auto" w:fill="A6A6A6"/>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Propilenglikolis</w:t>
      </w:r>
      <w:proofErr w:type="spellEnd"/>
    </w:p>
    <w:p w14:paraId="71E2CEDD" w14:textId="77777777" w:rsidR="00323207" w:rsidRPr="00F931D9" w:rsidRDefault="00323207" w:rsidP="00323207">
      <w:pPr>
        <w:shd w:val="clear" w:color="auto" w:fill="A6A6A6"/>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Želatina</w:t>
      </w:r>
    </w:p>
    <w:p w14:paraId="2526F53D" w14:textId="77777777" w:rsidR="00323207" w:rsidRPr="00F931D9" w:rsidRDefault="00323207" w:rsidP="00323207">
      <w:pPr>
        <w:shd w:val="clear" w:color="auto" w:fill="A6A6A6"/>
        <w:spacing w:after="0" w:line="240" w:lineRule="auto"/>
        <w:outlineLvl w:val="0"/>
        <w:rPr>
          <w:rFonts w:ascii="Times New Roman" w:hAnsi="Times New Roman"/>
          <w:kern w:val="0"/>
          <w:sz w:val="22"/>
          <w:u w:val="single"/>
          <w:lang w:val="lt-LT"/>
          <w14:ligatures w14:val="none"/>
        </w:rPr>
      </w:pPr>
    </w:p>
    <w:p w14:paraId="629AEFDD" w14:textId="77777777" w:rsidR="00323207" w:rsidRPr="00F931D9" w:rsidRDefault="00323207" w:rsidP="00323207">
      <w:pPr>
        <w:shd w:val="clear" w:color="auto" w:fill="A6A6A6"/>
        <w:spacing w:after="0" w:line="240" w:lineRule="auto"/>
        <w:outlineLvl w:val="0"/>
        <w:rPr>
          <w:rFonts w:ascii="Times New Roman" w:hAnsi="Times New Roman"/>
          <w:kern w:val="0"/>
          <w:sz w:val="22"/>
          <w:u w:val="single"/>
          <w:lang w:val="lt-LT"/>
          <w14:ligatures w14:val="none"/>
        </w:rPr>
      </w:pPr>
      <w:r w:rsidRPr="00F931D9">
        <w:rPr>
          <w:rFonts w:ascii="Times New Roman" w:hAnsi="Times New Roman"/>
          <w:kern w:val="0"/>
          <w:sz w:val="22"/>
          <w:u w:val="single"/>
          <w:lang w:val="lt-LT"/>
          <w14:ligatures w14:val="none"/>
        </w:rPr>
        <w:t>Atspaudas</w:t>
      </w:r>
    </w:p>
    <w:p w14:paraId="6CF0CECB" w14:textId="77777777" w:rsidR="00323207" w:rsidRPr="00F931D9" w:rsidRDefault="00323207" w:rsidP="00323207">
      <w:pPr>
        <w:shd w:val="clear" w:color="auto" w:fill="A6A6A6"/>
        <w:spacing w:after="0" w:line="240" w:lineRule="auto"/>
        <w:outlineLvl w:val="0"/>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Karmino</w:t>
      </w:r>
      <w:proofErr w:type="spellEnd"/>
      <w:r w:rsidRPr="00F931D9">
        <w:rPr>
          <w:rFonts w:ascii="Times New Roman" w:hAnsi="Times New Roman"/>
          <w:kern w:val="0"/>
          <w:sz w:val="22"/>
          <w:lang w:val="lt-LT"/>
          <w14:ligatures w14:val="none"/>
        </w:rPr>
        <w:t xml:space="preserve"> rūgštis (E120)</w:t>
      </w:r>
    </w:p>
    <w:p w14:paraId="6D3A35F5" w14:textId="77777777" w:rsidR="00323207" w:rsidRPr="00F931D9" w:rsidRDefault="00323207" w:rsidP="00F931D9">
      <w:pPr>
        <w:shd w:val="clear" w:color="auto" w:fill="A6A6A6"/>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Aliuminio chloridas </w:t>
      </w:r>
      <w:proofErr w:type="spellStart"/>
      <w:r w:rsidRPr="00F931D9">
        <w:rPr>
          <w:rFonts w:ascii="Times New Roman" w:hAnsi="Times New Roman"/>
          <w:kern w:val="0"/>
          <w:sz w:val="22"/>
          <w:lang w:val="lt-LT"/>
          <w14:ligatures w14:val="none"/>
        </w:rPr>
        <w:t>heksahidratas</w:t>
      </w:r>
      <w:proofErr w:type="spellEnd"/>
    </w:p>
    <w:p w14:paraId="6D34EDB7" w14:textId="77777777" w:rsidR="00323207" w:rsidRPr="00F931D9" w:rsidRDefault="00323207" w:rsidP="00F931D9">
      <w:pPr>
        <w:shd w:val="clear" w:color="auto" w:fill="A6A6A6"/>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Natrio hidroksidas</w:t>
      </w:r>
    </w:p>
    <w:p w14:paraId="22906D1C" w14:textId="77777777" w:rsidR="00323207" w:rsidRPr="00F931D9" w:rsidRDefault="00323207" w:rsidP="00F931D9">
      <w:pPr>
        <w:shd w:val="clear" w:color="auto" w:fill="A6A6A6"/>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Propilenglikolis</w:t>
      </w:r>
      <w:proofErr w:type="spellEnd"/>
    </w:p>
    <w:p w14:paraId="19B686BE" w14:textId="77777777" w:rsidR="00323207" w:rsidRPr="00F931D9" w:rsidRDefault="00323207" w:rsidP="00F931D9">
      <w:pPr>
        <w:shd w:val="clear" w:color="auto" w:fill="A6A6A6"/>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Hipromeliozė</w:t>
      </w:r>
      <w:proofErr w:type="spellEnd"/>
      <w:r w:rsidRPr="00F931D9">
        <w:rPr>
          <w:rFonts w:ascii="Times New Roman" w:hAnsi="Times New Roman"/>
          <w:kern w:val="0"/>
          <w:sz w:val="22"/>
          <w:lang w:val="lt-LT"/>
          <w14:ligatures w14:val="none"/>
        </w:rPr>
        <w:t xml:space="preserve"> / </w:t>
      </w:r>
      <w:proofErr w:type="spellStart"/>
      <w:r w:rsidRPr="00F931D9">
        <w:rPr>
          <w:rFonts w:ascii="Times New Roman" w:hAnsi="Times New Roman"/>
          <w:kern w:val="0"/>
          <w:sz w:val="22"/>
          <w:lang w:val="lt-LT"/>
          <w14:ligatures w14:val="none"/>
        </w:rPr>
        <w:t>Hidroksipropilmetilceliuliozė</w:t>
      </w:r>
      <w:proofErr w:type="spellEnd"/>
      <w:r w:rsidRPr="00F931D9">
        <w:rPr>
          <w:rFonts w:ascii="Times New Roman" w:hAnsi="Times New Roman"/>
          <w:kern w:val="0"/>
          <w:sz w:val="22"/>
          <w:lang w:val="lt-LT"/>
          <w14:ligatures w14:val="none"/>
        </w:rPr>
        <w:t xml:space="preserve"> 2910</w:t>
      </w:r>
    </w:p>
    <w:p w14:paraId="0A5BEA03" w14:textId="77777777" w:rsidR="00323207" w:rsidRPr="00F931D9" w:rsidRDefault="00323207" w:rsidP="00F931D9">
      <w:pPr>
        <w:shd w:val="clear" w:color="auto" w:fill="A6A6A6"/>
        <w:spacing w:after="0" w:line="240" w:lineRule="auto"/>
        <w:outlineLvl w:val="0"/>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Izopropanolis</w:t>
      </w:r>
      <w:proofErr w:type="spellEnd"/>
      <w:r w:rsidRPr="00F931D9">
        <w:rPr>
          <w:rFonts w:ascii="Times New Roman" w:hAnsi="Times New Roman"/>
          <w:kern w:val="0"/>
          <w:sz w:val="22"/>
          <w:lang w:val="lt-LT"/>
          <w14:ligatures w14:val="none"/>
        </w:rPr>
        <w:t xml:space="preserve"> / Izopropilo alkoholis</w:t>
      </w:r>
    </w:p>
    <w:p w14:paraId="032D3768" w14:textId="77777777" w:rsidR="00323207" w:rsidRPr="00F931D9" w:rsidRDefault="00323207" w:rsidP="00323207">
      <w:pPr>
        <w:spacing w:after="0" w:line="240" w:lineRule="auto"/>
        <w:ind w:left="562" w:hanging="562"/>
        <w:rPr>
          <w:rFonts w:ascii="Times New Roman" w:hAnsi="Times New Roman"/>
          <w:b/>
          <w:kern w:val="0"/>
          <w:sz w:val="22"/>
          <w:lang w:val="lt-LT"/>
          <w14:ligatures w14:val="none"/>
        </w:rPr>
      </w:pPr>
    </w:p>
    <w:p w14:paraId="78B33ABD" w14:textId="77777777" w:rsidR="00323207" w:rsidRPr="00F931D9" w:rsidRDefault="00323207" w:rsidP="00323207">
      <w:pPr>
        <w:spacing w:after="0" w:line="240" w:lineRule="auto"/>
        <w:ind w:left="562" w:hanging="562"/>
        <w:rPr>
          <w:rFonts w:ascii="Times New Roman" w:hAnsi="Times New Roman"/>
          <w:kern w:val="0"/>
          <w:sz w:val="22"/>
          <w:lang w:val="lt-LT"/>
          <w14:ligatures w14:val="none"/>
        </w:rPr>
      </w:pPr>
      <w:r w:rsidRPr="00F931D9">
        <w:rPr>
          <w:rFonts w:ascii="Times New Roman" w:hAnsi="Times New Roman"/>
          <w:b/>
          <w:kern w:val="0"/>
          <w:sz w:val="22"/>
          <w:lang w:val="lt-LT"/>
          <w14:ligatures w14:val="none"/>
        </w:rPr>
        <w:t>6.2</w:t>
      </w:r>
      <w:r w:rsidRPr="00F931D9">
        <w:rPr>
          <w:rFonts w:ascii="Times New Roman" w:hAnsi="Times New Roman"/>
          <w:b/>
          <w:kern w:val="0"/>
          <w:sz w:val="22"/>
          <w:lang w:val="lt-LT"/>
          <w14:ligatures w14:val="none"/>
        </w:rPr>
        <w:tab/>
        <w:t>Nesuderinamumas</w:t>
      </w:r>
    </w:p>
    <w:p w14:paraId="0EE15A14" w14:textId="77777777" w:rsidR="00323207" w:rsidRPr="00F931D9" w:rsidRDefault="00323207" w:rsidP="00323207">
      <w:pPr>
        <w:spacing w:after="0" w:line="240" w:lineRule="auto"/>
        <w:rPr>
          <w:rFonts w:ascii="Times New Roman" w:hAnsi="Times New Roman"/>
          <w:kern w:val="0"/>
          <w:sz w:val="22"/>
          <w:lang w:val="lt-LT"/>
          <w14:ligatures w14:val="none"/>
        </w:rPr>
      </w:pPr>
    </w:p>
    <w:p w14:paraId="76496D94"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Duomenys nebūtini.</w:t>
      </w:r>
    </w:p>
    <w:p w14:paraId="79FDCF6E" w14:textId="77777777" w:rsidR="00323207" w:rsidRPr="00F931D9" w:rsidRDefault="00323207" w:rsidP="00323207">
      <w:pPr>
        <w:spacing w:after="0" w:line="240" w:lineRule="auto"/>
        <w:rPr>
          <w:rFonts w:ascii="Times New Roman" w:hAnsi="Times New Roman"/>
          <w:kern w:val="0"/>
          <w:sz w:val="22"/>
          <w:lang w:val="lt-LT"/>
          <w14:ligatures w14:val="none"/>
        </w:rPr>
      </w:pPr>
    </w:p>
    <w:p w14:paraId="190BBB28" w14:textId="77777777" w:rsidR="00323207" w:rsidRPr="00F931D9" w:rsidRDefault="00323207" w:rsidP="00323207">
      <w:pPr>
        <w:keepNext/>
        <w:spacing w:after="0" w:line="240" w:lineRule="auto"/>
        <w:ind w:left="562" w:hanging="562"/>
        <w:rPr>
          <w:rFonts w:ascii="Times New Roman" w:hAnsi="Times New Roman"/>
          <w:kern w:val="0"/>
          <w:sz w:val="22"/>
          <w:lang w:val="lt-LT"/>
          <w14:ligatures w14:val="none"/>
        </w:rPr>
      </w:pPr>
      <w:r w:rsidRPr="00F931D9">
        <w:rPr>
          <w:rFonts w:ascii="Times New Roman" w:hAnsi="Times New Roman"/>
          <w:b/>
          <w:kern w:val="0"/>
          <w:sz w:val="22"/>
          <w:lang w:val="lt-LT"/>
          <w14:ligatures w14:val="none"/>
        </w:rPr>
        <w:lastRenderedPageBreak/>
        <w:t>6.3</w:t>
      </w:r>
      <w:r w:rsidRPr="00F931D9">
        <w:rPr>
          <w:rFonts w:ascii="Times New Roman" w:hAnsi="Times New Roman"/>
          <w:b/>
          <w:kern w:val="0"/>
          <w:sz w:val="22"/>
          <w:lang w:val="lt-LT"/>
          <w14:ligatures w14:val="none"/>
        </w:rPr>
        <w:tab/>
        <w:t>Tinkamumo laikas</w:t>
      </w:r>
    </w:p>
    <w:p w14:paraId="72179B4F" w14:textId="77777777" w:rsidR="00323207" w:rsidRPr="00F931D9" w:rsidRDefault="00323207" w:rsidP="00323207">
      <w:pPr>
        <w:keepNext/>
        <w:spacing w:after="0" w:line="240" w:lineRule="auto"/>
        <w:rPr>
          <w:rFonts w:ascii="Times New Roman" w:hAnsi="Times New Roman"/>
          <w:kern w:val="0"/>
          <w:sz w:val="22"/>
          <w:lang w:val="lt-LT"/>
          <w14:ligatures w14:val="none"/>
        </w:rPr>
      </w:pPr>
    </w:p>
    <w:p w14:paraId="0EAE253B"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2 metai</w:t>
      </w:r>
    </w:p>
    <w:p w14:paraId="49D701E7" w14:textId="77777777" w:rsidR="00323207" w:rsidRPr="00F931D9" w:rsidRDefault="00323207" w:rsidP="00323207">
      <w:pPr>
        <w:spacing w:after="0" w:line="240" w:lineRule="auto"/>
        <w:rPr>
          <w:rFonts w:ascii="Times New Roman" w:hAnsi="Times New Roman"/>
          <w:kern w:val="0"/>
          <w:sz w:val="22"/>
          <w:lang w:val="lt-LT"/>
          <w14:ligatures w14:val="none"/>
        </w:rPr>
      </w:pPr>
    </w:p>
    <w:p w14:paraId="5870E0F8" w14:textId="77777777" w:rsidR="00323207" w:rsidRPr="00F931D9" w:rsidRDefault="00323207" w:rsidP="00323207">
      <w:pPr>
        <w:spacing w:after="0" w:line="240" w:lineRule="auto"/>
        <w:ind w:left="562" w:hanging="562"/>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6.4</w:t>
      </w:r>
      <w:r w:rsidRPr="00F931D9">
        <w:rPr>
          <w:rFonts w:ascii="Times New Roman" w:hAnsi="Times New Roman"/>
          <w:b/>
          <w:kern w:val="0"/>
          <w:sz w:val="22"/>
          <w:lang w:val="lt-LT"/>
          <w14:ligatures w14:val="none"/>
        </w:rPr>
        <w:tab/>
        <w:t>Specialios laikymo sąlygos</w:t>
      </w:r>
    </w:p>
    <w:p w14:paraId="7D737311" w14:textId="77777777" w:rsidR="00323207" w:rsidRPr="00F931D9" w:rsidRDefault="00323207" w:rsidP="00323207">
      <w:pPr>
        <w:spacing w:after="0" w:line="240" w:lineRule="auto"/>
        <w:rPr>
          <w:rFonts w:ascii="Times New Roman" w:hAnsi="Times New Roman"/>
          <w:kern w:val="0"/>
          <w:sz w:val="22"/>
          <w:lang w:val="lt-LT"/>
          <w14:ligatures w14:val="none"/>
        </w:rPr>
      </w:pPr>
    </w:p>
    <w:p w14:paraId="51123F5F"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Laikyti ne aukštesnėje kaip 25 </w:t>
      </w:r>
      <w:r w:rsidRPr="00F931D9">
        <w:rPr>
          <w:rFonts w:ascii="Times New Roman" w:hAnsi="Times New Roman"/>
          <w:kern w:val="0"/>
          <w:sz w:val="22"/>
          <w:lang w:val="lt-LT"/>
          <w14:ligatures w14:val="none"/>
        </w:rPr>
        <w:sym w:font="Symbol" w:char="F0B0"/>
      </w:r>
      <w:r w:rsidRPr="00F931D9">
        <w:rPr>
          <w:rFonts w:ascii="Times New Roman" w:hAnsi="Times New Roman"/>
          <w:kern w:val="0"/>
          <w:sz w:val="22"/>
          <w:lang w:val="lt-LT"/>
          <w14:ligatures w14:val="none"/>
        </w:rPr>
        <w:t xml:space="preserve">C temperatūroje. Laikyti gamintojo pakuotėje, kad vaistinis preparatas būtų apsaugotas nuo drėgmės. Laikymo temperatūros padidėjimas iki 30 °C daugiausia 3 mėnesiams neįtakoja preparato kokybės.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kapsules iš lizdinės plokštelės reikia išimti prieš pat vartojimą. Praplėšus lizdinę plokštelę, atsiranda būdingas kvapas. Tai yra normalu ir nereiškia, kad su kapsule yra kas nors blogo.</w:t>
      </w:r>
    </w:p>
    <w:p w14:paraId="44160471" w14:textId="77777777" w:rsidR="00323207" w:rsidRPr="00F931D9" w:rsidRDefault="00323207" w:rsidP="00323207">
      <w:pPr>
        <w:spacing w:after="0" w:line="240" w:lineRule="auto"/>
        <w:rPr>
          <w:rFonts w:ascii="Times New Roman" w:hAnsi="Times New Roman"/>
          <w:kern w:val="0"/>
          <w:sz w:val="22"/>
          <w:lang w:val="lt-LT"/>
          <w14:ligatures w14:val="none"/>
        </w:rPr>
      </w:pPr>
    </w:p>
    <w:p w14:paraId="1BB5303B" w14:textId="77777777" w:rsidR="00323207" w:rsidRPr="00F931D9" w:rsidRDefault="00323207" w:rsidP="00323207">
      <w:pPr>
        <w:spacing w:after="0" w:line="240" w:lineRule="auto"/>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6.5</w:t>
      </w:r>
      <w:r w:rsidRPr="00F931D9">
        <w:rPr>
          <w:rFonts w:ascii="Times New Roman" w:hAnsi="Times New Roman"/>
          <w:b/>
          <w:kern w:val="0"/>
          <w:sz w:val="22"/>
          <w:lang w:val="lt-LT"/>
          <w14:ligatures w14:val="none"/>
        </w:rPr>
        <w:tab/>
      </w:r>
      <w:proofErr w:type="spellStart"/>
      <w:r w:rsidRPr="00F931D9">
        <w:rPr>
          <w:rFonts w:ascii="Times New Roman" w:hAnsi="Times New Roman"/>
          <w:b/>
          <w:kern w:val="0"/>
          <w:sz w:val="22"/>
          <w:lang w:val="lt-LT"/>
          <w14:ligatures w14:val="none"/>
        </w:rPr>
        <w:t>Talpyklės</w:t>
      </w:r>
      <w:proofErr w:type="spellEnd"/>
      <w:r w:rsidRPr="00F931D9">
        <w:rPr>
          <w:rFonts w:ascii="Times New Roman" w:hAnsi="Times New Roman"/>
          <w:b/>
          <w:kern w:val="0"/>
          <w:sz w:val="22"/>
          <w:lang w:val="lt-LT"/>
          <w14:ligatures w14:val="none"/>
        </w:rPr>
        <w:t xml:space="preserve"> pobūdis ir jos turinys</w:t>
      </w:r>
    </w:p>
    <w:p w14:paraId="1107FE5C" w14:textId="77777777" w:rsidR="00323207" w:rsidRPr="00F931D9" w:rsidRDefault="00323207" w:rsidP="00323207">
      <w:pPr>
        <w:tabs>
          <w:tab w:val="left" w:pos="6080"/>
        </w:tabs>
        <w:spacing w:after="0" w:line="240" w:lineRule="auto"/>
        <w:rPr>
          <w:rFonts w:ascii="Times New Roman" w:hAnsi="Times New Roman"/>
          <w:kern w:val="0"/>
          <w:sz w:val="22"/>
          <w:lang w:val="lt-LT"/>
          <w14:ligatures w14:val="none"/>
        </w:rPr>
      </w:pPr>
    </w:p>
    <w:p w14:paraId="7AB5C85D"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Dvipusės aliuminio folijos lizdinės plokštelės, kurias sudaro poliamido/aliuminio/</w:t>
      </w:r>
      <w:proofErr w:type="spellStart"/>
      <w:r w:rsidRPr="00F931D9">
        <w:rPr>
          <w:rFonts w:ascii="Times New Roman" w:hAnsi="Times New Roman"/>
          <w:kern w:val="0"/>
          <w:sz w:val="22"/>
          <w:lang w:val="lt-LT"/>
          <w14:ligatures w14:val="none"/>
        </w:rPr>
        <w:t>polivinilchlorido</w:t>
      </w:r>
      <w:proofErr w:type="spellEnd"/>
      <w:r w:rsidRPr="00F931D9">
        <w:rPr>
          <w:rFonts w:ascii="Times New Roman" w:hAnsi="Times New Roman"/>
          <w:kern w:val="0"/>
          <w:sz w:val="22"/>
          <w:lang w:val="lt-LT"/>
          <w14:ligatures w14:val="none"/>
        </w:rPr>
        <w:t xml:space="preserve"> (PA/Al/PVC) apačioje</w:t>
      </w:r>
      <w:r w:rsidRPr="00F931D9" w:rsidDel="001E5308">
        <w:rPr>
          <w:rFonts w:ascii="Times New Roman" w:hAnsi="Times New Roman"/>
          <w:kern w:val="0"/>
          <w:sz w:val="22"/>
          <w:lang w:val="lt-LT"/>
          <w14:ligatures w14:val="none"/>
        </w:rPr>
        <w:t xml:space="preserve"> </w:t>
      </w:r>
      <w:r w:rsidRPr="00F931D9">
        <w:rPr>
          <w:rFonts w:ascii="Times New Roman" w:hAnsi="Times New Roman"/>
          <w:kern w:val="0"/>
          <w:sz w:val="22"/>
          <w:lang w:val="lt-LT"/>
          <w14:ligatures w14:val="none"/>
        </w:rPr>
        <w:t xml:space="preserve">ir aliuminio folija viršuje. </w:t>
      </w:r>
    </w:p>
    <w:p w14:paraId="2AD499CA" w14:textId="77777777" w:rsidR="00323207" w:rsidRPr="00F931D9" w:rsidRDefault="00323207" w:rsidP="00323207">
      <w:pPr>
        <w:spacing w:after="0" w:line="240" w:lineRule="auto"/>
        <w:rPr>
          <w:rFonts w:ascii="Times New Roman" w:hAnsi="Times New Roman"/>
          <w:kern w:val="0"/>
          <w:sz w:val="22"/>
          <w:lang w:val="lt-LT"/>
          <w14:ligatures w14:val="none"/>
        </w:rPr>
      </w:pPr>
    </w:p>
    <w:p w14:paraId="391C938E" w14:textId="77777777" w:rsidR="00323207" w:rsidRPr="00F931D9" w:rsidRDefault="00323207" w:rsidP="00323207">
      <w:pPr>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25 mg, 50 mg ir 100 mg minkštosios kapsulės</w:t>
      </w:r>
    </w:p>
    <w:p w14:paraId="185578C5" w14:textId="77777777" w:rsidR="00323207" w:rsidRPr="00F931D9" w:rsidRDefault="00323207" w:rsidP="00323207">
      <w:pPr>
        <w:spacing w:after="0" w:line="240" w:lineRule="auto"/>
        <w:rPr>
          <w:rFonts w:ascii="Times New Roman" w:hAnsi="Times New Roman"/>
          <w:kern w:val="0"/>
          <w:sz w:val="22"/>
          <w:lang w:val="lt-LT"/>
          <w14:ligatures w14:val="none"/>
        </w:rPr>
      </w:pPr>
    </w:p>
    <w:p w14:paraId="2206CA4D"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Pakuotėje yra 50 minkštųjų kapsulių.</w:t>
      </w:r>
    </w:p>
    <w:p w14:paraId="798BB04E" w14:textId="77777777" w:rsidR="00323207" w:rsidRPr="00F931D9" w:rsidRDefault="00323207" w:rsidP="00323207">
      <w:pPr>
        <w:spacing w:after="0" w:line="240" w:lineRule="auto"/>
        <w:rPr>
          <w:rFonts w:ascii="Times New Roman" w:hAnsi="Times New Roman"/>
          <w:kern w:val="0"/>
          <w:sz w:val="22"/>
          <w:lang w:val="lt-LT"/>
          <w14:ligatures w14:val="none"/>
        </w:rPr>
      </w:pPr>
    </w:p>
    <w:p w14:paraId="7EF79359"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Gali būti tiekiamos ne visų dydžių pakuotės.</w:t>
      </w:r>
    </w:p>
    <w:p w14:paraId="7ADCB6A3" w14:textId="77777777" w:rsidR="00323207" w:rsidRPr="00F931D9" w:rsidRDefault="00323207" w:rsidP="00323207">
      <w:pPr>
        <w:spacing w:after="0" w:line="240" w:lineRule="auto"/>
        <w:rPr>
          <w:rFonts w:ascii="Times New Roman" w:hAnsi="Times New Roman"/>
          <w:kern w:val="0"/>
          <w:sz w:val="22"/>
          <w:lang w:val="lt-LT"/>
          <w14:ligatures w14:val="none"/>
        </w:rPr>
      </w:pPr>
    </w:p>
    <w:p w14:paraId="00578E6B" w14:textId="77777777" w:rsidR="00323207" w:rsidRPr="00F931D9" w:rsidRDefault="00323207" w:rsidP="00323207">
      <w:pPr>
        <w:spacing w:after="0" w:line="240" w:lineRule="auto"/>
        <w:ind w:left="562" w:hanging="562"/>
        <w:outlineLvl w:val="0"/>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6.6</w:t>
      </w:r>
      <w:r w:rsidRPr="00F931D9">
        <w:rPr>
          <w:rFonts w:ascii="Times New Roman" w:hAnsi="Times New Roman"/>
          <w:b/>
          <w:kern w:val="0"/>
          <w:sz w:val="22"/>
          <w:lang w:val="lt-LT"/>
          <w14:ligatures w14:val="none"/>
        </w:rPr>
        <w:tab/>
        <w:t xml:space="preserve">Specialūs reikalavimai atliekoms tvarkyti </w:t>
      </w:r>
    </w:p>
    <w:p w14:paraId="39FF5472" w14:textId="77777777" w:rsidR="00323207" w:rsidRPr="00F931D9" w:rsidRDefault="00323207" w:rsidP="00323207">
      <w:pPr>
        <w:spacing w:after="0" w:line="240" w:lineRule="auto"/>
        <w:jc w:val="both"/>
        <w:rPr>
          <w:rFonts w:ascii="Times New Roman" w:hAnsi="Times New Roman"/>
          <w:kern w:val="0"/>
          <w:sz w:val="22"/>
          <w:lang w:val="lt-LT"/>
          <w14:ligatures w14:val="none"/>
        </w:rPr>
      </w:pPr>
    </w:p>
    <w:p w14:paraId="13576E63" w14:textId="77777777" w:rsidR="00323207" w:rsidRPr="00F931D9" w:rsidRDefault="00323207" w:rsidP="00323207">
      <w:pPr>
        <w:spacing w:after="0" w:line="240" w:lineRule="auto"/>
        <w:outlineLvl w:val="0"/>
        <w:rPr>
          <w:rFonts w:ascii="Times New Roman" w:hAnsi="Times New Roman"/>
          <w:kern w:val="0"/>
          <w:sz w:val="22"/>
          <w:lang w:val="lt-LT"/>
          <w14:ligatures w14:val="none"/>
        </w:rPr>
      </w:pPr>
      <w:r w:rsidRPr="00F931D9">
        <w:rPr>
          <w:rFonts w:ascii="Times New Roman" w:hAnsi="Times New Roman"/>
          <w:kern w:val="0"/>
          <w:sz w:val="22"/>
          <w:lang w:val="lt-LT"/>
          <w14:ligatures w14:val="none"/>
        </w:rPr>
        <w:t>Specialių reikalavimų nėra.</w:t>
      </w:r>
    </w:p>
    <w:p w14:paraId="1C328D14" w14:textId="77777777" w:rsidR="00323207" w:rsidRPr="00F931D9" w:rsidRDefault="00323207" w:rsidP="00323207">
      <w:pPr>
        <w:spacing w:after="0" w:line="240" w:lineRule="auto"/>
        <w:outlineLvl w:val="0"/>
        <w:rPr>
          <w:rFonts w:ascii="Times New Roman" w:hAnsi="Times New Roman"/>
          <w:kern w:val="0"/>
          <w:sz w:val="22"/>
          <w:lang w:val="lt-LT"/>
          <w14:ligatures w14:val="none"/>
        </w:rPr>
      </w:pPr>
    </w:p>
    <w:p w14:paraId="5A5B0C2F"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Nesuvartotą vaistinį preparatą ar atliekas reikia tvarkyti laikantis vietinių reikalavimų.</w:t>
      </w:r>
    </w:p>
    <w:p w14:paraId="71EF51B2" w14:textId="77777777" w:rsidR="00323207" w:rsidRPr="00F931D9" w:rsidRDefault="00323207" w:rsidP="00323207">
      <w:pPr>
        <w:spacing w:after="0" w:line="240" w:lineRule="auto"/>
        <w:outlineLvl w:val="0"/>
        <w:rPr>
          <w:rFonts w:ascii="Times New Roman" w:hAnsi="Times New Roman"/>
          <w:kern w:val="0"/>
          <w:sz w:val="22"/>
          <w:lang w:val="lt-LT"/>
          <w14:ligatures w14:val="none"/>
        </w:rPr>
      </w:pPr>
    </w:p>
    <w:p w14:paraId="051E05B7" w14:textId="77777777" w:rsidR="00323207" w:rsidRPr="00F931D9" w:rsidRDefault="00323207" w:rsidP="00323207">
      <w:pPr>
        <w:spacing w:after="0" w:line="240" w:lineRule="auto"/>
        <w:rPr>
          <w:rFonts w:ascii="Times New Roman" w:hAnsi="Times New Roman"/>
          <w:kern w:val="0"/>
          <w:sz w:val="22"/>
          <w:lang w:val="lt-LT"/>
          <w14:ligatures w14:val="none"/>
        </w:rPr>
      </w:pPr>
    </w:p>
    <w:p w14:paraId="6BCDEE42" w14:textId="77777777" w:rsidR="00323207" w:rsidRPr="00F931D9" w:rsidRDefault="00323207" w:rsidP="00323207">
      <w:pPr>
        <w:spacing w:after="0" w:line="240" w:lineRule="auto"/>
        <w:ind w:left="567" w:hanging="567"/>
        <w:rPr>
          <w:rFonts w:ascii="Times New Roman" w:hAnsi="Times New Roman"/>
          <w:kern w:val="0"/>
          <w:sz w:val="22"/>
          <w:lang w:val="lt-LT"/>
          <w14:ligatures w14:val="none"/>
        </w:rPr>
      </w:pPr>
      <w:r w:rsidRPr="00F931D9">
        <w:rPr>
          <w:rFonts w:ascii="Times New Roman" w:hAnsi="Times New Roman"/>
          <w:b/>
          <w:kern w:val="0"/>
          <w:sz w:val="22"/>
          <w:lang w:val="lt-LT"/>
          <w14:ligatures w14:val="none"/>
        </w:rPr>
        <w:t>7.</w:t>
      </w:r>
      <w:r w:rsidRPr="00F931D9">
        <w:rPr>
          <w:rFonts w:ascii="Times New Roman" w:hAnsi="Times New Roman"/>
          <w:b/>
          <w:kern w:val="0"/>
          <w:sz w:val="22"/>
          <w:lang w:val="lt-LT"/>
          <w14:ligatures w14:val="none"/>
        </w:rPr>
        <w:tab/>
        <w:t>REGISTRUOTOJAS</w:t>
      </w:r>
    </w:p>
    <w:p w14:paraId="563A3D55" w14:textId="77777777" w:rsidR="00323207" w:rsidRPr="00F931D9" w:rsidRDefault="00323207" w:rsidP="00323207">
      <w:pPr>
        <w:spacing w:after="0" w:line="240" w:lineRule="auto"/>
        <w:rPr>
          <w:rFonts w:ascii="Times New Roman" w:hAnsi="Times New Roman"/>
          <w:kern w:val="0"/>
          <w:sz w:val="22"/>
          <w:lang w:val="lt-LT"/>
          <w14:ligatures w14:val="none"/>
        </w:rPr>
      </w:pPr>
    </w:p>
    <w:p w14:paraId="134FBA53" w14:textId="77777777" w:rsidR="00323207" w:rsidRPr="00F931D9" w:rsidRDefault="00323207" w:rsidP="00323207">
      <w:pPr>
        <w:spacing w:after="0" w:line="240" w:lineRule="auto"/>
        <w:jc w:val="both"/>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SIA </w:t>
      </w:r>
      <w:proofErr w:type="spellStart"/>
      <w:r w:rsidRPr="00F931D9">
        <w:rPr>
          <w:rFonts w:ascii="Times New Roman" w:hAnsi="Times New Roman"/>
          <w:kern w:val="0"/>
          <w:sz w:val="22"/>
          <w:lang w:val="lt-LT"/>
          <w14:ligatures w14:val="none"/>
        </w:rPr>
        <w:t>Novartis</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Baltics</w:t>
      </w:r>
      <w:proofErr w:type="spellEnd"/>
    </w:p>
    <w:p w14:paraId="74ABD0D3" w14:textId="77777777" w:rsidR="00323207" w:rsidRPr="00F931D9" w:rsidRDefault="00323207" w:rsidP="00323207">
      <w:pPr>
        <w:spacing w:after="0" w:line="240" w:lineRule="auto"/>
        <w:jc w:val="both"/>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Skanstes</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iela</w:t>
      </w:r>
      <w:proofErr w:type="spellEnd"/>
      <w:r w:rsidRPr="00F931D9">
        <w:rPr>
          <w:rFonts w:ascii="Times New Roman" w:hAnsi="Times New Roman"/>
          <w:kern w:val="0"/>
          <w:sz w:val="22"/>
          <w:lang w:val="lt-LT"/>
          <w14:ligatures w14:val="none"/>
        </w:rPr>
        <w:t xml:space="preserve"> 25</w:t>
      </w:r>
    </w:p>
    <w:p w14:paraId="7E772436" w14:textId="77777777" w:rsidR="00323207" w:rsidRPr="00F931D9" w:rsidRDefault="00323207" w:rsidP="00323207">
      <w:pPr>
        <w:spacing w:after="0" w:line="240" w:lineRule="auto"/>
        <w:jc w:val="both"/>
        <w:rPr>
          <w:rFonts w:ascii="Times New Roman" w:hAnsi="Times New Roman"/>
          <w:kern w:val="0"/>
          <w:sz w:val="22"/>
          <w:lang w:val="lt-LT"/>
          <w14:ligatures w14:val="none"/>
        </w:rPr>
      </w:pPr>
      <w:r w:rsidRPr="00F931D9">
        <w:rPr>
          <w:rFonts w:ascii="Times New Roman" w:hAnsi="Times New Roman"/>
          <w:kern w:val="0"/>
          <w:sz w:val="22"/>
          <w:lang w:val="lt-LT"/>
          <w14:ligatures w14:val="none"/>
        </w:rPr>
        <w:t>LV-</w:t>
      </w:r>
      <w:r w:rsidRPr="00F931D9">
        <w:rPr>
          <w:rFonts w:ascii="Times New Roman" w:hAnsi="Times New Roman"/>
          <w:kern w:val="0"/>
          <w:sz w:val="22"/>
          <w14:ligatures w14:val="none"/>
        </w:rPr>
        <w:t>1013</w:t>
      </w:r>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Rīga</w:t>
      </w:r>
      <w:proofErr w:type="spellEnd"/>
    </w:p>
    <w:p w14:paraId="3BB52BAC"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Latvija</w:t>
      </w:r>
    </w:p>
    <w:p w14:paraId="3059294C" w14:textId="77777777" w:rsidR="00323207" w:rsidRPr="00F931D9" w:rsidRDefault="00323207" w:rsidP="00323207">
      <w:pPr>
        <w:spacing w:after="0" w:line="240" w:lineRule="auto"/>
        <w:rPr>
          <w:rFonts w:ascii="Times New Roman" w:hAnsi="Times New Roman"/>
          <w:kern w:val="0"/>
          <w:sz w:val="22"/>
          <w:lang w:val="lt-LT"/>
          <w14:ligatures w14:val="none"/>
        </w:rPr>
      </w:pPr>
    </w:p>
    <w:p w14:paraId="67920AD8" w14:textId="77777777" w:rsidR="00323207" w:rsidRPr="00F931D9" w:rsidRDefault="00323207" w:rsidP="00323207">
      <w:pPr>
        <w:spacing w:after="0" w:line="240" w:lineRule="auto"/>
        <w:rPr>
          <w:rFonts w:ascii="Times New Roman" w:hAnsi="Times New Roman"/>
          <w:kern w:val="0"/>
          <w:sz w:val="22"/>
          <w:lang w:val="lt-LT"/>
          <w14:ligatures w14:val="none"/>
        </w:rPr>
      </w:pPr>
    </w:p>
    <w:p w14:paraId="68B6F02F" w14:textId="77777777" w:rsidR="00323207" w:rsidRPr="00F931D9" w:rsidRDefault="00323207" w:rsidP="00323207">
      <w:pPr>
        <w:spacing w:after="0" w:line="240" w:lineRule="auto"/>
        <w:ind w:left="567" w:hanging="567"/>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8.</w:t>
      </w:r>
      <w:r w:rsidRPr="00F931D9">
        <w:rPr>
          <w:rFonts w:ascii="Times New Roman" w:hAnsi="Times New Roman"/>
          <w:b/>
          <w:kern w:val="0"/>
          <w:sz w:val="22"/>
          <w:lang w:val="lt-LT"/>
          <w14:ligatures w14:val="none"/>
        </w:rPr>
        <w:tab/>
      </w:r>
      <w:r w:rsidRPr="00F931D9">
        <w:rPr>
          <w:rFonts w:ascii="Times New Roman" w:hAnsi="Times New Roman"/>
          <w:b/>
          <w:caps/>
          <w:kern w:val="0"/>
          <w:sz w:val="22"/>
          <w:lang w:val="lt-LT"/>
          <w14:ligatures w14:val="none"/>
        </w:rPr>
        <w:t>REGISTRACIJOS PAŽYMĖJIMO numeris (-IAI</w:t>
      </w:r>
      <w:r w:rsidRPr="00F931D9">
        <w:rPr>
          <w:rFonts w:ascii="Times New Roman" w:hAnsi="Times New Roman"/>
          <w:b/>
          <w:kern w:val="0"/>
          <w:sz w:val="22"/>
          <w:lang w:val="lt-LT"/>
          <w14:ligatures w14:val="none"/>
        </w:rPr>
        <w:t xml:space="preserve">) </w:t>
      </w:r>
    </w:p>
    <w:p w14:paraId="4D29349C" w14:textId="77777777" w:rsidR="00323207" w:rsidRPr="00F931D9" w:rsidRDefault="00323207" w:rsidP="00323207">
      <w:pPr>
        <w:spacing w:after="0" w:line="240" w:lineRule="auto"/>
        <w:rPr>
          <w:rFonts w:ascii="Times New Roman" w:hAnsi="Times New Roman"/>
          <w:i/>
          <w:kern w:val="0"/>
          <w:sz w:val="22"/>
          <w:lang w:val="lt-LT"/>
          <w14:ligatures w14:val="none"/>
        </w:rPr>
      </w:pPr>
    </w:p>
    <w:p w14:paraId="40D40FFA" w14:textId="77777777" w:rsidR="00323207" w:rsidRPr="00F931D9" w:rsidRDefault="00323207" w:rsidP="00323207">
      <w:pPr>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25 mg minkštosios kapsulės – LT/1/94/1089/001</w:t>
      </w:r>
    </w:p>
    <w:p w14:paraId="2275B25A" w14:textId="77777777" w:rsidR="00323207" w:rsidRPr="00F931D9" w:rsidRDefault="00323207" w:rsidP="00323207">
      <w:pPr>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50 mg minkštosios kapsulės – LT/1/94/1089/002</w:t>
      </w:r>
    </w:p>
    <w:p w14:paraId="1847F9F2" w14:textId="77777777" w:rsidR="00323207" w:rsidRPr="00F931D9" w:rsidRDefault="00323207" w:rsidP="00323207">
      <w:pPr>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100 mg minkštosios kapsulės – LT/1/94/1089/003</w:t>
      </w:r>
    </w:p>
    <w:p w14:paraId="1C4C64D3" w14:textId="77777777" w:rsidR="00323207" w:rsidRPr="00F931D9" w:rsidRDefault="00323207" w:rsidP="00323207">
      <w:pPr>
        <w:spacing w:after="0" w:line="240" w:lineRule="auto"/>
        <w:rPr>
          <w:rFonts w:ascii="Times New Roman" w:hAnsi="Times New Roman"/>
          <w:kern w:val="0"/>
          <w:sz w:val="22"/>
          <w:lang w:val="lt-LT"/>
          <w14:ligatures w14:val="none"/>
        </w:rPr>
      </w:pPr>
    </w:p>
    <w:p w14:paraId="39C4B710" w14:textId="77777777" w:rsidR="00323207" w:rsidRPr="00F931D9" w:rsidRDefault="00323207" w:rsidP="00323207">
      <w:pPr>
        <w:spacing w:after="0" w:line="240" w:lineRule="auto"/>
        <w:rPr>
          <w:rFonts w:ascii="Times New Roman" w:hAnsi="Times New Roman"/>
          <w:kern w:val="0"/>
          <w:sz w:val="22"/>
          <w:lang w:val="lt-LT"/>
          <w14:ligatures w14:val="none"/>
        </w:rPr>
      </w:pPr>
    </w:p>
    <w:p w14:paraId="4AAFB46F" w14:textId="77777777" w:rsidR="00323207" w:rsidRPr="00F931D9" w:rsidRDefault="00323207" w:rsidP="00323207">
      <w:pPr>
        <w:spacing w:after="0" w:line="240" w:lineRule="auto"/>
        <w:ind w:left="567" w:hanging="567"/>
        <w:rPr>
          <w:rFonts w:ascii="Times New Roman" w:hAnsi="Times New Roman"/>
          <w:kern w:val="0"/>
          <w:sz w:val="22"/>
          <w:lang w:val="lt-LT"/>
          <w14:ligatures w14:val="none"/>
        </w:rPr>
      </w:pPr>
      <w:r w:rsidRPr="00F931D9">
        <w:rPr>
          <w:rFonts w:ascii="Times New Roman" w:hAnsi="Times New Roman"/>
          <w:b/>
          <w:kern w:val="0"/>
          <w:sz w:val="22"/>
          <w:lang w:val="lt-LT"/>
          <w14:ligatures w14:val="none"/>
        </w:rPr>
        <w:t>9.</w:t>
      </w:r>
      <w:r w:rsidRPr="00F931D9">
        <w:rPr>
          <w:rFonts w:ascii="Times New Roman" w:hAnsi="Times New Roman"/>
          <w:b/>
          <w:kern w:val="0"/>
          <w:sz w:val="22"/>
          <w:lang w:val="lt-LT"/>
          <w14:ligatures w14:val="none"/>
        </w:rPr>
        <w:tab/>
      </w:r>
      <w:r w:rsidRPr="00F931D9">
        <w:rPr>
          <w:rFonts w:ascii="Times New Roman" w:hAnsi="Times New Roman"/>
          <w:b/>
          <w:caps/>
          <w:kern w:val="0"/>
          <w:sz w:val="22"/>
          <w:lang w:val="lt-LT"/>
          <w14:ligatures w14:val="none"/>
        </w:rPr>
        <w:t>REGISTRAVIMO / PERREGISTRAVIMO data</w:t>
      </w:r>
    </w:p>
    <w:p w14:paraId="51A9D513" w14:textId="77777777" w:rsidR="00323207" w:rsidRPr="00F931D9" w:rsidRDefault="00323207" w:rsidP="00323207">
      <w:pPr>
        <w:spacing w:after="0" w:line="240" w:lineRule="auto"/>
        <w:rPr>
          <w:rFonts w:ascii="Times New Roman" w:hAnsi="Times New Roman"/>
          <w:i/>
          <w:kern w:val="0"/>
          <w:sz w:val="22"/>
          <w:lang w:val="lt-LT"/>
          <w14:ligatures w14:val="none"/>
        </w:rPr>
      </w:pPr>
    </w:p>
    <w:p w14:paraId="7B601011"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Registravimo data 1994 m. birželio 22 d.</w:t>
      </w:r>
    </w:p>
    <w:p w14:paraId="2F555809"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Paskutinio perregistravimo data 2008 m. balandžio 07 d.</w:t>
      </w:r>
    </w:p>
    <w:p w14:paraId="781F0E7C" w14:textId="77777777" w:rsidR="00323207" w:rsidRPr="00F931D9" w:rsidRDefault="00323207" w:rsidP="00323207">
      <w:pPr>
        <w:spacing w:after="0" w:line="240" w:lineRule="auto"/>
        <w:rPr>
          <w:rFonts w:ascii="Times New Roman" w:hAnsi="Times New Roman"/>
          <w:kern w:val="0"/>
          <w:sz w:val="22"/>
          <w:lang w:val="lt-LT"/>
          <w14:ligatures w14:val="none"/>
        </w:rPr>
      </w:pPr>
    </w:p>
    <w:p w14:paraId="5A7B943F" w14:textId="77777777" w:rsidR="00323207" w:rsidRPr="00F931D9" w:rsidRDefault="00323207" w:rsidP="00323207">
      <w:pPr>
        <w:spacing w:after="0" w:line="240" w:lineRule="auto"/>
        <w:rPr>
          <w:rFonts w:ascii="Times New Roman" w:hAnsi="Times New Roman"/>
          <w:kern w:val="0"/>
          <w:sz w:val="22"/>
          <w:lang w:val="lt-LT"/>
          <w14:ligatures w14:val="none"/>
        </w:rPr>
      </w:pPr>
    </w:p>
    <w:p w14:paraId="51F30FA0" w14:textId="77777777" w:rsidR="00323207" w:rsidRPr="00F931D9" w:rsidRDefault="00323207" w:rsidP="00323207">
      <w:pPr>
        <w:spacing w:after="0" w:line="240" w:lineRule="auto"/>
        <w:ind w:left="567" w:hanging="567"/>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10.</w:t>
      </w:r>
      <w:r w:rsidRPr="00F931D9">
        <w:rPr>
          <w:rFonts w:ascii="Times New Roman" w:hAnsi="Times New Roman"/>
          <w:b/>
          <w:kern w:val="0"/>
          <w:sz w:val="22"/>
          <w:lang w:val="lt-LT"/>
          <w14:ligatures w14:val="none"/>
        </w:rPr>
        <w:tab/>
      </w:r>
      <w:r w:rsidRPr="00F931D9">
        <w:rPr>
          <w:rFonts w:ascii="Times New Roman" w:hAnsi="Times New Roman"/>
          <w:b/>
          <w:caps/>
          <w:kern w:val="0"/>
          <w:sz w:val="22"/>
          <w:lang w:val="lt-LT"/>
          <w14:ligatures w14:val="none"/>
        </w:rPr>
        <w:t>teksto peržiūros data</w:t>
      </w:r>
    </w:p>
    <w:p w14:paraId="74AB45B0" w14:textId="77777777" w:rsidR="00323207" w:rsidRPr="00F931D9" w:rsidRDefault="00323207" w:rsidP="00323207">
      <w:pPr>
        <w:spacing w:after="0" w:line="240" w:lineRule="auto"/>
        <w:rPr>
          <w:rFonts w:ascii="Times New Roman" w:hAnsi="Times New Roman"/>
          <w:kern w:val="0"/>
          <w:sz w:val="22"/>
          <w:lang w:val="lt-LT"/>
          <w14:ligatures w14:val="none"/>
        </w:rPr>
      </w:pPr>
    </w:p>
    <w:p w14:paraId="699D6599" w14:textId="77777777" w:rsidR="00323207" w:rsidRPr="00F931D9" w:rsidRDefault="00323207" w:rsidP="00323207">
      <w:pPr>
        <w:numPr>
          <w:ilvl w:val="12"/>
          <w:numId w:val="0"/>
        </w:numPr>
        <w:spacing w:after="0" w:line="240" w:lineRule="auto"/>
        <w:ind w:right="-2"/>
        <w:rPr>
          <w:rFonts w:ascii="Times New Roman" w:hAnsi="Times New Roman"/>
          <w:kern w:val="0"/>
          <w:sz w:val="22"/>
          <w:lang w:val="lt-LT"/>
          <w14:ligatures w14:val="none"/>
        </w:rPr>
      </w:pPr>
      <w:r w:rsidRPr="00F931D9">
        <w:rPr>
          <w:rFonts w:ascii="Times New Roman" w:hAnsi="Times New Roman"/>
          <w:kern w:val="0"/>
          <w:sz w:val="22"/>
          <w:lang w:val="lt-LT"/>
          <w14:ligatures w14:val="none"/>
        </w:rPr>
        <w:t>202</w:t>
      </w:r>
      <w:r w:rsidRPr="00F931D9">
        <w:rPr>
          <w:rFonts w:ascii="Times New Roman" w:hAnsi="Times New Roman"/>
          <w:kern w:val="0"/>
          <w:sz w:val="22"/>
          <w14:ligatures w14:val="none"/>
        </w:rPr>
        <w:t>4</w:t>
      </w:r>
      <w:r w:rsidRPr="00F931D9">
        <w:rPr>
          <w:rFonts w:ascii="Times New Roman" w:hAnsi="Times New Roman"/>
          <w:kern w:val="0"/>
          <w:sz w:val="22"/>
          <w:lang w:val="lt-LT"/>
          <w14:ligatures w14:val="none"/>
        </w:rPr>
        <w:t xml:space="preserve"> m. liepos </w:t>
      </w:r>
      <w:r w:rsidRPr="00F931D9">
        <w:rPr>
          <w:rFonts w:ascii="Times New Roman" w:hAnsi="Times New Roman"/>
          <w:kern w:val="0"/>
          <w:sz w:val="22"/>
          <w14:ligatures w14:val="none"/>
        </w:rPr>
        <w:t>15</w:t>
      </w:r>
      <w:r w:rsidRPr="00F931D9">
        <w:rPr>
          <w:rFonts w:ascii="Times New Roman" w:hAnsi="Times New Roman"/>
          <w:kern w:val="0"/>
          <w:sz w:val="22"/>
          <w:lang w:val="lt-LT"/>
          <w14:ligatures w14:val="none"/>
        </w:rPr>
        <w:t> d.</w:t>
      </w:r>
    </w:p>
    <w:p w14:paraId="564F97BD" w14:textId="77777777" w:rsidR="00323207" w:rsidRPr="00F931D9" w:rsidRDefault="00323207" w:rsidP="00323207">
      <w:pPr>
        <w:numPr>
          <w:ilvl w:val="12"/>
          <w:numId w:val="0"/>
        </w:numPr>
        <w:spacing w:after="0" w:line="240" w:lineRule="auto"/>
        <w:ind w:right="-2"/>
        <w:rPr>
          <w:rFonts w:ascii="Times New Roman" w:hAnsi="Times New Roman"/>
          <w:kern w:val="0"/>
          <w:sz w:val="22"/>
          <w:lang w:val="lt-LT"/>
          <w14:ligatures w14:val="none"/>
        </w:rPr>
      </w:pPr>
    </w:p>
    <w:p w14:paraId="467D22D9" w14:textId="77777777" w:rsidR="00323207" w:rsidRPr="00F931D9" w:rsidRDefault="00323207" w:rsidP="00323207">
      <w:pPr>
        <w:numPr>
          <w:ilvl w:val="12"/>
          <w:numId w:val="0"/>
        </w:numPr>
        <w:spacing w:after="0" w:line="240" w:lineRule="auto"/>
        <w:ind w:right="-2"/>
        <w:rPr>
          <w:rFonts w:ascii="Times New Roman" w:hAnsi="Times New Roman"/>
          <w:kern w:val="0"/>
          <w:sz w:val="22"/>
          <w:lang w:val="lt-LT"/>
          <w14:ligatures w14:val="none"/>
        </w:rPr>
      </w:pPr>
      <w:r w:rsidRPr="00F931D9">
        <w:rPr>
          <w:rFonts w:ascii="Times New Roman" w:hAnsi="Times New Roman"/>
          <w:kern w:val="0"/>
          <w:sz w:val="22"/>
          <w:lang w:val="lt-LT"/>
          <w14:ligatures w14:val="none"/>
        </w:rPr>
        <w:t>Išsami informacija apie šį vaistinį preparatą pateikiama Valstybinės vaistų kontrolės tarnybos prie Lietuvos Respublikos sveikatos apsaugos ministerijos tinklalapyje</w:t>
      </w:r>
      <w:r w:rsidRPr="00F931D9">
        <w:rPr>
          <w:rFonts w:ascii="Times New Roman" w:hAnsi="Times New Roman"/>
          <w:kern w:val="0"/>
          <w:sz w:val="22"/>
          <w:u w:val="single"/>
          <w:lang w:val="lt-LT"/>
          <w14:ligatures w14:val="none"/>
        </w:rPr>
        <w:t xml:space="preserve"> </w:t>
      </w:r>
      <w:r w:rsidRPr="00F931D9">
        <w:rPr>
          <w:kern w:val="0"/>
          <w14:ligatures w14:val="none"/>
        </w:rPr>
        <w:t>https://vvkt.lrv.lt/lt/.</w:t>
      </w:r>
    </w:p>
    <w:p w14:paraId="49AEBBF8" w14:textId="77777777" w:rsidR="00323207" w:rsidRPr="00F931D9" w:rsidRDefault="00323207" w:rsidP="00323207">
      <w:pPr>
        <w:spacing w:after="0" w:line="240" w:lineRule="auto"/>
        <w:rPr>
          <w:rFonts w:ascii="Times New Roman" w:hAnsi="Times New Roman"/>
          <w:kern w:val="0"/>
          <w:sz w:val="22"/>
          <w:lang w:val="lt-LT"/>
          <w14:ligatures w14:val="none"/>
        </w:rPr>
      </w:pPr>
    </w:p>
    <w:p w14:paraId="4F6DEA77" w14:textId="77777777" w:rsidR="00323207" w:rsidRPr="00F931D9" w:rsidRDefault="00323207" w:rsidP="00323207">
      <w:pPr>
        <w:spacing w:after="0" w:line="240" w:lineRule="auto"/>
        <w:jc w:val="center"/>
        <w:rPr>
          <w:rFonts w:ascii="Times New Roman" w:hAnsi="Times New Roman"/>
          <w:b/>
          <w:kern w:val="0"/>
          <w:sz w:val="22"/>
          <w:lang w:val="lt-LT"/>
          <w14:ligatures w14:val="none"/>
        </w:rPr>
      </w:pPr>
    </w:p>
    <w:p w14:paraId="46C8BB1C" w14:textId="77777777" w:rsidR="00323207" w:rsidRPr="00F931D9" w:rsidRDefault="00323207" w:rsidP="00323207">
      <w:pPr>
        <w:spacing w:after="0" w:line="240" w:lineRule="auto"/>
        <w:jc w:val="center"/>
        <w:rPr>
          <w:rFonts w:ascii="Times New Roman" w:hAnsi="Times New Roman"/>
          <w:b/>
          <w:kern w:val="0"/>
          <w:sz w:val="22"/>
          <w:lang w:val="lt-LT"/>
          <w14:ligatures w14:val="none"/>
        </w:rPr>
      </w:pPr>
    </w:p>
    <w:p w14:paraId="1DBEFFE2" w14:textId="77777777" w:rsidR="00323207" w:rsidRPr="00F931D9" w:rsidRDefault="00323207" w:rsidP="00323207">
      <w:pPr>
        <w:spacing w:after="0" w:line="240" w:lineRule="auto"/>
        <w:jc w:val="center"/>
        <w:rPr>
          <w:rFonts w:ascii="Times New Roman" w:hAnsi="Times New Roman"/>
          <w:b/>
          <w:kern w:val="0"/>
          <w:sz w:val="22"/>
          <w:lang w:val="lt-LT"/>
          <w14:ligatures w14:val="none"/>
        </w:rPr>
      </w:pPr>
    </w:p>
    <w:p w14:paraId="436B4B5B" w14:textId="77777777" w:rsidR="00323207" w:rsidRPr="00F931D9" w:rsidRDefault="00323207" w:rsidP="00323207">
      <w:pPr>
        <w:spacing w:after="0" w:line="240" w:lineRule="auto"/>
        <w:jc w:val="center"/>
        <w:rPr>
          <w:rFonts w:ascii="Times New Roman" w:hAnsi="Times New Roman"/>
          <w:b/>
          <w:kern w:val="0"/>
          <w:sz w:val="22"/>
          <w:lang w:val="lt-LT"/>
          <w14:ligatures w14:val="none"/>
        </w:rPr>
      </w:pPr>
    </w:p>
    <w:p w14:paraId="0636BC20" w14:textId="77777777" w:rsidR="00323207" w:rsidRPr="00F931D9" w:rsidRDefault="00323207" w:rsidP="00323207">
      <w:pPr>
        <w:spacing w:after="0" w:line="240" w:lineRule="auto"/>
        <w:jc w:val="center"/>
        <w:rPr>
          <w:rFonts w:ascii="Times New Roman" w:hAnsi="Times New Roman"/>
          <w:b/>
          <w:kern w:val="0"/>
          <w:sz w:val="22"/>
          <w:lang w:val="lt-LT"/>
          <w14:ligatures w14:val="none"/>
        </w:rPr>
      </w:pPr>
    </w:p>
    <w:p w14:paraId="7CDBD7D6" w14:textId="77777777" w:rsidR="00323207" w:rsidRPr="00F931D9" w:rsidRDefault="00323207" w:rsidP="00323207">
      <w:pPr>
        <w:spacing w:after="0" w:line="240" w:lineRule="auto"/>
        <w:jc w:val="center"/>
        <w:rPr>
          <w:rFonts w:ascii="Times New Roman" w:hAnsi="Times New Roman"/>
          <w:b/>
          <w:kern w:val="0"/>
          <w:sz w:val="22"/>
          <w:lang w:val="lt-LT"/>
          <w14:ligatures w14:val="none"/>
        </w:rPr>
      </w:pPr>
    </w:p>
    <w:p w14:paraId="18F42022" w14:textId="77777777" w:rsidR="00323207" w:rsidRPr="00F931D9" w:rsidRDefault="00323207" w:rsidP="00323207">
      <w:pPr>
        <w:spacing w:after="0" w:line="240" w:lineRule="auto"/>
        <w:jc w:val="center"/>
        <w:rPr>
          <w:rFonts w:ascii="Times New Roman" w:hAnsi="Times New Roman"/>
          <w:b/>
          <w:kern w:val="0"/>
          <w:sz w:val="22"/>
          <w:lang w:val="lt-LT"/>
          <w14:ligatures w14:val="none"/>
        </w:rPr>
      </w:pPr>
    </w:p>
    <w:p w14:paraId="688187B3" w14:textId="77777777" w:rsidR="00323207" w:rsidRPr="00F931D9" w:rsidRDefault="00323207" w:rsidP="00323207">
      <w:pPr>
        <w:spacing w:after="0" w:line="240" w:lineRule="auto"/>
        <w:jc w:val="center"/>
        <w:rPr>
          <w:rFonts w:ascii="Times New Roman" w:hAnsi="Times New Roman"/>
          <w:b/>
          <w:kern w:val="0"/>
          <w:sz w:val="22"/>
          <w:lang w:val="lt-LT"/>
          <w14:ligatures w14:val="none"/>
        </w:rPr>
      </w:pPr>
    </w:p>
    <w:p w14:paraId="4C3FC594" w14:textId="77777777" w:rsidR="00323207" w:rsidRPr="00F931D9" w:rsidRDefault="00323207" w:rsidP="00323207">
      <w:pPr>
        <w:spacing w:after="0" w:line="240" w:lineRule="auto"/>
        <w:jc w:val="center"/>
        <w:rPr>
          <w:rFonts w:ascii="Times New Roman" w:hAnsi="Times New Roman"/>
          <w:b/>
          <w:kern w:val="0"/>
          <w:sz w:val="22"/>
          <w:lang w:val="lt-LT"/>
          <w14:ligatures w14:val="none"/>
        </w:rPr>
      </w:pPr>
    </w:p>
    <w:p w14:paraId="458B99A7" w14:textId="77777777" w:rsidR="00323207" w:rsidRPr="00F931D9" w:rsidRDefault="00323207" w:rsidP="00323207">
      <w:pPr>
        <w:spacing w:after="0" w:line="240" w:lineRule="auto"/>
        <w:jc w:val="center"/>
        <w:rPr>
          <w:rFonts w:ascii="Times New Roman" w:hAnsi="Times New Roman"/>
          <w:b/>
          <w:kern w:val="0"/>
          <w:sz w:val="22"/>
          <w:lang w:val="lt-LT"/>
          <w14:ligatures w14:val="none"/>
        </w:rPr>
      </w:pPr>
    </w:p>
    <w:p w14:paraId="1792822C" w14:textId="77777777" w:rsidR="00323207" w:rsidRPr="00F931D9" w:rsidRDefault="00323207" w:rsidP="00323207">
      <w:pPr>
        <w:spacing w:after="0" w:line="240" w:lineRule="auto"/>
        <w:jc w:val="center"/>
        <w:rPr>
          <w:rFonts w:ascii="Times New Roman" w:hAnsi="Times New Roman"/>
          <w:b/>
          <w:kern w:val="0"/>
          <w:sz w:val="22"/>
          <w:lang w:val="lt-LT"/>
          <w14:ligatures w14:val="none"/>
        </w:rPr>
      </w:pPr>
    </w:p>
    <w:p w14:paraId="6A98980A" w14:textId="77777777" w:rsidR="00323207" w:rsidRPr="00F931D9" w:rsidRDefault="00323207" w:rsidP="00323207">
      <w:pPr>
        <w:spacing w:after="0" w:line="240" w:lineRule="auto"/>
        <w:jc w:val="center"/>
        <w:rPr>
          <w:rFonts w:ascii="Times New Roman" w:hAnsi="Times New Roman"/>
          <w:b/>
          <w:kern w:val="0"/>
          <w:sz w:val="22"/>
          <w:lang w:val="lt-LT"/>
          <w14:ligatures w14:val="none"/>
        </w:rPr>
      </w:pPr>
    </w:p>
    <w:p w14:paraId="7B0DB177" w14:textId="77777777" w:rsidR="00323207" w:rsidRPr="00F931D9" w:rsidRDefault="00323207" w:rsidP="00323207">
      <w:pPr>
        <w:spacing w:after="0" w:line="240" w:lineRule="auto"/>
        <w:jc w:val="center"/>
        <w:rPr>
          <w:rFonts w:ascii="Times New Roman" w:hAnsi="Times New Roman"/>
          <w:b/>
          <w:kern w:val="0"/>
          <w:sz w:val="22"/>
          <w:lang w:val="lt-LT"/>
          <w14:ligatures w14:val="none"/>
        </w:rPr>
      </w:pPr>
    </w:p>
    <w:p w14:paraId="575E0968" w14:textId="77777777" w:rsidR="00323207" w:rsidRPr="00F931D9" w:rsidRDefault="00323207" w:rsidP="00323207">
      <w:pPr>
        <w:spacing w:after="0" w:line="240" w:lineRule="auto"/>
        <w:jc w:val="center"/>
        <w:rPr>
          <w:rFonts w:ascii="Times New Roman" w:hAnsi="Times New Roman"/>
          <w:b/>
          <w:kern w:val="0"/>
          <w:sz w:val="22"/>
          <w:lang w:val="lt-LT"/>
          <w14:ligatures w14:val="none"/>
        </w:rPr>
      </w:pPr>
    </w:p>
    <w:p w14:paraId="4D9BB944" w14:textId="77777777" w:rsidR="00323207" w:rsidRPr="00F931D9" w:rsidRDefault="00323207" w:rsidP="00323207">
      <w:pPr>
        <w:spacing w:after="0" w:line="240" w:lineRule="auto"/>
        <w:jc w:val="center"/>
        <w:rPr>
          <w:rFonts w:ascii="Times New Roman" w:hAnsi="Times New Roman"/>
          <w:b/>
          <w:kern w:val="0"/>
          <w:sz w:val="22"/>
          <w:lang w:val="lt-LT"/>
          <w14:ligatures w14:val="none"/>
        </w:rPr>
      </w:pPr>
    </w:p>
    <w:p w14:paraId="6A1F416A" w14:textId="77777777" w:rsidR="00323207" w:rsidRPr="00F931D9" w:rsidRDefault="00323207" w:rsidP="00323207">
      <w:pPr>
        <w:spacing w:after="0" w:line="240" w:lineRule="auto"/>
        <w:jc w:val="center"/>
        <w:rPr>
          <w:rFonts w:ascii="Times New Roman" w:hAnsi="Times New Roman"/>
          <w:b/>
          <w:kern w:val="0"/>
          <w:sz w:val="22"/>
          <w:lang w:val="lt-LT"/>
          <w14:ligatures w14:val="none"/>
        </w:rPr>
      </w:pPr>
    </w:p>
    <w:p w14:paraId="4C1D65EF" w14:textId="77777777" w:rsidR="00323207" w:rsidRPr="00F931D9" w:rsidRDefault="00323207" w:rsidP="00323207">
      <w:pPr>
        <w:spacing w:after="0" w:line="240" w:lineRule="auto"/>
        <w:jc w:val="center"/>
        <w:rPr>
          <w:rFonts w:ascii="Times New Roman" w:hAnsi="Times New Roman"/>
          <w:b/>
          <w:kern w:val="0"/>
          <w:sz w:val="22"/>
          <w:lang w:val="lt-LT"/>
          <w14:ligatures w14:val="none"/>
        </w:rPr>
      </w:pPr>
    </w:p>
    <w:p w14:paraId="1EDC6748" w14:textId="77777777" w:rsidR="00323207" w:rsidRPr="00F931D9" w:rsidRDefault="00323207" w:rsidP="00323207">
      <w:pPr>
        <w:spacing w:after="0" w:line="240" w:lineRule="auto"/>
        <w:jc w:val="center"/>
        <w:rPr>
          <w:rFonts w:ascii="Times New Roman" w:hAnsi="Times New Roman"/>
          <w:b/>
          <w:kern w:val="0"/>
          <w:sz w:val="22"/>
          <w:lang w:val="lt-LT"/>
          <w14:ligatures w14:val="none"/>
        </w:rPr>
      </w:pPr>
    </w:p>
    <w:p w14:paraId="0872E663" w14:textId="77777777" w:rsidR="00323207" w:rsidRPr="00F931D9" w:rsidRDefault="00323207" w:rsidP="00323207">
      <w:pPr>
        <w:spacing w:after="0" w:line="240" w:lineRule="auto"/>
        <w:jc w:val="center"/>
        <w:rPr>
          <w:rFonts w:ascii="Times New Roman" w:hAnsi="Times New Roman"/>
          <w:b/>
          <w:kern w:val="0"/>
          <w:sz w:val="22"/>
          <w:lang w:val="lt-LT"/>
          <w14:ligatures w14:val="none"/>
        </w:rPr>
      </w:pPr>
    </w:p>
    <w:p w14:paraId="3AFD2467" w14:textId="77777777" w:rsidR="00323207" w:rsidRPr="00F931D9" w:rsidRDefault="00323207" w:rsidP="00323207">
      <w:pPr>
        <w:spacing w:after="0" w:line="240" w:lineRule="auto"/>
        <w:jc w:val="center"/>
        <w:rPr>
          <w:rFonts w:ascii="Times New Roman" w:hAnsi="Times New Roman"/>
          <w:b/>
          <w:kern w:val="0"/>
          <w:sz w:val="22"/>
          <w:lang w:val="lt-LT"/>
          <w14:ligatures w14:val="none"/>
        </w:rPr>
      </w:pPr>
    </w:p>
    <w:p w14:paraId="1C6A655A" w14:textId="77777777" w:rsidR="00323207" w:rsidRPr="00F931D9" w:rsidRDefault="00323207" w:rsidP="00323207">
      <w:pPr>
        <w:spacing w:after="0" w:line="240" w:lineRule="auto"/>
        <w:jc w:val="center"/>
        <w:rPr>
          <w:rFonts w:ascii="Times New Roman" w:hAnsi="Times New Roman"/>
          <w:b/>
          <w:kern w:val="0"/>
          <w:sz w:val="22"/>
          <w:lang w:val="lt-LT"/>
          <w14:ligatures w14:val="none"/>
        </w:rPr>
      </w:pPr>
    </w:p>
    <w:p w14:paraId="38BEF0AF" w14:textId="77777777" w:rsidR="00323207" w:rsidRPr="00F931D9" w:rsidRDefault="00323207" w:rsidP="00323207">
      <w:pPr>
        <w:spacing w:after="0" w:line="240" w:lineRule="auto"/>
        <w:jc w:val="center"/>
        <w:rPr>
          <w:rFonts w:ascii="Times New Roman" w:hAnsi="Times New Roman"/>
          <w:b/>
          <w:kern w:val="0"/>
          <w:sz w:val="22"/>
          <w:lang w:val="lt-LT"/>
          <w14:ligatures w14:val="none"/>
        </w:rPr>
      </w:pPr>
    </w:p>
    <w:p w14:paraId="10242BE4" w14:textId="77777777" w:rsidR="00323207" w:rsidRPr="00F931D9" w:rsidRDefault="00323207" w:rsidP="00323207">
      <w:pPr>
        <w:spacing w:after="0" w:line="240" w:lineRule="auto"/>
        <w:jc w:val="center"/>
        <w:rPr>
          <w:rFonts w:ascii="Times New Roman" w:hAnsi="Times New Roman"/>
          <w:b/>
          <w:kern w:val="0"/>
          <w:sz w:val="22"/>
          <w:lang w:val="lt-LT"/>
          <w14:ligatures w14:val="none"/>
        </w:rPr>
      </w:pPr>
    </w:p>
    <w:p w14:paraId="56B473C9" w14:textId="77777777" w:rsidR="00323207" w:rsidRPr="00F931D9" w:rsidRDefault="00323207" w:rsidP="00323207">
      <w:pPr>
        <w:spacing w:after="0" w:line="240" w:lineRule="auto"/>
        <w:jc w:val="center"/>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II PRIEDAS</w:t>
      </w:r>
    </w:p>
    <w:p w14:paraId="63CADB6E" w14:textId="77777777" w:rsidR="00323207" w:rsidRPr="00F931D9" w:rsidRDefault="00323207" w:rsidP="00323207">
      <w:pPr>
        <w:spacing w:after="0" w:line="240" w:lineRule="auto"/>
        <w:ind w:left="1701" w:right="1416" w:hanging="567"/>
        <w:rPr>
          <w:rFonts w:ascii="Times New Roman" w:hAnsi="Times New Roman"/>
          <w:kern w:val="0"/>
          <w:sz w:val="22"/>
          <w:lang w:val="lt-LT"/>
          <w14:ligatures w14:val="none"/>
        </w:rPr>
      </w:pPr>
    </w:p>
    <w:p w14:paraId="7850FD00" w14:textId="77777777" w:rsidR="00323207" w:rsidRPr="00F931D9" w:rsidRDefault="00323207" w:rsidP="00323207">
      <w:pPr>
        <w:spacing w:after="0" w:line="240" w:lineRule="auto"/>
        <w:jc w:val="center"/>
        <w:rPr>
          <w:rFonts w:ascii="Times New Roman" w:hAnsi="Times New Roman"/>
          <w:i/>
          <w:kern w:val="0"/>
          <w:sz w:val="22"/>
          <w:lang w:val="lt-LT"/>
          <w14:ligatures w14:val="none"/>
        </w:rPr>
      </w:pPr>
      <w:r w:rsidRPr="00F931D9">
        <w:rPr>
          <w:rFonts w:ascii="Times New Roman" w:hAnsi="Times New Roman"/>
          <w:b/>
          <w:kern w:val="0"/>
          <w:sz w:val="22"/>
          <w:lang w:val="lt-LT"/>
          <w14:ligatures w14:val="none"/>
        </w:rPr>
        <w:t>REGISTRACIJOS SĄLYGOS</w:t>
      </w:r>
    </w:p>
    <w:p w14:paraId="5606D45F" w14:textId="77777777" w:rsidR="00323207" w:rsidRPr="00F931D9" w:rsidRDefault="00323207" w:rsidP="00323207">
      <w:pPr>
        <w:spacing w:after="0" w:line="240" w:lineRule="auto"/>
        <w:rPr>
          <w:rFonts w:ascii="Times New Roman" w:hAnsi="Times New Roman"/>
          <w:kern w:val="0"/>
          <w:sz w:val="22"/>
          <w:lang w:val="lt-LT"/>
          <w14:ligatures w14:val="none"/>
        </w:rPr>
      </w:pPr>
    </w:p>
    <w:p w14:paraId="5F0E2597" w14:textId="77777777" w:rsidR="00323207" w:rsidRPr="00F931D9" w:rsidRDefault="00323207" w:rsidP="00323207">
      <w:pPr>
        <w:tabs>
          <w:tab w:val="left" w:pos="1701"/>
        </w:tabs>
        <w:spacing w:after="0" w:line="240" w:lineRule="auto"/>
        <w:ind w:left="1701" w:right="567" w:hanging="567"/>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A.</w:t>
      </w:r>
      <w:r w:rsidRPr="00F931D9">
        <w:rPr>
          <w:rFonts w:ascii="Times New Roman" w:hAnsi="Times New Roman"/>
          <w:b/>
          <w:kern w:val="0"/>
          <w:sz w:val="22"/>
          <w:lang w:val="lt-LT"/>
          <w14:ligatures w14:val="none"/>
        </w:rPr>
        <w:tab/>
        <w:t>GAMINTOJAS, ATSAKINGAS UŽ SERIJŲ IŠLEIDIMĄ</w:t>
      </w:r>
    </w:p>
    <w:p w14:paraId="3CC4ECF8" w14:textId="77777777" w:rsidR="00323207" w:rsidRPr="00F931D9" w:rsidRDefault="00323207" w:rsidP="00323207">
      <w:pPr>
        <w:tabs>
          <w:tab w:val="left" w:pos="1701"/>
        </w:tabs>
        <w:spacing w:after="0" w:line="240" w:lineRule="auto"/>
        <w:ind w:left="567" w:right="567" w:hanging="567"/>
        <w:rPr>
          <w:rFonts w:ascii="Times New Roman" w:hAnsi="Times New Roman"/>
          <w:kern w:val="0"/>
          <w:sz w:val="22"/>
          <w:lang w:val="lt-LT"/>
          <w14:ligatures w14:val="none"/>
        </w:rPr>
      </w:pPr>
    </w:p>
    <w:p w14:paraId="69C3BB23" w14:textId="77777777" w:rsidR="00323207" w:rsidRPr="00F931D9" w:rsidRDefault="00323207" w:rsidP="00323207">
      <w:pPr>
        <w:tabs>
          <w:tab w:val="left" w:pos="1701"/>
        </w:tabs>
        <w:spacing w:after="0" w:line="240" w:lineRule="auto"/>
        <w:ind w:left="1701" w:right="567" w:hanging="567"/>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B.</w:t>
      </w:r>
      <w:r w:rsidRPr="00F931D9">
        <w:rPr>
          <w:rFonts w:ascii="Times New Roman" w:hAnsi="Times New Roman"/>
          <w:b/>
          <w:kern w:val="0"/>
          <w:sz w:val="22"/>
          <w:lang w:val="lt-LT"/>
          <w14:ligatures w14:val="none"/>
        </w:rPr>
        <w:tab/>
        <w:t>TIEKIMO IR VARTOJIMO SĄLYGOS AR APRIBOJIMAI</w:t>
      </w:r>
    </w:p>
    <w:p w14:paraId="14EF0DC7" w14:textId="77777777" w:rsidR="00323207" w:rsidRPr="00F931D9" w:rsidRDefault="00323207" w:rsidP="00323207">
      <w:pPr>
        <w:spacing w:after="0" w:line="240" w:lineRule="auto"/>
        <w:ind w:left="567" w:hanging="567"/>
        <w:jc w:val="center"/>
        <w:rPr>
          <w:rFonts w:ascii="Times New Roman" w:hAnsi="Times New Roman"/>
          <w:kern w:val="0"/>
          <w:sz w:val="22"/>
          <w:highlight w:val="yellow"/>
          <w:lang w:val="lt-LT"/>
          <w14:ligatures w14:val="none"/>
        </w:rPr>
      </w:pPr>
    </w:p>
    <w:p w14:paraId="31F03986" w14:textId="77777777" w:rsidR="00323207" w:rsidRPr="00F931D9" w:rsidRDefault="00323207" w:rsidP="00323207">
      <w:pPr>
        <w:spacing w:after="0" w:line="240" w:lineRule="auto"/>
        <w:rPr>
          <w:rFonts w:ascii="Times New Roman" w:hAnsi="Times New Roman"/>
          <w:kern w:val="0"/>
          <w:sz w:val="22"/>
          <w:lang w:val="lt-LT"/>
          <w14:ligatures w14:val="none"/>
        </w:rPr>
      </w:pPr>
    </w:p>
    <w:p w14:paraId="67DBA64A" w14:textId="77777777" w:rsidR="00323207" w:rsidRPr="00F931D9" w:rsidRDefault="00323207" w:rsidP="00323207">
      <w:pPr>
        <w:spacing w:after="0" w:line="240" w:lineRule="auto"/>
        <w:rPr>
          <w:rFonts w:ascii="Times New Roman" w:hAnsi="Times New Roman"/>
          <w:kern w:val="0"/>
          <w:sz w:val="22"/>
          <w:lang w:val="lt-LT"/>
          <w14:ligatures w14:val="none"/>
        </w:rPr>
      </w:pPr>
    </w:p>
    <w:p w14:paraId="70875233" w14:textId="77777777" w:rsidR="00323207" w:rsidRPr="00F931D9" w:rsidRDefault="00323207" w:rsidP="00323207">
      <w:pPr>
        <w:spacing w:after="0" w:line="240" w:lineRule="auto"/>
        <w:rPr>
          <w:rFonts w:ascii="Times New Roman" w:hAnsi="Times New Roman"/>
          <w:kern w:val="0"/>
          <w:sz w:val="22"/>
          <w:lang w:val="lt-LT"/>
          <w14:ligatures w14:val="none"/>
        </w:rPr>
      </w:pPr>
    </w:p>
    <w:p w14:paraId="12696F42" w14:textId="77777777" w:rsidR="00323207" w:rsidRPr="00F931D9" w:rsidRDefault="00323207" w:rsidP="00323207">
      <w:pPr>
        <w:spacing w:after="0" w:line="240" w:lineRule="auto"/>
        <w:rPr>
          <w:rFonts w:ascii="Times New Roman" w:hAnsi="Times New Roman"/>
          <w:kern w:val="0"/>
          <w:sz w:val="22"/>
          <w:lang w:val="lt-LT"/>
          <w14:ligatures w14:val="none"/>
        </w:rPr>
      </w:pPr>
    </w:p>
    <w:p w14:paraId="71DDECD9" w14:textId="77777777" w:rsidR="00323207" w:rsidRPr="00F931D9" w:rsidRDefault="00323207" w:rsidP="00323207">
      <w:pPr>
        <w:spacing w:after="0" w:line="240" w:lineRule="auto"/>
        <w:rPr>
          <w:rFonts w:ascii="Times New Roman" w:hAnsi="Times New Roman"/>
          <w:kern w:val="0"/>
          <w:sz w:val="22"/>
          <w:lang w:val="lt-LT"/>
          <w14:ligatures w14:val="none"/>
        </w:rPr>
      </w:pPr>
    </w:p>
    <w:p w14:paraId="69D431AC" w14:textId="77777777" w:rsidR="00323207" w:rsidRPr="00F931D9" w:rsidRDefault="00323207" w:rsidP="00323207">
      <w:pPr>
        <w:spacing w:after="0" w:line="240" w:lineRule="auto"/>
        <w:rPr>
          <w:rFonts w:ascii="Times New Roman" w:hAnsi="Times New Roman"/>
          <w:kern w:val="0"/>
          <w:sz w:val="22"/>
          <w:lang w:val="lt-LT"/>
          <w14:ligatures w14:val="none"/>
        </w:rPr>
      </w:pPr>
    </w:p>
    <w:p w14:paraId="0C82829B" w14:textId="77777777" w:rsidR="00323207" w:rsidRPr="00F931D9" w:rsidRDefault="00323207" w:rsidP="00323207">
      <w:pPr>
        <w:spacing w:after="0" w:line="240" w:lineRule="auto"/>
        <w:rPr>
          <w:rFonts w:ascii="Times New Roman" w:hAnsi="Times New Roman"/>
          <w:kern w:val="0"/>
          <w:sz w:val="22"/>
          <w:lang w:val="lt-LT"/>
          <w14:ligatures w14:val="none"/>
        </w:rPr>
      </w:pPr>
    </w:p>
    <w:p w14:paraId="05D93619" w14:textId="77777777" w:rsidR="00323207" w:rsidRPr="00F931D9" w:rsidRDefault="00323207" w:rsidP="00323207">
      <w:pPr>
        <w:spacing w:after="0" w:line="240" w:lineRule="auto"/>
        <w:rPr>
          <w:rFonts w:ascii="Times New Roman" w:hAnsi="Times New Roman"/>
          <w:kern w:val="0"/>
          <w:sz w:val="22"/>
          <w:lang w:val="lt-LT"/>
          <w14:ligatures w14:val="none"/>
        </w:rPr>
      </w:pPr>
    </w:p>
    <w:p w14:paraId="78FD22FD" w14:textId="77777777" w:rsidR="00323207" w:rsidRPr="00F931D9" w:rsidRDefault="00323207" w:rsidP="00323207">
      <w:pPr>
        <w:spacing w:after="0" w:line="240" w:lineRule="auto"/>
        <w:rPr>
          <w:rFonts w:ascii="Times New Roman" w:hAnsi="Times New Roman"/>
          <w:kern w:val="0"/>
          <w:sz w:val="22"/>
          <w:lang w:val="lt-LT"/>
          <w14:ligatures w14:val="none"/>
        </w:rPr>
      </w:pPr>
    </w:p>
    <w:p w14:paraId="22342FCF" w14:textId="77777777" w:rsidR="00323207" w:rsidRPr="00F931D9" w:rsidRDefault="00323207" w:rsidP="00323207">
      <w:pPr>
        <w:spacing w:after="0" w:line="240" w:lineRule="auto"/>
        <w:rPr>
          <w:rFonts w:ascii="Times New Roman" w:hAnsi="Times New Roman"/>
          <w:kern w:val="0"/>
          <w:sz w:val="22"/>
          <w:lang w:val="lt-LT"/>
          <w14:ligatures w14:val="none"/>
        </w:rPr>
      </w:pPr>
    </w:p>
    <w:p w14:paraId="471AE141" w14:textId="77777777" w:rsidR="00323207" w:rsidRPr="00F931D9" w:rsidRDefault="00323207" w:rsidP="00323207">
      <w:pPr>
        <w:spacing w:after="0" w:line="240" w:lineRule="auto"/>
        <w:rPr>
          <w:rFonts w:ascii="Times New Roman" w:hAnsi="Times New Roman"/>
          <w:kern w:val="0"/>
          <w:sz w:val="22"/>
          <w:lang w:val="lt-LT"/>
          <w14:ligatures w14:val="none"/>
        </w:rPr>
      </w:pPr>
    </w:p>
    <w:p w14:paraId="6D405845" w14:textId="77777777" w:rsidR="00323207" w:rsidRPr="00F931D9" w:rsidRDefault="00323207" w:rsidP="00323207">
      <w:pPr>
        <w:spacing w:after="0" w:line="240" w:lineRule="auto"/>
        <w:rPr>
          <w:rFonts w:ascii="Times New Roman" w:hAnsi="Times New Roman"/>
          <w:kern w:val="0"/>
          <w:sz w:val="22"/>
          <w:lang w:val="lt-LT"/>
          <w14:ligatures w14:val="none"/>
        </w:rPr>
      </w:pPr>
    </w:p>
    <w:p w14:paraId="58875137" w14:textId="77777777" w:rsidR="00323207" w:rsidRPr="00F931D9" w:rsidRDefault="00323207" w:rsidP="00323207">
      <w:pPr>
        <w:spacing w:after="0" w:line="240" w:lineRule="auto"/>
        <w:rPr>
          <w:rFonts w:ascii="Times New Roman" w:hAnsi="Times New Roman"/>
          <w:kern w:val="0"/>
          <w:sz w:val="22"/>
          <w:lang w:val="lt-LT"/>
          <w14:ligatures w14:val="none"/>
        </w:rPr>
      </w:pPr>
    </w:p>
    <w:p w14:paraId="5A439873" w14:textId="77777777" w:rsidR="00323207" w:rsidRPr="00F931D9" w:rsidRDefault="00323207" w:rsidP="00323207">
      <w:pPr>
        <w:spacing w:after="0" w:line="240" w:lineRule="auto"/>
        <w:rPr>
          <w:rFonts w:ascii="Times New Roman" w:hAnsi="Times New Roman"/>
          <w:kern w:val="0"/>
          <w:sz w:val="22"/>
          <w:lang w:val="lt-LT"/>
          <w14:ligatures w14:val="none"/>
        </w:rPr>
      </w:pPr>
    </w:p>
    <w:p w14:paraId="6E3C5C13" w14:textId="77777777" w:rsidR="00323207" w:rsidRPr="00F931D9" w:rsidRDefault="00323207" w:rsidP="00323207">
      <w:pPr>
        <w:spacing w:after="0" w:line="240" w:lineRule="auto"/>
        <w:rPr>
          <w:rFonts w:ascii="Times New Roman" w:hAnsi="Times New Roman"/>
          <w:kern w:val="0"/>
          <w:sz w:val="22"/>
          <w:lang w:val="lt-LT"/>
          <w14:ligatures w14:val="none"/>
        </w:rPr>
      </w:pPr>
    </w:p>
    <w:p w14:paraId="1CA53F1D" w14:textId="77777777" w:rsidR="00323207" w:rsidRPr="00F931D9" w:rsidRDefault="00323207" w:rsidP="00323207">
      <w:pPr>
        <w:spacing w:after="0" w:line="240" w:lineRule="auto"/>
        <w:rPr>
          <w:rFonts w:ascii="Times New Roman" w:hAnsi="Times New Roman"/>
          <w:kern w:val="0"/>
          <w:sz w:val="22"/>
          <w:lang w:val="lt-LT"/>
          <w14:ligatures w14:val="none"/>
        </w:rPr>
      </w:pPr>
    </w:p>
    <w:p w14:paraId="0A72F8E8" w14:textId="77777777" w:rsidR="00323207" w:rsidRPr="00F931D9" w:rsidRDefault="00323207" w:rsidP="00323207">
      <w:pPr>
        <w:spacing w:after="0" w:line="240" w:lineRule="auto"/>
        <w:rPr>
          <w:rFonts w:ascii="Times New Roman" w:hAnsi="Times New Roman"/>
          <w:kern w:val="0"/>
          <w:sz w:val="22"/>
          <w:lang w:val="lt-LT"/>
          <w14:ligatures w14:val="none"/>
        </w:rPr>
      </w:pPr>
    </w:p>
    <w:p w14:paraId="77C386B0" w14:textId="77777777" w:rsidR="00323207" w:rsidRPr="00F931D9" w:rsidRDefault="00323207" w:rsidP="00323207">
      <w:pPr>
        <w:spacing w:after="0" w:line="240" w:lineRule="auto"/>
        <w:rPr>
          <w:rFonts w:ascii="Times New Roman" w:hAnsi="Times New Roman"/>
          <w:b/>
          <w:kern w:val="0"/>
          <w:sz w:val="22"/>
          <w:lang w:val="lt-LT"/>
          <w14:ligatures w14:val="none"/>
        </w:rPr>
      </w:pPr>
    </w:p>
    <w:p w14:paraId="231306CD" w14:textId="77777777" w:rsidR="00323207" w:rsidRPr="00F931D9" w:rsidRDefault="00323207" w:rsidP="00323207">
      <w:pPr>
        <w:spacing w:after="0" w:line="240" w:lineRule="auto"/>
        <w:rPr>
          <w:rFonts w:ascii="Times New Roman" w:hAnsi="Times New Roman"/>
          <w:b/>
          <w:kern w:val="0"/>
          <w:sz w:val="22"/>
          <w:lang w:val="lt-LT"/>
          <w14:ligatures w14:val="none"/>
        </w:rPr>
      </w:pPr>
    </w:p>
    <w:p w14:paraId="2BF89980" w14:textId="77777777" w:rsidR="00323207" w:rsidRPr="00F931D9" w:rsidRDefault="00323207" w:rsidP="00323207">
      <w:pPr>
        <w:spacing w:after="0" w:line="240" w:lineRule="auto"/>
        <w:rPr>
          <w:rFonts w:ascii="Times New Roman" w:hAnsi="Times New Roman"/>
          <w:b/>
          <w:kern w:val="0"/>
          <w:sz w:val="22"/>
          <w:lang w:val="lt-LT"/>
          <w14:ligatures w14:val="none"/>
        </w:rPr>
      </w:pPr>
    </w:p>
    <w:p w14:paraId="7B2591B9" w14:textId="77777777" w:rsidR="00323207" w:rsidRPr="00F931D9" w:rsidRDefault="00323207" w:rsidP="00323207">
      <w:pPr>
        <w:spacing w:after="0" w:line="240" w:lineRule="auto"/>
        <w:rPr>
          <w:rFonts w:ascii="Times New Roman" w:hAnsi="Times New Roman"/>
          <w:b/>
          <w:kern w:val="0"/>
          <w:sz w:val="22"/>
          <w:lang w:val="lt-LT"/>
          <w14:ligatures w14:val="none"/>
        </w:rPr>
      </w:pPr>
    </w:p>
    <w:p w14:paraId="6B545852" w14:textId="77777777" w:rsidR="00323207" w:rsidRPr="00F931D9" w:rsidRDefault="00323207" w:rsidP="00323207">
      <w:pPr>
        <w:spacing w:after="0" w:line="240" w:lineRule="auto"/>
        <w:rPr>
          <w:rFonts w:ascii="Times New Roman" w:hAnsi="Times New Roman"/>
          <w:b/>
          <w:kern w:val="0"/>
          <w:sz w:val="22"/>
          <w:lang w:val="lt-LT"/>
          <w14:ligatures w14:val="none"/>
        </w:rPr>
      </w:pPr>
    </w:p>
    <w:p w14:paraId="1DCD3435" w14:textId="77777777" w:rsidR="00323207" w:rsidRPr="00F931D9" w:rsidRDefault="00323207" w:rsidP="00323207">
      <w:pPr>
        <w:spacing w:after="0" w:line="240" w:lineRule="auto"/>
        <w:rPr>
          <w:rFonts w:ascii="Times New Roman" w:hAnsi="Times New Roman"/>
          <w:b/>
          <w:kern w:val="0"/>
          <w:sz w:val="22"/>
          <w:lang w:val="lt-LT"/>
          <w14:ligatures w14:val="none"/>
        </w:rPr>
      </w:pPr>
    </w:p>
    <w:p w14:paraId="645896D0" w14:textId="77777777" w:rsidR="00323207" w:rsidRPr="00F931D9" w:rsidRDefault="00323207" w:rsidP="00323207">
      <w:pPr>
        <w:spacing w:after="0" w:line="240" w:lineRule="auto"/>
        <w:rPr>
          <w:rFonts w:ascii="Times New Roman" w:hAnsi="Times New Roman"/>
          <w:b/>
          <w:kern w:val="0"/>
          <w:sz w:val="22"/>
          <w:lang w:val="lt-LT"/>
          <w14:ligatures w14:val="none"/>
        </w:rPr>
      </w:pPr>
    </w:p>
    <w:p w14:paraId="359EA74B" w14:textId="77777777" w:rsidR="00323207" w:rsidRPr="00F931D9" w:rsidRDefault="00323207" w:rsidP="00323207">
      <w:pPr>
        <w:spacing w:after="0" w:line="240" w:lineRule="auto"/>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br w:type="page"/>
      </w:r>
    </w:p>
    <w:p w14:paraId="2284BA25" w14:textId="77777777" w:rsidR="00323207" w:rsidRPr="00F931D9" w:rsidRDefault="00323207" w:rsidP="00323207">
      <w:pPr>
        <w:spacing w:after="0" w:line="240" w:lineRule="auto"/>
        <w:ind w:left="567" w:hanging="567"/>
        <w:rPr>
          <w:rFonts w:ascii="Times New Roman" w:hAnsi="Times New Roman"/>
          <w:kern w:val="0"/>
          <w:sz w:val="22"/>
          <w:lang w:val="lt-LT"/>
          <w14:ligatures w14:val="none"/>
        </w:rPr>
      </w:pPr>
      <w:r w:rsidRPr="00F931D9">
        <w:rPr>
          <w:rFonts w:ascii="Times New Roman" w:hAnsi="Times New Roman"/>
          <w:b/>
          <w:kern w:val="0"/>
          <w:sz w:val="22"/>
          <w:lang w:val="lt-LT"/>
          <w14:ligatures w14:val="none"/>
        </w:rPr>
        <w:lastRenderedPageBreak/>
        <w:t>A.</w:t>
      </w:r>
      <w:r w:rsidRPr="00F931D9">
        <w:rPr>
          <w:rFonts w:ascii="Times New Roman" w:hAnsi="Times New Roman"/>
          <w:b/>
          <w:kern w:val="0"/>
          <w:sz w:val="22"/>
          <w:lang w:val="lt-LT"/>
          <w14:ligatures w14:val="none"/>
        </w:rPr>
        <w:tab/>
        <w:t>GAMINTOJAS, ATSAKINGAS UŽ SERIJŲ IŠLEIDIMĄ</w:t>
      </w:r>
    </w:p>
    <w:p w14:paraId="58E5E55F" w14:textId="77777777" w:rsidR="00323207" w:rsidRPr="00F931D9" w:rsidRDefault="00323207" w:rsidP="00323207">
      <w:pPr>
        <w:spacing w:after="0" w:line="240" w:lineRule="auto"/>
        <w:rPr>
          <w:rFonts w:ascii="Times New Roman" w:hAnsi="Times New Roman"/>
          <w:kern w:val="0"/>
          <w:sz w:val="22"/>
          <w:highlight w:val="yellow"/>
          <w:lang w:val="lt-LT"/>
          <w14:ligatures w14:val="none"/>
        </w:rPr>
      </w:pPr>
    </w:p>
    <w:p w14:paraId="069D55BE" w14:textId="77777777" w:rsidR="00323207" w:rsidRPr="00F931D9" w:rsidRDefault="00323207" w:rsidP="00323207">
      <w:pPr>
        <w:spacing w:after="0" w:line="240" w:lineRule="auto"/>
        <w:jc w:val="both"/>
        <w:rPr>
          <w:rFonts w:ascii="Times New Roman" w:hAnsi="Times New Roman"/>
          <w:kern w:val="0"/>
          <w:sz w:val="22"/>
          <w:lang w:val="lt-LT"/>
          <w14:ligatures w14:val="none"/>
        </w:rPr>
      </w:pPr>
      <w:r w:rsidRPr="00F931D9">
        <w:rPr>
          <w:rFonts w:ascii="Times New Roman" w:hAnsi="Times New Roman"/>
          <w:kern w:val="0"/>
          <w:sz w:val="22"/>
          <w:u w:val="single"/>
          <w:lang w:val="lt-LT"/>
          <w14:ligatures w14:val="none"/>
        </w:rPr>
        <w:t>Gamintojo, atsakingo už serijų išleidimą, pavadinimas ir adresas</w:t>
      </w:r>
    </w:p>
    <w:p w14:paraId="5CEF0089" w14:textId="77777777" w:rsidR="00323207" w:rsidRPr="00F931D9" w:rsidRDefault="00323207" w:rsidP="00323207">
      <w:pPr>
        <w:spacing w:after="0" w:line="240" w:lineRule="auto"/>
        <w:rPr>
          <w:rFonts w:ascii="Times New Roman" w:hAnsi="Times New Roman"/>
          <w:kern w:val="0"/>
          <w:sz w:val="22"/>
          <w:highlight w:val="yellow"/>
          <w:lang w:val="lt-LT"/>
          <w14:ligatures w14:val="none"/>
        </w:rPr>
      </w:pPr>
    </w:p>
    <w:p w14:paraId="57F46F8B" w14:textId="77777777" w:rsidR="00323207" w:rsidRPr="00F931D9" w:rsidRDefault="00323207" w:rsidP="00323207">
      <w:pPr>
        <w:spacing w:after="0" w:line="240" w:lineRule="auto"/>
        <w:rPr>
          <w:rFonts w:ascii="Times New Roman" w:hAnsi="Times New Roman"/>
          <w:kern w:val="0"/>
          <w:sz w:val="22"/>
          <w14:ligatures w14:val="none"/>
        </w:rPr>
      </w:pPr>
      <w:proofErr w:type="spellStart"/>
      <w:r w:rsidRPr="00F931D9">
        <w:rPr>
          <w:rFonts w:ascii="Times New Roman" w:hAnsi="Times New Roman"/>
          <w:kern w:val="0"/>
          <w:sz w:val="22"/>
          <w:lang w:val="lt-LT"/>
          <w14:ligatures w14:val="none"/>
        </w:rPr>
        <w:t>Lek</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Pharmaceuticals</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d.d</w:t>
      </w:r>
      <w:proofErr w:type="spellEnd"/>
      <w:r w:rsidRPr="00F931D9">
        <w:rPr>
          <w:rFonts w:ascii="Times New Roman" w:hAnsi="Times New Roman"/>
          <w:kern w:val="0"/>
          <w:sz w:val="22"/>
          <w:lang w:val="lt-LT"/>
          <w14:ligatures w14:val="none"/>
        </w:rPr>
        <w:t>.</w:t>
      </w:r>
    </w:p>
    <w:p w14:paraId="5768174A" w14:textId="77777777" w:rsidR="00323207" w:rsidRPr="00F931D9" w:rsidRDefault="00323207" w:rsidP="00323207">
      <w:pPr>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Trimlini</w:t>
      </w:r>
      <w:proofErr w:type="spellEnd"/>
      <w:r w:rsidRPr="00F931D9">
        <w:rPr>
          <w:rFonts w:ascii="Times New Roman" w:hAnsi="Times New Roman"/>
          <w:kern w:val="0"/>
          <w:sz w:val="22"/>
          <w:lang w:val="lt-LT"/>
          <w14:ligatures w14:val="none"/>
        </w:rPr>
        <w:t xml:space="preserve"> 2D</w:t>
      </w:r>
    </w:p>
    <w:p w14:paraId="4F524C05"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9220 </w:t>
      </w:r>
      <w:proofErr w:type="spellStart"/>
      <w:r w:rsidRPr="00F931D9">
        <w:rPr>
          <w:rFonts w:ascii="Times New Roman" w:hAnsi="Times New Roman"/>
          <w:kern w:val="0"/>
          <w:sz w:val="22"/>
          <w:lang w:val="lt-LT"/>
          <w14:ligatures w14:val="none"/>
        </w:rPr>
        <w:t>Lendava</w:t>
      </w:r>
      <w:proofErr w:type="spellEnd"/>
    </w:p>
    <w:p w14:paraId="233B495D" w14:textId="77777777" w:rsidR="00323207" w:rsidRPr="00F931D9" w:rsidRDefault="00323207" w:rsidP="00323207">
      <w:pPr>
        <w:spacing w:after="0" w:line="240" w:lineRule="auto"/>
        <w:rPr>
          <w:rFonts w:ascii="Times New Roman" w:hAnsi="Times New Roman"/>
          <w:kern w:val="0"/>
          <w:sz w:val="22"/>
          <w14:ligatures w14:val="none"/>
        </w:rPr>
      </w:pPr>
      <w:proofErr w:type="spellStart"/>
      <w:r w:rsidRPr="00F931D9">
        <w:rPr>
          <w:rFonts w:ascii="Times New Roman" w:hAnsi="Times New Roman"/>
          <w:kern w:val="0"/>
          <w:sz w:val="22"/>
          <w14:ligatures w14:val="none"/>
        </w:rPr>
        <w:t>Slovėnija</w:t>
      </w:r>
      <w:proofErr w:type="spellEnd"/>
    </w:p>
    <w:p w14:paraId="347A3DB1" w14:textId="77777777" w:rsidR="00323207" w:rsidRPr="00F931D9" w:rsidRDefault="00323207" w:rsidP="00323207">
      <w:pPr>
        <w:spacing w:after="0" w:line="240" w:lineRule="auto"/>
        <w:rPr>
          <w:rFonts w:ascii="Times New Roman" w:hAnsi="Times New Roman"/>
          <w:kern w:val="0"/>
          <w:sz w:val="22"/>
          <w:lang w:val="lt-LT"/>
          <w14:ligatures w14:val="none"/>
        </w:rPr>
      </w:pPr>
    </w:p>
    <w:p w14:paraId="509D7F06"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arba</w:t>
      </w:r>
    </w:p>
    <w:p w14:paraId="451EED35" w14:textId="77777777" w:rsidR="00323207" w:rsidRPr="00F931D9" w:rsidRDefault="00323207" w:rsidP="00323207">
      <w:pPr>
        <w:spacing w:after="0" w:line="240" w:lineRule="auto"/>
        <w:rPr>
          <w:rFonts w:ascii="Times New Roman" w:hAnsi="Times New Roman"/>
          <w:kern w:val="0"/>
          <w:sz w:val="22"/>
          <w:lang w:val="lt-LT"/>
          <w14:ligatures w14:val="none"/>
        </w:rPr>
      </w:pPr>
    </w:p>
    <w:p w14:paraId="72672746" w14:textId="77777777" w:rsidR="00323207" w:rsidRPr="00F931D9" w:rsidRDefault="00323207" w:rsidP="00323207">
      <w:pPr>
        <w:autoSpaceDE w:val="0"/>
        <w:autoSpaceDN w:val="0"/>
        <w:adjustRightInd w:val="0"/>
        <w:spacing w:after="0" w:line="240" w:lineRule="auto"/>
        <w:rPr>
          <w:rFonts w:ascii="Times New Roman" w:hAnsi="Times New Roman"/>
          <w:color w:val="000000"/>
          <w:kern w:val="0"/>
          <w:sz w:val="22"/>
          <w:lang w:val="lt-LT"/>
          <w14:ligatures w14:val="none"/>
        </w:rPr>
      </w:pPr>
      <w:proofErr w:type="spellStart"/>
      <w:r w:rsidRPr="00F931D9">
        <w:rPr>
          <w:rFonts w:ascii="Times New Roman" w:hAnsi="Times New Roman"/>
          <w:color w:val="000000"/>
          <w:kern w:val="0"/>
          <w:sz w:val="22"/>
          <w:lang w:val="lt-LT"/>
          <w14:ligatures w14:val="none"/>
        </w:rPr>
        <w:t>Novartis</w:t>
      </w:r>
      <w:proofErr w:type="spellEnd"/>
      <w:r w:rsidRPr="00F931D9">
        <w:rPr>
          <w:rFonts w:ascii="Times New Roman" w:hAnsi="Times New Roman"/>
          <w:color w:val="000000"/>
          <w:kern w:val="0"/>
          <w:sz w:val="22"/>
          <w:lang w:val="lt-LT"/>
          <w14:ligatures w14:val="none"/>
        </w:rPr>
        <w:t xml:space="preserve"> </w:t>
      </w:r>
      <w:proofErr w:type="spellStart"/>
      <w:r w:rsidRPr="00F931D9">
        <w:rPr>
          <w:rFonts w:ascii="Times New Roman" w:hAnsi="Times New Roman"/>
          <w:color w:val="000000"/>
          <w:kern w:val="0"/>
          <w:sz w:val="22"/>
          <w:lang w:val="lt-LT"/>
          <w14:ligatures w14:val="none"/>
        </w:rPr>
        <w:t>Farmacéutica</w:t>
      </w:r>
      <w:proofErr w:type="spellEnd"/>
      <w:r w:rsidRPr="00F931D9">
        <w:rPr>
          <w:rFonts w:ascii="Times New Roman" w:hAnsi="Times New Roman"/>
          <w:color w:val="000000"/>
          <w:kern w:val="0"/>
          <w:sz w:val="22"/>
          <w:lang w:val="lt-LT"/>
          <w14:ligatures w14:val="none"/>
        </w:rPr>
        <w:t xml:space="preserve"> S.A. </w:t>
      </w:r>
    </w:p>
    <w:p w14:paraId="7A5A9E24" w14:textId="77777777" w:rsidR="00323207" w:rsidRPr="00F931D9" w:rsidRDefault="00323207" w:rsidP="00323207">
      <w:pPr>
        <w:autoSpaceDE w:val="0"/>
        <w:autoSpaceDN w:val="0"/>
        <w:adjustRightInd w:val="0"/>
        <w:spacing w:after="0" w:line="240" w:lineRule="auto"/>
        <w:rPr>
          <w:rFonts w:ascii="Times New Roman" w:hAnsi="Times New Roman"/>
          <w:color w:val="000000"/>
          <w:kern w:val="0"/>
          <w:sz w:val="22"/>
          <w:lang w:val="lt-LT"/>
          <w14:ligatures w14:val="none"/>
        </w:rPr>
      </w:pPr>
      <w:proofErr w:type="spellStart"/>
      <w:r w:rsidRPr="00F931D9">
        <w:rPr>
          <w:rFonts w:ascii="Times New Roman" w:hAnsi="Times New Roman"/>
          <w:color w:val="000000"/>
          <w:kern w:val="0"/>
          <w:sz w:val="22"/>
          <w:lang w:val="lt-LT"/>
          <w14:ligatures w14:val="none"/>
        </w:rPr>
        <w:t>Gran</w:t>
      </w:r>
      <w:proofErr w:type="spellEnd"/>
      <w:r w:rsidRPr="00F931D9">
        <w:rPr>
          <w:rFonts w:ascii="Times New Roman" w:hAnsi="Times New Roman"/>
          <w:color w:val="000000"/>
          <w:kern w:val="0"/>
          <w:sz w:val="22"/>
          <w:lang w:val="lt-LT"/>
          <w14:ligatures w14:val="none"/>
        </w:rPr>
        <w:t xml:space="preserve"> Via de les </w:t>
      </w:r>
      <w:proofErr w:type="spellStart"/>
      <w:r w:rsidRPr="00F931D9">
        <w:rPr>
          <w:rFonts w:ascii="Times New Roman" w:hAnsi="Times New Roman"/>
          <w:color w:val="000000"/>
          <w:kern w:val="0"/>
          <w:sz w:val="22"/>
          <w:lang w:val="lt-LT"/>
          <w14:ligatures w14:val="none"/>
        </w:rPr>
        <w:t>Corts</w:t>
      </w:r>
      <w:proofErr w:type="spellEnd"/>
      <w:r w:rsidRPr="00F931D9">
        <w:rPr>
          <w:rFonts w:ascii="Times New Roman" w:hAnsi="Times New Roman"/>
          <w:color w:val="000000"/>
          <w:kern w:val="0"/>
          <w:sz w:val="22"/>
          <w:lang w:val="lt-LT"/>
          <w14:ligatures w14:val="none"/>
        </w:rPr>
        <w:t xml:space="preserve"> </w:t>
      </w:r>
      <w:proofErr w:type="spellStart"/>
      <w:r w:rsidRPr="00F931D9">
        <w:rPr>
          <w:rFonts w:ascii="Times New Roman" w:hAnsi="Times New Roman"/>
          <w:color w:val="000000"/>
          <w:kern w:val="0"/>
          <w:sz w:val="22"/>
          <w:lang w:val="lt-LT"/>
          <w14:ligatures w14:val="none"/>
        </w:rPr>
        <w:t>Catalanes</w:t>
      </w:r>
      <w:proofErr w:type="spellEnd"/>
      <w:r w:rsidRPr="00F931D9">
        <w:rPr>
          <w:rFonts w:ascii="Times New Roman" w:hAnsi="Times New Roman"/>
          <w:color w:val="000000"/>
          <w:kern w:val="0"/>
          <w:sz w:val="22"/>
          <w:lang w:val="lt-LT"/>
          <w14:ligatures w14:val="none"/>
        </w:rPr>
        <w:t xml:space="preserve"> 764 </w:t>
      </w:r>
    </w:p>
    <w:p w14:paraId="0171B2B5" w14:textId="77777777" w:rsidR="00323207" w:rsidRPr="00F931D9" w:rsidRDefault="00323207" w:rsidP="00323207">
      <w:pPr>
        <w:autoSpaceDE w:val="0"/>
        <w:autoSpaceDN w:val="0"/>
        <w:adjustRightInd w:val="0"/>
        <w:spacing w:after="0" w:line="240" w:lineRule="auto"/>
        <w:rPr>
          <w:rFonts w:ascii="Times New Roman" w:hAnsi="Times New Roman"/>
          <w:color w:val="000000"/>
          <w:kern w:val="0"/>
          <w:sz w:val="22"/>
          <w:lang w:val="lt-LT"/>
          <w14:ligatures w14:val="none"/>
        </w:rPr>
      </w:pPr>
      <w:r w:rsidRPr="00F931D9">
        <w:rPr>
          <w:rFonts w:ascii="Times New Roman" w:hAnsi="Times New Roman"/>
          <w:color w:val="000000"/>
          <w:kern w:val="0"/>
          <w:sz w:val="22"/>
          <w:lang w:val="lt-LT"/>
          <w14:ligatures w14:val="none"/>
        </w:rPr>
        <w:t xml:space="preserve">08013 </w:t>
      </w:r>
      <w:proofErr w:type="spellStart"/>
      <w:r w:rsidRPr="00F931D9">
        <w:rPr>
          <w:rFonts w:ascii="Times New Roman" w:hAnsi="Times New Roman"/>
          <w:color w:val="000000"/>
          <w:kern w:val="0"/>
          <w:sz w:val="22"/>
          <w:lang w:val="lt-LT"/>
          <w14:ligatures w14:val="none"/>
        </w:rPr>
        <w:t>Barcelona</w:t>
      </w:r>
      <w:proofErr w:type="spellEnd"/>
      <w:r w:rsidRPr="00F931D9">
        <w:rPr>
          <w:rFonts w:ascii="Times New Roman" w:hAnsi="Times New Roman"/>
          <w:color w:val="000000"/>
          <w:kern w:val="0"/>
          <w:sz w:val="22"/>
          <w:lang w:val="lt-LT"/>
          <w14:ligatures w14:val="none"/>
        </w:rPr>
        <w:t xml:space="preserve"> </w:t>
      </w:r>
    </w:p>
    <w:p w14:paraId="01E18553" w14:textId="77777777" w:rsidR="00323207" w:rsidRPr="00F931D9" w:rsidRDefault="00323207" w:rsidP="00323207">
      <w:pPr>
        <w:spacing w:after="0" w:line="240" w:lineRule="auto"/>
        <w:rPr>
          <w:rFonts w:ascii="Times New Roman" w:hAnsi="Times New Roman"/>
          <w:color w:val="000000"/>
          <w:kern w:val="0"/>
          <w:sz w:val="22"/>
          <w:lang w:val="lt-LT"/>
          <w14:ligatures w14:val="none"/>
        </w:rPr>
      </w:pPr>
      <w:r w:rsidRPr="00F931D9">
        <w:rPr>
          <w:rFonts w:ascii="Times New Roman" w:hAnsi="Times New Roman"/>
          <w:color w:val="000000"/>
          <w:kern w:val="0"/>
          <w:sz w:val="22"/>
          <w:lang w:val="lt-LT"/>
          <w14:ligatures w14:val="none"/>
        </w:rPr>
        <w:t>Ispanija</w:t>
      </w:r>
    </w:p>
    <w:p w14:paraId="43C48424" w14:textId="77777777" w:rsidR="00323207" w:rsidRPr="00F931D9" w:rsidRDefault="00323207" w:rsidP="00323207">
      <w:pPr>
        <w:spacing w:after="0" w:line="240" w:lineRule="auto"/>
        <w:rPr>
          <w:rFonts w:ascii="Times New Roman" w:hAnsi="Times New Roman"/>
          <w:color w:val="000000"/>
          <w:kern w:val="0"/>
          <w:sz w:val="22"/>
          <w:lang w:val="lt-LT"/>
          <w14:ligatures w14:val="none"/>
        </w:rPr>
      </w:pPr>
    </w:p>
    <w:p w14:paraId="650E26E3" w14:textId="77777777" w:rsidR="00323207" w:rsidRPr="00F931D9" w:rsidRDefault="00323207" w:rsidP="00323207">
      <w:pPr>
        <w:spacing w:after="0" w:line="240" w:lineRule="auto"/>
        <w:rPr>
          <w:rFonts w:ascii="Times New Roman" w:hAnsi="Times New Roman"/>
          <w:color w:val="000000"/>
          <w:kern w:val="0"/>
          <w:sz w:val="22"/>
          <w:lang w:val="lt-LT"/>
          <w14:ligatures w14:val="none"/>
        </w:rPr>
      </w:pPr>
      <w:r w:rsidRPr="00F931D9">
        <w:rPr>
          <w:rFonts w:ascii="Times New Roman" w:hAnsi="Times New Roman"/>
          <w:color w:val="000000"/>
          <w:kern w:val="0"/>
          <w:sz w:val="22"/>
          <w:lang w:val="lt-LT"/>
          <w14:ligatures w14:val="none"/>
        </w:rPr>
        <w:t>arba</w:t>
      </w:r>
    </w:p>
    <w:p w14:paraId="6AF6C0D5" w14:textId="77777777" w:rsidR="00323207" w:rsidRPr="00F931D9" w:rsidRDefault="00323207" w:rsidP="00323207">
      <w:pPr>
        <w:spacing w:after="0" w:line="240" w:lineRule="auto"/>
        <w:rPr>
          <w:rFonts w:ascii="Times New Roman" w:hAnsi="Times New Roman"/>
          <w:color w:val="000000"/>
          <w:kern w:val="0"/>
          <w:sz w:val="22"/>
          <w:lang w:val="lt-LT"/>
          <w14:ligatures w14:val="none"/>
        </w:rPr>
      </w:pPr>
    </w:p>
    <w:p w14:paraId="17509A93" w14:textId="77777777" w:rsidR="00323207" w:rsidRPr="00F931D9" w:rsidRDefault="00323207" w:rsidP="00323207">
      <w:pPr>
        <w:spacing w:after="0" w:line="240" w:lineRule="auto"/>
        <w:rPr>
          <w:rFonts w:ascii="Times New Roman" w:hAnsi="Times New Roman"/>
          <w:kern w:val="0"/>
          <w:sz w:val="22"/>
          <w:lang w:val="es-ES"/>
          <w14:ligatures w14:val="none"/>
        </w:rPr>
      </w:pPr>
      <w:r w:rsidRPr="00F931D9">
        <w:rPr>
          <w:rFonts w:ascii="Times New Roman" w:hAnsi="Times New Roman"/>
          <w:kern w:val="0"/>
          <w:sz w:val="22"/>
          <w:lang w:val="es-ES"/>
          <w14:ligatures w14:val="none"/>
        </w:rPr>
        <w:t>Novartis Pharmaceutical Manufacturing LLC</w:t>
      </w:r>
    </w:p>
    <w:p w14:paraId="0A46C229" w14:textId="77777777" w:rsidR="00323207" w:rsidRPr="00F931D9" w:rsidRDefault="00323207" w:rsidP="00323207">
      <w:pPr>
        <w:spacing w:after="0" w:line="240" w:lineRule="auto"/>
        <w:rPr>
          <w:rFonts w:ascii="Times New Roman" w:hAnsi="Times New Roman"/>
          <w:kern w:val="0"/>
          <w:sz w:val="22"/>
          <w:lang w:val="es-ES"/>
          <w14:ligatures w14:val="none"/>
        </w:rPr>
      </w:pPr>
      <w:r w:rsidRPr="00F931D9">
        <w:rPr>
          <w:rFonts w:ascii="Times New Roman" w:hAnsi="Times New Roman"/>
          <w:kern w:val="0"/>
          <w:sz w:val="22"/>
          <w:lang w:val="es-ES"/>
          <w14:ligatures w14:val="none"/>
        </w:rPr>
        <w:t>Verovskova Ulica 57</w:t>
      </w:r>
    </w:p>
    <w:p w14:paraId="579360AE" w14:textId="77777777" w:rsidR="00323207" w:rsidRPr="00F931D9" w:rsidRDefault="00323207" w:rsidP="00323207">
      <w:pPr>
        <w:spacing w:after="0" w:line="240" w:lineRule="auto"/>
        <w:rPr>
          <w:rFonts w:ascii="Times New Roman" w:hAnsi="Times New Roman"/>
          <w:kern w:val="0"/>
          <w:sz w:val="22"/>
          <w:lang w:val="es-ES"/>
          <w14:ligatures w14:val="none"/>
        </w:rPr>
      </w:pPr>
      <w:r w:rsidRPr="00F931D9">
        <w:rPr>
          <w:rFonts w:ascii="Times New Roman" w:hAnsi="Times New Roman"/>
          <w:kern w:val="0"/>
          <w:sz w:val="22"/>
          <w:lang w:val="es-ES"/>
          <w14:ligatures w14:val="none"/>
        </w:rPr>
        <w:t>Ljubljana, 1000</w:t>
      </w:r>
    </w:p>
    <w:p w14:paraId="4BF0DF7B"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es-ES"/>
          <w14:ligatures w14:val="none"/>
        </w:rPr>
        <w:t>Slov</w:t>
      </w:r>
      <w:proofErr w:type="spellStart"/>
      <w:r w:rsidRPr="00F931D9">
        <w:rPr>
          <w:rFonts w:ascii="Times New Roman" w:hAnsi="Times New Roman"/>
          <w:kern w:val="0"/>
          <w:sz w:val="22"/>
          <w:lang w:val="lt-LT"/>
          <w14:ligatures w14:val="none"/>
        </w:rPr>
        <w:t>ėnija</w:t>
      </w:r>
      <w:proofErr w:type="spellEnd"/>
    </w:p>
    <w:p w14:paraId="72BA5D94" w14:textId="77777777" w:rsidR="00323207" w:rsidRPr="00F931D9" w:rsidRDefault="00323207" w:rsidP="00323207">
      <w:pPr>
        <w:spacing w:after="0" w:line="240" w:lineRule="auto"/>
        <w:rPr>
          <w:rFonts w:ascii="Times New Roman" w:hAnsi="Times New Roman"/>
          <w:kern w:val="0"/>
          <w:sz w:val="22"/>
          <w:lang w:val="es-ES"/>
          <w14:ligatures w14:val="none"/>
        </w:rPr>
      </w:pPr>
    </w:p>
    <w:p w14:paraId="72A4E62E" w14:textId="77777777" w:rsidR="00323207" w:rsidRPr="00F931D9" w:rsidRDefault="00323207" w:rsidP="00323207">
      <w:pPr>
        <w:spacing w:after="0" w:line="240" w:lineRule="auto"/>
        <w:rPr>
          <w:rFonts w:ascii="Times New Roman" w:hAnsi="Times New Roman"/>
          <w:kern w:val="0"/>
          <w:sz w:val="22"/>
          <w:highlight w:val="yellow"/>
          <w:lang w:val="es-ES"/>
          <w14:ligatures w14:val="none"/>
        </w:rPr>
      </w:pPr>
    </w:p>
    <w:p w14:paraId="3B1F76CF" w14:textId="77777777" w:rsidR="00323207" w:rsidRPr="00F931D9" w:rsidRDefault="00323207" w:rsidP="00323207">
      <w:pPr>
        <w:spacing w:after="0" w:line="240" w:lineRule="auto"/>
        <w:rPr>
          <w:rFonts w:ascii="Times New Roman" w:hAnsi="Times New Roman"/>
          <w:kern w:val="0"/>
          <w:sz w:val="22"/>
          <w:lang w:val="es-ES"/>
          <w14:ligatures w14:val="none"/>
        </w:rPr>
      </w:pPr>
      <w:r w:rsidRPr="00F931D9">
        <w:rPr>
          <w:rFonts w:ascii="Times New Roman" w:hAnsi="Times New Roman"/>
          <w:kern w:val="0"/>
          <w:sz w:val="22"/>
          <w:lang w:val="es-ES"/>
          <w14:ligatures w14:val="none"/>
        </w:rPr>
        <w:t>Su pakuote pateikiamame lapelyje nurodomas gamintojo, atsakingo už konkrečios serijos išleidimą, pavadinimas ir adresas.</w:t>
      </w:r>
    </w:p>
    <w:p w14:paraId="411DC608" w14:textId="77777777" w:rsidR="00323207" w:rsidRPr="00F931D9" w:rsidRDefault="00323207" w:rsidP="00323207">
      <w:pPr>
        <w:spacing w:after="0" w:line="240" w:lineRule="auto"/>
        <w:rPr>
          <w:rFonts w:ascii="Times New Roman" w:hAnsi="Times New Roman"/>
          <w:kern w:val="0"/>
          <w:sz w:val="22"/>
          <w:lang w:val="es-ES"/>
          <w14:ligatures w14:val="none"/>
        </w:rPr>
      </w:pPr>
    </w:p>
    <w:p w14:paraId="2E42EAC9" w14:textId="77777777" w:rsidR="00323207" w:rsidRPr="00F931D9" w:rsidRDefault="00323207" w:rsidP="00323207">
      <w:pPr>
        <w:spacing w:after="0" w:line="240" w:lineRule="auto"/>
        <w:rPr>
          <w:rFonts w:ascii="Times New Roman" w:hAnsi="Times New Roman"/>
          <w:kern w:val="0"/>
          <w:sz w:val="22"/>
          <w:highlight w:val="yellow"/>
          <w:lang w:val="es-ES"/>
          <w14:ligatures w14:val="none"/>
        </w:rPr>
      </w:pPr>
    </w:p>
    <w:p w14:paraId="5835FE9B" w14:textId="77777777" w:rsidR="00323207" w:rsidRPr="00F931D9" w:rsidRDefault="00323207" w:rsidP="00323207">
      <w:pPr>
        <w:spacing w:after="0" w:line="240" w:lineRule="auto"/>
        <w:ind w:left="567" w:hanging="567"/>
        <w:rPr>
          <w:rFonts w:ascii="Times New Roman" w:hAnsi="Times New Roman"/>
          <w:kern w:val="0"/>
          <w:sz w:val="22"/>
          <w:lang w:val="es-ES"/>
          <w14:ligatures w14:val="none"/>
        </w:rPr>
      </w:pPr>
      <w:r w:rsidRPr="00F931D9">
        <w:rPr>
          <w:rFonts w:ascii="Times New Roman" w:hAnsi="Times New Roman"/>
          <w:b/>
          <w:kern w:val="0"/>
          <w:sz w:val="22"/>
          <w:lang w:val="es-ES"/>
          <w14:ligatures w14:val="none"/>
        </w:rPr>
        <w:t>B.</w:t>
      </w:r>
      <w:r w:rsidRPr="00F931D9">
        <w:rPr>
          <w:rFonts w:ascii="Times New Roman" w:hAnsi="Times New Roman"/>
          <w:b/>
          <w:kern w:val="0"/>
          <w:sz w:val="22"/>
          <w:lang w:val="es-ES"/>
          <w14:ligatures w14:val="none"/>
        </w:rPr>
        <w:tab/>
        <w:t>TIEKIMO IR VARTOJIMO SĄLYGOS AR APRIBOJIMAI</w:t>
      </w:r>
    </w:p>
    <w:p w14:paraId="2A755521" w14:textId="77777777" w:rsidR="00323207" w:rsidRPr="00F931D9" w:rsidRDefault="00323207" w:rsidP="00323207">
      <w:pPr>
        <w:spacing w:after="0" w:line="240" w:lineRule="auto"/>
        <w:rPr>
          <w:rFonts w:ascii="Times New Roman" w:hAnsi="Times New Roman"/>
          <w:kern w:val="0"/>
          <w:sz w:val="22"/>
          <w:lang w:val="es-ES"/>
          <w14:ligatures w14:val="none"/>
        </w:rPr>
      </w:pPr>
    </w:p>
    <w:p w14:paraId="724F9E23" w14:textId="77777777" w:rsidR="00323207" w:rsidRPr="00F931D9" w:rsidRDefault="00323207" w:rsidP="00323207">
      <w:pPr>
        <w:numPr>
          <w:ilvl w:val="12"/>
          <w:numId w:val="0"/>
        </w:numPr>
        <w:spacing w:after="0" w:line="240" w:lineRule="auto"/>
        <w:jc w:val="both"/>
        <w:rPr>
          <w:rFonts w:ascii="Times New Roman" w:hAnsi="Times New Roman"/>
          <w:kern w:val="0"/>
          <w:sz w:val="22"/>
          <w:lang w:val="es-ES"/>
          <w14:ligatures w14:val="none"/>
        </w:rPr>
      </w:pPr>
      <w:r w:rsidRPr="00F931D9">
        <w:rPr>
          <w:rFonts w:ascii="Times New Roman" w:hAnsi="Times New Roman"/>
          <w:kern w:val="0"/>
          <w:sz w:val="22"/>
          <w:lang w:val="es-ES"/>
          <w14:ligatures w14:val="none"/>
        </w:rPr>
        <w:t>Receptinis vaistinis preparatas.</w:t>
      </w:r>
    </w:p>
    <w:p w14:paraId="7372AC08" w14:textId="77777777" w:rsidR="00323207" w:rsidRPr="00F931D9" w:rsidRDefault="00323207" w:rsidP="00323207">
      <w:pPr>
        <w:rPr>
          <w:rFonts w:ascii="Times New Roman" w:hAnsi="Times New Roman"/>
          <w:kern w:val="0"/>
          <w:sz w:val="22"/>
          <w:lang w:val="es-ES"/>
          <w14:ligatures w14:val="none"/>
        </w:rPr>
      </w:pPr>
      <w:r w:rsidRPr="00F931D9">
        <w:rPr>
          <w:rFonts w:ascii="Times New Roman" w:hAnsi="Times New Roman"/>
          <w:kern w:val="0"/>
          <w:sz w:val="22"/>
          <w:lang w:val="es-ES"/>
          <w14:ligatures w14:val="none"/>
        </w:rPr>
        <w:br w:type="page"/>
      </w:r>
    </w:p>
    <w:p w14:paraId="113EB0E9" w14:textId="77777777" w:rsidR="00323207" w:rsidRPr="00F931D9" w:rsidRDefault="00323207" w:rsidP="00323207">
      <w:pPr>
        <w:spacing w:after="0" w:line="240" w:lineRule="auto"/>
        <w:jc w:val="center"/>
        <w:rPr>
          <w:rFonts w:ascii="Times New Roman" w:hAnsi="Times New Roman"/>
          <w:kern w:val="0"/>
          <w:sz w:val="22"/>
          <w:lang w:val="lt-LT"/>
          <w14:ligatures w14:val="none"/>
        </w:rPr>
      </w:pPr>
    </w:p>
    <w:p w14:paraId="2D1593D1" w14:textId="77777777" w:rsidR="00323207" w:rsidRPr="00F931D9" w:rsidRDefault="00323207" w:rsidP="00323207">
      <w:pPr>
        <w:spacing w:after="0" w:line="240" w:lineRule="auto"/>
        <w:jc w:val="center"/>
        <w:rPr>
          <w:rFonts w:ascii="Times New Roman" w:hAnsi="Times New Roman"/>
          <w:kern w:val="0"/>
          <w:sz w:val="22"/>
          <w:lang w:val="lt-LT"/>
          <w14:ligatures w14:val="none"/>
        </w:rPr>
      </w:pPr>
    </w:p>
    <w:p w14:paraId="2FD4831B" w14:textId="77777777" w:rsidR="00323207" w:rsidRPr="00F931D9" w:rsidRDefault="00323207" w:rsidP="00323207">
      <w:pPr>
        <w:spacing w:after="0" w:line="240" w:lineRule="auto"/>
        <w:jc w:val="center"/>
        <w:rPr>
          <w:rFonts w:ascii="Times New Roman" w:hAnsi="Times New Roman"/>
          <w:kern w:val="0"/>
          <w:sz w:val="22"/>
          <w:lang w:val="lt-LT"/>
          <w14:ligatures w14:val="none"/>
        </w:rPr>
      </w:pPr>
    </w:p>
    <w:p w14:paraId="06B675E8" w14:textId="77777777" w:rsidR="00323207" w:rsidRPr="00F931D9" w:rsidRDefault="00323207" w:rsidP="00323207">
      <w:pPr>
        <w:spacing w:after="0" w:line="240" w:lineRule="auto"/>
        <w:jc w:val="center"/>
        <w:rPr>
          <w:rFonts w:ascii="Times New Roman" w:hAnsi="Times New Roman"/>
          <w:kern w:val="0"/>
          <w:sz w:val="22"/>
          <w:lang w:val="lt-LT"/>
          <w14:ligatures w14:val="none"/>
        </w:rPr>
      </w:pPr>
    </w:p>
    <w:p w14:paraId="20D6099E" w14:textId="77777777" w:rsidR="00323207" w:rsidRPr="00F931D9" w:rsidRDefault="00323207" w:rsidP="00323207">
      <w:pPr>
        <w:spacing w:after="0" w:line="240" w:lineRule="auto"/>
        <w:jc w:val="center"/>
        <w:rPr>
          <w:rFonts w:ascii="Times New Roman" w:hAnsi="Times New Roman"/>
          <w:kern w:val="0"/>
          <w:sz w:val="22"/>
          <w:lang w:val="lt-LT"/>
          <w14:ligatures w14:val="none"/>
        </w:rPr>
      </w:pPr>
    </w:p>
    <w:p w14:paraId="4E3BBF0D" w14:textId="77777777" w:rsidR="00323207" w:rsidRPr="00F931D9" w:rsidRDefault="00323207" w:rsidP="00323207">
      <w:pPr>
        <w:spacing w:after="0" w:line="240" w:lineRule="auto"/>
        <w:jc w:val="center"/>
        <w:rPr>
          <w:rFonts w:ascii="Times New Roman" w:hAnsi="Times New Roman"/>
          <w:kern w:val="0"/>
          <w:sz w:val="22"/>
          <w:lang w:val="lt-LT"/>
          <w14:ligatures w14:val="none"/>
        </w:rPr>
      </w:pPr>
    </w:p>
    <w:p w14:paraId="651D2897" w14:textId="77777777" w:rsidR="00323207" w:rsidRPr="00F931D9" w:rsidRDefault="00323207" w:rsidP="00323207">
      <w:pPr>
        <w:spacing w:after="0" w:line="240" w:lineRule="auto"/>
        <w:jc w:val="center"/>
        <w:rPr>
          <w:rFonts w:ascii="Times New Roman" w:hAnsi="Times New Roman"/>
          <w:kern w:val="0"/>
          <w:sz w:val="22"/>
          <w:lang w:val="lt-LT"/>
          <w14:ligatures w14:val="none"/>
        </w:rPr>
      </w:pPr>
    </w:p>
    <w:p w14:paraId="2AAB2503" w14:textId="77777777" w:rsidR="00323207" w:rsidRPr="00F931D9" w:rsidRDefault="00323207" w:rsidP="00323207">
      <w:pPr>
        <w:spacing w:after="0" w:line="240" w:lineRule="auto"/>
        <w:jc w:val="center"/>
        <w:rPr>
          <w:rFonts w:ascii="Times New Roman" w:hAnsi="Times New Roman"/>
          <w:kern w:val="0"/>
          <w:sz w:val="22"/>
          <w:lang w:val="lt-LT"/>
          <w14:ligatures w14:val="none"/>
        </w:rPr>
      </w:pPr>
    </w:p>
    <w:p w14:paraId="02B7BD1C" w14:textId="77777777" w:rsidR="00323207" w:rsidRPr="00F931D9" w:rsidRDefault="00323207" w:rsidP="00323207">
      <w:pPr>
        <w:spacing w:after="0" w:line="240" w:lineRule="auto"/>
        <w:jc w:val="center"/>
        <w:rPr>
          <w:rFonts w:ascii="Times New Roman" w:hAnsi="Times New Roman"/>
          <w:kern w:val="0"/>
          <w:sz w:val="22"/>
          <w:lang w:val="lt-LT"/>
          <w14:ligatures w14:val="none"/>
        </w:rPr>
      </w:pPr>
    </w:p>
    <w:p w14:paraId="5DDE868E" w14:textId="77777777" w:rsidR="00323207" w:rsidRPr="00F931D9" w:rsidRDefault="00323207" w:rsidP="00323207">
      <w:pPr>
        <w:spacing w:after="0" w:line="240" w:lineRule="auto"/>
        <w:jc w:val="center"/>
        <w:rPr>
          <w:rFonts w:ascii="Times New Roman" w:hAnsi="Times New Roman"/>
          <w:kern w:val="0"/>
          <w:sz w:val="22"/>
          <w:lang w:val="lt-LT"/>
          <w14:ligatures w14:val="none"/>
        </w:rPr>
      </w:pPr>
    </w:p>
    <w:p w14:paraId="3CDCD5F2" w14:textId="77777777" w:rsidR="00323207" w:rsidRPr="00F931D9" w:rsidRDefault="00323207" w:rsidP="00323207">
      <w:pPr>
        <w:spacing w:after="0" w:line="240" w:lineRule="auto"/>
        <w:jc w:val="center"/>
        <w:rPr>
          <w:rFonts w:ascii="Times New Roman" w:hAnsi="Times New Roman"/>
          <w:kern w:val="0"/>
          <w:sz w:val="22"/>
          <w:lang w:val="lt-LT"/>
          <w14:ligatures w14:val="none"/>
        </w:rPr>
      </w:pPr>
    </w:p>
    <w:p w14:paraId="7F088605" w14:textId="77777777" w:rsidR="00323207" w:rsidRPr="00F931D9" w:rsidRDefault="00323207" w:rsidP="00323207">
      <w:pPr>
        <w:spacing w:after="0" w:line="240" w:lineRule="auto"/>
        <w:jc w:val="center"/>
        <w:rPr>
          <w:rFonts w:ascii="Times New Roman" w:hAnsi="Times New Roman"/>
          <w:kern w:val="0"/>
          <w:sz w:val="22"/>
          <w:lang w:val="lt-LT"/>
          <w14:ligatures w14:val="none"/>
        </w:rPr>
      </w:pPr>
    </w:p>
    <w:p w14:paraId="050A573F" w14:textId="77777777" w:rsidR="00323207" w:rsidRPr="00F931D9" w:rsidRDefault="00323207" w:rsidP="00323207">
      <w:pPr>
        <w:spacing w:after="0" w:line="240" w:lineRule="auto"/>
        <w:jc w:val="center"/>
        <w:rPr>
          <w:rFonts w:ascii="Times New Roman" w:hAnsi="Times New Roman"/>
          <w:kern w:val="0"/>
          <w:sz w:val="22"/>
          <w:lang w:val="lt-LT"/>
          <w14:ligatures w14:val="none"/>
        </w:rPr>
      </w:pPr>
    </w:p>
    <w:p w14:paraId="78C1AEE0" w14:textId="77777777" w:rsidR="00323207" w:rsidRPr="00F931D9" w:rsidRDefault="00323207" w:rsidP="00323207">
      <w:pPr>
        <w:spacing w:after="0" w:line="240" w:lineRule="auto"/>
        <w:jc w:val="center"/>
        <w:rPr>
          <w:rFonts w:ascii="Times New Roman" w:hAnsi="Times New Roman"/>
          <w:kern w:val="0"/>
          <w:sz w:val="22"/>
          <w:lang w:val="lt-LT"/>
          <w14:ligatures w14:val="none"/>
        </w:rPr>
      </w:pPr>
    </w:p>
    <w:p w14:paraId="395EC0E9" w14:textId="77777777" w:rsidR="00323207" w:rsidRPr="00F931D9" w:rsidRDefault="00323207" w:rsidP="00323207">
      <w:pPr>
        <w:spacing w:after="0" w:line="240" w:lineRule="auto"/>
        <w:jc w:val="center"/>
        <w:rPr>
          <w:rFonts w:ascii="Times New Roman" w:hAnsi="Times New Roman"/>
          <w:kern w:val="0"/>
          <w:sz w:val="22"/>
          <w:lang w:val="lt-LT"/>
          <w14:ligatures w14:val="none"/>
        </w:rPr>
      </w:pPr>
    </w:p>
    <w:p w14:paraId="031B761A" w14:textId="77777777" w:rsidR="00323207" w:rsidRPr="00F931D9" w:rsidRDefault="00323207" w:rsidP="00323207">
      <w:pPr>
        <w:spacing w:after="0" w:line="240" w:lineRule="auto"/>
        <w:jc w:val="center"/>
        <w:rPr>
          <w:rFonts w:ascii="Times New Roman" w:hAnsi="Times New Roman"/>
          <w:kern w:val="0"/>
          <w:sz w:val="22"/>
          <w:lang w:val="lt-LT"/>
          <w14:ligatures w14:val="none"/>
        </w:rPr>
      </w:pPr>
    </w:p>
    <w:p w14:paraId="4F8E738C" w14:textId="77777777" w:rsidR="00323207" w:rsidRPr="00F931D9" w:rsidRDefault="00323207" w:rsidP="00323207">
      <w:pPr>
        <w:spacing w:after="0" w:line="240" w:lineRule="auto"/>
        <w:jc w:val="center"/>
        <w:rPr>
          <w:rFonts w:ascii="Times New Roman" w:hAnsi="Times New Roman"/>
          <w:kern w:val="0"/>
          <w:sz w:val="22"/>
          <w:lang w:val="lt-LT"/>
          <w14:ligatures w14:val="none"/>
        </w:rPr>
      </w:pPr>
    </w:p>
    <w:p w14:paraId="26F3B33B" w14:textId="77777777" w:rsidR="00323207" w:rsidRPr="00F931D9" w:rsidRDefault="00323207" w:rsidP="00323207">
      <w:pPr>
        <w:spacing w:after="0" w:line="240" w:lineRule="auto"/>
        <w:jc w:val="center"/>
        <w:rPr>
          <w:rFonts w:ascii="Times New Roman" w:hAnsi="Times New Roman"/>
          <w:kern w:val="0"/>
          <w:sz w:val="22"/>
          <w:lang w:val="lt-LT"/>
          <w14:ligatures w14:val="none"/>
        </w:rPr>
      </w:pPr>
    </w:p>
    <w:p w14:paraId="6E2FA217" w14:textId="77777777" w:rsidR="00323207" w:rsidRPr="00F931D9" w:rsidRDefault="00323207" w:rsidP="00323207">
      <w:pPr>
        <w:spacing w:after="0" w:line="240" w:lineRule="auto"/>
        <w:jc w:val="center"/>
        <w:rPr>
          <w:rFonts w:ascii="Times New Roman" w:hAnsi="Times New Roman"/>
          <w:kern w:val="0"/>
          <w:sz w:val="22"/>
          <w:lang w:val="lt-LT"/>
          <w14:ligatures w14:val="none"/>
        </w:rPr>
      </w:pPr>
    </w:p>
    <w:p w14:paraId="346A4D62" w14:textId="77777777" w:rsidR="00323207" w:rsidRPr="00F931D9" w:rsidRDefault="00323207" w:rsidP="00323207">
      <w:pPr>
        <w:spacing w:after="0" w:line="240" w:lineRule="auto"/>
        <w:jc w:val="center"/>
        <w:rPr>
          <w:rFonts w:ascii="Times New Roman" w:hAnsi="Times New Roman"/>
          <w:kern w:val="0"/>
          <w:sz w:val="22"/>
          <w:lang w:val="lt-LT"/>
          <w14:ligatures w14:val="none"/>
        </w:rPr>
      </w:pPr>
    </w:p>
    <w:p w14:paraId="6D277A59" w14:textId="77777777" w:rsidR="00323207" w:rsidRPr="00F931D9" w:rsidRDefault="00323207" w:rsidP="00323207">
      <w:pPr>
        <w:spacing w:after="0" w:line="240" w:lineRule="auto"/>
        <w:jc w:val="center"/>
        <w:rPr>
          <w:rFonts w:ascii="Times New Roman" w:hAnsi="Times New Roman"/>
          <w:kern w:val="0"/>
          <w:sz w:val="22"/>
          <w:lang w:val="lt-LT"/>
          <w14:ligatures w14:val="none"/>
        </w:rPr>
      </w:pPr>
    </w:p>
    <w:p w14:paraId="1E8D88B1" w14:textId="77777777" w:rsidR="00323207" w:rsidRPr="00F931D9" w:rsidRDefault="00323207" w:rsidP="00323207">
      <w:pPr>
        <w:spacing w:after="0" w:line="240" w:lineRule="auto"/>
        <w:jc w:val="center"/>
        <w:outlineLvl w:val="0"/>
        <w:rPr>
          <w:rFonts w:ascii="Times New Roman" w:hAnsi="Times New Roman"/>
          <w:b/>
          <w:kern w:val="0"/>
          <w:sz w:val="22"/>
          <w:lang w:val="lt-LT"/>
          <w14:ligatures w14:val="none"/>
        </w:rPr>
      </w:pPr>
    </w:p>
    <w:p w14:paraId="36C1B88E" w14:textId="77777777" w:rsidR="00323207" w:rsidRPr="00F931D9" w:rsidRDefault="00323207" w:rsidP="00323207">
      <w:pPr>
        <w:spacing w:after="0" w:line="240" w:lineRule="auto"/>
        <w:jc w:val="center"/>
        <w:outlineLvl w:val="0"/>
        <w:rPr>
          <w:rFonts w:ascii="Times New Roman" w:hAnsi="Times New Roman"/>
          <w:b/>
          <w:kern w:val="0"/>
          <w:sz w:val="22"/>
          <w:lang w:val="lt-LT"/>
          <w14:ligatures w14:val="none"/>
        </w:rPr>
      </w:pPr>
    </w:p>
    <w:p w14:paraId="40D1F9A6" w14:textId="77777777" w:rsidR="00323207" w:rsidRPr="00F931D9" w:rsidRDefault="00323207" w:rsidP="00323207">
      <w:pPr>
        <w:spacing w:after="0" w:line="240" w:lineRule="auto"/>
        <w:jc w:val="center"/>
        <w:outlineLvl w:val="0"/>
        <w:rPr>
          <w:rFonts w:ascii="Times New Roman" w:hAnsi="Times New Roman"/>
          <w:b/>
          <w:kern w:val="0"/>
          <w:sz w:val="22"/>
          <w:lang w:val="lt-LT"/>
          <w14:ligatures w14:val="none"/>
        </w:rPr>
      </w:pPr>
    </w:p>
    <w:p w14:paraId="52633BE1" w14:textId="77777777" w:rsidR="00323207" w:rsidRPr="00F931D9" w:rsidRDefault="00323207" w:rsidP="00323207">
      <w:pPr>
        <w:spacing w:after="0" w:line="240" w:lineRule="auto"/>
        <w:jc w:val="center"/>
        <w:outlineLvl w:val="0"/>
        <w:rPr>
          <w:rFonts w:ascii="Times New Roman" w:hAnsi="Times New Roman"/>
          <w:kern w:val="0"/>
          <w:sz w:val="22"/>
          <w:lang w:val="lt-LT"/>
          <w14:ligatures w14:val="none"/>
        </w:rPr>
      </w:pPr>
      <w:r w:rsidRPr="00F931D9">
        <w:rPr>
          <w:rFonts w:ascii="Times New Roman" w:hAnsi="Times New Roman"/>
          <w:b/>
          <w:kern w:val="0"/>
          <w:sz w:val="22"/>
          <w:lang w:val="lt-LT"/>
          <w14:ligatures w14:val="none"/>
        </w:rPr>
        <w:t>ŽENKLINIMAS</w:t>
      </w:r>
    </w:p>
    <w:p w14:paraId="43FD1A21" w14:textId="77777777" w:rsidR="00323207" w:rsidRPr="00F931D9" w:rsidRDefault="00323207" w:rsidP="00323207">
      <w:pPr>
        <w:shd w:val="clear" w:color="auto" w:fill="FFFFFF"/>
        <w:spacing w:after="0" w:line="240" w:lineRule="auto"/>
        <w:rPr>
          <w:rFonts w:ascii="Times New Roman" w:hAnsi="Times New Roman"/>
          <w:kern w:val="0"/>
          <w:sz w:val="22"/>
          <w:lang w:val="es-ES"/>
          <w14:ligatures w14:val="none"/>
        </w:rPr>
      </w:pPr>
      <w:r w:rsidRPr="00F931D9">
        <w:rPr>
          <w:rFonts w:ascii="Times New Roman" w:hAnsi="Times New Roman"/>
          <w:kern w:val="0"/>
          <w:sz w:val="22"/>
          <w:lang w:val="es-ES"/>
          <w14:ligatures w14:val="none"/>
        </w:rPr>
        <w:br w:type="page"/>
      </w:r>
    </w:p>
    <w:p w14:paraId="5FE03356" w14:textId="77777777" w:rsidR="00323207" w:rsidRPr="00F931D9" w:rsidRDefault="00323207" w:rsidP="0032320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olor w:val="000000"/>
          <w:kern w:val="0"/>
          <w:sz w:val="22"/>
          <w:lang w:val="es-ES"/>
          <w14:ligatures w14:val="none"/>
        </w:rPr>
      </w:pPr>
      <w:r w:rsidRPr="00F931D9">
        <w:rPr>
          <w:rFonts w:ascii="Times New Roman" w:hAnsi="Times New Roman"/>
          <w:b/>
          <w:color w:val="000000"/>
          <w:kern w:val="0"/>
          <w:sz w:val="22"/>
          <w:lang w:val="es-ES"/>
          <w14:ligatures w14:val="none"/>
        </w:rPr>
        <w:lastRenderedPageBreak/>
        <w:t>INFORMACIJA ANT IŠORINĖS PAKUOTĖS</w:t>
      </w:r>
    </w:p>
    <w:p w14:paraId="371E51CB" w14:textId="77777777" w:rsidR="00323207" w:rsidRPr="00F931D9" w:rsidRDefault="00323207" w:rsidP="0032320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kern w:val="0"/>
          <w:sz w:val="22"/>
          <w:lang w:val="es-ES"/>
          <w14:ligatures w14:val="none"/>
        </w:rPr>
      </w:pPr>
    </w:p>
    <w:p w14:paraId="2134B3A3" w14:textId="77777777" w:rsidR="00323207" w:rsidRPr="00F931D9" w:rsidRDefault="00323207" w:rsidP="0032320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kern w:val="0"/>
          <w:sz w:val="22"/>
          <w:lang w:val="lt-LT"/>
          <w14:ligatures w14:val="none"/>
        </w:rPr>
      </w:pPr>
      <w:r w:rsidRPr="00F931D9">
        <w:rPr>
          <w:rFonts w:ascii="Times New Roman" w:hAnsi="Times New Roman"/>
          <w:b/>
          <w:kern w:val="0"/>
          <w:sz w:val="22"/>
          <w:lang w:val="lt-LT"/>
          <w14:ligatures w14:val="none"/>
        </w:rPr>
        <w:t>KARTONO DĖŽUTĖ</w:t>
      </w:r>
    </w:p>
    <w:p w14:paraId="7DDC345A" w14:textId="77777777" w:rsidR="00323207" w:rsidRPr="00F931D9" w:rsidRDefault="00323207" w:rsidP="00323207">
      <w:pPr>
        <w:spacing w:after="0" w:line="240" w:lineRule="auto"/>
        <w:rPr>
          <w:rFonts w:ascii="Times New Roman" w:hAnsi="Times New Roman"/>
          <w:kern w:val="0"/>
          <w:sz w:val="22"/>
          <w:lang w:val="lt-LT"/>
          <w14:ligatures w14:val="none"/>
        </w:rPr>
      </w:pPr>
    </w:p>
    <w:p w14:paraId="03D14D1F" w14:textId="77777777" w:rsidR="00323207" w:rsidRPr="00F931D9" w:rsidRDefault="00323207" w:rsidP="00323207">
      <w:pPr>
        <w:spacing w:after="0" w:line="240" w:lineRule="auto"/>
        <w:rPr>
          <w:rFonts w:ascii="Times New Roman" w:hAnsi="Times New Roman"/>
          <w:kern w:val="0"/>
          <w:sz w:val="22"/>
          <w:lang w:val="es-ES"/>
          <w14:ligatures w14:val="none"/>
        </w:rPr>
      </w:pPr>
    </w:p>
    <w:p w14:paraId="0F884B72" w14:textId="77777777" w:rsidR="00323207" w:rsidRPr="00F931D9" w:rsidRDefault="00323207" w:rsidP="0032320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kern w:val="0"/>
          <w:sz w:val="22"/>
          <w:lang w:val="lt-LT"/>
          <w14:ligatures w14:val="none"/>
        </w:rPr>
      </w:pPr>
      <w:r w:rsidRPr="00F931D9">
        <w:rPr>
          <w:rFonts w:ascii="Times New Roman" w:hAnsi="Times New Roman"/>
          <w:b/>
          <w:kern w:val="0"/>
          <w:sz w:val="22"/>
          <w:lang w:val="lt-LT"/>
          <w14:ligatures w14:val="none"/>
        </w:rPr>
        <w:t>1.</w:t>
      </w:r>
      <w:r w:rsidRPr="00F931D9">
        <w:rPr>
          <w:rFonts w:ascii="Times New Roman" w:hAnsi="Times New Roman"/>
          <w:b/>
          <w:kern w:val="0"/>
          <w:sz w:val="22"/>
          <w:lang w:val="lt-LT"/>
          <w14:ligatures w14:val="none"/>
        </w:rPr>
        <w:tab/>
        <w:t>VAISTINIO PREPARATO PAVADINIMAS</w:t>
      </w:r>
    </w:p>
    <w:p w14:paraId="7AC31C31" w14:textId="77777777" w:rsidR="00323207" w:rsidRPr="00F931D9" w:rsidRDefault="00323207" w:rsidP="00323207">
      <w:pPr>
        <w:spacing w:after="0" w:line="240" w:lineRule="auto"/>
        <w:rPr>
          <w:rFonts w:ascii="Times New Roman" w:hAnsi="Times New Roman"/>
          <w:kern w:val="0"/>
          <w:sz w:val="22"/>
          <w:lang w:val="es-ES"/>
          <w14:ligatures w14:val="none"/>
        </w:rPr>
      </w:pPr>
    </w:p>
    <w:p w14:paraId="2A1D8474" w14:textId="77777777" w:rsidR="00323207" w:rsidRPr="00F931D9" w:rsidRDefault="00323207" w:rsidP="00323207">
      <w:pPr>
        <w:shd w:val="clear" w:color="auto" w:fill="D9D9D9"/>
        <w:spacing w:after="0" w:line="240" w:lineRule="auto"/>
        <w:outlineLvl w:val="0"/>
        <w:rPr>
          <w:rFonts w:ascii="Times New Roman" w:hAnsi="Times New Roman"/>
          <w:kern w:val="0"/>
          <w:sz w:val="22"/>
          <w14:ligatures w14:val="none"/>
        </w:rPr>
      </w:pPr>
      <w:proofErr w:type="spellStart"/>
      <w:r w:rsidRPr="00F931D9">
        <w:rPr>
          <w:rFonts w:ascii="Times New Roman" w:hAnsi="Times New Roman"/>
          <w:kern w:val="0"/>
          <w:sz w:val="22"/>
          <w:lang w:val="x-none"/>
          <w14:ligatures w14:val="none"/>
        </w:rPr>
        <w:t>Sandimmun</w:t>
      </w:r>
      <w:proofErr w:type="spellEnd"/>
      <w:r w:rsidRPr="00F931D9">
        <w:rPr>
          <w:rFonts w:ascii="Times New Roman" w:hAnsi="Times New Roman"/>
          <w:kern w:val="0"/>
          <w:sz w:val="22"/>
          <w:lang w:val="es-ES"/>
          <w14:ligatures w14:val="none"/>
        </w:rPr>
        <w:t> </w:t>
      </w:r>
      <w:proofErr w:type="spellStart"/>
      <w:r w:rsidRPr="00F931D9">
        <w:rPr>
          <w:rFonts w:ascii="Times New Roman" w:hAnsi="Times New Roman"/>
          <w:kern w:val="0"/>
          <w:sz w:val="22"/>
          <w:lang w:val="x-none"/>
          <w14:ligatures w14:val="none"/>
        </w:rPr>
        <w:t>Neoral</w:t>
      </w:r>
      <w:proofErr w:type="spellEnd"/>
      <w:r w:rsidRPr="00F931D9">
        <w:rPr>
          <w:rFonts w:ascii="Times New Roman" w:hAnsi="Times New Roman"/>
          <w:kern w:val="0"/>
          <w:sz w:val="22"/>
          <w:lang w:val="x-none"/>
          <w14:ligatures w14:val="none"/>
        </w:rPr>
        <w:t xml:space="preserve"> 25 mg minkštosios kapsulės</w:t>
      </w:r>
    </w:p>
    <w:p w14:paraId="496F2B55" w14:textId="77777777" w:rsidR="00323207" w:rsidRPr="00F931D9" w:rsidRDefault="00323207" w:rsidP="00323207">
      <w:pPr>
        <w:shd w:val="clear" w:color="auto" w:fill="BFBFBF"/>
        <w:spacing w:after="0" w:line="240" w:lineRule="auto"/>
        <w:rPr>
          <w:rFonts w:ascii="Times New Roman" w:hAnsi="Times New Roman"/>
          <w:kern w:val="0"/>
          <w:sz w:val="22"/>
          <w14:ligatures w14:val="none"/>
        </w:rPr>
      </w:pPr>
      <w:proofErr w:type="spellStart"/>
      <w:r w:rsidRPr="00F931D9">
        <w:rPr>
          <w:rFonts w:ascii="Times New Roman" w:hAnsi="Times New Roman"/>
          <w:kern w:val="0"/>
          <w:sz w:val="22"/>
          <w:lang w:val="x-none"/>
          <w14:ligatures w14:val="none"/>
        </w:rPr>
        <w:t>Sandimmun</w:t>
      </w:r>
      <w:proofErr w:type="spellEnd"/>
      <w:r w:rsidRPr="00F931D9">
        <w:rPr>
          <w:rFonts w:ascii="Times New Roman" w:hAnsi="Times New Roman"/>
          <w:kern w:val="0"/>
          <w:sz w:val="22"/>
          <w:lang w:val="es-ES"/>
          <w14:ligatures w14:val="none"/>
        </w:rPr>
        <w:t> </w:t>
      </w:r>
      <w:proofErr w:type="spellStart"/>
      <w:r w:rsidRPr="00F931D9">
        <w:rPr>
          <w:rFonts w:ascii="Times New Roman" w:hAnsi="Times New Roman"/>
          <w:kern w:val="0"/>
          <w:sz w:val="22"/>
          <w:lang w:val="x-none"/>
          <w14:ligatures w14:val="none"/>
        </w:rPr>
        <w:t>Neoral</w:t>
      </w:r>
      <w:proofErr w:type="spellEnd"/>
      <w:r w:rsidRPr="00F931D9">
        <w:rPr>
          <w:rFonts w:ascii="Times New Roman" w:hAnsi="Times New Roman"/>
          <w:kern w:val="0"/>
          <w:sz w:val="22"/>
          <w:lang w:val="x-none"/>
          <w14:ligatures w14:val="none"/>
        </w:rPr>
        <w:t xml:space="preserve"> 50 mg minkštosios kapsulės</w:t>
      </w:r>
    </w:p>
    <w:p w14:paraId="48DE49E0" w14:textId="77777777" w:rsidR="00323207" w:rsidRPr="00F931D9" w:rsidRDefault="00323207" w:rsidP="00323207">
      <w:pPr>
        <w:shd w:val="clear" w:color="auto" w:fill="A6A6A6"/>
        <w:spacing w:after="0" w:line="240" w:lineRule="auto"/>
        <w:outlineLvl w:val="0"/>
        <w:rPr>
          <w:rFonts w:ascii="Times New Roman" w:hAnsi="Times New Roman"/>
          <w:kern w:val="0"/>
          <w:sz w:val="22"/>
          <w14:ligatures w14:val="none"/>
        </w:rPr>
      </w:pPr>
      <w:proofErr w:type="spellStart"/>
      <w:r w:rsidRPr="00F931D9">
        <w:rPr>
          <w:rFonts w:ascii="Times New Roman" w:hAnsi="Times New Roman"/>
          <w:kern w:val="0"/>
          <w:sz w:val="22"/>
          <w:lang w:val="x-none"/>
          <w14:ligatures w14:val="none"/>
        </w:rPr>
        <w:t>Sandimmun</w:t>
      </w:r>
      <w:proofErr w:type="spellEnd"/>
      <w:r w:rsidRPr="00F931D9">
        <w:rPr>
          <w:rFonts w:ascii="Times New Roman" w:hAnsi="Times New Roman"/>
          <w:kern w:val="0"/>
          <w:sz w:val="22"/>
          <w14:ligatures w14:val="none"/>
        </w:rPr>
        <w:t> </w:t>
      </w:r>
      <w:proofErr w:type="spellStart"/>
      <w:r w:rsidRPr="00F931D9">
        <w:rPr>
          <w:rFonts w:ascii="Times New Roman" w:hAnsi="Times New Roman"/>
          <w:kern w:val="0"/>
          <w:sz w:val="22"/>
          <w:lang w:val="x-none"/>
          <w14:ligatures w14:val="none"/>
        </w:rPr>
        <w:t>Neoral</w:t>
      </w:r>
      <w:proofErr w:type="spellEnd"/>
      <w:r w:rsidRPr="00F931D9">
        <w:rPr>
          <w:rFonts w:ascii="Times New Roman" w:hAnsi="Times New Roman"/>
          <w:kern w:val="0"/>
          <w:sz w:val="22"/>
          <w:lang w:val="x-none"/>
          <w14:ligatures w14:val="none"/>
        </w:rPr>
        <w:t xml:space="preserve"> 100 mg minkštosios kapsulės</w:t>
      </w:r>
    </w:p>
    <w:p w14:paraId="12C4E2BB" w14:textId="77777777" w:rsidR="00323207" w:rsidRPr="00F931D9" w:rsidRDefault="00323207" w:rsidP="00323207">
      <w:pPr>
        <w:spacing w:after="0" w:line="240" w:lineRule="auto"/>
        <w:ind w:left="567" w:hanging="567"/>
        <w:rPr>
          <w:rFonts w:ascii="Times New Roman" w:hAnsi="Times New Roman"/>
          <w:i/>
          <w:kern w:val="0"/>
          <w:sz w:val="22"/>
          <w:lang w:val="en-GB"/>
          <w14:ligatures w14:val="none"/>
        </w:rPr>
      </w:pPr>
      <w:proofErr w:type="spellStart"/>
      <w:r w:rsidRPr="00F931D9">
        <w:rPr>
          <w:rFonts w:ascii="Times New Roman" w:hAnsi="Times New Roman"/>
          <w:i/>
          <w:kern w:val="0"/>
          <w:sz w:val="22"/>
          <w:lang w:val="en-GB"/>
          <w14:ligatures w14:val="none"/>
        </w:rPr>
        <w:t>ciclosporinum</w:t>
      </w:r>
      <w:proofErr w:type="spellEnd"/>
    </w:p>
    <w:p w14:paraId="263AD6EF" w14:textId="77777777" w:rsidR="00323207" w:rsidRPr="00F931D9" w:rsidRDefault="00323207" w:rsidP="00323207">
      <w:pPr>
        <w:spacing w:after="0" w:line="240" w:lineRule="auto"/>
        <w:rPr>
          <w:rFonts w:ascii="Times New Roman" w:hAnsi="Times New Roman"/>
          <w:kern w:val="0"/>
          <w:sz w:val="22"/>
          <w:lang w:val="es-ES"/>
          <w14:ligatures w14:val="none"/>
        </w:rPr>
      </w:pPr>
    </w:p>
    <w:p w14:paraId="3A544EBD" w14:textId="77777777" w:rsidR="00323207" w:rsidRPr="00F931D9" w:rsidRDefault="00323207" w:rsidP="00323207">
      <w:pPr>
        <w:spacing w:after="0" w:line="240" w:lineRule="auto"/>
        <w:rPr>
          <w:rFonts w:ascii="Times New Roman" w:hAnsi="Times New Roman"/>
          <w:kern w:val="0"/>
          <w:sz w:val="22"/>
          <w:lang w:val="es-ES"/>
          <w14:ligatures w14:val="none"/>
        </w:rPr>
      </w:pPr>
    </w:p>
    <w:p w14:paraId="4F5D802D" w14:textId="77777777" w:rsidR="00323207" w:rsidRPr="00F931D9" w:rsidRDefault="00323207" w:rsidP="0032320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2.</w:t>
      </w:r>
      <w:r w:rsidRPr="00F931D9">
        <w:rPr>
          <w:rFonts w:ascii="Times New Roman" w:hAnsi="Times New Roman"/>
          <w:b/>
          <w:kern w:val="0"/>
          <w:sz w:val="22"/>
          <w:lang w:val="lt-LT"/>
          <w14:ligatures w14:val="none"/>
        </w:rPr>
        <w:tab/>
        <w:t>VEIKLIOJI (-IOS) MEDŽIAGA (-OS) IR JOS (-Ų) KIEKIS (-IAI)</w:t>
      </w:r>
    </w:p>
    <w:p w14:paraId="510B1E2E" w14:textId="77777777" w:rsidR="00323207" w:rsidRPr="00F931D9" w:rsidRDefault="00323207" w:rsidP="00323207">
      <w:pPr>
        <w:spacing w:after="0" w:line="240" w:lineRule="auto"/>
        <w:rPr>
          <w:rFonts w:ascii="Times New Roman" w:hAnsi="Times New Roman"/>
          <w:kern w:val="0"/>
          <w:sz w:val="22"/>
          <w:lang w:val="es-ES"/>
          <w14:ligatures w14:val="none"/>
        </w:rPr>
      </w:pPr>
    </w:p>
    <w:p w14:paraId="3291B0C4" w14:textId="77777777" w:rsidR="00323207" w:rsidRPr="00F931D9" w:rsidRDefault="00323207" w:rsidP="00323207">
      <w:pPr>
        <w:shd w:val="clear" w:color="auto" w:fill="D9D9D9"/>
        <w:spacing w:after="0" w:line="240" w:lineRule="auto"/>
        <w:rPr>
          <w:rFonts w:ascii="Times New Roman" w:hAnsi="Times New Roman"/>
          <w:kern w:val="0"/>
          <w:sz w:val="22"/>
          <w:lang w:val="es-ES"/>
          <w14:ligatures w14:val="none"/>
        </w:rPr>
      </w:pPr>
      <w:r w:rsidRPr="00F931D9">
        <w:rPr>
          <w:rFonts w:ascii="Times New Roman" w:hAnsi="Times New Roman"/>
          <w:kern w:val="0"/>
          <w:sz w:val="22"/>
          <w:lang w:val="es-ES"/>
          <w14:ligatures w14:val="none"/>
        </w:rPr>
        <w:t>Vienoje kapsulėje yra 25 mg ciklosporino.</w:t>
      </w:r>
    </w:p>
    <w:p w14:paraId="1A3711D1" w14:textId="77777777" w:rsidR="00323207" w:rsidRPr="00F931D9" w:rsidRDefault="00323207" w:rsidP="00323207">
      <w:pPr>
        <w:shd w:val="clear" w:color="auto" w:fill="BFBFBF"/>
        <w:spacing w:after="0" w:line="240" w:lineRule="auto"/>
        <w:rPr>
          <w:rFonts w:ascii="Times New Roman" w:hAnsi="Times New Roman"/>
          <w:kern w:val="0"/>
          <w:sz w:val="22"/>
          <w:lang w:val="es-ES"/>
          <w14:ligatures w14:val="none"/>
        </w:rPr>
      </w:pPr>
      <w:r w:rsidRPr="00F931D9">
        <w:rPr>
          <w:rFonts w:ascii="Times New Roman" w:hAnsi="Times New Roman"/>
          <w:kern w:val="0"/>
          <w:sz w:val="22"/>
          <w:lang w:val="es-ES"/>
          <w14:ligatures w14:val="none"/>
        </w:rPr>
        <w:t>Vienoje kapsulėje yra 50 mg ciklosporino.</w:t>
      </w:r>
    </w:p>
    <w:p w14:paraId="4DB344C2" w14:textId="77777777" w:rsidR="00323207" w:rsidRPr="00F931D9" w:rsidRDefault="00323207" w:rsidP="00323207">
      <w:pPr>
        <w:shd w:val="clear" w:color="auto" w:fill="A6A6A6"/>
        <w:spacing w:after="0" w:line="240" w:lineRule="auto"/>
        <w:rPr>
          <w:rFonts w:ascii="Times New Roman" w:hAnsi="Times New Roman"/>
          <w:kern w:val="0"/>
          <w:sz w:val="22"/>
          <w:lang w:val="es-ES"/>
          <w14:ligatures w14:val="none"/>
        </w:rPr>
      </w:pPr>
      <w:r w:rsidRPr="00F931D9">
        <w:rPr>
          <w:rFonts w:ascii="Times New Roman" w:hAnsi="Times New Roman"/>
          <w:kern w:val="0"/>
          <w:sz w:val="22"/>
          <w:lang w:val="es-ES"/>
          <w14:ligatures w14:val="none"/>
        </w:rPr>
        <w:t>Vienoje kapsulėje yra 100 mg ciklosporino.</w:t>
      </w:r>
    </w:p>
    <w:p w14:paraId="7161AB67" w14:textId="77777777" w:rsidR="00323207" w:rsidRPr="00F931D9" w:rsidRDefault="00323207" w:rsidP="00323207">
      <w:pPr>
        <w:spacing w:after="0" w:line="240" w:lineRule="auto"/>
        <w:rPr>
          <w:rFonts w:ascii="Times New Roman" w:hAnsi="Times New Roman"/>
          <w:kern w:val="0"/>
          <w:sz w:val="22"/>
          <w:lang w:val="es-ES"/>
          <w14:ligatures w14:val="none"/>
        </w:rPr>
      </w:pPr>
    </w:p>
    <w:p w14:paraId="4AF981F5" w14:textId="77777777" w:rsidR="00323207" w:rsidRPr="00F931D9" w:rsidRDefault="00323207" w:rsidP="00323207">
      <w:pPr>
        <w:spacing w:after="0" w:line="240" w:lineRule="auto"/>
        <w:rPr>
          <w:rFonts w:ascii="Times New Roman" w:hAnsi="Times New Roman"/>
          <w:kern w:val="0"/>
          <w:sz w:val="22"/>
          <w:lang w:val="es-ES"/>
          <w14:ligatures w14:val="none"/>
        </w:rPr>
      </w:pPr>
    </w:p>
    <w:p w14:paraId="60FB7170" w14:textId="77777777" w:rsidR="00323207" w:rsidRPr="00F931D9" w:rsidRDefault="00323207" w:rsidP="0032320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kern w:val="0"/>
          <w:sz w:val="22"/>
          <w:lang w:val="lt-LT"/>
          <w14:ligatures w14:val="none"/>
        </w:rPr>
      </w:pPr>
      <w:r w:rsidRPr="00F931D9">
        <w:rPr>
          <w:rFonts w:ascii="Times New Roman" w:hAnsi="Times New Roman"/>
          <w:b/>
          <w:kern w:val="0"/>
          <w:sz w:val="22"/>
          <w:lang w:val="lt-LT"/>
          <w14:ligatures w14:val="none"/>
        </w:rPr>
        <w:t>3.</w:t>
      </w:r>
      <w:r w:rsidRPr="00F931D9">
        <w:rPr>
          <w:rFonts w:ascii="Times New Roman" w:hAnsi="Times New Roman"/>
          <w:b/>
          <w:kern w:val="0"/>
          <w:sz w:val="22"/>
          <w:lang w:val="lt-LT"/>
          <w14:ligatures w14:val="none"/>
        </w:rPr>
        <w:tab/>
        <w:t>PAGALBINIŲ MEDŽIAGŲ SĄRAŠAS</w:t>
      </w:r>
    </w:p>
    <w:p w14:paraId="293BC2EF" w14:textId="77777777" w:rsidR="00323207" w:rsidRPr="00F931D9" w:rsidRDefault="00323207" w:rsidP="00323207">
      <w:pPr>
        <w:spacing w:after="0" w:line="240" w:lineRule="auto"/>
        <w:rPr>
          <w:rFonts w:ascii="Times New Roman" w:hAnsi="Times New Roman"/>
          <w:kern w:val="0"/>
          <w:sz w:val="22"/>
          <w:lang w:val="es-ES"/>
          <w14:ligatures w14:val="none"/>
        </w:rPr>
      </w:pPr>
    </w:p>
    <w:p w14:paraId="74B21E37" w14:textId="77777777" w:rsidR="00323207" w:rsidRPr="00F931D9" w:rsidRDefault="00323207" w:rsidP="00323207">
      <w:pPr>
        <w:spacing w:after="0" w:line="240" w:lineRule="auto"/>
        <w:rPr>
          <w:rFonts w:ascii="Times New Roman" w:hAnsi="Times New Roman"/>
          <w:kern w:val="0"/>
          <w:sz w:val="22"/>
          <w:lang w:val="es-ES"/>
          <w14:ligatures w14:val="none"/>
        </w:rPr>
      </w:pPr>
      <w:r w:rsidRPr="00F931D9">
        <w:rPr>
          <w:rFonts w:ascii="Times New Roman" w:hAnsi="Times New Roman"/>
          <w:kern w:val="0"/>
          <w:sz w:val="22"/>
          <w:lang w:val="lt-LT"/>
          <w14:ligatures w14:val="none"/>
        </w:rPr>
        <w:t xml:space="preserve">Sudėtyje yra etanolio, </w:t>
      </w:r>
      <w:proofErr w:type="spellStart"/>
      <w:r w:rsidRPr="00F931D9">
        <w:rPr>
          <w:rFonts w:ascii="Times New Roman" w:hAnsi="Times New Roman"/>
          <w:kern w:val="0"/>
          <w:sz w:val="22"/>
          <w:lang w:val="lt-LT"/>
          <w14:ligatures w14:val="none"/>
        </w:rPr>
        <w:t>propilenglikolio</w:t>
      </w:r>
      <w:proofErr w:type="spellEnd"/>
      <w:r w:rsidRPr="00F931D9">
        <w:rPr>
          <w:rFonts w:ascii="Times New Roman" w:hAnsi="Times New Roman"/>
          <w:kern w:val="0"/>
          <w:sz w:val="22"/>
          <w:lang w:val="lt-LT"/>
          <w14:ligatures w14:val="none"/>
        </w:rPr>
        <w:t xml:space="preserve"> ir </w:t>
      </w:r>
      <w:proofErr w:type="spellStart"/>
      <w:r w:rsidRPr="00F931D9">
        <w:rPr>
          <w:rFonts w:ascii="Times New Roman" w:hAnsi="Times New Roman"/>
          <w:kern w:val="0"/>
          <w:sz w:val="22"/>
          <w:lang w:val="lt-LT"/>
          <w14:ligatures w14:val="none"/>
        </w:rPr>
        <w:t>hidrinto</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polioksil</w:t>
      </w:r>
      <w:proofErr w:type="spellEnd"/>
      <w:r w:rsidRPr="00F931D9">
        <w:rPr>
          <w:rFonts w:ascii="Times New Roman" w:hAnsi="Times New Roman"/>
          <w:kern w:val="0"/>
          <w:sz w:val="22"/>
          <w:lang w:val="lt-LT"/>
          <w14:ligatures w14:val="none"/>
        </w:rPr>
        <w:t xml:space="preserve"> ricinos aliejaus</w:t>
      </w:r>
      <w:r w:rsidRPr="00F931D9" w:rsidDel="006E0DAB">
        <w:rPr>
          <w:rFonts w:ascii="Times New Roman" w:hAnsi="Times New Roman"/>
          <w:kern w:val="0"/>
          <w:sz w:val="22"/>
          <w:lang w:val="lt-LT"/>
          <w14:ligatures w14:val="none"/>
        </w:rPr>
        <w:t xml:space="preserve"> </w:t>
      </w:r>
      <w:r w:rsidRPr="00F931D9">
        <w:rPr>
          <w:rFonts w:ascii="Times New Roman" w:hAnsi="Times New Roman"/>
          <w:kern w:val="0"/>
          <w:sz w:val="22"/>
          <w:lang w:val="lt-LT"/>
          <w14:ligatures w14:val="none"/>
        </w:rPr>
        <w:t>(išsamesnės informacijos žr. pakuotės lapelį).</w:t>
      </w:r>
    </w:p>
    <w:p w14:paraId="703E2A8D" w14:textId="77777777" w:rsidR="00323207" w:rsidRPr="00F931D9" w:rsidRDefault="00323207" w:rsidP="00323207">
      <w:pPr>
        <w:spacing w:after="0" w:line="240" w:lineRule="auto"/>
        <w:rPr>
          <w:rFonts w:ascii="Times New Roman" w:hAnsi="Times New Roman"/>
          <w:kern w:val="0"/>
          <w:sz w:val="22"/>
          <w:lang w:val="es-ES"/>
          <w14:ligatures w14:val="none"/>
        </w:rPr>
      </w:pPr>
    </w:p>
    <w:p w14:paraId="1BF345C2" w14:textId="77777777" w:rsidR="00323207" w:rsidRPr="00F931D9" w:rsidRDefault="00323207" w:rsidP="00323207">
      <w:pPr>
        <w:spacing w:after="0" w:line="240" w:lineRule="auto"/>
        <w:rPr>
          <w:rFonts w:ascii="Times New Roman" w:hAnsi="Times New Roman"/>
          <w:kern w:val="0"/>
          <w:sz w:val="22"/>
          <w:lang w:val="es-ES"/>
          <w14:ligatures w14:val="none"/>
        </w:rPr>
      </w:pPr>
    </w:p>
    <w:p w14:paraId="5EC7D18E" w14:textId="77777777" w:rsidR="00323207" w:rsidRPr="00F931D9" w:rsidRDefault="00323207" w:rsidP="0032320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kern w:val="0"/>
          <w:sz w:val="22"/>
          <w:lang w:val="lt-LT"/>
          <w14:ligatures w14:val="none"/>
        </w:rPr>
      </w:pPr>
      <w:r w:rsidRPr="00F931D9">
        <w:rPr>
          <w:rFonts w:ascii="Times New Roman" w:hAnsi="Times New Roman"/>
          <w:b/>
          <w:kern w:val="0"/>
          <w:sz w:val="22"/>
          <w:lang w:val="lt-LT"/>
          <w14:ligatures w14:val="none"/>
        </w:rPr>
        <w:t>4.</w:t>
      </w:r>
      <w:r w:rsidRPr="00F931D9">
        <w:rPr>
          <w:rFonts w:ascii="Times New Roman" w:hAnsi="Times New Roman"/>
          <w:b/>
          <w:kern w:val="0"/>
          <w:sz w:val="22"/>
          <w:lang w:val="lt-LT"/>
          <w14:ligatures w14:val="none"/>
        </w:rPr>
        <w:tab/>
        <w:t>FARMACINĖ FORMA IR KIEKIS PAKUOTĖJE</w:t>
      </w:r>
    </w:p>
    <w:p w14:paraId="32BF29A0" w14:textId="77777777" w:rsidR="00323207" w:rsidRPr="00F931D9" w:rsidRDefault="00323207" w:rsidP="00323207">
      <w:pPr>
        <w:spacing w:after="0" w:line="240" w:lineRule="auto"/>
        <w:rPr>
          <w:rFonts w:ascii="Times New Roman" w:hAnsi="Times New Roman"/>
          <w:kern w:val="0"/>
          <w:sz w:val="22"/>
          <w:lang w:val="es-ES"/>
          <w14:ligatures w14:val="none"/>
        </w:rPr>
      </w:pPr>
    </w:p>
    <w:p w14:paraId="6AACAE52" w14:textId="77777777" w:rsidR="00323207" w:rsidRPr="00F931D9" w:rsidRDefault="00323207" w:rsidP="00323207">
      <w:pPr>
        <w:spacing w:after="0" w:line="240" w:lineRule="auto"/>
        <w:rPr>
          <w:rFonts w:ascii="Times New Roman" w:hAnsi="Times New Roman"/>
          <w:kern w:val="0"/>
          <w:sz w:val="22"/>
          <w:lang w:val="es-ES"/>
          <w14:ligatures w14:val="none"/>
        </w:rPr>
      </w:pPr>
      <w:r w:rsidRPr="00F931D9">
        <w:rPr>
          <w:rFonts w:ascii="Times New Roman" w:hAnsi="Times New Roman"/>
          <w:kern w:val="0"/>
          <w:sz w:val="22"/>
          <w:highlight w:val="lightGray"/>
          <w:lang w:val="es-ES"/>
          <w14:ligatures w14:val="none"/>
        </w:rPr>
        <w:t>Minkštoji kapsulė</w:t>
      </w:r>
    </w:p>
    <w:p w14:paraId="7DA87FC3" w14:textId="77777777" w:rsidR="00323207" w:rsidRPr="00F931D9" w:rsidRDefault="00323207" w:rsidP="00323207">
      <w:pPr>
        <w:spacing w:after="0" w:line="240" w:lineRule="auto"/>
        <w:rPr>
          <w:rFonts w:ascii="Times New Roman" w:hAnsi="Times New Roman"/>
          <w:kern w:val="0"/>
          <w:sz w:val="22"/>
          <w:lang w:val="es-ES"/>
          <w14:ligatures w14:val="none"/>
        </w:rPr>
      </w:pPr>
      <w:r w:rsidRPr="00F931D9">
        <w:rPr>
          <w:rFonts w:ascii="Times New Roman" w:hAnsi="Times New Roman"/>
          <w:kern w:val="0"/>
          <w:sz w:val="22"/>
          <w:lang w:val="es-ES"/>
          <w14:ligatures w14:val="none"/>
        </w:rPr>
        <w:t>50 minkštųj</w:t>
      </w:r>
      <w:r w:rsidRPr="00F931D9">
        <w:rPr>
          <w:rFonts w:ascii="Times New Roman" w:hAnsi="Times New Roman"/>
          <w:kern w:val="0"/>
          <w:sz w:val="22"/>
          <w:lang w:val="lt-LT"/>
          <w14:ligatures w14:val="none"/>
        </w:rPr>
        <w:t>ų</w:t>
      </w:r>
      <w:r w:rsidRPr="00F931D9">
        <w:rPr>
          <w:rFonts w:ascii="Times New Roman" w:hAnsi="Times New Roman"/>
          <w:kern w:val="0"/>
          <w:sz w:val="22"/>
          <w:lang w:val="es-ES"/>
          <w14:ligatures w14:val="none"/>
        </w:rPr>
        <w:t xml:space="preserve"> kapsulių.</w:t>
      </w:r>
    </w:p>
    <w:p w14:paraId="443A6555" w14:textId="77777777" w:rsidR="00323207" w:rsidRPr="00F931D9" w:rsidRDefault="00323207" w:rsidP="00323207">
      <w:pPr>
        <w:spacing w:after="0" w:line="240" w:lineRule="auto"/>
        <w:rPr>
          <w:rFonts w:ascii="Times New Roman" w:hAnsi="Times New Roman"/>
          <w:kern w:val="0"/>
          <w:sz w:val="22"/>
          <w:lang w:val="es-ES"/>
          <w14:ligatures w14:val="none"/>
        </w:rPr>
      </w:pPr>
    </w:p>
    <w:p w14:paraId="0F4E53B6" w14:textId="77777777" w:rsidR="00323207" w:rsidRPr="00F931D9" w:rsidRDefault="00323207" w:rsidP="00323207">
      <w:pPr>
        <w:spacing w:after="0" w:line="240" w:lineRule="auto"/>
        <w:rPr>
          <w:rFonts w:ascii="Times New Roman" w:hAnsi="Times New Roman"/>
          <w:kern w:val="0"/>
          <w:sz w:val="22"/>
          <w:lang w:val="es-ES"/>
          <w14:ligatures w14:val="none"/>
        </w:rPr>
      </w:pPr>
    </w:p>
    <w:p w14:paraId="4AEE1AD3" w14:textId="77777777" w:rsidR="00323207" w:rsidRPr="00F931D9" w:rsidRDefault="00323207" w:rsidP="0032320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kern w:val="0"/>
          <w:sz w:val="22"/>
          <w:lang w:val="lt-LT"/>
          <w14:ligatures w14:val="none"/>
        </w:rPr>
      </w:pPr>
      <w:r w:rsidRPr="00F931D9">
        <w:rPr>
          <w:rFonts w:ascii="Times New Roman" w:hAnsi="Times New Roman"/>
          <w:b/>
          <w:kern w:val="0"/>
          <w:sz w:val="22"/>
          <w:lang w:val="lt-LT"/>
          <w14:ligatures w14:val="none"/>
        </w:rPr>
        <w:t>5.</w:t>
      </w:r>
      <w:r w:rsidRPr="00F931D9">
        <w:rPr>
          <w:rFonts w:ascii="Times New Roman" w:hAnsi="Times New Roman"/>
          <w:b/>
          <w:kern w:val="0"/>
          <w:sz w:val="22"/>
          <w:lang w:val="lt-LT"/>
          <w14:ligatures w14:val="none"/>
        </w:rPr>
        <w:tab/>
        <w:t>VARTOJIMO METODAS IR BŪDAS (-AI)</w:t>
      </w:r>
    </w:p>
    <w:p w14:paraId="2B87E2DA" w14:textId="77777777" w:rsidR="00323207" w:rsidRPr="00F931D9" w:rsidRDefault="00323207" w:rsidP="00323207">
      <w:pPr>
        <w:spacing w:after="0" w:line="240" w:lineRule="auto"/>
        <w:rPr>
          <w:rFonts w:ascii="Times New Roman" w:hAnsi="Times New Roman"/>
          <w:kern w:val="0"/>
          <w:sz w:val="22"/>
          <w:lang w:val="es-ES"/>
          <w14:ligatures w14:val="none"/>
        </w:rPr>
      </w:pPr>
    </w:p>
    <w:p w14:paraId="171682A4" w14:textId="77777777" w:rsidR="00323207" w:rsidRPr="00F931D9" w:rsidRDefault="00323207" w:rsidP="00323207">
      <w:pPr>
        <w:spacing w:after="0" w:line="240" w:lineRule="auto"/>
        <w:rPr>
          <w:rFonts w:ascii="Times New Roman" w:hAnsi="Times New Roman"/>
          <w:kern w:val="0"/>
          <w:sz w:val="22"/>
          <w:lang w:val="es-ES"/>
          <w14:ligatures w14:val="none"/>
        </w:rPr>
      </w:pPr>
      <w:r w:rsidRPr="00F931D9">
        <w:rPr>
          <w:rFonts w:ascii="Times New Roman" w:hAnsi="Times New Roman"/>
          <w:kern w:val="0"/>
          <w:sz w:val="22"/>
          <w:lang w:val="es-ES"/>
          <w14:ligatures w14:val="none"/>
        </w:rPr>
        <w:t>Vartoti per burną.</w:t>
      </w:r>
    </w:p>
    <w:p w14:paraId="559E7EF4" w14:textId="77777777" w:rsidR="00323207" w:rsidRPr="00F931D9" w:rsidRDefault="00323207" w:rsidP="00323207">
      <w:pPr>
        <w:spacing w:after="0" w:line="240" w:lineRule="auto"/>
        <w:rPr>
          <w:rFonts w:ascii="Times New Roman" w:hAnsi="Times New Roman"/>
          <w:kern w:val="0"/>
          <w:sz w:val="22"/>
          <w:lang w:val="es-ES"/>
          <w14:ligatures w14:val="none"/>
        </w:rPr>
      </w:pPr>
    </w:p>
    <w:p w14:paraId="3C794B61" w14:textId="77777777" w:rsidR="00323207" w:rsidRPr="00F931D9" w:rsidRDefault="00323207" w:rsidP="00323207">
      <w:pPr>
        <w:spacing w:after="0" w:line="240" w:lineRule="auto"/>
        <w:rPr>
          <w:rFonts w:ascii="Times New Roman" w:hAnsi="Times New Roman"/>
          <w:kern w:val="0"/>
          <w:sz w:val="22"/>
          <w:lang w:val="es-ES"/>
          <w14:ligatures w14:val="none"/>
        </w:rPr>
      </w:pPr>
      <w:r w:rsidRPr="00F931D9">
        <w:rPr>
          <w:rFonts w:ascii="Times New Roman" w:hAnsi="Times New Roman"/>
          <w:kern w:val="0"/>
          <w:sz w:val="22"/>
          <w:lang w:val="es-ES"/>
          <w14:ligatures w14:val="none"/>
        </w:rPr>
        <w:t>Prieš vartojimą perskaitykite pakuotės lapelį.</w:t>
      </w:r>
    </w:p>
    <w:p w14:paraId="144DA1EE" w14:textId="77777777" w:rsidR="00323207" w:rsidRPr="00F931D9" w:rsidRDefault="00323207" w:rsidP="00323207">
      <w:pPr>
        <w:spacing w:after="0" w:line="240" w:lineRule="auto"/>
        <w:rPr>
          <w:rFonts w:ascii="Times New Roman" w:hAnsi="Times New Roman"/>
          <w:kern w:val="0"/>
          <w:sz w:val="22"/>
          <w:lang w:val="es-ES"/>
          <w14:ligatures w14:val="none"/>
        </w:rPr>
      </w:pPr>
    </w:p>
    <w:p w14:paraId="0149EB33" w14:textId="77777777" w:rsidR="00323207" w:rsidRPr="00F931D9" w:rsidRDefault="00323207" w:rsidP="00323207">
      <w:pPr>
        <w:spacing w:after="0" w:line="240" w:lineRule="auto"/>
        <w:rPr>
          <w:rFonts w:ascii="Times New Roman" w:hAnsi="Times New Roman"/>
          <w:kern w:val="0"/>
          <w:sz w:val="22"/>
          <w:lang w:val="es-ES"/>
          <w14:ligatures w14:val="none"/>
        </w:rPr>
      </w:pPr>
    </w:p>
    <w:p w14:paraId="0BD0BECD" w14:textId="77777777" w:rsidR="00323207" w:rsidRPr="00F931D9" w:rsidRDefault="00323207" w:rsidP="0032320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kern w:val="0"/>
          <w:sz w:val="22"/>
          <w:lang w:val="lt-LT"/>
          <w14:ligatures w14:val="none"/>
        </w:rPr>
      </w:pPr>
      <w:r w:rsidRPr="00F931D9">
        <w:rPr>
          <w:rFonts w:ascii="Times New Roman" w:hAnsi="Times New Roman"/>
          <w:b/>
          <w:kern w:val="0"/>
          <w:sz w:val="22"/>
          <w:lang w:val="lt-LT"/>
          <w14:ligatures w14:val="none"/>
        </w:rPr>
        <w:t>6.</w:t>
      </w:r>
      <w:r w:rsidRPr="00F931D9">
        <w:rPr>
          <w:rFonts w:ascii="Times New Roman" w:hAnsi="Times New Roman"/>
          <w:b/>
          <w:kern w:val="0"/>
          <w:sz w:val="22"/>
          <w:lang w:val="lt-LT"/>
          <w14:ligatures w14:val="none"/>
        </w:rPr>
        <w:tab/>
        <w:t>SPECIALUS ĮSPĖJIMAS, KAD VAISTINĮ PREPARATĄ BŪTINA LAIKYTI VAIKAMS NEPASTEBIMOJE IR NEPASIEKIAMOJE VIETOJE</w:t>
      </w:r>
    </w:p>
    <w:p w14:paraId="62346596" w14:textId="77777777" w:rsidR="00323207" w:rsidRPr="00F931D9" w:rsidRDefault="00323207" w:rsidP="00323207">
      <w:pPr>
        <w:spacing w:after="0" w:line="240" w:lineRule="auto"/>
        <w:rPr>
          <w:rFonts w:ascii="Times New Roman" w:hAnsi="Times New Roman"/>
          <w:kern w:val="0"/>
          <w:sz w:val="22"/>
          <w:lang w:val="es-ES"/>
          <w14:ligatures w14:val="none"/>
        </w:rPr>
      </w:pPr>
    </w:p>
    <w:p w14:paraId="0F2A09CB" w14:textId="77777777" w:rsidR="00323207" w:rsidRPr="00F931D9" w:rsidRDefault="00323207" w:rsidP="00323207">
      <w:pPr>
        <w:spacing w:after="0" w:line="240" w:lineRule="auto"/>
        <w:outlineLvl w:val="0"/>
        <w:rPr>
          <w:rFonts w:ascii="Times New Roman" w:hAnsi="Times New Roman"/>
          <w:kern w:val="0"/>
          <w:sz w:val="22"/>
          <w:lang w:val="lt-LT"/>
          <w14:ligatures w14:val="none"/>
        </w:rPr>
      </w:pPr>
      <w:r w:rsidRPr="00F931D9">
        <w:rPr>
          <w:rFonts w:ascii="Times New Roman" w:hAnsi="Times New Roman"/>
          <w:kern w:val="0"/>
          <w:sz w:val="22"/>
          <w:lang w:val="lt-LT"/>
          <w14:ligatures w14:val="none"/>
        </w:rPr>
        <w:t>Laikyti vaikams nepastebimoje ir nepasiekiamoje vietoje.</w:t>
      </w:r>
    </w:p>
    <w:p w14:paraId="5AC667E4" w14:textId="77777777" w:rsidR="00323207" w:rsidRPr="00F931D9" w:rsidRDefault="00323207" w:rsidP="00323207">
      <w:pPr>
        <w:spacing w:after="0" w:line="240" w:lineRule="auto"/>
        <w:rPr>
          <w:rFonts w:ascii="Times New Roman" w:hAnsi="Times New Roman"/>
          <w:kern w:val="0"/>
          <w:sz w:val="22"/>
          <w:lang w:val="lt-LT"/>
          <w14:ligatures w14:val="none"/>
        </w:rPr>
      </w:pPr>
    </w:p>
    <w:p w14:paraId="088C8A0C" w14:textId="77777777" w:rsidR="00323207" w:rsidRPr="00F931D9" w:rsidRDefault="00323207" w:rsidP="00323207">
      <w:pPr>
        <w:spacing w:after="0" w:line="240" w:lineRule="auto"/>
        <w:rPr>
          <w:rFonts w:ascii="Times New Roman" w:hAnsi="Times New Roman"/>
          <w:kern w:val="0"/>
          <w:sz w:val="22"/>
          <w:lang w:val="lt-LT"/>
          <w14:ligatures w14:val="none"/>
        </w:rPr>
      </w:pPr>
    </w:p>
    <w:p w14:paraId="12989746" w14:textId="77777777" w:rsidR="00323207" w:rsidRPr="00F931D9" w:rsidRDefault="00323207" w:rsidP="0032320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kern w:val="0"/>
          <w:sz w:val="22"/>
          <w:highlight w:val="lightGray"/>
          <w:lang w:val="lt-LT"/>
          <w14:ligatures w14:val="none"/>
        </w:rPr>
      </w:pPr>
      <w:r w:rsidRPr="00F931D9">
        <w:rPr>
          <w:rFonts w:ascii="Times New Roman" w:hAnsi="Times New Roman"/>
          <w:b/>
          <w:kern w:val="0"/>
          <w:sz w:val="22"/>
          <w:lang w:val="lt-LT"/>
          <w14:ligatures w14:val="none"/>
        </w:rPr>
        <w:t>7.</w:t>
      </w:r>
      <w:r w:rsidRPr="00F931D9">
        <w:rPr>
          <w:rFonts w:ascii="Times New Roman" w:hAnsi="Times New Roman"/>
          <w:b/>
          <w:kern w:val="0"/>
          <w:sz w:val="22"/>
          <w:lang w:val="lt-LT"/>
          <w14:ligatures w14:val="none"/>
        </w:rPr>
        <w:tab/>
        <w:t>KITAS (-I) SPECIALUS (-ŪS) ĮSPĖJIMAS (-AI) (JEI REIKIA)</w:t>
      </w:r>
    </w:p>
    <w:p w14:paraId="02F012A7" w14:textId="77777777" w:rsidR="00323207" w:rsidRPr="00F931D9" w:rsidRDefault="00323207" w:rsidP="00323207">
      <w:pPr>
        <w:spacing w:after="0" w:line="240" w:lineRule="auto"/>
        <w:rPr>
          <w:rFonts w:ascii="Times New Roman" w:hAnsi="Times New Roman"/>
          <w:kern w:val="0"/>
          <w:sz w:val="22"/>
          <w:lang w:val="lt-LT"/>
          <w14:ligatures w14:val="none"/>
        </w:rPr>
      </w:pPr>
    </w:p>
    <w:p w14:paraId="4F084950" w14:textId="77777777" w:rsidR="00323207" w:rsidRPr="00F931D9" w:rsidRDefault="00323207" w:rsidP="00323207">
      <w:p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Kapsulę reikia išimti prieš pat vartojimą.</w:t>
      </w:r>
    </w:p>
    <w:p w14:paraId="0BF16832" w14:textId="77777777" w:rsidR="00323207" w:rsidRPr="00F931D9" w:rsidRDefault="00323207" w:rsidP="00323207">
      <w:pPr>
        <w:spacing w:after="0" w:line="240" w:lineRule="auto"/>
        <w:rPr>
          <w:rFonts w:ascii="Times New Roman" w:hAnsi="Times New Roman"/>
          <w:kern w:val="0"/>
          <w:sz w:val="22"/>
          <w:lang w:val="lt-LT"/>
          <w14:ligatures w14:val="none"/>
        </w:rPr>
      </w:pPr>
    </w:p>
    <w:p w14:paraId="47370062" w14:textId="77777777" w:rsidR="00323207" w:rsidRPr="00F931D9" w:rsidRDefault="00323207" w:rsidP="00323207">
      <w:pPr>
        <w:spacing w:after="0" w:line="240" w:lineRule="auto"/>
        <w:rPr>
          <w:rFonts w:ascii="Times New Roman" w:hAnsi="Times New Roman"/>
          <w:kern w:val="0"/>
          <w:sz w:val="22"/>
          <w:lang w:val="lt-LT"/>
          <w14:ligatures w14:val="none"/>
        </w:rPr>
      </w:pPr>
    </w:p>
    <w:p w14:paraId="24168E9D" w14:textId="77777777" w:rsidR="00323207" w:rsidRPr="00F931D9" w:rsidRDefault="00323207" w:rsidP="0032320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kern w:val="0"/>
          <w:sz w:val="22"/>
          <w:lang w:val="lt-LT"/>
          <w14:ligatures w14:val="none"/>
        </w:rPr>
      </w:pPr>
      <w:r w:rsidRPr="00F931D9">
        <w:rPr>
          <w:rFonts w:ascii="Times New Roman" w:hAnsi="Times New Roman"/>
          <w:b/>
          <w:kern w:val="0"/>
          <w:sz w:val="22"/>
          <w:lang w:val="lt-LT"/>
          <w14:ligatures w14:val="none"/>
        </w:rPr>
        <w:t>8.</w:t>
      </w:r>
      <w:r w:rsidRPr="00F931D9">
        <w:rPr>
          <w:rFonts w:ascii="Times New Roman" w:hAnsi="Times New Roman"/>
          <w:b/>
          <w:kern w:val="0"/>
          <w:sz w:val="22"/>
          <w:lang w:val="lt-LT"/>
          <w14:ligatures w14:val="none"/>
        </w:rPr>
        <w:tab/>
        <w:t>TINKAMUMO LAIKAS</w:t>
      </w:r>
    </w:p>
    <w:p w14:paraId="1069DCCD" w14:textId="77777777" w:rsidR="00323207" w:rsidRPr="00F931D9" w:rsidRDefault="00323207" w:rsidP="00323207">
      <w:pPr>
        <w:spacing w:after="0" w:line="240" w:lineRule="auto"/>
        <w:rPr>
          <w:rFonts w:ascii="Times New Roman" w:hAnsi="Times New Roman"/>
          <w:kern w:val="0"/>
          <w:sz w:val="22"/>
          <w:lang w:val="lt-LT"/>
          <w14:ligatures w14:val="none"/>
        </w:rPr>
      </w:pPr>
    </w:p>
    <w:p w14:paraId="48486E0D" w14:textId="77777777" w:rsidR="00323207" w:rsidRPr="00F931D9" w:rsidRDefault="00323207" w:rsidP="00323207">
      <w:pPr>
        <w:spacing w:after="0" w:line="240" w:lineRule="auto"/>
        <w:ind w:left="567" w:hanging="567"/>
        <w:outlineLvl w:val="0"/>
        <w:rPr>
          <w:rFonts w:ascii="Times New Roman" w:hAnsi="Times New Roman"/>
          <w:kern w:val="0"/>
          <w:sz w:val="22"/>
          <w:lang w:val="lt-LT"/>
          <w14:ligatures w14:val="none"/>
        </w:rPr>
      </w:pPr>
      <w:r w:rsidRPr="00F931D9">
        <w:rPr>
          <w:rFonts w:ascii="Times New Roman" w:hAnsi="Times New Roman"/>
          <w:kern w:val="0"/>
          <w:sz w:val="22"/>
          <w:lang w:val="lt-LT"/>
          <w14:ligatures w14:val="none"/>
        </w:rPr>
        <w:t>EXP {mm MMMM}</w:t>
      </w:r>
    </w:p>
    <w:p w14:paraId="1DB2D0CD" w14:textId="77777777" w:rsidR="00323207" w:rsidRPr="00F931D9" w:rsidRDefault="00323207" w:rsidP="00323207">
      <w:pPr>
        <w:spacing w:after="0" w:line="240" w:lineRule="auto"/>
        <w:ind w:left="567" w:hanging="567"/>
        <w:outlineLvl w:val="0"/>
        <w:rPr>
          <w:rFonts w:ascii="Times New Roman" w:hAnsi="Times New Roman"/>
          <w:kern w:val="0"/>
          <w:sz w:val="22"/>
          <w:lang w:val="lt-LT"/>
          <w14:ligatures w14:val="none"/>
        </w:rPr>
      </w:pPr>
    </w:p>
    <w:p w14:paraId="70010769" w14:textId="77777777" w:rsidR="00323207" w:rsidRPr="00F931D9" w:rsidRDefault="00323207" w:rsidP="00323207">
      <w:pPr>
        <w:spacing w:after="0" w:line="240" w:lineRule="auto"/>
        <w:rPr>
          <w:rFonts w:ascii="Times New Roman" w:hAnsi="Times New Roman"/>
          <w:kern w:val="0"/>
          <w:sz w:val="22"/>
          <w:lang w:val="lt-LT"/>
          <w14:ligatures w14:val="none"/>
        </w:rPr>
      </w:pPr>
    </w:p>
    <w:p w14:paraId="72863729"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b/>
          <w:kern w:val="0"/>
          <w:sz w:val="22"/>
          <w:lang w:val="lt-LT"/>
          <w14:ligatures w14:val="none"/>
        </w:rPr>
        <w:lastRenderedPageBreak/>
        <w:t>9.</w:t>
      </w:r>
      <w:r w:rsidRPr="00F931D9">
        <w:rPr>
          <w:rFonts w:ascii="Times New Roman" w:hAnsi="Times New Roman"/>
          <w:b/>
          <w:kern w:val="0"/>
          <w:sz w:val="22"/>
          <w:lang w:val="lt-LT"/>
          <w14:ligatures w14:val="none"/>
        </w:rPr>
        <w:tab/>
      </w:r>
      <w:r w:rsidRPr="00F931D9">
        <w:rPr>
          <w:rFonts w:ascii="Times New Roman" w:hAnsi="Times New Roman"/>
          <w:b/>
          <w:caps/>
          <w:kern w:val="0"/>
          <w:sz w:val="22"/>
          <w:lang w:val="lt-LT"/>
          <w14:ligatures w14:val="none"/>
        </w:rPr>
        <w:t>SPECIALIOS laikymo sąlygos</w:t>
      </w:r>
    </w:p>
    <w:p w14:paraId="21FF0F04" w14:textId="77777777" w:rsidR="00323207" w:rsidRPr="00F931D9" w:rsidRDefault="00323207" w:rsidP="00323207">
      <w:pPr>
        <w:spacing w:after="0" w:line="240" w:lineRule="auto"/>
        <w:rPr>
          <w:rFonts w:ascii="Times New Roman" w:hAnsi="Times New Roman"/>
          <w:kern w:val="0"/>
          <w:sz w:val="22"/>
          <w:lang w:val="lt-LT"/>
          <w14:ligatures w14:val="none"/>
        </w:rPr>
      </w:pPr>
    </w:p>
    <w:p w14:paraId="50EFCE50"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Laikyti ne aukštesnėje kaip 25 ºC temperatūroje.</w:t>
      </w:r>
    </w:p>
    <w:p w14:paraId="1ACAC64E" w14:textId="77777777" w:rsidR="00323207" w:rsidRPr="00F931D9" w:rsidRDefault="00323207" w:rsidP="00323207">
      <w:p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Laikyti gamintojo pakuotėje, kad vaistas būtų apsaugotas nuo drėgmės.</w:t>
      </w:r>
    </w:p>
    <w:p w14:paraId="70265FBF" w14:textId="77777777" w:rsidR="00323207" w:rsidRPr="00F931D9" w:rsidRDefault="00323207" w:rsidP="00323207">
      <w:pPr>
        <w:spacing w:after="0" w:line="240" w:lineRule="auto"/>
        <w:ind w:left="567" w:hanging="567"/>
        <w:rPr>
          <w:rFonts w:ascii="Times New Roman" w:hAnsi="Times New Roman"/>
          <w:i/>
          <w:kern w:val="0"/>
          <w:sz w:val="22"/>
          <w:lang w:val="lt-LT"/>
          <w14:ligatures w14:val="none"/>
        </w:rPr>
      </w:pPr>
    </w:p>
    <w:p w14:paraId="0B34122F" w14:textId="77777777" w:rsidR="00323207" w:rsidRPr="00F931D9" w:rsidRDefault="00323207" w:rsidP="00323207">
      <w:pPr>
        <w:spacing w:after="0" w:line="240" w:lineRule="auto"/>
        <w:ind w:left="567" w:hanging="567"/>
        <w:rPr>
          <w:rFonts w:ascii="Times New Roman" w:hAnsi="Times New Roman"/>
          <w:kern w:val="0"/>
          <w:sz w:val="22"/>
          <w:lang w:val="lt-LT"/>
          <w14:ligatures w14:val="none"/>
        </w:rPr>
      </w:pPr>
    </w:p>
    <w:p w14:paraId="67AA48D9" w14:textId="77777777" w:rsidR="00323207" w:rsidRPr="00F931D9" w:rsidRDefault="00323207" w:rsidP="0032320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10.</w:t>
      </w:r>
      <w:r w:rsidRPr="00F931D9">
        <w:rPr>
          <w:rFonts w:ascii="Times New Roman" w:hAnsi="Times New Roman"/>
          <w:b/>
          <w:kern w:val="0"/>
          <w:sz w:val="22"/>
          <w:lang w:val="lt-LT"/>
          <w14:ligatures w14:val="none"/>
        </w:rPr>
        <w:tab/>
      </w:r>
      <w:r w:rsidRPr="00F931D9">
        <w:rPr>
          <w:rFonts w:ascii="Times New Roman" w:hAnsi="Times New Roman"/>
          <w:b/>
          <w:caps/>
          <w:kern w:val="0"/>
          <w:sz w:val="22"/>
          <w:lang w:val="lt-LT"/>
          <w14:ligatures w14:val="none"/>
        </w:rPr>
        <w:t>specialios atsargumo priemonės DĖL NESUVARTOTO</w:t>
      </w:r>
      <w:r w:rsidRPr="00F931D9">
        <w:rPr>
          <w:rFonts w:ascii="Times New Roman" w:hAnsi="Times New Roman"/>
          <w:b/>
          <w:kern w:val="0"/>
          <w:sz w:val="22"/>
          <w:lang w:val="lt-LT"/>
          <w14:ligatures w14:val="none"/>
        </w:rPr>
        <w:t xml:space="preserve"> </w:t>
      </w:r>
      <w:r w:rsidRPr="00F931D9">
        <w:rPr>
          <w:rFonts w:ascii="Times New Roman" w:hAnsi="Times New Roman"/>
          <w:b/>
          <w:caps/>
          <w:kern w:val="0"/>
          <w:sz w:val="22"/>
          <w:lang w:val="lt-LT"/>
          <w14:ligatures w14:val="none"/>
        </w:rPr>
        <w:t>VAISTINIO PREPARATO AR JO ATLIEKų</w:t>
      </w:r>
      <w:r w:rsidRPr="00F931D9">
        <w:rPr>
          <w:rFonts w:ascii="Times New Roman" w:hAnsi="Times New Roman"/>
          <w:caps/>
          <w:kern w:val="0"/>
          <w:sz w:val="22"/>
          <w:lang w:val="lt-LT"/>
          <w14:ligatures w14:val="none"/>
        </w:rPr>
        <w:t xml:space="preserve"> </w:t>
      </w:r>
      <w:r w:rsidRPr="00F931D9">
        <w:rPr>
          <w:rFonts w:ascii="Times New Roman" w:hAnsi="Times New Roman"/>
          <w:b/>
          <w:caps/>
          <w:kern w:val="0"/>
          <w:sz w:val="22"/>
          <w:lang w:val="lt-LT"/>
          <w14:ligatures w14:val="none"/>
        </w:rPr>
        <w:t>TVARKYMO (jei reikia)</w:t>
      </w:r>
    </w:p>
    <w:p w14:paraId="0AB99A61" w14:textId="77777777" w:rsidR="00323207" w:rsidRPr="00F931D9" w:rsidRDefault="00323207" w:rsidP="00323207">
      <w:pPr>
        <w:spacing w:after="0" w:line="240" w:lineRule="auto"/>
        <w:rPr>
          <w:rFonts w:ascii="Times New Roman" w:hAnsi="Times New Roman"/>
          <w:kern w:val="0"/>
          <w:sz w:val="22"/>
          <w:lang w:val="lt-LT"/>
          <w14:ligatures w14:val="none"/>
        </w:rPr>
      </w:pPr>
    </w:p>
    <w:p w14:paraId="0D644426" w14:textId="77777777" w:rsidR="00323207" w:rsidRPr="00F931D9" w:rsidRDefault="00323207" w:rsidP="00323207">
      <w:pPr>
        <w:spacing w:after="0" w:line="240" w:lineRule="auto"/>
        <w:rPr>
          <w:rFonts w:ascii="Times New Roman" w:hAnsi="Times New Roman"/>
          <w:kern w:val="0"/>
          <w:sz w:val="22"/>
          <w:lang w:val="lt-LT"/>
          <w14:ligatures w14:val="none"/>
        </w:rPr>
      </w:pPr>
    </w:p>
    <w:p w14:paraId="5A970F2A" w14:textId="77777777" w:rsidR="00323207" w:rsidRPr="00F931D9" w:rsidRDefault="00323207" w:rsidP="00323207">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11.</w:t>
      </w:r>
      <w:r w:rsidRPr="00F931D9">
        <w:rPr>
          <w:rFonts w:ascii="Times New Roman" w:hAnsi="Times New Roman"/>
          <w:b/>
          <w:kern w:val="0"/>
          <w:sz w:val="22"/>
          <w:lang w:val="lt-LT"/>
          <w14:ligatures w14:val="none"/>
        </w:rPr>
        <w:tab/>
      </w:r>
      <w:r w:rsidRPr="00F931D9">
        <w:rPr>
          <w:rFonts w:ascii="Times New Roman" w:hAnsi="Times New Roman"/>
          <w:b/>
          <w:caps/>
          <w:kern w:val="0"/>
          <w:sz w:val="22"/>
          <w:lang w:val="lt-LT"/>
          <w14:ligatures w14:val="none"/>
        </w:rPr>
        <w:t>REGISTRUOTOJO pavadinimas ir adresas</w:t>
      </w:r>
    </w:p>
    <w:p w14:paraId="702DA249" w14:textId="77777777" w:rsidR="00323207" w:rsidRPr="00F931D9" w:rsidRDefault="00323207" w:rsidP="00323207">
      <w:pPr>
        <w:spacing w:after="0" w:line="240" w:lineRule="auto"/>
        <w:rPr>
          <w:rFonts w:ascii="Times New Roman" w:hAnsi="Times New Roman"/>
          <w:kern w:val="0"/>
          <w:sz w:val="22"/>
          <w:lang w:val="es-ES"/>
          <w14:ligatures w14:val="none"/>
        </w:rPr>
      </w:pPr>
    </w:p>
    <w:p w14:paraId="21B7B72B" w14:textId="77777777" w:rsidR="00323207" w:rsidRPr="00F931D9" w:rsidRDefault="00323207" w:rsidP="00323207">
      <w:pPr>
        <w:spacing w:after="0" w:line="240" w:lineRule="auto"/>
        <w:rPr>
          <w:rFonts w:ascii="Times New Roman" w:hAnsi="Times New Roman"/>
          <w:kern w:val="0"/>
          <w:sz w:val="22"/>
          <w:lang w:val="es-ES"/>
          <w14:ligatures w14:val="none"/>
        </w:rPr>
      </w:pPr>
      <w:r w:rsidRPr="00F931D9">
        <w:rPr>
          <w:rFonts w:ascii="Times New Roman" w:hAnsi="Times New Roman"/>
          <w:kern w:val="0"/>
          <w:sz w:val="22"/>
          <w:lang w:val="es-ES"/>
          <w14:ligatures w14:val="none"/>
        </w:rPr>
        <w:t>SIA Novartis Baltics</w:t>
      </w:r>
    </w:p>
    <w:p w14:paraId="1FFAAEC9" w14:textId="77777777" w:rsidR="00323207" w:rsidRPr="00F931D9" w:rsidRDefault="00323207" w:rsidP="00323207">
      <w:pPr>
        <w:spacing w:after="0" w:line="240" w:lineRule="auto"/>
        <w:rPr>
          <w:rFonts w:ascii="Times New Roman" w:hAnsi="Times New Roman"/>
          <w:kern w:val="0"/>
          <w:sz w:val="22"/>
          <w:lang w:val="it-IT"/>
          <w14:ligatures w14:val="none"/>
        </w:rPr>
      </w:pPr>
      <w:r w:rsidRPr="00F931D9">
        <w:rPr>
          <w:rFonts w:ascii="Times New Roman" w:hAnsi="Times New Roman"/>
          <w:kern w:val="0"/>
          <w:sz w:val="22"/>
          <w:lang w:val="it-IT"/>
          <w14:ligatures w14:val="none"/>
        </w:rPr>
        <w:t>Skanstes iela 25</w:t>
      </w:r>
    </w:p>
    <w:p w14:paraId="6F101767" w14:textId="77777777" w:rsidR="00323207" w:rsidRPr="00F931D9" w:rsidRDefault="00323207" w:rsidP="00323207">
      <w:pPr>
        <w:spacing w:after="0" w:line="240" w:lineRule="auto"/>
        <w:rPr>
          <w:rFonts w:ascii="Times New Roman" w:hAnsi="Times New Roman"/>
          <w:kern w:val="0"/>
          <w:sz w:val="22"/>
          <w:lang w:val="it-IT"/>
          <w14:ligatures w14:val="none"/>
        </w:rPr>
      </w:pPr>
      <w:r w:rsidRPr="00F931D9">
        <w:rPr>
          <w:rFonts w:ascii="Times New Roman" w:hAnsi="Times New Roman"/>
          <w:kern w:val="0"/>
          <w:sz w:val="22"/>
          <w:lang w:val="it-IT"/>
          <w14:ligatures w14:val="none"/>
        </w:rPr>
        <w:t>LV-1013, Rīga</w:t>
      </w:r>
    </w:p>
    <w:p w14:paraId="575EC812"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it-IT"/>
          <w14:ligatures w14:val="none"/>
        </w:rPr>
        <w:t>Latvija</w:t>
      </w:r>
    </w:p>
    <w:p w14:paraId="6A2E4BE7" w14:textId="77777777" w:rsidR="00323207" w:rsidRPr="00F931D9" w:rsidRDefault="00323207" w:rsidP="00323207">
      <w:pPr>
        <w:spacing w:after="0" w:line="240" w:lineRule="auto"/>
        <w:rPr>
          <w:rFonts w:ascii="Times New Roman" w:hAnsi="Times New Roman"/>
          <w:kern w:val="0"/>
          <w:sz w:val="22"/>
          <w:lang w:val="it-IT"/>
          <w14:ligatures w14:val="none"/>
        </w:rPr>
      </w:pPr>
    </w:p>
    <w:p w14:paraId="0D22D64E" w14:textId="77777777" w:rsidR="00323207" w:rsidRPr="00F931D9" w:rsidRDefault="00323207" w:rsidP="00323207">
      <w:pPr>
        <w:spacing w:after="0" w:line="240" w:lineRule="auto"/>
        <w:rPr>
          <w:rFonts w:ascii="Times New Roman" w:hAnsi="Times New Roman"/>
          <w:kern w:val="0"/>
          <w:sz w:val="22"/>
          <w:lang w:val="it-IT"/>
          <w14:ligatures w14:val="none"/>
        </w:rPr>
      </w:pPr>
    </w:p>
    <w:p w14:paraId="0C842BB5" w14:textId="77777777" w:rsidR="00323207" w:rsidRPr="00F931D9" w:rsidRDefault="00323207" w:rsidP="00323207">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kern w:val="0"/>
          <w:sz w:val="22"/>
          <w:lang w:val="lt-LT"/>
          <w14:ligatures w14:val="none"/>
        </w:rPr>
      </w:pPr>
      <w:r w:rsidRPr="00F931D9">
        <w:rPr>
          <w:rFonts w:ascii="Times New Roman" w:hAnsi="Times New Roman"/>
          <w:b/>
          <w:kern w:val="0"/>
          <w:sz w:val="22"/>
          <w:lang w:val="lt-LT"/>
          <w14:ligatures w14:val="none"/>
        </w:rPr>
        <w:t>12.</w:t>
      </w:r>
      <w:r w:rsidRPr="00F931D9">
        <w:rPr>
          <w:rFonts w:ascii="Times New Roman" w:hAnsi="Times New Roman"/>
          <w:b/>
          <w:kern w:val="0"/>
          <w:sz w:val="22"/>
          <w:lang w:val="lt-LT"/>
          <w14:ligatures w14:val="none"/>
        </w:rPr>
        <w:tab/>
      </w:r>
      <w:r w:rsidRPr="00F931D9">
        <w:rPr>
          <w:rFonts w:ascii="Times New Roman" w:hAnsi="Times New Roman"/>
          <w:b/>
          <w:caps/>
          <w:kern w:val="0"/>
          <w:sz w:val="22"/>
          <w:lang w:val="lt-LT"/>
          <w14:ligatures w14:val="none"/>
        </w:rPr>
        <w:t>REGISTRACIJOS PAŽYMĖJIMO numeris</w:t>
      </w:r>
      <w:r w:rsidRPr="00F931D9">
        <w:rPr>
          <w:rFonts w:ascii="Times New Roman" w:hAnsi="Times New Roman"/>
          <w:b/>
          <w:kern w:val="0"/>
          <w:sz w:val="22"/>
          <w:lang w:val="lt-LT"/>
          <w14:ligatures w14:val="none"/>
        </w:rPr>
        <w:t xml:space="preserve"> (-IAI) </w:t>
      </w:r>
    </w:p>
    <w:p w14:paraId="458D692A" w14:textId="77777777" w:rsidR="00323207" w:rsidRPr="00F931D9" w:rsidRDefault="00323207" w:rsidP="00323207">
      <w:pPr>
        <w:spacing w:after="0" w:line="240" w:lineRule="auto"/>
        <w:rPr>
          <w:rFonts w:ascii="Times New Roman" w:hAnsi="Times New Roman"/>
          <w:kern w:val="0"/>
          <w:sz w:val="22"/>
          <w:lang w:val="it-IT"/>
          <w14:ligatures w14:val="none"/>
        </w:rPr>
      </w:pPr>
    </w:p>
    <w:p w14:paraId="5D0842C1" w14:textId="77777777" w:rsidR="00323207" w:rsidRPr="00F931D9" w:rsidRDefault="00323207" w:rsidP="00323207">
      <w:pPr>
        <w:shd w:val="clear" w:color="auto" w:fill="D9D9D9"/>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LT/1/94/1089/001</w:t>
      </w:r>
    </w:p>
    <w:p w14:paraId="20F5BF6E" w14:textId="77777777" w:rsidR="00323207" w:rsidRPr="00F931D9" w:rsidRDefault="00323207" w:rsidP="00323207">
      <w:pPr>
        <w:shd w:val="clear" w:color="auto" w:fill="BFBFBF"/>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LT/1/94/1089/002</w:t>
      </w:r>
    </w:p>
    <w:p w14:paraId="0EBDA639" w14:textId="77777777" w:rsidR="00323207" w:rsidRPr="00F931D9" w:rsidRDefault="00323207" w:rsidP="00323207">
      <w:pPr>
        <w:shd w:val="clear" w:color="auto" w:fill="A6A6A6"/>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LT/1/94/1089/003</w:t>
      </w:r>
    </w:p>
    <w:p w14:paraId="1C9E8238" w14:textId="77777777" w:rsidR="00323207" w:rsidRPr="00F931D9" w:rsidRDefault="00323207" w:rsidP="00323207">
      <w:pPr>
        <w:spacing w:after="0" w:line="240" w:lineRule="auto"/>
        <w:outlineLvl w:val="0"/>
        <w:rPr>
          <w:rFonts w:ascii="Times New Roman" w:hAnsi="Times New Roman"/>
          <w:kern w:val="0"/>
          <w:sz w:val="22"/>
          <w:lang w:val="it-IT"/>
          <w14:ligatures w14:val="none"/>
        </w:rPr>
      </w:pPr>
    </w:p>
    <w:p w14:paraId="07F669F3" w14:textId="77777777" w:rsidR="00323207" w:rsidRPr="00F931D9" w:rsidRDefault="00323207" w:rsidP="00323207">
      <w:pPr>
        <w:spacing w:after="0" w:line="240" w:lineRule="auto"/>
        <w:rPr>
          <w:rFonts w:ascii="Times New Roman" w:hAnsi="Times New Roman"/>
          <w:kern w:val="0"/>
          <w:sz w:val="22"/>
          <w:lang w:val="it-IT"/>
          <w14:ligatures w14:val="none"/>
        </w:rPr>
      </w:pPr>
    </w:p>
    <w:p w14:paraId="134B4D52" w14:textId="77777777" w:rsidR="00323207" w:rsidRPr="00F931D9" w:rsidRDefault="00323207" w:rsidP="00323207">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kern w:val="0"/>
          <w:sz w:val="22"/>
          <w:lang w:val="lt-LT"/>
          <w14:ligatures w14:val="none"/>
        </w:rPr>
      </w:pPr>
      <w:r w:rsidRPr="00F931D9">
        <w:rPr>
          <w:rFonts w:ascii="Times New Roman" w:hAnsi="Times New Roman"/>
          <w:b/>
          <w:kern w:val="0"/>
          <w:sz w:val="22"/>
          <w:lang w:val="lt-LT"/>
          <w14:ligatures w14:val="none"/>
        </w:rPr>
        <w:t>13.</w:t>
      </w:r>
      <w:r w:rsidRPr="00F931D9">
        <w:rPr>
          <w:rFonts w:ascii="Times New Roman" w:hAnsi="Times New Roman"/>
          <w:b/>
          <w:kern w:val="0"/>
          <w:sz w:val="22"/>
          <w:lang w:val="lt-LT"/>
          <w14:ligatures w14:val="none"/>
        </w:rPr>
        <w:tab/>
        <w:t>SERIJOS NUMERIS</w:t>
      </w:r>
    </w:p>
    <w:p w14:paraId="4AE2058D" w14:textId="77777777" w:rsidR="00323207" w:rsidRPr="00F931D9" w:rsidRDefault="00323207" w:rsidP="00323207">
      <w:pPr>
        <w:spacing w:after="0" w:line="240" w:lineRule="auto"/>
        <w:rPr>
          <w:rFonts w:ascii="Times New Roman" w:hAnsi="Times New Roman"/>
          <w:kern w:val="0"/>
          <w:sz w:val="22"/>
          <w:lang w:val="it-IT"/>
          <w14:ligatures w14:val="none"/>
        </w:rPr>
      </w:pPr>
    </w:p>
    <w:p w14:paraId="5BFBC5FE" w14:textId="77777777" w:rsidR="00323207" w:rsidRPr="00F931D9" w:rsidRDefault="00323207" w:rsidP="00323207">
      <w:pPr>
        <w:spacing w:after="0" w:line="240" w:lineRule="auto"/>
        <w:ind w:left="567" w:hanging="567"/>
        <w:rPr>
          <w:rFonts w:ascii="Times New Roman" w:hAnsi="Times New Roman"/>
          <w:kern w:val="0"/>
          <w:sz w:val="22"/>
          <w:lang w:val="it-IT"/>
          <w14:ligatures w14:val="none"/>
        </w:rPr>
      </w:pPr>
      <w:r w:rsidRPr="00F931D9">
        <w:rPr>
          <w:rFonts w:ascii="Times New Roman" w:hAnsi="Times New Roman"/>
          <w:kern w:val="0"/>
          <w:sz w:val="22"/>
          <w:lang w:val="it-IT"/>
          <w14:ligatures w14:val="none"/>
        </w:rPr>
        <w:t>Lot</w:t>
      </w:r>
    </w:p>
    <w:p w14:paraId="64E77DF5" w14:textId="77777777" w:rsidR="00323207" w:rsidRPr="00F931D9" w:rsidRDefault="00323207" w:rsidP="00323207">
      <w:pPr>
        <w:spacing w:after="0" w:line="240" w:lineRule="auto"/>
        <w:rPr>
          <w:rFonts w:ascii="Times New Roman" w:hAnsi="Times New Roman"/>
          <w:kern w:val="0"/>
          <w:sz w:val="22"/>
          <w:lang w:val="it-IT"/>
          <w14:ligatures w14:val="none"/>
        </w:rPr>
      </w:pPr>
    </w:p>
    <w:p w14:paraId="1FD8144B" w14:textId="77777777" w:rsidR="00323207" w:rsidRPr="00F931D9" w:rsidRDefault="00323207" w:rsidP="00323207">
      <w:pPr>
        <w:spacing w:after="0" w:line="240" w:lineRule="auto"/>
        <w:rPr>
          <w:rFonts w:ascii="Times New Roman" w:hAnsi="Times New Roman"/>
          <w:kern w:val="0"/>
          <w:sz w:val="22"/>
          <w:lang w:val="it-IT"/>
          <w14:ligatures w14:val="none"/>
        </w:rPr>
      </w:pPr>
    </w:p>
    <w:p w14:paraId="3F8F577D" w14:textId="77777777" w:rsidR="00323207" w:rsidRPr="00F931D9" w:rsidRDefault="00323207" w:rsidP="00323207">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kern w:val="0"/>
          <w:sz w:val="22"/>
          <w:lang w:val="lt-LT"/>
          <w14:ligatures w14:val="none"/>
        </w:rPr>
      </w:pPr>
      <w:r w:rsidRPr="00F931D9">
        <w:rPr>
          <w:rFonts w:ascii="Times New Roman" w:hAnsi="Times New Roman"/>
          <w:b/>
          <w:kern w:val="0"/>
          <w:sz w:val="22"/>
          <w:lang w:val="lt-LT"/>
          <w14:ligatures w14:val="none"/>
        </w:rPr>
        <w:t>14.</w:t>
      </w:r>
      <w:r w:rsidRPr="00F931D9">
        <w:rPr>
          <w:rFonts w:ascii="Times New Roman" w:hAnsi="Times New Roman"/>
          <w:b/>
          <w:kern w:val="0"/>
          <w:sz w:val="22"/>
          <w:lang w:val="lt-LT"/>
          <w14:ligatures w14:val="none"/>
        </w:rPr>
        <w:tab/>
        <w:t>PARDAVIMO (IŠDAVIMO)</w:t>
      </w:r>
      <w:r w:rsidRPr="00F931D9">
        <w:rPr>
          <w:rFonts w:ascii="Times New Roman" w:hAnsi="Times New Roman"/>
          <w:b/>
          <w:caps/>
          <w:kern w:val="0"/>
          <w:sz w:val="22"/>
          <w:lang w:val="lt-LT"/>
          <w14:ligatures w14:val="none"/>
        </w:rPr>
        <w:t xml:space="preserve"> tvarka</w:t>
      </w:r>
    </w:p>
    <w:p w14:paraId="791C32DE" w14:textId="77777777" w:rsidR="00323207" w:rsidRPr="00F931D9" w:rsidRDefault="00323207" w:rsidP="00323207">
      <w:pPr>
        <w:spacing w:after="0" w:line="240" w:lineRule="auto"/>
        <w:rPr>
          <w:rFonts w:ascii="Times New Roman" w:hAnsi="Times New Roman"/>
          <w:kern w:val="0"/>
          <w:sz w:val="22"/>
          <w:lang w:val="it-IT"/>
          <w14:ligatures w14:val="none"/>
        </w:rPr>
      </w:pPr>
    </w:p>
    <w:p w14:paraId="49D87465" w14:textId="77777777" w:rsidR="00323207" w:rsidRPr="00F931D9" w:rsidRDefault="00323207" w:rsidP="00323207">
      <w:pPr>
        <w:spacing w:after="0" w:line="240" w:lineRule="auto"/>
        <w:ind w:left="567" w:hanging="567"/>
        <w:rPr>
          <w:rFonts w:ascii="Times New Roman" w:hAnsi="Times New Roman"/>
          <w:kern w:val="0"/>
          <w:sz w:val="22"/>
          <w:lang w:val="it-IT"/>
          <w14:ligatures w14:val="none"/>
        </w:rPr>
      </w:pPr>
      <w:r w:rsidRPr="00F931D9">
        <w:rPr>
          <w:rFonts w:ascii="Times New Roman" w:hAnsi="Times New Roman"/>
          <w:kern w:val="0"/>
          <w:sz w:val="22"/>
          <w:lang w:val="it-IT"/>
          <w14:ligatures w14:val="none"/>
        </w:rPr>
        <w:t>Receptinis vaistas</w:t>
      </w:r>
    </w:p>
    <w:p w14:paraId="0FF62960" w14:textId="77777777" w:rsidR="00323207" w:rsidRPr="00F931D9" w:rsidRDefault="00323207" w:rsidP="00323207">
      <w:pPr>
        <w:spacing w:after="0" w:line="240" w:lineRule="auto"/>
        <w:rPr>
          <w:rFonts w:ascii="Times New Roman" w:hAnsi="Times New Roman"/>
          <w:kern w:val="0"/>
          <w:sz w:val="22"/>
          <w:lang w:val="it-IT"/>
          <w14:ligatures w14:val="none"/>
        </w:rPr>
      </w:pPr>
    </w:p>
    <w:p w14:paraId="719E03D1" w14:textId="77777777" w:rsidR="00323207" w:rsidRPr="00F931D9" w:rsidRDefault="00323207" w:rsidP="00323207">
      <w:pPr>
        <w:spacing w:after="0" w:line="240" w:lineRule="auto"/>
        <w:rPr>
          <w:rFonts w:ascii="Times New Roman" w:hAnsi="Times New Roman"/>
          <w:kern w:val="0"/>
          <w:sz w:val="22"/>
          <w:lang w:val="it-IT"/>
          <w14:ligatures w14:val="none"/>
        </w:rPr>
      </w:pPr>
    </w:p>
    <w:p w14:paraId="56054EC1" w14:textId="77777777" w:rsidR="00323207" w:rsidRPr="00F931D9" w:rsidRDefault="00323207" w:rsidP="00323207">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kern w:val="0"/>
          <w:sz w:val="22"/>
          <w:lang w:val="lt-LT"/>
          <w14:ligatures w14:val="none"/>
        </w:rPr>
      </w:pPr>
      <w:r w:rsidRPr="00F931D9">
        <w:rPr>
          <w:rFonts w:ascii="Times New Roman" w:hAnsi="Times New Roman"/>
          <w:b/>
          <w:kern w:val="0"/>
          <w:sz w:val="22"/>
          <w:lang w:val="lt-LT"/>
          <w14:ligatures w14:val="none"/>
        </w:rPr>
        <w:t>15.</w:t>
      </w:r>
      <w:r w:rsidRPr="00F931D9">
        <w:rPr>
          <w:rFonts w:ascii="Times New Roman" w:hAnsi="Times New Roman"/>
          <w:b/>
          <w:kern w:val="0"/>
          <w:sz w:val="22"/>
          <w:lang w:val="lt-LT"/>
          <w14:ligatures w14:val="none"/>
        </w:rPr>
        <w:tab/>
      </w:r>
      <w:r w:rsidRPr="00F931D9">
        <w:rPr>
          <w:rFonts w:ascii="Times New Roman" w:hAnsi="Times New Roman"/>
          <w:b/>
          <w:caps/>
          <w:kern w:val="0"/>
          <w:sz w:val="22"/>
          <w:lang w:val="lt-LT"/>
          <w14:ligatures w14:val="none"/>
        </w:rPr>
        <w:t>vartojimo instrukcijA</w:t>
      </w:r>
    </w:p>
    <w:p w14:paraId="24AB1642" w14:textId="77777777" w:rsidR="00323207" w:rsidRPr="00F931D9" w:rsidRDefault="00323207" w:rsidP="00323207">
      <w:pPr>
        <w:spacing w:after="0" w:line="240" w:lineRule="auto"/>
        <w:rPr>
          <w:rFonts w:ascii="Times New Roman" w:hAnsi="Times New Roman"/>
          <w:kern w:val="0"/>
          <w:sz w:val="22"/>
          <w:lang w:val="it-IT"/>
          <w14:ligatures w14:val="none"/>
        </w:rPr>
      </w:pPr>
    </w:p>
    <w:p w14:paraId="5281BB24" w14:textId="77777777" w:rsidR="00323207" w:rsidRPr="00F931D9" w:rsidRDefault="00323207" w:rsidP="00323207">
      <w:pPr>
        <w:spacing w:after="0" w:line="240" w:lineRule="auto"/>
        <w:rPr>
          <w:rFonts w:ascii="Times New Roman" w:hAnsi="Times New Roman"/>
          <w:kern w:val="0"/>
          <w:sz w:val="22"/>
          <w:lang w:val="it-IT"/>
          <w14:ligatures w14:val="none"/>
        </w:rPr>
      </w:pPr>
    </w:p>
    <w:p w14:paraId="55F533C3" w14:textId="77777777" w:rsidR="00323207" w:rsidRPr="00F931D9" w:rsidRDefault="00323207" w:rsidP="00323207">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kern w:val="0"/>
          <w:sz w:val="22"/>
          <w:lang w:val="lt-LT"/>
          <w14:ligatures w14:val="none"/>
        </w:rPr>
      </w:pPr>
      <w:r w:rsidRPr="00F931D9">
        <w:rPr>
          <w:rFonts w:ascii="Times New Roman" w:hAnsi="Times New Roman"/>
          <w:b/>
          <w:kern w:val="0"/>
          <w:sz w:val="22"/>
          <w:lang w:val="lt-LT"/>
          <w14:ligatures w14:val="none"/>
        </w:rPr>
        <w:t>16.</w:t>
      </w:r>
      <w:r w:rsidRPr="00F931D9">
        <w:rPr>
          <w:rFonts w:ascii="Times New Roman" w:hAnsi="Times New Roman"/>
          <w:b/>
          <w:kern w:val="0"/>
          <w:sz w:val="22"/>
          <w:lang w:val="lt-LT"/>
          <w14:ligatures w14:val="none"/>
        </w:rPr>
        <w:tab/>
        <w:t>INFORMACIJA BRAILIO RAŠTU</w:t>
      </w:r>
    </w:p>
    <w:p w14:paraId="3ACF97F5" w14:textId="77777777" w:rsidR="00323207" w:rsidRPr="00F931D9" w:rsidRDefault="00323207" w:rsidP="00323207">
      <w:pPr>
        <w:spacing w:after="0" w:line="240" w:lineRule="auto"/>
        <w:rPr>
          <w:rFonts w:ascii="Times New Roman" w:hAnsi="Times New Roman"/>
          <w:kern w:val="0"/>
          <w:sz w:val="22"/>
          <w:lang w:val="it-IT"/>
          <w14:ligatures w14:val="none"/>
        </w:rPr>
      </w:pPr>
    </w:p>
    <w:p w14:paraId="49055CDB" w14:textId="77777777" w:rsidR="00323207" w:rsidRPr="00F931D9" w:rsidRDefault="00323207" w:rsidP="00323207">
      <w:pPr>
        <w:shd w:val="clear" w:color="auto" w:fill="D9D9D9"/>
        <w:spacing w:after="0" w:line="240" w:lineRule="auto"/>
        <w:outlineLvl w:val="0"/>
        <w:rPr>
          <w:rFonts w:ascii="Times New Roman" w:hAnsi="Times New Roman"/>
          <w:kern w:val="0"/>
          <w:sz w:val="22"/>
          <w:lang w:val="lv-LV"/>
          <w14:ligatures w14:val="none"/>
        </w:rPr>
      </w:pPr>
      <w:r w:rsidRPr="00F931D9">
        <w:rPr>
          <w:rFonts w:ascii="Times New Roman" w:hAnsi="Times New Roman"/>
          <w:kern w:val="0"/>
          <w:sz w:val="22"/>
          <w:lang w:val="lv-LV"/>
          <w14:ligatures w14:val="none"/>
        </w:rPr>
        <w:t>Sandimmun Neoral 25 </w:t>
      </w:r>
      <w:r w:rsidRPr="00F931D9">
        <w:rPr>
          <w:rFonts w:ascii="Times New Roman" w:hAnsi="Times New Roman"/>
          <w:color w:val="000000"/>
          <w:kern w:val="0"/>
          <w:sz w:val="22"/>
          <w:lang w:val="lv-LV"/>
          <w14:ligatures w14:val="none"/>
        </w:rPr>
        <w:t>mg</w:t>
      </w:r>
    </w:p>
    <w:p w14:paraId="6DC82901" w14:textId="77777777" w:rsidR="00323207" w:rsidRPr="00F931D9" w:rsidRDefault="00323207" w:rsidP="00323207">
      <w:pPr>
        <w:shd w:val="clear" w:color="auto" w:fill="BFBFBF"/>
        <w:spacing w:after="0" w:line="240" w:lineRule="auto"/>
        <w:rPr>
          <w:rFonts w:ascii="Times New Roman" w:hAnsi="Times New Roman"/>
          <w:kern w:val="0"/>
          <w:sz w:val="22"/>
          <w:lang w:val="lv-LV"/>
          <w14:ligatures w14:val="none"/>
        </w:rPr>
      </w:pPr>
      <w:r w:rsidRPr="00F931D9">
        <w:rPr>
          <w:rFonts w:ascii="Times New Roman" w:hAnsi="Times New Roman"/>
          <w:kern w:val="0"/>
          <w:sz w:val="22"/>
          <w:lang w:val="lv-LV"/>
          <w14:ligatures w14:val="none"/>
        </w:rPr>
        <w:t>Sandimmun Neoral 50 </w:t>
      </w:r>
      <w:r w:rsidRPr="00F931D9">
        <w:rPr>
          <w:rFonts w:ascii="Times New Roman" w:hAnsi="Times New Roman"/>
          <w:color w:val="000000"/>
          <w:kern w:val="0"/>
          <w:sz w:val="22"/>
          <w:lang w:val="lv-LV"/>
          <w14:ligatures w14:val="none"/>
        </w:rPr>
        <w:t>mg</w:t>
      </w:r>
    </w:p>
    <w:p w14:paraId="32D9F756" w14:textId="77777777" w:rsidR="00323207" w:rsidRPr="00F931D9" w:rsidRDefault="00323207" w:rsidP="00323207">
      <w:pPr>
        <w:shd w:val="clear" w:color="auto" w:fill="A6A6A6"/>
        <w:spacing w:after="0" w:line="240" w:lineRule="auto"/>
        <w:outlineLvl w:val="0"/>
        <w:rPr>
          <w:rFonts w:ascii="Times New Roman" w:hAnsi="Times New Roman"/>
          <w:kern w:val="0"/>
          <w:sz w:val="22"/>
          <w:lang w:val="lv-LV"/>
          <w14:ligatures w14:val="none"/>
        </w:rPr>
      </w:pPr>
      <w:r w:rsidRPr="00F931D9">
        <w:rPr>
          <w:rFonts w:ascii="Times New Roman" w:hAnsi="Times New Roman"/>
          <w:kern w:val="0"/>
          <w:sz w:val="22"/>
          <w:lang w:val="lv-LV"/>
          <w14:ligatures w14:val="none"/>
        </w:rPr>
        <w:t>Sandimmun Neoral 100 </w:t>
      </w:r>
      <w:r w:rsidRPr="00F931D9">
        <w:rPr>
          <w:rFonts w:ascii="Times New Roman" w:hAnsi="Times New Roman"/>
          <w:color w:val="000000"/>
          <w:kern w:val="0"/>
          <w:sz w:val="22"/>
          <w:lang w:val="lv-LV"/>
          <w14:ligatures w14:val="none"/>
        </w:rPr>
        <w:t>mg</w:t>
      </w:r>
    </w:p>
    <w:p w14:paraId="6EF26E57" w14:textId="77777777" w:rsidR="00323207" w:rsidRPr="00F931D9" w:rsidRDefault="00323207" w:rsidP="00323207">
      <w:pPr>
        <w:spacing w:after="0" w:line="240" w:lineRule="auto"/>
        <w:rPr>
          <w:rFonts w:ascii="Times New Roman" w:hAnsi="Times New Roman"/>
          <w:kern w:val="0"/>
          <w:sz w:val="22"/>
          <w:lang w:val="it-IT"/>
          <w14:ligatures w14:val="none"/>
        </w:rPr>
      </w:pPr>
    </w:p>
    <w:p w14:paraId="657FE01C" w14:textId="77777777" w:rsidR="00323207" w:rsidRPr="00F931D9" w:rsidRDefault="00323207" w:rsidP="00323207">
      <w:pPr>
        <w:spacing w:after="0" w:line="240" w:lineRule="auto"/>
        <w:rPr>
          <w:rFonts w:ascii="Times New Roman" w:hAnsi="Times New Roman"/>
          <w:kern w:val="0"/>
          <w:sz w:val="22"/>
          <w:lang w:val="it-IT"/>
          <w14:ligatures w14:val="none"/>
        </w:rPr>
      </w:pPr>
    </w:p>
    <w:p w14:paraId="75C59093" w14:textId="77777777" w:rsidR="00323207" w:rsidRPr="00F931D9" w:rsidRDefault="00323207" w:rsidP="0032320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kern w:val="0"/>
          <w:sz w:val="22"/>
          <w:lang w:val="lt-LT"/>
          <w14:ligatures w14:val="none"/>
        </w:rPr>
      </w:pPr>
      <w:r w:rsidRPr="00F931D9">
        <w:rPr>
          <w:rFonts w:ascii="Times New Roman" w:hAnsi="Times New Roman"/>
          <w:b/>
          <w:kern w:val="0"/>
          <w:sz w:val="22"/>
          <w:lang w:val="lt-LT"/>
          <w14:ligatures w14:val="none"/>
        </w:rPr>
        <w:t>17.</w:t>
      </w:r>
      <w:r w:rsidRPr="00F931D9">
        <w:rPr>
          <w:rFonts w:ascii="Times New Roman" w:hAnsi="Times New Roman"/>
          <w:b/>
          <w:kern w:val="0"/>
          <w:sz w:val="22"/>
          <w:lang w:val="lt-LT"/>
          <w14:ligatures w14:val="none"/>
        </w:rPr>
        <w:tab/>
        <w:t>UNIKALUS IDENTIFIKATORIUS – 2D BRŪKŠNINIS KODAS</w:t>
      </w:r>
    </w:p>
    <w:p w14:paraId="374841A7" w14:textId="77777777" w:rsidR="00323207" w:rsidRPr="00F931D9" w:rsidRDefault="00323207" w:rsidP="00323207">
      <w:pPr>
        <w:tabs>
          <w:tab w:val="left" w:pos="567"/>
        </w:tabs>
        <w:spacing w:after="0" w:line="260" w:lineRule="exact"/>
        <w:rPr>
          <w:rFonts w:ascii="Times New Roman" w:hAnsi="Times New Roman"/>
          <w:kern w:val="0"/>
          <w:sz w:val="22"/>
          <w:lang w:val="lt-LT"/>
          <w14:ligatures w14:val="none"/>
        </w:rPr>
      </w:pPr>
    </w:p>
    <w:p w14:paraId="6A0B6D05" w14:textId="77777777" w:rsidR="00323207" w:rsidRPr="00F931D9" w:rsidRDefault="00323207" w:rsidP="00323207">
      <w:pPr>
        <w:tabs>
          <w:tab w:val="left" w:pos="567"/>
        </w:tabs>
        <w:spacing w:after="0" w:line="260" w:lineRule="exact"/>
        <w:rPr>
          <w:rFonts w:ascii="Times New Roman" w:hAnsi="Times New Roman"/>
          <w:kern w:val="0"/>
          <w:sz w:val="22"/>
          <w:lang w:val="lt-LT"/>
          <w14:ligatures w14:val="none"/>
        </w:rPr>
      </w:pPr>
      <w:r w:rsidRPr="00F931D9">
        <w:rPr>
          <w:rFonts w:ascii="Times New Roman" w:hAnsi="Times New Roman"/>
          <w:kern w:val="0"/>
          <w:sz w:val="22"/>
          <w:highlight w:val="lightGray"/>
          <w:lang w:val="lt-LT"/>
          <w14:ligatures w14:val="none"/>
        </w:rPr>
        <w:t>2D brūkšninis kodas su nurodytu unikaliu identifikatoriumi.</w:t>
      </w:r>
    </w:p>
    <w:p w14:paraId="53625259" w14:textId="77777777" w:rsidR="00323207" w:rsidRPr="00F931D9" w:rsidRDefault="00323207" w:rsidP="00323207">
      <w:pPr>
        <w:tabs>
          <w:tab w:val="left" w:pos="567"/>
        </w:tabs>
        <w:spacing w:after="0" w:line="260" w:lineRule="exact"/>
        <w:rPr>
          <w:rFonts w:ascii="Times New Roman" w:hAnsi="Times New Roman"/>
          <w:kern w:val="0"/>
          <w:sz w:val="22"/>
          <w:lang w:val="lt-LT"/>
          <w14:ligatures w14:val="none"/>
        </w:rPr>
      </w:pPr>
    </w:p>
    <w:p w14:paraId="7DFE11FF" w14:textId="77777777" w:rsidR="00323207" w:rsidRPr="00F931D9" w:rsidRDefault="00323207" w:rsidP="00323207">
      <w:pPr>
        <w:tabs>
          <w:tab w:val="left" w:pos="567"/>
        </w:tabs>
        <w:spacing w:after="0" w:line="260" w:lineRule="exact"/>
        <w:rPr>
          <w:rFonts w:ascii="Times New Roman" w:hAnsi="Times New Roman"/>
          <w:kern w:val="0"/>
          <w:sz w:val="22"/>
          <w:lang w:val="lt-LT"/>
          <w14:ligatures w14:val="none"/>
        </w:rPr>
      </w:pPr>
    </w:p>
    <w:p w14:paraId="17055289" w14:textId="77777777" w:rsidR="00323207" w:rsidRPr="00F931D9" w:rsidRDefault="00323207" w:rsidP="0032320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kern w:val="0"/>
          <w:sz w:val="22"/>
          <w:lang w:val="lt-LT"/>
          <w14:ligatures w14:val="none"/>
        </w:rPr>
      </w:pPr>
      <w:r w:rsidRPr="00F931D9">
        <w:rPr>
          <w:rFonts w:ascii="Times New Roman" w:hAnsi="Times New Roman"/>
          <w:b/>
          <w:kern w:val="0"/>
          <w:sz w:val="22"/>
          <w:lang w:val="lt-LT"/>
          <w14:ligatures w14:val="none"/>
        </w:rPr>
        <w:t>18.</w:t>
      </w:r>
      <w:r w:rsidRPr="00F931D9">
        <w:rPr>
          <w:rFonts w:ascii="Times New Roman" w:hAnsi="Times New Roman"/>
          <w:b/>
          <w:kern w:val="0"/>
          <w:sz w:val="22"/>
          <w:lang w:val="lt-LT"/>
          <w14:ligatures w14:val="none"/>
        </w:rPr>
        <w:tab/>
        <w:t>UNIKALUS IDENTIFIKATORIUS – ŽMONĖMS SUPRANTAMI DUOMENYS</w:t>
      </w:r>
    </w:p>
    <w:p w14:paraId="423BFEA7" w14:textId="77777777" w:rsidR="00323207" w:rsidRPr="00F931D9" w:rsidRDefault="00323207" w:rsidP="00323207">
      <w:pPr>
        <w:tabs>
          <w:tab w:val="left" w:pos="567"/>
        </w:tabs>
        <w:spacing w:after="0" w:line="260" w:lineRule="exact"/>
        <w:rPr>
          <w:rFonts w:ascii="Times New Roman" w:hAnsi="Times New Roman"/>
          <w:kern w:val="0"/>
          <w:sz w:val="22"/>
          <w:lang w:val="lt-LT"/>
          <w14:ligatures w14:val="none"/>
        </w:rPr>
      </w:pPr>
    </w:p>
    <w:p w14:paraId="12A51EF1" w14:textId="77777777" w:rsidR="00323207" w:rsidRPr="00F931D9" w:rsidRDefault="00323207" w:rsidP="00323207">
      <w:pPr>
        <w:tabs>
          <w:tab w:val="left" w:pos="567"/>
        </w:tabs>
        <w:spacing w:after="0" w:line="260" w:lineRule="exact"/>
        <w:rPr>
          <w:rFonts w:ascii="Times New Roman" w:hAnsi="Times New Roman"/>
          <w:color w:val="008000"/>
          <w:kern w:val="0"/>
          <w:sz w:val="22"/>
          <w:lang w:val="lt-LT"/>
          <w14:ligatures w14:val="none"/>
        </w:rPr>
      </w:pPr>
      <w:r w:rsidRPr="00F931D9">
        <w:rPr>
          <w:rFonts w:ascii="Times New Roman" w:hAnsi="Times New Roman"/>
          <w:kern w:val="0"/>
          <w:sz w:val="22"/>
          <w:lang w:val="lt-LT"/>
          <w14:ligatures w14:val="none"/>
        </w:rPr>
        <w:t xml:space="preserve">PC </w:t>
      </w:r>
    </w:p>
    <w:p w14:paraId="63A0C7F5" w14:textId="77777777" w:rsidR="00323207" w:rsidRPr="00F931D9" w:rsidRDefault="00323207" w:rsidP="00323207">
      <w:pPr>
        <w:tabs>
          <w:tab w:val="left" w:pos="567"/>
        </w:tabs>
        <w:spacing w:after="0" w:line="260" w:lineRule="exact"/>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SN </w:t>
      </w:r>
    </w:p>
    <w:p w14:paraId="2A23FBFD" w14:textId="77777777" w:rsidR="00323207" w:rsidRPr="00F931D9" w:rsidRDefault="00323207" w:rsidP="00323207">
      <w:pPr>
        <w:spacing w:after="0" w:line="240" w:lineRule="auto"/>
        <w:rPr>
          <w:rFonts w:ascii="Times New Roman" w:hAnsi="Times New Roman"/>
          <w:kern w:val="0"/>
          <w:sz w:val="22"/>
          <w:lang w:val="en-GB"/>
          <w14:ligatures w14:val="none"/>
        </w:rPr>
      </w:pPr>
      <w:r w:rsidRPr="00F931D9">
        <w:rPr>
          <w:rFonts w:ascii="Times New Roman" w:hAnsi="Times New Roman"/>
          <w:kern w:val="0"/>
          <w:sz w:val="22"/>
          <w:lang w:val="lt-LT"/>
          <w14:ligatures w14:val="none"/>
        </w:rPr>
        <w:t xml:space="preserve">NN </w:t>
      </w:r>
      <w:r w:rsidRPr="00F931D9">
        <w:rPr>
          <w:rFonts w:ascii="Times New Roman" w:hAnsi="Times New Roman"/>
          <w:b/>
          <w:kern w:val="0"/>
          <w:sz w:val="22"/>
          <w:lang w:val="en-GB"/>
          <w14:ligatures w14:val="non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3207" w:rsidRPr="00323207" w14:paraId="37979B6B" w14:textId="77777777" w:rsidTr="003338CB">
        <w:trPr>
          <w:trHeight w:val="785"/>
        </w:trPr>
        <w:tc>
          <w:tcPr>
            <w:tcW w:w="9287" w:type="dxa"/>
            <w:tcBorders>
              <w:bottom w:val="single" w:sz="4" w:space="0" w:color="auto"/>
            </w:tcBorders>
          </w:tcPr>
          <w:p w14:paraId="4186E7A9" w14:textId="77777777" w:rsidR="00323207" w:rsidRPr="00F931D9" w:rsidRDefault="00323207" w:rsidP="00323207">
            <w:pPr>
              <w:spacing w:after="0" w:line="240" w:lineRule="auto"/>
              <w:rPr>
                <w:rFonts w:ascii="Times New Roman" w:hAnsi="Times New Roman"/>
                <w:b/>
                <w:kern w:val="0"/>
                <w:sz w:val="22"/>
                <w:lang w:val="en-GB"/>
                <w14:ligatures w14:val="none"/>
              </w:rPr>
            </w:pPr>
            <w:r w:rsidRPr="00F931D9">
              <w:rPr>
                <w:rFonts w:ascii="Times New Roman" w:hAnsi="Times New Roman"/>
                <w:b/>
                <w:kern w:val="0"/>
                <w:sz w:val="22"/>
                <w:lang w:val="en-GB"/>
                <w14:ligatures w14:val="none"/>
              </w:rPr>
              <w:lastRenderedPageBreak/>
              <w:t>MINIMALI INFORMACIJA ANT</w:t>
            </w:r>
            <w:r w:rsidRPr="00F931D9">
              <w:rPr>
                <w:rFonts w:ascii="Times New Roman" w:hAnsi="Times New Roman"/>
                <w:b/>
                <w:kern w:val="0"/>
                <w:sz w:val="22"/>
                <w:lang w:val="lt-LT"/>
                <w14:ligatures w14:val="none"/>
              </w:rPr>
              <w:t xml:space="preserve"> LIZDINIŲ PLOKŠTELIŲ ARBA DVISLUOKSNIŲ JUOSTELIŲ</w:t>
            </w:r>
          </w:p>
          <w:p w14:paraId="6F72148F" w14:textId="77777777" w:rsidR="00323207" w:rsidRPr="00F931D9" w:rsidRDefault="00323207" w:rsidP="00323207">
            <w:pPr>
              <w:spacing w:after="0" w:line="240" w:lineRule="auto"/>
              <w:rPr>
                <w:rFonts w:ascii="Times New Roman" w:hAnsi="Times New Roman"/>
                <w:b/>
                <w:kern w:val="0"/>
                <w:sz w:val="22"/>
                <w:lang w:val="lt-LT"/>
                <w14:ligatures w14:val="none"/>
              </w:rPr>
            </w:pPr>
          </w:p>
          <w:p w14:paraId="068BADCF" w14:textId="77777777" w:rsidR="00323207" w:rsidRPr="00F931D9" w:rsidRDefault="00323207" w:rsidP="00323207">
            <w:pPr>
              <w:spacing w:after="0" w:line="240" w:lineRule="auto"/>
              <w:rPr>
                <w:rFonts w:ascii="Times New Roman" w:hAnsi="Times New Roman"/>
                <w:b/>
                <w:kern w:val="0"/>
                <w:sz w:val="22"/>
                <w:lang w:val="en-GB"/>
                <w14:ligatures w14:val="none"/>
              </w:rPr>
            </w:pPr>
            <w:r w:rsidRPr="00F931D9">
              <w:rPr>
                <w:rFonts w:ascii="Times New Roman" w:hAnsi="Times New Roman"/>
                <w:b/>
                <w:kern w:val="0"/>
                <w:sz w:val="22"/>
                <w:lang w:val="en-GB"/>
                <w14:ligatures w14:val="none"/>
              </w:rPr>
              <w:t>LIZDINĖS PLOKŠTELĖS</w:t>
            </w:r>
          </w:p>
        </w:tc>
      </w:tr>
    </w:tbl>
    <w:p w14:paraId="4E321AB5" w14:textId="77777777" w:rsidR="00323207" w:rsidRPr="00F931D9" w:rsidRDefault="00323207" w:rsidP="00323207">
      <w:pPr>
        <w:spacing w:after="0" w:line="240" w:lineRule="auto"/>
        <w:rPr>
          <w:rFonts w:ascii="Times New Roman" w:hAnsi="Times New Roman"/>
          <w:kern w:val="0"/>
          <w:sz w:val="22"/>
          <w:lang w:val="en-GB"/>
          <w14:ligatures w14:val="none"/>
        </w:rPr>
      </w:pPr>
    </w:p>
    <w:p w14:paraId="73376C7D" w14:textId="77777777" w:rsidR="00323207" w:rsidRPr="00F931D9" w:rsidRDefault="00323207" w:rsidP="00323207">
      <w:pPr>
        <w:spacing w:after="0" w:line="240" w:lineRule="auto"/>
        <w:rPr>
          <w:rFonts w:ascii="Times New Roman" w:hAnsi="Times New Roman"/>
          <w:kern w:val="0"/>
          <w:sz w:val="22"/>
          <w:lang w:val="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3207" w:rsidRPr="00323207" w14:paraId="207C360F" w14:textId="77777777" w:rsidTr="003338CB">
        <w:tc>
          <w:tcPr>
            <w:tcW w:w="9287" w:type="dxa"/>
          </w:tcPr>
          <w:p w14:paraId="3049F657" w14:textId="77777777" w:rsidR="00323207" w:rsidRPr="00F931D9" w:rsidRDefault="00323207" w:rsidP="00323207">
            <w:pPr>
              <w:spacing w:after="0" w:line="240" w:lineRule="auto"/>
              <w:ind w:left="567" w:hanging="567"/>
              <w:rPr>
                <w:rFonts w:ascii="Times New Roman" w:hAnsi="Times New Roman"/>
                <w:b/>
                <w:kern w:val="0"/>
                <w:sz w:val="22"/>
                <w:lang w:val="en-GB"/>
                <w14:ligatures w14:val="none"/>
              </w:rPr>
            </w:pPr>
            <w:r w:rsidRPr="00F931D9">
              <w:rPr>
                <w:rFonts w:ascii="Times New Roman" w:hAnsi="Times New Roman"/>
                <w:b/>
                <w:kern w:val="0"/>
                <w:sz w:val="22"/>
                <w:lang w:val="en-GB"/>
                <w14:ligatures w14:val="none"/>
              </w:rPr>
              <w:t>1.</w:t>
            </w:r>
            <w:r w:rsidRPr="00F931D9">
              <w:rPr>
                <w:rFonts w:ascii="Times New Roman" w:hAnsi="Times New Roman"/>
                <w:b/>
                <w:kern w:val="0"/>
                <w:sz w:val="22"/>
                <w:lang w:val="en-GB"/>
                <w14:ligatures w14:val="none"/>
              </w:rPr>
              <w:tab/>
              <w:t>VAISTINIO PREPARATO PAVADINIMAS</w:t>
            </w:r>
          </w:p>
        </w:tc>
      </w:tr>
    </w:tbl>
    <w:p w14:paraId="583297BE" w14:textId="77777777" w:rsidR="00323207" w:rsidRPr="00F931D9" w:rsidRDefault="00323207" w:rsidP="00323207">
      <w:pPr>
        <w:spacing w:after="0" w:line="240" w:lineRule="auto"/>
        <w:rPr>
          <w:rFonts w:ascii="Times New Roman" w:hAnsi="Times New Roman"/>
          <w:kern w:val="0"/>
          <w:sz w:val="22"/>
          <w:lang w:val="en-GB"/>
          <w14:ligatures w14:val="none"/>
        </w:rPr>
      </w:pPr>
    </w:p>
    <w:p w14:paraId="27F43A01" w14:textId="77777777" w:rsidR="00323207" w:rsidRPr="00F931D9" w:rsidRDefault="00323207" w:rsidP="00323207">
      <w:pPr>
        <w:shd w:val="clear" w:color="auto" w:fill="D9D9D9"/>
        <w:spacing w:after="0" w:line="240" w:lineRule="auto"/>
        <w:outlineLvl w:val="0"/>
        <w:rPr>
          <w:rFonts w:ascii="Times New Roman" w:hAnsi="Times New Roman"/>
          <w:kern w:val="0"/>
          <w:sz w:val="22"/>
          <w:lang w:val="en-GB"/>
          <w14:ligatures w14:val="none"/>
        </w:rPr>
      </w:pPr>
      <w:proofErr w:type="spellStart"/>
      <w:r w:rsidRPr="00F931D9">
        <w:rPr>
          <w:rFonts w:ascii="Times New Roman" w:hAnsi="Times New Roman"/>
          <w:kern w:val="0"/>
          <w:sz w:val="22"/>
          <w:lang w:val="en-GB"/>
          <w14:ligatures w14:val="none"/>
        </w:rPr>
        <w:t>Sandimmun</w:t>
      </w:r>
      <w:proofErr w:type="spellEnd"/>
      <w:r w:rsidRPr="00F931D9">
        <w:rPr>
          <w:rFonts w:ascii="Times New Roman" w:hAnsi="Times New Roman"/>
          <w:kern w:val="0"/>
          <w:sz w:val="22"/>
          <w:lang w:val="en-GB"/>
          <w14:ligatures w14:val="none"/>
        </w:rPr>
        <w:t> </w:t>
      </w:r>
      <w:proofErr w:type="spellStart"/>
      <w:r w:rsidRPr="00F931D9">
        <w:rPr>
          <w:rFonts w:ascii="Times New Roman" w:hAnsi="Times New Roman"/>
          <w:kern w:val="0"/>
          <w:sz w:val="22"/>
          <w:lang w:val="en-GB"/>
          <w14:ligatures w14:val="none"/>
        </w:rPr>
        <w:t>Neoral</w:t>
      </w:r>
      <w:proofErr w:type="spellEnd"/>
      <w:r w:rsidRPr="00F931D9">
        <w:rPr>
          <w:rFonts w:ascii="Times New Roman" w:hAnsi="Times New Roman"/>
          <w:kern w:val="0"/>
          <w:sz w:val="22"/>
          <w:lang w:val="en-GB"/>
          <w14:ligatures w14:val="none"/>
        </w:rPr>
        <w:t xml:space="preserve"> 25 mg </w:t>
      </w:r>
      <w:proofErr w:type="spellStart"/>
      <w:r w:rsidRPr="00F931D9">
        <w:rPr>
          <w:rFonts w:ascii="Times New Roman" w:hAnsi="Times New Roman"/>
          <w:kern w:val="0"/>
          <w:sz w:val="22"/>
          <w:lang w:val="en-GB"/>
          <w14:ligatures w14:val="none"/>
        </w:rPr>
        <w:t>minkštosios</w:t>
      </w:r>
      <w:proofErr w:type="spellEnd"/>
      <w:r w:rsidRPr="00F931D9">
        <w:rPr>
          <w:rFonts w:ascii="Times New Roman" w:hAnsi="Times New Roman"/>
          <w:kern w:val="0"/>
          <w:sz w:val="22"/>
          <w:lang w:val="en-GB"/>
          <w14:ligatures w14:val="none"/>
        </w:rPr>
        <w:t xml:space="preserve"> </w:t>
      </w:r>
      <w:proofErr w:type="spellStart"/>
      <w:r w:rsidRPr="00F931D9">
        <w:rPr>
          <w:rFonts w:ascii="Times New Roman" w:hAnsi="Times New Roman"/>
          <w:kern w:val="0"/>
          <w:sz w:val="22"/>
          <w:lang w:val="en-GB"/>
          <w14:ligatures w14:val="none"/>
        </w:rPr>
        <w:t>kapsulės</w:t>
      </w:r>
      <w:proofErr w:type="spellEnd"/>
    </w:p>
    <w:p w14:paraId="5F61F401" w14:textId="77777777" w:rsidR="00323207" w:rsidRPr="00F931D9" w:rsidRDefault="00323207" w:rsidP="00323207">
      <w:pPr>
        <w:shd w:val="clear" w:color="auto" w:fill="BFBFBF"/>
        <w:spacing w:after="0" w:line="240" w:lineRule="auto"/>
        <w:rPr>
          <w:rFonts w:ascii="Times New Roman" w:hAnsi="Times New Roman"/>
          <w:kern w:val="0"/>
          <w:sz w:val="22"/>
          <w:lang w:val="en-GB"/>
          <w14:ligatures w14:val="none"/>
        </w:rPr>
      </w:pPr>
      <w:proofErr w:type="spellStart"/>
      <w:r w:rsidRPr="00F931D9">
        <w:rPr>
          <w:rFonts w:ascii="Times New Roman" w:hAnsi="Times New Roman"/>
          <w:kern w:val="0"/>
          <w:sz w:val="22"/>
          <w:lang w:val="en-GB"/>
          <w14:ligatures w14:val="none"/>
        </w:rPr>
        <w:t>Sandimmun</w:t>
      </w:r>
      <w:proofErr w:type="spellEnd"/>
      <w:r w:rsidRPr="00F931D9">
        <w:rPr>
          <w:rFonts w:ascii="Times New Roman" w:hAnsi="Times New Roman"/>
          <w:kern w:val="0"/>
          <w:sz w:val="22"/>
          <w:lang w:val="en-GB"/>
          <w14:ligatures w14:val="none"/>
        </w:rPr>
        <w:t> </w:t>
      </w:r>
      <w:proofErr w:type="spellStart"/>
      <w:r w:rsidRPr="00F931D9">
        <w:rPr>
          <w:rFonts w:ascii="Times New Roman" w:hAnsi="Times New Roman"/>
          <w:kern w:val="0"/>
          <w:sz w:val="22"/>
          <w:lang w:val="en-GB"/>
          <w14:ligatures w14:val="none"/>
        </w:rPr>
        <w:t>Neoral</w:t>
      </w:r>
      <w:proofErr w:type="spellEnd"/>
      <w:r w:rsidRPr="00F931D9">
        <w:rPr>
          <w:rFonts w:ascii="Times New Roman" w:hAnsi="Times New Roman"/>
          <w:kern w:val="0"/>
          <w:sz w:val="22"/>
          <w:lang w:val="en-GB"/>
          <w14:ligatures w14:val="none"/>
        </w:rPr>
        <w:t xml:space="preserve"> 50 mg </w:t>
      </w:r>
      <w:proofErr w:type="spellStart"/>
      <w:r w:rsidRPr="00F931D9">
        <w:rPr>
          <w:rFonts w:ascii="Times New Roman" w:hAnsi="Times New Roman"/>
          <w:kern w:val="0"/>
          <w:sz w:val="22"/>
          <w:lang w:val="en-GB"/>
          <w14:ligatures w14:val="none"/>
        </w:rPr>
        <w:t>minkštosios</w:t>
      </w:r>
      <w:proofErr w:type="spellEnd"/>
      <w:r w:rsidRPr="00F931D9">
        <w:rPr>
          <w:rFonts w:ascii="Times New Roman" w:hAnsi="Times New Roman"/>
          <w:kern w:val="0"/>
          <w:sz w:val="22"/>
          <w:lang w:val="en-GB"/>
          <w14:ligatures w14:val="none"/>
        </w:rPr>
        <w:t xml:space="preserve"> </w:t>
      </w:r>
      <w:proofErr w:type="spellStart"/>
      <w:r w:rsidRPr="00F931D9">
        <w:rPr>
          <w:rFonts w:ascii="Times New Roman" w:hAnsi="Times New Roman"/>
          <w:kern w:val="0"/>
          <w:sz w:val="22"/>
          <w:lang w:val="en-GB"/>
          <w14:ligatures w14:val="none"/>
        </w:rPr>
        <w:t>kapsulės</w:t>
      </w:r>
      <w:proofErr w:type="spellEnd"/>
    </w:p>
    <w:p w14:paraId="4BDABAAE" w14:textId="77777777" w:rsidR="00323207" w:rsidRPr="00F931D9" w:rsidRDefault="00323207" w:rsidP="00323207">
      <w:pPr>
        <w:shd w:val="clear" w:color="auto" w:fill="A6A6A6"/>
        <w:spacing w:after="0" w:line="240" w:lineRule="auto"/>
        <w:outlineLvl w:val="0"/>
        <w:rPr>
          <w:rFonts w:ascii="Times New Roman" w:hAnsi="Times New Roman"/>
          <w:kern w:val="0"/>
          <w:sz w:val="22"/>
          <w:lang w:val="en-GB"/>
          <w14:ligatures w14:val="none"/>
        </w:rPr>
      </w:pPr>
      <w:proofErr w:type="spellStart"/>
      <w:r w:rsidRPr="00F931D9">
        <w:rPr>
          <w:rFonts w:ascii="Times New Roman" w:hAnsi="Times New Roman"/>
          <w:kern w:val="0"/>
          <w:sz w:val="22"/>
          <w:lang w:val="en-GB"/>
          <w14:ligatures w14:val="none"/>
        </w:rPr>
        <w:t>Sandimmun</w:t>
      </w:r>
      <w:proofErr w:type="spellEnd"/>
      <w:r w:rsidRPr="00F931D9">
        <w:rPr>
          <w:rFonts w:ascii="Times New Roman" w:hAnsi="Times New Roman"/>
          <w:kern w:val="0"/>
          <w:sz w:val="22"/>
          <w:lang w:val="en-GB"/>
          <w14:ligatures w14:val="none"/>
        </w:rPr>
        <w:t> </w:t>
      </w:r>
      <w:proofErr w:type="spellStart"/>
      <w:r w:rsidRPr="00F931D9">
        <w:rPr>
          <w:rFonts w:ascii="Times New Roman" w:hAnsi="Times New Roman"/>
          <w:kern w:val="0"/>
          <w:sz w:val="22"/>
          <w:lang w:val="en-GB"/>
          <w14:ligatures w14:val="none"/>
        </w:rPr>
        <w:t>Neoral</w:t>
      </w:r>
      <w:proofErr w:type="spellEnd"/>
      <w:r w:rsidRPr="00F931D9">
        <w:rPr>
          <w:rFonts w:ascii="Times New Roman" w:hAnsi="Times New Roman"/>
          <w:kern w:val="0"/>
          <w:sz w:val="22"/>
          <w:lang w:val="en-GB"/>
          <w14:ligatures w14:val="none"/>
        </w:rPr>
        <w:t xml:space="preserve"> 100 mg </w:t>
      </w:r>
      <w:r w:rsidRPr="00F931D9">
        <w:rPr>
          <w:rFonts w:ascii="Times New Roman" w:hAnsi="Times New Roman"/>
          <w:kern w:val="0"/>
          <w:sz w:val="22"/>
          <w:lang w:val="x-none"/>
          <w14:ligatures w14:val="none"/>
        </w:rPr>
        <w:t>minkštosios kapsulės</w:t>
      </w:r>
    </w:p>
    <w:p w14:paraId="213889C4" w14:textId="77777777" w:rsidR="00323207" w:rsidRPr="00F931D9" w:rsidRDefault="00323207" w:rsidP="00323207">
      <w:pPr>
        <w:autoSpaceDE w:val="0"/>
        <w:autoSpaceDN w:val="0"/>
        <w:adjustRightInd w:val="0"/>
        <w:spacing w:after="0" w:line="240" w:lineRule="auto"/>
        <w:rPr>
          <w:rFonts w:ascii="Times New Roman" w:hAnsi="Times New Roman"/>
          <w:i/>
          <w:kern w:val="0"/>
          <w:sz w:val="22"/>
          <w:lang w:val="es-ES"/>
          <w14:ligatures w14:val="none"/>
        </w:rPr>
      </w:pPr>
      <w:r w:rsidRPr="00F931D9">
        <w:rPr>
          <w:rFonts w:ascii="Times New Roman" w:hAnsi="Times New Roman"/>
          <w:i/>
          <w:kern w:val="0"/>
          <w:sz w:val="22"/>
          <w:lang w:val="es-ES"/>
          <w14:ligatures w14:val="none"/>
        </w:rPr>
        <w:t>ciclosporinum</w:t>
      </w:r>
    </w:p>
    <w:p w14:paraId="1109F4E7" w14:textId="77777777" w:rsidR="00323207" w:rsidRPr="00F931D9" w:rsidRDefault="00323207" w:rsidP="00323207">
      <w:pPr>
        <w:spacing w:after="0" w:line="240" w:lineRule="auto"/>
        <w:rPr>
          <w:rFonts w:ascii="Times New Roman" w:hAnsi="Times New Roman"/>
          <w:kern w:val="0"/>
          <w:sz w:val="22"/>
          <w:lang w:val="lt-LT"/>
          <w14:ligatures w14:val="none"/>
        </w:rPr>
      </w:pPr>
    </w:p>
    <w:p w14:paraId="46050D72" w14:textId="77777777" w:rsidR="00323207" w:rsidRPr="00F931D9" w:rsidRDefault="00323207" w:rsidP="00323207">
      <w:pPr>
        <w:spacing w:after="0" w:line="240" w:lineRule="auto"/>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3207" w:rsidRPr="00323207" w14:paraId="4E8A9114" w14:textId="77777777" w:rsidTr="003338CB">
        <w:tc>
          <w:tcPr>
            <w:tcW w:w="9287" w:type="dxa"/>
          </w:tcPr>
          <w:p w14:paraId="4AE1ABD9" w14:textId="77777777" w:rsidR="00323207" w:rsidRPr="00F931D9" w:rsidRDefault="00323207" w:rsidP="00323207">
            <w:pPr>
              <w:spacing w:after="0" w:line="240" w:lineRule="auto"/>
              <w:ind w:left="567" w:hanging="567"/>
              <w:rPr>
                <w:rFonts w:ascii="Times New Roman" w:hAnsi="Times New Roman"/>
                <w:b/>
                <w:kern w:val="0"/>
                <w:sz w:val="22"/>
                <w:lang w:val="en-GB"/>
                <w14:ligatures w14:val="none"/>
              </w:rPr>
            </w:pPr>
            <w:r w:rsidRPr="00F931D9">
              <w:rPr>
                <w:rFonts w:ascii="Times New Roman" w:hAnsi="Times New Roman"/>
                <w:b/>
                <w:kern w:val="0"/>
                <w:sz w:val="22"/>
                <w:lang w:val="en-GB"/>
                <w14:ligatures w14:val="none"/>
              </w:rPr>
              <w:t>2.</w:t>
            </w:r>
            <w:r w:rsidRPr="00F931D9">
              <w:rPr>
                <w:rFonts w:ascii="Times New Roman" w:hAnsi="Times New Roman"/>
                <w:b/>
                <w:kern w:val="0"/>
                <w:sz w:val="22"/>
                <w:lang w:val="en-GB"/>
                <w14:ligatures w14:val="none"/>
              </w:rPr>
              <w:tab/>
              <w:t>REGISTRUOTOJO PAVADINIMAS</w:t>
            </w:r>
          </w:p>
        </w:tc>
      </w:tr>
    </w:tbl>
    <w:p w14:paraId="34EC7FA9" w14:textId="77777777" w:rsidR="00323207" w:rsidRPr="00F931D9" w:rsidRDefault="00323207" w:rsidP="00323207">
      <w:pPr>
        <w:spacing w:after="0" w:line="240" w:lineRule="auto"/>
        <w:rPr>
          <w:rFonts w:ascii="Times New Roman" w:hAnsi="Times New Roman"/>
          <w:kern w:val="0"/>
          <w:sz w:val="22"/>
          <w:lang w:val="en-GB"/>
          <w14:ligatures w14:val="none"/>
        </w:rPr>
      </w:pPr>
    </w:p>
    <w:p w14:paraId="6FEA569A" w14:textId="77777777" w:rsidR="00323207" w:rsidRPr="00F931D9" w:rsidRDefault="00323207" w:rsidP="00323207">
      <w:pPr>
        <w:spacing w:after="0" w:line="240" w:lineRule="auto"/>
        <w:rPr>
          <w:rFonts w:ascii="Times New Roman" w:hAnsi="Times New Roman"/>
          <w:kern w:val="0"/>
          <w:sz w:val="22"/>
          <w:lang w:val="en-GB"/>
          <w14:ligatures w14:val="none"/>
        </w:rPr>
      </w:pPr>
      <w:r w:rsidRPr="00F931D9">
        <w:rPr>
          <w:rFonts w:ascii="Times New Roman" w:hAnsi="Times New Roman"/>
          <w:kern w:val="0"/>
          <w:sz w:val="22"/>
          <w:lang w:val="en-GB"/>
          <w14:ligatures w14:val="none"/>
        </w:rPr>
        <w:t>Novartis</w:t>
      </w:r>
    </w:p>
    <w:p w14:paraId="0C09347B" w14:textId="77777777" w:rsidR="00323207" w:rsidRPr="00F931D9" w:rsidRDefault="00323207" w:rsidP="00323207">
      <w:pPr>
        <w:spacing w:after="0" w:line="240" w:lineRule="auto"/>
        <w:rPr>
          <w:rFonts w:ascii="Times New Roman" w:hAnsi="Times New Roman"/>
          <w:kern w:val="0"/>
          <w:sz w:val="22"/>
          <w:highlight w:val="cyan"/>
          <w:lang w:val="en-GB"/>
          <w14:ligatures w14:val="none"/>
        </w:rPr>
      </w:pPr>
    </w:p>
    <w:p w14:paraId="582F00C3" w14:textId="77777777" w:rsidR="00323207" w:rsidRPr="00F931D9" w:rsidRDefault="00323207" w:rsidP="00323207">
      <w:pPr>
        <w:spacing w:after="0" w:line="240" w:lineRule="auto"/>
        <w:rPr>
          <w:rFonts w:ascii="Times New Roman" w:hAnsi="Times New Roman"/>
          <w:kern w:val="0"/>
          <w:sz w:val="22"/>
          <w:highlight w:val="cyan"/>
          <w:lang w:val="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3207" w:rsidRPr="00323207" w14:paraId="2C15DFF0" w14:textId="77777777" w:rsidTr="003338CB">
        <w:tc>
          <w:tcPr>
            <w:tcW w:w="9287" w:type="dxa"/>
          </w:tcPr>
          <w:p w14:paraId="1E3D2DE1" w14:textId="77777777" w:rsidR="00323207" w:rsidRPr="00F931D9" w:rsidRDefault="00323207" w:rsidP="00323207">
            <w:pPr>
              <w:tabs>
                <w:tab w:val="left" w:pos="142"/>
              </w:tabs>
              <w:spacing w:after="0" w:line="240" w:lineRule="auto"/>
              <w:ind w:left="567" w:hanging="567"/>
              <w:rPr>
                <w:rFonts w:ascii="Times New Roman" w:hAnsi="Times New Roman"/>
                <w:b/>
                <w:kern w:val="0"/>
                <w:sz w:val="22"/>
                <w:lang w:val="en-GB"/>
                <w14:ligatures w14:val="none"/>
              </w:rPr>
            </w:pPr>
            <w:r w:rsidRPr="00F931D9">
              <w:rPr>
                <w:rFonts w:ascii="Times New Roman" w:hAnsi="Times New Roman"/>
                <w:b/>
                <w:kern w:val="0"/>
                <w:sz w:val="22"/>
                <w:lang w:val="en-GB"/>
                <w14:ligatures w14:val="none"/>
              </w:rPr>
              <w:t>3.</w:t>
            </w:r>
            <w:r w:rsidRPr="00F931D9">
              <w:rPr>
                <w:rFonts w:ascii="Times New Roman" w:hAnsi="Times New Roman"/>
                <w:b/>
                <w:kern w:val="0"/>
                <w:sz w:val="22"/>
                <w:lang w:val="en-GB"/>
                <w14:ligatures w14:val="none"/>
              </w:rPr>
              <w:tab/>
            </w:r>
            <w:r w:rsidRPr="00F931D9">
              <w:rPr>
                <w:rFonts w:ascii="Times New Roman" w:hAnsi="Times New Roman"/>
                <w:b/>
                <w:caps/>
                <w:kern w:val="0"/>
                <w:sz w:val="22"/>
                <w:lang w:val="en-GB"/>
                <w14:ligatures w14:val="none"/>
              </w:rPr>
              <w:t>TINKAMUMO LAIKAS</w:t>
            </w:r>
          </w:p>
        </w:tc>
      </w:tr>
    </w:tbl>
    <w:p w14:paraId="5E3CD3CD" w14:textId="77777777" w:rsidR="00323207" w:rsidRPr="00F931D9" w:rsidRDefault="00323207" w:rsidP="00323207">
      <w:pPr>
        <w:spacing w:after="0" w:line="240" w:lineRule="auto"/>
        <w:ind w:left="567" w:hanging="567"/>
        <w:outlineLvl w:val="0"/>
        <w:rPr>
          <w:rFonts w:ascii="Times New Roman" w:hAnsi="Times New Roman"/>
          <w:kern w:val="0"/>
          <w:sz w:val="22"/>
          <w:lang w:val="en-GB"/>
          <w14:ligatures w14:val="none"/>
        </w:rPr>
      </w:pPr>
    </w:p>
    <w:p w14:paraId="5E96429A" w14:textId="77777777" w:rsidR="00323207" w:rsidRPr="00F931D9" w:rsidRDefault="00323207" w:rsidP="00323207">
      <w:pPr>
        <w:spacing w:after="0" w:line="240" w:lineRule="auto"/>
        <w:ind w:left="567" w:hanging="567"/>
        <w:outlineLvl w:val="0"/>
        <w:rPr>
          <w:rFonts w:ascii="Times New Roman" w:hAnsi="Times New Roman"/>
          <w:kern w:val="0"/>
          <w:sz w:val="22"/>
          <w:lang w:val="en-GB"/>
          <w14:ligatures w14:val="none"/>
        </w:rPr>
      </w:pPr>
      <w:r w:rsidRPr="00F931D9">
        <w:rPr>
          <w:rFonts w:ascii="Times New Roman" w:hAnsi="Times New Roman"/>
          <w:kern w:val="0"/>
          <w:sz w:val="22"/>
          <w:lang w:val="en-GB"/>
          <w14:ligatures w14:val="none"/>
        </w:rPr>
        <w:t xml:space="preserve">EXP </w:t>
      </w:r>
      <w:r w:rsidRPr="00F931D9">
        <w:rPr>
          <w:rFonts w:ascii="Times New Roman" w:hAnsi="Times New Roman"/>
          <w:kern w:val="0"/>
          <w:sz w:val="22"/>
          <w:lang w:val="lt-LT"/>
          <w14:ligatures w14:val="none"/>
        </w:rPr>
        <w:t>{mm MMMM}</w:t>
      </w:r>
    </w:p>
    <w:p w14:paraId="4585F3B3" w14:textId="77777777" w:rsidR="00323207" w:rsidRPr="00F931D9" w:rsidRDefault="00323207" w:rsidP="00323207">
      <w:pPr>
        <w:spacing w:after="0" w:line="240" w:lineRule="auto"/>
        <w:ind w:left="567" w:hanging="567"/>
        <w:outlineLvl w:val="0"/>
        <w:rPr>
          <w:rFonts w:ascii="Times New Roman" w:hAnsi="Times New Roman"/>
          <w:kern w:val="0"/>
          <w:sz w:val="22"/>
          <w:lang w:val="en-GB"/>
          <w14:ligatures w14:val="none"/>
        </w:rPr>
      </w:pPr>
    </w:p>
    <w:p w14:paraId="3EE2E721" w14:textId="77777777" w:rsidR="00323207" w:rsidRPr="00F931D9" w:rsidRDefault="00323207" w:rsidP="00323207">
      <w:pPr>
        <w:spacing w:after="0" w:line="240" w:lineRule="auto"/>
        <w:rPr>
          <w:rFonts w:ascii="Times New Roman" w:hAnsi="Times New Roman"/>
          <w:kern w:val="0"/>
          <w:sz w:val="22"/>
          <w:lang w:val="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3207" w:rsidRPr="00323207" w14:paraId="51F09AC4" w14:textId="77777777" w:rsidTr="003338CB">
        <w:tc>
          <w:tcPr>
            <w:tcW w:w="9287" w:type="dxa"/>
          </w:tcPr>
          <w:p w14:paraId="21C9B34F" w14:textId="77777777" w:rsidR="00323207" w:rsidRPr="00F931D9" w:rsidRDefault="00323207" w:rsidP="00323207">
            <w:pPr>
              <w:tabs>
                <w:tab w:val="left" w:pos="142"/>
              </w:tabs>
              <w:spacing w:after="0" w:line="240" w:lineRule="auto"/>
              <w:ind w:left="567" w:hanging="567"/>
              <w:rPr>
                <w:rFonts w:ascii="Times New Roman" w:hAnsi="Times New Roman"/>
                <w:b/>
                <w:kern w:val="0"/>
                <w:sz w:val="22"/>
                <w:lang w:val="en-GB"/>
                <w14:ligatures w14:val="none"/>
              </w:rPr>
            </w:pPr>
            <w:r w:rsidRPr="00F931D9">
              <w:rPr>
                <w:rFonts w:ascii="Times New Roman" w:hAnsi="Times New Roman"/>
                <w:b/>
                <w:kern w:val="0"/>
                <w:sz w:val="22"/>
                <w:lang w:val="en-GB"/>
                <w14:ligatures w14:val="none"/>
              </w:rPr>
              <w:t>4.</w:t>
            </w:r>
            <w:r w:rsidRPr="00F931D9">
              <w:rPr>
                <w:rFonts w:ascii="Times New Roman" w:hAnsi="Times New Roman"/>
                <w:b/>
                <w:kern w:val="0"/>
                <w:sz w:val="22"/>
                <w:lang w:val="en-GB"/>
                <w14:ligatures w14:val="none"/>
              </w:rPr>
              <w:tab/>
              <w:t>SERIJOS NUMERIS</w:t>
            </w:r>
          </w:p>
        </w:tc>
      </w:tr>
    </w:tbl>
    <w:p w14:paraId="166E2C78" w14:textId="77777777" w:rsidR="00323207" w:rsidRPr="00F931D9" w:rsidRDefault="00323207" w:rsidP="00323207">
      <w:pPr>
        <w:spacing w:after="0" w:line="240" w:lineRule="auto"/>
        <w:ind w:right="113"/>
        <w:rPr>
          <w:rFonts w:ascii="Times New Roman" w:hAnsi="Times New Roman"/>
          <w:kern w:val="0"/>
          <w:sz w:val="22"/>
          <w:lang w:val="en-GB"/>
          <w14:ligatures w14:val="none"/>
        </w:rPr>
      </w:pPr>
    </w:p>
    <w:p w14:paraId="1BACB437" w14:textId="77777777" w:rsidR="00323207" w:rsidRPr="00F931D9" w:rsidRDefault="00323207" w:rsidP="00323207">
      <w:pPr>
        <w:spacing w:after="0" w:line="240" w:lineRule="auto"/>
        <w:ind w:left="567" w:hanging="567"/>
        <w:rPr>
          <w:rFonts w:ascii="Times New Roman" w:hAnsi="Times New Roman"/>
          <w:kern w:val="0"/>
          <w:sz w:val="22"/>
          <w:lang w:val="en-GB"/>
          <w14:ligatures w14:val="none"/>
        </w:rPr>
      </w:pPr>
      <w:r w:rsidRPr="00F931D9">
        <w:rPr>
          <w:rFonts w:ascii="Times New Roman" w:hAnsi="Times New Roman"/>
          <w:kern w:val="0"/>
          <w:sz w:val="22"/>
          <w:lang w:val="en-GB"/>
          <w14:ligatures w14:val="none"/>
        </w:rPr>
        <w:t>Lot</w:t>
      </w:r>
    </w:p>
    <w:p w14:paraId="4B8A536F" w14:textId="77777777" w:rsidR="00323207" w:rsidRPr="00F931D9" w:rsidRDefault="00323207" w:rsidP="00323207">
      <w:pPr>
        <w:spacing w:after="0" w:line="240" w:lineRule="auto"/>
        <w:ind w:right="113"/>
        <w:rPr>
          <w:rFonts w:ascii="Times New Roman" w:hAnsi="Times New Roman"/>
          <w:kern w:val="0"/>
          <w:sz w:val="22"/>
          <w:lang w:val="en-GB"/>
          <w14:ligatures w14:val="none"/>
        </w:rPr>
      </w:pPr>
    </w:p>
    <w:p w14:paraId="14AF9EAC" w14:textId="77777777" w:rsidR="00323207" w:rsidRPr="00F931D9" w:rsidRDefault="00323207" w:rsidP="00323207">
      <w:pPr>
        <w:spacing w:after="0" w:line="240" w:lineRule="auto"/>
        <w:ind w:right="113"/>
        <w:rPr>
          <w:rFonts w:ascii="Times New Roman" w:hAnsi="Times New Roman"/>
          <w:kern w:val="0"/>
          <w:sz w:val="22"/>
          <w:lang w:val="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3207" w:rsidRPr="00323207" w14:paraId="7506D968" w14:textId="77777777" w:rsidTr="003338CB">
        <w:tc>
          <w:tcPr>
            <w:tcW w:w="9287" w:type="dxa"/>
          </w:tcPr>
          <w:p w14:paraId="3066DBB1" w14:textId="77777777" w:rsidR="00323207" w:rsidRPr="00F931D9" w:rsidRDefault="00323207" w:rsidP="00323207">
            <w:pPr>
              <w:tabs>
                <w:tab w:val="left" w:pos="142"/>
              </w:tabs>
              <w:spacing w:after="0" w:line="240" w:lineRule="auto"/>
              <w:ind w:left="567" w:hanging="567"/>
              <w:rPr>
                <w:rFonts w:ascii="Times New Roman" w:hAnsi="Times New Roman"/>
                <w:b/>
                <w:kern w:val="0"/>
                <w:sz w:val="22"/>
                <w:lang w:val="en-GB"/>
                <w14:ligatures w14:val="none"/>
              </w:rPr>
            </w:pPr>
            <w:r w:rsidRPr="00F931D9">
              <w:rPr>
                <w:rFonts w:ascii="Times New Roman" w:hAnsi="Times New Roman"/>
                <w:b/>
                <w:kern w:val="0"/>
                <w:sz w:val="22"/>
                <w:lang w:val="en-GB"/>
                <w14:ligatures w14:val="none"/>
              </w:rPr>
              <w:t>5.</w:t>
            </w:r>
            <w:r w:rsidRPr="00F931D9">
              <w:rPr>
                <w:rFonts w:ascii="Times New Roman" w:hAnsi="Times New Roman"/>
                <w:b/>
                <w:kern w:val="0"/>
                <w:sz w:val="22"/>
                <w:lang w:val="en-GB"/>
                <w14:ligatures w14:val="none"/>
              </w:rPr>
              <w:tab/>
              <w:t>KITA</w:t>
            </w:r>
          </w:p>
        </w:tc>
      </w:tr>
    </w:tbl>
    <w:p w14:paraId="22CF6F42" w14:textId="77777777" w:rsidR="00323207" w:rsidRPr="00F931D9" w:rsidRDefault="00323207" w:rsidP="00323207">
      <w:pPr>
        <w:spacing w:after="0" w:line="240" w:lineRule="auto"/>
        <w:ind w:right="113"/>
        <w:rPr>
          <w:rFonts w:ascii="Times New Roman" w:hAnsi="Times New Roman"/>
          <w:kern w:val="0"/>
          <w:sz w:val="22"/>
          <w:lang w:val="en-GB"/>
          <w14:ligatures w14:val="none"/>
        </w:rPr>
      </w:pPr>
    </w:p>
    <w:p w14:paraId="0AEBEFDA"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en-GB"/>
          <w14:ligatures w14:val="none"/>
        </w:rPr>
        <w:br w:type="page"/>
      </w:r>
    </w:p>
    <w:p w14:paraId="185D2C81" w14:textId="77777777" w:rsidR="00323207" w:rsidRPr="00F931D9" w:rsidRDefault="00323207" w:rsidP="00323207">
      <w:pPr>
        <w:spacing w:after="0" w:line="240" w:lineRule="auto"/>
        <w:jc w:val="center"/>
        <w:rPr>
          <w:rFonts w:ascii="Times New Roman" w:hAnsi="Times New Roman"/>
          <w:kern w:val="0"/>
          <w:sz w:val="22"/>
          <w:lang w:val="lt-LT"/>
          <w14:ligatures w14:val="none"/>
        </w:rPr>
      </w:pPr>
    </w:p>
    <w:p w14:paraId="49810E14" w14:textId="77777777" w:rsidR="00323207" w:rsidRPr="00F931D9" w:rsidRDefault="00323207" w:rsidP="00323207">
      <w:pPr>
        <w:spacing w:after="0" w:line="240" w:lineRule="auto"/>
        <w:jc w:val="center"/>
        <w:rPr>
          <w:rFonts w:ascii="Times New Roman" w:hAnsi="Times New Roman"/>
          <w:kern w:val="0"/>
          <w:sz w:val="22"/>
          <w:lang w:val="lt-LT"/>
          <w14:ligatures w14:val="none"/>
        </w:rPr>
      </w:pPr>
    </w:p>
    <w:p w14:paraId="7705FE76" w14:textId="77777777" w:rsidR="00323207" w:rsidRPr="00F931D9" w:rsidRDefault="00323207" w:rsidP="00323207">
      <w:pPr>
        <w:spacing w:after="0" w:line="240" w:lineRule="auto"/>
        <w:jc w:val="center"/>
        <w:rPr>
          <w:rFonts w:ascii="Times New Roman" w:hAnsi="Times New Roman"/>
          <w:kern w:val="0"/>
          <w:sz w:val="22"/>
          <w:lang w:val="lt-LT"/>
          <w14:ligatures w14:val="none"/>
        </w:rPr>
      </w:pPr>
    </w:p>
    <w:p w14:paraId="3BFFF5F8" w14:textId="77777777" w:rsidR="00323207" w:rsidRPr="00F931D9" w:rsidRDefault="00323207" w:rsidP="00323207">
      <w:pPr>
        <w:spacing w:after="0" w:line="240" w:lineRule="auto"/>
        <w:jc w:val="center"/>
        <w:rPr>
          <w:rFonts w:ascii="Times New Roman" w:hAnsi="Times New Roman"/>
          <w:kern w:val="0"/>
          <w:sz w:val="22"/>
          <w:lang w:val="lt-LT"/>
          <w14:ligatures w14:val="none"/>
        </w:rPr>
      </w:pPr>
    </w:p>
    <w:p w14:paraId="658C03BB" w14:textId="77777777" w:rsidR="00323207" w:rsidRPr="00F931D9" w:rsidRDefault="00323207" w:rsidP="00323207">
      <w:pPr>
        <w:spacing w:after="0" w:line="240" w:lineRule="auto"/>
        <w:jc w:val="center"/>
        <w:rPr>
          <w:rFonts w:ascii="Times New Roman" w:hAnsi="Times New Roman"/>
          <w:kern w:val="0"/>
          <w:sz w:val="22"/>
          <w:lang w:val="lt-LT"/>
          <w14:ligatures w14:val="none"/>
        </w:rPr>
      </w:pPr>
    </w:p>
    <w:p w14:paraId="47781891" w14:textId="77777777" w:rsidR="00323207" w:rsidRPr="00F931D9" w:rsidRDefault="00323207" w:rsidP="00323207">
      <w:pPr>
        <w:spacing w:after="0" w:line="240" w:lineRule="auto"/>
        <w:jc w:val="center"/>
        <w:rPr>
          <w:rFonts w:ascii="Times New Roman" w:hAnsi="Times New Roman"/>
          <w:kern w:val="0"/>
          <w:sz w:val="22"/>
          <w:lang w:val="lt-LT"/>
          <w14:ligatures w14:val="none"/>
        </w:rPr>
      </w:pPr>
    </w:p>
    <w:p w14:paraId="65534146" w14:textId="77777777" w:rsidR="00323207" w:rsidRPr="00F931D9" w:rsidRDefault="00323207" w:rsidP="00323207">
      <w:pPr>
        <w:spacing w:after="0" w:line="240" w:lineRule="auto"/>
        <w:jc w:val="center"/>
        <w:rPr>
          <w:rFonts w:ascii="Times New Roman" w:hAnsi="Times New Roman"/>
          <w:kern w:val="0"/>
          <w:sz w:val="22"/>
          <w:lang w:val="lt-LT"/>
          <w14:ligatures w14:val="none"/>
        </w:rPr>
      </w:pPr>
    </w:p>
    <w:p w14:paraId="45FC0906" w14:textId="77777777" w:rsidR="00323207" w:rsidRPr="00F931D9" w:rsidRDefault="00323207" w:rsidP="00323207">
      <w:pPr>
        <w:spacing w:after="0" w:line="240" w:lineRule="auto"/>
        <w:jc w:val="center"/>
        <w:rPr>
          <w:rFonts w:ascii="Times New Roman" w:hAnsi="Times New Roman"/>
          <w:kern w:val="0"/>
          <w:sz w:val="22"/>
          <w:lang w:val="lt-LT"/>
          <w14:ligatures w14:val="none"/>
        </w:rPr>
      </w:pPr>
    </w:p>
    <w:p w14:paraId="70F308EA" w14:textId="77777777" w:rsidR="00323207" w:rsidRPr="00F931D9" w:rsidRDefault="00323207" w:rsidP="00323207">
      <w:pPr>
        <w:spacing w:after="0" w:line="240" w:lineRule="auto"/>
        <w:jc w:val="center"/>
        <w:rPr>
          <w:rFonts w:ascii="Times New Roman" w:hAnsi="Times New Roman"/>
          <w:kern w:val="0"/>
          <w:sz w:val="22"/>
          <w:lang w:val="lt-LT"/>
          <w14:ligatures w14:val="none"/>
        </w:rPr>
      </w:pPr>
    </w:p>
    <w:p w14:paraId="36A9DBC4" w14:textId="77777777" w:rsidR="00323207" w:rsidRPr="00F931D9" w:rsidRDefault="00323207" w:rsidP="00323207">
      <w:pPr>
        <w:spacing w:after="0" w:line="240" w:lineRule="auto"/>
        <w:jc w:val="center"/>
        <w:rPr>
          <w:rFonts w:ascii="Times New Roman" w:hAnsi="Times New Roman"/>
          <w:kern w:val="0"/>
          <w:sz w:val="22"/>
          <w:lang w:val="lt-LT"/>
          <w14:ligatures w14:val="none"/>
        </w:rPr>
      </w:pPr>
    </w:p>
    <w:p w14:paraId="2D60B144" w14:textId="77777777" w:rsidR="00323207" w:rsidRPr="00F931D9" w:rsidRDefault="00323207" w:rsidP="00323207">
      <w:pPr>
        <w:spacing w:after="0" w:line="240" w:lineRule="auto"/>
        <w:jc w:val="center"/>
        <w:rPr>
          <w:rFonts w:ascii="Times New Roman" w:hAnsi="Times New Roman"/>
          <w:kern w:val="0"/>
          <w:sz w:val="22"/>
          <w:lang w:val="lt-LT"/>
          <w14:ligatures w14:val="none"/>
        </w:rPr>
      </w:pPr>
    </w:p>
    <w:p w14:paraId="717D46FB" w14:textId="77777777" w:rsidR="00323207" w:rsidRPr="00F931D9" w:rsidRDefault="00323207" w:rsidP="00323207">
      <w:pPr>
        <w:spacing w:after="0" w:line="240" w:lineRule="auto"/>
        <w:jc w:val="center"/>
        <w:rPr>
          <w:rFonts w:ascii="Times New Roman" w:hAnsi="Times New Roman"/>
          <w:kern w:val="0"/>
          <w:sz w:val="22"/>
          <w:lang w:val="lt-LT"/>
          <w14:ligatures w14:val="none"/>
        </w:rPr>
      </w:pPr>
    </w:p>
    <w:p w14:paraId="6E18FDBF" w14:textId="77777777" w:rsidR="00323207" w:rsidRPr="00F931D9" w:rsidRDefault="00323207" w:rsidP="00323207">
      <w:pPr>
        <w:spacing w:after="0" w:line="240" w:lineRule="auto"/>
        <w:jc w:val="center"/>
        <w:rPr>
          <w:rFonts w:ascii="Times New Roman" w:hAnsi="Times New Roman"/>
          <w:kern w:val="0"/>
          <w:sz w:val="22"/>
          <w:lang w:val="lt-LT"/>
          <w14:ligatures w14:val="none"/>
        </w:rPr>
      </w:pPr>
    </w:p>
    <w:p w14:paraId="4FCB7E40" w14:textId="77777777" w:rsidR="00323207" w:rsidRPr="00F931D9" w:rsidRDefault="00323207" w:rsidP="00323207">
      <w:pPr>
        <w:spacing w:after="0" w:line="240" w:lineRule="auto"/>
        <w:jc w:val="center"/>
        <w:rPr>
          <w:rFonts w:ascii="Times New Roman" w:hAnsi="Times New Roman"/>
          <w:kern w:val="0"/>
          <w:sz w:val="22"/>
          <w:lang w:val="lt-LT"/>
          <w14:ligatures w14:val="none"/>
        </w:rPr>
      </w:pPr>
    </w:p>
    <w:p w14:paraId="4CB72C73" w14:textId="77777777" w:rsidR="00323207" w:rsidRPr="00F931D9" w:rsidRDefault="00323207" w:rsidP="00323207">
      <w:pPr>
        <w:spacing w:after="0" w:line="240" w:lineRule="auto"/>
        <w:jc w:val="center"/>
        <w:rPr>
          <w:rFonts w:ascii="Times New Roman" w:hAnsi="Times New Roman"/>
          <w:kern w:val="0"/>
          <w:sz w:val="22"/>
          <w:lang w:val="lt-LT"/>
          <w14:ligatures w14:val="none"/>
        </w:rPr>
      </w:pPr>
    </w:p>
    <w:p w14:paraId="2A311165" w14:textId="77777777" w:rsidR="00323207" w:rsidRPr="00F931D9" w:rsidRDefault="00323207" w:rsidP="00323207">
      <w:pPr>
        <w:spacing w:after="0" w:line="240" w:lineRule="auto"/>
        <w:jc w:val="center"/>
        <w:rPr>
          <w:rFonts w:ascii="Times New Roman" w:hAnsi="Times New Roman"/>
          <w:kern w:val="0"/>
          <w:sz w:val="22"/>
          <w:lang w:val="lt-LT"/>
          <w14:ligatures w14:val="none"/>
        </w:rPr>
      </w:pPr>
    </w:p>
    <w:p w14:paraId="37750C76" w14:textId="77777777" w:rsidR="00323207" w:rsidRPr="00F931D9" w:rsidRDefault="00323207" w:rsidP="00323207">
      <w:pPr>
        <w:spacing w:after="0" w:line="240" w:lineRule="auto"/>
        <w:jc w:val="center"/>
        <w:rPr>
          <w:rFonts w:ascii="Times New Roman" w:hAnsi="Times New Roman"/>
          <w:kern w:val="0"/>
          <w:sz w:val="22"/>
          <w:lang w:val="lt-LT"/>
          <w14:ligatures w14:val="none"/>
        </w:rPr>
      </w:pPr>
    </w:p>
    <w:p w14:paraId="206BCA42" w14:textId="77777777" w:rsidR="00323207" w:rsidRPr="00F931D9" w:rsidRDefault="00323207" w:rsidP="00323207">
      <w:pPr>
        <w:spacing w:after="0" w:line="240" w:lineRule="auto"/>
        <w:jc w:val="center"/>
        <w:rPr>
          <w:rFonts w:ascii="Times New Roman" w:hAnsi="Times New Roman"/>
          <w:kern w:val="0"/>
          <w:sz w:val="22"/>
          <w:lang w:val="lt-LT"/>
          <w14:ligatures w14:val="none"/>
        </w:rPr>
      </w:pPr>
    </w:p>
    <w:p w14:paraId="623B1313" w14:textId="77777777" w:rsidR="00323207" w:rsidRPr="00F931D9" w:rsidRDefault="00323207" w:rsidP="00323207">
      <w:pPr>
        <w:spacing w:after="0" w:line="240" w:lineRule="auto"/>
        <w:jc w:val="center"/>
        <w:rPr>
          <w:rFonts w:ascii="Times New Roman" w:hAnsi="Times New Roman"/>
          <w:kern w:val="0"/>
          <w:sz w:val="22"/>
          <w:lang w:val="lt-LT"/>
          <w14:ligatures w14:val="none"/>
        </w:rPr>
      </w:pPr>
    </w:p>
    <w:p w14:paraId="0F57BC96" w14:textId="77777777" w:rsidR="00323207" w:rsidRPr="00F931D9" w:rsidRDefault="00323207" w:rsidP="00323207">
      <w:pPr>
        <w:spacing w:after="0" w:line="240" w:lineRule="auto"/>
        <w:jc w:val="center"/>
        <w:rPr>
          <w:rFonts w:ascii="Times New Roman" w:hAnsi="Times New Roman"/>
          <w:kern w:val="0"/>
          <w:sz w:val="22"/>
          <w:lang w:val="lt-LT"/>
          <w14:ligatures w14:val="none"/>
        </w:rPr>
      </w:pPr>
    </w:p>
    <w:p w14:paraId="33EA838F" w14:textId="77777777" w:rsidR="00323207" w:rsidRPr="00F931D9" w:rsidRDefault="00323207" w:rsidP="00323207">
      <w:pPr>
        <w:spacing w:after="0" w:line="240" w:lineRule="auto"/>
        <w:jc w:val="center"/>
        <w:rPr>
          <w:rFonts w:ascii="Times New Roman" w:hAnsi="Times New Roman"/>
          <w:kern w:val="0"/>
          <w:sz w:val="22"/>
          <w:lang w:val="lt-LT"/>
          <w14:ligatures w14:val="none"/>
        </w:rPr>
      </w:pPr>
    </w:p>
    <w:p w14:paraId="46C5E036" w14:textId="77777777" w:rsidR="00323207" w:rsidRPr="00F931D9" w:rsidRDefault="00323207" w:rsidP="00323207">
      <w:pPr>
        <w:spacing w:after="0" w:line="240" w:lineRule="auto"/>
        <w:jc w:val="center"/>
        <w:rPr>
          <w:rFonts w:ascii="Times New Roman" w:hAnsi="Times New Roman"/>
          <w:kern w:val="0"/>
          <w:sz w:val="22"/>
          <w:lang w:val="lt-LT"/>
          <w14:ligatures w14:val="none"/>
        </w:rPr>
      </w:pPr>
    </w:p>
    <w:p w14:paraId="30375A99" w14:textId="77777777" w:rsidR="00323207" w:rsidRPr="00F931D9" w:rsidRDefault="00323207" w:rsidP="00323207">
      <w:pPr>
        <w:spacing w:after="0" w:line="240" w:lineRule="auto"/>
        <w:jc w:val="center"/>
        <w:rPr>
          <w:rFonts w:ascii="Times New Roman" w:hAnsi="Times New Roman"/>
          <w:kern w:val="0"/>
          <w:sz w:val="22"/>
          <w:lang w:val="lt-LT"/>
          <w14:ligatures w14:val="none"/>
        </w:rPr>
      </w:pPr>
    </w:p>
    <w:p w14:paraId="569B7766" w14:textId="77777777" w:rsidR="00323207" w:rsidRPr="00F931D9" w:rsidRDefault="00323207" w:rsidP="00323207">
      <w:pPr>
        <w:spacing w:after="0" w:line="240" w:lineRule="auto"/>
        <w:jc w:val="center"/>
        <w:outlineLvl w:val="0"/>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PAKUOTĖS LAPELIS</w:t>
      </w:r>
    </w:p>
    <w:p w14:paraId="25405966" w14:textId="77777777" w:rsidR="00323207" w:rsidRPr="00F931D9" w:rsidRDefault="00323207" w:rsidP="00323207">
      <w:pPr>
        <w:spacing w:after="0" w:line="240" w:lineRule="auto"/>
        <w:jc w:val="center"/>
        <w:outlineLvl w:val="0"/>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br w:type="page"/>
      </w:r>
      <w:r w:rsidRPr="00F931D9">
        <w:rPr>
          <w:rFonts w:ascii="Times New Roman" w:hAnsi="Times New Roman"/>
          <w:b/>
          <w:kern w:val="0"/>
          <w:sz w:val="22"/>
          <w:lang w:val="lt-LT"/>
          <w14:ligatures w14:val="none"/>
        </w:rPr>
        <w:lastRenderedPageBreak/>
        <w:t>Pakuotės lapelis: informacija pacientui</w:t>
      </w:r>
    </w:p>
    <w:p w14:paraId="30B273A0" w14:textId="77777777" w:rsidR="00323207" w:rsidRPr="00F931D9" w:rsidRDefault="00323207" w:rsidP="00323207">
      <w:pPr>
        <w:spacing w:after="0" w:line="240" w:lineRule="auto"/>
        <w:jc w:val="center"/>
        <w:outlineLvl w:val="0"/>
        <w:rPr>
          <w:rFonts w:ascii="Times New Roman" w:hAnsi="Times New Roman"/>
          <w:b/>
          <w:kern w:val="0"/>
          <w:sz w:val="22"/>
          <w:lang w:val="lt-LT"/>
          <w14:ligatures w14:val="none"/>
        </w:rPr>
      </w:pPr>
    </w:p>
    <w:p w14:paraId="490A853C" w14:textId="77777777" w:rsidR="00323207" w:rsidRPr="00F931D9" w:rsidRDefault="00323207" w:rsidP="00323207">
      <w:pPr>
        <w:numPr>
          <w:ilvl w:val="12"/>
          <w:numId w:val="0"/>
        </w:numPr>
        <w:shd w:val="clear" w:color="auto" w:fill="D9D9D9"/>
        <w:spacing w:after="0" w:line="240" w:lineRule="auto"/>
        <w:jc w:val="center"/>
        <w:rPr>
          <w:rFonts w:ascii="Times New Roman" w:hAnsi="Times New Roman"/>
          <w:b/>
          <w:kern w:val="0"/>
          <w:sz w:val="22"/>
          <w:lang w:val="lt-LT"/>
          <w14:ligatures w14:val="none"/>
        </w:rPr>
      </w:pP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r w:rsidRPr="00F931D9">
        <w:rPr>
          <w:rFonts w:ascii="Times New Roman" w:hAnsi="Times New Roman"/>
          <w:b/>
          <w:kern w:val="0"/>
          <w:sz w:val="22"/>
          <w:lang w:val="lt-LT"/>
          <w14:ligatures w14:val="none"/>
        </w:rPr>
        <w:t xml:space="preserve"> 25 mg minkštosios kapsulės</w:t>
      </w:r>
    </w:p>
    <w:p w14:paraId="33A62CE8" w14:textId="77777777" w:rsidR="00323207" w:rsidRPr="00F931D9" w:rsidRDefault="00323207" w:rsidP="00323207">
      <w:pPr>
        <w:numPr>
          <w:ilvl w:val="12"/>
          <w:numId w:val="0"/>
        </w:numPr>
        <w:shd w:val="clear" w:color="auto" w:fill="BFBFBF"/>
        <w:spacing w:after="0" w:line="240" w:lineRule="auto"/>
        <w:jc w:val="center"/>
        <w:rPr>
          <w:rFonts w:ascii="Times New Roman" w:hAnsi="Times New Roman"/>
          <w:b/>
          <w:kern w:val="0"/>
          <w:sz w:val="22"/>
          <w:lang w:val="lt-LT"/>
          <w14:ligatures w14:val="none"/>
        </w:rPr>
      </w:pP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r w:rsidRPr="00F931D9">
        <w:rPr>
          <w:rFonts w:ascii="Times New Roman" w:hAnsi="Times New Roman"/>
          <w:b/>
          <w:kern w:val="0"/>
          <w:sz w:val="22"/>
          <w:lang w:val="lt-LT"/>
          <w14:ligatures w14:val="none"/>
        </w:rPr>
        <w:t xml:space="preserve"> 50 mg minkštosios kapsulės</w:t>
      </w:r>
    </w:p>
    <w:p w14:paraId="09159F85" w14:textId="77777777" w:rsidR="00323207" w:rsidRPr="00F931D9" w:rsidRDefault="00323207" w:rsidP="00323207">
      <w:pPr>
        <w:numPr>
          <w:ilvl w:val="12"/>
          <w:numId w:val="0"/>
        </w:numPr>
        <w:shd w:val="clear" w:color="auto" w:fill="A6A6A6"/>
        <w:spacing w:after="0" w:line="240" w:lineRule="auto"/>
        <w:jc w:val="center"/>
        <w:rPr>
          <w:rFonts w:ascii="Times New Roman" w:hAnsi="Times New Roman"/>
          <w:b/>
          <w:kern w:val="0"/>
          <w:sz w:val="22"/>
          <w:lang w:val="lt-LT"/>
          <w14:ligatures w14:val="none"/>
        </w:rPr>
      </w:pP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r w:rsidRPr="00F931D9">
        <w:rPr>
          <w:rFonts w:ascii="Times New Roman" w:hAnsi="Times New Roman"/>
          <w:b/>
          <w:kern w:val="0"/>
          <w:sz w:val="22"/>
          <w:lang w:val="lt-LT"/>
          <w14:ligatures w14:val="none"/>
        </w:rPr>
        <w:t xml:space="preserve"> 100 mg minkštosios kapsulės</w:t>
      </w:r>
    </w:p>
    <w:p w14:paraId="1D955FA0" w14:textId="77777777" w:rsidR="00323207" w:rsidRPr="00F931D9" w:rsidRDefault="00323207" w:rsidP="00323207">
      <w:pPr>
        <w:spacing w:after="0" w:line="240" w:lineRule="auto"/>
        <w:jc w:val="center"/>
        <w:rPr>
          <w:rFonts w:ascii="Times New Roman" w:hAnsi="Times New Roman"/>
          <w:kern w:val="0"/>
          <w:sz w:val="22"/>
          <w:lang w:val="lt-LT"/>
          <w14:ligatures w14:val="none"/>
        </w:rPr>
      </w:pPr>
    </w:p>
    <w:p w14:paraId="06823A58" w14:textId="77777777" w:rsidR="00323207" w:rsidRPr="00F931D9" w:rsidRDefault="00323207" w:rsidP="00323207">
      <w:pPr>
        <w:numPr>
          <w:ilvl w:val="12"/>
          <w:numId w:val="0"/>
        </w:numPr>
        <w:spacing w:after="0" w:line="240" w:lineRule="auto"/>
        <w:jc w:val="center"/>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ciklosporinas</w:t>
      </w:r>
      <w:proofErr w:type="spellEnd"/>
      <w:r w:rsidRPr="00F931D9">
        <w:rPr>
          <w:rFonts w:ascii="Times New Roman" w:hAnsi="Times New Roman"/>
          <w:kern w:val="0"/>
          <w:sz w:val="22"/>
          <w:lang w:val="lt-LT"/>
          <w14:ligatures w14:val="none"/>
        </w:rPr>
        <w:t xml:space="preserve"> </w:t>
      </w:r>
    </w:p>
    <w:p w14:paraId="4D0504CE" w14:textId="77777777" w:rsidR="00323207" w:rsidRPr="00F931D9" w:rsidRDefault="00323207" w:rsidP="00323207">
      <w:pPr>
        <w:spacing w:after="0" w:line="240" w:lineRule="auto"/>
        <w:jc w:val="center"/>
        <w:rPr>
          <w:rFonts w:ascii="Times New Roman" w:hAnsi="Times New Roman"/>
          <w:kern w:val="0"/>
          <w:sz w:val="22"/>
          <w:lang w:val="lt-LT"/>
          <w14:ligatures w14:val="none"/>
        </w:rPr>
      </w:pPr>
    </w:p>
    <w:p w14:paraId="54962D93" w14:textId="77777777" w:rsidR="00323207" w:rsidRPr="00F931D9" w:rsidRDefault="00323207" w:rsidP="00323207">
      <w:pPr>
        <w:suppressAutoHyphens/>
        <w:spacing w:after="0" w:line="240" w:lineRule="auto"/>
        <w:rPr>
          <w:rFonts w:ascii="Times New Roman" w:hAnsi="Times New Roman"/>
          <w:kern w:val="0"/>
          <w:sz w:val="22"/>
          <w:lang w:val="lt-LT"/>
          <w14:ligatures w14:val="none"/>
        </w:rPr>
      </w:pPr>
      <w:r w:rsidRPr="00F931D9">
        <w:rPr>
          <w:rFonts w:ascii="Times New Roman" w:hAnsi="Times New Roman"/>
          <w:b/>
          <w:kern w:val="0"/>
          <w:sz w:val="22"/>
          <w:lang w:val="lt-LT"/>
          <w14:ligatures w14:val="none"/>
        </w:rPr>
        <w:t>Atidžiai perskaitykite visą šį lapelį, prieš pradėdami vartoti vaistą, nes jame pateikiama Jums svarbi informacija.</w:t>
      </w:r>
    </w:p>
    <w:p w14:paraId="205F38F8" w14:textId="77777777" w:rsidR="00323207" w:rsidRPr="00F931D9" w:rsidRDefault="00323207" w:rsidP="00323207">
      <w:pPr>
        <w:numPr>
          <w:ilvl w:val="0"/>
          <w:numId w:val="21"/>
        </w:numPr>
        <w:spacing w:after="0" w:line="240" w:lineRule="auto"/>
        <w:ind w:left="567" w:right="-2"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Neišmeskite šio lapelio, nes vėl gali prireikti jį perskaityti.</w:t>
      </w:r>
    </w:p>
    <w:p w14:paraId="00195066" w14:textId="77777777" w:rsidR="00323207" w:rsidRPr="00F931D9" w:rsidRDefault="00323207" w:rsidP="00323207">
      <w:pPr>
        <w:numPr>
          <w:ilvl w:val="0"/>
          <w:numId w:val="21"/>
        </w:numPr>
        <w:spacing w:after="0" w:line="240" w:lineRule="auto"/>
        <w:ind w:left="567" w:right="-2"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Jeigu kiltų daugiau klausimų, kreipkitės į gydytoją, arba vaistininką.</w:t>
      </w:r>
    </w:p>
    <w:p w14:paraId="662E0569" w14:textId="77777777" w:rsidR="00323207" w:rsidRPr="00F931D9" w:rsidRDefault="00323207" w:rsidP="00323207">
      <w:pPr>
        <w:spacing w:after="0" w:line="240" w:lineRule="auto"/>
        <w:ind w:left="567" w:right="-2"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w:t>
      </w:r>
      <w:r w:rsidRPr="00F931D9">
        <w:rPr>
          <w:rFonts w:ascii="Times New Roman" w:hAnsi="Times New Roman"/>
          <w:kern w:val="0"/>
          <w:sz w:val="22"/>
          <w:lang w:val="lt-LT"/>
          <w14:ligatures w14:val="none"/>
        </w:rPr>
        <w:tab/>
        <w:t>Šis vaistas skirtas tik Jums, todėl kitiems žmonėms jo duoti negalima. Vaistas gali jiems pakenkti (net tiems, kurių ligos požymiai yra tokie patys kaip Jūsų).</w:t>
      </w:r>
    </w:p>
    <w:p w14:paraId="0E927B5E" w14:textId="77777777" w:rsidR="00323207" w:rsidRPr="00F931D9" w:rsidRDefault="00323207" w:rsidP="00323207">
      <w:pPr>
        <w:numPr>
          <w:ilvl w:val="0"/>
          <w:numId w:val="21"/>
        </w:numPr>
        <w:spacing w:after="0" w:line="240" w:lineRule="auto"/>
        <w:ind w:left="567" w:right="-2"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Jeigu pasireiškė šalutinis poveikis (net jeigu jis šiame lapelyje nenurodytas), kreipkitės į gydytoją, arba vaistininką. Žr. 4 skyrių.</w:t>
      </w:r>
    </w:p>
    <w:p w14:paraId="24938DAE" w14:textId="77777777" w:rsidR="00323207" w:rsidRPr="00F931D9" w:rsidRDefault="00323207" w:rsidP="00323207">
      <w:pPr>
        <w:spacing w:after="0" w:line="240" w:lineRule="auto"/>
        <w:ind w:right="-2"/>
        <w:rPr>
          <w:rFonts w:ascii="Times New Roman" w:hAnsi="Times New Roman"/>
          <w:kern w:val="0"/>
          <w:sz w:val="22"/>
          <w:lang w:val="lt-LT"/>
          <w14:ligatures w14:val="none"/>
        </w:rPr>
      </w:pPr>
    </w:p>
    <w:p w14:paraId="4BAF1F75" w14:textId="77777777" w:rsidR="00323207" w:rsidRPr="00F931D9" w:rsidRDefault="00323207" w:rsidP="00323207">
      <w:pPr>
        <w:numPr>
          <w:ilvl w:val="12"/>
          <w:numId w:val="0"/>
        </w:numPr>
        <w:spacing w:after="0" w:line="240" w:lineRule="auto"/>
        <w:ind w:right="-2"/>
        <w:outlineLvl w:val="0"/>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Apie ką rašoma šiame lapelyje?</w:t>
      </w:r>
    </w:p>
    <w:p w14:paraId="18569DC7" w14:textId="77777777" w:rsidR="00323207" w:rsidRPr="00F931D9" w:rsidRDefault="00323207" w:rsidP="00323207">
      <w:pPr>
        <w:numPr>
          <w:ilvl w:val="12"/>
          <w:numId w:val="0"/>
        </w:numPr>
        <w:spacing w:after="0" w:line="240" w:lineRule="auto"/>
        <w:ind w:right="-2"/>
        <w:outlineLvl w:val="0"/>
        <w:rPr>
          <w:rFonts w:ascii="Times New Roman" w:hAnsi="Times New Roman"/>
          <w:kern w:val="0"/>
          <w:sz w:val="22"/>
          <w:lang w:val="lt-LT"/>
          <w14:ligatures w14:val="none"/>
        </w:rPr>
      </w:pPr>
    </w:p>
    <w:p w14:paraId="4DEF9FB4" w14:textId="77777777" w:rsidR="00323207" w:rsidRPr="00F931D9" w:rsidRDefault="00323207" w:rsidP="00323207">
      <w:pPr>
        <w:numPr>
          <w:ilvl w:val="12"/>
          <w:numId w:val="0"/>
        </w:numPr>
        <w:spacing w:after="0" w:line="240" w:lineRule="auto"/>
        <w:ind w:right="-29"/>
        <w:rPr>
          <w:rFonts w:ascii="Times New Roman" w:hAnsi="Times New Roman"/>
          <w:kern w:val="0"/>
          <w:sz w:val="22"/>
          <w:lang w:val="lt-LT"/>
          <w14:ligatures w14:val="none"/>
        </w:rPr>
      </w:pPr>
      <w:r w:rsidRPr="00F931D9">
        <w:rPr>
          <w:rFonts w:ascii="Times New Roman" w:hAnsi="Times New Roman"/>
          <w:kern w:val="0"/>
          <w:sz w:val="22"/>
          <w:lang w:val="lt-LT"/>
          <w14:ligatures w14:val="none"/>
        </w:rPr>
        <w:t>1.</w:t>
      </w:r>
      <w:r w:rsidRPr="00F931D9">
        <w:rPr>
          <w:rFonts w:ascii="Times New Roman" w:hAnsi="Times New Roman"/>
          <w:kern w:val="0"/>
          <w:sz w:val="22"/>
          <w:lang w:val="lt-LT"/>
          <w14:ligatures w14:val="none"/>
        </w:rPr>
        <w:tab/>
        <w:t xml:space="preserve">Kas yra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ir kam jis vartojamas</w:t>
      </w:r>
    </w:p>
    <w:p w14:paraId="7CCE9002" w14:textId="77777777" w:rsidR="00323207" w:rsidRPr="00F931D9" w:rsidRDefault="00323207" w:rsidP="00323207">
      <w:pPr>
        <w:numPr>
          <w:ilvl w:val="12"/>
          <w:numId w:val="0"/>
        </w:numPr>
        <w:spacing w:after="0" w:line="240" w:lineRule="auto"/>
        <w:ind w:right="-29"/>
        <w:rPr>
          <w:rFonts w:ascii="Times New Roman" w:hAnsi="Times New Roman"/>
          <w:kern w:val="0"/>
          <w:sz w:val="22"/>
          <w:lang w:val="lt-LT"/>
          <w14:ligatures w14:val="none"/>
        </w:rPr>
      </w:pPr>
      <w:r w:rsidRPr="00F931D9">
        <w:rPr>
          <w:rFonts w:ascii="Times New Roman" w:hAnsi="Times New Roman"/>
          <w:kern w:val="0"/>
          <w:sz w:val="22"/>
          <w:lang w:val="lt-LT"/>
          <w14:ligatures w14:val="none"/>
        </w:rPr>
        <w:t>2.</w:t>
      </w:r>
      <w:r w:rsidRPr="00F931D9">
        <w:rPr>
          <w:rFonts w:ascii="Times New Roman" w:hAnsi="Times New Roman"/>
          <w:kern w:val="0"/>
          <w:sz w:val="22"/>
          <w:lang w:val="lt-LT"/>
          <w14:ligatures w14:val="none"/>
        </w:rPr>
        <w:tab/>
        <w:t xml:space="preserve">Kas žinotina prieš vartojant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p>
    <w:p w14:paraId="1B7791D8" w14:textId="77777777" w:rsidR="00323207" w:rsidRPr="00F931D9" w:rsidRDefault="00323207" w:rsidP="00323207">
      <w:pPr>
        <w:numPr>
          <w:ilvl w:val="12"/>
          <w:numId w:val="0"/>
        </w:numPr>
        <w:spacing w:after="0" w:line="240" w:lineRule="auto"/>
        <w:ind w:right="-29"/>
        <w:rPr>
          <w:rFonts w:ascii="Times New Roman" w:hAnsi="Times New Roman"/>
          <w:kern w:val="0"/>
          <w:sz w:val="22"/>
          <w:lang w:val="lt-LT"/>
          <w14:ligatures w14:val="none"/>
        </w:rPr>
      </w:pPr>
      <w:r w:rsidRPr="00F931D9">
        <w:rPr>
          <w:rFonts w:ascii="Times New Roman" w:hAnsi="Times New Roman"/>
          <w:kern w:val="0"/>
          <w:sz w:val="22"/>
          <w:lang w:val="lt-LT"/>
          <w14:ligatures w14:val="none"/>
        </w:rPr>
        <w:t>3.</w:t>
      </w:r>
      <w:r w:rsidRPr="00F931D9">
        <w:rPr>
          <w:rFonts w:ascii="Times New Roman" w:hAnsi="Times New Roman"/>
          <w:kern w:val="0"/>
          <w:sz w:val="22"/>
          <w:lang w:val="lt-LT"/>
          <w14:ligatures w14:val="none"/>
        </w:rPr>
        <w:tab/>
        <w:t xml:space="preserve">Kaip vartoti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p>
    <w:p w14:paraId="5522BB59" w14:textId="77777777" w:rsidR="00323207" w:rsidRPr="00F931D9" w:rsidRDefault="00323207" w:rsidP="00323207">
      <w:pPr>
        <w:numPr>
          <w:ilvl w:val="12"/>
          <w:numId w:val="0"/>
        </w:numPr>
        <w:spacing w:after="0" w:line="240" w:lineRule="auto"/>
        <w:ind w:right="-29"/>
        <w:rPr>
          <w:rFonts w:ascii="Times New Roman" w:hAnsi="Times New Roman"/>
          <w:kern w:val="0"/>
          <w:sz w:val="22"/>
          <w:lang w:val="lt-LT"/>
          <w14:ligatures w14:val="none"/>
        </w:rPr>
      </w:pPr>
      <w:r w:rsidRPr="00F931D9">
        <w:rPr>
          <w:rFonts w:ascii="Times New Roman" w:hAnsi="Times New Roman"/>
          <w:kern w:val="0"/>
          <w:sz w:val="22"/>
          <w:lang w:val="lt-LT"/>
          <w14:ligatures w14:val="none"/>
        </w:rPr>
        <w:t>4.</w:t>
      </w:r>
      <w:r w:rsidRPr="00F931D9">
        <w:rPr>
          <w:rFonts w:ascii="Times New Roman" w:hAnsi="Times New Roman"/>
          <w:kern w:val="0"/>
          <w:sz w:val="22"/>
          <w:lang w:val="lt-LT"/>
          <w14:ligatures w14:val="none"/>
        </w:rPr>
        <w:tab/>
        <w:t>Galimas šalutinis poveikis</w:t>
      </w:r>
    </w:p>
    <w:p w14:paraId="307A21CB" w14:textId="77777777" w:rsidR="00323207" w:rsidRPr="00F931D9" w:rsidRDefault="00323207" w:rsidP="00323207">
      <w:pPr>
        <w:spacing w:after="0" w:line="240" w:lineRule="auto"/>
        <w:ind w:right="-29"/>
        <w:rPr>
          <w:rFonts w:ascii="Times New Roman" w:hAnsi="Times New Roman"/>
          <w:kern w:val="0"/>
          <w:sz w:val="22"/>
          <w:lang w:val="lt-LT"/>
          <w14:ligatures w14:val="none"/>
        </w:rPr>
      </w:pPr>
      <w:r w:rsidRPr="00F931D9">
        <w:rPr>
          <w:rFonts w:ascii="Times New Roman" w:hAnsi="Times New Roman"/>
          <w:kern w:val="0"/>
          <w:sz w:val="22"/>
          <w:lang w:val="lt-LT"/>
          <w14:ligatures w14:val="none"/>
        </w:rPr>
        <w:t>5.</w:t>
      </w:r>
      <w:r w:rsidRPr="00F931D9">
        <w:rPr>
          <w:rFonts w:ascii="Times New Roman" w:hAnsi="Times New Roman"/>
          <w:kern w:val="0"/>
          <w:sz w:val="22"/>
          <w:lang w:val="lt-LT"/>
          <w14:ligatures w14:val="none"/>
        </w:rPr>
        <w:tab/>
        <w:t xml:space="preserve">Kaip laikyti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p>
    <w:p w14:paraId="586F4821" w14:textId="77777777" w:rsidR="00323207" w:rsidRPr="00F931D9" w:rsidRDefault="00323207" w:rsidP="00323207">
      <w:pPr>
        <w:spacing w:after="0" w:line="240" w:lineRule="auto"/>
        <w:ind w:right="-29"/>
        <w:rPr>
          <w:rFonts w:ascii="Times New Roman" w:hAnsi="Times New Roman"/>
          <w:kern w:val="0"/>
          <w:sz w:val="22"/>
          <w:lang w:val="lt-LT"/>
          <w14:ligatures w14:val="none"/>
        </w:rPr>
      </w:pPr>
      <w:r w:rsidRPr="00F931D9">
        <w:rPr>
          <w:rFonts w:ascii="Times New Roman" w:hAnsi="Times New Roman"/>
          <w:kern w:val="0"/>
          <w:sz w:val="22"/>
          <w:lang w:val="lt-LT"/>
          <w14:ligatures w14:val="none"/>
        </w:rPr>
        <w:t>6.</w:t>
      </w:r>
      <w:r w:rsidRPr="00F931D9">
        <w:rPr>
          <w:rFonts w:ascii="Times New Roman" w:hAnsi="Times New Roman"/>
          <w:kern w:val="0"/>
          <w:sz w:val="22"/>
          <w:lang w:val="lt-LT"/>
          <w14:ligatures w14:val="none"/>
        </w:rPr>
        <w:tab/>
        <w:t>Pakuotės turinys ir kita informacija</w:t>
      </w:r>
    </w:p>
    <w:p w14:paraId="402EFC98" w14:textId="77777777" w:rsidR="00323207" w:rsidRPr="00F931D9" w:rsidRDefault="00323207" w:rsidP="00323207">
      <w:pPr>
        <w:numPr>
          <w:ilvl w:val="12"/>
          <w:numId w:val="0"/>
        </w:numPr>
        <w:spacing w:after="0" w:line="240" w:lineRule="auto"/>
        <w:rPr>
          <w:rFonts w:ascii="Times New Roman" w:hAnsi="Times New Roman"/>
          <w:kern w:val="0"/>
          <w:sz w:val="22"/>
          <w:lang w:val="lt-LT"/>
          <w14:ligatures w14:val="none"/>
        </w:rPr>
      </w:pPr>
    </w:p>
    <w:p w14:paraId="659D2E8E" w14:textId="77777777" w:rsidR="00323207" w:rsidRPr="00F931D9" w:rsidRDefault="00323207" w:rsidP="00323207">
      <w:pPr>
        <w:numPr>
          <w:ilvl w:val="12"/>
          <w:numId w:val="0"/>
        </w:numPr>
        <w:spacing w:after="0" w:line="240" w:lineRule="auto"/>
        <w:rPr>
          <w:rFonts w:ascii="Times New Roman" w:hAnsi="Times New Roman"/>
          <w:kern w:val="0"/>
          <w:sz w:val="22"/>
          <w:lang w:val="lt-LT"/>
          <w14:ligatures w14:val="none"/>
        </w:rPr>
      </w:pPr>
    </w:p>
    <w:p w14:paraId="5A0FE789" w14:textId="77777777" w:rsidR="00323207" w:rsidRPr="00F931D9" w:rsidRDefault="00323207" w:rsidP="00323207">
      <w:pPr>
        <w:spacing w:after="0" w:line="240" w:lineRule="auto"/>
        <w:ind w:right="-2"/>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1.</w:t>
      </w:r>
      <w:r w:rsidRPr="00F931D9">
        <w:rPr>
          <w:rFonts w:ascii="Times New Roman" w:hAnsi="Times New Roman"/>
          <w:b/>
          <w:kern w:val="0"/>
          <w:sz w:val="22"/>
          <w:lang w:val="lt-LT"/>
          <w14:ligatures w14:val="none"/>
        </w:rPr>
        <w:tab/>
        <w:t xml:space="preserve">Kas yra </w:t>
      </w: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r w:rsidRPr="00F931D9">
        <w:rPr>
          <w:rFonts w:ascii="Times New Roman" w:hAnsi="Times New Roman"/>
          <w:b/>
          <w:kern w:val="0"/>
          <w:sz w:val="22"/>
          <w:lang w:val="lt-LT"/>
          <w14:ligatures w14:val="none"/>
        </w:rPr>
        <w:t xml:space="preserve"> ir kam jis vartojamas</w:t>
      </w:r>
    </w:p>
    <w:p w14:paraId="2F324677" w14:textId="77777777" w:rsidR="00323207" w:rsidRPr="00F931D9" w:rsidRDefault="00323207" w:rsidP="00323207">
      <w:pPr>
        <w:spacing w:after="0" w:line="240" w:lineRule="auto"/>
        <w:ind w:right="-2"/>
        <w:rPr>
          <w:rFonts w:ascii="Times New Roman" w:hAnsi="Times New Roman"/>
          <w:b/>
          <w:kern w:val="0"/>
          <w:sz w:val="22"/>
          <w:lang w:val="lt-LT"/>
          <w14:ligatures w14:val="none"/>
        </w:rPr>
      </w:pPr>
    </w:p>
    <w:p w14:paraId="36C618F3" w14:textId="77777777" w:rsidR="00323207" w:rsidRPr="00F931D9" w:rsidRDefault="00323207" w:rsidP="00323207">
      <w:pPr>
        <w:keepNext/>
        <w:keepLines/>
        <w:spacing w:after="0" w:line="240" w:lineRule="auto"/>
        <w:rPr>
          <w:rFonts w:ascii="Times New Roman" w:hAnsi="Times New Roman"/>
          <w:kern w:val="0"/>
          <w:sz w:val="22"/>
          <w:lang w:val="lt-LT"/>
          <w14:ligatures w14:val="none"/>
        </w:rPr>
      </w:pPr>
      <w:r w:rsidRPr="00F931D9">
        <w:rPr>
          <w:rFonts w:ascii="Times New Roman" w:hAnsi="Times New Roman"/>
          <w:b/>
          <w:kern w:val="0"/>
          <w:sz w:val="22"/>
          <w:lang w:val="lt-LT"/>
          <w14:ligatures w14:val="none"/>
        </w:rPr>
        <w:t xml:space="preserve">Kas yra </w:t>
      </w: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p>
    <w:p w14:paraId="68B7F452"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Jūsų vartojamo vaisto pavadinimas yra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Jo sudėtyje yra veikliosios medžiagos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priklauso vaistų, vadinamųjų </w:t>
      </w:r>
      <w:proofErr w:type="spellStart"/>
      <w:r w:rsidRPr="00F931D9">
        <w:rPr>
          <w:rFonts w:ascii="Times New Roman" w:hAnsi="Times New Roman"/>
          <w:kern w:val="0"/>
          <w:sz w:val="22"/>
          <w:lang w:val="lt-LT"/>
          <w14:ligatures w14:val="none"/>
        </w:rPr>
        <w:t>imunosupresantų</w:t>
      </w:r>
      <w:proofErr w:type="spellEnd"/>
      <w:r w:rsidRPr="00F931D9">
        <w:rPr>
          <w:rFonts w:ascii="Times New Roman" w:hAnsi="Times New Roman"/>
          <w:kern w:val="0"/>
          <w:sz w:val="22"/>
          <w:lang w:val="lt-LT"/>
          <w14:ligatures w14:val="none"/>
        </w:rPr>
        <w:t>, grupei. Šie vaistai vartojami organizmo imuninei reakcijai slopinti.</w:t>
      </w:r>
    </w:p>
    <w:p w14:paraId="7424EA04" w14:textId="77777777" w:rsidR="00323207" w:rsidRPr="00F931D9" w:rsidRDefault="00323207" w:rsidP="00323207">
      <w:pPr>
        <w:spacing w:after="0" w:line="240" w:lineRule="auto"/>
        <w:rPr>
          <w:rFonts w:ascii="Times New Roman" w:hAnsi="Times New Roman"/>
          <w:kern w:val="0"/>
          <w:sz w:val="22"/>
          <w:lang w:val="lt-LT"/>
          <w14:ligatures w14:val="none"/>
        </w:rPr>
      </w:pPr>
    </w:p>
    <w:p w14:paraId="4732A1CD" w14:textId="77777777" w:rsidR="00323207" w:rsidRPr="00F931D9" w:rsidRDefault="00323207" w:rsidP="00323207">
      <w:pPr>
        <w:keepNext/>
        <w:keepLines/>
        <w:spacing w:after="0" w:line="240" w:lineRule="auto"/>
        <w:rPr>
          <w:rFonts w:ascii="Times New Roman" w:hAnsi="Times New Roman"/>
          <w:kern w:val="0"/>
          <w:sz w:val="22"/>
          <w:lang w:val="lt-LT"/>
          <w14:ligatures w14:val="none"/>
        </w:rPr>
      </w:pPr>
      <w:r w:rsidRPr="00F931D9">
        <w:rPr>
          <w:rFonts w:ascii="Times New Roman" w:hAnsi="Times New Roman"/>
          <w:b/>
          <w:kern w:val="0"/>
          <w:sz w:val="22"/>
          <w:lang w:val="lt-LT"/>
          <w14:ligatures w14:val="none"/>
        </w:rPr>
        <w:t xml:space="preserve">Kam </w:t>
      </w: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r w:rsidRPr="00F931D9">
        <w:rPr>
          <w:rFonts w:ascii="Times New Roman" w:hAnsi="Times New Roman"/>
          <w:b/>
          <w:kern w:val="0"/>
          <w:sz w:val="22"/>
          <w:lang w:val="lt-LT"/>
          <w14:ligatures w14:val="none"/>
        </w:rPr>
        <w:t xml:space="preserve"> vartojamas ir kaip </w:t>
      </w: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r w:rsidRPr="00F931D9">
        <w:rPr>
          <w:rFonts w:ascii="Times New Roman" w:hAnsi="Times New Roman"/>
          <w:b/>
          <w:kern w:val="0"/>
          <w:sz w:val="22"/>
          <w:lang w:val="lt-LT"/>
          <w14:ligatures w14:val="none"/>
        </w:rPr>
        <w:t xml:space="preserve"> veikia</w:t>
      </w:r>
    </w:p>
    <w:p w14:paraId="7C76032C" w14:textId="77777777" w:rsidR="00323207" w:rsidRPr="00F931D9" w:rsidRDefault="00323207" w:rsidP="00323207">
      <w:pPr>
        <w:numPr>
          <w:ilvl w:val="0"/>
          <w:numId w:val="15"/>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b/>
          <w:kern w:val="0"/>
          <w:sz w:val="22"/>
          <w:lang w:val="lt-LT"/>
          <w14:ligatures w14:val="none"/>
        </w:rPr>
        <w:t xml:space="preserve">Jeigu Jums persodintas organas, atlikta kaulų čiulpų ar kamieninių ląstelių transplantacija,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veikia kontroliuodamas Jūsų organizmo imuninę sistemą.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blokuoja specialių ląstelių, kurios paprastai atakuotų persodintus audinius, </w:t>
      </w:r>
      <w:proofErr w:type="spellStart"/>
      <w:r w:rsidRPr="00F931D9">
        <w:rPr>
          <w:rFonts w:ascii="Times New Roman" w:hAnsi="Times New Roman"/>
          <w:kern w:val="0"/>
          <w:sz w:val="22"/>
          <w:lang w:val="lt-LT"/>
          <w14:ligatures w14:val="none"/>
        </w:rPr>
        <w:t>vystimąsi</w:t>
      </w:r>
      <w:proofErr w:type="spellEnd"/>
      <w:r w:rsidRPr="00F931D9">
        <w:rPr>
          <w:rFonts w:ascii="Times New Roman" w:hAnsi="Times New Roman"/>
          <w:kern w:val="0"/>
          <w:sz w:val="22"/>
          <w:lang w:val="lt-LT"/>
          <w14:ligatures w14:val="none"/>
        </w:rPr>
        <w:t xml:space="preserve"> ir tokiu būdu apsaugo nuo persodinto organo atmetimo.</w:t>
      </w:r>
    </w:p>
    <w:p w14:paraId="566496AF" w14:textId="77777777" w:rsidR="00323207" w:rsidRPr="00F931D9" w:rsidRDefault="00323207" w:rsidP="00323207">
      <w:pPr>
        <w:numPr>
          <w:ilvl w:val="0"/>
          <w:numId w:val="15"/>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b/>
          <w:kern w:val="0"/>
          <w:sz w:val="22"/>
          <w:lang w:val="lt-LT"/>
          <w14:ligatures w14:val="none"/>
        </w:rPr>
        <w:t xml:space="preserve">Jeigu sergate autoimunine liga, </w:t>
      </w:r>
      <w:r w:rsidRPr="00F931D9">
        <w:rPr>
          <w:rFonts w:ascii="Times New Roman" w:hAnsi="Times New Roman"/>
          <w:kern w:val="0"/>
          <w:sz w:val="22"/>
          <w:lang w:val="lt-LT"/>
          <w14:ligatures w14:val="none"/>
        </w:rPr>
        <w:t xml:space="preserve">kurios metu Jūsų organizmo imuninė sistema kovoja su Jūsų paties ląstelėmis,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slopina imuninę reakciją. Autoimuninėms ligoms priklauso akių sutrikimai, dėl kurių gali sutrikti regėjimas (endogeninis </w:t>
      </w:r>
      <w:proofErr w:type="spellStart"/>
      <w:r w:rsidRPr="00F931D9">
        <w:rPr>
          <w:rFonts w:ascii="Times New Roman" w:hAnsi="Times New Roman"/>
          <w:kern w:val="0"/>
          <w:sz w:val="22"/>
          <w:lang w:val="lt-LT"/>
          <w14:ligatures w14:val="none"/>
        </w:rPr>
        <w:t>uveitas</w:t>
      </w:r>
      <w:proofErr w:type="spellEnd"/>
      <w:r w:rsidRPr="00F931D9">
        <w:rPr>
          <w:rFonts w:ascii="Times New Roman" w:hAnsi="Times New Roman"/>
          <w:kern w:val="0"/>
          <w:sz w:val="22"/>
          <w:lang w:val="lt-LT"/>
          <w14:ligatures w14:val="none"/>
        </w:rPr>
        <w:t xml:space="preserve">, įskaitant </w:t>
      </w:r>
      <w:proofErr w:type="spellStart"/>
      <w:r w:rsidRPr="00F931D9">
        <w:rPr>
          <w:rFonts w:ascii="Times New Roman" w:hAnsi="Times New Roman"/>
          <w:kern w:val="0"/>
          <w:sz w:val="22"/>
          <w:lang w:val="lt-LT"/>
          <w14:ligatures w14:val="none"/>
        </w:rPr>
        <w:t>Behcet</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uveitą</w:t>
      </w:r>
      <w:proofErr w:type="spellEnd"/>
      <w:r w:rsidRPr="00F931D9">
        <w:rPr>
          <w:rFonts w:ascii="Times New Roman" w:hAnsi="Times New Roman"/>
          <w:kern w:val="0"/>
          <w:sz w:val="22"/>
          <w:lang w:val="lt-LT"/>
          <w14:ligatures w14:val="none"/>
        </w:rPr>
        <w:t xml:space="preserve">), sunkūs tam tikrų odos ligų atvejai (atopinis dermatitas arba egzema ir žvynelinė), sunkus reumatoidinis artritas ir </w:t>
      </w:r>
      <w:proofErr w:type="spellStart"/>
      <w:r w:rsidRPr="00F931D9">
        <w:rPr>
          <w:rFonts w:ascii="Times New Roman" w:hAnsi="Times New Roman"/>
          <w:kern w:val="0"/>
          <w:sz w:val="22"/>
          <w:lang w:val="lt-LT"/>
          <w14:ligatures w14:val="none"/>
        </w:rPr>
        <w:t>nefroziniu</w:t>
      </w:r>
      <w:proofErr w:type="spellEnd"/>
      <w:r w:rsidRPr="00F931D9">
        <w:rPr>
          <w:rFonts w:ascii="Times New Roman" w:hAnsi="Times New Roman"/>
          <w:kern w:val="0"/>
          <w:sz w:val="22"/>
          <w:lang w:val="lt-LT"/>
          <w14:ligatures w14:val="none"/>
        </w:rPr>
        <w:t xml:space="preserve"> sindromu vadinama inkstų liga.</w:t>
      </w:r>
    </w:p>
    <w:p w14:paraId="6BF5A066" w14:textId="77777777" w:rsidR="00323207" w:rsidRPr="00F931D9" w:rsidRDefault="00323207" w:rsidP="00323207">
      <w:pPr>
        <w:spacing w:after="0" w:line="240" w:lineRule="auto"/>
        <w:rPr>
          <w:rFonts w:ascii="Times New Roman" w:hAnsi="Times New Roman"/>
          <w:kern w:val="0"/>
          <w:sz w:val="22"/>
          <w:lang w:val="lt-LT"/>
          <w14:ligatures w14:val="none"/>
        </w:rPr>
      </w:pPr>
    </w:p>
    <w:p w14:paraId="49174750" w14:textId="77777777" w:rsidR="00323207" w:rsidRPr="00F931D9" w:rsidRDefault="00323207" w:rsidP="00323207">
      <w:pPr>
        <w:numPr>
          <w:ilvl w:val="12"/>
          <w:numId w:val="0"/>
        </w:numPr>
        <w:spacing w:after="0" w:line="240" w:lineRule="auto"/>
        <w:rPr>
          <w:rFonts w:ascii="Times New Roman" w:hAnsi="Times New Roman"/>
          <w:kern w:val="0"/>
          <w:sz w:val="22"/>
          <w:lang w:val="lt-LT"/>
          <w14:ligatures w14:val="none"/>
        </w:rPr>
      </w:pPr>
    </w:p>
    <w:p w14:paraId="1D17B563" w14:textId="77777777" w:rsidR="00323207" w:rsidRPr="00F931D9" w:rsidRDefault="00323207" w:rsidP="00323207">
      <w:pPr>
        <w:spacing w:after="0" w:line="240" w:lineRule="auto"/>
        <w:ind w:right="-2"/>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2.</w:t>
      </w:r>
      <w:r w:rsidRPr="00F931D9">
        <w:rPr>
          <w:rFonts w:ascii="Times New Roman" w:hAnsi="Times New Roman"/>
          <w:b/>
          <w:kern w:val="0"/>
          <w:sz w:val="22"/>
          <w:lang w:val="lt-LT"/>
          <w14:ligatures w14:val="none"/>
        </w:rPr>
        <w:tab/>
        <w:t xml:space="preserve">Kas žinotina prieš vartojant </w:t>
      </w: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p>
    <w:p w14:paraId="31964AF7" w14:textId="77777777" w:rsidR="00323207" w:rsidRPr="00F931D9" w:rsidRDefault="00323207" w:rsidP="00323207">
      <w:pPr>
        <w:spacing w:after="0" w:line="240" w:lineRule="auto"/>
        <w:rPr>
          <w:rFonts w:ascii="Times New Roman" w:hAnsi="Times New Roman"/>
          <w:kern w:val="0"/>
          <w:sz w:val="22"/>
          <w:lang w:val="lt-LT"/>
          <w14:ligatures w14:val="none"/>
        </w:rPr>
      </w:pPr>
    </w:p>
    <w:p w14:paraId="6DC6C1D1"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Jeigu vartojate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po atliktos transplantacijos, vaisto Jums skirs patirties transplantacijos ir (arba) autoimuninių ligų gydymo srityje turintis gydytojas. </w:t>
      </w:r>
    </w:p>
    <w:p w14:paraId="7D0651D4" w14:textId="77777777" w:rsidR="00323207" w:rsidRPr="00F931D9" w:rsidRDefault="00323207" w:rsidP="00323207">
      <w:pPr>
        <w:spacing w:after="0" w:line="240" w:lineRule="auto"/>
        <w:rPr>
          <w:rFonts w:ascii="Times New Roman" w:hAnsi="Times New Roman"/>
          <w:kern w:val="0"/>
          <w:sz w:val="22"/>
          <w:lang w:val="lt-LT"/>
          <w14:ligatures w14:val="none"/>
        </w:rPr>
      </w:pPr>
    </w:p>
    <w:p w14:paraId="767E2939"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Šiame pakuotės lapelyje pateikti patarimai gali skirtis priklausomai nuo to, ar vaisto vartojate po transplantacijos, ar dėl autoimuninės ligos.</w:t>
      </w:r>
    </w:p>
    <w:p w14:paraId="61006F9C" w14:textId="77777777" w:rsidR="00323207" w:rsidRPr="00F931D9" w:rsidRDefault="00323207" w:rsidP="00323207">
      <w:pPr>
        <w:spacing w:after="0" w:line="240" w:lineRule="auto"/>
        <w:rPr>
          <w:rFonts w:ascii="Times New Roman" w:hAnsi="Times New Roman"/>
          <w:kern w:val="0"/>
          <w:sz w:val="22"/>
          <w:lang w:val="lt-LT"/>
          <w14:ligatures w14:val="none"/>
        </w:rPr>
      </w:pPr>
    </w:p>
    <w:p w14:paraId="68C68FE8" w14:textId="77777777" w:rsidR="00323207" w:rsidRPr="00F931D9" w:rsidRDefault="00323207" w:rsidP="00323207">
      <w:pPr>
        <w:spacing w:after="0" w:line="240" w:lineRule="auto"/>
        <w:jc w:val="both"/>
        <w:rPr>
          <w:rFonts w:ascii="Times New Roman" w:hAnsi="Times New Roman"/>
          <w:kern w:val="0"/>
          <w:sz w:val="22"/>
          <w:lang w:val="lt-LT"/>
          <w14:ligatures w14:val="none"/>
        </w:rPr>
      </w:pPr>
      <w:r w:rsidRPr="00F931D9">
        <w:rPr>
          <w:rFonts w:ascii="Times New Roman" w:hAnsi="Times New Roman"/>
          <w:kern w:val="0"/>
          <w:sz w:val="22"/>
          <w:lang w:val="lt-LT"/>
          <w14:ligatures w14:val="none"/>
        </w:rPr>
        <w:t>Atidžiai laikykitės visų gydytojo nurodymų. Jie gali skirtis nuo bendrosios šiame pakuotės lapelyje pateiktos informacijos.</w:t>
      </w:r>
    </w:p>
    <w:p w14:paraId="248BA820" w14:textId="77777777" w:rsidR="00323207" w:rsidRPr="00F931D9" w:rsidRDefault="00323207" w:rsidP="00323207">
      <w:pPr>
        <w:numPr>
          <w:ilvl w:val="12"/>
          <w:numId w:val="0"/>
        </w:numPr>
        <w:spacing w:after="0" w:line="240" w:lineRule="auto"/>
        <w:ind w:right="-2"/>
        <w:rPr>
          <w:rFonts w:ascii="Times New Roman" w:hAnsi="Times New Roman"/>
          <w:kern w:val="0"/>
          <w:sz w:val="22"/>
          <w:lang w:val="lt-LT"/>
          <w14:ligatures w14:val="none"/>
        </w:rPr>
      </w:pPr>
    </w:p>
    <w:p w14:paraId="1CBD9C3C" w14:textId="77777777" w:rsidR="00323207" w:rsidRPr="00F931D9" w:rsidRDefault="00323207" w:rsidP="00323207">
      <w:pPr>
        <w:keepNext/>
        <w:numPr>
          <w:ilvl w:val="12"/>
          <w:numId w:val="0"/>
        </w:numPr>
        <w:spacing w:after="0" w:line="240" w:lineRule="auto"/>
        <w:outlineLvl w:val="0"/>
        <w:rPr>
          <w:rFonts w:ascii="Times New Roman" w:hAnsi="Times New Roman"/>
          <w:kern w:val="0"/>
          <w:sz w:val="22"/>
          <w:lang w:val="lt-LT"/>
          <w14:ligatures w14:val="none"/>
        </w:rPr>
      </w:pPr>
      <w:proofErr w:type="spellStart"/>
      <w:r w:rsidRPr="00F931D9">
        <w:rPr>
          <w:rFonts w:ascii="Times New Roman" w:hAnsi="Times New Roman"/>
          <w:b/>
          <w:kern w:val="0"/>
          <w:sz w:val="22"/>
          <w:lang w:val="lt-LT"/>
          <w14:ligatures w14:val="none"/>
        </w:rPr>
        <w:lastRenderedPageBreak/>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r w:rsidRPr="00F931D9">
        <w:rPr>
          <w:rFonts w:ascii="Times New Roman" w:hAnsi="Times New Roman"/>
          <w:b/>
          <w:kern w:val="0"/>
          <w:sz w:val="22"/>
          <w:lang w:val="lt-LT"/>
          <w14:ligatures w14:val="none"/>
        </w:rPr>
        <w:t xml:space="preserve"> vartoti negalima:</w:t>
      </w:r>
    </w:p>
    <w:p w14:paraId="311F5DA6" w14:textId="77777777" w:rsidR="00323207" w:rsidRPr="00F931D9" w:rsidRDefault="00323207" w:rsidP="00323207">
      <w:pPr>
        <w:numPr>
          <w:ilvl w:val="12"/>
          <w:numId w:val="0"/>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w:t>
      </w:r>
      <w:r w:rsidRPr="00F931D9">
        <w:rPr>
          <w:rFonts w:ascii="Times New Roman" w:hAnsi="Times New Roman"/>
          <w:kern w:val="0"/>
          <w:sz w:val="22"/>
          <w:lang w:val="lt-LT"/>
          <w14:ligatures w14:val="none"/>
        </w:rPr>
        <w:tab/>
        <w:t xml:space="preserve">jeigu yra alergija </w:t>
      </w:r>
      <w:proofErr w:type="spellStart"/>
      <w:r w:rsidRPr="00F931D9">
        <w:rPr>
          <w:rFonts w:ascii="Times New Roman" w:hAnsi="Times New Roman"/>
          <w:kern w:val="0"/>
          <w:sz w:val="22"/>
          <w:lang w:val="lt-LT"/>
          <w14:ligatures w14:val="none"/>
        </w:rPr>
        <w:t>ciklosporinui</w:t>
      </w:r>
      <w:proofErr w:type="spellEnd"/>
      <w:r w:rsidRPr="00F931D9">
        <w:rPr>
          <w:rFonts w:ascii="Times New Roman" w:hAnsi="Times New Roman"/>
          <w:kern w:val="0"/>
          <w:sz w:val="22"/>
          <w:lang w:val="lt-LT"/>
          <w14:ligatures w14:val="none"/>
        </w:rPr>
        <w:t xml:space="preserve"> arba bet kuriai pagalbinei šio vaisto medžiagai (jos išvardytos 6 skyriuje);</w:t>
      </w:r>
    </w:p>
    <w:p w14:paraId="1B587775" w14:textId="77777777" w:rsidR="00323207" w:rsidRPr="00F931D9" w:rsidRDefault="00323207" w:rsidP="00323207">
      <w:pPr>
        <w:numPr>
          <w:ilvl w:val="0"/>
          <w:numId w:val="21"/>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su produktais</w:t>
      </w:r>
      <w:r w:rsidRPr="00F931D9">
        <w:rPr>
          <w:rFonts w:ascii="Times New Roman" w:hAnsi="Times New Roman"/>
          <w:color w:val="000000"/>
          <w:kern w:val="0"/>
          <w:sz w:val="22"/>
          <w:lang w:val="lt-LT"/>
          <w14:ligatures w14:val="none"/>
        </w:rPr>
        <w:t xml:space="preserve">, kurių sudėtyje yra </w:t>
      </w:r>
      <w:proofErr w:type="spellStart"/>
      <w:r w:rsidRPr="00F931D9">
        <w:rPr>
          <w:rFonts w:ascii="Times New Roman" w:hAnsi="Times New Roman"/>
          <w:i/>
          <w:kern w:val="0"/>
          <w:sz w:val="22"/>
          <w:lang w:val="lt-LT"/>
          <w14:ligatures w14:val="none"/>
        </w:rPr>
        <w:t>Hypericum</w:t>
      </w:r>
      <w:proofErr w:type="spellEnd"/>
      <w:r w:rsidRPr="00F931D9">
        <w:rPr>
          <w:rFonts w:ascii="Times New Roman" w:hAnsi="Times New Roman"/>
          <w:i/>
          <w:kern w:val="0"/>
          <w:sz w:val="22"/>
          <w:lang w:val="lt-LT"/>
          <w14:ligatures w14:val="none"/>
        </w:rPr>
        <w:t xml:space="preserve"> </w:t>
      </w:r>
      <w:proofErr w:type="spellStart"/>
      <w:r w:rsidRPr="00F931D9">
        <w:rPr>
          <w:rFonts w:ascii="Times New Roman" w:hAnsi="Times New Roman"/>
          <w:i/>
          <w:kern w:val="0"/>
          <w:sz w:val="22"/>
          <w:lang w:val="lt-LT"/>
          <w14:ligatures w14:val="none"/>
        </w:rPr>
        <w:t>perforatum</w:t>
      </w:r>
      <w:proofErr w:type="spellEnd"/>
      <w:r w:rsidRPr="00F931D9">
        <w:rPr>
          <w:rFonts w:ascii="Times New Roman" w:hAnsi="Times New Roman"/>
          <w:kern w:val="0"/>
          <w:sz w:val="22"/>
          <w:lang w:val="lt-LT"/>
          <w14:ligatures w14:val="none"/>
        </w:rPr>
        <w:t xml:space="preserve"> (paprastosios jonažolės);</w:t>
      </w:r>
    </w:p>
    <w:p w14:paraId="2BEB884A" w14:textId="77777777" w:rsidR="00323207" w:rsidRPr="00F931D9" w:rsidRDefault="00323207" w:rsidP="00323207">
      <w:pPr>
        <w:numPr>
          <w:ilvl w:val="0"/>
          <w:numId w:val="21"/>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su produktais, kurių sudėtyje yra </w:t>
      </w:r>
      <w:proofErr w:type="spellStart"/>
      <w:r w:rsidRPr="00F931D9">
        <w:rPr>
          <w:rFonts w:ascii="Times New Roman" w:hAnsi="Times New Roman"/>
          <w:kern w:val="0"/>
          <w:sz w:val="22"/>
          <w:lang w:val="lt-LT"/>
          <w14:ligatures w14:val="none"/>
        </w:rPr>
        <w:t>dabigatrano</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eteksilato</w:t>
      </w:r>
      <w:proofErr w:type="spellEnd"/>
      <w:r w:rsidRPr="00F931D9">
        <w:rPr>
          <w:rFonts w:ascii="Times New Roman" w:hAnsi="Times New Roman"/>
          <w:kern w:val="0"/>
          <w:sz w:val="22"/>
          <w:lang w:val="lt-LT"/>
          <w14:ligatures w14:val="none"/>
        </w:rPr>
        <w:t xml:space="preserve"> (vartojamo siekiant išvengti kraujo krešulių po operacijos) ar </w:t>
      </w:r>
      <w:proofErr w:type="spellStart"/>
      <w:r w:rsidRPr="00F931D9">
        <w:rPr>
          <w:rFonts w:ascii="Times New Roman" w:hAnsi="Times New Roman"/>
          <w:kern w:val="0"/>
          <w:sz w:val="22"/>
          <w:lang w:val="lt-LT"/>
          <w14:ligatures w14:val="none"/>
        </w:rPr>
        <w:t>bosentano</w:t>
      </w:r>
      <w:proofErr w:type="spellEnd"/>
      <w:r w:rsidRPr="00F931D9">
        <w:rPr>
          <w:rFonts w:ascii="Times New Roman" w:hAnsi="Times New Roman"/>
          <w:kern w:val="0"/>
          <w:sz w:val="22"/>
          <w:lang w:val="lt-LT"/>
          <w14:ligatures w14:val="none"/>
        </w:rPr>
        <w:t xml:space="preserve"> ir </w:t>
      </w:r>
      <w:proofErr w:type="spellStart"/>
      <w:r w:rsidRPr="00F931D9">
        <w:rPr>
          <w:rFonts w:ascii="Times New Roman" w:hAnsi="Times New Roman"/>
          <w:kern w:val="0"/>
          <w:sz w:val="22"/>
          <w:lang w:val="lt-LT"/>
          <w14:ligatures w14:val="none"/>
        </w:rPr>
        <w:t>aliskireno</w:t>
      </w:r>
      <w:proofErr w:type="spellEnd"/>
      <w:r w:rsidRPr="00F931D9">
        <w:rPr>
          <w:rFonts w:ascii="Times New Roman" w:hAnsi="Times New Roman"/>
          <w:kern w:val="0"/>
          <w:sz w:val="22"/>
          <w:lang w:val="lt-LT"/>
          <w14:ligatures w14:val="none"/>
        </w:rPr>
        <w:t xml:space="preserve"> (vartojamų kraujospūdžiui mažinti).</w:t>
      </w:r>
    </w:p>
    <w:p w14:paraId="05D84EFC" w14:textId="77777777" w:rsidR="00323207" w:rsidRPr="00F931D9" w:rsidRDefault="00323207" w:rsidP="00323207">
      <w:pPr>
        <w:numPr>
          <w:ilvl w:val="12"/>
          <w:numId w:val="0"/>
        </w:numPr>
        <w:spacing w:after="0" w:line="240" w:lineRule="auto"/>
        <w:ind w:left="567" w:hanging="567"/>
        <w:rPr>
          <w:rFonts w:ascii="Times New Roman" w:hAnsi="Times New Roman"/>
          <w:kern w:val="0"/>
          <w:sz w:val="22"/>
          <w:lang w:val="lt-LT"/>
          <w14:ligatures w14:val="none"/>
        </w:rPr>
      </w:pPr>
    </w:p>
    <w:p w14:paraId="565AD3B1" w14:textId="77777777" w:rsidR="00323207" w:rsidRPr="00F931D9" w:rsidRDefault="00323207" w:rsidP="00323207">
      <w:pPr>
        <w:numPr>
          <w:ilvl w:val="12"/>
          <w:numId w:val="0"/>
        </w:num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Jeigu Jums yra ši anksčiau nurodyta būklė, nevartokite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ir </w:t>
      </w:r>
      <w:r w:rsidRPr="00F931D9">
        <w:rPr>
          <w:rFonts w:ascii="Times New Roman" w:hAnsi="Times New Roman"/>
          <w:b/>
          <w:kern w:val="0"/>
          <w:sz w:val="22"/>
          <w:lang w:val="lt-LT"/>
          <w14:ligatures w14:val="none"/>
        </w:rPr>
        <w:t>pasakykite apie tai gydytojui</w:t>
      </w:r>
      <w:r w:rsidRPr="00F931D9">
        <w:rPr>
          <w:rFonts w:ascii="Times New Roman" w:hAnsi="Times New Roman"/>
          <w:kern w:val="0"/>
          <w:sz w:val="22"/>
          <w:lang w:val="lt-LT"/>
          <w14:ligatures w14:val="none"/>
        </w:rPr>
        <w:t xml:space="preserve">. Jeigu dėl to nesate tikri, prieš pradėdami vartoti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pasitarkite su gydytoju.</w:t>
      </w:r>
    </w:p>
    <w:p w14:paraId="75780557" w14:textId="77777777" w:rsidR="00323207" w:rsidRPr="00F931D9" w:rsidRDefault="00323207" w:rsidP="00323207">
      <w:pPr>
        <w:numPr>
          <w:ilvl w:val="12"/>
          <w:numId w:val="0"/>
        </w:numPr>
        <w:spacing w:after="0" w:line="240" w:lineRule="auto"/>
        <w:rPr>
          <w:rFonts w:ascii="Times New Roman" w:hAnsi="Times New Roman"/>
          <w:kern w:val="0"/>
          <w:sz w:val="22"/>
          <w:lang w:val="lt-LT"/>
          <w14:ligatures w14:val="none"/>
        </w:rPr>
      </w:pPr>
    </w:p>
    <w:p w14:paraId="1871C4DB" w14:textId="77777777" w:rsidR="00323207" w:rsidRPr="00F931D9" w:rsidRDefault="00323207" w:rsidP="00323207">
      <w:pPr>
        <w:numPr>
          <w:ilvl w:val="12"/>
          <w:numId w:val="0"/>
        </w:numPr>
        <w:spacing w:after="0" w:line="240" w:lineRule="auto"/>
        <w:ind w:right="-2"/>
        <w:outlineLvl w:val="0"/>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Įspėjimai ir atsargumo priemonės</w:t>
      </w:r>
    </w:p>
    <w:p w14:paraId="5F99CEE9" w14:textId="77777777" w:rsidR="00323207" w:rsidRPr="00F931D9" w:rsidRDefault="00323207" w:rsidP="00323207">
      <w:pPr>
        <w:spacing w:after="0" w:line="240" w:lineRule="auto"/>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 xml:space="preserve">Nedelsdami pasakykite gydytojui prieš pradėdami vartoti </w:t>
      </w: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r w:rsidRPr="00F931D9">
        <w:rPr>
          <w:rFonts w:ascii="Times New Roman" w:hAnsi="Times New Roman"/>
          <w:b/>
          <w:kern w:val="0"/>
          <w:sz w:val="22"/>
          <w:lang w:val="lt-LT"/>
          <w14:ligatures w14:val="none"/>
        </w:rPr>
        <w:t xml:space="preserve"> ir gydymosi šiuo vaistu metu:</w:t>
      </w:r>
    </w:p>
    <w:p w14:paraId="2AA3BA2E" w14:textId="77777777" w:rsidR="00323207" w:rsidRPr="00F931D9" w:rsidRDefault="00323207" w:rsidP="00323207">
      <w:pPr>
        <w:numPr>
          <w:ilvl w:val="0"/>
          <w:numId w:val="22"/>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jeigu Jums pasireiškia kokių nors infekcijos požymių, pavyzdžiui, karščiavimas ar gerklės skausmas;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slopina imuninę sistemą ir taip pat gali bloginti Jūsų organizmo gebėjimą kovoti su infekcijomis;</w:t>
      </w:r>
    </w:p>
    <w:p w14:paraId="662A4203" w14:textId="77777777" w:rsidR="00323207" w:rsidRPr="00F931D9" w:rsidRDefault="00323207" w:rsidP="00323207">
      <w:pPr>
        <w:numPr>
          <w:ilvl w:val="0"/>
          <w:numId w:val="22"/>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jeigu sutrikusi Jūsų kepenų veikla;</w:t>
      </w:r>
    </w:p>
    <w:p w14:paraId="7E335BFB" w14:textId="77777777" w:rsidR="00323207" w:rsidRPr="00F931D9" w:rsidRDefault="00323207" w:rsidP="00323207">
      <w:pPr>
        <w:numPr>
          <w:ilvl w:val="0"/>
          <w:numId w:val="22"/>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jeigu sutrikusi Jūsų inkstų veikla; gydytojas reguliariai paskirs atlikti kraujo tyrimus ir prireikus gali koreguoti Jūsų vartojamą vaisto dozę; </w:t>
      </w:r>
    </w:p>
    <w:p w14:paraId="135CA5CC" w14:textId="77777777" w:rsidR="00323207" w:rsidRPr="00F931D9" w:rsidRDefault="00323207" w:rsidP="00323207">
      <w:pPr>
        <w:numPr>
          <w:ilvl w:val="0"/>
          <w:numId w:val="22"/>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jeigu Jums padidėja kraujospūdis; gydytojas reguliariai išmatuos kraujospūdį ir prireikus gali paskirti kraujospūdį mažinančių vaistų;</w:t>
      </w:r>
    </w:p>
    <w:p w14:paraId="64512F17" w14:textId="77777777" w:rsidR="00323207" w:rsidRPr="00F931D9" w:rsidRDefault="00323207" w:rsidP="00323207">
      <w:pPr>
        <w:numPr>
          <w:ilvl w:val="0"/>
          <w:numId w:val="22"/>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jeigu sumažėjęs magnio kiekis Jūsų kraujyje; gydytojas gali paskirti vartoti magnio papildų, ypač iš karto po transplantacijos operacijos;</w:t>
      </w:r>
    </w:p>
    <w:p w14:paraId="19887719" w14:textId="77777777" w:rsidR="00323207" w:rsidRPr="00F931D9" w:rsidRDefault="00323207" w:rsidP="00323207">
      <w:pPr>
        <w:numPr>
          <w:ilvl w:val="0"/>
          <w:numId w:val="22"/>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jeigu padidėjęs kalio kiekis Jūsų kraujyje;</w:t>
      </w:r>
    </w:p>
    <w:p w14:paraId="234DC995" w14:textId="77777777" w:rsidR="00323207" w:rsidRPr="00F931D9" w:rsidRDefault="00323207" w:rsidP="00323207">
      <w:pPr>
        <w:numPr>
          <w:ilvl w:val="0"/>
          <w:numId w:val="22"/>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jeigu sergate podagra;</w:t>
      </w:r>
    </w:p>
    <w:p w14:paraId="7A3B2840" w14:textId="77777777" w:rsidR="00323207" w:rsidRPr="00F931D9" w:rsidRDefault="00323207" w:rsidP="00323207">
      <w:pPr>
        <w:numPr>
          <w:ilvl w:val="0"/>
          <w:numId w:val="22"/>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jeigu planuojate skiepytis. </w:t>
      </w:r>
    </w:p>
    <w:p w14:paraId="4A841842"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Jeigu prieš pradedant vartoti vaisto arba gydymosi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metu Jums yra bet kuri iš anksčiau nurodytų būklių, nedelsdami pasakykite gydytojui.</w:t>
      </w:r>
    </w:p>
    <w:p w14:paraId="48A3834D" w14:textId="77777777" w:rsidR="00323207" w:rsidRPr="00F931D9" w:rsidRDefault="00323207" w:rsidP="00323207">
      <w:pPr>
        <w:spacing w:after="0" w:line="240" w:lineRule="auto"/>
        <w:ind w:left="432" w:hanging="432"/>
        <w:rPr>
          <w:rFonts w:ascii="Times New Roman" w:hAnsi="Times New Roman"/>
          <w:b/>
          <w:kern w:val="0"/>
          <w:sz w:val="22"/>
          <w:lang w:val="lt-LT"/>
          <w14:ligatures w14:val="none"/>
        </w:rPr>
      </w:pPr>
    </w:p>
    <w:p w14:paraId="43F10D52" w14:textId="77777777" w:rsidR="00323207" w:rsidRPr="00F931D9" w:rsidRDefault="00323207" w:rsidP="00323207">
      <w:pPr>
        <w:spacing w:after="0" w:line="240" w:lineRule="auto"/>
        <w:ind w:left="432" w:hanging="432"/>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Buvimas saulėje ir apsauga nuo saulės spindulių</w:t>
      </w:r>
    </w:p>
    <w:p w14:paraId="1198CF4B" w14:textId="77777777" w:rsidR="00323207" w:rsidRPr="00F931D9" w:rsidRDefault="00323207" w:rsidP="00323207">
      <w:pPr>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slopina Jūsų imuninę sistemą. Dėl to didėja piktybinių navikų (ypatingai odos ir limfinės sistemos) išsivystymo rizika. Turite saugotis nuo saulės ir ultravioletinių spindulių:</w:t>
      </w:r>
    </w:p>
    <w:p w14:paraId="2E55352E" w14:textId="77777777" w:rsidR="00323207" w:rsidRPr="00F931D9" w:rsidRDefault="00323207" w:rsidP="00323207">
      <w:pPr>
        <w:numPr>
          <w:ilvl w:val="0"/>
          <w:numId w:val="9"/>
        </w:numPr>
        <w:tabs>
          <w:tab w:val="clear" w:pos="357"/>
        </w:tabs>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dėvėkite tinkamus nuo saulės šviesos apsaugančius drabužius; </w:t>
      </w:r>
    </w:p>
    <w:p w14:paraId="15E603C0" w14:textId="77777777" w:rsidR="00323207" w:rsidRPr="00F931D9" w:rsidRDefault="00323207" w:rsidP="00323207">
      <w:pPr>
        <w:numPr>
          <w:ilvl w:val="0"/>
          <w:numId w:val="9"/>
        </w:numPr>
        <w:tabs>
          <w:tab w:val="clear" w:pos="357"/>
        </w:tabs>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dažnai tepkitės didelio apsauginio faktoriaus kremais nuo saulės.</w:t>
      </w:r>
    </w:p>
    <w:p w14:paraId="342A8EA7" w14:textId="77777777" w:rsidR="00323207" w:rsidRPr="00F931D9" w:rsidRDefault="00323207" w:rsidP="00323207">
      <w:pPr>
        <w:spacing w:after="0" w:line="240" w:lineRule="auto"/>
        <w:jc w:val="both"/>
        <w:rPr>
          <w:rFonts w:ascii="Times New Roman" w:hAnsi="Times New Roman"/>
          <w:kern w:val="0"/>
          <w:sz w:val="22"/>
          <w:lang w:val="lt-LT"/>
          <w14:ligatures w14:val="none"/>
        </w:rPr>
      </w:pPr>
    </w:p>
    <w:p w14:paraId="5FAF7575"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b/>
          <w:kern w:val="0"/>
          <w:sz w:val="22"/>
          <w:lang w:val="lt-LT"/>
          <w14:ligatures w14:val="none"/>
        </w:rPr>
        <w:t xml:space="preserve">Pasitarkite su gydytoju prieš pradėdami vartoti </w:t>
      </w: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r w:rsidRPr="00F931D9">
        <w:rPr>
          <w:rFonts w:ascii="Times New Roman" w:hAnsi="Times New Roman"/>
          <w:b/>
          <w:kern w:val="0"/>
          <w:sz w:val="22"/>
          <w:lang w:val="lt-LT"/>
          <w14:ligatures w14:val="none"/>
        </w:rPr>
        <w:t xml:space="preserve">: </w:t>
      </w:r>
    </w:p>
    <w:p w14:paraId="6939ECB5" w14:textId="77777777" w:rsidR="00323207" w:rsidRPr="00F931D9" w:rsidRDefault="00323207" w:rsidP="00323207">
      <w:pPr>
        <w:numPr>
          <w:ilvl w:val="0"/>
          <w:numId w:val="9"/>
        </w:numPr>
        <w:tabs>
          <w:tab w:val="clear" w:pos="357"/>
        </w:tabs>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jeigu turite ar anksčiau turėjote su alkoholio vartojimu susijusių problemų;</w:t>
      </w:r>
    </w:p>
    <w:p w14:paraId="6E3AC879" w14:textId="77777777" w:rsidR="00323207" w:rsidRPr="00F931D9" w:rsidRDefault="00323207" w:rsidP="00323207">
      <w:pPr>
        <w:numPr>
          <w:ilvl w:val="0"/>
          <w:numId w:val="9"/>
        </w:numPr>
        <w:tabs>
          <w:tab w:val="clear" w:pos="357"/>
        </w:tabs>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jeigu sergate epilepsija;</w:t>
      </w:r>
    </w:p>
    <w:p w14:paraId="6029B94D" w14:textId="77777777" w:rsidR="00323207" w:rsidRPr="00F931D9" w:rsidRDefault="00323207" w:rsidP="00323207">
      <w:pPr>
        <w:numPr>
          <w:ilvl w:val="0"/>
          <w:numId w:val="9"/>
        </w:numPr>
        <w:tabs>
          <w:tab w:val="clear" w:pos="357"/>
        </w:tabs>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jeigu Jums yra kokių nors kepenų veiklos sutrikimų;</w:t>
      </w:r>
    </w:p>
    <w:p w14:paraId="3BB695D1" w14:textId="77777777" w:rsidR="00323207" w:rsidRPr="00F931D9" w:rsidRDefault="00323207" w:rsidP="00323207">
      <w:pPr>
        <w:numPr>
          <w:ilvl w:val="0"/>
          <w:numId w:val="9"/>
        </w:numPr>
        <w:tabs>
          <w:tab w:val="clear" w:pos="357"/>
        </w:tabs>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jeigu esate nėščia;</w:t>
      </w:r>
    </w:p>
    <w:p w14:paraId="669E3A68" w14:textId="77777777" w:rsidR="00323207" w:rsidRPr="00F931D9" w:rsidRDefault="00323207" w:rsidP="00323207">
      <w:pPr>
        <w:numPr>
          <w:ilvl w:val="0"/>
          <w:numId w:val="9"/>
        </w:numPr>
        <w:tabs>
          <w:tab w:val="clear" w:pos="357"/>
        </w:tabs>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jeigu žindote kūdikį;</w:t>
      </w:r>
    </w:p>
    <w:p w14:paraId="5F338C8F" w14:textId="77777777" w:rsidR="00323207" w:rsidRPr="00F931D9" w:rsidRDefault="00323207" w:rsidP="00323207">
      <w:pPr>
        <w:numPr>
          <w:ilvl w:val="0"/>
          <w:numId w:val="9"/>
        </w:numPr>
        <w:tabs>
          <w:tab w:val="clear" w:pos="357"/>
        </w:tabs>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jeigu šis vaistas paskirtas vartoti vaikui.</w:t>
      </w:r>
    </w:p>
    <w:p w14:paraId="57A42F8D" w14:textId="77777777" w:rsidR="00323207" w:rsidRPr="00F931D9" w:rsidRDefault="00323207" w:rsidP="00323207">
      <w:pPr>
        <w:numPr>
          <w:ilvl w:val="12"/>
          <w:numId w:val="0"/>
        </w:numPr>
        <w:spacing w:after="0" w:line="240" w:lineRule="auto"/>
        <w:outlineLvl w:val="0"/>
        <w:rPr>
          <w:rFonts w:ascii="Times New Roman" w:hAnsi="Times New Roman"/>
          <w:color w:val="000000"/>
          <w:kern w:val="0"/>
          <w:sz w:val="22"/>
          <w:lang w:val="lt-LT"/>
          <w14:ligatures w14:val="none"/>
        </w:rPr>
      </w:pPr>
      <w:r w:rsidRPr="00F931D9">
        <w:rPr>
          <w:rFonts w:ascii="Times New Roman" w:hAnsi="Times New Roman"/>
          <w:kern w:val="0"/>
          <w:sz w:val="22"/>
          <w:lang w:val="lt-LT"/>
          <w14:ligatures w14:val="none"/>
        </w:rPr>
        <w:t xml:space="preserve">Jeigu Jums yra bet kuri anksčiau nurodyta būklė (arba dėl to nesate tikri), pasakykite apie tai gydytojui prieš pradėdami vartoti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Šios atsargumo priemonės reikalingos todėl, kad vaisto sudėtyje yra alkoholio (žr. toliau skyrių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sudėtyje yra etanolio“</w:t>
      </w:r>
      <w:r w:rsidRPr="00F931D9">
        <w:rPr>
          <w:rFonts w:ascii="Times New Roman" w:hAnsi="Times New Roman"/>
          <w:color w:val="000000"/>
          <w:kern w:val="0"/>
          <w:sz w:val="22"/>
          <w:lang w:val="lt-LT"/>
          <w14:ligatures w14:val="none"/>
        </w:rPr>
        <w:t>).</w:t>
      </w:r>
    </w:p>
    <w:p w14:paraId="50C119C0" w14:textId="77777777" w:rsidR="00323207" w:rsidRPr="00F931D9" w:rsidRDefault="00323207" w:rsidP="00323207">
      <w:pPr>
        <w:numPr>
          <w:ilvl w:val="12"/>
          <w:numId w:val="0"/>
        </w:numPr>
        <w:spacing w:after="0" w:line="240" w:lineRule="auto"/>
        <w:outlineLvl w:val="0"/>
        <w:rPr>
          <w:rFonts w:ascii="Times New Roman" w:hAnsi="Times New Roman"/>
          <w:kern w:val="0"/>
          <w:sz w:val="22"/>
          <w:lang w:val="lt-LT"/>
          <w14:ligatures w14:val="none"/>
        </w:rPr>
      </w:pPr>
    </w:p>
    <w:p w14:paraId="1B05B950" w14:textId="77777777" w:rsidR="00323207" w:rsidRPr="00F931D9" w:rsidRDefault="00323207" w:rsidP="00323207">
      <w:pPr>
        <w:keepNext/>
        <w:keepLines/>
        <w:spacing w:after="0" w:line="240" w:lineRule="auto"/>
        <w:rPr>
          <w:rFonts w:ascii="Times New Roman" w:hAnsi="Times New Roman"/>
          <w:kern w:val="0"/>
          <w:sz w:val="22"/>
          <w:lang w:val="lt-LT"/>
          <w14:ligatures w14:val="none"/>
        </w:rPr>
      </w:pPr>
      <w:r w:rsidRPr="00F931D9">
        <w:rPr>
          <w:rFonts w:ascii="Times New Roman" w:hAnsi="Times New Roman"/>
          <w:b/>
          <w:kern w:val="0"/>
          <w:sz w:val="22"/>
          <w:lang w:val="lt-LT"/>
          <w14:ligatures w14:val="none"/>
        </w:rPr>
        <w:t xml:space="preserve">Jūsų būklės stebėjimas gydymosi </w:t>
      </w: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r w:rsidRPr="00F931D9">
        <w:rPr>
          <w:rFonts w:ascii="Times New Roman" w:hAnsi="Times New Roman"/>
          <w:b/>
          <w:kern w:val="0"/>
          <w:sz w:val="22"/>
          <w:lang w:val="lt-LT"/>
          <w14:ligatures w14:val="none"/>
        </w:rPr>
        <w:t xml:space="preserve"> metu</w:t>
      </w:r>
    </w:p>
    <w:p w14:paraId="45A2EE61"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Jūsų gydytojas atliks toliau nurodytus tyrimus:</w:t>
      </w:r>
    </w:p>
    <w:p w14:paraId="169FE18C" w14:textId="77777777" w:rsidR="00323207" w:rsidRPr="00F931D9" w:rsidRDefault="00323207" w:rsidP="00323207">
      <w:pPr>
        <w:numPr>
          <w:ilvl w:val="0"/>
          <w:numId w:val="8"/>
        </w:numPr>
        <w:tabs>
          <w:tab w:val="clear" w:pos="357"/>
        </w:tabs>
        <w:spacing w:after="0" w:line="240" w:lineRule="auto"/>
        <w:ind w:left="567" w:hanging="567"/>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 xml:space="preserve">nustatys </w:t>
      </w:r>
      <w:proofErr w:type="spellStart"/>
      <w:r w:rsidRPr="00F931D9">
        <w:rPr>
          <w:rFonts w:ascii="Times New Roman" w:hAnsi="Times New Roman"/>
          <w:b/>
          <w:kern w:val="0"/>
          <w:sz w:val="22"/>
          <w:lang w:val="lt-LT"/>
          <w14:ligatures w14:val="none"/>
        </w:rPr>
        <w:t>ciklosporino</w:t>
      </w:r>
      <w:proofErr w:type="spellEnd"/>
      <w:r w:rsidRPr="00F931D9">
        <w:rPr>
          <w:rFonts w:ascii="Times New Roman" w:hAnsi="Times New Roman"/>
          <w:b/>
          <w:kern w:val="0"/>
          <w:sz w:val="22"/>
          <w:lang w:val="lt-LT"/>
          <w14:ligatures w14:val="none"/>
        </w:rPr>
        <w:t xml:space="preserve"> kiekį Jūsų kraujyje,</w:t>
      </w:r>
      <w:r w:rsidRPr="00F931D9">
        <w:rPr>
          <w:rFonts w:ascii="Times New Roman" w:hAnsi="Times New Roman"/>
          <w:kern w:val="0"/>
          <w:sz w:val="22"/>
          <w:lang w:val="lt-LT"/>
          <w14:ligatures w14:val="none"/>
        </w:rPr>
        <w:t xml:space="preserve"> ypatingai tais atvejais, jeigu Jums atlikta transplantacija;</w:t>
      </w:r>
    </w:p>
    <w:p w14:paraId="0E9C7754" w14:textId="77777777" w:rsidR="00323207" w:rsidRPr="00F931D9" w:rsidRDefault="00323207" w:rsidP="00323207">
      <w:pPr>
        <w:numPr>
          <w:ilvl w:val="0"/>
          <w:numId w:val="8"/>
        </w:numPr>
        <w:tabs>
          <w:tab w:val="clear" w:pos="357"/>
        </w:tabs>
        <w:spacing w:after="0" w:line="240" w:lineRule="auto"/>
        <w:ind w:left="567" w:hanging="567"/>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 xml:space="preserve">išmatuos kraujospūdį </w:t>
      </w:r>
      <w:r w:rsidRPr="00F931D9">
        <w:rPr>
          <w:rFonts w:ascii="Times New Roman" w:hAnsi="Times New Roman"/>
          <w:kern w:val="0"/>
          <w:sz w:val="22"/>
          <w:lang w:val="lt-LT"/>
          <w14:ligatures w14:val="none"/>
        </w:rPr>
        <w:t>prieš pradedant vartoti vaisto ir vėliau reguliariai gydymosi metu;</w:t>
      </w:r>
    </w:p>
    <w:p w14:paraId="239A7F39" w14:textId="77777777" w:rsidR="00323207" w:rsidRPr="00F931D9" w:rsidRDefault="00323207" w:rsidP="00323207">
      <w:pPr>
        <w:numPr>
          <w:ilvl w:val="0"/>
          <w:numId w:val="8"/>
        </w:numPr>
        <w:tabs>
          <w:tab w:val="clear" w:pos="357"/>
        </w:tabs>
        <w:spacing w:after="0" w:line="240" w:lineRule="auto"/>
        <w:ind w:left="567" w:hanging="567"/>
        <w:rPr>
          <w:rFonts w:ascii="Times New Roman" w:hAnsi="Times New Roman"/>
          <w:b/>
          <w:kern w:val="0"/>
          <w:sz w:val="22"/>
          <w:lang w:val="lt-LT"/>
          <w14:ligatures w14:val="none"/>
        </w:rPr>
      </w:pPr>
      <w:r w:rsidRPr="00F931D9">
        <w:rPr>
          <w:rFonts w:ascii="Times New Roman" w:hAnsi="Times New Roman"/>
          <w:kern w:val="0"/>
          <w:sz w:val="22"/>
          <w:lang w:val="lt-LT"/>
          <w14:ligatures w14:val="none"/>
        </w:rPr>
        <w:t>patikrins Jūsų</w:t>
      </w:r>
      <w:r w:rsidRPr="00F931D9">
        <w:rPr>
          <w:rFonts w:ascii="Times New Roman" w:hAnsi="Times New Roman"/>
          <w:b/>
          <w:kern w:val="0"/>
          <w:sz w:val="22"/>
          <w:lang w:val="lt-LT"/>
          <w14:ligatures w14:val="none"/>
        </w:rPr>
        <w:t xml:space="preserve"> kepenų ir inkstų </w:t>
      </w:r>
      <w:r w:rsidRPr="00F931D9">
        <w:rPr>
          <w:rFonts w:ascii="Times New Roman" w:hAnsi="Times New Roman"/>
          <w:kern w:val="0"/>
          <w:sz w:val="22"/>
          <w:lang w:val="lt-LT"/>
          <w14:ligatures w14:val="none"/>
        </w:rPr>
        <w:t>veiklą</w:t>
      </w:r>
      <w:r w:rsidRPr="00F931D9">
        <w:rPr>
          <w:rFonts w:ascii="Times New Roman" w:hAnsi="Times New Roman"/>
          <w:b/>
          <w:kern w:val="0"/>
          <w:sz w:val="22"/>
          <w:lang w:val="lt-LT"/>
          <w14:ligatures w14:val="none"/>
        </w:rPr>
        <w:t>;</w:t>
      </w:r>
    </w:p>
    <w:p w14:paraId="790F7FE6" w14:textId="77777777" w:rsidR="00323207" w:rsidRPr="00F931D9" w:rsidRDefault="00323207" w:rsidP="00323207">
      <w:pPr>
        <w:numPr>
          <w:ilvl w:val="0"/>
          <w:numId w:val="8"/>
        </w:numPr>
        <w:tabs>
          <w:tab w:val="clear" w:pos="357"/>
        </w:tabs>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nustatys </w:t>
      </w:r>
      <w:r w:rsidRPr="00F931D9">
        <w:rPr>
          <w:rFonts w:ascii="Times New Roman" w:hAnsi="Times New Roman"/>
          <w:b/>
          <w:kern w:val="0"/>
          <w:sz w:val="22"/>
          <w:lang w:val="lt-LT"/>
          <w14:ligatures w14:val="none"/>
        </w:rPr>
        <w:t>lipidų (riebalų) kiekį kraujyje</w:t>
      </w:r>
      <w:r w:rsidRPr="00F931D9">
        <w:rPr>
          <w:rFonts w:ascii="Times New Roman" w:hAnsi="Times New Roman"/>
          <w:kern w:val="0"/>
          <w:sz w:val="22"/>
          <w:lang w:val="lt-LT"/>
          <w14:ligatures w14:val="none"/>
        </w:rPr>
        <w:t>.</w:t>
      </w:r>
      <w:r w:rsidRPr="00F931D9">
        <w:rPr>
          <w:rFonts w:ascii="Times New Roman" w:hAnsi="Times New Roman"/>
          <w:b/>
          <w:kern w:val="0"/>
          <w:sz w:val="22"/>
          <w:lang w:val="lt-LT"/>
          <w14:ligatures w14:val="none"/>
        </w:rPr>
        <w:t xml:space="preserve"> </w:t>
      </w:r>
    </w:p>
    <w:p w14:paraId="62AAA4B8" w14:textId="77777777" w:rsidR="00323207" w:rsidRPr="00F931D9" w:rsidRDefault="00323207" w:rsidP="00323207">
      <w:pPr>
        <w:widowControl w:val="0"/>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Jeigu turite kokių nors klausimų apie tai, kaip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veikia arba kodėl šis vaistas Jums buvo paskirtas, klauskite gydytojo.</w:t>
      </w:r>
    </w:p>
    <w:p w14:paraId="477E24F3" w14:textId="77777777" w:rsidR="00323207" w:rsidRPr="00F931D9" w:rsidRDefault="00323207" w:rsidP="00323207">
      <w:pPr>
        <w:numPr>
          <w:ilvl w:val="12"/>
          <w:numId w:val="0"/>
        </w:numPr>
        <w:spacing w:after="0" w:line="240" w:lineRule="auto"/>
        <w:outlineLvl w:val="0"/>
        <w:rPr>
          <w:rFonts w:ascii="Times New Roman" w:hAnsi="Times New Roman"/>
          <w:kern w:val="0"/>
          <w:sz w:val="22"/>
          <w:lang w:val="lt-LT"/>
          <w14:ligatures w14:val="none"/>
        </w:rPr>
      </w:pPr>
    </w:p>
    <w:p w14:paraId="4D5C4CA7"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b/>
          <w:kern w:val="0"/>
          <w:sz w:val="22"/>
          <w:lang w:val="lt-LT"/>
          <w14:ligatures w14:val="none"/>
        </w:rPr>
        <w:t xml:space="preserve">Be to, jeigu </w:t>
      </w: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r w:rsidRPr="00F931D9">
        <w:rPr>
          <w:rFonts w:ascii="Times New Roman" w:hAnsi="Times New Roman"/>
          <w:b/>
          <w:kern w:val="0"/>
          <w:sz w:val="22"/>
          <w:lang w:val="lt-LT"/>
          <w14:ligatures w14:val="none"/>
        </w:rPr>
        <w:fldChar w:fldCharType="begin"/>
      </w:r>
      <w:r w:rsidRPr="00F931D9">
        <w:rPr>
          <w:rFonts w:ascii="Times New Roman" w:hAnsi="Times New Roman"/>
          <w:b/>
          <w:kern w:val="0"/>
          <w:sz w:val="22"/>
          <w:lang w:val="lt-LT"/>
          <w14:ligatures w14:val="none"/>
        </w:rPr>
        <w:instrText>ADVANCE \u2</w:instrText>
      </w:r>
      <w:r w:rsidRPr="00F931D9">
        <w:rPr>
          <w:rFonts w:ascii="Times New Roman" w:hAnsi="Times New Roman"/>
          <w:b/>
          <w:kern w:val="0"/>
          <w:sz w:val="22"/>
          <w:lang w:val="lt-LT"/>
          <w14:ligatures w14:val="none"/>
        </w:rPr>
        <w:fldChar w:fldCharType="end"/>
      </w:r>
      <w:r w:rsidRPr="00F931D9">
        <w:rPr>
          <w:rFonts w:ascii="Times New Roman" w:hAnsi="Times New Roman"/>
          <w:b/>
          <w:kern w:val="0"/>
          <w:sz w:val="22"/>
          <w:lang w:val="lt-LT"/>
          <w14:ligatures w14:val="none"/>
        </w:rPr>
        <w:fldChar w:fldCharType="begin"/>
      </w:r>
      <w:r w:rsidRPr="00F931D9">
        <w:rPr>
          <w:rFonts w:ascii="Times New Roman" w:hAnsi="Times New Roman"/>
          <w:b/>
          <w:kern w:val="0"/>
          <w:sz w:val="22"/>
          <w:lang w:val="lt-LT"/>
          <w14:ligatures w14:val="none"/>
        </w:rPr>
        <w:instrText>ADVANCE \d2</w:instrText>
      </w:r>
      <w:r w:rsidRPr="00F931D9">
        <w:rPr>
          <w:rFonts w:ascii="Times New Roman" w:hAnsi="Times New Roman"/>
          <w:b/>
          <w:kern w:val="0"/>
          <w:sz w:val="22"/>
          <w:lang w:val="lt-LT"/>
          <w14:ligatures w14:val="none"/>
        </w:rPr>
        <w:fldChar w:fldCharType="end"/>
      </w:r>
      <w:r w:rsidRPr="00F931D9">
        <w:rPr>
          <w:rFonts w:ascii="Times New Roman" w:hAnsi="Times New Roman"/>
          <w:b/>
          <w:kern w:val="0"/>
          <w:sz w:val="22"/>
          <w:lang w:val="lt-LT"/>
          <w14:ligatures w14:val="none"/>
        </w:rPr>
        <w:t xml:space="preserve"> Jums paskirtas ne dėl su transplantacija susijusių priežasčių </w:t>
      </w:r>
      <w:r w:rsidRPr="00F931D9">
        <w:rPr>
          <w:rFonts w:ascii="Times New Roman" w:hAnsi="Times New Roman"/>
          <w:kern w:val="0"/>
          <w:sz w:val="22"/>
          <w:lang w:val="lt-LT"/>
          <w14:ligatures w14:val="none"/>
        </w:rPr>
        <w:t xml:space="preserve">(jeigu sergate tarpiniu ar užpakaliniu </w:t>
      </w:r>
      <w:proofErr w:type="spellStart"/>
      <w:r w:rsidRPr="00F931D9">
        <w:rPr>
          <w:rFonts w:ascii="Times New Roman" w:hAnsi="Times New Roman"/>
          <w:kern w:val="0"/>
          <w:sz w:val="22"/>
          <w:lang w:val="lt-LT"/>
          <w14:ligatures w14:val="none"/>
        </w:rPr>
        <w:t>uveitu</w:t>
      </w:r>
      <w:proofErr w:type="spellEnd"/>
      <w:r w:rsidRPr="00F931D9">
        <w:rPr>
          <w:rFonts w:ascii="Times New Roman" w:hAnsi="Times New Roman"/>
          <w:kern w:val="0"/>
          <w:sz w:val="22"/>
          <w:lang w:val="lt-LT"/>
          <w14:ligatures w14:val="none"/>
        </w:rPr>
        <w:t xml:space="preserve"> arba </w:t>
      </w:r>
      <w:proofErr w:type="spellStart"/>
      <w:r w:rsidRPr="00F931D9">
        <w:rPr>
          <w:rFonts w:ascii="Times New Roman" w:hAnsi="Times New Roman"/>
          <w:kern w:val="0"/>
          <w:sz w:val="22"/>
          <w:lang w:val="lt-LT"/>
          <w14:ligatures w14:val="none"/>
        </w:rPr>
        <w:t>Behcet</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uveitu</w:t>
      </w:r>
      <w:proofErr w:type="spellEnd"/>
      <w:r w:rsidRPr="00F931D9">
        <w:rPr>
          <w:rFonts w:ascii="Times New Roman" w:hAnsi="Times New Roman"/>
          <w:kern w:val="0"/>
          <w:sz w:val="22"/>
          <w:lang w:val="lt-LT"/>
          <w14:ligatures w14:val="none"/>
        </w:rPr>
        <w:t xml:space="preserve">, atopiniu dermatitu, sunkiu reumatoidiniu artritu arba </w:t>
      </w:r>
      <w:proofErr w:type="spellStart"/>
      <w:r w:rsidRPr="00F931D9">
        <w:rPr>
          <w:rFonts w:ascii="Times New Roman" w:hAnsi="Times New Roman"/>
          <w:kern w:val="0"/>
          <w:sz w:val="22"/>
          <w:lang w:val="lt-LT"/>
          <w14:ligatures w14:val="none"/>
        </w:rPr>
        <w:t>nefroziniu</w:t>
      </w:r>
      <w:proofErr w:type="spellEnd"/>
      <w:r w:rsidRPr="00F931D9">
        <w:rPr>
          <w:rFonts w:ascii="Times New Roman" w:hAnsi="Times New Roman"/>
          <w:kern w:val="0"/>
          <w:sz w:val="22"/>
          <w:lang w:val="lt-LT"/>
          <w14:ligatures w14:val="none"/>
        </w:rPr>
        <w:t xml:space="preserve"> sindromu),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vartoti negalima: </w:t>
      </w:r>
    </w:p>
    <w:p w14:paraId="68F57C5B" w14:textId="77777777" w:rsidR="00323207" w:rsidRPr="00F931D9" w:rsidRDefault="00323207" w:rsidP="00323207">
      <w:pPr>
        <w:numPr>
          <w:ilvl w:val="0"/>
          <w:numId w:val="10"/>
        </w:numPr>
        <w:tabs>
          <w:tab w:val="clear" w:pos="357"/>
        </w:tabs>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jeigu sutrikusi Jūsų inkstų veikla (išskyrus </w:t>
      </w:r>
      <w:proofErr w:type="spellStart"/>
      <w:r w:rsidRPr="00F931D9">
        <w:rPr>
          <w:rFonts w:ascii="Times New Roman" w:hAnsi="Times New Roman"/>
          <w:kern w:val="0"/>
          <w:sz w:val="22"/>
          <w:lang w:val="lt-LT"/>
          <w14:ligatures w14:val="none"/>
        </w:rPr>
        <w:t>nefrozinį</w:t>
      </w:r>
      <w:proofErr w:type="spellEnd"/>
      <w:r w:rsidRPr="00F931D9">
        <w:rPr>
          <w:rFonts w:ascii="Times New Roman" w:hAnsi="Times New Roman"/>
          <w:kern w:val="0"/>
          <w:sz w:val="22"/>
          <w:lang w:val="lt-LT"/>
          <w14:ligatures w14:val="none"/>
        </w:rPr>
        <w:t xml:space="preserve"> sindromą);</w:t>
      </w:r>
    </w:p>
    <w:p w14:paraId="2CB09929" w14:textId="77777777" w:rsidR="00323207" w:rsidRPr="00F931D9" w:rsidRDefault="00323207" w:rsidP="00323207">
      <w:pPr>
        <w:numPr>
          <w:ilvl w:val="0"/>
          <w:numId w:val="10"/>
        </w:numPr>
        <w:tabs>
          <w:tab w:val="clear" w:pos="357"/>
        </w:tabs>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jeigu sergate infekcine liga, kurios nepalengvina vartojami vaistai;</w:t>
      </w:r>
    </w:p>
    <w:p w14:paraId="0DF0752B" w14:textId="77777777" w:rsidR="00323207" w:rsidRPr="00F931D9" w:rsidRDefault="00323207" w:rsidP="00323207">
      <w:pPr>
        <w:numPr>
          <w:ilvl w:val="0"/>
          <w:numId w:val="10"/>
        </w:numPr>
        <w:tabs>
          <w:tab w:val="clear" w:pos="357"/>
        </w:tabs>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jeigu sergate bet kokio tipo vėžiu;</w:t>
      </w:r>
    </w:p>
    <w:p w14:paraId="5CCB99BB" w14:textId="77777777" w:rsidR="00323207" w:rsidRPr="00F931D9" w:rsidRDefault="00323207" w:rsidP="00323207">
      <w:pPr>
        <w:numPr>
          <w:ilvl w:val="0"/>
          <w:numId w:val="10"/>
        </w:numPr>
        <w:tabs>
          <w:tab w:val="clear" w:pos="357"/>
        </w:tabs>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jeigu padidėjęs Jūsų kraujospūdis (sergate hipertenzija), kurio nesumažina vartojami vaistai. Jeigu kraujospūdis padidėja gydymosi metu ir jo negalima sumažinti vartojant vaistų, gydytojas turėtų nutraukti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vartojimą.</w:t>
      </w:r>
    </w:p>
    <w:p w14:paraId="09D59419"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Jeigu Jums yra bet kuri anksčiau nurodyta būklė, nevartokite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Jeigu dėl to nesate tikri, prieš pradėdami vartoti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pasitarkite su gydytoju.</w:t>
      </w:r>
    </w:p>
    <w:p w14:paraId="619F2B8B" w14:textId="77777777" w:rsidR="00323207" w:rsidRPr="00F931D9" w:rsidRDefault="00323207" w:rsidP="00323207">
      <w:pPr>
        <w:spacing w:after="0" w:line="240" w:lineRule="auto"/>
        <w:rPr>
          <w:rFonts w:ascii="Times New Roman" w:hAnsi="Times New Roman"/>
          <w:kern w:val="0"/>
          <w:sz w:val="22"/>
          <w:lang w:val="lt-LT"/>
          <w14:ligatures w14:val="none"/>
        </w:rPr>
      </w:pPr>
    </w:p>
    <w:p w14:paraId="325650A2"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Gydytojas ypatingai atidžiai stebės Jūsų būklę, jeigu vaisto vartojate dėl </w:t>
      </w:r>
      <w:proofErr w:type="spellStart"/>
      <w:r w:rsidRPr="00F931D9">
        <w:rPr>
          <w:rFonts w:ascii="Times New Roman" w:hAnsi="Times New Roman"/>
          <w:kern w:val="0"/>
          <w:sz w:val="22"/>
          <w:lang w:val="lt-LT"/>
          <w14:ligatures w14:val="none"/>
        </w:rPr>
        <w:t>Behcet</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uveito</w:t>
      </w:r>
      <w:proofErr w:type="spellEnd"/>
      <w:r w:rsidRPr="00F931D9">
        <w:rPr>
          <w:rFonts w:ascii="Times New Roman" w:hAnsi="Times New Roman"/>
          <w:kern w:val="0"/>
          <w:sz w:val="22"/>
          <w:lang w:val="lt-LT"/>
          <w14:ligatures w14:val="none"/>
        </w:rPr>
        <w:t xml:space="preserve"> ir Jums pasireiškia neurologinių simptomų (pavyzdžiui: padidėjęs užmaršumas, ilgainiui besikeičianti asmenybė, psichikos ar nuotaikos sutrikimai, deginimo pojūtis galūnėse, sumažėjęs galūnių jautrumas, dilgčiojimo pojūtis galūnėse, galūnių silpnumas, sutrikusi eisena, galvos skausmas su pykinimu ir vėmimu arba be jų, sutrikęs regėjimas, įskaitant ribotus akių judesius).</w:t>
      </w:r>
    </w:p>
    <w:p w14:paraId="3460283A" w14:textId="77777777" w:rsidR="00323207" w:rsidRPr="00F931D9" w:rsidRDefault="00323207" w:rsidP="00323207">
      <w:pPr>
        <w:spacing w:after="0" w:line="240" w:lineRule="auto"/>
        <w:rPr>
          <w:rFonts w:ascii="Times New Roman" w:hAnsi="Times New Roman"/>
          <w:kern w:val="0"/>
          <w:sz w:val="22"/>
          <w:lang w:val="lt-LT"/>
          <w14:ligatures w14:val="none"/>
        </w:rPr>
      </w:pPr>
    </w:p>
    <w:p w14:paraId="67F3F696"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Gydytojas atidžiai stebės Jūsų būklę, jeigu esate senyvo amžiaus ir vaisto vartojate žvynelinei ar atopiniam dermatitui gydyti. Jeigu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paskirtas žvynelinei ar atopiniam dermatitui gydyti, Jums būtina saugotis nuo bet kokių B ultravioletinių spindulių, taip pat Jums negali būti skirta </w:t>
      </w:r>
      <w:proofErr w:type="spellStart"/>
      <w:r w:rsidRPr="00F931D9">
        <w:rPr>
          <w:rFonts w:ascii="Times New Roman" w:hAnsi="Times New Roman"/>
          <w:kern w:val="0"/>
          <w:sz w:val="22"/>
          <w:lang w:val="lt-LT"/>
          <w14:ligatures w14:val="none"/>
        </w:rPr>
        <w:t>fototerapija</w:t>
      </w:r>
      <w:proofErr w:type="spellEnd"/>
      <w:r w:rsidRPr="00F931D9">
        <w:rPr>
          <w:rFonts w:ascii="Times New Roman" w:hAnsi="Times New Roman"/>
          <w:kern w:val="0"/>
          <w:sz w:val="22"/>
          <w:lang w:val="lt-LT"/>
          <w14:ligatures w14:val="none"/>
        </w:rPr>
        <w:t>.</w:t>
      </w:r>
    </w:p>
    <w:p w14:paraId="1547B734" w14:textId="77777777" w:rsidR="00323207" w:rsidRPr="00F931D9" w:rsidRDefault="00323207" w:rsidP="00323207">
      <w:pPr>
        <w:numPr>
          <w:ilvl w:val="12"/>
          <w:numId w:val="0"/>
        </w:numPr>
        <w:spacing w:after="0" w:line="240" w:lineRule="auto"/>
        <w:rPr>
          <w:rFonts w:ascii="Times New Roman" w:hAnsi="Times New Roman"/>
          <w:kern w:val="0"/>
          <w:sz w:val="22"/>
          <w:lang w:val="lt-LT"/>
          <w14:ligatures w14:val="none"/>
        </w:rPr>
      </w:pPr>
    </w:p>
    <w:p w14:paraId="7B4C1024" w14:textId="77777777" w:rsidR="00323207" w:rsidRPr="00F931D9" w:rsidRDefault="00323207" w:rsidP="00323207">
      <w:pPr>
        <w:numPr>
          <w:ilvl w:val="12"/>
          <w:numId w:val="0"/>
        </w:numPr>
        <w:spacing w:after="0" w:line="240" w:lineRule="auto"/>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Vaikams ir paaugliams</w:t>
      </w:r>
    </w:p>
    <w:p w14:paraId="30143582" w14:textId="77777777" w:rsidR="00323207" w:rsidRPr="00F931D9" w:rsidRDefault="00323207" w:rsidP="00323207">
      <w:pPr>
        <w:numPr>
          <w:ilvl w:val="12"/>
          <w:numId w:val="0"/>
        </w:numPr>
        <w:spacing w:after="0" w:line="240" w:lineRule="auto"/>
        <w:rPr>
          <w:rFonts w:ascii="Times New Roman" w:hAnsi="Times New Roman"/>
          <w:b/>
          <w:kern w:val="0"/>
          <w:sz w:val="22"/>
          <w:lang w:val="lt-LT"/>
          <w14:ligatures w14:val="none"/>
        </w:rPr>
      </w:pP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negalima vartoti vaikams ne su transplantacija susijusioms ligoms gydyti, išskyrus </w:t>
      </w:r>
      <w:proofErr w:type="spellStart"/>
      <w:r w:rsidRPr="00F931D9">
        <w:rPr>
          <w:rFonts w:ascii="Times New Roman" w:hAnsi="Times New Roman"/>
          <w:kern w:val="0"/>
          <w:sz w:val="22"/>
          <w:lang w:val="lt-LT"/>
          <w14:ligatures w14:val="none"/>
        </w:rPr>
        <w:t>nefrozinio</w:t>
      </w:r>
      <w:proofErr w:type="spellEnd"/>
      <w:r w:rsidRPr="00F931D9">
        <w:rPr>
          <w:rFonts w:ascii="Times New Roman" w:hAnsi="Times New Roman"/>
          <w:kern w:val="0"/>
          <w:sz w:val="22"/>
          <w:lang w:val="lt-LT"/>
          <w14:ligatures w14:val="none"/>
        </w:rPr>
        <w:t xml:space="preserve"> sindromo gydymui. </w:t>
      </w:r>
    </w:p>
    <w:p w14:paraId="12557C98" w14:textId="77777777" w:rsidR="00323207" w:rsidRPr="00F931D9" w:rsidRDefault="00323207" w:rsidP="00323207">
      <w:pPr>
        <w:numPr>
          <w:ilvl w:val="12"/>
          <w:numId w:val="0"/>
        </w:numPr>
        <w:spacing w:after="0" w:line="240" w:lineRule="auto"/>
        <w:rPr>
          <w:rFonts w:ascii="Times New Roman" w:hAnsi="Times New Roman"/>
          <w:kern w:val="0"/>
          <w:sz w:val="22"/>
          <w:lang w:val="lt-LT"/>
          <w14:ligatures w14:val="none"/>
        </w:rPr>
      </w:pPr>
    </w:p>
    <w:p w14:paraId="749987D1" w14:textId="77777777" w:rsidR="00323207" w:rsidRPr="00F931D9" w:rsidRDefault="00323207" w:rsidP="00323207">
      <w:pPr>
        <w:numPr>
          <w:ilvl w:val="12"/>
          <w:numId w:val="0"/>
        </w:numPr>
        <w:spacing w:after="0" w:line="240" w:lineRule="auto"/>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Senyviems pacientams (65 metų ir vyresniems)</w:t>
      </w:r>
    </w:p>
    <w:p w14:paraId="40FC4A65" w14:textId="77777777" w:rsidR="00323207" w:rsidRPr="00F931D9" w:rsidRDefault="00323207" w:rsidP="00323207">
      <w:pPr>
        <w:numPr>
          <w:ilvl w:val="12"/>
          <w:numId w:val="0"/>
        </w:numPr>
        <w:spacing w:after="0" w:line="240" w:lineRule="auto"/>
        <w:rPr>
          <w:rFonts w:ascii="Times New Roman" w:hAnsi="Times New Roman"/>
          <w:b/>
          <w:kern w:val="0"/>
          <w:sz w:val="22"/>
          <w:lang w:val="lt-LT"/>
          <w14:ligatures w14:val="none"/>
        </w:rPr>
      </w:pP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vartojimo senyviems asmenims patirties yra nedaug. Gydytojas turėtų tirti Jūsų inkstų veiklą. Žvyneline ir atopiniu dermatitu sergantiems vyresniems kaip 65 metų pacientams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galima vartoti tik tais atvejais, kai šios ligos yra ypatingai sunkios.</w:t>
      </w:r>
    </w:p>
    <w:p w14:paraId="29BEED11" w14:textId="77777777" w:rsidR="00323207" w:rsidRPr="00F931D9" w:rsidRDefault="00323207" w:rsidP="00323207">
      <w:pPr>
        <w:numPr>
          <w:ilvl w:val="12"/>
          <w:numId w:val="0"/>
        </w:numPr>
        <w:spacing w:after="0" w:line="240" w:lineRule="auto"/>
        <w:rPr>
          <w:rFonts w:ascii="Times New Roman" w:hAnsi="Times New Roman"/>
          <w:kern w:val="0"/>
          <w:sz w:val="22"/>
          <w:lang w:val="lt-LT"/>
          <w14:ligatures w14:val="none"/>
        </w:rPr>
      </w:pPr>
    </w:p>
    <w:p w14:paraId="1C997FFE" w14:textId="77777777" w:rsidR="00323207" w:rsidRPr="00F931D9" w:rsidRDefault="00323207" w:rsidP="00323207">
      <w:pPr>
        <w:numPr>
          <w:ilvl w:val="12"/>
          <w:numId w:val="0"/>
        </w:numPr>
        <w:spacing w:after="0" w:line="240" w:lineRule="auto"/>
        <w:rPr>
          <w:rFonts w:ascii="Times New Roman" w:hAnsi="Times New Roman"/>
          <w:kern w:val="0"/>
          <w:sz w:val="22"/>
          <w:lang w:val="lt-LT"/>
          <w14:ligatures w14:val="none"/>
        </w:rPr>
      </w:pPr>
      <w:r w:rsidRPr="00F931D9">
        <w:rPr>
          <w:rFonts w:ascii="Times New Roman" w:hAnsi="Times New Roman"/>
          <w:b/>
          <w:kern w:val="0"/>
          <w:sz w:val="22"/>
          <w:lang w:val="lt-LT"/>
          <w14:ligatures w14:val="none"/>
        </w:rPr>
        <w:t xml:space="preserve">Kiti vaistai ir </w:t>
      </w: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p>
    <w:p w14:paraId="47CFEC72" w14:textId="77777777" w:rsidR="00323207" w:rsidRPr="00F931D9" w:rsidRDefault="00323207" w:rsidP="00323207">
      <w:pPr>
        <w:numPr>
          <w:ilvl w:val="12"/>
          <w:numId w:val="0"/>
        </w:numPr>
        <w:spacing w:after="0" w:line="240" w:lineRule="auto"/>
        <w:ind w:right="-2"/>
        <w:rPr>
          <w:rFonts w:ascii="Times New Roman" w:hAnsi="Times New Roman"/>
          <w:kern w:val="0"/>
          <w:sz w:val="22"/>
          <w:lang w:val="lt-LT"/>
          <w14:ligatures w14:val="none"/>
        </w:rPr>
      </w:pPr>
      <w:r w:rsidRPr="00F931D9">
        <w:rPr>
          <w:rFonts w:ascii="Times New Roman" w:hAnsi="Times New Roman"/>
          <w:kern w:val="0"/>
          <w:sz w:val="22"/>
          <w:lang w:val="lt-LT"/>
          <w14:ligatures w14:val="none"/>
        </w:rPr>
        <w:t>Jeigu vartojate ar neseniai vartojote kitų vaistų arba dėl to nesate tikri, apie tai pasakykite gydytojui arba vaistininkui.</w:t>
      </w:r>
    </w:p>
    <w:p w14:paraId="0EAE9B99" w14:textId="77777777" w:rsidR="00323207" w:rsidRPr="00F931D9" w:rsidRDefault="00323207" w:rsidP="00323207">
      <w:pPr>
        <w:numPr>
          <w:ilvl w:val="12"/>
          <w:numId w:val="0"/>
        </w:numPr>
        <w:spacing w:after="0" w:line="240" w:lineRule="auto"/>
        <w:ind w:right="-2"/>
        <w:rPr>
          <w:rFonts w:ascii="Times New Roman" w:hAnsi="Times New Roman"/>
          <w:kern w:val="0"/>
          <w:sz w:val="22"/>
          <w:lang w:val="lt-LT"/>
          <w14:ligatures w14:val="none"/>
        </w:rPr>
      </w:pPr>
    </w:p>
    <w:p w14:paraId="5B93E950"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Ypatingai svarbu pasakyti gydytojui arba vaistininkui, jeigu prieš pradėdami vartoti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arba gydymosi metu vartojate bet kurių toliau išvardytų vaistų:</w:t>
      </w:r>
    </w:p>
    <w:p w14:paraId="546A8CC2" w14:textId="77777777" w:rsidR="00323207" w:rsidRPr="00F931D9" w:rsidRDefault="00323207" w:rsidP="00323207">
      <w:pPr>
        <w:numPr>
          <w:ilvl w:val="0"/>
          <w:numId w:val="11"/>
        </w:numPr>
        <w:tabs>
          <w:tab w:val="clear" w:pos="357"/>
        </w:tabs>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Kalio kiekį kraujyje galinčių keisti vaistų, pavyzdžiui, vaistų, kurių sudėtyje yra kalio, kalio papildų, kalį organizme sulaikančių šlapimą varančių vaistų (diuretikų) ir kai kurių kraujospūdį mažinančių vaistų. </w:t>
      </w:r>
    </w:p>
    <w:p w14:paraId="16A6E17F" w14:textId="77777777" w:rsidR="00323207" w:rsidRPr="00F931D9" w:rsidRDefault="00323207" w:rsidP="00323207">
      <w:pPr>
        <w:numPr>
          <w:ilvl w:val="0"/>
          <w:numId w:val="11"/>
        </w:numPr>
        <w:tabs>
          <w:tab w:val="clear" w:pos="357"/>
        </w:tabs>
        <w:spacing w:after="0" w:line="240" w:lineRule="auto"/>
        <w:ind w:left="567" w:hanging="567"/>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Metotreksato</w:t>
      </w:r>
      <w:proofErr w:type="spellEnd"/>
      <w:r w:rsidRPr="00F931D9">
        <w:rPr>
          <w:rFonts w:ascii="Times New Roman" w:hAnsi="Times New Roman"/>
          <w:kern w:val="0"/>
          <w:sz w:val="22"/>
          <w:lang w:val="lt-LT"/>
          <w14:ligatures w14:val="none"/>
        </w:rPr>
        <w:t xml:space="preserve"> (vartojamo navikams, sunkiai žvynelinei ir sunkiam reumatoidiniam artritui gydyti).</w:t>
      </w:r>
    </w:p>
    <w:p w14:paraId="1B2571A6" w14:textId="77777777" w:rsidR="00323207" w:rsidRPr="00F931D9" w:rsidRDefault="00323207" w:rsidP="00323207">
      <w:pPr>
        <w:numPr>
          <w:ilvl w:val="0"/>
          <w:numId w:val="12"/>
        </w:numPr>
        <w:tabs>
          <w:tab w:val="clear" w:pos="357"/>
        </w:tabs>
        <w:spacing w:after="0" w:line="240" w:lineRule="auto"/>
        <w:ind w:left="567" w:hanging="567"/>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(veikliosios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medžiagos) kiekį kraujyje galinčių didinti arba mažinti vaistų. Gydytojas gali patikrinti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kiekį Jūsų kraujyje pradėdamas skirti šių vaistų ar nutraukdamas jų vartojimą.</w:t>
      </w:r>
    </w:p>
    <w:p w14:paraId="06859CBD" w14:textId="77777777" w:rsidR="00323207" w:rsidRPr="00F931D9" w:rsidRDefault="00323207" w:rsidP="00323207">
      <w:pPr>
        <w:numPr>
          <w:ilvl w:val="0"/>
          <w:numId w:val="21"/>
        </w:numPr>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kiekį kraujyje galintys didinti vaistai yra tokie: antibiotikai (pavyzdžiui, </w:t>
      </w:r>
      <w:proofErr w:type="spellStart"/>
      <w:r w:rsidRPr="00F931D9">
        <w:rPr>
          <w:rFonts w:ascii="Times New Roman" w:hAnsi="Times New Roman"/>
          <w:kern w:val="0"/>
          <w:sz w:val="22"/>
          <w:lang w:val="lt-LT"/>
          <w14:ligatures w14:val="none"/>
        </w:rPr>
        <w:t>eritromicinas</w:t>
      </w:r>
      <w:proofErr w:type="spellEnd"/>
      <w:r w:rsidRPr="00F931D9">
        <w:rPr>
          <w:rFonts w:ascii="Times New Roman" w:hAnsi="Times New Roman"/>
          <w:kern w:val="0"/>
          <w:sz w:val="22"/>
          <w:lang w:val="lt-LT"/>
          <w14:ligatures w14:val="none"/>
        </w:rPr>
        <w:t xml:space="preserve"> ar </w:t>
      </w:r>
      <w:proofErr w:type="spellStart"/>
      <w:r w:rsidRPr="00F931D9">
        <w:rPr>
          <w:rFonts w:ascii="Times New Roman" w:hAnsi="Times New Roman"/>
          <w:kern w:val="0"/>
          <w:sz w:val="22"/>
          <w:lang w:val="lt-LT"/>
          <w14:ligatures w14:val="none"/>
        </w:rPr>
        <w:t>azitromicinas</w:t>
      </w:r>
      <w:proofErr w:type="spellEnd"/>
      <w:r w:rsidRPr="00F931D9">
        <w:rPr>
          <w:rFonts w:ascii="Times New Roman" w:hAnsi="Times New Roman"/>
          <w:kern w:val="0"/>
          <w:sz w:val="22"/>
          <w:lang w:val="lt-LT"/>
          <w14:ligatures w14:val="none"/>
        </w:rPr>
        <w:t>), priešgrybeliniai vaistai (</w:t>
      </w:r>
      <w:proofErr w:type="spellStart"/>
      <w:r w:rsidRPr="00F931D9">
        <w:rPr>
          <w:rFonts w:ascii="Times New Roman" w:hAnsi="Times New Roman"/>
          <w:kern w:val="0"/>
          <w:sz w:val="22"/>
          <w:lang w:val="lt-LT"/>
          <w14:ligatures w14:val="none"/>
        </w:rPr>
        <w:t>vorikonazolas</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itrakonazolas</w:t>
      </w:r>
      <w:proofErr w:type="spellEnd"/>
      <w:r w:rsidRPr="00F931D9">
        <w:rPr>
          <w:rFonts w:ascii="Times New Roman" w:hAnsi="Times New Roman"/>
          <w:kern w:val="0"/>
          <w:sz w:val="22"/>
          <w:lang w:val="lt-LT"/>
          <w14:ligatures w14:val="none"/>
        </w:rPr>
        <w:t>), širdies ligoms ar padidėjusiam kraujospūdžiui gydyti vartojami vaistai (</w:t>
      </w:r>
      <w:proofErr w:type="spellStart"/>
      <w:r w:rsidRPr="00F931D9">
        <w:rPr>
          <w:rFonts w:ascii="Times New Roman" w:hAnsi="Times New Roman"/>
          <w:kern w:val="0"/>
          <w:sz w:val="22"/>
          <w:lang w:val="lt-LT"/>
          <w14:ligatures w14:val="none"/>
        </w:rPr>
        <w:t>diltiazemas</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nikardipinas</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verapamilis</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amjodaronas</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metoklopramidas</w:t>
      </w:r>
      <w:proofErr w:type="spellEnd"/>
      <w:r w:rsidRPr="00F931D9">
        <w:rPr>
          <w:rFonts w:ascii="Times New Roman" w:hAnsi="Times New Roman"/>
          <w:kern w:val="0"/>
          <w:sz w:val="22"/>
          <w:lang w:val="lt-LT"/>
          <w14:ligatures w14:val="none"/>
        </w:rPr>
        <w:t xml:space="preserve"> (vartojamas pykinimui slopinti), geriamieji kontraceptikai, </w:t>
      </w:r>
      <w:proofErr w:type="spellStart"/>
      <w:r w:rsidRPr="00F931D9">
        <w:rPr>
          <w:rFonts w:ascii="Times New Roman" w:hAnsi="Times New Roman"/>
          <w:kern w:val="0"/>
          <w:sz w:val="22"/>
          <w:lang w:val="lt-LT"/>
          <w14:ligatures w14:val="none"/>
        </w:rPr>
        <w:t>danazolis</w:t>
      </w:r>
      <w:proofErr w:type="spellEnd"/>
      <w:r w:rsidRPr="00F931D9">
        <w:rPr>
          <w:rFonts w:ascii="Times New Roman" w:hAnsi="Times New Roman"/>
          <w:kern w:val="0"/>
          <w:sz w:val="22"/>
          <w:lang w:val="lt-LT"/>
          <w14:ligatures w14:val="none"/>
        </w:rPr>
        <w:t xml:space="preserve"> (vartojamas menstruacijų sutrikimams gydyti), podagrai gydyti vartojami vaistai (</w:t>
      </w:r>
      <w:proofErr w:type="spellStart"/>
      <w:r w:rsidRPr="00F931D9">
        <w:rPr>
          <w:rFonts w:ascii="Times New Roman" w:hAnsi="Times New Roman"/>
          <w:kern w:val="0"/>
          <w:sz w:val="22"/>
          <w:lang w:val="lt-LT"/>
          <w14:ligatures w14:val="none"/>
        </w:rPr>
        <w:t>alopurinolis</w:t>
      </w:r>
      <w:proofErr w:type="spellEnd"/>
      <w:r w:rsidRPr="00F931D9">
        <w:rPr>
          <w:rFonts w:ascii="Times New Roman" w:hAnsi="Times New Roman"/>
          <w:kern w:val="0"/>
          <w:sz w:val="22"/>
          <w:lang w:val="lt-LT"/>
          <w14:ligatures w14:val="none"/>
        </w:rPr>
        <w:t xml:space="preserve">), tulžies rūgšties junginiai (vartojami tulžies pūslės akmenligei gydyti), ŽIV infekcijai gydyti vartojami proteazės inhibitoriai, </w:t>
      </w:r>
      <w:proofErr w:type="spellStart"/>
      <w:r w:rsidRPr="00F931D9">
        <w:rPr>
          <w:rFonts w:ascii="Times New Roman" w:hAnsi="Times New Roman"/>
          <w:kern w:val="0"/>
          <w:sz w:val="22"/>
          <w:lang w:val="lt-LT"/>
          <w14:ligatures w14:val="none"/>
        </w:rPr>
        <w:t>imatinibas</w:t>
      </w:r>
      <w:proofErr w:type="spellEnd"/>
      <w:r w:rsidRPr="00F931D9">
        <w:rPr>
          <w:rFonts w:ascii="Times New Roman" w:hAnsi="Times New Roman"/>
          <w:kern w:val="0"/>
          <w:sz w:val="22"/>
          <w:lang w:val="lt-LT"/>
          <w14:ligatures w14:val="none"/>
        </w:rPr>
        <w:t xml:space="preserve"> (vartojamas leukemijai ar navikams gydyti), </w:t>
      </w:r>
      <w:proofErr w:type="spellStart"/>
      <w:r w:rsidRPr="00F931D9">
        <w:rPr>
          <w:rFonts w:ascii="Times New Roman" w:hAnsi="Times New Roman"/>
          <w:kern w:val="0"/>
          <w:sz w:val="22"/>
          <w:lang w:val="lt-LT"/>
          <w14:ligatures w14:val="none"/>
        </w:rPr>
        <w:t>kolchicinas</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telapreviras</w:t>
      </w:r>
      <w:proofErr w:type="spellEnd"/>
      <w:r w:rsidRPr="00F931D9">
        <w:rPr>
          <w:rFonts w:ascii="Times New Roman" w:hAnsi="Times New Roman"/>
          <w:kern w:val="0"/>
          <w:sz w:val="22"/>
          <w:lang w:val="lt-LT"/>
          <w14:ligatures w14:val="none"/>
        </w:rPr>
        <w:t xml:space="preserve"> (vartojamas C hepatitui gydyti), </w:t>
      </w:r>
      <w:proofErr w:type="spellStart"/>
      <w:r w:rsidRPr="00F931D9">
        <w:rPr>
          <w:rFonts w:ascii="Times New Roman" w:hAnsi="Times New Roman"/>
          <w:kern w:val="0"/>
          <w:sz w:val="22"/>
          <w:lang w:val="lt-LT"/>
          <w14:ligatures w14:val="none"/>
        </w:rPr>
        <w:t>kanabidiolis</w:t>
      </w:r>
      <w:proofErr w:type="spellEnd"/>
      <w:r w:rsidRPr="00F931D9">
        <w:rPr>
          <w:rFonts w:ascii="Times New Roman" w:hAnsi="Times New Roman"/>
          <w:kern w:val="0"/>
          <w:sz w:val="22"/>
          <w:lang w:val="lt-LT"/>
          <w14:ligatures w14:val="none"/>
        </w:rPr>
        <w:t xml:space="preserve"> (tarp kitų vartojimo indikacijų – traukulių gydymas).</w:t>
      </w:r>
    </w:p>
    <w:p w14:paraId="4EDAB150" w14:textId="77777777" w:rsidR="00323207" w:rsidRPr="00F931D9" w:rsidRDefault="00323207" w:rsidP="00323207">
      <w:pPr>
        <w:numPr>
          <w:ilvl w:val="0"/>
          <w:numId w:val="21"/>
        </w:numPr>
        <w:spacing w:after="0" w:line="240" w:lineRule="auto"/>
        <w:ind w:left="1287" w:hanging="567"/>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lastRenderedPageBreak/>
        <w:t>Ciklosporino</w:t>
      </w:r>
      <w:proofErr w:type="spellEnd"/>
      <w:r w:rsidRPr="00F931D9">
        <w:rPr>
          <w:rFonts w:ascii="Times New Roman" w:hAnsi="Times New Roman"/>
          <w:kern w:val="0"/>
          <w:sz w:val="22"/>
          <w:lang w:val="lt-LT"/>
          <w14:ligatures w14:val="none"/>
        </w:rPr>
        <w:t xml:space="preserve"> kiekį kraujyje galintys mažinti vaistai yra tokie: barbitūratai (vartojami užmigimui palengvinti), kai kurie vaistai nuo traukulių (pavyzdžiui, </w:t>
      </w:r>
      <w:proofErr w:type="spellStart"/>
      <w:r w:rsidRPr="00F931D9">
        <w:rPr>
          <w:rFonts w:ascii="Times New Roman" w:hAnsi="Times New Roman"/>
          <w:kern w:val="0"/>
          <w:sz w:val="22"/>
          <w:lang w:val="lt-LT"/>
          <w14:ligatures w14:val="none"/>
        </w:rPr>
        <w:t>karbamazepinas</w:t>
      </w:r>
      <w:proofErr w:type="spellEnd"/>
      <w:r w:rsidRPr="00F931D9">
        <w:rPr>
          <w:rFonts w:ascii="Times New Roman" w:hAnsi="Times New Roman"/>
          <w:kern w:val="0"/>
          <w:sz w:val="22"/>
          <w:lang w:val="lt-LT"/>
          <w14:ligatures w14:val="none"/>
        </w:rPr>
        <w:t xml:space="preserve"> ar </w:t>
      </w:r>
      <w:proofErr w:type="spellStart"/>
      <w:r w:rsidRPr="00F931D9">
        <w:rPr>
          <w:rFonts w:ascii="Times New Roman" w:hAnsi="Times New Roman"/>
          <w:kern w:val="0"/>
          <w:sz w:val="22"/>
          <w:lang w:val="lt-LT"/>
          <w14:ligatures w14:val="none"/>
        </w:rPr>
        <w:t>fenitoinas</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oktreotidas</w:t>
      </w:r>
      <w:proofErr w:type="spellEnd"/>
      <w:r w:rsidRPr="00F931D9">
        <w:rPr>
          <w:rFonts w:ascii="Times New Roman" w:hAnsi="Times New Roman"/>
          <w:kern w:val="0"/>
          <w:sz w:val="22"/>
          <w:lang w:val="lt-LT"/>
          <w14:ligatures w14:val="none"/>
        </w:rPr>
        <w:t xml:space="preserve"> (vartojamas </w:t>
      </w:r>
      <w:proofErr w:type="spellStart"/>
      <w:r w:rsidRPr="00F931D9">
        <w:rPr>
          <w:rFonts w:ascii="Times New Roman" w:hAnsi="Times New Roman"/>
          <w:kern w:val="0"/>
          <w:sz w:val="22"/>
          <w:lang w:val="lt-LT"/>
          <w14:ligatures w14:val="none"/>
        </w:rPr>
        <w:t>akromegalijai</w:t>
      </w:r>
      <w:proofErr w:type="spellEnd"/>
      <w:r w:rsidRPr="00F931D9">
        <w:rPr>
          <w:rFonts w:ascii="Times New Roman" w:hAnsi="Times New Roman"/>
          <w:kern w:val="0"/>
          <w:sz w:val="22"/>
          <w:lang w:val="lt-LT"/>
          <w14:ligatures w14:val="none"/>
        </w:rPr>
        <w:t xml:space="preserve"> arba žarnyno </w:t>
      </w:r>
      <w:proofErr w:type="spellStart"/>
      <w:r w:rsidRPr="00F931D9">
        <w:rPr>
          <w:rFonts w:ascii="Times New Roman" w:hAnsi="Times New Roman"/>
          <w:kern w:val="0"/>
          <w:sz w:val="22"/>
          <w:lang w:val="lt-LT"/>
          <w14:ligatures w14:val="none"/>
        </w:rPr>
        <w:t>neuroendokrininiams</w:t>
      </w:r>
      <w:proofErr w:type="spellEnd"/>
      <w:r w:rsidRPr="00F931D9">
        <w:rPr>
          <w:rFonts w:ascii="Times New Roman" w:hAnsi="Times New Roman"/>
          <w:kern w:val="0"/>
          <w:sz w:val="22"/>
          <w:lang w:val="lt-LT"/>
          <w14:ligatures w14:val="none"/>
        </w:rPr>
        <w:t xml:space="preserve"> augliams gydyti), tuberkuliozei gydyti vartojami </w:t>
      </w:r>
      <w:proofErr w:type="spellStart"/>
      <w:r w:rsidRPr="00F931D9">
        <w:rPr>
          <w:rFonts w:ascii="Times New Roman" w:hAnsi="Times New Roman"/>
          <w:kern w:val="0"/>
          <w:sz w:val="22"/>
          <w:lang w:val="lt-LT"/>
          <w14:ligatures w14:val="none"/>
        </w:rPr>
        <w:t>priešbakteriniai</w:t>
      </w:r>
      <w:proofErr w:type="spellEnd"/>
      <w:r w:rsidRPr="00F931D9">
        <w:rPr>
          <w:rFonts w:ascii="Times New Roman" w:hAnsi="Times New Roman"/>
          <w:kern w:val="0"/>
          <w:sz w:val="22"/>
          <w:lang w:val="lt-LT"/>
          <w14:ligatures w14:val="none"/>
        </w:rPr>
        <w:t xml:space="preserve"> vaistai, </w:t>
      </w:r>
      <w:proofErr w:type="spellStart"/>
      <w:r w:rsidRPr="00F931D9">
        <w:rPr>
          <w:rFonts w:ascii="Times New Roman" w:hAnsi="Times New Roman"/>
          <w:kern w:val="0"/>
          <w:sz w:val="22"/>
          <w:lang w:val="lt-LT"/>
          <w14:ligatures w14:val="none"/>
        </w:rPr>
        <w:t>orlistatas</w:t>
      </w:r>
      <w:proofErr w:type="spellEnd"/>
      <w:r w:rsidRPr="00F931D9">
        <w:rPr>
          <w:rFonts w:ascii="Times New Roman" w:hAnsi="Times New Roman"/>
          <w:kern w:val="0"/>
          <w:sz w:val="22"/>
          <w:lang w:val="lt-LT"/>
          <w14:ligatures w14:val="none"/>
        </w:rPr>
        <w:t xml:space="preserve"> (vartojamas kūno svoriui mažinti), žoliniai vaistai, kurių sudėtyje yra jonažolės, </w:t>
      </w:r>
      <w:proofErr w:type="spellStart"/>
      <w:r w:rsidRPr="00F931D9">
        <w:rPr>
          <w:rFonts w:ascii="Times New Roman" w:hAnsi="Times New Roman"/>
          <w:kern w:val="0"/>
          <w:sz w:val="22"/>
          <w:lang w:val="lt-LT"/>
          <w14:ligatures w14:val="none"/>
        </w:rPr>
        <w:t>tiklopidinas</w:t>
      </w:r>
      <w:proofErr w:type="spellEnd"/>
      <w:r w:rsidRPr="00F931D9">
        <w:rPr>
          <w:rFonts w:ascii="Times New Roman" w:hAnsi="Times New Roman"/>
          <w:kern w:val="0"/>
          <w:sz w:val="22"/>
          <w:lang w:val="lt-LT"/>
          <w14:ligatures w14:val="none"/>
        </w:rPr>
        <w:t xml:space="preserve"> (vartojamas po insulto), tam tikri kraujospūdį mažinantys vaistai (</w:t>
      </w:r>
      <w:proofErr w:type="spellStart"/>
      <w:r w:rsidRPr="00F931D9">
        <w:rPr>
          <w:rFonts w:ascii="Times New Roman" w:hAnsi="Times New Roman"/>
          <w:kern w:val="0"/>
          <w:sz w:val="22"/>
          <w:lang w:val="lt-LT"/>
          <w14:ligatures w14:val="none"/>
        </w:rPr>
        <w:t>bosentanas</w:t>
      </w:r>
      <w:proofErr w:type="spellEnd"/>
      <w:r w:rsidRPr="00F931D9">
        <w:rPr>
          <w:rFonts w:ascii="Times New Roman" w:hAnsi="Times New Roman"/>
          <w:kern w:val="0"/>
          <w:sz w:val="22"/>
          <w:lang w:val="lt-LT"/>
          <w14:ligatures w14:val="none"/>
        </w:rPr>
        <w:t xml:space="preserve">) ir </w:t>
      </w:r>
      <w:proofErr w:type="spellStart"/>
      <w:r w:rsidRPr="00F931D9">
        <w:rPr>
          <w:rFonts w:ascii="Times New Roman" w:hAnsi="Times New Roman"/>
          <w:kern w:val="0"/>
          <w:sz w:val="22"/>
          <w:lang w:val="lt-LT"/>
          <w14:ligatures w14:val="none"/>
        </w:rPr>
        <w:t>terbinafinas</w:t>
      </w:r>
      <w:proofErr w:type="spellEnd"/>
      <w:r w:rsidRPr="00F931D9">
        <w:rPr>
          <w:rFonts w:ascii="Times New Roman" w:hAnsi="Times New Roman"/>
          <w:kern w:val="0"/>
          <w:sz w:val="22"/>
          <w:lang w:val="lt-LT"/>
          <w14:ligatures w14:val="none"/>
        </w:rPr>
        <w:t xml:space="preserve"> (kojų tarpupirščių ir nagų grybelinei infekcijai gydyti vartojamas vaistas).</w:t>
      </w:r>
    </w:p>
    <w:p w14:paraId="36D11BCF" w14:textId="77777777" w:rsidR="00323207" w:rsidRPr="00F931D9" w:rsidRDefault="00323207" w:rsidP="00323207">
      <w:pPr>
        <w:numPr>
          <w:ilvl w:val="0"/>
          <w:numId w:val="11"/>
        </w:numPr>
        <w:tabs>
          <w:tab w:val="clear" w:pos="357"/>
        </w:tabs>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Inkstų veiklą galinčių trikdyti vaistų, pavyzdžiui, </w:t>
      </w:r>
      <w:proofErr w:type="spellStart"/>
      <w:r w:rsidRPr="00F931D9">
        <w:rPr>
          <w:rFonts w:ascii="Times New Roman" w:hAnsi="Times New Roman"/>
          <w:kern w:val="0"/>
          <w:sz w:val="22"/>
          <w:lang w:val="lt-LT"/>
          <w14:ligatures w14:val="none"/>
        </w:rPr>
        <w:t>priešbakterinių</w:t>
      </w:r>
      <w:proofErr w:type="spellEnd"/>
      <w:r w:rsidRPr="00F931D9">
        <w:rPr>
          <w:rFonts w:ascii="Times New Roman" w:hAnsi="Times New Roman"/>
          <w:kern w:val="0"/>
          <w:sz w:val="22"/>
          <w:lang w:val="lt-LT"/>
          <w14:ligatures w14:val="none"/>
        </w:rPr>
        <w:t xml:space="preserve"> vaistų (</w:t>
      </w:r>
      <w:proofErr w:type="spellStart"/>
      <w:r w:rsidRPr="00F931D9">
        <w:rPr>
          <w:rFonts w:ascii="Times New Roman" w:hAnsi="Times New Roman"/>
          <w:kern w:val="0"/>
          <w:sz w:val="22"/>
          <w:lang w:val="lt-LT"/>
          <w14:ligatures w14:val="none"/>
        </w:rPr>
        <w:t>gentamicino</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tobramicino</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ciprofloksacino</w:t>
      </w:r>
      <w:proofErr w:type="spellEnd"/>
      <w:r w:rsidRPr="00F931D9">
        <w:rPr>
          <w:rFonts w:ascii="Times New Roman" w:hAnsi="Times New Roman"/>
          <w:kern w:val="0"/>
          <w:sz w:val="22"/>
          <w:lang w:val="lt-LT"/>
          <w14:ligatures w14:val="none"/>
        </w:rPr>
        <w:t xml:space="preserve">), priešgrybelinių vaistų, kurių sudėtyje yra </w:t>
      </w:r>
      <w:proofErr w:type="spellStart"/>
      <w:r w:rsidRPr="00F931D9">
        <w:rPr>
          <w:rFonts w:ascii="Times New Roman" w:hAnsi="Times New Roman"/>
          <w:kern w:val="0"/>
          <w:sz w:val="22"/>
          <w:lang w:val="lt-LT"/>
          <w14:ligatures w14:val="none"/>
        </w:rPr>
        <w:t>amfotericino</w:t>
      </w:r>
      <w:proofErr w:type="spellEnd"/>
      <w:r w:rsidRPr="00F931D9">
        <w:rPr>
          <w:rFonts w:ascii="Times New Roman" w:hAnsi="Times New Roman"/>
          <w:kern w:val="0"/>
          <w:sz w:val="22"/>
          <w:lang w:val="lt-LT"/>
          <w14:ligatures w14:val="none"/>
        </w:rPr>
        <w:t xml:space="preserve"> B, šlapimo takų infekcijoms gydyti vartojamų vaistų, kurių sudėtyje yra </w:t>
      </w:r>
      <w:proofErr w:type="spellStart"/>
      <w:r w:rsidRPr="00F931D9">
        <w:rPr>
          <w:rFonts w:ascii="Times New Roman" w:hAnsi="Times New Roman"/>
          <w:kern w:val="0"/>
          <w:sz w:val="22"/>
          <w:lang w:val="lt-LT"/>
          <w14:ligatures w14:val="none"/>
        </w:rPr>
        <w:t>trimetoprimo</w:t>
      </w:r>
      <w:proofErr w:type="spellEnd"/>
      <w:r w:rsidRPr="00F931D9">
        <w:rPr>
          <w:rFonts w:ascii="Times New Roman" w:hAnsi="Times New Roman"/>
          <w:kern w:val="0"/>
          <w:sz w:val="22"/>
          <w:lang w:val="lt-LT"/>
          <w14:ligatures w14:val="none"/>
        </w:rPr>
        <w:t xml:space="preserve">, vėžiui gydyti vartojamų vaistų, kurių sudėtyje yra </w:t>
      </w:r>
      <w:proofErr w:type="spellStart"/>
      <w:r w:rsidRPr="00F931D9">
        <w:rPr>
          <w:rFonts w:ascii="Times New Roman" w:hAnsi="Times New Roman"/>
          <w:kern w:val="0"/>
          <w:sz w:val="22"/>
          <w:lang w:val="lt-LT"/>
          <w14:ligatures w14:val="none"/>
        </w:rPr>
        <w:t>melfalano</w:t>
      </w:r>
      <w:proofErr w:type="spellEnd"/>
      <w:r w:rsidRPr="00F931D9">
        <w:rPr>
          <w:rFonts w:ascii="Times New Roman" w:hAnsi="Times New Roman"/>
          <w:kern w:val="0"/>
          <w:sz w:val="22"/>
          <w:lang w:val="lt-LT"/>
          <w14:ligatures w14:val="none"/>
        </w:rPr>
        <w:t>, padidėjusiam skrandžio rūgštingumui mažinti vartojamų vaistų (H</w:t>
      </w:r>
      <w:r w:rsidRPr="00F931D9">
        <w:rPr>
          <w:rFonts w:ascii="Times New Roman" w:hAnsi="Times New Roman"/>
          <w:kern w:val="0"/>
          <w:sz w:val="22"/>
          <w:vertAlign w:val="subscript"/>
          <w:lang w:val="lt-LT"/>
          <w14:ligatures w14:val="none"/>
        </w:rPr>
        <w:t>2</w:t>
      </w:r>
      <w:r w:rsidRPr="00F931D9">
        <w:rPr>
          <w:rFonts w:ascii="Times New Roman" w:hAnsi="Times New Roman"/>
          <w:kern w:val="0"/>
          <w:sz w:val="22"/>
          <w:lang w:val="lt-LT"/>
          <w14:ligatures w14:val="none"/>
        </w:rPr>
        <w:t xml:space="preserve"> receptorių blokatorių tipo rūgšties sekreciją slopinančių vaistų), </w:t>
      </w:r>
      <w:proofErr w:type="spellStart"/>
      <w:r w:rsidRPr="00F931D9">
        <w:rPr>
          <w:rFonts w:ascii="Times New Roman" w:hAnsi="Times New Roman"/>
          <w:kern w:val="0"/>
          <w:sz w:val="22"/>
          <w:lang w:val="lt-LT"/>
          <w14:ligatures w14:val="none"/>
        </w:rPr>
        <w:t>takrolimuzo</w:t>
      </w:r>
      <w:proofErr w:type="spellEnd"/>
      <w:r w:rsidRPr="00F931D9">
        <w:rPr>
          <w:rFonts w:ascii="Times New Roman" w:hAnsi="Times New Roman"/>
          <w:kern w:val="0"/>
          <w:sz w:val="22"/>
          <w:lang w:val="lt-LT"/>
          <w14:ligatures w14:val="none"/>
        </w:rPr>
        <w:t xml:space="preserve">, vaistų nuo skausmo (nesteroidinių vaistų nuo uždegimo, pavyzdžiui, </w:t>
      </w:r>
      <w:proofErr w:type="spellStart"/>
      <w:r w:rsidRPr="00F931D9">
        <w:rPr>
          <w:rFonts w:ascii="Times New Roman" w:hAnsi="Times New Roman"/>
          <w:kern w:val="0"/>
          <w:sz w:val="22"/>
          <w:lang w:val="lt-LT"/>
          <w14:ligatures w14:val="none"/>
        </w:rPr>
        <w:t>diklofenako</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fibro</w:t>
      </w:r>
      <w:proofErr w:type="spellEnd"/>
      <w:r w:rsidRPr="00F931D9">
        <w:rPr>
          <w:rFonts w:ascii="Times New Roman" w:hAnsi="Times New Roman"/>
          <w:kern w:val="0"/>
          <w:sz w:val="22"/>
          <w:lang w:val="lt-LT"/>
          <w14:ligatures w14:val="none"/>
        </w:rPr>
        <w:t xml:space="preserve"> rūgšties vaistų (vartojamų riebalų kiekiui kraujyje mažinti). </w:t>
      </w:r>
    </w:p>
    <w:p w14:paraId="0F24B48F" w14:textId="77777777" w:rsidR="00323207" w:rsidRPr="00F931D9" w:rsidRDefault="00323207" w:rsidP="00323207">
      <w:pPr>
        <w:numPr>
          <w:ilvl w:val="0"/>
          <w:numId w:val="11"/>
        </w:numPr>
        <w:tabs>
          <w:tab w:val="clear" w:pos="357"/>
        </w:tabs>
        <w:spacing w:after="0" w:line="240" w:lineRule="auto"/>
        <w:ind w:left="567" w:hanging="567"/>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Nifedipino</w:t>
      </w:r>
      <w:proofErr w:type="spellEnd"/>
      <w:r w:rsidRPr="00F931D9">
        <w:rPr>
          <w:rFonts w:ascii="Times New Roman" w:hAnsi="Times New Roman"/>
          <w:kern w:val="0"/>
          <w:sz w:val="22"/>
          <w:lang w:val="lt-LT"/>
          <w14:ligatures w14:val="none"/>
        </w:rPr>
        <w:t xml:space="preserve"> (vartojamo padidėjusiam kraujospūdžiui ir krūtinės anginai gydyti). Jeigu gydymosi </w:t>
      </w:r>
      <w:proofErr w:type="spellStart"/>
      <w:r w:rsidRPr="00F931D9">
        <w:rPr>
          <w:rFonts w:ascii="Times New Roman" w:hAnsi="Times New Roman"/>
          <w:kern w:val="0"/>
          <w:sz w:val="22"/>
          <w:lang w:val="lt-LT"/>
          <w14:ligatures w14:val="none"/>
        </w:rPr>
        <w:t>ciklosporinu</w:t>
      </w:r>
      <w:proofErr w:type="spellEnd"/>
      <w:r w:rsidRPr="00F931D9">
        <w:rPr>
          <w:rFonts w:ascii="Times New Roman" w:hAnsi="Times New Roman"/>
          <w:kern w:val="0"/>
          <w:sz w:val="22"/>
          <w:lang w:val="lt-LT"/>
          <w14:ligatures w14:val="none"/>
        </w:rPr>
        <w:t xml:space="preserve"> metu vartosite </w:t>
      </w:r>
      <w:proofErr w:type="spellStart"/>
      <w:r w:rsidRPr="00F931D9">
        <w:rPr>
          <w:rFonts w:ascii="Times New Roman" w:hAnsi="Times New Roman"/>
          <w:kern w:val="0"/>
          <w:sz w:val="22"/>
          <w:lang w:val="lt-LT"/>
          <w14:ligatures w14:val="none"/>
        </w:rPr>
        <w:t>nifedipino</w:t>
      </w:r>
      <w:proofErr w:type="spellEnd"/>
      <w:r w:rsidRPr="00F931D9">
        <w:rPr>
          <w:rFonts w:ascii="Times New Roman" w:hAnsi="Times New Roman"/>
          <w:kern w:val="0"/>
          <w:sz w:val="22"/>
          <w:lang w:val="lt-LT"/>
          <w14:ligatures w14:val="none"/>
        </w:rPr>
        <w:t>, gali patinti dantenos ir jos gali uždengti dantis.</w:t>
      </w:r>
    </w:p>
    <w:p w14:paraId="0E2F9C0F" w14:textId="77777777" w:rsidR="00323207" w:rsidRPr="00F931D9" w:rsidRDefault="00323207" w:rsidP="00323207">
      <w:pPr>
        <w:numPr>
          <w:ilvl w:val="0"/>
          <w:numId w:val="11"/>
        </w:numPr>
        <w:tabs>
          <w:tab w:val="clear" w:pos="357"/>
        </w:tabs>
        <w:spacing w:after="0" w:line="240" w:lineRule="auto"/>
        <w:ind w:left="567" w:hanging="567"/>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Digoksino</w:t>
      </w:r>
      <w:proofErr w:type="spellEnd"/>
      <w:r w:rsidRPr="00F931D9">
        <w:rPr>
          <w:rFonts w:ascii="Times New Roman" w:hAnsi="Times New Roman"/>
          <w:kern w:val="0"/>
          <w:sz w:val="22"/>
          <w:lang w:val="lt-LT"/>
          <w14:ligatures w14:val="none"/>
        </w:rPr>
        <w:t xml:space="preserve"> (vartojamo širdies ligoms gydyti), cholesterolio kiekį kraujyje mažinančių vaistų (vadinamųjų HMG-</w:t>
      </w:r>
      <w:proofErr w:type="spellStart"/>
      <w:r w:rsidRPr="00F931D9">
        <w:rPr>
          <w:rFonts w:ascii="Times New Roman" w:hAnsi="Times New Roman"/>
          <w:kern w:val="0"/>
          <w:sz w:val="22"/>
          <w:lang w:val="lt-LT"/>
          <w14:ligatures w14:val="none"/>
        </w:rPr>
        <w:t>CoA</w:t>
      </w:r>
      <w:proofErr w:type="spellEnd"/>
      <w:r w:rsidRPr="00F931D9">
        <w:rPr>
          <w:rFonts w:ascii="Times New Roman" w:hAnsi="Times New Roman"/>
          <w:kern w:val="0"/>
          <w:sz w:val="22"/>
          <w:lang w:val="lt-LT"/>
          <w14:ligatures w14:val="none"/>
        </w:rPr>
        <w:t xml:space="preserve"> reduktazės inhibitorių arba </w:t>
      </w:r>
      <w:proofErr w:type="spellStart"/>
      <w:r w:rsidRPr="00F931D9">
        <w:rPr>
          <w:rFonts w:ascii="Times New Roman" w:hAnsi="Times New Roman"/>
          <w:kern w:val="0"/>
          <w:sz w:val="22"/>
          <w:lang w:val="lt-LT"/>
          <w14:ligatures w14:val="none"/>
        </w:rPr>
        <w:t>statinų</w:t>
      </w:r>
      <w:proofErr w:type="spellEnd"/>
      <w:r w:rsidRPr="00F931D9">
        <w:rPr>
          <w:rFonts w:ascii="Times New Roman" w:hAnsi="Times New Roman"/>
          <w:kern w:val="0"/>
          <w:sz w:val="22"/>
          <w:lang w:val="lt-LT"/>
          <w14:ligatures w14:val="none"/>
        </w:rPr>
        <w:t xml:space="preserve">), prednizolono, </w:t>
      </w:r>
      <w:proofErr w:type="spellStart"/>
      <w:r w:rsidRPr="00F931D9">
        <w:rPr>
          <w:rFonts w:ascii="Times New Roman" w:hAnsi="Times New Roman"/>
          <w:kern w:val="0"/>
          <w:sz w:val="22"/>
          <w:lang w:val="lt-LT"/>
          <w14:ligatures w14:val="none"/>
        </w:rPr>
        <w:t>etopozido</w:t>
      </w:r>
      <w:proofErr w:type="spellEnd"/>
      <w:r w:rsidRPr="00F931D9">
        <w:rPr>
          <w:rFonts w:ascii="Times New Roman" w:hAnsi="Times New Roman"/>
          <w:kern w:val="0"/>
          <w:sz w:val="22"/>
          <w:lang w:val="lt-LT"/>
          <w14:ligatures w14:val="none"/>
        </w:rPr>
        <w:t xml:space="preserve"> (vartojamo vėžiui gydyti), </w:t>
      </w:r>
      <w:proofErr w:type="spellStart"/>
      <w:r w:rsidRPr="00F931D9">
        <w:rPr>
          <w:rFonts w:ascii="Times New Roman" w:hAnsi="Times New Roman"/>
          <w:kern w:val="0"/>
          <w:sz w:val="22"/>
          <w:lang w:val="lt-LT"/>
          <w14:ligatures w14:val="none"/>
        </w:rPr>
        <w:t>repaglinido</w:t>
      </w:r>
      <w:proofErr w:type="spellEnd"/>
      <w:r w:rsidRPr="00F931D9">
        <w:rPr>
          <w:rFonts w:ascii="Times New Roman" w:hAnsi="Times New Roman"/>
          <w:kern w:val="0"/>
          <w:sz w:val="22"/>
          <w:lang w:val="lt-LT"/>
          <w14:ligatures w14:val="none"/>
        </w:rPr>
        <w:t xml:space="preserve"> (vaisto nuo diabeto), imunitetą slopinančių vaistų (</w:t>
      </w:r>
      <w:proofErr w:type="spellStart"/>
      <w:r w:rsidRPr="00F931D9">
        <w:rPr>
          <w:rFonts w:ascii="Times New Roman" w:hAnsi="Times New Roman"/>
          <w:kern w:val="0"/>
          <w:sz w:val="22"/>
          <w:lang w:val="lt-LT"/>
          <w14:ligatures w14:val="none"/>
        </w:rPr>
        <w:t>everolimuzo</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sirolimuzo</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ambrisentano</w:t>
      </w:r>
      <w:proofErr w:type="spellEnd"/>
      <w:r w:rsidRPr="00F931D9">
        <w:rPr>
          <w:rFonts w:ascii="Times New Roman" w:hAnsi="Times New Roman"/>
          <w:kern w:val="0"/>
          <w:sz w:val="22"/>
          <w:lang w:val="lt-LT"/>
          <w14:ligatures w14:val="none"/>
        </w:rPr>
        <w:t xml:space="preserve"> ir </w:t>
      </w:r>
      <w:proofErr w:type="spellStart"/>
      <w:r w:rsidRPr="00F931D9">
        <w:rPr>
          <w:rFonts w:ascii="Times New Roman" w:hAnsi="Times New Roman"/>
          <w:kern w:val="0"/>
          <w:sz w:val="22"/>
          <w:lang w:val="lt-LT"/>
          <w14:ligatures w14:val="none"/>
        </w:rPr>
        <w:t>antraciklinais</w:t>
      </w:r>
      <w:proofErr w:type="spellEnd"/>
      <w:r w:rsidRPr="00F931D9">
        <w:rPr>
          <w:rFonts w:ascii="Times New Roman" w:hAnsi="Times New Roman"/>
          <w:kern w:val="0"/>
          <w:sz w:val="22"/>
          <w:lang w:val="lt-LT"/>
          <w14:ligatures w14:val="none"/>
        </w:rPr>
        <w:t xml:space="preserve"> vadinamų tam tikrų vaistų nuo vėžio (pavyzdžiui, </w:t>
      </w:r>
      <w:proofErr w:type="spellStart"/>
      <w:r w:rsidRPr="00F931D9">
        <w:rPr>
          <w:rFonts w:ascii="Times New Roman" w:hAnsi="Times New Roman"/>
          <w:kern w:val="0"/>
          <w:sz w:val="22"/>
          <w:lang w:val="lt-LT"/>
          <w14:ligatures w14:val="none"/>
        </w:rPr>
        <w:t>doksorubicino</w:t>
      </w:r>
      <w:proofErr w:type="spellEnd"/>
      <w:r w:rsidRPr="00F931D9">
        <w:rPr>
          <w:rFonts w:ascii="Times New Roman" w:hAnsi="Times New Roman"/>
          <w:kern w:val="0"/>
          <w:sz w:val="22"/>
          <w:lang w:val="lt-LT"/>
          <w14:ligatures w14:val="none"/>
        </w:rPr>
        <w:t>).</w:t>
      </w:r>
    </w:p>
    <w:p w14:paraId="53829136" w14:textId="77777777" w:rsidR="00323207" w:rsidRPr="00F931D9" w:rsidRDefault="00323207" w:rsidP="00323207">
      <w:pPr>
        <w:numPr>
          <w:ilvl w:val="0"/>
          <w:numId w:val="11"/>
        </w:numPr>
        <w:tabs>
          <w:tab w:val="clear" w:pos="357"/>
        </w:tabs>
        <w:spacing w:after="0" w:line="240" w:lineRule="auto"/>
        <w:ind w:left="567" w:hanging="567"/>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Mikofenolato</w:t>
      </w:r>
      <w:proofErr w:type="spellEnd"/>
      <w:r w:rsidRPr="00F931D9">
        <w:rPr>
          <w:rFonts w:ascii="Times New Roman" w:hAnsi="Times New Roman"/>
          <w:kern w:val="0"/>
          <w:sz w:val="22"/>
          <w:lang w:val="lt-LT"/>
          <w14:ligatures w14:val="none"/>
        </w:rPr>
        <w:t xml:space="preserve"> natrio druskos arba </w:t>
      </w:r>
      <w:proofErr w:type="spellStart"/>
      <w:r w:rsidRPr="00F931D9">
        <w:rPr>
          <w:rFonts w:ascii="Times New Roman" w:hAnsi="Times New Roman"/>
          <w:kern w:val="0"/>
          <w:sz w:val="22"/>
          <w:lang w:val="lt-LT"/>
          <w14:ligatures w14:val="none"/>
        </w:rPr>
        <w:t>mikofenolato</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mofetilio</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imunosupresantų</w:t>
      </w:r>
      <w:proofErr w:type="spellEnd"/>
      <w:r w:rsidRPr="00F931D9">
        <w:rPr>
          <w:rFonts w:ascii="Times New Roman" w:hAnsi="Times New Roman"/>
          <w:kern w:val="0"/>
          <w:sz w:val="22"/>
          <w:lang w:val="lt-LT"/>
          <w14:ligatures w14:val="none"/>
        </w:rPr>
        <w:t xml:space="preserve">) ir </w:t>
      </w:r>
      <w:proofErr w:type="spellStart"/>
      <w:r w:rsidRPr="00F931D9">
        <w:rPr>
          <w:rFonts w:ascii="Times New Roman" w:hAnsi="Times New Roman"/>
          <w:kern w:val="0"/>
          <w:sz w:val="22"/>
          <w:lang w:val="lt-LT"/>
          <w14:ligatures w14:val="none"/>
        </w:rPr>
        <w:t>eltrombopago</w:t>
      </w:r>
      <w:proofErr w:type="spellEnd"/>
      <w:r w:rsidRPr="00F931D9">
        <w:rPr>
          <w:rFonts w:ascii="Times New Roman" w:hAnsi="Times New Roman"/>
          <w:kern w:val="0"/>
          <w:sz w:val="22"/>
          <w:lang w:val="lt-LT"/>
          <w14:ligatures w14:val="none"/>
        </w:rPr>
        <w:t xml:space="preserve"> (vartojamo kraujavimo sutrikimams gydyti).</w:t>
      </w:r>
    </w:p>
    <w:p w14:paraId="5309B36F"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Jeigu vartojate bet kurių anksčiau nurodytų vaistų (arba dėl to nesate tikri), pasakykite apie tai gydytojui arba vaistininkui prieš pradėdami vartoti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w:t>
      </w:r>
    </w:p>
    <w:p w14:paraId="36359BF7" w14:textId="77777777" w:rsidR="00323207" w:rsidRPr="00F931D9" w:rsidRDefault="00323207" w:rsidP="00323207">
      <w:pPr>
        <w:numPr>
          <w:ilvl w:val="12"/>
          <w:numId w:val="0"/>
        </w:numPr>
        <w:spacing w:after="0" w:line="240" w:lineRule="auto"/>
        <w:ind w:right="-2"/>
        <w:rPr>
          <w:rFonts w:ascii="Times New Roman" w:hAnsi="Times New Roman"/>
          <w:kern w:val="0"/>
          <w:sz w:val="22"/>
          <w:lang w:val="lt-LT"/>
          <w14:ligatures w14:val="none"/>
        </w:rPr>
      </w:pPr>
    </w:p>
    <w:p w14:paraId="41AD291F" w14:textId="77777777" w:rsidR="00323207" w:rsidRPr="00F931D9" w:rsidRDefault="00323207" w:rsidP="00323207">
      <w:pPr>
        <w:numPr>
          <w:ilvl w:val="12"/>
          <w:numId w:val="0"/>
        </w:numPr>
        <w:spacing w:after="0" w:line="240" w:lineRule="auto"/>
        <w:rPr>
          <w:rFonts w:ascii="Times New Roman" w:hAnsi="Times New Roman"/>
          <w:b/>
          <w:kern w:val="0"/>
          <w:sz w:val="22"/>
          <w:lang w:val="lt-LT"/>
          <w14:ligatures w14:val="none"/>
        </w:rPr>
      </w:pP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r w:rsidRPr="00F931D9">
        <w:rPr>
          <w:rFonts w:ascii="Times New Roman" w:hAnsi="Times New Roman"/>
          <w:b/>
          <w:kern w:val="0"/>
          <w:sz w:val="22"/>
          <w:lang w:val="lt-LT"/>
          <w14:ligatures w14:val="none"/>
        </w:rPr>
        <w:t xml:space="preserve"> vartojimas su maistu ir gėrimais</w:t>
      </w:r>
    </w:p>
    <w:p w14:paraId="2B0F74A9" w14:textId="77777777" w:rsidR="00323207" w:rsidRPr="00F931D9" w:rsidRDefault="00323207" w:rsidP="00323207">
      <w:pPr>
        <w:numPr>
          <w:ilvl w:val="12"/>
          <w:numId w:val="0"/>
        </w:numPr>
        <w:spacing w:after="0" w:line="240" w:lineRule="auto"/>
        <w:ind w:right="-2"/>
        <w:rPr>
          <w:rFonts w:ascii="Times New Roman" w:hAnsi="Times New Roman"/>
          <w:b/>
          <w:kern w:val="0"/>
          <w:sz w:val="22"/>
          <w:lang w:val="lt-LT"/>
          <w14:ligatures w14:val="none"/>
        </w:rPr>
      </w:pP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negalima vartoti kartu su greipfrutais ar greipfrutų sultimis, kadangi pastarieji gali turėti įtakos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poveikiui.</w:t>
      </w:r>
    </w:p>
    <w:p w14:paraId="0AFB4E8A" w14:textId="77777777" w:rsidR="00323207" w:rsidRPr="00F931D9" w:rsidRDefault="00323207" w:rsidP="00323207">
      <w:pPr>
        <w:numPr>
          <w:ilvl w:val="12"/>
          <w:numId w:val="0"/>
        </w:numPr>
        <w:tabs>
          <w:tab w:val="left" w:pos="1290"/>
        </w:tabs>
        <w:spacing w:after="0" w:line="240" w:lineRule="auto"/>
        <w:ind w:right="-2"/>
        <w:rPr>
          <w:rFonts w:ascii="Times New Roman" w:hAnsi="Times New Roman"/>
          <w:kern w:val="0"/>
          <w:sz w:val="22"/>
          <w:lang w:val="lt-LT"/>
          <w14:ligatures w14:val="none"/>
        </w:rPr>
      </w:pPr>
    </w:p>
    <w:p w14:paraId="6600C11F" w14:textId="77777777" w:rsidR="00323207" w:rsidRPr="00F931D9" w:rsidRDefault="00323207" w:rsidP="00323207">
      <w:pPr>
        <w:numPr>
          <w:ilvl w:val="12"/>
          <w:numId w:val="0"/>
        </w:numPr>
        <w:spacing w:after="0" w:line="240" w:lineRule="auto"/>
        <w:outlineLvl w:val="0"/>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Nėštumas ir žindymo laikotarpis</w:t>
      </w:r>
    </w:p>
    <w:p w14:paraId="45FDBCEB" w14:textId="77777777" w:rsidR="00323207" w:rsidRPr="00F931D9" w:rsidRDefault="00323207" w:rsidP="00323207">
      <w:pPr>
        <w:numPr>
          <w:ilvl w:val="12"/>
          <w:numId w:val="0"/>
        </w:num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Prieš pradėdama vartoti šio vaisto, pasitarkite su gydytoju arba vaistininku.</w:t>
      </w:r>
    </w:p>
    <w:p w14:paraId="32456A79" w14:textId="77777777" w:rsidR="00323207" w:rsidRPr="00F931D9" w:rsidRDefault="00323207" w:rsidP="00323207">
      <w:pPr>
        <w:widowControl w:val="0"/>
        <w:numPr>
          <w:ilvl w:val="0"/>
          <w:numId w:val="6"/>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b/>
          <w:kern w:val="0"/>
          <w:sz w:val="22"/>
          <w:lang w:val="lt-LT"/>
          <w14:ligatures w14:val="none"/>
        </w:rPr>
        <w:t>Pasakykite gydytojui, jeigu esate nėščia ar planuojate pastoti.</w:t>
      </w:r>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vartojimo nėštumo metu patirties yra nedaug. Paprastai nėštumo metu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vartoti negalima. Jeigu šio vaisto vartoti būtina, gydytojas aptars su Jumis vaisto vartojimo nėštumo metu naudą ir galimą riziką.</w:t>
      </w:r>
    </w:p>
    <w:p w14:paraId="2C127B66" w14:textId="77777777" w:rsidR="00323207" w:rsidRPr="00F931D9" w:rsidRDefault="00323207" w:rsidP="00323207">
      <w:pPr>
        <w:numPr>
          <w:ilvl w:val="0"/>
          <w:numId w:val="6"/>
        </w:numPr>
        <w:spacing w:after="0" w:line="240" w:lineRule="auto"/>
        <w:ind w:left="567" w:right="-2" w:hanging="567"/>
        <w:outlineLvl w:val="0"/>
        <w:rPr>
          <w:rFonts w:ascii="Times New Roman" w:hAnsi="Times New Roman"/>
          <w:kern w:val="0"/>
          <w:sz w:val="22"/>
          <w:lang w:val="lt-LT"/>
          <w14:ligatures w14:val="none"/>
        </w:rPr>
      </w:pPr>
      <w:r w:rsidRPr="00F931D9">
        <w:rPr>
          <w:rFonts w:ascii="Times New Roman" w:hAnsi="Times New Roman"/>
          <w:b/>
          <w:kern w:val="0"/>
          <w:sz w:val="22"/>
          <w:lang w:val="lt-LT"/>
          <w14:ligatures w14:val="none"/>
        </w:rPr>
        <w:t>Pasakykite gydytojui, jeigu žindote kūdikį.</w:t>
      </w:r>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vartojimo metu žindyti nerekomenduojama, kadangi vaisto veiklioji medžiaga (</w:t>
      </w:r>
      <w:proofErr w:type="spellStart"/>
      <w:r w:rsidRPr="00F931D9">
        <w:rPr>
          <w:rFonts w:ascii="Times New Roman" w:hAnsi="Times New Roman"/>
          <w:kern w:val="0"/>
          <w:sz w:val="22"/>
          <w:lang w:val="lt-LT"/>
          <w14:ligatures w14:val="none"/>
        </w:rPr>
        <w:t>ciklosporinas</w:t>
      </w:r>
      <w:proofErr w:type="spellEnd"/>
      <w:r w:rsidRPr="00F931D9">
        <w:rPr>
          <w:rFonts w:ascii="Times New Roman" w:hAnsi="Times New Roman"/>
          <w:kern w:val="0"/>
          <w:sz w:val="22"/>
          <w:lang w:val="lt-LT"/>
          <w14:ligatures w14:val="none"/>
        </w:rPr>
        <w:t xml:space="preserve">) patenka į motinos pieną ir gali pakenkti kūdikiui. </w:t>
      </w:r>
    </w:p>
    <w:p w14:paraId="5C14D0EB" w14:textId="77777777" w:rsidR="00323207" w:rsidRPr="00F931D9" w:rsidRDefault="00323207" w:rsidP="00323207">
      <w:pPr>
        <w:numPr>
          <w:ilvl w:val="12"/>
          <w:numId w:val="0"/>
        </w:numPr>
        <w:spacing w:after="0" w:line="240" w:lineRule="auto"/>
        <w:ind w:right="-2"/>
        <w:outlineLvl w:val="0"/>
        <w:rPr>
          <w:rFonts w:ascii="Times New Roman" w:hAnsi="Times New Roman"/>
          <w:kern w:val="0"/>
          <w:sz w:val="22"/>
          <w:lang w:val="lt-LT"/>
          <w14:ligatures w14:val="none"/>
        </w:rPr>
      </w:pPr>
    </w:p>
    <w:p w14:paraId="259FB18C" w14:textId="77777777" w:rsidR="00323207" w:rsidRPr="00F931D9" w:rsidRDefault="00323207" w:rsidP="00323207">
      <w:pPr>
        <w:numPr>
          <w:ilvl w:val="12"/>
          <w:numId w:val="0"/>
        </w:numPr>
        <w:spacing w:after="0" w:line="240" w:lineRule="auto"/>
        <w:ind w:right="-2"/>
        <w:outlineLvl w:val="0"/>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Hepatitas C</w:t>
      </w:r>
    </w:p>
    <w:p w14:paraId="7A6B0A18" w14:textId="77777777" w:rsidR="00323207" w:rsidRPr="00F931D9" w:rsidRDefault="00323207" w:rsidP="00323207">
      <w:pPr>
        <w:numPr>
          <w:ilvl w:val="12"/>
          <w:numId w:val="0"/>
        </w:numPr>
        <w:spacing w:after="0" w:line="240" w:lineRule="auto"/>
        <w:ind w:right="-2"/>
        <w:outlineLvl w:val="0"/>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Pasakykite gydytojui, jeigu sergate hepatitu C. Hepatito C gydymo metu, Jūsų kepenų funkcija gali pakisti, o tai gali paveikti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kiekį kraujyje. Pradėjus gydyti hepatitą C, gydytojas gali atidžiai stebėti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kiekį kraujyje ir koreguoti dozę.</w:t>
      </w:r>
    </w:p>
    <w:p w14:paraId="776F2A6F" w14:textId="77777777" w:rsidR="00323207" w:rsidRPr="00F931D9" w:rsidRDefault="00323207" w:rsidP="00323207">
      <w:pPr>
        <w:numPr>
          <w:ilvl w:val="12"/>
          <w:numId w:val="0"/>
        </w:numPr>
        <w:spacing w:after="0" w:line="240" w:lineRule="auto"/>
        <w:ind w:right="-2"/>
        <w:outlineLvl w:val="0"/>
        <w:rPr>
          <w:rFonts w:ascii="Times New Roman" w:hAnsi="Times New Roman"/>
          <w:kern w:val="0"/>
          <w:sz w:val="22"/>
          <w:lang w:val="lt-LT"/>
          <w14:ligatures w14:val="none"/>
        </w:rPr>
      </w:pPr>
    </w:p>
    <w:p w14:paraId="7EBBDDEE" w14:textId="77777777" w:rsidR="00323207" w:rsidRPr="00F931D9" w:rsidRDefault="00323207" w:rsidP="00323207">
      <w:pPr>
        <w:numPr>
          <w:ilvl w:val="12"/>
          <w:numId w:val="0"/>
        </w:numPr>
        <w:spacing w:after="0" w:line="240" w:lineRule="auto"/>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Vairavimas ir mechanizmų valdymas</w:t>
      </w:r>
    </w:p>
    <w:p w14:paraId="083DEC2D"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Po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vartojimo Jums gali pasireikšti mieguistumas, orientacijos sutrikimas ar neryškus matymas. Vartodami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atidžiai vairuokite ar valdykite mechanizmus, kol neįsitikinsite, kaip vaistas Jus veikia. </w:t>
      </w:r>
    </w:p>
    <w:p w14:paraId="4A9A1F70" w14:textId="77777777" w:rsidR="00323207" w:rsidRPr="00F931D9" w:rsidRDefault="00323207" w:rsidP="00323207">
      <w:pPr>
        <w:spacing w:after="0" w:line="240" w:lineRule="auto"/>
        <w:rPr>
          <w:rFonts w:ascii="Times New Roman" w:hAnsi="Times New Roman"/>
          <w:kern w:val="0"/>
          <w:sz w:val="22"/>
          <w:lang w:val="lt-LT"/>
          <w14:ligatures w14:val="none"/>
        </w:rPr>
      </w:pPr>
    </w:p>
    <w:p w14:paraId="15B4E228" w14:textId="77777777" w:rsidR="00323207" w:rsidRPr="00F931D9" w:rsidRDefault="00323207" w:rsidP="00323207">
      <w:pPr>
        <w:numPr>
          <w:ilvl w:val="12"/>
          <w:numId w:val="0"/>
        </w:numPr>
        <w:spacing w:after="0" w:line="240" w:lineRule="auto"/>
        <w:outlineLvl w:val="0"/>
        <w:rPr>
          <w:rFonts w:ascii="Times New Roman" w:hAnsi="Times New Roman"/>
          <w:b/>
          <w:kern w:val="0"/>
          <w:sz w:val="22"/>
          <w:lang w:val="lt-LT"/>
          <w14:ligatures w14:val="none"/>
        </w:rPr>
      </w:pP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r w:rsidRPr="00F931D9">
        <w:rPr>
          <w:rFonts w:ascii="Times New Roman" w:hAnsi="Times New Roman"/>
          <w:b/>
          <w:kern w:val="0"/>
          <w:sz w:val="22"/>
          <w:lang w:val="lt-LT"/>
          <w14:ligatures w14:val="none"/>
        </w:rPr>
        <w:t xml:space="preserve"> sudėtyje yra </w:t>
      </w:r>
      <w:r w:rsidRPr="00F931D9">
        <w:rPr>
          <w:rFonts w:ascii="Times New Roman" w:hAnsi="Times New Roman"/>
          <w:b/>
          <w:color w:val="000000"/>
          <w:kern w:val="0"/>
          <w:sz w:val="22"/>
          <w:lang w:val="lt-LT"/>
          <w14:ligatures w14:val="none"/>
        </w:rPr>
        <w:t>etanolio</w:t>
      </w:r>
    </w:p>
    <w:p w14:paraId="5754E389"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Kiekvienoje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25, 50, 100 mg kapsulėje yra atitinkamai 11,8 tūrio % alkoholio (etanolio). 500 mg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dozėje yra 500 mg etanolio, kuris atitinka beveik 13 ml alaus arba 5 ml vyno. Mažas alkoholio kiekis, esantis šio vaisto sudėtyje, nesukelia pastebimo poveikio.</w:t>
      </w:r>
    </w:p>
    <w:p w14:paraId="6EA9D1CA" w14:textId="77777777" w:rsidR="00323207" w:rsidRPr="00F931D9" w:rsidRDefault="00323207" w:rsidP="00323207">
      <w:pPr>
        <w:spacing w:after="0" w:line="240" w:lineRule="auto"/>
        <w:rPr>
          <w:rFonts w:ascii="Times New Roman" w:hAnsi="Times New Roman"/>
          <w:kern w:val="0"/>
          <w:sz w:val="22"/>
          <w:lang w:val="lt-LT"/>
          <w14:ligatures w14:val="none"/>
        </w:rPr>
      </w:pPr>
    </w:p>
    <w:p w14:paraId="03E2161E" w14:textId="77777777" w:rsidR="00323207" w:rsidRPr="00F931D9" w:rsidRDefault="00323207" w:rsidP="00323207">
      <w:pPr>
        <w:keepNext/>
        <w:numPr>
          <w:ilvl w:val="12"/>
          <w:numId w:val="0"/>
        </w:numPr>
        <w:spacing w:after="0" w:line="240" w:lineRule="auto"/>
        <w:rPr>
          <w:rFonts w:ascii="Times New Roman" w:hAnsi="Times New Roman"/>
          <w:kern w:val="0"/>
          <w:sz w:val="22"/>
          <w:lang w:val="lt-LT"/>
          <w14:ligatures w14:val="none"/>
        </w:rPr>
      </w:pPr>
      <w:proofErr w:type="spellStart"/>
      <w:r w:rsidRPr="00F931D9">
        <w:rPr>
          <w:rFonts w:ascii="Times New Roman" w:hAnsi="Times New Roman"/>
          <w:b/>
          <w:kern w:val="0"/>
          <w:sz w:val="22"/>
          <w:lang w:val="lt-LT"/>
          <w14:ligatures w14:val="none"/>
        </w:rPr>
        <w:lastRenderedPageBreak/>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r w:rsidRPr="00F931D9">
        <w:rPr>
          <w:rFonts w:ascii="Times New Roman" w:hAnsi="Times New Roman"/>
          <w:b/>
          <w:kern w:val="0"/>
          <w:sz w:val="22"/>
          <w:lang w:val="lt-LT"/>
          <w14:ligatures w14:val="none"/>
        </w:rPr>
        <w:t xml:space="preserve"> sudėtyje yra ricinos aliejaus</w:t>
      </w:r>
    </w:p>
    <w:p w14:paraId="13772763" w14:textId="77777777" w:rsidR="00323207" w:rsidRPr="00F931D9" w:rsidRDefault="00323207" w:rsidP="00323207">
      <w:pPr>
        <w:numPr>
          <w:ilvl w:val="12"/>
          <w:numId w:val="0"/>
        </w:numPr>
        <w:spacing w:after="0" w:line="240" w:lineRule="auto"/>
        <w:ind w:right="-2"/>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sudėtyje yra ricinos aliejaus, kuris gali sukelti skrandžio sutrikimų ir viduriavimą.</w:t>
      </w:r>
    </w:p>
    <w:p w14:paraId="5D2EB411" w14:textId="77777777" w:rsidR="00323207" w:rsidRPr="00F931D9" w:rsidRDefault="00323207" w:rsidP="00323207">
      <w:pPr>
        <w:numPr>
          <w:ilvl w:val="12"/>
          <w:numId w:val="0"/>
        </w:numPr>
        <w:spacing w:after="0" w:line="240" w:lineRule="auto"/>
        <w:ind w:right="-2"/>
        <w:rPr>
          <w:rFonts w:ascii="Times New Roman" w:hAnsi="Times New Roman"/>
          <w:kern w:val="0"/>
          <w:sz w:val="22"/>
          <w:lang w:val="lt-LT"/>
          <w14:ligatures w14:val="none"/>
        </w:rPr>
      </w:pPr>
    </w:p>
    <w:p w14:paraId="63BEC55E" w14:textId="77777777" w:rsidR="00323207" w:rsidRPr="00F931D9" w:rsidRDefault="00323207" w:rsidP="00323207">
      <w:pPr>
        <w:numPr>
          <w:ilvl w:val="12"/>
          <w:numId w:val="0"/>
        </w:numPr>
        <w:spacing w:after="0" w:line="240" w:lineRule="auto"/>
        <w:ind w:right="-2"/>
        <w:rPr>
          <w:rFonts w:ascii="Times New Roman" w:hAnsi="Times New Roman"/>
          <w:kern w:val="0"/>
          <w:sz w:val="22"/>
          <w:lang w:val="lt-LT"/>
          <w14:ligatures w14:val="none"/>
        </w:rPr>
      </w:pP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r w:rsidRPr="00F931D9">
        <w:rPr>
          <w:rFonts w:ascii="Times New Roman" w:hAnsi="Times New Roman"/>
          <w:b/>
          <w:kern w:val="0"/>
          <w:sz w:val="22"/>
          <w:lang w:val="lt-LT"/>
          <w14:ligatures w14:val="none"/>
        </w:rPr>
        <w:t xml:space="preserve"> sudėtyje yra </w:t>
      </w:r>
      <w:proofErr w:type="spellStart"/>
      <w:r w:rsidRPr="00F931D9">
        <w:rPr>
          <w:rFonts w:ascii="Times New Roman" w:hAnsi="Times New Roman"/>
          <w:b/>
          <w:kern w:val="0"/>
          <w:sz w:val="22"/>
          <w:lang w:val="lt-LT"/>
          <w14:ligatures w14:val="none"/>
        </w:rPr>
        <w:t>propilenglikolio</w:t>
      </w:r>
      <w:proofErr w:type="spellEnd"/>
    </w:p>
    <w:p w14:paraId="28A69525" w14:textId="77777777" w:rsidR="00323207" w:rsidRPr="00F931D9" w:rsidRDefault="00323207" w:rsidP="00323207">
      <w:pPr>
        <w:numPr>
          <w:ilvl w:val="12"/>
          <w:numId w:val="0"/>
        </w:numPr>
        <w:spacing w:after="0" w:line="240" w:lineRule="auto"/>
        <w:ind w:right="-2"/>
        <w:rPr>
          <w:rFonts w:ascii="Times New Roman" w:hAnsi="Times New Roman"/>
          <w:kern w:val="0"/>
          <w:sz w:val="22"/>
          <w:lang w:val="en-GB"/>
          <w14:ligatures w14:val="none"/>
        </w:rPr>
      </w:pPr>
      <w:proofErr w:type="spellStart"/>
      <w:r w:rsidRPr="00F931D9">
        <w:rPr>
          <w:rFonts w:ascii="Times New Roman" w:hAnsi="Times New Roman"/>
          <w:kern w:val="0"/>
          <w:sz w:val="22"/>
          <w:lang w:val="en-GB"/>
          <w14:ligatures w14:val="none"/>
        </w:rPr>
        <w:t>Kiekvienoje</w:t>
      </w:r>
      <w:proofErr w:type="spellEnd"/>
      <w:r w:rsidRPr="00F931D9">
        <w:rPr>
          <w:rFonts w:ascii="Times New Roman" w:hAnsi="Times New Roman"/>
          <w:kern w:val="0"/>
          <w:sz w:val="22"/>
          <w:lang w:val="en-GB"/>
          <w14:ligatures w14:val="none"/>
        </w:rPr>
        <w:t xml:space="preserve"> 25 mg </w:t>
      </w:r>
      <w:proofErr w:type="spellStart"/>
      <w:r w:rsidRPr="00F931D9">
        <w:rPr>
          <w:rFonts w:ascii="Times New Roman" w:hAnsi="Times New Roman"/>
          <w:kern w:val="0"/>
          <w:sz w:val="22"/>
          <w:lang w:val="en-GB"/>
          <w14:ligatures w14:val="none"/>
        </w:rPr>
        <w:t>kapsulėje</w:t>
      </w:r>
      <w:proofErr w:type="spellEnd"/>
      <w:r w:rsidRPr="00F931D9">
        <w:rPr>
          <w:rFonts w:ascii="Times New Roman" w:hAnsi="Times New Roman"/>
          <w:kern w:val="0"/>
          <w:sz w:val="22"/>
          <w:lang w:val="en-GB"/>
          <w14:ligatures w14:val="none"/>
        </w:rPr>
        <w:t xml:space="preserve"> </w:t>
      </w:r>
      <w:proofErr w:type="spellStart"/>
      <w:r w:rsidRPr="00F931D9">
        <w:rPr>
          <w:rFonts w:ascii="Times New Roman" w:hAnsi="Times New Roman"/>
          <w:kern w:val="0"/>
          <w:sz w:val="22"/>
          <w:lang w:val="en-GB"/>
          <w14:ligatures w14:val="none"/>
        </w:rPr>
        <w:t>yra</w:t>
      </w:r>
      <w:proofErr w:type="spellEnd"/>
      <w:r w:rsidRPr="00F931D9">
        <w:rPr>
          <w:rFonts w:ascii="Times New Roman" w:hAnsi="Times New Roman"/>
          <w:kern w:val="0"/>
          <w:sz w:val="22"/>
          <w:lang w:val="en-GB"/>
          <w14:ligatures w14:val="none"/>
        </w:rPr>
        <w:t xml:space="preserve"> 46,42 mg </w:t>
      </w:r>
      <w:proofErr w:type="spellStart"/>
      <w:r w:rsidRPr="00F931D9">
        <w:rPr>
          <w:rFonts w:ascii="Times New Roman" w:hAnsi="Times New Roman"/>
          <w:kern w:val="0"/>
          <w:sz w:val="22"/>
          <w:lang w:val="lt-LT"/>
          <w14:ligatures w14:val="none"/>
        </w:rPr>
        <w:t>propilenglikolio</w:t>
      </w:r>
      <w:proofErr w:type="spellEnd"/>
      <w:r w:rsidRPr="00F931D9">
        <w:rPr>
          <w:rFonts w:ascii="Times New Roman" w:hAnsi="Times New Roman"/>
          <w:kern w:val="0"/>
          <w:sz w:val="22"/>
          <w:lang w:val="lt-LT"/>
          <w14:ligatures w14:val="none"/>
        </w:rPr>
        <w:t>.</w:t>
      </w:r>
    </w:p>
    <w:p w14:paraId="19B478CC" w14:textId="77777777" w:rsidR="00323207" w:rsidRPr="00F931D9" w:rsidRDefault="00323207" w:rsidP="00323207">
      <w:pPr>
        <w:numPr>
          <w:ilvl w:val="12"/>
          <w:numId w:val="0"/>
        </w:numPr>
        <w:spacing w:after="0" w:line="240" w:lineRule="auto"/>
        <w:ind w:right="-2"/>
        <w:rPr>
          <w:rFonts w:ascii="Times New Roman" w:hAnsi="Times New Roman"/>
          <w:kern w:val="0"/>
          <w:sz w:val="22"/>
          <w:lang w:val="lt-LT"/>
          <w14:ligatures w14:val="none"/>
        </w:rPr>
      </w:pPr>
      <w:proofErr w:type="spellStart"/>
      <w:r w:rsidRPr="00F931D9">
        <w:rPr>
          <w:rFonts w:ascii="Times New Roman" w:hAnsi="Times New Roman"/>
          <w:kern w:val="0"/>
          <w:sz w:val="22"/>
          <w:lang w:val="en-GB"/>
          <w14:ligatures w14:val="none"/>
        </w:rPr>
        <w:t>Kiekvienoje</w:t>
      </w:r>
      <w:proofErr w:type="spellEnd"/>
      <w:r w:rsidRPr="00F931D9">
        <w:rPr>
          <w:rFonts w:ascii="Times New Roman" w:hAnsi="Times New Roman"/>
          <w:kern w:val="0"/>
          <w:sz w:val="22"/>
          <w:lang w:val="en-GB"/>
          <w14:ligatures w14:val="none"/>
        </w:rPr>
        <w:t xml:space="preserve"> 50 mg </w:t>
      </w:r>
      <w:proofErr w:type="spellStart"/>
      <w:r w:rsidRPr="00F931D9">
        <w:rPr>
          <w:rFonts w:ascii="Times New Roman" w:hAnsi="Times New Roman"/>
          <w:kern w:val="0"/>
          <w:sz w:val="22"/>
          <w:lang w:val="en-GB"/>
          <w14:ligatures w14:val="none"/>
        </w:rPr>
        <w:t>kapsulėje</w:t>
      </w:r>
      <w:proofErr w:type="spellEnd"/>
      <w:r w:rsidRPr="00F931D9">
        <w:rPr>
          <w:rFonts w:ascii="Times New Roman" w:hAnsi="Times New Roman"/>
          <w:kern w:val="0"/>
          <w:sz w:val="22"/>
          <w:lang w:val="en-GB"/>
          <w14:ligatures w14:val="none"/>
        </w:rPr>
        <w:t xml:space="preserve"> </w:t>
      </w:r>
      <w:proofErr w:type="spellStart"/>
      <w:r w:rsidRPr="00F931D9">
        <w:rPr>
          <w:rFonts w:ascii="Times New Roman" w:hAnsi="Times New Roman"/>
          <w:kern w:val="0"/>
          <w:sz w:val="22"/>
          <w:lang w:val="en-GB"/>
          <w14:ligatures w14:val="none"/>
        </w:rPr>
        <w:t>yra</w:t>
      </w:r>
      <w:proofErr w:type="spellEnd"/>
      <w:r w:rsidRPr="00F931D9">
        <w:rPr>
          <w:rFonts w:ascii="Times New Roman" w:hAnsi="Times New Roman"/>
          <w:kern w:val="0"/>
          <w:sz w:val="22"/>
          <w:lang w:val="en-GB"/>
          <w14:ligatures w14:val="none"/>
        </w:rPr>
        <w:t xml:space="preserve"> 90,36 mg </w:t>
      </w:r>
      <w:proofErr w:type="spellStart"/>
      <w:r w:rsidRPr="00F931D9">
        <w:rPr>
          <w:rFonts w:ascii="Times New Roman" w:hAnsi="Times New Roman"/>
          <w:kern w:val="0"/>
          <w:sz w:val="22"/>
          <w:lang w:val="lt-LT"/>
          <w14:ligatures w14:val="none"/>
        </w:rPr>
        <w:t>propilenglikolio</w:t>
      </w:r>
      <w:proofErr w:type="spellEnd"/>
      <w:r w:rsidRPr="00F931D9">
        <w:rPr>
          <w:rFonts w:ascii="Times New Roman" w:hAnsi="Times New Roman"/>
          <w:kern w:val="0"/>
          <w:sz w:val="22"/>
          <w:lang w:val="lt-LT"/>
          <w14:ligatures w14:val="none"/>
        </w:rPr>
        <w:t>.</w:t>
      </w:r>
    </w:p>
    <w:p w14:paraId="3B8AE11B" w14:textId="77777777" w:rsidR="00323207" w:rsidRPr="00F931D9" w:rsidRDefault="00323207" w:rsidP="00323207">
      <w:pPr>
        <w:numPr>
          <w:ilvl w:val="12"/>
          <w:numId w:val="0"/>
        </w:numPr>
        <w:spacing w:after="0" w:line="240" w:lineRule="auto"/>
        <w:ind w:right="-2"/>
        <w:rPr>
          <w:rFonts w:ascii="Times New Roman" w:hAnsi="Times New Roman"/>
          <w:kern w:val="0"/>
          <w:sz w:val="22"/>
          <w:lang w:val="lt-LT"/>
          <w14:ligatures w14:val="none"/>
        </w:rPr>
      </w:pPr>
      <w:proofErr w:type="spellStart"/>
      <w:r w:rsidRPr="00F931D9">
        <w:rPr>
          <w:rFonts w:ascii="Times New Roman" w:hAnsi="Times New Roman"/>
          <w:kern w:val="0"/>
          <w:sz w:val="22"/>
          <w:lang w:val="en-GB"/>
          <w14:ligatures w14:val="none"/>
        </w:rPr>
        <w:t>Kiekvienoje</w:t>
      </w:r>
      <w:proofErr w:type="spellEnd"/>
      <w:r w:rsidRPr="00F931D9">
        <w:rPr>
          <w:rFonts w:ascii="Times New Roman" w:hAnsi="Times New Roman"/>
          <w:kern w:val="0"/>
          <w:sz w:val="22"/>
          <w:lang w:val="en-GB"/>
          <w14:ligatures w14:val="none"/>
        </w:rPr>
        <w:t xml:space="preserve"> 100 mg </w:t>
      </w:r>
      <w:proofErr w:type="spellStart"/>
      <w:r w:rsidRPr="00F931D9">
        <w:rPr>
          <w:rFonts w:ascii="Times New Roman" w:hAnsi="Times New Roman"/>
          <w:kern w:val="0"/>
          <w:sz w:val="22"/>
          <w:lang w:val="en-GB"/>
          <w14:ligatures w14:val="none"/>
        </w:rPr>
        <w:t>kapsulėje</w:t>
      </w:r>
      <w:proofErr w:type="spellEnd"/>
      <w:r w:rsidRPr="00F931D9">
        <w:rPr>
          <w:rFonts w:ascii="Times New Roman" w:hAnsi="Times New Roman"/>
          <w:kern w:val="0"/>
          <w:sz w:val="22"/>
          <w:lang w:val="en-GB"/>
          <w14:ligatures w14:val="none"/>
        </w:rPr>
        <w:t xml:space="preserve"> </w:t>
      </w:r>
      <w:proofErr w:type="spellStart"/>
      <w:r w:rsidRPr="00F931D9">
        <w:rPr>
          <w:rFonts w:ascii="Times New Roman" w:hAnsi="Times New Roman"/>
          <w:kern w:val="0"/>
          <w:sz w:val="22"/>
          <w:lang w:val="en-GB"/>
          <w14:ligatures w14:val="none"/>
        </w:rPr>
        <w:t>yra</w:t>
      </w:r>
      <w:proofErr w:type="spellEnd"/>
      <w:r w:rsidRPr="00F931D9">
        <w:rPr>
          <w:rFonts w:ascii="Times New Roman" w:hAnsi="Times New Roman"/>
          <w:kern w:val="0"/>
          <w:sz w:val="22"/>
          <w:lang w:val="en-GB"/>
          <w14:ligatures w14:val="none"/>
        </w:rPr>
        <w:t xml:space="preserve"> 148,31 mg </w:t>
      </w:r>
      <w:proofErr w:type="spellStart"/>
      <w:r w:rsidRPr="00F931D9">
        <w:rPr>
          <w:rFonts w:ascii="Times New Roman" w:hAnsi="Times New Roman"/>
          <w:kern w:val="0"/>
          <w:sz w:val="22"/>
          <w:lang w:val="lt-LT"/>
          <w14:ligatures w14:val="none"/>
        </w:rPr>
        <w:t>propilenglikolio</w:t>
      </w:r>
      <w:proofErr w:type="spellEnd"/>
      <w:r w:rsidRPr="00F931D9">
        <w:rPr>
          <w:rFonts w:ascii="Times New Roman" w:hAnsi="Times New Roman"/>
          <w:kern w:val="0"/>
          <w:sz w:val="22"/>
          <w:lang w:val="lt-LT"/>
          <w14:ligatures w14:val="none"/>
        </w:rPr>
        <w:t>.</w:t>
      </w:r>
    </w:p>
    <w:p w14:paraId="59EAAF16" w14:textId="77777777" w:rsidR="00323207" w:rsidRPr="00F931D9" w:rsidRDefault="00323207" w:rsidP="00323207">
      <w:pPr>
        <w:numPr>
          <w:ilvl w:val="12"/>
          <w:numId w:val="0"/>
        </w:numPr>
        <w:spacing w:after="0" w:line="240" w:lineRule="auto"/>
        <w:ind w:right="-2"/>
        <w:rPr>
          <w:rFonts w:ascii="Times New Roman" w:hAnsi="Times New Roman"/>
          <w:kern w:val="0"/>
          <w:sz w:val="22"/>
          <w:lang w:val="lt-LT"/>
          <w14:ligatures w14:val="none"/>
        </w:rPr>
      </w:pPr>
    </w:p>
    <w:p w14:paraId="1B4BB683" w14:textId="77777777" w:rsidR="00323207" w:rsidRPr="00F931D9" w:rsidRDefault="00323207" w:rsidP="00323207">
      <w:pPr>
        <w:numPr>
          <w:ilvl w:val="12"/>
          <w:numId w:val="0"/>
        </w:numPr>
        <w:spacing w:after="0" w:line="240" w:lineRule="auto"/>
        <w:ind w:right="-2"/>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Jeigu Jūsų kūdikis yra jaunesnis kaip 4 savaičių, prieš jam duodant šio vaisto pasitarkite su gydytoju ar vaistininku, ypač jeigu kūdikiui yra duodama kito vaisto, kurio sudėtyje yra </w:t>
      </w:r>
      <w:proofErr w:type="spellStart"/>
      <w:r w:rsidRPr="00F931D9">
        <w:rPr>
          <w:rFonts w:ascii="Times New Roman" w:hAnsi="Times New Roman"/>
          <w:kern w:val="0"/>
          <w:sz w:val="22"/>
          <w:lang w:val="lt-LT"/>
          <w14:ligatures w14:val="none"/>
        </w:rPr>
        <w:t>propilenglikolio</w:t>
      </w:r>
      <w:proofErr w:type="spellEnd"/>
      <w:r w:rsidRPr="00F931D9">
        <w:rPr>
          <w:rFonts w:ascii="Times New Roman" w:hAnsi="Times New Roman"/>
          <w:kern w:val="0"/>
          <w:sz w:val="22"/>
          <w:lang w:val="lt-LT"/>
          <w14:ligatures w14:val="none"/>
        </w:rPr>
        <w:t xml:space="preserve"> ar alkoholio.</w:t>
      </w:r>
    </w:p>
    <w:p w14:paraId="42A5790F" w14:textId="77777777" w:rsidR="00323207" w:rsidRPr="00F931D9" w:rsidRDefault="00323207" w:rsidP="00323207">
      <w:pPr>
        <w:numPr>
          <w:ilvl w:val="12"/>
          <w:numId w:val="0"/>
        </w:numPr>
        <w:spacing w:after="0" w:line="240" w:lineRule="auto"/>
        <w:ind w:right="-2"/>
        <w:rPr>
          <w:rFonts w:ascii="Times New Roman" w:hAnsi="Times New Roman"/>
          <w:kern w:val="0"/>
          <w:sz w:val="22"/>
          <w:lang w:val="lt-LT"/>
          <w14:ligatures w14:val="none"/>
        </w:rPr>
      </w:pPr>
    </w:p>
    <w:p w14:paraId="61221A80" w14:textId="77777777" w:rsidR="00323207" w:rsidRPr="00F931D9" w:rsidRDefault="00323207" w:rsidP="00323207">
      <w:pPr>
        <w:numPr>
          <w:ilvl w:val="12"/>
          <w:numId w:val="0"/>
        </w:numPr>
        <w:spacing w:after="0" w:line="240" w:lineRule="auto"/>
        <w:ind w:right="-2"/>
        <w:rPr>
          <w:rFonts w:ascii="Times New Roman" w:hAnsi="Times New Roman"/>
          <w:b/>
          <w:kern w:val="0"/>
          <w:sz w:val="22"/>
          <w:lang w:val="lt-LT"/>
          <w14:ligatures w14:val="none"/>
        </w:rPr>
      </w:pP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r w:rsidRPr="00F931D9">
        <w:rPr>
          <w:rFonts w:ascii="Times New Roman" w:hAnsi="Times New Roman"/>
          <w:b/>
          <w:kern w:val="0"/>
          <w:sz w:val="22"/>
          <w:lang w:val="lt-LT"/>
          <w14:ligatures w14:val="none"/>
        </w:rPr>
        <w:t xml:space="preserve"> sudėtyje yra ricinos natrio</w:t>
      </w:r>
    </w:p>
    <w:p w14:paraId="745F8979" w14:textId="77777777" w:rsidR="00323207" w:rsidRPr="00F931D9" w:rsidRDefault="00323207" w:rsidP="00323207">
      <w:pPr>
        <w:numPr>
          <w:ilvl w:val="12"/>
          <w:numId w:val="0"/>
        </w:numPr>
        <w:spacing w:after="0" w:line="240" w:lineRule="auto"/>
        <w:ind w:right="-2"/>
        <w:rPr>
          <w:rFonts w:ascii="Times New Roman" w:hAnsi="Times New Roman"/>
          <w:kern w:val="0"/>
          <w:sz w:val="22"/>
          <w:lang w:val="lt-LT"/>
          <w14:ligatures w14:val="none"/>
        </w:rPr>
      </w:pPr>
      <w:r w:rsidRPr="00F931D9">
        <w:rPr>
          <w:rFonts w:ascii="Times New Roman" w:hAnsi="Times New Roman"/>
          <w:kern w:val="0"/>
          <w:sz w:val="22"/>
          <w:lang w:val="lt-LT"/>
          <w14:ligatures w14:val="none"/>
        </w:rPr>
        <w:t>Šio vaisto 25 mg, 50 mg ir 100 mg kapsulėje yra mažiau kaip 1 </w:t>
      </w:r>
      <w:proofErr w:type="spellStart"/>
      <w:r w:rsidRPr="00F931D9">
        <w:rPr>
          <w:rFonts w:ascii="Times New Roman" w:hAnsi="Times New Roman"/>
          <w:kern w:val="0"/>
          <w:sz w:val="22"/>
          <w:lang w:val="lt-LT"/>
          <w14:ligatures w14:val="none"/>
        </w:rPr>
        <w:t>mmol</w:t>
      </w:r>
      <w:proofErr w:type="spellEnd"/>
      <w:r w:rsidRPr="00F931D9">
        <w:rPr>
          <w:rFonts w:ascii="Times New Roman" w:hAnsi="Times New Roman"/>
          <w:kern w:val="0"/>
          <w:sz w:val="22"/>
          <w:lang w:val="lt-LT"/>
          <w14:ligatures w14:val="none"/>
        </w:rPr>
        <w:t xml:space="preserve"> (23 mg) natrio, t. y. jis beveik neturi reikšmės.</w:t>
      </w:r>
    </w:p>
    <w:p w14:paraId="1029D328" w14:textId="77777777" w:rsidR="00323207" w:rsidRPr="00F931D9" w:rsidRDefault="00323207" w:rsidP="00323207">
      <w:pPr>
        <w:numPr>
          <w:ilvl w:val="12"/>
          <w:numId w:val="0"/>
        </w:numPr>
        <w:spacing w:after="0" w:line="240" w:lineRule="auto"/>
        <w:ind w:right="-2"/>
        <w:rPr>
          <w:rFonts w:ascii="Times New Roman" w:hAnsi="Times New Roman"/>
          <w:kern w:val="0"/>
          <w:sz w:val="22"/>
          <w:lang w:val="lt-LT"/>
          <w14:ligatures w14:val="none"/>
        </w:rPr>
      </w:pPr>
    </w:p>
    <w:p w14:paraId="2F966419" w14:textId="77777777" w:rsidR="00323207" w:rsidRPr="00F931D9" w:rsidRDefault="00323207" w:rsidP="00323207">
      <w:pPr>
        <w:numPr>
          <w:ilvl w:val="12"/>
          <w:numId w:val="0"/>
        </w:numPr>
        <w:spacing w:after="0" w:line="240" w:lineRule="auto"/>
        <w:ind w:right="-2"/>
        <w:rPr>
          <w:rFonts w:ascii="Times New Roman" w:hAnsi="Times New Roman"/>
          <w:kern w:val="0"/>
          <w:sz w:val="22"/>
          <w:lang w:val="lt-LT"/>
          <w14:ligatures w14:val="none"/>
        </w:rPr>
      </w:pPr>
    </w:p>
    <w:p w14:paraId="378AE042" w14:textId="77777777" w:rsidR="00323207" w:rsidRPr="00F931D9" w:rsidRDefault="00323207" w:rsidP="00323207">
      <w:pPr>
        <w:spacing w:after="0" w:line="240" w:lineRule="auto"/>
        <w:ind w:right="-2"/>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3.</w:t>
      </w:r>
      <w:r w:rsidRPr="00F931D9">
        <w:rPr>
          <w:rFonts w:ascii="Times New Roman" w:hAnsi="Times New Roman"/>
          <w:b/>
          <w:kern w:val="0"/>
          <w:sz w:val="22"/>
          <w:lang w:val="lt-LT"/>
          <w14:ligatures w14:val="none"/>
        </w:rPr>
        <w:tab/>
        <w:t xml:space="preserve">Kaip vartoti </w:t>
      </w: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p>
    <w:p w14:paraId="65CA2143" w14:textId="77777777" w:rsidR="00323207" w:rsidRPr="00F931D9" w:rsidRDefault="00323207" w:rsidP="00323207">
      <w:pPr>
        <w:spacing w:after="0" w:line="240" w:lineRule="auto"/>
        <w:ind w:right="-2"/>
        <w:rPr>
          <w:rFonts w:ascii="Times New Roman" w:hAnsi="Times New Roman"/>
          <w:kern w:val="0"/>
          <w:sz w:val="22"/>
          <w:lang w:val="lt-LT"/>
          <w14:ligatures w14:val="none"/>
        </w:rPr>
      </w:pPr>
    </w:p>
    <w:p w14:paraId="166AE6A7" w14:textId="77777777" w:rsidR="00323207" w:rsidRPr="00F931D9" w:rsidRDefault="00323207" w:rsidP="00323207">
      <w:pPr>
        <w:numPr>
          <w:ilvl w:val="12"/>
          <w:numId w:val="0"/>
        </w:numPr>
        <w:spacing w:after="0" w:line="240" w:lineRule="auto"/>
        <w:ind w:right="-2"/>
        <w:rPr>
          <w:rFonts w:ascii="Times New Roman" w:hAnsi="Times New Roman"/>
          <w:kern w:val="0"/>
          <w:sz w:val="22"/>
          <w:lang w:val="lt-LT"/>
          <w14:ligatures w14:val="none"/>
        </w:rPr>
      </w:pPr>
      <w:r w:rsidRPr="00F931D9">
        <w:rPr>
          <w:rFonts w:ascii="Times New Roman" w:hAnsi="Times New Roman"/>
          <w:kern w:val="0"/>
          <w:sz w:val="22"/>
          <w:lang w:val="lt-LT"/>
          <w14:ligatures w14:val="none"/>
        </w:rPr>
        <w:t>Visada vartokite šį vaistą tiksliai kaip nurodė gydytojas. Jeigu abejojate, kreipkitės į gydytoją.</w:t>
      </w:r>
    </w:p>
    <w:p w14:paraId="1E1F49F2" w14:textId="77777777" w:rsidR="00323207" w:rsidRPr="00F931D9" w:rsidRDefault="00323207" w:rsidP="00323207">
      <w:pPr>
        <w:numPr>
          <w:ilvl w:val="12"/>
          <w:numId w:val="0"/>
        </w:numPr>
        <w:spacing w:after="0" w:line="240" w:lineRule="auto"/>
        <w:ind w:right="-2"/>
        <w:rPr>
          <w:rFonts w:ascii="Times New Roman" w:hAnsi="Times New Roman"/>
          <w:kern w:val="0"/>
          <w:sz w:val="22"/>
          <w:lang w:val="lt-LT"/>
          <w14:ligatures w14:val="none"/>
        </w:rPr>
      </w:pPr>
      <w:r w:rsidRPr="00F931D9">
        <w:rPr>
          <w:rFonts w:ascii="Times New Roman" w:hAnsi="Times New Roman"/>
          <w:kern w:val="0"/>
          <w:sz w:val="22"/>
          <w:lang w:val="lt-LT"/>
          <w14:ligatures w14:val="none"/>
        </w:rPr>
        <w:t>Nevartokite didesnės nei rekomenduojama dozės.</w:t>
      </w:r>
    </w:p>
    <w:p w14:paraId="31648203" w14:textId="77777777" w:rsidR="00323207" w:rsidRPr="00F931D9" w:rsidRDefault="00323207" w:rsidP="00323207">
      <w:pPr>
        <w:numPr>
          <w:ilvl w:val="12"/>
          <w:numId w:val="0"/>
        </w:numPr>
        <w:spacing w:after="0" w:line="240" w:lineRule="auto"/>
        <w:ind w:right="-2"/>
        <w:rPr>
          <w:rFonts w:ascii="Times New Roman" w:hAnsi="Times New Roman"/>
          <w:kern w:val="0"/>
          <w:sz w:val="22"/>
          <w:lang w:val="lt-LT"/>
          <w14:ligatures w14:val="none"/>
        </w:rPr>
      </w:pPr>
    </w:p>
    <w:p w14:paraId="77DC704C"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Gydytojas atidžiai parinks šio vaisto dozę, atsižvelgdamas į Jūsų individualius poreikius. Per didelė vaisto dozė gali pažeisti inkstus. Jums reikės reguliariai atlikti kraujo tyrimus ir apsilankyti gydymo įstaigoje, ypatingai tais atvejais, jeigu Jums atlikta transplantacija. Tokiu būdu turėsite galimybę pasikalbėti su gydytoju apie Jums skiriamą gydymą ir galimas problemas.</w:t>
      </w:r>
    </w:p>
    <w:p w14:paraId="5ECD1130" w14:textId="77777777" w:rsidR="00323207" w:rsidRPr="00F931D9" w:rsidRDefault="00323207" w:rsidP="00323207">
      <w:pPr>
        <w:spacing w:after="0" w:line="240" w:lineRule="auto"/>
        <w:rPr>
          <w:rFonts w:ascii="Times New Roman" w:hAnsi="Times New Roman"/>
          <w:kern w:val="0"/>
          <w:sz w:val="22"/>
          <w:lang w:val="lt-LT"/>
          <w14:ligatures w14:val="none"/>
        </w:rPr>
      </w:pPr>
    </w:p>
    <w:p w14:paraId="7C1948C2" w14:textId="77777777" w:rsidR="00323207" w:rsidRPr="00F931D9" w:rsidRDefault="00323207" w:rsidP="00323207">
      <w:pPr>
        <w:keepNext/>
        <w:keepLines/>
        <w:spacing w:after="0" w:line="240" w:lineRule="auto"/>
        <w:rPr>
          <w:rFonts w:ascii="Times New Roman" w:hAnsi="Times New Roman"/>
          <w:kern w:val="0"/>
          <w:sz w:val="22"/>
          <w:lang w:val="lt-LT"/>
          <w14:ligatures w14:val="none"/>
        </w:rPr>
      </w:pPr>
      <w:r w:rsidRPr="00F931D9">
        <w:rPr>
          <w:rFonts w:ascii="Times New Roman" w:hAnsi="Times New Roman"/>
          <w:b/>
          <w:kern w:val="0"/>
          <w:sz w:val="22"/>
          <w:lang w:val="lt-LT"/>
          <w14:ligatures w14:val="none"/>
        </w:rPr>
        <w:t xml:space="preserve">Kokią </w:t>
      </w: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r w:rsidRPr="00F931D9">
        <w:rPr>
          <w:rFonts w:ascii="Times New Roman" w:hAnsi="Times New Roman"/>
          <w:b/>
          <w:kern w:val="0"/>
          <w:sz w:val="22"/>
          <w:lang w:val="lt-LT"/>
          <w14:ligatures w14:val="none"/>
        </w:rPr>
        <w:t xml:space="preserve"> dozę vartoti</w:t>
      </w:r>
    </w:p>
    <w:p w14:paraId="71093103"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Gydytojas nustatys Jums tinkamiausią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dozę. Ji priklausys nuo Jūsų kūno svorio ir priežasčių, dėl kurių vaistas Jums skiriamas. Gydytojas taip pat nurodys, kaip dažnai vartoti vaisto.</w:t>
      </w:r>
    </w:p>
    <w:p w14:paraId="08AA27B8" w14:textId="77777777" w:rsidR="00323207" w:rsidRPr="00F931D9" w:rsidRDefault="00323207" w:rsidP="00323207">
      <w:pPr>
        <w:spacing w:after="0" w:line="240" w:lineRule="auto"/>
        <w:rPr>
          <w:rFonts w:ascii="Times New Roman" w:hAnsi="Times New Roman"/>
          <w:kern w:val="0"/>
          <w:sz w:val="22"/>
          <w:lang w:val="lt-LT"/>
          <w14:ligatures w14:val="none"/>
        </w:rPr>
      </w:pPr>
    </w:p>
    <w:p w14:paraId="02C2796A" w14:textId="77777777" w:rsidR="00323207" w:rsidRPr="00F931D9" w:rsidRDefault="00323207" w:rsidP="00323207">
      <w:pPr>
        <w:numPr>
          <w:ilvl w:val="0"/>
          <w:numId w:val="20"/>
        </w:numPr>
        <w:spacing w:after="0" w:line="240" w:lineRule="auto"/>
        <w:ind w:left="567" w:hanging="567"/>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Suaugusiesiems</w:t>
      </w:r>
    </w:p>
    <w:p w14:paraId="79B89A7E" w14:textId="77777777" w:rsidR="00323207" w:rsidRPr="00F931D9" w:rsidRDefault="00323207" w:rsidP="00323207">
      <w:pPr>
        <w:spacing w:after="0" w:line="240" w:lineRule="auto"/>
        <w:ind w:left="567"/>
        <w:rPr>
          <w:rFonts w:ascii="Times New Roman" w:hAnsi="Times New Roman"/>
          <w:kern w:val="0"/>
          <w:sz w:val="22"/>
          <w:lang w:val="lt-LT"/>
          <w14:ligatures w14:val="none"/>
        </w:rPr>
      </w:pPr>
      <w:r w:rsidRPr="00F931D9">
        <w:rPr>
          <w:rFonts w:ascii="Times New Roman" w:hAnsi="Times New Roman"/>
          <w:b/>
          <w:kern w:val="0"/>
          <w:sz w:val="22"/>
          <w:lang w:val="lt-LT"/>
          <w14:ligatures w14:val="none"/>
        </w:rPr>
        <w:t>Po organo, kaulų čiulpų arba kamieninių ląstelių transplantacijos</w:t>
      </w:r>
    </w:p>
    <w:p w14:paraId="3A0BBC74" w14:textId="77777777" w:rsidR="00323207" w:rsidRPr="00F931D9" w:rsidRDefault="00323207" w:rsidP="00323207">
      <w:pPr>
        <w:numPr>
          <w:ilvl w:val="0"/>
          <w:numId w:val="23"/>
        </w:numPr>
        <w:tabs>
          <w:tab w:val="num" w:pos="1134"/>
        </w:tabs>
        <w:spacing w:after="0" w:line="240" w:lineRule="auto"/>
        <w:ind w:left="1134"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Bendra paros dozė paprastai yra tarp 2 mg kilogramui Jūsų kūno svorio ir 15 mg kilogramui kūno svorio. Šią dozę reikia padalyti ir suvartoti per du kartus. </w:t>
      </w:r>
    </w:p>
    <w:p w14:paraId="6F496F1A" w14:textId="77777777" w:rsidR="00323207" w:rsidRPr="00F931D9" w:rsidRDefault="00323207" w:rsidP="00323207">
      <w:pPr>
        <w:numPr>
          <w:ilvl w:val="0"/>
          <w:numId w:val="23"/>
        </w:numPr>
        <w:tabs>
          <w:tab w:val="num" w:pos="1134"/>
        </w:tabs>
        <w:spacing w:after="0" w:line="240" w:lineRule="auto"/>
        <w:ind w:left="1134"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Paprastai prieš transplantaciją ir iš karto po jos vartojamos didesnės vaisto dozės. Persodinto organo ar kaulų čiulpų būklei </w:t>
      </w:r>
      <w:proofErr w:type="spellStart"/>
      <w:r w:rsidRPr="00F931D9">
        <w:rPr>
          <w:rFonts w:ascii="Times New Roman" w:hAnsi="Times New Roman"/>
          <w:kern w:val="0"/>
          <w:sz w:val="22"/>
          <w:lang w:val="lt-LT"/>
          <w14:ligatures w14:val="none"/>
        </w:rPr>
        <w:t>stabilizavusis</w:t>
      </w:r>
      <w:proofErr w:type="spellEnd"/>
      <w:r w:rsidRPr="00F931D9">
        <w:rPr>
          <w:rFonts w:ascii="Times New Roman" w:hAnsi="Times New Roman"/>
          <w:kern w:val="0"/>
          <w:sz w:val="22"/>
          <w:lang w:val="lt-LT"/>
          <w14:ligatures w14:val="none"/>
        </w:rPr>
        <w:t xml:space="preserve">, vartojamos mažesnės dozės. </w:t>
      </w:r>
    </w:p>
    <w:p w14:paraId="6F3824CA" w14:textId="77777777" w:rsidR="00323207" w:rsidRPr="00F931D9" w:rsidRDefault="00323207" w:rsidP="00323207">
      <w:pPr>
        <w:numPr>
          <w:ilvl w:val="0"/>
          <w:numId w:val="23"/>
        </w:numPr>
        <w:tabs>
          <w:tab w:val="num" w:pos="1134"/>
        </w:tabs>
        <w:spacing w:after="0" w:line="240" w:lineRule="auto"/>
        <w:ind w:left="1134"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Gydytojas parinks Jums tinkamiausią vaisto dozę. Norėdamas tai padaryti, gydytojas gali paskirti atlikti kai kuriuos kraujo tyrimus.</w:t>
      </w:r>
    </w:p>
    <w:p w14:paraId="57E84C66" w14:textId="77777777" w:rsidR="00323207" w:rsidRPr="00F931D9" w:rsidRDefault="00323207" w:rsidP="00323207">
      <w:pPr>
        <w:spacing w:after="0" w:line="240" w:lineRule="auto"/>
        <w:ind w:left="567"/>
        <w:rPr>
          <w:rFonts w:ascii="Times New Roman" w:hAnsi="Times New Roman"/>
          <w:kern w:val="0"/>
          <w:sz w:val="22"/>
          <w:lang w:val="lt-LT"/>
          <w14:ligatures w14:val="none"/>
        </w:rPr>
      </w:pPr>
      <w:r w:rsidRPr="00F931D9">
        <w:rPr>
          <w:rFonts w:ascii="Times New Roman" w:hAnsi="Times New Roman"/>
          <w:b/>
          <w:kern w:val="0"/>
          <w:sz w:val="22"/>
          <w:lang w:val="lt-LT"/>
          <w14:ligatures w14:val="none"/>
        </w:rPr>
        <w:t xml:space="preserve">Sergantiesiems endogeniniu </w:t>
      </w:r>
      <w:proofErr w:type="spellStart"/>
      <w:r w:rsidRPr="00F931D9">
        <w:rPr>
          <w:rFonts w:ascii="Times New Roman" w:hAnsi="Times New Roman"/>
          <w:b/>
          <w:kern w:val="0"/>
          <w:sz w:val="22"/>
          <w:lang w:val="lt-LT"/>
          <w14:ligatures w14:val="none"/>
        </w:rPr>
        <w:t>uveitu</w:t>
      </w:r>
      <w:proofErr w:type="spellEnd"/>
    </w:p>
    <w:p w14:paraId="05C7B801" w14:textId="77777777" w:rsidR="00323207" w:rsidRPr="00F931D9" w:rsidRDefault="00323207" w:rsidP="00323207">
      <w:pPr>
        <w:numPr>
          <w:ilvl w:val="0"/>
          <w:numId w:val="23"/>
        </w:numPr>
        <w:tabs>
          <w:tab w:val="num" w:pos="1134"/>
        </w:tabs>
        <w:spacing w:after="0" w:line="240" w:lineRule="auto"/>
        <w:ind w:left="1134"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Bendra paros dozė paprastai yra tarp 5 mg kilogramui Jūsų kūno svorio ir 7 mg kilogramui kūno svorio. Šią dozę reikia padalyti ir suvartoti per du kartus.</w:t>
      </w:r>
    </w:p>
    <w:p w14:paraId="59EAB4C3" w14:textId="77777777" w:rsidR="00323207" w:rsidRPr="00F931D9" w:rsidRDefault="00323207" w:rsidP="00323207">
      <w:pPr>
        <w:spacing w:after="0" w:line="240" w:lineRule="auto"/>
        <w:ind w:left="567"/>
        <w:rPr>
          <w:rFonts w:ascii="Times New Roman" w:hAnsi="Times New Roman"/>
          <w:kern w:val="0"/>
          <w:sz w:val="22"/>
          <w:lang w:val="lt-LT"/>
          <w14:ligatures w14:val="none"/>
        </w:rPr>
      </w:pPr>
      <w:r w:rsidRPr="00F931D9">
        <w:rPr>
          <w:rFonts w:ascii="Times New Roman" w:hAnsi="Times New Roman"/>
          <w:b/>
          <w:kern w:val="0"/>
          <w:sz w:val="22"/>
          <w:lang w:val="lt-LT"/>
          <w14:ligatures w14:val="none"/>
        </w:rPr>
        <w:t xml:space="preserve">Sergantiesiems </w:t>
      </w:r>
      <w:proofErr w:type="spellStart"/>
      <w:r w:rsidRPr="00F931D9">
        <w:rPr>
          <w:rFonts w:ascii="Times New Roman" w:hAnsi="Times New Roman"/>
          <w:b/>
          <w:kern w:val="0"/>
          <w:sz w:val="22"/>
          <w:lang w:val="lt-LT"/>
          <w14:ligatures w14:val="none"/>
        </w:rPr>
        <w:t>nefroziniu</w:t>
      </w:r>
      <w:proofErr w:type="spellEnd"/>
      <w:r w:rsidRPr="00F931D9">
        <w:rPr>
          <w:rFonts w:ascii="Times New Roman" w:hAnsi="Times New Roman"/>
          <w:b/>
          <w:kern w:val="0"/>
          <w:sz w:val="22"/>
          <w:lang w:val="lt-LT"/>
          <w14:ligatures w14:val="none"/>
        </w:rPr>
        <w:t xml:space="preserve"> sindromu</w:t>
      </w:r>
    </w:p>
    <w:p w14:paraId="1C2571BC" w14:textId="77777777" w:rsidR="00323207" w:rsidRPr="00F931D9" w:rsidRDefault="00323207" w:rsidP="00323207">
      <w:pPr>
        <w:numPr>
          <w:ilvl w:val="0"/>
          <w:numId w:val="23"/>
        </w:numPr>
        <w:tabs>
          <w:tab w:val="num" w:pos="1134"/>
        </w:tabs>
        <w:spacing w:after="0" w:line="240" w:lineRule="auto"/>
        <w:ind w:left="1134"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Bendra paros dozė suaugusiesiems paprastai yra 5 mg kilogramui kūno svorio. Šią dozę reikia padalyti ir suvartoti per du kartus. Pacientams, kuriems sutrikusi inkstų veikla, pirmoji vartojama paros dozė neturi viršyti 2,5 mg kilogramui kūno svorio.</w:t>
      </w:r>
    </w:p>
    <w:p w14:paraId="63890B6B" w14:textId="77777777" w:rsidR="00323207" w:rsidRPr="00F931D9" w:rsidRDefault="00323207" w:rsidP="00323207">
      <w:pPr>
        <w:spacing w:after="0" w:line="240" w:lineRule="auto"/>
        <w:ind w:left="567"/>
        <w:rPr>
          <w:rFonts w:ascii="Times New Roman" w:hAnsi="Times New Roman"/>
          <w:kern w:val="0"/>
          <w:sz w:val="22"/>
          <w:lang w:val="lt-LT"/>
          <w14:ligatures w14:val="none"/>
        </w:rPr>
      </w:pPr>
      <w:r w:rsidRPr="00F931D9">
        <w:rPr>
          <w:rFonts w:ascii="Times New Roman" w:hAnsi="Times New Roman"/>
          <w:b/>
          <w:kern w:val="0"/>
          <w:sz w:val="22"/>
          <w:lang w:val="lt-LT"/>
          <w14:ligatures w14:val="none"/>
        </w:rPr>
        <w:t>Sergantiesiems sunkiu reumatoidiniu artritu</w:t>
      </w:r>
    </w:p>
    <w:p w14:paraId="1B87E4B6" w14:textId="77777777" w:rsidR="00323207" w:rsidRPr="00F931D9" w:rsidRDefault="00323207" w:rsidP="00323207">
      <w:pPr>
        <w:numPr>
          <w:ilvl w:val="0"/>
          <w:numId w:val="23"/>
        </w:numPr>
        <w:tabs>
          <w:tab w:val="num" w:pos="1134"/>
        </w:tabs>
        <w:spacing w:after="0" w:line="240" w:lineRule="auto"/>
        <w:ind w:left="1134"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Bendra paros dozė paprastai yra tarp 3 mg kilogramui Jūsų kūno svorio ir 5 mg kilogramui kūno svorio. Šią dozę reikia padalyti ir suvartoti per du kartus.</w:t>
      </w:r>
    </w:p>
    <w:p w14:paraId="475DCF9E" w14:textId="77777777" w:rsidR="00323207" w:rsidRPr="00F931D9" w:rsidRDefault="00323207" w:rsidP="00323207">
      <w:pPr>
        <w:spacing w:after="0" w:line="240" w:lineRule="auto"/>
        <w:ind w:left="567"/>
        <w:rPr>
          <w:rFonts w:ascii="Times New Roman" w:hAnsi="Times New Roman"/>
          <w:kern w:val="0"/>
          <w:sz w:val="22"/>
          <w:lang w:val="lt-LT"/>
          <w14:ligatures w14:val="none"/>
        </w:rPr>
      </w:pPr>
      <w:r w:rsidRPr="00F931D9">
        <w:rPr>
          <w:rFonts w:ascii="Times New Roman" w:hAnsi="Times New Roman"/>
          <w:b/>
          <w:kern w:val="0"/>
          <w:sz w:val="22"/>
          <w:lang w:val="lt-LT"/>
          <w14:ligatures w14:val="none"/>
        </w:rPr>
        <w:t>Sergantiesiems žvyneline ir atopiniu dermatitu</w:t>
      </w:r>
    </w:p>
    <w:p w14:paraId="74F2AE65" w14:textId="77777777" w:rsidR="00323207" w:rsidRPr="00F931D9" w:rsidRDefault="00323207" w:rsidP="00323207">
      <w:pPr>
        <w:numPr>
          <w:ilvl w:val="0"/>
          <w:numId w:val="23"/>
        </w:numPr>
        <w:tabs>
          <w:tab w:val="num" w:pos="1134"/>
        </w:tabs>
        <w:spacing w:after="0" w:line="240" w:lineRule="auto"/>
        <w:ind w:left="1134"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Bendra paros dozė paprastai yra tarp 2,5 mg kilogramui Jūsų kūno svorio ir 5 mg kilogramui kūno svorio. Šią dozę reikia padalyti ir suvartoti per du kartus.</w:t>
      </w:r>
    </w:p>
    <w:p w14:paraId="1D195C45" w14:textId="77777777" w:rsidR="00323207" w:rsidRPr="00F931D9" w:rsidRDefault="00323207" w:rsidP="00323207">
      <w:pPr>
        <w:numPr>
          <w:ilvl w:val="0"/>
          <w:numId w:val="20"/>
        </w:numPr>
        <w:spacing w:after="0" w:line="240" w:lineRule="auto"/>
        <w:ind w:left="567" w:hanging="567"/>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Vaikams</w:t>
      </w:r>
    </w:p>
    <w:p w14:paraId="70F5750A" w14:textId="77777777" w:rsidR="00323207" w:rsidRPr="00F931D9" w:rsidRDefault="00323207" w:rsidP="00323207">
      <w:pPr>
        <w:spacing w:after="0" w:line="240" w:lineRule="auto"/>
        <w:ind w:left="567"/>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 xml:space="preserve">Sergantiesiems </w:t>
      </w:r>
      <w:proofErr w:type="spellStart"/>
      <w:r w:rsidRPr="00F931D9">
        <w:rPr>
          <w:rFonts w:ascii="Times New Roman" w:hAnsi="Times New Roman"/>
          <w:b/>
          <w:kern w:val="0"/>
          <w:sz w:val="22"/>
          <w:lang w:val="lt-LT"/>
          <w14:ligatures w14:val="none"/>
        </w:rPr>
        <w:t>nefroziniu</w:t>
      </w:r>
      <w:proofErr w:type="spellEnd"/>
      <w:r w:rsidRPr="00F931D9">
        <w:rPr>
          <w:rFonts w:ascii="Times New Roman" w:hAnsi="Times New Roman"/>
          <w:b/>
          <w:kern w:val="0"/>
          <w:sz w:val="22"/>
          <w:lang w:val="lt-LT"/>
          <w14:ligatures w14:val="none"/>
        </w:rPr>
        <w:t xml:space="preserve"> sindromu</w:t>
      </w:r>
    </w:p>
    <w:p w14:paraId="139806C2" w14:textId="77777777" w:rsidR="00323207" w:rsidRPr="00F931D9" w:rsidRDefault="00323207" w:rsidP="00323207">
      <w:pPr>
        <w:numPr>
          <w:ilvl w:val="0"/>
          <w:numId w:val="23"/>
        </w:numPr>
        <w:tabs>
          <w:tab w:val="num" w:pos="1134"/>
        </w:tabs>
        <w:spacing w:after="0" w:line="240" w:lineRule="auto"/>
        <w:ind w:left="1134"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Bendra paros dozė vaikams paprastai yra 6 mg kilogramui kūno svorio. Šią dozę reikia padalyti ir suvartoti per du kartus. Pacientams, kuriems sutrikusi inkstų veikla, pirmoji vartojama paros dozė neturi viršyti 2,5 mg kilogramui kūno svorio.</w:t>
      </w:r>
    </w:p>
    <w:p w14:paraId="4A47F959"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lastRenderedPageBreak/>
        <w:t>Atidžiai laikykitės gydytojo nurodymų ir niekada patys nekeiskite vartojamos vaisto dozės, net jeigu jaučiatės gerai.</w:t>
      </w:r>
    </w:p>
    <w:p w14:paraId="4635A000" w14:textId="77777777" w:rsidR="00323207" w:rsidRPr="00F931D9" w:rsidRDefault="00323207" w:rsidP="00323207">
      <w:pPr>
        <w:spacing w:after="0" w:line="240" w:lineRule="auto"/>
        <w:rPr>
          <w:rFonts w:ascii="Times New Roman" w:hAnsi="Times New Roman"/>
          <w:kern w:val="0"/>
          <w:sz w:val="22"/>
          <w:lang w:val="lt-LT"/>
          <w14:ligatures w14:val="none"/>
        </w:rPr>
      </w:pPr>
    </w:p>
    <w:p w14:paraId="12480395" w14:textId="77777777" w:rsidR="00323207" w:rsidRPr="00F931D9" w:rsidRDefault="00323207" w:rsidP="00323207">
      <w:pPr>
        <w:spacing w:after="0" w:line="240" w:lineRule="auto"/>
        <w:rPr>
          <w:rFonts w:ascii="Times New Roman" w:hAnsi="Times New Roman"/>
          <w:b/>
          <w:kern w:val="0"/>
          <w:sz w:val="22"/>
          <w:lang w:val="lt-LT"/>
          <w14:ligatures w14:val="none"/>
        </w:rPr>
      </w:pP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xml:space="preserve"> vartojimo keitimas į </w:t>
      </w: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p>
    <w:p w14:paraId="6FBE2DF6"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Jeigu jau vartojate kito vaisto, kuris vadinamas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xml:space="preserve"> minkštos kapsulės arba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xml:space="preserve"> geriamasis tirpalas, gydytojas gali nuspręsti pakeisti šį vaistą ir skirti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geriamojo tirpalo.</w:t>
      </w:r>
    </w:p>
    <w:p w14:paraId="6DF63777" w14:textId="77777777" w:rsidR="00323207" w:rsidRPr="00F931D9" w:rsidRDefault="00323207" w:rsidP="00323207">
      <w:pPr>
        <w:numPr>
          <w:ilvl w:val="0"/>
          <w:numId w:val="11"/>
        </w:numPr>
        <w:tabs>
          <w:tab w:val="clear" w:pos="357"/>
        </w:tabs>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Visų šių vaistų sudėtyje yra veikliosios medžiagos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w:t>
      </w:r>
    </w:p>
    <w:p w14:paraId="19BACF3D" w14:textId="77777777" w:rsidR="00323207" w:rsidRPr="00F931D9" w:rsidRDefault="00323207" w:rsidP="00323207">
      <w:pPr>
        <w:numPr>
          <w:ilvl w:val="0"/>
          <w:numId w:val="11"/>
        </w:numPr>
        <w:tabs>
          <w:tab w:val="clear" w:pos="357"/>
        </w:tabs>
        <w:spacing w:after="0" w:line="240" w:lineRule="auto"/>
        <w:ind w:left="567" w:hanging="567"/>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yra kitokios, geresnės farmacinės formos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preparatas, lyginant su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xml:space="preserve">. Vartojant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ciklosporinas</w:t>
      </w:r>
      <w:proofErr w:type="spellEnd"/>
      <w:r w:rsidRPr="00F931D9">
        <w:rPr>
          <w:rFonts w:ascii="Times New Roman" w:hAnsi="Times New Roman"/>
          <w:kern w:val="0"/>
          <w:sz w:val="22"/>
          <w:lang w:val="lt-LT"/>
          <w14:ligatures w14:val="none"/>
        </w:rPr>
        <w:t xml:space="preserve"> geriau rezorbuojasi į kraują, o absorbcija mažiau įtakojama vaisto vartojant valgio metu. Tai reiškia, kad vartojant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koncentracija kraujyje bus stabilesnė nei vartojant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w:t>
      </w:r>
    </w:p>
    <w:p w14:paraId="2EAD0624"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Jeigu gydytojas pakeičia gydymą iš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xml:space="preserve"> į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w:t>
      </w:r>
    </w:p>
    <w:p w14:paraId="3ED168A6" w14:textId="77777777" w:rsidR="00323207" w:rsidRPr="00F931D9" w:rsidRDefault="00323207" w:rsidP="00323207">
      <w:pPr>
        <w:numPr>
          <w:ilvl w:val="0"/>
          <w:numId w:val="11"/>
        </w:numPr>
        <w:tabs>
          <w:tab w:val="clear" w:pos="357"/>
        </w:tabs>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Nepradėkite vėl vartoti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nebent taip padaryti nurodys gydytojas.</w:t>
      </w:r>
    </w:p>
    <w:p w14:paraId="02A86C6B" w14:textId="77777777" w:rsidR="00323207" w:rsidRPr="00F931D9" w:rsidRDefault="00323207" w:rsidP="00323207">
      <w:pPr>
        <w:numPr>
          <w:ilvl w:val="0"/>
          <w:numId w:val="11"/>
        </w:numPr>
        <w:tabs>
          <w:tab w:val="clear" w:pos="357"/>
        </w:tabs>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Pakeitus gydymą iš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xml:space="preserve"> į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gydytojas kurį laiką atidžiai stebės Jūsų būklę. Tai susiję su pasikeitusia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absorbcija į kraują. Gydytojas įsitikins, kad vartojate tinkamą Jūsų poreikius atitinkančią vaisto dozę. </w:t>
      </w:r>
    </w:p>
    <w:p w14:paraId="1253FC9F" w14:textId="77777777" w:rsidR="00323207" w:rsidRPr="00F931D9" w:rsidRDefault="00323207" w:rsidP="00323207">
      <w:pPr>
        <w:numPr>
          <w:ilvl w:val="0"/>
          <w:numId w:val="11"/>
        </w:numPr>
        <w:tabs>
          <w:tab w:val="clear" w:pos="357"/>
        </w:tabs>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Jums gali pasireikšti tam tikrų šalutinių reiškinių. Tokiu atveju apie tai pasakykite gydytojui arba vaistininkui. Jums gali reikėti vartoti mažesnę vaisto dozę. Niekada patys nemažinkite vartojamos vaisto dozės, nebent taip padaryti nurodė gydytojas.</w:t>
      </w:r>
    </w:p>
    <w:p w14:paraId="3B0F18A3" w14:textId="77777777" w:rsidR="00323207" w:rsidRPr="00F931D9" w:rsidRDefault="00323207" w:rsidP="00323207">
      <w:pPr>
        <w:spacing w:after="0" w:line="240" w:lineRule="auto"/>
        <w:rPr>
          <w:rFonts w:ascii="Times New Roman" w:hAnsi="Times New Roman"/>
          <w:kern w:val="0"/>
          <w:sz w:val="22"/>
          <w:lang w:val="lt-LT"/>
          <w14:ligatures w14:val="none"/>
        </w:rPr>
      </w:pPr>
    </w:p>
    <w:p w14:paraId="4D30EA86" w14:textId="77777777" w:rsidR="00323207" w:rsidRPr="00F931D9" w:rsidRDefault="00323207" w:rsidP="00323207">
      <w:pPr>
        <w:spacing w:after="0" w:line="240" w:lineRule="auto"/>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 xml:space="preserve">Jeigu gydytojas vietoje vienos geriamojo (per burną vartojamo) </w:t>
      </w:r>
      <w:proofErr w:type="spellStart"/>
      <w:r w:rsidRPr="00F931D9">
        <w:rPr>
          <w:rFonts w:ascii="Times New Roman" w:hAnsi="Times New Roman"/>
          <w:b/>
          <w:kern w:val="0"/>
          <w:sz w:val="22"/>
          <w:lang w:val="lt-LT"/>
          <w14:ligatures w14:val="none"/>
        </w:rPr>
        <w:t>ciklosporino</w:t>
      </w:r>
      <w:proofErr w:type="spellEnd"/>
      <w:r w:rsidRPr="00F931D9">
        <w:rPr>
          <w:rFonts w:ascii="Times New Roman" w:hAnsi="Times New Roman"/>
          <w:b/>
          <w:kern w:val="0"/>
          <w:sz w:val="22"/>
          <w:lang w:val="lt-LT"/>
          <w14:ligatures w14:val="none"/>
        </w:rPr>
        <w:t xml:space="preserve"> farmacinės formos paskiria vartoti kitą formą</w:t>
      </w:r>
    </w:p>
    <w:p w14:paraId="68A1F131" w14:textId="77777777" w:rsidR="00323207" w:rsidRPr="00F931D9" w:rsidRDefault="00323207" w:rsidP="00323207">
      <w:pPr>
        <w:spacing w:after="0" w:line="240" w:lineRule="auto"/>
        <w:ind w:left="425" w:hanging="425"/>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Pakeitus vieno geriamojo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 xml:space="preserve"> preparato vartojimą kita farmacine forma:</w:t>
      </w:r>
    </w:p>
    <w:p w14:paraId="27AECED3" w14:textId="77777777" w:rsidR="00323207" w:rsidRPr="00F931D9" w:rsidRDefault="00323207" w:rsidP="00323207">
      <w:pPr>
        <w:numPr>
          <w:ilvl w:val="0"/>
          <w:numId w:val="11"/>
        </w:numPr>
        <w:tabs>
          <w:tab w:val="clear" w:pos="357"/>
        </w:tabs>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gydytojas kurį laiką atidžiai stebės Jūsų būklę;</w:t>
      </w:r>
    </w:p>
    <w:p w14:paraId="78414F50" w14:textId="77777777" w:rsidR="00323207" w:rsidRPr="00F931D9" w:rsidRDefault="00323207" w:rsidP="00323207">
      <w:pPr>
        <w:numPr>
          <w:ilvl w:val="0"/>
          <w:numId w:val="11"/>
        </w:numPr>
        <w:tabs>
          <w:tab w:val="clear" w:pos="357"/>
        </w:tabs>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Jums gali pasireikšti tam tikrų šalutinių reiškinių. Tokiu atveju apie tai pasakykite gydytojui arba vaistininkui. Jums gali reikėti keisti vaisto dozę. Niekada patys nekeiskite vartojamos vaisto dozės, nebent taip padaryti nurodė gydytojas.</w:t>
      </w:r>
    </w:p>
    <w:p w14:paraId="7C8CA805" w14:textId="77777777" w:rsidR="00323207" w:rsidRPr="00F931D9" w:rsidRDefault="00323207" w:rsidP="00323207">
      <w:pPr>
        <w:spacing w:after="0" w:line="240" w:lineRule="auto"/>
        <w:rPr>
          <w:rFonts w:ascii="Times New Roman" w:hAnsi="Times New Roman"/>
          <w:kern w:val="0"/>
          <w:sz w:val="22"/>
          <w:lang w:val="lt-LT"/>
          <w14:ligatures w14:val="none"/>
        </w:rPr>
      </w:pPr>
    </w:p>
    <w:p w14:paraId="3B16C0AD" w14:textId="77777777" w:rsidR="00323207" w:rsidRPr="00F931D9" w:rsidRDefault="00323207" w:rsidP="00323207">
      <w:pPr>
        <w:keepNext/>
        <w:spacing w:after="0" w:line="240" w:lineRule="auto"/>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 xml:space="preserve">Kada vartoti </w:t>
      </w: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p>
    <w:p w14:paraId="72EA863C" w14:textId="77777777" w:rsidR="00323207" w:rsidRPr="00F931D9" w:rsidRDefault="00323207" w:rsidP="00323207">
      <w:pPr>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vartokite </w:t>
      </w:r>
      <w:r w:rsidRPr="00F931D9">
        <w:rPr>
          <w:rFonts w:ascii="Times New Roman" w:hAnsi="Times New Roman"/>
          <w:b/>
          <w:kern w:val="0"/>
          <w:sz w:val="22"/>
          <w:lang w:val="lt-LT"/>
          <w14:ligatures w14:val="none"/>
        </w:rPr>
        <w:t>kasdien tuo pačiu metu</w:t>
      </w:r>
      <w:r w:rsidRPr="00F931D9">
        <w:rPr>
          <w:rFonts w:ascii="Times New Roman" w:hAnsi="Times New Roman"/>
          <w:kern w:val="0"/>
          <w:sz w:val="22"/>
          <w:lang w:val="lt-LT"/>
          <w14:ligatures w14:val="none"/>
        </w:rPr>
        <w:t xml:space="preserve">. Tai labai svarbu, jeigu Jums atlikta transplantacija. </w:t>
      </w:r>
    </w:p>
    <w:p w14:paraId="2A2CA063" w14:textId="77777777" w:rsidR="00323207" w:rsidRPr="00F931D9" w:rsidRDefault="00323207" w:rsidP="00323207">
      <w:pPr>
        <w:spacing w:after="0" w:line="240" w:lineRule="auto"/>
        <w:rPr>
          <w:rFonts w:ascii="Times New Roman" w:hAnsi="Times New Roman"/>
          <w:kern w:val="0"/>
          <w:sz w:val="22"/>
          <w:lang w:val="lt-LT"/>
          <w14:ligatures w14:val="none"/>
        </w:rPr>
      </w:pPr>
    </w:p>
    <w:p w14:paraId="0D11C1B9"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b/>
          <w:kern w:val="0"/>
          <w:sz w:val="22"/>
          <w:lang w:val="lt-LT"/>
          <w14:ligatures w14:val="none"/>
        </w:rPr>
        <w:t xml:space="preserve">Kaip vartoti </w:t>
      </w: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p>
    <w:p w14:paraId="7D417BD1"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Paros dozę visada reikia padalyti ir suvartoti per du kartus.</w:t>
      </w:r>
    </w:p>
    <w:p w14:paraId="5438082C"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Išimkite kapsules iš lizdinės plokštelės. Nurykite kapsules nepažeistas užgerdami vandeniu.</w:t>
      </w:r>
    </w:p>
    <w:p w14:paraId="049E5495" w14:textId="77777777" w:rsidR="00323207" w:rsidRPr="00F931D9" w:rsidRDefault="00323207" w:rsidP="00323207">
      <w:pPr>
        <w:spacing w:after="0" w:line="240" w:lineRule="auto"/>
        <w:rPr>
          <w:rFonts w:ascii="Times New Roman" w:hAnsi="Times New Roman"/>
          <w:b/>
          <w:kern w:val="0"/>
          <w:sz w:val="22"/>
          <w:lang w:val="lt-LT"/>
          <w14:ligatures w14:val="none"/>
        </w:rPr>
      </w:pPr>
    </w:p>
    <w:p w14:paraId="491F8E60" w14:textId="77777777" w:rsidR="00323207" w:rsidRPr="00F931D9" w:rsidRDefault="00323207" w:rsidP="00323207">
      <w:pPr>
        <w:spacing w:after="0" w:line="240" w:lineRule="auto"/>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 xml:space="preserve">Kiek laiko vartoti </w:t>
      </w: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p>
    <w:p w14:paraId="5AA5E632"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Jūsų gydytojas pasakys, kiek laiko reikia vartoti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4"/>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Tai priklausys nuo to, ar Jūs vartojate vaisto po transplantacijos, ar sunkiam odos pažeidimui, reumatoidiniam artritui, </w:t>
      </w:r>
      <w:proofErr w:type="spellStart"/>
      <w:r w:rsidRPr="00F931D9">
        <w:rPr>
          <w:rFonts w:ascii="Times New Roman" w:hAnsi="Times New Roman"/>
          <w:kern w:val="0"/>
          <w:sz w:val="22"/>
          <w:lang w:val="lt-LT"/>
          <w14:ligatures w14:val="none"/>
        </w:rPr>
        <w:t>uveitui</w:t>
      </w:r>
      <w:proofErr w:type="spellEnd"/>
      <w:r w:rsidRPr="00F931D9">
        <w:rPr>
          <w:rFonts w:ascii="Times New Roman" w:hAnsi="Times New Roman"/>
          <w:kern w:val="0"/>
          <w:sz w:val="22"/>
          <w:lang w:val="lt-LT"/>
          <w14:ligatures w14:val="none"/>
        </w:rPr>
        <w:t xml:space="preserve"> arba </w:t>
      </w:r>
      <w:proofErr w:type="spellStart"/>
      <w:r w:rsidRPr="00F931D9">
        <w:rPr>
          <w:rFonts w:ascii="Times New Roman" w:hAnsi="Times New Roman"/>
          <w:kern w:val="0"/>
          <w:sz w:val="22"/>
          <w:lang w:val="lt-LT"/>
          <w14:ligatures w14:val="none"/>
        </w:rPr>
        <w:t>nefroziniam</w:t>
      </w:r>
      <w:proofErr w:type="spellEnd"/>
      <w:r w:rsidRPr="00F931D9">
        <w:rPr>
          <w:rFonts w:ascii="Times New Roman" w:hAnsi="Times New Roman"/>
          <w:kern w:val="0"/>
          <w:sz w:val="22"/>
          <w:lang w:val="lt-LT"/>
          <w14:ligatures w14:val="none"/>
        </w:rPr>
        <w:t xml:space="preserve"> sindromui gydyti. Sunkus bėrimas paprastai gydomas 8 savaites.</w:t>
      </w:r>
    </w:p>
    <w:p w14:paraId="297CE687" w14:textId="77777777" w:rsidR="00323207" w:rsidRPr="00F931D9" w:rsidRDefault="00323207" w:rsidP="00323207">
      <w:pPr>
        <w:spacing w:after="0" w:line="240" w:lineRule="auto"/>
        <w:rPr>
          <w:rFonts w:ascii="Times New Roman" w:hAnsi="Times New Roman"/>
          <w:kern w:val="0"/>
          <w:sz w:val="22"/>
          <w:lang w:val="lt-LT"/>
          <w14:ligatures w14:val="none"/>
        </w:rPr>
      </w:pPr>
    </w:p>
    <w:p w14:paraId="37A4A521" w14:textId="77777777" w:rsidR="00323207" w:rsidRPr="00F931D9" w:rsidRDefault="00323207" w:rsidP="00323207">
      <w:pPr>
        <w:widowControl w:val="0"/>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visada vartokite tiek laiko, kiek nurodė gydytojas. </w:t>
      </w:r>
    </w:p>
    <w:p w14:paraId="425FC5E5" w14:textId="77777777" w:rsidR="00323207" w:rsidRPr="00F931D9" w:rsidRDefault="00323207" w:rsidP="00323207">
      <w:pPr>
        <w:widowControl w:val="0"/>
        <w:spacing w:after="0" w:line="240" w:lineRule="auto"/>
        <w:rPr>
          <w:rFonts w:ascii="Times New Roman" w:hAnsi="Times New Roman"/>
          <w:kern w:val="0"/>
          <w:sz w:val="22"/>
          <w:lang w:val="lt-LT"/>
          <w14:ligatures w14:val="none"/>
        </w:rPr>
      </w:pPr>
    </w:p>
    <w:p w14:paraId="6F37B309" w14:textId="77777777" w:rsidR="00323207" w:rsidRPr="00F931D9" w:rsidRDefault="00323207" w:rsidP="00323207">
      <w:pPr>
        <w:widowControl w:val="0"/>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Jeigu turite klausimų apie tai, kiek laiko reikia vartoti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kreipkitės į gydytoją arba vaistininką.</w:t>
      </w:r>
    </w:p>
    <w:p w14:paraId="46DC6019" w14:textId="77777777" w:rsidR="00323207" w:rsidRPr="00F931D9" w:rsidRDefault="00323207" w:rsidP="00323207">
      <w:pPr>
        <w:autoSpaceDE w:val="0"/>
        <w:autoSpaceDN w:val="0"/>
        <w:adjustRightInd w:val="0"/>
        <w:spacing w:after="0" w:line="240" w:lineRule="auto"/>
        <w:rPr>
          <w:rFonts w:ascii="Times New Roman" w:hAnsi="Times New Roman"/>
          <w:kern w:val="0"/>
          <w:sz w:val="22"/>
          <w:lang w:val="lt-LT"/>
          <w14:ligatures w14:val="none"/>
        </w:rPr>
      </w:pPr>
    </w:p>
    <w:p w14:paraId="0F5F746E" w14:textId="77777777" w:rsidR="00323207" w:rsidRPr="00F931D9" w:rsidRDefault="00323207" w:rsidP="00323207">
      <w:pPr>
        <w:numPr>
          <w:ilvl w:val="12"/>
          <w:numId w:val="0"/>
        </w:numPr>
        <w:spacing w:after="0" w:line="240" w:lineRule="auto"/>
        <w:ind w:right="-2"/>
        <w:outlineLvl w:val="0"/>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 xml:space="preserve">Ką daryti pavartojus per didelę </w:t>
      </w: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r w:rsidRPr="00F931D9">
        <w:rPr>
          <w:rFonts w:ascii="Times New Roman" w:hAnsi="Times New Roman"/>
          <w:b/>
          <w:kern w:val="0"/>
          <w:sz w:val="22"/>
          <w:lang w:val="lt-LT"/>
          <w14:ligatures w14:val="none"/>
        </w:rPr>
        <w:t xml:space="preserve"> dozę?</w:t>
      </w:r>
    </w:p>
    <w:p w14:paraId="5C024F2A"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Jeigu atsitiktinai pavartojote per didelę vaisto dozę, nedelsdami pasakykite gydytojui arba vykite į artimiausios ligoninės skubiosios pagalbos skyrių. Jums gali reikėti medicininės pagalbos.</w:t>
      </w:r>
    </w:p>
    <w:p w14:paraId="5FA3E8BB" w14:textId="77777777" w:rsidR="00323207" w:rsidRPr="00F931D9" w:rsidRDefault="00323207" w:rsidP="00323207">
      <w:pPr>
        <w:numPr>
          <w:ilvl w:val="12"/>
          <w:numId w:val="0"/>
        </w:numPr>
        <w:spacing w:after="0" w:line="240" w:lineRule="auto"/>
        <w:rPr>
          <w:rFonts w:ascii="Times New Roman" w:hAnsi="Times New Roman"/>
          <w:kern w:val="0"/>
          <w:sz w:val="22"/>
          <w:lang w:val="lt-LT"/>
          <w14:ligatures w14:val="none"/>
        </w:rPr>
      </w:pPr>
    </w:p>
    <w:p w14:paraId="2E242C0C" w14:textId="77777777" w:rsidR="00323207" w:rsidRPr="00F931D9" w:rsidRDefault="00323207" w:rsidP="00323207">
      <w:pPr>
        <w:keepNext/>
        <w:keepLines/>
        <w:numPr>
          <w:ilvl w:val="12"/>
          <w:numId w:val="0"/>
        </w:numPr>
        <w:spacing w:after="0" w:line="240" w:lineRule="auto"/>
        <w:outlineLvl w:val="0"/>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 xml:space="preserve">Pamiršus pavartoti </w:t>
      </w: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p>
    <w:p w14:paraId="3CBA813B" w14:textId="77777777" w:rsidR="00323207" w:rsidRPr="00F931D9" w:rsidRDefault="00323207" w:rsidP="00323207">
      <w:pPr>
        <w:numPr>
          <w:ilvl w:val="0"/>
          <w:numId w:val="17"/>
        </w:num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Pamiršus pavartoti vaisto dozę, ją išgerkite iš karto prisiminus. Tačiau jeigu jau beveik laikas vartoti kitą dozę, pamirštąją dozę praleiskite. Toliau vartokite vaisto įprastai.</w:t>
      </w:r>
    </w:p>
    <w:p w14:paraId="59FC891A" w14:textId="77777777" w:rsidR="00323207" w:rsidRPr="00F931D9" w:rsidRDefault="00323207" w:rsidP="00323207">
      <w:pPr>
        <w:numPr>
          <w:ilvl w:val="0"/>
          <w:numId w:val="17"/>
        </w:numPr>
        <w:spacing w:after="0" w:line="240" w:lineRule="auto"/>
        <w:ind w:right="-2"/>
        <w:rPr>
          <w:rFonts w:ascii="Times New Roman" w:hAnsi="Times New Roman"/>
          <w:kern w:val="0"/>
          <w:sz w:val="22"/>
          <w:lang w:val="lt-LT"/>
          <w14:ligatures w14:val="none"/>
        </w:rPr>
      </w:pPr>
      <w:r w:rsidRPr="00F931D9">
        <w:rPr>
          <w:rFonts w:ascii="Times New Roman" w:hAnsi="Times New Roman"/>
          <w:kern w:val="0"/>
          <w:sz w:val="22"/>
          <w:lang w:val="lt-LT"/>
          <w14:ligatures w14:val="none"/>
        </w:rPr>
        <w:t>Negalima vartoti dvigubos dozės norint kompensuoti praleistą dozę.</w:t>
      </w:r>
    </w:p>
    <w:p w14:paraId="48248E06" w14:textId="77777777" w:rsidR="00323207" w:rsidRPr="00F931D9" w:rsidRDefault="00323207" w:rsidP="00323207">
      <w:pPr>
        <w:numPr>
          <w:ilvl w:val="12"/>
          <w:numId w:val="0"/>
        </w:numPr>
        <w:spacing w:after="0" w:line="240" w:lineRule="auto"/>
        <w:ind w:right="-2"/>
        <w:rPr>
          <w:rFonts w:ascii="Times New Roman" w:hAnsi="Times New Roman"/>
          <w:kern w:val="0"/>
          <w:sz w:val="22"/>
          <w:lang w:val="lt-LT"/>
          <w14:ligatures w14:val="none"/>
        </w:rPr>
      </w:pPr>
    </w:p>
    <w:p w14:paraId="3D696561" w14:textId="77777777" w:rsidR="00323207" w:rsidRPr="00F931D9" w:rsidRDefault="00323207" w:rsidP="00323207">
      <w:pPr>
        <w:numPr>
          <w:ilvl w:val="12"/>
          <w:numId w:val="0"/>
        </w:numPr>
        <w:spacing w:after="0" w:line="240" w:lineRule="auto"/>
        <w:ind w:right="-2"/>
        <w:outlineLvl w:val="0"/>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 xml:space="preserve">Nustojus vartoti </w:t>
      </w: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p>
    <w:p w14:paraId="0F6314FB"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Nenutraukite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vartojimo, nebent taip padaryti nurodė gydytojas. </w:t>
      </w:r>
    </w:p>
    <w:p w14:paraId="67289362" w14:textId="77777777" w:rsidR="00323207" w:rsidRPr="00F931D9" w:rsidRDefault="00323207" w:rsidP="00323207">
      <w:pPr>
        <w:spacing w:after="0" w:line="240" w:lineRule="auto"/>
        <w:rPr>
          <w:rFonts w:ascii="Times New Roman" w:hAnsi="Times New Roman"/>
          <w:kern w:val="0"/>
          <w:sz w:val="22"/>
          <w:lang w:val="lt-LT"/>
          <w14:ligatures w14:val="none"/>
        </w:rPr>
      </w:pPr>
    </w:p>
    <w:p w14:paraId="1AAB0B44"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Tęskite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vartojimą, net jeigu jaučiatės gerai. Nutraukus gydymąsi </w:t>
      </w: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gali padidėti persodinto organo atmetimo pavojus.</w:t>
      </w:r>
    </w:p>
    <w:p w14:paraId="2EDC026D" w14:textId="77777777" w:rsidR="00323207" w:rsidRPr="00F931D9" w:rsidRDefault="00323207" w:rsidP="00323207">
      <w:pPr>
        <w:numPr>
          <w:ilvl w:val="12"/>
          <w:numId w:val="0"/>
        </w:numPr>
        <w:spacing w:after="0" w:line="240" w:lineRule="auto"/>
        <w:rPr>
          <w:rFonts w:ascii="Times New Roman" w:hAnsi="Times New Roman"/>
          <w:kern w:val="0"/>
          <w:sz w:val="22"/>
          <w:lang w:val="lt-LT"/>
          <w14:ligatures w14:val="none"/>
        </w:rPr>
      </w:pPr>
    </w:p>
    <w:p w14:paraId="4955D774" w14:textId="77777777" w:rsidR="00323207" w:rsidRPr="00F931D9" w:rsidRDefault="00323207" w:rsidP="00323207">
      <w:pPr>
        <w:numPr>
          <w:ilvl w:val="12"/>
          <w:numId w:val="0"/>
        </w:num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Jeigu kiltų daugiau klausimų dėl šio vaisto vartojimo, kreipkitės į gydytoją arba vaistininką.</w:t>
      </w:r>
    </w:p>
    <w:p w14:paraId="7D375E65" w14:textId="77777777" w:rsidR="00323207" w:rsidRPr="00F931D9" w:rsidRDefault="00323207" w:rsidP="00323207">
      <w:pPr>
        <w:numPr>
          <w:ilvl w:val="12"/>
          <w:numId w:val="0"/>
        </w:numPr>
        <w:spacing w:after="0" w:line="240" w:lineRule="auto"/>
        <w:ind w:right="-2"/>
        <w:rPr>
          <w:rFonts w:ascii="Times New Roman" w:hAnsi="Times New Roman"/>
          <w:kern w:val="0"/>
          <w:sz w:val="22"/>
          <w:lang w:val="lt-LT"/>
          <w14:ligatures w14:val="none"/>
        </w:rPr>
      </w:pPr>
    </w:p>
    <w:p w14:paraId="502D400D" w14:textId="77777777" w:rsidR="00323207" w:rsidRPr="00F931D9" w:rsidRDefault="00323207" w:rsidP="00323207">
      <w:pPr>
        <w:numPr>
          <w:ilvl w:val="12"/>
          <w:numId w:val="0"/>
        </w:numPr>
        <w:spacing w:after="0" w:line="240" w:lineRule="auto"/>
        <w:ind w:right="-2"/>
        <w:rPr>
          <w:rFonts w:ascii="Times New Roman" w:hAnsi="Times New Roman"/>
          <w:kern w:val="0"/>
          <w:sz w:val="22"/>
          <w:lang w:val="lt-LT"/>
          <w14:ligatures w14:val="none"/>
        </w:rPr>
      </w:pPr>
    </w:p>
    <w:p w14:paraId="72FF1A32" w14:textId="77777777" w:rsidR="00323207" w:rsidRPr="00F931D9" w:rsidRDefault="00323207" w:rsidP="00323207">
      <w:pPr>
        <w:numPr>
          <w:ilvl w:val="12"/>
          <w:numId w:val="0"/>
        </w:numPr>
        <w:spacing w:after="0" w:line="240" w:lineRule="auto"/>
        <w:ind w:left="567" w:right="-2" w:hanging="567"/>
        <w:rPr>
          <w:rFonts w:ascii="Times New Roman" w:hAnsi="Times New Roman"/>
          <w:kern w:val="0"/>
          <w:sz w:val="22"/>
          <w:lang w:val="lt-LT"/>
          <w14:ligatures w14:val="none"/>
        </w:rPr>
      </w:pPr>
      <w:r w:rsidRPr="00F931D9">
        <w:rPr>
          <w:rFonts w:ascii="Times New Roman" w:hAnsi="Times New Roman"/>
          <w:b/>
          <w:kern w:val="0"/>
          <w:sz w:val="22"/>
          <w:lang w:val="lt-LT"/>
          <w14:ligatures w14:val="none"/>
        </w:rPr>
        <w:t>4.</w:t>
      </w:r>
      <w:r w:rsidRPr="00F931D9">
        <w:rPr>
          <w:rFonts w:ascii="Times New Roman" w:hAnsi="Times New Roman"/>
          <w:b/>
          <w:kern w:val="0"/>
          <w:sz w:val="22"/>
          <w:lang w:val="lt-LT"/>
          <w14:ligatures w14:val="none"/>
        </w:rPr>
        <w:tab/>
        <w:t>Galimas šalutinis poveikis</w:t>
      </w:r>
    </w:p>
    <w:p w14:paraId="3F9CEA73" w14:textId="77777777" w:rsidR="00323207" w:rsidRPr="00F931D9" w:rsidRDefault="00323207" w:rsidP="00323207">
      <w:pPr>
        <w:numPr>
          <w:ilvl w:val="12"/>
          <w:numId w:val="0"/>
        </w:numPr>
        <w:spacing w:after="0" w:line="240" w:lineRule="auto"/>
        <w:ind w:right="-2"/>
        <w:rPr>
          <w:rFonts w:ascii="Times New Roman" w:hAnsi="Times New Roman"/>
          <w:kern w:val="0"/>
          <w:sz w:val="22"/>
          <w:lang w:val="lt-LT"/>
          <w14:ligatures w14:val="none"/>
        </w:rPr>
      </w:pPr>
    </w:p>
    <w:p w14:paraId="01DB020B" w14:textId="77777777" w:rsidR="00323207" w:rsidRPr="00F931D9" w:rsidRDefault="00323207" w:rsidP="00323207">
      <w:pPr>
        <w:numPr>
          <w:ilvl w:val="12"/>
          <w:numId w:val="0"/>
        </w:numPr>
        <w:spacing w:after="0" w:line="240" w:lineRule="auto"/>
        <w:ind w:right="-29"/>
        <w:rPr>
          <w:rFonts w:ascii="Times New Roman" w:hAnsi="Times New Roman"/>
          <w:kern w:val="0"/>
          <w:sz w:val="22"/>
          <w:lang w:val="lt-LT"/>
          <w14:ligatures w14:val="none"/>
        </w:rPr>
      </w:pPr>
      <w:r w:rsidRPr="00F931D9">
        <w:rPr>
          <w:rFonts w:ascii="Times New Roman" w:hAnsi="Times New Roman"/>
          <w:kern w:val="0"/>
          <w:sz w:val="22"/>
          <w:lang w:val="lt-LT"/>
          <w14:ligatures w14:val="none"/>
        </w:rPr>
        <w:t>Šis vaistas, kaip ir visi kiti, gali sukelti šalutinį poveikį, nors jis pasireiškia ne visiems žmonėms.</w:t>
      </w:r>
    </w:p>
    <w:p w14:paraId="49E9FF51" w14:textId="77777777" w:rsidR="00323207" w:rsidRPr="00F931D9" w:rsidRDefault="00323207" w:rsidP="00323207">
      <w:pPr>
        <w:numPr>
          <w:ilvl w:val="12"/>
          <w:numId w:val="0"/>
        </w:numPr>
        <w:spacing w:after="0" w:line="240" w:lineRule="auto"/>
        <w:ind w:right="-29"/>
        <w:rPr>
          <w:rFonts w:ascii="Times New Roman" w:hAnsi="Times New Roman"/>
          <w:kern w:val="0"/>
          <w:sz w:val="22"/>
          <w:lang w:val="lt-LT"/>
          <w14:ligatures w14:val="none"/>
        </w:rPr>
      </w:pPr>
    </w:p>
    <w:p w14:paraId="30F49D6C" w14:textId="77777777" w:rsidR="00323207" w:rsidRPr="00F931D9" w:rsidRDefault="00323207" w:rsidP="00323207">
      <w:pPr>
        <w:keepNext/>
        <w:widowControl w:val="0"/>
        <w:spacing w:after="0" w:line="240" w:lineRule="auto"/>
        <w:rPr>
          <w:rFonts w:ascii="Times New Roman" w:hAnsi="Times New Roman"/>
          <w:kern w:val="0"/>
          <w:sz w:val="22"/>
          <w:lang w:val="lt-LT"/>
          <w14:ligatures w14:val="none"/>
        </w:rPr>
      </w:pPr>
      <w:r w:rsidRPr="00F931D9">
        <w:rPr>
          <w:rFonts w:ascii="Times New Roman" w:hAnsi="Times New Roman"/>
          <w:b/>
          <w:kern w:val="0"/>
          <w:sz w:val="22"/>
          <w:lang w:val="lt-LT"/>
          <w14:ligatures w14:val="none"/>
        </w:rPr>
        <w:t>Kai kurie šalutiniai reiškiniai gali būti sunkūs</w:t>
      </w:r>
    </w:p>
    <w:p w14:paraId="3347FE4B" w14:textId="77777777" w:rsidR="00323207" w:rsidRPr="00F931D9" w:rsidRDefault="00323207" w:rsidP="00323207">
      <w:pPr>
        <w:keepNext/>
        <w:widowControl w:val="0"/>
        <w:spacing w:after="0" w:line="240" w:lineRule="auto"/>
        <w:rPr>
          <w:rFonts w:ascii="Times New Roman" w:hAnsi="Times New Roman"/>
          <w:kern w:val="0"/>
          <w:sz w:val="22"/>
          <w:lang w:val="lt-LT"/>
          <w14:ligatures w14:val="none"/>
        </w:rPr>
      </w:pPr>
      <w:r w:rsidRPr="00F931D9">
        <w:rPr>
          <w:rFonts w:ascii="Times New Roman" w:hAnsi="Times New Roman"/>
          <w:b/>
          <w:kern w:val="0"/>
          <w:sz w:val="22"/>
          <w:lang w:val="lt-LT"/>
          <w14:ligatures w14:val="none"/>
        </w:rPr>
        <w:t xml:space="preserve">Nedelsdami pasakykite gydytojui, </w:t>
      </w:r>
      <w:r w:rsidRPr="00F931D9">
        <w:rPr>
          <w:rFonts w:ascii="Times New Roman" w:hAnsi="Times New Roman"/>
          <w:kern w:val="0"/>
          <w:sz w:val="22"/>
          <w:lang w:val="lt-LT"/>
          <w14:ligatures w14:val="none"/>
        </w:rPr>
        <w:t>jeigu pastebėsite bet kurį iš toliau išvardytų sunkių šalutinių reiškinių:</w:t>
      </w:r>
    </w:p>
    <w:p w14:paraId="6BF356B7" w14:textId="77777777" w:rsidR="00323207" w:rsidRPr="00F931D9" w:rsidRDefault="00323207" w:rsidP="00323207">
      <w:pPr>
        <w:numPr>
          <w:ilvl w:val="0"/>
          <w:numId w:val="13"/>
        </w:numPr>
        <w:spacing w:after="0" w:line="240" w:lineRule="auto"/>
        <w:ind w:left="567" w:hanging="567"/>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Ciklosporinas</w:t>
      </w:r>
      <w:proofErr w:type="spellEnd"/>
      <w:r w:rsidRPr="00F931D9">
        <w:rPr>
          <w:rFonts w:ascii="Times New Roman" w:hAnsi="Times New Roman"/>
          <w:kern w:val="0"/>
          <w:sz w:val="22"/>
          <w:lang w:val="lt-LT"/>
          <w14:ligatures w14:val="none"/>
        </w:rPr>
        <w:t>, kaip ir kiti imuninę sistemą slopinantys vaistai, gali turėti įtakos Jūsų organizmo gebėjimui kovoti su infekcijomis, taip pat gali sukelti navikus ar vėžinius pokyčius (ypatingai odos). Infekcijos pasireiškimo požymiais gali būti karščiavimas ir gerklės skausmas.</w:t>
      </w:r>
    </w:p>
    <w:p w14:paraId="715291A7" w14:textId="77777777" w:rsidR="00323207" w:rsidRPr="00F931D9" w:rsidRDefault="00323207" w:rsidP="00323207">
      <w:pPr>
        <w:numPr>
          <w:ilvl w:val="0"/>
          <w:numId w:val="13"/>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Pakitęs regėjimas, sutrikusi koordinacija, nevikri eisena, sutrikusi atmintis, sutrikęs gebėjimas kalbėti ar suprasti kitų kalbą ir raumenų silpnumas. Tai gali būti galvos smegenų infekcijos, vadinamosios progresuojančios </w:t>
      </w:r>
      <w:proofErr w:type="spellStart"/>
      <w:r w:rsidRPr="00F931D9">
        <w:rPr>
          <w:rFonts w:ascii="Times New Roman" w:hAnsi="Times New Roman"/>
          <w:kern w:val="0"/>
          <w:sz w:val="22"/>
          <w:lang w:val="lt-LT"/>
          <w14:ligatures w14:val="none"/>
        </w:rPr>
        <w:t>daugiažidininės</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leukoencefalopatijos</w:t>
      </w:r>
      <w:proofErr w:type="spellEnd"/>
      <w:r w:rsidRPr="00F931D9">
        <w:rPr>
          <w:rFonts w:ascii="Times New Roman" w:hAnsi="Times New Roman"/>
          <w:kern w:val="0"/>
          <w:sz w:val="22"/>
          <w:lang w:val="lt-LT"/>
          <w14:ligatures w14:val="none"/>
        </w:rPr>
        <w:t xml:space="preserve">, požymiai. </w:t>
      </w:r>
    </w:p>
    <w:p w14:paraId="07AAB885" w14:textId="77777777" w:rsidR="00323207" w:rsidRPr="00F931D9" w:rsidRDefault="00323207" w:rsidP="00323207">
      <w:pPr>
        <w:numPr>
          <w:ilvl w:val="0"/>
          <w:numId w:val="13"/>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Galvos smegenų sutrikimas, kuris pasireiškia tokiais požymiais kaip traukuliai, sumišimas, sutrikusi orientacija, sumažėjęs budrumas, pakitusi asmenybė, sujaudinimas, nemiga, pakitęs regėjimas, aklumas, koma, viso kūno ar jo dalies paralyžius, kaklo sustingimas, sutrikusi koordinacija kartu su pakitusiais kalba ar akių judesiais arba be pastarųjų požymių.</w:t>
      </w:r>
    </w:p>
    <w:p w14:paraId="3B757BBE" w14:textId="77777777" w:rsidR="00323207" w:rsidRPr="00F931D9" w:rsidRDefault="00323207" w:rsidP="00323207">
      <w:pPr>
        <w:numPr>
          <w:ilvl w:val="0"/>
          <w:numId w:val="13"/>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Užpakalinės akies dalies patinimas. Tai gali būti susiję su neryškiu matymu. Jūsų regėjimas taip pat gali būti sutrikęs dėl kaukolės ertmėje padidėjusio slėgio (gerybinė </w:t>
      </w:r>
      <w:proofErr w:type="spellStart"/>
      <w:r w:rsidRPr="00F931D9">
        <w:rPr>
          <w:rFonts w:ascii="Times New Roman" w:hAnsi="Times New Roman"/>
          <w:kern w:val="0"/>
          <w:sz w:val="22"/>
          <w:lang w:val="lt-LT"/>
          <w14:ligatures w14:val="none"/>
        </w:rPr>
        <w:t>intrakraninė</w:t>
      </w:r>
      <w:proofErr w:type="spellEnd"/>
      <w:r w:rsidRPr="00F931D9">
        <w:rPr>
          <w:rFonts w:ascii="Times New Roman" w:hAnsi="Times New Roman"/>
          <w:kern w:val="0"/>
          <w:sz w:val="22"/>
          <w:lang w:val="lt-LT"/>
          <w14:ligatures w14:val="none"/>
        </w:rPr>
        <w:t xml:space="preserve"> hipertenzija).</w:t>
      </w:r>
    </w:p>
    <w:p w14:paraId="2518EF0F" w14:textId="77777777" w:rsidR="00323207" w:rsidRPr="00F931D9" w:rsidRDefault="00323207" w:rsidP="00323207">
      <w:pPr>
        <w:numPr>
          <w:ilvl w:val="0"/>
          <w:numId w:val="13"/>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Kepenų veiklos sutrikimas ir kepenų pažeidimas su šiais požymiais (odos ir akių pageltimu, pykinimu, apetito praradimu ir tamsios spalvos šlapimu) arba be jų.</w:t>
      </w:r>
    </w:p>
    <w:p w14:paraId="4897CD6B" w14:textId="77777777" w:rsidR="00323207" w:rsidRPr="00F931D9" w:rsidRDefault="00323207" w:rsidP="00323207">
      <w:pPr>
        <w:numPr>
          <w:ilvl w:val="0"/>
          <w:numId w:val="13"/>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Inkstų veiklos sutrikimas, dėl kurio gali labai sumažėti išskiriamo šlapimo kiekis.</w:t>
      </w:r>
    </w:p>
    <w:p w14:paraId="02B059D7" w14:textId="77777777" w:rsidR="00323207" w:rsidRPr="00F931D9" w:rsidRDefault="00323207" w:rsidP="00323207">
      <w:pPr>
        <w:numPr>
          <w:ilvl w:val="0"/>
          <w:numId w:val="13"/>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Sumažėjęs raudonųjų kraujo ląstelių arba trombocitų skaičius. Šių sutrikimų požymiais yra odos blyškumas, nuovargis, dusulys, tamsios spalvos šlapimas (raudonųjų kraujo ląstelių irimo požymis), mėlynių susidarymas ar kraujavimas be paaiškinamos priežasties, sumišimas, sutrikusi orientacija, sumažėjęs budrumas ir inkstų veiklos sutrikimas.</w:t>
      </w:r>
    </w:p>
    <w:p w14:paraId="42734A06" w14:textId="77777777" w:rsidR="00323207" w:rsidRPr="00F931D9" w:rsidRDefault="00323207" w:rsidP="00323207">
      <w:pPr>
        <w:widowControl w:val="0"/>
        <w:spacing w:after="0" w:line="240" w:lineRule="auto"/>
        <w:rPr>
          <w:rFonts w:ascii="Times New Roman" w:hAnsi="Times New Roman"/>
          <w:kern w:val="0"/>
          <w:sz w:val="22"/>
          <w:lang w:val="lt-LT"/>
          <w14:ligatures w14:val="none"/>
        </w:rPr>
      </w:pPr>
    </w:p>
    <w:p w14:paraId="5BEB9582" w14:textId="77777777" w:rsidR="00323207" w:rsidRPr="00F931D9" w:rsidRDefault="00323207" w:rsidP="00323207">
      <w:pPr>
        <w:widowControl w:val="0"/>
        <w:spacing w:after="0" w:line="240" w:lineRule="auto"/>
        <w:rPr>
          <w:rFonts w:ascii="Times New Roman" w:hAnsi="Times New Roman"/>
          <w:kern w:val="0"/>
          <w:sz w:val="22"/>
          <w:lang w:val="lt-LT"/>
          <w14:ligatures w14:val="none"/>
        </w:rPr>
      </w:pPr>
      <w:r w:rsidRPr="00F931D9">
        <w:rPr>
          <w:rFonts w:ascii="Times New Roman" w:hAnsi="Times New Roman"/>
          <w:b/>
          <w:kern w:val="0"/>
          <w:sz w:val="22"/>
          <w:lang w:val="lt-LT"/>
          <w14:ligatures w14:val="none"/>
        </w:rPr>
        <w:t>Toliau nurodyti kiti galimi šalutiniai poveikiai.</w:t>
      </w:r>
    </w:p>
    <w:p w14:paraId="77D37816" w14:textId="77777777" w:rsidR="00323207" w:rsidRPr="00F931D9" w:rsidRDefault="00323207" w:rsidP="00323207">
      <w:pPr>
        <w:widowControl w:val="0"/>
        <w:spacing w:after="0" w:line="240" w:lineRule="auto"/>
        <w:rPr>
          <w:rFonts w:ascii="Times New Roman" w:hAnsi="Times New Roman"/>
          <w:kern w:val="0"/>
          <w:sz w:val="22"/>
          <w:lang w:val="lt-LT"/>
          <w14:ligatures w14:val="none"/>
        </w:rPr>
      </w:pPr>
    </w:p>
    <w:p w14:paraId="06B2D85C" w14:textId="77777777" w:rsidR="00323207" w:rsidRPr="00F931D9" w:rsidRDefault="00323207" w:rsidP="00323207">
      <w:pPr>
        <w:widowControl w:val="0"/>
        <w:spacing w:after="0" w:line="240" w:lineRule="auto"/>
        <w:rPr>
          <w:rFonts w:ascii="Times New Roman" w:hAnsi="Times New Roman"/>
          <w:kern w:val="0"/>
          <w:sz w:val="22"/>
          <w:lang w:val="lt-LT"/>
          <w14:ligatures w14:val="none"/>
        </w:rPr>
      </w:pPr>
      <w:r w:rsidRPr="00F931D9">
        <w:rPr>
          <w:rFonts w:ascii="Times New Roman" w:hAnsi="Times New Roman"/>
          <w:b/>
          <w:kern w:val="0"/>
          <w:sz w:val="22"/>
          <w:lang w:val="lt-LT"/>
          <w14:ligatures w14:val="none"/>
        </w:rPr>
        <w:t>Labai dažni:</w:t>
      </w:r>
      <w:r w:rsidRPr="00F931D9">
        <w:rPr>
          <w:rFonts w:ascii="Times New Roman" w:hAnsi="Times New Roman"/>
          <w:kern w:val="0"/>
          <w:sz w:val="22"/>
          <w:lang w:val="lt-LT"/>
          <w14:ligatures w14:val="none"/>
        </w:rPr>
        <w:t xml:space="preserve"> gali pasireikšti dažniau kaip 1 iš 10 žmonių</w:t>
      </w:r>
    </w:p>
    <w:p w14:paraId="1622F859" w14:textId="77777777" w:rsidR="00323207" w:rsidRPr="00F931D9" w:rsidRDefault="00323207" w:rsidP="00323207">
      <w:pPr>
        <w:numPr>
          <w:ilvl w:val="0"/>
          <w:numId w:val="13"/>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Inkstų veiklos sutrikimas.</w:t>
      </w:r>
    </w:p>
    <w:p w14:paraId="569E2747" w14:textId="77777777" w:rsidR="00323207" w:rsidRPr="00F931D9" w:rsidRDefault="00323207" w:rsidP="00323207">
      <w:pPr>
        <w:numPr>
          <w:ilvl w:val="0"/>
          <w:numId w:val="13"/>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Padidėjęs kraujospūdis.</w:t>
      </w:r>
    </w:p>
    <w:p w14:paraId="0C55AA6F" w14:textId="77777777" w:rsidR="00323207" w:rsidRPr="00F931D9" w:rsidRDefault="00323207" w:rsidP="00323207">
      <w:pPr>
        <w:numPr>
          <w:ilvl w:val="0"/>
          <w:numId w:val="13"/>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Galvos skausmas.</w:t>
      </w:r>
    </w:p>
    <w:p w14:paraId="4D781D6B" w14:textId="77777777" w:rsidR="00323207" w:rsidRPr="00F931D9" w:rsidRDefault="00323207" w:rsidP="00323207">
      <w:pPr>
        <w:numPr>
          <w:ilvl w:val="0"/>
          <w:numId w:val="13"/>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Kūno drebėjimas, kurio negalite kontroliuoti.</w:t>
      </w:r>
    </w:p>
    <w:p w14:paraId="140D7B73" w14:textId="77777777" w:rsidR="00323207" w:rsidRPr="00F931D9" w:rsidRDefault="00323207" w:rsidP="00323207">
      <w:pPr>
        <w:numPr>
          <w:ilvl w:val="0"/>
          <w:numId w:val="13"/>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Pernelyg didelis kūno ir veido plaukuotumas.</w:t>
      </w:r>
    </w:p>
    <w:p w14:paraId="64459BA1" w14:textId="77777777" w:rsidR="00323207" w:rsidRPr="00F931D9" w:rsidRDefault="00323207" w:rsidP="00323207">
      <w:pPr>
        <w:numPr>
          <w:ilvl w:val="0"/>
          <w:numId w:val="13"/>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Padidėjęs lipidų kiekis kraujyje.</w:t>
      </w:r>
    </w:p>
    <w:p w14:paraId="5D7059CF"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Jeigu bet kuris šių reiškinių tampa sunkiu, </w:t>
      </w:r>
      <w:r w:rsidRPr="00F931D9">
        <w:rPr>
          <w:rFonts w:ascii="Times New Roman" w:hAnsi="Times New Roman"/>
          <w:b/>
          <w:kern w:val="0"/>
          <w:sz w:val="22"/>
          <w:lang w:val="lt-LT"/>
          <w14:ligatures w14:val="none"/>
        </w:rPr>
        <w:t>kreipkitės į gydytoją</w:t>
      </w:r>
      <w:r w:rsidRPr="00F931D9">
        <w:rPr>
          <w:rFonts w:ascii="Times New Roman" w:hAnsi="Times New Roman"/>
          <w:kern w:val="0"/>
          <w:sz w:val="22"/>
          <w:lang w:val="lt-LT"/>
          <w14:ligatures w14:val="none"/>
        </w:rPr>
        <w:t>.</w:t>
      </w:r>
    </w:p>
    <w:p w14:paraId="3A3250BD" w14:textId="77777777" w:rsidR="00323207" w:rsidRPr="00F931D9" w:rsidRDefault="00323207" w:rsidP="00323207">
      <w:pPr>
        <w:spacing w:after="0" w:line="240" w:lineRule="auto"/>
        <w:rPr>
          <w:rFonts w:ascii="Times New Roman" w:hAnsi="Times New Roman"/>
          <w:kern w:val="0"/>
          <w:sz w:val="22"/>
          <w:lang w:val="lt-LT"/>
          <w14:ligatures w14:val="none"/>
        </w:rPr>
      </w:pPr>
    </w:p>
    <w:p w14:paraId="375023C6" w14:textId="77777777" w:rsidR="00323207" w:rsidRPr="00F931D9" w:rsidRDefault="00323207" w:rsidP="00323207">
      <w:pPr>
        <w:keepNext/>
        <w:widowControl w:val="0"/>
        <w:spacing w:after="0" w:line="240" w:lineRule="auto"/>
        <w:rPr>
          <w:rFonts w:ascii="Times New Roman" w:hAnsi="Times New Roman"/>
          <w:kern w:val="0"/>
          <w:sz w:val="22"/>
          <w:lang w:val="lt-LT"/>
          <w14:ligatures w14:val="none"/>
        </w:rPr>
      </w:pPr>
      <w:r w:rsidRPr="00F931D9">
        <w:rPr>
          <w:rFonts w:ascii="Times New Roman" w:hAnsi="Times New Roman"/>
          <w:b/>
          <w:kern w:val="0"/>
          <w:sz w:val="22"/>
          <w:lang w:val="lt-LT"/>
          <w14:ligatures w14:val="none"/>
        </w:rPr>
        <w:t>Dažni:</w:t>
      </w:r>
      <w:r w:rsidRPr="00F931D9">
        <w:rPr>
          <w:rFonts w:ascii="Times New Roman" w:hAnsi="Times New Roman"/>
          <w:kern w:val="0"/>
          <w:sz w:val="22"/>
          <w:lang w:val="lt-LT"/>
          <w14:ligatures w14:val="none"/>
        </w:rPr>
        <w:t xml:space="preserve"> gali pasireikšti rečiau kaip 1 iš 10 žmonių</w:t>
      </w:r>
      <w:r w:rsidRPr="00F931D9" w:rsidDel="007043F1">
        <w:rPr>
          <w:rFonts w:ascii="Times New Roman" w:hAnsi="Times New Roman"/>
          <w:i/>
          <w:kern w:val="0"/>
          <w:sz w:val="22"/>
          <w:lang w:val="lt-LT"/>
          <w14:ligatures w14:val="none"/>
        </w:rPr>
        <w:t xml:space="preserve"> </w:t>
      </w:r>
    </w:p>
    <w:p w14:paraId="187936DA" w14:textId="77777777" w:rsidR="00323207" w:rsidRPr="00F931D9" w:rsidRDefault="00323207" w:rsidP="00323207">
      <w:pPr>
        <w:numPr>
          <w:ilvl w:val="0"/>
          <w:numId w:val="13"/>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Priepuoliai (traukuliai).</w:t>
      </w:r>
    </w:p>
    <w:p w14:paraId="7D3A0D74" w14:textId="77777777" w:rsidR="00323207" w:rsidRPr="00F931D9" w:rsidRDefault="00323207" w:rsidP="00323207">
      <w:pPr>
        <w:numPr>
          <w:ilvl w:val="0"/>
          <w:numId w:val="13"/>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Kepenų veiklos sutrikimas.</w:t>
      </w:r>
    </w:p>
    <w:p w14:paraId="37230730" w14:textId="77777777" w:rsidR="00323207" w:rsidRPr="00F931D9" w:rsidRDefault="00323207" w:rsidP="00323207">
      <w:pPr>
        <w:numPr>
          <w:ilvl w:val="0"/>
          <w:numId w:val="13"/>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Padidėjęs cukraus kiekis kraujyje. </w:t>
      </w:r>
    </w:p>
    <w:p w14:paraId="55D79394" w14:textId="77777777" w:rsidR="00323207" w:rsidRPr="00F931D9" w:rsidRDefault="00323207" w:rsidP="00323207">
      <w:pPr>
        <w:numPr>
          <w:ilvl w:val="0"/>
          <w:numId w:val="13"/>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Nuovargis.</w:t>
      </w:r>
    </w:p>
    <w:p w14:paraId="4A45781F" w14:textId="77777777" w:rsidR="00323207" w:rsidRPr="00F931D9" w:rsidRDefault="00323207" w:rsidP="00323207">
      <w:pPr>
        <w:numPr>
          <w:ilvl w:val="0"/>
          <w:numId w:val="13"/>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Apetito praradimas.</w:t>
      </w:r>
    </w:p>
    <w:p w14:paraId="661E118E" w14:textId="77777777" w:rsidR="00323207" w:rsidRPr="00F931D9" w:rsidRDefault="00323207" w:rsidP="00323207">
      <w:pPr>
        <w:numPr>
          <w:ilvl w:val="0"/>
          <w:numId w:val="13"/>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Pykinimo pojūtis, vėmimas, diskomforto pojūtis pilve/pilvo skausmas, viduriavimas. </w:t>
      </w:r>
    </w:p>
    <w:p w14:paraId="2A945BB0" w14:textId="77777777" w:rsidR="00323207" w:rsidRPr="00F931D9" w:rsidRDefault="00323207" w:rsidP="00323207">
      <w:pPr>
        <w:numPr>
          <w:ilvl w:val="0"/>
          <w:numId w:val="13"/>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lastRenderedPageBreak/>
        <w:t>Padidėjęs plaukuotumas.</w:t>
      </w:r>
    </w:p>
    <w:p w14:paraId="188E4662" w14:textId="77777777" w:rsidR="00323207" w:rsidRPr="00F931D9" w:rsidRDefault="00323207" w:rsidP="00323207">
      <w:pPr>
        <w:numPr>
          <w:ilvl w:val="0"/>
          <w:numId w:val="13"/>
        </w:numPr>
        <w:spacing w:after="0" w:line="240" w:lineRule="auto"/>
        <w:ind w:left="567" w:hanging="567"/>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Aknė</w:t>
      </w:r>
      <w:proofErr w:type="spellEnd"/>
      <w:r w:rsidRPr="00F931D9">
        <w:rPr>
          <w:rFonts w:ascii="Times New Roman" w:hAnsi="Times New Roman"/>
          <w:kern w:val="0"/>
          <w:sz w:val="22"/>
          <w:lang w:val="lt-LT"/>
          <w14:ligatures w14:val="none"/>
        </w:rPr>
        <w:t xml:space="preserve">, veido raudonis. </w:t>
      </w:r>
    </w:p>
    <w:p w14:paraId="252ED01B" w14:textId="77777777" w:rsidR="00323207" w:rsidRPr="00F931D9" w:rsidRDefault="00323207" w:rsidP="00323207">
      <w:pPr>
        <w:numPr>
          <w:ilvl w:val="0"/>
          <w:numId w:val="13"/>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Karščiavimas.</w:t>
      </w:r>
    </w:p>
    <w:p w14:paraId="0FF25F9F" w14:textId="77777777" w:rsidR="00323207" w:rsidRPr="00F931D9" w:rsidRDefault="00323207" w:rsidP="00323207">
      <w:pPr>
        <w:numPr>
          <w:ilvl w:val="0"/>
          <w:numId w:val="13"/>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Sumažėjęs baltųjų kraujo ląstelių skaičius.</w:t>
      </w:r>
    </w:p>
    <w:p w14:paraId="604B18FF" w14:textId="77777777" w:rsidR="00323207" w:rsidRPr="00F931D9" w:rsidRDefault="00323207" w:rsidP="00323207">
      <w:pPr>
        <w:numPr>
          <w:ilvl w:val="0"/>
          <w:numId w:val="13"/>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Tirpimo ar dilgčiojimo pojūtis. </w:t>
      </w:r>
    </w:p>
    <w:p w14:paraId="3C0ADE5B" w14:textId="77777777" w:rsidR="00323207" w:rsidRPr="00F931D9" w:rsidRDefault="00323207" w:rsidP="00323207">
      <w:pPr>
        <w:numPr>
          <w:ilvl w:val="0"/>
          <w:numId w:val="13"/>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Raumenų skausmas, raumenų spazmas.</w:t>
      </w:r>
    </w:p>
    <w:p w14:paraId="08011C3C" w14:textId="77777777" w:rsidR="00323207" w:rsidRPr="00F931D9" w:rsidRDefault="00323207" w:rsidP="00323207">
      <w:pPr>
        <w:numPr>
          <w:ilvl w:val="0"/>
          <w:numId w:val="13"/>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Skrandžio opa.</w:t>
      </w:r>
    </w:p>
    <w:p w14:paraId="2DA4CEBD" w14:textId="77777777" w:rsidR="00323207" w:rsidRPr="00F931D9" w:rsidRDefault="00323207" w:rsidP="00323207">
      <w:pPr>
        <w:numPr>
          <w:ilvl w:val="0"/>
          <w:numId w:val="13"/>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Dantenų padidėjimas taip, kad jos uždengia dantis.</w:t>
      </w:r>
    </w:p>
    <w:p w14:paraId="269BF131" w14:textId="77777777" w:rsidR="00323207" w:rsidRPr="00F931D9" w:rsidRDefault="00323207" w:rsidP="00323207">
      <w:pPr>
        <w:numPr>
          <w:ilvl w:val="0"/>
          <w:numId w:val="13"/>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Padidėjęs šlapimo rūgšties arba kalio kiekis kraujyje, sumažėjęs magnio kiekis kraujyje.</w:t>
      </w:r>
    </w:p>
    <w:p w14:paraId="4780B80C"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Jeigu bet kuris šių reiškinių tampa sunkiu, </w:t>
      </w:r>
      <w:r w:rsidRPr="00F931D9">
        <w:rPr>
          <w:rFonts w:ascii="Times New Roman" w:hAnsi="Times New Roman"/>
          <w:b/>
          <w:kern w:val="0"/>
          <w:sz w:val="22"/>
          <w:lang w:val="lt-LT"/>
          <w14:ligatures w14:val="none"/>
        </w:rPr>
        <w:t>kreipkitės į gydytoją</w:t>
      </w:r>
      <w:r w:rsidRPr="00F931D9">
        <w:rPr>
          <w:rFonts w:ascii="Times New Roman" w:hAnsi="Times New Roman"/>
          <w:kern w:val="0"/>
          <w:sz w:val="22"/>
          <w:lang w:val="lt-LT"/>
          <w14:ligatures w14:val="none"/>
        </w:rPr>
        <w:t>.</w:t>
      </w:r>
    </w:p>
    <w:p w14:paraId="302176A2" w14:textId="77777777" w:rsidR="00323207" w:rsidRPr="00F931D9" w:rsidRDefault="00323207" w:rsidP="00323207">
      <w:pPr>
        <w:spacing w:after="0" w:line="240" w:lineRule="auto"/>
        <w:rPr>
          <w:rFonts w:ascii="Times New Roman" w:hAnsi="Times New Roman"/>
          <w:kern w:val="0"/>
          <w:sz w:val="22"/>
          <w:lang w:val="lt-LT"/>
          <w14:ligatures w14:val="none"/>
        </w:rPr>
      </w:pPr>
    </w:p>
    <w:p w14:paraId="0ED0E944" w14:textId="77777777" w:rsidR="00323207" w:rsidRPr="00F931D9" w:rsidRDefault="00323207" w:rsidP="00323207">
      <w:pPr>
        <w:keepNext/>
        <w:keepLines/>
        <w:spacing w:after="0" w:line="240" w:lineRule="auto"/>
        <w:rPr>
          <w:rFonts w:ascii="Times New Roman" w:hAnsi="Times New Roman"/>
          <w:kern w:val="0"/>
          <w:sz w:val="22"/>
          <w:lang w:val="lt-LT"/>
          <w14:ligatures w14:val="none"/>
        </w:rPr>
      </w:pPr>
      <w:r w:rsidRPr="00F931D9">
        <w:rPr>
          <w:rFonts w:ascii="Times New Roman" w:hAnsi="Times New Roman"/>
          <w:b/>
          <w:kern w:val="0"/>
          <w:sz w:val="22"/>
          <w:lang w:val="lt-LT"/>
          <w14:ligatures w14:val="none"/>
        </w:rPr>
        <w:t>Nedažni:</w:t>
      </w:r>
      <w:r w:rsidRPr="00F931D9">
        <w:rPr>
          <w:rFonts w:ascii="Times New Roman" w:hAnsi="Times New Roman"/>
          <w:kern w:val="0"/>
          <w:sz w:val="22"/>
          <w:lang w:val="lt-LT"/>
          <w14:ligatures w14:val="none"/>
        </w:rPr>
        <w:t xml:space="preserve"> gali pasireikšti rečiau kaip 1 iš 100 žmonių</w:t>
      </w:r>
    </w:p>
    <w:p w14:paraId="7F9182F5" w14:textId="77777777" w:rsidR="00323207" w:rsidRPr="00F931D9" w:rsidRDefault="00323207" w:rsidP="00323207">
      <w:pPr>
        <w:numPr>
          <w:ilvl w:val="0"/>
          <w:numId w:val="14"/>
        </w:numPr>
        <w:spacing w:after="0" w:line="240" w:lineRule="auto"/>
        <w:ind w:left="540" w:hanging="540"/>
        <w:rPr>
          <w:rFonts w:ascii="Times New Roman" w:hAnsi="Times New Roman"/>
          <w:kern w:val="0"/>
          <w:sz w:val="22"/>
          <w:lang w:val="lt-LT"/>
          <w14:ligatures w14:val="none"/>
        </w:rPr>
      </w:pPr>
      <w:r w:rsidRPr="00F931D9">
        <w:rPr>
          <w:rFonts w:ascii="Times New Roman" w:hAnsi="Times New Roman"/>
          <w:kern w:val="0"/>
          <w:sz w:val="22"/>
          <w:lang w:val="lt-LT"/>
          <w14:ligatures w14:val="none"/>
        </w:rPr>
        <w:t>Galvos smegenų veiklos sutrikimo simptomai, įskaitant staigius priepuolius, sąmonės sumišimą, nemigą, sutrikusią orientaciją, regos sutrikimą, sąmonės sutrikimą, silpnumo pojūtį galūnėse, sutrikusius judesius.</w:t>
      </w:r>
    </w:p>
    <w:p w14:paraId="0C59E61F" w14:textId="77777777" w:rsidR="00323207" w:rsidRPr="00F931D9" w:rsidRDefault="00323207" w:rsidP="00323207">
      <w:pPr>
        <w:numPr>
          <w:ilvl w:val="0"/>
          <w:numId w:val="14"/>
        </w:numPr>
        <w:spacing w:after="0" w:line="240" w:lineRule="auto"/>
        <w:ind w:left="540" w:hanging="540"/>
        <w:rPr>
          <w:rFonts w:ascii="Times New Roman" w:hAnsi="Times New Roman"/>
          <w:kern w:val="0"/>
          <w:sz w:val="22"/>
          <w:lang w:val="lt-LT"/>
          <w14:ligatures w14:val="none"/>
        </w:rPr>
      </w:pPr>
      <w:r w:rsidRPr="00F931D9">
        <w:rPr>
          <w:rFonts w:ascii="Times New Roman" w:hAnsi="Times New Roman"/>
          <w:kern w:val="0"/>
          <w:sz w:val="22"/>
          <w:lang w:val="lt-LT"/>
          <w14:ligatures w14:val="none"/>
        </w:rPr>
        <w:t>Bėrimas.</w:t>
      </w:r>
    </w:p>
    <w:p w14:paraId="6FDDE323" w14:textId="77777777" w:rsidR="00323207" w:rsidRPr="00F931D9" w:rsidRDefault="00323207" w:rsidP="00323207">
      <w:pPr>
        <w:numPr>
          <w:ilvl w:val="0"/>
          <w:numId w:val="14"/>
        </w:numPr>
        <w:spacing w:after="0" w:line="240" w:lineRule="auto"/>
        <w:ind w:left="540" w:hanging="540"/>
        <w:rPr>
          <w:rFonts w:ascii="Times New Roman" w:hAnsi="Times New Roman"/>
          <w:kern w:val="0"/>
          <w:sz w:val="22"/>
          <w:lang w:val="lt-LT"/>
          <w14:ligatures w14:val="none"/>
        </w:rPr>
      </w:pPr>
      <w:r w:rsidRPr="00F931D9">
        <w:rPr>
          <w:rFonts w:ascii="Times New Roman" w:hAnsi="Times New Roman"/>
          <w:kern w:val="0"/>
          <w:sz w:val="22"/>
          <w:lang w:val="lt-LT"/>
          <w14:ligatures w14:val="none"/>
        </w:rPr>
        <w:t>Viso kūno patinimas.</w:t>
      </w:r>
    </w:p>
    <w:p w14:paraId="2E5FB88B" w14:textId="77777777" w:rsidR="00323207" w:rsidRPr="00F931D9" w:rsidRDefault="00323207" w:rsidP="00323207">
      <w:pPr>
        <w:numPr>
          <w:ilvl w:val="0"/>
          <w:numId w:val="14"/>
        </w:numPr>
        <w:spacing w:after="0" w:line="240" w:lineRule="auto"/>
        <w:ind w:left="540" w:hanging="540"/>
        <w:rPr>
          <w:rFonts w:ascii="Times New Roman" w:hAnsi="Times New Roman"/>
          <w:kern w:val="0"/>
          <w:sz w:val="22"/>
          <w:lang w:val="lt-LT"/>
          <w14:ligatures w14:val="none"/>
        </w:rPr>
      </w:pPr>
      <w:r w:rsidRPr="00F931D9">
        <w:rPr>
          <w:rFonts w:ascii="Times New Roman" w:hAnsi="Times New Roman"/>
          <w:kern w:val="0"/>
          <w:sz w:val="22"/>
          <w:lang w:val="lt-LT"/>
          <w14:ligatures w14:val="none"/>
        </w:rPr>
        <w:t>Padidėjęs kūno svoris.</w:t>
      </w:r>
    </w:p>
    <w:p w14:paraId="293765AB" w14:textId="77777777" w:rsidR="00323207" w:rsidRPr="00F931D9" w:rsidRDefault="00323207" w:rsidP="00323207">
      <w:pPr>
        <w:numPr>
          <w:ilvl w:val="0"/>
          <w:numId w:val="14"/>
        </w:numPr>
        <w:spacing w:after="0" w:line="240" w:lineRule="auto"/>
        <w:ind w:left="540" w:hanging="540"/>
        <w:rPr>
          <w:rFonts w:ascii="Times New Roman" w:hAnsi="Times New Roman"/>
          <w:kern w:val="0"/>
          <w:sz w:val="22"/>
          <w:lang w:val="lt-LT"/>
          <w14:ligatures w14:val="none"/>
        </w:rPr>
      </w:pPr>
      <w:r w:rsidRPr="00F931D9">
        <w:rPr>
          <w:rFonts w:ascii="Times New Roman" w:hAnsi="Times New Roman"/>
          <w:kern w:val="0"/>
          <w:sz w:val="22"/>
          <w:lang w:val="lt-LT"/>
          <w14:ligatures w14:val="none"/>
        </w:rPr>
        <w:t>Sumažėjęs raudonųjų kraujo ląstelių skaičius, sumažėjęs trombocitų skaičius kraujyje ir dėl galinti padidėti kraujavimo rizika.</w:t>
      </w:r>
    </w:p>
    <w:p w14:paraId="4D441B4D"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Jeigu bet kuris šių reiškinių tampa sunkiu, </w:t>
      </w:r>
      <w:r w:rsidRPr="00F931D9">
        <w:rPr>
          <w:rFonts w:ascii="Times New Roman" w:hAnsi="Times New Roman"/>
          <w:b/>
          <w:kern w:val="0"/>
          <w:sz w:val="22"/>
          <w:lang w:val="lt-LT"/>
          <w14:ligatures w14:val="none"/>
        </w:rPr>
        <w:t>kreipkitės į gydytoją</w:t>
      </w:r>
      <w:r w:rsidRPr="00F931D9">
        <w:rPr>
          <w:rFonts w:ascii="Times New Roman" w:hAnsi="Times New Roman"/>
          <w:kern w:val="0"/>
          <w:sz w:val="22"/>
          <w:lang w:val="lt-LT"/>
          <w14:ligatures w14:val="none"/>
        </w:rPr>
        <w:t>.</w:t>
      </w:r>
    </w:p>
    <w:p w14:paraId="48D82C11" w14:textId="77777777" w:rsidR="00323207" w:rsidRPr="00F931D9" w:rsidRDefault="00323207" w:rsidP="00323207">
      <w:pPr>
        <w:spacing w:after="0" w:line="240" w:lineRule="auto"/>
        <w:rPr>
          <w:rFonts w:ascii="Times New Roman" w:hAnsi="Times New Roman"/>
          <w:kern w:val="0"/>
          <w:sz w:val="22"/>
          <w:lang w:val="lt-LT"/>
          <w14:ligatures w14:val="none"/>
        </w:rPr>
      </w:pPr>
    </w:p>
    <w:p w14:paraId="281F72E0" w14:textId="77777777" w:rsidR="00323207" w:rsidRPr="00F931D9" w:rsidRDefault="00323207" w:rsidP="00323207">
      <w:pPr>
        <w:keepNext/>
        <w:keepLines/>
        <w:spacing w:after="0" w:line="240" w:lineRule="auto"/>
        <w:rPr>
          <w:rFonts w:ascii="Times New Roman" w:hAnsi="Times New Roman"/>
          <w:kern w:val="0"/>
          <w:sz w:val="22"/>
          <w:lang w:val="lt-LT"/>
          <w14:ligatures w14:val="none"/>
        </w:rPr>
      </w:pPr>
      <w:r w:rsidRPr="00F931D9">
        <w:rPr>
          <w:rFonts w:ascii="Times New Roman" w:hAnsi="Times New Roman"/>
          <w:b/>
          <w:kern w:val="0"/>
          <w:sz w:val="22"/>
          <w:lang w:val="lt-LT"/>
          <w14:ligatures w14:val="none"/>
        </w:rPr>
        <w:t>Reti:</w:t>
      </w:r>
      <w:r w:rsidRPr="00F931D9">
        <w:rPr>
          <w:rFonts w:ascii="Times New Roman" w:hAnsi="Times New Roman"/>
          <w:kern w:val="0"/>
          <w:sz w:val="22"/>
          <w:lang w:val="lt-LT"/>
          <w14:ligatures w14:val="none"/>
        </w:rPr>
        <w:t xml:space="preserve"> gali pasireikšti rečiau kaip 1 iš 1 000 žmonių</w:t>
      </w:r>
    </w:p>
    <w:p w14:paraId="5986C807" w14:textId="77777777" w:rsidR="00323207" w:rsidRPr="00F931D9" w:rsidRDefault="00323207" w:rsidP="00323207">
      <w:pPr>
        <w:numPr>
          <w:ilvl w:val="0"/>
          <w:numId w:val="13"/>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Nervų pažeidimas, pasireiškiantis rankų ir kojų pirštų tirpimo ar dilgčiojimo pojūčiu.</w:t>
      </w:r>
    </w:p>
    <w:p w14:paraId="22B4876A" w14:textId="77777777" w:rsidR="00323207" w:rsidRPr="00F931D9" w:rsidRDefault="00323207" w:rsidP="00323207">
      <w:pPr>
        <w:numPr>
          <w:ilvl w:val="0"/>
          <w:numId w:val="13"/>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Kasos uždegimas, pasireiškiantis stipriu viršutinės pilvo dalies skausmu.</w:t>
      </w:r>
    </w:p>
    <w:p w14:paraId="02BBC34E" w14:textId="77777777" w:rsidR="00323207" w:rsidRPr="00F931D9" w:rsidRDefault="00323207" w:rsidP="00323207">
      <w:pPr>
        <w:numPr>
          <w:ilvl w:val="0"/>
          <w:numId w:val="13"/>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Raumenų silpnumas, raumenų jėgos sumažėjimas, kojų ar rankų arba bet kurios organizmo srities raumenų skausmas.</w:t>
      </w:r>
    </w:p>
    <w:p w14:paraId="784039FC" w14:textId="77777777" w:rsidR="00323207" w:rsidRPr="00F931D9" w:rsidRDefault="00323207" w:rsidP="00323207">
      <w:pPr>
        <w:numPr>
          <w:ilvl w:val="0"/>
          <w:numId w:val="13"/>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Raudonųjų kraujo ląstelių irimas, sukeliantis inkstų veiklos sutrikimą ir pasireiškiantis tokiais simptomais, kaip veido, pilvo, plaštakų ir (arba) pėdų patinimas, sumažėjęs šlapimo kiekis, apsunkintas kvėpavimas, krūtinės skausmas, priepuoliai, sąmonės sutrikimas.</w:t>
      </w:r>
    </w:p>
    <w:p w14:paraId="52FD70A9" w14:textId="77777777" w:rsidR="00323207" w:rsidRPr="00F931D9" w:rsidRDefault="00323207" w:rsidP="00323207">
      <w:pPr>
        <w:numPr>
          <w:ilvl w:val="0"/>
          <w:numId w:val="13"/>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Pakitęs mėnesinių ciklas, krūtų padidėjimas vyrams. </w:t>
      </w:r>
    </w:p>
    <w:p w14:paraId="5FD7D464"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Jeigu bet kuris šių reiškinių tampa sunkiu, </w:t>
      </w:r>
      <w:r w:rsidRPr="00F931D9">
        <w:rPr>
          <w:rFonts w:ascii="Times New Roman" w:hAnsi="Times New Roman"/>
          <w:b/>
          <w:kern w:val="0"/>
          <w:sz w:val="22"/>
          <w:lang w:val="lt-LT"/>
          <w14:ligatures w14:val="none"/>
        </w:rPr>
        <w:t>kreipkitės į gydytoją</w:t>
      </w:r>
      <w:r w:rsidRPr="00F931D9">
        <w:rPr>
          <w:rFonts w:ascii="Times New Roman" w:hAnsi="Times New Roman"/>
          <w:kern w:val="0"/>
          <w:sz w:val="22"/>
          <w:lang w:val="lt-LT"/>
          <w14:ligatures w14:val="none"/>
        </w:rPr>
        <w:t>.</w:t>
      </w:r>
    </w:p>
    <w:p w14:paraId="75FBE7BA" w14:textId="77777777" w:rsidR="00323207" w:rsidRPr="00F931D9" w:rsidRDefault="00323207" w:rsidP="00323207">
      <w:pPr>
        <w:spacing w:after="0" w:line="240" w:lineRule="auto"/>
        <w:rPr>
          <w:rFonts w:ascii="Times New Roman" w:hAnsi="Times New Roman"/>
          <w:kern w:val="0"/>
          <w:sz w:val="22"/>
          <w:lang w:val="lt-LT"/>
          <w14:ligatures w14:val="none"/>
        </w:rPr>
      </w:pPr>
    </w:p>
    <w:p w14:paraId="5BF5BDE2" w14:textId="77777777" w:rsidR="00323207" w:rsidRPr="00F931D9" w:rsidRDefault="00323207" w:rsidP="00323207">
      <w:pPr>
        <w:keepNext/>
        <w:keepLines/>
        <w:spacing w:after="0" w:line="240" w:lineRule="auto"/>
        <w:rPr>
          <w:rFonts w:ascii="Times New Roman" w:hAnsi="Times New Roman"/>
          <w:kern w:val="0"/>
          <w:sz w:val="22"/>
          <w:lang w:val="lt-LT"/>
          <w14:ligatures w14:val="none"/>
        </w:rPr>
      </w:pPr>
      <w:r w:rsidRPr="00F931D9">
        <w:rPr>
          <w:rFonts w:ascii="Times New Roman" w:hAnsi="Times New Roman"/>
          <w:b/>
          <w:kern w:val="0"/>
          <w:sz w:val="22"/>
          <w:lang w:val="lt-LT"/>
          <w14:ligatures w14:val="none"/>
        </w:rPr>
        <w:t>Labai reti:</w:t>
      </w:r>
      <w:r w:rsidRPr="00F931D9">
        <w:rPr>
          <w:rFonts w:ascii="Times New Roman" w:hAnsi="Times New Roman"/>
          <w:kern w:val="0"/>
          <w:sz w:val="22"/>
          <w:lang w:val="lt-LT"/>
          <w14:ligatures w14:val="none"/>
        </w:rPr>
        <w:t xml:space="preserve"> gali pasireikšti rečiau kaip 1 iš 10 000 žmonių</w:t>
      </w:r>
    </w:p>
    <w:p w14:paraId="7D8275EB" w14:textId="77777777" w:rsidR="00323207" w:rsidRPr="00F931D9" w:rsidRDefault="00323207" w:rsidP="00323207">
      <w:pPr>
        <w:numPr>
          <w:ilvl w:val="0"/>
          <w:numId w:val="14"/>
        </w:numPr>
        <w:tabs>
          <w:tab w:val="left" w:pos="540"/>
        </w:tabs>
        <w:spacing w:after="0" w:line="240" w:lineRule="auto"/>
        <w:ind w:left="540" w:hanging="540"/>
        <w:rPr>
          <w:rFonts w:ascii="Times New Roman" w:hAnsi="Times New Roman"/>
          <w:kern w:val="0"/>
          <w:sz w:val="22"/>
          <w:lang w:val="lt-LT"/>
          <w14:ligatures w14:val="none"/>
        </w:rPr>
      </w:pPr>
      <w:r w:rsidRPr="00F931D9">
        <w:rPr>
          <w:rFonts w:ascii="Times New Roman" w:hAnsi="Times New Roman"/>
          <w:kern w:val="0"/>
          <w:sz w:val="22"/>
          <w:lang w:val="lt-LT"/>
          <w14:ligatures w14:val="none"/>
        </w:rPr>
        <w:t>Užpakalinės akies srities patinimas, kuris gali būti susijęs su padidėjusiu spaudimu galvoje ir sutrikusiu regėjimu.</w:t>
      </w:r>
    </w:p>
    <w:p w14:paraId="10F2AB04"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Jeigu šis reiškinys tampa sunkiu, </w:t>
      </w:r>
      <w:r w:rsidRPr="00F931D9">
        <w:rPr>
          <w:rFonts w:ascii="Times New Roman" w:hAnsi="Times New Roman"/>
          <w:b/>
          <w:kern w:val="0"/>
          <w:sz w:val="22"/>
          <w:lang w:val="lt-LT"/>
          <w14:ligatures w14:val="none"/>
        </w:rPr>
        <w:t>kreipkitės į gydytoją</w:t>
      </w:r>
      <w:r w:rsidRPr="00F931D9">
        <w:rPr>
          <w:rFonts w:ascii="Times New Roman" w:hAnsi="Times New Roman"/>
          <w:kern w:val="0"/>
          <w:sz w:val="22"/>
          <w:lang w:val="lt-LT"/>
          <w14:ligatures w14:val="none"/>
        </w:rPr>
        <w:t>.</w:t>
      </w:r>
    </w:p>
    <w:p w14:paraId="489768A2" w14:textId="77777777" w:rsidR="00323207" w:rsidRPr="00F931D9" w:rsidRDefault="00323207" w:rsidP="00323207">
      <w:pPr>
        <w:spacing w:after="0" w:line="240" w:lineRule="auto"/>
        <w:rPr>
          <w:kern w:val="0"/>
          <w:lang w:val="lt-LT"/>
          <w14:ligatures w14:val="none"/>
        </w:rPr>
      </w:pPr>
    </w:p>
    <w:p w14:paraId="7395E0D2"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b/>
          <w:kern w:val="0"/>
          <w:sz w:val="22"/>
          <w:lang w:val="lt-LT"/>
          <w14:ligatures w14:val="none"/>
        </w:rPr>
        <w:t xml:space="preserve">Kiti šalutiniai poveikiai, kurių pasireiškimo dažnis nežinomas: </w:t>
      </w:r>
      <w:r w:rsidRPr="00F931D9">
        <w:rPr>
          <w:rFonts w:ascii="Times New Roman" w:hAnsi="Times New Roman"/>
          <w:kern w:val="0"/>
          <w:sz w:val="22"/>
          <w:lang w:val="lt-LT"/>
          <w14:ligatures w14:val="none"/>
        </w:rPr>
        <w:t>dažnis negali būti apskaičiuotas pagal turimus duomenis</w:t>
      </w:r>
    </w:p>
    <w:p w14:paraId="57DECD8D" w14:textId="77777777" w:rsidR="00323207" w:rsidRPr="00F931D9" w:rsidRDefault="00323207" w:rsidP="00323207">
      <w:pPr>
        <w:numPr>
          <w:ilvl w:val="0"/>
          <w:numId w:val="13"/>
        </w:numPr>
        <w:spacing w:after="0" w:line="240" w:lineRule="auto"/>
        <w:ind w:left="540" w:hanging="540"/>
        <w:rPr>
          <w:rFonts w:ascii="Times New Roman" w:hAnsi="Times New Roman"/>
          <w:kern w:val="0"/>
          <w:sz w:val="22"/>
          <w:lang w:val="lt-LT"/>
          <w14:ligatures w14:val="none"/>
        </w:rPr>
      </w:pPr>
      <w:r w:rsidRPr="00F931D9">
        <w:rPr>
          <w:rFonts w:ascii="Times New Roman" w:hAnsi="Times New Roman"/>
          <w:kern w:val="0"/>
          <w:sz w:val="22"/>
          <w:lang w:val="lt-LT"/>
          <w14:ligatures w14:val="none"/>
        </w:rPr>
        <w:t>Sunkus kepenų veiklos sutrikimas kartu su akių ar odos pageltimu, pykinimu, apetito netekimu, tamsios spalvos šlapimu, veido, pėdų, plaštakų ir (ar) viso kūno patinimu arba be šių reiškinių pasireiškimo.</w:t>
      </w:r>
    </w:p>
    <w:p w14:paraId="19807E68" w14:textId="77777777" w:rsidR="00323207" w:rsidRPr="00F931D9" w:rsidRDefault="00323207" w:rsidP="00323207">
      <w:pPr>
        <w:numPr>
          <w:ilvl w:val="0"/>
          <w:numId w:val="13"/>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Kraujavimas po oda arba purpurinių odos dėmių susidarymas, staigus kraujavimas be aiškios priežasties.</w:t>
      </w:r>
    </w:p>
    <w:p w14:paraId="717E09A2" w14:textId="77777777" w:rsidR="00323207" w:rsidRPr="00F931D9" w:rsidRDefault="00323207" w:rsidP="00323207">
      <w:pPr>
        <w:numPr>
          <w:ilvl w:val="0"/>
          <w:numId w:val="13"/>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Migrena arba stiprus galvos skausmas, dažnai lydimas pykinimo ir vėmimo bei padidėjusio jautrumo šviesai.</w:t>
      </w:r>
    </w:p>
    <w:p w14:paraId="0B44925A" w14:textId="77777777" w:rsidR="00323207" w:rsidRPr="00F931D9" w:rsidRDefault="00323207" w:rsidP="00323207">
      <w:pPr>
        <w:numPr>
          <w:ilvl w:val="0"/>
          <w:numId w:val="13"/>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Kojų ir pėdų skausmas.</w:t>
      </w:r>
    </w:p>
    <w:p w14:paraId="60AF3BF8" w14:textId="77777777" w:rsidR="00323207" w:rsidRPr="00F931D9" w:rsidRDefault="00323207" w:rsidP="00323207">
      <w:pPr>
        <w:numPr>
          <w:ilvl w:val="0"/>
          <w:numId w:val="13"/>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Klausos sutrikimas.</w:t>
      </w:r>
    </w:p>
    <w:p w14:paraId="3D9C788E" w14:textId="77777777" w:rsidR="00323207" w:rsidRPr="00F931D9" w:rsidRDefault="00323207" w:rsidP="00323207">
      <w:pPr>
        <w:spacing w:after="0" w:line="240" w:lineRule="auto"/>
        <w:ind w:left="567"/>
        <w:rPr>
          <w:rFonts w:ascii="Times New Roman" w:hAnsi="Times New Roman"/>
          <w:kern w:val="0"/>
          <w:sz w:val="22"/>
          <w:lang w:val="lt-LT"/>
          <w14:ligatures w14:val="none"/>
        </w:rPr>
      </w:pPr>
    </w:p>
    <w:p w14:paraId="36C9A2CC"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Jeigu bet kuris šių reiškinių tampa sunkiu, </w:t>
      </w:r>
      <w:r w:rsidRPr="00F931D9">
        <w:rPr>
          <w:rFonts w:ascii="Times New Roman" w:hAnsi="Times New Roman"/>
          <w:b/>
          <w:kern w:val="0"/>
          <w:sz w:val="22"/>
          <w:lang w:val="lt-LT"/>
          <w14:ligatures w14:val="none"/>
        </w:rPr>
        <w:t>kreipkitės į gydytoją</w:t>
      </w:r>
      <w:r w:rsidRPr="00F931D9">
        <w:rPr>
          <w:rFonts w:ascii="Times New Roman" w:hAnsi="Times New Roman"/>
          <w:kern w:val="0"/>
          <w:sz w:val="22"/>
          <w:lang w:val="lt-LT"/>
          <w14:ligatures w14:val="none"/>
        </w:rPr>
        <w:t>.</w:t>
      </w:r>
    </w:p>
    <w:p w14:paraId="70774353" w14:textId="77777777" w:rsidR="00323207" w:rsidRPr="00F931D9" w:rsidRDefault="00323207" w:rsidP="00323207">
      <w:pPr>
        <w:numPr>
          <w:ilvl w:val="12"/>
          <w:numId w:val="0"/>
        </w:numPr>
        <w:spacing w:after="0" w:line="240" w:lineRule="auto"/>
        <w:ind w:right="-2"/>
        <w:rPr>
          <w:rFonts w:ascii="Times New Roman" w:hAnsi="Times New Roman"/>
          <w:kern w:val="0"/>
          <w:sz w:val="22"/>
          <w:lang w:val="lt-LT"/>
          <w14:ligatures w14:val="none"/>
        </w:rPr>
      </w:pPr>
    </w:p>
    <w:p w14:paraId="2A5EB17A" w14:textId="77777777" w:rsidR="00323207" w:rsidRPr="00F931D9" w:rsidRDefault="00323207" w:rsidP="00323207">
      <w:pPr>
        <w:spacing w:after="0" w:line="240" w:lineRule="auto"/>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Pranešimas apie šalutinį poveikį</w:t>
      </w:r>
    </w:p>
    <w:p w14:paraId="0DCB6592" w14:textId="01B4489E"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w:t>
      </w:r>
      <w:r w:rsidRPr="00F931D9">
        <w:rPr>
          <w:rFonts w:ascii="Times New Roman" w:hAnsi="Times New Roman"/>
          <w:kern w:val="0"/>
          <w:sz w:val="22"/>
          <w:lang w:val="lt-LT"/>
          <w14:ligatures w14:val="none"/>
        </w:rPr>
        <w:lastRenderedPageBreak/>
        <w:t xml:space="preserve">nurodytais būdais arba </w:t>
      </w:r>
      <w:proofErr w:type="spellStart"/>
      <w:r w:rsidRPr="00F931D9">
        <w:rPr>
          <w:rFonts w:ascii="Times New Roman" w:hAnsi="Times New Roman"/>
          <w:kern w:val="0"/>
          <w:sz w:val="22"/>
          <w:lang w:val="lt-LT"/>
          <w14:ligatures w14:val="none"/>
        </w:rPr>
        <w:t>paskambintinemokamu</w:t>
      </w:r>
      <w:proofErr w:type="spellEnd"/>
      <w:r w:rsidRPr="00F931D9">
        <w:rPr>
          <w:rFonts w:ascii="Times New Roman" w:hAnsi="Times New Roman"/>
          <w:kern w:val="0"/>
          <w:sz w:val="22"/>
          <w:lang w:val="lt-LT"/>
          <w14:ligatures w14:val="none"/>
        </w:rPr>
        <w:t xml:space="preserve"> telefonu </w:t>
      </w:r>
      <w:r w:rsidR="00B4654B">
        <w:rPr>
          <w:rFonts w:ascii="Times New Roman" w:eastAsia="SimSun" w:hAnsi="Times New Roman" w:cs="Times New Roman"/>
          <w:noProof/>
          <w:kern w:val="0"/>
          <w:sz w:val="22"/>
          <w:szCs w:val="22"/>
          <w:lang w:val="lt-LT" w:eastAsia="zh-CN"/>
          <w14:ligatures w14:val="none"/>
        </w:rPr>
        <w:t>+370</w:t>
      </w:r>
      <w:r w:rsidRPr="00F931D9">
        <w:rPr>
          <w:rFonts w:ascii="Times New Roman" w:hAnsi="Times New Roman"/>
          <w:kern w:val="0"/>
          <w:sz w:val="22"/>
          <w:lang w:val="lt-LT"/>
          <w14:ligatures w14:val="none"/>
        </w:rPr>
        <w:t xml:space="preserve"> 800 73 568. Pranešdami apie šalutinį poveikį galite mums padėti gauti daugiau informacijos apie šio vaisto saugumą.</w:t>
      </w:r>
    </w:p>
    <w:p w14:paraId="4F045A1F" w14:textId="77777777" w:rsidR="00323207" w:rsidRPr="00F931D9" w:rsidRDefault="00323207" w:rsidP="00323207">
      <w:pPr>
        <w:spacing w:after="0" w:line="240" w:lineRule="auto"/>
        <w:ind w:right="-449"/>
        <w:rPr>
          <w:rFonts w:ascii="Times New Roman" w:hAnsi="Times New Roman"/>
          <w:kern w:val="0"/>
          <w:sz w:val="22"/>
          <w:lang w:val="lt-LT"/>
          <w14:ligatures w14:val="none"/>
        </w:rPr>
      </w:pPr>
    </w:p>
    <w:p w14:paraId="7502270F" w14:textId="77777777" w:rsidR="00323207" w:rsidRPr="00F931D9" w:rsidRDefault="00323207" w:rsidP="00323207">
      <w:pPr>
        <w:numPr>
          <w:ilvl w:val="12"/>
          <w:numId w:val="0"/>
        </w:numPr>
        <w:spacing w:after="0" w:line="240" w:lineRule="auto"/>
        <w:ind w:left="567" w:right="-2" w:hanging="567"/>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Kitas šalutinis poveikis, kuris gali pasireikšti vaikams ir paaugliams</w:t>
      </w:r>
    </w:p>
    <w:p w14:paraId="6EA15572" w14:textId="77777777" w:rsidR="00323207" w:rsidRPr="00F931D9" w:rsidRDefault="00323207" w:rsidP="00323207">
      <w:pPr>
        <w:numPr>
          <w:ilvl w:val="12"/>
          <w:numId w:val="0"/>
        </w:numPr>
        <w:spacing w:after="0" w:line="240" w:lineRule="auto"/>
        <w:ind w:right="-2"/>
        <w:rPr>
          <w:rFonts w:ascii="Times New Roman" w:hAnsi="Times New Roman"/>
          <w:kern w:val="0"/>
          <w:sz w:val="22"/>
          <w:lang w:val="lt-LT"/>
          <w14:ligatures w14:val="none"/>
        </w:rPr>
      </w:pPr>
      <w:r w:rsidRPr="00F931D9">
        <w:rPr>
          <w:rFonts w:ascii="Times New Roman" w:hAnsi="Times New Roman"/>
          <w:kern w:val="0"/>
          <w:sz w:val="22"/>
          <w:lang w:val="lt-LT"/>
          <w14:ligatures w14:val="none"/>
        </w:rPr>
        <w:t>Nesitikima, kad vaikams ir paaugliams pasireikštų papildomų šalutinių reiškinių, lyginant su suaugusiaisiais.</w:t>
      </w:r>
    </w:p>
    <w:p w14:paraId="3E57DEF1" w14:textId="77777777" w:rsidR="00323207" w:rsidRPr="00F931D9" w:rsidRDefault="00323207" w:rsidP="00323207">
      <w:pPr>
        <w:numPr>
          <w:ilvl w:val="12"/>
          <w:numId w:val="0"/>
        </w:numPr>
        <w:spacing w:after="0" w:line="240" w:lineRule="auto"/>
        <w:ind w:right="-2"/>
        <w:rPr>
          <w:rFonts w:ascii="Times New Roman" w:hAnsi="Times New Roman"/>
          <w:kern w:val="0"/>
          <w:sz w:val="22"/>
          <w:lang w:val="lt-LT"/>
          <w14:ligatures w14:val="none"/>
        </w:rPr>
      </w:pPr>
    </w:p>
    <w:p w14:paraId="4C108603" w14:textId="77777777" w:rsidR="00323207" w:rsidRPr="00F931D9" w:rsidRDefault="00323207" w:rsidP="00323207">
      <w:pPr>
        <w:numPr>
          <w:ilvl w:val="12"/>
          <w:numId w:val="0"/>
        </w:numPr>
        <w:spacing w:after="0" w:line="240" w:lineRule="auto"/>
        <w:ind w:right="-2"/>
        <w:rPr>
          <w:rFonts w:ascii="Times New Roman" w:hAnsi="Times New Roman"/>
          <w:kern w:val="0"/>
          <w:sz w:val="22"/>
          <w:lang w:val="lt-LT"/>
          <w14:ligatures w14:val="none"/>
        </w:rPr>
      </w:pPr>
    </w:p>
    <w:p w14:paraId="30F1FF5A" w14:textId="77777777" w:rsidR="00323207" w:rsidRPr="00F931D9" w:rsidRDefault="00323207" w:rsidP="00323207">
      <w:pPr>
        <w:numPr>
          <w:ilvl w:val="12"/>
          <w:numId w:val="0"/>
        </w:numPr>
        <w:spacing w:after="0" w:line="240" w:lineRule="auto"/>
        <w:ind w:left="567" w:right="-2" w:hanging="567"/>
        <w:rPr>
          <w:rFonts w:ascii="Times New Roman" w:hAnsi="Times New Roman"/>
          <w:kern w:val="0"/>
          <w:sz w:val="22"/>
          <w:lang w:val="lt-LT"/>
          <w14:ligatures w14:val="none"/>
        </w:rPr>
      </w:pPr>
      <w:r w:rsidRPr="00F931D9">
        <w:rPr>
          <w:rFonts w:ascii="Times New Roman" w:hAnsi="Times New Roman"/>
          <w:b/>
          <w:kern w:val="0"/>
          <w:sz w:val="22"/>
          <w:lang w:val="lt-LT"/>
          <w14:ligatures w14:val="none"/>
        </w:rPr>
        <w:t>5.</w:t>
      </w:r>
      <w:r w:rsidRPr="00F931D9">
        <w:rPr>
          <w:rFonts w:ascii="Times New Roman" w:hAnsi="Times New Roman"/>
          <w:b/>
          <w:kern w:val="0"/>
          <w:sz w:val="22"/>
          <w:lang w:val="lt-LT"/>
          <w14:ligatures w14:val="none"/>
        </w:rPr>
        <w:tab/>
        <w:t xml:space="preserve">Kaip laikyti </w:t>
      </w: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p>
    <w:p w14:paraId="4EDDE681" w14:textId="77777777" w:rsidR="00323207" w:rsidRPr="00F931D9" w:rsidRDefault="00323207" w:rsidP="00323207">
      <w:pPr>
        <w:spacing w:after="0" w:line="240" w:lineRule="auto"/>
        <w:rPr>
          <w:rFonts w:ascii="Times New Roman" w:hAnsi="Times New Roman"/>
          <w:kern w:val="0"/>
          <w:sz w:val="22"/>
          <w:lang w:val="lt-LT"/>
          <w14:ligatures w14:val="none"/>
        </w:rPr>
      </w:pPr>
    </w:p>
    <w:p w14:paraId="31E0AF4B" w14:textId="77777777" w:rsidR="00323207" w:rsidRPr="00F931D9" w:rsidRDefault="00323207" w:rsidP="00323207">
      <w:pPr>
        <w:numPr>
          <w:ilvl w:val="0"/>
          <w:numId w:val="18"/>
        </w:numPr>
        <w:spacing w:after="0" w:line="240" w:lineRule="auto"/>
        <w:ind w:left="567" w:right="-2"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Šį vaistą laikykite vaikams nepastebimoje ir nepasiekiamoje vietoje. </w:t>
      </w:r>
    </w:p>
    <w:p w14:paraId="13B18E37" w14:textId="77777777" w:rsidR="00323207" w:rsidRPr="00F931D9" w:rsidRDefault="00323207" w:rsidP="00323207">
      <w:pPr>
        <w:numPr>
          <w:ilvl w:val="0"/>
          <w:numId w:val="18"/>
        </w:numPr>
        <w:spacing w:after="0" w:line="240" w:lineRule="auto"/>
        <w:ind w:left="567" w:right="-2"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Ant pakuotės po „EXP“ nurodytam tinkamumo laikui pasibaigus, šio vaisto vartoti negalima.</w:t>
      </w:r>
    </w:p>
    <w:p w14:paraId="1DA98FC7" w14:textId="77777777" w:rsidR="00323207" w:rsidRPr="00F931D9" w:rsidRDefault="00323207" w:rsidP="00323207">
      <w:pPr>
        <w:numPr>
          <w:ilvl w:val="0"/>
          <w:numId w:val="18"/>
        </w:numPr>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Nelaikykite kapsulių karštoje vietoje. Laikyti ne aukštesnėje kaip 25 ºC temperatūroje.</w:t>
      </w:r>
    </w:p>
    <w:p w14:paraId="0CFD76D3" w14:textId="77777777" w:rsidR="00323207" w:rsidRPr="00F931D9" w:rsidRDefault="00323207" w:rsidP="00323207">
      <w:pPr>
        <w:numPr>
          <w:ilvl w:val="0"/>
          <w:numId w:val="18"/>
        </w:numPr>
        <w:spacing w:after="0" w:line="240" w:lineRule="auto"/>
        <w:ind w:left="567" w:hanging="567"/>
        <w:rPr>
          <w:rFonts w:ascii="Times New Roman" w:hAnsi="Times New Roman"/>
          <w:kern w:val="0"/>
          <w:lang w:val="lt-LT"/>
          <w14:ligatures w14:val="none"/>
        </w:rPr>
      </w:pPr>
      <w:r w:rsidRPr="00F931D9">
        <w:rPr>
          <w:rFonts w:ascii="Times New Roman" w:hAnsi="Times New Roman"/>
          <w:kern w:val="0"/>
          <w:sz w:val="22"/>
          <w:lang w:val="lt-LT"/>
          <w14:ligatures w14:val="none"/>
        </w:rPr>
        <w:t>Laikyti gamintojo pakuotėje, kad vaistas būtų apsaugotas nuo drėgmės.</w:t>
      </w:r>
    </w:p>
    <w:p w14:paraId="72C43299" w14:textId="77777777" w:rsidR="00323207" w:rsidRPr="00F931D9" w:rsidRDefault="00323207" w:rsidP="00323207">
      <w:pPr>
        <w:numPr>
          <w:ilvl w:val="0"/>
          <w:numId w:val="18"/>
        </w:numPr>
        <w:spacing w:after="0" w:line="240" w:lineRule="auto"/>
        <w:ind w:left="567" w:hanging="567"/>
        <w:rPr>
          <w:rFonts w:ascii="Times New Roman" w:hAnsi="Times New Roman"/>
          <w:kern w:val="0"/>
          <w:lang w:val="lt-LT"/>
          <w14:ligatures w14:val="none"/>
        </w:rPr>
      </w:pPr>
      <w:r w:rsidRPr="00F931D9">
        <w:rPr>
          <w:rFonts w:ascii="Times New Roman" w:hAnsi="Times New Roman"/>
          <w:kern w:val="0"/>
          <w:sz w:val="22"/>
          <w:lang w:val="lt-LT"/>
          <w14:ligatures w14:val="none"/>
        </w:rPr>
        <w:t>Kapsules laikykite lizdinėje plokštelėje. Jas išimkite tik prieš pat vaisto vartojimą.</w:t>
      </w:r>
    </w:p>
    <w:p w14:paraId="6BD60F64" w14:textId="77777777" w:rsidR="00323207" w:rsidRPr="00F931D9" w:rsidRDefault="00323207" w:rsidP="00323207">
      <w:pPr>
        <w:numPr>
          <w:ilvl w:val="0"/>
          <w:numId w:val="18"/>
        </w:numPr>
        <w:spacing w:after="0" w:line="240" w:lineRule="auto"/>
        <w:ind w:left="567" w:hanging="567"/>
        <w:rPr>
          <w:rFonts w:ascii="Times New Roman" w:hAnsi="Times New Roman"/>
          <w:kern w:val="0"/>
          <w:lang w:val="lt-LT"/>
          <w14:ligatures w14:val="none"/>
        </w:rPr>
      </w:pPr>
      <w:r w:rsidRPr="00F931D9">
        <w:rPr>
          <w:rFonts w:ascii="Times New Roman" w:hAnsi="Times New Roman"/>
          <w:kern w:val="0"/>
          <w:sz w:val="22"/>
          <w:lang w:val="lt-LT"/>
          <w14:ligatures w14:val="none"/>
        </w:rPr>
        <w:t>Praplėšus lizdinę plokštelę, atsiranda būdingas kvapas. Tai yra normalu ir nereiškia, kad su kapsule yra kas nors blogo</w:t>
      </w:r>
      <w:r w:rsidRPr="00F931D9">
        <w:rPr>
          <w:rFonts w:ascii="Times New Roman" w:hAnsi="Times New Roman"/>
          <w:kern w:val="0"/>
          <w:sz w:val="22"/>
          <w14:ligatures w14:val="none"/>
        </w:rPr>
        <w:t>.</w:t>
      </w:r>
    </w:p>
    <w:p w14:paraId="0E195A41" w14:textId="77777777" w:rsidR="00323207" w:rsidRPr="00F931D9" w:rsidRDefault="00323207" w:rsidP="00323207">
      <w:pPr>
        <w:numPr>
          <w:ilvl w:val="0"/>
          <w:numId w:val="18"/>
        </w:numPr>
        <w:spacing w:after="0" w:line="240" w:lineRule="auto"/>
        <w:ind w:left="567" w:right="-2"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Vaistų negalima išmesti į kanalizaciją arba su buitinėmis</w:t>
      </w:r>
      <w:r w:rsidRPr="00F931D9">
        <w:rPr>
          <w:rFonts w:ascii="Times New Roman" w:hAnsi="Times New Roman"/>
          <w:color w:val="993366"/>
          <w:kern w:val="0"/>
          <w:sz w:val="22"/>
          <w:lang w:val="lt-LT"/>
          <w14:ligatures w14:val="none"/>
        </w:rPr>
        <w:t xml:space="preserve"> </w:t>
      </w:r>
      <w:r w:rsidRPr="00F931D9">
        <w:rPr>
          <w:rFonts w:ascii="Times New Roman" w:hAnsi="Times New Roman"/>
          <w:kern w:val="0"/>
          <w:sz w:val="22"/>
          <w:lang w:val="lt-LT"/>
          <w14:ligatures w14:val="none"/>
        </w:rPr>
        <w:t xml:space="preserve">atliekomis. Kaip išmesti nereikalingus vaistus, klauskite vaistininko. Šios priemonės padės apsaugoti aplinką. </w:t>
      </w:r>
    </w:p>
    <w:p w14:paraId="7DA82AE1" w14:textId="77777777" w:rsidR="00323207" w:rsidRPr="00F931D9" w:rsidRDefault="00323207" w:rsidP="00323207">
      <w:pPr>
        <w:numPr>
          <w:ilvl w:val="12"/>
          <w:numId w:val="0"/>
        </w:numPr>
        <w:spacing w:after="0" w:line="240" w:lineRule="auto"/>
        <w:ind w:right="-2"/>
        <w:rPr>
          <w:rFonts w:ascii="Times New Roman" w:hAnsi="Times New Roman"/>
          <w:kern w:val="0"/>
          <w:sz w:val="22"/>
          <w:lang w:val="lt-LT"/>
          <w14:ligatures w14:val="none"/>
        </w:rPr>
      </w:pPr>
    </w:p>
    <w:p w14:paraId="3781ED94" w14:textId="77777777" w:rsidR="00323207" w:rsidRPr="00F931D9" w:rsidRDefault="00323207" w:rsidP="00323207">
      <w:pPr>
        <w:numPr>
          <w:ilvl w:val="12"/>
          <w:numId w:val="0"/>
        </w:numPr>
        <w:spacing w:after="0" w:line="240" w:lineRule="auto"/>
        <w:ind w:right="-2"/>
        <w:rPr>
          <w:rFonts w:ascii="Times New Roman" w:hAnsi="Times New Roman"/>
          <w:kern w:val="0"/>
          <w:sz w:val="22"/>
          <w:lang w:val="lt-LT"/>
          <w14:ligatures w14:val="none"/>
        </w:rPr>
      </w:pPr>
    </w:p>
    <w:p w14:paraId="0E8419B7" w14:textId="77777777" w:rsidR="00323207" w:rsidRPr="00F931D9" w:rsidRDefault="00323207" w:rsidP="00323207">
      <w:pPr>
        <w:numPr>
          <w:ilvl w:val="12"/>
          <w:numId w:val="0"/>
        </w:numPr>
        <w:spacing w:after="0" w:line="240" w:lineRule="auto"/>
        <w:ind w:right="-2"/>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6.</w:t>
      </w:r>
      <w:r w:rsidRPr="00F931D9">
        <w:rPr>
          <w:rFonts w:ascii="Times New Roman" w:hAnsi="Times New Roman"/>
          <w:b/>
          <w:kern w:val="0"/>
          <w:sz w:val="22"/>
          <w:lang w:val="lt-LT"/>
          <w14:ligatures w14:val="none"/>
        </w:rPr>
        <w:tab/>
        <w:t>Pakuotės turinys ir kita informacija</w:t>
      </w:r>
    </w:p>
    <w:p w14:paraId="7CDB37E0" w14:textId="77777777" w:rsidR="00323207" w:rsidRPr="00F931D9" w:rsidRDefault="00323207" w:rsidP="00323207">
      <w:pPr>
        <w:numPr>
          <w:ilvl w:val="12"/>
          <w:numId w:val="0"/>
        </w:numPr>
        <w:spacing w:after="0" w:line="240" w:lineRule="auto"/>
        <w:ind w:right="-2"/>
        <w:rPr>
          <w:rFonts w:ascii="Times New Roman" w:hAnsi="Times New Roman"/>
          <w:kern w:val="0"/>
          <w:sz w:val="22"/>
          <w:lang w:val="lt-LT"/>
          <w14:ligatures w14:val="none"/>
        </w:rPr>
      </w:pPr>
    </w:p>
    <w:p w14:paraId="00FB87A3" w14:textId="77777777" w:rsidR="00323207" w:rsidRPr="00F931D9" w:rsidRDefault="00323207" w:rsidP="00323207">
      <w:pPr>
        <w:numPr>
          <w:ilvl w:val="12"/>
          <w:numId w:val="0"/>
        </w:numPr>
        <w:spacing w:after="0" w:line="240" w:lineRule="auto"/>
        <w:ind w:right="-2"/>
        <w:rPr>
          <w:rFonts w:ascii="Times New Roman" w:hAnsi="Times New Roman"/>
          <w:b/>
          <w:kern w:val="0"/>
          <w:sz w:val="22"/>
          <w:lang w:val="lt-LT"/>
          <w14:ligatures w14:val="none"/>
        </w:rPr>
      </w:pP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r w:rsidRPr="00F931D9">
        <w:rPr>
          <w:rFonts w:ascii="Times New Roman" w:hAnsi="Times New Roman"/>
          <w:b/>
          <w:kern w:val="0"/>
          <w:sz w:val="22"/>
          <w:lang w:val="lt-LT"/>
          <w14:ligatures w14:val="none"/>
        </w:rPr>
        <w:t xml:space="preserve"> sudėtis</w:t>
      </w:r>
    </w:p>
    <w:p w14:paraId="4C8F240C" w14:textId="77777777" w:rsidR="00323207" w:rsidRPr="00F931D9" w:rsidRDefault="00323207" w:rsidP="00323207">
      <w:pPr>
        <w:numPr>
          <w:ilvl w:val="0"/>
          <w:numId w:val="13"/>
        </w:numPr>
        <w:shd w:val="clear" w:color="auto" w:fill="D9D9D9"/>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Veiklioji medžiaga yra </w:t>
      </w:r>
      <w:proofErr w:type="spellStart"/>
      <w:r w:rsidRPr="00F931D9">
        <w:rPr>
          <w:rFonts w:ascii="Times New Roman" w:hAnsi="Times New Roman"/>
          <w:kern w:val="0"/>
          <w:sz w:val="22"/>
          <w:lang w:val="lt-LT"/>
          <w14:ligatures w14:val="none"/>
        </w:rPr>
        <w:t>ciklosporinas</w:t>
      </w:r>
      <w:proofErr w:type="spellEnd"/>
      <w:r w:rsidRPr="00F931D9">
        <w:rPr>
          <w:rFonts w:ascii="Times New Roman" w:hAnsi="Times New Roman"/>
          <w:color w:val="00B050"/>
          <w:kern w:val="0"/>
          <w:sz w:val="22"/>
          <w:lang w:val="lt-LT"/>
          <w14:ligatures w14:val="none"/>
        </w:rPr>
        <w:t>.</w:t>
      </w:r>
      <w:r w:rsidRPr="00F931D9">
        <w:rPr>
          <w:rFonts w:ascii="Times New Roman" w:hAnsi="Times New Roman"/>
          <w:kern w:val="0"/>
          <w:sz w:val="22"/>
          <w:lang w:val="lt-LT"/>
          <w14:ligatures w14:val="none"/>
        </w:rPr>
        <w:t xml:space="preserve"> Kiekvienoje kapsulėje yra 25 mg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w:t>
      </w:r>
    </w:p>
    <w:p w14:paraId="2A66C42B" w14:textId="77777777" w:rsidR="00323207" w:rsidRPr="00F931D9" w:rsidRDefault="00323207" w:rsidP="00323207">
      <w:pPr>
        <w:numPr>
          <w:ilvl w:val="0"/>
          <w:numId w:val="13"/>
        </w:numPr>
        <w:shd w:val="clear" w:color="auto" w:fill="D9D9D9"/>
        <w:spacing w:after="0" w:line="240" w:lineRule="auto"/>
        <w:ind w:left="567" w:hanging="567"/>
        <w:rPr>
          <w:rFonts w:ascii="Times New Roman" w:hAnsi="Times New Roman"/>
          <w:kern w:val="0"/>
          <w:sz w:val="22"/>
          <w:lang w:val="en-GB"/>
          <w14:ligatures w14:val="none"/>
        </w:rPr>
      </w:pPr>
      <w:r w:rsidRPr="00F931D9">
        <w:rPr>
          <w:rFonts w:ascii="Times New Roman" w:hAnsi="Times New Roman"/>
          <w:kern w:val="0"/>
          <w:sz w:val="22"/>
          <w:lang w:val="lt-LT"/>
          <w14:ligatures w14:val="none"/>
        </w:rPr>
        <w:t>Pagalbinės medžiagos yra:</w:t>
      </w:r>
    </w:p>
    <w:p w14:paraId="43806277" w14:textId="77777777" w:rsidR="00323207" w:rsidRPr="00F931D9" w:rsidRDefault="00323207" w:rsidP="00323207">
      <w:pPr>
        <w:shd w:val="clear" w:color="auto" w:fill="D9D9D9"/>
        <w:spacing w:after="0" w:line="240" w:lineRule="auto"/>
        <w:ind w:left="567"/>
        <w:rPr>
          <w:rFonts w:ascii="Times New Roman" w:hAnsi="Times New Roman"/>
          <w:kern w:val="0"/>
          <w:sz w:val="22"/>
          <w:lang w:val="lt-LT"/>
          <w14:ligatures w14:val="none"/>
        </w:rPr>
      </w:pPr>
      <w:r w:rsidRPr="00F931D9">
        <w:rPr>
          <w:rFonts w:ascii="Times New Roman" w:hAnsi="Times New Roman"/>
          <w:kern w:val="0"/>
          <w:sz w:val="22"/>
          <w:lang w:val="lt-LT"/>
          <w14:ligatures w14:val="none"/>
        </w:rPr>
        <w:t>Kapsulės turinys: alfa-</w:t>
      </w:r>
      <w:proofErr w:type="spellStart"/>
      <w:r w:rsidRPr="00F931D9">
        <w:rPr>
          <w:rFonts w:ascii="Times New Roman" w:hAnsi="Times New Roman"/>
          <w:kern w:val="0"/>
          <w:sz w:val="22"/>
          <w:lang w:val="lt-LT"/>
          <w14:ligatures w14:val="none"/>
        </w:rPr>
        <w:t>tokoferolis</w:t>
      </w:r>
      <w:proofErr w:type="spellEnd"/>
      <w:r w:rsidRPr="00F931D9">
        <w:rPr>
          <w:rFonts w:ascii="Times New Roman" w:hAnsi="Times New Roman"/>
          <w:kern w:val="0"/>
          <w:sz w:val="22"/>
          <w:lang w:val="lt-LT"/>
          <w14:ligatures w14:val="none"/>
        </w:rPr>
        <w:t xml:space="preserve">, bevandenis etanolis, </w:t>
      </w:r>
      <w:proofErr w:type="spellStart"/>
      <w:r w:rsidRPr="00F931D9">
        <w:rPr>
          <w:rFonts w:ascii="Times New Roman" w:hAnsi="Times New Roman"/>
          <w:kern w:val="0"/>
          <w:sz w:val="22"/>
          <w:lang w:val="lt-LT"/>
          <w14:ligatures w14:val="none"/>
        </w:rPr>
        <w:t>propilenglikolis</w:t>
      </w:r>
      <w:proofErr w:type="spellEnd"/>
      <w:r w:rsidRPr="00F931D9">
        <w:rPr>
          <w:rFonts w:ascii="Times New Roman" w:hAnsi="Times New Roman"/>
          <w:kern w:val="0"/>
          <w:sz w:val="22"/>
          <w:lang w:val="lt-LT"/>
          <w14:ligatures w14:val="none"/>
        </w:rPr>
        <w:t xml:space="preserve">, kukurūzų aliejaus </w:t>
      </w:r>
      <w:proofErr w:type="spellStart"/>
      <w:r w:rsidRPr="00F931D9">
        <w:rPr>
          <w:rFonts w:ascii="Times New Roman" w:hAnsi="Times New Roman"/>
          <w:kern w:val="0"/>
          <w:sz w:val="22"/>
          <w:lang w:val="lt-LT"/>
          <w14:ligatures w14:val="none"/>
        </w:rPr>
        <w:t>monogliceridai</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digliceridai</w:t>
      </w:r>
      <w:proofErr w:type="spellEnd"/>
      <w:r w:rsidRPr="00F931D9">
        <w:rPr>
          <w:rFonts w:ascii="Times New Roman" w:hAnsi="Times New Roman"/>
          <w:kern w:val="0"/>
          <w:sz w:val="22"/>
          <w:lang w:val="lt-LT"/>
          <w14:ligatures w14:val="none"/>
        </w:rPr>
        <w:t xml:space="preserve"> ir trigliceridai, </w:t>
      </w:r>
      <w:proofErr w:type="spellStart"/>
      <w:r w:rsidRPr="00F931D9">
        <w:rPr>
          <w:rFonts w:ascii="Times New Roman" w:hAnsi="Times New Roman"/>
          <w:kern w:val="0"/>
          <w:sz w:val="22"/>
          <w:lang w:val="lt-LT"/>
          <w14:ligatures w14:val="none"/>
        </w:rPr>
        <w:t>makrogolglicerolio</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hidroksistearatas</w:t>
      </w:r>
      <w:proofErr w:type="spellEnd"/>
      <w:r w:rsidRPr="00F931D9">
        <w:rPr>
          <w:rFonts w:ascii="Times New Roman" w:hAnsi="Times New Roman"/>
          <w:kern w:val="0"/>
          <w:sz w:val="22"/>
          <w:lang w:val="lt-LT"/>
          <w14:ligatures w14:val="none"/>
        </w:rPr>
        <w:t xml:space="preserve"> / </w:t>
      </w:r>
      <w:proofErr w:type="spellStart"/>
      <w:r w:rsidRPr="00F931D9">
        <w:rPr>
          <w:rFonts w:ascii="Times New Roman" w:hAnsi="Times New Roman"/>
          <w:kern w:val="0"/>
          <w:sz w:val="22"/>
          <w:lang w:val="lt-LT"/>
          <w14:ligatures w14:val="none"/>
        </w:rPr>
        <w:t>hidrintas</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polioksil</w:t>
      </w:r>
      <w:proofErr w:type="spellEnd"/>
      <w:r w:rsidRPr="00F931D9">
        <w:rPr>
          <w:rFonts w:ascii="Times New Roman" w:hAnsi="Times New Roman"/>
          <w:kern w:val="0"/>
          <w:sz w:val="22"/>
          <w:lang w:val="lt-LT"/>
          <w14:ligatures w14:val="none"/>
        </w:rPr>
        <w:t xml:space="preserve"> ricinos aliejus. </w:t>
      </w:r>
    </w:p>
    <w:p w14:paraId="2F4E3597" w14:textId="77777777" w:rsidR="00323207" w:rsidRPr="00F931D9" w:rsidRDefault="00323207" w:rsidP="00323207">
      <w:pPr>
        <w:shd w:val="clear" w:color="auto" w:fill="D9D9D9"/>
        <w:spacing w:after="0" w:line="240" w:lineRule="auto"/>
        <w:ind w:left="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Kapsulės apvalkalas: juodasis geležies oksidas (E172), titano dioksidas (E171), </w:t>
      </w:r>
      <w:proofErr w:type="spellStart"/>
      <w:r w:rsidRPr="00F931D9">
        <w:rPr>
          <w:rFonts w:ascii="Times New Roman" w:hAnsi="Times New Roman"/>
          <w:kern w:val="0"/>
          <w:sz w:val="22"/>
          <w:lang w:val="lt-LT"/>
          <w14:ligatures w14:val="none"/>
        </w:rPr>
        <w:t>glicerolis</w:t>
      </w:r>
      <w:proofErr w:type="spellEnd"/>
      <w:r w:rsidRPr="00F931D9">
        <w:rPr>
          <w:rFonts w:ascii="Times New Roman" w:hAnsi="Times New Roman"/>
          <w:kern w:val="0"/>
          <w:sz w:val="22"/>
          <w:lang w:val="lt-LT"/>
          <w14:ligatures w14:val="none"/>
        </w:rPr>
        <w:t xml:space="preserve"> (85 %), </w:t>
      </w:r>
      <w:proofErr w:type="spellStart"/>
      <w:r w:rsidRPr="00F931D9">
        <w:rPr>
          <w:rFonts w:ascii="Times New Roman" w:hAnsi="Times New Roman"/>
          <w:kern w:val="0"/>
          <w:sz w:val="22"/>
          <w:lang w:val="lt-LT"/>
          <w14:ligatures w14:val="none"/>
        </w:rPr>
        <w:t>propilenglikolis</w:t>
      </w:r>
      <w:proofErr w:type="spellEnd"/>
      <w:r w:rsidRPr="00F931D9">
        <w:rPr>
          <w:rFonts w:ascii="Times New Roman" w:hAnsi="Times New Roman"/>
          <w:kern w:val="0"/>
          <w:sz w:val="22"/>
          <w:lang w:val="lt-LT"/>
          <w14:ligatures w14:val="none"/>
        </w:rPr>
        <w:t>, želatina.</w:t>
      </w:r>
    </w:p>
    <w:p w14:paraId="666AAAD5" w14:textId="77777777" w:rsidR="00323207" w:rsidRPr="00F931D9" w:rsidRDefault="00323207" w:rsidP="00323207">
      <w:pPr>
        <w:shd w:val="clear" w:color="auto" w:fill="D9D9D9"/>
        <w:spacing w:after="0" w:line="240" w:lineRule="auto"/>
        <w:ind w:left="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Atspaudas: </w:t>
      </w:r>
      <w:proofErr w:type="spellStart"/>
      <w:r w:rsidRPr="00F931D9">
        <w:rPr>
          <w:rFonts w:ascii="Times New Roman" w:hAnsi="Times New Roman"/>
          <w:kern w:val="0"/>
          <w:sz w:val="22"/>
          <w:lang w:val="lt-LT"/>
          <w14:ligatures w14:val="none"/>
        </w:rPr>
        <w:t>karmino</w:t>
      </w:r>
      <w:proofErr w:type="spellEnd"/>
      <w:r w:rsidRPr="00F931D9">
        <w:rPr>
          <w:rFonts w:ascii="Times New Roman" w:hAnsi="Times New Roman"/>
          <w:kern w:val="0"/>
          <w:sz w:val="22"/>
          <w:lang w:val="lt-LT"/>
          <w14:ligatures w14:val="none"/>
        </w:rPr>
        <w:t xml:space="preserve"> rūgštis (E120), aliuminio chloridas </w:t>
      </w:r>
      <w:proofErr w:type="spellStart"/>
      <w:r w:rsidRPr="00F931D9">
        <w:rPr>
          <w:rFonts w:ascii="Times New Roman" w:hAnsi="Times New Roman"/>
          <w:kern w:val="0"/>
          <w:sz w:val="22"/>
          <w:lang w:val="lt-LT"/>
          <w14:ligatures w14:val="none"/>
        </w:rPr>
        <w:t>heksahidratas</w:t>
      </w:r>
      <w:proofErr w:type="spellEnd"/>
      <w:r w:rsidRPr="00F931D9">
        <w:rPr>
          <w:rFonts w:ascii="Times New Roman" w:hAnsi="Times New Roman"/>
          <w:kern w:val="0"/>
          <w:sz w:val="22"/>
          <w:lang w:val="lt-LT"/>
          <w14:ligatures w14:val="none"/>
        </w:rPr>
        <w:t xml:space="preserve">, natrio hidroksidas, </w:t>
      </w:r>
      <w:proofErr w:type="spellStart"/>
      <w:r w:rsidRPr="00F931D9">
        <w:rPr>
          <w:rFonts w:ascii="Times New Roman" w:hAnsi="Times New Roman"/>
          <w:kern w:val="0"/>
          <w:sz w:val="22"/>
          <w:lang w:val="lt-LT"/>
          <w14:ligatures w14:val="none"/>
        </w:rPr>
        <w:t>propilenglikolis</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hipromeliozė</w:t>
      </w:r>
      <w:proofErr w:type="spellEnd"/>
      <w:r w:rsidRPr="00F931D9">
        <w:rPr>
          <w:rFonts w:ascii="Times New Roman" w:hAnsi="Times New Roman"/>
          <w:kern w:val="0"/>
          <w:sz w:val="22"/>
          <w:lang w:val="lt-LT"/>
          <w14:ligatures w14:val="none"/>
        </w:rPr>
        <w:t xml:space="preserve"> / </w:t>
      </w:r>
      <w:proofErr w:type="spellStart"/>
      <w:r w:rsidRPr="00F931D9">
        <w:rPr>
          <w:rFonts w:ascii="Times New Roman" w:hAnsi="Times New Roman"/>
          <w:kern w:val="0"/>
          <w:sz w:val="22"/>
          <w:lang w:val="lt-LT"/>
          <w14:ligatures w14:val="none"/>
        </w:rPr>
        <w:t>hidroksipropilmetilceliuliozė</w:t>
      </w:r>
      <w:proofErr w:type="spellEnd"/>
      <w:r w:rsidRPr="00F931D9">
        <w:rPr>
          <w:rFonts w:ascii="Times New Roman" w:hAnsi="Times New Roman"/>
          <w:kern w:val="0"/>
          <w:sz w:val="22"/>
          <w:lang w:val="lt-LT"/>
          <w14:ligatures w14:val="none"/>
        </w:rPr>
        <w:t xml:space="preserve"> 2910, </w:t>
      </w:r>
      <w:proofErr w:type="spellStart"/>
      <w:r w:rsidRPr="00F931D9">
        <w:rPr>
          <w:rFonts w:ascii="Times New Roman" w:hAnsi="Times New Roman"/>
          <w:kern w:val="0"/>
          <w:sz w:val="22"/>
          <w:lang w:val="lt-LT"/>
          <w14:ligatures w14:val="none"/>
        </w:rPr>
        <w:t>izopropanolis</w:t>
      </w:r>
      <w:proofErr w:type="spellEnd"/>
      <w:r w:rsidRPr="00F931D9">
        <w:rPr>
          <w:rFonts w:ascii="Times New Roman" w:hAnsi="Times New Roman"/>
          <w:kern w:val="0"/>
          <w:sz w:val="22"/>
          <w:lang w:val="lt-LT"/>
          <w14:ligatures w14:val="none"/>
        </w:rPr>
        <w:t xml:space="preserve"> / izopropilo alkoholis.</w:t>
      </w:r>
    </w:p>
    <w:p w14:paraId="2528AA70" w14:textId="77777777" w:rsidR="00323207" w:rsidRPr="00F931D9" w:rsidRDefault="00323207" w:rsidP="00323207">
      <w:pPr>
        <w:numPr>
          <w:ilvl w:val="0"/>
          <w:numId w:val="13"/>
        </w:numPr>
        <w:shd w:val="clear" w:color="auto" w:fill="BFBFBF"/>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Veiklioji medžiaga yra </w:t>
      </w:r>
      <w:proofErr w:type="spellStart"/>
      <w:r w:rsidRPr="00F931D9">
        <w:rPr>
          <w:rFonts w:ascii="Times New Roman" w:hAnsi="Times New Roman"/>
          <w:kern w:val="0"/>
          <w:sz w:val="22"/>
          <w:lang w:val="lt-LT"/>
          <w14:ligatures w14:val="none"/>
        </w:rPr>
        <w:t>ciklosporinas</w:t>
      </w:r>
      <w:proofErr w:type="spellEnd"/>
      <w:r w:rsidRPr="00F931D9">
        <w:rPr>
          <w:rFonts w:ascii="Times New Roman" w:hAnsi="Times New Roman"/>
          <w:color w:val="00B050"/>
          <w:kern w:val="0"/>
          <w:sz w:val="22"/>
          <w:lang w:val="lt-LT"/>
          <w14:ligatures w14:val="none"/>
        </w:rPr>
        <w:t>.</w:t>
      </w:r>
      <w:r w:rsidRPr="00F931D9">
        <w:rPr>
          <w:rFonts w:ascii="Times New Roman" w:hAnsi="Times New Roman"/>
          <w:kern w:val="0"/>
          <w:sz w:val="22"/>
          <w:lang w:val="lt-LT"/>
          <w14:ligatures w14:val="none"/>
        </w:rPr>
        <w:t xml:space="preserve"> Kiekvienoje kapsulėje yra 50 mg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w:t>
      </w:r>
    </w:p>
    <w:p w14:paraId="241F443C" w14:textId="77777777" w:rsidR="00323207" w:rsidRPr="00F931D9" w:rsidRDefault="00323207" w:rsidP="00323207">
      <w:pPr>
        <w:numPr>
          <w:ilvl w:val="0"/>
          <w:numId w:val="13"/>
        </w:numPr>
        <w:shd w:val="clear" w:color="auto" w:fill="BFBFBF"/>
        <w:spacing w:after="0" w:line="240" w:lineRule="auto"/>
        <w:ind w:left="567" w:hanging="567"/>
        <w:rPr>
          <w:rFonts w:ascii="Times New Roman" w:hAnsi="Times New Roman"/>
          <w:kern w:val="0"/>
          <w:sz w:val="22"/>
          <w:lang w:val="en-GB"/>
          <w14:ligatures w14:val="none"/>
        </w:rPr>
      </w:pPr>
      <w:r w:rsidRPr="00F931D9">
        <w:rPr>
          <w:rFonts w:ascii="Times New Roman" w:hAnsi="Times New Roman"/>
          <w:kern w:val="0"/>
          <w:sz w:val="22"/>
          <w:lang w:val="lt-LT"/>
          <w14:ligatures w14:val="none"/>
        </w:rPr>
        <w:t>Pagalbinės medžiagos yra:</w:t>
      </w:r>
    </w:p>
    <w:p w14:paraId="5E897874" w14:textId="77777777" w:rsidR="00323207" w:rsidRPr="00F931D9" w:rsidRDefault="00323207" w:rsidP="00323207">
      <w:pPr>
        <w:shd w:val="clear" w:color="auto" w:fill="BFBFBF"/>
        <w:spacing w:after="0" w:line="240" w:lineRule="auto"/>
        <w:ind w:left="567"/>
        <w:rPr>
          <w:rFonts w:ascii="Times New Roman" w:hAnsi="Times New Roman"/>
          <w:kern w:val="0"/>
          <w:sz w:val="22"/>
          <w:lang w:val="lt-LT"/>
          <w14:ligatures w14:val="none"/>
        </w:rPr>
      </w:pPr>
      <w:r w:rsidRPr="00F931D9">
        <w:rPr>
          <w:rFonts w:ascii="Times New Roman" w:hAnsi="Times New Roman"/>
          <w:kern w:val="0"/>
          <w:sz w:val="22"/>
          <w:lang w:val="lt-LT"/>
          <w14:ligatures w14:val="none"/>
        </w:rPr>
        <w:t>Kapsulės turinys: alfa-</w:t>
      </w:r>
      <w:proofErr w:type="spellStart"/>
      <w:r w:rsidRPr="00F931D9">
        <w:rPr>
          <w:rFonts w:ascii="Times New Roman" w:hAnsi="Times New Roman"/>
          <w:kern w:val="0"/>
          <w:sz w:val="22"/>
          <w:lang w:val="lt-LT"/>
          <w14:ligatures w14:val="none"/>
        </w:rPr>
        <w:t>tokoferolis</w:t>
      </w:r>
      <w:proofErr w:type="spellEnd"/>
      <w:r w:rsidRPr="00F931D9">
        <w:rPr>
          <w:rFonts w:ascii="Times New Roman" w:hAnsi="Times New Roman"/>
          <w:kern w:val="0"/>
          <w:sz w:val="22"/>
          <w:lang w:val="lt-LT"/>
          <w14:ligatures w14:val="none"/>
        </w:rPr>
        <w:t xml:space="preserve">, bevandenis etanolis, </w:t>
      </w:r>
      <w:proofErr w:type="spellStart"/>
      <w:r w:rsidRPr="00F931D9">
        <w:rPr>
          <w:rFonts w:ascii="Times New Roman" w:hAnsi="Times New Roman"/>
          <w:kern w:val="0"/>
          <w:sz w:val="22"/>
          <w:lang w:val="lt-LT"/>
          <w14:ligatures w14:val="none"/>
        </w:rPr>
        <w:t>propilenglikolis</w:t>
      </w:r>
      <w:proofErr w:type="spellEnd"/>
      <w:r w:rsidRPr="00F931D9">
        <w:rPr>
          <w:rFonts w:ascii="Times New Roman" w:hAnsi="Times New Roman"/>
          <w:kern w:val="0"/>
          <w:sz w:val="22"/>
          <w:lang w:val="lt-LT"/>
          <w14:ligatures w14:val="none"/>
        </w:rPr>
        <w:t xml:space="preserve">, kukurūzų aliejaus </w:t>
      </w:r>
      <w:proofErr w:type="spellStart"/>
      <w:r w:rsidRPr="00F931D9">
        <w:rPr>
          <w:rFonts w:ascii="Times New Roman" w:hAnsi="Times New Roman"/>
          <w:kern w:val="0"/>
          <w:sz w:val="22"/>
          <w:lang w:val="lt-LT"/>
          <w14:ligatures w14:val="none"/>
        </w:rPr>
        <w:t>monogliceridai</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digliceridai</w:t>
      </w:r>
      <w:proofErr w:type="spellEnd"/>
      <w:r w:rsidRPr="00F931D9">
        <w:rPr>
          <w:rFonts w:ascii="Times New Roman" w:hAnsi="Times New Roman"/>
          <w:kern w:val="0"/>
          <w:sz w:val="22"/>
          <w:lang w:val="lt-LT"/>
          <w14:ligatures w14:val="none"/>
        </w:rPr>
        <w:t xml:space="preserve"> ir trigliceridai, </w:t>
      </w:r>
      <w:proofErr w:type="spellStart"/>
      <w:r w:rsidRPr="00F931D9">
        <w:rPr>
          <w:rFonts w:ascii="Times New Roman" w:hAnsi="Times New Roman"/>
          <w:kern w:val="0"/>
          <w:sz w:val="22"/>
          <w:lang w:val="lt-LT"/>
          <w14:ligatures w14:val="none"/>
        </w:rPr>
        <w:t>makrogolglicerolio</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hidroksistearatas</w:t>
      </w:r>
      <w:proofErr w:type="spellEnd"/>
      <w:r w:rsidRPr="00F931D9">
        <w:rPr>
          <w:rFonts w:ascii="Times New Roman" w:hAnsi="Times New Roman"/>
          <w:kern w:val="0"/>
          <w:sz w:val="22"/>
          <w:lang w:val="lt-LT"/>
          <w14:ligatures w14:val="none"/>
        </w:rPr>
        <w:t xml:space="preserve"> / </w:t>
      </w:r>
      <w:proofErr w:type="spellStart"/>
      <w:r w:rsidRPr="00F931D9">
        <w:rPr>
          <w:rFonts w:ascii="Times New Roman" w:hAnsi="Times New Roman"/>
          <w:kern w:val="0"/>
          <w:sz w:val="22"/>
          <w:lang w:val="lt-LT"/>
          <w14:ligatures w14:val="none"/>
        </w:rPr>
        <w:t>hidrintas</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polioksil</w:t>
      </w:r>
      <w:proofErr w:type="spellEnd"/>
      <w:r w:rsidRPr="00F931D9">
        <w:rPr>
          <w:rFonts w:ascii="Times New Roman" w:hAnsi="Times New Roman"/>
          <w:kern w:val="0"/>
          <w:sz w:val="22"/>
          <w:lang w:val="lt-LT"/>
          <w14:ligatures w14:val="none"/>
        </w:rPr>
        <w:t xml:space="preserve"> ricinos aliejus. </w:t>
      </w:r>
    </w:p>
    <w:p w14:paraId="5ADEDEFE" w14:textId="77777777" w:rsidR="00323207" w:rsidRPr="00F931D9" w:rsidRDefault="00323207" w:rsidP="00323207">
      <w:pPr>
        <w:shd w:val="clear" w:color="auto" w:fill="BFBFBF"/>
        <w:spacing w:after="0" w:line="240" w:lineRule="auto"/>
        <w:ind w:left="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Kapsulės apvalkalas: titano dioksidas (E171), </w:t>
      </w:r>
      <w:proofErr w:type="spellStart"/>
      <w:r w:rsidRPr="00F931D9">
        <w:rPr>
          <w:rFonts w:ascii="Times New Roman" w:hAnsi="Times New Roman"/>
          <w:kern w:val="0"/>
          <w:sz w:val="22"/>
          <w:lang w:val="lt-LT"/>
          <w14:ligatures w14:val="none"/>
        </w:rPr>
        <w:t>glicerolis</w:t>
      </w:r>
      <w:proofErr w:type="spellEnd"/>
      <w:r w:rsidRPr="00F931D9">
        <w:rPr>
          <w:rFonts w:ascii="Times New Roman" w:hAnsi="Times New Roman"/>
          <w:kern w:val="0"/>
          <w:sz w:val="22"/>
          <w:lang w:val="lt-LT"/>
          <w14:ligatures w14:val="none"/>
        </w:rPr>
        <w:t xml:space="preserve"> (85 %), </w:t>
      </w:r>
      <w:proofErr w:type="spellStart"/>
      <w:r w:rsidRPr="00F931D9">
        <w:rPr>
          <w:rFonts w:ascii="Times New Roman" w:hAnsi="Times New Roman"/>
          <w:kern w:val="0"/>
          <w:sz w:val="22"/>
          <w:lang w:val="lt-LT"/>
          <w14:ligatures w14:val="none"/>
        </w:rPr>
        <w:t>propilenglikolis</w:t>
      </w:r>
      <w:proofErr w:type="spellEnd"/>
      <w:r w:rsidRPr="00F931D9">
        <w:rPr>
          <w:rFonts w:ascii="Times New Roman" w:hAnsi="Times New Roman"/>
          <w:kern w:val="0"/>
          <w:sz w:val="22"/>
          <w:lang w:val="lt-LT"/>
          <w14:ligatures w14:val="none"/>
        </w:rPr>
        <w:t>, želatina.</w:t>
      </w:r>
    </w:p>
    <w:p w14:paraId="331DA2D8" w14:textId="77777777" w:rsidR="00323207" w:rsidRPr="00F931D9" w:rsidRDefault="00323207" w:rsidP="00323207">
      <w:pPr>
        <w:shd w:val="clear" w:color="auto" w:fill="BFBFBF"/>
        <w:spacing w:after="0" w:line="240" w:lineRule="auto"/>
        <w:ind w:left="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Atspaudas: </w:t>
      </w:r>
      <w:proofErr w:type="spellStart"/>
      <w:r w:rsidRPr="00F931D9">
        <w:rPr>
          <w:rFonts w:ascii="Times New Roman" w:hAnsi="Times New Roman"/>
          <w:kern w:val="0"/>
          <w:sz w:val="22"/>
          <w:lang w:val="lt-LT"/>
          <w14:ligatures w14:val="none"/>
        </w:rPr>
        <w:t>karmino</w:t>
      </w:r>
      <w:proofErr w:type="spellEnd"/>
      <w:r w:rsidRPr="00F931D9">
        <w:rPr>
          <w:rFonts w:ascii="Times New Roman" w:hAnsi="Times New Roman"/>
          <w:kern w:val="0"/>
          <w:sz w:val="22"/>
          <w:lang w:val="lt-LT"/>
          <w14:ligatures w14:val="none"/>
        </w:rPr>
        <w:t xml:space="preserve"> rūgštis (E120), aliuminio chloridas </w:t>
      </w:r>
      <w:proofErr w:type="spellStart"/>
      <w:r w:rsidRPr="00F931D9">
        <w:rPr>
          <w:rFonts w:ascii="Times New Roman" w:hAnsi="Times New Roman"/>
          <w:kern w:val="0"/>
          <w:sz w:val="22"/>
          <w:lang w:val="lt-LT"/>
          <w14:ligatures w14:val="none"/>
        </w:rPr>
        <w:t>heksahidratas</w:t>
      </w:r>
      <w:proofErr w:type="spellEnd"/>
      <w:r w:rsidRPr="00F931D9">
        <w:rPr>
          <w:rFonts w:ascii="Times New Roman" w:hAnsi="Times New Roman"/>
          <w:kern w:val="0"/>
          <w:sz w:val="22"/>
          <w:lang w:val="lt-LT"/>
          <w14:ligatures w14:val="none"/>
        </w:rPr>
        <w:t xml:space="preserve">, natrio hidroksidas, </w:t>
      </w:r>
      <w:proofErr w:type="spellStart"/>
      <w:r w:rsidRPr="00F931D9">
        <w:rPr>
          <w:rFonts w:ascii="Times New Roman" w:hAnsi="Times New Roman"/>
          <w:kern w:val="0"/>
          <w:sz w:val="22"/>
          <w:lang w:val="lt-LT"/>
          <w14:ligatures w14:val="none"/>
        </w:rPr>
        <w:t>propilenglikolis</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hipromeliozė</w:t>
      </w:r>
      <w:proofErr w:type="spellEnd"/>
      <w:r w:rsidRPr="00F931D9">
        <w:rPr>
          <w:rFonts w:ascii="Times New Roman" w:hAnsi="Times New Roman"/>
          <w:kern w:val="0"/>
          <w:sz w:val="22"/>
          <w:lang w:val="lt-LT"/>
          <w14:ligatures w14:val="none"/>
        </w:rPr>
        <w:t xml:space="preserve"> / </w:t>
      </w:r>
      <w:proofErr w:type="spellStart"/>
      <w:r w:rsidRPr="00F931D9">
        <w:rPr>
          <w:rFonts w:ascii="Times New Roman" w:hAnsi="Times New Roman"/>
          <w:kern w:val="0"/>
          <w:sz w:val="22"/>
          <w:lang w:val="lt-LT"/>
          <w14:ligatures w14:val="none"/>
        </w:rPr>
        <w:t>hidroksipropilmetilceliuliozė</w:t>
      </w:r>
      <w:proofErr w:type="spellEnd"/>
      <w:r w:rsidRPr="00F931D9">
        <w:rPr>
          <w:rFonts w:ascii="Times New Roman" w:hAnsi="Times New Roman"/>
          <w:kern w:val="0"/>
          <w:sz w:val="22"/>
          <w:lang w:val="lt-LT"/>
          <w14:ligatures w14:val="none"/>
        </w:rPr>
        <w:t xml:space="preserve"> 2910, </w:t>
      </w:r>
      <w:proofErr w:type="spellStart"/>
      <w:r w:rsidRPr="00F931D9">
        <w:rPr>
          <w:rFonts w:ascii="Times New Roman" w:hAnsi="Times New Roman"/>
          <w:kern w:val="0"/>
          <w:sz w:val="22"/>
          <w:lang w:val="lt-LT"/>
          <w14:ligatures w14:val="none"/>
        </w:rPr>
        <w:t>izopropanolis</w:t>
      </w:r>
      <w:proofErr w:type="spellEnd"/>
      <w:r w:rsidRPr="00F931D9">
        <w:rPr>
          <w:rFonts w:ascii="Times New Roman" w:hAnsi="Times New Roman"/>
          <w:kern w:val="0"/>
          <w:sz w:val="22"/>
          <w:lang w:val="lt-LT"/>
          <w14:ligatures w14:val="none"/>
        </w:rPr>
        <w:t xml:space="preserve"> / izopropilo alkoholis.</w:t>
      </w:r>
    </w:p>
    <w:p w14:paraId="12FD19E1" w14:textId="77777777" w:rsidR="00323207" w:rsidRPr="00F931D9" w:rsidRDefault="00323207" w:rsidP="00323207">
      <w:pPr>
        <w:numPr>
          <w:ilvl w:val="0"/>
          <w:numId w:val="13"/>
        </w:numPr>
        <w:shd w:val="clear" w:color="auto" w:fill="A6A6A6"/>
        <w:spacing w:after="0" w:line="240" w:lineRule="auto"/>
        <w:ind w:left="567" w:hanging="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Veiklioji medžiaga yra </w:t>
      </w:r>
      <w:proofErr w:type="spellStart"/>
      <w:r w:rsidRPr="00F931D9">
        <w:rPr>
          <w:rFonts w:ascii="Times New Roman" w:hAnsi="Times New Roman"/>
          <w:kern w:val="0"/>
          <w:sz w:val="22"/>
          <w:lang w:val="lt-LT"/>
          <w14:ligatures w14:val="none"/>
        </w:rPr>
        <w:t>ciklosporinas</w:t>
      </w:r>
      <w:proofErr w:type="spellEnd"/>
      <w:r w:rsidRPr="00F931D9">
        <w:rPr>
          <w:rFonts w:ascii="Times New Roman" w:hAnsi="Times New Roman"/>
          <w:color w:val="00B050"/>
          <w:kern w:val="0"/>
          <w:sz w:val="22"/>
          <w:lang w:val="lt-LT"/>
          <w14:ligatures w14:val="none"/>
        </w:rPr>
        <w:t>.</w:t>
      </w:r>
      <w:r w:rsidRPr="00F931D9">
        <w:rPr>
          <w:rFonts w:ascii="Times New Roman" w:hAnsi="Times New Roman"/>
          <w:kern w:val="0"/>
          <w:sz w:val="22"/>
          <w:lang w:val="lt-LT"/>
          <w14:ligatures w14:val="none"/>
        </w:rPr>
        <w:t xml:space="preserve"> Kiekvienoje kapsulėje yra 100 mg </w:t>
      </w:r>
      <w:proofErr w:type="spellStart"/>
      <w:r w:rsidRPr="00F931D9">
        <w:rPr>
          <w:rFonts w:ascii="Times New Roman" w:hAnsi="Times New Roman"/>
          <w:kern w:val="0"/>
          <w:sz w:val="22"/>
          <w:lang w:val="lt-LT"/>
          <w14:ligatures w14:val="none"/>
        </w:rPr>
        <w:t>ciklosporino</w:t>
      </w:r>
      <w:proofErr w:type="spellEnd"/>
      <w:r w:rsidRPr="00F931D9">
        <w:rPr>
          <w:rFonts w:ascii="Times New Roman" w:hAnsi="Times New Roman"/>
          <w:kern w:val="0"/>
          <w:sz w:val="22"/>
          <w:lang w:val="lt-LT"/>
          <w14:ligatures w14:val="none"/>
        </w:rPr>
        <w:t>.</w:t>
      </w:r>
    </w:p>
    <w:p w14:paraId="12D68550" w14:textId="77777777" w:rsidR="00323207" w:rsidRPr="00F931D9" w:rsidRDefault="00323207" w:rsidP="00323207">
      <w:pPr>
        <w:numPr>
          <w:ilvl w:val="0"/>
          <w:numId w:val="13"/>
        </w:numPr>
        <w:shd w:val="clear" w:color="auto" w:fill="A6A6A6"/>
        <w:spacing w:after="0" w:line="240" w:lineRule="auto"/>
        <w:ind w:left="567" w:hanging="567"/>
        <w:rPr>
          <w:rFonts w:ascii="Times New Roman" w:hAnsi="Times New Roman"/>
          <w:kern w:val="0"/>
          <w:sz w:val="22"/>
          <w:lang w:val="en-GB"/>
          <w14:ligatures w14:val="none"/>
        </w:rPr>
      </w:pPr>
      <w:r w:rsidRPr="00F931D9">
        <w:rPr>
          <w:rFonts w:ascii="Times New Roman" w:hAnsi="Times New Roman"/>
          <w:kern w:val="0"/>
          <w:sz w:val="22"/>
          <w:lang w:val="lt-LT"/>
          <w14:ligatures w14:val="none"/>
        </w:rPr>
        <w:t>Pagalbinės medžiagos yra:</w:t>
      </w:r>
    </w:p>
    <w:p w14:paraId="4AC506DC" w14:textId="77777777" w:rsidR="00323207" w:rsidRPr="00F931D9" w:rsidRDefault="00323207" w:rsidP="00323207">
      <w:pPr>
        <w:shd w:val="clear" w:color="auto" w:fill="A6A6A6"/>
        <w:spacing w:after="0" w:line="240" w:lineRule="auto"/>
        <w:ind w:left="567"/>
        <w:rPr>
          <w:rFonts w:ascii="Times New Roman" w:hAnsi="Times New Roman"/>
          <w:kern w:val="0"/>
          <w:sz w:val="22"/>
          <w:lang w:val="lt-LT"/>
          <w14:ligatures w14:val="none"/>
        </w:rPr>
      </w:pPr>
      <w:r w:rsidRPr="00F931D9">
        <w:rPr>
          <w:rFonts w:ascii="Times New Roman" w:hAnsi="Times New Roman"/>
          <w:kern w:val="0"/>
          <w:sz w:val="22"/>
          <w:lang w:val="lt-LT"/>
          <w14:ligatures w14:val="none"/>
        </w:rPr>
        <w:t>Kapsulės turinys: alfa-</w:t>
      </w:r>
      <w:proofErr w:type="spellStart"/>
      <w:r w:rsidRPr="00F931D9">
        <w:rPr>
          <w:rFonts w:ascii="Times New Roman" w:hAnsi="Times New Roman"/>
          <w:kern w:val="0"/>
          <w:sz w:val="22"/>
          <w:lang w:val="lt-LT"/>
          <w14:ligatures w14:val="none"/>
        </w:rPr>
        <w:t>tokoferolis</w:t>
      </w:r>
      <w:proofErr w:type="spellEnd"/>
      <w:r w:rsidRPr="00F931D9">
        <w:rPr>
          <w:rFonts w:ascii="Times New Roman" w:hAnsi="Times New Roman"/>
          <w:kern w:val="0"/>
          <w:sz w:val="22"/>
          <w:lang w:val="lt-LT"/>
          <w14:ligatures w14:val="none"/>
        </w:rPr>
        <w:t xml:space="preserve">, bevandenis etanolis, </w:t>
      </w:r>
      <w:proofErr w:type="spellStart"/>
      <w:r w:rsidRPr="00F931D9">
        <w:rPr>
          <w:rFonts w:ascii="Times New Roman" w:hAnsi="Times New Roman"/>
          <w:kern w:val="0"/>
          <w:sz w:val="22"/>
          <w:lang w:val="lt-LT"/>
          <w14:ligatures w14:val="none"/>
        </w:rPr>
        <w:t>propilenglikolis</w:t>
      </w:r>
      <w:proofErr w:type="spellEnd"/>
      <w:r w:rsidRPr="00F931D9">
        <w:rPr>
          <w:rFonts w:ascii="Times New Roman" w:hAnsi="Times New Roman"/>
          <w:kern w:val="0"/>
          <w:sz w:val="22"/>
          <w:lang w:val="lt-LT"/>
          <w14:ligatures w14:val="none"/>
        </w:rPr>
        <w:t xml:space="preserve">, kukurūzų aliejaus </w:t>
      </w:r>
      <w:proofErr w:type="spellStart"/>
      <w:r w:rsidRPr="00F931D9">
        <w:rPr>
          <w:rFonts w:ascii="Times New Roman" w:hAnsi="Times New Roman"/>
          <w:kern w:val="0"/>
          <w:sz w:val="22"/>
          <w:lang w:val="lt-LT"/>
          <w14:ligatures w14:val="none"/>
        </w:rPr>
        <w:t>monogliceridai</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digliceridai</w:t>
      </w:r>
      <w:proofErr w:type="spellEnd"/>
      <w:r w:rsidRPr="00F931D9">
        <w:rPr>
          <w:rFonts w:ascii="Times New Roman" w:hAnsi="Times New Roman"/>
          <w:kern w:val="0"/>
          <w:sz w:val="22"/>
          <w:lang w:val="lt-LT"/>
          <w14:ligatures w14:val="none"/>
        </w:rPr>
        <w:t xml:space="preserve"> ir trigliceridai, </w:t>
      </w:r>
      <w:proofErr w:type="spellStart"/>
      <w:r w:rsidRPr="00F931D9">
        <w:rPr>
          <w:rFonts w:ascii="Times New Roman" w:hAnsi="Times New Roman"/>
          <w:kern w:val="0"/>
          <w:sz w:val="22"/>
          <w:lang w:val="lt-LT"/>
          <w14:ligatures w14:val="none"/>
        </w:rPr>
        <w:t>makrogolglicerolio</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hidroksistearatas</w:t>
      </w:r>
      <w:proofErr w:type="spellEnd"/>
      <w:r w:rsidRPr="00F931D9">
        <w:rPr>
          <w:rFonts w:ascii="Times New Roman" w:hAnsi="Times New Roman"/>
          <w:kern w:val="0"/>
          <w:sz w:val="22"/>
          <w:lang w:val="lt-LT"/>
          <w14:ligatures w14:val="none"/>
        </w:rPr>
        <w:t xml:space="preserve"> / </w:t>
      </w:r>
      <w:proofErr w:type="spellStart"/>
      <w:r w:rsidRPr="00F931D9">
        <w:rPr>
          <w:rFonts w:ascii="Times New Roman" w:hAnsi="Times New Roman"/>
          <w:kern w:val="0"/>
          <w:sz w:val="22"/>
          <w:lang w:val="lt-LT"/>
          <w14:ligatures w14:val="none"/>
        </w:rPr>
        <w:t>hidrintas</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polioksil</w:t>
      </w:r>
      <w:proofErr w:type="spellEnd"/>
      <w:r w:rsidRPr="00F931D9">
        <w:rPr>
          <w:rFonts w:ascii="Times New Roman" w:hAnsi="Times New Roman"/>
          <w:kern w:val="0"/>
          <w:sz w:val="22"/>
          <w:lang w:val="lt-LT"/>
          <w14:ligatures w14:val="none"/>
        </w:rPr>
        <w:t xml:space="preserve"> ricinos aliejus. </w:t>
      </w:r>
    </w:p>
    <w:p w14:paraId="03A4F3A0" w14:textId="77777777" w:rsidR="00323207" w:rsidRPr="00F931D9" w:rsidRDefault="00323207" w:rsidP="00323207">
      <w:pPr>
        <w:shd w:val="clear" w:color="auto" w:fill="A6A6A6"/>
        <w:spacing w:after="0" w:line="240" w:lineRule="auto"/>
        <w:ind w:left="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Kapsulės apvalkalas: juodasis geležies oksidas (E172), titano dioksidas (E171), </w:t>
      </w:r>
      <w:proofErr w:type="spellStart"/>
      <w:r w:rsidRPr="00F931D9">
        <w:rPr>
          <w:rFonts w:ascii="Times New Roman" w:hAnsi="Times New Roman"/>
          <w:kern w:val="0"/>
          <w:sz w:val="22"/>
          <w:lang w:val="lt-LT"/>
          <w14:ligatures w14:val="none"/>
        </w:rPr>
        <w:t>glicerolis</w:t>
      </w:r>
      <w:proofErr w:type="spellEnd"/>
      <w:r w:rsidRPr="00F931D9">
        <w:rPr>
          <w:rFonts w:ascii="Times New Roman" w:hAnsi="Times New Roman"/>
          <w:kern w:val="0"/>
          <w:sz w:val="22"/>
          <w:lang w:val="lt-LT"/>
          <w14:ligatures w14:val="none"/>
        </w:rPr>
        <w:t xml:space="preserve"> (85 %), </w:t>
      </w:r>
      <w:proofErr w:type="spellStart"/>
      <w:r w:rsidRPr="00F931D9">
        <w:rPr>
          <w:rFonts w:ascii="Times New Roman" w:hAnsi="Times New Roman"/>
          <w:kern w:val="0"/>
          <w:sz w:val="22"/>
          <w:lang w:val="lt-LT"/>
          <w14:ligatures w14:val="none"/>
        </w:rPr>
        <w:t>propilenglikolis</w:t>
      </w:r>
      <w:proofErr w:type="spellEnd"/>
      <w:r w:rsidRPr="00F931D9">
        <w:rPr>
          <w:rFonts w:ascii="Times New Roman" w:hAnsi="Times New Roman"/>
          <w:kern w:val="0"/>
          <w:sz w:val="22"/>
          <w:lang w:val="lt-LT"/>
          <w14:ligatures w14:val="none"/>
        </w:rPr>
        <w:t>, želatina.</w:t>
      </w:r>
    </w:p>
    <w:p w14:paraId="6A230276" w14:textId="77777777" w:rsidR="00323207" w:rsidRPr="00F931D9" w:rsidRDefault="00323207" w:rsidP="00323207">
      <w:pPr>
        <w:shd w:val="clear" w:color="auto" w:fill="A6A6A6"/>
        <w:spacing w:after="0" w:line="240" w:lineRule="auto"/>
        <w:ind w:left="567"/>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Atspaudas: </w:t>
      </w:r>
      <w:proofErr w:type="spellStart"/>
      <w:r w:rsidRPr="00F931D9">
        <w:rPr>
          <w:rFonts w:ascii="Times New Roman" w:hAnsi="Times New Roman"/>
          <w:kern w:val="0"/>
          <w:sz w:val="22"/>
          <w:lang w:val="lt-LT"/>
          <w14:ligatures w14:val="none"/>
        </w:rPr>
        <w:t>karmino</w:t>
      </w:r>
      <w:proofErr w:type="spellEnd"/>
      <w:r w:rsidRPr="00F931D9">
        <w:rPr>
          <w:rFonts w:ascii="Times New Roman" w:hAnsi="Times New Roman"/>
          <w:kern w:val="0"/>
          <w:sz w:val="22"/>
          <w:lang w:val="lt-LT"/>
          <w14:ligatures w14:val="none"/>
        </w:rPr>
        <w:t xml:space="preserve"> rūgštis (E120), aliuminio chloridas </w:t>
      </w:r>
      <w:proofErr w:type="spellStart"/>
      <w:r w:rsidRPr="00F931D9">
        <w:rPr>
          <w:rFonts w:ascii="Times New Roman" w:hAnsi="Times New Roman"/>
          <w:kern w:val="0"/>
          <w:sz w:val="22"/>
          <w:lang w:val="lt-LT"/>
          <w14:ligatures w14:val="none"/>
        </w:rPr>
        <w:t>heksahidratas</w:t>
      </w:r>
      <w:proofErr w:type="spellEnd"/>
      <w:r w:rsidRPr="00F931D9">
        <w:rPr>
          <w:rFonts w:ascii="Times New Roman" w:hAnsi="Times New Roman"/>
          <w:kern w:val="0"/>
          <w:sz w:val="22"/>
          <w:lang w:val="lt-LT"/>
          <w14:ligatures w14:val="none"/>
        </w:rPr>
        <w:t xml:space="preserve">, natrio hidroksidas, </w:t>
      </w:r>
      <w:proofErr w:type="spellStart"/>
      <w:r w:rsidRPr="00F931D9">
        <w:rPr>
          <w:rFonts w:ascii="Times New Roman" w:hAnsi="Times New Roman"/>
          <w:kern w:val="0"/>
          <w:sz w:val="22"/>
          <w:lang w:val="lt-LT"/>
          <w14:ligatures w14:val="none"/>
        </w:rPr>
        <w:t>propilenglikolis</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hipromeliozė</w:t>
      </w:r>
      <w:proofErr w:type="spellEnd"/>
      <w:r w:rsidRPr="00F931D9">
        <w:rPr>
          <w:rFonts w:ascii="Times New Roman" w:hAnsi="Times New Roman"/>
          <w:kern w:val="0"/>
          <w:sz w:val="22"/>
          <w:lang w:val="lt-LT"/>
          <w14:ligatures w14:val="none"/>
        </w:rPr>
        <w:t xml:space="preserve"> / </w:t>
      </w:r>
      <w:proofErr w:type="spellStart"/>
      <w:r w:rsidRPr="00F931D9">
        <w:rPr>
          <w:rFonts w:ascii="Times New Roman" w:hAnsi="Times New Roman"/>
          <w:kern w:val="0"/>
          <w:sz w:val="22"/>
          <w:lang w:val="lt-LT"/>
          <w14:ligatures w14:val="none"/>
        </w:rPr>
        <w:t>hidroksipropilmetilceliuliozė</w:t>
      </w:r>
      <w:proofErr w:type="spellEnd"/>
      <w:r w:rsidRPr="00F931D9">
        <w:rPr>
          <w:rFonts w:ascii="Times New Roman" w:hAnsi="Times New Roman"/>
          <w:kern w:val="0"/>
          <w:sz w:val="22"/>
          <w:lang w:val="lt-LT"/>
          <w14:ligatures w14:val="none"/>
        </w:rPr>
        <w:t xml:space="preserve"> 2910, </w:t>
      </w:r>
      <w:proofErr w:type="spellStart"/>
      <w:r w:rsidRPr="00F931D9">
        <w:rPr>
          <w:rFonts w:ascii="Times New Roman" w:hAnsi="Times New Roman"/>
          <w:kern w:val="0"/>
          <w:sz w:val="22"/>
          <w:lang w:val="lt-LT"/>
          <w14:ligatures w14:val="none"/>
        </w:rPr>
        <w:t>izopropanolis</w:t>
      </w:r>
      <w:proofErr w:type="spellEnd"/>
      <w:r w:rsidRPr="00F931D9">
        <w:rPr>
          <w:rFonts w:ascii="Times New Roman" w:hAnsi="Times New Roman"/>
          <w:kern w:val="0"/>
          <w:sz w:val="22"/>
          <w:lang w:val="lt-LT"/>
          <w14:ligatures w14:val="none"/>
        </w:rPr>
        <w:t xml:space="preserve"> / izopropilo alkoholis.</w:t>
      </w:r>
    </w:p>
    <w:p w14:paraId="5C2251B1" w14:textId="77777777" w:rsidR="00323207" w:rsidRPr="00F931D9" w:rsidRDefault="00323207" w:rsidP="00323207">
      <w:pPr>
        <w:spacing w:after="0" w:line="240" w:lineRule="auto"/>
        <w:ind w:right="-2"/>
        <w:rPr>
          <w:rFonts w:ascii="Times New Roman" w:hAnsi="Times New Roman"/>
          <w:kern w:val="0"/>
          <w:sz w:val="22"/>
          <w:lang w:val="lt-LT"/>
          <w14:ligatures w14:val="none"/>
        </w:rPr>
      </w:pPr>
    </w:p>
    <w:p w14:paraId="2BA4D190" w14:textId="77777777" w:rsidR="00323207" w:rsidRPr="00F931D9" w:rsidRDefault="00323207" w:rsidP="00323207">
      <w:pPr>
        <w:numPr>
          <w:ilvl w:val="12"/>
          <w:numId w:val="0"/>
        </w:numPr>
        <w:spacing w:after="0" w:line="240" w:lineRule="auto"/>
        <w:ind w:right="-2"/>
        <w:rPr>
          <w:rFonts w:ascii="Times New Roman" w:hAnsi="Times New Roman"/>
          <w:b/>
          <w:kern w:val="0"/>
          <w:sz w:val="22"/>
          <w:lang w:val="lt-LT"/>
          <w14:ligatures w14:val="none"/>
        </w:rPr>
      </w:pPr>
      <w:proofErr w:type="spellStart"/>
      <w:r w:rsidRPr="00F931D9">
        <w:rPr>
          <w:rFonts w:ascii="Times New Roman" w:hAnsi="Times New Roman"/>
          <w:b/>
          <w:kern w:val="0"/>
          <w:sz w:val="22"/>
          <w:lang w:val="lt-LT"/>
          <w14:ligatures w14:val="none"/>
        </w:rPr>
        <w:t>Sandimmun</w:t>
      </w:r>
      <w:proofErr w:type="spellEnd"/>
      <w:r w:rsidRPr="00F931D9">
        <w:rPr>
          <w:rFonts w:ascii="Times New Roman" w:hAnsi="Times New Roman"/>
          <w:b/>
          <w:kern w:val="0"/>
          <w:sz w:val="22"/>
          <w:lang w:val="lt-LT"/>
          <w14:ligatures w14:val="none"/>
        </w:rPr>
        <w:t> </w:t>
      </w:r>
      <w:proofErr w:type="spellStart"/>
      <w:r w:rsidRPr="00F931D9">
        <w:rPr>
          <w:rFonts w:ascii="Times New Roman" w:hAnsi="Times New Roman"/>
          <w:b/>
          <w:kern w:val="0"/>
          <w:sz w:val="22"/>
          <w:lang w:val="lt-LT"/>
          <w14:ligatures w14:val="none"/>
        </w:rPr>
        <w:t>Neoral</w:t>
      </w:r>
      <w:proofErr w:type="spellEnd"/>
      <w:r w:rsidRPr="00F931D9">
        <w:rPr>
          <w:rFonts w:ascii="Times New Roman" w:hAnsi="Times New Roman"/>
          <w:b/>
          <w:kern w:val="0"/>
          <w:sz w:val="22"/>
          <w:lang w:val="lt-LT"/>
          <w14:ligatures w14:val="none"/>
        </w:rPr>
        <w:t xml:space="preserve"> išvaizda ir kiekis pakuotėje</w:t>
      </w:r>
    </w:p>
    <w:p w14:paraId="6D08481E" w14:textId="77777777" w:rsidR="00323207" w:rsidRPr="00F931D9" w:rsidRDefault="00323207" w:rsidP="00323207">
      <w:pPr>
        <w:shd w:val="clear" w:color="auto" w:fill="D9D9D9"/>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lastRenderedPageBreak/>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25 mg minkštosios kapsulės yra melsvai pilkos spalvos, ovalios, ant kurių raudonai įspausta „NVR 25 mg”.</w:t>
      </w:r>
    </w:p>
    <w:p w14:paraId="71C399B0" w14:textId="77777777" w:rsidR="00323207" w:rsidRPr="00F931D9" w:rsidRDefault="00323207" w:rsidP="00323207">
      <w:pPr>
        <w:shd w:val="clear" w:color="auto" w:fill="BFBFBF"/>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50 mg minkštosios kapsulės yra gelsvai baltos spalvos, pailgos, ant kurių raudonai įspausta „NVR 50 mg”.</w:t>
      </w:r>
    </w:p>
    <w:p w14:paraId="77EBD943" w14:textId="77777777" w:rsidR="00323207" w:rsidRPr="00F931D9" w:rsidRDefault="00323207" w:rsidP="00323207">
      <w:pPr>
        <w:shd w:val="clear" w:color="auto" w:fill="A6A6A6"/>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Sandimmun</w:t>
      </w:r>
      <w:proofErr w:type="spellEnd"/>
      <w:r w:rsidRPr="00F931D9">
        <w:rPr>
          <w:rFonts w:ascii="Times New Roman" w:hAnsi="Times New Roman"/>
          <w:kern w:val="0"/>
          <w:sz w:val="22"/>
          <w:lang w:val="lt-LT"/>
          <w14:ligatures w14:val="none"/>
        </w:rPr>
        <w:t> </w:t>
      </w:r>
      <w:proofErr w:type="spellStart"/>
      <w:r w:rsidRPr="00F931D9">
        <w:rPr>
          <w:rFonts w:ascii="Times New Roman" w:hAnsi="Times New Roman"/>
          <w:kern w:val="0"/>
          <w:sz w:val="22"/>
          <w:lang w:val="lt-LT"/>
          <w14:ligatures w14:val="none"/>
        </w:rPr>
        <w:t>Neoral</w:t>
      </w:r>
      <w:proofErr w:type="spellEnd"/>
      <w:r w:rsidRPr="00F931D9">
        <w:rPr>
          <w:rFonts w:ascii="Times New Roman" w:hAnsi="Times New Roman"/>
          <w:kern w:val="0"/>
          <w:sz w:val="22"/>
          <w:lang w:val="lt-LT"/>
          <w14:ligatures w14:val="none"/>
        </w:rPr>
        <w:t xml:space="preserve"> 100 mg minkštosios kapsulės yra melsvai pilkos spalvos, pailgos, ant kurių raudonai įspausta „NVR 100 mg”.</w:t>
      </w:r>
    </w:p>
    <w:p w14:paraId="2DFAE7F0" w14:textId="77777777" w:rsidR="00323207" w:rsidRPr="00F931D9" w:rsidRDefault="00323207" w:rsidP="00323207">
      <w:pPr>
        <w:spacing w:after="0" w:line="240" w:lineRule="auto"/>
        <w:rPr>
          <w:rFonts w:ascii="Times New Roman" w:hAnsi="Times New Roman"/>
          <w:kern w:val="0"/>
          <w:sz w:val="22"/>
          <w:lang w:val="lt-LT"/>
          <w14:ligatures w14:val="none"/>
        </w:rPr>
      </w:pPr>
    </w:p>
    <w:p w14:paraId="0DA09AC3"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Pakuotėje yra 50 minkštųjų kapsulių.</w:t>
      </w:r>
    </w:p>
    <w:p w14:paraId="655DE3A2" w14:textId="77777777" w:rsidR="00323207" w:rsidRPr="00F931D9" w:rsidRDefault="00323207" w:rsidP="00323207">
      <w:pPr>
        <w:numPr>
          <w:ilvl w:val="12"/>
          <w:numId w:val="0"/>
        </w:numPr>
        <w:spacing w:after="0" w:line="240" w:lineRule="auto"/>
        <w:ind w:right="-2"/>
        <w:rPr>
          <w:rFonts w:ascii="Times New Roman" w:hAnsi="Times New Roman"/>
          <w:kern w:val="0"/>
          <w:sz w:val="22"/>
          <w:u w:val="single"/>
          <w:lang w:val="lt-LT"/>
          <w14:ligatures w14:val="none"/>
        </w:rPr>
      </w:pPr>
    </w:p>
    <w:p w14:paraId="5DF2B1EA" w14:textId="77777777" w:rsidR="00323207" w:rsidRPr="00F931D9" w:rsidRDefault="00323207" w:rsidP="00323207">
      <w:pPr>
        <w:numPr>
          <w:ilvl w:val="12"/>
          <w:numId w:val="0"/>
        </w:numPr>
        <w:spacing w:after="0" w:line="240" w:lineRule="auto"/>
        <w:ind w:right="-2"/>
        <w:rPr>
          <w:rFonts w:ascii="Times New Roman" w:hAnsi="Times New Roman"/>
          <w:kern w:val="0"/>
          <w:sz w:val="22"/>
          <w:u w:val="single"/>
          <w:lang w:val="lt-LT"/>
          <w14:ligatures w14:val="none"/>
        </w:rPr>
      </w:pPr>
    </w:p>
    <w:p w14:paraId="42A045B5" w14:textId="77777777" w:rsidR="00323207" w:rsidRPr="00F931D9" w:rsidRDefault="00323207" w:rsidP="00323207">
      <w:pPr>
        <w:numPr>
          <w:ilvl w:val="12"/>
          <w:numId w:val="0"/>
        </w:numPr>
        <w:spacing w:after="0" w:line="240" w:lineRule="auto"/>
        <w:ind w:right="-2"/>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Registruotojas</w:t>
      </w:r>
    </w:p>
    <w:p w14:paraId="199F1995"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SIA </w:t>
      </w:r>
      <w:proofErr w:type="spellStart"/>
      <w:r w:rsidRPr="00F931D9">
        <w:rPr>
          <w:rFonts w:ascii="Times New Roman" w:hAnsi="Times New Roman"/>
          <w:kern w:val="0"/>
          <w:sz w:val="22"/>
          <w:lang w:val="lt-LT"/>
          <w14:ligatures w14:val="none"/>
        </w:rPr>
        <w:t>Novartis</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Baltics</w:t>
      </w:r>
      <w:proofErr w:type="spellEnd"/>
    </w:p>
    <w:p w14:paraId="07A52107" w14:textId="77777777" w:rsidR="00323207" w:rsidRPr="00F931D9" w:rsidRDefault="00323207" w:rsidP="00323207">
      <w:pPr>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Skanstes</w:t>
      </w:r>
      <w:proofErr w:type="spellEnd"/>
      <w:r w:rsidRPr="00F931D9">
        <w:rPr>
          <w:rFonts w:ascii="Times New Roman" w:hAnsi="Times New Roman"/>
          <w:kern w:val="0"/>
          <w:sz w:val="22"/>
          <w:lang w:val="lt-LT"/>
          <w14:ligatures w14:val="none"/>
        </w:rPr>
        <w:t xml:space="preserve"> </w:t>
      </w:r>
      <w:proofErr w:type="spellStart"/>
      <w:r w:rsidRPr="00F931D9">
        <w:rPr>
          <w:rFonts w:ascii="Times New Roman" w:hAnsi="Times New Roman"/>
          <w:kern w:val="0"/>
          <w:sz w:val="22"/>
          <w:lang w:val="lt-LT"/>
          <w14:ligatures w14:val="none"/>
        </w:rPr>
        <w:t>iela</w:t>
      </w:r>
      <w:proofErr w:type="spellEnd"/>
      <w:r w:rsidRPr="00F931D9">
        <w:rPr>
          <w:rFonts w:ascii="Times New Roman" w:hAnsi="Times New Roman"/>
          <w:kern w:val="0"/>
          <w:sz w:val="22"/>
          <w:lang w:val="lt-LT"/>
          <w14:ligatures w14:val="none"/>
        </w:rPr>
        <w:t xml:space="preserve"> 25</w:t>
      </w:r>
    </w:p>
    <w:p w14:paraId="64F0D059"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 xml:space="preserve">LV-1013, </w:t>
      </w:r>
      <w:proofErr w:type="spellStart"/>
      <w:r w:rsidRPr="00F931D9">
        <w:rPr>
          <w:rFonts w:ascii="Times New Roman" w:hAnsi="Times New Roman"/>
          <w:kern w:val="0"/>
          <w:sz w:val="22"/>
          <w:lang w:val="lt-LT"/>
          <w14:ligatures w14:val="none"/>
        </w:rPr>
        <w:t>Rīga</w:t>
      </w:r>
      <w:proofErr w:type="spellEnd"/>
    </w:p>
    <w:p w14:paraId="0575D920"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Latvija</w:t>
      </w:r>
    </w:p>
    <w:p w14:paraId="15175E98" w14:textId="77777777" w:rsidR="00323207" w:rsidRPr="00F931D9" w:rsidRDefault="00323207" w:rsidP="00323207">
      <w:pPr>
        <w:numPr>
          <w:ilvl w:val="12"/>
          <w:numId w:val="0"/>
        </w:numPr>
        <w:spacing w:after="0" w:line="240" w:lineRule="auto"/>
        <w:ind w:right="-2"/>
        <w:rPr>
          <w:rFonts w:ascii="Times New Roman" w:hAnsi="Times New Roman"/>
          <w:kern w:val="0"/>
          <w:sz w:val="22"/>
          <w:lang w:val="lt-LT"/>
          <w14:ligatures w14:val="none"/>
        </w:rPr>
      </w:pPr>
    </w:p>
    <w:p w14:paraId="3C94A903" w14:textId="77777777" w:rsidR="00323207" w:rsidRPr="00F931D9" w:rsidRDefault="00323207" w:rsidP="00323207">
      <w:pPr>
        <w:numPr>
          <w:ilvl w:val="12"/>
          <w:numId w:val="0"/>
        </w:numPr>
        <w:spacing w:after="0" w:line="240" w:lineRule="auto"/>
        <w:ind w:right="-2"/>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Gamintojas</w:t>
      </w:r>
    </w:p>
    <w:p w14:paraId="2E24AFFB" w14:textId="77777777" w:rsidR="00323207" w:rsidRPr="00F931D9" w:rsidRDefault="00323207" w:rsidP="00323207">
      <w:pPr>
        <w:spacing w:after="0" w:line="240" w:lineRule="auto"/>
        <w:rPr>
          <w:rFonts w:ascii="Times New Roman" w:hAnsi="Times New Roman"/>
          <w:kern w:val="0"/>
          <w:sz w:val="22"/>
          <w:highlight w:val="lightGray"/>
          <w:lang w:val="lt-LT"/>
          <w14:ligatures w14:val="none"/>
        </w:rPr>
      </w:pPr>
      <w:proofErr w:type="spellStart"/>
      <w:r w:rsidRPr="00F931D9">
        <w:rPr>
          <w:rFonts w:ascii="Times New Roman" w:hAnsi="Times New Roman"/>
          <w:kern w:val="0"/>
          <w:sz w:val="22"/>
          <w:highlight w:val="lightGray"/>
          <w:lang w:val="lt-LT"/>
          <w14:ligatures w14:val="none"/>
        </w:rPr>
        <w:t>Lek</w:t>
      </w:r>
      <w:proofErr w:type="spellEnd"/>
      <w:r w:rsidRPr="00F931D9">
        <w:rPr>
          <w:rFonts w:ascii="Times New Roman" w:hAnsi="Times New Roman"/>
          <w:kern w:val="0"/>
          <w:sz w:val="22"/>
          <w:highlight w:val="lightGray"/>
          <w:lang w:val="lt-LT"/>
          <w14:ligatures w14:val="none"/>
        </w:rPr>
        <w:t xml:space="preserve"> </w:t>
      </w:r>
      <w:proofErr w:type="spellStart"/>
      <w:r w:rsidRPr="00F931D9">
        <w:rPr>
          <w:rFonts w:ascii="Times New Roman" w:hAnsi="Times New Roman"/>
          <w:kern w:val="0"/>
          <w:sz w:val="22"/>
          <w:highlight w:val="lightGray"/>
          <w:lang w:val="lt-LT"/>
          <w14:ligatures w14:val="none"/>
        </w:rPr>
        <w:t>Pharmaceuticals</w:t>
      </w:r>
      <w:proofErr w:type="spellEnd"/>
      <w:r w:rsidRPr="00F931D9">
        <w:rPr>
          <w:rFonts w:ascii="Times New Roman" w:hAnsi="Times New Roman"/>
          <w:kern w:val="0"/>
          <w:sz w:val="22"/>
          <w:highlight w:val="lightGray"/>
          <w:lang w:val="lt-LT"/>
          <w14:ligatures w14:val="none"/>
        </w:rPr>
        <w:t xml:space="preserve"> </w:t>
      </w:r>
      <w:proofErr w:type="spellStart"/>
      <w:r w:rsidRPr="00F931D9">
        <w:rPr>
          <w:rFonts w:ascii="Times New Roman" w:hAnsi="Times New Roman"/>
          <w:kern w:val="0"/>
          <w:sz w:val="22"/>
          <w:highlight w:val="lightGray"/>
          <w:lang w:val="lt-LT"/>
          <w14:ligatures w14:val="none"/>
        </w:rPr>
        <w:t>d.d</w:t>
      </w:r>
      <w:proofErr w:type="spellEnd"/>
      <w:r w:rsidRPr="00F931D9">
        <w:rPr>
          <w:rFonts w:ascii="Times New Roman" w:hAnsi="Times New Roman"/>
          <w:kern w:val="0"/>
          <w:sz w:val="22"/>
          <w:highlight w:val="lightGray"/>
          <w:lang w:val="lt-LT"/>
          <w14:ligatures w14:val="none"/>
        </w:rPr>
        <w:t>.</w:t>
      </w:r>
    </w:p>
    <w:p w14:paraId="50800C7F" w14:textId="77777777" w:rsidR="00323207" w:rsidRPr="00F931D9" w:rsidRDefault="00323207" w:rsidP="00323207">
      <w:pPr>
        <w:spacing w:after="0" w:line="240" w:lineRule="auto"/>
        <w:rPr>
          <w:rFonts w:ascii="Times New Roman" w:hAnsi="Times New Roman"/>
          <w:kern w:val="0"/>
          <w:sz w:val="22"/>
          <w:highlight w:val="lightGray"/>
          <w:lang w:val="lt-LT"/>
          <w14:ligatures w14:val="none"/>
        </w:rPr>
      </w:pPr>
      <w:proofErr w:type="spellStart"/>
      <w:r w:rsidRPr="00F931D9">
        <w:rPr>
          <w:rFonts w:ascii="Times New Roman" w:hAnsi="Times New Roman"/>
          <w:kern w:val="0"/>
          <w:sz w:val="22"/>
          <w:highlight w:val="lightGray"/>
          <w:lang w:val="lt-LT"/>
          <w14:ligatures w14:val="none"/>
        </w:rPr>
        <w:t>Trimlini</w:t>
      </w:r>
      <w:proofErr w:type="spellEnd"/>
      <w:r w:rsidRPr="00F931D9">
        <w:rPr>
          <w:rFonts w:ascii="Times New Roman" w:hAnsi="Times New Roman"/>
          <w:kern w:val="0"/>
          <w:sz w:val="22"/>
          <w:highlight w:val="lightGray"/>
          <w:lang w:val="lt-LT"/>
          <w14:ligatures w14:val="none"/>
        </w:rPr>
        <w:t xml:space="preserve"> 2D</w:t>
      </w:r>
    </w:p>
    <w:p w14:paraId="5B6C3595" w14:textId="77777777" w:rsidR="00323207" w:rsidRPr="00F931D9" w:rsidRDefault="00323207" w:rsidP="00323207">
      <w:pPr>
        <w:spacing w:after="0" w:line="240" w:lineRule="auto"/>
        <w:rPr>
          <w:rFonts w:ascii="Times New Roman" w:hAnsi="Times New Roman"/>
          <w:kern w:val="0"/>
          <w:sz w:val="22"/>
          <w:highlight w:val="lightGray"/>
          <w:lang w:val="lt-LT"/>
          <w14:ligatures w14:val="none"/>
        </w:rPr>
      </w:pPr>
      <w:r w:rsidRPr="00F931D9">
        <w:rPr>
          <w:rFonts w:ascii="Times New Roman" w:hAnsi="Times New Roman"/>
          <w:kern w:val="0"/>
          <w:sz w:val="22"/>
          <w:highlight w:val="lightGray"/>
          <w:lang w:val="lt-LT"/>
          <w14:ligatures w14:val="none"/>
        </w:rPr>
        <w:t xml:space="preserve">9220 </w:t>
      </w:r>
      <w:proofErr w:type="spellStart"/>
      <w:r w:rsidRPr="00F931D9">
        <w:rPr>
          <w:rFonts w:ascii="Times New Roman" w:hAnsi="Times New Roman"/>
          <w:kern w:val="0"/>
          <w:sz w:val="22"/>
          <w:highlight w:val="lightGray"/>
          <w:lang w:val="lt-LT"/>
          <w14:ligatures w14:val="none"/>
        </w:rPr>
        <w:t>Lendava</w:t>
      </w:r>
      <w:proofErr w:type="spellEnd"/>
    </w:p>
    <w:p w14:paraId="61507FFA" w14:textId="77777777" w:rsidR="00323207" w:rsidRPr="00F931D9" w:rsidRDefault="00323207" w:rsidP="00323207">
      <w:pPr>
        <w:spacing w:after="0" w:line="240" w:lineRule="auto"/>
        <w:rPr>
          <w:rFonts w:ascii="Times New Roman" w:hAnsi="Times New Roman"/>
          <w:kern w:val="0"/>
          <w:sz w:val="22"/>
          <w14:ligatures w14:val="none"/>
        </w:rPr>
      </w:pPr>
      <w:proofErr w:type="spellStart"/>
      <w:r w:rsidRPr="00F931D9">
        <w:rPr>
          <w:rFonts w:ascii="Times New Roman" w:hAnsi="Times New Roman"/>
          <w:kern w:val="0"/>
          <w:sz w:val="22"/>
          <w:highlight w:val="lightGray"/>
          <w14:ligatures w14:val="none"/>
        </w:rPr>
        <w:t>Slovėnija</w:t>
      </w:r>
      <w:proofErr w:type="spellEnd"/>
    </w:p>
    <w:p w14:paraId="684A7468" w14:textId="77777777" w:rsidR="00323207" w:rsidRPr="00F931D9" w:rsidRDefault="00323207" w:rsidP="00323207">
      <w:pPr>
        <w:spacing w:after="0" w:line="240" w:lineRule="auto"/>
        <w:rPr>
          <w:rFonts w:ascii="Times New Roman" w:hAnsi="Times New Roman"/>
          <w:kern w:val="0"/>
          <w:sz w:val="22"/>
          <w:lang w:val="lt-LT"/>
          <w14:ligatures w14:val="none"/>
        </w:rPr>
      </w:pPr>
    </w:p>
    <w:p w14:paraId="0B60AAC7"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arba</w:t>
      </w:r>
    </w:p>
    <w:p w14:paraId="1684447A" w14:textId="77777777" w:rsidR="00323207" w:rsidRPr="00F931D9" w:rsidRDefault="00323207" w:rsidP="00323207">
      <w:pPr>
        <w:spacing w:after="0" w:line="240" w:lineRule="auto"/>
        <w:rPr>
          <w:rFonts w:ascii="Times New Roman" w:hAnsi="Times New Roman"/>
          <w:kern w:val="0"/>
          <w:sz w:val="22"/>
          <w:lang w:val="lt-LT"/>
          <w14:ligatures w14:val="none"/>
        </w:rPr>
      </w:pPr>
    </w:p>
    <w:p w14:paraId="1AB5E333" w14:textId="77777777" w:rsidR="00323207" w:rsidRPr="00F931D9" w:rsidRDefault="00323207" w:rsidP="00323207">
      <w:pPr>
        <w:autoSpaceDE w:val="0"/>
        <w:autoSpaceDN w:val="0"/>
        <w:adjustRightInd w:val="0"/>
        <w:spacing w:after="0" w:line="240" w:lineRule="auto"/>
        <w:rPr>
          <w:rFonts w:ascii="Times New Roman" w:hAnsi="Times New Roman"/>
          <w:color w:val="000000"/>
          <w:kern w:val="0"/>
          <w:sz w:val="22"/>
          <w:lang w:val="lt-LT"/>
          <w14:ligatures w14:val="none"/>
        </w:rPr>
      </w:pPr>
      <w:proofErr w:type="spellStart"/>
      <w:r w:rsidRPr="00F931D9">
        <w:rPr>
          <w:rFonts w:ascii="Times New Roman" w:hAnsi="Times New Roman"/>
          <w:color w:val="000000"/>
          <w:kern w:val="0"/>
          <w:sz w:val="22"/>
          <w:lang w:val="lt-LT"/>
          <w14:ligatures w14:val="none"/>
        </w:rPr>
        <w:t>Novartis</w:t>
      </w:r>
      <w:proofErr w:type="spellEnd"/>
      <w:r w:rsidRPr="00F931D9">
        <w:rPr>
          <w:rFonts w:ascii="Times New Roman" w:hAnsi="Times New Roman"/>
          <w:color w:val="000000"/>
          <w:kern w:val="0"/>
          <w:sz w:val="22"/>
          <w:lang w:val="lt-LT"/>
          <w14:ligatures w14:val="none"/>
        </w:rPr>
        <w:t xml:space="preserve"> </w:t>
      </w:r>
      <w:proofErr w:type="spellStart"/>
      <w:r w:rsidRPr="00F931D9">
        <w:rPr>
          <w:rFonts w:ascii="Times New Roman" w:hAnsi="Times New Roman"/>
          <w:color w:val="000000"/>
          <w:kern w:val="0"/>
          <w:sz w:val="22"/>
          <w:lang w:val="lt-LT"/>
          <w14:ligatures w14:val="none"/>
        </w:rPr>
        <w:t>Farmacéutica</w:t>
      </w:r>
      <w:proofErr w:type="spellEnd"/>
      <w:r w:rsidRPr="00F931D9">
        <w:rPr>
          <w:rFonts w:ascii="Times New Roman" w:hAnsi="Times New Roman"/>
          <w:color w:val="000000"/>
          <w:kern w:val="0"/>
          <w:sz w:val="22"/>
          <w:lang w:val="lt-LT"/>
          <w14:ligatures w14:val="none"/>
        </w:rPr>
        <w:t xml:space="preserve"> S.A. </w:t>
      </w:r>
    </w:p>
    <w:p w14:paraId="4ED9D2F9" w14:textId="77777777" w:rsidR="00323207" w:rsidRPr="00F931D9" w:rsidRDefault="00323207" w:rsidP="00323207">
      <w:pPr>
        <w:autoSpaceDE w:val="0"/>
        <w:autoSpaceDN w:val="0"/>
        <w:adjustRightInd w:val="0"/>
        <w:spacing w:after="0" w:line="240" w:lineRule="auto"/>
        <w:rPr>
          <w:rFonts w:ascii="Times New Roman" w:hAnsi="Times New Roman"/>
          <w:color w:val="000000"/>
          <w:kern w:val="0"/>
          <w:sz w:val="22"/>
          <w:lang w:val="lt-LT"/>
          <w14:ligatures w14:val="none"/>
        </w:rPr>
      </w:pPr>
      <w:proofErr w:type="spellStart"/>
      <w:r w:rsidRPr="00F931D9">
        <w:rPr>
          <w:rFonts w:ascii="Times New Roman" w:hAnsi="Times New Roman"/>
          <w:color w:val="000000"/>
          <w:kern w:val="0"/>
          <w:sz w:val="22"/>
          <w:lang w:val="lt-LT"/>
          <w14:ligatures w14:val="none"/>
        </w:rPr>
        <w:t>Gran</w:t>
      </w:r>
      <w:proofErr w:type="spellEnd"/>
      <w:r w:rsidRPr="00F931D9">
        <w:rPr>
          <w:rFonts w:ascii="Times New Roman" w:hAnsi="Times New Roman"/>
          <w:color w:val="000000"/>
          <w:kern w:val="0"/>
          <w:sz w:val="22"/>
          <w:lang w:val="lt-LT"/>
          <w14:ligatures w14:val="none"/>
        </w:rPr>
        <w:t xml:space="preserve"> Via de les </w:t>
      </w:r>
      <w:proofErr w:type="spellStart"/>
      <w:r w:rsidRPr="00F931D9">
        <w:rPr>
          <w:rFonts w:ascii="Times New Roman" w:hAnsi="Times New Roman"/>
          <w:color w:val="000000"/>
          <w:kern w:val="0"/>
          <w:sz w:val="22"/>
          <w:lang w:val="lt-LT"/>
          <w14:ligatures w14:val="none"/>
        </w:rPr>
        <w:t>Corts</w:t>
      </w:r>
      <w:proofErr w:type="spellEnd"/>
      <w:r w:rsidRPr="00F931D9">
        <w:rPr>
          <w:rFonts w:ascii="Times New Roman" w:hAnsi="Times New Roman"/>
          <w:color w:val="000000"/>
          <w:kern w:val="0"/>
          <w:sz w:val="22"/>
          <w:lang w:val="lt-LT"/>
          <w14:ligatures w14:val="none"/>
        </w:rPr>
        <w:t xml:space="preserve"> </w:t>
      </w:r>
      <w:proofErr w:type="spellStart"/>
      <w:r w:rsidRPr="00F931D9">
        <w:rPr>
          <w:rFonts w:ascii="Times New Roman" w:hAnsi="Times New Roman"/>
          <w:color w:val="000000"/>
          <w:kern w:val="0"/>
          <w:sz w:val="22"/>
          <w:lang w:val="lt-LT"/>
          <w14:ligatures w14:val="none"/>
        </w:rPr>
        <w:t>Catalanes</w:t>
      </w:r>
      <w:proofErr w:type="spellEnd"/>
      <w:r w:rsidRPr="00F931D9">
        <w:rPr>
          <w:rFonts w:ascii="Times New Roman" w:hAnsi="Times New Roman"/>
          <w:color w:val="000000"/>
          <w:kern w:val="0"/>
          <w:sz w:val="22"/>
          <w:lang w:val="lt-LT"/>
          <w14:ligatures w14:val="none"/>
        </w:rPr>
        <w:t xml:space="preserve"> 764 </w:t>
      </w:r>
    </w:p>
    <w:p w14:paraId="157F842F" w14:textId="77777777" w:rsidR="00323207" w:rsidRPr="00F931D9" w:rsidRDefault="00323207" w:rsidP="00323207">
      <w:pPr>
        <w:autoSpaceDE w:val="0"/>
        <w:autoSpaceDN w:val="0"/>
        <w:adjustRightInd w:val="0"/>
        <w:spacing w:after="0" w:line="240" w:lineRule="auto"/>
        <w:rPr>
          <w:rFonts w:ascii="Times New Roman" w:hAnsi="Times New Roman"/>
          <w:color w:val="000000"/>
          <w:kern w:val="0"/>
          <w:sz w:val="22"/>
          <w:lang w:val="lt-LT"/>
          <w14:ligatures w14:val="none"/>
        </w:rPr>
      </w:pPr>
      <w:r w:rsidRPr="00F931D9">
        <w:rPr>
          <w:rFonts w:ascii="Times New Roman" w:hAnsi="Times New Roman"/>
          <w:color w:val="000000"/>
          <w:kern w:val="0"/>
          <w:sz w:val="22"/>
          <w:lang w:val="lt-LT"/>
          <w14:ligatures w14:val="none"/>
        </w:rPr>
        <w:t xml:space="preserve">08013 </w:t>
      </w:r>
      <w:proofErr w:type="spellStart"/>
      <w:r w:rsidRPr="00F931D9">
        <w:rPr>
          <w:rFonts w:ascii="Times New Roman" w:hAnsi="Times New Roman"/>
          <w:color w:val="000000"/>
          <w:kern w:val="0"/>
          <w:sz w:val="22"/>
          <w:lang w:val="lt-LT"/>
          <w14:ligatures w14:val="none"/>
        </w:rPr>
        <w:t>Barcelona</w:t>
      </w:r>
      <w:proofErr w:type="spellEnd"/>
      <w:r w:rsidRPr="00F931D9">
        <w:rPr>
          <w:rFonts w:ascii="Times New Roman" w:hAnsi="Times New Roman"/>
          <w:color w:val="000000"/>
          <w:kern w:val="0"/>
          <w:sz w:val="22"/>
          <w:lang w:val="lt-LT"/>
          <w14:ligatures w14:val="none"/>
        </w:rPr>
        <w:t xml:space="preserve"> </w:t>
      </w:r>
    </w:p>
    <w:p w14:paraId="57FEBDDD" w14:textId="77777777" w:rsidR="00323207" w:rsidRPr="00F931D9" w:rsidRDefault="00323207" w:rsidP="00323207">
      <w:pPr>
        <w:spacing w:after="0" w:line="240" w:lineRule="auto"/>
        <w:rPr>
          <w:rFonts w:ascii="Times New Roman" w:hAnsi="Times New Roman"/>
          <w:color w:val="000000"/>
          <w:kern w:val="0"/>
          <w:sz w:val="22"/>
          <w:lang w:val="lt-LT"/>
          <w14:ligatures w14:val="none"/>
        </w:rPr>
      </w:pPr>
      <w:r w:rsidRPr="00F931D9">
        <w:rPr>
          <w:rFonts w:ascii="Times New Roman" w:hAnsi="Times New Roman"/>
          <w:color w:val="000000"/>
          <w:kern w:val="0"/>
          <w:sz w:val="22"/>
          <w:lang w:val="lt-LT"/>
          <w14:ligatures w14:val="none"/>
        </w:rPr>
        <w:t>Ispanija</w:t>
      </w:r>
    </w:p>
    <w:p w14:paraId="62C6A95D" w14:textId="77777777" w:rsidR="00323207" w:rsidRPr="00F931D9" w:rsidRDefault="00323207" w:rsidP="00323207">
      <w:pPr>
        <w:spacing w:after="0" w:line="240" w:lineRule="auto"/>
        <w:rPr>
          <w:rFonts w:ascii="Times New Roman" w:hAnsi="Times New Roman"/>
          <w:color w:val="000000"/>
          <w:kern w:val="0"/>
          <w:sz w:val="22"/>
          <w:lang w:val="lt-LT"/>
          <w14:ligatures w14:val="none"/>
        </w:rPr>
      </w:pPr>
    </w:p>
    <w:p w14:paraId="7A5C4C11" w14:textId="77777777" w:rsidR="00323207" w:rsidRPr="00F931D9" w:rsidRDefault="00323207" w:rsidP="00323207">
      <w:pPr>
        <w:spacing w:after="0" w:line="240" w:lineRule="auto"/>
        <w:rPr>
          <w:rFonts w:ascii="Times New Roman" w:hAnsi="Times New Roman"/>
          <w:color w:val="000000"/>
          <w:kern w:val="0"/>
          <w:sz w:val="22"/>
          <w:lang w:val="lt-LT"/>
          <w14:ligatures w14:val="none"/>
        </w:rPr>
      </w:pPr>
      <w:r w:rsidRPr="00F931D9">
        <w:rPr>
          <w:rFonts w:ascii="Times New Roman" w:hAnsi="Times New Roman"/>
          <w:color w:val="000000"/>
          <w:kern w:val="0"/>
          <w:sz w:val="22"/>
          <w:lang w:val="lt-LT"/>
          <w14:ligatures w14:val="none"/>
        </w:rPr>
        <w:t>arba</w:t>
      </w:r>
    </w:p>
    <w:p w14:paraId="41DF2EF9" w14:textId="77777777" w:rsidR="00323207" w:rsidRPr="00F931D9" w:rsidRDefault="00323207" w:rsidP="00323207">
      <w:pPr>
        <w:spacing w:after="0" w:line="240" w:lineRule="auto"/>
        <w:rPr>
          <w:rFonts w:ascii="Times New Roman" w:hAnsi="Times New Roman"/>
          <w:color w:val="000000"/>
          <w:kern w:val="0"/>
          <w:sz w:val="22"/>
          <w:lang w:val="lt-LT"/>
          <w14:ligatures w14:val="none"/>
        </w:rPr>
      </w:pPr>
    </w:p>
    <w:p w14:paraId="2A19D79B" w14:textId="77777777" w:rsidR="00323207" w:rsidRPr="00F931D9" w:rsidRDefault="00323207" w:rsidP="00323207">
      <w:pPr>
        <w:spacing w:after="0" w:line="240" w:lineRule="auto"/>
        <w:rPr>
          <w:rFonts w:ascii="Times New Roman" w:hAnsi="Times New Roman"/>
          <w:kern w:val="0"/>
          <w:sz w:val="22"/>
          <w:highlight w:val="lightGray"/>
          <w:lang w:val="es-ES"/>
          <w14:ligatures w14:val="none"/>
        </w:rPr>
      </w:pPr>
      <w:r w:rsidRPr="00F931D9">
        <w:rPr>
          <w:rFonts w:ascii="Times New Roman" w:hAnsi="Times New Roman"/>
          <w:kern w:val="0"/>
          <w:sz w:val="22"/>
          <w:highlight w:val="lightGray"/>
          <w:lang w:val="es-ES"/>
          <w14:ligatures w14:val="none"/>
        </w:rPr>
        <w:t>Novartis Pharmaceutical Manufacturing LLC</w:t>
      </w:r>
    </w:p>
    <w:p w14:paraId="3C712449" w14:textId="77777777" w:rsidR="00323207" w:rsidRPr="00F931D9" w:rsidRDefault="00323207" w:rsidP="00323207">
      <w:pPr>
        <w:spacing w:after="0" w:line="240" w:lineRule="auto"/>
        <w:rPr>
          <w:rFonts w:ascii="Times New Roman" w:hAnsi="Times New Roman"/>
          <w:kern w:val="0"/>
          <w:sz w:val="22"/>
          <w:highlight w:val="lightGray"/>
          <w:lang w:val="es-ES"/>
          <w14:ligatures w14:val="none"/>
        </w:rPr>
      </w:pPr>
      <w:r w:rsidRPr="00F931D9">
        <w:rPr>
          <w:rFonts w:ascii="Times New Roman" w:hAnsi="Times New Roman"/>
          <w:kern w:val="0"/>
          <w:sz w:val="22"/>
          <w:highlight w:val="lightGray"/>
          <w:lang w:val="es-ES"/>
          <w14:ligatures w14:val="none"/>
        </w:rPr>
        <w:t>Verovskova Ulica 57</w:t>
      </w:r>
    </w:p>
    <w:p w14:paraId="5B89C93A" w14:textId="77777777" w:rsidR="00323207" w:rsidRPr="00F931D9" w:rsidRDefault="00323207" w:rsidP="00323207">
      <w:pPr>
        <w:spacing w:after="0" w:line="240" w:lineRule="auto"/>
        <w:rPr>
          <w:rFonts w:ascii="Times New Roman" w:hAnsi="Times New Roman"/>
          <w:kern w:val="0"/>
          <w:sz w:val="22"/>
          <w:highlight w:val="lightGray"/>
          <w:lang w:val="es-ES"/>
          <w14:ligatures w14:val="none"/>
        </w:rPr>
      </w:pPr>
      <w:r w:rsidRPr="00F931D9">
        <w:rPr>
          <w:rFonts w:ascii="Times New Roman" w:hAnsi="Times New Roman"/>
          <w:kern w:val="0"/>
          <w:sz w:val="22"/>
          <w:highlight w:val="lightGray"/>
          <w:lang w:val="es-ES"/>
          <w14:ligatures w14:val="none"/>
        </w:rPr>
        <w:t>Ljubljana, 1000</w:t>
      </w:r>
    </w:p>
    <w:p w14:paraId="4FF9A590"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highlight w:val="lightGray"/>
          <w:lang w:val="es-ES"/>
          <w14:ligatures w14:val="none"/>
        </w:rPr>
        <w:t>Slov</w:t>
      </w:r>
      <w:proofErr w:type="spellStart"/>
      <w:r w:rsidRPr="00F931D9">
        <w:rPr>
          <w:rFonts w:ascii="Times New Roman" w:hAnsi="Times New Roman"/>
          <w:kern w:val="0"/>
          <w:sz w:val="22"/>
          <w:highlight w:val="lightGray"/>
          <w:lang w:val="lt-LT"/>
          <w14:ligatures w14:val="none"/>
        </w:rPr>
        <w:t>ėnija</w:t>
      </w:r>
      <w:proofErr w:type="spellEnd"/>
    </w:p>
    <w:p w14:paraId="375169F1" w14:textId="77777777" w:rsidR="00323207" w:rsidRPr="00F931D9" w:rsidRDefault="00323207" w:rsidP="00323207">
      <w:pPr>
        <w:spacing w:after="0" w:line="240" w:lineRule="auto"/>
        <w:rPr>
          <w:rFonts w:ascii="Times New Roman" w:hAnsi="Times New Roman"/>
          <w:kern w:val="0"/>
          <w:sz w:val="22"/>
          <w:lang w:val="lt-LT"/>
          <w14:ligatures w14:val="none"/>
        </w:rPr>
      </w:pPr>
    </w:p>
    <w:p w14:paraId="495A1A37" w14:textId="77777777" w:rsidR="00323207" w:rsidRPr="00F931D9" w:rsidRDefault="00323207" w:rsidP="00323207">
      <w:pPr>
        <w:numPr>
          <w:ilvl w:val="12"/>
          <w:numId w:val="0"/>
        </w:numPr>
        <w:spacing w:after="0" w:line="240" w:lineRule="auto"/>
        <w:ind w:right="-2"/>
        <w:rPr>
          <w:rFonts w:ascii="Times New Roman" w:hAnsi="Times New Roman"/>
          <w:kern w:val="0"/>
          <w:sz w:val="22"/>
          <w:lang w:val="lt-LT"/>
          <w14:ligatures w14:val="none"/>
        </w:rPr>
      </w:pPr>
    </w:p>
    <w:p w14:paraId="20AC9DC1" w14:textId="77777777" w:rsidR="00323207" w:rsidRPr="00F931D9" w:rsidRDefault="00323207" w:rsidP="00323207">
      <w:pPr>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Jeigu apie šį vaistą norite sužinoti daugiau, kreipkitės į vietinį registruotojo atstovą:</w:t>
      </w:r>
    </w:p>
    <w:p w14:paraId="192CAC90" w14:textId="77777777" w:rsidR="00323207" w:rsidRPr="00F931D9" w:rsidRDefault="00323207" w:rsidP="00323207">
      <w:pPr>
        <w:spacing w:after="0" w:line="240" w:lineRule="auto"/>
        <w:rPr>
          <w:rFonts w:ascii="Times New Roman" w:hAnsi="Times New Roman"/>
          <w:kern w:val="0"/>
          <w:sz w:val="22"/>
          <w:lang w:val="lt-LT"/>
          <w14:ligatures w14:val="none"/>
        </w:rPr>
      </w:pPr>
    </w:p>
    <w:p w14:paraId="61E4D3AC" w14:textId="77777777" w:rsidR="00323207" w:rsidRPr="00F931D9" w:rsidRDefault="00323207" w:rsidP="00323207">
      <w:pPr>
        <w:spacing w:after="0" w:line="240" w:lineRule="auto"/>
        <w:rPr>
          <w:rFonts w:ascii="Times New Roman" w:hAnsi="Times New Roman"/>
          <w:kern w:val="0"/>
          <w:sz w:val="22"/>
          <w:lang w:val="es-ES"/>
          <w14:ligatures w14:val="none"/>
        </w:rPr>
      </w:pPr>
      <w:r w:rsidRPr="00F931D9">
        <w:rPr>
          <w:rFonts w:ascii="Times New Roman" w:hAnsi="Times New Roman"/>
          <w:kern w:val="0"/>
          <w:sz w:val="22"/>
          <w:lang w:val="es-ES"/>
          <w14:ligatures w14:val="none"/>
        </w:rPr>
        <w:t xml:space="preserve">SIA Novartis Baltics Lietuvos filialas </w:t>
      </w:r>
    </w:p>
    <w:p w14:paraId="229952A4" w14:textId="77777777" w:rsidR="00323207" w:rsidRPr="00F931D9" w:rsidRDefault="00323207" w:rsidP="00323207">
      <w:pPr>
        <w:spacing w:after="0" w:line="240" w:lineRule="auto"/>
        <w:rPr>
          <w:rFonts w:ascii="Times New Roman" w:hAnsi="Times New Roman"/>
          <w:kern w:val="0"/>
          <w:sz w:val="22"/>
          <w14:ligatures w14:val="none"/>
        </w:rPr>
      </w:pPr>
      <w:r w:rsidRPr="00F931D9">
        <w:rPr>
          <w:rFonts w:ascii="Times New Roman" w:hAnsi="Times New Roman"/>
          <w:kern w:val="0"/>
          <w:sz w:val="22"/>
          <w:lang w:val="es-ES"/>
          <w14:ligatures w14:val="none"/>
        </w:rPr>
        <w:t xml:space="preserve">Upės g. </w:t>
      </w:r>
      <w:r w:rsidRPr="00F931D9">
        <w:rPr>
          <w:rFonts w:ascii="Times New Roman" w:hAnsi="Times New Roman"/>
          <w:kern w:val="0"/>
          <w:sz w:val="22"/>
          <w14:ligatures w14:val="none"/>
        </w:rPr>
        <w:t>19-1</w:t>
      </w:r>
    </w:p>
    <w:p w14:paraId="6F04194B" w14:textId="77777777" w:rsidR="00323207" w:rsidRPr="00F931D9" w:rsidRDefault="00323207" w:rsidP="00323207">
      <w:pPr>
        <w:spacing w:after="0" w:line="240" w:lineRule="auto"/>
        <w:rPr>
          <w:rFonts w:ascii="Times New Roman" w:hAnsi="Times New Roman"/>
          <w:kern w:val="0"/>
          <w:sz w:val="22"/>
          <w:lang w:val="es-ES"/>
          <w14:ligatures w14:val="none"/>
        </w:rPr>
      </w:pPr>
      <w:r w:rsidRPr="00F931D9">
        <w:rPr>
          <w:rFonts w:ascii="Times New Roman" w:hAnsi="Times New Roman"/>
          <w:kern w:val="0"/>
          <w:sz w:val="22"/>
          <w:lang w:val="es-ES"/>
          <w14:ligatures w14:val="none"/>
        </w:rPr>
        <w:t>LT-</w:t>
      </w:r>
      <w:r w:rsidRPr="00F931D9">
        <w:rPr>
          <w:rFonts w:ascii="Times New Roman" w:hAnsi="Times New Roman"/>
          <w:kern w:val="0"/>
          <w:sz w:val="22"/>
          <w14:ligatures w14:val="none"/>
        </w:rPr>
        <w:t>08128</w:t>
      </w:r>
      <w:r w:rsidRPr="00F931D9">
        <w:rPr>
          <w:rFonts w:ascii="Times New Roman" w:hAnsi="Times New Roman"/>
          <w:kern w:val="0"/>
          <w:sz w:val="22"/>
          <w:lang w:val="es-ES"/>
          <w14:ligatures w14:val="none"/>
        </w:rPr>
        <w:t>, Vilnius</w:t>
      </w:r>
    </w:p>
    <w:p w14:paraId="0B4B4989" w14:textId="77777777" w:rsidR="00323207" w:rsidRPr="00F931D9" w:rsidRDefault="00323207" w:rsidP="00323207">
      <w:pPr>
        <w:spacing w:after="0" w:line="240" w:lineRule="auto"/>
        <w:rPr>
          <w:rFonts w:ascii="Times New Roman" w:hAnsi="Times New Roman"/>
          <w:kern w:val="0"/>
          <w:sz w:val="22"/>
          <w:lang w:val="es-ES"/>
          <w14:ligatures w14:val="none"/>
        </w:rPr>
      </w:pPr>
      <w:r w:rsidRPr="00F931D9">
        <w:rPr>
          <w:rFonts w:ascii="Times New Roman" w:hAnsi="Times New Roman"/>
          <w:kern w:val="0"/>
          <w:sz w:val="22"/>
          <w:lang w:val="es-ES"/>
          <w14:ligatures w14:val="none"/>
        </w:rPr>
        <w:t>Tel. +370 5 269 16 50</w:t>
      </w:r>
    </w:p>
    <w:p w14:paraId="6250C6D6" w14:textId="77777777" w:rsidR="00323207" w:rsidRPr="00F931D9" w:rsidRDefault="00323207" w:rsidP="00323207">
      <w:pPr>
        <w:spacing w:after="0" w:line="240" w:lineRule="auto"/>
        <w:rPr>
          <w:rFonts w:ascii="Times New Roman" w:hAnsi="Times New Roman"/>
          <w:kern w:val="0"/>
          <w:sz w:val="22"/>
          <w:lang w:val="es-ES"/>
          <w14:ligatures w14:val="none"/>
        </w:rPr>
      </w:pPr>
    </w:p>
    <w:p w14:paraId="4FE8F72D" w14:textId="77777777" w:rsidR="00323207" w:rsidRPr="00F931D9" w:rsidRDefault="00323207" w:rsidP="00323207">
      <w:pPr>
        <w:spacing w:after="0" w:line="240" w:lineRule="auto"/>
        <w:rPr>
          <w:rFonts w:ascii="Times New Roman" w:hAnsi="Times New Roman"/>
          <w:b/>
          <w:kern w:val="0"/>
          <w:sz w:val="22"/>
          <w:lang w:val="lt-LT"/>
          <w14:ligatures w14:val="none"/>
        </w:rPr>
      </w:pPr>
      <w:r w:rsidRPr="00F931D9">
        <w:rPr>
          <w:rFonts w:ascii="Times New Roman" w:hAnsi="Times New Roman"/>
          <w:b/>
          <w:kern w:val="0"/>
          <w:sz w:val="22"/>
          <w:lang w:val="lt-LT"/>
          <w14:ligatures w14:val="none"/>
        </w:rPr>
        <w:t>Šis vaistas Europos Ekonominės Erdvės valstybėse narėse ir Jungtinėje Karalystėje (Šiaurės Airijoje) registruotas tokiais pavadinimais:</w:t>
      </w:r>
    </w:p>
    <w:p w14:paraId="375F67B8" w14:textId="77777777" w:rsidR="00323207" w:rsidRPr="00F931D9" w:rsidRDefault="00323207" w:rsidP="00323207">
      <w:pPr>
        <w:spacing w:after="0" w:line="240" w:lineRule="auto"/>
        <w:rPr>
          <w:rFonts w:ascii="Times New Roman" w:hAnsi="Times New Roman"/>
          <w:i/>
          <w:kern w:val="0"/>
          <w:sz w:val="22"/>
          <w:lang w:val="lt-LT"/>
          <w14:ligatures w14:val="none"/>
        </w:rPr>
      </w:pPr>
    </w:p>
    <w:tbl>
      <w:tblPr>
        <w:tblW w:w="0" w:type="auto"/>
        <w:tblLook w:val="01E0" w:firstRow="1" w:lastRow="1" w:firstColumn="1" w:lastColumn="1" w:noHBand="0" w:noVBand="0"/>
      </w:tblPr>
      <w:tblGrid>
        <w:gridCol w:w="6307"/>
        <w:gridCol w:w="2754"/>
      </w:tblGrid>
      <w:tr w:rsidR="00323207" w:rsidRPr="00323207" w14:paraId="3C453319" w14:textId="77777777" w:rsidTr="003338CB">
        <w:tc>
          <w:tcPr>
            <w:tcW w:w="6307" w:type="dxa"/>
          </w:tcPr>
          <w:p w14:paraId="621AC6AC" w14:textId="77777777" w:rsidR="00323207" w:rsidRPr="00F931D9" w:rsidRDefault="00323207" w:rsidP="00323207">
            <w:pPr>
              <w:tabs>
                <w:tab w:val="left" w:pos="720"/>
              </w:tabs>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Vokietija</w:t>
            </w:r>
          </w:p>
        </w:tc>
        <w:tc>
          <w:tcPr>
            <w:tcW w:w="2754" w:type="dxa"/>
          </w:tcPr>
          <w:p w14:paraId="3844A39B" w14:textId="77777777" w:rsidR="00323207" w:rsidRPr="00F931D9" w:rsidRDefault="00323207" w:rsidP="00323207">
            <w:pPr>
              <w:tabs>
                <w:tab w:val="left" w:pos="720"/>
              </w:tabs>
              <w:spacing w:after="0" w:line="240" w:lineRule="auto"/>
              <w:rPr>
                <w:rFonts w:ascii="Times New Roman" w:hAnsi="Times New Roman"/>
                <w:kern w:val="0"/>
                <w:sz w:val="22"/>
                <w:lang w:val="en-GB"/>
                <w14:ligatures w14:val="none"/>
              </w:rPr>
            </w:pPr>
            <w:proofErr w:type="spellStart"/>
            <w:r w:rsidRPr="00F931D9">
              <w:rPr>
                <w:rFonts w:ascii="Times New Roman" w:hAnsi="Times New Roman"/>
                <w:kern w:val="0"/>
                <w:sz w:val="22"/>
                <w:lang w:val="en-GB"/>
                <w14:ligatures w14:val="none"/>
              </w:rPr>
              <w:t>Sandimmun</w:t>
            </w:r>
            <w:proofErr w:type="spellEnd"/>
            <w:r w:rsidRPr="00F931D9">
              <w:rPr>
                <w:rFonts w:ascii="Times New Roman" w:hAnsi="Times New Roman"/>
                <w:kern w:val="0"/>
                <w:sz w:val="22"/>
                <w:lang w:val="en-GB"/>
                <w14:ligatures w14:val="none"/>
              </w:rPr>
              <w:t xml:space="preserve"> </w:t>
            </w:r>
            <w:proofErr w:type="spellStart"/>
            <w:r w:rsidRPr="00F931D9">
              <w:rPr>
                <w:rFonts w:ascii="Times New Roman" w:hAnsi="Times New Roman"/>
                <w:kern w:val="0"/>
                <w:sz w:val="22"/>
                <w:lang w:val="en-GB"/>
                <w14:ligatures w14:val="none"/>
              </w:rPr>
              <w:t>Optoral</w:t>
            </w:r>
            <w:proofErr w:type="spellEnd"/>
          </w:p>
        </w:tc>
      </w:tr>
      <w:tr w:rsidR="00323207" w:rsidRPr="00323207" w14:paraId="3BDED241" w14:textId="77777777" w:rsidTr="003338CB">
        <w:tc>
          <w:tcPr>
            <w:tcW w:w="6307" w:type="dxa"/>
            <w:hideMark/>
          </w:tcPr>
          <w:p w14:paraId="45C60BFD" w14:textId="77777777" w:rsidR="00323207" w:rsidRPr="00F931D9" w:rsidRDefault="00323207" w:rsidP="00323207">
            <w:pPr>
              <w:tabs>
                <w:tab w:val="left" w:pos="720"/>
              </w:tabs>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Austrija, Bulgarija, Čekija, Danija, Estija, Graikija, Islandija, Ispanija, Italija, Kipras, Kroatija, Latvija, Lietuva, Lenkija, Malta, Norvegija, Portugalija, Rumunija, Slovakija, Slovėnija, Suomija, Švedija, Vengrija</w:t>
            </w:r>
          </w:p>
        </w:tc>
        <w:tc>
          <w:tcPr>
            <w:tcW w:w="2754" w:type="dxa"/>
            <w:hideMark/>
          </w:tcPr>
          <w:p w14:paraId="59C6D4CE" w14:textId="77777777" w:rsidR="00323207" w:rsidRPr="00F931D9" w:rsidRDefault="00323207" w:rsidP="00323207">
            <w:pPr>
              <w:tabs>
                <w:tab w:val="left" w:pos="720"/>
              </w:tabs>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en-GB"/>
                <w14:ligatures w14:val="none"/>
              </w:rPr>
              <w:t>Sandimmun</w:t>
            </w:r>
            <w:proofErr w:type="spellEnd"/>
            <w:r w:rsidRPr="00F931D9">
              <w:rPr>
                <w:rFonts w:ascii="Times New Roman" w:hAnsi="Times New Roman"/>
                <w:kern w:val="0"/>
                <w:sz w:val="22"/>
                <w:lang w:val="en-GB"/>
                <w14:ligatures w14:val="none"/>
              </w:rPr>
              <w:t xml:space="preserve"> </w:t>
            </w:r>
            <w:proofErr w:type="spellStart"/>
            <w:r w:rsidRPr="00F931D9">
              <w:rPr>
                <w:rFonts w:ascii="Times New Roman" w:hAnsi="Times New Roman"/>
                <w:kern w:val="0"/>
                <w:sz w:val="22"/>
                <w:lang w:val="en-GB"/>
                <w14:ligatures w14:val="none"/>
              </w:rPr>
              <w:t>Neoral</w:t>
            </w:r>
            <w:proofErr w:type="spellEnd"/>
          </w:p>
        </w:tc>
      </w:tr>
      <w:tr w:rsidR="00323207" w:rsidRPr="00323207" w14:paraId="595F4D73" w14:textId="77777777" w:rsidTr="003338CB">
        <w:tc>
          <w:tcPr>
            <w:tcW w:w="6307" w:type="dxa"/>
            <w:hideMark/>
          </w:tcPr>
          <w:p w14:paraId="6E34E545" w14:textId="77777777" w:rsidR="00323207" w:rsidRPr="00F931D9" w:rsidRDefault="00323207" w:rsidP="00323207">
            <w:pPr>
              <w:tabs>
                <w:tab w:val="left" w:pos="720"/>
              </w:tabs>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Belgija, Liuksemburgas</w:t>
            </w:r>
          </w:p>
        </w:tc>
        <w:tc>
          <w:tcPr>
            <w:tcW w:w="2754" w:type="dxa"/>
            <w:hideMark/>
          </w:tcPr>
          <w:p w14:paraId="7E4C8A37" w14:textId="77777777" w:rsidR="00323207" w:rsidRPr="00F931D9" w:rsidRDefault="00323207" w:rsidP="00323207">
            <w:pPr>
              <w:tabs>
                <w:tab w:val="left" w:pos="720"/>
              </w:tabs>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en-GB"/>
                <w14:ligatures w14:val="none"/>
              </w:rPr>
              <w:t>Neoral</w:t>
            </w:r>
            <w:proofErr w:type="spellEnd"/>
            <w:r w:rsidRPr="00F931D9">
              <w:rPr>
                <w:rFonts w:ascii="Times New Roman" w:hAnsi="Times New Roman"/>
                <w:kern w:val="0"/>
                <w:sz w:val="22"/>
                <w:lang w:val="en-GB"/>
                <w14:ligatures w14:val="none"/>
              </w:rPr>
              <w:t xml:space="preserve"> - </w:t>
            </w:r>
            <w:proofErr w:type="spellStart"/>
            <w:r w:rsidRPr="00F931D9">
              <w:rPr>
                <w:rFonts w:ascii="Times New Roman" w:hAnsi="Times New Roman"/>
                <w:kern w:val="0"/>
                <w:sz w:val="22"/>
                <w:lang w:val="en-GB"/>
                <w14:ligatures w14:val="none"/>
              </w:rPr>
              <w:t>Sandimmun</w:t>
            </w:r>
            <w:proofErr w:type="spellEnd"/>
          </w:p>
        </w:tc>
      </w:tr>
      <w:tr w:rsidR="00323207" w:rsidRPr="00323207" w14:paraId="48ABEBB8" w14:textId="77777777" w:rsidTr="003338CB">
        <w:tc>
          <w:tcPr>
            <w:tcW w:w="6307" w:type="dxa"/>
            <w:hideMark/>
          </w:tcPr>
          <w:p w14:paraId="382B1D27" w14:textId="77777777" w:rsidR="00323207" w:rsidRPr="00F931D9" w:rsidRDefault="00323207" w:rsidP="00323207">
            <w:pPr>
              <w:tabs>
                <w:tab w:val="left" w:pos="720"/>
              </w:tabs>
              <w:spacing w:after="0" w:line="240" w:lineRule="auto"/>
              <w:rPr>
                <w:rFonts w:ascii="Times New Roman" w:hAnsi="Times New Roman"/>
                <w:kern w:val="0"/>
                <w:sz w:val="22"/>
                <w:lang w:val="lt-LT"/>
                <w14:ligatures w14:val="none"/>
              </w:rPr>
            </w:pPr>
            <w:r w:rsidRPr="00F931D9">
              <w:rPr>
                <w:rFonts w:ascii="Times New Roman" w:hAnsi="Times New Roman"/>
                <w:kern w:val="0"/>
                <w:sz w:val="22"/>
                <w:lang w:val="lt-LT"/>
                <w14:ligatures w14:val="none"/>
              </w:rPr>
              <w:t>Airija, Jungtinė Karalystė (Šiaurės Airija), Nyderlandai</w:t>
            </w:r>
          </w:p>
        </w:tc>
        <w:tc>
          <w:tcPr>
            <w:tcW w:w="2754" w:type="dxa"/>
            <w:hideMark/>
          </w:tcPr>
          <w:p w14:paraId="690A3BFB" w14:textId="77777777" w:rsidR="00323207" w:rsidRPr="00F931D9" w:rsidRDefault="00323207" w:rsidP="00323207">
            <w:pPr>
              <w:tabs>
                <w:tab w:val="left" w:pos="720"/>
              </w:tabs>
              <w:spacing w:after="0" w:line="240" w:lineRule="auto"/>
              <w:rPr>
                <w:rFonts w:ascii="Times New Roman" w:hAnsi="Times New Roman"/>
                <w:kern w:val="0"/>
                <w:sz w:val="22"/>
                <w:lang w:val="lt-LT"/>
                <w14:ligatures w14:val="none"/>
              </w:rPr>
            </w:pPr>
            <w:proofErr w:type="spellStart"/>
            <w:r w:rsidRPr="00F931D9">
              <w:rPr>
                <w:rFonts w:ascii="Times New Roman" w:hAnsi="Times New Roman"/>
                <w:kern w:val="0"/>
                <w:sz w:val="22"/>
                <w:lang w:val="lt-LT"/>
                <w14:ligatures w14:val="none"/>
              </w:rPr>
              <w:t>Neoral</w:t>
            </w:r>
            <w:proofErr w:type="spellEnd"/>
          </w:p>
        </w:tc>
      </w:tr>
      <w:tr w:rsidR="00323207" w:rsidRPr="00323207" w14:paraId="66D73920" w14:textId="77777777" w:rsidTr="003338CB">
        <w:tc>
          <w:tcPr>
            <w:tcW w:w="6307" w:type="dxa"/>
          </w:tcPr>
          <w:p w14:paraId="067EBC07" w14:textId="77777777" w:rsidR="00323207" w:rsidRPr="00F931D9" w:rsidRDefault="00323207" w:rsidP="00323207">
            <w:pPr>
              <w:tabs>
                <w:tab w:val="left" w:pos="720"/>
              </w:tabs>
              <w:spacing w:after="0" w:line="240" w:lineRule="auto"/>
              <w:rPr>
                <w:rFonts w:ascii="Times New Roman" w:hAnsi="Times New Roman"/>
                <w:kern w:val="0"/>
                <w:sz w:val="22"/>
                <w:lang w:val="en-GB"/>
                <w14:ligatures w14:val="none"/>
              </w:rPr>
            </w:pPr>
            <w:r w:rsidRPr="00F931D9">
              <w:rPr>
                <w:rFonts w:ascii="Times New Roman" w:hAnsi="Times New Roman"/>
                <w:kern w:val="0"/>
                <w:sz w:val="22"/>
                <w:lang w:val="lt-LT"/>
                <w14:ligatures w14:val="none"/>
              </w:rPr>
              <w:t>Prancūzija</w:t>
            </w:r>
          </w:p>
        </w:tc>
        <w:tc>
          <w:tcPr>
            <w:tcW w:w="2754" w:type="dxa"/>
          </w:tcPr>
          <w:p w14:paraId="47000546" w14:textId="77777777" w:rsidR="00323207" w:rsidRPr="00F931D9" w:rsidRDefault="00323207" w:rsidP="00323207">
            <w:pPr>
              <w:tabs>
                <w:tab w:val="left" w:pos="720"/>
              </w:tabs>
              <w:spacing w:after="0" w:line="240" w:lineRule="auto"/>
              <w:rPr>
                <w:rFonts w:ascii="Times New Roman" w:hAnsi="Times New Roman"/>
                <w:kern w:val="0"/>
                <w:sz w:val="22"/>
                <w:lang w:val="en-GB"/>
                <w14:ligatures w14:val="none"/>
              </w:rPr>
            </w:pPr>
            <w:r w:rsidRPr="00F931D9">
              <w:rPr>
                <w:rFonts w:ascii="Times New Roman" w:hAnsi="Times New Roman"/>
                <w:kern w:val="0"/>
                <w:sz w:val="22"/>
                <w:lang w:val="en-GB"/>
                <w14:ligatures w14:val="none"/>
              </w:rPr>
              <w:t>N</w:t>
            </w:r>
            <w:r w:rsidRPr="00F931D9">
              <w:rPr>
                <w:rFonts w:ascii="Times New Roman" w:hAnsi="Times New Roman"/>
                <w:kern w:val="0"/>
                <w:sz w:val="22"/>
                <w14:ligatures w14:val="none"/>
              </w:rPr>
              <w:t>é</w:t>
            </w:r>
            <w:r w:rsidRPr="00F931D9">
              <w:rPr>
                <w:rFonts w:ascii="Times New Roman" w:hAnsi="Times New Roman"/>
                <w:kern w:val="0"/>
                <w:sz w:val="22"/>
                <w:lang w:val="en-GB"/>
                <w14:ligatures w14:val="none"/>
              </w:rPr>
              <w:t>oral</w:t>
            </w:r>
          </w:p>
        </w:tc>
      </w:tr>
    </w:tbl>
    <w:p w14:paraId="69B773A3" w14:textId="77777777" w:rsidR="00323207" w:rsidRPr="00F931D9" w:rsidRDefault="00323207" w:rsidP="00323207">
      <w:pPr>
        <w:numPr>
          <w:ilvl w:val="12"/>
          <w:numId w:val="0"/>
        </w:numPr>
        <w:spacing w:after="0" w:line="240" w:lineRule="auto"/>
        <w:ind w:right="-2"/>
        <w:rPr>
          <w:rFonts w:ascii="Times New Roman" w:hAnsi="Times New Roman"/>
          <w:kern w:val="0"/>
          <w:sz w:val="22"/>
          <w:lang w:val="lt-LT"/>
          <w14:ligatures w14:val="none"/>
        </w:rPr>
      </w:pPr>
    </w:p>
    <w:p w14:paraId="3DDC2D73" w14:textId="006AF617" w:rsidR="00323207" w:rsidRPr="00F931D9" w:rsidRDefault="00323207" w:rsidP="00323207">
      <w:pPr>
        <w:numPr>
          <w:ilvl w:val="12"/>
          <w:numId w:val="0"/>
        </w:numPr>
        <w:spacing w:after="0" w:line="240" w:lineRule="auto"/>
        <w:ind w:right="-2"/>
        <w:outlineLvl w:val="0"/>
        <w:rPr>
          <w:rFonts w:ascii="Times New Roman" w:hAnsi="Times New Roman"/>
          <w:kern w:val="0"/>
          <w:sz w:val="22"/>
          <w:lang w:val="lt-LT"/>
          <w14:ligatures w14:val="none"/>
        </w:rPr>
      </w:pPr>
      <w:r w:rsidRPr="00F931D9">
        <w:rPr>
          <w:rFonts w:ascii="Times New Roman" w:hAnsi="Times New Roman"/>
          <w:b/>
          <w:kern w:val="0"/>
          <w:sz w:val="22"/>
          <w:lang w:val="lt-LT"/>
          <w14:ligatures w14:val="none"/>
        </w:rPr>
        <w:t xml:space="preserve">Šis pakuotės lapelis paskutinį kartą peržiūrėtas </w:t>
      </w:r>
      <w:r w:rsidR="008F4573">
        <w:rPr>
          <w:rFonts w:ascii="Times New Roman" w:eastAsia="SimSun" w:hAnsi="Times New Roman" w:cs="Times New Roman"/>
          <w:b/>
          <w:sz w:val="22"/>
          <w:szCs w:val="22"/>
          <w:lang w:val="lt-LT" w:eastAsia="zh-CN"/>
        </w:rPr>
        <w:t>2026-02-09.</w:t>
      </w:r>
    </w:p>
    <w:p w14:paraId="42C86A92" w14:textId="77777777" w:rsidR="00323207" w:rsidRPr="00F931D9" w:rsidRDefault="00323207" w:rsidP="00323207">
      <w:pPr>
        <w:numPr>
          <w:ilvl w:val="12"/>
          <w:numId w:val="0"/>
        </w:numPr>
        <w:spacing w:after="0" w:line="240" w:lineRule="auto"/>
        <w:ind w:right="-2"/>
        <w:outlineLvl w:val="0"/>
        <w:rPr>
          <w:rFonts w:ascii="Times New Roman" w:hAnsi="Times New Roman"/>
          <w:kern w:val="0"/>
          <w:sz w:val="22"/>
          <w:lang w:val="lt-LT"/>
          <w14:ligatures w14:val="none"/>
        </w:rPr>
      </w:pPr>
    </w:p>
    <w:p w14:paraId="1DAD3C0E" w14:textId="77777777" w:rsidR="00323207" w:rsidRPr="00F931D9" w:rsidRDefault="00323207" w:rsidP="00323207">
      <w:pPr>
        <w:numPr>
          <w:ilvl w:val="12"/>
          <w:numId w:val="0"/>
        </w:numPr>
        <w:spacing w:after="0" w:line="240" w:lineRule="auto"/>
        <w:ind w:right="-2"/>
        <w:rPr>
          <w:rFonts w:ascii="Times New Roman" w:hAnsi="Times New Roman"/>
          <w:kern w:val="0"/>
          <w:sz w:val="22"/>
          <w:lang w:val="lt-LT"/>
          <w14:ligatures w14:val="none"/>
        </w:rPr>
      </w:pPr>
    </w:p>
    <w:p w14:paraId="19E5B6D6" w14:textId="77777777" w:rsidR="00323207" w:rsidRPr="00F931D9" w:rsidRDefault="00323207" w:rsidP="00323207">
      <w:pPr>
        <w:numPr>
          <w:ilvl w:val="12"/>
          <w:numId w:val="0"/>
        </w:numPr>
        <w:spacing w:after="0" w:line="240" w:lineRule="auto"/>
        <w:ind w:right="-2"/>
        <w:rPr>
          <w:rFonts w:ascii="Times New Roman" w:hAnsi="Times New Roman"/>
          <w:kern w:val="0"/>
          <w:sz w:val="22"/>
          <w:lang w:val="lt-LT"/>
          <w14:ligatures w14:val="none"/>
        </w:rPr>
      </w:pPr>
      <w:r w:rsidRPr="00F931D9">
        <w:rPr>
          <w:rFonts w:ascii="Times New Roman" w:hAnsi="Times New Roman"/>
          <w:b/>
          <w:kern w:val="0"/>
          <w:sz w:val="22"/>
          <w:lang w:val="lt-LT"/>
          <w14:ligatures w14:val="none"/>
        </w:rPr>
        <w:t>Kiti informacijos šaltiniai</w:t>
      </w:r>
    </w:p>
    <w:p w14:paraId="1CA3E9BD" w14:textId="77777777" w:rsidR="00323207" w:rsidRPr="00F931D9" w:rsidRDefault="00323207" w:rsidP="00323207">
      <w:pPr>
        <w:numPr>
          <w:ilvl w:val="12"/>
          <w:numId w:val="0"/>
        </w:numPr>
        <w:spacing w:after="0" w:line="240" w:lineRule="auto"/>
        <w:ind w:right="-2"/>
        <w:rPr>
          <w:rFonts w:ascii="Times New Roman" w:hAnsi="Times New Roman"/>
          <w:kern w:val="0"/>
          <w:sz w:val="22"/>
          <w:lang w:val="lt-LT"/>
          <w14:ligatures w14:val="none"/>
        </w:rPr>
      </w:pPr>
      <w:r w:rsidRPr="00F931D9">
        <w:rPr>
          <w:rFonts w:ascii="Times New Roman" w:hAnsi="Times New Roman"/>
          <w:kern w:val="0"/>
          <w:sz w:val="22"/>
          <w:lang w:val="lt-LT"/>
          <w14:ligatures w14:val="none"/>
        </w:rPr>
        <w:t>Išsami informacija apie šį vaistą pateikiama Valstybinės vaistų kontrolės tarnybos prie Lietuvos Respublikos sveikatos apsaugos ministerijos tinklalapyje</w:t>
      </w:r>
      <w:r w:rsidRPr="00F931D9">
        <w:rPr>
          <w:rFonts w:ascii="Times New Roman" w:hAnsi="Times New Roman"/>
          <w:kern w:val="0"/>
          <w:lang w:val="lt-LT"/>
          <w14:ligatures w14:val="none"/>
        </w:rPr>
        <w:t xml:space="preserve"> </w:t>
      </w:r>
      <w:r w:rsidRPr="00F931D9">
        <w:rPr>
          <w:rFonts w:ascii="Times New Roman" w:hAnsi="Times New Roman"/>
          <w:kern w:val="0"/>
          <w:sz w:val="22"/>
          <w:lang w:val="lt-LT"/>
          <w14:ligatures w14:val="none"/>
        </w:rPr>
        <w:t>https://vvkt.lrv.lt/lt/.</w:t>
      </w:r>
    </w:p>
    <w:p w14:paraId="574AC1C3" w14:textId="77777777" w:rsidR="00323207" w:rsidRPr="00323207" w:rsidRDefault="00323207" w:rsidP="00323207">
      <w:pPr>
        <w:rPr>
          <w:rFonts w:eastAsia="Calibri"/>
          <w:kern w:val="0"/>
          <w14:ligatures w14:val="none"/>
        </w:rPr>
      </w:pPr>
    </w:p>
    <w:p w14:paraId="6ECE9C52" w14:textId="77777777" w:rsidR="00FF5FC9" w:rsidRPr="00F31F85" w:rsidRDefault="00FF5FC9"/>
    <w:sectPr w:rsidR="00FF5FC9" w:rsidRPr="00F31F85" w:rsidSect="00323207">
      <w:headerReference w:type="even" r:id="rId7"/>
      <w:headerReference w:type="default" r:id="rId8"/>
      <w:footerReference w:type="even" r:id="rId9"/>
      <w:footerReference w:type="default" r:id="rId10"/>
      <w:headerReference w:type="first" r:id="rId11"/>
      <w:footerReference w:type="first" r:id="rId12"/>
      <w:endnotePr>
        <w:numFmt w:val="decimal"/>
      </w:endnotePr>
      <w:pgSz w:w="11907" w:h="16839" w:code="9"/>
      <w:pgMar w:top="1134" w:right="1418" w:bottom="1134" w:left="1418" w:header="737" w:footer="73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8AAD3" w14:textId="77777777" w:rsidR="00CF020C" w:rsidRDefault="00CF020C">
      <w:pPr>
        <w:spacing w:after="0" w:line="240" w:lineRule="auto"/>
      </w:pPr>
      <w:r>
        <w:separator/>
      </w:r>
    </w:p>
  </w:endnote>
  <w:endnote w:type="continuationSeparator" w:id="0">
    <w:p w14:paraId="1BBEDE47" w14:textId="77777777" w:rsidR="00CF020C" w:rsidRDefault="00CF020C">
      <w:pPr>
        <w:spacing w:after="0" w:line="240" w:lineRule="auto"/>
      </w:pPr>
      <w:r>
        <w:continuationSeparator/>
      </w:r>
    </w:p>
  </w:endnote>
  <w:endnote w:type="continuationNotice" w:id="1">
    <w:p w14:paraId="41C4A921" w14:textId="77777777" w:rsidR="00CF020C" w:rsidRDefault="00CF02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W1)">
    <w:panose1 w:val="00000000000000000000"/>
    <w:charset w:val="00"/>
    <w:family w:val="modern"/>
    <w:notTrueType/>
    <w:pitch w:val="fixed"/>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CC5F8" w14:textId="77777777" w:rsidR="00323207" w:rsidRDefault="0032320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FED39" w14:textId="77777777" w:rsidR="00323207" w:rsidRDefault="0032320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8C321" w14:textId="77777777" w:rsidR="00323207" w:rsidRDefault="0032320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8C7FE" w14:textId="77777777" w:rsidR="00CF020C" w:rsidRDefault="00CF020C">
      <w:pPr>
        <w:spacing w:after="0" w:line="240" w:lineRule="auto"/>
      </w:pPr>
      <w:r>
        <w:separator/>
      </w:r>
    </w:p>
  </w:footnote>
  <w:footnote w:type="continuationSeparator" w:id="0">
    <w:p w14:paraId="13083684" w14:textId="77777777" w:rsidR="00CF020C" w:rsidRDefault="00CF020C">
      <w:pPr>
        <w:spacing w:after="0" w:line="240" w:lineRule="auto"/>
      </w:pPr>
      <w:r>
        <w:continuationSeparator/>
      </w:r>
    </w:p>
  </w:footnote>
  <w:footnote w:type="continuationNotice" w:id="1">
    <w:p w14:paraId="1708B9C5" w14:textId="77777777" w:rsidR="00CF020C" w:rsidRDefault="00CF02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84854" w14:textId="77777777" w:rsidR="00323207" w:rsidRDefault="0032320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58884" w14:textId="77777777" w:rsidR="00323207" w:rsidRDefault="0032320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691BA" w14:textId="77777777" w:rsidR="00323207" w:rsidRDefault="0032320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B52AE"/>
    <w:multiLevelType w:val="hybridMultilevel"/>
    <w:tmpl w:val="6A48D1FA"/>
    <w:lvl w:ilvl="0" w:tplc="DC66DA80">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3" w15:restartNumberingAfterBreak="0">
    <w:nsid w:val="091C20E0"/>
    <w:multiLevelType w:val="hybridMultilevel"/>
    <w:tmpl w:val="BB4A75E0"/>
    <w:lvl w:ilvl="0" w:tplc="23A00DFE">
      <w:start w:val="1"/>
      <w:numFmt w:val="bullet"/>
      <w:lvlText w:val=""/>
      <w:lvlJc w:val="left"/>
      <w:pPr>
        <w:tabs>
          <w:tab w:val="num" w:pos="357"/>
        </w:tabs>
        <w:ind w:left="357" w:hanging="357"/>
      </w:pPr>
      <w:rPr>
        <w:rFonts w:ascii="Symbol" w:hAnsi="Symbol"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22F00F72"/>
    <w:multiLevelType w:val="hybridMultilevel"/>
    <w:tmpl w:val="C9F0A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BC1EE7"/>
    <w:multiLevelType w:val="hybridMultilevel"/>
    <w:tmpl w:val="92E291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F0E6986"/>
    <w:multiLevelType w:val="hybridMultilevel"/>
    <w:tmpl w:val="00A28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08318E"/>
    <w:multiLevelType w:val="hybridMultilevel"/>
    <w:tmpl w:val="B704B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8A7122A"/>
    <w:multiLevelType w:val="hybridMultilevel"/>
    <w:tmpl w:val="7360CD66"/>
    <w:lvl w:ilvl="0" w:tplc="23A00DFE">
      <w:start w:val="1"/>
      <w:numFmt w:val="bullet"/>
      <w:lvlText w:val=""/>
      <w:lvlJc w:val="left"/>
      <w:pPr>
        <w:tabs>
          <w:tab w:val="num" w:pos="357"/>
        </w:tabs>
        <w:ind w:left="357" w:hanging="357"/>
      </w:pPr>
      <w:rPr>
        <w:rFonts w:ascii="Symbol" w:hAnsi="Symbol"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583845"/>
    <w:multiLevelType w:val="hybridMultilevel"/>
    <w:tmpl w:val="849009BE"/>
    <w:lvl w:ilvl="0" w:tplc="04090001">
      <w:start w:val="1"/>
      <w:numFmt w:val="bullet"/>
      <w:lvlText w:val=""/>
      <w:lvlJc w:val="left"/>
      <w:pPr>
        <w:ind w:left="1353" w:hanging="360"/>
      </w:pPr>
      <w:rPr>
        <w:rFonts w:ascii="Symbol" w:hAnsi="Symbol" w:hint="default"/>
      </w:rPr>
    </w:lvl>
    <w:lvl w:ilvl="1" w:tplc="0BD682E0">
      <w:start w:val="1"/>
      <w:numFmt w:val="bullet"/>
      <w:lvlText w:val="o"/>
      <w:lvlJc w:val="left"/>
      <w:pPr>
        <w:ind w:left="1080" w:hanging="360"/>
      </w:pPr>
      <w:rPr>
        <w:rFonts w:ascii="Courier New" w:hAnsi="Courier New" w:cs="Courier New" w:hint="default"/>
        <w:lang w:val="lt-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D4D41D4"/>
    <w:multiLevelType w:val="hybridMultilevel"/>
    <w:tmpl w:val="218A078A"/>
    <w:lvl w:ilvl="0" w:tplc="23A00DFE">
      <w:start w:val="1"/>
      <w:numFmt w:val="bullet"/>
      <w:lvlText w:val=""/>
      <w:lvlJc w:val="left"/>
      <w:pPr>
        <w:tabs>
          <w:tab w:val="num" w:pos="357"/>
        </w:tabs>
        <w:ind w:left="357" w:hanging="357"/>
      </w:pPr>
      <w:rPr>
        <w:rFonts w:ascii="Symbol" w:hAnsi="Symbol"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5E3825"/>
    <w:multiLevelType w:val="singleLevel"/>
    <w:tmpl w:val="4F2CCE9E"/>
    <w:lvl w:ilvl="0">
      <w:start w:val="1"/>
      <w:numFmt w:val="bullet"/>
      <w:lvlText w:val=""/>
      <w:lvlJc w:val="left"/>
      <w:pPr>
        <w:tabs>
          <w:tab w:val="num" w:pos="357"/>
        </w:tabs>
        <w:ind w:left="357" w:hanging="357"/>
      </w:pPr>
      <w:rPr>
        <w:rFonts w:ascii="Symbol" w:hAnsi="Symbol" w:hint="default"/>
      </w:rPr>
    </w:lvl>
  </w:abstractNum>
  <w:abstractNum w:abstractNumId="16"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7" w15:restartNumberingAfterBreak="0">
    <w:nsid w:val="57006243"/>
    <w:multiLevelType w:val="hybridMultilevel"/>
    <w:tmpl w:val="46F0BC92"/>
    <w:lvl w:ilvl="0" w:tplc="FFFFFFFF">
      <w:start w:val="1"/>
      <w:numFmt w:val="bullet"/>
      <w:lvlText w:val="-"/>
      <w:lvlJc w:val="left"/>
      <w:pPr>
        <w:ind w:left="927" w:hanging="360"/>
      </w:pPr>
      <w:rPr>
        <w:rFont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59893537"/>
    <w:multiLevelType w:val="hybridMultilevel"/>
    <w:tmpl w:val="6C1CDE78"/>
    <w:lvl w:ilvl="0" w:tplc="FFFFFFFF">
      <w:start w:val="1"/>
      <w:numFmt w:val="bullet"/>
      <w:lvlText w:val="-"/>
      <w:lvlJc w:val="left"/>
      <w:pPr>
        <w:tabs>
          <w:tab w:val="num" w:pos="1176"/>
        </w:tabs>
        <w:ind w:left="1176" w:hanging="357"/>
      </w:pPr>
      <w:rPr>
        <w:rFonts w:hint="default"/>
      </w:rPr>
    </w:lvl>
    <w:lvl w:ilvl="1" w:tplc="04090003" w:tentative="1">
      <w:start w:val="1"/>
      <w:numFmt w:val="bullet"/>
      <w:lvlText w:val="o"/>
      <w:lvlJc w:val="left"/>
      <w:pPr>
        <w:ind w:left="2259" w:hanging="360"/>
      </w:pPr>
      <w:rPr>
        <w:rFonts w:ascii="Courier New" w:hAnsi="Courier New" w:cs="Courier New" w:hint="default"/>
      </w:rPr>
    </w:lvl>
    <w:lvl w:ilvl="2" w:tplc="04090005" w:tentative="1">
      <w:start w:val="1"/>
      <w:numFmt w:val="bullet"/>
      <w:lvlText w:val=""/>
      <w:lvlJc w:val="left"/>
      <w:pPr>
        <w:ind w:left="2979" w:hanging="360"/>
      </w:pPr>
      <w:rPr>
        <w:rFonts w:ascii="Wingdings" w:hAnsi="Wingdings" w:hint="default"/>
      </w:rPr>
    </w:lvl>
    <w:lvl w:ilvl="3" w:tplc="04090001" w:tentative="1">
      <w:start w:val="1"/>
      <w:numFmt w:val="bullet"/>
      <w:lvlText w:val=""/>
      <w:lvlJc w:val="left"/>
      <w:pPr>
        <w:ind w:left="3699" w:hanging="360"/>
      </w:pPr>
      <w:rPr>
        <w:rFonts w:ascii="Symbol" w:hAnsi="Symbol" w:hint="default"/>
      </w:rPr>
    </w:lvl>
    <w:lvl w:ilvl="4" w:tplc="04090003" w:tentative="1">
      <w:start w:val="1"/>
      <w:numFmt w:val="bullet"/>
      <w:lvlText w:val="o"/>
      <w:lvlJc w:val="left"/>
      <w:pPr>
        <w:ind w:left="4419" w:hanging="360"/>
      </w:pPr>
      <w:rPr>
        <w:rFonts w:ascii="Courier New" w:hAnsi="Courier New" w:cs="Courier New" w:hint="default"/>
      </w:rPr>
    </w:lvl>
    <w:lvl w:ilvl="5" w:tplc="04090005" w:tentative="1">
      <w:start w:val="1"/>
      <w:numFmt w:val="bullet"/>
      <w:lvlText w:val=""/>
      <w:lvlJc w:val="left"/>
      <w:pPr>
        <w:ind w:left="5139" w:hanging="360"/>
      </w:pPr>
      <w:rPr>
        <w:rFonts w:ascii="Wingdings" w:hAnsi="Wingdings" w:hint="default"/>
      </w:rPr>
    </w:lvl>
    <w:lvl w:ilvl="6" w:tplc="04090001" w:tentative="1">
      <w:start w:val="1"/>
      <w:numFmt w:val="bullet"/>
      <w:lvlText w:val=""/>
      <w:lvlJc w:val="left"/>
      <w:pPr>
        <w:ind w:left="5859" w:hanging="360"/>
      </w:pPr>
      <w:rPr>
        <w:rFonts w:ascii="Symbol" w:hAnsi="Symbol" w:hint="default"/>
      </w:rPr>
    </w:lvl>
    <w:lvl w:ilvl="7" w:tplc="04090003" w:tentative="1">
      <w:start w:val="1"/>
      <w:numFmt w:val="bullet"/>
      <w:lvlText w:val="o"/>
      <w:lvlJc w:val="left"/>
      <w:pPr>
        <w:ind w:left="6579" w:hanging="360"/>
      </w:pPr>
      <w:rPr>
        <w:rFonts w:ascii="Courier New" w:hAnsi="Courier New" w:cs="Courier New" w:hint="default"/>
      </w:rPr>
    </w:lvl>
    <w:lvl w:ilvl="8" w:tplc="04090005" w:tentative="1">
      <w:start w:val="1"/>
      <w:numFmt w:val="bullet"/>
      <w:lvlText w:val=""/>
      <w:lvlJc w:val="left"/>
      <w:pPr>
        <w:ind w:left="7299" w:hanging="360"/>
      </w:pPr>
      <w:rPr>
        <w:rFonts w:ascii="Wingdings" w:hAnsi="Wingdings" w:hint="default"/>
      </w:rPr>
    </w:lvl>
  </w:abstractNum>
  <w:abstractNum w:abstractNumId="19" w15:restartNumberingAfterBreak="0">
    <w:nsid w:val="6230234D"/>
    <w:multiLevelType w:val="hybridMultilevel"/>
    <w:tmpl w:val="E348EEDE"/>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337069"/>
    <w:multiLevelType w:val="hybridMultilevel"/>
    <w:tmpl w:val="0E30A1F2"/>
    <w:lvl w:ilvl="0" w:tplc="2B8E58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912FD6"/>
    <w:multiLevelType w:val="hybridMultilevel"/>
    <w:tmpl w:val="6BE2600A"/>
    <w:lvl w:ilvl="0" w:tplc="23A00DFE">
      <w:start w:val="1"/>
      <w:numFmt w:val="bullet"/>
      <w:lvlText w:val=""/>
      <w:lvlJc w:val="left"/>
      <w:pPr>
        <w:tabs>
          <w:tab w:val="num" w:pos="357"/>
        </w:tabs>
        <w:ind w:left="357" w:hanging="357"/>
      </w:pPr>
      <w:rPr>
        <w:rFonts w:ascii="Symbol" w:hAnsi="Symbol"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B96364"/>
    <w:multiLevelType w:val="hybridMultilevel"/>
    <w:tmpl w:val="01929F4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AF05D2"/>
    <w:multiLevelType w:val="hybridMultilevel"/>
    <w:tmpl w:val="D2DAB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E176DD"/>
    <w:multiLevelType w:val="hybridMultilevel"/>
    <w:tmpl w:val="8FA8A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24793689">
    <w:abstractNumId w:val="2"/>
  </w:num>
  <w:num w:numId="2" w16cid:durableId="795224715">
    <w:abstractNumId w:val="6"/>
  </w:num>
  <w:num w:numId="3" w16cid:durableId="1295210601">
    <w:abstractNumId w:val="5"/>
  </w:num>
  <w:num w:numId="4" w16cid:durableId="1963029654">
    <w:abstractNumId w:val="16"/>
  </w:num>
  <w:num w:numId="5" w16cid:durableId="1470442247">
    <w:abstractNumId w:val="4"/>
  </w:num>
  <w:num w:numId="6" w16cid:durableId="1518033293">
    <w:abstractNumId w:val="23"/>
  </w:num>
  <w:num w:numId="7" w16cid:durableId="111242724">
    <w:abstractNumId w:val="7"/>
  </w:num>
  <w:num w:numId="8" w16cid:durableId="691305148">
    <w:abstractNumId w:val="12"/>
  </w:num>
  <w:num w:numId="9" w16cid:durableId="1919820696">
    <w:abstractNumId w:val="3"/>
  </w:num>
  <w:num w:numId="10" w16cid:durableId="1305432682">
    <w:abstractNumId w:val="15"/>
  </w:num>
  <w:num w:numId="11" w16cid:durableId="73624783">
    <w:abstractNumId w:val="21"/>
  </w:num>
  <w:num w:numId="12" w16cid:durableId="356472954">
    <w:abstractNumId w:val="14"/>
  </w:num>
  <w:num w:numId="13" w16cid:durableId="1239828572">
    <w:abstractNumId w:val="13"/>
  </w:num>
  <w:num w:numId="14" w16cid:durableId="1654485835">
    <w:abstractNumId w:val="24"/>
  </w:num>
  <w:num w:numId="15" w16cid:durableId="1154176863">
    <w:abstractNumId w:val="9"/>
  </w:num>
  <w:num w:numId="16" w16cid:durableId="952442950">
    <w:abstractNumId w:val="17"/>
  </w:num>
  <w:num w:numId="17" w16cid:durableId="618494054">
    <w:abstractNumId w:val="11"/>
  </w:num>
  <w:num w:numId="18" w16cid:durableId="1075131635">
    <w:abstractNumId w:val="19"/>
  </w:num>
  <w:num w:numId="19" w16cid:durableId="1120106168">
    <w:abstractNumId w:val="22"/>
  </w:num>
  <w:num w:numId="20" w16cid:durableId="1701314878">
    <w:abstractNumId w:val="8"/>
  </w:num>
  <w:num w:numId="21" w16cid:durableId="211579878">
    <w:abstractNumId w:val="0"/>
    <w:lvlOverride w:ilvl="0">
      <w:lvl w:ilvl="0">
        <w:start w:val="1"/>
        <w:numFmt w:val="bullet"/>
        <w:lvlText w:val="-"/>
        <w:lvlJc w:val="left"/>
        <w:pPr>
          <w:ind w:left="720" w:hanging="360"/>
        </w:pPr>
      </w:lvl>
    </w:lvlOverride>
  </w:num>
  <w:num w:numId="22" w16cid:durableId="815688659">
    <w:abstractNumId w:val="20"/>
  </w:num>
  <w:num w:numId="23" w16cid:durableId="1574196465">
    <w:abstractNumId w:val="18"/>
  </w:num>
  <w:num w:numId="24" w16cid:durableId="1891720836">
    <w:abstractNumId w:val="1"/>
  </w:num>
  <w:num w:numId="25" w16cid:durableId="8188855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207"/>
    <w:rsid w:val="000041E9"/>
    <w:rsid w:val="00036AB9"/>
    <w:rsid w:val="00045A59"/>
    <w:rsid w:val="000551BF"/>
    <w:rsid w:val="000814BB"/>
    <w:rsid w:val="000A51AD"/>
    <w:rsid w:val="000C0815"/>
    <w:rsid w:val="000C5AEE"/>
    <w:rsid w:val="000C7DD2"/>
    <w:rsid w:val="000D1639"/>
    <w:rsid w:val="000D77B1"/>
    <w:rsid w:val="000E556C"/>
    <w:rsid w:val="00101153"/>
    <w:rsid w:val="00103884"/>
    <w:rsid w:val="00143FB5"/>
    <w:rsid w:val="001444A4"/>
    <w:rsid w:val="00160ED3"/>
    <w:rsid w:val="00165717"/>
    <w:rsid w:val="00173A2F"/>
    <w:rsid w:val="0017444E"/>
    <w:rsid w:val="00175D28"/>
    <w:rsid w:val="001867E9"/>
    <w:rsid w:val="001A2BF2"/>
    <w:rsid w:val="001E5308"/>
    <w:rsid w:val="002140A4"/>
    <w:rsid w:val="00217800"/>
    <w:rsid w:val="0025266E"/>
    <w:rsid w:val="00253920"/>
    <w:rsid w:val="00255BD3"/>
    <w:rsid w:val="0026353E"/>
    <w:rsid w:val="00264D2C"/>
    <w:rsid w:val="00266956"/>
    <w:rsid w:val="00270C95"/>
    <w:rsid w:val="00271B4F"/>
    <w:rsid w:val="0029474C"/>
    <w:rsid w:val="002C72ED"/>
    <w:rsid w:val="002D08D9"/>
    <w:rsid w:val="002D2E39"/>
    <w:rsid w:val="002E10E6"/>
    <w:rsid w:val="002E78CD"/>
    <w:rsid w:val="002E7DF1"/>
    <w:rsid w:val="00304FEF"/>
    <w:rsid w:val="00310846"/>
    <w:rsid w:val="00320502"/>
    <w:rsid w:val="00321581"/>
    <w:rsid w:val="00323207"/>
    <w:rsid w:val="0032529F"/>
    <w:rsid w:val="00337978"/>
    <w:rsid w:val="0034175D"/>
    <w:rsid w:val="00361B46"/>
    <w:rsid w:val="00371BA1"/>
    <w:rsid w:val="003950EF"/>
    <w:rsid w:val="003F75B1"/>
    <w:rsid w:val="00414682"/>
    <w:rsid w:val="00417728"/>
    <w:rsid w:val="0044085F"/>
    <w:rsid w:val="00454010"/>
    <w:rsid w:val="00461181"/>
    <w:rsid w:val="00472DB3"/>
    <w:rsid w:val="004A12C6"/>
    <w:rsid w:val="004D0E76"/>
    <w:rsid w:val="004D12D0"/>
    <w:rsid w:val="004F7373"/>
    <w:rsid w:val="00501D5F"/>
    <w:rsid w:val="00512740"/>
    <w:rsid w:val="00512775"/>
    <w:rsid w:val="00537C43"/>
    <w:rsid w:val="00542A90"/>
    <w:rsid w:val="0054425E"/>
    <w:rsid w:val="00564E00"/>
    <w:rsid w:val="00570612"/>
    <w:rsid w:val="00570F3F"/>
    <w:rsid w:val="005B0924"/>
    <w:rsid w:val="005B477F"/>
    <w:rsid w:val="005B7D4F"/>
    <w:rsid w:val="005D3B8E"/>
    <w:rsid w:val="006065C9"/>
    <w:rsid w:val="006140E5"/>
    <w:rsid w:val="00621466"/>
    <w:rsid w:val="00641DDE"/>
    <w:rsid w:val="00675235"/>
    <w:rsid w:val="00680973"/>
    <w:rsid w:val="006845AC"/>
    <w:rsid w:val="0069753F"/>
    <w:rsid w:val="006B1AC2"/>
    <w:rsid w:val="006E5A45"/>
    <w:rsid w:val="007043F1"/>
    <w:rsid w:val="00720FF9"/>
    <w:rsid w:val="00723BF0"/>
    <w:rsid w:val="00736333"/>
    <w:rsid w:val="00746419"/>
    <w:rsid w:val="0075466F"/>
    <w:rsid w:val="00761DAF"/>
    <w:rsid w:val="00762081"/>
    <w:rsid w:val="007857D2"/>
    <w:rsid w:val="00793AD5"/>
    <w:rsid w:val="007A01F5"/>
    <w:rsid w:val="007A489C"/>
    <w:rsid w:val="00820416"/>
    <w:rsid w:val="00826C7D"/>
    <w:rsid w:val="00830733"/>
    <w:rsid w:val="00847147"/>
    <w:rsid w:val="00862B5B"/>
    <w:rsid w:val="008632DB"/>
    <w:rsid w:val="00864B43"/>
    <w:rsid w:val="00864C50"/>
    <w:rsid w:val="00872B3F"/>
    <w:rsid w:val="008851A0"/>
    <w:rsid w:val="00892A3C"/>
    <w:rsid w:val="008F2CDB"/>
    <w:rsid w:val="008F4573"/>
    <w:rsid w:val="008F7727"/>
    <w:rsid w:val="00931C85"/>
    <w:rsid w:val="009754FE"/>
    <w:rsid w:val="00976AF3"/>
    <w:rsid w:val="009A2DA6"/>
    <w:rsid w:val="009A3A03"/>
    <w:rsid w:val="009B3CBE"/>
    <w:rsid w:val="009B426E"/>
    <w:rsid w:val="009C2184"/>
    <w:rsid w:val="009C34F4"/>
    <w:rsid w:val="009C78B2"/>
    <w:rsid w:val="009D55B8"/>
    <w:rsid w:val="00A009BB"/>
    <w:rsid w:val="00A05FE0"/>
    <w:rsid w:val="00A33C88"/>
    <w:rsid w:val="00A379C4"/>
    <w:rsid w:val="00A41556"/>
    <w:rsid w:val="00A43CD1"/>
    <w:rsid w:val="00A62F75"/>
    <w:rsid w:val="00A63E11"/>
    <w:rsid w:val="00A6738C"/>
    <w:rsid w:val="00A85353"/>
    <w:rsid w:val="00A87197"/>
    <w:rsid w:val="00AB073C"/>
    <w:rsid w:val="00AB5622"/>
    <w:rsid w:val="00AC6CE0"/>
    <w:rsid w:val="00AE63EF"/>
    <w:rsid w:val="00AF0F15"/>
    <w:rsid w:val="00AF6E4B"/>
    <w:rsid w:val="00B014C3"/>
    <w:rsid w:val="00B32BBD"/>
    <w:rsid w:val="00B45403"/>
    <w:rsid w:val="00B4654B"/>
    <w:rsid w:val="00B84E9B"/>
    <w:rsid w:val="00B85336"/>
    <w:rsid w:val="00BA4D92"/>
    <w:rsid w:val="00BC2350"/>
    <w:rsid w:val="00BD7725"/>
    <w:rsid w:val="00BE2D15"/>
    <w:rsid w:val="00BE5405"/>
    <w:rsid w:val="00BF1E65"/>
    <w:rsid w:val="00C075ED"/>
    <w:rsid w:val="00C1388F"/>
    <w:rsid w:val="00C1688C"/>
    <w:rsid w:val="00C41F4D"/>
    <w:rsid w:val="00C77476"/>
    <w:rsid w:val="00C80C05"/>
    <w:rsid w:val="00C821F9"/>
    <w:rsid w:val="00C86872"/>
    <w:rsid w:val="00C877B2"/>
    <w:rsid w:val="00C946B3"/>
    <w:rsid w:val="00CA22CE"/>
    <w:rsid w:val="00CA416D"/>
    <w:rsid w:val="00CE71D9"/>
    <w:rsid w:val="00CF00D4"/>
    <w:rsid w:val="00CF020C"/>
    <w:rsid w:val="00CF4B6F"/>
    <w:rsid w:val="00D04BFB"/>
    <w:rsid w:val="00D30529"/>
    <w:rsid w:val="00D57F93"/>
    <w:rsid w:val="00D61253"/>
    <w:rsid w:val="00D86E60"/>
    <w:rsid w:val="00D90725"/>
    <w:rsid w:val="00D930A2"/>
    <w:rsid w:val="00D959D7"/>
    <w:rsid w:val="00DE2D43"/>
    <w:rsid w:val="00DE49A4"/>
    <w:rsid w:val="00E03ECE"/>
    <w:rsid w:val="00E41521"/>
    <w:rsid w:val="00E50876"/>
    <w:rsid w:val="00E81BD8"/>
    <w:rsid w:val="00E9490D"/>
    <w:rsid w:val="00EB6EEE"/>
    <w:rsid w:val="00ED0995"/>
    <w:rsid w:val="00ED5B19"/>
    <w:rsid w:val="00EE0126"/>
    <w:rsid w:val="00EE5631"/>
    <w:rsid w:val="00F20A05"/>
    <w:rsid w:val="00F31F85"/>
    <w:rsid w:val="00F37ABC"/>
    <w:rsid w:val="00F45B1F"/>
    <w:rsid w:val="00F57C64"/>
    <w:rsid w:val="00F70B93"/>
    <w:rsid w:val="00F931D9"/>
    <w:rsid w:val="00FD5918"/>
    <w:rsid w:val="00FD7172"/>
    <w:rsid w:val="00FE3B55"/>
    <w:rsid w:val="00FF0101"/>
    <w:rsid w:val="00FF5FC9"/>
    <w:rsid w:val="00FF7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F4825"/>
  <w15:chartTrackingRefBased/>
  <w15:docId w15:val="{DF9E1966-0B47-474E-B3B8-8BF3387DA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F45B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F45B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F45B1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nhideWhenUsed/>
    <w:qFormat/>
    <w:rsid w:val="00F45B1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nhideWhenUsed/>
    <w:qFormat/>
    <w:rsid w:val="00F45B1F"/>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nhideWhenUsed/>
    <w:qFormat/>
    <w:rsid w:val="00F45B1F"/>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nhideWhenUsed/>
    <w:qFormat/>
    <w:rsid w:val="00F45B1F"/>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nhideWhenUsed/>
    <w:qFormat/>
    <w:rsid w:val="00F45B1F"/>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nhideWhenUsed/>
    <w:qFormat/>
    <w:rsid w:val="00F45B1F"/>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2320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32320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323207"/>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rsid w:val="00323207"/>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rsid w:val="00323207"/>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rsid w:val="0032320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rsid w:val="0032320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rsid w:val="0032320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rsid w:val="0032320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F45B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32320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2320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2320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2320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23207"/>
    <w:rPr>
      <w:i/>
      <w:iCs/>
      <w:color w:val="404040" w:themeColor="text1" w:themeTint="BF"/>
    </w:rPr>
  </w:style>
  <w:style w:type="paragraph" w:styleId="Sraopastraipa">
    <w:name w:val="List Paragraph"/>
    <w:basedOn w:val="prastasis"/>
    <w:uiPriority w:val="34"/>
    <w:qFormat/>
    <w:rsid w:val="00323207"/>
    <w:pPr>
      <w:ind w:left="720"/>
      <w:contextualSpacing/>
    </w:pPr>
  </w:style>
  <w:style w:type="character" w:styleId="Rykuspabraukimas">
    <w:name w:val="Intense Emphasis"/>
    <w:basedOn w:val="Numatytasispastraiposriftas"/>
    <w:uiPriority w:val="21"/>
    <w:qFormat/>
    <w:rsid w:val="00323207"/>
    <w:rPr>
      <w:i/>
      <w:iCs/>
      <w:color w:val="0F4761" w:themeColor="accent1" w:themeShade="BF"/>
    </w:rPr>
  </w:style>
  <w:style w:type="paragraph" w:styleId="Iskirtacitata">
    <w:name w:val="Intense Quote"/>
    <w:basedOn w:val="prastasis"/>
    <w:next w:val="prastasis"/>
    <w:link w:val="IskirtacitataDiagrama"/>
    <w:uiPriority w:val="30"/>
    <w:qFormat/>
    <w:rsid w:val="003232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23207"/>
    <w:rPr>
      <w:i/>
      <w:iCs/>
      <w:color w:val="0F4761" w:themeColor="accent1" w:themeShade="BF"/>
    </w:rPr>
  </w:style>
  <w:style w:type="character" w:styleId="Rykinuoroda">
    <w:name w:val="Intense Reference"/>
    <w:basedOn w:val="Numatytasispastraiposriftas"/>
    <w:uiPriority w:val="32"/>
    <w:qFormat/>
    <w:rsid w:val="00323207"/>
    <w:rPr>
      <w:b/>
      <w:bCs/>
      <w:smallCaps/>
      <w:color w:val="0F4761" w:themeColor="accent1" w:themeShade="BF"/>
      <w:spacing w:val="5"/>
    </w:rPr>
  </w:style>
  <w:style w:type="numbering" w:customStyle="1" w:styleId="NoList1">
    <w:name w:val="No List1"/>
    <w:next w:val="Sraonra"/>
    <w:uiPriority w:val="99"/>
    <w:semiHidden/>
    <w:unhideWhenUsed/>
    <w:rsid w:val="00323207"/>
  </w:style>
  <w:style w:type="numbering" w:customStyle="1" w:styleId="NoList11">
    <w:name w:val="No List11"/>
    <w:next w:val="Sraonra"/>
    <w:uiPriority w:val="99"/>
    <w:semiHidden/>
    <w:unhideWhenUsed/>
    <w:rsid w:val="00323207"/>
  </w:style>
  <w:style w:type="paragraph" w:styleId="Antrats">
    <w:name w:val="header"/>
    <w:basedOn w:val="prastasis"/>
    <w:link w:val="AntratsDiagrama"/>
    <w:rsid w:val="00F45B1F"/>
    <w:pPr>
      <w:tabs>
        <w:tab w:val="center" w:pos="4153"/>
        <w:tab w:val="right" w:pos="8306"/>
      </w:tabs>
      <w:spacing w:after="0" w:line="240" w:lineRule="auto"/>
    </w:pPr>
    <w:rPr>
      <w:rFonts w:eastAsia="Times New Roman" w:cs="Times New Roman"/>
      <w:kern w:val="0"/>
      <w:lang w:val="en-GB"/>
      <w14:ligatures w14:val="none"/>
    </w:rPr>
  </w:style>
  <w:style w:type="character" w:customStyle="1" w:styleId="AntratsDiagrama">
    <w:name w:val="Antraštės Diagrama"/>
    <w:basedOn w:val="Numatytasispastraiposriftas"/>
    <w:link w:val="Antrats"/>
    <w:rsid w:val="00323207"/>
    <w:rPr>
      <w:rFonts w:eastAsia="Times New Roman" w:cs="Times New Roman"/>
      <w:kern w:val="0"/>
      <w:lang w:val="en-GB"/>
      <w14:ligatures w14:val="none"/>
    </w:rPr>
  </w:style>
  <w:style w:type="paragraph" w:styleId="Porat">
    <w:name w:val="footer"/>
    <w:basedOn w:val="prastasis"/>
    <w:link w:val="PoratDiagrama"/>
    <w:uiPriority w:val="99"/>
    <w:rsid w:val="00F45B1F"/>
    <w:pPr>
      <w:tabs>
        <w:tab w:val="center" w:pos="4536"/>
        <w:tab w:val="center" w:pos="8930"/>
      </w:tabs>
      <w:spacing w:after="0" w:line="240" w:lineRule="auto"/>
    </w:pPr>
    <w:rPr>
      <w:rFonts w:eastAsia="Times New Roman" w:cs="Times New Roman"/>
      <w:kern w:val="0"/>
      <w:sz w:val="16"/>
      <w:lang w:val="en-GB"/>
      <w14:ligatures w14:val="none"/>
    </w:rPr>
  </w:style>
  <w:style w:type="character" w:customStyle="1" w:styleId="PoratDiagrama">
    <w:name w:val="Poraštė Diagrama"/>
    <w:basedOn w:val="Numatytasispastraiposriftas"/>
    <w:link w:val="Porat"/>
    <w:uiPriority w:val="99"/>
    <w:rsid w:val="00323207"/>
    <w:rPr>
      <w:rFonts w:eastAsia="Times New Roman" w:cs="Times New Roman"/>
      <w:kern w:val="0"/>
      <w:sz w:val="16"/>
      <w:lang w:val="en-GB"/>
      <w14:ligatures w14:val="none"/>
    </w:rPr>
  </w:style>
  <w:style w:type="paragraph" w:customStyle="1" w:styleId="copy">
    <w:name w:val="*copy"/>
    <w:semiHidden/>
    <w:rsid w:val="00F45B1F"/>
    <w:pPr>
      <w:spacing w:after="0" w:line="240" w:lineRule="auto"/>
    </w:pPr>
    <w:rPr>
      <w:rFonts w:ascii="Times New Roman" w:eastAsia="Times New Roman" w:hAnsi="Times New Roman" w:cs="Times New Roman"/>
      <w:kern w:val="0"/>
      <w:sz w:val="22"/>
      <w:lang w:val="en-GB"/>
      <w14:ligatures w14:val="none"/>
    </w:rPr>
  </w:style>
  <w:style w:type="paragraph" w:customStyle="1" w:styleId="FooterAgency">
    <w:name w:val="Footer (Agency)"/>
    <w:basedOn w:val="prastasis"/>
    <w:link w:val="FooterAgencyCharChar"/>
    <w:rsid w:val="00F45B1F"/>
    <w:pPr>
      <w:spacing w:after="0" w:line="240" w:lineRule="auto"/>
    </w:pPr>
    <w:rPr>
      <w:rFonts w:ascii="Verdana" w:eastAsia="Verdana" w:hAnsi="Verdana" w:cs="Verdana"/>
      <w:color w:val="6D6F71"/>
      <w:kern w:val="0"/>
      <w:sz w:val="14"/>
      <w:szCs w:val="14"/>
      <w:lang w:val="en-GB" w:eastAsia="en-GB"/>
      <w14:ligatures w14:val="none"/>
    </w:rPr>
  </w:style>
  <w:style w:type="paragraph" w:customStyle="1" w:styleId="FooterblueAgency">
    <w:name w:val="Footer blue (Agency)"/>
    <w:basedOn w:val="prastasis"/>
    <w:link w:val="FooterblueAgencyCharChar"/>
    <w:rsid w:val="00F45B1F"/>
    <w:pPr>
      <w:spacing w:after="0" w:line="240" w:lineRule="auto"/>
    </w:pPr>
    <w:rPr>
      <w:rFonts w:ascii="Verdana" w:eastAsia="Verdana" w:hAnsi="Verdana" w:cs="Verdana"/>
      <w:b/>
      <w:color w:val="003399"/>
      <w:kern w:val="0"/>
      <w:sz w:val="13"/>
      <w:szCs w:val="14"/>
      <w:lang w:val="en-GB" w:eastAsia="en-GB"/>
      <w14:ligatures w14:val="none"/>
    </w:rPr>
  </w:style>
  <w:style w:type="table" w:customStyle="1" w:styleId="FootertableAgency">
    <w:name w:val="Footer table (Agency)"/>
    <w:basedOn w:val="prastojilentel"/>
    <w:semiHidden/>
    <w:rsid w:val="00323207"/>
    <w:pPr>
      <w:spacing w:after="0" w:line="240" w:lineRule="auto"/>
    </w:pPr>
    <w:rPr>
      <w:rFonts w:ascii="Verdana" w:eastAsia="SimSun" w:hAnsi="Verdana" w:cs="Times New Roman"/>
      <w:kern w:val="0"/>
      <w:lang w:val="lt-LT" w:eastAsia="lt-LT"/>
      <w14:ligatures w14:val="none"/>
    </w:rPr>
    <w:tblPr/>
    <w:tcPr>
      <w:shd w:val="clear" w:color="auto" w:fill="auto"/>
      <w:tcMar>
        <w:left w:w="0" w:type="dxa"/>
        <w:right w:w="0" w:type="dxa"/>
      </w:tcMar>
    </w:tcPr>
    <w:tblStylePr w:type="firstRow">
      <w:rPr>
        <w:rFonts w:ascii="Courier (W1)" w:hAnsi="Courier (W1)"/>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323207"/>
    <w:rPr>
      <w:rFonts w:ascii="Verdana" w:eastAsia="Verdana" w:hAnsi="Verdana" w:cs="Verdana"/>
      <w:color w:val="6D6F71"/>
      <w:kern w:val="0"/>
      <w:sz w:val="14"/>
      <w:szCs w:val="14"/>
      <w:lang w:val="en-GB" w:eastAsia="en-GB"/>
      <w14:ligatures w14:val="none"/>
    </w:rPr>
  </w:style>
  <w:style w:type="paragraph" w:customStyle="1" w:styleId="PagenumberAgency">
    <w:name w:val="Page number (Agency)"/>
    <w:basedOn w:val="prastasis"/>
    <w:next w:val="prastasis"/>
    <w:link w:val="PagenumberAgencyCharChar"/>
    <w:semiHidden/>
    <w:rsid w:val="00F45B1F"/>
    <w:pPr>
      <w:tabs>
        <w:tab w:val="right" w:pos="9781"/>
      </w:tabs>
      <w:spacing w:after="0" w:line="240" w:lineRule="auto"/>
      <w:jc w:val="right"/>
    </w:pPr>
    <w:rPr>
      <w:rFonts w:ascii="Verdana" w:eastAsia="Verdana" w:hAnsi="Verdana" w:cs="Verdana"/>
      <w:noProof/>
      <w:color w:val="6D6F71"/>
      <w:kern w:val="0"/>
      <w:sz w:val="14"/>
      <w:szCs w:val="14"/>
      <w:lang w:val="en-GB" w:eastAsia="en-GB"/>
      <w14:ligatures w14:val="none"/>
    </w:rPr>
  </w:style>
  <w:style w:type="character" w:customStyle="1" w:styleId="PagenumberAgencyCharChar">
    <w:name w:val="Page number (Agency) Char Char"/>
    <w:link w:val="PagenumberAgency"/>
    <w:semiHidden/>
    <w:rsid w:val="00323207"/>
    <w:rPr>
      <w:rFonts w:ascii="Verdana" w:eastAsia="Verdana" w:hAnsi="Verdana" w:cs="Verdana"/>
      <w:noProof/>
      <w:color w:val="6D6F71"/>
      <w:kern w:val="0"/>
      <w:sz w:val="14"/>
      <w:szCs w:val="14"/>
      <w:lang w:val="en-GB" w:eastAsia="en-GB"/>
      <w14:ligatures w14:val="none"/>
    </w:rPr>
  </w:style>
  <w:style w:type="table" w:customStyle="1" w:styleId="TablegridAgencyblank">
    <w:name w:val="Table grid (Agency) blank"/>
    <w:basedOn w:val="prastojilentel"/>
    <w:semiHidden/>
    <w:rsid w:val="00323207"/>
    <w:pPr>
      <w:spacing w:after="0" w:line="240" w:lineRule="auto"/>
    </w:pPr>
    <w:rPr>
      <w:rFonts w:ascii="Verdana" w:eastAsia="SimSun" w:hAnsi="Verdana" w:cs="Times New Roman"/>
      <w:kern w:val="0"/>
      <w:sz w:val="18"/>
      <w:lang w:val="lt-LT" w:eastAsia="lt-LT"/>
      <w14:ligatures w14:val="none"/>
    </w:rPr>
    <w:tblPr/>
    <w:tcPr>
      <w:shd w:val="clear" w:color="auto" w:fill="auto"/>
    </w:tcPr>
    <w:tblStylePr w:type="firstRow">
      <w:rPr>
        <w:rFonts w:ascii="Albertus Medium" w:hAnsi="Albertus Medium"/>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character" w:customStyle="1" w:styleId="FooterblueAgencyCharChar">
    <w:name w:val="Footer blue (Agency) Char Char"/>
    <w:link w:val="FooterblueAgency"/>
    <w:rsid w:val="00323207"/>
    <w:rPr>
      <w:rFonts w:ascii="Verdana" w:eastAsia="Verdana" w:hAnsi="Verdana" w:cs="Verdana"/>
      <w:b/>
      <w:color w:val="003399"/>
      <w:kern w:val="0"/>
      <w:sz w:val="13"/>
      <w:szCs w:val="14"/>
      <w:lang w:val="en-GB" w:eastAsia="en-GB"/>
      <w14:ligatures w14:val="none"/>
    </w:rPr>
  </w:style>
  <w:style w:type="paragraph" w:styleId="Pagrindinistekstas">
    <w:name w:val="Body Text"/>
    <w:basedOn w:val="prastasis"/>
    <w:link w:val="PagrindinistekstasDiagrama"/>
    <w:rsid w:val="00F45B1F"/>
    <w:pPr>
      <w:spacing w:after="140" w:line="280" w:lineRule="atLeast"/>
    </w:pPr>
    <w:rPr>
      <w:rFonts w:ascii="Verdana" w:eastAsia="SimSun" w:hAnsi="Verdana" w:cs="Verdana"/>
      <w:kern w:val="0"/>
      <w:sz w:val="18"/>
      <w:szCs w:val="18"/>
      <w:lang w:val="en-GB" w:eastAsia="zh-CN"/>
      <w14:ligatures w14:val="none"/>
    </w:rPr>
  </w:style>
  <w:style w:type="character" w:customStyle="1" w:styleId="PagrindinistekstasDiagrama">
    <w:name w:val="Pagrindinis tekstas Diagrama"/>
    <w:basedOn w:val="Numatytasispastraiposriftas"/>
    <w:link w:val="Pagrindinistekstas"/>
    <w:rsid w:val="00323207"/>
    <w:rPr>
      <w:rFonts w:ascii="Verdana" w:eastAsia="SimSun" w:hAnsi="Verdana" w:cs="Verdana"/>
      <w:kern w:val="0"/>
      <w:sz w:val="18"/>
      <w:szCs w:val="18"/>
      <w:lang w:val="en-GB" w:eastAsia="zh-CN"/>
      <w14:ligatures w14:val="none"/>
    </w:rPr>
  </w:style>
  <w:style w:type="paragraph" w:customStyle="1" w:styleId="BodytextAgency">
    <w:name w:val="Body text (Agency)"/>
    <w:basedOn w:val="prastasis"/>
    <w:link w:val="BodytextAgencyChar"/>
    <w:rsid w:val="00F45B1F"/>
    <w:pPr>
      <w:spacing w:after="140" w:line="280" w:lineRule="atLeast"/>
    </w:pPr>
    <w:rPr>
      <w:rFonts w:ascii="Verdana" w:eastAsia="Verdana" w:hAnsi="Verdana" w:cs="Times New Roman"/>
      <w:kern w:val="0"/>
      <w:sz w:val="18"/>
      <w:szCs w:val="18"/>
      <w:lang w:val="en-GB" w:eastAsia="en-GB"/>
      <w14:ligatures w14:val="none"/>
    </w:rPr>
  </w:style>
  <w:style w:type="numbering" w:customStyle="1" w:styleId="BulletsAgency">
    <w:name w:val="Bullets (Agency)"/>
    <w:basedOn w:val="Sraonra"/>
    <w:rsid w:val="00323207"/>
    <w:pPr>
      <w:numPr>
        <w:numId w:val="1"/>
      </w:numPr>
    </w:pPr>
  </w:style>
  <w:style w:type="paragraph" w:customStyle="1" w:styleId="DisclaimerAgency">
    <w:name w:val="Disclaimer (Agency)"/>
    <w:basedOn w:val="prastasis"/>
    <w:semiHidden/>
    <w:rsid w:val="00F45B1F"/>
    <w:pPr>
      <w:tabs>
        <w:tab w:val="center" w:pos="4320"/>
        <w:tab w:val="right" w:pos="8640"/>
      </w:tabs>
      <w:spacing w:after="57" w:line="150" w:lineRule="exact"/>
    </w:pPr>
    <w:rPr>
      <w:rFonts w:ascii="Verdana" w:eastAsia="Verdana" w:hAnsi="Verdana" w:cs="Verdana"/>
      <w:noProof/>
      <w:snapToGrid w:val="0"/>
      <w:color w:val="6D6F71"/>
      <w:kern w:val="0"/>
      <w:sz w:val="13"/>
      <w:szCs w:val="13"/>
      <w:lang w:val="en-GB" w:eastAsia="en-GB"/>
      <w14:ligatures w14:val="none"/>
    </w:rPr>
  </w:style>
  <w:style w:type="paragraph" w:customStyle="1" w:styleId="DocsubtitleAgency">
    <w:name w:val="Doc subtitle (Agency)"/>
    <w:basedOn w:val="prastasis"/>
    <w:next w:val="BodytextAgency"/>
    <w:rsid w:val="00F45B1F"/>
    <w:pPr>
      <w:spacing w:after="640" w:line="360" w:lineRule="atLeast"/>
    </w:pPr>
    <w:rPr>
      <w:rFonts w:ascii="Verdana" w:eastAsia="Verdana" w:hAnsi="Verdana" w:cs="Verdana"/>
      <w:kern w:val="0"/>
      <w:sz w:val="24"/>
      <w:szCs w:val="24"/>
      <w:lang w:val="en-GB" w:eastAsia="en-GB"/>
      <w14:ligatures w14:val="none"/>
    </w:rPr>
  </w:style>
  <w:style w:type="paragraph" w:customStyle="1" w:styleId="DoctitleAgency">
    <w:name w:val="Doc title (Agency)"/>
    <w:basedOn w:val="prastasis"/>
    <w:next w:val="DocsubtitleAgency"/>
    <w:rsid w:val="00F45B1F"/>
    <w:pPr>
      <w:spacing w:before="720" w:after="0" w:line="360" w:lineRule="atLeast"/>
    </w:pPr>
    <w:rPr>
      <w:rFonts w:ascii="Verdana" w:eastAsia="Verdana" w:hAnsi="Verdana" w:cs="Verdana"/>
      <w:color w:val="003399"/>
      <w:kern w:val="0"/>
      <w:sz w:val="32"/>
      <w:szCs w:val="32"/>
      <w:lang w:val="en-GB" w:eastAsia="en-GB"/>
      <w14:ligatures w14:val="none"/>
    </w:rPr>
  </w:style>
  <w:style w:type="paragraph" w:customStyle="1" w:styleId="DraftingNotesAgency">
    <w:name w:val="Drafting Notes (Agency)"/>
    <w:basedOn w:val="prastasis"/>
    <w:next w:val="BodytextAgency"/>
    <w:rsid w:val="00F45B1F"/>
    <w:pPr>
      <w:spacing w:after="140" w:line="280" w:lineRule="atLeast"/>
    </w:pPr>
    <w:rPr>
      <w:rFonts w:ascii="Courier New" w:eastAsia="Verdana" w:hAnsi="Courier New" w:cs="Times New Roman"/>
      <w:i/>
      <w:color w:val="339966"/>
      <w:kern w:val="0"/>
      <w:sz w:val="22"/>
      <w:szCs w:val="18"/>
      <w:lang w:val="en-GB" w:eastAsia="en-GB"/>
      <w14:ligatures w14:val="none"/>
    </w:rPr>
  </w:style>
  <w:style w:type="character" w:styleId="Dokumentoinaosnumeris">
    <w:name w:val="endnote reference"/>
    <w:rsid w:val="00323207"/>
    <w:rPr>
      <w:rFonts w:ascii="Verdana" w:hAnsi="Verdana"/>
      <w:vertAlign w:val="superscript"/>
    </w:rPr>
  </w:style>
  <w:style w:type="character" w:customStyle="1" w:styleId="EndnotereferenceAgency">
    <w:name w:val="Endnote reference (Agency)"/>
    <w:semiHidden/>
    <w:rsid w:val="00323207"/>
    <w:rPr>
      <w:rFonts w:ascii="Verdana" w:hAnsi="Verdana"/>
      <w:vertAlign w:val="superscript"/>
    </w:rPr>
  </w:style>
  <w:style w:type="paragraph" w:styleId="Dokumentoinaostekstas">
    <w:name w:val="endnote text"/>
    <w:basedOn w:val="prastasis"/>
    <w:link w:val="DokumentoinaostekstasDiagrama"/>
    <w:rsid w:val="00F45B1F"/>
    <w:pPr>
      <w:spacing w:after="0" w:line="240" w:lineRule="auto"/>
    </w:pPr>
    <w:rPr>
      <w:rFonts w:ascii="Verdana" w:eastAsia="Verdana" w:hAnsi="Verdana" w:cs="Verdana"/>
      <w:kern w:val="0"/>
      <w:sz w:val="15"/>
      <w:szCs w:val="15"/>
      <w:lang w:val="en-GB" w:eastAsia="en-GB"/>
      <w14:ligatures w14:val="none"/>
    </w:rPr>
  </w:style>
  <w:style w:type="character" w:customStyle="1" w:styleId="DokumentoinaostekstasDiagrama">
    <w:name w:val="Dokumento išnašos tekstas Diagrama"/>
    <w:basedOn w:val="Numatytasispastraiposriftas"/>
    <w:link w:val="Dokumentoinaostekstas"/>
    <w:rsid w:val="00323207"/>
    <w:rPr>
      <w:rFonts w:ascii="Verdana" w:eastAsia="Verdana" w:hAnsi="Verdana" w:cs="Verdana"/>
      <w:kern w:val="0"/>
      <w:sz w:val="15"/>
      <w:szCs w:val="15"/>
      <w:lang w:val="en-GB" w:eastAsia="en-GB"/>
      <w14:ligatures w14:val="none"/>
    </w:rPr>
  </w:style>
  <w:style w:type="paragraph" w:customStyle="1" w:styleId="EndnotetextAgency">
    <w:name w:val="Endnote text (Agency)"/>
    <w:basedOn w:val="prastasis"/>
    <w:semiHidden/>
    <w:rsid w:val="00F45B1F"/>
    <w:pPr>
      <w:spacing w:after="0" w:line="240" w:lineRule="auto"/>
    </w:pPr>
    <w:rPr>
      <w:rFonts w:ascii="Verdana" w:eastAsia="Verdana" w:hAnsi="Verdana" w:cs="Verdana"/>
      <w:kern w:val="0"/>
      <w:sz w:val="15"/>
      <w:szCs w:val="18"/>
      <w:lang w:val="en-GB" w:eastAsia="en-GB"/>
      <w14:ligatures w14:val="none"/>
    </w:rPr>
  </w:style>
  <w:style w:type="paragraph" w:customStyle="1" w:styleId="FigureAgency">
    <w:name w:val="Figure (Agency)"/>
    <w:basedOn w:val="prastasis"/>
    <w:next w:val="BodytextAgency"/>
    <w:semiHidden/>
    <w:rsid w:val="00F45B1F"/>
    <w:pPr>
      <w:spacing w:after="0" w:line="240" w:lineRule="auto"/>
      <w:jc w:val="center"/>
    </w:pPr>
    <w:rPr>
      <w:rFonts w:ascii="Verdana" w:eastAsia="SimSun" w:hAnsi="Verdana" w:cs="Verdana"/>
      <w:kern w:val="0"/>
      <w:sz w:val="18"/>
      <w:szCs w:val="18"/>
      <w:lang w:val="en-GB" w:eastAsia="zh-CN"/>
      <w14:ligatures w14:val="none"/>
    </w:rPr>
  </w:style>
  <w:style w:type="paragraph" w:customStyle="1" w:styleId="FigureheadingAgency">
    <w:name w:val="Figure heading (Agency)"/>
    <w:basedOn w:val="prastasis"/>
    <w:next w:val="FigureAgency"/>
    <w:semiHidden/>
    <w:rsid w:val="00F45B1F"/>
    <w:pPr>
      <w:keepNext/>
      <w:numPr>
        <w:numId w:val="3"/>
      </w:numPr>
      <w:spacing w:before="240" w:after="120" w:line="240" w:lineRule="auto"/>
    </w:pPr>
    <w:rPr>
      <w:rFonts w:ascii="Verdana" w:eastAsia="SimSun" w:hAnsi="Verdana" w:cs="Verdana"/>
      <w:kern w:val="0"/>
      <w:sz w:val="18"/>
      <w:szCs w:val="18"/>
      <w:lang w:val="en-GB" w:eastAsia="zh-CN"/>
      <w14:ligatures w14:val="none"/>
    </w:rPr>
  </w:style>
  <w:style w:type="character" w:styleId="Puslapioinaosnuoroda">
    <w:name w:val="footnote reference"/>
    <w:rsid w:val="00323207"/>
    <w:rPr>
      <w:rFonts w:ascii="Verdana" w:hAnsi="Verdana"/>
      <w:vertAlign w:val="superscript"/>
    </w:rPr>
  </w:style>
  <w:style w:type="character" w:customStyle="1" w:styleId="FootnotereferenceAgency">
    <w:name w:val="Footnote reference (Agency)"/>
    <w:semiHidden/>
    <w:rsid w:val="00323207"/>
    <w:rPr>
      <w:rFonts w:ascii="Verdana" w:hAnsi="Verdana"/>
      <w:color w:val="auto"/>
      <w:vertAlign w:val="superscript"/>
    </w:rPr>
  </w:style>
  <w:style w:type="paragraph" w:styleId="Puslapioinaostekstas">
    <w:name w:val="footnote text"/>
    <w:basedOn w:val="prastasis"/>
    <w:link w:val="PuslapioinaostekstasDiagrama"/>
    <w:rsid w:val="00F45B1F"/>
    <w:pPr>
      <w:spacing w:after="0" w:line="240" w:lineRule="auto"/>
    </w:pPr>
    <w:rPr>
      <w:rFonts w:ascii="Verdana" w:eastAsia="Verdana" w:hAnsi="Verdana" w:cs="Verdana"/>
      <w:kern w:val="0"/>
      <w:sz w:val="15"/>
      <w:lang w:val="en-GB" w:eastAsia="en-GB"/>
      <w14:ligatures w14:val="none"/>
    </w:rPr>
  </w:style>
  <w:style w:type="character" w:customStyle="1" w:styleId="PuslapioinaostekstasDiagrama">
    <w:name w:val="Puslapio išnašos tekstas Diagrama"/>
    <w:basedOn w:val="Numatytasispastraiposriftas"/>
    <w:link w:val="Puslapioinaostekstas"/>
    <w:rsid w:val="00323207"/>
    <w:rPr>
      <w:rFonts w:ascii="Verdana" w:eastAsia="Verdana" w:hAnsi="Verdana" w:cs="Verdana"/>
      <w:kern w:val="0"/>
      <w:sz w:val="15"/>
      <w:lang w:val="en-GB" w:eastAsia="en-GB"/>
      <w14:ligatures w14:val="none"/>
    </w:rPr>
  </w:style>
  <w:style w:type="paragraph" w:customStyle="1" w:styleId="FootnotetextAgency">
    <w:name w:val="Footnote text (Agency)"/>
    <w:basedOn w:val="prastasis"/>
    <w:semiHidden/>
    <w:rsid w:val="00F45B1F"/>
    <w:pPr>
      <w:spacing w:after="0" w:line="240" w:lineRule="auto"/>
    </w:pPr>
    <w:rPr>
      <w:rFonts w:ascii="Verdana" w:eastAsia="Verdana" w:hAnsi="Verdana" w:cs="Verdana"/>
      <w:kern w:val="0"/>
      <w:sz w:val="15"/>
      <w:szCs w:val="18"/>
      <w:lang w:val="en-GB" w:eastAsia="en-GB"/>
      <w14:ligatures w14:val="none"/>
    </w:rPr>
  </w:style>
  <w:style w:type="paragraph" w:customStyle="1" w:styleId="HeaderAgency">
    <w:name w:val="Header (Agency)"/>
    <w:basedOn w:val="prastasis"/>
    <w:semiHidden/>
    <w:rsid w:val="00F45B1F"/>
    <w:pPr>
      <w:spacing w:after="0" w:line="240" w:lineRule="auto"/>
    </w:pPr>
    <w:rPr>
      <w:rFonts w:ascii="Verdana" w:eastAsia="Verdana" w:hAnsi="Verdana" w:cs="Verdana"/>
      <w:kern w:val="0"/>
      <w:sz w:val="18"/>
      <w:szCs w:val="18"/>
      <w:lang w:val="en-GB" w:eastAsia="en-GB"/>
      <w14:ligatures w14:val="none"/>
    </w:rPr>
  </w:style>
  <w:style w:type="paragraph" w:customStyle="1" w:styleId="Heading1Agency">
    <w:name w:val="Heading 1 (Agency)"/>
    <w:basedOn w:val="prastasis"/>
    <w:next w:val="BodytextAgency"/>
    <w:rsid w:val="00F45B1F"/>
    <w:pPr>
      <w:keepNext/>
      <w:numPr>
        <w:numId w:val="4"/>
      </w:numPr>
      <w:spacing w:before="280" w:after="220" w:line="240" w:lineRule="auto"/>
      <w:outlineLvl w:val="0"/>
    </w:pPr>
    <w:rPr>
      <w:rFonts w:ascii="Verdana" w:eastAsia="Verdana" w:hAnsi="Verdana"/>
      <w:b/>
      <w:bCs/>
      <w:kern w:val="32"/>
      <w:sz w:val="27"/>
      <w:szCs w:val="27"/>
      <w:lang w:val="en-GB" w:eastAsia="en-GB"/>
      <w14:ligatures w14:val="none"/>
    </w:rPr>
  </w:style>
  <w:style w:type="paragraph" w:customStyle="1" w:styleId="Heading2Agency">
    <w:name w:val="Heading 2 (Agency)"/>
    <w:basedOn w:val="prastasis"/>
    <w:next w:val="BodytextAgency"/>
    <w:rsid w:val="00F45B1F"/>
    <w:pPr>
      <w:keepNext/>
      <w:numPr>
        <w:ilvl w:val="1"/>
        <w:numId w:val="4"/>
      </w:numPr>
      <w:spacing w:before="280" w:after="220" w:line="240" w:lineRule="auto"/>
      <w:outlineLvl w:val="1"/>
    </w:pPr>
    <w:rPr>
      <w:rFonts w:ascii="Verdana" w:eastAsia="Verdana" w:hAnsi="Verdana"/>
      <w:b/>
      <w:bCs/>
      <w:i/>
      <w:kern w:val="32"/>
      <w:sz w:val="22"/>
      <w:szCs w:val="22"/>
      <w:lang w:val="en-GB" w:eastAsia="en-GB"/>
      <w14:ligatures w14:val="none"/>
    </w:rPr>
  </w:style>
  <w:style w:type="paragraph" w:customStyle="1" w:styleId="Heading3Agency">
    <w:name w:val="Heading 3 (Agency)"/>
    <w:basedOn w:val="prastasis"/>
    <w:next w:val="BodytextAgency"/>
    <w:rsid w:val="00F45B1F"/>
    <w:pPr>
      <w:keepNext/>
      <w:numPr>
        <w:ilvl w:val="2"/>
        <w:numId w:val="4"/>
      </w:numPr>
      <w:spacing w:before="280" w:after="220" w:line="240" w:lineRule="auto"/>
      <w:outlineLvl w:val="2"/>
    </w:pPr>
    <w:rPr>
      <w:rFonts w:ascii="Verdana" w:eastAsia="Verdana" w:hAnsi="Verdana"/>
      <w:b/>
      <w:bCs/>
      <w:kern w:val="32"/>
      <w:sz w:val="22"/>
      <w:szCs w:val="22"/>
      <w:lang w:val="en-GB" w:eastAsia="en-GB"/>
      <w14:ligatures w14:val="none"/>
    </w:rPr>
  </w:style>
  <w:style w:type="paragraph" w:customStyle="1" w:styleId="Heading4Agency">
    <w:name w:val="Heading 4 (Agency)"/>
    <w:basedOn w:val="Heading3Agency"/>
    <w:next w:val="BodytextAgency"/>
    <w:semiHidden/>
    <w:rsid w:val="00323207"/>
    <w:pPr>
      <w:numPr>
        <w:ilvl w:val="3"/>
      </w:numPr>
      <w:outlineLvl w:val="3"/>
    </w:pPr>
    <w:rPr>
      <w:i/>
      <w:sz w:val="18"/>
      <w:szCs w:val="18"/>
    </w:rPr>
  </w:style>
  <w:style w:type="paragraph" w:customStyle="1" w:styleId="Heading5Agency">
    <w:name w:val="Heading 5 (Agency)"/>
    <w:basedOn w:val="Heading4Agency"/>
    <w:next w:val="BodytextAgency"/>
    <w:semiHidden/>
    <w:rsid w:val="00323207"/>
    <w:pPr>
      <w:numPr>
        <w:ilvl w:val="4"/>
      </w:numPr>
      <w:outlineLvl w:val="4"/>
    </w:pPr>
    <w:rPr>
      <w:i w:val="0"/>
    </w:rPr>
  </w:style>
  <w:style w:type="paragraph" w:customStyle="1" w:styleId="Heading6Agency">
    <w:name w:val="Heading 6 (Agency)"/>
    <w:basedOn w:val="Heading5Agency"/>
    <w:next w:val="BodytextAgency"/>
    <w:semiHidden/>
    <w:rsid w:val="00323207"/>
    <w:pPr>
      <w:numPr>
        <w:ilvl w:val="5"/>
      </w:numPr>
      <w:outlineLvl w:val="5"/>
    </w:pPr>
  </w:style>
  <w:style w:type="paragraph" w:customStyle="1" w:styleId="Heading7Agency">
    <w:name w:val="Heading 7 (Agency)"/>
    <w:basedOn w:val="Heading6Agency"/>
    <w:next w:val="BodytextAgency"/>
    <w:semiHidden/>
    <w:rsid w:val="00323207"/>
    <w:pPr>
      <w:numPr>
        <w:ilvl w:val="6"/>
      </w:numPr>
      <w:outlineLvl w:val="6"/>
    </w:pPr>
  </w:style>
  <w:style w:type="paragraph" w:customStyle="1" w:styleId="Heading8Agency">
    <w:name w:val="Heading 8 (Agency)"/>
    <w:basedOn w:val="Heading7Agency"/>
    <w:next w:val="BodytextAgency"/>
    <w:semiHidden/>
    <w:rsid w:val="00323207"/>
    <w:pPr>
      <w:numPr>
        <w:ilvl w:val="7"/>
      </w:numPr>
      <w:outlineLvl w:val="7"/>
    </w:pPr>
  </w:style>
  <w:style w:type="paragraph" w:customStyle="1" w:styleId="Heading9Agency">
    <w:name w:val="Heading 9 (Agency)"/>
    <w:basedOn w:val="Heading8Agency"/>
    <w:next w:val="BodytextAgency"/>
    <w:semiHidden/>
    <w:rsid w:val="00323207"/>
    <w:pPr>
      <w:numPr>
        <w:ilvl w:val="8"/>
      </w:numPr>
      <w:outlineLvl w:val="8"/>
    </w:pPr>
  </w:style>
  <w:style w:type="paragraph" w:customStyle="1" w:styleId="No-numheading1Agency">
    <w:name w:val="No-num heading 1 (Agency)"/>
    <w:basedOn w:val="prastasis"/>
    <w:next w:val="BodytextAgency"/>
    <w:rsid w:val="00F45B1F"/>
    <w:pPr>
      <w:keepNext/>
      <w:spacing w:before="280" w:after="220" w:line="240" w:lineRule="auto"/>
      <w:outlineLvl w:val="0"/>
    </w:pPr>
    <w:rPr>
      <w:rFonts w:ascii="Verdana" w:eastAsia="Verdana" w:hAnsi="Verdana"/>
      <w:b/>
      <w:bCs/>
      <w:kern w:val="32"/>
      <w:sz w:val="27"/>
      <w:szCs w:val="27"/>
      <w:lang w:val="en-GB" w:eastAsia="en-GB"/>
      <w14:ligatures w14:val="none"/>
    </w:rPr>
  </w:style>
  <w:style w:type="paragraph" w:customStyle="1" w:styleId="No-numheading2Agency">
    <w:name w:val="No-num heading 2 (Agency)"/>
    <w:basedOn w:val="prastasis"/>
    <w:next w:val="BodytextAgency"/>
    <w:rsid w:val="00F45B1F"/>
    <w:pPr>
      <w:keepNext/>
      <w:spacing w:before="280" w:after="220" w:line="240" w:lineRule="auto"/>
      <w:outlineLvl w:val="1"/>
    </w:pPr>
    <w:rPr>
      <w:rFonts w:ascii="Verdana" w:eastAsia="Verdana" w:hAnsi="Verdana"/>
      <w:b/>
      <w:bCs/>
      <w:i/>
      <w:kern w:val="32"/>
      <w:sz w:val="22"/>
      <w:szCs w:val="22"/>
      <w:lang w:val="en-GB" w:eastAsia="en-GB"/>
      <w14:ligatures w14:val="none"/>
    </w:rPr>
  </w:style>
  <w:style w:type="paragraph" w:customStyle="1" w:styleId="No-numheading3Agency">
    <w:name w:val="No-num heading 3 (Agency)"/>
    <w:basedOn w:val="Heading3Agency"/>
    <w:next w:val="BodytextAgency"/>
    <w:rsid w:val="00323207"/>
    <w:pPr>
      <w:numPr>
        <w:ilvl w:val="0"/>
        <w:numId w:val="0"/>
      </w:numPr>
    </w:pPr>
  </w:style>
  <w:style w:type="paragraph" w:customStyle="1" w:styleId="No-numheading4Agency">
    <w:name w:val="No-num heading 4 (Agency)"/>
    <w:basedOn w:val="Heading4Agency"/>
    <w:next w:val="BodytextAgency"/>
    <w:semiHidden/>
    <w:rsid w:val="00323207"/>
    <w:pPr>
      <w:numPr>
        <w:ilvl w:val="0"/>
        <w:numId w:val="0"/>
      </w:numPr>
    </w:pPr>
  </w:style>
  <w:style w:type="paragraph" w:customStyle="1" w:styleId="No-numheading5Agency">
    <w:name w:val="No-num heading 5 (Agency)"/>
    <w:basedOn w:val="Heading5Agency"/>
    <w:next w:val="BodytextAgency"/>
    <w:semiHidden/>
    <w:rsid w:val="00323207"/>
    <w:pPr>
      <w:numPr>
        <w:ilvl w:val="0"/>
        <w:numId w:val="0"/>
      </w:numPr>
    </w:pPr>
  </w:style>
  <w:style w:type="paragraph" w:customStyle="1" w:styleId="No-numheading6Agency">
    <w:name w:val="No-num heading 6 (Agency)"/>
    <w:basedOn w:val="No-numheading5Agency"/>
    <w:next w:val="BodytextAgency"/>
    <w:semiHidden/>
    <w:rsid w:val="00323207"/>
    <w:pPr>
      <w:outlineLvl w:val="5"/>
    </w:pPr>
  </w:style>
  <w:style w:type="paragraph" w:customStyle="1" w:styleId="No-numheading7Agency">
    <w:name w:val="No-num heading 7 (Agency)"/>
    <w:basedOn w:val="No-numheading6Agency"/>
    <w:next w:val="BodytextAgency"/>
    <w:semiHidden/>
    <w:rsid w:val="00323207"/>
    <w:pPr>
      <w:outlineLvl w:val="6"/>
    </w:pPr>
  </w:style>
  <w:style w:type="paragraph" w:customStyle="1" w:styleId="No-numheading8Agency">
    <w:name w:val="No-num heading 8 (Agency)"/>
    <w:basedOn w:val="No-numheading7Agency"/>
    <w:next w:val="BodytextAgency"/>
    <w:semiHidden/>
    <w:rsid w:val="00323207"/>
    <w:pPr>
      <w:outlineLvl w:val="7"/>
    </w:pPr>
  </w:style>
  <w:style w:type="paragraph" w:customStyle="1" w:styleId="No-numheading9Agency">
    <w:name w:val="No-num heading 9 (Agency)"/>
    <w:basedOn w:val="No-numheading8Agency"/>
    <w:next w:val="BodytextAgency"/>
    <w:semiHidden/>
    <w:rsid w:val="00323207"/>
    <w:pPr>
      <w:outlineLvl w:val="8"/>
    </w:pPr>
  </w:style>
  <w:style w:type="paragraph" w:customStyle="1" w:styleId="NormalAgency">
    <w:name w:val="Normal (Agency)"/>
    <w:rsid w:val="00F45B1F"/>
    <w:pPr>
      <w:spacing w:after="0" w:line="240" w:lineRule="auto"/>
    </w:pPr>
    <w:rPr>
      <w:rFonts w:ascii="Verdana" w:eastAsia="Verdana" w:hAnsi="Verdana" w:cs="Verdana"/>
      <w:kern w:val="0"/>
      <w:sz w:val="18"/>
      <w:szCs w:val="18"/>
      <w:lang w:val="en-GB" w:eastAsia="en-GB"/>
      <w14:ligatures w14:val="none"/>
    </w:rPr>
  </w:style>
  <w:style w:type="paragraph" w:customStyle="1" w:styleId="No-TOCheadingAgency">
    <w:name w:val="No-TOC heading (Agency)"/>
    <w:basedOn w:val="prastasis"/>
    <w:next w:val="prastasis"/>
    <w:rsid w:val="00F45B1F"/>
    <w:pPr>
      <w:keepNext/>
      <w:spacing w:before="280" w:after="220" w:line="240" w:lineRule="auto"/>
    </w:pPr>
    <w:rPr>
      <w:rFonts w:ascii="Verdana" w:eastAsia="Times New Roman" w:hAnsi="Verdana"/>
      <w:b/>
      <w:kern w:val="32"/>
      <w:sz w:val="27"/>
      <w:szCs w:val="27"/>
      <w:lang w:val="en-GB" w:eastAsia="en-GB"/>
      <w14:ligatures w14:val="none"/>
    </w:rPr>
  </w:style>
  <w:style w:type="numbering" w:customStyle="1" w:styleId="NumberlistAgency">
    <w:name w:val="Number list (Agency)"/>
    <w:basedOn w:val="Sraonra"/>
    <w:rsid w:val="00323207"/>
    <w:pPr>
      <w:numPr>
        <w:numId w:val="2"/>
      </w:numPr>
    </w:pPr>
  </w:style>
  <w:style w:type="paragraph" w:customStyle="1" w:styleId="RefAgency">
    <w:name w:val="Ref. (Agency)"/>
    <w:basedOn w:val="prastasis"/>
    <w:rsid w:val="00F45B1F"/>
    <w:pPr>
      <w:spacing w:after="0" w:line="240" w:lineRule="auto"/>
    </w:pPr>
    <w:rPr>
      <w:rFonts w:ascii="Verdana" w:eastAsia="Times New Roman" w:hAnsi="Verdana" w:cs="Times New Roman"/>
      <w:kern w:val="0"/>
      <w:sz w:val="17"/>
      <w:szCs w:val="18"/>
      <w:lang w:val="en-GB" w:eastAsia="en-GB"/>
      <w14:ligatures w14:val="none"/>
    </w:rPr>
  </w:style>
  <w:style w:type="paragraph" w:customStyle="1" w:styleId="TablefirstrowAgency">
    <w:name w:val="Table first row (Agency)"/>
    <w:basedOn w:val="BodytextAgency"/>
    <w:rsid w:val="00323207"/>
    <w:pPr>
      <w:keepNext/>
    </w:pPr>
    <w:rPr>
      <w:rFonts w:eastAsia="Times New Roman"/>
      <w:b/>
    </w:rPr>
  </w:style>
  <w:style w:type="table" w:customStyle="1" w:styleId="TablegridAgency">
    <w:name w:val="Table grid (Agency)"/>
    <w:basedOn w:val="prastojilentel"/>
    <w:semiHidden/>
    <w:rsid w:val="00323207"/>
    <w:pPr>
      <w:spacing w:after="0" w:line="240" w:lineRule="auto"/>
    </w:pPr>
    <w:rPr>
      <w:rFonts w:ascii="Verdana" w:eastAsia="SimSun" w:hAnsi="Verdana" w:cs="Times New Roman"/>
      <w:kern w:val="0"/>
      <w:sz w:val="18"/>
      <w:lang w:val="lt-LT" w:eastAsia="lt-LT"/>
      <w14:ligatures w14:val="none"/>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Albertus Extra Bold" w:hAnsi="Albertus Extra Bold"/>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323207"/>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Albertus Medium" w:hAnsi="Albertus Medium"/>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Agency">
    <w:name w:val="Table heading (Agency)"/>
    <w:basedOn w:val="prastasis"/>
    <w:next w:val="BodytextAgency"/>
    <w:rsid w:val="00F45B1F"/>
    <w:pPr>
      <w:keepNext/>
      <w:numPr>
        <w:numId w:val="5"/>
      </w:numPr>
      <w:spacing w:before="240" w:after="120" w:line="240" w:lineRule="auto"/>
    </w:pPr>
    <w:rPr>
      <w:rFonts w:ascii="Verdana" w:eastAsia="SimSun" w:hAnsi="Verdana" w:cs="Verdana"/>
      <w:kern w:val="0"/>
      <w:sz w:val="18"/>
      <w:szCs w:val="18"/>
      <w:lang w:val="en-GB" w:eastAsia="zh-CN"/>
      <w14:ligatures w14:val="none"/>
    </w:rPr>
  </w:style>
  <w:style w:type="paragraph" w:customStyle="1" w:styleId="TableheadingrowsAgency">
    <w:name w:val="Table heading rows (Agency)"/>
    <w:basedOn w:val="BodytextAgency"/>
    <w:rsid w:val="00323207"/>
    <w:pPr>
      <w:keepNext/>
    </w:pPr>
    <w:rPr>
      <w:rFonts w:eastAsia="Times New Roman"/>
      <w:b/>
    </w:rPr>
  </w:style>
  <w:style w:type="paragraph" w:customStyle="1" w:styleId="TabletextrowsAgency">
    <w:name w:val="Table text rows (Agency)"/>
    <w:basedOn w:val="prastasis"/>
    <w:rsid w:val="00F45B1F"/>
    <w:pPr>
      <w:spacing w:after="0" w:line="280" w:lineRule="exact"/>
    </w:pPr>
    <w:rPr>
      <w:rFonts w:ascii="Verdana" w:eastAsia="Times New Roman" w:hAnsi="Verdana" w:cs="Verdana"/>
      <w:kern w:val="0"/>
      <w:sz w:val="18"/>
      <w:szCs w:val="18"/>
      <w:lang w:val="en-GB" w:eastAsia="zh-CN"/>
      <w14:ligatures w14:val="none"/>
    </w:rPr>
  </w:style>
  <w:style w:type="paragraph" w:customStyle="1" w:styleId="TableFigurenoteAgency">
    <w:name w:val="Table/Figure note (Agency)"/>
    <w:basedOn w:val="BodytextAgency"/>
    <w:next w:val="BodytextAgency"/>
    <w:semiHidden/>
    <w:rsid w:val="00323207"/>
    <w:pPr>
      <w:spacing w:before="60" w:after="240" w:line="240" w:lineRule="auto"/>
    </w:pPr>
    <w:rPr>
      <w:sz w:val="16"/>
      <w:szCs w:val="16"/>
    </w:rPr>
  </w:style>
  <w:style w:type="paragraph" w:styleId="Turinys1">
    <w:name w:val="toc 1"/>
    <w:basedOn w:val="prastasis"/>
    <w:next w:val="BodytextAgency"/>
    <w:uiPriority w:val="39"/>
    <w:rsid w:val="00F45B1F"/>
    <w:pPr>
      <w:keepNext/>
      <w:tabs>
        <w:tab w:val="right" w:leader="dot" w:pos="9401"/>
      </w:tabs>
      <w:spacing w:before="140" w:after="57" w:line="240" w:lineRule="atLeast"/>
    </w:pPr>
    <w:rPr>
      <w:rFonts w:ascii="Verdana" w:eastAsia="Verdana" w:hAnsi="Verdana" w:cs="Verdana"/>
      <w:b/>
      <w:noProof/>
      <w:kern w:val="0"/>
      <w:sz w:val="22"/>
      <w:szCs w:val="22"/>
      <w:lang w:val="en-GB" w:eastAsia="en-GB"/>
      <w14:ligatures w14:val="none"/>
    </w:rPr>
  </w:style>
  <w:style w:type="paragraph" w:styleId="Turinys2">
    <w:name w:val="toc 2"/>
    <w:basedOn w:val="prastasis"/>
    <w:next w:val="BodytextAgency"/>
    <w:rsid w:val="00F45B1F"/>
    <w:pPr>
      <w:tabs>
        <w:tab w:val="right" w:leader="dot" w:pos="9401"/>
      </w:tabs>
      <w:spacing w:after="57" w:line="240" w:lineRule="atLeast"/>
    </w:pPr>
    <w:rPr>
      <w:rFonts w:ascii="Verdana" w:eastAsia="Verdana" w:hAnsi="Verdana" w:cs="Verdana"/>
      <w:noProof/>
      <w:kern w:val="0"/>
      <w:szCs w:val="18"/>
      <w:lang w:val="en-GB" w:eastAsia="en-GB"/>
      <w14:ligatures w14:val="none"/>
    </w:rPr>
  </w:style>
  <w:style w:type="paragraph" w:styleId="Turinys3">
    <w:name w:val="toc 3"/>
    <w:basedOn w:val="prastasis"/>
    <w:next w:val="BodytextAgency"/>
    <w:rsid w:val="00F45B1F"/>
    <w:pPr>
      <w:tabs>
        <w:tab w:val="right" w:leader="dot" w:pos="9401"/>
      </w:tabs>
      <w:spacing w:after="57" w:line="240" w:lineRule="atLeast"/>
    </w:pPr>
    <w:rPr>
      <w:rFonts w:ascii="Verdana" w:eastAsia="Verdana" w:hAnsi="Verdana" w:cs="Verdana"/>
      <w:noProof/>
      <w:kern w:val="0"/>
      <w:szCs w:val="18"/>
      <w:lang w:val="en-GB" w:eastAsia="en-GB"/>
      <w14:ligatures w14:val="none"/>
    </w:rPr>
  </w:style>
  <w:style w:type="paragraph" w:styleId="Turinys4">
    <w:name w:val="toc 4"/>
    <w:basedOn w:val="prastasis"/>
    <w:next w:val="BodytextAgency"/>
    <w:rsid w:val="00F45B1F"/>
    <w:pPr>
      <w:tabs>
        <w:tab w:val="right" w:leader="dot" w:pos="9401"/>
      </w:tabs>
      <w:spacing w:after="57" w:line="240" w:lineRule="atLeast"/>
    </w:pPr>
    <w:rPr>
      <w:rFonts w:ascii="Verdana" w:eastAsia="SimSun" w:hAnsi="Verdana" w:cs="Verdana"/>
      <w:noProof/>
      <w:kern w:val="0"/>
      <w:szCs w:val="18"/>
      <w:lang w:val="en-GB" w:eastAsia="zh-CN"/>
      <w14:ligatures w14:val="none"/>
    </w:rPr>
  </w:style>
  <w:style w:type="paragraph" w:styleId="Turinys5">
    <w:name w:val="toc 5"/>
    <w:basedOn w:val="prastasis"/>
    <w:next w:val="BodytextAgency"/>
    <w:rsid w:val="00F45B1F"/>
    <w:pPr>
      <w:tabs>
        <w:tab w:val="right" w:leader="dot" w:pos="9401"/>
      </w:tabs>
      <w:spacing w:after="57" w:line="240" w:lineRule="atLeast"/>
    </w:pPr>
    <w:rPr>
      <w:rFonts w:ascii="Verdana" w:eastAsia="SimSun" w:hAnsi="Verdana" w:cs="Verdana"/>
      <w:noProof/>
      <w:kern w:val="0"/>
      <w:szCs w:val="18"/>
      <w:lang w:val="en-GB" w:eastAsia="zh-CN"/>
      <w14:ligatures w14:val="none"/>
    </w:rPr>
  </w:style>
  <w:style w:type="paragraph" w:styleId="Turinys6">
    <w:name w:val="toc 6"/>
    <w:basedOn w:val="prastasis"/>
    <w:next w:val="BodytextAgency"/>
    <w:autoRedefine/>
    <w:rsid w:val="00F45B1F"/>
    <w:pPr>
      <w:spacing w:after="57" w:line="240" w:lineRule="exact"/>
    </w:pPr>
    <w:rPr>
      <w:rFonts w:ascii="Verdana" w:eastAsia="Times New Roman" w:hAnsi="Verdana" w:cs="Verdana"/>
      <w:kern w:val="0"/>
      <w:sz w:val="18"/>
      <w:szCs w:val="18"/>
      <w:lang w:val="en-GB" w:eastAsia="zh-CN"/>
      <w14:ligatures w14:val="none"/>
    </w:rPr>
  </w:style>
  <w:style w:type="paragraph" w:styleId="Turinys7">
    <w:name w:val="toc 7"/>
    <w:basedOn w:val="prastasis"/>
    <w:next w:val="BodytextAgency"/>
    <w:rsid w:val="00F45B1F"/>
    <w:pPr>
      <w:spacing w:after="57" w:line="240" w:lineRule="exact"/>
    </w:pPr>
    <w:rPr>
      <w:rFonts w:ascii="Verdana" w:eastAsia="Times New Roman" w:hAnsi="Verdana" w:cs="Verdana"/>
      <w:kern w:val="0"/>
      <w:sz w:val="18"/>
      <w:szCs w:val="18"/>
      <w:lang w:val="en-GB" w:eastAsia="zh-CN"/>
      <w14:ligatures w14:val="none"/>
    </w:rPr>
  </w:style>
  <w:style w:type="paragraph" w:styleId="Turinys8">
    <w:name w:val="toc 8"/>
    <w:basedOn w:val="prastasis"/>
    <w:next w:val="BodytextAgency"/>
    <w:rsid w:val="00F45B1F"/>
    <w:pPr>
      <w:spacing w:after="57" w:line="240" w:lineRule="exact"/>
    </w:pPr>
    <w:rPr>
      <w:rFonts w:ascii="Verdana" w:eastAsia="Times New Roman" w:hAnsi="Verdana" w:cs="Verdana"/>
      <w:kern w:val="0"/>
      <w:sz w:val="18"/>
      <w:szCs w:val="18"/>
      <w:lang w:val="en-GB" w:eastAsia="zh-CN"/>
      <w14:ligatures w14:val="none"/>
    </w:rPr>
  </w:style>
  <w:style w:type="paragraph" w:styleId="Turinys9">
    <w:name w:val="toc 9"/>
    <w:basedOn w:val="prastasis"/>
    <w:next w:val="BodytextAgency"/>
    <w:rsid w:val="00F45B1F"/>
    <w:pPr>
      <w:spacing w:after="57" w:line="240" w:lineRule="exact"/>
    </w:pPr>
    <w:rPr>
      <w:rFonts w:ascii="Verdana" w:eastAsia="Times New Roman" w:hAnsi="Verdana" w:cs="Verdana"/>
      <w:kern w:val="0"/>
      <w:sz w:val="18"/>
      <w:szCs w:val="18"/>
      <w:lang w:val="en-GB" w:eastAsia="zh-CN"/>
      <w14:ligatures w14:val="none"/>
    </w:rPr>
  </w:style>
  <w:style w:type="paragraph" w:styleId="Debesliotekstas">
    <w:name w:val="Balloon Text"/>
    <w:basedOn w:val="prastasis"/>
    <w:link w:val="DebesliotekstasDiagrama"/>
    <w:rsid w:val="00F45B1F"/>
    <w:pPr>
      <w:spacing w:after="0" w:line="240" w:lineRule="auto"/>
    </w:pPr>
    <w:rPr>
      <w:rFonts w:ascii="Tahoma" w:eastAsia="SimSun" w:hAnsi="Tahoma" w:cs="Times New Roman"/>
      <w:kern w:val="0"/>
      <w:sz w:val="16"/>
      <w:szCs w:val="16"/>
      <w:lang w:val="en-GB" w:eastAsia="x-none"/>
      <w14:ligatures w14:val="none"/>
    </w:rPr>
  </w:style>
  <w:style w:type="character" w:customStyle="1" w:styleId="DebesliotekstasDiagrama">
    <w:name w:val="Debesėlio tekstas Diagrama"/>
    <w:basedOn w:val="Numatytasispastraiposriftas"/>
    <w:link w:val="Debesliotekstas"/>
    <w:rsid w:val="00323207"/>
    <w:rPr>
      <w:rFonts w:ascii="Tahoma" w:eastAsia="SimSun" w:hAnsi="Tahoma" w:cs="Times New Roman"/>
      <w:kern w:val="0"/>
      <w:sz w:val="16"/>
      <w:szCs w:val="16"/>
      <w:lang w:val="en-GB" w:eastAsia="x-none"/>
      <w14:ligatures w14:val="none"/>
    </w:rPr>
  </w:style>
  <w:style w:type="paragraph" w:styleId="Pagrindiniotekstotrauka">
    <w:name w:val="Body Text Indent"/>
    <w:basedOn w:val="prastasis"/>
    <w:link w:val="PagrindiniotekstotraukaDiagrama"/>
    <w:rsid w:val="00F45B1F"/>
    <w:pPr>
      <w:spacing w:after="120" w:line="240" w:lineRule="auto"/>
      <w:ind w:left="283"/>
    </w:pPr>
    <w:rPr>
      <w:rFonts w:ascii="Verdana" w:eastAsia="SimSun" w:hAnsi="Verdana" w:cs="Times New Roman"/>
      <w:kern w:val="0"/>
      <w:sz w:val="18"/>
      <w:szCs w:val="18"/>
      <w:lang w:val="en-GB" w:eastAsia="x-none"/>
      <w14:ligatures w14:val="none"/>
    </w:rPr>
  </w:style>
  <w:style w:type="character" w:customStyle="1" w:styleId="PagrindiniotekstotraukaDiagrama">
    <w:name w:val="Pagrindinio teksto įtrauka Diagrama"/>
    <w:basedOn w:val="Numatytasispastraiposriftas"/>
    <w:link w:val="Pagrindiniotekstotrauka"/>
    <w:rsid w:val="00323207"/>
    <w:rPr>
      <w:rFonts w:ascii="Verdana" w:eastAsia="SimSun" w:hAnsi="Verdana" w:cs="Times New Roman"/>
      <w:kern w:val="0"/>
      <w:sz w:val="18"/>
      <w:szCs w:val="18"/>
      <w:lang w:val="en-GB" w:eastAsia="x-none"/>
      <w14:ligatures w14:val="none"/>
    </w:rPr>
  </w:style>
  <w:style w:type="paragraph" w:customStyle="1" w:styleId="CharCharCharCharCharCharCharCharCharCharChar">
    <w:name w:val="Char Char Char Char Char Char Char Char Char Char Char"/>
    <w:basedOn w:val="prastasis"/>
    <w:rsid w:val="00F45B1F"/>
    <w:pPr>
      <w:spacing w:line="240" w:lineRule="exact"/>
    </w:pPr>
    <w:rPr>
      <w:rFonts w:ascii="Verdana" w:eastAsia="Times New Roman" w:hAnsi="Verdana" w:cs="Verdana"/>
      <w:kern w:val="0"/>
      <w14:ligatures w14:val="none"/>
    </w:rPr>
  </w:style>
  <w:style w:type="paragraph" w:customStyle="1" w:styleId="Text">
    <w:name w:val="Text"/>
    <w:aliases w:val="Graphic,Graphic Char Char,Graphic Char Char Char Char Char,Graphic Char Char Char Char Char Char Char C,notic,Text_10394,non tochic,Graphic + Bold,graphic,Italic,graphics,本文,JP Body Text,Body Text1,Body Text11,Body Text111,Body Text1111,??,本文1"/>
    <w:basedOn w:val="prastasis"/>
    <w:link w:val="TextChar"/>
    <w:qFormat/>
    <w:rsid w:val="00F45B1F"/>
    <w:pPr>
      <w:spacing w:before="120" w:after="0" w:line="240" w:lineRule="auto"/>
      <w:jc w:val="both"/>
    </w:pPr>
    <w:rPr>
      <w:rFonts w:ascii="Times New Roman" w:eastAsia="Times New Roman" w:hAnsi="Times New Roman" w:cs="Times New Roman"/>
      <w:kern w:val="0"/>
      <w:sz w:val="24"/>
      <w:lang w:val="x-none"/>
      <w14:ligatures w14:val="none"/>
    </w:rPr>
  </w:style>
  <w:style w:type="character" w:customStyle="1" w:styleId="TextChar">
    <w:name w:val="Text Char"/>
    <w:aliases w:val="Graphic Char,Graphic Char Char Char,Graphic Char Char Char Char Char Char,Graphic Char Char Char Char Char Char Char C Char,notic Char,Text_10394 Char,non tochic Char,Graphic + Bold Char,Body Text Char1,本文 Char1,JP Body Text Char1,本文1 Char1"/>
    <w:link w:val="Text"/>
    <w:rsid w:val="00323207"/>
    <w:rPr>
      <w:rFonts w:ascii="Times New Roman" w:eastAsia="Times New Roman" w:hAnsi="Times New Roman" w:cs="Times New Roman"/>
      <w:kern w:val="0"/>
      <w:sz w:val="24"/>
      <w:lang w:val="x-none"/>
      <w14:ligatures w14:val="none"/>
    </w:rPr>
  </w:style>
  <w:style w:type="paragraph" w:customStyle="1" w:styleId="CharChar">
    <w:name w:val="Char Char"/>
    <w:basedOn w:val="prastasis"/>
    <w:rsid w:val="00F45B1F"/>
    <w:pPr>
      <w:spacing w:line="240" w:lineRule="exact"/>
    </w:pPr>
    <w:rPr>
      <w:rFonts w:ascii="Verdana" w:eastAsia="Times New Roman" w:hAnsi="Verdana" w:cs="Verdana"/>
      <w:kern w:val="0"/>
      <w14:ligatures w14:val="none"/>
    </w:rPr>
  </w:style>
  <w:style w:type="paragraph" w:customStyle="1" w:styleId="Betarp1">
    <w:name w:val="Be tarpų1"/>
    <w:uiPriority w:val="1"/>
    <w:qFormat/>
    <w:rsid w:val="00F45B1F"/>
    <w:pPr>
      <w:spacing w:after="0" w:line="240" w:lineRule="auto"/>
    </w:pPr>
    <w:rPr>
      <w:rFonts w:eastAsia="Calibri" w:cs="Times New Roman"/>
      <w:kern w:val="0"/>
      <w:sz w:val="22"/>
      <w:szCs w:val="22"/>
      <w14:ligatures w14:val="none"/>
    </w:rPr>
  </w:style>
  <w:style w:type="paragraph" w:customStyle="1" w:styleId="prastasiniatinklio1">
    <w:name w:val="Įprastas (žiniatinklio)1"/>
    <w:basedOn w:val="prastasis"/>
    <w:unhideWhenUsed/>
    <w:rsid w:val="00F45B1F"/>
    <w:pPr>
      <w:spacing w:before="100" w:beforeAutospacing="1" w:after="58" w:line="240" w:lineRule="auto"/>
    </w:pPr>
    <w:rPr>
      <w:rFonts w:ascii="Times New Roman" w:eastAsia="Times New Roman" w:hAnsi="Times New Roman" w:cs="Times New Roman"/>
      <w:color w:val="000000"/>
      <w:kern w:val="0"/>
      <w:sz w:val="24"/>
      <w:szCs w:val="24"/>
      <w14:ligatures w14:val="none"/>
    </w:rPr>
  </w:style>
  <w:style w:type="character" w:styleId="Komentaronuoroda">
    <w:name w:val="annotation reference"/>
    <w:rsid w:val="00323207"/>
    <w:rPr>
      <w:sz w:val="16"/>
      <w:szCs w:val="16"/>
    </w:rPr>
  </w:style>
  <w:style w:type="paragraph" w:styleId="Komentarotekstas">
    <w:name w:val="annotation text"/>
    <w:basedOn w:val="prastasis"/>
    <w:link w:val="KomentarotekstasDiagrama"/>
    <w:rsid w:val="00F45B1F"/>
    <w:pPr>
      <w:spacing w:after="0" w:line="240" w:lineRule="auto"/>
    </w:pPr>
    <w:rPr>
      <w:rFonts w:ascii="Verdana" w:eastAsia="SimSun" w:hAnsi="Verdana" w:cs="Times New Roman"/>
      <w:kern w:val="0"/>
      <w:lang w:val="en-GB" w:eastAsia="x-none"/>
      <w14:ligatures w14:val="none"/>
    </w:rPr>
  </w:style>
  <w:style w:type="character" w:customStyle="1" w:styleId="KomentarotekstasDiagrama">
    <w:name w:val="Komentaro tekstas Diagrama"/>
    <w:basedOn w:val="Numatytasispastraiposriftas"/>
    <w:link w:val="Komentarotekstas"/>
    <w:rsid w:val="00323207"/>
    <w:rPr>
      <w:rFonts w:ascii="Verdana" w:eastAsia="SimSun" w:hAnsi="Verdana" w:cs="Times New Roman"/>
      <w:kern w:val="0"/>
      <w:lang w:val="en-GB" w:eastAsia="x-none"/>
      <w14:ligatures w14:val="none"/>
    </w:rPr>
  </w:style>
  <w:style w:type="paragraph" w:styleId="Komentarotema">
    <w:name w:val="annotation subject"/>
    <w:basedOn w:val="Komentarotekstas"/>
    <w:next w:val="Komentarotekstas"/>
    <w:link w:val="KomentarotemaDiagrama"/>
    <w:rsid w:val="00323207"/>
    <w:rPr>
      <w:b/>
      <w:bCs/>
    </w:rPr>
  </w:style>
  <w:style w:type="character" w:customStyle="1" w:styleId="KomentarotemaDiagrama">
    <w:name w:val="Komentaro tema Diagrama"/>
    <w:basedOn w:val="KomentarotekstasDiagrama"/>
    <w:link w:val="Komentarotema"/>
    <w:rsid w:val="00323207"/>
    <w:rPr>
      <w:rFonts w:ascii="Verdana" w:eastAsia="SimSun" w:hAnsi="Verdana" w:cs="Times New Roman"/>
      <w:b/>
      <w:bCs/>
      <w:kern w:val="0"/>
      <w:lang w:val="en-GB" w:eastAsia="x-none"/>
      <w14:ligatures w14:val="none"/>
    </w:rPr>
  </w:style>
  <w:style w:type="character" w:styleId="HTMLklaviatra">
    <w:name w:val="HTML Keyboard"/>
    <w:rsid w:val="00323207"/>
    <w:rPr>
      <w:rFonts w:ascii="Courier New" w:hAnsi="Courier New" w:cs="Courier New"/>
      <w:sz w:val="20"/>
      <w:szCs w:val="20"/>
    </w:rPr>
  </w:style>
  <w:style w:type="character" w:styleId="Puslapionumeris">
    <w:name w:val="page number"/>
    <w:rsid w:val="00323207"/>
  </w:style>
  <w:style w:type="paragraph" w:styleId="Pagrindinistekstas3">
    <w:name w:val="Body Text 3"/>
    <w:basedOn w:val="prastasis"/>
    <w:link w:val="Pagrindinistekstas3Diagrama"/>
    <w:rsid w:val="00F45B1F"/>
    <w:pPr>
      <w:autoSpaceDE w:val="0"/>
      <w:autoSpaceDN w:val="0"/>
      <w:adjustRightInd w:val="0"/>
      <w:spacing w:after="0" w:line="240" w:lineRule="auto"/>
      <w:jc w:val="both"/>
    </w:pPr>
    <w:rPr>
      <w:rFonts w:ascii="Times New Roman" w:eastAsia="Times New Roman" w:hAnsi="Times New Roman" w:cs="Times New Roman"/>
      <w:color w:val="0000FF"/>
      <w:kern w:val="0"/>
      <w:sz w:val="22"/>
      <w:szCs w:val="22"/>
      <w:lang w:val="en-GB" w:eastAsia="en-GB"/>
      <w14:ligatures w14:val="none"/>
    </w:rPr>
  </w:style>
  <w:style w:type="character" w:customStyle="1" w:styleId="Pagrindinistekstas3Diagrama">
    <w:name w:val="Pagrindinis tekstas 3 Diagrama"/>
    <w:basedOn w:val="Numatytasispastraiposriftas"/>
    <w:link w:val="Pagrindinistekstas3"/>
    <w:rsid w:val="00323207"/>
    <w:rPr>
      <w:rFonts w:ascii="Times New Roman" w:eastAsia="Times New Roman" w:hAnsi="Times New Roman" w:cs="Times New Roman"/>
      <w:color w:val="0000FF"/>
      <w:kern w:val="0"/>
      <w:sz w:val="22"/>
      <w:szCs w:val="22"/>
      <w:lang w:val="en-GB" w:eastAsia="en-GB"/>
      <w14:ligatures w14:val="none"/>
    </w:rPr>
  </w:style>
  <w:style w:type="paragraph" w:styleId="Pagrindiniotekstotrauka2">
    <w:name w:val="Body Text Indent 2"/>
    <w:basedOn w:val="prastasis"/>
    <w:link w:val="Pagrindiniotekstotrauka2Diagrama"/>
    <w:rsid w:val="00F45B1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cs="Times New Roman"/>
      <w:b/>
      <w:bCs/>
      <w:color w:val="0000FF"/>
      <w:kern w:val="0"/>
      <w:sz w:val="22"/>
      <w:szCs w:val="22"/>
      <w:lang w:val="en-GB" w:eastAsia="x-none"/>
      <w14:ligatures w14:val="none"/>
    </w:rPr>
  </w:style>
  <w:style w:type="character" w:customStyle="1" w:styleId="Pagrindiniotekstotrauka2Diagrama">
    <w:name w:val="Pagrindinio teksto įtrauka 2 Diagrama"/>
    <w:basedOn w:val="Numatytasispastraiposriftas"/>
    <w:link w:val="Pagrindiniotekstotrauka2"/>
    <w:rsid w:val="00323207"/>
    <w:rPr>
      <w:rFonts w:ascii="Times New Roman" w:eastAsia="Times New Roman" w:hAnsi="Times New Roman" w:cs="Times New Roman"/>
      <w:b/>
      <w:bCs/>
      <w:color w:val="0000FF"/>
      <w:kern w:val="0"/>
      <w:sz w:val="22"/>
      <w:szCs w:val="22"/>
      <w:lang w:val="en-GB" w:eastAsia="x-none"/>
      <w14:ligatures w14:val="none"/>
    </w:rPr>
  </w:style>
  <w:style w:type="paragraph" w:styleId="Pagrindinistekstas2">
    <w:name w:val="Body Text 2"/>
    <w:basedOn w:val="prastasis"/>
    <w:link w:val="Pagrindinistekstas2Diagrama"/>
    <w:rsid w:val="00F45B1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cs="Times New Roman"/>
      <w:b/>
      <w:bCs/>
      <w:color w:val="0000FF"/>
      <w:kern w:val="0"/>
      <w:sz w:val="22"/>
      <w:szCs w:val="22"/>
      <w:u w:val="single"/>
      <w:lang w:val="en-GB" w:eastAsia="x-none"/>
      <w14:ligatures w14:val="none"/>
    </w:rPr>
  </w:style>
  <w:style w:type="character" w:customStyle="1" w:styleId="Pagrindinistekstas2Diagrama">
    <w:name w:val="Pagrindinis tekstas 2 Diagrama"/>
    <w:basedOn w:val="Numatytasispastraiposriftas"/>
    <w:link w:val="Pagrindinistekstas2"/>
    <w:rsid w:val="00323207"/>
    <w:rPr>
      <w:rFonts w:ascii="Times New Roman" w:eastAsia="Times New Roman" w:hAnsi="Times New Roman" w:cs="Times New Roman"/>
      <w:b/>
      <w:bCs/>
      <w:color w:val="0000FF"/>
      <w:kern w:val="0"/>
      <w:sz w:val="22"/>
      <w:szCs w:val="22"/>
      <w:u w:val="single"/>
      <w:lang w:val="en-GB" w:eastAsia="x-none"/>
      <w14:ligatures w14:val="none"/>
    </w:rPr>
  </w:style>
  <w:style w:type="paragraph" w:customStyle="1" w:styleId="EMEAEnBodyText">
    <w:name w:val="EMEA En Body Text"/>
    <w:basedOn w:val="prastasis"/>
    <w:rsid w:val="00F45B1F"/>
    <w:pPr>
      <w:spacing w:before="120" w:after="120" w:line="240" w:lineRule="auto"/>
      <w:jc w:val="both"/>
    </w:pPr>
    <w:rPr>
      <w:rFonts w:ascii="Times New Roman" w:eastAsia="Times New Roman" w:hAnsi="Times New Roman" w:cs="Times New Roman"/>
      <w:kern w:val="0"/>
      <w:sz w:val="22"/>
      <w14:ligatures w14:val="none"/>
    </w:rPr>
  </w:style>
  <w:style w:type="paragraph" w:styleId="Dokumentostruktra">
    <w:name w:val="Document Map"/>
    <w:basedOn w:val="prastasis"/>
    <w:link w:val="DokumentostruktraDiagrama"/>
    <w:rsid w:val="00F45B1F"/>
    <w:pPr>
      <w:shd w:val="clear" w:color="auto" w:fill="000080"/>
      <w:tabs>
        <w:tab w:val="left" w:pos="567"/>
      </w:tabs>
      <w:spacing w:after="0" w:line="260" w:lineRule="exact"/>
    </w:pPr>
    <w:rPr>
      <w:rFonts w:ascii="Tahoma" w:eastAsia="Times New Roman" w:hAnsi="Tahoma" w:cs="Times New Roman"/>
      <w:kern w:val="0"/>
      <w:sz w:val="22"/>
      <w:lang w:val="en-GB" w:eastAsia="x-none"/>
      <w14:ligatures w14:val="none"/>
    </w:rPr>
  </w:style>
  <w:style w:type="character" w:customStyle="1" w:styleId="DokumentostruktraDiagrama">
    <w:name w:val="Dokumento struktūra Diagrama"/>
    <w:basedOn w:val="Numatytasispastraiposriftas"/>
    <w:link w:val="Dokumentostruktra"/>
    <w:rsid w:val="00323207"/>
    <w:rPr>
      <w:rFonts w:ascii="Tahoma" w:eastAsia="Times New Roman" w:hAnsi="Tahoma" w:cs="Times New Roman"/>
      <w:kern w:val="0"/>
      <w:sz w:val="22"/>
      <w:shd w:val="clear" w:color="auto" w:fill="000080"/>
      <w:lang w:val="en-GB" w:eastAsia="x-none"/>
      <w14:ligatures w14:val="none"/>
    </w:rPr>
  </w:style>
  <w:style w:type="character" w:styleId="Hipersaitas">
    <w:name w:val="Hyperlink"/>
    <w:uiPriority w:val="99"/>
    <w:rsid w:val="00323207"/>
    <w:rPr>
      <w:color w:val="0000FF"/>
      <w:u w:val="single"/>
    </w:rPr>
  </w:style>
  <w:style w:type="paragraph" w:customStyle="1" w:styleId="AHeader1">
    <w:name w:val="AHeader 1"/>
    <w:basedOn w:val="prastasis"/>
    <w:rsid w:val="00F45B1F"/>
    <w:pPr>
      <w:numPr>
        <w:numId w:val="7"/>
      </w:numPr>
      <w:spacing w:after="120" w:line="240" w:lineRule="auto"/>
    </w:pPr>
    <w:rPr>
      <w:rFonts w:eastAsia="Times New Roman"/>
      <w:b/>
      <w:bCs/>
      <w:kern w:val="0"/>
      <w:sz w:val="24"/>
      <w:lang w:val="en-GB"/>
      <w14:ligatures w14:val="none"/>
    </w:rPr>
  </w:style>
  <w:style w:type="paragraph" w:customStyle="1" w:styleId="AHeader2">
    <w:name w:val="AHeader 2"/>
    <w:basedOn w:val="AHeader1"/>
    <w:rsid w:val="00323207"/>
    <w:pPr>
      <w:numPr>
        <w:ilvl w:val="1"/>
      </w:numPr>
      <w:tabs>
        <w:tab w:val="clear" w:pos="709"/>
        <w:tab w:val="num" w:pos="360"/>
      </w:tabs>
    </w:pPr>
    <w:rPr>
      <w:sz w:val="22"/>
    </w:rPr>
  </w:style>
  <w:style w:type="paragraph" w:customStyle="1" w:styleId="AHeader3">
    <w:name w:val="AHeader 3"/>
    <w:basedOn w:val="AHeader2"/>
    <w:rsid w:val="00323207"/>
    <w:pPr>
      <w:numPr>
        <w:ilvl w:val="2"/>
      </w:numPr>
      <w:tabs>
        <w:tab w:val="clear" w:pos="1276"/>
        <w:tab w:val="num" w:pos="360"/>
      </w:tabs>
    </w:pPr>
  </w:style>
  <w:style w:type="paragraph" w:customStyle="1" w:styleId="AHeader2abc">
    <w:name w:val="AHeader 2 abc"/>
    <w:basedOn w:val="AHeader3"/>
    <w:rsid w:val="00323207"/>
    <w:pPr>
      <w:numPr>
        <w:ilvl w:val="3"/>
      </w:numPr>
      <w:tabs>
        <w:tab w:val="clear" w:pos="1276"/>
        <w:tab w:val="num" w:pos="360"/>
      </w:tabs>
      <w:jc w:val="both"/>
    </w:pPr>
    <w:rPr>
      <w:b w:val="0"/>
      <w:bCs w:val="0"/>
    </w:rPr>
  </w:style>
  <w:style w:type="paragraph" w:customStyle="1" w:styleId="AHeader3abc">
    <w:name w:val="AHeader 3 abc"/>
    <w:basedOn w:val="AHeader2abc"/>
    <w:rsid w:val="00323207"/>
    <w:pPr>
      <w:numPr>
        <w:ilvl w:val="4"/>
      </w:numPr>
      <w:tabs>
        <w:tab w:val="clear" w:pos="1701"/>
        <w:tab w:val="num" w:pos="360"/>
      </w:tabs>
    </w:pPr>
  </w:style>
  <w:style w:type="paragraph" w:styleId="Pagrindiniotekstotrauka3">
    <w:name w:val="Body Text Indent 3"/>
    <w:basedOn w:val="prastasis"/>
    <w:link w:val="Pagrindiniotekstotrauka3Diagrama"/>
    <w:rsid w:val="00F45B1F"/>
    <w:pPr>
      <w:tabs>
        <w:tab w:val="left" w:pos="567"/>
        <w:tab w:val="left" w:pos="1134"/>
      </w:tabs>
      <w:autoSpaceDE w:val="0"/>
      <w:autoSpaceDN w:val="0"/>
      <w:adjustRightInd w:val="0"/>
      <w:spacing w:after="0" w:line="260" w:lineRule="exact"/>
      <w:ind w:left="633"/>
      <w:jc w:val="both"/>
    </w:pPr>
    <w:rPr>
      <w:rFonts w:ascii="Times New Roman" w:eastAsia="Times New Roman" w:hAnsi="Times New Roman" w:cs="Times New Roman"/>
      <w:kern w:val="0"/>
      <w:sz w:val="22"/>
      <w:szCs w:val="21"/>
      <w:lang w:val="en-GB" w:eastAsia="x-none"/>
      <w14:ligatures w14:val="none"/>
    </w:rPr>
  </w:style>
  <w:style w:type="character" w:customStyle="1" w:styleId="Pagrindiniotekstotrauka3Diagrama">
    <w:name w:val="Pagrindinio teksto įtrauka 3 Diagrama"/>
    <w:basedOn w:val="Numatytasispastraiposriftas"/>
    <w:link w:val="Pagrindiniotekstotrauka3"/>
    <w:rsid w:val="00323207"/>
    <w:rPr>
      <w:rFonts w:ascii="Times New Roman" w:eastAsia="Times New Roman" w:hAnsi="Times New Roman" w:cs="Times New Roman"/>
      <w:kern w:val="0"/>
      <w:sz w:val="22"/>
      <w:szCs w:val="21"/>
      <w:lang w:val="en-GB" w:eastAsia="x-none"/>
      <w14:ligatures w14:val="none"/>
    </w:rPr>
  </w:style>
  <w:style w:type="character" w:styleId="Perirtashipersaitas">
    <w:name w:val="FollowedHyperlink"/>
    <w:rsid w:val="00323207"/>
    <w:rPr>
      <w:color w:val="800080"/>
      <w:u w:val="single"/>
    </w:rPr>
  </w:style>
  <w:style w:type="paragraph" w:customStyle="1" w:styleId="Default">
    <w:name w:val="Default"/>
    <w:rsid w:val="00F45B1F"/>
    <w:pPr>
      <w:autoSpaceDE w:val="0"/>
      <w:autoSpaceDN w:val="0"/>
      <w:adjustRightInd w:val="0"/>
      <w:spacing w:after="0" w:line="240" w:lineRule="auto"/>
    </w:pPr>
    <w:rPr>
      <w:rFonts w:ascii="Times New Roman" w:eastAsia="Times New Roman" w:hAnsi="Times New Roman" w:cs="Times New Roman"/>
      <w:kern w:val="0"/>
      <w14:ligatures w14:val="none"/>
    </w:rPr>
  </w:style>
  <w:style w:type="paragraph" w:customStyle="1" w:styleId="Listlevel1">
    <w:name w:val="List level 1"/>
    <w:basedOn w:val="prastasis"/>
    <w:rsid w:val="00F45B1F"/>
    <w:pPr>
      <w:spacing w:before="40" w:after="20" w:line="240" w:lineRule="auto"/>
      <w:ind w:left="425" w:hanging="425"/>
    </w:pPr>
    <w:rPr>
      <w:rFonts w:ascii="Times New Roman" w:eastAsia="MS Mincho" w:hAnsi="Times New Roman" w:cs="Times New Roman"/>
      <w:kern w:val="0"/>
      <w:sz w:val="24"/>
      <w:lang w:eastAsia="ja-JP"/>
      <w14:ligatures w14:val="none"/>
    </w:rPr>
  </w:style>
  <w:style w:type="paragraph" w:customStyle="1" w:styleId="Nottoc-headings">
    <w:name w:val="Not toc-headings"/>
    <w:basedOn w:val="prastasis"/>
    <w:next w:val="Text"/>
    <w:link w:val="Nottoc-headingsChar"/>
    <w:rsid w:val="00F45B1F"/>
    <w:pPr>
      <w:keepNext/>
      <w:keepLines/>
      <w:spacing w:before="240" w:after="60" w:line="240" w:lineRule="auto"/>
    </w:pPr>
    <w:rPr>
      <w:rFonts w:eastAsia="MS Gothic" w:cs="Times New Roman"/>
      <w:b/>
      <w:kern w:val="0"/>
      <w:sz w:val="24"/>
      <w:szCs w:val="24"/>
      <w:lang w:val="x-none" w:eastAsia="ja-JP"/>
      <w14:ligatures w14:val="none"/>
    </w:rPr>
  </w:style>
  <w:style w:type="character" w:customStyle="1" w:styleId="Nottoc-headingsChar">
    <w:name w:val="Not toc-headings Char"/>
    <w:link w:val="Nottoc-headings"/>
    <w:rsid w:val="00323207"/>
    <w:rPr>
      <w:rFonts w:eastAsia="MS Gothic" w:cs="Times New Roman"/>
      <w:b/>
      <w:kern w:val="0"/>
      <w:sz w:val="24"/>
      <w:szCs w:val="24"/>
      <w:lang w:val="x-none" w:eastAsia="ja-JP"/>
      <w14:ligatures w14:val="none"/>
    </w:rPr>
  </w:style>
  <w:style w:type="paragraph" w:customStyle="1" w:styleId="Listlevel2">
    <w:name w:val="List level 2"/>
    <w:basedOn w:val="Listlevel1"/>
    <w:rsid w:val="00323207"/>
    <w:pPr>
      <w:ind w:left="850"/>
    </w:pPr>
    <w:rPr>
      <w:lang w:eastAsia="en-US"/>
    </w:rPr>
  </w:style>
  <w:style w:type="paragraph" w:customStyle="1" w:styleId="Table">
    <w:name w:val="Table"/>
    <w:basedOn w:val="Nottoc-headings"/>
    <w:rsid w:val="00323207"/>
    <w:pPr>
      <w:keepNext w:val="0"/>
      <w:tabs>
        <w:tab w:val="left" w:pos="284"/>
      </w:tabs>
      <w:spacing w:before="40" w:after="20"/>
    </w:pPr>
    <w:rPr>
      <w:rFonts w:eastAsia="MS Mincho"/>
      <w:b w:val="0"/>
      <w:sz w:val="20"/>
      <w:lang w:eastAsia="x-none"/>
    </w:rPr>
  </w:style>
  <w:style w:type="paragraph" w:customStyle="1" w:styleId="Pataisymai1">
    <w:name w:val="Pataisymai1"/>
    <w:hidden/>
    <w:uiPriority w:val="99"/>
    <w:semiHidden/>
    <w:rsid w:val="00F45B1F"/>
    <w:pPr>
      <w:spacing w:after="0" w:line="240" w:lineRule="auto"/>
    </w:pPr>
    <w:rPr>
      <w:rFonts w:ascii="Times New Roman" w:eastAsia="Times New Roman" w:hAnsi="Times New Roman" w:cs="Times New Roman"/>
      <w:kern w:val="0"/>
      <w:sz w:val="22"/>
      <w:lang w:val="en-GB"/>
      <w14:ligatures w14:val="none"/>
    </w:rPr>
  </w:style>
  <w:style w:type="character" w:styleId="Eilutsnumeris">
    <w:name w:val="line number"/>
    <w:rsid w:val="00323207"/>
  </w:style>
  <w:style w:type="character" w:customStyle="1" w:styleId="StyleItalic">
    <w:name w:val="Style Italic"/>
    <w:rsid w:val="00323207"/>
    <w:rPr>
      <w:i/>
      <w:iCs/>
    </w:rPr>
  </w:style>
  <w:style w:type="character" w:styleId="Grietas">
    <w:name w:val="Strong"/>
    <w:qFormat/>
    <w:rsid w:val="00323207"/>
    <w:rPr>
      <w:b/>
      <w:bCs/>
    </w:rPr>
  </w:style>
  <w:style w:type="character" w:customStyle="1" w:styleId="BodytextAgencyChar">
    <w:name w:val="Body text (Agency) Char"/>
    <w:link w:val="BodytextAgency"/>
    <w:locked/>
    <w:rsid w:val="00323207"/>
    <w:rPr>
      <w:rFonts w:ascii="Verdana" w:eastAsia="Verdana" w:hAnsi="Verdana" w:cs="Times New Roman"/>
      <w:kern w:val="0"/>
      <w:sz w:val="18"/>
      <w:szCs w:val="18"/>
      <w:lang w:val="en-GB" w:eastAsia="en-GB"/>
      <w14:ligatures w14:val="none"/>
    </w:rPr>
  </w:style>
  <w:style w:type="paragraph" w:styleId="Pataisymai">
    <w:name w:val="Revision"/>
    <w:hidden/>
    <w:uiPriority w:val="99"/>
    <w:semiHidden/>
    <w:rsid w:val="00F45B1F"/>
    <w:pPr>
      <w:spacing w:after="0" w:line="240" w:lineRule="auto"/>
    </w:pPr>
    <w:rPr>
      <w:rFonts w:ascii="Verdana" w:eastAsia="SimSun" w:hAnsi="Verdana" w:cs="Verdana"/>
      <w:kern w:val="0"/>
      <w:sz w:val="18"/>
      <w:szCs w:val="18"/>
      <w:lang w:val="en-GB" w:eastAsia="zh-CN"/>
      <w14:ligatures w14:val="none"/>
    </w:rPr>
  </w:style>
  <w:style w:type="character" w:customStyle="1" w:styleId="UnresolvedMention1">
    <w:name w:val="Unresolved Mention1"/>
    <w:basedOn w:val="Numatytasispastraiposriftas"/>
    <w:uiPriority w:val="99"/>
    <w:semiHidden/>
    <w:unhideWhenUsed/>
    <w:rsid w:val="00323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087709">
      <w:bodyDiv w:val="1"/>
      <w:marLeft w:val="0"/>
      <w:marRight w:val="0"/>
      <w:marTop w:val="0"/>
      <w:marBottom w:val="0"/>
      <w:divBdr>
        <w:top w:val="none" w:sz="0" w:space="0" w:color="auto"/>
        <w:left w:val="none" w:sz="0" w:space="0" w:color="auto"/>
        <w:bottom w:val="none" w:sz="0" w:space="0" w:color="auto"/>
        <w:right w:val="none" w:sz="0" w:space="0" w:color="auto"/>
      </w:divBdr>
      <w:divsChild>
        <w:div w:id="1564365183">
          <w:marLeft w:val="0"/>
          <w:marRight w:val="0"/>
          <w:marTop w:val="0"/>
          <w:marBottom w:val="0"/>
          <w:divBdr>
            <w:top w:val="none" w:sz="0" w:space="0" w:color="auto"/>
            <w:left w:val="none" w:sz="0" w:space="0" w:color="auto"/>
            <w:bottom w:val="none" w:sz="0" w:space="0" w:color="auto"/>
            <w:right w:val="none" w:sz="0" w:space="0" w:color="auto"/>
          </w:divBdr>
          <w:divsChild>
            <w:div w:id="1280986016">
              <w:marLeft w:val="0"/>
              <w:marRight w:val="0"/>
              <w:marTop w:val="0"/>
              <w:marBottom w:val="0"/>
              <w:divBdr>
                <w:top w:val="none" w:sz="0" w:space="0" w:color="auto"/>
                <w:left w:val="none" w:sz="0" w:space="0" w:color="auto"/>
                <w:bottom w:val="none" w:sz="0" w:space="0" w:color="auto"/>
                <w:right w:val="none" w:sz="0" w:space="0" w:color="auto"/>
              </w:divBdr>
              <w:divsChild>
                <w:div w:id="380371570">
                  <w:marLeft w:val="0"/>
                  <w:marRight w:val="0"/>
                  <w:marTop w:val="0"/>
                  <w:marBottom w:val="0"/>
                  <w:divBdr>
                    <w:top w:val="none" w:sz="0" w:space="0" w:color="auto"/>
                    <w:left w:val="none" w:sz="0" w:space="0" w:color="auto"/>
                    <w:bottom w:val="none" w:sz="0" w:space="0" w:color="auto"/>
                    <w:right w:val="none" w:sz="0" w:space="0" w:color="auto"/>
                  </w:divBdr>
                  <w:divsChild>
                    <w:div w:id="1559784126">
                      <w:marLeft w:val="0"/>
                      <w:marRight w:val="0"/>
                      <w:marTop w:val="0"/>
                      <w:marBottom w:val="0"/>
                      <w:divBdr>
                        <w:top w:val="none" w:sz="0" w:space="0" w:color="auto"/>
                        <w:left w:val="none" w:sz="0" w:space="0" w:color="auto"/>
                        <w:bottom w:val="none" w:sz="0" w:space="0" w:color="auto"/>
                        <w:right w:val="none" w:sz="0" w:space="0" w:color="auto"/>
                      </w:divBdr>
                      <w:divsChild>
                        <w:div w:id="1987514028">
                          <w:marLeft w:val="0"/>
                          <w:marRight w:val="0"/>
                          <w:marTop w:val="0"/>
                          <w:marBottom w:val="0"/>
                          <w:divBdr>
                            <w:top w:val="none" w:sz="0" w:space="0" w:color="auto"/>
                            <w:left w:val="none" w:sz="0" w:space="0" w:color="auto"/>
                            <w:bottom w:val="none" w:sz="0" w:space="0" w:color="auto"/>
                            <w:right w:val="none" w:sz="0" w:space="0" w:color="auto"/>
                          </w:divBdr>
                          <w:divsChild>
                            <w:div w:id="1273709843">
                              <w:marLeft w:val="0"/>
                              <w:marRight w:val="0"/>
                              <w:marTop w:val="0"/>
                              <w:marBottom w:val="0"/>
                              <w:divBdr>
                                <w:top w:val="none" w:sz="0" w:space="0" w:color="auto"/>
                                <w:left w:val="none" w:sz="0" w:space="0" w:color="auto"/>
                                <w:bottom w:val="none" w:sz="0" w:space="0" w:color="auto"/>
                                <w:right w:val="none" w:sz="0" w:space="0" w:color="auto"/>
                              </w:divBdr>
                              <w:divsChild>
                                <w:div w:id="675839407">
                                  <w:marLeft w:val="0"/>
                                  <w:marRight w:val="0"/>
                                  <w:marTop w:val="0"/>
                                  <w:marBottom w:val="0"/>
                                  <w:divBdr>
                                    <w:top w:val="none" w:sz="0" w:space="0" w:color="auto"/>
                                    <w:left w:val="none" w:sz="0" w:space="0" w:color="auto"/>
                                    <w:bottom w:val="none" w:sz="0" w:space="0" w:color="auto"/>
                                    <w:right w:val="none" w:sz="0" w:space="0" w:color="auto"/>
                                  </w:divBdr>
                                  <w:divsChild>
                                    <w:div w:id="846016576">
                                      <w:marLeft w:val="0"/>
                                      <w:marRight w:val="0"/>
                                      <w:marTop w:val="0"/>
                                      <w:marBottom w:val="0"/>
                                      <w:divBdr>
                                        <w:top w:val="none" w:sz="0" w:space="0" w:color="auto"/>
                                        <w:left w:val="none" w:sz="0" w:space="0" w:color="auto"/>
                                        <w:bottom w:val="none" w:sz="0" w:space="0" w:color="auto"/>
                                        <w:right w:val="none" w:sz="0" w:space="0" w:color="auto"/>
                                      </w:divBdr>
                                      <w:divsChild>
                                        <w:div w:id="1385759492">
                                          <w:marLeft w:val="0"/>
                                          <w:marRight w:val="0"/>
                                          <w:marTop w:val="0"/>
                                          <w:marBottom w:val="0"/>
                                          <w:divBdr>
                                            <w:top w:val="none" w:sz="0" w:space="0" w:color="auto"/>
                                            <w:left w:val="none" w:sz="0" w:space="0" w:color="auto"/>
                                            <w:bottom w:val="none" w:sz="0" w:space="0" w:color="auto"/>
                                            <w:right w:val="none" w:sz="0" w:space="0" w:color="auto"/>
                                          </w:divBdr>
                                          <w:divsChild>
                                            <w:div w:id="197470106">
                                              <w:marLeft w:val="0"/>
                                              <w:marRight w:val="0"/>
                                              <w:marTop w:val="0"/>
                                              <w:marBottom w:val="495"/>
                                              <w:divBdr>
                                                <w:top w:val="none" w:sz="0" w:space="0" w:color="auto"/>
                                                <w:left w:val="none" w:sz="0" w:space="0" w:color="auto"/>
                                                <w:bottom w:val="none" w:sz="0" w:space="0" w:color="auto"/>
                                                <w:right w:val="none" w:sz="0" w:space="0" w:color="auto"/>
                                              </w:divBdr>
                                              <w:divsChild>
                                                <w:div w:id="34494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1891950">
      <w:bodyDiv w:val="1"/>
      <w:marLeft w:val="0"/>
      <w:marRight w:val="0"/>
      <w:marTop w:val="0"/>
      <w:marBottom w:val="0"/>
      <w:divBdr>
        <w:top w:val="none" w:sz="0" w:space="0" w:color="auto"/>
        <w:left w:val="none" w:sz="0" w:space="0" w:color="auto"/>
        <w:bottom w:val="none" w:sz="0" w:space="0" w:color="auto"/>
        <w:right w:val="none" w:sz="0" w:space="0" w:color="auto"/>
      </w:divBdr>
      <w:divsChild>
        <w:div w:id="495418978">
          <w:marLeft w:val="0"/>
          <w:marRight w:val="0"/>
          <w:marTop w:val="0"/>
          <w:marBottom w:val="0"/>
          <w:divBdr>
            <w:top w:val="none" w:sz="0" w:space="0" w:color="auto"/>
            <w:left w:val="none" w:sz="0" w:space="0" w:color="auto"/>
            <w:bottom w:val="none" w:sz="0" w:space="0" w:color="auto"/>
            <w:right w:val="none" w:sz="0" w:space="0" w:color="auto"/>
          </w:divBdr>
          <w:divsChild>
            <w:div w:id="1145776378">
              <w:marLeft w:val="0"/>
              <w:marRight w:val="0"/>
              <w:marTop w:val="0"/>
              <w:marBottom w:val="0"/>
              <w:divBdr>
                <w:top w:val="none" w:sz="0" w:space="0" w:color="auto"/>
                <w:left w:val="none" w:sz="0" w:space="0" w:color="auto"/>
                <w:bottom w:val="none" w:sz="0" w:space="0" w:color="auto"/>
                <w:right w:val="none" w:sz="0" w:space="0" w:color="auto"/>
              </w:divBdr>
              <w:divsChild>
                <w:div w:id="2024091533">
                  <w:marLeft w:val="0"/>
                  <w:marRight w:val="0"/>
                  <w:marTop w:val="0"/>
                  <w:marBottom w:val="0"/>
                  <w:divBdr>
                    <w:top w:val="none" w:sz="0" w:space="0" w:color="auto"/>
                    <w:left w:val="none" w:sz="0" w:space="0" w:color="auto"/>
                    <w:bottom w:val="none" w:sz="0" w:space="0" w:color="auto"/>
                    <w:right w:val="none" w:sz="0" w:space="0" w:color="auto"/>
                  </w:divBdr>
                  <w:divsChild>
                    <w:div w:id="1637293314">
                      <w:marLeft w:val="0"/>
                      <w:marRight w:val="0"/>
                      <w:marTop w:val="0"/>
                      <w:marBottom w:val="0"/>
                      <w:divBdr>
                        <w:top w:val="none" w:sz="0" w:space="0" w:color="auto"/>
                        <w:left w:val="none" w:sz="0" w:space="0" w:color="auto"/>
                        <w:bottom w:val="none" w:sz="0" w:space="0" w:color="auto"/>
                        <w:right w:val="none" w:sz="0" w:space="0" w:color="auto"/>
                      </w:divBdr>
                      <w:divsChild>
                        <w:div w:id="1830100169">
                          <w:marLeft w:val="0"/>
                          <w:marRight w:val="0"/>
                          <w:marTop w:val="0"/>
                          <w:marBottom w:val="0"/>
                          <w:divBdr>
                            <w:top w:val="none" w:sz="0" w:space="0" w:color="auto"/>
                            <w:left w:val="none" w:sz="0" w:space="0" w:color="auto"/>
                            <w:bottom w:val="none" w:sz="0" w:space="0" w:color="auto"/>
                            <w:right w:val="none" w:sz="0" w:space="0" w:color="auto"/>
                          </w:divBdr>
                          <w:divsChild>
                            <w:div w:id="473986763">
                              <w:marLeft w:val="0"/>
                              <w:marRight w:val="0"/>
                              <w:marTop w:val="0"/>
                              <w:marBottom w:val="0"/>
                              <w:divBdr>
                                <w:top w:val="none" w:sz="0" w:space="0" w:color="auto"/>
                                <w:left w:val="none" w:sz="0" w:space="0" w:color="auto"/>
                                <w:bottom w:val="none" w:sz="0" w:space="0" w:color="auto"/>
                                <w:right w:val="none" w:sz="0" w:space="0" w:color="auto"/>
                              </w:divBdr>
                              <w:divsChild>
                                <w:div w:id="457602274">
                                  <w:marLeft w:val="0"/>
                                  <w:marRight w:val="0"/>
                                  <w:marTop w:val="0"/>
                                  <w:marBottom w:val="0"/>
                                  <w:divBdr>
                                    <w:top w:val="none" w:sz="0" w:space="0" w:color="auto"/>
                                    <w:left w:val="none" w:sz="0" w:space="0" w:color="auto"/>
                                    <w:bottom w:val="none" w:sz="0" w:space="0" w:color="auto"/>
                                    <w:right w:val="none" w:sz="0" w:space="0" w:color="auto"/>
                                  </w:divBdr>
                                  <w:divsChild>
                                    <w:div w:id="1528372203">
                                      <w:marLeft w:val="0"/>
                                      <w:marRight w:val="0"/>
                                      <w:marTop w:val="0"/>
                                      <w:marBottom w:val="0"/>
                                      <w:divBdr>
                                        <w:top w:val="none" w:sz="0" w:space="0" w:color="auto"/>
                                        <w:left w:val="none" w:sz="0" w:space="0" w:color="auto"/>
                                        <w:bottom w:val="none" w:sz="0" w:space="0" w:color="auto"/>
                                        <w:right w:val="none" w:sz="0" w:space="0" w:color="auto"/>
                                      </w:divBdr>
                                      <w:divsChild>
                                        <w:div w:id="1616789981">
                                          <w:marLeft w:val="0"/>
                                          <w:marRight w:val="0"/>
                                          <w:marTop w:val="0"/>
                                          <w:marBottom w:val="0"/>
                                          <w:divBdr>
                                            <w:top w:val="none" w:sz="0" w:space="0" w:color="auto"/>
                                            <w:left w:val="none" w:sz="0" w:space="0" w:color="auto"/>
                                            <w:bottom w:val="none" w:sz="0" w:space="0" w:color="auto"/>
                                            <w:right w:val="none" w:sz="0" w:space="0" w:color="auto"/>
                                          </w:divBdr>
                                          <w:divsChild>
                                            <w:div w:id="425922203">
                                              <w:marLeft w:val="0"/>
                                              <w:marRight w:val="0"/>
                                              <w:marTop w:val="0"/>
                                              <w:marBottom w:val="495"/>
                                              <w:divBdr>
                                                <w:top w:val="none" w:sz="0" w:space="0" w:color="auto"/>
                                                <w:left w:val="none" w:sz="0" w:space="0" w:color="auto"/>
                                                <w:bottom w:val="none" w:sz="0" w:space="0" w:color="auto"/>
                                                <w:right w:val="none" w:sz="0" w:space="0" w:color="auto"/>
                                              </w:divBdr>
                                              <w:divsChild>
                                                <w:div w:id="85727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7849565">
      <w:bodyDiv w:val="1"/>
      <w:marLeft w:val="0"/>
      <w:marRight w:val="0"/>
      <w:marTop w:val="0"/>
      <w:marBottom w:val="0"/>
      <w:divBdr>
        <w:top w:val="none" w:sz="0" w:space="0" w:color="auto"/>
        <w:left w:val="none" w:sz="0" w:space="0" w:color="auto"/>
        <w:bottom w:val="none" w:sz="0" w:space="0" w:color="auto"/>
        <w:right w:val="none" w:sz="0" w:space="0" w:color="auto"/>
      </w:divBdr>
      <w:divsChild>
        <w:div w:id="1103844466">
          <w:marLeft w:val="0"/>
          <w:marRight w:val="0"/>
          <w:marTop w:val="0"/>
          <w:marBottom w:val="0"/>
          <w:divBdr>
            <w:top w:val="none" w:sz="0" w:space="0" w:color="auto"/>
            <w:left w:val="none" w:sz="0" w:space="0" w:color="auto"/>
            <w:bottom w:val="none" w:sz="0" w:space="0" w:color="auto"/>
            <w:right w:val="none" w:sz="0" w:space="0" w:color="auto"/>
          </w:divBdr>
          <w:divsChild>
            <w:div w:id="1620334950">
              <w:marLeft w:val="0"/>
              <w:marRight w:val="0"/>
              <w:marTop w:val="0"/>
              <w:marBottom w:val="0"/>
              <w:divBdr>
                <w:top w:val="none" w:sz="0" w:space="0" w:color="auto"/>
                <w:left w:val="none" w:sz="0" w:space="0" w:color="auto"/>
                <w:bottom w:val="none" w:sz="0" w:space="0" w:color="auto"/>
                <w:right w:val="none" w:sz="0" w:space="0" w:color="auto"/>
              </w:divBdr>
              <w:divsChild>
                <w:div w:id="1158837922">
                  <w:marLeft w:val="0"/>
                  <w:marRight w:val="0"/>
                  <w:marTop w:val="0"/>
                  <w:marBottom w:val="0"/>
                  <w:divBdr>
                    <w:top w:val="none" w:sz="0" w:space="0" w:color="auto"/>
                    <w:left w:val="none" w:sz="0" w:space="0" w:color="auto"/>
                    <w:bottom w:val="none" w:sz="0" w:space="0" w:color="auto"/>
                    <w:right w:val="none" w:sz="0" w:space="0" w:color="auto"/>
                  </w:divBdr>
                  <w:divsChild>
                    <w:div w:id="1189105808">
                      <w:marLeft w:val="0"/>
                      <w:marRight w:val="0"/>
                      <w:marTop w:val="0"/>
                      <w:marBottom w:val="0"/>
                      <w:divBdr>
                        <w:top w:val="none" w:sz="0" w:space="0" w:color="auto"/>
                        <w:left w:val="none" w:sz="0" w:space="0" w:color="auto"/>
                        <w:bottom w:val="none" w:sz="0" w:space="0" w:color="auto"/>
                        <w:right w:val="none" w:sz="0" w:space="0" w:color="auto"/>
                      </w:divBdr>
                      <w:divsChild>
                        <w:div w:id="732889667">
                          <w:marLeft w:val="0"/>
                          <w:marRight w:val="0"/>
                          <w:marTop w:val="0"/>
                          <w:marBottom w:val="0"/>
                          <w:divBdr>
                            <w:top w:val="none" w:sz="0" w:space="0" w:color="auto"/>
                            <w:left w:val="none" w:sz="0" w:space="0" w:color="auto"/>
                            <w:bottom w:val="none" w:sz="0" w:space="0" w:color="auto"/>
                            <w:right w:val="none" w:sz="0" w:space="0" w:color="auto"/>
                          </w:divBdr>
                          <w:divsChild>
                            <w:div w:id="1757045524">
                              <w:marLeft w:val="0"/>
                              <w:marRight w:val="0"/>
                              <w:marTop w:val="0"/>
                              <w:marBottom w:val="0"/>
                              <w:divBdr>
                                <w:top w:val="none" w:sz="0" w:space="0" w:color="auto"/>
                                <w:left w:val="none" w:sz="0" w:space="0" w:color="auto"/>
                                <w:bottom w:val="none" w:sz="0" w:space="0" w:color="auto"/>
                                <w:right w:val="none" w:sz="0" w:space="0" w:color="auto"/>
                              </w:divBdr>
                              <w:divsChild>
                                <w:div w:id="416293860">
                                  <w:marLeft w:val="0"/>
                                  <w:marRight w:val="0"/>
                                  <w:marTop w:val="0"/>
                                  <w:marBottom w:val="0"/>
                                  <w:divBdr>
                                    <w:top w:val="none" w:sz="0" w:space="0" w:color="auto"/>
                                    <w:left w:val="none" w:sz="0" w:space="0" w:color="auto"/>
                                    <w:bottom w:val="none" w:sz="0" w:space="0" w:color="auto"/>
                                    <w:right w:val="none" w:sz="0" w:space="0" w:color="auto"/>
                                  </w:divBdr>
                                  <w:divsChild>
                                    <w:div w:id="996571956">
                                      <w:marLeft w:val="0"/>
                                      <w:marRight w:val="0"/>
                                      <w:marTop w:val="0"/>
                                      <w:marBottom w:val="0"/>
                                      <w:divBdr>
                                        <w:top w:val="none" w:sz="0" w:space="0" w:color="auto"/>
                                        <w:left w:val="none" w:sz="0" w:space="0" w:color="auto"/>
                                        <w:bottom w:val="none" w:sz="0" w:space="0" w:color="auto"/>
                                        <w:right w:val="none" w:sz="0" w:space="0" w:color="auto"/>
                                      </w:divBdr>
                                      <w:divsChild>
                                        <w:div w:id="1986008918">
                                          <w:marLeft w:val="0"/>
                                          <w:marRight w:val="0"/>
                                          <w:marTop w:val="0"/>
                                          <w:marBottom w:val="0"/>
                                          <w:divBdr>
                                            <w:top w:val="none" w:sz="0" w:space="0" w:color="auto"/>
                                            <w:left w:val="none" w:sz="0" w:space="0" w:color="auto"/>
                                            <w:bottom w:val="none" w:sz="0" w:space="0" w:color="auto"/>
                                            <w:right w:val="none" w:sz="0" w:space="0" w:color="auto"/>
                                          </w:divBdr>
                                          <w:divsChild>
                                            <w:div w:id="200099725">
                                              <w:marLeft w:val="0"/>
                                              <w:marRight w:val="0"/>
                                              <w:marTop w:val="0"/>
                                              <w:marBottom w:val="495"/>
                                              <w:divBdr>
                                                <w:top w:val="none" w:sz="0" w:space="0" w:color="auto"/>
                                                <w:left w:val="none" w:sz="0" w:space="0" w:color="auto"/>
                                                <w:bottom w:val="none" w:sz="0" w:space="0" w:color="auto"/>
                                                <w:right w:val="none" w:sz="0" w:space="0" w:color="auto"/>
                                              </w:divBdr>
                                              <w:divsChild>
                                                <w:div w:id="127240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9123857">
      <w:bodyDiv w:val="1"/>
      <w:marLeft w:val="0"/>
      <w:marRight w:val="0"/>
      <w:marTop w:val="0"/>
      <w:marBottom w:val="0"/>
      <w:divBdr>
        <w:top w:val="none" w:sz="0" w:space="0" w:color="auto"/>
        <w:left w:val="none" w:sz="0" w:space="0" w:color="auto"/>
        <w:bottom w:val="none" w:sz="0" w:space="0" w:color="auto"/>
        <w:right w:val="none" w:sz="0" w:space="0" w:color="auto"/>
      </w:divBdr>
      <w:divsChild>
        <w:div w:id="484317741">
          <w:marLeft w:val="0"/>
          <w:marRight w:val="0"/>
          <w:marTop w:val="0"/>
          <w:marBottom w:val="0"/>
          <w:divBdr>
            <w:top w:val="none" w:sz="0" w:space="0" w:color="auto"/>
            <w:left w:val="none" w:sz="0" w:space="0" w:color="auto"/>
            <w:bottom w:val="none" w:sz="0" w:space="0" w:color="auto"/>
            <w:right w:val="none" w:sz="0" w:space="0" w:color="auto"/>
          </w:divBdr>
          <w:divsChild>
            <w:div w:id="61758364">
              <w:marLeft w:val="0"/>
              <w:marRight w:val="0"/>
              <w:marTop w:val="0"/>
              <w:marBottom w:val="0"/>
              <w:divBdr>
                <w:top w:val="none" w:sz="0" w:space="0" w:color="auto"/>
                <w:left w:val="none" w:sz="0" w:space="0" w:color="auto"/>
                <w:bottom w:val="none" w:sz="0" w:space="0" w:color="auto"/>
                <w:right w:val="none" w:sz="0" w:space="0" w:color="auto"/>
              </w:divBdr>
              <w:divsChild>
                <w:div w:id="629438222">
                  <w:marLeft w:val="0"/>
                  <w:marRight w:val="0"/>
                  <w:marTop w:val="0"/>
                  <w:marBottom w:val="0"/>
                  <w:divBdr>
                    <w:top w:val="none" w:sz="0" w:space="0" w:color="auto"/>
                    <w:left w:val="none" w:sz="0" w:space="0" w:color="auto"/>
                    <w:bottom w:val="none" w:sz="0" w:space="0" w:color="auto"/>
                    <w:right w:val="none" w:sz="0" w:space="0" w:color="auto"/>
                  </w:divBdr>
                  <w:divsChild>
                    <w:div w:id="1860005229">
                      <w:marLeft w:val="0"/>
                      <w:marRight w:val="0"/>
                      <w:marTop w:val="0"/>
                      <w:marBottom w:val="0"/>
                      <w:divBdr>
                        <w:top w:val="none" w:sz="0" w:space="0" w:color="auto"/>
                        <w:left w:val="none" w:sz="0" w:space="0" w:color="auto"/>
                        <w:bottom w:val="none" w:sz="0" w:space="0" w:color="auto"/>
                        <w:right w:val="none" w:sz="0" w:space="0" w:color="auto"/>
                      </w:divBdr>
                      <w:divsChild>
                        <w:div w:id="32317575">
                          <w:marLeft w:val="0"/>
                          <w:marRight w:val="0"/>
                          <w:marTop w:val="0"/>
                          <w:marBottom w:val="0"/>
                          <w:divBdr>
                            <w:top w:val="none" w:sz="0" w:space="0" w:color="auto"/>
                            <w:left w:val="none" w:sz="0" w:space="0" w:color="auto"/>
                            <w:bottom w:val="none" w:sz="0" w:space="0" w:color="auto"/>
                            <w:right w:val="none" w:sz="0" w:space="0" w:color="auto"/>
                          </w:divBdr>
                          <w:divsChild>
                            <w:div w:id="1129473301">
                              <w:marLeft w:val="0"/>
                              <w:marRight w:val="0"/>
                              <w:marTop w:val="0"/>
                              <w:marBottom w:val="0"/>
                              <w:divBdr>
                                <w:top w:val="none" w:sz="0" w:space="0" w:color="auto"/>
                                <w:left w:val="none" w:sz="0" w:space="0" w:color="auto"/>
                                <w:bottom w:val="none" w:sz="0" w:space="0" w:color="auto"/>
                                <w:right w:val="none" w:sz="0" w:space="0" w:color="auto"/>
                              </w:divBdr>
                              <w:divsChild>
                                <w:div w:id="1336878504">
                                  <w:marLeft w:val="0"/>
                                  <w:marRight w:val="0"/>
                                  <w:marTop w:val="0"/>
                                  <w:marBottom w:val="0"/>
                                  <w:divBdr>
                                    <w:top w:val="none" w:sz="0" w:space="0" w:color="auto"/>
                                    <w:left w:val="none" w:sz="0" w:space="0" w:color="auto"/>
                                    <w:bottom w:val="none" w:sz="0" w:space="0" w:color="auto"/>
                                    <w:right w:val="none" w:sz="0" w:space="0" w:color="auto"/>
                                  </w:divBdr>
                                  <w:divsChild>
                                    <w:div w:id="465515005">
                                      <w:marLeft w:val="0"/>
                                      <w:marRight w:val="0"/>
                                      <w:marTop w:val="0"/>
                                      <w:marBottom w:val="0"/>
                                      <w:divBdr>
                                        <w:top w:val="none" w:sz="0" w:space="0" w:color="auto"/>
                                        <w:left w:val="none" w:sz="0" w:space="0" w:color="auto"/>
                                        <w:bottom w:val="none" w:sz="0" w:space="0" w:color="auto"/>
                                        <w:right w:val="none" w:sz="0" w:space="0" w:color="auto"/>
                                      </w:divBdr>
                                      <w:divsChild>
                                        <w:div w:id="1904488665">
                                          <w:marLeft w:val="0"/>
                                          <w:marRight w:val="0"/>
                                          <w:marTop w:val="0"/>
                                          <w:marBottom w:val="0"/>
                                          <w:divBdr>
                                            <w:top w:val="none" w:sz="0" w:space="0" w:color="auto"/>
                                            <w:left w:val="none" w:sz="0" w:space="0" w:color="auto"/>
                                            <w:bottom w:val="none" w:sz="0" w:space="0" w:color="auto"/>
                                            <w:right w:val="none" w:sz="0" w:space="0" w:color="auto"/>
                                          </w:divBdr>
                                          <w:divsChild>
                                            <w:div w:id="1972862491">
                                              <w:marLeft w:val="0"/>
                                              <w:marRight w:val="0"/>
                                              <w:marTop w:val="0"/>
                                              <w:marBottom w:val="495"/>
                                              <w:divBdr>
                                                <w:top w:val="none" w:sz="0" w:space="0" w:color="auto"/>
                                                <w:left w:val="none" w:sz="0" w:space="0" w:color="auto"/>
                                                <w:bottom w:val="none" w:sz="0" w:space="0" w:color="auto"/>
                                                <w:right w:val="none" w:sz="0" w:space="0" w:color="auto"/>
                                              </w:divBdr>
                                              <w:divsChild>
                                                <w:div w:id="12635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0856579">
      <w:bodyDiv w:val="1"/>
      <w:marLeft w:val="0"/>
      <w:marRight w:val="0"/>
      <w:marTop w:val="0"/>
      <w:marBottom w:val="0"/>
      <w:divBdr>
        <w:top w:val="none" w:sz="0" w:space="0" w:color="auto"/>
        <w:left w:val="none" w:sz="0" w:space="0" w:color="auto"/>
        <w:bottom w:val="none" w:sz="0" w:space="0" w:color="auto"/>
        <w:right w:val="none" w:sz="0" w:space="0" w:color="auto"/>
      </w:divBdr>
      <w:divsChild>
        <w:div w:id="369187322">
          <w:marLeft w:val="0"/>
          <w:marRight w:val="0"/>
          <w:marTop w:val="0"/>
          <w:marBottom w:val="0"/>
          <w:divBdr>
            <w:top w:val="none" w:sz="0" w:space="0" w:color="auto"/>
            <w:left w:val="none" w:sz="0" w:space="0" w:color="auto"/>
            <w:bottom w:val="none" w:sz="0" w:space="0" w:color="auto"/>
            <w:right w:val="none" w:sz="0" w:space="0" w:color="auto"/>
          </w:divBdr>
          <w:divsChild>
            <w:div w:id="1451046012">
              <w:marLeft w:val="0"/>
              <w:marRight w:val="0"/>
              <w:marTop w:val="0"/>
              <w:marBottom w:val="0"/>
              <w:divBdr>
                <w:top w:val="none" w:sz="0" w:space="0" w:color="auto"/>
                <w:left w:val="none" w:sz="0" w:space="0" w:color="auto"/>
                <w:bottom w:val="none" w:sz="0" w:space="0" w:color="auto"/>
                <w:right w:val="none" w:sz="0" w:space="0" w:color="auto"/>
              </w:divBdr>
              <w:divsChild>
                <w:div w:id="2094663249">
                  <w:marLeft w:val="0"/>
                  <w:marRight w:val="0"/>
                  <w:marTop w:val="0"/>
                  <w:marBottom w:val="0"/>
                  <w:divBdr>
                    <w:top w:val="none" w:sz="0" w:space="0" w:color="auto"/>
                    <w:left w:val="none" w:sz="0" w:space="0" w:color="auto"/>
                    <w:bottom w:val="none" w:sz="0" w:space="0" w:color="auto"/>
                    <w:right w:val="none" w:sz="0" w:space="0" w:color="auto"/>
                  </w:divBdr>
                  <w:divsChild>
                    <w:div w:id="638653545">
                      <w:marLeft w:val="0"/>
                      <w:marRight w:val="0"/>
                      <w:marTop w:val="0"/>
                      <w:marBottom w:val="0"/>
                      <w:divBdr>
                        <w:top w:val="none" w:sz="0" w:space="0" w:color="auto"/>
                        <w:left w:val="none" w:sz="0" w:space="0" w:color="auto"/>
                        <w:bottom w:val="none" w:sz="0" w:space="0" w:color="auto"/>
                        <w:right w:val="none" w:sz="0" w:space="0" w:color="auto"/>
                      </w:divBdr>
                      <w:divsChild>
                        <w:div w:id="1592426259">
                          <w:marLeft w:val="0"/>
                          <w:marRight w:val="0"/>
                          <w:marTop w:val="0"/>
                          <w:marBottom w:val="0"/>
                          <w:divBdr>
                            <w:top w:val="none" w:sz="0" w:space="0" w:color="auto"/>
                            <w:left w:val="none" w:sz="0" w:space="0" w:color="auto"/>
                            <w:bottom w:val="none" w:sz="0" w:space="0" w:color="auto"/>
                            <w:right w:val="none" w:sz="0" w:space="0" w:color="auto"/>
                          </w:divBdr>
                          <w:divsChild>
                            <w:div w:id="1138299290">
                              <w:marLeft w:val="0"/>
                              <w:marRight w:val="0"/>
                              <w:marTop w:val="0"/>
                              <w:marBottom w:val="0"/>
                              <w:divBdr>
                                <w:top w:val="none" w:sz="0" w:space="0" w:color="auto"/>
                                <w:left w:val="none" w:sz="0" w:space="0" w:color="auto"/>
                                <w:bottom w:val="none" w:sz="0" w:space="0" w:color="auto"/>
                                <w:right w:val="none" w:sz="0" w:space="0" w:color="auto"/>
                              </w:divBdr>
                              <w:divsChild>
                                <w:div w:id="1221938670">
                                  <w:marLeft w:val="0"/>
                                  <w:marRight w:val="0"/>
                                  <w:marTop w:val="0"/>
                                  <w:marBottom w:val="0"/>
                                  <w:divBdr>
                                    <w:top w:val="none" w:sz="0" w:space="0" w:color="auto"/>
                                    <w:left w:val="none" w:sz="0" w:space="0" w:color="auto"/>
                                    <w:bottom w:val="none" w:sz="0" w:space="0" w:color="auto"/>
                                    <w:right w:val="none" w:sz="0" w:space="0" w:color="auto"/>
                                  </w:divBdr>
                                  <w:divsChild>
                                    <w:div w:id="1692218113">
                                      <w:marLeft w:val="0"/>
                                      <w:marRight w:val="0"/>
                                      <w:marTop w:val="0"/>
                                      <w:marBottom w:val="0"/>
                                      <w:divBdr>
                                        <w:top w:val="none" w:sz="0" w:space="0" w:color="auto"/>
                                        <w:left w:val="none" w:sz="0" w:space="0" w:color="auto"/>
                                        <w:bottom w:val="none" w:sz="0" w:space="0" w:color="auto"/>
                                        <w:right w:val="none" w:sz="0" w:space="0" w:color="auto"/>
                                      </w:divBdr>
                                      <w:divsChild>
                                        <w:div w:id="962885803">
                                          <w:marLeft w:val="0"/>
                                          <w:marRight w:val="0"/>
                                          <w:marTop w:val="0"/>
                                          <w:marBottom w:val="0"/>
                                          <w:divBdr>
                                            <w:top w:val="none" w:sz="0" w:space="0" w:color="auto"/>
                                            <w:left w:val="none" w:sz="0" w:space="0" w:color="auto"/>
                                            <w:bottom w:val="none" w:sz="0" w:space="0" w:color="auto"/>
                                            <w:right w:val="none" w:sz="0" w:space="0" w:color="auto"/>
                                          </w:divBdr>
                                          <w:divsChild>
                                            <w:div w:id="303775843">
                                              <w:marLeft w:val="0"/>
                                              <w:marRight w:val="0"/>
                                              <w:marTop w:val="0"/>
                                              <w:marBottom w:val="495"/>
                                              <w:divBdr>
                                                <w:top w:val="none" w:sz="0" w:space="0" w:color="auto"/>
                                                <w:left w:val="none" w:sz="0" w:space="0" w:color="auto"/>
                                                <w:bottom w:val="none" w:sz="0" w:space="0" w:color="auto"/>
                                                <w:right w:val="none" w:sz="0" w:space="0" w:color="auto"/>
                                              </w:divBdr>
                                              <w:divsChild>
                                                <w:div w:id="37528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42</Pages>
  <Words>69210</Words>
  <Characters>39451</Characters>
  <Application>Microsoft Office Word</Application>
  <DocSecurity>4</DocSecurity>
  <Lines>328</Lines>
  <Paragraphs>216</Paragraphs>
  <ScaleCrop>false</ScaleCrop>
  <Company/>
  <LinksUpToDate>false</LinksUpToDate>
  <CharactersWithSpaces>108445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Staniene, Giedre</dc:creator>
  <cp:keywords/>
  <dc:description/>
  <cp:lastModifiedBy>Albina Burkauskaitė</cp:lastModifiedBy>
  <cp:revision>2</cp:revision>
  <dcterms:created xsi:type="dcterms:W3CDTF">2026-02-27T06:38:00Z</dcterms:created>
  <dcterms:modified xsi:type="dcterms:W3CDTF">2026-02-27T06:38:00Z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2021-08-30T14:27:02Z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dffc2995-15ae-4d94-bbfc-e26fb1ee701d</vt:lpwstr>
  </property>
  <property fmtid="{D5CDD505-2E9C-101B-9397-08002B2CF9AE}" pid="8" name="MSIP_Label_4929bff8-5b33-42aa-95d2-28f72e792cb0_ContentBits">
    <vt:lpwstr>0</vt:lpwstr>
  </property>
</Properties>
</file>