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416A8" w14:textId="77777777" w:rsidR="00FD5C4A" w:rsidRPr="00A333F1" w:rsidRDefault="00FD5C4A" w:rsidP="00A333F1">
      <w:pPr>
        <w:outlineLvl w:val="0"/>
        <w:rPr>
          <w:b/>
        </w:rPr>
      </w:pPr>
      <w:bookmarkStart w:id="0" w:name="_GoBack"/>
      <w:bookmarkEnd w:id="0"/>
    </w:p>
    <w:p w14:paraId="57860685" w14:textId="77777777" w:rsidR="00FD5C4A" w:rsidRPr="00A333F1" w:rsidRDefault="00FD5C4A" w:rsidP="00A333F1">
      <w:pPr>
        <w:outlineLvl w:val="0"/>
        <w:rPr>
          <w:b/>
        </w:rPr>
      </w:pPr>
    </w:p>
    <w:p w14:paraId="4BB4EDD7" w14:textId="77777777" w:rsidR="00FD5C4A" w:rsidRPr="00A333F1" w:rsidRDefault="00FD5C4A" w:rsidP="00A333F1">
      <w:pPr>
        <w:outlineLvl w:val="0"/>
        <w:rPr>
          <w:b/>
        </w:rPr>
      </w:pPr>
    </w:p>
    <w:p w14:paraId="77151C8E" w14:textId="77777777" w:rsidR="00FD5C4A" w:rsidRPr="00A333F1" w:rsidRDefault="00FD5C4A" w:rsidP="00A333F1">
      <w:pPr>
        <w:tabs>
          <w:tab w:val="left" w:pos="-1440"/>
          <w:tab w:val="left" w:pos="-720"/>
        </w:tabs>
        <w:rPr>
          <w:b/>
        </w:rPr>
      </w:pPr>
    </w:p>
    <w:p w14:paraId="7FF5706A" w14:textId="77777777" w:rsidR="00FD5C4A" w:rsidRPr="00A333F1" w:rsidRDefault="00FD5C4A" w:rsidP="00A333F1">
      <w:pPr>
        <w:tabs>
          <w:tab w:val="left" w:pos="-1440"/>
          <w:tab w:val="left" w:pos="-720"/>
        </w:tabs>
        <w:rPr>
          <w:b/>
        </w:rPr>
      </w:pPr>
    </w:p>
    <w:p w14:paraId="05E68407" w14:textId="77777777" w:rsidR="00FD5C4A" w:rsidRPr="00A333F1" w:rsidRDefault="00FD5C4A" w:rsidP="00A333F1">
      <w:pPr>
        <w:tabs>
          <w:tab w:val="left" w:pos="-1440"/>
          <w:tab w:val="left" w:pos="-720"/>
        </w:tabs>
        <w:rPr>
          <w:b/>
        </w:rPr>
      </w:pPr>
    </w:p>
    <w:p w14:paraId="7763BB35" w14:textId="77777777" w:rsidR="00FD5C4A" w:rsidRPr="00A333F1" w:rsidRDefault="00FD5C4A" w:rsidP="00A333F1">
      <w:pPr>
        <w:tabs>
          <w:tab w:val="left" w:pos="-1440"/>
          <w:tab w:val="left" w:pos="-720"/>
        </w:tabs>
        <w:rPr>
          <w:b/>
        </w:rPr>
      </w:pPr>
    </w:p>
    <w:p w14:paraId="4811E913" w14:textId="77777777" w:rsidR="00FD5C4A" w:rsidRPr="00A333F1" w:rsidRDefault="00FD5C4A" w:rsidP="00A333F1">
      <w:pPr>
        <w:tabs>
          <w:tab w:val="left" w:pos="-1440"/>
          <w:tab w:val="left" w:pos="-720"/>
        </w:tabs>
        <w:rPr>
          <w:b/>
        </w:rPr>
      </w:pPr>
    </w:p>
    <w:p w14:paraId="72274B73" w14:textId="77777777" w:rsidR="00FD5C4A" w:rsidRPr="00A333F1" w:rsidRDefault="00FD5C4A" w:rsidP="00A333F1">
      <w:pPr>
        <w:tabs>
          <w:tab w:val="left" w:pos="-1440"/>
          <w:tab w:val="left" w:pos="-720"/>
        </w:tabs>
        <w:rPr>
          <w:b/>
        </w:rPr>
      </w:pPr>
    </w:p>
    <w:p w14:paraId="68867AE7" w14:textId="77777777" w:rsidR="00FD5C4A" w:rsidRPr="00A333F1" w:rsidRDefault="00FD5C4A" w:rsidP="00A333F1">
      <w:pPr>
        <w:tabs>
          <w:tab w:val="left" w:pos="-1440"/>
          <w:tab w:val="left" w:pos="-720"/>
        </w:tabs>
        <w:rPr>
          <w:b/>
        </w:rPr>
      </w:pPr>
    </w:p>
    <w:p w14:paraId="0A25E123" w14:textId="77777777" w:rsidR="00FD5C4A" w:rsidRPr="00A333F1" w:rsidRDefault="00FD5C4A" w:rsidP="00A333F1">
      <w:pPr>
        <w:tabs>
          <w:tab w:val="left" w:pos="-1440"/>
          <w:tab w:val="left" w:pos="-720"/>
        </w:tabs>
        <w:rPr>
          <w:b/>
        </w:rPr>
      </w:pPr>
    </w:p>
    <w:p w14:paraId="6A3AC0CC" w14:textId="77777777" w:rsidR="00FD5C4A" w:rsidRPr="00A333F1" w:rsidRDefault="00FD5C4A" w:rsidP="00A333F1">
      <w:pPr>
        <w:tabs>
          <w:tab w:val="left" w:pos="-1440"/>
          <w:tab w:val="left" w:pos="-720"/>
        </w:tabs>
        <w:rPr>
          <w:b/>
        </w:rPr>
      </w:pPr>
    </w:p>
    <w:p w14:paraId="6B033E14" w14:textId="77777777" w:rsidR="00FD5C4A" w:rsidRPr="00A333F1" w:rsidRDefault="00FD5C4A" w:rsidP="00A333F1">
      <w:pPr>
        <w:tabs>
          <w:tab w:val="left" w:pos="-1440"/>
          <w:tab w:val="left" w:pos="-720"/>
        </w:tabs>
        <w:rPr>
          <w:b/>
        </w:rPr>
      </w:pPr>
    </w:p>
    <w:p w14:paraId="76717BA6" w14:textId="77777777" w:rsidR="00FD5C4A" w:rsidRPr="00A333F1" w:rsidRDefault="00FD5C4A" w:rsidP="00A333F1">
      <w:pPr>
        <w:tabs>
          <w:tab w:val="left" w:pos="-1440"/>
          <w:tab w:val="left" w:pos="-720"/>
        </w:tabs>
        <w:rPr>
          <w:b/>
        </w:rPr>
      </w:pPr>
    </w:p>
    <w:p w14:paraId="7AA18F34" w14:textId="77777777" w:rsidR="00FD5C4A" w:rsidRPr="00A333F1" w:rsidRDefault="00FD5C4A" w:rsidP="00A333F1">
      <w:pPr>
        <w:tabs>
          <w:tab w:val="left" w:pos="-1440"/>
          <w:tab w:val="left" w:pos="-720"/>
        </w:tabs>
        <w:rPr>
          <w:b/>
        </w:rPr>
      </w:pPr>
    </w:p>
    <w:p w14:paraId="22FFC07E" w14:textId="77777777" w:rsidR="00FD5C4A" w:rsidRPr="00A333F1" w:rsidRDefault="00FD5C4A" w:rsidP="00A333F1">
      <w:pPr>
        <w:tabs>
          <w:tab w:val="left" w:pos="-1440"/>
          <w:tab w:val="left" w:pos="-720"/>
        </w:tabs>
        <w:rPr>
          <w:b/>
        </w:rPr>
      </w:pPr>
    </w:p>
    <w:p w14:paraId="48886C54" w14:textId="77777777" w:rsidR="00FD5C4A" w:rsidRPr="00A333F1" w:rsidRDefault="00FD5C4A" w:rsidP="00A333F1">
      <w:pPr>
        <w:tabs>
          <w:tab w:val="left" w:pos="-1440"/>
          <w:tab w:val="left" w:pos="-720"/>
        </w:tabs>
        <w:rPr>
          <w:b/>
        </w:rPr>
      </w:pPr>
    </w:p>
    <w:p w14:paraId="34B0A217" w14:textId="77777777" w:rsidR="00FD5C4A" w:rsidRPr="00A333F1" w:rsidRDefault="00FD5C4A" w:rsidP="00A333F1">
      <w:pPr>
        <w:tabs>
          <w:tab w:val="left" w:pos="-1440"/>
          <w:tab w:val="left" w:pos="-720"/>
        </w:tabs>
        <w:rPr>
          <w:b/>
        </w:rPr>
      </w:pPr>
    </w:p>
    <w:p w14:paraId="77472272" w14:textId="77777777" w:rsidR="00FD5C4A" w:rsidRPr="00A333F1" w:rsidRDefault="00FD5C4A" w:rsidP="00A333F1">
      <w:pPr>
        <w:tabs>
          <w:tab w:val="left" w:pos="-1440"/>
          <w:tab w:val="left" w:pos="-720"/>
        </w:tabs>
        <w:rPr>
          <w:b/>
        </w:rPr>
      </w:pPr>
    </w:p>
    <w:p w14:paraId="7F01644C" w14:textId="77777777" w:rsidR="00FD5C4A" w:rsidRPr="00A333F1" w:rsidRDefault="00FD5C4A" w:rsidP="00A333F1">
      <w:pPr>
        <w:tabs>
          <w:tab w:val="left" w:pos="-1440"/>
          <w:tab w:val="left" w:pos="-720"/>
        </w:tabs>
        <w:rPr>
          <w:b/>
        </w:rPr>
      </w:pPr>
    </w:p>
    <w:p w14:paraId="7371C598" w14:textId="77777777" w:rsidR="00FD5C4A" w:rsidRPr="00A333F1" w:rsidRDefault="00FD5C4A" w:rsidP="00A333F1">
      <w:pPr>
        <w:tabs>
          <w:tab w:val="left" w:pos="-1440"/>
          <w:tab w:val="left" w:pos="-720"/>
        </w:tabs>
        <w:rPr>
          <w:b/>
        </w:rPr>
      </w:pPr>
    </w:p>
    <w:p w14:paraId="6EB66083" w14:textId="77777777" w:rsidR="00FD5C4A" w:rsidRPr="00A333F1" w:rsidRDefault="00FD5C4A" w:rsidP="00A333F1"/>
    <w:p w14:paraId="65A16B03" w14:textId="77777777" w:rsidR="00FD5C4A" w:rsidRPr="00A333F1" w:rsidRDefault="00FD5C4A" w:rsidP="00A333F1">
      <w:pPr>
        <w:jc w:val="center"/>
        <w:rPr>
          <w:b/>
        </w:rPr>
      </w:pPr>
    </w:p>
    <w:p w14:paraId="7C9341CE" w14:textId="77777777" w:rsidR="00FD5C4A" w:rsidRPr="00A333F1" w:rsidRDefault="00FD5C4A" w:rsidP="00A333F1">
      <w:pPr>
        <w:jc w:val="center"/>
        <w:rPr>
          <w:b/>
        </w:rPr>
      </w:pPr>
      <w:r w:rsidRPr="00A333F1">
        <w:rPr>
          <w:b/>
        </w:rPr>
        <w:t>I PRIEDAS</w:t>
      </w:r>
    </w:p>
    <w:p w14:paraId="3850755F" w14:textId="77777777" w:rsidR="00FD5C4A" w:rsidRPr="00A333F1" w:rsidRDefault="00FD5C4A" w:rsidP="00A333F1">
      <w:pPr>
        <w:jc w:val="center"/>
        <w:rPr>
          <w:b/>
        </w:rPr>
      </w:pPr>
    </w:p>
    <w:p w14:paraId="01B388F8" w14:textId="77777777" w:rsidR="00FD5C4A" w:rsidRPr="00A333F1" w:rsidRDefault="00FD5C4A" w:rsidP="00A333F1">
      <w:pPr>
        <w:jc w:val="center"/>
        <w:rPr>
          <w:b/>
        </w:rPr>
      </w:pPr>
      <w:r w:rsidRPr="00A333F1">
        <w:rPr>
          <w:b/>
        </w:rPr>
        <w:t>PREPARATO</w:t>
      </w:r>
      <w:r w:rsidR="009A45A0" w:rsidRPr="00A333F1">
        <w:rPr>
          <w:b/>
        </w:rPr>
        <w:t xml:space="preserve"> </w:t>
      </w:r>
      <w:r w:rsidRPr="00A333F1">
        <w:rPr>
          <w:b/>
        </w:rPr>
        <w:t>CHARAKTERISTIKŲ SANTRAUKA</w:t>
      </w:r>
    </w:p>
    <w:p w14:paraId="5F9A4232" w14:textId="77777777" w:rsidR="00FD5C4A" w:rsidRPr="00A333F1" w:rsidRDefault="00FD5C4A" w:rsidP="00A333F1"/>
    <w:p w14:paraId="3BEA6989" w14:textId="77777777" w:rsidR="00FD5C4A" w:rsidRPr="00A333F1" w:rsidRDefault="00FD5C4A" w:rsidP="00A333F1">
      <w:pPr>
        <w:rPr>
          <w:b/>
        </w:rPr>
      </w:pPr>
      <w:r w:rsidRPr="00A333F1">
        <w:br w:type="page"/>
      </w:r>
      <w:r w:rsidRPr="00A333F1">
        <w:rPr>
          <w:b/>
        </w:rPr>
        <w:lastRenderedPageBreak/>
        <w:t>1.</w:t>
      </w:r>
      <w:r w:rsidRPr="00A333F1">
        <w:rPr>
          <w:b/>
        </w:rPr>
        <w:tab/>
        <w:t>VAISTINIO PREPARATO PAVADINIMAS</w:t>
      </w:r>
    </w:p>
    <w:p w14:paraId="2ADF706E" w14:textId="77777777" w:rsidR="00FD5C4A" w:rsidRPr="00A333F1" w:rsidRDefault="00FD5C4A" w:rsidP="00A333F1">
      <w:pPr>
        <w:rPr>
          <w:b/>
        </w:rPr>
      </w:pPr>
    </w:p>
    <w:p w14:paraId="58E9069F" w14:textId="77777777" w:rsidR="00FD5C4A" w:rsidRPr="00A333F1" w:rsidRDefault="00254A51" w:rsidP="00A333F1">
      <w:pPr>
        <w:autoSpaceDE w:val="0"/>
        <w:autoSpaceDN w:val="0"/>
        <w:adjustRightInd w:val="0"/>
      </w:pPr>
      <w:r w:rsidRPr="00A333F1">
        <w:t xml:space="preserve">Quator </w:t>
      </w:r>
      <w:r w:rsidR="00FD5C4A" w:rsidRPr="00A333F1">
        <w:t>5</w:t>
      </w:r>
      <w:r w:rsidR="000B5CC7" w:rsidRPr="00A333F1">
        <w:t> mg</w:t>
      </w:r>
      <w:r w:rsidR="00FD5C4A" w:rsidRPr="00A333F1">
        <w:t xml:space="preserve"> pl</w:t>
      </w:r>
      <w:r w:rsidR="00FD5C4A" w:rsidRPr="00797CDB">
        <w:rPr>
          <w:rFonts w:eastAsia="TimesNewRomanPSMT"/>
        </w:rPr>
        <w:t>ė</w:t>
      </w:r>
      <w:r w:rsidR="00FD5C4A" w:rsidRPr="00A333F1">
        <w:t>vele dengtos tablet</w:t>
      </w:r>
      <w:r w:rsidR="00FD5C4A" w:rsidRPr="00797CDB">
        <w:rPr>
          <w:rFonts w:eastAsia="TimesNewRomanPSMT"/>
        </w:rPr>
        <w:t>ė</w:t>
      </w:r>
      <w:r w:rsidR="00FD5C4A" w:rsidRPr="00A333F1">
        <w:t>s</w:t>
      </w:r>
    </w:p>
    <w:p w14:paraId="7EAFF9B8" w14:textId="77777777" w:rsidR="00C852E1" w:rsidRPr="00A333F1" w:rsidRDefault="00254A51" w:rsidP="00A333F1">
      <w:pPr>
        <w:shd w:val="clear" w:color="auto" w:fill="D9D9D9" w:themeFill="background1" w:themeFillShade="D9"/>
      </w:pPr>
      <w:r w:rsidRPr="00A333F1">
        <w:t xml:space="preserve">Quator </w:t>
      </w:r>
      <w:r w:rsidR="00C852E1" w:rsidRPr="00A333F1">
        <w:t>10 mg plėvele dengtos tabletės</w:t>
      </w:r>
    </w:p>
    <w:p w14:paraId="400C00A1" w14:textId="77777777" w:rsidR="00FD5C4A" w:rsidRPr="00A333F1" w:rsidRDefault="00254A51" w:rsidP="00A333F1">
      <w:pPr>
        <w:shd w:val="clear" w:color="auto" w:fill="BFBFBF" w:themeFill="background1" w:themeFillShade="BF"/>
      </w:pPr>
      <w:r w:rsidRPr="00A333F1">
        <w:t xml:space="preserve">Quator </w:t>
      </w:r>
      <w:r w:rsidR="00FD5C4A" w:rsidRPr="00A333F1">
        <w:t>20</w:t>
      </w:r>
      <w:r w:rsidR="000B5CC7" w:rsidRPr="00A333F1">
        <w:t> mg</w:t>
      </w:r>
      <w:r w:rsidR="00FD5C4A" w:rsidRPr="00A333F1">
        <w:t xml:space="preserve"> pl</w:t>
      </w:r>
      <w:r w:rsidR="00FD5C4A" w:rsidRPr="00797CDB">
        <w:rPr>
          <w:rFonts w:eastAsia="TimesNewRomanPSMT"/>
        </w:rPr>
        <w:t>ė</w:t>
      </w:r>
      <w:r w:rsidR="00FD5C4A" w:rsidRPr="00A333F1">
        <w:t>vele dengtos tablet</w:t>
      </w:r>
      <w:r w:rsidR="00FD5C4A" w:rsidRPr="00797CDB">
        <w:rPr>
          <w:rFonts w:eastAsia="TimesNewRomanPSMT"/>
        </w:rPr>
        <w:t>ė</w:t>
      </w:r>
      <w:r w:rsidR="00FD5C4A" w:rsidRPr="00A333F1">
        <w:t>s</w:t>
      </w:r>
    </w:p>
    <w:p w14:paraId="2780F2D6" w14:textId="77777777" w:rsidR="00FD5C4A" w:rsidRPr="00A333F1" w:rsidRDefault="00FD5C4A" w:rsidP="00A333F1"/>
    <w:p w14:paraId="18F0C71F" w14:textId="77777777" w:rsidR="00FD5C4A" w:rsidRPr="00A333F1" w:rsidRDefault="00FD5C4A" w:rsidP="00A333F1"/>
    <w:p w14:paraId="6813BFC2" w14:textId="77777777" w:rsidR="00FD5C4A" w:rsidRPr="00A333F1" w:rsidRDefault="00FD5C4A" w:rsidP="00A333F1">
      <w:pPr>
        <w:keepNext/>
        <w:outlineLvl w:val="2"/>
        <w:rPr>
          <w:b/>
        </w:rPr>
      </w:pPr>
      <w:r w:rsidRPr="00A333F1">
        <w:rPr>
          <w:b/>
        </w:rPr>
        <w:t>2.</w:t>
      </w:r>
      <w:r w:rsidRPr="00A333F1">
        <w:rPr>
          <w:b/>
        </w:rPr>
        <w:tab/>
        <w:t>KOKYBINĖ IR KIEKYBINĖ SUDĖTIS</w:t>
      </w:r>
    </w:p>
    <w:p w14:paraId="58B06AF7" w14:textId="77777777" w:rsidR="00FD5C4A" w:rsidRPr="00A333F1" w:rsidRDefault="00FD5C4A" w:rsidP="00A333F1"/>
    <w:p w14:paraId="03045861" w14:textId="77777777" w:rsidR="00C852E1" w:rsidRPr="00A333F1" w:rsidRDefault="00254A51" w:rsidP="00A333F1">
      <w:pPr>
        <w:autoSpaceDE w:val="0"/>
        <w:autoSpaceDN w:val="0"/>
        <w:adjustRightInd w:val="0"/>
        <w:rPr>
          <w:b/>
        </w:rPr>
      </w:pPr>
      <w:r w:rsidRPr="00A333F1">
        <w:rPr>
          <w:b/>
        </w:rPr>
        <w:t xml:space="preserve">Quator </w:t>
      </w:r>
      <w:r w:rsidR="00C852E1" w:rsidRPr="00A333F1">
        <w:rPr>
          <w:b/>
        </w:rPr>
        <w:t>5 mg pl</w:t>
      </w:r>
      <w:r w:rsidR="00C852E1" w:rsidRPr="00797CDB">
        <w:rPr>
          <w:rFonts w:eastAsia="TimesNewRomanPSMT"/>
          <w:b/>
        </w:rPr>
        <w:t>ė</w:t>
      </w:r>
      <w:r w:rsidR="00C852E1" w:rsidRPr="00A333F1">
        <w:rPr>
          <w:b/>
        </w:rPr>
        <w:t>vele dengtos tablet</w:t>
      </w:r>
      <w:r w:rsidR="00C852E1" w:rsidRPr="00797CDB">
        <w:rPr>
          <w:rFonts w:eastAsia="TimesNewRomanPSMT"/>
          <w:b/>
        </w:rPr>
        <w:t>ė</w:t>
      </w:r>
      <w:r w:rsidR="00C852E1" w:rsidRPr="00A333F1">
        <w:rPr>
          <w:b/>
        </w:rPr>
        <w:t>s</w:t>
      </w:r>
    </w:p>
    <w:p w14:paraId="58BF4220" w14:textId="77777777" w:rsidR="00FD5C4A" w:rsidRPr="00797CDB" w:rsidRDefault="00FD5C4A" w:rsidP="00A333F1">
      <w:pPr>
        <w:autoSpaceDE w:val="0"/>
        <w:autoSpaceDN w:val="0"/>
        <w:adjustRightInd w:val="0"/>
        <w:rPr>
          <w:rFonts w:eastAsia="TimesNewRomanPSMT"/>
        </w:rPr>
      </w:pPr>
      <w:r w:rsidRPr="00A333F1">
        <w:t>K</w:t>
      </w:r>
      <w:r w:rsidRPr="00797CDB">
        <w:rPr>
          <w:rFonts w:eastAsia="TimesNewRomanPSMT"/>
        </w:rPr>
        <w:t>iekvienoje plėvele dengtoje tabletėje yra 5</w:t>
      </w:r>
      <w:r w:rsidR="000B5CC7" w:rsidRPr="00797CDB">
        <w:rPr>
          <w:rFonts w:eastAsia="TimesNewRomanPSMT"/>
        </w:rPr>
        <w:t> mg</w:t>
      </w:r>
      <w:r w:rsidRPr="00797CDB">
        <w:rPr>
          <w:rFonts w:eastAsia="TimesNewRomanPSMT"/>
        </w:rPr>
        <w:t xml:space="preserve"> tadalafilio.</w:t>
      </w:r>
    </w:p>
    <w:p w14:paraId="3C58AB02" w14:textId="77777777" w:rsidR="00C852E1" w:rsidRPr="00A333F1" w:rsidRDefault="00C852E1" w:rsidP="00A333F1"/>
    <w:p w14:paraId="30A52CFE" w14:textId="77777777" w:rsidR="00C852E1" w:rsidRPr="00797CDB" w:rsidRDefault="00C852E1"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Pagalbinė medžiaga, kurios poveikis žinomas</w:t>
      </w:r>
    </w:p>
    <w:p w14:paraId="4BBBC7C4" w14:textId="77777777" w:rsidR="00C852E1" w:rsidRPr="00797CDB" w:rsidRDefault="00C852E1" w:rsidP="00A333F1">
      <w:pPr>
        <w:autoSpaceDE w:val="0"/>
        <w:autoSpaceDN w:val="0"/>
        <w:adjustRightInd w:val="0"/>
        <w:rPr>
          <w:rFonts w:eastAsia="TimesNewRomanPSMT"/>
        </w:rPr>
      </w:pPr>
      <w:r w:rsidRPr="00A333F1">
        <w:t>K</w:t>
      </w:r>
      <w:r w:rsidRPr="00797CDB">
        <w:rPr>
          <w:rFonts w:eastAsia="TimesNewRomanPSMT"/>
        </w:rPr>
        <w:t>iekvienoje tabletėje yra 88 mg laktozės monohidrato.</w:t>
      </w:r>
    </w:p>
    <w:p w14:paraId="7DEB8C95" w14:textId="77777777" w:rsidR="00C852E1" w:rsidRPr="00A333F1" w:rsidRDefault="00C852E1" w:rsidP="00A333F1"/>
    <w:p w14:paraId="507D1CED" w14:textId="77777777" w:rsidR="00C852E1" w:rsidRPr="00A333F1" w:rsidRDefault="00254A51" w:rsidP="00A333F1">
      <w:pPr>
        <w:shd w:val="clear" w:color="auto" w:fill="D9D9D9" w:themeFill="background1" w:themeFillShade="D9"/>
        <w:autoSpaceDE w:val="0"/>
        <w:autoSpaceDN w:val="0"/>
        <w:adjustRightInd w:val="0"/>
        <w:rPr>
          <w:b/>
        </w:rPr>
      </w:pPr>
      <w:r w:rsidRPr="00A333F1">
        <w:rPr>
          <w:b/>
        </w:rPr>
        <w:t xml:space="preserve">Quator </w:t>
      </w:r>
      <w:r w:rsidR="00C852E1" w:rsidRPr="00A333F1">
        <w:rPr>
          <w:b/>
        </w:rPr>
        <w:t>10 mg pl</w:t>
      </w:r>
      <w:r w:rsidR="00C852E1" w:rsidRPr="00797CDB">
        <w:rPr>
          <w:rFonts w:eastAsia="TimesNewRomanPSMT"/>
          <w:b/>
        </w:rPr>
        <w:t>ė</w:t>
      </w:r>
      <w:r w:rsidR="00C852E1" w:rsidRPr="00A333F1">
        <w:rPr>
          <w:b/>
        </w:rPr>
        <w:t>vele dengtos tablet</w:t>
      </w:r>
      <w:r w:rsidR="00C852E1" w:rsidRPr="00797CDB">
        <w:rPr>
          <w:rFonts w:eastAsia="TimesNewRomanPSMT"/>
          <w:b/>
        </w:rPr>
        <w:t>ė</w:t>
      </w:r>
      <w:r w:rsidR="00C852E1" w:rsidRPr="00A333F1">
        <w:rPr>
          <w:b/>
        </w:rPr>
        <w:t>s</w:t>
      </w:r>
    </w:p>
    <w:p w14:paraId="6ACB800B" w14:textId="77777777" w:rsidR="00C852E1" w:rsidRPr="00797CDB" w:rsidRDefault="00C852E1" w:rsidP="00A333F1">
      <w:pPr>
        <w:shd w:val="clear" w:color="auto" w:fill="D9D9D9" w:themeFill="background1" w:themeFillShade="D9"/>
        <w:autoSpaceDE w:val="0"/>
        <w:autoSpaceDN w:val="0"/>
        <w:adjustRightInd w:val="0"/>
        <w:rPr>
          <w:rFonts w:eastAsia="TimesNewRomanPSMT"/>
        </w:rPr>
      </w:pPr>
      <w:r w:rsidRPr="00A333F1">
        <w:t>K</w:t>
      </w:r>
      <w:r w:rsidRPr="00797CDB">
        <w:rPr>
          <w:rFonts w:eastAsia="TimesNewRomanPSMT"/>
        </w:rPr>
        <w:t>iekvienoje plėvele dengtoje tabletėje yra 10 mg tadalafilio.</w:t>
      </w:r>
    </w:p>
    <w:p w14:paraId="1BFC1EEF" w14:textId="77777777" w:rsidR="00C852E1" w:rsidRPr="00A333F1" w:rsidRDefault="00C852E1" w:rsidP="00A333F1">
      <w:pPr>
        <w:shd w:val="clear" w:color="auto" w:fill="D9D9D9" w:themeFill="background1" w:themeFillShade="D9"/>
      </w:pPr>
    </w:p>
    <w:p w14:paraId="323B70E5" w14:textId="77777777" w:rsidR="00C852E1" w:rsidRPr="00797CDB" w:rsidRDefault="00C852E1" w:rsidP="00A333F1">
      <w:pPr>
        <w:shd w:val="clear" w:color="auto" w:fill="D9D9D9" w:themeFill="background1" w:themeFillShade="D9"/>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Pagalbinė medžiaga, kurios poveikis žinomas</w:t>
      </w:r>
    </w:p>
    <w:p w14:paraId="2D66D244" w14:textId="77777777" w:rsidR="00C852E1" w:rsidRPr="00797CDB" w:rsidRDefault="00C852E1" w:rsidP="00A333F1">
      <w:pPr>
        <w:shd w:val="clear" w:color="auto" w:fill="D9D9D9" w:themeFill="background1" w:themeFillShade="D9"/>
        <w:autoSpaceDE w:val="0"/>
        <w:autoSpaceDN w:val="0"/>
        <w:adjustRightInd w:val="0"/>
        <w:rPr>
          <w:rFonts w:eastAsia="TimesNewRomanPSMT"/>
        </w:rPr>
      </w:pPr>
      <w:r w:rsidRPr="00A333F1">
        <w:t>K</w:t>
      </w:r>
      <w:r w:rsidRPr="00797CDB">
        <w:rPr>
          <w:rFonts w:eastAsia="TimesNewRomanPSMT"/>
        </w:rPr>
        <w:t>iekvienoje tabletėje yra 177 mg laktozės monohidrato.</w:t>
      </w:r>
    </w:p>
    <w:p w14:paraId="5C9D42B5" w14:textId="77777777" w:rsidR="00C852E1" w:rsidRPr="00A333F1" w:rsidRDefault="00C852E1" w:rsidP="00A333F1"/>
    <w:p w14:paraId="181508F3" w14:textId="77777777" w:rsidR="00C852E1" w:rsidRPr="00A333F1" w:rsidRDefault="00254A51" w:rsidP="00A333F1">
      <w:pPr>
        <w:shd w:val="clear" w:color="auto" w:fill="BFBFBF" w:themeFill="background1" w:themeFillShade="BF"/>
        <w:autoSpaceDE w:val="0"/>
        <w:autoSpaceDN w:val="0"/>
        <w:adjustRightInd w:val="0"/>
        <w:rPr>
          <w:b/>
        </w:rPr>
      </w:pPr>
      <w:r w:rsidRPr="00A333F1">
        <w:rPr>
          <w:b/>
        </w:rPr>
        <w:t xml:space="preserve">Quator </w:t>
      </w:r>
      <w:r w:rsidR="00C852E1" w:rsidRPr="00A333F1">
        <w:rPr>
          <w:b/>
        </w:rPr>
        <w:t>20 mg pl</w:t>
      </w:r>
      <w:r w:rsidR="00C852E1" w:rsidRPr="00797CDB">
        <w:rPr>
          <w:rFonts w:eastAsia="TimesNewRomanPSMT"/>
          <w:b/>
        </w:rPr>
        <w:t>ė</w:t>
      </w:r>
      <w:r w:rsidR="00C852E1" w:rsidRPr="00A333F1">
        <w:rPr>
          <w:b/>
        </w:rPr>
        <w:t>vele dengtos tablet</w:t>
      </w:r>
      <w:r w:rsidR="00C852E1" w:rsidRPr="00797CDB">
        <w:rPr>
          <w:rFonts w:eastAsia="TimesNewRomanPSMT"/>
          <w:b/>
        </w:rPr>
        <w:t>ė</w:t>
      </w:r>
      <w:r w:rsidR="00C852E1" w:rsidRPr="00A333F1">
        <w:rPr>
          <w:b/>
        </w:rPr>
        <w:t>s</w:t>
      </w:r>
    </w:p>
    <w:p w14:paraId="7A051B08" w14:textId="77777777" w:rsidR="00C852E1" w:rsidRPr="00797CDB" w:rsidRDefault="00C852E1" w:rsidP="00A333F1">
      <w:pPr>
        <w:shd w:val="clear" w:color="auto" w:fill="BFBFBF" w:themeFill="background1" w:themeFillShade="BF"/>
        <w:autoSpaceDE w:val="0"/>
        <w:autoSpaceDN w:val="0"/>
        <w:adjustRightInd w:val="0"/>
        <w:rPr>
          <w:rFonts w:eastAsia="TimesNewRomanPSMT"/>
        </w:rPr>
      </w:pPr>
      <w:r w:rsidRPr="00A333F1">
        <w:t>K</w:t>
      </w:r>
      <w:r w:rsidRPr="00797CDB">
        <w:rPr>
          <w:rFonts w:eastAsia="TimesNewRomanPSMT"/>
        </w:rPr>
        <w:t>iekvienoje plėvele dengtoje tabletėje yra 20 mg tadalafilio.</w:t>
      </w:r>
    </w:p>
    <w:p w14:paraId="30EAEA0F" w14:textId="77777777" w:rsidR="00C852E1" w:rsidRPr="00A333F1" w:rsidRDefault="00C852E1" w:rsidP="00A333F1">
      <w:pPr>
        <w:shd w:val="clear" w:color="auto" w:fill="BFBFBF" w:themeFill="background1" w:themeFillShade="BF"/>
      </w:pPr>
    </w:p>
    <w:p w14:paraId="3F220782" w14:textId="77777777" w:rsidR="00C852E1" w:rsidRPr="00797CDB" w:rsidRDefault="00C852E1" w:rsidP="00A333F1">
      <w:pPr>
        <w:shd w:val="clear" w:color="auto" w:fill="BFBFBF" w:themeFill="background1" w:themeFillShade="BF"/>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Pagalbinė medžiaga, kurios poveikis žinomas</w:t>
      </w:r>
    </w:p>
    <w:p w14:paraId="1786D9B3" w14:textId="77777777" w:rsidR="00C852E1" w:rsidRPr="00797CDB" w:rsidRDefault="00C852E1" w:rsidP="00A333F1">
      <w:pPr>
        <w:shd w:val="clear" w:color="auto" w:fill="BFBFBF" w:themeFill="background1" w:themeFillShade="BF"/>
        <w:autoSpaceDE w:val="0"/>
        <w:autoSpaceDN w:val="0"/>
        <w:adjustRightInd w:val="0"/>
        <w:rPr>
          <w:rFonts w:eastAsia="TimesNewRomanPSMT"/>
        </w:rPr>
      </w:pPr>
      <w:r w:rsidRPr="00A333F1">
        <w:t>K</w:t>
      </w:r>
      <w:r w:rsidRPr="00797CDB">
        <w:rPr>
          <w:rFonts w:eastAsia="TimesNewRomanPSMT"/>
        </w:rPr>
        <w:t>iekvienoje tabletėje yra 353 mg laktozės monohidrato.</w:t>
      </w:r>
    </w:p>
    <w:p w14:paraId="2B5A68D8" w14:textId="77777777" w:rsidR="00FD5C4A" w:rsidRPr="00797CDB" w:rsidRDefault="00FD5C4A" w:rsidP="00A333F1">
      <w:pPr>
        <w:rPr>
          <w:rFonts w:eastAsia="TimesNewRomanPSMT"/>
        </w:rPr>
      </w:pPr>
    </w:p>
    <w:p w14:paraId="4674DE84" w14:textId="77777777" w:rsidR="00FD5C4A" w:rsidRPr="00797CDB" w:rsidRDefault="00FD5C4A" w:rsidP="00A333F1">
      <w:pPr>
        <w:rPr>
          <w:rFonts w:asciiTheme="minorHAnsi" w:eastAsia="TimesNewRomanPSMT" w:hAnsiTheme="minorHAnsi" w:cstheme="minorBidi"/>
          <w:szCs w:val="22"/>
          <w:lang w:eastAsia="en-US"/>
        </w:rPr>
      </w:pPr>
      <w:r w:rsidRPr="00797CDB">
        <w:rPr>
          <w:rFonts w:eastAsia="TimesNewRomanPSMT"/>
        </w:rPr>
        <w:t>Visos pagalbinės medžiagos išvardytos 6.1 skyriuje.</w:t>
      </w:r>
    </w:p>
    <w:p w14:paraId="0C8942B3" w14:textId="77777777" w:rsidR="00FD5C4A" w:rsidRPr="00A333F1" w:rsidRDefault="00FD5C4A" w:rsidP="00A333F1"/>
    <w:p w14:paraId="08D09137" w14:textId="77777777" w:rsidR="00FD5C4A" w:rsidRPr="00A333F1" w:rsidRDefault="00FD5C4A" w:rsidP="00A333F1"/>
    <w:p w14:paraId="445FA9B2" w14:textId="77777777" w:rsidR="00FD5C4A" w:rsidRPr="00A333F1" w:rsidRDefault="00FD5C4A" w:rsidP="00A333F1">
      <w:pPr>
        <w:keepNext/>
        <w:outlineLvl w:val="2"/>
        <w:rPr>
          <w:b/>
        </w:rPr>
      </w:pPr>
      <w:r w:rsidRPr="00A333F1">
        <w:rPr>
          <w:b/>
        </w:rPr>
        <w:t>3.</w:t>
      </w:r>
      <w:r w:rsidRPr="00A333F1">
        <w:rPr>
          <w:b/>
        </w:rPr>
        <w:tab/>
        <w:t>FARMACINĖ FORMA</w:t>
      </w:r>
    </w:p>
    <w:p w14:paraId="24FDECC7" w14:textId="77777777" w:rsidR="00FD5C4A" w:rsidRPr="00A333F1" w:rsidRDefault="00FD5C4A" w:rsidP="00A333F1"/>
    <w:p w14:paraId="3C716356"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Plėvele dengta tabletė.</w:t>
      </w:r>
    </w:p>
    <w:p w14:paraId="64FCBA4C" w14:textId="77777777" w:rsidR="00FD5C4A" w:rsidRPr="00A333F1" w:rsidRDefault="00FD5C4A" w:rsidP="00A333F1"/>
    <w:p w14:paraId="4E83F091" w14:textId="77777777" w:rsidR="00021677" w:rsidRPr="00A333F1" w:rsidRDefault="00254A51" w:rsidP="00A333F1">
      <w:pPr>
        <w:autoSpaceDE w:val="0"/>
        <w:autoSpaceDN w:val="0"/>
        <w:adjustRightInd w:val="0"/>
        <w:rPr>
          <w:b/>
        </w:rPr>
      </w:pPr>
      <w:r w:rsidRPr="00A333F1">
        <w:rPr>
          <w:b/>
        </w:rPr>
        <w:t xml:space="preserve">Quator </w:t>
      </w:r>
      <w:r w:rsidR="00021677" w:rsidRPr="00A333F1">
        <w:rPr>
          <w:b/>
        </w:rPr>
        <w:t>5 mg plėvele dengtos tabletės</w:t>
      </w:r>
    </w:p>
    <w:p w14:paraId="36B0C74A" w14:textId="77777777" w:rsidR="00FD5C4A" w:rsidRPr="00797CDB" w:rsidRDefault="00021677" w:rsidP="00A333F1">
      <w:pPr>
        <w:autoSpaceDE w:val="0"/>
        <w:autoSpaceDN w:val="0"/>
        <w:adjustRightInd w:val="0"/>
        <w:rPr>
          <w:rFonts w:eastAsia="TimesNewRomanPSMT"/>
        </w:rPr>
      </w:pPr>
      <w:r w:rsidRPr="00A333F1">
        <w:t>Nuo ochros iki geltonos spalvos</w:t>
      </w:r>
      <w:r w:rsidRPr="00797CDB">
        <w:rPr>
          <w:rFonts w:eastAsia="Calibri"/>
        </w:rPr>
        <w:t>, ovali plėvele dengt</w:t>
      </w:r>
      <w:r w:rsidR="00D1382F" w:rsidRPr="00797CDB">
        <w:rPr>
          <w:rFonts w:eastAsia="Calibri"/>
        </w:rPr>
        <w:t>a</w:t>
      </w:r>
      <w:r w:rsidRPr="00797CDB">
        <w:rPr>
          <w:rFonts w:eastAsia="Calibri"/>
        </w:rPr>
        <w:t xml:space="preserve"> tabletė</w:t>
      </w:r>
      <w:r w:rsidR="00D1382F" w:rsidRPr="00797CDB">
        <w:rPr>
          <w:rFonts w:eastAsia="Calibri"/>
        </w:rPr>
        <w:t>,</w:t>
      </w:r>
      <w:r w:rsidRPr="00797CDB">
        <w:rPr>
          <w:rFonts w:eastAsia="Calibri"/>
        </w:rPr>
        <w:t xml:space="preserve"> apytiksliai 8 x 4 mm dydžio</w:t>
      </w:r>
      <w:r w:rsidR="00D1382F" w:rsidRPr="00797CDB">
        <w:rPr>
          <w:rFonts w:eastAsia="Calibri"/>
        </w:rPr>
        <w:t xml:space="preserve">. Vienoje tabletės pusėje įspaustas ženklas </w:t>
      </w:r>
      <w:r w:rsidRPr="00797CDB">
        <w:rPr>
          <w:rFonts w:eastAsia="Calibri"/>
        </w:rPr>
        <w:t>„5”</w:t>
      </w:r>
      <w:r w:rsidR="0068757C" w:rsidRPr="00797CDB">
        <w:rPr>
          <w:rFonts w:eastAsia="Calibri"/>
        </w:rPr>
        <w:t>. Kita tabletės pusė yra lygi</w:t>
      </w:r>
      <w:r w:rsidRPr="00797CDB">
        <w:rPr>
          <w:rFonts w:eastAsia="Calibri"/>
        </w:rPr>
        <w:t xml:space="preserve">. </w:t>
      </w:r>
    </w:p>
    <w:p w14:paraId="36DA28D7" w14:textId="77777777" w:rsidR="00FD5C4A" w:rsidRPr="00A333F1" w:rsidRDefault="00FD5C4A" w:rsidP="00A333F1">
      <w:pPr>
        <w:autoSpaceDE w:val="0"/>
        <w:autoSpaceDN w:val="0"/>
        <w:adjustRightInd w:val="0"/>
        <w:rPr>
          <w:highlight w:val="lightGray"/>
        </w:rPr>
      </w:pPr>
    </w:p>
    <w:p w14:paraId="6A5D9A77" w14:textId="77777777" w:rsidR="00D1382F" w:rsidRPr="00A333F1" w:rsidRDefault="00254A51" w:rsidP="00A333F1">
      <w:pPr>
        <w:shd w:val="clear" w:color="auto" w:fill="BFBFBF" w:themeFill="background1" w:themeFillShade="BF"/>
        <w:autoSpaceDE w:val="0"/>
        <w:autoSpaceDN w:val="0"/>
        <w:adjustRightInd w:val="0"/>
        <w:rPr>
          <w:b/>
        </w:rPr>
      </w:pPr>
      <w:r w:rsidRPr="00A333F1">
        <w:rPr>
          <w:b/>
        </w:rPr>
        <w:t xml:space="preserve">Quator </w:t>
      </w:r>
      <w:r w:rsidR="00D1382F" w:rsidRPr="00A333F1">
        <w:rPr>
          <w:b/>
        </w:rPr>
        <w:t>10 mg plėvele dengtos tabletės</w:t>
      </w:r>
    </w:p>
    <w:p w14:paraId="23FBC9AF" w14:textId="0B4595FD" w:rsidR="00D1382F" w:rsidRPr="00797CDB" w:rsidRDefault="00D1382F" w:rsidP="00A333F1">
      <w:pPr>
        <w:shd w:val="clear" w:color="auto" w:fill="BFBFBF" w:themeFill="background1" w:themeFillShade="BF"/>
        <w:autoSpaceDE w:val="0"/>
        <w:autoSpaceDN w:val="0"/>
        <w:adjustRightInd w:val="0"/>
        <w:rPr>
          <w:rFonts w:eastAsia="TimesNewRomanPSMT"/>
        </w:rPr>
      </w:pPr>
      <w:r w:rsidRPr="00A333F1">
        <w:t xml:space="preserve">Nuo ochros iki geltonos spalvos, ovali plėvele dengta tabletė, apytiksliai 11 x </w:t>
      </w:r>
      <w:r w:rsidR="003B3ECE" w:rsidRPr="00A333F1">
        <w:t>6</w:t>
      </w:r>
      <w:r w:rsidRPr="00A333F1">
        <w:t> mm dydžio. Vienoje tabletės pusėje įspaustas ženklas „10”</w:t>
      </w:r>
      <w:r w:rsidR="0068757C" w:rsidRPr="00A333F1">
        <w:t>. K</w:t>
      </w:r>
      <w:r w:rsidRPr="00A333F1">
        <w:t xml:space="preserve">ita </w:t>
      </w:r>
      <w:r w:rsidR="0068757C" w:rsidRPr="00A333F1">
        <w:t xml:space="preserve">tabletės </w:t>
      </w:r>
      <w:r w:rsidRPr="00A333F1">
        <w:t>pusė yra lygi.</w:t>
      </w:r>
      <w:r w:rsidRPr="00797CDB">
        <w:rPr>
          <w:rFonts w:eastAsia="Calibri"/>
        </w:rPr>
        <w:t xml:space="preserve"> </w:t>
      </w:r>
    </w:p>
    <w:p w14:paraId="0D74FB1F" w14:textId="77777777" w:rsidR="00D1382F" w:rsidRPr="00A333F1" w:rsidRDefault="00D1382F" w:rsidP="00A333F1">
      <w:pPr>
        <w:autoSpaceDE w:val="0"/>
        <w:autoSpaceDN w:val="0"/>
        <w:adjustRightInd w:val="0"/>
        <w:rPr>
          <w:highlight w:val="lightGray"/>
        </w:rPr>
      </w:pPr>
    </w:p>
    <w:p w14:paraId="5BD27EBF" w14:textId="77777777" w:rsidR="00D1382F" w:rsidRPr="00A333F1" w:rsidRDefault="00254A51" w:rsidP="00A333F1">
      <w:pPr>
        <w:shd w:val="clear" w:color="auto" w:fill="A6A6A6" w:themeFill="background1" w:themeFillShade="A6"/>
        <w:autoSpaceDE w:val="0"/>
        <w:autoSpaceDN w:val="0"/>
        <w:adjustRightInd w:val="0"/>
        <w:rPr>
          <w:b/>
        </w:rPr>
      </w:pPr>
      <w:r w:rsidRPr="00A333F1">
        <w:rPr>
          <w:b/>
        </w:rPr>
        <w:t xml:space="preserve">Quator </w:t>
      </w:r>
      <w:r w:rsidR="00D1382F" w:rsidRPr="00A333F1">
        <w:rPr>
          <w:b/>
        </w:rPr>
        <w:t>20 mg plėvele dengtos tabletės</w:t>
      </w:r>
    </w:p>
    <w:p w14:paraId="4C56F1F6" w14:textId="3F44C477" w:rsidR="0068757C" w:rsidRPr="00A333F1" w:rsidRDefault="00D1382F" w:rsidP="00A333F1">
      <w:pPr>
        <w:shd w:val="clear" w:color="auto" w:fill="A6A6A6" w:themeFill="background1" w:themeFillShade="A6"/>
      </w:pPr>
      <w:r w:rsidRPr="00A333F1">
        <w:t>Nuo ochros iki geltonos spalvos, ovali plėvele dengta tabletė, apytiksliai 1</w:t>
      </w:r>
      <w:r w:rsidR="003B3ECE" w:rsidRPr="00A333F1">
        <w:t>5</w:t>
      </w:r>
      <w:r w:rsidRPr="00A333F1">
        <w:t xml:space="preserve"> x </w:t>
      </w:r>
      <w:r w:rsidR="003B3ECE" w:rsidRPr="00A333F1">
        <w:t>9</w:t>
      </w:r>
      <w:r w:rsidRPr="00A333F1">
        <w:t xml:space="preserve"> mm dydžio. Vienoje tabletės pusėje </w:t>
      </w:r>
      <w:r w:rsidR="007F2F35" w:rsidRPr="00A333F1">
        <w:t xml:space="preserve">yra </w:t>
      </w:r>
      <w:r w:rsidRPr="00A333F1">
        <w:t>įspaustas ženklas „</w:t>
      </w:r>
      <w:r w:rsidR="007F2F35" w:rsidRPr="00A333F1">
        <w:t>2</w:t>
      </w:r>
      <w:r w:rsidR="0007212F" w:rsidRPr="00A333F1">
        <w:t>0</w:t>
      </w:r>
      <w:r w:rsidRPr="00A333F1">
        <w:t>”</w:t>
      </w:r>
      <w:r w:rsidR="007F2F35" w:rsidRPr="00A333F1">
        <w:t xml:space="preserve">. Kita tabletės pusė yra </w:t>
      </w:r>
      <w:r w:rsidR="0007212F" w:rsidRPr="00A333F1">
        <w:t>briaunuota</w:t>
      </w:r>
      <w:r w:rsidR="0068757C" w:rsidRPr="00A333F1">
        <w:t>.</w:t>
      </w:r>
      <w:r w:rsidRPr="00797CDB">
        <w:rPr>
          <w:rFonts w:eastAsia="Calibri"/>
        </w:rPr>
        <w:t xml:space="preserve"> </w:t>
      </w:r>
      <w:r w:rsidR="0068757C" w:rsidRPr="00A333F1">
        <w:t xml:space="preserve">Tabletę galima padalyti į lygias </w:t>
      </w:r>
      <w:r w:rsidR="0007212F" w:rsidRPr="00A333F1">
        <w:t>dalis ir (arba) ketvirčius</w:t>
      </w:r>
      <w:r w:rsidR="0062109C" w:rsidRPr="00A333F1">
        <w:t>.</w:t>
      </w:r>
    </w:p>
    <w:p w14:paraId="3E8D36B8" w14:textId="77777777" w:rsidR="0068757C" w:rsidRPr="00A333F1" w:rsidRDefault="0068757C" w:rsidP="00A333F1"/>
    <w:p w14:paraId="4A790E34" w14:textId="77777777" w:rsidR="00D1382F" w:rsidRPr="00A333F1" w:rsidRDefault="00D1382F" w:rsidP="00A333F1"/>
    <w:p w14:paraId="2122C72C" w14:textId="77777777" w:rsidR="00FD5C4A" w:rsidRPr="00A333F1" w:rsidRDefault="00FD5C4A" w:rsidP="00A333F1">
      <w:pPr>
        <w:rPr>
          <w:b/>
        </w:rPr>
      </w:pPr>
      <w:r w:rsidRPr="00A333F1">
        <w:rPr>
          <w:b/>
        </w:rPr>
        <w:t>4.</w:t>
      </w:r>
      <w:r w:rsidRPr="00A333F1">
        <w:rPr>
          <w:b/>
        </w:rPr>
        <w:tab/>
        <w:t>KLINIKINĖ INFORMACIJA</w:t>
      </w:r>
    </w:p>
    <w:p w14:paraId="4E3F9423" w14:textId="77777777" w:rsidR="00FD5C4A" w:rsidRPr="00A333F1" w:rsidRDefault="00FD5C4A" w:rsidP="00A333F1"/>
    <w:p w14:paraId="7822E28C" w14:textId="77777777" w:rsidR="00FD5C4A" w:rsidRPr="00A333F1" w:rsidRDefault="00FD5C4A" w:rsidP="00A333F1">
      <w:pPr>
        <w:rPr>
          <w:b/>
        </w:rPr>
      </w:pPr>
      <w:r w:rsidRPr="00A333F1">
        <w:rPr>
          <w:b/>
        </w:rPr>
        <w:t>4.1</w:t>
      </w:r>
      <w:r w:rsidRPr="00A333F1">
        <w:rPr>
          <w:b/>
        </w:rPr>
        <w:tab/>
        <w:t>Terapinės indikacijos</w:t>
      </w:r>
    </w:p>
    <w:p w14:paraId="6D59FAE9" w14:textId="77777777" w:rsidR="00FD5C4A" w:rsidRPr="00A333F1" w:rsidRDefault="00FD5C4A" w:rsidP="00A333F1"/>
    <w:p w14:paraId="2FFBA5C5" w14:textId="77777777" w:rsidR="00FD5C4A" w:rsidRPr="00797CDB" w:rsidRDefault="0068757C" w:rsidP="00A333F1">
      <w:pPr>
        <w:autoSpaceDE w:val="0"/>
        <w:autoSpaceDN w:val="0"/>
        <w:adjustRightInd w:val="0"/>
        <w:rPr>
          <w:rFonts w:eastAsia="TimesNewRomanPSMT"/>
        </w:rPr>
      </w:pPr>
      <w:r w:rsidRPr="00797CDB">
        <w:rPr>
          <w:rFonts w:eastAsia="TimesNewRomanPSMT"/>
        </w:rPr>
        <w:t>S</w:t>
      </w:r>
      <w:r w:rsidR="00FD5C4A" w:rsidRPr="00797CDB">
        <w:rPr>
          <w:rFonts w:eastAsia="TimesNewRomanPSMT"/>
        </w:rPr>
        <w:t>uaugusių vyrų erekcijos funkcijos sutrikimo gydym</w:t>
      </w:r>
      <w:r w:rsidRPr="00797CDB">
        <w:rPr>
          <w:rFonts w:eastAsia="TimesNewRomanPSMT"/>
        </w:rPr>
        <w:t>as</w:t>
      </w:r>
      <w:r w:rsidR="00FD5C4A" w:rsidRPr="00797CDB">
        <w:rPr>
          <w:rFonts w:eastAsia="TimesNewRomanPSMT"/>
        </w:rPr>
        <w:t>. Kad tadalafilis būtų veiksmingas, būtina seksualinė stimuliacija</w:t>
      </w:r>
      <w:r w:rsidRPr="00797CDB">
        <w:rPr>
          <w:rFonts w:eastAsia="TimesNewRomanPSMT"/>
        </w:rPr>
        <w:t>.</w:t>
      </w:r>
    </w:p>
    <w:p w14:paraId="64134A69" w14:textId="77777777" w:rsidR="0068757C" w:rsidRPr="00797CDB" w:rsidRDefault="0068757C" w:rsidP="00A333F1">
      <w:pPr>
        <w:autoSpaceDE w:val="0"/>
        <w:autoSpaceDN w:val="0"/>
        <w:adjustRightInd w:val="0"/>
        <w:rPr>
          <w:rFonts w:eastAsia="TimesNewRomanPSMT"/>
        </w:rPr>
      </w:pPr>
    </w:p>
    <w:p w14:paraId="531A81CC" w14:textId="77777777" w:rsidR="0068757C" w:rsidRPr="00797CDB" w:rsidRDefault="00254A51"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Quator </w:t>
      </w:r>
      <w:r w:rsidR="00BD4BE3" w:rsidRPr="00797CDB">
        <w:rPr>
          <w:rFonts w:eastAsia="TimesNewRomanPSMT"/>
        </w:rPr>
        <w:t>nėra skirtas vartoti moterims</w:t>
      </w:r>
      <w:r w:rsidR="0068757C" w:rsidRPr="00797CDB">
        <w:rPr>
          <w:rFonts w:eastAsia="TimesNewRomanPSMT"/>
        </w:rPr>
        <w:t>.</w:t>
      </w:r>
    </w:p>
    <w:p w14:paraId="3AF25F47" w14:textId="77777777" w:rsidR="00FD5C4A" w:rsidRPr="00A333F1" w:rsidRDefault="00FD5C4A" w:rsidP="00A333F1"/>
    <w:p w14:paraId="7F3DFD68" w14:textId="77777777" w:rsidR="00FD5C4A" w:rsidRPr="00A333F1" w:rsidRDefault="00FD5C4A" w:rsidP="00A333F1">
      <w:pPr>
        <w:rPr>
          <w:b/>
        </w:rPr>
      </w:pPr>
      <w:r w:rsidRPr="00A333F1">
        <w:rPr>
          <w:b/>
        </w:rPr>
        <w:t>4.2</w:t>
      </w:r>
      <w:r w:rsidRPr="00A333F1">
        <w:rPr>
          <w:b/>
        </w:rPr>
        <w:tab/>
        <w:t>Dozavimas ir vartojimo metodas</w:t>
      </w:r>
    </w:p>
    <w:p w14:paraId="082F7E17" w14:textId="77777777" w:rsidR="00FD5C4A" w:rsidRPr="00A333F1" w:rsidRDefault="00FD5C4A" w:rsidP="00A333F1">
      <w:pPr>
        <w:rPr>
          <w:b/>
        </w:rPr>
      </w:pPr>
    </w:p>
    <w:p w14:paraId="2104DCD9" w14:textId="77777777" w:rsidR="00FD5C4A" w:rsidRPr="00A333F1" w:rsidRDefault="00FD5C4A" w:rsidP="00A333F1">
      <w:pPr>
        <w:rPr>
          <w:u w:val="single"/>
        </w:rPr>
      </w:pPr>
      <w:r w:rsidRPr="00A333F1">
        <w:rPr>
          <w:u w:val="single"/>
        </w:rPr>
        <w:t>Dozavimas</w:t>
      </w:r>
    </w:p>
    <w:p w14:paraId="529935EA" w14:textId="77777777" w:rsidR="00FD5C4A" w:rsidRPr="00A333F1" w:rsidRDefault="00FD5C4A" w:rsidP="00A333F1"/>
    <w:p w14:paraId="5AB63DFA" w14:textId="77777777" w:rsidR="00FD5C4A" w:rsidRPr="00A333F1" w:rsidRDefault="00FD5C4A" w:rsidP="00A333F1">
      <w:pPr>
        <w:autoSpaceDE w:val="0"/>
        <w:autoSpaceDN w:val="0"/>
        <w:adjustRightInd w:val="0"/>
        <w:rPr>
          <w:rFonts w:asciiTheme="minorHAnsi" w:eastAsiaTheme="minorHAnsi" w:hAnsiTheme="minorHAnsi" w:cstheme="minorBidi"/>
          <w:i/>
          <w:szCs w:val="22"/>
          <w:lang w:eastAsia="en-US"/>
        </w:rPr>
      </w:pPr>
      <w:r w:rsidRPr="00797CDB">
        <w:rPr>
          <w:rFonts w:eastAsia="TimesNewRomanPSMT"/>
          <w:i/>
        </w:rPr>
        <w:t>Erekcijos funkcijos sutrikimas</w:t>
      </w:r>
      <w:r w:rsidRPr="00797CDB">
        <w:rPr>
          <w:rFonts w:eastAsia="TimesNewRomanPSMT"/>
        </w:rPr>
        <w:t xml:space="preserve"> </w:t>
      </w:r>
      <w:r w:rsidRPr="00A333F1">
        <w:rPr>
          <w:i/>
        </w:rPr>
        <w:t>suaugusiems vyrams</w:t>
      </w:r>
    </w:p>
    <w:p w14:paraId="1C749636" w14:textId="77777777" w:rsidR="00BD4BE3"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Dažniausiai rekomenduojama dozė yra 10</w:t>
      </w:r>
      <w:r w:rsidR="000B5CC7" w:rsidRPr="00797CDB">
        <w:rPr>
          <w:rFonts w:eastAsia="TimesNewRomanPSMT"/>
        </w:rPr>
        <w:t> mg</w:t>
      </w:r>
      <w:r w:rsidRPr="00797CDB">
        <w:rPr>
          <w:rFonts w:eastAsia="TimesNewRomanPSMT"/>
        </w:rPr>
        <w:t>. Ją reikia gerti prieš planuojamus lytinius</w:t>
      </w:r>
      <w:r w:rsidRPr="00A333F1">
        <w:t xml:space="preserve"> santykius, valgant arba kitu laiku. </w:t>
      </w:r>
    </w:p>
    <w:p w14:paraId="3FB348CB"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Pacientams, kuriems 10</w:t>
      </w:r>
      <w:r w:rsidR="000B5CC7" w:rsidRPr="00797CDB">
        <w:rPr>
          <w:rFonts w:eastAsia="TimesNewRomanPSMT"/>
        </w:rPr>
        <w:t> mg</w:t>
      </w:r>
      <w:r w:rsidRPr="00797CDB">
        <w:rPr>
          <w:rFonts w:eastAsia="TimesNewRomanPSMT"/>
        </w:rPr>
        <w:t xml:space="preserve"> tadalafilio dozė pakankamo poveikio nesukelia, </w:t>
      </w:r>
      <w:r w:rsidRPr="00A333F1">
        <w:t>gali būti išbandyta 20</w:t>
      </w:r>
      <w:r w:rsidR="000B5CC7" w:rsidRPr="00A333F1">
        <w:t> mg</w:t>
      </w:r>
      <w:r w:rsidRPr="00797CDB">
        <w:rPr>
          <w:rFonts w:eastAsia="TimesNewRomanPSMT"/>
        </w:rPr>
        <w:t xml:space="preserve"> dozė. Ją reikia gerti </w:t>
      </w:r>
      <w:r w:rsidRPr="00A333F1">
        <w:t xml:space="preserve">likus </w:t>
      </w:r>
      <w:r w:rsidRPr="00797CDB">
        <w:rPr>
          <w:rFonts w:eastAsia="TimesNewRomanPSMT"/>
        </w:rPr>
        <w:t>iki lytinių santykių</w:t>
      </w:r>
      <w:r w:rsidRPr="00A333F1">
        <w:t xml:space="preserve"> ne mažiau kaip 30 </w:t>
      </w:r>
      <w:r w:rsidRPr="00797CDB">
        <w:rPr>
          <w:rFonts w:eastAsia="TimesNewRomanPSMT"/>
        </w:rPr>
        <w:t>min.</w:t>
      </w:r>
    </w:p>
    <w:p w14:paraId="5BFC6FE8" w14:textId="77777777" w:rsidR="00BD4BE3" w:rsidRPr="00797CDB" w:rsidRDefault="00BD4BE3" w:rsidP="00A333F1">
      <w:pPr>
        <w:autoSpaceDE w:val="0"/>
        <w:autoSpaceDN w:val="0"/>
        <w:adjustRightInd w:val="0"/>
        <w:rPr>
          <w:rFonts w:eastAsia="TimesNewRomanPSMT"/>
        </w:rPr>
      </w:pPr>
    </w:p>
    <w:p w14:paraId="7E5E0127"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Vaistinio preparato galima vartoti ne dažniau kaip vieną kartą per parą.</w:t>
      </w:r>
    </w:p>
    <w:p w14:paraId="775F2841" w14:textId="77777777" w:rsidR="00BD4BE3" w:rsidRPr="00A333F1" w:rsidRDefault="00BD4BE3" w:rsidP="00A333F1">
      <w:pPr>
        <w:autoSpaceDE w:val="0"/>
        <w:autoSpaceDN w:val="0"/>
        <w:adjustRightInd w:val="0"/>
      </w:pPr>
    </w:p>
    <w:p w14:paraId="189845D1" w14:textId="77777777" w:rsidR="00FD5C4A" w:rsidRPr="00797CDB" w:rsidRDefault="00FD5C4A" w:rsidP="00A333F1">
      <w:pPr>
        <w:autoSpaceDE w:val="0"/>
        <w:autoSpaceDN w:val="0"/>
        <w:adjustRightInd w:val="0"/>
        <w:rPr>
          <w:rFonts w:eastAsia="TimesNewRomanPSMT"/>
        </w:rPr>
      </w:pPr>
      <w:r w:rsidRPr="00A333F1">
        <w:t>Tadalafilio 10</w:t>
      </w:r>
      <w:r w:rsidR="000B5CC7" w:rsidRPr="00A333F1">
        <w:t> mg</w:t>
      </w:r>
      <w:r w:rsidRPr="00A333F1">
        <w:t xml:space="preserve"> ir 20</w:t>
      </w:r>
      <w:r w:rsidR="000B5CC7" w:rsidRPr="00A333F1">
        <w:t> mg</w:t>
      </w:r>
      <w:r w:rsidRPr="00797CDB">
        <w:rPr>
          <w:rFonts w:eastAsia="TimesNewRomanPSMT"/>
        </w:rPr>
        <w:t xml:space="preserve"> tabletės skirtos gerti prieš planuojamus lytinius santykius, nuolat kiekvieną parą jų vartoti nerekomenduojama.</w:t>
      </w:r>
    </w:p>
    <w:p w14:paraId="24BB34AD" w14:textId="77777777" w:rsidR="00FD5C4A" w:rsidRPr="00797CDB" w:rsidRDefault="00FD5C4A" w:rsidP="00A333F1">
      <w:pPr>
        <w:autoSpaceDE w:val="0"/>
        <w:autoSpaceDN w:val="0"/>
        <w:adjustRightInd w:val="0"/>
        <w:rPr>
          <w:rFonts w:eastAsia="TimesNewRomanPSMT"/>
        </w:rPr>
      </w:pPr>
    </w:p>
    <w:p w14:paraId="3CE08AD8"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Atsižvelgiant į paciento pasirinkimą ir gydytojo sprendimą, vyrams, kurie tadalafilio numato gerti dažnai (mažiausiai 2 kartus per savaitę), gali tikti kasdieninis vienos mažesnės dozės vartojimas. </w:t>
      </w:r>
    </w:p>
    <w:p w14:paraId="0D3B4A94" w14:textId="77777777" w:rsidR="001F3B1D" w:rsidRPr="00A333F1" w:rsidRDefault="001F3B1D" w:rsidP="00A333F1">
      <w:pPr>
        <w:autoSpaceDE w:val="0"/>
        <w:autoSpaceDN w:val="0"/>
        <w:adjustRightInd w:val="0"/>
      </w:pPr>
    </w:p>
    <w:p w14:paraId="36A8B588" w14:textId="77777777" w:rsidR="001F3B1D" w:rsidRPr="00797CDB" w:rsidRDefault="00FD5C4A" w:rsidP="00A333F1">
      <w:pPr>
        <w:autoSpaceDE w:val="0"/>
        <w:autoSpaceDN w:val="0"/>
        <w:adjustRightInd w:val="0"/>
        <w:rPr>
          <w:rFonts w:eastAsia="TimesNewRomanPSMT"/>
        </w:rPr>
      </w:pPr>
      <w:r w:rsidRPr="00A333F1">
        <w:t>Tokiems pacientams rekome</w:t>
      </w:r>
      <w:r w:rsidRPr="00797CDB">
        <w:rPr>
          <w:rFonts w:eastAsia="TimesNewRomanPSMT"/>
        </w:rPr>
        <w:t>nduojama dozė yra 5</w:t>
      </w:r>
      <w:r w:rsidR="000B5CC7" w:rsidRPr="00797CDB">
        <w:rPr>
          <w:rFonts w:eastAsia="TimesNewRomanPSMT"/>
        </w:rPr>
        <w:t> mg</w:t>
      </w:r>
      <w:r w:rsidRPr="00797CDB">
        <w:rPr>
          <w:rFonts w:eastAsia="TimesNewRomanPSMT"/>
        </w:rPr>
        <w:t xml:space="preserve">. Ji geriama vieną kartą per parą, maždaug tokiu pačiu paros laiku. </w:t>
      </w:r>
      <w:r w:rsidR="001F3B1D" w:rsidRPr="00797CDB">
        <w:rPr>
          <w:rFonts w:eastAsia="TimesNewRomanPSMT"/>
        </w:rPr>
        <w:t>Atsižvelgiant į toleravimą, paros dozę galima sumažinti iki 2,5 mg.</w:t>
      </w:r>
    </w:p>
    <w:p w14:paraId="0148EADE" w14:textId="77777777" w:rsidR="00FD5C4A" w:rsidRPr="00797CDB" w:rsidRDefault="0057585D"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Kadangi šio vaistinio preparato 2,5 mg stiprumo tabletės nėra tiekiamos, reikia vartoti kitas rinkoje esančias 2,5 mg stiprumo tadalafilio tabletes.</w:t>
      </w:r>
    </w:p>
    <w:p w14:paraId="6566EC8F" w14:textId="77777777" w:rsidR="00FD5C4A" w:rsidRPr="00797CDB" w:rsidRDefault="00FD5C4A" w:rsidP="00A333F1">
      <w:pPr>
        <w:contextualSpacing/>
        <w:outlineLvl w:val="0"/>
        <w:rPr>
          <w:rFonts w:eastAsia="TimesNewRomanPSMT"/>
        </w:rPr>
      </w:pPr>
    </w:p>
    <w:p w14:paraId="388E26B5" w14:textId="77777777" w:rsidR="00FD5C4A" w:rsidRPr="00797CDB" w:rsidRDefault="00FD5C4A" w:rsidP="00A333F1">
      <w:pPr>
        <w:contextualSpacing/>
        <w:outlineLvl w:val="0"/>
        <w:rPr>
          <w:rFonts w:asciiTheme="minorHAnsi" w:eastAsia="TimesNewRomanPSMT" w:hAnsiTheme="minorHAnsi" w:cstheme="minorBidi"/>
          <w:szCs w:val="22"/>
          <w:lang w:eastAsia="en-US"/>
        </w:rPr>
      </w:pPr>
      <w:r w:rsidRPr="00797CDB">
        <w:rPr>
          <w:rFonts w:eastAsia="TimesNewRomanPSMT"/>
        </w:rPr>
        <w:t>Reikia reguliariai iš naujo įvertinti tolesnio kasdieninio vartojimo tinkamumą.</w:t>
      </w:r>
    </w:p>
    <w:p w14:paraId="406FBD41" w14:textId="77777777" w:rsidR="00FD5C4A" w:rsidRPr="00797CDB" w:rsidRDefault="00FD5C4A" w:rsidP="00A333F1">
      <w:pPr>
        <w:autoSpaceDE w:val="0"/>
        <w:autoSpaceDN w:val="0"/>
        <w:adjustRightInd w:val="0"/>
        <w:rPr>
          <w:rFonts w:eastAsia="TimesNewRomanPSMT"/>
        </w:rPr>
      </w:pPr>
    </w:p>
    <w:p w14:paraId="19BC35BD"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u w:val="single"/>
        </w:rPr>
        <w:t>Ypatingos populiacijos</w:t>
      </w:r>
    </w:p>
    <w:p w14:paraId="6466664E" w14:textId="77777777" w:rsidR="001F3B1D" w:rsidRPr="00797CDB" w:rsidRDefault="001F3B1D" w:rsidP="00A333F1">
      <w:pPr>
        <w:autoSpaceDE w:val="0"/>
        <w:autoSpaceDN w:val="0"/>
        <w:adjustRightInd w:val="0"/>
        <w:rPr>
          <w:rFonts w:eastAsia="TimesNewRomanPSMT"/>
          <w:i/>
        </w:rPr>
      </w:pPr>
    </w:p>
    <w:p w14:paraId="476FA596"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 xml:space="preserve">Senyviems </w:t>
      </w:r>
      <w:r w:rsidR="001F3B1D" w:rsidRPr="00797CDB">
        <w:rPr>
          <w:rFonts w:eastAsia="TimesNewRomanPSMT"/>
          <w:i/>
        </w:rPr>
        <w:t>vyrams</w:t>
      </w:r>
    </w:p>
    <w:p w14:paraId="213050DF"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Senyviems pacientams dozę keisti nebūtina.</w:t>
      </w:r>
    </w:p>
    <w:p w14:paraId="559B4BA2" w14:textId="77777777" w:rsidR="00FD5C4A" w:rsidRPr="00797CDB" w:rsidRDefault="00FD5C4A" w:rsidP="00A333F1">
      <w:pPr>
        <w:autoSpaceDE w:val="0"/>
        <w:autoSpaceDN w:val="0"/>
        <w:adjustRightInd w:val="0"/>
        <w:rPr>
          <w:rFonts w:eastAsia="TimesNewRomanPSMT"/>
        </w:rPr>
      </w:pPr>
    </w:p>
    <w:p w14:paraId="41B170C6" w14:textId="77777777" w:rsidR="00FD5C4A" w:rsidRPr="00797CDB" w:rsidRDefault="001F3B1D"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Vyrams</w:t>
      </w:r>
      <w:r w:rsidR="00FD5C4A" w:rsidRPr="00797CDB">
        <w:rPr>
          <w:rFonts w:eastAsia="TimesNewRomanPSMT"/>
          <w:i/>
        </w:rPr>
        <w:t>, kurių inkstų funkcija sutrikusi</w:t>
      </w:r>
    </w:p>
    <w:p w14:paraId="4F403D7C" w14:textId="77777777" w:rsidR="001F3B1D"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Jeigu yra lengvas ar vidutinio sunkumo inkstų funkcijos sutrikimas, dozės keisti nereikia. Pacientams, kuriems yra sunkus inkstų funkcijos sutrikimas, didžiausia rekomenduojama dozė vartojant pagal poreikį yra 10</w:t>
      </w:r>
      <w:r w:rsidR="000B5CC7" w:rsidRPr="00797CDB">
        <w:rPr>
          <w:rFonts w:eastAsia="TimesNewRomanPSMT"/>
        </w:rPr>
        <w:t> mg</w:t>
      </w:r>
      <w:r w:rsidRPr="00797CDB">
        <w:rPr>
          <w:rFonts w:eastAsia="TimesNewRomanPSMT"/>
        </w:rPr>
        <w:t>.</w:t>
      </w:r>
    </w:p>
    <w:p w14:paraId="6E83AAEA" w14:textId="77777777" w:rsidR="001F3B1D" w:rsidRPr="00797CDB" w:rsidRDefault="001F3B1D" w:rsidP="00A333F1">
      <w:pPr>
        <w:autoSpaceDE w:val="0"/>
        <w:autoSpaceDN w:val="0"/>
        <w:adjustRightInd w:val="0"/>
        <w:rPr>
          <w:rFonts w:eastAsia="TimesNewRomanPSMT"/>
          <w:highlight w:val="lightGray"/>
        </w:rPr>
      </w:pPr>
    </w:p>
    <w:p w14:paraId="4C40D04A"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Vartoti kartą per parą </w:t>
      </w:r>
      <w:r w:rsidR="001F3B1D" w:rsidRPr="00797CDB">
        <w:rPr>
          <w:rFonts w:eastAsia="TimesNewRomanPSMT"/>
        </w:rPr>
        <w:t xml:space="preserve">2,5 mg arba </w:t>
      </w:r>
      <w:r w:rsidRPr="00797CDB">
        <w:rPr>
          <w:rFonts w:eastAsia="TimesNewRomanPSMT"/>
        </w:rPr>
        <w:t>5</w:t>
      </w:r>
      <w:r w:rsidR="000B5CC7" w:rsidRPr="00797CDB">
        <w:rPr>
          <w:rFonts w:eastAsia="TimesNewRomanPSMT"/>
        </w:rPr>
        <w:t> mg</w:t>
      </w:r>
      <w:r w:rsidRPr="00797CDB">
        <w:rPr>
          <w:rFonts w:eastAsia="TimesNewRomanPSMT"/>
        </w:rPr>
        <w:t xml:space="preserve"> tadalafilio nuo erekcijos funkcijos sutrikimo pacientams, kuriems yra sunkus inkstų funkcijos sutrikimas, nerekomenduojama (žr. 4.4 ir 5.2 skyrius).</w:t>
      </w:r>
    </w:p>
    <w:p w14:paraId="6D837555" w14:textId="77777777" w:rsidR="00FD5C4A" w:rsidRPr="00797CDB" w:rsidRDefault="00FD5C4A" w:rsidP="00A333F1">
      <w:pPr>
        <w:autoSpaceDE w:val="0"/>
        <w:autoSpaceDN w:val="0"/>
        <w:adjustRightInd w:val="0"/>
        <w:rPr>
          <w:rFonts w:eastAsia="TimesNewRomanPSMT"/>
          <w:i/>
        </w:rPr>
      </w:pPr>
    </w:p>
    <w:p w14:paraId="67391E89" w14:textId="77777777" w:rsidR="00FD5C4A" w:rsidRPr="00797CDB" w:rsidRDefault="001F3B1D"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Vyrams</w:t>
      </w:r>
      <w:r w:rsidR="00FD5C4A" w:rsidRPr="00797CDB">
        <w:rPr>
          <w:rFonts w:eastAsia="TimesNewRomanPSMT"/>
          <w:i/>
        </w:rPr>
        <w:t>, kurių kepenų funkcija sutrikusi</w:t>
      </w:r>
    </w:p>
    <w:p w14:paraId="155553E6" w14:textId="77777777" w:rsidR="001F3B1D"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Erekcijos funkcijos sutrikimui gydyti tadalafilio vartojant pagal poreikį, rekomenduojama jo dozė yra 10</w:t>
      </w:r>
      <w:r w:rsidR="000B5CC7" w:rsidRPr="00797CDB">
        <w:rPr>
          <w:rFonts w:eastAsia="TimesNewRomanPSMT"/>
        </w:rPr>
        <w:t> mg</w:t>
      </w:r>
      <w:r w:rsidRPr="00797CDB">
        <w:rPr>
          <w:rFonts w:eastAsia="TimesNewRomanPSMT"/>
        </w:rPr>
        <w:t xml:space="preserve">. Ją reikia gerti prieš planuojamus lytinius santykius, valgant arba kitu laiku. Apie tadalafilio saugumą pacientams, kuriems yra sunkus kepenų funkcijos sutrikimas (C klasės pagal </w:t>
      </w:r>
      <w:r w:rsidRPr="00797CDB">
        <w:rPr>
          <w:rFonts w:eastAsia="TimesNewRomanPSMT"/>
          <w:i/>
        </w:rPr>
        <w:t>Child</w:t>
      </w:r>
      <w:r w:rsidRPr="00A333F1">
        <w:rPr>
          <w:i/>
        </w:rPr>
        <w:t>-</w:t>
      </w:r>
      <w:r w:rsidRPr="00797CDB">
        <w:rPr>
          <w:rFonts w:eastAsia="TimesNewRomanPSMT"/>
          <w:i/>
        </w:rPr>
        <w:t>Pugh</w:t>
      </w:r>
      <w:r w:rsidRPr="00797CDB">
        <w:rPr>
          <w:rFonts w:eastAsia="TimesNewRomanPSMT"/>
        </w:rPr>
        <w:t>), klinikinių duomenų yra mažai. Prieš s</w:t>
      </w:r>
      <w:r w:rsidRPr="00A333F1">
        <w:t xml:space="preserve">kirdamas šio </w:t>
      </w:r>
      <w:r w:rsidRPr="00797CDB">
        <w:rPr>
          <w:rFonts w:eastAsia="TimesNewRomanPSMT"/>
        </w:rPr>
        <w:t>vaistinio preparato, gydytojas turi atidžiai įvertinti individualų naudos ir rizikos santykį tokiam pacientui. Apie pacientų, kurių kepenų funkcija sutrikusi, gydymą didesne negu 10</w:t>
      </w:r>
      <w:r w:rsidR="000B5CC7" w:rsidRPr="00797CDB">
        <w:rPr>
          <w:rFonts w:eastAsia="TimesNewRomanPSMT"/>
        </w:rPr>
        <w:t> mg</w:t>
      </w:r>
      <w:r w:rsidRPr="00A333F1">
        <w:t xml:space="preserve"> tadalafilio </w:t>
      </w:r>
      <w:r w:rsidRPr="00797CDB">
        <w:rPr>
          <w:rFonts w:eastAsia="TimesNewRomanPSMT"/>
        </w:rPr>
        <w:t xml:space="preserve">doze, duomenų nėra. </w:t>
      </w:r>
    </w:p>
    <w:p w14:paraId="05806823" w14:textId="77777777" w:rsidR="001F3B1D" w:rsidRPr="00797CDB" w:rsidRDefault="001F3B1D" w:rsidP="00A333F1">
      <w:pPr>
        <w:autoSpaceDE w:val="0"/>
        <w:autoSpaceDN w:val="0"/>
        <w:adjustRightInd w:val="0"/>
        <w:rPr>
          <w:rFonts w:eastAsia="TimesNewRomanPSMT"/>
        </w:rPr>
      </w:pPr>
    </w:p>
    <w:p w14:paraId="2A27C86E"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Kasdieninis vienos </w:t>
      </w:r>
      <w:r w:rsidR="001F3B1D" w:rsidRPr="00797CDB">
        <w:rPr>
          <w:rFonts w:eastAsia="TimesNewRomanPSMT"/>
        </w:rPr>
        <w:t xml:space="preserve">2,5 mg arba 5 mg tadalafilio </w:t>
      </w:r>
      <w:r w:rsidRPr="00797CDB">
        <w:rPr>
          <w:rFonts w:eastAsia="TimesNewRomanPSMT"/>
        </w:rPr>
        <w:t>dozės vartojimas nuo erekcijos funkcijos sutrikimo pacientams, kurių kepenų funkcija sutrikusi, netirtas, vadinasi, prieš skirdamas šio vaist</w:t>
      </w:r>
      <w:r w:rsidR="001F3B1D" w:rsidRPr="00797CDB">
        <w:rPr>
          <w:rFonts w:eastAsia="TimesNewRomanPSMT"/>
        </w:rPr>
        <w:t>inio preparato</w:t>
      </w:r>
      <w:r w:rsidRPr="00797CDB">
        <w:rPr>
          <w:rFonts w:eastAsia="TimesNewRomanPSMT"/>
        </w:rPr>
        <w:t xml:space="preserve"> gydytojas turi atidžiai įvertinti naudos ir rizikos santykį (žr. 4.4 </w:t>
      </w:r>
      <w:r w:rsidRPr="00A333F1">
        <w:t>ir 5.2 skyrius).</w:t>
      </w:r>
    </w:p>
    <w:p w14:paraId="5340E2E6" w14:textId="77777777" w:rsidR="00FD5C4A" w:rsidRPr="00797CDB" w:rsidRDefault="00FD5C4A" w:rsidP="00A333F1">
      <w:pPr>
        <w:autoSpaceDE w:val="0"/>
        <w:autoSpaceDN w:val="0"/>
        <w:adjustRightInd w:val="0"/>
        <w:rPr>
          <w:rFonts w:eastAsia="TimesNewRomanPSMT"/>
        </w:rPr>
      </w:pPr>
    </w:p>
    <w:p w14:paraId="7B4D8192"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Cukriniu diabetu sergantiems vyrams</w:t>
      </w:r>
    </w:p>
    <w:p w14:paraId="6770AD15" w14:textId="77777777" w:rsidR="00FD5C4A" w:rsidRPr="00797CDB" w:rsidRDefault="00CD36F9"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Cukriniu d</w:t>
      </w:r>
      <w:r w:rsidR="00FD5C4A" w:rsidRPr="00797CDB">
        <w:rPr>
          <w:rFonts w:eastAsia="TimesNewRomanPSMT"/>
        </w:rPr>
        <w:t>iabetu sergantiems pacientams dozės priderinimas yra nereikalingas.</w:t>
      </w:r>
    </w:p>
    <w:p w14:paraId="68ACDFF5" w14:textId="77777777" w:rsidR="00FD5C4A" w:rsidRPr="00797CDB" w:rsidRDefault="00FD5C4A" w:rsidP="00A333F1">
      <w:pPr>
        <w:autoSpaceDE w:val="0"/>
        <w:autoSpaceDN w:val="0"/>
        <w:adjustRightInd w:val="0"/>
        <w:rPr>
          <w:rFonts w:eastAsia="TimesNewRomanPSMT"/>
        </w:rPr>
      </w:pPr>
    </w:p>
    <w:p w14:paraId="4B18B855"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Vaikų populiacija</w:t>
      </w:r>
    </w:p>
    <w:p w14:paraId="0E64782A"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Tadalafili</w:t>
      </w:r>
      <w:r w:rsidR="00062F35" w:rsidRPr="00797CDB">
        <w:rPr>
          <w:rFonts w:eastAsia="TimesNewRomanPSMT"/>
        </w:rPr>
        <w:t>o vartojimas</w:t>
      </w:r>
      <w:r w:rsidRPr="00797CDB">
        <w:rPr>
          <w:rFonts w:eastAsia="TimesNewRomanPSMT"/>
        </w:rPr>
        <w:t xml:space="preserve"> nėra aktualus vaikų populiacij</w:t>
      </w:r>
      <w:r w:rsidR="00062F35" w:rsidRPr="00797CDB">
        <w:rPr>
          <w:rFonts w:eastAsia="TimesNewRomanPSMT"/>
        </w:rPr>
        <w:t>ai</w:t>
      </w:r>
      <w:r w:rsidRPr="00797CDB">
        <w:rPr>
          <w:rFonts w:eastAsia="TimesNewRomanPSMT"/>
        </w:rPr>
        <w:t xml:space="preserve"> ryšium su indikacija (erekcijos funkcijos sutrikimo gydymas). </w:t>
      </w:r>
    </w:p>
    <w:p w14:paraId="3F628A39" w14:textId="77777777" w:rsidR="00FD5C4A" w:rsidRPr="00797CDB" w:rsidRDefault="00FD5C4A" w:rsidP="00A333F1">
      <w:pPr>
        <w:autoSpaceDE w:val="0"/>
        <w:autoSpaceDN w:val="0"/>
        <w:adjustRightInd w:val="0"/>
        <w:rPr>
          <w:rFonts w:eastAsia="TimesNewRomanPSMT"/>
          <w:u w:val="single"/>
        </w:rPr>
      </w:pPr>
    </w:p>
    <w:p w14:paraId="425D7191"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Vartojimo metodas</w:t>
      </w:r>
    </w:p>
    <w:p w14:paraId="15DA9EBF" w14:textId="77777777" w:rsidR="00FD5C4A" w:rsidRPr="00797CDB" w:rsidRDefault="00062F35" w:rsidP="00A333F1">
      <w:pPr>
        <w:autoSpaceDE w:val="0"/>
        <w:autoSpaceDN w:val="0"/>
        <w:adjustRightInd w:val="0"/>
        <w:rPr>
          <w:rFonts w:eastAsia="TimesNewRomanPSMT"/>
        </w:rPr>
      </w:pPr>
      <w:r w:rsidRPr="00797CDB">
        <w:rPr>
          <w:rFonts w:eastAsia="TimesNewRomanPSMT"/>
        </w:rPr>
        <w:t>V</w:t>
      </w:r>
      <w:r w:rsidR="00FD5C4A" w:rsidRPr="00797CDB">
        <w:rPr>
          <w:rFonts w:eastAsia="TimesNewRomanPSMT"/>
        </w:rPr>
        <w:t>artoti per burną.</w:t>
      </w:r>
    </w:p>
    <w:p w14:paraId="7F08BB68" w14:textId="77777777" w:rsidR="00062F35" w:rsidRPr="00797CDB" w:rsidRDefault="00254A51"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Quator </w:t>
      </w:r>
      <w:r w:rsidR="00062F35" w:rsidRPr="00797CDB">
        <w:rPr>
          <w:rFonts w:eastAsia="TimesNewRomanPSMT"/>
        </w:rPr>
        <w:t>yra tiekiamas 5 mg, 10 mg ir 20 mg plėvele dengt</w:t>
      </w:r>
      <w:r w:rsidR="00BD52D3" w:rsidRPr="00797CDB">
        <w:rPr>
          <w:rFonts w:eastAsia="TimesNewRomanPSMT"/>
        </w:rPr>
        <w:t>ų tablečių forma.</w:t>
      </w:r>
    </w:p>
    <w:p w14:paraId="0D0A8390" w14:textId="77777777" w:rsidR="00FD5C4A" w:rsidRPr="00A333F1" w:rsidRDefault="00FD5C4A" w:rsidP="00A333F1">
      <w:pPr>
        <w:rPr>
          <w:b/>
        </w:rPr>
      </w:pPr>
    </w:p>
    <w:p w14:paraId="6765EBAC" w14:textId="77777777" w:rsidR="00FD5C4A" w:rsidRPr="00A333F1" w:rsidRDefault="00FD5C4A" w:rsidP="00A333F1">
      <w:pPr>
        <w:rPr>
          <w:b/>
        </w:rPr>
      </w:pPr>
      <w:r w:rsidRPr="00A333F1">
        <w:rPr>
          <w:b/>
        </w:rPr>
        <w:t>4.3</w:t>
      </w:r>
      <w:r w:rsidRPr="00A333F1">
        <w:rPr>
          <w:b/>
        </w:rPr>
        <w:tab/>
        <w:t>Kontraindikacijos</w:t>
      </w:r>
    </w:p>
    <w:p w14:paraId="4C0F26CF" w14:textId="77777777" w:rsidR="00FD5C4A" w:rsidRPr="00A333F1" w:rsidRDefault="00FD5C4A" w:rsidP="00A333F1">
      <w:pPr>
        <w:rPr>
          <w:b/>
        </w:rPr>
      </w:pPr>
    </w:p>
    <w:p w14:paraId="7C50C0AB"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Padidėjęs jautrumas veikliajai arba bet kuriai 6.1 skyriuje nurodytai pagalbinei medžiagai.</w:t>
      </w:r>
    </w:p>
    <w:p w14:paraId="40FC486C"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Klinikiniais tyrimai nustatyta, kad tadalafilis stiprina nitratų sukeliamą hipotenzinį poveikį. Manoma, kad tai priklauso nuo bendro nitratų ir tadalafilio poveikio azoto oksido ir cGMF grandinei. Vadinasi, pacientams, vartojantiems bet kokios formos organinį nitratą, tadalafilio vartoti draudžiama (žr. 4.5 skyrių).</w:t>
      </w:r>
    </w:p>
    <w:p w14:paraId="29732B15"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Vyrams, kurie serga širdies liga arba kuriems nepatartinas seksualinis aktyvumas, tadalafilio vartoti negalima. Vyrams, kuriems iš anksčiau yra širdies ir kraujagyslių sistemos liga, gydytojas turi </w:t>
      </w:r>
      <w:r w:rsidRPr="00A333F1">
        <w:t xml:space="preserve">įvertinti </w:t>
      </w:r>
      <w:r w:rsidRPr="00797CDB">
        <w:rPr>
          <w:rFonts w:eastAsia="TimesNewRomanPSMT"/>
        </w:rPr>
        <w:t>galimą seksualinio aktyvumo riziką širdžiai.</w:t>
      </w:r>
    </w:p>
    <w:p w14:paraId="424881EC"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Toliau nurodytų grupių pacientai, sergantys širdies ir kraujagyslių sistemos ligomis, klinikiniuose tyrimuose nedalyvavo, todėl tadalafilio vartoti draudžiama:</w:t>
      </w:r>
    </w:p>
    <w:p w14:paraId="72AD0489" w14:textId="77777777" w:rsidR="00FD5C4A" w:rsidRPr="00A333F1" w:rsidRDefault="00BD52D3" w:rsidP="00797CDB">
      <w:pPr>
        <w:numPr>
          <w:ilvl w:val="0"/>
          <w:numId w:val="6"/>
        </w:numPr>
        <w:tabs>
          <w:tab w:val="left" w:pos="567"/>
        </w:tabs>
        <w:ind w:hanging="283"/>
      </w:pPr>
      <w:r w:rsidRPr="00A333F1">
        <w:t>p</w:t>
      </w:r>
      <w:r w:rsidR="00FD5C4A" w:rsidRPr="00A333F1">
        <w:t>acienta</w:t>
      </w:r>
      <w:r w:rsidRPr="00A333F1">
        <w:t>ms</w:t>
      </w:r>
      <w:r w:rsidR="00FD5C4A" w:rsidRPr="00A333F1">
        <w:t>, kuriuos per paskutines 90 dienų ištiko miokardo infarktas.</w:t>
      </w:r>
    </w:p>
    <w:p w14:paraId="7293F8BF" w14:textId="77777777" w:rsidR="00FD5C4A" w:rsidRPr="00A333F1" w:rsidRDefault="00BD52D3" w:rsidP="00797CDB">
      <w:pPr>
        <w:numPr>
          <w:ilvl w:val="0"/>
          <w:numId w:val="6"/>
        </w:numPr>
        <w:tabs>
          <w:tab w:val="left" w:pos="567"/>
        </w:tabs>
        <w:ind w:hanging="283"/>
      </w:pPr>
      <w:r w:rsidRPr="00A333F1">
        <w:t>p</w:t>
      </w:r>
      <w:r w:rsidR="00FD5C4A" w:rsidRPr="00A333F1">
        <w:t>acienta</w:t>
      </w:r>
      <w:r w:rsidRPr="00A333F1">
        <w:t>ms</w:t>
      </w:r>
      <w:r w:rsidR="00FD5C4A" w:rsidRPr="00A333F1">
        <w:t>, kurie serga nestabili</w:t>
      </w:r>
      <w:r w:rsidRPr="00A333F1">
        <w:t>ąja</w:t>
      </w:r>
      <w:r w:rsidR="00FD5C4A" w:rsidRPr="00A333F1">
        <w:t xml:space="preserve"> krūtinės angina arba kuriems krūtinės angina pasireiškia lytinio akto metu.</w:t>
      </w:r>
    </w:p>
    <w:p w14:paraId="31BAB6B1" w14:textId="77777777" w:rsidR="00FD5C4A" w:rsidRPr="00A333F1" w:rsidRDefault="00BD52D3" w:rsidP="00797CDB">
      <w:pPr>
        <w:numPr>
          <w:ilvl w:val="0"/>
          <w:numId w:val="6"/>
        </w:numPr>
        <w:tabs>
          <w:tab w:val="left" w:pos="567"/>
        </w:tabs>
        <w:ind w:hanging="283"/>
      </w:pPr>
      <w:r w:rsidRPr="00A333F1">
        <w:t>p</w:t>
      </w:r>
      <w:r w:rsidR="00FD5C4A" w:rsidRPr="00A333F1">
        <w:t>acienta</w:t>
      </w:r>
      <w:r w:rsidRPr="00A333F1">
        <w:t>ms</w:t>
      </w:r>
      <w:r w:rsidR="00FD5C4A" w:rsidRPr="00A333F1">
        <w:t>, kurie</w:t>
      </w:r>
      <w:r w:rsidRPr="00A333F1">
        <w:t>ms</w:t>
      </w:r>
      <w:r w:rsidR="00FD5C4A" w:rsidRPr="00A333F1">
        <w:t xml:space="preserve"> </w:t>
      </w:r>
      <w:r w:rsidRPr="00A333F1">
        <w:t>pastaruosius</w:t>
      </w:r>
      <w:r w:rsidR="00FD5C4A" w:rsidRPr="00A333F1">
        <w:t xml:space="preserve"> 6 mėn. </w:t>
      </w:r>
      <w:r w:rsidRPr="00A333F1">
        <w:t>yra</w:t>
      </w:r>
      <w:r w:rsidR="00FD5C4A" w:rsidRPr="00A333F1">
        <w:t xml:space="preserve"> 2 klasės pagal NYHA</w:t>
      </w:r>
      <w:r w:rsidR="00174A60" w:rsidRPr="00A333F1">
        <w:t xml:space="preserve"> funkcinę klasifikaciją</w:t>
      </w:r>
      <w:r w:rsidR="00FD5C4A" w:rsidRPr="00A333F1">
        <w:t xml:space="preserve"> arba sunkesni</w:t>
      </w:r>
      <w:r w:rsidRPr="00A333F1">
        <w:t>s</w:t>
      </w:r>
      <w:r w:rsidR="00FD5C4A" w:rsidRPr="00A333F1">
        <w:t xml:space="preserve"> širdies nepakankamum</w:t>
      </w:r>
      <w:r w:rsidRPr="00A333F1">
        <w:t>as</w:t>
      </w:r>
      <w:r w:rsidR="00FD5C4A" w:rsidRPr="00A333F1">
        <w:t>.</w:t>
      </w:r>
    </w:p>
    <w:p w14:paraId="62FF6F27" w14:textId="77777777" w:rsidR="00FD5C4A" w:rsidRPr="00A333F1" w:rsidRDefault="00BD52D3" w:rsidP="00797CDB">
      <w:pPr>
        <w:numPr>
          <w:ilvl w:val="0"/>
          <w:numId w:val="6"/>
        </w:numPr>
        <w:tabs>
          <w:tab w:val="left" w:pos="567"/>
        </w:tabs>
        <w:ind w:hanging="283"/>
      </w:pPr>
      <w:r w:rsidRPr="00A333F1">
        <w:t>pacientams</w:t>
      </w:r>
      <w:r w:rsidR="00FD5C4A" w:rsidRPr="00A333F1">
        <w:t>, kurie serga nekontroliuojama aritmija, hipotenzija (&lt; 90/50 mmHg) ar nekontroliuojama hipertenzija.</w:t>
      </w:r>
    </w:p>
    <w:p w14:paraId="7C58169D" w14:textId="77777777" w:rsidR="00FD5C4A" w:rsidRPr="00A333F1" w:rsidRDefault="00BD52D3" w:rsidP="00797CDB">
      <w:pPr>
        <w:numPr>
          <w:ilvl w:val="0"/>
          <w:numId w:val="6"/>
        </w:numPr>
        <w:tabs>
          <w:tab w:val="left" w:pos="567"/>
        </w:tabs>
        <w:ind w:hanging="283"/>
      </w:pPr>
      <w:r w:rsidRPr="00A333F1">
        <w:t>pacientams</w:t>
      </w:r>
      <w:r w:rsidR="00FD5C4A" w:rsidRPr="00A333F1">
        <w:t>, kuriuos per paskutinius 6 mėn. ištiko insultas.</w:t>
      </w:r>
    </w:p>
    <w:p w14:paraId="5A687101" w14:textId="77777777" w:rsidR="00BD52D3" w:rsidRPr="00797CDB" w:rsidRDefault="00BD52D3" w:rsidP="00A333F1">
      <w:pPr>
        <w:autoSpaceDE w:val="0"/>
        <w:autoSpaceDN w:val="0"/>
        <w:adjustRightInd w:val="0"/>
        <w:rPr>
          <w:rFonts w:eastAsia="TimesNewRomanPSMT"/>
          <w:color w:val="000000"/>
        </w:rPr>
      </w:pPr>
    </w:p>
    <w:p w14:paraId="73C429D2"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color w:val="000000"/>
        </w:rPr>
        <w:t xml:space="preserve">Tadalafilio draudžiama vartoti pacientams, kuriems atsirado vienos akies aklumas dėl ne arterito sukeltos priekinės išeminės regos nervo neuropatijos (angl. </w:t>
      </w:r>
      <w:r w:rsidR="00505462" w:rsidRPr="00797CDB">
        <w:rPr>
          <w:rFonts w:eastAsia="TimesNewRomanPSMT"/>
          <w:i/>
          <w:color w:val="000000"/>
        </w:rPr>
        <w:t>non-arteritic anterior ischaemic optic neuropathy</w:t>
      </w:r>
      <w:r w:rsidR="00505462" w:rsidRPr="00797CDB">
        <w:rPr>
          <w:rFonts w:eastAsia="TimesNewRomanPSMT"/>
          <w:color w:val="000000"/>
        </w:rPr>
        <w:t xml:space="preserve"> (</w:t>
      </w:r>
      <w:r w:rsidRPr="00797CDB">
        <w:rPr>
          <w:rFonts w:eastAsia="TimesNewRomanPSMT"/>
          <w:i/>
          <w:color w:val="000000"/>
        </w:rPr>
        <w:t>NAION</w:t>
      </w:r>
      <w:r w:rsidRPr="00797CDB">
        <w:rPr>
          <w:rFonts w:eastAsia="TimesNewRomanPSMT"/>
          <w:color w:val="000000"/>
        </w:rPr>
        <w:t>)</w:t>
      </w:r>
      <w:r w:rsidR="00505462" w:rsidRPr="00797CDB">
        <w:rPr>
          <w:rFonts w:eastAsia="TimesNewRomanPSMT"/>
          <w:color w:val="000000"/>
        </w:rPr>
        <w:t>)</w:t>
      </w:r>
      <w:r w:rsidRPr="00797CDB">
        <w:rPr>
          <w:rFonts w:eastAsia="TimesNewRomanPSMT"/>
          <w:color w:val="000000"/>
        </w:rPr>
        <w:t>, nepriklausomai nuo to, ar jis buvo susijęs, ar nesusijęs su ankstesn</w:t>
      </w:r>
      <w:r w:rsidR="00BD52D3" w:rsidRPr="00797CDB">
        <w:rPr>
          <w:rFonts w:eastAsia="TimesNewRomanPSMT"/>
          <w:color w:val="000000"/>
        </w:rPr>
        <w:t>e</w:t>
      </w:r>
      <w:r w:rsidRPr="00797CDB">
        <w:rPr>
          <w:rFonts w:eastAsia="TimesNewRomanPSMT"/>
          <w:color w:val="000000"/>
        </w:rPr>
        <w:t xml:space="preserve"> fosfodiesterazės-5 (FDE5) inhibitoriaus </w:t>
      </w:r>
      <w:r w:rsidR="00BD52D3" w:rsidRPr="00797CDB">
        <w:rPr>
          <w:rFonts w:eastAsia="TimesNewRomanPSMT"/>
          <w:color w:val="000000"/>
        </w:rPr>
        <w:t>ekspozicija</w:t>
      </w:r>
      <w:r w:rsidRPr="00797CDB">
        <w:rPr>
          <w:rFonts w:eastAsia="TimesNewRomanPSMT"/>
          <w:color w:val="000000"/>
        </w:rPr>
        <w:t xml:space="preserve">. (žr. </w:t>
      </w:r>
      <w:r w:rsidRPr="00797CDB">
        <w:rPr>
          <w:rFonts w:eastAsia="TimesNewRomanPSMT"/>
          <w:color w:val="333300"/>
        </w:rPr>
        <w:t xml:space="preserve">4.4 </w:t>
      </w:r>
      <w:r w:rsidRPr="00797CDB">
        <w:rPr>
          <w:rFonts w:eastAsia="TimesNewRomanPSMT"/>
          <w:color w:val="000000"/>
        </w:rPr>
        <w:t>skyrių).</w:t>
      </w:r>
    </w:p>
    <w:p w14:paraId="47856429" w14:textId="77777777" w:rsidR="00FD5C4A" w:rsidRPr="00A333F1" w:rsidRDefault="00FD5C4A" w:rsidP="00A333F1"/>
    <w:p w14:paraId="636050EF" w14:textId="77777777" w:rsidR="00B90534" w:rsidRPr="00A333F1" w:rsidRDefault="00B90534" w:rsidP="00A333F1">
      <w:r w:rsidRPr="00A333F1">
        <w:t>FDE5 inhibitorių, tokių kaip tadalafilis, vartojimas kartu su guanilatciklazės stimuliatoriais, tokiais kaip riociguatas, yra draudžiamas, nes tai gali sukelti simptominę hipotenziją (žr. 4.5 skyrių).</w:t>
      </w:r>
    </w:p>
    <w:p w14:paraId="010DCB14" w14:textId="77777777" w:rsidR="00B90534" w:rsidRPr="00A333F1" w:rsidRDefault="00B90534" w:rsidP="00A333F1"/>
    <w:p w14:paraId="0934611C" w14:textId="77777777" w:rsidR="00FD5C4A" w:rsidRPr="00A333F1" w:rsidRDefault="00FD5C4A" w:rsidP="00A333F1">
      <w:pPr>
        <w:rPr>
          <w:b/>
        </w:rPr>
      </w:pPr>
      <w:r w:rsidRPr="00A333F1">
        <w:rPr>
          <w:b/>
        </w:rPr>
        <w:t>4.4</w:t>
      </w:r>
      <w:r w:rsidRPr="00A333F1">
        <w:rPr>
          <w:b/>
        </w:rPr>
        <w:tab/>
        <w:t>Specialūs įspėjimai ir atsargumo priemonės</w:t>
      </w:r>
    </w:p>
    <w:p w14:paraId="397E3468" w14:textId="77777777" w:rsidR="00FD5C4A" w:rsidRPr="00797CDB" w:rsidRDefault="00FD5C4A" w:rsidP="00A333F1">
      <w:pPr>
        <w:autoSpaceDE w:val="0"/>
        <w:autoSpaceDN w:val="0"/>
        <w:adjustRightInd w:val="0"/>
        <w:rPr>
          <w:rFonts w:eastAsia="TimesNewRomanPSMT"/>
          <w:u w:val="single"/>
        </w:rPr>
      </w:pPr>
    </w:p>
    <w:p w14:paraId="39AD58D4" w14:textId="77777777" w:rsidR="0079411D" w:rsidRPr="00797CDB" w:rsidRDefault="0079411D" w:rsidP="00A333F1">
      <w:pPr>
        <w:rPr>
          <w:rFonts w:asciiTheme="minorHAnsi" w:eastAsia="Calibri" w:hAnsiTheme="minorHAnsi" w:cstheme="minorBidi"/>
          <w:szCs w:val="22"/>
          <w:u w:val="single"/>
          <w:lang w:eastAsia="en-US"/>
        </w:rPr>
      </w:pPr>
      <w:r w:rsidRPr="00797CDB">
        <w:rPr>
          <w:rFonts w:eastAsia="Calibri"/>
          <w:u w:val="single"/>
        </w:rPr>
        <w:t>Prieš gydymą tadalafiliu</w:t>
      </w:r>
    </w:p>
    <w:p w14:paraId="4A35937C" w14:textId="77777777" w:rsidR="00FD5C4A" w:rsidRPr="00797CDB" w:rsidRDefault="0079411D" w:rsidP="00A333F1">
      <w:pPr>
        <w:rPr>
          <w:rFonts w:asciiTheme="minorHAnsi" w:eastAsia="TimesNewRomanPSMT" w:hAnsiTheme="minorHAnsi" w:cstheme="minorBidi"/>
          <w:szCs w:val="22"/>
          <w:lang w:eastAsia="en-US"/>
        </w:rPr>
      </w:pPr>
      <w:r w:rsidRPr="00797CDB">
        <w:rPr>
          <w:rFonts w:eastAsia="Calibri"/>
        </w:rPr>
        <w:t xml:space="preserve">Prieš pradedant gydyti vaistiniais preparatais, reikia susipažinti su paciento ligos istorija ir jį ištirti, kad būtų galima nustatyti </w:t>
      </w:r>
      <w:r w:rsidR="00FD5C4A" w:rsidRPr="00A333F1">
        <w:t>erekcijos disfunkciją</w:t>
      </w:r>
      <w:r w:rsidR="00FD5C4A" w:rsidRPr="00797CDB">
        <w:rPr>
          <w:rFonts w:eastAsia="TimesNewRomanPSMT"/>
        </w:rPr>
        <w:t xml:space="preserve"> ir nustatyti galimas j</w:t>
      </w:r>
      <w:r w:rsidRPr="00797CDB">
        <w:rPr>
          <w:rFonts w:eastAsia="TimesNewRomanPSMT"/>
        </w:rPr>
        <w:t>os</w:t>
      </w:r>
      <w:r w:rsidR="00FD5C4A" w:rsidRPr="00797CDB">
        <w:rPr>
          <w:rFonts w:eastAsia="TimesNewRomanPSMT"/>
        </w:rPr>
        <w:t xml:space="preserve"> priežastis.</w:t>
      </w:r>
    </w:p>
    <w:p w14:paraId="0467C70E" w14:textId="77777777" w:rsidR="0079411D" w:rsidRPr="00797CDB" w:rsidRDefault="0079411D" w:rsidP="00A333F1">
      <w:pPr>
        <w:autoSpaceDE w:val="0"/>
        <w:autoSpaceDN w:val="0"/>
        <w:adjustRightInd w:val="0"/>
        <w:rPr>
          <w:rFonts w:eastAsia="TimesNewRomanPSMT"/>
        </w:rPr>
      </w:pPr>
    </w:p>
    <w:p w14:paraId="1C4C10BF"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Prieš pradėdamas bet kokį erekcijos funkcijos sutrikimo gydymą gydytojas turi atsižvelgti paciento širdies ir kraujagyslių sistemos būklę, kadangi yra rizikos laipsnis širdžiai, susijęs su seksualiniu aktyvumu. Tadalafilis plečia kraujagysles, todėl trumpam šiek tiek sumažina kraujospūdį (žr. 5.1 skyrių) ir dėl to stiprina nitratų sukeliamą hipotenzinį poveikį (žr. 4.3 skyrių).</w:t>
      </w:r>
    </w:p>
    <w:p w14:paraId="2D2B2CC1" w14:textId="77777777" w:rsidR="0079411D" w:rsidRPr="00797CDB" w:rsidRDefault="0079411D" w:rsidP="00A333F1">
      <w:pPr>
        <w:autoSpaceDE w:val="0"/>
        <w:autoSpaceDN w:val="0"/>
        <w:adjustRightInd w:val="0"/>
        <w:rPr>
          <w:rFonts w:eastAsia="TimesNewRomanPSMT"/>
          <w:highlight w:val="lightGray"/>
        </w:rPr>
      </w:pPr>
    </w:p>
    <w:p w14:paraId="6C60B8E2"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Erekcijos funkcijos sutrikimo įvertinimas turi apimti galimų priežasčių ir tinkamo gydymo nustatymą po atitinkamo medicininio ištyrimo. Nežinoma, ar tadalafilis yra veiksmingas pacientams, kuriems atlikta dubens organų chirurginė operacija ar radikali nervų netausojanti prostatos pašalinimo operacija.</w:t>
      </w:r>
    </w:p>
    <w:p w14:paraId="55A1AEF6" w14:textId="77777777" w:rsidR="00FD5C4A" w:rsidRPr="00797CDB" w:rsidRDefault="00FD5C4A" w:rsidP="00A333F1">
      <w:pPr>
        <w:autoSpaceDE w:val="0"/>
        <w:autoSpaceDN w:val="0"/>
        <w:adjustRightInd w:val="0"/>
        <w:rPr>
          <w:rFonts w:eastAsia="TimesNewRomanPSMT"/>
        </w:rPr>
      </w:pPr>
    </w:p>
    <w:p w14:paraId="36C1ECC2"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Širdies ir kraujagyslių sistema</w:t>
      </w:r>
    </w:p>
    <w:p w14:paraId="48A49CB4"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 išemijos priepuolį, krūtinės skausmą, palpitacijas ir tachikardiją. Daugumai pacientų, kuriems pasireiškė šie reiškiniai, iš anksčiau buvo širdies ir kraujagyslių sistemos sutrikimo rizikos veiksnių. Vis dėlto neįmanoma tiksliai nustatyti, ar </w:t>
      </w:r>
      <w:r w:rsidR="0079411D" w:rsidRPr="00797CDB">
        <w:rPr>
          <w:rFonts w:eastAsia="TimesNewRomanPSMT"/>
        </w:rPr>
        <w:t>minėti</w:t>
      </w:r>
      <w:r w:rsidRPr="00797CDB">
        <w:rPr>
          <w:rFonts w:eastAsia="TimesNewRomanPSMT"/>
        </w:rPr>
        <w:t xml:space="preserve"> reiškiniai yra tiesiogiai susiję su šiais rizikos veiksniais, su tadalafiliu, su seksualiniu aktyvumu ar su šių bei kitų veiksnių deriniu.</w:t>
      </w:r>
    </w:p>
    <w:p w14:paraId="6E1C7124" w14:textId="77777777" w:rsidR="00FD5C4A" w:rsidRPr="00797CDB" w:rsidRDefault="00FD5C4A" w:rsidP="00A333F1">
      <w:pPr>
        <w:autoSpaceDE w:val="0"/>
        <w:autoSpaceDN w:val="0"/>
        <w:adjustRightInd w:val="0"/>
        <w:rPr>
          <w:rFonts w:eastAsia="TimesNewRomanPSMT"/>
        </w:rPr>
      </w:pPr>
    </w:p>
    <w:p w14:paraId="542D646B" w14:textId="77777777" w:rsidR="0079411D" w:rsidRPr="00797CDB" w:rsidRDefault="0079411D" w:rsidP="00A333F1">
      <w:pPr>
        <w:rPr>
          <w:rFonts w:asciiTheme="minorHAnsi" w:eastAsia="Calibri" w:hAnsiTheme="minorHAnsi" w:cstheme="minorBidi"/>
          <w:szCs w:val="22"/>
          <w:lang w:eastAsia="en-US"/>
        </w:rPr>
      </w:pPr>
      <w:r w:rsidRPr="00797CDB">
        <w:rPr>
          <w:rFonts w:eastAsia="Calibri"/>
        </w:rPr>
        <w:t>Antihipertenzinių vaistinių preparatų vartojantiems pacientams tadalafilis gali sumažinti kraujo spaudimą. Pradedant gydyti kasdien vartojama viena tadalafilio doze</w:t>
      </w:r>
      <w:r w:rsidR="00970FA3" w:rsidRPr="00797CDB">
        <w:rPr>
          <w:rFonts w:eastAsia="Calibri"/>
        </w:rPr>
        <w:t xml:space="preserve"> turi būti apgalvotos atitinkamos</w:t>
      </w:r>
      <w:r w:rsidRPr="00797CDB">
        <w:rPr>
          <w:rFonts w:eastAsia="Calibri"/>
        </w:rPr>
        <w:t xml:space="preserve"> galimo antihipertenzinių vaistinių preparatų dozės mažinimo klinikin</w:t>
      </w:r>
      <w:r w:rsidR="00970FA3" w:rsidRPr="00797CDB">
        <w:rPr>
          <w:rFonts w:eastAsia="Calibri"/>
        </w:rPr>
        <w:t>ės aplinkybės</w:t>
      </w:r>
      <w:r w:rsidRPr="00797CDB">
        <w:rPr>
          <w:rFonts w:eastAsia="Calibri"/>
        </w:rPr>
        <w:t>.</w:t>
      </w:r>
    </w:p>
    <w:p w14:paraId="6C723DE7" w14:textId="77777777" w:rsidR="00970FA3" w:rsidRPr="00797CDB" w:rsidRDefault="00970FA3" w:rsidP="00A333F1">
      <w:pPr>
        <w:autoSpaceDE w:val="0"/>
        <w:autoSpaceDN w:val="0"/>
        <w:adjustRightInd w:val="0"/>
        <w:rPr>
          <w:rFonts w:eastAsia="TimesNewRomanPSMT"/>
        </w:rPr>
      </w:pPr>
    </w:p>
    <w:p w14:paraId="75BDA95F"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Kai kuriems pacientams, kurie vartoja alfa</w:t>
      </w:r>
      <w:r w:rsidRPr="00797CDB">
        <w:rPr>
          <w:rFonts w:eastAsia="TimesNewRomanPSMT"/>
          <w:vertAlign w:val="subscript"/>
        </w:rPr>
        <w:t>1</w:t>
      </w:r>
      <w:r w:rsidRPr="00797CDB">
        <w:rPr>
          <w:rFonts w:eastAsia="TimesNewRomanPSMT"/>
        </w:rPr>
        <w:t xml:space="preserve"> adrenoreceptorių blokatorių, kartu pavartojus tadalafilio, gali pasireikšti simptominė hipotenzija (žr. 4.5 skyrių). Todėl tadalafilio nerekomenduojama vartoti kartu su doksazosinu.</w:t>
      </w:r>
    </w:p>
    <w:p w14:paraId="0817956E" w14:textId="77777777" w:rsidR="00FD5C4A" w:rsidRPr="00797CDB" w:rsidRDefault="00FD5C4A" w:rsidP="00A333F1">
      <w:pPr>
        <w:autoSpaceDE w:val="0"/>
        <w:autoSpaceDN w:val="0"/>
        <w:adjustRightInd w:val="0"/>
        <w:rPr>
          <w:rFonts w:eastAsia="TimesNewRomanPSMT"/>
        </w:rPr>
      </w:pPr>
    </w:p>
    <w:p w14:paraId="0BCC5071"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Reg</w:t>
      </w:r>
      <w:r w:rsidR="00970FA3" w:rsidRPr="00797CDB">
        <w:rPr>
          <w:rFonts w:eastAsia="TimesNewRomanPSMT"/>
          <w:u w:val="single"/>
        </w:rPr>
        <w:t>ėjimas</w:t>
      </w:r>
    </w:p>
    <w:p w14:paraId="3836AA5C" w14:textId="1A5D999F" w:rsidR="009753CD" w:rsidRPr="00640D7F" w:rsidRDefault="00FD5C4A" w:rsidP="00797CDB">
      <w:pPr>
        <w:pStyle w:val="Betarp"/>
        <w:rPr>
          <w:rFonts w:eastAsia="Calibri"/>
          <w:lang w:val="lt-LT"/>
        </w:rPr>
      </w:pPr>
      <w:r w:rsidRPr="00797CDB">
        <w:rPr>
          <w:rFonts w:ascii="Times New Roman" w:eastAsia="TimesNewRomanPSMT" w:hAnsi="Times New Roman"/>
          <w:lang w:val="lt-LT"/>
        </w:rPr>
        <w:t xml:space="preserve">Buvo </w:t>
      </w:r>
      <w:r w:rsidR="00640D7F">
        <w:rPr>
          <w:rFonts w:ascii="Times New Roman" w:eastAsia="TimesNewRomanPSMT" w:hAnsi="Times New Roman"/>
          <w:lang w:val="lt-LT"/>
        </w:rPr>
        <w:t>prane</w:t>
      </w:r>
      <w:r w:rsidR="003F7DC9">
        <w:rPr>
          <w:rFonts w:ascii="Times New Roman" w:eastAsia="TimesNewRomanPSMT" w:hAnsi="Times New Roman"/>
          <w:lang w:val="lt-LT"/>
        </w:rPr>
        <w:t>š</w:t>
      </w:r>
      <w:r w:rsidR="00640D7F">
        <w:rPr>
          <w:rFonts w:ascii="Times New Roman" w:eastAsia="TimesNewRomanPSMT" w:hAnsi="Times New Roman"/>
          <w:lang w:val="lt-LT"/>
        </w:rPr>
        <w:t xml:space="preserve">ta apie </w:t>
      </w:r>
      <w:r w:rsidRPr="00797CDB">
        <w:rPr>
          <w:rFonts w:ascii="Times New Roman" w:eastAsia="TimesNewRomanPSMT" w:hAnsi="Times New Roman"/>
          <w:lang w:val="lt-LT"/>
        </w:rPr>
        <w:t>su tadalafilio ir kitų FDE5 inhibitorių vartojimu susijusi</w:t>
      </w:r>
      <w:r w:rsidR="00640D7F">
        <w:rPr>
          <w:rFonts w:ascii="Times New Roman" w:eastAsia="TimesNewRomanPSMT" w:hAnsi="Times New Roman"/>
          <w:lang w:val="lt-LT"/>
        </w:rPr>
        <w:t>us</w:t>
      </w:r>
      <w:r w:rsidRPr="00797CDB">
        <w:rPr>
          <w:rFonts w:ascii="Times New Roman" w:eastAsia="TimesNewRomanPSMT" w:hAnsi="Times New Roman"/>
          <w:lang w:val="lt-LT"/>
        </w:rPr>
        <w:t xml:space="preserve"> regos sutrikim</w:t>
      </w:r>
      <w:r w:rsidR="00640D7F">
        <w:rPr>
          <w:rFonts w:ascii="Times New Roman" w:eastAsia="TimesNewRomanPSMT" w:hAnsi="Times New Roman"/>
          <w:lang w:val="lt-LT"/>
        </w:rPr>
        <w:t xml:space="preserve">us, </w:t>
      </w:r>
      <w:r w:rsidR="00640D7F" w:rsidRPr="00F1648C">
        <w:rPr>
          <w:rFonts w:ascii="Times New Roman" w:eastAsia="Calibri" w:hAnsi="Times New Roman"/>
          <w:lang w:val="lt-LT"/>
        </w:rPr>
        <w:t>įskaitant centrinę serozinę chorioretinopatiją (CSCR),</w:t>
      </w:r>
      <w:r w:rsidRPr="00F1648C">
        <w:rPr>
          <w:rFonts w:ascii="Times New Roman" w:eastAsia="Calibri" w:hAnsi="Times New Roman"/>
          <w:lang w:val="lt-LT"/>
        </w:rPr>
        <w:t xml:space="preserve"> ir ne arterito sukeltos priekinės išeminės regos nervo neuropatijos</w:t>
      </w:r>
      <w:r w:rsidRPr="00797CDB">
        <w:rPr>
          <w:rFonts w:ascii="Times New Roman" w:eastAsia="TimesNewRomanPSMT" w:hAnsi="Times New Roman"/>
          <w:lang w:val="lt-LT"/>
        </w:rPr>
        <w:t xml:space="preserve"> (angl. </w:t>
      </w:r>
      <w:r w:rsidRPr="00797CDB">
        <w:rPr>
          <w:rFonts w:ascii="Times New Roman" w:eastAsia="TimesNewRomanPSMT" w:hAnsi="Times New Roman"/>
          <w:i/>
          <w:lang w:val="lt-LT"/>
        </w:rPr>
        <w:t>NAION</w:t>
      </w:r>
      <w:r w:rsidRPr="00797CDB">
        <w:rPr>
          <w:rFonts w:ascii="Times New Roman" w:eastAsia="TimesNewRomanPSMT" w:hAnsi="Times New Roman"/>
          <w:lang w:val="lt-LT"/>
        </w:rPr>
        <w:t>) atvej</w:t>
      </w:r>
      <w:r w:rsidR="00640D7F">
        <w:rPr>
          <w:rFonts w:ascii="Times New Roman" w:eastAsia="TimesNewRomanPSMT" w:hAnsi="Times New Roman"/>
          <w:lang w:val="lt-LT"/>
        </w:rPr>
        <w:t>us</w:t>
      </w:r>
      <w:r w:rsidRPr="00797CDB">
        <w:rPr>
          <w:rFonts w:ascii="Times New Roman" w:eastAsia="TimesNewRomanPSMT" w:hAnsi="Times New Roman"/>
          <w:lang w:val="lt-LT"/>
        </w:rPr>
        <w:t xml:space="preserve">. </w:t>
      </w:r>
      <w:r w:rsidR="00640D7F" w:rsidRPr="00F1648C">
        <w:rPr>
          <w:rFonts w:ascii="Times New Roman" w:eastAsia="Calibri" w:hAnsi="Times New Roman"/>
          <w:lang w:val="lt-LT"/>
        </w:rPr>
        <w:t>Nutraukus tadalafilio vartojimą, dauguma atvejų CSCR išnyko savaime. Kalbant apie NAION</w:t>
      </w:r>
      <w:r w:rsidR="00640D7F">
        <w:rPr>
          <w:rFonts w:ascii="Times New Roman" w:eastAsia="Calibri" w:hAnsi="Times New Roman"/>
          <w:lang w:val="lt-LT"/>
        </w:rPr>
        <w:t>, s</w:t>
      </w:r>
      <w:r w:rsidR="009753CD" w:rsidRPr="00797CDB">
        <w:rPr>
          <w:rFonts w:ascii="Times New Roman" w:eastAsia="Calibri" w:hAnsi="Times New Roman"/>
          <w:lang w:val="lt-LT"/>
        </w:rPr>
        <w:t xml:space="preserve">tebėjimo </w:t>
      </w:r>
      <w:r w:rsidR="00640D7F">
        <w:rPr>
          <w:rFonts w:ascii="Times New Roman" w:eastAsia="Calibri" w:hAnsi="Times New Roman"/>
          <w:lang w:val="lt-LT"/>
        </w:rPr>
        <w:t xml:space="preserve">tyrimų </w:t>
      </w:r>
      <w:r w:rsidR="009753CD" w:rsidRPr="00797CDB">
        <w:rPr>
          <w:rFonts w:ascii="Times New Roman" w:eastAsia="Calibri" w:hAnsi="Times New Roman"/>
          <w:lang w:val="lt-LT"/>
        </w:rPr>
        <w:t>duomenų analizė</w:t>
      </w:r>
      <w:r w:rsidR="00640D7F">
        <w:rPr>
          <w:rFonts w:ascii="Times New Roman" w:eastAsia="Calibri" w:hAnsi="Times New Roman"/>
          <w:lang w:val="lt-LT"/>
        </w:rPr>
        <w:t xml:space="preserve"> </w:t>
      </w:r>
      <w:r w:rsidR="009753CD" w:rsidRPr="00797CDB">
        <w:rPr>
          <w:rFonts w:ascii="Times New Roman" w:eastAsia="Calibri" w:hAnsi="Times New Roman"/>
          <w:lang w:val="lt-LT"/>
        </w:rPr>
        <w:t>rod</w:t>
      </w:r>
      <w:r w:rsidR="00640D7F">
        <w:rPr>
          <w:rFonts w:ascii="Times New Roman" w:eastAsia="Calibri" w:hAnsi="Times New Roman"/>
          <w:lang w:val="lt-LT"/>
        </w:rPr>
        <w:t xml:space="preserve">o </w:t>
      </w:r>
      <w:r w:rsidR="00640D7F" w:rsidRPr="00F1648C">
        <w:rPr>
          <w:rFonts w:ascii="Times New Roman" w:eastAsia="Calibri" w:hAnsi="Times New Roman"/>
          <w:lang w:val="lt-LT"/>
        </w:rPr>
        <w:t xml:space="preserve">didesnę ūminės NAION riziką tadalafilį arba kitokį FDE5 inhibitorių vartojantiems vyrams, kuriems pasireiškia erekcijos funkcijos sutrikimas. Tai gali  būti svarbu visiems tadalafilį vartojantiems pacientams, todėl pacientui reikia paaiškinti, kad staiga sutrikus regėjimui, sumažėjus regos aštrumui ir (arba) atsiradus matomo vaizdo iškraipymų, reikia nutraukti </w:t>
      </w:r>
      <w:r w:rsidR="00640D7F">
        <w:rPr>
          <w:rFonts w:ascii="Times New Roman" w:eastAsia="Calibri" w:hAnsi="Times New Roman"/>
          <w:lang w:val="lt-LT"/>
        </w:rPr>
        <w:t>Quator</w:t>
      </w:r>
      <w:r w:rsidR="00640D7F" w:rsidRPr="00F1648C">
        <w:rPr>
          <w:rFonts w:ascii="Times New Roman" w:eastAsia="Calibri" w:hAnsi="Times New Roman"/>
          <w:lang w:val="lt-LT"/>
        </w:rPr>
        <w:t xml:space="preserve"> vartojimą ir nedelsiant kreiptis į gydytoją (žr. 4.3 skyrių).</w:t>
      </w:r>
      <w:r w:rsidR="009753CD" w:rsidRPr="00797CDB">
        <w:rPr>
          <w:rFonts w:ascii="Times New Roman" w:eastAsia="Calibri" w:hAnsi="Times New Roman"/>
          <w:lang w:val="lt-LT"/>
        </w:rPr>
        <w:t xml:space="preserve"> </w:t>
      </w:r>
    </w:p>
    <w:p w14:paraId="243264D0" w14:textId="77777777" w:rsidR="00FD5C4A" w:rsidRPr="00797CDB" w:rsidRDefault="00FD5C4A" w:rsidP="00A333F1">
      <w:pPr>
        <w:autoSpaceDE w:val="0"/>
        <w:autoSpaceDN w:val="0"/>
        <w:adjustRightInd w:val="0"/>
        <w:rPr>
          <w:rFonts w:eastAsia="TimesNewRomanPSMT"/>
        </w:rPr>
      </w:pPr>
    </w:p>
    <w:p w14:paraId="3C524DCA" w14:textId="77777777" w:rsidR="00AA7A97" w:rsidRPr="00797CDB" w:rsidRDefault="00AA7A97" w:rsidP="00A333F1">
      <w:pPr>
        <w:rPr>
          <w:rFonts w:asciiTheme="minorHAnsi" w:eastAsia="Calibri" w:hAnsiTheme="minorHAnsi" w:cstheme="minorBidi"/>
          <w:szCs w:val="22"/>
          <w:u w:val="single"/>
          <w:lang w:eastAsia="en-US"/>
        </w:rPr>
      </w:pPr>
      <w:r w:rsidRPr="00797CDB">
        <w:rPr>
          <w:rFonts w:eastAsia="Calibri"/>
          <w:u w:val="single"/>
        </w:rPr>
        <w:t>Pablogėjusi klausa arba staigus klausos praradimas</w:t>
      </w:r>
    </w:p>
    <w:p w14:paraId="3C7F0A23" w14:textId="77777777" w:rsidR="00AA7A97" w:rsidRPr="00797CDB" w:rsidRDefault="00AA7A97" w:rsidP="00A333F1">
      <w:pPr>
        <w:rPr>
          <w:rFonts w:asciiTheme="minorHAnsi" w:eastAsia="Calibri" w:hAnsiTheme="minorHAnsi" w:cstheme="minorBidi"/>
          <w:szCs w:val="22"/>
          <w:lang w:eastAsia="en-US"/>
        </w:rPr>
      </w:pPr>
      <w:r w:rsidRPr="00797CDB">
        <w:rPr>
          <w:rFonts w:eastAsia="Calibri"/>
        </w:rPr>
        <w:t>Buvo pranešta apie staigaus klausos praradimo atvejus po tadalafilio pavartojimo. Nors kai kuriais atvejais įtaką darė kiti rizikos veiksniai (pvz., amžius, cukrinis diabetas, hipertenzija ir anksčiau buvęs klausos praradimas), staiga susilpnėjusios klausos arba klausos praradimo atveju, pacientams patariama nebevartoti tadalafilio ir skubiai kreiptis medicininės pagalbos.</w:t>
      </w:r>
    </w:p>
    <w:p w14:paraId="70B4ACB1" w14:textId="77777777" w:rsidR="00AA7A97" w:rsidRPr="00797CDB" w:rsidRDefault="00AA7A97" w:rsidP="00A333F1">
      <w:pPr>
        <w:autoSpaceDE w:val="0"/>
        <w:autoSpaceDN w:val="0"/>
        <w:adjustRightInd w:val="0"/>
        <w:rPr>
          <w:rFonts w:eastAsia="TimesNewRomanPSMT"/>
        </w:rPr>
      </w:pPr>
    </w:p>
    <w:p w14:paraId="5E51E32E"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Inkstų ir kepenų funkcijos sutrikimas</w:t>
      </w:r>
    </w:p>
    <w:p w14:paraId="068556AC"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Dėl padidėjusios tadalafilio ekspozicijos (</w:t>
      </w:r>
      <w:r w:rsidRPr="00797CDB">
        <w:rPr>
          <w:rFonts w:eastAsia="TimesNewRomanPSMT"/>
          <w:i/>
        </w:rPr>
        <w:t>AUC</w:t>
      </w:r>
      <w:r w:rsidRPr="00797CDB">
        <w:rPr>
          <w:rFonts w:eastAsia="TimesNewRomanPSMT"/>
        </w:rPr>
        <w:t>), mažos klinikinės patirties ir galimybės dialize daryti įtaką klirensui stokos pacientams, kuriems yra sunkus inkstų funkcijos sutrikimas, tadalafilio vartojimas kartą per parą yra nerekomenduojamas.</w:t>
      </w:r>
    </w:p>
    <w:p w14:paraId="445ABABC" w14:textId="77777777" w:rsidR="00AA7A97" w:rsidRPr="00797CDB" w:rsidRDefault="00AA7A97" w:rsidP="00A333F1">
      <w:pPr>
        <w:autoSpaceDE w:val="0"/>
        <w:autoSpaceDN w:val="0"/>
        <w:adjustRightInd w:val="0"/>
        <w:rPr>
          <w:rFonts w:eastAsia="TimesNewRomanPSMT"/>
        </w:rPr>
      </w:pPr>
    </w:p>
    <w:p w14:paraId="67BA8540"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Klinikinių duomenų apie tadalafilio vartojimo saugumą erekcijos sutrikimo gydymo metu vaistinio preparato skiriant kartą per parą pacientams, kuriems yra sunkus kepenų nepakankamumas (</w:t>
      </w:r>
      <w:r w:rsidRPr="00797CDB">
        <w:rPr>
          <w:rFonts w:eastAsia="TimesNewRomanPSMT"/>
          <w:i/>
        </w:rPr>
        <w:t>Child-Pugh</w:t>
      </w:r>
      <w:r w:rsidRPr="00797CDB">
        <w:rPr>
          <w:rFonts w:eastAsia="TimesNewRomanPSMT"/>
        </w:rPr>
        <w:t xml:space="preserve"> klasė C), yra mažai. Tadalafilio vartojimas erekcijos sutrikimo gydymo metu jo skiriant kartą per parą pacientams, kuriems yra kepenų nepakankamumas, netirtas. Prieš skirdamas gydytojas turi atidžiai nustatyti tokio gydymo naudos ir rizikos santykį.</w:t>
      </w:r>
    </w:p>
    <w:p w14:paraId="7996E8F9" w14:textId="77777777" w:rsidR="00FD5C4A" w:rsidRPr="00797CDB" w:rsidRDefault="00FD5C4A" w:rsidP="00A333F1">
      <w:pPr>
        <w:autoSpaceDE w:val="0"/>
        <w:autoSpaceDN w:val="0"/>
        <w:adjustRightInd w:val="0"/>
        <w:rPr>
          <w:rFonts w:eastAsia="TimesNewRomanPSMT"/>
        </w:rPr>
      </w:pPr>
    </w:p>
    <w:p w14:paraId="2D749AE9"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Priapizmas ir anatominė varpos deformacija</w:t>
      </w:r>
    </w:p>
    <w:p w14:paraId="6D679942"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 Pacientus būtina įspėti, kad tuo atveju, jeigu erekcija trunka 4 valandas arba ilgiau, būtina nedelsiant kreiptis medicininės pagalbos. Jei priapizmas nepradedamas nedelsiant gydyti, gali atsirasti varpos audinio pažaida ir visam laikui išnykti lytinis pajėgumas.</w:t>
      </w:r>
    </w:p>
    <w:p w14:paraId="3A6F7728" w14:textId="77777777" w:rsidR="00A65131" w:rsidRPr="00797CDB" w:rsidRDefault="00A65131" w:rsidP="00A333F1">
      <w:pPr>
        <w:autoSpaceDE w:val="0"/>
        <w:autoSpaceDN w:val="0"/>
        <w:adjustRightInd w:val="0"/>
        <w:rPr>
          <w:rFonts w:eastAsia="TimesNewRomanPSMT"/>
        </w:rPr>
      </w:pPr>
    </w:p>
    <w:p w14:paraId="613B0EDF"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Tadalafil</w:t>
      </w:r>
      <w:r w:rsidR="00A65131" w:rsidRPr="00797CDB">
        <w:rPr>
          <w:rFonts w:eastAsia="TimesNewRomanPSMT"/>
        </w:rPr>
        <w:t>io</w:t>
      </w:r>
      <w:r w:rsidRPr="00797CDB">
        <w:rPr>
          <w:rFonts w:eastAsia="TimesNewRomanPSMT"/>
        </w:rPr>
        <w:t xml:space="preserve"> reikia atsargiai vartoti pacientams, kuriems yra anatominė varpos deformacija (pvz., anguliacija, kaverninė fibrozė ar Peironi [</w:t>
      </w:r>
      <w:r w:rsidRPr="00797CDB">
        <w:rPr>
          <w:rFonts w:eastAsia="TimesNewRomanPSMT"/>
          <w:i/>
        </w:rPr>
        <w:t>Peyronie</w:t>
      </w:r>
      <w:r w:rsidRPr="00797CDB">
        <w:rPr>
          <w:rFonts w:eastAsia="TimesNewRomanPSMT"/>
        </w:rPr>
        <w:t>] liga) bei pacientams, kuriems yra būklė, galinti</w:t>
      </w:r>
    </w:p>
    <w:p w14:paraId="31B67CF2"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skatinti priapizmo pasireiškimą (pvz., </w:t>
      </w:r>
      <w:r w:rsidR="006879FF" w:rsidRPr="00797CDB">
        <w:rPr>
          <w:rFonts w:eastAsia="TimesNewRomanPSMT"/>
        </w:rPr>
        <w:t>pjautuvo pavidalo ląstelių sutrikimai</w:t>
      </w:r>
      <w:r w:rsidRPr="00797CDB">
        <w:rPr>
          <w:rFonts w:eastAsia="TimesNewRomanPSMT"/>
        </w:rPr>
        <w:t xml:space="preserve">, dauginė mieloma arba leukemija). </w:t>
      </w:r>
    </w:p>
    <w:p w14:paraId="40E41406" w14:textId="77777777" w:rsidR="00FD5C4A" w:rsidRPr="00797CDB" w:rsidRDefault="00FD5C4A" w:rsidP="00A333F1">
      <w:pPr>
        <w:autoSpaceDE w:val="0"/>
        <w:autoSpaceDN w:val="0"/>
        <w:adjustRightInd w:val="0"/>
        <w:rPr>
          <w:rFonts w:eastAsia="TimesNewRomanPSMT"/>
        </w:rPr>
      </w:pPr>
    </w:p>
    <w:p w14:paraId="08E1084B"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Vartojimas kartu su CYP3A4 inhibitoriais</w:t>
      </w:r>
    </w:p>
    <w:p w14:paraId="3C07DE1E"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Atsargiai tadalafilio reikia skirti pacientams, vartojantiems </w:t>
      </w:r>
      <w:r w:rsidR="00A65131" w:rsidRPr="00797CDB">
        <w:rPr>
          <w:rFonts w:eastAsia="TimesNewRomanPSMT"/>
        </w:rPr>
        <w:t xml:space="preserve">stiprių </w:t>
      </w:r>
      <w:r w:rsidRPr="00797CDB">
        <w:rPr>
          <w:rFonts w:eastAsia="TimesNewRomanPSMT"/>
        </w:rPr>
        <w:t xml:space="preserve">CYP3A4 inhibitorių (ritonaviro, sakvinaviro, ketokonazolo, itrakonazolo, </w:t>
      </w:r>
      <w:r w:rsidR="00A65131" w:rsidRPr="00797CDB">
        <w:rPr>
          <w:rFonts w:eastAsia="TimesNewRomanPSMT"/>
        </w:rPr>
        <w:t xml:space="preserve">ir </w:t>
      </w:r>
      <w:r w:rsidRPr="00797CDB">
        <w:rPr>
          <w:rFonts w:eastAsia="TimesNewRomanPSMT"/>
        </w:rPr>
        <w:t>eritromicino), nes buvo pastebėta, kad kartu su šiais vaistiniais preparatais vartojamo tadalafilio ekspozicija (AUC) padidėja (žr. 4.5 skyrių).</w:t>
      </w:r>
    </w:p>
    <w:p w14:paraId="14E0F992" w14:textId="77777777" w:rsidR="00FD5C4A" w:rsidRPr="00797CDB" w:rsidRDefault="00FD5C4A" w:rsidP="00A333F1">
      <w:pPr>
        <w:autoSpaceDE w:val="0"/>
        <w:autoSpaceDN w:val="0"/>
        <w:adjustRightInd w:val="0"/>
        <w:rPr>
          <w:rFonts w:eastAsia="TimesNewRomanPSMT"/>
        </w:rPr>
      </w:pPr>
    </w:p>
    <w:p w14:paraId="15D31342"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Tadalafilis ir kit</w:t>
      </w:r>
      <w:r w:rsidR="00A65131" w:rsidRPr="00797CDB">
        <w:rPr>
          <w:rFonts w:eastAsia="TimesNewRomanPSMT"/>
          <w:u w:val="single"/>
        </w:rPr>
        <w:t>oks</w:t>
      </w:r>
      <w:r w:rsidRPr="00797CDB">
        <w:rPr>
          <w:rFonts w:eastAsia="TimesNewRomanPSMT"/>
          <w:u w:val="single"/>
        </w:rPr>
        <w:t xml:space="preserve"> erekcijos funkcijos sutrikimo gydymas</w:t>
      </w:r>
    </w:p>
    <w:p w14:paraId="5D968DD0"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Ar saugu ir veiksminga tadalafilį vartoti kartu su kitais FDE5 inhibitoriais ar kitokiais vaistiniais preparatais nuo erekcijos funkcijos sutrikimo, netirta. Pacientai turi būti informuoti, kad tadalafilio vartoti kartu su tokiais vaistiniais preparatais negalima.</w:t>
      </w:r>
    </w:p>
    <w:p w14:paraId="73CB3F4C" w14:textId="77777777" w:rsidR="00FD5C4A" w:rsidRPr="00797CDB" w:rsidRDefault="00FD5C4A" w:rsidP="00A333F1">
      <w:pPr>
        <w:autoSpaceDE w:val="0"/>
        <w:autoSpaceDN w:val="0"/>
        <w:adjustRightInd w:val="0"/>
        <w:rPr>
          <w:rFonts w:eastAsia="TimesNewRomanPSMT"/>
        </w:rPr>
      </w:pPr>
    </w:p>
    <w:p w14:paraId="57484589" w14:textId="77777777" w:rsidR="00A65131" w:rsidRPr="00797CDB" w:rsidRDefault="00A65131" w:rsidP="00A333F1">
      <w:pPr>
        <w:autoSpaceDE w:val="0"/>
        <w:autoSpaceDN w:val="0"/>
        <w:adjustRightInd w:val="0"/>
        <w:rPr>
          <w:rFonts w:eastAsia="TimesNewRomanPSMT"/>
          <w:u w:val="single"/>
        </w:rPr>
      </w:pPr>
      <w:r w:rsidRPr="00797CDB">
        <w:rPr>
          <w:rFonts w:eastAsia="TimesNewRomanPSMT"/>
          <w:u w:val="single"/>
        </w:rPr>
        <w:t>L</w:t>
      </w:r>
      <w:r w:rsidR="00FD5C4A" w:rsidRPr="00797CDB">
        <w:rPr>
          <w:rFonts w:eastAsia="TimesNewRomanPSMT"/>
          <w:u w:val="single"/>
        </w:rPr>
        <w:t>aktozė</w:t>
      </w:r>
    </w:p>
    <w:p w14:paraId="0AA08D96" w14:textId="77777777" w:rsidR="00EB159D" w:rsidRPr="00A333F1" w:rsidRDefault="0022768F" w:rsidP="00A333F1">
      <w:pPr>
        <w:autoSpaceDE w:val="0"/>
        <w:autoSpaceDN w:val="0"/>
        <w:adjustRightInd w:val="0"/>
      </w:pPr>
      <w:r w:rsidRPr="00A333F1">
        <w:t xml:space="preserve">Quator </w:t>
      </w:r>
      <w:r w:rsidR="003867A6" w:rsidRPr="00A333F1">
        <w:t>sudėtyje</w:t>
      </w:r>
      <w:r w:rsidRPr="00A333F1">
        <w:t xml:space="preserve"> yra laktozės. </w:t>
      </w:r>
      <w:r w:rsidR="00EB159D" w:rsidRPr="00A333F1">
        <w:t>Šio vaistinio preparato</w:t>
      </w:r>
      <w:r w:rsidRPr="00A333F1">
        <w:t xml:space="preserve"> </w:t>
      </w:r>
      <w:r w:rsidR="00EB159D" w:rsidRPr="00A333F1">
        <w:t>negalima vartoti pacientams, kuriems nustatytas retas paveldimas sutrikimas – galaktozės netoleravimas, visiškas laktazės stygius arba gliukozės ir galaktozės malabsorbcija.</w:t>
      </w:r>
    </w:p>
    <w:p w14:paraId="4C646DC9" w14:textId="77777777" w:rsidR="00FD5C4A" w:rsidRPr="00797CDB" w:rsidRDefault="00FD5C4A" w:rsidP="00A333F1">
      <w:pPr>
        <w:rPr>
          <w:rFonts w:eastAsia="TimesNewRomanPSMT"/>
          <w:b/>
        </w:rPr>
      </w:pPr>
    </w:p>
    <w:p w14:paraId="43D49DFF" w14:textId="77777777" w:rsidR="00A65131" w:rsidRPr="00797CDB" w:rsidRDefault="00A65131" w:rsidP="00A333F1">
      <w:pPr>
        <w:rPr>
          <w:rFonts w:asciiTheme="minorHAnsi" w:eastAsia="TimesNewRomanPSMT" w:hAnsiTheme="minorHAnsi" w:cstheme="minorBidi"/>
          <w:szCs w:val="22"/>
          <w:u w:val="single"/>
          <w:lang w:eastAsia="en-US"/>
        </w:rPr>
      </w:pPr>
      <w:r w:rsidRPr="00797CDB">
        <w:rPr>
          <w:rFonts w:eastAsia="TimesNewRomanPSMT"/>
          <w:u w:val="single"/>
        </w:rPr>
        <w:t>Natris</w:t>
      </w:r>
    </w:p>
    <w:p w14:paraId="4EBE21A4" w14:textId="77777777" w:rsidR="00A65131" w:rsidRPr="00797CDB" w:rsidRDefault="007C195B" w:rsidP="00A333F1">
      <w:pPr>
        <w:rPr>
          <w:rFonts w:asciiTheme="minorHAnsi" w:eastAsia="TimesNewRomanPSMT" w:hAnsiTheme="minorHAnsi" w:cstheme="minorBidi"/>
          <w:szCs w:val="22"/>
          <w:lang w:eastAsia="en-US"/>
        </w:rPr>
      </w:pPr>
      <w:r w:rsidRPr="00797CDB">
        <w:rPr>
          <w:rFonts w:eastAsia="TimesNewRomanPSMT"/>
        </w:rPr>
        <w:t>Šio vaistinio preparato tabletėje yra mažiau kaip 1</w:t>
      </w:r>
      <w:r w:rsidR="003867A6" w:rsidRPr="00797CDB">
        <w:rPr>
          <w:rFonts w:eastAsia="TimesNewRomanPSMT"/>
        </w:rPr>
        <w:t> </w:t>
      </w:r>
      <w:r w:rsidRPr="00797CDB">
        <w:rPr>
          <w:rFonts w:eastAsia="TimesNewRomanPSMT"/>
        </w:rPr>
        <w:t>mmol (23</w:t>
      </w:r>
      <w:r w:rsidR="003867A6" w:rsidRPr="00797CDB">
        <w:rPr>
          <w:rFonts w:eastAsia="TimesNewRomanPSMT"/>
        </w:rPr>
        <w:t> </w:t>
      </w:r>
      <w:r w:rsidRPr="00797CDB">
        <w:rPr>
          <w:rFonts w:eastAsia="TimesNewRomanPSMT"/>
        </w:rPr>
        <w:t>mg) natrio, t.y. jis beveik neturi reikšmės.</w:t>
      </w:r>
    </w:p>
    <w:p w14:paraId="6F1D80E5" w14:textId="77777777" w:rsidR="00A65131" w:rsidRPr="00797CDB" w:rsidRDefault="00A65131" w:rsidP="00A333F1">
      <w:pPr>
        <w:rPr>
          <w:rFonts w:eastAsia="TimesNewRomanPSMT"/>
          <w:b/>
        </w:rPr>
      </w:pPr>
    </w:p>
    <w:p w14:paraId="59E6B5BE" w14:textId="77777777" w:rsidR="00FD5C4A" w:rsidRPr="00A333F1" w:rsidRDefault="00FD5C4A" w:rsidP="00A333F1">
      <w:pPr>
        <w:rPr>
          <w:b/>
        </w:rPr>
      </w:pPr>
      <w:r w:rsidRPr="00A333F1">
        <w:rPr>
          <w:b/>
        </w:rPr>
        <w:t>4.5</w:t>
      </w:r>
      <w:r w:rsidRPr="00A333F1">
        <w:rPr>
          <w:b/>
        </w:rPr>
        <w:tab/>
        <w:t>Sąveika su kitais vaistiniais preparatais ir kitokia sąveika</w:t>
      </w:r>
    </w:p>
    <w:p w14:paraId="02D7313D" w14:textId="77777777" w:rsidR="00FD5C4A" w:rsidRPr="00A333F1" w:rsidRDefault="00FD5C4A" w:rsidP="00A333F1"/>
    <w:p w14:paraId="1488A444"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Sąveikos tyrimų metu vartota 10</w:t>
      </w:r>
      <w:r w:rsidR="000B5CC7" w:rsidRPr="00797CDB">
        <w:rPr>
          <w:rFonts w:eastAsia="TimesNewRomanPSMT"/>
        </w:rPr>
        <w:t> mg</w:t>
      </w:r>
      <w:r w:rsidRPr="00797CDB">
        <w:rPr>
          <w:rFonts w:eastAsia="TimesNewRomanPSMT"/>
        </w:rPr>
        <w:t xml:space="preserve"> ir (arba) 20</w:t>
      </w:r>
      <w:r w:rsidR="000B5CC7" w:rsidRPr="00797CDB">
        <w:rPr>
          <w:rFonts w:eastAsia="TimesNewRomanPSMT"/>
        </w:rPr>
        <w:t> mg</w:t>
      </w:r>
      <w:r w:rsidRPr="00797CDB">
        <w:rPr>
          <w:rFonts w:eastAsia="TimesNewRomanPSMT"/>
        </w:rPr>
        <w:t xml:space="preserve"> tadalafilio dozė (žr. toliau). Remiantis tų tyrimų, kurių metu vartota tik 10</w:t>
      </w:r>
      <w:r w:rsidR="000B5CC7" w:rsidRPr="00797CDB">
        <w:rPr>
          <w:rFonts w:eastAsia="TimesNewRomanPSMT"/>
        </w:rPr>
        <w:t> mg</w:t>
      </w:r>
      <w:r w:rsidRPr="00797CDB">
        <w:rPr>
          <w:rFonts w:eastAsia="TimesNewRomanPSMT"/>
        </w:rPr>
        <w:t xml:space="preserve"> dozė, rezultatais, visiškai paneigti kliniškai reikšmingą sąveiką vartojant didesnę dozę negalima.</w:t>
      </w:r>
    </w:p>
    <w:p w14:paraId="59127389" w14:textId="77777777" w:rsidR="00FD5C4A" w:rsidRPr="00797CDB" w:rsidRDefault="00FD5C4A" w:rsidP="00A333F1">
      <w:pPr>
        <w:autoSpaceDE w:val="0"/>
        <w:autoSpaceDN w:val="0"/>
        <w:adjustRightInd w:val="0"/>
        <w:rPr>
          <w:rFonts w:eastAsia="TimesNewRomanPSMT"/>
        </w:rPr>
      </w:pPr>
    </w:p>
    <w:p w14:paraId="33E72D68"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u w:val="single"/>
        </w:rPr>
        <w:t>Kitų medžiagų poveikis tadalafiliui</w:t>
      </w:r>
    </w:p>
    <w:p w14:paraId="46C5B211" w14:textId="77777777" w:rsidR="00AD5560" w:rsidRPr="00797CDB" w:rsidRDefault="00AD5560" w:rsidP="00A333F1">
      <w:pPr>
        <w:autoSpaceDE w:val="0"/>
        <w:autoSpaceDN w:val="0"/>
        <w:adjustRightInd w:val="0"/>
        <w:rPr>
          <w:rFonts w:eastAsia="TimesNewRomanPSMT"/>
          <w:i/>
          <w:u w:val="single"/>
        </w:rPr>
      </w:pPr>
    </w:p>
    <w:p w14:paraId="294D145D"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Citochromo P450 inhibitoriai</w:t>
      </w:r>
    </w:p>
    <w:p w14:paraId="0D12F3A1" w14:textId="77777777" w:rsidR="00AD5560" w:rsidRPr="00797CDB" w:rsidRDefault="00AD5560" w:rsidP="00A333F1">
      <w:pPr>
        <w:rPr>
          <w:rFonts w:asciiTheme="minorHAnsi" w:eastAsia="Calibri" w:hAnsiTheme="minorHAnsi" w:cstheme="minorBidi"/>
          <w:szCs w:val="22"/>
          <w:lang w:eastAsia="en-US"/>
        </w:rPr>
      </w:pPr>
      <w:r w:rsidRPr="00797CDB">
        <w:rPr>
          <w:rFonts w:eastAsia="Calibri"/>
        </w:rPr>
        <w:t>Daugiausiai tadalafilio metabolizuojama veikiant CYP3A4 fermentams. 10 mg tadalafilio dozės, vartojamos kartu su selektyvaus poveikio CYP3A4 inhibitoriumi ketokonazolu (200 mg paros doze) plotas po koncentracijos kreive (AUC) buvo 2 kartus, didžiausia koncentracija kraujo plazmoje (C</w:t>
      </w:r>
      <w:r w:rsidRPr="00797CDB">
        <w:rPr>
          <w:rFonts w:eastAsia="Calibri"/>
          <w:vertAlign w:val="subscript"/>
        </w:rPr>
        <w:t>max</w:t>
      </w:r>
      <w:r w:rsidRPr="00797CDB">
        <w:rPr>
          <w:rFonts w:eastAsia="Calibri"/>
        </w:rPr>
        <w:t>) – 15 %, didesni, negu vartojamo vieno tadalafilio AUC</w:t>
      </w:r>
      <w:r w:rsidRPr="00797CDB">
        <w:rPr>
          <w:rFonts w:eastAsia="Calibri"/>
          <w:i/>
        </w:rPr>
        <w:t xml:space="preserve"> </w:t>
      </w:r>
      <w:r w:rsidRPr="00797CDB">
        <w:rPr>
          <w:rFonts w:eastAsia="Calibri"/>
        </w:rPr>
        <w:t>ir C</w:t>
      </w:r>
      <w:r w:rsidRPr="00797CDB">
        <w:rPr>
          <w:rFonts w:eastAsia="Calibri"/>
          <w:vertAlign w:val="subscript"/>
        </w:rPr>
        <w:t>max</w:t>
      </w:r>
      <w:r w:rsidRPr="00797CDB">
        <w:rPr>
          <w:rFonts w:eastAsia="Calibri"/>
        </w:rPr>
        <w:t>. 400 mg ketokonazolo paros dozė kartu vartojamo 20 mg tadalafilio ekspoziciją (AUC)</w:t>
      </w:r>
      <w:r w:rsidRPr="00797CDB">
        <w:rPr>
          <w:rFonts w:eastAsia="Calibri"/>
          <w:i/>
        </w:rPr>
        <w:t xml:space="preserve"> </w:t>
      </w:r>
      <w:r w:rsidRPr="00797CDB">
        <w:rPr>
          <w:rFonts w:eastAsia="Calibri"/>
        </w:rPr>
        <w:t>padidino 4 kartus, C</w:t>
      </w:r>
      <w:r w:rsidRPr="00797CDB">
        <w:rPr>
          <w:rFonts w:eastAsia="Calibri"/>
          <w:vertAlign w:val="subscript"/>
        </w:rPr>
        <w:t>max</w:t>
      </w:r>
      <w:r w:rsidRPr="00797CDB">
        <w:rPr>
          <w:rFonts w:eastAsia="Calibri"/>
          <w:i/>
        </w:rPr>
        <w:t xml:space="preserve"> </w:t>
      </w:r>
      <w:r w:rsidRPr="00797CDB">
        <w:rPr>
          <w:rFonts w:eastAsia="Calibri"/>
        </w:rPr>
        <w:t>– 22 %. CYP3A4, CYP2C9, CYP2C19 ir CYP2D6 fermentų aktyvumą slopinantis proteazės inhibitorius ritonaviras (vartojamas po 200 mg 2 kartus per parą) 20 mg tadalafilio ekspoziciją AUC</w:t>
      </w:r>
      <w:r w:rsidRPr="00797CDB">
        <w:rPr>
          <w:rFonts w:eastAsia="Calibri"/>
          <w:i/>
        </w:rPr>
        <w:t xml:space="preserve"> </w:t>
      </w:r>
      <w:r w:rsidRPr="00797CDB">
        <w:rPr>
          <w:rFonts w:eastAsia="Calibri"/>
        </w:rPr>
        <w:t>padidino 2 kartus, tačiau C</w:t>
      </w:r>
      <w:r w:rsidRPr="00797CDB">
        <w:rPr>
          <w:rFonts w:eastAsia="Calibri"/>
          <w:vertAlign w:val="subscript"/>
        </w:rPr>
        <w:t>max</w:t>
      </w:r>
      <w:r w:rsidRPr="00797CDB">
        <w:rPr>
          <w:rFonts w:eastAsia="Calibri"/>
          <w:i/>
        </w:rPr>
        <w:t xml:space="preserve"> </w:t>
      </w:r>
      <w:r w:rsidRPr="00797CDB">
        <w:rPr>
          <w:rFonts w:eastAsia="Calibri"/>
        </w:rPr>
        <w:t>įtakos nedarė. Nors specifinė sąveika netirta, kitų proteazės inhibitorių, pvz. sakvinaviro, ar kitų CYP3A4 inhibitorių, pvz., eritromicino, klaritromicino, itrakonazolo ar greipfrutų sulčių, kartu su tadalafiliu reikia vartoti atsargiai, kadangi tikėtina, kad jie didins tadalafilio koncentracijas kraujo plazmoje (žr. 4.4 skyrių), todėl gali dažniau pasireikšti 4.8 skyriuje išvardytos nepageidaujamos reakcijos.</w:t>
      </w:r>
    </w:p>
    <w:p w14:paraId="2B1911AD" w14:textId="77777777" w:rsidR="00FD5C4A" w:rsidRPr="00797CDB" w:rsidRDefault="00FD5C4A" w:rsidP="00A333F1">
      <w:pPr>
        <w:autoSpaceDE w:val="0"/>
        <w:autoSpaceDN w:val="0"/>
        <w:adjustRightInd w:val="0"/>
        <w:rPr>
          <w:rFonts w:eastAsia="TimesNewRomanPSMT"/>
          <w:i/>
        </w:rPr>
      </w:pPr>
    </w:p>
    <w:p w14:paraId="7BC7D76F"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Nešikliai</w:t>
      </w:r>
    </w:p>
    <w:p w14:paraId="3CA0C95E"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Nešiklių (pvz., p-glikoproteino) vaidmuo tadalafilio pasiskirstymui nežinomas. Todėl galima vaistinių preparatų sąveika, priklausanti nuo nešiklių slopinimo.</w:t>
      </w:r>
    </w:p>
    <w:p w14:paraId="7F59E15A" w14:textId="77777777" w:rsidR="00FD5C4A" w:rsidRPr="00797CDB" w:rsidRDefault="00FD5C4A" w:rsidP="00A333F1">
      <w:pPr>
        <w:autoSpaceDE w:val="0"/>
        <w:autoSpaceDN w:val="0"/>
        <w:adjustRightInd w:val="0"/>
        <w:rPr>
          <w:rFonts w:eastAsia="TimesNewRomanPSMT"/>
          <w:i/>
        </w:rPr>
      </w:pPr>
    </w:p>
    <w:p w14:paraId="36274177"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i/>
        </w:rPr>
        <w:t>Citochromo P450 induktoriai</w:t>
      </w:r>
    </w:p>
    <w:p w14:paraId="1B07512B" w14:textId="77777777" w:rsidR="00FD5C4A" w:rsidRPr="00797CDB" w:rsidRDefault="00FD5C4A" w:rsidP="00A333F1">
      <w:pPr>
        <w:autoSpaceDE w:val="0"/>
        <w:autoSpaceDN w:val="0"/>
        <w:adjustRightInd w:val="0"/>
        <w:rPr>
          <w:rFonts w:eastAsia="TimesNewRomanPSMT"/>
          <w:i/>
        </w:rPr>
      </w:pPr>
    </w:p>
    <w:p w14:paraId="02C1976C"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Kartu su CYP 3A4 induktoriumi rifampicinu (600</w:t>
      </w:r>
      <w:r w:rsidR="000B5CC7" w:rsidRPr="00797CDB">
        <w:rPr>
          <w:rFonts w:eastAsia="TimesNewRomanPSMT"/>
        </w:rPr>
        <w:t> mg</w:t>
      </w:r>
      <w:r w:rsidRPr="00797CDB">
        <w:rPr>
          <w:rFonts w:eastAsia="TimesNewRomanPSMT"/>
        </w:rPr>
        <w:t xml:space="preserve"> paros doze) vartojamo tadalafilio </w:t>
      </w:r>
      <w:r w:rsidRPr="00797CDB">
        <w:rPr>
          <w:rFonts w:eastAsia="TimesNewRomanPSMT"/>
          <w:i/>
        </w:rPr>
        <w:t xml:space="preserve">AUC </w:t>
      </w:r>
      <w:r w:rsidRPr="00797CDB">
        <w:rPr>
          <w:rFonts w:eastAsia="TimesNewRomanPSMT"/>
        </w:rPr>
        <w:t>reikšmės</w:t>
      </w:r>
      <w:r w:rsidRPr="00797CDB">
        <w:rPr>
          <w:rFonts w:eastAsia="TimesNewRomanPSMT"/>
          <w:i/>
        </w:rPr>
        <w:t xml:space="preserve"> </w:t>
      </w:r>
      <w:r w:rsidRPr="00797CDB">
        <w:rPr>
          <w:rFonts w:eastAsia="TimesNewRomanPSMT"/>
        </w:rPr>
        <w:t>buvo 88 % mažesnės, negu AUC reikšmės vartojamo vieno tadalafilio (10</w:t>
      </w:r>
      <w:r w:rsidR="000B5CC7" w:rsidRPr="00797CDB">
        <w:rPr>
          <w:rFonts w:eastAsia="TimesNewRomanPSMT"/>
        </w:rPr>
        <w:t> mg</w:t>
      </w:r>
      <w:r w:rsidRPr="00797CDB">
        <w:rPr>
          <w:rFonts w:eastAsia="TimesNewRomanPSMT"/>
        </w:rPr>
        <w:t xml:space="preserve">). Tikėtina, kad dėl tokio ekspozicijos sumažėjimo sumažėja ir tadalafilio veiksmingumas. </w:t>
      </w:r>
      <w:r w:rsidR="00AD5560" w:rsidRPr="00797CDB">
        <w:rPr>
          <w:rFonts w:eastAsia="TimesNewRomanPSMT"/>
        </w:rPr>
        <w:t xml:space="preserve">Jo sumažėjimo dydis yra nežinomas. </w:t>
      </w:r>
      <w:r w:rsidRPr="00797CDB">
        <w:rPr>
          <w:rFonts w:eastAsia="TimesNewRomanPSMT"/>
        </w:rPr>
        <w:t>Kiti CYP3A4 induktoriai, pvz., fenobarbitalis, fenitoinas ir karbamazepinas, taip pat gali mažinti kartu vartojamo tadalafilio koncentracijas kraujo plazmoje.</w:t>
      </w:r>
    </w:p>
    <w:p w14:paraId="57DAB192" w14:textId="77777777" w:rsidR="00FD5C4A" w:rsidRPr="00797CDB" w:rsidRDefault="00FD5C4A" w:rsidP="00A333F1">
      <w:pPr>
        <w:autoSpaceDE w:val="0"/>
        <w:autoSpaceDN w:val="0"/>
        <w:adjustRightInd w:val="0"/>
        <w:rPr>
          <w:rFonts w:eastAsia="TimesNewRomanPSMT"/>
        </w:rPr>
      </w:pPr>
    </w:p>
    <w:p w14:paraId="7BDB15BD"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u w:val="single"/>
        </w:rPr>
        <w:t>Tadalafilio poveikis kitiems vaistiniams preparatams</w:t>
      </w:r>
    </w:p>
    <w:p w14:paraId="1EDDF37D" w14:textId="77777777" w:rsidR="00A20226" w:rsidRPr="00797CDB" w:rsidRDefault="00A20226" w:rsidP="00A333F1">
      <w:pPr>
        <w:autoSpaceDE w:val="0"/>
        <w:autoSpaceDN w:val="0"/>
        <w:adjustRightInd w:val="0"/>
        <w:rPr>
          <w:rFonts w:eastAsia="TimesNewRomanPSMT"/>
          <w:i/>
          <w:u w:val="single"/>
        </w:rPr>
      </w:pPr>
    </w:p>
    <w:p w14:paraId="43D2D7C1"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Nitratai</w:t>
      </w:r>
    </w:p>
    <w:p w14:paraId="0AABDCAF"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Klinikinių tyrimų metu tadalafilis (5</w:t>
      </w:r>
      <w:r w:rsidR="000B5CC7" w:rsidRPr="00797CDB">
        <w:rPr>
          <w:rFonts w:eastAsia="TimesNewRomanPSMT"/>
        </w:rPr>
        <w:t> mg</w:t>
      </w:r>
      <w:r w:rsidRPr="00797CDB">
        <w:rPr>
          <w:rFonts w:eastAsia="TimesNewRomanPSMT"/>
        </w:rPr>
        <w:t>, 10</w:t>
      </w:r>
      <w:r w:rsidR="000B5CC7" w:rsidRPr="00797CDB">
        <w:rPr>
          <w:rFonts w:eastAsia="TimesNewRomanPSMT"/>
        </w:rPr>
        <w:t> mg</w:t>
      </w:r>
      <w:r w:rsidRPr="00797CDB">
        <w:rPr>
          <w:rFonts w:eastAsia="TimesNewRomanPSMT"/>
        </w:rPr>
        <w:t xml:space="preserve"> ar 20</w:t>
      </w:r>
      <w:r w:rsidR="000B5CC7" w:rsidRPr="00797CDB">
        <w:rPr>
          <w:rFonts w:eastAsia="TimesNewRomanPSMT"/>
        </w:rPr>
        <w:t> mg</w:t>
      </w:r>
      <w:r w:rsidRPr="00797CDB">
        <w:rPr>
          <w:rFonts w:eastAsia="TimesNewRomanPSMT"/>
        </w:rPr>
        <w:t xml:space="preserve"> dozė) sustiprino nitratų sukeliamą hipotenzinį poveikį. Dėl to pacientams, vartojantiems bet kokios formos organinio nitrato, tadalafilio vartoti draudžiama (žr. 4.3 skyrių). Remiantis klinikinio tyrimo, kurio metu 150 </w:t>
      </w:r>
      <w:r w:rsidR="00A20226" w:rsidRPr="00797CDB">
        <w:rPr>
          <w:rFonts w:eastAsia="TimesNewRomanPSMT"/>
        </w:rPr>
        <w:t>asmenų</w:t>
      </w:r>
      <w:r w:rsidRPr="00797CDB">
        <w:rPr>
          <w:rFonts w:eastAsia="TimesNewRomanPSMT"/>
        </w:rPr>
        <w:t xml:space="preserve"> 7 paras kasdien gėrė 20</w:t>
      </w:r>
      <w:r w:rsidR="000B5CC7" w:rsidRPr="00797CDB">
        <w:rPr>
          <w:rFonts w:eastAsia="TimesNewRomanPSMT"/>
        </w:rPr>
        <w:t> mg</w:t>
      </w:r>
      <w:r w:rsidRPr="00797CDB">
        <w:rPr>
          <w:rFonts w:eastAsia="TimesNewRomanPSMT"/>
        </w:rPr>
        <w:t xml:space="preserve"> tadalafilio dozę ir įvairiu laiku po liežuviu vartojo 0,4</w:t>
      </w:r>
      <w:r w:rsidR="000B5CC7" w:rsidRPr="00797CDB">
        <w:rPr>
          <w:rFonts w:eastAsia="TimesNewRomanPSMT"/>
        </w:rPr>
        <w:t> mg</w:t>
      </w:r>
      <w:r w:rsidRPr="00797CDB">
        <w:rPr>
          <w:rFonts w:eastAsia="TimesNewRomanPSMT"/>
        </w:rPr>
        <w:t xml:space="preserve"> nitroglicerino dozę, duomenimis, minėta sąveika trunka ilgiau negu 24 valandas ir tampa nepastebima praėjus 48 valandoms po paskutinės tadalafilio dozės vartojimo. Vadinasi, pacientams, kuriems paskirta bet kokia tadalafilio dozė (2,5</w:t>
      </w:r>
      <w:r w:rsidR="00A20226" w:rsidRPr="00797CDB">
        <w:rPr>
          <w:rFonts w:eastAsia="TimesNewRomanPSMT"/>
        </w:rPr>
        <w:t xml:space="preserve"> mg </w:t>
      </w:r>
      <w:r w:rsidRPr="00797CDB">
        <w:rPr>
          <w:rFonts w:eastAsia="TimesNewRomanPSMT"/>
        </w:rPr>
        <w:t>-</w:t>
      </w:r>
      <w:r w:rsidR="00A20226" w:rsidRPr="00797CDB">
        <w:rPr>
          <w:rFonts w:eastAsia="TimesNewRomanPSMT"/>
        </w:rPr>
        <w:t xml:space="preserve"> </w:t>
      </w:r>
      <w:r w:rsidRPr="00797CDB">
        <w:rPr>
          <w:rFonts w:eastAsia="TimesNewRomanPSMT"/>
        </w:rPr>
        <w:t>20</w:t>
      </w:r>
      <w:r w:rsidR="000B5CC7" w:rsidRPr="00797CDB">
        <w:rPr>
          <w:rFonts w:eastAsia="TimesNewRomanPSMT"/>
        </w:rPr>
        <w:t> mg</w:t>
      </w:r>
      <w:r w:rsidRPr="00797CDB">
        <w:rPr>
          <w:rFonts w:eastAsia="TimesNewRomanPSMT"/>
        </w:rPr>
        <w:t xml:space="preserve">) ir kuriems gyvybei pavojingos būklės atveju vartoti nitratų yra būtina, jų galima vartoti tik praėjus mažiausiai 48 val. po paskutinės tadalafilio dozės pavartojimo. Tokiu atveju nitratų galima vartoti tik atidžiai gydytojui prižiūrint ir tinkamai sekant </w:t>
      </w:r>
      <w:r w:rsidR="00A20226" w:rsidRPr="00797CDB">
        <w:rPr>
          <w:rFonts w:eastAsia="TimesNewRomanPSMT"/>
        </w:rPr>
        <w:t>kraujotaką</w:t>
      </w:r>
      <w:r w:rsidRPr="00797CDB">
        <w:rPr>
          <w:rFonts w:eastAsia="TimesNewRomanPSMT"/>
        </w:rPr>
        <w:t>.</w:t>
      </w:r>
    </w:p>
    <w:p w14:paraId="7E3DE9AE" w14:textId="77777777" w:rsidR="00FD5C4A" w:rsidRPr="00797CDB" w:rsidRDefault="00FD5C4A" w:rsidP="00A333F1">
      <w:pPr>
        <w:autoSpaceDE w:val="0"/>
        <w:autoSpaceDN w:val="0"/>
        <w:adjustRightInd w:val="0"/>
        <w:rPr>
          <w:rFonts w:eastAsia="TimesNewRomanPSMT"/>
          <w:i/>
        </w:rPr>
      </w:pPr>
    </w:p>
    <w:p w14:paraId="283ABCB0" w14:textId="77777777" w:rsidR="00FD5C4A" w:rsidRPr="00797CDB" w:rsidRDefault="00FD5C4A" w:rsidP="00A333F1">
      <w:pPr>
        <w:autoSpaceDE w:val="0"/>
        <w:autoSpaceDN w:val="0"/>
        <w:adjustRightInd w:val="0"/>
        <w:rPr>
          <w:rFonts w:asciiTheme="minorHAnsi" w:eastAsia="TimesNewRomanPSMT" w:hAnsiTheme="minorHAnsi" w:cstheme="minorBidi"/>
          <w:i/>
          <w:szCs w:val="22"/>
          <w:lang w:eastAsia="en-US"/>
        </w:rPr>
      </w:pPr>
      <w:r w:rsidRPr="00797CDB">
        <w:rPr>
          <w:rFonts w:eastAsia="TimesNewRomanPSMT"/>
          <w:i/>
        </w:rPr>
        <w:t>Antihipertenziniai vaistiniai preparatai (įskaitant kalcio kanalų blokatorius)</w:t>
      </w:r>
    </w:p>
    <w:p w14:paraId="706564CE"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Doksazosiną (4</w:t>
      </w:r>
      <w:r w:rsidR="000B5CC7" w:rsidRPr="00797CDB">
        <w:rPr>
          <w:rFonts w:eastAsia="TimesNewRomanPSMT"/>
        </w:rPr>
        <w:t> mg</w:t>
      </w:r>
      <w:r w:rsidRPr="00797CDB">
        <w:rPr>
          <w:rFonts w:eastAsia="TimesNewRomanPSMT"/>
        </w:rPr>
        <w:t xml:space="preserve"> ir 8</w:t>
      </w:r>
      <w:r w:rsidR="000B5CC7" w:rsidRPr="00797CDB">
        <w:rPr>
          <w:rFonts w:eastAsia="TimesNewRomanPSMT"/>
        </w:rPr>
        <w:t> mg</w:t>
      </w:r>
      <w:r w:rsidRPr="00797CDB">
        <w:rPr>
          <w:rFonts w:eastAsia="TimesNewRomanPSMT"/>
        </w:rPr>
        <w:t xml:space="preserve"> per parą) vartojant kartu su tadalafiliu (5</w:t>
      </w:r>
      <w:r w:rsidR="000B5CC7" w:rsidRPr="00797CDB">
        <w:rPr>
          <w:rFonts w:eastAsia="TimesNewRomanPSMT"/>
        </w:rPr>
        <w:t> mg</w:t>
      </w:r>
      <w:r w:rsidRPr="00797CDB">
        <w:rPr>
          <w:rFonts w:eastAsia="TimesNewRomanPSMT"/>
        </w:rPr>
        <w:t xml:space="preserve"> paros dozę ir 20</w:t>
      </w:r>
      <w:r w:rsidR="000B5CC7" w:rsidRPr="00797CDB">
        <w:rPr>
          <w:rFonts w:eastAsia="TimesNewRomanPSMT"/>
        </w:rPr>
        <w:t> mg</w:t>
      </w:r>
      <w:r w:rsidRPr="00797CDB">
        <w:rPr>
          <w:rFonts w:eastAsia="TimesNewRomanPSMT"/>
        </w:rPr>
        <w:t xml:space="preserve"> </w:t>
      </w:r>
      <w:r w:rsidR="009C49A2" w:rsidRPr="00797CDB">
        <w:rPr>
          <w:rFonts w:eastAsia="TimesNewRomanPSMT"/>
        </w:rPr>
        <w:t>pavienę</w:t>
      </w:r>
      <w:r w:rsidRPr="00797CDB">
        <w:rPr>
          <w:rFonts w:eastAsia="TimesNewRomanPSMT"/>
        </w:rPr>
        <w:t xml:space="preserve"> dozę), šio alfa adrenoreceptorių blokatoriaus kraujo</w:t>
      </w:r>
      <w:r w:rsidR="009C49A2" w:rsidRPr="00797CDB">
        <w:rPr>
          <w:rFonts w:eastAsia="TimesNewRomanPSMT"/>
        </w:rPr>
        <w:t xml:space="preserve"> spaudimą</w:t>
      </w:r>
      <w:r w:rsidRPr="00797CDB">
        <w:rPr>
          <w:rFonts w:eastAsia="TimesNewRomanPSMT"/>
        </w:rPr>
        <w:t xml:space="preserve"> mažinantis poveikis reikšmingai sustiprėjo. Toks poveikis pasireiškia ne trumpiau kaip dvylika valandų ir gali sukelti simptomus, įskaitant apalpimą. Todėl šio derinio vartoti nerekomenduojama (žr. 4.4 skyrių). </w:t>
      </w:r>
    </w:p>
    <w:p w14:paraId="7CD92DDD"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Sąveikos tyrimo, kuriame dalyvavo nedidelis skaičius sveikų savanorių, duomenimis, vartojant vaistin</w:t>
      </w:r>
      <w:r w:rsidR="009C49A2" w:rsidRPr="00797CDB">
        <w:rPr>
          <w:rFonts w:eastAsia="TimesNewRomanPSMT"/>
        </w:rPr>
        <w:t>io</w:t>
      </w:r>
      <w:r w:rsidRPr="00797CDB">
        <w:rPr>
          <w:rFonts w:eastAsia="TimesNewRomanPSMT"/>
        </w:rPr>
        <w:t xml:space="preserve"> preparat</w:t>
      </w:r>
      <w:r w:rsidR="009C49A2" w:rsidRPr="00797CDB">
        <w:rPr>
          <w:rFonts w:eastAsia="TimesNewRomanPSMT"/>
        </w:rPr>
        <w:t>o</w:t>
      </w:r>
      <w:r w:rsidRPr="00797CDB">
        <w:rPr>
          <w:rFonts w:eastAsia="TimesNewRomanPSMT"/>
        </w:rPr>
        <w:t xml:space="preserve"> kartu su alfuzozinu ar tamsulozinu, toks poveikis nepasireiškė. Vis dėlto tadalafil</w:t>
      </w:r>
      <w:r w:rsidR="009C49A2" w:rsidRPr="00797CDB">
        <w:rPr>
          <w:rFonts w:eastAsia="TimesNewRomanPSMT"/>
        </w:rPr>
        <w:t>io</w:t>
      </w:r>
      <w:r w:rsidRPr="00797CDB">
        <w:rPr>
          <w:rFonts w:eastAsia="TimesNewRomanPSMT"/>
        </w:rPr>
        <w:t xml:space="preserve"> vartoti pacientams, kurie gydomi bet kuriais alfa adrenoreceptorių blokatoriais, ypač senyv</w:t>
      </w:r>
      <w:r w:rsidR="009C49A2" w:rsidRPr="00797CDB">
        <w:rPr>
          <w:rFonts w:eastAsia="TimesNewRomanPSMT"/>
        </w:rPr>
        <w:t>iems</w:t>
      </w:r>
      <w:r w:rsidRPr="00797CDB">
        <w:rPr>
          <w:rFonts w:eastAsia="TimesNewRomanPSMT"/>
        </w:rPr>
        <w:t xml:space="preserve"> pacient</w:t>
      </w:r>
      <w:r w:rsidR="009C49A2" w:rsidRPr="00797CDB">
        <w:rPr>
          <w:rFonts w:eastAsia="TimesNewRomanPSMT"/>
        </w:rPr>
        <w:t>ams</w:t>
      </w:r>
      <w:r w:rsidRPr="00797CDB">
        <w:rPr>
          <w:rFonts w:eastAsia="TimesNewRomanPSMT"/>
        </w:rPr>
        <w:t>, reikia atsargiai. Gydymą reikia pradėti mažiausia vaistinio preparato doze ir ją palaipsniui didinti.</w:t>
      </w:r>
    </w:p>
    <w:p w14:paraId="32C18161" w14:textId="77777777" w:rsidR="009C49A2" w:rsidRPr="00797CDB" w:rsidRDefault="009C49A2" w:rsidP="00A333F1">
      <w:pPr>
        <w:autoSpaceDE w:val="0"/>
        <w:autoSpaceDN w:val="0"/>
        <w:adjustRightInd w:val="0"/>
        <w:rPr>
          <w:rFonts w:eastAsia="TimesNewRomanPSMT"/>
        </w:rPr>
      </w:pPr>
    </w:p>
    <w:p w14:paraId="448D3716"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Klinikin</w:t>
      </w:r>
      <w:r w:rsidR="009C49A2" w:rsidRPr="00797CDB">
        <w:rPr>
          <w:rFonts w:eastAsia="TimesNewRomanPSMT"/>
        </w:rPr>
        <w:t>ės</w:t>
      </w:r>
      <w:r w:rsidRPr="00797CDB">
        <w:rPr>
          <w:rFonts w:eastAsia="TimesNewRomanPSMT"/>
        </w:rPr>
        <w:t xml:space="preserve"> farmakologi</w:t>
      </w:r>
      <w:r w:rsidR="009C49A2" w:rsidRPr="00797CDB">
        <w:rPr>
          <w:rFonts w:eastAsia="TimesNewRomanPSMT"/>
        </w:rPr>
        <w:t>jos</w:t>
      </w:r>
      <w:r w:rsidRPr="00797CDB">
        <w:rPr>
          <w:rFonts w:eastAsia="TimesNewRomanPSMT"/>
        </w:rPr>
        <w:t xml:space="preserve">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 adrenoblokatoriais ir (ar) alfa adrenoblokatoriais). Klinikai reikšmingos tadalafilio (10</w:t>
      </w:r>
      <w:r w:rsidR="000B5CC7" w:rsidRPr="00797CDB">
        <w:rPr>
          <w:rFonts w:eastAsia="TimesNewRomanPSMT"/>
        </w:rPr>
        <w:t> mg</w:t>
      </w:r>
      <w:r w:rsidRPr="00797CDB">
        <w:rPr>
          <w:rFonts w:eastAsia="TimesNewRomanPSMT"/>
        </w:rPr>
        <w:t xml:space="preserve"> dozė, išskyrus sąveikos su angiotenzino II receptorių blokatoriais ir amlodipinu tyrimus, kurių metu buvo vartota 20</w:t>
      </w:r>
      <w:r w:rsidR="000B5CC7" w:rsidRPr="00797CDB">
        <w:rPr>
          <w:rFonts w:eastAsia="TimesNewRomanPSMT"/>
        </w:rPr>
        <w:t> mg</w:t>
      </w:r>
      <w:r w:rsidRPr="00797CDB">
        <w:rPr>
          <w:rFonts w:eastAsia="TimesNewRomanPSMT"/>
        </w:rPr>
        <w:t xml:space="preserve"> dozė) sąveikos su visų tirtų grupių vaistiniais preparatais nepastebėta. Kito klinikinio farmakologinio tyrimo metu nustatinėta 20</w:t>
      </w:r>
      <w:r w:rsidR="000B5CC7" w:rsidRPr="00797CDB">
        <w:rPr>
          <w:rFonts w:eastAsia="TimesNewRomanPSMT"/>
        </w:rPr>
        <w:t> mg</w:t>
      </w:r>
      <w:r w:rsidRPr="00797CDB">
        <w:rPr>
          <w:rFonts w:eastAsia="TimesNewRomanPSMT"/>
        </w:rPr>
        <w:t xml:space="preserve"> tadalafilio dozės sąveika su 4 grupių antihipertenziniais vaistiniais preparatais. Tiriamiesiems, vartojantiems kelis antihipertenzinius vaistinius preparatus, ambulatorijoje matuojamo kraujo</w:t>
      </w:r>
      <w:r w:rsidR="00C72436" w:rsidRPr="00797CDB">
        <w:rPr>
          <w:rFonts w:eastAsia="TimesNewRomanPSMT"/>
        </w:rPr>
        <w:t xml:space="preserve"> spaudimo</w:t>
      </w:r>
      <w:r w:rsidRPr="00797CDB">
        <w:rPr>
          <w:rFonts w:eastAsia="TimesNewRomanPSMT"/>
        </w:rPr>
        <w:t xml:space="preserve"> pokyčiai priklausė nuo jo reguliavimo laipsnio. Vadinasi, tų tiriamųjų, kurių kraujo</w:t>
      </w:r>
      <w:r w:rsidR="009C49A2" w:rsidRPr="00797CDB">
        <w:rPr>
          <w:rFonts w:eastAsia="TimesNewRomanPSMT"/>
        </w:rPr>
        <w:t xml:space="preserve"> spaudimas</w:t>
      </w:r>
      <w:r w:rsidRPr="00797CDB">
        <w:rPr>
          <w:rFonts w:eastAsia="TimesNewRomanPSMT"/>
        </w:rPr>
        <w:t xml:space="preserve"> buvo gerai reguliuojamas, jo mažėjimas buvo minimalus ir panašus į pasireiškiantį sveikiems žmonėms. Pacientams, kurių kraujo</w:t>
      </w:r>
      <w:r w:rsidR="009C49A2" w:rsidRPr="00797CDB">
        <w:rPr>
          <w:rFonts w:eastAsia="TimesNewRomanPSMT"/>
        </w:rPr>
        <w:t xml:space="preserve"> spaudimas</w:t>
      </w:r>
      <w:r w:rsidRPr="00797CDB">
        <w:rPr>
          <w:rFonts w:eastAsia="TimesNewRomanPSMT"/>
        </w:rPr>
        <w:t xml:space="preserve"> nebuvo reguliuojamas, jis mažėjo daugiau, tačiau daugumai tiriamųjų mažėjimas nebuvo susijęs su hipotenzijos simptomais. Pacientams, gydomiems antihipertenziniais vaistiniais preparatais, 20</w:t>
      </w:r>
      <w:r w:rsidR="000B5CC7" w:rsidRPr="00797CDB">
        <w:rPr>
          <w:rFonts w:eastAsia="TimesNewRomanPSMT"/>
        </w:rPr>
        <w:t> mg</w:t>
      </w:r>
      <w:r w:rsidRPr="00797CDB">
        <w:rPr>
          <w:rFonts w:eastAsia="TimesNewRomanPSMT"/>
        </w:rPr>
        <w:t xml:space="preserve"> tadalafilio dozė gali sukelti kraujo</w:t>
      </w:r>
      <w:r w:rsidR="009C49A2" w:rsidRPr="00797CDB">
        <w:rPr>
          <w:rFonts w:eastAsia="TimesNewRomanPSMT"/>
        </w:rPr>
        <w:t xml:space="preserve"> spaudimo</w:t>
      </w:r>
      <w:r w:rsidRPr="00797CDB">
        <w:rPr>
          <w:rFonts w:eastAsia="TimesNewRomanPSMT"/>
        </w:rPr>
        <w:t xml:space="preserve"> sumažėjimą, kuris (išskyrus alfa adrenoreceptorių blokatorius, žr. anksčiau) paprastai būna nedidelis ir nepanašu, kad būtų kliniškai reikšmingas. III fazės klinikinių tyrimų duomenų analizė rodo, kad pacientams, vartojusiems tadalafilio kartu su antihipertenziniais vaistiniais preparatais ar be jų, nepageidaujamų reiškinių nesutapimo nėra. Vis dėlto pacientus, gydomus antihipertenziniais vaistiniais preparatais, reikia tinkamai informuoti apie galimą kraujo</w:t>
      </w:r>
      <w:r w:rsidR="00C72436" w:rsidRPr="00797CDB">
        <w:rPr>
          <w:rFonts w:eastAsia="TimesNewRomanPSMT"/>
        </w:rPr>
        <w:t xml:space="preserve"> spaudimo</w:t>
      </w:r>
      <w:r w:rsidRPr="00797CDB">
        <w:rPr>
          <w:rFonts w:eastAsia="TimesNewRomanPSMT"/>
        </w:rPr>
        <w:t xml:space="preserve"> mažėjimą.</w:t>
      </w:r>
    </w:p>
    <w:p w14:paraId="78872074" w14:textId="77777777" w:rsidR="00FD5C4A" w:rsidRPr="00797CDB" w:rsidRDefault="00FD5C4A" w:rsidP="00A333F1">
      <w:pPr>
        <w:rPr>
          <w:rFonts w:eastAsia="TimesNewRomanPSMT"/>
        </w:rPr>
      </w:pPr>
    </w:p>
    <w:p w14:paraId="72F4FDB2" w14:textId="77777777" w:rsidR="00C72436" w:rsidRPr="00797CDB" w:rsidRDefault="00C72436" w:rsidP="00A333F1">
      <w:pPr>
        <w:rPr>
          <w:rFonts w:asciiTheme="minorHAnsi" w:eastAsia="Calibri" w:hAnsiTheme="minorHAnsi" w:cstheme="minorBidi"/>
          <w:i/>
          <w:szCs w:val="22"/>
          <w:lang w:eastAsia="en-US"/>
        </w:rPr>
      </w:pPr>
      <w:r w:rsidRPr="00797CDB">
        <w:rPr>
          <w:rFonts w:eastAsia="Calibri"/>
          <w:i/>
        </w:rPr>
        <w:t>Riociguatas</w:t>
      </w:r>
    </w:p>
    <w:p w14:paraId="3BB583BC" w14:textId="77777777" w:rsidR="00C72436" w:rsidRPr="00797CDB" w:rsidRDefault="00C72436" w:rsidP="00A333F1">
      <w:pPr>
        <w:rPr>
          <w:rFonts w:asciiTheme="minorHAnsi" w:eastAsia="Calibri" w:hAnsiTheme="minorHAnsi" w:cstheme="minorBidi"/>
          <w:szCs w:val="22"/>
          <w:lang w:eastAsia="en-US"/>
        </w:rPr>
      </w:pPr>
      <w:r w:rsidRPr="00797CDB">
        <w:rPr>
          <w:rFonts w:eastAsia="Calibri"/>
        </w:rPr>
        <w:t>Ikiklinikiniai tyrimai parodė papildomą sisteminio kraujo spaudimo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tadalafilį, draudžiama (žr. 4.3 skyrių).</w:t>
      </w:r>
    </w:p>
    <w:p w14:paraId="3D8B96B1" w14:textId="77777777" w:rsidR="00C72436" w:rsidRPr="00797CDB" w:rsidRDefault="00C72436" w:rsidP="00A333F1">
      <w:pPr>
        <w:rPr>
          <w:rFonts w:eastAsia="TimesNewRomanPSMT"/>
        </w:rPr>
      </w:pPr>
    </w:p>
    <w:p w14:paraId="2F20E483" w14:textId="77777777" w:rsidR="00FD5C4A" w:rsidRPr="00A333F1" w:rsidRDefault="00FD5C4A" w:rsidP="00A333F1">
      <w:pPr>
        <w:autoSpaceDE w:val="0"/>
        <w:autoSpaceDN w:val="0"/>
        <w:adjustRightInd w:val="0"/>
        <w:rPr>
          <w:i/>
        </w:rPr>
      </w:pPr>
      <w:r w:rsidRPr="00A333F1">
        <w:rPr>
          <w:i/>
        </w:rPr>
        <w:t>5-alfa reduktazės inhibitoriai</w:t>
      </w:r>
    </w:p>
    <w:p w14:paraId="1BEB31C3" w14:textId="77777777" w:rsidR="00FD5C4A" w:rsidRPr="00A333F1" w:rsidRDefault="00FD5C4A" w:rsidP="00A333F1">
      <w:pPr>
        <w:autoSpaceDE w:val="0"/>
        <w:autoSpaceDN w:val="0"/>
        <w:adjustRightInd w:val="0"/>
      </w:pPr>
      <w:r w:rsidRPr="00A333F1">
        <w:t>Klinikiniu tyrimu, kurio metu buvo lyginamas tadalafilio 5</w:t>
      </w:r>
      <w:r w:rsidR="000B5CC7" w:rsidRPr="00A333F1">
        <w:t> mg</w:t>
      </w:r>
      <w:r w:rsidRPr="00797CDB">
        <w:rPr>
          <w:rFonts w:eastAsia="TimesNewRomanPSMT"/>
        </w:rPr>
        <w:t xml:space="preserve"> dozės, vartojamos kartu su finasterido</w:t>
      </w:r>
      <w:r w:rsidRPr="00A333F1">
        <w:t xml:space="preserve"> 5</w:t>
      </w:r>
      <w:r w:rsidR="000B5CC7" w:rsidRPr="00A333F1">
        <w:t> mg</w:t>
      </w:r>
      <w:r w:rsidRPr="00A333F1">
        <w:t xml:space="preserve"> doze, ir placebo, vartojamo kartu su finasterido 5</w:t>
      </w:r>
      <w:r w:rsidR="000B5CC7" w:rsidRPr="00A333F1">
        <w:t> mg</w:t>
      </w:r>
      <w:r w:rsidRPr="00797CDB">
        <w:rPr>
          <w:rFonts w:eastAsia="TimesNewRomanPSMT"/>
        </w:rPr>
        <w:t xml:space="preserve"> doze, poveikis gerybinės prostatos hiperplazijos (GPH) simptomams lengvinti, naujų nepageidaujamų reakcijų nenustatyta. Vis dėlto, kadangi specifinių sąveikos tyrimų, kuriais būtų vertintas tadalafilio ir 5</w:t>
      </w:r>
      <w:r w:rsidRPr="00A333F1">
        <w:t>-</w:t>
      </w:r>
      <w:r w:rsidRPr="00797CDB">
        <w:rPr>
          <w:rFonts w:eastAsia="TimesNewRomanPSMT"/>
        </w:rPr>
        <w:t>alfa reduktazės inhibitorių (5</w:t>
      </w:r>
      <w:r w:rsidRPr="00A333F1">
        <w:t>-ARI) poveikis, neatlikta, tadalafiliu kartu su 5-ARI reikia gydyti atsargiai.</w:t>
      </w:r>
    </w:p>
    <w:p w14:paraId="28E0B3D9" w14:textId="77777777" w:rsidR="00FD5C4A" w:rsidRPr="00A333F1" w:rsidRDefault="00FD5C4A" w:rsidP="00A333F1">
      <w:pPr>
        <w:autoSpaceDE w:val="0"/>
        <w:autoSpaceDN w:val="0"/>
        <w:adjustRightInd w:val="0"/>
        <w:rPr>
          <w:i/>
        </w:rPr>
      </w:pPr>
    </w:p>
    <w:p w14:paraId="4F60538A" w14:textId="77777777" w:rsidR="00FD5C4A" w:rsidRPr="00A333F1" w:rsidRDefault="00FD5C4A" w:rsidP="00A333F1">
      <w:pPr>
        <w:autoSpaceDE w:val="0"/>
        <w:autoSpaceDN w:val="0"/>
        <w:adjustRightInd w:val="0"/>
        <w:rPr>
          <w:i/>
        </w:rPr>
      </w:pPr>
      <w:r w:rsidRPr="00A333F1">
        <w:rPr>
          <w:i/>
        </w:rPr>
        <w:t>CYP1A2 substratai (pvz., teofilinas)</w:t>
      </w:r>
    </w:p>
    <w:p w14:paraId="3D71A874" w14:textId="77777777" w:rsidR="00FD5C4A" w:rsidRPr="00797CDB" w:rsidRDefault="00FD5C4A" w:rsidP="00A333F1">
      <w:pPr>
        <w:autoSpaceDE w:val="0"/>
        <w:autoSpaceDN w:val="0"/>
        <w:adjustRightInd w:val="0"/>
        <w:rPr>
          <w:rFonts w:eastAsia="TimesNewRomanPSMT"/>
        </w:rPr>
      </w:pPr>
      <w:r w:rsidRPr="00A333F1">
        <w:t>Klinikinio farmakologinio tyrimo, kurio metu 10</w:t>
      </w:r>
      <w:r w:rsidR="000B5CC7" w:rsidRPr="00A333F1">
        <w:t> mg</w:t>
      </w:r>
      <w:r w:rsidRPr="00797CDB">
        <w:rPr>
          <w:rFonts w:eastAsia="TimesNewRomanPSMT"/>
        </w:rPr>
        <w:t xml:space="preserve"> tadalafilio dozė buvo vartota kartu su teofilinu (neselektyviu fosfodiesterazės inhibitoriumi), duomenimis, farmakokinetinė sąveika nepasireiškė.</w:t>
      </w:r>
      <w:r w:rsidRPr="00A333F1">
        <w:t xml:space="preserve"> Vienintelis farmakodinaminis poveikis buvo nedidelis (3,5 </w:t>
      </w:r>
      <w:r w:rsidR="000B5CC7" w:rsidRPr="00797CDB">
        <w:rPr>
          <w:rFonts w:eastAsia="TimesNewRomanPSMT"/>
        </w:rPr>
        <w:t xml:space="preserve">susitraukimų </w:t>
      </w:r>
      <w:r w:rsidRPr="00797CDB">
        <w:rPr>
          <w:rFonts w:eastAsia="TimesNewRomanPSMT"/>
        </w:rPr>
        <w:t xml:space="preserve">per minutę) širdies susitraukimų padažnėjimas. Nors toks poveikis yra nedidelis ir šio tyrimo metu buvo kliniškai nereikšmingas, vis dėlto į jį reikia atsižvelgti </w:t>
      </w:r>
      <w:r w:rsidR="00C72436" w:rsidRPr="00797CDB">
        <w:rPr>
          <w:rFonts w:eastAsia="TimesNewRomanPSMT"/>
        </w:rPr>
        <w:t>minėtų</w:t>
      </w:r>
      <w:r w:rsidRPr="00797CDB">
        <w:rPr>
          <w:rFonts w:eastAsia="TimesNewRomanPSMT"/>
        </w:rPr>
        <w:t xml:space="preserve"> vaistinių preparatų vartojant kartu.</w:t>
      </w:r>
    </w:p>
    <w:p w14:paraId="4C584361" w14:textId="77777777" w:rsidR="00FD5C4A" w:rsidRPr="00797CDB" w:rsidRDefault="00FD5C4A" w:rsidP="00A333F1">
      <w:pPr>
        <w:rPr>
          <w:rFonts w:eastAsia="TimesNewRomanPSMT"/>
        </w:rPr>
      </w:pPr>
    </w:p>
    <w:p w14:paraId="711DC6E3" w14:textId="77777777" w:rsidR="00C72436" w:rsidRPr="00797CDB" w:rsidRDefault="00C72436" w:rsidP="00A333F1">
      <w:pPr>
        <w:rPr>
          <w:rFonts w:asciiTheme="minorHAnsi" w:eastAsia="Calibri" w:hAnsiTheme="minorHAnsi" w:cstheme="minorBidi"/>
          <w:i/>
          <w:szCs w:val="22"/>
          <w:lang w:eastAsia="en-US"/>
        </w:rPr>
      </w:pPr>
      <w:r w:rsidRPr="00797CDB">
        <w:rPr>
          <w:rFonts w:eastAsia="Calibri"/>
          <w:i/>
        </w:rPr>
        <w:t>Etinilestradiolis ir terbutalinas</w:t>
      </w:r>
    </w:p>
    <w:p w14:paraId="1E63ECD3" w14:textId="77777777" w:rsidR="00C72436" w:rsidRPr="00797CDB" w:rsidRDefault="00C72436" w:rsidP="00A333F1">
      <w:pPr>
        <w:rPr>
          <w:rFonts w:asciiTheme="minorHAnsi" w:eastAsia="Calibri" w:hAnsiTheme="minorHAnsi" w:cstheme="minorBidi"/>
          <w:szCs w:val="22"/>
          <w:lang w:eastAsia="en-US"/>
        </w:rPr>
      </w:pPr>
      <w:r w:rsidRPr="00797CDB">
        <w:rPr>
          <w:rFonts w:eastAsia="Calibri"/>
        </w:rPr>
        <w:t>Nustatyta, kad tadalafilis didina išgerto etinilestradiolio bioįsisavinamumą. Galima tikėtis, kad panaši sąveika galima ir su išgertu terbutalinu, tačiau klinikinės jos pasekmės nežinomos.</w:t>
      </w:r>
    </w:p>
    <w:p w14:paraId="7A8125F4" w14:textId="77777777" w:rsidR="00C72436" w:rsidRPr="00797CDB" w:rsidRDefault="00C72436" w:rsidP="00A333F1">
      <w:pPr>
        <w:rPr>
          <w:rFonts w:eastAsia="Calibri"/>
        </w:rPr>
      </w:pPr>
    </w:p>
    <w:p w14:paraId="4799F089" w14:textId="77777777" w:rsidR="00FD5C4A" w:rsidRPr="00A333F1" w:rsidRDefault="00FD5C4A" w:rsidP="00A333F1">
      <w:pPr>
        <w:autoSpaceDE w:val="0"/>
        <w:autoSpaceDN w:val="0"/>
        <w:adjustRightInd w:val="0"/>
        <w:rPr>
          <w:i/>
        </w:rPr>
      </w:pPr>
      <w:r w:rsidRPr="00A333F1">
        <w:rPr>
          <w:i/>
        </w:rPr>
        <w:t>Alkoholis</w:t>
      </w:r>
    </w:p>
    <w:p w14:paraId="77AD8B03" w14:textId="77777777" w:rsidR="00FD5C4A"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 xml:space="preserve">Alkoholio koncentracijų kraujyje (vidutinė didžiausia koncentracija kraujyje </w:t>
      </w:r>
      <w:r w:rsidRPr="00A333F1">
        <w:t>– 0,08 %) kartu vartojamas tadalafilis (10</w:t>
      </w:r>
      <w:r w:rsidR="000B5CC7" w:rsidRPr="00A333F1">
        <w:t> mg</w:t>
      </w:r>
      <w:r w:rsidRPr="00A333F1">
        <w:t xml:space="preserve"> ar 20</w:t>
      </w:r>
      <w:r w:rsidR="000B5CC7" w:rsidRPr="00A333F1">
        <w:t> mg</w:t>
      </w:r>
      <w:r w:rsidRPr="00797CDB">
        <w:rPr>
          <w:rFonts w:eastAsia="TimesNewRomanPSMT"/>
        </w:rPr>
        <w:t xml:space="preserve"> dozė) nepaveikė. Be to, tadalafilio koncentracijos, praėjus 3 </w:t>
      </w:r>
      <w:r w:rsidRPr="00A333F1">
        <w:t>valandom po alkoholio pavartojimo,</w:t>
      </w:r>
      <w:r w:rsidRPr="00797CDB">
        <w:rPr>
          <w:rFonts w:eastAsia="TimesNewRomanPSMT"/>
        </w:rPr>
        <w:t xml:space="preserve"> nekito. Alkoholis buvo geriamas tokiu būdu, kad absorbcija būtų greičiausia (nevalgius visą naktį ir</w:t>
      </w:r>
      <w:r w:rsidRPr="00A333F1">
        <w:t xml:space="preserve"> 2 valandas po a</w:t>
      </w:r>
      <w:r w:rsidRPr="00797CDB">
        <w:rPr>
          <w:rFonts w:eastAsia="TimesNewRomanPSMT"/>
        </w:rPr>
        <w:t>lkoholio išgėrimo). 20</w:t>
      </w:r>
      <w:r w:rsidR="000B5CC7" w:rsidRPr="00797CDB">
        <w:rPr>
          <w:rFonts w:eastAsia="TimesNewRomanPSMT"/>
        </w:rPr>
        <w:t> mg</w:t>
      </w:r>
      <w:r w:rsidRPr="00797CDB">
        <w:rPr>
          <w:rFonts w:eastAsia="TimesNewRomanPSMT"/>
        </w:rPr>
        <w:t xml:space="preserve"> tadalafilio dozė nestiprino alkoholio (0,7 </w:t>
      </w:r>
      <w:r w:rsidRPr="00A333F1">
        <w:t xml:space="preserve">g/kg </w:t>
      </w:r>
      <w:r w:rsidRPr="00797CDB">
        <w:rPr>
          <w:rFonts w:eastAsia="TimesNewRomanPSMT"/>
        </w:rPr>
        <w:t>kūno svorio arba apytiksliai 180 ml 40 % alkoholio [degtinės] 80 kg sveriančiam vyrui) sukelto vidutinio kraujo</w:t>
      </w:r>
      <w:r w:rsidR="00C72436" w:rsidRPr="00797CDB">
        <w:rPr>
          <w:rFonts w:eastAsia="TimesNewRomanPSMT"/>
        </w:rPr>
        <w:t xml:space="preserve"> spaudimo su</w:t>
      </w:r>
      <w:r w:rsidRPr="00797CDB">
        <w:rPr>
          <w:rFonts w:eastAsia="TimesNewRomanPSMT"/>
        </w:rPr>
        <w:t xml:space="preserve">mažėjimo, tačiau kai kuriems tiriamiesiems pasireiškė su kūno padėties pakeitimu susijęs </w:t>
      </w:r>
      <w:r w:rsidR="00C17E66" w:rsidRPr="00797CDB">
        <w:rPr>
          <w:rFonts w:eastAsia="TimesNewRomanPSMT"/>
        </w:rPr>
        <w:t xml:space="preserve">svaigulys </w:t>
      </w:r>
      <w:r w:rsidRPr="00797CDB">
        <w:rPr>
          <w:rFonts w:eastAsia="TimesNewRomanPSMT"/>
        </w:rPr>
        <w:t xml:space="preserve">ir ortostatinė hipotenzija. Tadalafilio vartojant kartu su mažesne alkoholio </w:t>
      </w:r>
      <w:r w:rsidRPr="00A333F1">
        <w:t xml:space="preserve">doze (0,6 </w:t>
      </w:r>
      <w:r w:rsidRPr="00797CDB">
        <w:rPr>
          <w:rFonts w:eastAsia="TimesNewRomanPSMT"/>
        </w:rPr>
        <w:t>g/kg kūno svorio) hipotenzija nepasireiškė, o galvos svaigimo dažnis buvo panašus į atsirandantį išgėrus vien alkoholio. Alk</w:t>
      </w:r>
      <w:r w:rsidRPr="00A333F1">
        <w:t>oholio poveikio pažinimo funkcijai 10</w:t>
      </w:r>
      <w:r w:rsidR="000B5CC7" w:rsidRPr="00A333F1">
        <w:t> mg</w:t>
      </w:r>
      <w:r w:rsidRPr="00797CDB">
        <w:rPr>
          <w:rFonts w:eastAsia="TimesNewRomanPSMT"/>
        </w:rPr>
        <w:t xml:space="preserve"> tadalafilio dozė </w:t>
      </w:r>
      <w:r w:rsidRPr="00A333F1">
        <w:t>nestiprino.</w:t>
      </w:r>
    </w:p>
    <w:p w14:paraId="57BAEAB9" w14:textId="77777777" w:rsidR="00FD5C4A" w:rsidRPr="00A333F1" w:rsidRDefault="00FD5C4A" w:rsidP="00A333F1">
      <w:pPr>
        <w:autoSpaceDE w:val="0"/>
        <w:autoSpaceDN w:val="0"/>
        <w:adjustRightInd w:val="0"/>
        <w:rPr>
          <w:i/>
        </w:rPr>
      </w:pPr>
    </w:p>
    <w:p w14:paraId="38CBA621" w14:textId="77777777" w:rsidR="00FD5C4A" w:rsidRPr="00A333F1" w:rsidRDefault="00FD5C4A" w:rsidP="00A333F1">
      <w:pPr>
        <w:autoSpaceDE w:val="0"/>
        <w:autoSpaceDN w:val="0"/>
        <w:adjustRightInd w:val="0"/>
        <w:rPr>
          <w:i/>
        </w:rPr>
      </w:pPr>
      <w:r w:rsidRPr="00A333F1">
        <w:rPr>
          <w:i/>
        </w:rPr>
        <w:t>Citochromo P450 metabolizuojami vaistiniai preparatai</w:t>
      </w:r>
    </w:p>
    <w:p w14:paraId="77B1218B" w14:textId="77777777" w:rsidR="00FD5C4A"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Ne</w:t>
      </w:r>
      <w:r w:rsidR="00C72436" w:rsidRPr="00797CDB">
        <w:rPr>
          <w:rFonts w:eastAsia="TimesNewRomanPSMT"/>
        </w:rPr>
        <w:t>manoma</w:t>
      </w:r>
      <w:r w:rsidRPr="00797CDB">
        <w:rPr>
          <w:rFonts w:eastAsia="TimesNewRomanPSMT"/>
        </w:rPr>
        <w:t>, kad tadalafilis galėtų sukelti kliniškai reikšmingą vaistinių preparatų, metabolizuojamų CYP 450 izofermentų,</w:t>
      </w:r>
      <w:r w:rsidRPr="00A333F1">
        <w:t xml:space="preserve"> klirenso slopinimą ar indukciją</w:t>
      </w:r>
      <w:r w:rsidRPr="00797CDB">
        <w:rPr>
          <w:rFonts w:eastAsia="TimesNewRomanPSMT"/>
        </w:rPr>
        <w:t xml:space="preserve">. Tyrimais patvirtinta, kad tadalafilis neslopina ir neindukuoja </w:t>
      </w:r>
      <w:r w:rsidRPr="00A333F1">
        <w:t xml:space="preserve">CYP </w:t>
      </w:r>
      <w:r w:rsidRPr="00797CDB">
        <w:rPr>
          <w:rFonts w:eastAsia="TimesNewRomanPSMT"/>
        </w:rPr>
        <w:t xml:space="preserve">450 izofermentų, įskaitant CYP </w:t>
      </w:r>
      <w:r w:rsidRPr="00A333F1">
        <w:t>3A4, CYP 1A2, CYP 2D6, CYP 2E1, CYP 2C9 ir CYP 2C19 fermentus.</w:t>
      </w:r>
    </w:p>
    <w:p w14:paraId="6160BE5D" w14:textId="77777777" w:rsidR="00FD5C4A" w:rsidRPr="00A333F1" w:rsidRDefault="00FD5C4A" w:rsidP="00A333F1">
      <w:pPr>
        <w:autoSpaceDE w:val="0"/>
        <w:autoSpaceDN w:val="0"/>
        <w:adjustRightInd w:val="0"/>
        <w:rPr>
          <w:i/>
        </w:rPr>
      </w:pPr>
    </w:p>
    <w:p w14:paraId="5773F324" w14:textId="77777777" w:rsidR="00FD5C4A" w:rsidRPr="00A333F1" w:rsidRDefault="00FD5C4A" w:rsidP="00A333F1">
      <w:pPr>
        <w:autoSpaceDE w:val="0"/>
        <w:autoSpaceDN w:val="0"/>
        <w:adjustRightInd w:val="0"/>
        <w:rPr>
          <w:i/>
        </w:rPr>
      </w:pPr>
      <w:r w:rsidRPr="00A333F1">
        <w:rPr>
          <w:i/>
        </w:rPr>
        <w:t>CYP2C9 substratai (pvz., R-varfarinas)</w:t>
      </w:r>
    </w:p>
    <w:p w14:paraId="16438180" w14:textId="77777777" w:rsidR="00FD5C4A" w:rsidRPr="00797CDB" w:rsidRDefault="00FD5C4A" w:rsidP="00A333F1">
      <w:pPr>
        <w:autoSpaceDE w:val="0"/>
        <w:autoSpaceDN w:val="0"/>
        <w:adjustRightInd w:val="0"/>
        <w:rPr>
          <w:rFonts w:eastAsia="TimesNewRomanPSMT"/>
        </w:rPr>
      </w:pPr>
      <w:r w:rsidRPr="00A333F1">
        <w:t>10</w:t>
      </w:r>
      <w:r w:rsidR="000B5CC7" w:rsidRPr="00A333F1">
        <w:t> mg</w:t>
      </w:r>
      <w:r w:rsidRPr="00A333F1">
        <w:t xml:space="preserve"> arba 20</w:t>
      </w:r>
      <w:r w:rsidR="000B5CC7" w:rsidRPr="00A333F1">
        <w:t> mg</w:t>
      </w:r>
      <w:r w:rsidRPr="00A333F1">
        <w:t xml:space="preserve"> tadalafil</w:t>
      </w:r>
      <w:r w:rsidRPr="00797CDB">
        <w:rPr>
          <w:rFonts w:eastAsia="TimesNewRomanPSMT"/>
        </w:rPr>
        <w:t>io dozė kliniškai reikšmingos įtakos S</w:t>
      </w:r>
      <w:r w:rsidRPr="00A333F1">
        <w:t>-varfarino ar R-varfarino (CYP 2C9 substrato) ekspozicijai (AUC</w:t>
      </w:r>
      <w:r w:rsidRPr="00797CDB">
        <w:rPr>
          <w:rFonts w:eastAsia="TimesNewRomanPSMT"/>
        </w:rPr>
        <w:t>) bei varfarino sukeliamam protrombino laiko pokyčiui nedaro.</w:t>
      </w:r>
    </w:p>
    <w:p w14:paraId="36CBC1AD" w14:textId="77777777" w:rsidR="003F5D00" w:rsidRPr="00A333F1" w:rsidRDefault="003F5D00" w:rsidP="00A333F1">
      <w:pPr>
        <w:autoSpaceDE w:val="0"/>
        <w:autoSpaceDN w:val="0"/>
        <w:adjustRightInd w:val="0"/>
        <w:rPr>
          <w:i/>
          <w:u w:val="single"/>
        </w:rPr>
      </w:pPr>
    </w:p>
    <w:p w14:paraId="41D1C9D6" w14:textId="77777777" w:rsidR="00FD5C4A" w:rsidRPr="00A333F1" w:rsidRDefault="00FD5C4A" w:rsidP="00A333F1">
      <w:pPr>
        <w:autoSpaceDE w:val="0"/>
        <w:autoSpaceDN w:val="0"/>
        <w:adjustRightInd w:val="0"/>
        <w:rPr>
          <w:i/>
        </w:rPr>
      </w:pPr>
      <w:r w:rsidRPr="00A333F1">
        <w:rPr>
          <w:i/>
        </w:rPr>
        <w:t>Aspirinas</w:t>
      </w:r>
    </w:p>
    <w:p w14:paraId="2838F53B" w14:textId="77777777" w:rsidR="00FD5C4A" w:rsidRPr="00797CDB" w:rsidRDefault="00FD5C4A" w:rsidP="00A333F1">
      <w:pPr>
        <w:autoSpaceDE w:val="0"/>
        <w:autoSpaceDN w:val="0"/>
        <w:adjustRightInd w:val="0"/>
        <w:rPr>
          <w:rFonts w:eastAsia="TimesNewRomanPSMT"/>
        </w:rPr>
      </w:pPr>
      <w:r w:rsidRPr="00A333F1">
        <w:t>10</w:t>
      </w:r>
      <w:r w:rsidR="000B5CC7" w:rsidRPr="00A333F1">
        <w:t> mg</w:t>
      </w:r>
      <w:r w:rsidRPr="00A333F1">
        <w:t xml:space="preserve"> arba 20</w:t>
      </w:r>
      <w:r w:rsidR="000B5CC7" w:rsidRPr="00A333F1">
        <w:t> mg</w:t>
      </w:r>
      <w:r w:rsidRPr="00797CDB">
        <w:rPr>
          <w:rFonts w:eastAsia="TimesNewRomanPSMT"/>
        </w:rPr>
        <w:t xml:space="preserve"> tadalafilio dozė nestiprina acetilsalicilo rūgšties sukelto</w:t>
      </w:r>
      <w:r w:rsidRPr="00A333F1">
        <w:t xml:space="preserve"> kraujavimo </w:t>
      </w:r>
      <w:r w:rsidRPr="00797CDB">
        <w:rPr>
          <w:rFonts w:eastAsia="TimesNewRomanPSMT"/>
        </w:rPr>
        <w:t>laiko pailgėjimo.</w:t>
      </w:r>
    </w:p>
    <w:p w14:paraId="2C248DC9" w14:textId="77777777" w:rsidR="000B5CC7" w:rsidRPr="00A333F1" w:rsidRDefault="000B5CC7" w:rsidP="00A333F1">
      <w:pPr>
        <w:autoSpaceDE w:val="0"/>
        <w:autoSpaceDN w:val="0"/>
        <w:adjustRightInd w:val="0"/>
      </w:pPr>
    </w:p>
    <w:p w14:paraId="11601816" w14:textId="77777777" w:rsidR="00FD5C4A" w:rsidRPr="00A333F1" w:rsidRDefault="00FD5C4A" w:rsidP="00A333F1">
      <w:pPr>
        <w:autoSpaceDE w:val="0"/>
        <w:autoSpaceDN w:val="0"/>
        <w:adjustRightInd w:val="0"/>
        <w:rPr>
          <w:i/>
        </w:rPr>
      </w:pPr>
      <w:r w:rsidRPr="00A333F1">
        <w:rPr>
          <w:i/>
        </w:rPr>
        <w:t>Antidiabetiniai vaistiniai preparatai</w:t>
      </w:r>
    </w:p>
    <w:p w14:paraId="2E88C315" w14:textId="77777777" w:rsidR="00FD5C4A" w:rsidRPr="00797CDB" w:rsidRDefault="00FD5C4A" w:rsidP="00A333F1">
      <w:pPr>
        <w:rPr>
          <w:rFonts w:asciiTheme="minorHAnsi" w:eastAsia="TimesNewRomanPSMT" w:hAnsiTheme="minorHAnsi" w:cstheme="minorBidi"/>
          <w:szCs w:val="22"/>
          <w:lang w:eastAsia="en-US"/>
        </w:rPr>
      </w:pPr>
      <w:r w:rsidRPr="00797CDB">
        <w:rPr>
          <w:rFonts w:eastAsia="TimesNewRomanPSMT"/>
        </w:rPr>
        <w:t>Konkrečių tadalafilio sąveikos su antidiabetiniais vaistiniais preparatais tyrimų neatlikta.</w:t>
      </w:r>
    </w:p>
    <w:p w14:paraId="4FB0D438" w14:textId="77777777" w:rsidR="00FD5C4A" w:rsidRPr="00A333F1" w:rsidRDefault="00FD5C4A" w:rsidP="00A333F1"/>
    <w:p w14:paraId="4DCA4F25" w14:textId="77777777" w:rsidR="00FD5C4A" w:rsidRPr="00A333F1" w:rsidRDefault="00FD5C4A" w:rsidP="00A333F1">
      <w:pPr>
        <w:rPr>
          <w:b/>
        </w:rPr>
      </w:pPr>
      <w:r w:rsidRPr="00A333F1">
        <w:rPr>
          <w:b/>
        </w:rPr>
        <w:t>4.6</w:t>
      </w:r>
      <w:r w:rsidRPr="00A333F1">
        <w:rPr>
          <w:b/>
        </w:rPr>
        <w:tab/>
        <w:t>Vaisingumas, nėštumo ir žindymo laikotarpis</w:t>
      </w:r>
    </w:p>
    <w:p w14:paraId="654B205F" w14:textId="77777777" w:rsidR="00FD5C4A" w:rsidRPr="00797CDB" w:rsidRDefault="00FD5C4A" w:rsidP="00A333F1">
      <w:pPr>
        <w:autoSpaceDE w:val="0"/>
        <w:autoSpaceDN w:val="0"/>
        <w:adjustRightInd w:val="0"/>
        <w:rPr>
          <w:rFonts w:eastAsia="TimesNewRomanPSMT"/>
        </w:rPr>
      </w:pPr>
    </w:p>
    <w:p w14:paraId="0E25C5DD" w14:textId="77777777" w:rsidR="003F5D00" w:rsidRPr="00797CDB" w:rsidRDefault="00254A51"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Quator </w:t>
      </w:r>
      <w:r w:rsidR="003F5D00" w:rsidRPr="00797CDB">
        <w:rPr>
          <w:rFonts w:eastAsia="TimesNewRomanPSMT"/>
        </w:rPr>
        <w:t>nėra skirtas vartoti moterims.</w:t>
      </w:r>
    </w:p>
    <w:p w14:paraId="5A247198" w14:textId="77777777" w:rsidR="003F5D00" w:rsidRPr="00797CDB" w:rsidRDefault="003F5D00" w:rsidP="00A333F1">
      <w:pPr>
        <w:autoSpaceDE w:val="0"/>
        <w:autoSpaceDN w:val="0"/>
        <w:adjustRightInd w:val="0"/>
        <w:rPr>
          <w:rFonts w:eastAsia="TimesNewRomanPSMT"/>
        </w:rPr>
      </w:pPr>
    </w:p>
    <w:p w14:paraId="4326CAE8"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Nėštumas</w:t>
      </w:r>
    </w:p>
    <w:p w14:paraId="4242F555" w14:textId="77777777" w:rsidR="00FD5C4A" w:rsidRPr="00A333F1" w:rsidRDefault="003F5D00" w:rsidP="00A333F1">
      <w:pPr>
        <w:autoSpaceDE w:val="0"/>
        <w:autoSpaceDN w:val="0"/>
        <w:adjustRightInd w:val="0"/>
      </w:pPr>
      <w:r w:rsidRPr="00A333F1">
        <w:t>Duomenų apie t</w:t>
      </w:r>
      <w:r w:rsidR="00FD5C4A" w:rsidRPr="00A333F1">
        <w:t>ada</w:t>
      </w:r>
      <w:r w:rsidR="00FD5C4A" w:rsidRPr="00797CDB">
        <w:rPr>
          <w:rFonts w:eastAsia="TimesNewRomanPSMT"/>
        </w:rPr>
        <w:t>lafilio vartojim</w:t>
      </w:r>
      <w:r w:rsidRPr="00797CDB">
        <w:rPr>
          <w:rFonts w:eastAsia="TimesNewRomanPSMT"/>
        </w:rPr>
        <w:t>ą nėščioms moterims yra nedaug</w:t>
      </w:r>
      <w:r w:rsidR="00FD5C4A" w:rsidRPr="00797CDB">
        <w:rPr>
          <w:rFonts w:eastAsia="TimesNewRomanPSMT"/>
        </w:rPr>
        <w:t xml:space="preserve">. Tyrimai su gyvūnais tiesioginio ar netiesioginio kenksmingo poveikio </w:t>
      </w:r>
      <w:r w:rsidRPr="00797CDB">
        <w:rPr>
          <w:rFonts w:eastAsia="TimesNewRomanPSMT"/>
        </w:rPr>
        <w:t>vaikingumo</w:t>
      </w:r>
      <w:r w:rsidR="00FD5C4A" w:rsidRPr="00797CDB">
        <w:rPr>
          <w:rFonts w:eastAsia="TimesNewRomanPSMT"/>
        </w:rPr>
        <w:t xml:space="preserve"> eigai, embriono ar vaisiaus vystymuisi, </w:t>
      </w:r>
      <w:r w:rsidRPr="00797CDB">
        <w:rPr>
          <w:rFonts w:eastAsia="TimesNewRomanPSMT"/>
        </w:rPr>
        <w:t xml:space="preserve">atsivedimui </w:t>
      </w:r>
      <w:r w:rsidR="00FD5C4A" w:rsidRPr="00797CDB">
        <w:rPr>
          <w:rFonts w:eastAsia="TimesNewRomanPSMT"/>
        </w:rPr>
        <w:t xml:space="preserve">ar </w:t>
      </w:r>
      <w:r w:rsidRPr="00797CDB">
        <w:rPr>
          <w:rFonts w:eastAsia="TimesNewRomanPSMT"/>
        </w:rPr>
        <w:t xml:space="preserve">jų jauniklių </w:t>
      </w:r>
      <w:r w:rsidR="00FD5C4A" w:rsidRPr="00797CDB">
        <w:rPr>
          <w:rFonts w:eastAsia="TimesNewRomanPSMT"/>
        </w:rPr>
        <w:t xml:space="preserve">vystymuisi </w:t>
      </w:r>
      <w:r w:rsidRPr="00797CDB">
        <w:rPr>
          <w:rFonts w:eastAsia="TimesNewRomanPSMT"/>
        </w:rPr>
        <w:t xml:space="preserve">po atsivedimo </w:t>
      </w:r>
      <w:r w:rsidR="00FD5C4A" w:rsidRPr="00797CDB">
        <w:rPr>
          <w:rFonts w:eastAsia="TimesNewRomanPSMT"/>
        </w:rPr>
        <w:t xml:space="preserve">neparodė (žr. 5.3 skyrių). Dėl atsargumo nėštumo metu tadalafilio vartojimo geriau </w:t>
      </w:r>
      <w:r w:rsidR="00FD5C4A" w:rsidRPr="00A333F1">
        <w:t>vengti.</w:t>
      </w:r>
    </w:p>
    <w:p w14:paraId="1DCA898F" w14:textId="77777777" w:rsidR="00FD5C4A" w:rsidRPr="00A333F1" w:rsidRDefault="00FD5C4A" w:rsidP="00A333F1">
      <w:pPr>
        <w:autoSpaceDE w:val="0"/>
        <w:autoSpaceDN w:val="0"/>
        <w:adjustRightInd w:val="0"/>
      </w:pPr>
    </w:p>
    <w:p w14:paraId="7E0BF7F4" w14:textId="77777777" w:rsidR="00FD5C4A" w:rsidRPr="00A333F1" w:rsidRDefault="00FD5C4A" w:rsidP="00A333F1">
      <w:pPr>
        <w:autoSpaceDE w:val="0"/>
        <w:autoSpaceDN w:val="0"/>
        <w:adjustRightInd w:val="0"/>
        <w:rPr>
          <w:u w:val="single"/>
        </w:rPr>
      </w:pPr>
      <w:r w:rsidRPr="00A333F1">
        <w:rPr>
          <w:u w:val="single"/>
        </w:rPr>
        <w:t>Žindymas</w:t>
      </w:r>
    </w:p>
    <w:p w14:paraId="2C345702" w14:textId="77777777" w:rsidR="00FD5C4A"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 xml:space="preserve">Turimi farmakodinaminio ir toksinio poveikio tyrimų su gyvūnais duomenys rodo, kad tadalafilis išskirimas į pieną. Rizikos žindomam kūdikiui paneigti negalima. </w:t>
      </w:r>
      <w:r w:rsidRPr="00A333F1">
        <w:t>Žindymo laikotarpiu tadalafilio turi būti nevartojama.</w:t>
      </w:r>
    </w:p>
    <w:p w14:paraId="6EFABBDE" w14:textId="77777777" w:rsidR="00FD5C4A" w:rsidRPr="00A333F1" w:rsidRDefault="00FD5C4A" w:rsidP="00A333F1">
      <w:pPr>
        <w:autoSpaceDE w:val="0"/>
        <w:autoSpaceDN w:val="0"/>
        <w:adjustRightInd w:val="0"/>
      </w:pPr>
    </w:p>
    <w:p w14:paraId="2406332E" w14:textId="77777777" w:rsidR="00FD5C4A" w:rsidRPr="00A333F1" w:rsidRDefault="00FD5C4A" w:rsidP="00A333F1">
      <w:pPr>
        <w:autoSpaceDE w:val="0"/>
        <w:autoSpaceDN w:val="0"/>
        <w:adjustRightInd w:val="0"/>
        <w:rPr>
          <w:u w:val="single"/>
        </w:rPr>
      </w:pPr>
      <w:r w:rsidRPr="00A333F1">
        <w:rPr>
          <w:u w:val="single"/>
        </w:rPr>
        <w:t>Vaisingumas</w:t>
      </w:r>
    </w:p>
    <w:p w14:paraId="1CE6252F" w14:textId="77777777" w:rsidR="00FD5C4A"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 xml:space="preserve">Šunims buvo pastebėtas poveikis, kuris gali rodyti vaisingumo sutrikimą. Du vėlesni klinikiniai tyrimai rodo, kad toks poveikis žmogui nėra tikėtinas, nors kai kuriems vyrams buvo nustatytas spermos koncentracijos sumažėjimas (žr. 5.1 ir 5.3 </w:t>
      </w:r>
      <w:r w:rsidRPr="00A333F1">
        <w:t>skyrius).</w:t>
      </w:r>
    </w:p>
    <w:p w14:paraId="442D3BC3" w14:textId="77777777" w:rsidR="00FD5C4A" w:rsidRPr="00A333F1" w:rsidRDefault="00FD5C4A" w:rsidP="00A333F1"/>
    <w:p w14:paraId="165A90D1" w14:textId="77777777" w:rsidR="00FD5C4A" w:rsidRPr="00A333F1" w:rsidRDefault="00FD5C4A" w:rsidP="00A333F1">
      <w:pPr>
        <w:rPr>
          <w:b/>
        </w:rPr>
      </w:pPr>
      <w:r w:rsidRPr="00A333F1">
        <w:rPr>
          <w:b/>
        </w:rPr>
        <w:t>4.7</w:t>
      </w:r>
      <w:r w:rsidRPr="00A333F1">
        <w:rPr>
          <w:b/>
        </w:rPr>
        <w:tab/>
        <w:t>Poveikis gebėjimui vairuoti ir valdyti mechanizmus</w:t>
      </w:r>
    </w:p>
    <w:p w14:paraId="2B7267C3" w14:textId="77777777" w:rsidR="00FD5C4A" w:rsidRPr="00A333F1" w:rsidRDefault="00FD5C4A" w:rsidP="00A333F1"/>
    <w:p w14:paraId="5F036267"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Tadalafilis gebėjimą vairuoti ir valdyti mechanizmus veikia nereikšmingai. Nors klinikinių tyrimų metu tadalafilio ar placebo vartojusiems vyrams </w:t>
      </w:r>
      <w:r w:rsidR="00154162" w:rsidRPr="00797CDB">
        <w:rPr>
          <w:rFonts w:eastAsia="TimesNewRomanPSMT"/>
        </w:rPr>
        <w:t xml:space="preserve">svaigulio </w:t>
      </w:r>
      <w:r w:rsidRPr="00797CDB">
        <w:rPr>
          <w:rFonts w:eastAsia="TimesNewRomanPSMT"/>
        </w:rPr>
        <w:t>dažnis buvo panašus, vis dėlto pacientą reikia įspėti, kad prieš vairavimą ir mechanizmų valdymą jis turi žinoti, kaip reaguoja į tadalafilį.</w:t>
      </w:r>
    </w:p>
    <w:p w14:paraId="1FE2FCF6" w14:textId="77777777" w:rsidR="00FD5C4A" w:rsidRPr="00A333F1" w:rsidRDefault="00FD5C4A" w:rsidP="00A333F1"/>
    <w:p w14:paraId="620F204A" w14:textId="77777777" w:rsidR="00FD5C4A" w:rsidRPr="00A333F1" w:rsidRDefault="00FD5C4A" w:rsidP="00A333F1">
      <w:pPr>
        <w:outlineLvl w:val="0"/>
      </w:pPr>
      <w:r w:rsidRPr="00A333F1">
        <w:rPr>
          <w:b/>
        </w:rPr>
        <w:t>4.8</w:t>
      </w:r>
      <w:r w:rsidRPr="00A333F1">
        <w:rPr>
          <w:b/>
        </w:rPr>
        <w:tab/>
        <w:t>Nepageidaujamas poveikis</w:t>
      </w:r>
    </w:p>
    <w:p w14:paraId="79569630" w14:textId="77777777" w:rsidR="00FD5C4A" w:rsidRPr="00A333F1" w:rsidRDefault="00FD5C4A" w:rsidP="00A333F1">
      <w:pPr>
        <w:rPr>
          <w:u w:val="single"/>
        </w:rPr>
      </w:pPr>
    </w:p>
    <w:p w14:paraId="09CCB171" w14:textId="77777777" w:rsidR="00FD5C4A" w:rsidRPr="00797CDB" w:rsidRDefault="003F5D00"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Saugumo duomenų santrauka</w:t>
      </w:r>
    </w:p>
    <w:p w14:paraId="0CBFF539"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Pacientams, tadalafilio vartojantiems erekcijos funkcijos sutrikimo arba gerybinės prostatos hiperplazijos gydymui, nepageidaujamos reakcijos, apie kurias dažniausiai gauta pranešimų, buvo galvos skausmas, dispepsija, nugaros skausmas ir mialgija. Jų dažnis didėjo didinant tadalafilio dozę. Nepageidaujamos reakcijos, apie kurias pranešta, buvo trumpalaikės ir paprastai lengvos arba vidutinio sunkumo. Galvos skausmas, pastebėtas kasdien vartojant po vieną tadalafilio dozę, dažniausiai patiriamas per pirmas 10 – 30 parų nuo gydymo pradžios.</w:t>
      </w:r>
    </w:p>
    <w:p w14:paraId="3B2F55E3" w14:textId="77777777" w:rsidR="00FD5C4A" w:rsidRPr="00797CDB" w:rsidRDefault="00FD5C4A" w:rsidP="00A333F1">
      <w:pPr>
        <w:autoSpaceDE w:val="0"/>
        <w:autoSpaceDN w:val="0"/>
        <w:adjustRightInd w:val="0"/>
        <w:rPr>
          <w:rFonts w:eastAsia="TimesNewRomanPSMT"/>
        </w:rPr>
      </w:pPr>
    </w:p>
    <w:p w14:paraId="21FEB890"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Nepageidaujamų reakcijų santrauka lentelėje</w:t>
      </w:r>
    </w:p>
    <w:p w14:paraId="43FB30A6"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Toliau </w:t>
      </w:r>
      <w:r w:rsidR="003F5D00" w:rsidRPr="00797CDB">
        <w:rPr>
          <w:rFonts w:eastAsia="TimesNewRomanPSMT"/>
        </w:rPr>
        <w:t>pateiktoje</w:t>
      </w:r>
      <w:r w:rsidRPr="00797CDB">
        <w:rPr>
          <w:rFonts w:eastAsia="TimesNewRomanPSMT"/>
        </w:rPr>
        <w:t xml:space="preserve"> lentelėje yra išvardytos nepageidaujamos reakcijos, nustatytos iš savanoriškų pranešimų ir placebu kontroliuojamų klinikinių tyrimų (apėmusių iš viso 7116 pacientų, kurie vartojo tadalafilio ir 3718 pacientų , kurie vartojo</w:t>
      </w:r>
      <w:r w:rsidRPr="00797CDB">
        <w:rPr>
          <w:rFonts w:eastAsia="SymbolMT"/>
        </w:rPr>
        <w:t xml:space="preserve"> </w:t>
      </w:r>
      <w:r w:rsidRPr="00797CDB">
        <w:rPr>
          <w:rFonts w:eastAsia="TimesNewRomanPSMT"/>
        </w:rPr>
        <w:t>placebo)</w:t>
      </w:r>
      <w:r w:rsidR="00D12574" w:rsidRPr="00797CDB">
        <w:rPr>
          <w:rFonts w:eastAsia="TimesNewRomanPSMT"/>
        </w:rPr>
        <w:t xml:space="preserve"> metu. Šiuose tyrimuose</w:t>
      </w:r>
      <w:r w:rsidRPr="00797CDB">
        <w:rPr>
          <w:rFonts w:eastAsia="TimesNewRomanPSMT"/>
        </w:rPr>
        <w:t xml:space="preserve"> erekcijos funkcijos sutrikimui gydyti vaistinio preparato buvo vartojama pagal poreikį arba kartą per parą bei gerybinei prostatos hiperplazijai gydyti kartą per parą.</w:t>
      </w:r>
    </w:p>
    <w:p w14:paraId="16861CF6" w14:textId="77777777" w:rsidR="00FD5C4A" w:rsidRPr="00797CDB" w:rsidRDefault="00FD5C4A" w:rsidP="00A333F1">
      <w:pPr>
        <w:autoSpaceDE w:val="0"/>
        <w:autoSpaceDN w:val="0"/>
        <w:adjustRightInd w:val="0"/>
        <w:rPr>
          <w:rFonts w:eastAsia="TimesNewRomanPSMT"/>
        </w:rPr>
      </w:pPr>
    </w:p>
    <w:p w14:paraId="3211B5E0" w14:textId="6505A532" w:rsidR="00F3007C" w:rsidRPr="00A333F1" w:rsidRDefault="00FD5C4A" w:rsidP="00A333F1">
      <w:pPr>
        <w:autoSpaceDE w:val="0"/>
        <w:autoSpaceDN w:val="0"/>
        <w:adjustRightInd w:val="0"/>
      </w:pPr>
      <w:r w:rsidRPr="00A333F1">
        <w:t>Nepageidaujamo poveikio dažnis apibūdinamas taip: labai dažnas (≥ 1/10), dažnas (nuo ≥ 1/100 iki &lt; 1/10), nedažnas (nuo ≥ 1/1</w:t>
      </w:r>
      <w:r w:rsidR="004F432E">
        <w:t xml:space="preserve"> </w:t>
      </w:r>
      <w:r w:rsidRPr="00A333F1">
        <w:t>000 iki &lt; 1/100), retas (nuo ≥ 1/10</w:t>
      </w:r>
      <w:r w:rsidR="00F3007C" w:rsidRPr="00A333F1">
        <w:t xml:space="preserve"> </w:t>
      </w:r>
      <w:r w:rsidRPr="00A333F1">
        <w:t>000 iki &lt; 1/1</w:t>
      </w:r>
      <w:r w:rsidR="004F432E">
        <w:t xml:space="preserve"> </w:t>
      </w:r>
      <w:r w:rsidRPr="00A333F1">
        <w:t xml:space="preserve">000), </w:t>
      </w:r>
    </w:p>
    <w:p w14:paraId="6C7B282A" w14:textId="77777777" w:rsidR="00FD5C4A" w:rsidRPr="00797CDB" w:rsidRDefault="00FD5C4A" w:rsidP="00A333F1">
      <w:pPr>
        <w:autoSpaceDE w:val="0"/>
        <w:autoSpaceDN w:val="0"/>
        <w:adjustRightInd w:val="0"/>
        <w:rPr>
          <w:rFonts w:eastAsia="TimesNewRomanPSMT"/>
        </w:rPr>
      </w:pPr>
      <w:r w:rsidRPr="00A333F1">
        <w:t>labai retas (&lt; 1/10</w:t>
      </w:r>
      <w:r w:rsidR="00F3007C" w:rsidRPr="00A333F1">
        <w:t xml:space="preserve"> </w:t>
      </w:r>
      <w:r w:rsidRPr="00A333F1">
        <w:t>000) ir nežinomas (negali būti apskaičiuotas pagal turimus duomenis).</w:t>
      </w:r>
    </w:p>
    <w:p w14:paraId="4BC0D2A3" w14:textId="77777777" w:rsidR="00FD5C4A" w:rsidRPr="00797CDB" w:rsidRDefault="00FD5C4A" w:rsidP="00A333F1">
      <w:pPr>
        <w:autoSpaceDE w:val="0"/>
        <w:autoSpaceDN w:val="0"/>
        <w:adjustRightInd w:val="0"/>
        <w:jc w:val="both"/>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1789"/>
        <w:gridCol w:w="1997"/>
        <w:gridCol w:w="1759"/>
        <w:gridCol w:w="1780"/>
      </w:tblGrid>
      <w:tr w:rsidR="004F432E" w:rsidRPr="00BE7FAC" w14:paraId="2DF99848" w14:textId="34F52733" w:rsidTr="00F1648C">
        <w:tc>
          <w:tcPr>
            <w:tcW w:w="1914" w:type="dxa"/>
          </w:tcPr>
          <w:p w14:paraId="3F5D88F6" w14:textId="77777777" w:rsidR="004F432E" w:rsidRPr="00797CDB" w:rsidRDefault="004F432E" w:rsidP="00A333F1">
            <w:pPr>
              <w:autoSpaceDE w:val="0"/>
              <w:autoSpaceDN w:val="0"/>
              <w:adjustRightInd w:val="0"/>
              <w:jc w:val="both"/>
              <w:rPr>
                <w:rFonts w:eastAsia="TimesNewRomanPSMT"/>
                <w:b/>
              </w:rPr>
            </w:pPr>
            <w:r w:rsidRPr="00797CDB">
              <w:rPr>
                <w:rFonts w:eastAsia="TimesNewRomanPSMT"/>
                <w:b/>
              </w:rPr>
              <w:t>Labai dažnas</w:t>
            </w:r>
          </w:p>
        </w:tc>
        <w:tc>
          <w:tcPr>
            <w:tcW w:w="1903" w:type="dxa"/>
          </w:tcPr>
          <w:p w14:paraId="025C25BB" w14:textId="77777777" w:rsidR="004F432E" w:rsidRPr="00797CDB" w:rsidRDefault="004F432E" w:rsidP="00A333F1">
            <w:pPr>
              <w:autoSpaceDE w:val="0"/>
              <w:autoSpaceDN w:val="0"/>
              <w:adjustRightInd w:val="0"/>
              <w:jc w:val="center"/>
              <w:rPr>
                <w:rFonts w:asciiTheme="minorHAnsi" w:eastAsia="TimesNewRomanPSMT" w:hAnsiTheme="minorHAnsi" w:cstheme="minorBidi"/>
                <w:b/>
                <w:szCs w:val="22"/>
                <w:lang w:eastAsia="en-US"/>
              </w:rPr>
            </w:pPr>
            <w:r w:rsidRPr="00797CDB">
              <w:rPr>
                <w:rFonts w:eastAsia="TimesNewRomanPSMT"/>
                <w:b/>
              </w:rPr>
              <w:t>Dažnas</w:t>
            </w:r>
          </w:p>
        </w:tc>
        <w:tc>
          <w:tcPr>
            <w:tcW w:w="2051" w:type="dxa"/>
          </w:tcPr>
          <w:p w14:paraId="24201AAD" w14:textId="77777777" w:rsidR="004F432E" w:rsidRPr="00797CDB" w:rsidRDefault="004F432E" w:rsidP="00A333F1">
            <w:pPr>
              <w:autoSpaceDE w:val="0"/>
              <w:autoSpaceDN w:val="0"/>
              <w:adjustRightInd w:val="0"/>
              <w:jc w:val="center"/>
              <w:rPr>
                <w:rFonts w:asciiTheme="minorHAnsi" w:eastAsia="TimesNewRomanPSMT" w:hAnsiTheme="minorHAnsi" w:cstheme="minorBidi"/>
                <w:b/>
                <w:szCs w:val="22"/>
                <w:lang w:eastAsia="en-US"/>
              </w:rPr>
            </w:pPr>
            <w:r w:rsidRPr="00797CDB">
              <w:rPr>
                <w:rFonts w:eastAsia="TimesNewRomanPSMT"/>
                <w:b/>
              </w:rPr>
              <w:t>Nedažnas</w:t>
            </w:r>
          </w:p>
        </w:tc>
        <w:tc>
          <w:tcPr>
            <w:tcW w:w="1777" w:type="dxa"/>
          </w:tcPr>
          <w:p w14:paraId="7EAC2AF9" w14:textId="77777777" w:rsidR="004F432E" w:rsidRPr="00797CDB" w:rsidRDefault="004F432E" w:rsidP="00A333F1">
            <w:pPr>
              <w:autoSpaceDE w:val="0"/>
              <w:autoSpaceDN w:val="0"/>
              <w:adjustRightInd w:val="0"/>
              <w:jc w:val="center"/>
              <w:rPr>
                <w:rFonts w:asciiTheme="minorHAnsi" w:eastAsia="TimesNewRomanPSMT" w:hAnsiTheme="minorHAnsi" w:cstheme="minorBidi"/>
                <w:b/>
                <w:szCs w:val="22"/>
                <w:lang w:eastAsia="en-US"/>
              </w:rPr>
            </w:pPr>
            <w:r w:rsidRPr="00797CDB">
              <w:rPr>
                <w:rFonts w:eastAsia="TimesNewRomanPSMT"/>
                <w:b/>
              </w:rPr>
              <w:t>Retas</w:t>
            </w:r>
          </w:p>
        </w:tc>
        <w:tc>
          <w:tcPr>
            <w:tcW w:w="1415" w:type="dxa"/>
          </w:tcPr>
          <w:p w14:paraId="3BED913D" w14:textId="79868571" w:rsidR="004F432E" w:rsidRPr="00797CDB" w:rsidRDefault="004F432E" w:rsidP="00A333F1">
            <w:pPr>
              <w:autoSpaceDE w:val="0"/>
              <w:autoSpaceDN w:val="0"/>
              <w:adjustRightInd w:val="0"/>
              <w:jc w:val="center"/>
              <w:rPr>
                <w:rFonts w:eastAsia="TimesNewRomanPSMT"/>
                <w:b/>
              </w:rPr>
            </w:pPr>
            <w:r>
              <w:rPr>
                <w:rFonts w:eastAsia="TimesNewRomanPSMT"/>
                <w:b/>
              </w:rPr>
              <w:t>Dažnis nežinomas</w:t>
            </w:r>
          </w:p>
        </w:tc>
      </w:tr>
      <w:tr w:rsidR="004F432E" w:rsidRPr="00BE7FAC" w14:paraId="37CD3E1B" w14:textId="23E9B677" w:rsidTr="00F1648C">
        <w:trPr>
          <w:trHeight w:val="401"/>
        </w:trPr>
        <w:tc>
          <w:tcPr>
            <w:tcW w:w="7645" w:type="dxa"/>
            <w:gridSpan w:val="4"/>
          </w:tcPr>
          <w:p w14:paraId="5B53C584" w14:textId="77777777" w:rsidR="004F432E" w:rsidRPr="00797CDB" w:rsidRDefault="004F432E" w:rsidP="00A333F1">
            <w:pPr>
              <w:autoSpaceDE w:val="0"/>
              <w:autoSpaceDN w:val="0"/>
              <w:adjustRightInd w:val="0"/>
              <w:rPr>
                <w:rFonts w:eastAsia="TimesNewRomanPSMT"/>
                <w:i/>
              </w:rPr>
            </w:pPr>
            <w:r w:rsidRPr="00797CDB">
              <w:rPr>
                <w:rFonts w:eastAsia="TimesNewRomanPSMT"/>
                <w:i/>
              </w:rPr>
              <w:t>Imuninės sistemos sutrikimai</w:t>
            </w:r>
          </w:p>
        </w:tc>
        <w:tc>
          <w:tcPr>
            <w:tcW w:w="1415" w:type="dxa"/>
          </w:tcPr>
          <w:p w14:paraId="5809BCE2" w14:textId="77777777" w:rsidR="004F432E" w:rsidRPr="00797CDB" w:rsidRDefault="004F432E" w:rsidP="00A333F1">
            <w:pPr>
              <w:autoSpaceDE w:val="0"/>
              <w:autoSpaceDN w:val="0"/>
              <w:adjustRightInd w:val="0"/>
              <w:rPr>
                <w:rFonts w:eastAsia="TimesNewRomanPSMT"/>
                <w:i/>
              </w:rPr>
            </w:pPr>
          </w:p>
        </w:tc>
      </w:tr>
      <w:tr w:rsidR="004F432E" w:rsidRPr="00BE7FAC" w14:paraId="6F33DC64" w14:textId="08A01926" w:rsidTr="00F1648C">
        <w:trPr>
          <w:trHeight w:val="401"/>
        </w:trPr>
        <w:tc>
          <w:tcPr>
            <w:tcW w:w="1914" w:type="dxa"/>
          </w:tcPr>
          <w:p w14:paraId="57D473E3" w14:textId="77777777" w:rsidR="004F432E" w:rsidRPr="00797CDB" w:rsidRDefault="004F432E" w:rsidP="00A333F1">
            <w:pPr>
              <w:autoSpaceDE w:val="0"/>
              <w:autoSpaceDN w:val="0"/>
              <w:adjustRightInd w:val="0"/>
              <w:rPr>
                <w:rFonts w:eastAsia="TimesNewRomanPSMT"/>
              </w:rPr>
            </w:pPr>
          </w:p>
        </w:tc>
        <w:tc>
          <w:tcPr>
            <w:tcW w:w="1903" w:type="dxa"/>
          </w:tcPr>
          <w:p w14:paraId="0C6EC2C1" w14:textId="77777777" w:rsidR="004F432E" w:rsidRPr="00797CDB" w:rsidRDefault="004F432E" w:rsidP="00A333F1">
            <w:pPr>
              <w:autoSpaceDE w:val="0"/>
              <w:autoSpaceDN w:val="0"/>
              <w:adjustRightInd w:val="0"/>
              <w:rPr>
                <w:rFonts w:eastAsia="TimesNewRomanPSMT"/>
              </w:rPr>
            </w:pPr>
          </w:p>
        </w:tc>
        <w:tc>
          <w:tcPr>
            <w:tcW w:w="2051" w:type="dxa"/>
          </w:tcPr>
          <w:p w14:paraId="10322030"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Padidėjusio jautrumo</w:t>
            </w:r>
          </w:p>
          <w:p w14:paraId="6E097C25"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reakcijos</w:t>
            </w:r>
          </w:p>
        </w:tc>
        <w:tc>
          <w:tcPr>
            <w:tcW w:w="1777" w:type="dxa"/>
          </w:tcPr>
          <w:p w14:paraId="7CEC85CF"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Angioneurozinė edema</w:t>
            </w:r>
            <w:r w:rsidRPr="00797CDB">
              <w:rPr>
                <w:rFonts w:eastAsia="TimesNewRomanPSMT"/>
                <w:vertAlign w:val="superscript"/>
              </w:rPr>
              <w:t>2</w:t>
            </w:r>
          </w:p>
          <w:p w14:paraId="18D64578" w14:textId="77777777" w:rsidR="004F432E" w:rsidRPr="00797CDB" w:rsidRDefault="004F432E" w:rsidP="00A333F1">
            <w:pPr>
              <w:autoSpaceDE w:val="0"/>
              <w:autoSpaceDN w:val="0"/>
              <w:adjustRightInd w:val="0"/>
              <w:jc w:val="both"/>
              <w:rPr>
                <w:rFonts w:eastAsia="TimesNewRomanPSMT"/>
              </w:rPr>
            </w:pPr>
          </w:p>
        </w:tc>
        <w:tc>
          <w:tcPr>
            <w:tcW w:w="1415" w:type="dxa"/>
          </w:tcPr>
          <w:p w14:paraId="00F181A1" w14:textId="77777777" w:rsidR="004F432E" w:rsidRPr="00797CDB" w:rsidRDefault="004F432E" w:rsidP="00A333F1">
            <w:pPr>
              <w:autoSpaceDE w:val="0"/>
              <w:autoSpaceDN w:val="0"/>
              <w:adjustRightInd w:val="0"/>
              <w:rPr>
                <w:rFonts w:eastAsia="TimesNewRomanPSMT"/>
              </w:rPr>
            </w:pPr>
          </w:p>
        </w:tc>
      </w:tr>
      <w:tr w:rsidR="004F432E" w:rsidRPr="00BE7FAC" w14:paraId="55A9FFAD" w14:textId="4C06A127" w:rsidTr="00F1648C">
        <w:tc>
          <w:tcPr>
            <w:tcW w:w="7645" w:type="dxa"/>
            <w:gridSpan w:val="4"/>
          </w:tcPr>
          <w:p w14:paraId="339AD354" w14:textId="77777777" w:rsidR="004F432E" w:rsidRPr="00797CDB" w:rsidRDefault="004F432E" w:rsidP="00A333F1">
            <w:pPr>
              <w:autoSpaceDE w:val="0"/>
              <w:autoSpaceDN w:val="0"/>
              <w:adjustRightInd w:val="0"/>
              <w:rPr>
                <w:rFonts w:eastAsia="TimesNewRomanPSMT"/>
                <w:i/>
              </w:rPr>
            </w:pPr>
            <w:r w:rsidRPr="00797CDB">
              <w:rPr>
                <w:rFonts w:eastAsia="TimesNewRomanPSMT"/>
                <w:i/>
              </w:rPr>
              <w:t>Nervų sistemos sutrikimai</w:t>
            </w:r>
          </w:p>
        </w:tc>
        <w:tc>
          <w:tcPr>
            <w:tcW w:w="1415" w:type="dxa"/>
          </w:tcPr>
          <w:p w14:paraId="356140B1" w14:textId="77777777" w:rsidR="004F432E" w:rsidRPr="00797CDB" w:rsidRDefault="004F432E" w:rsidP="00A333F1">
            <w:pPr>
              <w:autoSpaceDE w:val="0"/>
              <w:autoSpaceDN w:val="0"/>
              <w:adjustRightInd w:val="0"/>
              <w:rPr>
                <w:rFonts w:eastAsia="TimesNewRomanPSMT"/>
                <w:i/>
              </w:rPr>
            </w:pPr>
          </w:p>
        </w:tc>
      </w:tr>
      <w:tr w:rsidR="004F432E" w:rsidRPr="00BE7FAC" w14:paraId="12BF1741" w14:textId="6EFB9E57" w:rsidTr="00F1648C">
        <w:tc>
          <w:tcPr>
            <w:tcW w:w="1914" w:type="dxa"/>
          </w:tcPr>
          <w:p w14:paraId="75C27898" w14:textId="77777777" w:rsidR="004F432E" w:rsidRPr="00797CDB" w:rsidRDefault="004F432E" w:rsidP="00A333F1">
            <w:pPr>
              <w:autoSpaceDE w:val="0"/>
              <w:autoSpaceDN w:val="0"/>
              <w:adjustRightInd w:val="0"/>
              <w:rPr>
                <w:rFonts w:eastAsia="TimesNewRomanPSMT"/>
              </w:rPr>
            </w:pPr>
          </w:p>
        </w:tc>
        <w:tc>
          <w:tcPr>
            <w:tcW w:w="1903" w:type="dxa"/>
          </w:tcPr>
          <w:p w14:paraId="40995CE0" w14:textId="77777777" w:rsidR="004F432E" w:rsidRPr="00797CDB" w:rsidRDefault="004F432E" w:rsidP="00A333F1">
            <w:pPr>
              <w:autoSpaceDE w:val="0"/>
              <w:autoSpaceDN w:val="0"/>
              <w:adjustRightInd w:val="0"/>
              <w:jc w:val="both"/>
              <w:rPr>
                <w:rFonts w:asciiTheme="minorHAnsi" w:eastAsia="TimesNewRomanPSMT" w:hAnsiTheme="minorHAnsi" w:cstheme="minorBidi"/>
                <w:szCs w:val="22"/>
                <w:lang w:eastAsia="en-US"/>
              </w:rPr>
            </w:pPr>
            <w:r w:rsidRPr="00797CDB">
              <w:rPr>
                <w:rFonts w:eastAsia="TimesNewRomanPSMT"/>
              </w:rPr>
              <w:t>Galvos skausmas</w:t>
            </w:r>
          </w:p>
        </w:tc>
        <w:tc>
          <w:tcPr>
            <w:tcW w:w="2051" w:type="dxa"/>
          </w:tcPr>
          <w:p w14:paraId="568CC861" w14:textId="77777777" w:rsidR="004F432E" w:rsidRPr="00797CDB" w:rsidRDefault="004F432E" w:rsidP="00A333F1">
            <w:pPr>
              <w:autoSpaceDE w:val="0"/>
              <w:autoSpaceDN w:val="0"/>
              <w:adjustRightInd w:val="0"/>
              <w:jc w:val="both"/>
              <w:rPr>
                <w:rFonts w:asciiTheme="minorHAnsi" w:eastAsia="TimesNewRomanPSMT" w:hAnsiTheme="minorHAnsi" w:cstheme="minorBidi"/>
                <w:szCs w:val="22"/>
                <w:lang w:eastAsia="en-US"/>
              </w:rPr>
            </w:pPr>
            <w:r w:rsidRPr="00797CDB">
              <w:rPr>
                <w:rFonts w:eastAsia="TimesNewRomanPSMT"/>
              </w:rPr>
              <w:t xml:space="preserve">Svaigulys </w:t>
            </w:r>
          </w:p>
        </w:tc>
        <w:tc>
          <w:tcPr>
            <w:tcW w:w="1777" w:type="dxa"/>
          </w:tcPr>
          <w:p w14:paraId="71F00442"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Insultas</w:t>
            </w:r>
            <w:r w:rsidRPr="00797CDB">
              <w:rPr>
                <w:rFonts w:eastAsia="TimesNewRomanPSMT"/>
                <w:vertAlign w:val="superscript"/>
              </w:rPr>
              <w:t>1</w:t>
            </w:r>
          </w:p>
          <w:p w14:paraId="1FE03BB5"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(įskaitant kraujavimo reiškinius)</w:t>
            </w:r>
          </w:p>
          <w:p w14:paraId="785F5F99"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Apalpimas</w:t>
            </w:r>
          </w:p>
          <w:p w14:paraId="7DE37068"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Praeinantieji smegenų išemijos priepuoliai</w:t>
            </w:r>
            <w:r w:rsidRPr="00797CDB">
              <w:rPr>
                <w:rFonts w:eastAsia="TimesNewRomanPSMT"/>
                <w:vertAlign w:val="superscript"/>
              </w:rPr>
              <w:t>1</w:t>
            </w:r>
          </w:p>
          <w:p w14:paraId="195C417E"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Migrena</w:t>
            </w:r>
            <w:r w:rsidRPr="00797CDB">
              <w:rPr>
                <w:rFonts w:eastAsia="TimesNewRomanPSMT"/>
                <w:vertAlign w:val="superscript"/>
              </w:rPr>
              <w:t>2</w:t>
            </w:r>
          </w:p>
          <w:p w14:paraId="03492E0F"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Priepuoliai</w:t>
            </w:r>
          </w:p>
          <w:p w14:paraId="29789A2A"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Laikinas atminties praradimas</w:t>
            </w:r>
          </w:p>
        </w:tc>
        <w:tc>
          <w:tcPr>
            <w:tcW w:w="1415" w:type="dxa"/>
          </w:tcPr>
          <w:p w14:paraId="45F659DB" w14:textId="77777777" w:rsidR="004F432E" w:rsidRPr="00797CDB" w:rsidRDefault="004F432E" w:rsidP="00A333F1">
            <w:pPr>
              <w:autoSpaceDE w:val="0"/>
              <w:autoSpaceDN w:val="0"/>
              <w:adjustRightInd w:val="0"/>
              <w:rPr>
                <w:rFonts w:eastAsia="TimesNewRomanPSMT"/>
              </w:rPr>
            </w:pPr>
          </w:p>
        </w:tc>
      </w:tr>
      <w:tr w:rsidR="004F432E" w:rsidRPr="00BE7FAC" w14:paraId="3A917095" w14:textId="16E1EFEB" w:rsidTr="00F1648C">
        <w:tc>
          <w:tcPr>
            <w:tcW w:w="7645" w:type="dxa"/>
            <w:gridSpan w:val="4"/>
          </w:tcPr>
          <w:p w14:paraId="47EBC27F" w14:textId="77777777" w:rsidR="004F432E" w:rsidRPr="00797CDB" w:rsidRDefault="004F432E" w:rsidP="00A333F1">
            <w:pPr>
              <w:autoSpaceDE w:val="0"/>
              <w:autoSpaceDN w:val="0"/>
              <w:adjustRightInd w:val="0"/>
              <w:rPr>
                <w:rFonts w:eastAsia="TimesNewRomanPSMT"/>
                <w:i/>
              </w:rPr>
            </w:pPr>
            <w:r w:rsidRPr="00A333F1">
              <w:rPr>
                <w:i/>
              </w:rPr>
              <w:t>Akių sutrikimai</w:t>
            </w:r>
          </w:p>
        </w:tc>
        <w:tc>
          <w:tcPr>
            <w:tcW w:w="1415" w:type="dxa"/>
          </w:tcPr>
          <w:p w14:paraId="74BDB72D" w14:textId="77777777" w:rsidR="004F432E" w:rsidRPr="00A333F1" w:rsidRDefault="004F432E" w:rsidP="00A333F1">
            <w:pPr>
              <w:autoSpaceDE w:val="0"/>
              <w:autoSpaceDN w:val="0"/>
              <w:adjustRightInd w:val="0"/>
              <w:rPr>
                <w:i/>
              </w:rPr>
            </w:pPr>
          </w:p>
        </w:tc>
      </w:tr>
      <w:tr w:rsidR="004F432E" w:rsidRPr="00BE7FAC" w14:paraId="44CE69A4" w14:textId="2D292B04" w:rsidTr="00F1648C">
        <w:tc>
          <w:tcPr>
            <w:tcW w:w="1914" w:type="dxa"/>
          </w:tcPr>
          <w:p w14:paraId="7898D3ED" w14:textId="77777777" w:rsidR="004F432E" w:rsidRPr="00797CDB" w:rsidRDefault="004F432E" w:rsidP="00A333F1">
            <w:pPr>
              <w:autoSpaceDE w:val="0"/>
              <w:autoSpaceDN w:val="0"/>
              <w:adjustRightInd w:val="0"/>
              <w:rPr>
                <w:rFonts w:eastAsia="TimesNewRomanPSMT"/>
              </w:rPr>
            </w:pPr>
          </w:p>
        </w:tc>
        <w:tc>
          <w:tcPr>
            <w:tcW w:w="1903" w:type="dxa"/>
          </w:tcPr>
          <w:p w14:paraId="1A071619" w14:textId="77777777" w:rsidR="004F432E" w:rsidRPr="00797CDB" w:rsidRDefault="004F432E" w:rsidP="00A333F1">
            <w:pPr>
              <w:autoSpaceDE w:val="0"/>
              <w:autoSpaceDN w:val="0"/>
              <w:adjustRightInd w:val="0"/>
              <w:jc w:val="both"/>
              <w:rPr>
                <w:rFonts w:eastAsia="TimesNewRomanPSMT"/>
              </w:rPr>
            </w:pPr>
          </w:p>
        </w:tc>
        <w:tc>
          <w:tcPr>
            <w:tcW w:w="2051" w:type="dxa"/>
          </w:tcPr>
          <w:p w14:paraId="1CE77F3F"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Daiktų matymas lyg per miglą</w:t>
            </w:r>
          </w:p>
          <w:p w14:paraId="78095645"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Pojūtis, apibūdintas kaip akių skausmas </w:t>
            </w:r>
          </w:p>
          <w:p w14:paraId="193F92B9" w14:textId="77777777" w:rsidR="004F432E" w:rsidRPr="00797CDB" w:rsidRDefault="004F432E" w:rsidP="00A333F1">
            <w:pPr>
              <w:autoSpaceDE w:val="0"/>
              <w:autoSpaceDN w:val="0"/>
              <w:adjustRightInd w:val="0"/>
              <w:jc w:val="both"/>
              <w:rPr>
                <w:rFonts w:eastAsia="TimesNewRomanPSMT"/>
              </w:rPr>
            </w:pPr>
          </w:p>
        </w:tc>
        <w:tc>
          <w:tcPr>
            <w:tcW w:w="1777" w:type="dxa"/>
          </w:tcPr>
          <w:p w14:paraId="36EC8E36"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Akipločio defektai</w:t>
            </w:r>
          </w:p>
          <w:p w14:paraId="2C1880A4"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Akių vokų patinimas</w:t>
            </w:r>
          </w:p>
          <w:p w14:paraId="430BD0F2" w14:textId="77777777" w:rsidR="004F432E" w:rsidRPr="00797CDB" w:rsidRDefault="004F432E" w:rsidP="00A333F1">
            <w:pPr>
              <w:autoSpaceDE w:val="0"/>
              <w:autoSpaceDN w:val="0"/>
              <w:adjustRightInd w:val="0"/>
              <w:rPr>
                <w:rFonts w:eastAsia="TimesNewRomanPSMT"/>
              </w:rPr>
            </w:pPr>
            <w:r w:rsidRPr="00A333F1">
              <w:t>Jungin</w:t>
            </w:r>
            <w:r w:rsidRPr="00797CDB">
              <w:rPr>
                <w:rFonts w:eastAsia="TimesNewRomanPSMT"/>
              </w:rPr>
              <w:t>ės hiperemija</w:t>
            </w:r>
          </w:p>
          <w:p w14:paraId="375BA4B0" w14:textId="77777777" w:rsidR="004F432E" w:rsidRPr="00A333F1" w:rsidRDefault="004F432E" w:rsidP="00A333F1">
            <w:pPr>
              <w:autoSpaceDE w:val="0"/>
              <w:autoSpaceDN w:val="0"/>
              <w:adjustRightInd w:val="0"/>
            </w:pPr>
            <w:r w:rsidRPr="00A333F1">
              <w:t>Ne arterito sukelta</w:t>
            </w:r>
            <w:r w:rsidRPr="00797CDB">
              <w:rPr>
                <w:rFonts w:eastAsia="TimesNewRomanPSMT"/>
              </w:rPr>
              <w:t xml:space="preserve"> priekinė išeminė regos</w:t>
            </w:r>
            <w:r w:rsidRPr="00A333F1">
              <w:t xml:space="preserve"> nervo neuropatija (angl.</w:t>
            </w:r>
            <w:r w:rsidRPr="00A333F1">
              <w:rPr>
                <w:i/>
              </w:rPr>
              <w:t xml:space="preserve"> NAION</w:t>
            </w:r>
            <w:r w:rsidRPr="00A333F1">
              <w:t>)</w:t>
            </w:r>
            <w:r w:rsidRPr="00A333F1">
              <w:rPr>
                <w:vertAlign w:val="superscript"/>
              </w:rPr>
              <w:t>2</w:t>
            </w:r>
          </w:p>
          <w:p w14:paraId="51C9C66F"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Tinklainės kraujagyslių </w:t>
            </w:r>
            <w:r w:rsidRPr="00A333F1">
              <w:t>užsikimšimas</w:t>
            </w:r>
            <w:r w:rsidRPr="00A333F1">
              <w:rPr>
                <w:vertAlign w:val="superscript"/>
              </w:rPr>
              <w:t>2</w:t>
            </w:r>
          </w:p>
        </w:tc>
        <w:tc>
          <w:tcPr>
            <w:tcW w:w="1415" w:type="dxa"/>
          </w:tcPr>
          <w:p w14:paraId="1F640110" w14:textId="02F381AE" w:rsidR="004F432E" w:rsidRPr="00797CDB" w:rsidRDefault="004F432E" w:rsidP="00A333F1">
            <w:pPr>
              <w:autoSpaceDE w:val="0"/>
              <w:autoSpaceDN w:val="0"/>
              <w:adjustRightInd w:val="0"/>
              <w:rPr>
                <w:rFonts w:eastAsia="TimesNewRomanPSMT"/>
              </w:rPr>
            </w:pPr>
            <w:r>
              <w:t>Centrinė serozinė chorioretinopatija</w:t>
            </w:r>
          </w:p>
        </w:tc>
      </w:tr>
      <w:tr w:rsidR="004F432E" w:rsidRPr="00BE7FAC" w14:paraId="43B0049E" w14:textId="5A8976A9" w:rsidTr="00F1648C">
        <w:tc>
          <w:tcPr>
            <w:tcW w:w="7645" w:type="dxa"/>
            <w:gridSpan w:val="4"/>
          </w:tcPr>
          <w:p w14:paraId="3DB77FD6" w14:textId="77777777" w:rsidR="004F432E" w:rsidRPr="00797CDB" w:rsidRDefault="004F432E" w:rsidP="00A333F1">
            <w:pPr>
              <w:autoSpaceDE w:val="0"/>
              <w:autoSpaceDN w:val="0"/>
              <w:adjustRightInd w:val="0"/>
              <w:rPr>
                <w:rFonts w:eastAsia="TimesNewRomanPSMT"/>
                <w:i/>
              </w:rPr>
            </w:pPr>
            <w:r w:rsidRPr="00A333F1">
              <w:rPr>
                <w:i/>
              </w:rPr>
              <w:t>Ausų ir labirintų sutrikimai</w:t>
            </w:r>
          </w:p>
        </w:tc>
        <w:tc>
          <w:tcPr>
            <w:tcW w:w="1415" w:type="dxa"/>
          </w:tcPr>
          <w:p w14:paraId="669A25E8" w14:textId="77777777" w:rsidR="004F432E" w:rsidRPr="00A333F1" w:rsidRDefault="004F432E" w:rsidP="00A333F1">
            <w:pPr>
              <w:autoSpaceDE w:val="0"/>
              <w:autoSpaceDN w:val="0"/>
              <w:adjustRightInd w:val="0"/>
              <w:rPr>
                <w:i/>
              </w:rPr>
            </w:pPr>
          </w:p>
        </w:tc>
      </w:tr>
      <w:tr w:rsidR="004F432E" w:rsidRPr="00BE7FAC" w14:paraId="7336FE55" w14:textId="42AD206E" w:rsidTr="00F1648C">
        <w:tc>
          <w:tcPr>
            <w:tcW w:w="1914" w:type="dxa"/>
          </w:tcPr>
          <w:p w14:paraId="52ADED00" w14:textId="77777777" w:rsidR="004F432E" w:rsidRPr="00797CDB" w:rsidRDefault="004F432E" w:rsidP="00A333F1">
            <w:pPr>
              <w:autoSpaceDE w:val="0"/>
              <w:autoSpaceDN w:val="0"/>
              <w:adjustRightInd w:val="0"/>
              <w:rPr>
                <w:rFonts w:eastAsia="TimesNewRomanPSMT"/>
              </w:rPr>
            </w:pPr>
          </w:p>
        </w:tc>
        <w:tc>
          <w:tcPr>
            <w:tcW w:w="1903" w:type="dxa"/>
          </w:tcPr>
          <w:p w14:paraId="7569FD67" w14:textId="77777777" w:rsidR="004F432E" w:rsidRPr="00797CDB" w:rsidRDefault="004F432E" w:rsidP="00A333F1">
            <w:pPr>
              <w:autoSpaceDE w:val="0"/>
              <w:autoSpaceDN w:val="0"/>
              <w:adjustRightInd w:val="0"/>
              <w:jc w:val="both"/>
              <w:rPr>
                <w:rFonts w:eastAsia="TimesNewRomanPSMT"/>
              </w:rPr>
            </w:pPr>
          </w:p>
        </w:tc>
        <w:tc>
          <w:tcPr>
            <w:tcW w:w="2051" w:type="dxa"/>
          </w:tcPr>
          <w:p w14:paraId="7E2B418A" w14:textId="77777777" w:rsidR="004F432E" w:rsidRPr="00797CDB" w:rsidRDefault="004F432E" w:rsidP="00A333F1">
            <w:pPr>
              <w:autoSpaceDE w:val="0"/>
              <w:autoSpaceDN w:val="0"/>
              <w:adjustRightInd w:val="0"/>
              <w:jc w:val="both"/>
              <w:rPr>
                <w:rFonts w:eastAsia="TimesNewRomanPSMT"/>
              </w:rPr>
            </w:pPr>
            <w:r w:rsidRPr="00A333F1">
              <w:t>Ūžesys</w:t>
            </w:r>
          </w:p>
        </w:tc>
        <w:tc>
          <w:tcPr>
            <w:tcW w:w="1777" w:type="dxa"/>
          </w:tcPr>
          <w:p w14:paraId="5C7E4557" w14:textId="77777777" w:rsidR="004F432E" w:rsidRPr="00797CDB" w:rsidRDefault="004F432E" w:rsidP="00A333F1">
            <w:pPr>
              <w:autoSpaceDE w:val="0"/>
              <w:autoSpaceDN w:val="0"/>
              <w:adjustRightInd w:val="0"/>
              <w:rPr>
                <w:rFonts w:eastAsia="TimesNewRomanPSMT"/>
              </w:rPr>
            </w:pPr>
            <w:r w:rsidRPr="00A333F1">
              <w:t>Staigus klausos praradimas</w:t>
            </w:r>
          </w:p>
        </w:tc>
        <w:tc>
          <w:tcPr>
            <w:tcW w:w="1415" w:type="dxa"/>
          </w:tcPr>
          <w:p w14:paraId="06C1EC10" w14:textId="77777777" w:rsidR="004F432E" w:rsidRPr="00A333F1" w:rsidRDefault="004F432E" w:rsidP="00A333F1">
            <w:pPr>
              <w:autoSpaceDE w:val="0"/>
              <w:autoSpaceDN w:val="0"/>
              <w:adjustRightInd w:val="0"/>
            </w:pPr>
          </w:p>
        </w:tc>
      </w:tr>
      <w:tr w:rsidR="004F432E" w:rsidRPr="00BE7FAC" w14:paraId="55CF3E19" w14:textId="5889DBF5" w:rsidTr="00F1648C">
        <w:tc>
          <w:tcPr>
            <w:tcW w:w="7645" w:type="dxa"/>
            <w:gridSpan w:val="4"/>
          </w:tcPr>
          <w:p w14:paraId="1FC7FA04" w14:textId="77777777" w:rsidR="004F432E" w:rsidRPr="00A333F1" w:rsidRDefault="004F432E" w:rsidP="00A333F1">
            <w:pPr>
              <w:autoSpaceDE w:val="0"/>
              <w:autoSpaceDN w:val="0"/>
              <w:adjustRightInd w:val="0"/>
              <w:rPr>
                <w:i/>
              </w:rPr>
            </w:pPr>
            <w:r w:rsidRPr="00A333F1">
              <w:rPr>
                <w:i/>
              </w:rPr>
              <w:t>Širdies sutrikimai</w:t>
            </w:r>
            <w:r w:rsidRPr="00A333F1">
              <w:rPr>
                <w:i/>
                <w:vertAlign w:val="superscript"/>
              </w:rPr>
              <w:t>1</w:t>
            </w:r>
          </w:p>
        </w:tc>
        <w:tc>
          <w:tcPr>
            <w:tcW w:w="1415" w:type="dxa"/>
          </w:tcPr>
          <w:p w14:paraId="3BC81E0C" w14:textId="77777777" w:rsidR="004F432E" w:rsidRPr="00A333F1" w:rsidRDefault="004F432E" w:rsidP="00A333F1">
            <w:pPr>
              <w:autoSpaceDE w:val="0"/>
              <w:autoSpaceDN w:val="0"/>
              <w:adjustRightInd w:val="0"/>
              <w:rPr>
                <w:i/>
              </w:rPr>
            </w:pPr>
          </w:p>
        </w:tc>
      </w:tr>
      <w:tr w:rsidR="004F432E" w:rsidRPr="00BE7FAC" w14:paraId="2766322F" w14:textId="07357640" w:rsidTr="00F1648C">
        <w:tc>
          <w:tcPr>
            <w:tcW w:w="1914" w:type="dxa"/>
          </w:tcPr>
          <w:p w14:paraId="0A8E2C56" w14:textId="77777777" w:rsidR="004F432E" w:rsidRPr="00A333F1" w:rsidRDefault="004F432E" w:rsidP="00A333F1">
            <w:pPr>
              <w:autoSpaceDE w:val="0"/>
              <w:autoSpaceDN w:val="0"/>
              <w:adjustRightInd w:val="0"/>
            </w:pPr>
          </w:p>
          <w:p w14:paraId="0B479E43" w14:textId="77777777" w:rsidR="004F432E" w:rsidRPr="00797CDB" w:rsidRDefault="004F432E" w:rsidP="00A333F1">
            <w:pPr>
              <w:autoSpaceDE w:val="0"/>
              <w:autoSpaceDN w:val="0"/>
              <w:adjustRightInd w:val="0"/>
              <w:rPr>
                <w:rFonts w:eastAsia="TimesNewRomanPSMT"/>
              </w:rPr>
            </w:pPr>
          </w:p>
        </w:tc>
        <w:tc>
          <w:tcPr>
            <w:tcW w:w="1903" w:type="dxa"/>
          </w:tcPr>
          <w:p w14:paraId="558F1A99" w14:textId="77777777" w:rsidR="004F432E" w:rsidRPr="00797CDB" w:rsidRDefault="004F432E" w:rsidP="00A333F1">
            <w:pPr>
              <w:autoSpaceDE w:val="0"/>
              <w:autoSpaceDN w:val="0"/>
              <w:adjustRightInd w:val="0"/>
              <w:jc w:val="both"/>
              <w:rPr>
                <w:rFonts w:eastAsia="TimesNewRomanPSMT"/>
              </w:rPr>
            </w:pPr>
          </w:p>
        </w:tc>
        <w:tc>
          <w:tcPr>
            <w:tcW w:w="2051" w:type="dxa"/>
          </w:tcPr>
          <w:p w14:paraId="6DFC4A81" w14:textId="77777777" w:rsidR="004F432E" w:rsidRPr="00A333F1" w:rsidRDefault="004F432E" w:rsidP="00A333F1">
            <w:pPr>
              <w:autoSpaceDE w:val="0"/>
              <w:autoSpaceDN w:val="0"/>
              <w:adjustRightInd w:val="0"/>
            </w:pPr>
            <w:r w:rsidRPr="00A333F1">
              <w:t>Tachikardija</w:t>
            </w:r>
          </w:p>
          <w:p w14:paraId="02C3186D" w14:textId="77777777" w:rsidR="004F432E" w:rsidRPr="00A333F1" w:rsidRDefault="004F432E" w:rsidP="00A333F1">
            <w:pPr>
              <w:autoSpaceDE w:val="0"/>
              <w:autoSpaceDN w:val="0"/>
              <w:adjustRightInd w:val="0"/>
            </w:pPr>
            <w:r w:rsidRPr="00A333F1">
              <w:t>Palpitacijos</w:t>
            </w:r>
          </w:p>
          <w:p w14:paraId="118CADE5" w14:textId="77777777" w:rsidR="004F432E" w:rsidRPr="00797CDB" w:rsidRDefault="004F432E" w:rsidP="00A333F1">
            <w:pPr>
              <w:autoSpaceDE w:val="0"/>
              <w:autoSpaceDN w:val="0"/>
              <w:adjustRightInd w:val="0"/>
              <w:jc w:val="both"/>
              <w:rPr>
                <w:rFonts w:eastAsia="TimesNewRomanPSMT"/>
              </w:rPr>
            </w:pPr>
          </w:p>
        </w:tc>
        <w:tc>
          <w:tcPr>
            <w:tcW w:w="1777" w:type="dxa"/>
          </w:tcPr>
          <w:p w14:paraId="5CF7E8AF" w14:textId="77777777" w:rsidR="004F432E" w:rsidRPr="00A333F1" w:rsidRDefault="004F432E" w:rsidP="00A333F1">
            <w:pPr>
              <w:autoSpaceDE w:val="0"/>
              <w:autoSpaceDN w:val="0"/>
              <w:adjustRightInd w:val="0"/>
            </w:pPr>
            <w:r w:rsidRPr="00A333F1">
              <w:t>Miokardo infarktas</w:t>
            </w:r>
          </w:p>
          <w:p w14:paraId="2DA65EC9" w14:textId="77777777" w:rsidR="004F432E" w:rsidRPr="00A333F1" w:rsidRDefault="004F432E"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Nestabilioji krūtinės</w:t>
            </w:r>
            <w:r w:rsidRPr="00A333F1">
              <w:t xml:space="preserve"> angina</w:t>
            </w:r>
            <w:r w:rsidRPr="00A333F1">
              <w:rPr>
                <w:vertAlign w:val="superscript"/>
              </w:rPr>
              <w:t>2</w:t>
            </w:r>
          </w:p>
          <w:p w14:paraId="628F1D5C"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Skilvelinė aritmija</w:t>
            </w:r>
            <w:r w:rsidRPr="00A333F1">
              <w:rPr>
                <w:vertAlign w:val="superscript"/>
              </w:rPr>
              <w:t>3</w:t>
            </w:r>
          </w:p>
        </w:tc>
        <w:tc>
          <w:tcPr>
            <w:tcW w:w="1415" w:type="dxa"/>
          </w:tcPr>
          <w:p w14:paraId="29061818" w14:textId="77777777" w:rsidR="004F432E" w:rsidRPr="00A333F1" w:rsidRDefault="004F432E" w:rsidP="00A333F1">
            <w:pPr>
              <w:autoSpaceDE w:val="0"/>
              <w:autoSpaceDN w:val="0"/>
              <w:adjustRightInd w:val="0"/>
            </w:pPr>
          </w:p>
        </w:tc>
      </w:tr>
      <w:tr w:rsidR="004F432E" w:rsidRPr="00BE7FAC" w14:paraId="107271D8" w14:textId="69D715F3" w:rsidTr="00F1648C">
        <w:tc>
          <w:tcPr>
            <w:tcW w:w="7645" w:type="dxa"/>
            <w:gridSpan w:val="4"/>
          </w:tcPr>
          <w:p w14:paraId="169FEDCC" w14:textId="77777777" w:rsidR="004F432E" w:rsidRPr="00A333F1" w:rsidRDefault="004F432E" w:rsidP="00A333F1">
            <w:pPr>
              <w:autoSpaceDE w:val="0"/>
              <w:autoSpaceDN w:val="0"/>
              <w:adjustRightInd w:val="0"/>
              <w:rPr>
                <w:i/>
              </w:rPr>
            </w:pPr>
            <w:r w:rsidRPr="00A333F1">
              <w:rPr>
                <w:i/>
              </w:rPr>
              <w:t>Kraujagyslių sutrikimai</w:t>
            </w:r>
          </w:p>
        </w:tc>
        <w:tc>
          <w:tcPr>
            <w:tcW w:w="1415" w:type="dxa"/>
          </w:tcPr>
          <w:p w14:paraId="7B72052F" w14:textId="77777777" w:rsidR="004F432E" w:rsidRPr="00A333F1" w:rsidRDefault="004F432E" w:rsidP="00A333F1">
            <w:pPr>
              <w:autoSpaceDE w:val="0"/>
              <w:autoSpaceDN w:val="0"/>
              <w:adjustRightInd w:val="0"/>
              <w:rPr>
                <w:i/>
              </w:rPr>
            </w:pPr>
          </w:p>
        </w:tc>
      </w:tr>
      <w:tr w:rsidR="004F432E" w:rsidRPr="00BE7FAC" w14:paraId="6F9B0C96" w14:textId="603DCA38" w:rsidTr="00F1648C">
        <w:tc>
          <w:tcPr>
            <w:tcW w:w="1914" w:type="dxa"/>
          </w:tcPr>
          <w:p w14:paraId="118630EE" w14:textId="77777777" w:rsidR="004F432E" w:rsidRPr="00797CDB" w:rsidRDefault="004F432E" w:rsidP="00A333F1">
            <w:pPr>
              <w:autoSpaceDE w:val="0"/>
              <w:autoSpaceDN w:val="0"/>
              <w:adjustRightInd w:val="0"/>
              <w:rPr>
                <w:rFonts w:eastAsia="TimesNewRomanPSMT"/>
              </w:rPr>
            </w:pPr>
          </w:p>
        </w:tc>
        <w:tc>
          <w:tcPr>
            <w:tcW w:w="1903" w:type="dxa"/>
          </w:tcPr>
          <w:p w14:paraId="640FDC8C" w14:textId="77777777" w:rsidR="004F432E" w:rsidRPr="00797CDB" w:rsidRDefault="004F432E" w:rsidP="00A333F1">
            <w:pPr>
              <w:autoSpaceDE w:val="0"/>
              <w:autoSpaceDN w:val="0"/>
              <w:adjustRightInd w:val="0"/>
              <w:rPr>
                <w:rFonts w:eastAsia="TimesNewRomanPSMT"/>
              </w:rPr>
            </w:pPr>
            <w:r w:rsidRPr="00A333F1">
              <w:t>Veido ir kaklo paraudimas</w:t>
            </w:r>
          </w:p>
        </w:tc>
        <w:tc>
          <w:tcPr>
            <w:tcW w:w="2051" w:type="dxa"/>
          </w:tcPr>
          <w:p w14:paraId="4F8CC8A4" w14:textId="77777777" w:rsidR="004F432E" w:rsidRPr="00A333F1" w:rsidRDefault="004F432E" w:rsidP="00A333F1">
            <w:pPr>
              <w:autoSpaceDE w:val="0"/>
              <w:autoSpaceDN w:val="0"/>
              <w:adjustRightInd w:val="0"/>
            </w:pPr>
            <w:r w:rsidRPr="00A333F1">
              <w:t>Hipotenzija</w:t>
            </w:r>
            <w:r w:rsidRPr="00A333F1">
              <w:rPr>
                <w:vertAlign w:val="superscript"/>
              </w:rPr>
              <w:t>3</w:t>
            </w:r>
          </w:p>
          <w:p w14:paraId="66FA16FD" w14:textId="77777777" w:rsidR="004F432E" w:rsidRPr="00797CDB" w:rsidRDefault="004F432E" w:rsidP="00A333F1">
            <w:pPr>
              <w:autoSpaceDE w:val="0"/>
              <w:autoSpaceDN w:val="0"/>
              <w:adjustRightInd w:val="0"/>
              <w:rPr>
                <w:rFonts w:eastAsia="TimesNewRomanPSMT"/>
              </w:rPr>
            </w:pPr>
            <w:r w:rsidRPr="00A333F1">
              <w:t>Hipertenzija</w:t>
            </w:r>
          </w:p>
        </w:tc>
        <w:tc>
          <w:tcPr>
            <w:tcW w:w="1777" w:type="dxa"/>
          </w:tcPr>
          <w:p w14:paraId="2350D8D4" w14:textId="77777777" w:rsidR="004F432E" w:rsidRPr="00797CDB" w:rsidRDefault="004F432E" w:rsidP="00A333F1">
            <w:pPr>
              <w:autoSpaceDE w:val="0"/>
              <w:autoSpaceDN w:val="0"/>
              <w:adjustRightInd w:val="0"/>
              <w:jc w:val="both"/>
              <w:rPr>
                <w:rFonts w:eastAsia="TimesNewRomanPSMT"/>
              </w:rPr>
            </w:pPr>
          </w:p>
        </w:tc>
        <w:tc>
          <w:tcPr>
            <w:tcW w:w="1415" w:type="dxa"/>
          </w:tcPr>
          <w:p w14:paraId="3D83A0C8" w14:textId="77777777" w:rsidR="004F432E" w:rsidRPr="00797CDB" w:rsidRDefault="004F432E" w:rsidP="00A333F1">
            <w:pPr>
              <w:autoSpaceDE w:val="0"/>
              <w:autoSpaceDN w:val="0"/>
              <w:adjustRightInd w:val="0"/>
              <w:jc w:val="both"/>
              <w:rPr>
                <w:rFonts w:eastAsia="TimesNewRomanPSMT"/>
              </w:rPr>
            </w:pPr>
          </w:p>
        </w:tc>
      </w:tr>
      <w:tr w:rsidR="004F432E" w:rsidRPr="00BE7FAC" w14:paraId="472F82E1" w14:textId="7DBBFBB5" w:rsidTr="00F1648C">
        <w:tc>
          <w:tcPr>
            <w:tcW w:w="7645" w:type="dxa"/>
            <w:gridSpan w:val="4"/>
          </w:tcPr>
          <w:p w14:paraId="2A3ED2F3" w14:textId="77777777" w:rsidR="004F432E" w:rsidRPr="00A333F1" w:rsidRDefault="004F432E" w:rsidP="00A333F1">
            <w:pPr>
              <w:autoSpaceDE w:val="0"/>
              <w:autoSpaceDN w:val="0"/>
              <w:adjustRightInd w:val="0"/>
              <w:rPr>
                <w:i/>
              </w:rPr>
            </w:pPr>
            <w:r w:rsidRPr="00A333F1">
              <w:rPr>
                <w:i/>
              </w:rPr>
              <w:t>Kvėpavimo sistemos, krūtinės ląstos ir tarpuplaučio sutrikimai</w:t>
            </w:r>
          </w:p>
        </w:tc>
        <w:tc>
          <w:tcPr>
            <w:tcW w:w="1415" w:type="dxa"/>
          </w:tcPr>
          <w:p w14:paraId="2FB453E7" w14:textId="77777777" w:rsidR="004F432E" w:rsidRPr="00A333F1" w:rsidRDefault="004F432E" w:rsidP="00A333F1">
            <w:pPr>
              <w:autoSpaceDE w:val="0"/>
              <w:autoSpaceDN w:val="0"/>
              <w:adjustRightInd w:val="0"/>
              <w:rPr>
                <w:i/>
              </w:rPr>
            </w:pPr>
          </w:p>
        </w:tc>
      </w:tr>
      <w:tr w:rsidR="004F432E" w:rsidRPr="00BE7FAC" w14:paraId="626091E0" w14:textId="34039637" w:rsidTr="00F1648C">
        <w:tc>
          <w:tcPr>
            <w:tcW w:w="1914" w:type="dxa"/>
          </w:tcPr>
          <w:p w14:paraId="04BCB9F9" w14:textId="77777777" w:rsidR="004F432E" w:rsidRPr="00797CDB" w:rsidRDefault="004F432E" w:rsidP="00A333F1">
            <w:pPr>
              <w:autoSpaceDE w:val="0"/>
              <w:autoSpaceDN w:val="0"/>
              <w:adjustRightInd w:val="0"/>
              <w:rPr>
                <w:rFonts w:eastAsia="TimesNewRomanPSMT"/>
              </w:rPr>
            </w:pPr>
          </w:p>
        </w:tc>
        <w:tc>
          <w:tcPr>
            <w:tcW w:w="1903" w:type="dxa"/>
          </w:tcPr>
          <w:p w14:paraId="57373CD4" w14:textId="77777777" w:rsidR="004F432E" w:rsidRPr="00797CDB" w:rsidRDefault="004F432E" w:rsidP="00A333F1">
            <w:pPr>
              <w:autoSpaceDE w:val="0"/>
              <w:autoSpaceDN w:val="0"/>
              <w:adjustRightInd w:val="0"/>
              <w:jc w:val="both"/>
              <w:rPr>
                <w:rFonts w:eastAsia="TimesNewRomanPSMT"/>
              </w:rPr>
            </w:pPr>
            <w:r w:rsidRPr="00A333F1">
              <w:t>Nosies užgulimas</w:t>
            </w:r>
          </w:p>
        </w:tc>
        <w:tc>
          <w:tcPr>
            <w:tcW w:w="2051" w:type="dxa"/>
          </w:tcPr>
          <w:p w14:paraId="7D2573C5" w14:textId="77777777" w:rsidR="004F432E" w:rsidRPr="00A333F1" w:rsidRDefault="004F432E"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Dusulys</w:t>
            </w:r>
          </w:p>
          <w:p w14:paraId="20D735D8" w14:textId="77777777" w:rsidR="004F432E" w:rsidRPr="00797CDB" w:rsidRDefault="004F432E" w:rsidP="00A333F1">
            <w:pPr>
              <w:autoSpaceDE w:val="0"/>
              <w:autoSpaceDN w:val="0"/>
              <w:adjustRightInd w:val="0"/>
              <w:rPr>
                <w:rFonts w:eastAsia="TimesNewRomanPSMT"/>
              </w:rPr>
            </w:pPr>
            <w:r w:rsidRPr="00A333F1">
              <w:t>Kraujavimas iš nosies</w:t>
            </w:r>
          </w:p>
        </w:tc>
        <w:tc>
          <w:tcPr>
            <w:tcW w:w="1777" w:type="dxa"/>
          </w:tcPr>
          <w:p w14:paraId="7B395AE2" w14:textId="77777777" w:rsidR="004F432E" w:rsidRPr="00797CDB" w:rsidRDefault="004F432E" w:rsidP="00A333F1">
            <w:pPr>
              <w:autoSpaceDE w:val="0"/>
              <w:autoSpaceDN w:val="0"/>
              <w:adjustRightInd w:val="0"/>
              <w:jc w:val="both"/>
              <w:rPr>
                <w:rFonts w:eastAsia="TimesNewRomanPSMT"/>
              </w:rPr>
            </w:pPr>
          </w:p>
        </w:tc>
        <w:tc>
          <w:tcPr>
            <w:tcW w:w="1415" w:type="dxa"/>
          </w:tcPr>
          <w:p w14:paraId="08A698E5" w14:textId="77777777" w:rsidR="004F432E" w:rsidRPr="00797CDB" w:rsidRDefault="004F432E" w:rsidP="00A333F1">
            <w:pPr>
              <w:autoSpaceDE w:val="0"/>
              <w:autoSpaceDN w:val="0"/>
              <w:adjustRightInd w:val="0"/>
              <w:jc w:val="both"/>
              <w:rPr>
                <w:rFonts w:eastAsia="TimesNewRomanPSMT"/>
              </w:rPr>
            </w:pPr>
          </w:p>
        </w:tc>
      </w:tr>
      <w:tr w:rsidR="004F432E" w:rsidRPr="00BE7FAC" w14:paraId="1A281FD3" w14:textId="7A4445A8" w:rsidTr="00F1648C">
        <w:tc>
          <w:tcPr>
            <w:tcW w:w="7645" w:type="dxa"/>
            <w:gridSpan w:val="4"/>
          </w:tcPr>
          <w:p w14:paraId="2DC92F4B" w14:textId="77777777" w:rsidR="004F432E" w:rsidRPr="00A333F1" w:rsidRDefault="004F432E" w:rsidP="00A333F1">
            <w:pPr>
              <w:autoSpaceDE w:val="0"/>
              <w:autoSpaceDN w:val="0"/>
              <w:adjustRightInd w:val="0"/>
            </w:pPr>
            <w:r w:rsidRPr="00A333F1">
              <w:rPr>
                <w:i/>
              </w:rPr>
              <w:t>Virškinimo trakto sutrikimai</w:t>
            </w:r>
          </w:p>
        </w:tc>
        <w:tc>
          <w:tcPr>
            <w:tcW w:w="1415" w:type="dxa"/>
          </w:tcPr>
          <w:p w14:paraId="28312E47" w14:textId="77777777" w:rsidR="004F432E" w:rsidRPr="00A333F1" w:rsidRDefault="004F432E" w:rsidP="00A333F1">
            <w:pPr>
              <w:autoSpaceDE w:val="0"/>
              <w:autoSpaceDN w:val="0"/>
              <w:adjustRightInd w:val="0"/>
              <w:rPr>
                <w:i/>
              </w:rPr>
            </w:pPr>
          </w:p>
        </w:tc>
      </w:tr>
      <w:tr w:rsidR="004F432E" w:rsidRPr="00BE7FAC" w14:paraId="64D5D47D" w14:textId="01C9112B" w:rsidTr="00F1648C">
        <w:tc>
          <w:tcPr>
            <w:tcW w:w="1914" w:type="dxa"/>
          </w:tcPr>
          <w:p w14:paraId="10599163" w14:textId="77777777" w:rsidR="004F432E" w:rsidRPr="00A333F1" w:rsidRDefault="004F432E" w:rsidP="00A333F1">
            <w:pPr>
              <w:autoSpaceDE w:val="0"/>
              <w:autoSpaceDN w:val="0"/>
              <w:adjustRightInd w:val="0"/>
            </w:pPr>
          </w:p>
        </w:tc>
        <w:tc>
          <w:tcPr>
            <w:tcW w:w="1903" w:type="dxa"/>
          </w:tcPr>
          <w:p w14:paraId="572B2B20" w14:textId="77777777" w:rsidR="004F432E" w:rsidRPr="00A333F1" w:rsidRDefault="004F432E" w:rsidP="00A333F1">
            <w:pPr>
              <w:autoSpaceDE w:val="0"/>
              <w:autoSpaceDN w:val="0"/>
              <w:adjustRightInd w:val="0"/>
            </w:pPr>
            <w:r w:rsidRPr="00A333F1">
              <w:t>Dispepsija</w:t>
            </w:r>
          </w:p>
          <w:p w14:paraId="2E225241" w14:textId="77777777" w:rsidR="004F432E" w:rsidRPr="00A333F1" w:rsidRDefault="004F432E" w:rsidP="00A333F1">
            <w:pPr>
              <w:autoSpaceDE w:val="0"/>
              <w:autoSpaceDN w:val="0"/>
              <w:adjustRightInd w:val="0"/>
            </w:pPr>
          </w:p>
        </w:tc>
        <w:tc>
          <w:tcPr>
            <w:tcW w:w="2051" w:type="dxa"/>
          </w:tcPr>
          <w:p w14:paraId="75BA431A" w14:textId="77777777" w:rsidR="004F432E" w:rsidRPr="00A333F1" w:rsidRDefault="004F432E" w:rsidP="00A333F1">
            <w:pPr>
              <w:autoSpaceDE w:val="0"/>
              <w:autoSpaceDN w:val="0"/>
              <w:adjustRightInd w:val="0"/>
            </w:pPr>
            <w:r w:rsidRPr="00A333F1">
              <w:t>Pilvo skausmas</w:t>
            </w:r>
          </w:p>
          <w:p w14:paraId="05AD4531" w14:textId="77777777" w:rsidR="004F432E" w:rsidRPr="00A333F1" w:rsidRDefault="004F432E" w:rsidP="00A333F1">
            <w:pPr>
              <w:autoSpaceDE w:val="0"/>
              <w:autoSpaceDN w:val="0"/>
              <w:adjustRightInd w:val="0"/>
            </w:pPr>
            <w:r w:rsidRPr="00A333F1">
              <w:t>Vėmimas</w:t>
            </w:r>
          </w:p>
          <w:p w14:paraId="63442F4E" w14:textId="77777777" w:rsidR="004F432E" w:rsidRPr="00A333F1" w:rsidRDefault="004F432E" w:rsidP="00A333F1">
            <w:pPr>
              <w:autoSpaceDE w:val="0"/>
              <w:autoSpaceDN w:val="0"/>
              <w:adjustRightInd w:val="0"/>
            </w:pPr>
            <w:r w:rsidRPr="00A333F1">
              <w:t>Pykinimas Gastroezofaginio</w:t>
            </w:r>
          </w:p>
          <w:p w14:paraId="49D7C09E" w14:textId="77777777" w:rsidR="004F432E" w:rsidRPr="00797CDB" w:rsidRDefault="004F432E" w:rsidP="00A333F1">
            <w:pPr>
              <w:autoSpaceDE w:val="0"/>
              <w:autoSpaceDN w:val="0"/>
              <w:adjustRightInd w:val="0"/>
              <w:rPr>
                <w:rFonts w:eastAsia="TimesNewRomanPSMT"/>
              </w:rPr>
            </w:pPr>
            <w:r w:rsidRPr="00A333F1">
              <w:t>refliukso liga</w:t>
            </w:r>
          </w:p>
        </w:tc>
        <w:tc>
          <w:tcPr>
            <w:tcW w:w="1777" w:type="dxa"/>
          </w:tcPr>
          <w:p w14:paraId="75053BD8" w14:textId="77777777" w:rsidR="004F432E" w:rsidRPr="00797CDB" w:rsidRDefault="004F432E" w:rsidP="00A333F1">
            <w:pPr>
              <w:autoSpaceDE w:val="0"/>
              <w:autoSpaceDN w:val="0"/>
              <w:adjustRightInd w:val="0"/>
              <w:jc w:val="both"/>
              <w:rPr>
                <w:rFonts w:eastAsia="TimesNewRomanPSMT"/>
              </w:rPr>
            </w:pPr>
          </w:p>
        </w:tc>
        <w:tc>
          <w:tcPr>
            <w:tcW w:w="1415" w:type="dxa"/>
          </w:tcPr>
          <w:p w14:paraId="19A45B04" w14:textId="77777777" w:rsidR="004F432E" w:rsidRPr="00797CDB" w:rsidRDefault="004F432E" w:rsidP="00A333F1">
            <w:pPr>
              <w:autoSpaceDE w:val="0"/>
              <w:autoSpaceDN w:val="0"/>
              <w:adjustRightInd w:val="0"/>
              <w:jc w:val="both"/>
              <w:rPr>
                <w:rFonts w:eastAsia="TimesNewRomanPSMT"/>
              </w:rPr>
            </w:pPr>
          </w:p>
        </w:tc>
      </w:tr>
      <w:tr w:rsidR="004F432E" w:rsidRPr="00BE7FAC" w14:paraId="5CEC68B6" w14:textId="51446B5E" w:rsidTr="00F1648C">
        <w:tc>
          <w:tcPr>
            <w:tcW w:w="7645" w:type="dxa"/>
            <w:gridSpan w:val="4"/>
          </w:tcPr>
          <w:p w14:paraId="7A45A589" w14:textId="77777777" w:rsidR="004F432E" w:rsidRPr="00A333F1" w:rsidRDefault="004F432E" w:rsidP="00A333F1">
            <w:pPr>
              <w:autoSpaceDE w:val="0"/>
              <w:autoSpaceDN w:val="0"/>
              <w:adjustRightInd w:val="0"/>
              <w:rPr>
                <w:i/>
              </w:rPr>
            </w:pPr>
            <w:r w:rsidRPr="00A333F1">
              <w:rPr>
                <w:i/>
              </w:rPr>
              <w:t>Odos ir poodinio audinio sutrikimai</w:t>
            </w:r>
          </w:p>
        </w:tc>
        <w:tc>
          <w:tcPr>
            <w:tcW w:w="1415" w:type="dxa"/>
          </w:tcPr>
          <w:p w14:paraId="48D7C77F" w14:textId="77777777" w:rsidR="004F432E" w:rsidRPr="00A333F1" w:rsidRDefault="004F432E" w:rsidP="00A333F1">
            <w:pPr>
              <w:autoSpaceDE w:val="0"/>
              <w:autoSpaceDN w:val="0"/>
              <w:adjustRightInd w:val="0"/>
              <w:rPr>
                <w:i/>
              </w:rPr>
            </w:pPr>
          </w:p>
        </w:tc>
      </w:tr>
      <w:tr w:rsidR="004F432E" w:rsidRPr="00BE7FAC" w14:paraId="18BB8734" w14:textId="190D1E84" w:rsidTr="00F1648C">
        <w:tc>
          <w:tcPr>
            <w:tcW w:w="1914" w:type="dxa"/>
          </w:tcPr>
          <w:p w14:paraId="7479F657" w14:textId="77777777" w:rsidR="004F432E" w:rsidRPr="00A333F1" w:rsidRDefault="004F432E" w:rsidP="00A333F1">
            <w:pPr>
              <w:autoSpaceDE w:val="0"/>
              <w:autoSpaceDN w:val="0"/>
              <w:adjustRightInd w:val="0"/>
            </w:pPr>
          </w:p>
        </w:tc>
        <w:tc>
          <w:tcPr>
            <w:tcW w:w="1903" w:type="dxa"/>
          </w:tcPr>
          <w:p w14:paraId="05EC5AD9" w14:textId="77777777" w:rsidR="004F432E" w:rsidRPr="00A333F1" w:rsidRDefault="004F432E" w:rsidP="00A333F1">
            <w:pPr>
              <w:autoSpaceDE w:val="0"/>
              <w:autoSpaceDN w:val="0"/>
              <w:adjustRightInd w:val="0"/>
              <w:jc w:val="both"/>
            </w:pPr>
          </w:p>
        </w:tc>
        <w:tc>
          <w:tcPr>
            <w:tcW w:w="2051" w:type="dxa"/>
          </w:tcPr>
          <w:p w14:paraId="5765F865"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Išbėrimas</w:t>
            </w:r>
          </w:p>
          <w:p w14:paraId="7DF7120E" w14:textId="77777777" w:rsidR="004F432E" w:rsidRPr="00797CDB" w:rsidRDefault="004F432E" w:rsidP="00A333F1">
            <w:pPr>
              <w:autoSpaceDE w:val="0"/>
              <w:autoSpaceDN w:val="0"/>
              <w:adjustRightInd w:val="0"/>
              <w:rPr>
                <w:rFonts w:eastAsia="TimesNewRomanPSMT"/>
              </w:rPr>
            </w:pPr>
          </w:p>
        </w:tc>
        <w:tc>
          <w:tcPr>
            <w:tcW w:w="1777" w:type="dxa"/>
          </w:tcPr>
          <w:p w14:paraId="0A7C9B59" w14:textId="77777777" w:rsidR="004F432E" w:rsidRPr="00797CDB" w:rsidRDefault="004F432E"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Dilgėlinė</w:t>
            </w:r>
          </w:p>
          <w:p w14:paraId="69606D56" w14:textId="77777777" w:rsidR="004F432E" w:rsidRPr="00A333F1" w:rsidRDefault="004F432E" w:rsidP="00A333F1">
            <w:pPr>
              <w:autoSpaceDE w:val="0"/>
              <w:autoSpaceDN w:val="0"/>
              <w:adjustRightInd w:val="0"/>
            </w:pPr>
            <w:r w:rsidRPr="00A333F1">
              <w:t>Stivenso-Džonsono (</w:t>
            </w:r>
            <w:r w:rsidRPr="00A333F1">
              <w:rPr>
                <w:i/>
                <w:color w:val="000000"/>
              </w:rPr>
              <w:t>Stevens-Johnson</w:t>
            </w:r>
            <w:r w:rsidRPr="00A333F1">
              <w:rPr>
                <w:color w:val="000000"/>
              </w:rPr>
              <w:t xml:space="preserve">) </w:t>
            </w:r>
            <w:r w:rsidRPr="00A333F1">
              <w:t>sindromas</w:t>
            </w:r>
            <w:r w:rsidRPr="00A333F1">
              <w:rPr>
                <w:vertAlign w:val="superscript"/>
              </w:rPr>
              <w:t>2</w:t>
            </w:r>
          </w:p>
          <w:p w14:paraId="334F6B70" w14:textId="77777777" w:rsidR="004F432E" w:rsidRPr="00A333F1" w:rsidRDefault="004F432E" w:rsidP="00A333F1">
            <w:pPr>
              <w:autoSpaceDE w:val="0"/>
              <w:autoSpaceDN w:val="0"/>
              <w:adjustRightInd w:val="0"/>
            </w:pPr>
            <w:r w:rsidRPr="00A333F1">
              <w:t>Eksfoliacinis dermatitas</w:t>
            </w:r>
            <w:r w:rsidRPr="00A333F1">
              <w:rPr>
                <w:vertAlign w:val="superscript"/>
              </w:rPr>
              <w:t>2</w:t>
            </w:r>
            <w:r w:rsidRPr="00797CDB">
              <w:rPr>
                <w:rFonts w:eastAsia="TimesNewRomanPSMT"/>
              </w:rPr>
              <w:t xml:space="preserve"> Hiperhidrozė (pernelyg </w:t>
            </w:r>
            <w:r w:rsidRPr="00A333F1">
              <w:t>stiprus prakaitavimas)</w:t>
            </w:r>
          </w:p>
          <w:p w14:paraId="08D97072" w14:textId="77777777" w:rsidR="004F432E" w:rsidRPr="00797CDB" w:rsidRDefault="004F432E" w:rsidP="00A333F1">
            <w:pPr>
              <w:autoSpaceDE w:val="0"/>
              <w:autoSpaceDN w:val="0"/>
              <w:adjustRightInd w:val="0"/>
              <w:rPr>
                <w:rFonts w:eastAsia="TimesNewRomanPSMT"/>
              </w:rPr>
            </w:pPr>
          </w:p>
        </w:tc>
        <w:tc>
          <w:tcPr>
            <w:tcW w:w="1415" w:type="dxa"/>
          </w:tcPr>
          <w:p w14:paraId="27587D74" w14:textId="77777777" w:rsidR="004F432E" w:rsidRPr="00797CDB" w:rsidRDefault="004F432E" w:rsidP="00A333F1">
            <w:pPr>
              <w:autoSpaceDE w:val="0"/>
              <w:autoSpaceDN w:val="0"/>
              <w:adjustRightInd w:val="0"/>
              <w:rPr>
                <w:rFonts w:eastAsia="TimesNewRomanPSMT"/>
              </w:rPr>
            </w:pPr>
          </w:p>
        </w:tc>
      </w:tr>
      <w:tr w:rsidR="004F432E" w:rsidRPr="00BE7FAC" w14:paraId="15EBCD02" w14:textId="08D19A45" w:rsidTr="00F1648C">
        <w:tc>
          <w:tcPr>
            <w:tcW w:w="7645" w:type="dxa"/>
            <w:gridSpan w:val="4"/>
          </w:tcPr>
          <w:p w14:paraId="6D3E9BCC" w14:textId="77777777" w:rsidR="004F432E" w:rsidRPr="00A333F1" w:rsidRDefault="004F432E" w:rsidP="00A333F1">
            <w:pPr>
              <w:autoSpaceDE w:val="0"/>
              <w:autoSpaceDN w:val="0"/>
              <w:adjustRightInd w:val="0"/>
              <w:rPr>
                <w:i/>
              </w:rPr>
            </w:pPr>
            <w:r w:rsidRPr="00A333F1">
              <w:rPr>
                <w:i/>
              </w:rPr>
              <w:t>Skeleto, raumenų ir jungiamojo audinio sutrikimai</w:t>
            </w:r>
          </w:p>
        </w:tc>
        <w:tc>
          <w:tcPr>
            <w:tcW w:w="1415" w:type="dxa"/>
          </w:tcPr>
          <w:p w14:paraId="6C17F559" w14:textId="77777777" w:rsidR="004F432E" w:rsidRPr="00A333F1" w:rsidRDefault="004F432E" w:rsidP="00A333F1">
            <w:pPr>
              <w:autoSpaceDE w:val="0"/>
              <w:autoSpaceDN w:val="0"/>
              <w:adjustRightInd w:val="0"/>
              <w:rPr>
                <w:i/>
              </w:rPr>
            </w:pPr>
          </w:p>
        </w:tc>
      </w:tr>
      <w:tr w:rsidR="004F432E" w:rsidRPr="00BE7FAC" w14:paraId="76ABC31A" w14:textId="6E2C3E95" w:rsidTr="00F1648C">
        <w:tc>
          <w:tcPr>
            <w:tcW w:w="1914" w:type="dxa"/>
          </w:tcPr>
          <w:p w14:paraId="12248EC9" w14:textId="77777777" w:rsidR="004F432E" w:rsidRPr="00A333F1" w:rsidRDefault="004F432E" w:rsidP="00A333F1">
            <w:pPr>
              <w:autoSpaceDE w:val="0"/>
              <w:autoSpaceDN w:val="0"/>
              <w:adjustRightInd w:val="0"/>
            </w:pPr>
          </w:p>
        </w:tc>
        <w:tc>
          <w:tcPr>
            <w:tcW w:w="1903" w:type="dxa"/>
          </w:tcPr>
          <w:p w14:paraId="1F866C52" w14:textId="77777777" w:rsidR="004F432E" w:rsidRPr="00A333F1" w:rsidRDefault="004F432E" w:rsidP="00A333F1">
            <w:pPr>
              <w:autoSpaceDE w:val="0"/>
              <w:autoSpaceDN w:val="0"/>
              <w:adjustRightInd w:val="0"/>
            </w:pPr>
            <w:r w:rsidRPr="00A333F1">
              <w:t>Nugaros skausmas</w:t>
            </w:r>
          </w:p>
          <w:p w14:paraId="02F63B38" w14:textId="77777777" w:rsidR="004F432E" w:rsidRPr="00A333F1" w:rsidRDefault="004F432E" w:rsidP="00A333F1">
            <w:pPr>
              <w:autoSpaceDE w:val="0"/>
              <w:autoSpaceDN w:val="0"/>
              <w:adjustRightInd w:val="0"/>
            </w:pPr>
            <w:r w:rsidRPr="00A333F1">
              <w:t>Mialgija</w:t>
            </w:r>
          </w:p>
          <w:p w14:paraId="3B4A7403" w14:textId="77777777" w:rsidR="004F432E" w:rsidRPr="00A333F1" w:rsidRDefault="004F432E"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Galūnių skausmas</w:t>
            </w:r>
          </w:p>
        </w:tc>
        <w:tc>
          <w:tcPr>
            <w:tcW w:w="2051" w:type="dxa"/>
          </w:tcPr>
          <w:p w14:paraId="3251786D" w14:textId="77777777" w:rsidR="004F432E" w:rsidRPr="00797CDB" w:rsidRDefault="004F432E" w:rsidP="00A333F1">
            <w:pPr>
              <w:autoSpaceDE w:val="0"/>
              <w:autoSpaceDN w:val="0"/>
              <w:adjustRightInd w:val="0"/>
              <w:rPr>
                <w:rFonts w:eastAsia="TimesNewRomanPSMT"/>
              </w:rPr>
            </w:pPr>
          </w:p>
        </w:tc>
        <w:tc>
          <w:tcPr>
            <w:tcW w:w="1777" w:type="dxa"/>
          </w:tcPr>
          <w:p w14:paraId="7A85B633" w14:textId="77777777" w:rsidR="004F432E" w:rsidRPr="00797CDB" w:rsidRDefault="004F432E" w:rsidP="00A333F1">
            <w:pPr>
              <w:autoSpaceDE w:val="0"/>
              <w:autoSpaceDN w:val="0"/>
              <w:adjustRightInd w:val="0"/>
              <w:jc w:val="both"/>
              <w:rPr>
                <w:rFonts w:eastAsia="TimesNewRomanPSMT"/>
              </w:rPr>
            </w:pPr>
          </w:p>
        </w:tc>
        <w:tc>
          <w:tcPr>
            <w:tcW w:w="1415" w:type="dxa"/>
          </w:tcPr>
          <w:p w14:paraId="3269BFA8" w14:textId="77777777" w:rsidR="004F432E" w:rsidRPr="00797CDB" w:rsidRDefault="004F432E" w:rsidP="00A333F1">
            <w:pPr>
              <w:autoSpaceDE w:val="0"/>
              <w:autoSpaceDN w:val="0"/>
              <w:adjustRightInd w:val="0"/>
              <w:jc w:val="both"/>
              <w:rPr>
                <w:rFonts w:eastAsia="TimesNewRomanPSMT"/>
              </w:rPr>
            </w:pPr>
          </w:p>
        </w:tc>
      </w:tr>
      <w:tr w:rsidR="004F432E" w:rsidRPr="00BE7FAC" w14:paraId="69599239" w14:textId="1DEA6EAB" w:rsidTr="00F1648C">
        <w:tc>
          <w:tcPr>
            <w:tcW w:w="7645" w:type="dxa"/>
            <w:gridSpan w:val="4"/>
          </w:tcPr>
          <w:p w14:paraId="3668B0F6" w14:textId="77777777" w:rsidR="004F432E" w:rsidRPr="00A333F1" w:rsidRDefault="004F432E" w:rsidP="00A333F1">
            <w:pPr>
              <w:autoSpaceDE w:val="0"/>
              <w:autoSpaceDN w:val="0"/>
              <w:adjustRightInd w:val="0"/>
              <w:rPr>
                <w:i/>
              </w:rPr>
            </w:pPr>
            <w:r w:rsidRPr="00A333F1">
              <w:rPr>
                <w:i/>
              </w:rPr>
              <w:t>Inkstų ir šlapimo takų sutrikimai</w:t>
            </w:r>
          </w:p>
        </w:tc>
        <w:tc>
          <w:tcPr>
            <w:tcW w:w="1415" w:type="dxa"/>
          </w:tcPr>
          <w:p w14:paraId="45A45968" w14:textId="77777777" w:rsidR="004F432E" w:rsidRPr="00A333F1" w:rsidRDefault="004F432E" w:rsidP="00A333F1">
            <w:pPr>
              <w:autoSpaceDE w:val="0"/>
              <w:autoSpaceDN w:val="0"/>
              <w:adjustRightInd w:val="0"/>
              <w:rPr>
                <w:i/>
              </w:rPr>
            </w:pPr>
          </w:p>
        </w:tc>
      </w:tr>
      <w:tr w:rsidR="004F432E" w:rsidRPr="00BE7FAC" w14:paraId="49464153" w14:textId="4D06C8F7" w:rsidTr="00F1648C">
        <w:tc>
          <w:tcPr>
            <w:tcW w:w="1914" w:type="dxa"/>
          </w:tcPr>
          <w:p w14:paraId="2C4B9223" w14:textId="77777777" w:rsidR="004F432E" w:rsidRPr="00A333F1" w:rsidRDefault="004F432E" w:rsidP="00A333F1">
            <w:pPr>
              <w:autoSpaceDE w:val="0"/>
              <w:autoSpaceDN w:val="0"/>
              <w:adjustRightInd w:val="0"/>
            </w:pPr>
          </w:p>
        </w:tc>
        <w:tc>
          <w:tcPr>
            <w:tcW w:w="1903" w:type="dxa"/>
          </w:tcPr>
          <w:p w14:paraId="6A322519" w14:textId="77777777" w:rsidR="004F432E" w:rsidRPr="00A333F1" w:rsidRDefault="004F432E" w:rsidP="00A333F1">
            <w:pPr>
              <w:autoSpaceDE w:val="0"/>
              <w:autoSpaceDN w:val="0"/>
              <w:adjustRightInd w:val="0"/>
              <w:jc w:val="both"/>
            </w:pPr>
          </w:p>
        </w:tc>
        <w:tc>
          <w:tcPr>
            <w:tcW w:w="2051" w:type="dxa"/>
          </w:tcPr>
          <w:p w14:paraId="20C62EDD" w14:textId="77777777" w:rsidR="004F432E" w:rsidRPr="00A333F1" w:rsidRDefault="004F432E" w:rsidP="00A333F1">
            <w:pPr>
              <w:autoSpaceDE w:val="0"/>
              <w:autoSpaceDN w:val="0"/>
              <w:adjustRightInd w:val="0"/>
            </w:pPr>
            <w:r w:rsidRPr="00A333F1">
              <w:t>Hematurija</w:t>
            </w:r>
          </w:p>
          <w:p w14:paraId="6E0094A5" w14:textId="77777777" w:rsidR="004F432E" w:rsidRPr="00797CDB" w:rsidRDefault="004F432E" w:rsidP="00A333F1">
            <w:pPr>
              <w:autoSpaceDE w:val="0"/>
              <w:autoSpaceDN w:val="0"/>
              <w:adjustRightInd w:val="0"/>
              <w:rPr>
                <w:rFonts w:eastAsia="TimesNewRomanPSMT"/>
              </w:rPr>
            </w:pPr>
          </w:p>
        </w:tc>
        <w:tc>
          <w:tcPr>
            <w:tcW w:w="1777" w:type="dxa"/>
          </w:tcPr>
          <w:p w14:paraId="27537F45" w14:textId="77777777" w:rsidR="004F432E" w:rsidRPr="00797CDB" w:rsidRDefault="004F432E" w:rsidP="00A333F1">
            <w:pPr>
              <w:autoSpaceDE w:val="0"/>
              <w:autoSpaceDN w:val="0"/>
              <w:adjustRightInd w:val="0"/>
              <w:jc w:val="both"/>
              <w:rPr>
                <w:rFonts w:eastAsia="TimesNewRomanPSMT"/>
              </w:rPr>
            </w:pPr>
          </w:p>
        </w:tc>
        <w:tc>
          <w:tcPr>
            <w:tcW w:w="1415" w:type="dxa"/>
          </w:tcPr>
          <w:p w14:paraId="185891EF" w14:textId="77777777" w:rsidR="004F432E" w:rsidRPr="00797CDB" w:rsidRDefault="004F432E" w:rsidP="00A333F1">
            <w:pPr>
              <w:autoSpaceDE w:val="0"/>
              <w:autoSpaceDN w:val="0"/>
              <w:adjustRightInd w:val="0"/>
              <w:jc w:val="both"/>
              <w:rPr>
                <w:rFonts w:eastAsia="TimesNewRomanPSMT"/>
              </w:rPr>
            </w:pPr>
          </w:p>
        </w:tc>
      </w:tr>
      <w:tr w:rsidR="004F432E" w:rsidRPr="00BE7FAC" w14:paraId="17E02126" w14:textId="18E34E60" w:rsidTr="00F1648C">
        <w:tc>
          <w:tcPr>
            <w:tcW w:w="7645" w:type="dxa"/>
            <w:gridSpan w:val="4"/>
          </w:tcPr>
          <w:p w14:paraId="2744DD07" w14:textId="77777777" w:rsidR="004F432E" w:rsidRPr="00A333F1" w:rsidRDefault="004F432E" w:rsidP="00A333F1">
            <w:pPr>
              <w:autoSpaceDE w:val="0"/>
              <w:autoSpaceDN w:val="0"/>
              <w:adjustRightInd w:val="0"/>
            </w:pPr>
            <w:r w:rsidRPr="00A333F1">
              <w:rPr>
                <w:i/>
              </w:rPr>
              <w:t>Lytinės sistemos ir krūties sutrikimai</w:t>
            </w:r>
          </w:p>
        </w:tc>
        <w:tc>
          <w:tcPr>
            <w:tcW w:w="1415" w:type="dxa"/>
          </w:tcPr>
          <w:p w14:paraId="63427677" w14:textId="77777777" w:rsidR="004F432E" w:rsidRPr="00A333F1" w:rsidRDefault="004F432E" w:rsidP="00A333F1">
            <w:pPr>
              <w:autoSpaceDE w:val="0"/>
              <w:autoSpaceDN w:val="0"/>
              <w:adjustRightInd w:val="0"/>
              <w:rPr>
                <w:i/>
              </w:rPr>
            </w:pPr>
          </w:p>
        </w:tc>
      </w:tr>
      <w:tr w:rsidR="004F432E" w:rsidRPr="00BE7FAC" w14:paraId="5C259357" w14:textId="07C798E9" w:rsidTr="00F1648C">
        <w:tc>
          <w:tcPr>
            <w:tcW w:w="1914" w:type="dxa"/>
          </w:tcPr>
          <w:p w14:paraId="0C646CD9" w14:textId="77777777" w:rsidR="004F432E" w:rsidRPr="00A333F1" w:rsidRDefault="004F432E" w:rsidP="00A333F1">
            <w:pPr>
              <w:autoSpaceDE w:val="0"/>
              <w:autoSpaceDN w:val="0"/>
              <w:adjustRightInd w:val="0"/>
            </w:pPr>
          </w:p>
        </w:tc>
        <w:tc>
          <w:tcPr>
            <w:tcW w:w="1903" w:type="dxa"/>
          </w:tcPr>
          <w:p w14:paraId="03B08399" w14:textId="77777777" w:rsidR="004F432E" w:rsidRPr="00A333F1" w:rsidRDefault="004F432E" w:rsidP="00A333F1">
            <w:pPr>
              <w:autoSpaceDE w:val="0"/>
              <w:autoSpaceDN w:val="0"/>
              <w:adjustRightInd w:val="0"/>
              <w:jc w:val="both"/>
            </w:pPr>
          </w:p>
        </w:tc>
        <w:tc>
          <w:tcPr>
            <w:tcW w:w="2051" w:type="dxa"/>
          </w:tcPr>
          <w:p w14:paraId="25B531FE" w14:textId="77777777" w:rsidR="004F432E" w:rsidRPr="00797CDB" w:rsidRDefault="004F432E" w:rsidP="00A333F1">
            <w:pPr>
              <w:autoSpaceDE w:val="0"/>
              <w:autoSpaceDN w:val="0"/>
              <w:adjustRightInd w:val="0"/>
              <w:rPr>
                <w:rFonts w:eastAsia="TimesNewRomanPSMT"/>
              </w:rPr>
            </w:pPr>
            <w:r w:rsidRPr="00A333F1">
              <w:t>Užsi</w:t>
            </w:r>
            <w:r w:rsidRPr="00797CDB">
              <w:rPr>
                <w:rFonts w:eastAsia="TimesNewRomanPSMT"/>
              </w:rPr>
              <w:t>tęsusios erekcijos</w:t>
            </w:r>
          </w:p>
          <w:p w14:paraId="334B9399" w14:textId="77777777" w:rsidR="004F432E" w:rsidRPr="00797CDB" w:rsidRDefault="004F432E" w:rsidP="00A333F1">
            <w:pPr>
              <w:autoSpaceDE w:val="0"/>
              <w:autoSpaceDN w:val="0"/>
              <w:adjustRightInd w:val="0"/>
              <w:rPr>
                <w:rFonts w:eastAsia="TimesNewRomanPSMT"/>
              </w:rPr>
            </w:pPr>
          </w:p>
        </w:tc>
        <w:tc>
          <w:tcPr>
            <w:tcW w:w="1777" w:type="dxa"/>
          </w:tcPr>
          <w:p w14:paraId="756A2281" w14:textId="77777777" w:rsidR="004F432E" w:rsidRPr="00A333F1" w:rsidRDefault="004F432E" w:rsidP="00A333F1">
            <w:pPr>
              <w:autoSpaceDE w:val="0"/>
              <w:autoSpaceDN w:val="0"/>
              <w:adjustRightInd w:val="0"/>
            </w:pPr>
            <w:r w:rsidRPr="00A333F1">
              <w:t>Priapizmas</w:t>
            </w:r>
          </w:p>
          <w:p w14:paraId="03BAAB79" w14:textId="77777777" w:rsidR="004F432E" w:rsidRPr="00A333F1" w:rsidRDefault="004F432E" w:rsidP="00A333F1">
            <w:pPr>
              <w:autoSpaceDE w:val="0"/>
              <w:autoSpaceDN w:val="0"/>
              <w:adjustRightInd w:val="0"/>
            </w:pPr>
            <w:r w:rsidRPr="00A333F1">
              <w:t>Kraujavimas iš varpos</w:t>
            </w:r>
          </w:p>
          <w:p w14:paraId="2B50F722" w14:textId="77777777" w:rsidR="004F432E" w:rsidRPr="00797CDB" w:rsidRDefault="004F432E" w:rsidP="00A333F1">
            <w:pPr>
              <w:autoSpaceDE w:val="0"/>
              <w:autoSpaceDN w:val="0"/>
              <w:adjustRightInd w:val="0"/>
              <w:jc w:val="both"/>
              <w:rPr>
                <w:rFonts w:eastAsia="TimesNewRomanPSMT"/>
              </w:rPr>
            </w:pPr>
            <w:r w:rsidRPr="00A333F1">
              <w:t>Hematospermija</w:t>
            </w:r>
          </w:p>
        </w:tc>
        <w:tc>
          <w:tcPr>
            <w:tcW w:w="1415" w:type="dxa"/>
          </w:tcPr>
          <w:p w14:paraId="0F41E8C8" w14:textId="77777777" w:rsidR="004F432E" w:rsidRPr="00A333F1" w:rsidRDefault="004F432E" w:rsidP="00A333F1">
            <w:pPr>
              <w:autoSpaceDE w:val="0"/>
              <w:autoSpaceDN w:val="0"/>
              <w:adjustRightInd w:val="0"/>
            </w:pPr>
          </w:p>
        </w:tc>
      </w:tr>
      <w:tr w:rsidR="004F432E" w:rsidRPr="00BE7FAC" w14:paraId="0FF10112" w14:textId="6E8BF4BB" w:rsidTr="00F1648C">
        <w:tc>
          <w:tcPr>
            <w:tcW w:w="7645" w:type="dxa"/>
            <w:gridSpan w:val="4"/>
          </w:tcPr>
          <w:p w14:paraId="28924F18" w14:textId="77777777" w:rsidR="004F432E" w:rsidRPr="00A333F1" w:rsidRDefault="004F432E" w:rsidP="00A333F1">
            <w:pPr>
              <w:autoSpaceDE w:val="0"/>
              <w:autoSpaceDN w:val="0"/>
              <w:adjustRightInd w:val="0"/>
              <w:rPr>
                <w:i/>
              </w:rPr>
            </w:pPr>
            <w:r w:rsidRPr="00A333F1">
              <w:rPr>
                <w:i/>
              </w:rPr>
              <w:t>Bendrieji sutrikimai ir vartojimo vietos pažeidimai</w:t>
            </w:r>
          </w:p>
        </w:tc>
        <w:tc>
          <w:tcPr>
            <w:tcW w:w="1415" w:type="dxa"/>
          </w:tcPr>
          <w:p w14:paraId="0A388CFE" w14:textId="77777777" w:rsidR="004F432E" w:rsidRPr="00A333F1" w:rsidRDefault="004F432E" w:rsidP="00A333F1">
            <w:pPr>
              <w:autoSpaceDE w:val="0"/>
              <w:autoSpaceDN w:val="0"/>
              <w:adjustRightInd w:val="0"/>
              <w:rPr>
                <w:i/>
              </w:rPr>
            </w:pPr>
          </w:p>
        </w:tc>
      </w:tr>
      <w:tr w:rsidR="004F432E" w:rsidRPr="00BE7FAC" w14:paraId="6B957547" w14:textId="3685A4D8" w:rsidTr="00F1648C">
        <w:tc>
          <w:tcPr>
            <w:tcW w:w="1914" w:type="dxa"/>
          </w:tcPr>
          <w:p w14:paraId="2BC2CF9B" w14:textId="77777777" w:rsidR="004F432E" w:rsidRPr="00A333F1" w:rsidRDefault="004F432E" w:rsidP="00A333F1">
            <w:pPr>
              <w:autoSpaceDE w:val="0"/>
              <w:autoSpaceDN w:val="0"/>
              <w:adjustRightInd w:val="0"/>
            </w:pPr>
          </w:p>
        </w:tc>
        <w:tc>
          <w:tcPr>
            <w:tcW w:w="1903" w:type="dxa"/>
          </w:tcPr>
          <w:p w14:paraId="6BA32C65" w14:textId="77777777" w:rsidR="004F432E" w:rsidRPr="00A333F1" w:rsidRDefault="004F432E" w:rsidP="00A333F1">
            <w:pPr>
              <w:autoSpaceDE w:val="0"/>
              <w:autoSpaceDN w:val="0"/>
              <w:adjustRightInd w:val="0"/>
              <w:jc w:val="both"/>
            </w:pPr>
          </w:p>
        </w:tc>
        <w:tc>
          <w:tcPr>
            <w:tcW w:w="2051" w:type="dxa"/>
          </w:tcPr>
          <w:p w14:paraId="6DEB1CA5" w14:textId="77777777" w:rsidR="004F432E" w:rsidRPr="00A333F1" w:rsidRDefault="004F432E"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Krūtinės skausmas</w:t>
            </w:r>
            <w:r w:rsidRPr="00A333F1">
              <w:rPr>
                <w:vertAlign w:val="superscript"/>
              </w:rPr>
              <w:t>1</w:t>
            </w:r>
          </w:p>
          <w:p w14:paraId="6FB6CCD1" w14:textId="77777777" w:rsidR="004F432E" w:rsidRPr="00A333F1" w:rsidRDefault="004F432E" w:rsidP="00A333F1">
            <w:pPr>
              <w:autoSpaceDE w:val="0"/>
              <w:autoSpaceDN w:val="0"/>
              <w:adjustRightInd w:val="0"/>
            </w:pPr>
            <w:r w:rsidRPr="00A333F1">
              <w:t>Periferinė edema</w:t>
            </w:r>
          </w:p>
          <w:p w14:paraId="52DC56E6" w14:textId="77777777" w:rsidR="004F432E" w:rsidRPr="00A333F1" w:rsidRDefault="004F432E" w:rsidP="00A333F1">
            <w:pPr>
              <w:autoSpaceDE w:val="0"/>
              <w:autoSpaceDN w:val="0"/>
              <w:adjustRightInd w:val="0"/>
            </w:pPr>
            <w:r w:rsidRPr="00A333F1">
              <w:t>Nuovargis</w:t>
            </w:r>
          </w:p>
        </w:tc>
        <w:tc>
          <w:tcPr>
            <w:tcW w:w="1777" w:type="dxa"/>
          </w:tcPr>
          <w:p w14:paraId="69FEA1D3" w14:textId="77777777" w:rsidR="004F432E" w:rsidRPr="00A333F1" w:rsidRDefault="004F432E" w:rsidP="00A333F1">
            <w:pPr>
              <w:autoSpaceDE w:val="0"/>
              <w:autoSpaceDN w:val="0"/>
              <w:adjustRightInd w:val="0"/>
            </w:pPr>
            <w:r w:rsidRPr="00A333F1">
              <w:t>Veido edema</w:t>
            </w:r>
            <w:r w:rsidRPr="00A333F1">
              <w:rPr>
                <w:vertAlign w:val="superscript"/>
              </w:rPr>
              <w:t>2</w:t>
            </w:r>
          </w:p>
          <w:p w14:paraId="6893078C" w14:textId="77777777" w:rsidR="004F432E" w:rsidRPr="00A333F1" w:rsidRDefault="004F432E"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Staigi kardialinė</w:t>
            </w:r>
            <w:r w:rsidRPr="00A333F1">
              <w:t xml:space="preserve"> mirtis </w:t>
            </w:r>
            <w:r w:rsidRPr="00A333F1">
              <w:rPr>
                <w:vertAlign w:val="superscript"/>
              </w:rPr>
              <w:t>1,2</w:t>
            </w:r>
          </w:p>
        </w:tc>
        <w:tc>
          <w:tcPr>
            <w:tcW w:w="1415" w:type="dxa"/>
          </w:tcPr>
          <w:p w14:paraId="4011D1A1" w14:textId="77777777" w:rsidR="004F432E" w:rsidRPr="00A333F1" w:rsidRDefault="004F432E" w:rsidP="00A333F1">
            <w:pPr>
              <w:autoSpaceDE w:val="0"/>
              <w:autoSpaceDN w:val="0"/>
              <w:adjustRightInd w:val="0"/>
            </w:pPr>
          </w:p>
        </w:tc>
      </w:tr>
    </w:tbl>
    <w:p w14:paraId="5FC10274" w14:textId="77777777" w:rsidR="00FD5C4A" w:rsidRPr="00797CDB" w:rsidRDefault="00FD5C4A" w:rsidP="00A333F1">
      <w:pPr>
        <w:autoSpaceDE w:val="0"/>
        <w:autoSpaceDN w:val="0"/>
        <w:adjustRightInd w:val="0"/>
        <w:ind w:left="142" w:hanging="142"/>
        <w:rPr>
          <w:rFonts w:eastAsia="TimesNewRomanPSMT"/>
        </w:rPr>
      </w:pPr>
      <w:r w:rsidRPr="00797CDB">
        <w:rPr>
          <w:rFonts w:eastAsia="TimesNewRomanPSMT"/>
          <w:vertAlign w:val="superscript"/>
        </w:rPr>
        <w:t>1</w:t>
      </w:r>
      <w:r w:rsidRPr="00797CDB">
        <w:rPr>
          <w:rFonts w:eastAsia="TimesNewRomanPSMT"/>
        </w:rPr>
        <w:t xml:space="preserve"> Daugumai pacientų iš anksčiau buvo širdies ir kraujagyslių sistemos sutrikimų riziko</w:t>
      </w:r>
      <w:r w:rsidRPr="00A333F1">
        <w:t xml:space="preserve">s </w:t>
      </w:r>
      <w:r w:rsidRPr="00797CDB">
        <w:rPr>
          <w:rFonts w:eastAsia="TimesNewRomanPSMT"/>
        </w:rPr>
        <w:t>veiksnių (žr. 4.4 skyrių).</w:t>
      </w:r>
    </w:p>
    <w:p w14:paraId="0A87F815" w14:textId="77777777" w:rsidR="00FD5C4A" w:rsidRPr="00797CDB" w:rsidRDefault="00FD5C4A" w:rsidP="00A333F1">
      <w:pPr>
        <w:autoSpaceDE w:val="0"/>
        <w:autoSpaceDN w:val="0"/>
        <w:adjustRightInd w:val="0"/>
        <w:ind w:left="142" w:hanging="142"/>
        <w:rPr>
          <w:rFonts w:eastAsia="TimesNewRomanPSMT"/>
        </w:rPr>
      </w:pPr>
      <w:r w:rsidRPr="00A333F1">
        <w:rPr>
          <w:vertAlign w:val="superscript"/>
        </w:rPr>
        <w:t>2</w:t>
      </w:r>
      <w:r w:rsidRPr="00A333F1">
        <w:t xml:space="preserve"> </w:t>
      </w:r>
      <w:r w:rsidRPr="00797CDB">
        <w:rPr>
          <w:rFonts w:eastAsia="TimesNewRomanPSMT"/>
        </w:rPr>
        <w:t>Stebėjimo po vaistinio preparato patekimo į rinką metu pranešta apie nepageidaujamas reakcijas, kurių nepastebėta placebu kontroliuojamų klinikinių tyrimų metu.</w:t>
      </w:r>
    </w:p>
    <w:p w14:paraId="1D44EC3D" w14:textId="77777777" w:rsidR="00FD5C4A" w:rsidRPr="00797CDB" w:rsidRDefault="00FD5C4A" w:rsidP="00A333F1">
      <w:pPr>
        <w:autoSpaceDE w:val="0"/>
        <w:autoSpaceDN w:val="0"/>
        <w:adjustRightInd w:val="0"/>
        <w:ind w:left="142" w:hanging="142"/>
        <w:rPr>
          <w:rFonts w:eastAsia="TimesNewRomanPSMT"/>
        </w:rPr>
      </w:pPr>
      <w:r w:rsidRPr="00A333F1">
        <w:rPr>
          <w:vertAlign w:val="superscript"/>
        </w:rPr>
        <w:t>3</w:t>
      </w:r>
      <w:r w:rsidRPr="00797CDB">
        <w:rPr>
          <w:rFonts w:eastAsia="TimesNewRomanPSMT"/>
        </w:rPr>
        <w:t xml:space="preserve"> Pranešimų gauta dažniau, kai tadalafilio skirta pacientams, jau vartojantiems antihipertenzinių vaistinių preparatų.</w:t>
      </w:r>
    </w:p>
    <w:p w14:paraId="782792E2" w14:textId="77777777" w:rsidR="00FD5C4A" w:rsidRPr="00797CDB" w:rsidRDefault="00FD5C4A" w:rsidP="00A333F1">
      <w:pPr>
        <w:autoSpaceDE w:val="0"/>
        <w:autoSpaceDN w:val="0"/>
        <w:adjustRightInd w:val="0"/>
        <w:jc w:val="both"/>
        <w:rPr>
          <w:rFonts w:eastAsia="TimesNewRomanPSMT"/>
        </w:rPr>
      </w:pPr>
    </w:p>
    <w:p w14:paraId="213AE72F"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Atrinktų nepageidaujamų reakcijų apibūdinimas</w:t>
      </w:r>
    </w:p>
    <w:p w14:paraId="6BC3ABF2"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Pacientams, vieną kartą per parą gėrusiems tadalafilio, palyginti su placebo vartojusiais tiriamaisiais, šiek tiek dažniau gauta pranešimų apie EKG nenormalumus, pirmiausiai sinusinę bradikardiją. Daugumas šių EKG nenormalumų su nepageidaujamomis reakcijomis nebuvo susiję.</w:t>
      </w:r>
    </w:p>
    <w:p w14:paraId="4CA853C1" w14:textId="77777777" w:rsidR="00FD5C4A" w:rsidRPr="00797CDB" w:rsidRDefault="00FD5C4A" w:rsidP="00A333F1">
      <w:pPr>
        <w:autoSpaceDE w:val="0"/>
        <w:autoSpaceDN w:val="0"/>
        <w:adjustRightInd w:val="0"/>
        <w:rPr>
          <w:rFonts w:eastAsia="TimesNewRomanPSMT"/>
        </w:rPr>
      </w:pPr>
    </w:p>
    <w:p w14:paraId="70A2023B" w14:textId="77777777" w:rsidR="00FD5C4A" w:rsidRPr="00797CDB" w:rsidRDefault="00FD5C4A"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Kitos ypatingos populiacijos</w:t>
      </w:r>
    </w:p>
    <w:p w14:paraId="123C7996" w14:textId="77777777" w:rsidR="00FD5C4A" w:rsidRPr="00A333F1" w:rsidRDefault="00CB19D4" w:rsidP="00A333F1">
      <w:pPr>
        <w:autoSpaceDE w:val="0"/>
        <w:autoSpaceDN w:val="0"/>
        <w:adjustRightInd w:val="0"/>
        <w:rPr>
          <w:rFonts w:asciiTheme="minorHAnsi" w:eastAsiaTheme="minorHAnsi" w:hAnsiTheme="minorHAnsi" w:cstheme="minorBidi"/>
          <w:szCs w:val="22"/>
          <w:u w:val="single"/>
          <w:lang w:eastAsia="en-US"/>
        </w:rPr>
      </w:pPr>
      <w:r w:rsidRPr="00797CDB">
        <w:rPr>
          <w:rFonts w:eastAsia="TimesNewRomanPSMT"/>
        </w:rPr>
        <w:t>Duomenų apie vyresnius</w:t>
      </w:r>
      <w:r w:rsidR="00FD5C4A" w:rsidRPr="00797CDB">
        <w:rPr>
          <w:rFonts w:eastAsia="TimesNewRomanPSMT"/>
        </w:rPr>
        <w:t xml:space="preserve"> negu 65 metų pacient</w:t>
      </w:r>
      <w:r w:rsidRPr="00797CDB">
        <w:rPr>
          <w:rFonts w:eastAsia="TimesNewRomanPSMT"/>
        </w:rPr>
        <w:t>us</w:t>
      </w:r>
      <w:r w:rsidR="00FD5C4A" w:rsidRPr="00797CDB">
        <w:rPr>
          <w:rFonts w:eastAsia="TimesNewRomanPSMT"/>
        </w:rPr>
        <w:t>, klinikinių tyrimų metu tadalafilio vartojusi</w:t>
      </w:r>
      <w:r w:rsidRPr="00797CDB">
        <w:rPr>
          <w:rFonts w:eastAsia="TimesNewRomanPSMT"/>
        </w:rPr>
        <w:t>us</w:t>
      </w:r>
      <w:r w:rsidR="00FD5C4A" w:rsidRPr="00797CDB">
        <w:rPr>
          <w:rFonts w:eastAsia="TimesNewRomanPSMT"/>
        </w:rPr>
        <w:t xml:space="preserve"> arba erekcijos funkcijos sutrikimui, arba gerybinei prostatos hiperplazijai gydyti, duomen</w:t>
      </w:r>
      <w:r w:rsidRPr="00797CDB">
        <w:rPr>
          <w:rFonts w:eastAsia="TimesNewRomanPSMT"/>
        </w:rPr>
        <w:t>ų</w:t>
      </w:r>
      <w:r w:rsidR="00FD5C4A" w:rsidRPr="00797CDB">
        <w:rPr>
          <w:rFonts w:eastAsia="TimesNewRomanPSMT"/>
        </w:rPr>
        <w:t xml:space="preserve"> yra </w:t>
      </w:r>
      <w:r w:rsidRPr="00797CDB">
        <w:rPr>
          <w:rFonts w:eastAsia="TimesNewRomanPSMT"/>
        </w:rPr>
        <w:t>nedaug</w:t>
      </w:r>
      <w:r w:rsidR="00FD5C4A" w:rsidRPr="00797CDB">
        <w:rPr>
          <w:rFonts w:eastAsia="TimesNewRomanPSMT"/>
        </w:rPr>
        <w:t>. Klinikinių tyrimų, kurių metu nuo gerybinės prostatos hiperplazijos buvo gydoma kartą per parą vartojama 5</w:t>
      </w:r>
      <w:r w:rsidR="000B5CC7" w:rsidRPr="00797CDB">
        <w:rPr>
          <w:rFonts w:eastAsia="TimesNewRomanPSMT"/>
        </w:rPr>
        <w:t> mg</w:t>
      </w:r>
      <w:r w:rsidR="00FD5C4A" w:rsidRPr="00797CDB">
        <w:rPr>
          <w:rFonts w:eastAsia="TimesNewRomanPSMT"/>
        </w:rPr>
        <w:t xml:space="preserve"> tadalafilio doze, dažniau gauta pranešimų apie </w:t>
      </w:r>
      <w:r w:rsidR="00FB510B" w:rsidRPr="00797CDB">
        <w:rPr>
          <w:rFonts w:eastAsia="TimesNewRomanPSMT"/>
        </w:rPr>
        <w:t xml:space="preserve">svaigulį </w:t>
      </w:r>
      <w:r w:rsidR="00FD5C4A" w:rsidRPr="00797CDB">
        <w:rPr>
          <w:rFonts w:eastAsia="TimesNewRomanPSMT"/>
        </w:rPr>
        <w:t>ir viduriavimą vyresniems negu 75 metų pacientams.</w:t>
      </w:r>
    </w:p>
    <w:p w14:paraId="3511358D" w14:textId="77777777" w:rsidR="00FD5C4A" w:rsidRPr="00A333F1" w:rsidRDefault="00FD5C4A" w:rsidP="00A333F1">
      <w:pPr>
        <w:autoSpaceDE w:val="0"/>
        <w:autoSpaceDN w:val="0"/>
        <w:adjustRightInd w:val="0"/>
        <w:jc w:val="both"/>
        <w:rPr>
          <w:u w:val="single"/>
        </w:rPr>
      </w:pPr>
    </w:p>
    <w:p w14:paraId="704035B1" w14:textId="77777777" w:rsidR="00FD5C4A" w:rsidRPr="00A333F1" w:rsidRDefault="00FD5C4A" w:rsidP="00A333F1">
      <w:pPr>
        <w:autoSpaceDE w:val="0"/>
        <w:autoSpaceDN w:val="0"/>
        <w:adjustRightInd w:val="0"/>
        <w:rPr>
          <w:u w:val="single"/>
        </w:rPr>
      </w:pPr>
      <w:r w:rsidRPr="00A333F1">
        <w:rPr>
          <w:u w:val="single"/>
        </w:rPr>
        <w:t>Pranešimas apie įtariamas nepageidaujamas reakcijas</w:t>
      </w:r>
    </w:p>
    <w:p w14:paraId="5F37268C" w14:textId="7362EFC6" w:rsidR="00FD5C4A" w:rsidRPr="00A333F1" w:rsidRDefault="004F432E" w:rsidP="00A333F1">
      <w:pPr>
        <w:rPr>
          <w:b/>
        </w:rPr>
      </w:pPr>
      <w:r>
        <w:rPr>
          <w:rFonts w:eastAsia="SimSu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r w:rsidR="00FD5C4A" w:rsidRPr="00A333F1">
        <w:rPr>
          <w:b/>
        </w:rPr>
        <w:t>4.9</w:t>
      </w:r>
      <w:r w:rsidR="00FD5C4A" w:rsidRPr="00A333F1">
        <w:rPr>
          <w:b/>
        </w:rPr>
        <w:tab/>
        <w:t>Perdozavimas</w:t>
      </w:r>
    </w:p>
    <w:p w14:paraId="61CEAF49" w14:textId="77777777" w:rsidR="00FD5C4A" w:rsidRPr="00A333F1" w:rsidRDefault="00FD5C4A" w:rsidP="00A333F1"/>
    <w:p w14:paraId="512768F9"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Sveiki suaugę </w:t>
      </w:r>
      <w:r w:rsidR="00CB19D4" w:rsidRPr="00797CDB">
        <w:rPr>
          <w:rFonts w:eastAsia="TimesNewRomanPSMT"/>
        </w:rPr>
        <w:t>asmenys</w:t>
      </w:r>
      <w:r w:rsidRPr="00797CDB">
        <w:rPr>
          <w:rFonts w:eastAsia="TimesNewRomanPSMT"/>
        </w:rPr>
        <w:t xml:space="preserve"> išgėrė ne didesnę kaip 500</w:t>
      </w:r>
      <w:r w:rsidR="000B5CC7" w:rsidRPr="00797CDB">
        <w:rPr>
          <w:rFonts w:eastAsia="TimesNewRomanPSMT"/>
        </w:rPr>
        <w:t> mg</w:t>
      </w:r>
      <w:r w:rsidRPr="00797CDB">
        <w:rPr>
          <w:rFonts w:eastAsia="TimesNewRomanPSMT"/>
        </w:rPr>
        <w:t xml:space="preserve"> vienkartinę dozę, pacientai vartojo ne didesnes kaip 100</w:t>
      </w:r>
      <w:r w:rsidR="000B5CC7" w:rsidRPr="00797CDB">
        <w:rPr>
          <w:rFonts w:eastAsia="TimesNewRomanPSMT"/>
        </w:rPr>
        <w:t> mg</w:t>
      </w:r>
      <w:r w:rsidRPr="00797CDB">
        <w:rPr>
          <w:rFonts w:eastAsia="TimesNewRomanPSMT"/>
        </w:rPr>
        <w:t xml:space="preserve"> kartotines paros dozes. Nepageidaujami reiškiniai buvo panašūs į nepageidaujamus reiškinius, pastebėtus vartojant mažesnes dozes.</w:t>
      </w:r>
    </w:p>
    <w:p w14:paraId="6FF2F00C"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Perdozavus reikia gydyti įprastinėmis palaikomosiomis priemonėmis. Hemodializė prie tadalafilio šalinimo prisideda nereikšmingai.</w:t>
      </w:r>
    </w:p>
    <w:p w14:paraId="55EFE329" w14:textId="77777777" w:rsidR="00FD5C4A" w:rsidRPr="00A333F1" w:rsidRDefault="00FD5C4A" w:rsidP="00A333F1"/>
    <w:p w14:paraId="6EEA7DD3" w14:textId="77777777" w:rsidR="00FD5C4A" w:rsidRPr="00A333F1" w:rsidRDefault="00FD5C4A" w:rsidP="00A333F1"/>
    <w:p w14:paraId="34E9F101" w14:textId="77777777" w:rsidR="00FD5C4A" w:rsidRPr="00A333F1" w:rsidRDefault="00FD5C4A" w:rsidP="00A333F1">
      <w:pPr>
        <w:keepNext/>
        <w:outlineLvl w:val="2"/>
        <w:rPr>
          <w:b/>
        </w:rPr>
      </w:pPr>
      <w:r w:rsidRPr="00A333F1">
        <w:rPr>
          <w:b/>
        </w:rPr>
        <w:t>5.</w:t>
      </w:r>
      <w:r w:rsidRPr="00A333F1">
        <w:rPr>
          <w:b/>
        </w:rPr>
        <w:tab/>
        <w:t>FARMAKOLOGINĖS SAVYBĖS</w:t>
      </w:r>
    </w:p>
    <w:p w14:paraId="0DCF75D4" w14:textId="77777777" w:rsidR="00FD5C4A" w:rsidRPr="00A333F1" w:rsidRDefault="00FD5C4A" w:rsidP="00A333F1">
      <w:pPr>
        <w:widowControl w:val="0"/>
        <w:overflowPunct w:val="0"/>
        <w:autoSpaceDE w:val="0"/>
        <w:autoSpaceDN w:val="0"/>
        <w:adjustRightInd w:val="0"/>
      </w:pPr>
    </w:p>
    <w:p w14:paraId="6AE7FDE9" w14:textId="77777777" w:rsidR="00FD5C4A" w:rsidRPr="00A333F1" w:rsidRDefault="00FD5C4A" w:rsidP="00A333F1">
      <w:pPr>
        <w:widowControl w:val="0"/>
        <w:overflowPunct w:val="0"/>
        <w:autoSpaceDE w:val="0"/>
        <w:autoSpaceDN w:val="0"/>
        <w:adjustRightInd w:val="0"/>
        <w:rPr>
          <w:b/>
        </w:rPr>
      </w:pPr>
      <w:r w:rsidRPr="00A333F1">
        <w:rPr>
          <w:b/>
        </w:rPr>
        <w:t xml:space="preserve">5.1 </w:t>
      </w:r>
      <w:r w:rsidRPr="00A333F1">
        <w:rPr>
          <w:b/>
        </w:rPr>
        <w:tab/>
        <w:t>Farmakodinaminės savybės</w:t>
      </w:r>
    </w:p>
    <w:p w14:paraId="6104C0D0" w14:textId="77777777" w:rsidR="00FD5C4A" w:rsidRPr="00A333F1" w:rsidRDefault="00FD5C4A" w:rsidP="00A333F1">
      <w:pPr>
        <w:widowControl w:val="0"/>
        <w:overflowPunct w:val="0"/>
        <w:autoSpaceDE w:val="0"/>
        <w:autoSpaceDN w:val="0"/>
        <w:adjustRightInd w:val="0"/>
      </w:pPr>
    </w:p>
    <w:p w14:paraId="0E65DE6E" w14:textId="77777777" w:rsidR="00FD5C4A" w:rsidRPr="00797CDB" w:rsidRDefault="00FD5C4A" w:rsidP="00A333F1">
      <w:pPr>
        <w:widowControl w:val="0"/>
        <w:overflowPunct w:val="0"/>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Farmakoterapinė grupė </w:t>
      </w:r>
      <w:r w:rsidRPr="00797CDB">
        <w:rPr>
          <w:rFonts w:eastAsia="SymbolMT"/>
        </w:rPr>
        <w:t xml:space="preserve">− </w:t>
      </w:r>
      <w:r w:rsidRPr="00797CDB">
        <w:rPr>
          <w:rFonts w:eastAsia="TimesNewRomanPSMT"/>
        </w:rPr>
        <w:t xml:space="preserve">urogenitalinę sistemą veikiantys vaistiniai preparatai, vaistiniai preparatai, vartojami esant erekcijos </w:t>
      </w:r>
      <w:r w:rsidR="00FB510B" w:rsidRPr="00797CDB">
        <w:rPr>
          <w:rFonts w:eastAsia="TimesNewRomanPSMT"/>
        </w:rPr>
        <w:t xml:space="preserve">funkcijos </w:t>
      </w:r>
      <w:r w:rsidRPr="00797CDB">
        <w:rPr>
          <w:rFonts w:eastAsia="TimesNewRomanPSMT"/>
        </w:rPr>
        <w:t>sutrikimams, ATC kodas – G04BE08.</w:t>
      </w:r>
    </w:p>
    <w:p w14:paraId="7512E6E4" w14:textId="77777777" w:rsidR="00FD5C4A" w:rsidRPr="00797CDB" w:rsidRDefault="00FD5C4A" w:rsidP="00A333F1">
      <w:pPr>
        <w:widowControl w:val="0"/>
        <w:overflowPunct w:val="0"/>
        <w:autoSpaceDE w:val="0"/>
        <w:autoSpaceDN w:val="0"/>
        <w:adjustRightInd w:val="0"/>
        <w:rPr>
          <w:rFonts w:eastAsia="TimesNewRomanPSMT"/>
        </w:rPr>
      </w:pPr>
    </w:p>
    <w:p w14:paraId="7130BD39" w14:textId="77777777" w:rsidR="00FD5C4A" w:rsidRPr="00797CDB" w:rsidRDefault="00FD5C4A" w:rsidP="00A333F1">
      <w:pPr>
        <w:widowControl w:val="0"/>
        <w:overflowPunct w:val="0"/>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Veikimo mechanizmas</w:t>
      </w:r>
    </w:p>
    <w:p w14:paraId="75D83268" w14:textId="77777777" w:rsidR="00CB19D4" w:rsidRPr="00797CDB" w:rsidRDefault="00CB19D4" w:rsidP="00A333F1">
      <w:pPr>
        <w:rPr>
          <w:rFonts w:asciiTheme="minorHAnsi" w:eastAsia="Calibri" w:hAnsiTheme="minorHAnsi" w:cstheme="minorBidi"/>
          <w:szCs w:val="22"/>
          <w:lang w:eastAsia="en-US"/>
        </w:rPr>
      </w:pPr>
      <w:r w:rsidRPr="00797CDB">
        <w:rPr>
          <w:rFonts w:eastAsia="Calibri"/>
        </w:rPr>
        <w:t>Tadalafilis selektyviai ir laikinai slopina cikliniam guanozino monofosfatui (cGMF) specifinę 5-ojo tipo fosfodiesterazę (FDE5). 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tadalafilis poveikio nesukelia.</w:t>
      </w:r>
    </w:p>
    <w:p w14:paraId="0212C5FB" w14:textId="77777777" w:rsidR="00CB19D4" w:rsidRPr="00797CDB" w:rsidRDefault="00CB19D4" w:rsidP="00A333F1">
      <w:pPr>
        <w:rPr>
          <w:rFonts w:eastAsia="Calibri"/>
        </w:rPr>
      </w:pPr>
    </w:p>
    <w:p w14:paraId="2541EDF3" w14:textId="77777777" w:rsidR="00CB19D4" w:rsidRPr="00797CDB" w:rsidRDefault="00CB19D4" w:rsidP="00A333F1">
      <w:pPr>
        <w:rPr>
          <w:rFonts w:asciiTheme="minorHAnsi" w:eastAsia="Calibri" w:hAnsiTheme="minorHAnsi" w:cstheme="minorBidi"/>
          <w:szCs w:val="22"/>
          <w:u w:val="single"/>
          <w:lang w:eastAsia="en-US"/>
        </w:rPr>
      </w:pPr>
      <w:r w:rsidRPr="00797CDB">
        <w:rPr>
          <w:rFonts w:eastAsia="Calibri"/>
          <w:u w:val="single"/>
        </w:rPr>
        <w:t>Farmakodinaminis poveikis</w:t>
      </w:r>
    </w:p>
    <w:p w14:paraId="6D524CDB" w14:textId="77777777" w:rsidR="00CB19D4" w:rsidRPr="00797CDB" w:rsidRDefault="00CB19D4" w:rsidP="00A333F1">
      <w:pPr>
        <w:rPr>
          <w:rFonts w:asciiTheme="minorHAnsi" w:eastAsia="Calibri" w:hAnsiTheme="minorHAnsi" w:cstheme="minorBidi"/>
          <w:szCs w:val="22"/>
          <w:lang w:eastAsia="en-US"/>
        </w:rPr>
      </w:pPr>
      <w:r w:rsidRPr="00797CDB">
        <w:rPr>
          <w:rFonts w:eastAsia="Calibri"/>
        </w:rPr>
        <w:t xml:space="preserve">Tyrimais </w:t>
      </w:r>
      <w:r w:rsidRPr="00797CDB">
        <w:rPr>
          <w:rFonts w:eastAsia="Calibri"/>
          <w:i/>
        </w:rPr>
        <w:t xml:space="preserve">in vitro </w:t>
      </w:r>
      <w:r w:rsidRPr="00797CDB">
        <w:rPr>
          <w:rFonts w:eastAsia="Calibri"/>
        </w:rPr>
        <w:t xml:space="preserve">įrodyta, kad tadalafilis selektyviai slopina FDE5. FDE5 yra fermentas, kurio yra lygiuosiuose akytkūnio, kraujagyslių ir vidaus organų raumenyse, griaučių raumenyse, trombocituose, inkstuose, plaučiuose ir smegenėlėse. FDE5 tadalafilis veikia stipriau, negu kitas fosfodiesterazes. FDE5 jis veikia &gt;10000 kartų stipriau negu FDE1, FDE2 ir FDE4, t. y fermentus, kurių yra širdyje, smegenyse, kraujagyslėse, kepenyse ir kituose organuose. Tadalafilis FDE5  veikia &gt;10000 kartų stipriau negu FDE3, t.y. fermentą, kurio yra širdyje ir kraujagyslėse. </w:t>
      </w:r>
      <w:r w:rsidR="007C7D7A" w:rsidRPr="00797CDB">
        <w:rPr>
          <w:rFonts w:eastAsia="Calibri"/>
        </w:rPr>
        <w:t>Šis selektyvumas</w:t>
      </w:r>
      <w:r w:rsidRPr="00797CDB">
        <w:rPr>
          <w:rFonts w:eastAsia="Calibri"/>
        </w:rPr>
        <w:t xml:space="preserve"> FDE5 </w:t>
      </w:r>
      <w:r w:rsidR="007C7D7A" w:rsidRPr="00797CDB">
        <w:rPr>
          <w:rFonts w:eastAsia="Calibri"/>
        </w:rPr>
        <w:t>atžvilgiu, palyginti su</w:t>
      </w:r>
      <w:r w:rsidRPr="00797CDB">
        <w:rPr>
          <w:rFonts w:eastAsia="Calibri"/>
        </w:rPr>
        <w:t xml:space="preserve"> FDE3, yra svarb</w:t>
      </w:r>
      <w:r w:rsidR="007C7D7A" w:rsidRPr="00797CDB">
        <w:rPr>
          <w:rFonts w:eastAsia="Calibri"/>
        </w:rPr>
        <w:t>us</w:t>
      </w:r>
      <w:r w:rsidRPr="00797CDB">
        <w:rPr>
          <w:rFonts w:eastAsia="Calibri"/>
        </w:rPr>
        <w:t>, nes FDE3 dalyvauja susitraukiant širdžiai. FDE5 tadalafilis veikia maždaug 700 kartų stipriau negu FDE6, t. y. fermentą, kurio yra tinklainėje ir kuris dalyvauja šviesos perdavime. Be to, FDE5 tadalafilis veikia &gt;10000 kartų stipriau negu FDE7-FDE10.</w:t>
      </w:r>
    </w:p>
    <w:p w14:paraId="095B6CA4" w14:textId="77777777" w:rsidR="00FD5C4A" w:rsidRPr="00797CDB" w:rsidRDefault="00FD5C4A" w:rsidP="00A333F1">
      <w:pPr>
        <w:widowControl w:val="0"/>
        <w:overflowPunct w:val="0"/>
        <w:autoSpaceDE w:val="0"/>
        <w:autoSpaceDN w:val="0"/>
        <w:adjustRightInd w:val="0"/>
        <w:rPr>
          <w:rFonts w:eastAsia="TimesNewRomanPSMT"/>
        </w:rPr>
      </w:pPr>
    </w:p>
    <w:p w14:paraId="13638574" w14:textId="77777777" w:rsidR="00FD5C4A" w:rsidRPr="00797CDB" w:rsidRDefault="00FD5C4A" w:rsidP="00A333F1">
      <w:pPr>
        <w:widowControl w:val="0"/>
        <w:overflowPunct w:val="0"/>
        <w:autoSpaceDE w:val="0"/>
        <w:autoSpaceDN w:val="0"/>
        <w:adjustRightInd w:val="0"/>
        <w:rPr>
          <w:rFonts w:asciiTheme="minorHAnsi" w:eastAsia="TimesNewRomanPSMT" w:hAnsiTheme="minorHAnsi" w:cstheme="minorBidi"/>
          <w:szCs w:val="22"/>
          <w:lang w:eastAsia="en-US"/>
        </w:rPr>
      </w:pPr>
      <w:r w:rsidRPr="00797CDB">
        <w:rPr>
          <w:rFonts w:eastAsia="TimesNewRomanPSMT"/>
          <w:u w:val="single"/>
        </w:rPr>
        <w:t>Klinikinis veiksmingumas ir saugumas</w:t>
      </w:r>
    </w:p>
    <w:p w14:paraId="6C037D9E" w14:textId="77777777" w:rsidR="007C7D7A" w:rsidRPr="00797CDB" w:rsidRDefault="007C7D7A" w:rsidP="00A333F1">
      <w:pPr>
        <w:rPr>
          <w:rFonts w:asciiTheme="minorHAnsi" w:eastAsia="Calibri" w:hAnsiTheme="minorHAnsi" w:cstheme="minorBidi"/>
          <w:szCs w:val="22"/>
          <w:lang w:eastAsia="en-US"/>
        </w:rPr>
      </w:pPr>
      <w:r w:rsidRPr="00797CDB">
        <w:rPr>
          <w:rFonts w:eastAsia="Calibri"/>
        </w:rPr>
        <w:t xml:space="preserve">Sveikiems </w:t>
      </w:r>
      <w:r w:rsidR="008A53E0" w:rsidRPr="00797CDB">
        <w:rPr>
          <w:rFonts w:eastAsia="Calibri"/>
        </w:rPr>
        <w:t>asmenims</w:t>
      </w:r>
      <w:r w:rsidRPr="00797CDB">
        <w:rPr>
          <w:rFonts w:eastAsia="Calibri"/>
        </w:rPr>
        <w:t xml:space="preserve"> tadalafilis, palyginti su placebu, reikšmingo sistolinio ir diastolinio kraujo</w:t>
      </w:r>
      <w:r w:rsidR="008A53E0" w:rsidRPr="00797CDB">
        <w:rPr>
          <w:rFonts w:eastAsia="Calibri"/>
        </w:rPr>
        <w:t xml:space="preserve"> spaudimo</w:t>
      </w:r>
      <w:r w:rsidRPr="00797CDB">
        <w:rPr>
          <w:rFonts w:eastAsia="Calibri"/>
        </w:rPr>
        <w:t xml:space="preserve"> pokyčio gulint (vidutinis didžiausias sumažėjimas buvo atitinkamai 1,6 mm Hg ir 0,8 mm Hg) ar stovint (vidutinis didžiausias sumažėjimas buvo atitinkamai 0,2 mm Hg ir 4,6 mm Hg) nesukėlė ir reikšmingai širdies susitraukimų dažnio nekeitė.</w:t>
      </w:r>
    </w:p>
    <w:p w14:paraId="5CF7055E" w14:textId="77777777" w:rsidR="007C7D7A" w:rsidRPr="00797CDB" w:rsidRDefault="007C7D7A" w:rsidP="00A333F1">
      <w:pPr>
        <w:rPr>
          <w:rFonts w:eastAsia="Calibri"/>
        </w:rPr>
      </w:pPr>
    </w:p>
    <w:p w14:paraId="0B95C171" w14:textId="77777777" w:rsidR="007C7D7A" w:rsidRPr="00797CDB" w:rsidRDefault="007C7D7A" w:rsidP="00A333F1">
      <w:pPr>
        <w:rPr>
          <w:rFonts w:asciiTheme="minorHAnsi" w:eastAsia="Calibri" w:hAnsiTheme="minorHAnsi" w:cstheme="minorBidi"/>
          <w:szCs w:val="22"/>
          <w:lang w:eastAsia="en-US"/>
        </w:rPr>
      </w:pPr>
      <w:r w:rsidRPr="00797CDB">
        <w:rPr>
          <w:rFonts w:eastAsia="Calibri"/>
        </w:rPr>
        <w:t>Poveikio reg</w:t>
      </w:r>
      <w:r w:rsidR="008A53E0" w:rsidRPr="00797CDB">
        <w:rPr>
          <w:rFonts w:eastAsia="Calibri"/>
        </w:rPr>
        <w:t>ėj</w:t>
      </w:r>
      <w:r w:rsidR="00CD7DFC" w:rsidRPr="00797CDB">
        <w:rPr>
          <w:rFonts w:eastAsia="Calibri"/>
        </w:rPr>
        <w:t>i</w:t>
      </w:r>
      <w:r w:rsidR="008A53E0" w:rsidRPr="00797CDB">
        <w:rPr>
          <w:rFonts w:eastAsia="Calibri"/>
        </w:rPr>
        <w:t>mui</w:t>
      </w:r>
      <w:r w:rsidRPr="00797CDB">
        <w:rPr>
          <w:rFonts w:eastAsia="Calibri"/>
        </w:rPr>
        <w:t xml:space="preserve"> tyrimo </w:t>
      </w:r>
      <w:r w:rsidRPr="00797CDB">
        <w:rPr>
          <w:rFonts w:eastAsia="Calibri"/>
          <w:i/>
        </w:rPr>
        <w:t xml:space="preserve">Farnsworth-Munsell 100-hue </w:t>
      </w:r>
      <w:r w:rsidRPr="00797CDB">
        <w:rPr>
          <w:rFonts w:eastAsia="Calibri"/>
        </w:rPr>
        <w:t xml:space="preserve">testu metu spalvų (mėlynos ir žalios) skyrimo sutrikimo nenustatyta. Tai atitinka mažą tadalafilio </w:t>
      </w:r>
      <w:r w:rsidR="008A53E0" w:rsidRPr="00797CDB">
        <w:rPr>
          <w:rFonts w:eastAsia="Calibri"/>
        </w:rPr>
        <w:t>afinitetą</w:t>
      </w:r>
      <w:r w:rsidRPr="00797CDB">
        <w:rPr>
          <w:rFonts w:eastAsia="Calibri"/>
        </w:rPr>
        <w:t xml:space="preserve"> FDE6, palyginti su FDE5. Visų klinikinių tyrimų metu </w:t>
      </w:r>
      <w:r w:rsidR="008A53E0" w:rsidRPr="00797CDB">
        <w:rPr>
          <w:rFonts w:eastAsia="Calibri"/>
        </w:rPr>
        <w:t>pranešim</w:t>
      </w:r>
      <w:r w:rsidR="00EF57B9" w:rsidRPr="00797CDB">
        <w:rPr>
          <w:rFonts w:eastAsia="Calibri"/>
        </w:rPr>
        <w:t>ų</w:t>
      </w:r>
      <w:r w:rsidR="008A53E0" w:rsidRPr="00797CDB">
        <w:rPr>
          <w:rFonts w:eastAsia="Calibri"/>
        </w:rPr>
        <w:t xml:space="preserve"> apie </w:t>
      </w:r>
      <w:r w:rsidRPr="00797CDB">
        <w:rPr>
          <w:rFonts w:eastAsia="Calibri"/>
        </w:rPr>
        <w:t xml:space="preserve">spalvinio regėjimo </w:t>
      </w:r>
      <w:r w:rsidR="00EF57B9" w:rsidRPr="00797CDB">
        <w:rPr>
          <w:rFonts w:eastAsia="Calibri"/>
        </w:rPr>
        <w:t>pokyčius gauta retai</w:t>
      </w:r>
      <w:r w:rsidRPr="00797CDB">
        <w:rPr>
          <w:rFonts w:eastAsia="Calibri"/>
        </w:rPr>
        <w:t xml:space="preserve"> (&lt;0,1 %).</w:t>
      </w:r>
    </w:p>
    <w:p w14:paraId="0B2ABACF" w14:textId="77777777" w:rsidR="007C7D7A" w:rsidRPr="00797CDB" w:rsidRDefault="007C7D7A" w:rsidP="00A333F1">
      <w:pPr>
        <w:rPr>
          <w:rFonts w:eastAsia="Calibri"/>
        </w:rPr>
      </w:pPr>
    </w:p>
    <w:p w14:paraId="014D57DE" w14:textId="77777777" w:rsidR="007C7D7A" w:rsidRPr="00797CDB" w:rsidRDefault="007C7D7A" w:rsidP="00A333F1">
      <w:pPr>
        <w:rPr>
          <w:rFonts w:asciiTheme="minorHAnsi" w:eastAsia="Calibri" w:hAnsiTheme="minorHAnsi" w:cstheme="minorBidi"/>
          <w:szCs w:val="22"/>
          <w:lang w:eastAsia="en-US"/>
        </w:rPr>
      </w:pPr>
      <w:r w:rsidRPr="00797CDB">
        <w:rPr>
          <w:rFonts w:eastAsia="Calibri"/>
        </w:rPr>
        <w:t>Buvo atlikti 3 tyrimai, kurių metu nustatinėtas kasdien vartojamos 10 mg tadalafilio (tyrimas truko 6 mėn.) arba 20 mg (vienas tyrimas truko 6 mėn., kitas – 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0F3089C3" w14:textId="77777777" w:rsidR="007C7D7A" w:rsidRPr="00797CDB" w:rsidRDefault="007C7D7A" w:rsidP="00A333F1">
      <w:pPr>
        <w:rPr>
          <w:rFonts w:eastAsia="Calibri"/>
        </w:rPr>
      </w:pPr>
    </w:p>
    <w:p w14:paraId="5421B476" w14:textId="77777777" w:rsidR="007C7D7A" w:rsidRPr="00797CDB" w:rsidRDefault="007C7D7A" w:rsidP="00A333F1">
      <w:pPr>
        <w:rPr>
          <w:rFonts w:asciiTheme="minorHAnsi" w:eastAsia="Calibri" w:hAnsiTheme="minorHAnsi" w:cstheme="minorBidi"/>
          <w:szCs w:val="22"/>
          <w:lang w:eastAsia="en-US"/>
        </w:rPr>
      </w:pPr>
      <w:r w:rsidRPr="00797CDB">
        <w:rPr>
          <w:rFonts w:eastAsia="Calibri"/>
        </w:rPr>
        <w:t>Reakcijos į pagal poreikį vartojamą tadalafilį trukmė buvo nustatinėta trimis klinikiniais tyrimais, kuriuose dalyvavo 1054 namuose esantys vyrai. Tadalafilis 36 valandas po dozės pavartojimo statistiškai reikšmingai pagerino erekcijos funkciją ir gebėjimą atlikti sėkmingą lytinį aktą. Praėjus 16 min. po pavartojimo, jis, palyginti su placebu, pagerino gebėjimą sukelti ir palaikyti erekciją sėkmingam lytiniam aktui atlikti.</w:t>
      </w:r>
    </w:p>
    <w:p w14:paraId="2C15082B" w14:textId="77777777" w:rsidR="007C7D7A" w:rsidRPr="00797CDB" w:rsidRDefault="007C7D7A" w:rsidP="00A333F1">
      <w:pPr>
        <w:rPr>
          <w:rFonts w:eastAsia="Calibri"/>
        </w:rPr>
      </w:pPr>
    </w:p>
    <w:p w14:paraId="3DE72DFE" w14:textId="77777777" w:rsidR="00EF57B9" w:rsidRPr="00797CDB" w:rsidRDefault="00EF57B9" w:rsidP="00A333F1">
      <w:pPr>
        <w:autoSpaceDE w:val="0"/>
        <w:autoSpaceDN w:val="0"/>
        <w:adjustRightInd w:val="0"/>
        <w:rPr>
          <w:rFonts w:asciiTheme="minorHAnsi" w:eastAsia="SymbolMT" w:hAnsiTheme="minorHAnsi" w:cstheme="minorBidi"/>
          <w:szCs w:val="22"/>
          <w:lang w:eastAsia="en-US"/>
        </w:rPr>
      </w:pPr>
      <w:r w:rsidRPr="00797CDB">
        <w:rPr>
          <w:rFonts w:eastAsia="TimesNewRomanPSMT"/>
        </w:rPr>
        <w:t>Tadalafilio, vartojamo nuo 2 iki 100 mg dozėmis, veiksmingumas buvo vertintas 16 klinikinių tyrimų, kuriuose dalyvavo 3250 pacientų, įskaitant įvairaus amžiaus (21-82 metų) ir etninių grupių pacientus, kuriems buvo įvairaus sunkumo (lengvas, vidutinio sunkumo arba sunkus) ir įvairių priežasčių sukeltas erekcijos sutrikimas. Dauguma pacientų erekcijos funkcijos sutrikimu skundėsi mažiausiai metus. Pagrindinio veiksmingumo tyrimų bendroje populiacijoje metu 81</w:t>
      </w:r>
      <w:r w:rsidRPr="00797CDB">
        <w:rPr>
          <w:rFonts w:eastAsia="SymbolMT"/>
        </w:rPr>
        <w:t xml:space="preserve">% pacientų pranešė, kad tadalafilis pagerino erekcija, palyginti su </w:t>
      </w:r>
      <w:r w:rsidRPr="00797CDB">
        <w:rPr>
          <w:rFonts w:eastAsia="TimesNewRomanPSMT"/>
        </w:rPr>
        <w:t>35</w:t>
      </w:r>
      <w:r w:rsidRPr="00797CDB">
        <w:rPr>
          <w:rFonts w:eastAsia="SymbolMT"/>
        </w:rPr>
        <w:t>% pacientų, kurie vartojo placebą. Be to, pacientai, kuriems erekcijos funkcijos sutrikimų buvo visų sunkumo kategorijų, pranešė apie erekcijos pagerėjimą tadalafilio vartojimo metu (atitinkamai ,</w:t>
      </w:r>
      <w:r w:rsidRPr="00797CDB">
        <w:rPr>
          <w:rFonts w:eastAsia="TimesNewRomanPSMT"/>
        </w:rPr>
        <w:t xml:space="preserve"> 86</w:t>
      </w:r>
      <w:r w:rsidRPr="00797CDB">
        <w:rPr>
          <w:rFonts w:eastAsia="SymbolMT"/>
        </w:rPr>
        <w:t xml:space="preserve">%, </w:t>
      </w:r>
      <w:r w:rsidRPr="00797CDB">
        <w:rPr>
          <w:rFonts w:eastAsia="TimesNewRomanPSMT"/>
        </w:rPr>
        <w:t>83</w:t>
      </w:r>
      <w:r w:rsidRPr="00797CDB">
        <w:rPr>
          <w:rFonts w:eastAsia="SymbolMT"/>
        </w:rPr>
        <w:t xml:space="preserve">% ir 72% lengvo, vidutinio ir sunkaus sutrikimo atveju, palyginti su </w:t>
      </w:r>
      <w:r w:rsidRPr="00797CDB">
        <w:rPr>
          <w:rFonts w:eastAsia="TimesNewRomanPSMT"/>
        </w:rPr>
        <w:t>45</w:t>
      </w:r>
      <w:r w:rsidRPr="00797CDB">
        <w:rPr>
          <w:rFonts w:eastAsia="SymbolMT"/>
        </w:rPr>
        <w:t xml:space="preserve">%, </w:t>
      </w:r>
      <w:r w:rsidRPr="00797CDB">
        <w:rPr>
          <w:rFonts w:eastAsia="TimesNewRomanPSMT"/>
        </w:rPr>
        <w:t>42</w:t>
      </w:r>
      <w:r w:rsidRPr="00797CDB">
        <w:rPr>
          <w:rFonts w:eastAsia="SymbolMT"/>
        </w:rPr>
        <w:t>% ir 19% placebo vartojimo atveju). P</w:t>
      </w:r>
      <w:r w:rsidRPr="00797CDB">
        <w:rPr>
          <w:rFonts w:eastAsia="TimesNewRomanPSMT"/>
        </w:rPr>
        <w:t xml:space="preserve">agrindinio veiksmingumo tyrimų duomenimis, tadalafiliu gydomiems pacientams 75 </w:t>
      </w:r>
      <w:r w:rsidRPr="00797CDB">
        <w:rPr>
          <w:rFonts w:eastAsia="SymbolMT"/>
        </w:rPr>
        <w:t xml:space="preserve">% mėginimų atlikti lytinį aktą buvo sėkmingi, palyginus su </w:t>
      </w:r>
      <w:r w:rsidRPr="00797CDB">
        <w:rPr>
          <w:rFonts w:eastAsia="TimesNewRomanPSMT"/>
        </w:rPr>
        <w:t xml:space="preserve">35 </w:t>
      </w:r>
      <w:r w:rsidRPr="00797CDB">
        <w:rPr>
          <w:rFonts w:eastAsia="SymbolMT"/>
        </w:rPr>
        <w:t>% placebo grupėje.</w:t>
      </w:r>
    </w:p>
    <w:p w14:paraId="68DC30FA" w14:textId="77777777" w:rsidR="00EF57B9" w:rsidRPr="00797CDB" w:rsidRDefault="00EF57B9" w:rsidP="00A333F1">
      <w:pPr>
        <w:rPr>
          <w:rFonts w:eastAsia="Calibri"/>
        </w:rPr>
      </w:pPr>
    </w:p>
    <w:p w14:paraId="624FE081" w14:textId="77777777" w:rsidR="007C7D7A" w:rsidRPr="00797CDB" w:rsidRDefault="007C7D7A" w:rsidP="00A333F1">
      <w:pPr>
        <w:rPr>
          <w:rFonts w:asciiTheme="minorHAnsi" w:eastAsia="Calibri" w:hAnsiTheme="minorHAnsi" w:cstheme="minorBidi"/>
          <w:szCs w:val="22"/>
          <w:lang w:eastAsia="en-US"/>
        </w:rPr>
      </w:pPr>
      <w:r w:rsidRPr="00797CDB">
        <w:rPr>
          <w:rFonts w:eastAsia="Calibri"/>
        </w:rPr>
        <w:t>12 savaičių trukmės tyrime iš 186 pacientų (142 vartojo tadalafilio, 44 – placebą), sergančių antrine nugaros smegenų pažeidimo sukelta erekcijos disfunkcija, tadalafilis reikšmingai pagerino erekcijos funkciją: sėkmingai lytinį aktą atliko 48 % pacientų gydytų 10 mg arba 20 mg tadalafilio (dozuojant pasirinktinai pagal poreikį), palyginti su vartojusiais placebo, t. y. 17 %.</w:t>
      </w:r>
    </w:p>
    <w:p w14:paraId="2D648E1B" w14:textId="77777777" w:rsidR="007C7D7A" w:rsidRPr="00797CDB" w:rsidRDefault="007C7D7A" w:rsidP="00A333F1">
      <w:pPr>
        <w:rPr>
          <w:rFonts w:eastAsia="Calibri"/>
        </w:rPr>
      </w:pPr>
    </w:p>
    <w:p w14:paraId="05AC621A" w14:textId="77777777" w:rsidR="007C7D7A" w:rsidRPr="00797CDB" w:rsidRDefault="007C7D7A" w:rsidP="00A333F1">
      <w:pPr>
        <w:rPr>
          <w:rFonts w:asciiTheme="minorHAnsi" w:eastAsia="Calibri" w:hAnsiTheme="minorHAnsi" w:cstheme="minorBidi"/>
          <w:szCs w:val="22"/>
          <w:lang w:eastAsia="en-US"/>
        </w:rPr>
      </w:pPr>
      <w:r w:rsidRPr="00797CDB">
        <w:rPr>
          <w:rFonts w:eastAsia="Calibri"/>
        </w:rPr>
        <w:t>Vieną kartą per parą geriamos 2,5 mg, 5 mg arba 10 mg tadalafilio dozės poveikis pradžioje vertintas 3 klinikiniais tyrimais, kuriuose dalyvavo 853 įvairaus amžiaus (21</w:t>
      </w:r>
      <w:r w:rsidRPr="00797CDB">
        <w:rPr>
          <w:rFonts w:eastAsia="Calibri"/>
        </w:rPr>
        <w:noBreakHyphen/>
        <w:t xml:space="preserve">82 metų) ir etninių grupių pacientai, sergantys įvairaus sunkumo (lengva, vidutinio sunkumo arba sunkia) ir įvairios etiologijos erekcijos disfunkcija. Dviejų </w:t>
      </w:r>
      <w:r w:rsidR="00EF57B9" w:rsidRPr="00797CDB">
        <w:rPr>
          <w:rFonts w:eastAsia="Calibri"/>
        </w:rPr>
        <w:t>pagrindinio</w:t>
      </w:r>
      <w:r w:rsidRPr="00797CDB">
        <w:rPr>
          <w:rFonts w:eastAsia="Calibri"/>
        </w:rPr>
        <w:t xml:space="preserve"> veiksmingumo tyrimų metu, tiriant </w:t>
      </w:r>
      <w:r w:rsidR="00EF57B9" w:rsidRPr="00797CDB">
        <w:rPr>
          <w:rFonts w:eastAsia="Calibri"/>
        </w:rPr>
        <w:t>bendrąją</w:t>
      </w:r>
      <w:r w:rsidRPr="00797CDB">
        <w:rPr>
          <w:rFonts w:eastAsia="Calibri"/>
        </w:rPr>
        <w:t xml:space="preserve"> populiaciją sėkmingai lytinį aktą atliko vidutiniškai 57 % ir 67 % vyrų, vartojusių 5 mg tadalafilio dozę, iš vartojusių 2,5 mg tadalafilio dozę – 50 %, palyginti su vartojusiais placebo, t. y. 31 % ir 37 %. Tyrimo metu iš pacientų, sergančių antrine diabeto sukelta erekcijos disfunkcija, vartojant 5 mg tadalafilio doze sėkmingai lytinį aktą atliko 41 %, vartojant 2,5 mg tadalafilio dozę – 46 %, palyginti su vartojusiais placebo, t. y. 28 %. Daugumas šiuose trijuose tyrimuose dalyvavusių pacientų anksčiau į FDE5 inhibitorius, vartojamus pagal poreikį, buvo reagavę. Tolimesnio tyrimo metu 217 anksčiau fosfodiesterazės-5 inhibitoriais negydytų pacientų atsitiktinių imčių būdu buvo suskirstyti į 2 grupes, iš kurių viena buvo gydoma tadalafilio 5 mg doze, vartojama vieną kartą per parą, kita − placebu. Tadalafilio vartojusių tiriamųjų grupėje sėkmingų bandymų atlikti lytinį aktą vidurkis asmeniui buvo 68 %, vartojusių placebo grupėje – 52 %.</w:t>
      </w:r>
    </w:p>
    <w:p w14:paraId="413C2D14" w14:textId="77777777" w:rsidR="007C7D7A" w:rsidRPr="00797CDB" w:rsidRDefault="007C7D7A" w:rsidP="00A333F1">
      <w:pPr>
        <w:rPr>
          <w:rFonts w:eastAsia="Calibri"/>
        </w:rPr>
      </w:pPr>
    </w:p>
    <w:p w14:paraId="3C9A237F" w14:textId="77777777" w:rsidR="007C7D7A" w:rsidRPr="00797CDB" w:rsidRDefault="007C7D7A" w:rsidP="00A333F1">
      <w:pPr>
        <w:rPr>
          <w:rFonts w:asciiTheme="minorHAnsi" w:eastAsia="Calibri" w:hAnsiTheme="minorHAnsi" w:cstheme="minorBidi"/>
          <w:szCs w:val="22"/>
          <w:u w:val="single"/>
          <w:lang w:eastAsia="en-US"/>
        </w:rPr>
      </w:pPr>
      <w:r w:rsidRPr="00797CDB">
        <w:rPr>
          <w:rFonts w:eastAsia="Calibri"/>
          <w:u w:val="single"/>
        </w:rPr>
        <w:t>Vaikų populiacija</w:t>
      </w:r>
    </w:p>
    <w:p w14:paraId="005080B4" w14:textId="77777777" w:rsidR="007C7D7A" w:rsidRPr="00797CDB" w:rsidRDefault="007C7D7A" w:rsidP="00A333F1">
      <w:pPr>
        <w:rPr>
          <w:rFonts w:asciiTheme="minorHAnsi" w:eastAsia="Calibri" w:hAnsiTheme="minorHAnsi" w:cstheme="minorBidi"/>
          <w:szCs w:val="22"/>
          <w:lang w:eastAsia="en-US"/>
        </w:rPr>
      </w:pPr>
      <w:r w:rsidRPr="00797CDB">
        <w:rPr>
          <w:rFonts w:eastAsia="Calibri"/>
        </w:rPr>
        <w:t xml:space="preserve">Vieno tyrimo su </w:t>
      </w:r>
      <w:r w:rsidR="00AF56D3" w:rsidRPr="00797CDB">
        <w:rPr>
          <w:rFonts w:eastAsia="Calibri"/>
        </w:rPr>
        <w:t>pediatriniais</w:t>
      </w:r>
      <w:r w:rsidRPr="00797CDB">
        <w:rPr>
          <w:rFonts w:eastAsia="Calibri"/>
        </w:rPr>
        <w:t xml:space="preserve"> pacientais, kuriems nustatyta </w:t>
      </w:r>
      <w:r w:rsidR="00AF56D3" w:rsidRPr="00797CDB">
        <w:rPr>
          <w:rStyle w:val="resultoftext"/>
        </w:rPr>
        <w:t>Diušeno</w:t>
      </w:r>
      <w:r w:rsidR="00AF56D3" w:rsidRPr="00A333F1">
        <w:t xml:space="preserve"> (</w:t>
      </w:r>
      <w:r w:rsidR="00AF56D3" w:rsidRPr="00A333F1">
        <w:rPr>
          <w:i/>
        </w:rPr>
        <w:t>Duchenne</w:t>
      </w:r>
      <w:r w:rsidR="00AF56D3" w:rsidRPr="00A333F1">
        <w:t>)</w:t>
      </w:r>
      <w:r w:rsidRPr="00797CDB">
        <w:rPr>
          <w:rFonts w:eastAsia="Calibri"/>
        </w:rPr>
        <w:t xml:space="preserve"> raumenų distrofija (D</w:t>
      </w:r>
      <w:r w:rsidR="00AF56D3" w:rsidRPr="00797CDB">
        <w:rPr>
          <w:rFonts w:eastAsia="Calibri"/>
        </w:rPr>
        <w:t>R</w:t>
      </w:r>
      <w:r w:rsidRPr="00797CDB">
        <w:rPr>
          <w:rFonts w:eastAsia="Calibri"/>
        </w:rPr>
        <w:t>D) metu, veiksmingumo įrodym</w:t>
      </w:r>
      <w:r w:rsidR="00AF56D3" w:rsidRPr="00797CDB">
        <w:rPr>
          <w:rFonts w:eastAsia="Calibri"/>
        </w:rPr>
        <w:t>ų</w:t>
      </w:r>
      <w:r w:rsidRPr="00797CDB">
        <w:rPr>
          <w:rFonts w:eastAsia="Calibri"/>
        </w:rPr>
        <w:t xml:space="preserve"> nenustatyt</w:t>
      </w:r>
      <w:r w:rsidR="00AF56D3" w:rsidRPr="00797CDB">
        <w:rPr>
          <w:rFonts w:eastAsia="Calibri"/>
        </w:rPr>
        <w:t>a</w:t>
      </w:r>
      <w:r w:rsidRPr="00797CDB">
        <w:rPr>
          <w:rFonts w:eastAsia="Calibri"/>
        </w:rPr>
        <w:t>. Atsitiktinių imčių, dvigubai aklo, placebu kontroliuojamo, paralelinio, 3 grupių tyrimo metu, tadalafilis paskirtas vartoti kortikosteroidų gydymą gaunančiam 331 7-14 metų amžiaus berniukui su nustatyta D</w:t>
      </w:r>
      <w:r w:rsidR="00AF56D3" w:rsidRPr="00797CDB">
        <w:rPr>
          <w:rFonts w:eastAsia="Calibri"/>
        </w:rPr>
        <w:t>R</w:t>
      </w:r>
      <w:r w:rsidRPr="00797CDB">
        <w:rPr>
          <w:rFonts w:eastAsia="Calibri"/>
        </w:rPr>
        <w:t xml:space="preserve">D. Į tyrimą buvo įtrauktas 48 savaičių trukmės dvigubai aklas periodas, kai pacientams atsitiktinių imčių būdu buvo paskirta 0,3 mg/kg tadalafilio per parą, 0,6 mg/kg tadalafilio per parą arba placebo. Tadalafilis neparodė veiksmingumo ir dėl apriboto judėjimo, kuris pradžioje buvo įvertintas kaip 6 min. ėjimo pėsčiomis iki galutinio taško atstumas (6MWD): mažiausio kvadrato (LS) vidutinis 6MWD pokytis 48 savaitę buvo 51,0 metrai (m) placebo grupėje, palyginus su 64,7 m 0,3 mg/kg tadalafilio grupėje (p = 0,307) ir 59,1 m 0,6 mg/kg tadalafilio grupėje (p = 0,538). Be to, veiksmingumo įrodymų nebuvo </w:t>
      </w:r>
      <w:r w:rsidR="00AF56D3" w:rsidRPr="00797CDB">
        <w:rPr>
          <w:rFonts w:eastAsia="Calibri"/>
        </w:rPr>
        <w:t>nustatyta jokios antraeilės</w:t>
      </w:r>
      <w:r w:rsidRPr="00797CDB">
        <w:rPr>
          <w:rFonts w:eastAsia="Calibri"/>
        </w:rPr>
        <w:t xml:space="preserve"> šio tyrimo analiz</w:t>
      </w:r>
      <w:r w:rsidR="00AF56D3" w:rsidRPr="00797CDB">
        <w:rPr>
          <w:rFonts w:eastAsia="Calibri"/>
        </w:rPr>
        <w:t>ės metu.</w:t>
      </w:r>
      <w:r w:rsidRPr="00797CDB">
        <w:rPr>
          <w:rFonts w:eastAsia="Calibri"/>
        </w:rPr>
        <w:t xml:space="preserve"> Šio tyrimo metu gauti bendrieji saugumo rezultatai iš esmės atitiko žinomą tadalafilio saugumo duomenų santraukos informaciją ir informaciją apie nepageidaujamus reiškinius (NP), kurie, tikėtina, pasireikš kortikosteroidus vartojantiems vaikų populiacijos pacientams su nustatyta DMD.</w:t>
      </w:r>
    </w:p>
    <w:p w14:paraId="2B662A65" w14:textId="77777777" w:rsidR="007C7D7A" w:rsidRPr="00797CDB" w:rsidRDefault="007C7D7A" w:rsidP="00A333F1">
      <w:pPr>
        <w:rPr>
          <w:rFonts w:eastAsia="Calibri"/>
        </w:rPr>
      </w:pPr>
    </w:p>
    <w:p w14:paraId="09753698" w14:textId="77777777" w:rsidR="007C7D7A" w:rsidRPr="00797CDB" w:rsidRDefault="007C7D7A" w:rsidP="00A333F1">
      <w:pPr>
        <w:rPr>
          <w:rFonts w:asciiTheme="minorHAnsi" w:eastAsia="Calibri" w:hAnsiTheme="minorHAnsi" w:cstheme="minorBidi"/>
          <w:szCs w:val="22"/>
          <w:lang w:eastAsia="en-US"/>
        </w:rPr>
      </w:pPr>
      <w:r w:rsidRPr="00797CDB">
        <w:rPr>
          <w:rFonts w:eastAsia="Calibri"/>
        </w:rPr>
        <w:t>Europos vaistų agentūra atleido nuo įpareigojimo pateikti erekcijos funkcijos sutrikimo gydymo tyrimų su visais vaikų populiacijos pogrupiais duomenis (vartojimo vaikams informacija pateikiama 4.2 skyriuje).</w:t>
      </w:r>
    </w:p>
    <w:p w14:paraId="70BC152C" w14:textId="77777777" w:rsidR="00FD5C4A" w:rsidRPr="00797CDB" w:rsidRDefault="00FD5C4A" w:rsidP="00A333F1">
      <w:pPr>
        <w:widowControl w:val="0"/>
        <w:overflowPunct w:val="0"/>
        <w:autoSpaceDE w:val="0"/>
        <w:autoSpaceDN w:val="0"/>
        <w:adjustRightInd w:val="0"/>
        <w:rPr>
          <w:rFonts w:eastAsia="TimesNewRomanPSMT"/>
        </w:rPr>
      </w:pPr>
    </w:p>
    <w:p w14:paraId="7A851C69" w14:textId="77777777" w:rsidR="00FD5C4A" w:rsidRPr="00A333F1" w:rsidRDefault="00FD5C4A" w:rsidP="00A333F1">
      <w:pPr>
        <w:widowControl w:val="0"/>
        <w:overflowPunct w:val="0"/>
        <w:autoSpaceDE w:val="0"/>
        <w:autoSpaceDN w:val="0"/>
        <w:adjustRightInd w:val="0"/>
        <w:rPr>
          <w:b/>
        </w:rPr>
      </w:pPr>
      <w:r w:rsidRPr="00A333F1">
        <w:rPr>
          <w:b/>
        </w:rPr>
        <w:t>5.2</w:t>
      </w:r>
      <w:r w:rsidRPr="00A333F1">
        <w:rPr>
          <w:b/>
        </w:rPr>
        <w:tab/>
        <w:t>Farmakokinetinės savybės</w:t>
      </w:r>
    </w:p>
    <w:p w14:paraId="5F9FE9D8" w14:textId="77777777" w:rsidR="00FD5C4A" w:rsidRPr="00A333F1" w:rsidRDefault="00FD5C4A" w:rsidP="00A333F1">
      <w:pPr>
        <w:widowControl w:val="0"/>
        <w:overflowPunct w:val="0"/>
        <w:autoSpaceDE w:val="0"/>
        <w:autoSpaceDN w:val="0"/>
        <w:adjustRightInd w:val="0"/>
      </w:pPr>
    </w:p>
    <w:p w14:paraId="14DAED7F" w14:textId="77777777" w:rsidR="00FD5C4A" w:rsidRPr="00A333F1" w:rsidRDefault="00FD5C4A" w:rsidP="00A333F1">
      <w:pPr>
        <w:autoSpaceDE w:val="0"/>
        <w:autoSpaceDN w:val="0"/>
        <w:adjustRightInd w:val="0"/>
        <w:rPr>
          <w:u w:val="single"/>
        </w:rPr>
      </w:pPr>
      <w:r w:rsidRPr="00A333F1">
        <w:rPr>
          <w:u w:val="single"/>
        </w:rPr>
        <w:t>Absorbcija</w:t>
      </w:r>
    </w:p>
    <w:p w14:paraId="2DD5D570" w14:textId="77777777" w:rsidR="00F934EF"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Išgertas tadalafilis absorbuojamas lengvai, vidutinė didžiausia koncentracija (</w:t>
      </w:r>
      <w:r w:rsidRPr="00A333F1">
        <w:t>C</w:t>
      </w:r>
      <w:r w:rsidRPr="00A333F1">
        <w:rPr>
          <w:vertAlign w:val="subscript"/>
        </w:rPr>
        <w:t>max</w:t>
      </w:r>
      <w:r w:rsidRPr="00A333F1">
        <w:t xml:space="preserve">) kraujo plazmoje atsiranda vidutiniškai po 2 val. </w:t>
      </w:r>
      <w:r w:rsidRPr="00797CDB">
        <w:rPr>
          <w:rFonts w:eastAsia="TimesNewRomanPSMT"/>
        </w:rPr>
        <w:t xml:space="preserve">Vartojamo per burną tadalafilio </w:t>
      </w:r>
      <w:r w:rsidRPr="00A333F1">
        <w:t>absoliutus bio</w:t>
      </w:r>
      <w:r w:rsidR="00F934EF" w:rsidRPr="00A333F1">
        <w:t>įsisavinamumas</w:t>
      </w:r>
      <w:r w:rsidRPr="00A333F1">
        <w:t xml:space="preserve"> nenustatytas. </w:t>
      </w:r>
    </w:p>
    <w:p w14:paraId="7F69FB48" w14:textId="77777777" w:rsidR="00FD5C4A" w:rsidRPr="00797CDB" w:rsidRDefault="00FD5C4A" w:rsidP="00A333F1">
      <w:pPr>
        <w:autoSpaceDE w:val="0"/>
        <w:autoSpaceDN w:val="0"/>
        <w:adjustRightInd w:val="0"/>
        <w:rPr>
          <w:rFonts w:eastAsia="TimesNewRomanPSMT"/>
        </w:rPr>
      </w:pPr>
      <w:r w:rsidRPr="00A333F1">
        <w:t>Maistas tadalafilio ab</w:t>
      </w:r>
      <w:r w:rsidRPr="00797CDB">
        <w:rPr>
          <w:rFonts w:eastAsia="TimesNewRomanPSMT"/>
        </w:rPr>
        <w:t xml:space="preserve">sorbcijos greičiui ir apimčiai įtakos nedaro, todėl </w:t>
      </w:r>
      <w:r w:rsidRPr="00A333F1">
        <w:t>tadalafilio galima gerti valgio metu arba kitu laiku. Vartojimo laikas (vienkartinės 10</w:t>
      </w:r>
      <w:r w:rsidR="000B5CC7" w:rsidRPr="00A333F1">
        <w:t> mg</w:t>
      </w:r>
      <w:r w:rsidRPr="00A333F1">
        <w:t xml:space="preserve"> dozės suvartojimas ryte ar vakare) kliniškai reikšmingo poveikio absorbcijos </w:t>
      </w:r>
      <w:r w:rsidRPr="00797CDB">
        <w:rPr>
          <w:rFonts w:eastAsia="TimesNewRomanPSMT"/>
        </w:rPr>
        <w:t>apimčiai ir greičiui nedaro.</w:t>
      </w:r>
    </w:p>
    <w:p w14:paraId="1FD9F1F1" w14:textId="77777777" w:rsidR="00FD5C4A" w:rsidRPr="00797CDB" w:rsidRDefault="00FD5C4A" w:rsidP="00A333F1">
      <w:pPr>
        <w:autoSpaceDE w:val="0"/>
        <w:autoSpaceDN w:val="0"/>
        <w:adjustRightInd w:val="0"/>
        <w:rPr>
          <w:rFonts w:eastAsia="TimesNewRomanPSMT"/>
        </w:rPr>
      </w:pPr>
    </w:p>
    <w:p w14:paraId="07237CE7" w14:textId="77777777" w:rsidR="00FD5C4A" w:rsidRPr="00A333F1" w:rsidRDefault="00FD5C4A" w:rsidP="00A333F1">
      <w:pPr>
        <w:autoSpaceDE w:val="0"/>
        <w:autoSpaceDN w:val="0"/>
        <w:adjustRightInd w:val="0"/>
        <w:rPr>
          <w:u w:val="single"/>
        </w:rPr>
      </w:pPr>
      <w:r w:rsidRPr="00A333F1">
        <w:rPr>
          <w:u w:val="single"/>
        </w:rPr>
        <w:t>Pasiskirstymas</w:t>
      </w:r>
    </w:p>
    <w:p w14:paraId="777B4EEE"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Vidutinis pasiskirstymo tūris yra ma</w:t>
      </w:r>
      <w:r w:rsidRPr="00A333F1">
        <w:t>ždaug 63 l. Tai rodo, kad tadalafilis pasiskirsto audiniuose. Esant gydomajai koncentracijai</w:t>
      </w:r>
      <w:r w:rsidRPr="00797CDB">
        <w:rPr>
          <w:rFonts w:eastAsia="TimesNewRomanPSMT"/>
        </w:rPr>
        <w:t xml:space="preserve">, 94 % tadalafilio būna junginių su kraujo plazmos baltymais pavidalu. Inkstų funkcijos sutrikimas prisijungimo prie baltymų neįtakoja. </w:t>
      </w:r>
    </w:p>
    <w:p w14:paraId="508FF653" w14:textId="77777777" w:rsidR="00FD5C4A" w:rsidRPr="00797CDB" w:rsidRDefault="00FD5C4A" w:rsidP="00A333F1">
      <w:pPr>
        <w:autoSpaceDE w:val="0"/>
        <w:autoSpaceDN w:val="0"/>
        <w:adjustRightInd w:val="0"/>
        <w:rPr>
          <w:rFonts w:eastAsia="TimesNewRomanPSMT"/>
        </w:rPr>
      </w:pPr>
      <w:r w:rsidRPr="00A333F1">
        <w:t xml:space="preserve">Mažiau kaip 0,0005 </w:t>
      </w:r>
      <w:r w:rsidRPr="00797CDB">
        <w:rPr>
          <w:rFonts w:eastAsia="TimesNewRomanPSMT"/>
        </w:rPr>
        <w:t>% pavartotos dozės patenka į sveikų vyrų spermą.</w:t>
      </w:r>
    </w:p>
    <w:p w14:paraId="3DE99D5A" w14:textId="77777777" w:rsidR="00FD5C4A" w:rsidRPr="00797CDB" w:rsidRDefault="00FD5C4A" w:rsidP="00A333F1">
      <w:pPr>
        <w:autoSpaceDE w:val="0"/>
        <w:autoSpaceDN w:val="0"/>
        <w:adjustRightInd w:val="0"/>
        <w:rPr>
          <w:rFonts w:eastAsia="TimesNewRomanPSMT"/>
        </w:rPr>
      </w:pPr>
    </w:p>
    <w:p w14:paraId="46465F4F" w14:textId="77777777" w:rsidR="00FD5C4A" w:rsidRPr="00A333F1" w:rsidRDefault="00FD5C4A" w:rsidP="00A333F1">
      <w:pPr>
        <w:widowControl w:val="0"/>
        <w:overflowPunct w:val="0"/>
        <w:autoSpaceDE w:val="0"/>
        <w:autoSpaceDN w:val="0"/>
        <w:adjustRightInd w:val="0"/>
        <w:rPr>
          <w:u w:val="single"/>
        </w:rPr>
      </w:pPr>
      <w:r w:rsidRPr="00A333F1">
        <w:rPr>
          <w:u w:val="single"/>
        </w:rPr>
        <w:t>Biotransformacija</w:t>
      </w:r>
    </w:p>
    <w:p w14:paraId="14C33CD5" w14:textId="77777777" w:rsidR="00FD5C4A" w:rsidRPr="00A333F1" w:rsidRDefault="00FD5C4A" w:rsidP="00A333F1">
      <w:pPr>
        <w:widowControl w:val="0"/>
        <w:overflowPunct w:val="0"/>
        <w:autoSpaceDE w:val="0"/>
        <w:autoSpaceDN w:val="0"/>
        <w:adjustRightInd w:val="0"/>
      </w:pPr>
      <w:r w:rsidRPr="00A333F1">
        <w:t>Daugiausia tadalafil</w:t>
      </w:r>
      <w:r w:rsidR="00F934EF" w:rsidRPr="00A333F1">
        <w:t>į</w:t>
      </w:r>
      <w:r w:rsidRPr="00A333F1">
        <w:t xml:space="preserve"> metabolizuojama citochromo P 450 (CYP) 3A4 izofermenta</w:t>
      </w:r>
      <w:r w:rsidR="00F934EF" w:rsidRPr="00A333F1">
        <w:t>s</w:t>
      </w:r>
      <w:r w:rsidRPr="00A333F1">
        <w:t>.</w:t>
      </w:r>
      <w:r w:rsidR="00F934EF" w:rsidRPr="00A333F1">
        <w:t xml:space="preserve"> </w:t>
      </w:r>
      <w:r w:rsidRPr="00797CDB">
        <w:rPr>
          <w:rFonts w:eastAsia="TimesNewRomanPSMT"/>
        </w:rPr>
        <w:t>Pagrindinis kraujyje aptinkamas metabolitas yra metilkatecholgliukuronidas. Šis meta</w:t>
      </w:r>
      <w:r w:rsidRPr="00A333F1">
        <w:t>bolitas FDE5 veikia mažiausiai 13</w:t>
      </w:r>
      <w:r w:rsidRPr="00797CDB">
        <w:rPr>
          <w:rFonts w:eastAsia="TimesNewRomanPSMT"/>
        </w:rPr>
        <w:t>000 kartų silpniau negu tadalafilis. Todėl manoma, kad atsirandanti metabolito</w:t>
      </w:r>
      <w:r w:rsidRPr="00A333F1">
        <w:t xml:space="preserve"> koncentracija klinikinio poveikio nesukelia.</w:t>
      </w:r>
    </w:p>
    <w:p w14:paraId="210176C5" w14:textId="77777777" w:rsidR="00FD5C4A" w:rsidRPr="00A333F1" w:rsidRDefault="00FD5C4A" w:rsidP="00A333F1">
      <w:pPr>
        <w:widowControl w:val="0"/>
        <w:overflowPunct w:val="0"/>
        <w:autoSpaceDE w:val="0"/>
        <w:autoSpaceDN w:val="0"/>
        <w:adjustRightInd w:val="0"/>
      </w:pPr>
    </w:p>
    <w:p w14:paraId="503630AB" w14:textId="77777777" w:rsidR="00FD5C4A" w:rsidRPr="00A333F1" w:rsidRDefault="00FD5C4A" w:rsidP="00A333F1">
      <w:pPr>
        <w:autoSpaceDE w:val="0"/>
        <w:autoSpaceDN w:val="0"/>
        <w:adjustRightInd w:val="0"/>
        <w:rPr>
          <w:u w:val="single"/>
        </w:rPr>
      </w:pPr>
      <w:r w:rsidRPr="00A333F1">
        <w:rPr>
          <w:u w:val="single"/>
        </w:rPr>
        <w:t>Eliminacija</w:t>
      </w:r>
    </w:p>
    <w:p w14:paraId="49F5E670"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Sveikiems asmenims vidutinis tadalafilio klirensas, nusistovėjus pusiausvyrinei apykaitai, yra 2,5 </w:t>
      </w:r>
      <w:r w:rsidRPr="00A333F1">
        <w:t>l/val. ir viduti</w:t>
      </w:r>
      <w:r w:rsidRPr="00797CDB">
        <w:rPr>
          <w:rFonts w:eastAsia="TimesNewRomanPSMT"/>
        </w:rPr>
        <w:t xml:space="preserve">nis pusinės </w:t>
      </w:r>
      <w:r w:rsidRPr="00A333F1">
        <w:t xml:space="preserve">eliminacijos laikas – 17,5 </w:t>
      </w:r>
      <w:r w:rsidRPr="00797CDB">
        <w:rPr>
          <w:rFonts w:eastAsia="TimesNewRomanPSMT"/>
        </w:rPr>
        <w:t>val. Daugiausia tadalafilio šalinama neaktyvių metabolitų pavidalu, daugiausia su išmatomis (apie 61 % dozės) ir mažesne apimtimi</w:t>
      </w:r>
      <w:r w:rsidRPr="00A333F1">
        <w:t xml:space="preserve"> </w:t>
      </w:r>
      <w:r w:rsidRPr="00797CDB">
        <w:rPr>
          <w:rFonts w:eastAsia="TimesNewRomanPSMT"/>
        </w:rPr>
        <w:t>su šlapimu (apie 36 % dozės).</w:t>
      </w:r>
    </w:p>
    <w:p w14:paraId="79963A1D" w14:textId="77777777" w:rsidR="00FD5C4A" w:rsidRPr="00797CDB" w:rsidRDefault="00FD5C4A" w:rsidP="00A333F1">
      <w:pPr>
        <w:autoSpaceDE w:val="0"/>
        <w:autoSpaceDN w:val="0"/>
        <w:adjustRightInd w:val="0"/>
        <w:rPr>
          <w:rFonts w:eastAsia="TimesNewRomanPSMT"/>
        </w:rPr>
      </w:pPr>
    </w:p>
    <w:p w14:paraId="13406C2A" w14:textId="77777777" w:rsidR="00FD5C4A" w:rsidRPr="00797CDB" w:rsidRDefault="00FD5C4A" w:rsidP="00A333F1">
      <w:pPr>
        <w:autoSpaceDE w:val="0"/>
        <w:autoSpaceDN w:val="0"/>
        <w:adjustRightInd w:val="0"/>
        <w:rPr>
          <w:rFonts w:eastAsia="TimesNewRomanPSMT"/>
          <w:u w:val="single"/>
        </w:rPr>
      </w:pPr>
      <w:r w:rsidRPr="00A333F1">
        <w:rPr>
          <w:u w:val="single"/>
        </w:rPr>
        <w:t>Tiesinis / netiesinis pobūdis</w:t>
      </w:r>
    </w:p>
    <w:p w14:paraId="29824407"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Sveikų asmenų organizme tadalafilio farmakokinetika laiko ir dozės atžvilgiu yra tiesinė. </w:t>
      </w:r>
      <w:r w:rsidRPr="00A333F1">
        <w:t>2,5</w:t>
      </w:r>
      <w:r w:rsidR="00F934EF" w:rsidRPr="00A333F1">
        <w:t xml:space="preserve"> </w:t>
      </w:r>
      <w:r w:rsidRPr="00A333F1">
        <w:t>-</w:t>
      </w:r>
      <w:r w:rsidR="00F934EF" w:rsidRPr="00A333F1">
        <w:t xml:space="preserve"> </w:t>
      </w:r>
      <w:r w:rsidRPr="00A333F1">
        <w:t>20</w:t>
      </w:r>
      <w:r w:rsidR="000B5CC7" w:rsidRPr="00A333F1">
        <w:t> mg</w:t>
      </w:r>
      <w:r w:rsidRPr="00A333F1">
        <w:t xml:space="preserve"> dozių diapazone ekspozicija (</w:t>
      </w:r>
      <w:r w:rsidRPr="00A333F1">
        <w:rPr>
          <w:i/>
        </w:rPr>
        <w:t>AUC</w:t>
      </w:r>
      <w:r w:rsidRPr="00797CDB">
        <w:rPr>
          <w:rFonts w:eastAsia="TimesNewRomanPSMT"/>
        </w:rPr>
        <w:t>) didėja proporcingai dozei. Vartojant 20 -</w:t>
      </w:r>
      <w:r w:rsidR="00F934EF" w:rsidRPr="00797CDB">
        <w:rPr>
          <w:rFonts w:eastAsia="TimesNewRomanPSMT"/>
        </w:rPr>
        <w:t xml:space="preserve"> </w:t>
      </w:r>
      <w:r w:rsidRPr="00797CDB">
        <w:rPr>
          <w:rFonts w:eastAsia="TimesNewRomanPSMT"/>
        </w:rPr>
        <w:t>40</w:t>
      </w:r>
      <w:r w:rsidR="000B5CC7" w:rsidRPr="00797CDB">
        <w:rPr>
          <w:rFonts w:eastAsia="TimesNewRomanPSMT"/>
        </w:rPr>
        <w:t> mg</w:t>
      </w:r>
      <w:r w:rsidRPr="00797CDB">
        <w:rPr>
          <w:rFonts w:eastAsia="TimesNewRomanPSMT"/>
        </w:rPr>
        <w:t xml:space="preserve"> dozėmis pastebėtas mažesnis negu proporcingas ekspozicijos didėjimas. 20</w:t>
      </w:r>
      <w:r w:rsidR="000B5CC7" w:rsidRPr="00797CDB">
        <w:rPr>
          <w:rFonts w:eastAsia="TimesNewRomanPSMT"/>
        </w:rPr>
        <w:t> mg</w:t>
      </w:r>
      <w:r w:rsidRPr="00797CDB">
        <w:rPr>
          <w:rFonts w:eastAsia="TimesNewRomanPSMT"/>
        </w:rPr>
        <w:t xml:space="preserve"> ir 40</w:t>
      </w:r>
      <w:r w:rsidR="000B5CC7" w:rsidRPr="00797CDB">
        <w:rPr>
          <w:rFonts w:eastAsia="TimesNewRomanPSMT"/>
        </w:rPr>
        <w:t> mg</w:t>
      </w:r>
      <w:r w:rsidRPr="00797CDB">
        <w:rPr>
          <w:rFonts w:eastAsia="TimesNewRomanPSMT"/>
        </w:rPr>
        <w:t xml:space="preserve"> tadalafilio geriant vieną kartą per parą, pusiausvyrinė apykaitos koncentracijos kraujo plazmoje nusistovi per 5 paras. </w:t>
      </w:r>
    </w:p>
    <w:p w14:paraId="05787FF0" w14:textId="77777777" w:rsidR="00FD5C4A" w:rsidRPr="00797CDB" w:rsidRDefault="00FD5C4A" w:rsidP="00A333F1">
      <w:pPr>
        <w:autoSpaceDE w:val="0"/>
        <w:autoSpaceDN w:val="0"/>
        <w:adjustRightInd w:val="0"/>
        <w:rPr>
          <w:rFonts w:eastAsia="TimesNewRomanPSMT"/>
        </w:rPr>
      </w:pPr>
    </w:p>
    <w:p w14:paraId="7AD0C0EC" w14:textId="77777777" w:rsidR="00FD5C4A" w:rsidRPr="00797CDB" w:rsidRDefault="00FD5C4A" w:rsidP="00A333F1">
      <w:pPr>
        <w:autoSpaceDE w:val="0"/>
        <w:autoSpaceDN w:val="0"/>
        <w:adjustRightInd w:val="0"/>
        <w:rPr>
          <w:rFonts w:eastAsia="TimesNewRomanPSMT"/>
        </w:rPr>
      </w:pPr>
      <w:r w:rsidRPr="00A333F1">
        <w:t>Pa</w:t>
      </w:r>
      <w:r w:rsidRPr="00797CDB">
        <w:rPr>
          <w:rFonts w:eastAsia="TimesNewRomanPSMT"/>
        </w:rPr>
        <w:t>cientų, kuriems yra erekcijos funkcijos sutrikimas, populiacijoje tadalafilio farmakokinetika yra tokia pat kaip vyrų, kuriems šio sutrikimo nėra.</w:t>
      </w:r>
    </w:p>
    <w:p w14:paraId="35861A6A" w14:textId="77777777" w:rsidR="00FD5C4A" w:rsidRPr="00797CDB" w:rsidRDefault="00FD5C4A" w:rsidP="00A333F1">
      <w:pPr>
        <w:autoSpaceDE w:val="0"/>
        <w:autoSpaceDN w:val="0"/>
        <w:adjustRightInd w:val="0"/>
        <w:rPr>
          <w:rFonts w:eastAsia="TimesNewRomanPSMT"/>
        </w:rPr>
      </w:pPr>
    </w:p>
    <w:p w14:paraId="74B037EF" w14:textId="77777777" w:rsidR="00F934EF" w:rsidRPr="00797CDB" w:rsidRDefault="00F934EF" w:rsidP="00A333F1">
      <w:pPr>
        <w:autoSpaceDE w:val="0"/>
        <w:autoSpaceDN w:val="0"/>
        <w:adjustRightInd w:val="0"/>
        <w:rPr>
          <w:rFonts w:asciiTheme="minorHAnsi" w:eastAsia="TimesNewRomanPSMT" w:hAnsiTheme="minorHAnsi" w:cstheme="minorBidi"/>
          <w:szCs w:val="22"/>
          <w:u w:val="single"/>
          <w:lang w:eastAsia="en-US"/>
        </w:rPr>
      </w:pPr>
      <w:r w:rsidRPr="00797CDB">
        <w:rPr>
          <w:rFonts w:eastAsia="TimesNewRomanPSMT"/>
          <w:u w:val="single"/>
        </w:rPr>
        <w:t>Ypatingos populiacijos</w:t>
      </w:r>
    </w:p>
    <w:p w14:paraId="275ECD74" w14:textId="77777777" w:rsidR="00FD5C4A" w:rsidRPr="00A333F1" w:rsidRDefault="00FD5C4A" w:rsidP="00A333F1">
      <w:pPr>
        <w:autoSpaceDE w:val="0"/>
        <w:autoSpaceDN w:val="0"/>
        <w:adjustRightInd w:val="0"/>
        <w:rPr>
          <w:i/>
        </w:rPr>
      </w:pPr>
    </w:p>
    <w:p w14:paraId="7AFC97E7" w14:textId="77777777" w:rsidR="00FD5C4A" w:rsidRPr="00A333F1" w:rsidRDefault="00FD5C4A" w:rsidP="00A333F1">
      <w:pPr>
        <w:autoSpaceDE w:val="0"/>
        <w:autoSpaceDN w:val="0"/>
        <w:adjustRightInd w:val="0"/>
        <w:rPr>
          <w:i/>
        </w:rPr>
      </w:pPr>
      <w:r w:rsidRPr="00A333F1">
        <w:rPr>
          <w:i/>
        </w:rPr>
        <w:t>Senyvi vyrai</w:t>
      </w:r>
    </w:p>
    <w:p w14:paraId="475C8509"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Sveikiems senyviems (65 metų ar vyresnių) vyrams išgerto tadalafilio klirensas yra mažesnis, todėl </w:t>
      </w:r>
      <w:r w:rsidRPr="00A333F1">
        <w:t>ekspozicija (</w:t>
      </w:r>
      <w:r w:rsidRPr="00A333F1">
        <w:rPr>
          <w:i/>
        </w:rPr>
        <w:t>AUC</w:t>
      </w:r>
      <w:r w:rsidRPr="00797CDB">
        <w:rPr>
          <w:rFonts w:eastAsia="TimesNewRomanPSMT"/>
        </w:rPr>
        <w:t>) yra 25 % didesnė, negu sveikiems 19</w:t>
      </w:r>
      <w:r w:rsidRPr="00A333F1">
        <w:t xml:space="preserve">-45 </w:t>
      </w:r>
      <w:r w:rsidRPr="00797CDB">
        <w:rPr>
          <w:rFonts w:eastAsia="TimesNewRomanPSMT"/>
        </w:rPr>
        <w:t>metų vyrams. Tokia amžiaus įtaka nėra kliniškai reikšminga</w:t>
      </w:r>
      <w:r w:rsidR="00F934EF" w:rsidRPr="00797CDB">
        <w:rPr>
          <w:rFonts w:eastAsia="TimesNewRomanPSMT"/>
        </w:rPr>
        <w:t xml:space="preserve"> ir negali būti pagrindas</w:t>
      </w:r>
      <w:r w:rsidRPr="00797CDB">
        <w:rPr>
          <w:rFonts w:eastAsia="TimesNewRomanPSMT"/>
        </w:rPr>
        <w:t xml:space="preserve"> doz</w:t>
      </w:r>
      <w:r w:rsidR="00F934EF" w:rsidRPr="00797CDB">
        <w:rPr>
          <w:rFonts w:eastAsia="TimesNewRomanPSMT"/>
        </w:rPr>
        <w:t>ei</w:t>
      </w:r>
      <w:r w:rsidRPr="00797CDB">
        <w:rPr>
          <w:rFonts w:eastAsia="TimesNewRomanPSMT"/>
        </w:rPr>
        <w:t xml:space="preserve"> keisti.</w:t>
      </w:r>
    </w:p>
    <w:p w14:paraId="43687785" w14:textId="77777777" w:rsidR="00FD5C4A" w:rsidRPr="00797CDB" w:rsidRDefault="00FD5C4A" w:rsidP="00A333F1">
      <w:pPr>
        <w:autoSpaceDE w:val="0"/>
        <w:autoSpaceDN w:val="0"/>
        <w:adjustRightInd w:val="0"/>
        <w:rPr>
          <w:rFonts w:eastAsia="TimesNewRomanPSMT"/>
        </w:rPr>
      </w:pPr>
    </w:p>
    <w:p w14:paraId="19BE0D93" w14:textId="77777777" w:rsidR="00FD5C4A" w:rsidRPr="00A333F1" w:rsidRDefault="005809C4" w:rsidP="00A333F1">
      <w:pPr>
        <w:autoSpaceDE w:val="0"/>
        <w:autoSpaceDN w:val="0"/>
        <w:adjustRightInd w:val="0"/>
        <w:rPr>
          <w:i/>
        </w:rPr>
      </w:pPr>
      <w:r w:rsidRPr="00A333F1">
        <w:rPr>
          <w:i/>
        </w:rPr>
        <w:t xml:space="preserve">Sutrikusi inkstų funkcija </w:t>
      </w:r>
    </w:p>
    <w:p w14:paraId="2B1B753A" w14:textId="77777777" w:rsidR="00FD5C4A"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Klinikin</w:t>
      </w:r>
      <w:r w:rsidR="00F934EF" w:rsidRPr="00797CDB">
        <w:rPr>
          <w:rFonts w:eastAsia="TimesNewRomanPSMT"/>
        </w:rPr>
        <w:t>ės</w:t>
      </w:r>
      <w:r w:rsidRPr="00797CDB">
        <w:rPr>
          <w:rFonts w:eastAsia="TimesNewRomanPSMT"/>
        </w:rPr>
        <w:t xml:space="preserve"> farmakologi</w:t>
      </w:r>
      <w:r w:rsidR="009D5828" w:rsidRPr="00797CDB">
        <w:rPr>
          <w:rFonts w:eastAsia="TimesNewRomanPSMT"/>
        </w:rPr>
        <w:t>jos</w:t>
      </w:r>
      <w:r w:rsidRPr="00797CDB">
        <w:rPr>
          <w:rFonts w:eastAsia="TimesNewRomanPSMT"/>
        </w:rPr>
        <w:t xml:space="preserve"> tyrimų metu vyrų, kuriems buvo </w:t>
      </w:r>
      <w:r w:rsidR="008827D2" w:rsidRPr="00797CDB">
        <w:rPr>
          <w:rFonts w:eastAsia="TimesNewRomanPSMT"/>
        </w:rPr>
        <w:t xml:space="preserve">lengvas </w:t>
      </w:r>
      <w:r w:rsidRPr="00797CDB">
        <w:rPr>
          <w:rFonts w:eastAsia="TimesNewRomanPSMT"/>
        </w:rPr>
        <w:t>(kreatin</w:t>
      </w:r>
      <w:r w:rsidRPr="00A333F1">
        <w:t xml:space="preserve">ino klirensas 51-80 ml/min.) ar vidutinio sunkumo (kreatinino klirensas 31-50 </w:t>
      </w:r>
      <w:r w:rsidRPr="00797CDB">
        <w:rPr>
          <w:rFonts w:eastAsia="TimesNewRomanPSMT"/>
        </w:rPr>
        <w:t>ml/min.) inkstų funkcijos sutrikimas, ir hemodializuojamų vyrų, kuriems buvo galutinė</w:t>
      </w:r>
      <w:r w:rsidR="008827D2" w:rsidRPr="00797CDB">
        <w:rPr>
          <w:rFonts w:eastAsia="TimesNewRomanPSMT"/>
        </w:rPr>
        <w:t xml:space="preserve">s stadijos </w:t>
      </w:r>
      <w:r w:rsidRPr="00797CDB">
        <w:rPr>
          <w:rFonts w:eastAsia="TimesNewRomanPSMT"/>
        </w:rPr>
        <w:t xml:space="preserve"> inkstų lig</w:t>
      </w:r>
      <w:r w:rsidR="008827D2" w:rsidRPr="00797CDB">
        <w:rPr>
          <w:rFonts w:eastAsia="TimesNewRomanPSMT"/>
        </w:rPr>
        <w:t>a</w:t>
      </w:r>
      <w:r w:rsidRPr="00797CDB">
        <w:rPr>
          <w:rFonts w:eastAsia="TimesNewRomanPSMT"/>
        </w:rPr>
        <w:t>, organizme vienkartinės 5</w:t>
      </w:r>
      <w:r w:rsidRPr="00A333F1">
        <w:t>-20</w:t>
      </w:r>
      <w:r w:rsidR="000B5CC7" w:rsidRPr="00A333F1">
        <w:t> mg</w:t>
      </w:r>
      <w:r w:rsidRPr="00A333F1">
        <w:t xml:space="preserve"> </w:t>
      </w:r>
      <w:r w:rsidRPr="00797CDB">
        <w:rPr>
          <w:rFonts w:eastAsia="TimesNewRomanPSMT"/>
        </w:rPr>
        <w:t>tadalafilio dozės ekspozicija (</w:t>
      </w:r>
      <w:r w:rsidRPr="00A333F1">
        <w:rPr>
          <w:i/>
        </w:rPr>
        <w:t>AUC</w:t>
      </w:r>
      <w:r w:rsidRPr="00A333F1">
        <w:t>) buv</w:t>
      </w:r>
      <w:r w:rsidRPr="00797CDB">
        <w:rPr>
          <w:rFonts w:eastAsia="TimesNewRomanPSMT"/>
        </w:rPr>
        <w:t xml:space="preserve">o maždaug du kartus didesnė negu sveikų vyrų. Hemodializuojamų pacientų organizme </w:t>
      </w:r>
      <w:r w:rsidRPr="00A333F1">
        <w:t>C</w:t>
      </w:r>
      <w:r w:rsidRPr="00A333F1">
        <w:rPr>
          <w:vertAlign w:val="subscript"/>
        </w:rPr>
        <w:t>max</w:t>
      </w:r>
      <w:r w:rsidRPr="00A333F1">
        <w:rPr>
          <w:i/>
        </w:rPr>
        <w:t xml:space="preserve"> </w:t>
      </w:r>
      <w:r w:rsidRPr="00797CDB">
        <w:rPr>
          <w:rFonts w:eastAsia="TimesNewRomanPSMT"/>
        </w:rPr>
        <w:t xml:space="preserve">buvo 41 % didesnė negu sveikų vyrų. Hemodializės įtaka </w:t>
      </w:r>
      <w:r w:rsidRPr="00A333F1">
        <w:t xml:space="preserve">tadalafilio eliminacijai yra nereikšminga. </w:t>
      </w:r>
    </w:p>
    <w:p w14:paraId="576D0E15" w14:textId="77777777" w:rsidR="00FD5C4A" w:rsidRPr="00A333F1" w:rsidRDefault="00FD5C4A" w:rsidP="00A333F1">
      <w:pPr>
        <w:autoSpaceDE w:val="0"/>
        <w:autoSpaceDN w:val="0"/>
        <w:adjustRightInd w:val="0"/>
        <w:rPr>
          <w:i/>
        </w:rPr>
      </w:pPr>
    </w:p>
    <w:p w14:paraId="0DC21792" w14:textId="77777777" w:rsidR="00FD5C4A" w:rsidRPr="00A333F1" w:rsidRDefault="00A463B6" w:rsidP="00A333F1">
      <w:pPr>
        <w:autoSpaceDE w:val="0"/>
        <w:autoSpaceDN w:val="0"/>
        <w:adjustRightInd w:val="0"/>
        <w:rPr>
          <w:i/>
        </w:rPr>
      </w:pPr>
      <w:r w:rsidRPr="00A333F1">
        <w:rPr>
          <w:i/>
        </w:rPr>
        <w:t xml:space="preserve">Sutrikusi kepenų funkcija </w:t>
      </w:r>
    </w:p>
    <w:p w14:paraId="6A0EEAA4" w14:textId="77777777" w:rsidR="00FD5C4A" w:rsidRPr="00797CDB" w:rsidRDefault="009D5828" w:rsidP="00A333F1">
      <w:pPr>
        <w:widowControl w:val="0"/>
        <w:overflowPunct w:val="0"/>
        <w:autoSpaceDE w:val="0"/>
        <w:autoSpaceDN w:val="0"/>
        <w:adjustRightInd w:val="0"/>
        <w:rPr>
          <w:rFonts w:eastAsia="TimesNewRomanPSMT"/>
        </w:rPr>
      </w:pPr>
      <w:r w:rsidRPr="00A333F1">
        <w:t>Suvartojus 10 mg</w:t>
      </w:r>
      <w:r w:rsidRPr="00797CDB">
        <w:rPr>
          <w:rFonts w:eastAsia="TimesNewRomanPSMT"/>
        </w:rPr>
        <w:t xml:space="preserve"> dozę tadalafilio </w:t>
      </w:r>
      <w:r w:rsidR="00FD5C4A" w:rsidRPr="00797CDB">
        <w:rPr>
          <w:rFonts w:eastAsia="TimesNewRomanPSMT"/>
        </w:rPr>
        <w:t>ekspozicija (</w:t>
      </w:r>
      <w:r w:rsidR="00FD5C4A" w:rsidRPr="00A333F1">
        <w:rPr>
          <w:i/>
        </w:rPr>
        <w:t>AUC</w:t>
      </w:r>
      <w:r w:rsidR="00FD5C4A" w:rsidRPr="00A333F1">
        <w:t>) asmenims</w:t>
      </w:r>
      <w:r w:rsidR="00FD5C4A" w:rsidRPr="00797CDB">
        <w:rPr>
          <w:rFonts w:eastAsia="TimesNewRomanPSMT"/>
        </w:rPr>
        <w:t xml:space="preserve">, kuriems yra </w:t>
      </w:r>
      <w:r w:rsidR="00815105" w:rsidRPr="00797CDB">
        <w:rPr>
          <w:rFonts w:eastAsia="TimesNewRomanPSMT"/>
        </w:rPr>
        <w:t xml:space="preserve">lengvas </w:t>
      </w:r>
      <w:r w:rsidR="00FD5C4A" w:rsidRPr="00797CDB">
        <w:rPr>
          <w:rFonts w:eastAsia="TimesNewRomanPSMT"/>
        </w:rPr>
        <w:t xml:space="preserve">ar vidutinio sunkumo kepenų </w:t>
      </w:r>
      <w:r w:rsidR="00815105" w:rsidRPr="00797CDB">
        <w:rPr>
          <w:rFonts w:eastAsia="TimesNewRomanPSMT"/>
        </w:rPr>
        <w:t xml:space="preserve">funkcijos sutrikimas </w:t>
      </w:r>
      <w:r w:rsidR="00FD5C4A" w:rsidRPr="00797CDB">
        <w:rPr>
          <w:rFonts w:eastAsia="TimesNewRomanPSMT"/>
        </w:rPr>
        <w:t>(</w:t>
      </w:r>
      <w:r w:rsidR="00FD5C4A" w:rsidRPr="00797CDB">
        <w:rPr>
          <w:rFonts w:eastAsia="TimesNewRomanPSMT"/>
          <w:i/>
        </w:rPr>
        <w:t>Child</w:t>
      </w:r>
      <w:r w:rsidR="00FD5C4A" w:rsidRPr="00A333F1">
        <w:rPr>
          <w:i/>
        </w:rPr>
        <w:t>-</w:t>
      </w:r>
      <w:r w:rsidR="00FD5C4A" w:rsidRPr="00797CDB">
        <w:rPr>
          <w:rFonts w:eastAsia="TimesNewRomanPSMT"/>
          <w:i/>
        </w:rPr>
        <w:t>Pugh</w:t>
      </w:r>
      <w:r w:rsidR="00FD5C4A" w:rsidRPr="00797CDB">
        <w:rPr>
          <w:rFonts w:eastAsia="TimesNewRomanPSMT"/>
        </w:rPr>
        <w:t xml:space="preserve"> klasė A arba B), yra panaši į ekspoziciją sveikiems asmenims. Klinikinių duomenų apie </w:t>
      </w:r>
      <w:r w:rsidR="00FD5C4A" w:rsidRPr="00A333F1">
        <w:t xml:space="preserve">tadalafilio </w:t>
      </w:r>
      <w:r w:rsidR="00FD5C4A" w:rsidRPr="00797CDB">
        <w:rPr>
          <w:rFonts w:eastAsia="TimesNewRomanPSMT"/>
        </w:rPr>
        <w:t>saugumą pacientams, kuriems yra sunkus kepenų nepakankamuma</w:t>
      </w:r>
      <w:r w:rsidR="00FD5C4A" w:rsidRPr="00A333F1">
        <w:t>s (</w:t>
      </w:r>
      <w:r w:rsidR="00FD5C4A" w:rsidRPr="00A333F1">
        <w:rPr>
          <w:i/>
        </w:rPr>
        <w:t>Child-</w:t>
      </w:r>
      <w:r w:rsidR="00FD5C4A" w:rsidRPr="00797CDB">
        <w:rPr>
          <w:rFonts w:eastAsia="TimesNewRomanPSMT"/>
          <w:i/>
        </w:rPr>
        <w:t>Pugh</w:t>
      </w:r>
      <w:r w:rsidR="00FD5C4A" w:rsidRPr="00797CDB">
        <w:rPr>
          <w:rFonts w:eastAsia="TimesNewRomanPSMT"/>
        </w:rPr>
        <w:t xml:space="preserve"> klasė C), yra nedaug. Duomenų apie tadalafilio vartojimą dozuojant kartą per parą pacientams, kuriems yra kepenų funkcijos sutrikimas, nėra. Jeigu skiriama tadalafilio vartoti kartą per parą, vaistinį preparatą skiriantis gydytojas turi atidžiai įvertinti individualų naudos ir rizikos santykį.</w:t>
      </w:r>
    </w:p>
    <w:p w14:paraId="594C9508" w14:textId="77777777" w:rsidR="00FD5C4A" w:rsidRPr="00797CDB" w:rsidRDefault="00FD5C4A" w:rsidP="00A333F1">
      <w:pPr>
        <w:autoSpaceDE w:val="0"/>
        <w:autoSpaceDN w:val="0"/>
        <w:adjustRightInd w:val="0"/>
        <w:rPr>
          <w:rFonts w:eastAsia="TimesNewRomanPSMT"/>
        </w:rPr>
      </w:pPr>
    </w:p>
    <w:p w14:paraId="69FE2C9E" w14:textId="77777777" w:rsidR="00FD5C4A" w:rsidRPr="00A333F1" w:rsidRDefault="00FD5C4A" w:rsidP="00A333F1">
      <w:pPr>
        <w:autoSpaceDE w:val="0"/>
        <w:autoSpaceDN w:val="0"/>
        <w:adjustRightInd w:val="0"/>
        <w:rPr>
          <w:i/>
        </w:rPr>
      </w:pPr>
      <w:r w:rsidRPr="00A333F1">
        <w:rPr>
          <w:i/>
        </w:rPr>
        <w:t>Cukriniu diabetu sergantys pacientai</w:t>
      </w:r>
    </w:p>
    <w:p w14:paraId="5702ABFF"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Tadalafilio ekspozicija </w:t>
      </w:r>
      <w:r w:rsidRPr="00797CDB">
        <w:rPr>
          <w:rFonts w:eastAsia="TimesNewRomanPSMT"/>
          <w:i/>
        </w:rPr>
        <w:t>(AUC)</w:t>
      </w:r>
      <w:r w:rsidRPr="00797CDB">
        <w:rPr>
          <w:rFonts w:eastAsia="TimesNewRomanPSMT"/>
        </w:rPr>
        <w:t xml:space="preserve"> cukriniu diabetu sergantiems pacientams</w:t>
      </w:r>
      <w:r w:rsidRPr="00A333F1">
        <w:t xml:space="preserve"> yra 19 </w:t>
      </w:r>
      <w:r w:rsidRPr="00797CDB">
        <w:rPr>
          <w:rFonts w:eastAsia="TimesNewRomanPSMT"/>
        </w:rPr>
        <w:t xml:space="preserve">% mažesnė, negu </w:t>
      </w:r>
      <w:r w:rsidRPr="00797CDB">
        <w:rPr>
          <w:rFonts w:eastAsia="TimesNewRomanPSMT"/>
          <w:i/>
        </w:rPr>
        <w:t>AUC</w:t>
      </w:r>
      <w:r w:rsidRPr="00797CDB">
        <w:rPr>
          <w:rFonts w:eastAsia="TimesNewRomanPSMT"/>
        </w:rPr>
        <w:t xml:space="preserve"> reikšmė sveikiems asmenims. </w:t>
      </w:r>
      <w:r w:rsidR="009D5828" w:rsidRPr="00797CDB">
        <w:rPr>
          <w:rFonts w:eastAsia="TimesNewRomanPSMT"/>
        </w:rPr>
        <w:t>T</w:t>
      </w:r>
      <w:r w:rsidRPr="00797CDB">
        <w:rPr>
          <w:rFonts w:eastAsia="TimesNewRomanPSMT"/>
        </w:rPr>
        <w:t>ok</w:t>
      </w:r>
      <w:r w:rsidR="009D5828" w:rsidRPr="00797CDB">
        <w:rPr>
          <w:rFonts w:eastAsia="TimesNewRomanPSMT"/>
        </w:rPr>
        <w:t>s</w:t>
      </w:r>
      <w:r w:rsidRPr="00797CDB">
        <w:rPr>
          <w:rFonts w:eastAsia="TimesNewRomanPSMT"/>
        </w:rPr>
        <w:t xml:space="preserve"> ekspozicijos skirtum</w:t>
      </w:r>
      <w:r w:rsidR="009D5828" w:rsidRPr="00797CDB">
        <w:rPr>
          <w:rFonts w:eastAsia="TimesNewRomanPSMT"/>
        </w:rPr>
        <w:t xml:space="preserve">as nėra pagrindas </w:t>
      </w:r>
      <w:r w:rsidRPr="00797CDB">
        <w:rPr>
          <w:rFonts w:eastAsia="TimesNewRomanPSMT"/>
        </w:rPr>
        <w:t xml:space="preserve"> dozės kei</w:t>
      </w:r>
      <w:r w:rsidR="009D5828" w:rsidRPr="00797CDB">
        <w:rPr>
          <w:rFonts w:eastAsia="TimesNewRomanPSMT"/>
        </w:rPr>
        <w:t>timui</w:t>
      </w:r>
      <w:r w:rsidRPr="00797CDB">
        <w:rPr>
          <w:rFonts w:eastAsia="TimesNewRomanPSMT"/>
        </w:rPr>
        <w:t>.</w:t>
      </w:r>
    </w:p>
    <w:p w14:paraId="1C8D467B" w14:textId="77777777" w:rsidR="00FD5C4A" w:rsidRPr="00797CDB" w:rsidRDefault="00FD5C4A" w:rsidP="00A333F1">
      <w:pPr>
        <w:autoSpaceDE w:val="0"/>
        <w:autoSpaceDN w:val="0"/>
        <w:adjustRightInd w:val="0"/>
        <w:rPr>
          <w:rFonts w:eastAsia="TimesNewRomanPSMT"/>
        </w:rPr>
      </w:pPr>
    </w:p>
    <w:p w14:paraId="72D5A549" w14:textId="77777777" w:rsidR="00FD5C4A" w:rsidRPr="00A333F1" w:rsidRDefault="00FD5C4A" w:rsidP="00A333F1">
      <w:pPr>
        <w:autoSpaceDE w:val="0"/>
        <w:autoSpaceDN w:val="0"/>
        <w:adjustRightInd w:val="0"/>
      </w:pPr>
    </w:p>
    <w:p w14:paraId="0932E21A" w14:textId="77777777" w:rsidR="00FD5C4A" w:rsidRPr="00797CDB" w:rsidRDefault="00FD5C4A" w:rsidP="00A333F1">
      <w:pPr>
        <w:autoSpaceDE w:val="0"/>
        <w:autoSpaceDN w:val="0"/>
        <w:adjustRightInd w:val="0"/>
        <w:rPr>
          <w:rFonts w:eastAsia="TimesNewRomanPS-BoldMT"/>
          <w:b/>
        </w:rPr>
      </w:pPr>
      <w:r w:rsidRPr="00A333F1">
        <w:rPr>
          <w:b/>
        </w:rPr>
        <w:t>5.3</w:t>
      </w:r>
      <w:r w:rsidRPr="00A333F1">
        <w:rPr>
          <w:b/>
        </w:rPr>
        <w:tab/>
      </w:r>
      <w:r w:rsidRPr="00797CDB">
        <w:rPr>
          <w:rFonts w:eastAsia="TimesNewRomanPS-BoldMT"/>
          <w:b/>
        </w:rPr>
        <w:t>Ikiklinikinių saugumo tyrimų duomenys</w:t>
      </w:r>
    </w:p>
    <w:p w14:paraId="0018A73D" w14:textId="77777777" w:rsidR="00FD5C4A" w:rsidRPr="00797CDB" w:rsidRDefault="00FD5C4A" w:rsidP="00A333F1">
      <w:pPr>
        <w:autoSpaceDE w:val="0"/>
        <w:autoSpaceDN w:val="0"/>
        <w:adjustRightInd w:val="0"/>
        <w:rPr>
          <w:rFonts w:eastAsia="TimesNewRomanPSMT"/>
        </w:rPr>
      </w:pPr>
    </w:p>
    <w:p w14:paraId="4CD46D95"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Įprastinių ikiklinikinių farmakologinių saugumo, toksinio kartotinių dozių poveikio, genotoksinio bei </w:t>
      </w:r>
      <w:r w:rsidRPr="00A333F1">
        <w:t>kancerogeninio poveikio ir toksinio poveikio daug</w:t>
      </w:r>
      <w:r w:rsidRPr="00797CDB">
        <w:rPr>
          <w:rFonts w:eastAsia="TimesNewRomanPSMT"/>
        </w:rPr>
        <w:t xml:space="preserve">inimosi funkcijai tyrimų duomenimis, specifinio poveikio žmogui </w:t>
      </w:r>
      <w:r w:rsidR="00000D1E" w:rsidRPr="00797CDB">
        <w:rPr>
          <w:rFonts w:eastAsia="TimesNewRomanPSMT"/>
        </w:rPr>
        <w:t xml:space="preserve">vaistinis </w:t>
      </w:r>
      <w:r w:rsidRPr="00797CDB">
        <w:rPr>
          <w:rFonts w:eastAsia="TimesNewRomanPSMT"/>
        </w:rPr>
        <w:t xml:space="preserve">preparatas nekelia. </w:t>
      </w:r>
    </w:p>
    <w:p w14:paraId="0C7CBD3B"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Žiurkėms ir pelėms</w:t>
      </w:r>
      <w:r w:rsidR="009D5828" w:rsidRPr="00797CDB">
        <w:rPr>
          <w:rFonts w:eastAsia="TimesNewRomanPSMT"/>
        </w:rPr>
        <w:t xml:space="preserve"> duodant</w:t>
      </w:r>
      <w:r w:rsidRPr="00797CDB">
        <w:rPr>
          <w:rFonts w:eastAsia="TimesNewRomanPSMT"/>
        </w:rPr>
        <w:t xml:space="preserve"> ne didesnes kaip 1</w:t>
      </w:r>
      <w:r w:rsidRPr="00A333F1">
        <w:t>000</w:t>
      </w:r>
      <w:r w:rsidR="000B5CC7" w:rsidRPr="00A333F1">
        <w:t> mg</w:t>
      </w:r>
      <w:r w:rsidRPr="00A333F1">
        <w:t xml:space="preserve">/kg </w:t>
      </w:r>
      <w:r w:rsidRPr="00797CDB">
        <w:rPr>
          <w:rFonts w:eastAsia="TimesNewRomanPSMT"/>
        </w:rPr>
        <w:t>kūno svorio tadalafilio paros dozes, teratogeninis, embriotoksinis ar toksinis poveikis vaisiui nepasireiškė. Žiurkių vystymosi prenataliniu ir postnataliniu laikotarpiu tyrimo metu toksinio poveikio nesukelianti paros dozė buvo 30</w:t>
      </w:r>
      <w:r w:rsidR="000B5CC7" w:rsidRPr="00797CDB">
        <w:rPr>
          <w:rFonts w:eastAsia="TimesNewRomanPSMT"/>
        </w:rPr>
        <w:t> mg</w:t>
      </w:r>
      <w:r w:rsidRPr="00797CDB">
        <w:rPr>
          <w:rFonts w:eastAsia="TimesNewRomanPSMT"/>
        </w:rPr>
        <w:t xml:space="preserve">/kg kūno svorio. Nuo minėtų dozių vaikingoms žiurkėms </w:t>
      </w:r>
      <w:r w:rsidRPr="00A333F1">
        <w:rPr>
          <w:i/>
        </w:rPr>
        <w:t>AUC</w:t>
      </w:r>
      <w:r w:rsidRPr="00797CDB">
        <w:rPr>
          <w:rFonts w:eastAsia="TimesNewRomanPSMT"/>
        </w:rPr>
        <w:t>, apskaičiuotas atsižvelgiant į laisvo</w:t>
      </w:r>
      <w:r w:rsidRPr="00A333F1">
        <w:t>s veikliosios medžiagos koncentrac</w:t>
      </w:r>
      <w:r w:rsidRPr="00797CDB">
        <w:rPr>
          <w:rFonts w:eastAsia="TimesNewRomanPSMT"/>
        </w:rPr>
        <w:t>iją</w:t>
      </w:r>
      <w:r w:rsidRPr="00A333F1">
        <w:t xml:space="preserve">, buvo maždaug 18 </w:t>
      </w:r>
      <w:r w:rsidRPr="00797CDB">
        <w:rPr>
          <w:rFonts w:eastAsia="TimesNewRomanPSMT"/>
        </w:rPr>
        <w:t xml:space="preserve">kartų didesnis, nei </w:t>
      </w:r>
      <w:r w:rsidRPr="00A333F1">
        <w:t>20</w:t>
      </w:r>
      <w:r w:rsidR="000B5CC7" w:rsidRPr="00A333F1">
        <w:t> mg</w:t>
      </w:r>
      <w:r w:rsidRPr="00797CDB">
        <w:rPr>
          <w:rFonts w:eastAsia="TimesNewRomanPSMT"/>
        </w:rPr>
        <w:t xml:space="preserve"> dozę vartojančiam žmogui.</w:t>
      </w:r>
    </w:p>
    <w:p w14:paraId="28744837"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Žiurkių patinų ir patelių vaisingumo tadalafilis netrikdė. Šunims, 6</w:t>
      </w:r>
      <w:r w:rsidRPr="00A333F1">
        <w:t>-</w:t>
      </w:r>
      <w:r w:rsidRPr="00797CDB">
        <w:rPr>
          <w:rFonts w:eastAsia="TimesNewRomanPSMT"/>
        </w:rPr>
        <w:t xml:space="preserve">12 mėn. </w:t>
      </w:r>
      <w:r w:rsidR="009D5828" w:rsidRPr="00797CDB">
        <w:rPr>
          <w:rFonts w:eastAsia="TimesNewRomanPSMT"/>
        </w:rPr>
        <w:t>duodant</w:t>
      </w:r>
      <w:r w:rsidRPr="00797CDB">
        <w:rPr>
          <w:rFonts w:eastAsia="TimesNewRomanPSMT"/>
        </w:rPr>
        <w:t xml:space="preserve"> </w:t>
      </w:r>
      <w:r w:rsidRPr="00A333F1">
        <w:t>25</w:t>
      </w:r>
      <w:r w:rsidR="000B5CC7" w:rsidRPr="00A333F1">
        <w:t> mg</w:t>
      </w:r>
      <w:r w:rsidRPr="00797CDB">
        <w:rPr>
          <w:rFonts w:eastAsia="TimesNewRomanPSMT"/>
        </w:rPr>
        <w:t xml:space="preserve">/kg kūno svorio (nuo jos gyvūnams ekspozicija buvo mažiausiai 3 kartus </w:t>
      </w:r>
      <w:r w:rsidRPr="00A333F1">
        <w:t xml:space="preserve">[nuo 3,7 iki </w:t>
      </w:r>
      <w:r w:rsidRPr="00797CDB">
        <w:rPr>
          <w:rFonts w:eastAsia="TimesNewRomanPSMT"/>
        </w:rPr>
        <w:t>18,6] didesnė negu vienkartinę 20</w:t>
      </w:r>
      <w:r w:rsidR="000B5CC7" w:rsidRPr="00797CDB">
        <w:rPr>
          <w:rFonts w:eastAsia="TimesNewRomanPSMT"/>
        </w:rPr>
        <w:t> mg</w:t>
      </w:r>
      <w:r w:rsidRPr="00797CDB">
        <w:rPr>
          <w:rFonts w:eastAsia="TimesNewRomanPSMT"/>
        </w:rPr>
        <w:t xml:space="preserve"> dozę išgėrusiems žmonėms) ar didesnę tadalafilio paros dozę, atsirado sėklinių kanalėlių spermatogeninio epitelio regresija, dėl kurios kai kuriems šunims sumažėjo spermatogenezė. Taip pat žr. 5.1 skyrių.</w:t>
      </w:r>
    </w:p>
    <w:p w14:paraId="10034046" w14:textId="77777777" w:rsidR="00FD5C4A" w:rsidRPr="00A333F1" w:rsidRDefault="00FD5C4A" w:rsidP="00A333F1">
      <w:pPr>
        <w:autoSpaceDE w:val="0"/>
        <w:autoSpaceDN w:val="0"/>
        <w:adjustRightInd w:val="0"/>
      </w:pPr>
    </w:p>
    <w:p w14:paraId="67C56C2F" w14:textId="77777777" w:rsidR="00FD5C4A" w:rsidRPr="00A333F1" w:rsidRDefault="00FD5C4A" w:rsidP="00A333F1"/>
    <w:p w14:paraId="1BD42E1A" w14:textId="77777777" w:rsidR="00FD5C4A" w:rsidRPr="00A333F1" w:rsidRDefault="00FD5C4A" w:rsidP="00A333F1">
      <w:pPr>
        <w:keepNext/>
        <w:outlineLvl w:val="2"/>
        <w:rPr>
          <w:b/>
        </w:rPr>
      </w:pPr>
      <w:r w:rsidRPr="00A333F1">
        <w:rPr>
          <w:b/>
        </w:rPr>
        <w:t>6.</w:t>
      </w:r>
      <w:r w:rsidRPr="00A333F1">
        <w:rPr>
          <w:b/>
        </w:rPr>
        <w:tab/>
        <w:t>FARMACINĖ INFORMACIJA</w:t>
      </w:r>
    </w:p>
    <w:p w14:paraId="35F96BEB" w14:textId="77777777" w:rsidR="00FD5C4A" w:rsidRPr="00A333F1" w:rsidRDefault="00FD5C4A" w:rsidP="00A333F1"/>
    <w:p w14:paraId="3CADF35C" w14:textId="77777777" w:rsidR="00FD5C4A" w:rsidRPr="00A333F1" w:rsidRDefault="00FD5C4A" w:rsidP="00A333F1">
      <w:pPr>
        <w:keepNext/>
        <w:jc w:val="both"/>
        <w:outlineLvl w:val="3"/>
        <w:rPr>
          <w:b/>
        </w:rPr>
      </w:pPr>
      <w:r w:rsidRPr="00A333F1">
        <w:rPr>
          <w:b/>
        </w:rPr>
        <w:t>6.1</w:t>
      </w:r>
      <w:r w:rsidRPr="00A333F1">
        <w:rPr>
          <w:b/>
        </w:rPr>
        <w:tab/>
        <w:t>Pagalbinių medžiagų sąrašas</w:t>
      </w:r>
    </w:p>
    <w:p w14:paraId="785DD3DB" w14:textId="77777777" w:rsidR="00FD5C4A" w:rsidRPr="00A333F1" w:rsidRDefault="00FD5C4A" w:rsidP="00A333F1"/>
    <w:p w14:paraId="429564AE" w14:textId="77777777" w:rsidR="00FD5C4A" w:rsidRPr="00A333F1" w:rsidRDefault="00FD5C4A" w:rsidP="00A333F1">
      <w:pPr>
        <w:rPr>
          <w:u w:val="single"/>
        </w:rPr>
      </w:pPr>
      <w:r w:rsidRPr="00A333F1">
        <w:rPr>
          <w:u w:val="single"/>
        </w:rPr>
        <w:t>Tabletės šerdis</w:t>
      </w:r>
    </w:p>
    <w:p w14:paraId="7844453E" w14:textId="77777777" w:rsidR="00FD5C4A" w:rsidRPr="00A333F1" w:rsidRDefault="00FD5C4A" w:rsidP="00A333F1">
      <w:r w:rsidRPr="00A333F1">
        <w:t>Laktozė monohidratas</w:t>
      </w:r>
    </w:p>
    <w:p w14:paraId="6E215A26" w14:textId="77777777" w:rsidR="009D5828" w:rsidRPr="00A333F1" w:rsidRDefault="009D5828" w:rsidP="00A333F1">
      <w:r w:rsidRPr="00A333F1">
        <w:t>Natrio laurilsulfatas (E487)</w:t>
      </w:r>
    </w:p>
    <w:p w14:paraId="108C631C" w14:textId="77777777" w:rsidR="009D5828" w:rsidRPr="00A333F1" w:rsidRDefault="009D5828" w:rsidP="00A333F1">
      <w:r w:rsidRPr="00A333F1">
        <w:t xml:space="preserve">Povidonas K-12 </w:t>
      </w:r>
      <w:r w:rsidR="006F6757" w:rsidRPr="00A333F1">
        <w:t>(</w:t>
      </w:r>
      <w:r w:rsidRPr="00A333F1">
        <w:t>E1201)</w:t>
      </w:r>
    </w:p>
    <w:p w14:paraId="74C2F406" w14:textId="77777777" w:rsidR="006F6757" w:rsidRPr="00A333F1" w:rsidRDefault="009D5828" w:rsidP="00A333F1">
      <w:r w:rsidRPr="00A333F1">
        <w:t>Krospovidonas (B tipo)</w:t>
      </w:r>
      <w:r w:rsidR="006F6757" w:rsidRPr="00A333F1">
        <w:t xml:space="preserve"> (E1202)</w:t>
      </w:r>
    </w:p>
    <w:p w14:paraId="761875A0" w14:textId="77777777" w:rsidR="006F6757" w:rsidRPr="00A333F1" w:rsidRDefault="006F6757" w:rsidP="00A333F1">
      <w:r w:rsidRPr="00A333F1">
        <w:t>Natrio stearilfumaratas</w:t>
      </w:r>
    </w:p>
    <w:p w14:paraId="23656740" w14:textId="77777777" w:rsidR="00FD5C4A" w:rsidRPr="00A333F1" w:rsidRDefault="00FD5C4A" w:rsidP="00A333F1"/>
    <w:p w14:paraId="0436B9ED" w14:textId="77777777" w:rsidR="00FD5C4A" w:rsidRPr="00A333F1" w:rsidRDefault="00FD5C4A" w:rsidP="00A333F1">
      <w:pPr>
        <w:rPr>
          <w:u w:val="single"/>
        </w:rPr>
      </w:pPr>
      <w:r w:rsidRPr="00A333F1">
        <w:rPr>
          <w:u w:val="single"/>
        </w:rPr>
        <w:t>Tabletės plėvelė</w:t>
      </w:r>
    </w:p>
    <w:p w14:paraId="42876B00" w14:textId="77777777" w:rsidR="006F6757" w:rsidRPr="00A333F1" w:rsidRDefault="006F6757" w:rsidP="00A333F1">
      <w:r w:rsidRPr="00A333F1">
        <w:t>Polivinilo alkoholis (E1203)</w:t>
      </w:r>
    </w:p>
    <w:p w14:paraId="6020B7CA" w14:textId="77777777" w:rsidR="00FD5C4A" w:rsidRPr="00A333F1" w:rsidRDefault="006F6757" w:rsidP="00A333F1">
      <w:r w:rsidRPr="00A333F1">
        <w:t xml:space="preserve">Makrogolis 3350 (E1521) </w:t>
      </w:r>
    </w:p>
    <w:p w14:paraId="6237A396" w14:textId="77777777" w:rsidR="00FD5C4A" w:rsidRPr="00A333F1" w:rsidRDefault="00FD5C4A" w:rsidP="00A333F1">
      <w:r w:rsidRPr="00A333F1">
        <w:t>Titano d</w:t>
      </w:r>
      <w:r w:rsidR="00540A4D" w:rsidRPr="00A333F1">
        <w:t>i</w:t>
      </w:r>
      <w:r w:rsidRPr="00A333F1">
        <w:t>oksidas (E171)</w:t>
      </w:r>
    </w:p>
    <w:p w14:paraId="0B8B9E37" w14:textId="77777777" w:rsidR="00FD5C4A" w:rsidRPr="00A333F1" w:rsidRDefault="00FD5C4A" w:rsidP="00A333F1">
      <w:r w:rsidRPr="00A333F1">
        <w:t>Talkas</w:t>
      </w:r>
      <w:r w:rsidR="006F6757" w:rsidRPr="00A333F1">
        <w:t xml:space="preserve"> (E553b) </w:t>
      </w:r>
    </w:p>
    <w:p w14:paraId="06416CF7" w14:textId="77777777" w:rsidR="00FD5C4A" w:rsidRPr="00A333F1" w:rsidRDefault="00FD5C4A" w:rsidP="00A333F1">
      <w:r w:rsidRPr="00A333F1">
        <w:t>Geltonasis geležies oksidas (E172)</w:t>
      </w:r>
    </w:p>
    <w:p w14:paraId="16FDF010" w14:textId="77777777" w:rsidR="00FD5C4A" w:rsidRPr="00A333F1" w:rsidRDefault="00FD5C4A" w:rsidP="00A333F1">
      <w:pPr>
        <w:widowControl w:val="0"/>
        <w:overflowPunct w:val="0"/>
        <w:autoSpaceDE w:val="0"/>
        <w:autoSpaceDN w:val="0"/>
        <w:adjustRightInd w:val="0"/>
      </w:pPr>
    </w:p>
    <w:p w14:paraId="26EF4F5C" w14:textId="77777777" w:rsidR="00FD5C4A" w:rsidRPr="00A333F1" w:rsidRDefault="00FD5C4A" w:rsidP="00A333F1">
      <w:pPr>
        <w:widowControl w:val="0"/>
        <w:overflowPunct w:val="0"/>
        <w:autoSpaceDE w:val="0"/>
        <w:autoSpaceDN w:val="0"/>
        <w:adjustRightInd w:val="0"/>
        <w:rPr>
          <w:b/>
        </w:rPr>
      </w:pPr>
      <w:r w:rsidRPr="00A333F1">
        <w:rPr>
          <w:b/>
        </w:rPr>
        <w:t>6.2</w:t>
      </w:r>
      <w:r w:rsidRPr="00A333F1">
        <w:rPr>
          <w:b/>
        </w:rPr>
        <w:tab/>
        <w:t>Nesuderinamumas</w:t>
      </w:r>
    </w:p>
    <w:p w14:paraId="45C44314" w14:textId="77777777" w:rsidR="00FD5C4A" w:rsidRPr="00A333F1" w:rsidRDefault="00FD5C4A" w:rsidP="00A333F1">
      <w:pPr>
        <w:widowControl w:val="0"/>
        <w:overflowPunct w:val="0"/>
        <w:autoSpaceDE w:val="0"/>
        <w:autoSpaceDN w:val="0"/>
        <w:adjustRightInd w:val="0"/>
      </w:pPr>
    </w:p>
    <w:p w14:paraId="154E3B1F" w14:textId="77777777" w:rsidR="00FD5C4A" w:rsidRPr="00A333F1" w:rsidRDefault="00FD5C4A" w:rsidP="00A333F1">
      <w:pPr>
        <w:widowControl w:val="0"/>
        <w:overflowPunct w:val="0"/>
        <w:autoSpaceDE w:val="0"/>
        <w:autoSpaceDN w:val="0"/>
        <w:adjustRightInd w:val="0"/>
      </w:pPr>
      <w:r w:rsidRPr="00A333F1">
        <w:t xml:space="preserve">Duomenys nebūtini. </w:t>
      </w:r>
    </w:p>
    <w:p w14:paraId="753EDA77" w14:textId="77777777" w:rsidR="00FD5C4A" w:rsidRPr="00A333F1" w:rsidRDefault="00FD5C4A" w:rsidP="00A333F1">
      <w:pPr>
        <w:widowControl w:val="0"/>
        <w:overflowPunct w:val="0"/>
        <w:autoSpaceDE w:val="0"/>
        <w:autoSpaceDN w:val="0"/>
        <w:adjustRightInd w:val="0"/>
      </w:pPr>
    </w:p>
    <w:p w14:paraId="07500F01" w14:textId="77777777" w:rsidR="00FD5C4A" w:rsidRPr="00A333F1" w:rsidRDefault="00FD5C4A" w:rsidP="00A333F1">
      <w:pPr>
        <w:widowControl w:val="0"/>
        <w:overflowPunct w:val="0"/>
        <w:autoSpaceDE w:val="0"/>
        <w:autoSpaceDN w:val="0"/>
        <w:adjustRightInd w:val="0"/>
        <w:rPr>
          <w:b/>
        </w:rPr>
      </w:pPr>
      <w:r w:rsidRPr="00A333F1">
        <w:rPr>
          <w:b/>
        </w:rPr>
        <w:t>6.3</w:t>
      </w:r>
      <w:r w:rsidRPr="00A333F1">
        <w:rPr>
          <w:b/>
        </w:rPr>
        <w:tab/>
        <w:t>Tinkamumo laikas</w:t>
      </w:r>
    </w:p>
    <w:p w14:paraId="255C51F0" w14:textId="77777777" w:rsidR="00FD5C4A" w:rsidRPr="00A333F1" w:rsidRDefault="00FD5C4A" w:rsidP="00A333F1">
      <w:pPr>
        <w:widowControl w:val="0"/>
        <w:overflowPunct w:val="0"/>
        <w:autoSpaceDE w:val="0"/>
        <w:autoSpaceDN w:val="0"/>
        <w:adjustRightInd w:val="0"/>
      </w:pPr>
    </w:p>
    <w:p w14:paraId="61C01CFB" w14:textId="58E2B42A" w:rsidR="00FD5C4A" w:rsidRPr="00A333F1" w:rsidRDefault="003D6B61" w:rsidP="00A333F1">
      <w:pPr>
        <w:widowControl w:val="0"/>
        <w:overflowPunct w:val="0"/>
        <w:autoSpaceDE w:val="0"/>
        <w:autoSpaceDN w:val="0"/>
        <w:adjustRightInd w:val="0"/>
      </w:pPr>
      <w:r>
        <w:t>3</w:t>
      </w:r>
      <w:r w:rsidRPr="00A333F1">
        <w:t xml:space="preserve"> </w:t>
      </w:r>
      <w:r w:rsidR="006F6757" w:rsidRPr="00A333F1">
        <w:t>metai</w:t>
      </w:r>
    </w:p>
    <w:p w14:paraId="2224BD40" w14:textId="77777777" w:rsidR="00FD5C4A" w:rsidRPr="00A333F1" w:rsidRDefault="00FD5C4A" w:rsidP="00A333F1">
      <w:pPr>
        <w:widowControl w:val="0"/>
        <w:overflowPunct w:val="0"/>
        <w:autoSpaceDE w:val="0"/>
        <w:autoSpaceDN w:val="0"/>
        <w:adjustRightInd w:val="0"/>
      </w:pPr>
    </w:p>
    <w:p w14:paraId="767D0196" w14:textId="77777777" w:rsidR="00FD5C4A" w:rsidRPr="00A333F1" w:rsidRDefault="00FD5C4A" w:rsidP="00A333F1">
      <w:pPr>
        <w:widowControl w:val="0"/>
        <w:overflowPunct w:val="0"/>
        <w:autoSpaceDE w:val="0"/>
        <w:autoSpaceDN w:val="0"/>
        <w:adjustRightInd w:val="0"/>
        <w:rPr>
          <w:b/>
        </w:rPr>
      </w:pPr>
      <w:r w:rsidRPr="00A333F1">
        <w:rPr>
          <w:b/>
        </w:rPr>
        <w:t>6.4</w:t>
      </w:r>
      <w:r w:rsidRPr="00A333F1">
        <w:rPr>
          <w:b/>
        </w:rPr>
        <w:tab/>
        <w:t>Specialios laikymo sąlygos</w:t>
      </w:r>
    </w:p>
    <w:p w14:paraId="34B2C051" w14:textId="77777777" w:rsidR="00FD5C4A" w:rsidRPr="00A333F1" w:rsidRDefault="00FD5C4A" w:rsidP="00A333F1">
      <w:pPr>
        <w:widowControl w:val="0"/>
        <w:overflowPunct w:val="0"/>
        <w:autoSpaceDE w:val="0"/>
        <w:autoSpaceDN w:val="0"/>
        <w:adjustRightInd w:val="0"/>
      </w:pPr>
    </w:p>
    <w:p w14:paraId="4888C1C3" w14:textId="77777777" w:rsidR="00FD5C4A" w:rsidRPr="00A333F1" w:rsidRDefault="00FD5C4A" w:rsidP="00A333F1">
      <w:pPr>
        <w:widowControl w:val="0"/>
        <w:overflowPunct w:val="0"/>
        <w:autoSpaceDE w:val="0"/>
        <w:autoSpaceDN w:val="0"/>
        <w:adjustRightInd w:val="0"/>
      </w:pPr>
      <w:r w:rsidRPr="00A333F1">
        <w:t>Šiam vaistiniam preparatui specialių laikymo sąlygų nereikia</w:t>
      </w:r>
      <w:r w:rsidR="003867A6" w:rsidRPr="00A333F1">
        <w:t>.</w:t>
      </w:r>
    </w:p>
    <w:p w14:paraId="417E239E" w14:textId="77777777" w:rsidR="00FD5C4A" w:rsidRPr="00A333F1" w:rsidRDefault="00FD5C4A" w:rsidP="00A333F1">
      <w:pPr>
        <w:widowControl w:val="0"/>
        <w:overflowPunct w:val="0"/>
        <w:autoSpaceDE w:val="0"/>
        <w:autoSpaceDN w:val="0"/>
        <w:adjustRightInd w:val="0"/>
      </w:pPr>
    </w:p>
    <w:p w14:paraId="1F292CB5" w14:textId="77777777" w:rsidR="00FD5C4A" w:rsidRPr="00A333F1" w:rsidRDefault="00FD5C4A" w:rsidP="00A333F1">
      <w:pPr>
        <w:widowControl w:val="0"/>
        <w:overflowPunct w:val="0"/>
        <w:autoSpaceDE w:val="0"/>
        <w:autoSpaceDN w:val="0"/>
        <w:adjustRightInd w:val="0"/>
        <w:rPr>
          <w:b/>
        </w:rPr>
      </w:pPr>
      <w:r w:rsidRPr="00A333F1">
        <w:rPr>
          <w:b/>
        </w:rPr>
        <w:t>6.5</w:t>
      </w:r>
      <w:r w:rsidRPr="00A333F1">
        <w:rPr>
          <w:b/>
        </w:rPr>
        <w:tab/>
        <w:t xml:space="preserve">Talpyklės pobūdis ir jos turinys </w:t>
      </w:r>
    </w:p>
    <w:p w14:paraId="09A4DA19" w14:textId="77777777" w:rsidR="00FD5C4A" w:rsidRPr="00A333F1" w:rsidRDefault="00FD5C4A" w:rsidP="00A333F1">
      <w:pPr>
        <w:widowControl w:val="0"/>
        <w:overflowPunct w:val="0"/>
        <w:autoSpaceDE w:val="0"/>
        <w:autoSpaceDN w:val="0"/>
        <w:adjustRightInd w:val="0"/>
      </w:pPr>
    </w:p>
    <w:p w14:paraId="144FA95B" w14:textId="6FC59C2F" w:rsidR="006F6757" w:rsidRPr="00A333F1" w:rsidRDefault="006F6757" w:rsidP="00A333F1">
      <w:r w:rsidRPr="00A333F1">
        <w:t xml:space="preserve">Al-Al (Al-OPA/Al/PVC) </w:t>
      </w:r>
      <w:r w:rsidR="00FF220B">
        <w:rPr>
          <w:szCs w:val="22"/>
        </w:rPr>
        <w:t xml:space="preserve"> </w:t>
      </w:r>
      <w:r w:rsidRPr="00A333F1">
        <w:t>lizdinės plokštelės</w:t>
      </w:r>
      <w:r w:rsidR="00E53B6E" w:rsidRPr="00A333F1">
        <w:t>.</w:t>
      </w:r>
    </w:p>
    <w:p w14:paraId="4F20CB58" w14:textId="342427C1" w:rsidR="006F6757" w:rsidRPr="00A333F1" w:rsidRDefault="006F6757" w:rsidP="00A333F1">
      <w:r w:rsidRPr="00A333F1">
        <w:t>PVC/ACLAR/PVC – Al</w:t>
      </w:r>
      <w:r w:rsidR="00FF220B" w:rsidRPr="00A333F1">
        <w:t xml:space="preserve"> </w:t>
      </w:r>
      <w:r w:rsidRPr="00A333F1">
        <w:t>lizdinės plokštelės</w:t>
      </w:r>
      <w:r w:rsidR="00E53B6E" w:rsidRPr="00A333F1">
        <w:t>.</w:t>
      </w:r>
    </w:p>
    <w:p w14:paraId="3825CD28" w14:textId="56433F6C" w:rsidR="00FD5C4A" w:rsidRPr="00A333F1" w:rsidRDefault="006F6757" w:rsidP="00A333F1">
      <w:r w:rsidRPr="00A333F1">
        <w:t>PVC/ACLAR/PVdC/PVC</w:t>
      </w:r>
      <w:r w:rsidR="004A70D0">
        <w:t xml:space="preserve"> - KPMAX</w:t>
      </w:r>
      <w:r w:rsidRPr="00A333F1">
        <w:t xml:space="preserve"> – Al </w:t>
      </w:r>
      <w:r w:rsidR="00FF220B" w:rsidRPr="00BE7FAC">
        <w:rPr>
          <w:szCs w:val="22"/>
        </w:rPr>
        <w:t xml:space="preserve"> </w:t>
      </w:r>
      <w:r w:rsidRPr="00A333F1">
        <w:t>lizdinės plokštelės</w:t>
      </w:r>
      <w:r w:rsidR="00FD5C4A" w:rsidRPr="00A333F1">
        <w:t>.</w:t>
      </w:r>
    </w:p>
    <w:p w14:paraId="1D3C375F" w14:textId="787FFA55" w:rsidR="006F6757" w:rsidRDefault="000A63D1" w:rsidP="00A333F1">
      <w:r w:rsidRPr="000A63D1">
        <w:t>PVC/PVdC-aliuminio lizdinės plokštelės.</w:t>
      </w:r>
    </w:p>
    <w:p w14:paraId="47184682" w14:textId="77777777" w:rsidR="000A63D1" w:rsidRPr="00A333F1" w:rsidRDefault="000A63D1" w:rsidP="00A333F1"/>
    <w:p w14:paraId="2A250810" w14:textId="77777777" w:rsidR="006F6757" w:rsidRPr="00A333F1" w:rsidRDefault="006F6757" w:rsidP="00A333F1">
      <w:r w:rsidRPr="00A333F1">
        <w:t>Pakuotės dydžiai:</w:t>
      </w:r>
    </w:p>
    <w:p w14:paraId="69B30B67" w14:textId="13BD21FA" w:rsidR="006F6757" w:rsidRPr="00A333F1" w:rsidRDefault="006F6757" w:rsidP="00A333F1">
      <w:r w:rsidRPr="00A333F1">
        <w:rPr>
          <w:i/>
        </w:rPr>
        <w:t>5</w:t>
      </w:r>
      <w:r w:rsidR="003867A6" w:rsidRPr="00A333F1">
        <w:rPr>
          <w:i/>
        </w:rPr>
        <w:t> </w:t>
      </w:r>
      <w:r w:rsidRPr="00A333F1">
        <w:rPr>
          <w:i/>
        </w:rPr>
        <w:t xml:space="preserve">mg: </w:t>
      </w:r>
      <w:r w:rsidRPr="00BE7FAC">
        <w:rPr>
          <w:szCs w:val="22"/>
          <w:lang w:eastAsia="en-US"/>
        </w:rPr>
        <w:t>14</w:t>
      </w:r>
      <w:r w:rsidR="0029693F">
        <w:rPr>
          <w:szCs w:val="22"/>
          <w:lang w:eastAsia="en-US"/>
        </w:rPr>
        <w:t>x1</w:t>
      </w:r>
      <w:r w:rsidRPr="00BE7FAC">
        <w:rPr>
          <w:szCs w:val="22"/>
          <w:lang w:eastAsia="en-US"/>
        </w:rPr>
        <w:t>, 28</w:t>
      </w:r>
      <w:r w:rsidR="0029693F">
        <w:rPr>
          <w:szCs w:val="22"/>
          <w:lang w:eastAsia="en-US"/>
        </w:rPr>
        <w:t>x1</w:t>
      </w:r>
      <w:r w:rsidRPr="00BE7FAC">
        <w:rPr>
          <w:szCs w:val="22"/>
          <w:lang w:eastAsia="en-US"/>
        </w:rPr>
        <w:t>, 84</w:t>
      </w:r>
      <w:r w:rsidR="0029693F">
        <w:rPr>
          <w:szCs w:val="22"/>
          <w:lang w:eastAsia="en-US"/>
        </w:rPr>
        <w:t>x1</w:t>
      </w:r>
      <w:r w:rsidRPr="00A333F1">
        <w:t xml:space="preserve"> tabletės</w:t>
      </w:r>
    </w:p>
    <w:p w14:paraId="14C95419" w14:textId="59CD36CF" w:rsidR="006F6757" w:rsidRPr="00A333F1" w:rsidRDefault="006F6757" w:rsidP="00A333F1">
      <w:pPr>
        <w:autoSpaceDE w:val="0"/>
        <w:autoSpaceDN w:val="0"/>
        <w:adjustRightInd w:val="0"/>
        <w:rPr>
          <w:color w:val="000000"/>
        </w:rPr>
      </w:pPr>
      <w:r w:rsidRPr="00A333F1">
        <w:rPr>
          <w:i/>
        </w:rPr>
        <w:t>10</w:t>
      </w:r>
      <w:r w:rsidR="003867A6" w:rsidRPr="00A333F1">
        <w:rPr>
          <w:i/>
        </w:rPr>
        <w:t> </w:t>
      </w:r>
      <w:r w:rsidRPr="00A333F1">
        <w:rPr>
          <w:i/>
        </w:rPr>
        <w:t>mg</w:t>
      </w:r>
      <w:r w:rsidRPr="00A333F1">
        <w:rPr>
          <w:i/>
          <w:color w:val="000000"/>
        </w:rPr>
        <w:t xml:space="preserve">: </w:t>
      </w:r>
      <w:r w:rsidRPr="00BE7FAC">
        <w:rPr>
          <w:color w:val="000000"/>
          <w:szCs w:val="22"/>
          <w:lang w:eastAsia="en-US"/>
        </w:rPr>
        <w:t>4</w:t>
      </w:r>
      <w:r w:rsidR="0029693F">
        <w:rPr>
          <w:color w:val="000000"/>
          <w:szCs w:val="22"/>
          <w:lang w:eastAsia="en-US"/>
        </w:rPr>
        <w:t>x1</w:t>
      </w:r>
      <w:r w:rsidRPr="00BE7FAC">
        <w:rPr>
          <w:color w:val="000000"/>
          <w:szCs w:val="22"/>
          <w:lang w:eastAsia="en-US"/>
        </w:rPr>
        <w:t>, 12</w:t>
      </w:r>
      <w:r w:rsidR="0029693F">
        <w:rPr>
          <w:color w:val="000000"/>
          <w:szCs w:val="22"/>
          <w:lang w:eastAsia="en-US"/>
        </w:rPr>
        <w:t>x1</w:t>
      </w:r>
      <w:r w:rsidRPr="00BE7FAC">
        <w:rPr>
          <w:color w:val="000000"/>
          <w:szCs w:val="22"/>
          <w:lang w:eastAsia="en-US"/>
        </w:rPr>
        <w:t>, 24</w:t>
      </w:r>
      <w:r w:rsidR="0029693F">
        <w:rPr>
          <w:color w:val="000000"/>
          <w:szCs w:val="22"/>
          <w:lang w:eastAsia="en-US"/>
        </w:rPr>
        <w:t>x1</w:t>
      </w:r>
      <w:r w:rsidRPr="00BE7FAC">
        <w:rPr>
          <w:color w:val="000000"/>
          <w:szCs w:val="22"/>
          <w:lang w:eastAsia="en-US"/>
        </w:rPr>
        <w:t>, 36</w:t>
      </w:r>
      <w:r w:rsidR="0029693F">
        <w:rPr>
          <w:color w:val="000000"/>
          <w:szCs w:val="22"/>
          <w:lang w:eastAsia="en-US"/>
        </w:rPr>
        <w:t>x1</w:t>
      </w:r>
      <w:r w:rsidRPr="00BE7FAC">
        <w:rPr>
          <w:color w:val="000000"/>
          <w:szCs w:val="22"/>
          <w:lang w:eastAsia="en-US"/>
        </w:rPr>
        <w:t>, 48</w:t>
      </w:r>
      <w:r w:rsidR="0029693F">
        <w:rPr>
          <w:color w:val="000000"/>
          <w:szCs w:val="22"/>
          <w:lang w:eastAsia="en-US"/>
        </w:rPr>
        <w:t>x1</w:t>
      </w:r>
      <w:r w:rsidRPr="00A333F1">
        <w:rPr>
          <w:color w:val="000000"/>
        </w:rPr>
        <w:t xml:space="preserve"> tabletės</w:t>
      </w:r>
    </w:p>
    <w:p w14:paraId="0AAC0938" w14:textId="3AAC367E" w:rsidR="006F6757" w:rsidRPr="00A333F1" w:rsidRDefault="006F6757" w:rsidP="00A333F1">
      <w:pPr>
        <w:autoSpaceDE w:val="0"/>
        <w:autoSpaceDN w:val="0"/>
        <w:adjustRightInd w:val="0"/>
        <w:rPr>
          <w:color w:val="000000"/>
        </w:rPr>
      </w:pPr>
      <w:r w:rsidRPr="00BE7FAC">
        <w:rPr>
          <w:i/>
          <w:szCs w:val="22"/>
          <w:lang w:eastAsia="en-US"/>
        </w:rPr>
        <w:t>20</w:t>
      </w:r>
      <w:r w:rsidR="003867A6">
        <w:rPr>
          <w:i/>
          <w:szCs w:val="22"/>
          <w:lang w:eastAsia="en-US"/>
        </w:rPr>
        <w:t> </w:t>
      </w:r>
      <w:r w:rsidRPr="00BE7FAC">
        <w:rPr>
          <w:i/>
          <w:szCs w:val="22"/>
          <w:lang w:eastAsia="en-US"/>
        </w:rPr>
        <w:t>mg</w:t>
      </w:r>
      <w:r w:rsidRPr="00BE7FAC">
        <w:rPr>
          <w:i/>
          <w:color w:val="000000"/>
          <w:szCs w:val="22"/>
          <w:lang w:eastAsia="en-US"/>
        </w:rPr>
        <w:t xml:space="preserve">: </w:t>
      </w:r>
      <w:r w:rsidRPr="00BE7FAC">
        <w:rPr>
          <w:color w:val="000000"/>
          <w:szCs w:val="22"/>
          <w:lang w:eastAsia="en-US"/>
        </w:rPr>
        <w:t>2</w:t>
      </w:r>
      <w:r w:rsidR="0029693F">
        <w:rPr>
          <w:color w:val="000000"/>
          <w:szCs w:val="22"/>
          <w:lang w:eastAsia="en-US"/>
        </w:rPr>
        <w:t>x1</w:t>
      </w:r>
      <w:r w:rsidRPr="00BE7FAC">
        <w:rPr>
          <w:color w:val="000000"/>
          <w:szCs w:val="22"/>
          <w:lang w:eastAsia="en-US"/>
        </w:rPr>
        <w:t>, 4</w:t>
      </w:r>
      <w:r w:rsidR="0029693F">
        <w:rPr>
          <w:color w:val="000000"/>
          <w:szCs w:val="22"/>
          <w:lang w:eastAsia="en-US"/>
        </w:rPr>
        <w:t>x1</w:t>
      </w:r>
      <w:r w:rsidRPr="00BE7FAC">
        <w:rPr>
          <w:color w:val="000000"/>
          <w:szCs w:val="22"/>
          <w:lang w:eastAsia="en-US"/>
        </w:rPr>
        <w:t>, 8</w:t>
      </w:r>
      <w:r w:rsidR="0029693F">
        <w:rPr>
          <w:color w:val="000000"/>
          <w:szCs w:val="22"/>
          <w:lang w:eastAsia="en-US"/>
        </w:rPr>
        <w:t>x1</w:t>
      </w:r>
      <w:r w:rsidRPr="00BE7FAC">
        <w:rPr>
          <w:color w:val="000000"/>
          <w:szCs w:val="22"/>
          <w:lang w:eastAsia="en-US"/>
        </w:rPr>
        <w:t>, 12</w:t>
      </w:r>
      <w:r w:rsidR="0029693F">
        <w:rPr>
          <w:color w:val="000000"/>
          <w:szCs w:val="22"/>
          <w:lang w:eastAsia="en-US"/>
        </w:rPr>
        <w:t>x1</w:t>
      </w:r>
      <w:r w:rsidRPr="00BE7FAC">
        <w:rPr>
          <w:color w:val="000000"/>
          <w:szCs w:val="22"/>
          <w:lang w:eastAsia="en-US"/>
        </w:rPr>
        <w:t>, 14</w:t>
      </w:r>
      <w:r w:rsidR="0029693F">
        <w:rPr>
          <w:color w:val="000000"/>
          <w:szCs w:val="22"/>
          <w:lang w:eastAsia="en-US"/>
        </w:rPr>
        <w:t>x1</w:t>
      </w:r>
      <w:r w:rsidRPr="00BE7FAC">
        <w:rPr>
          <w:color w:val="000000"/>
          <w:szCs w:val="22"/>
          <w:lang w:eastAsia="en-US"/>
        </w:rPr>
        <w:t>, 24</w:t>
      </w:r>
      <w:r w:rsidR="0029693F">
        <w:rPr>
          <w:color w:val="000000"/>
          <w:szCs w:val="22"/>
          <w:lang w:eastAsia="en-US"/>
        </w:rPr>
        <w:t>x1</w:t>
      </w:r>
      <w:r w:rsidRPr="00BE7FAC">
        <w:rPr>
          <w:color w:val="000000"/>
          <w:szCs w:val="22"/>
          <w:lang w:eastAsia="en-US"/>
        </w:rPr>
        <w:t>, 28</w:t>
      </w:r>
      <w:r w:rsidR="0029693F">
        <w:rPr>
          <w:color w:val="000000"/>
          <w:szCs w:val="22"/>
          <w:lang w:eastAsia="en-US"/>
        </w:rPr>
        <w:t>x1</w:t>
      </w:r>
      <w:r w:rsidRPr="00BE7FAC">
        <w:rPr>
          <w:color w:val="000000"/>
          <w:szCs w:val="22"/>
          <w:lang w:eastAsia="en-US"/>
        </w:rPr>
        <w:t>, 36</w:t>
      </w:r>
      <w:r w:rsidR="0029693F">
        <w:rPr>
          <w:color w:val="000000"/>
          <w:szCs w:val="22"/>
          <w:lang w:eastAsia="en-US"/>
        </w:rPr>
        <w:t>x1</w:t>
      </w:r>
      <w:r w:rsidRPr="00BE7FAC">
        <w:rPr>
          <w:color w:val="000000"/>
          <w:szCs w:val="22"/>
          <w:lang w:eastAsia="en-US"/>
        </w:rPr>
        <w:t>, 48</w:t>
      </w:r>
      <w:r w:rsidR="0029693F">
        <w:rPr>
          <w:color w:val="000000"/>
          <w:szCs w:val="22"/>
          <w:lang w:eastAsia="en-US"/>
        </w:rPr>
        <w:t>x1</w:t>
      </w:r>
      <w:r w:rsidRPr="00A333F1">
        <w:rPr>
          <w:color w:val="000000"/>
        </w:rPr>
        <w:t xml:space="preserve"> tabletės</w:t>
      </w:r>
    </w:p>
    <w:p w14:paraId="04EA5D6C" w14:textId="77777777" w:rsidR="006F6757" w:rsidRPr="00A333F1" w:rsidRDefault="006F6757" w:rsidP="00A333F1"/>
    <w:p w14:paraId="2E0EB4ED" w14:textId="77777777" w:rsidR="00FD5C4A" w:rsidRPr="00A333F1" w:rsidRDefault="00FD5C4A" w:rsidP="00A333F1">
      <w:r w:rsidRPr="00A333F1">
        <w:t>Gali būti tiekiamos ne visų dydžių pakuotės.</w:t>
      </w:r>
    </w:p>
    <w:p w14:paraId="053FC6E3" w14:textId="77777777" w:rsidR="00FD5C4A" w:rsidRPr="00A333F1" w:rsidRDefault="00FD5C4A" w:rsidP="00A333F1"/>
    <w:p w14:paraId="7ABD9D52" w14:textId="77777777" w:rsidR="00FD5C4A" w:rsidRPr="00A333F1" w:rsidRDefault="00FD5C4A" w:rsidP="00A333F1">
      <w:pPr>
        <w:widowControl w:val="0"/>
        <w:overflowPunct w:val="0"/>
        <w:autoSpaceDE w:val="0"/>
        <w:autoSpaceDN w:val="0"/>
        <w:adjustRightInd w:val="0"/>
        <w:rPr>
          <w:b/>
        </w:rPr>
      </w:pPr>
      <w:bookmarkStart w:id="1" w:name="OLE_LINK1"/>
      <w:r w:rsidRPr="00A333F1">
        <w:rPr>
          <w:b/>
        </w:rPr>
        <w:t>6.6</w:t>
      </w:r>
      <w:r w:rsidRPr="00A333F1">
        <w:rPr>
          <w:b/>
        </w:rPr>
        <w:tab/>
        <w:t xml:space="preserve">Specialūs reikalavimai atliekoms tvarkyti </w:t>
      </w:r>
    </w:p>
    <w:bookmarkEnd w:id="1"/>
    <w:p w14:paraId="57494F18" w14:textId="77777777" w:rsidR="00FD5C4A" w:rsidRPr="00A333F1" w:rsidRDefault="00FD5C4A" w:rsidP="00A333F1">
      <w:pPr>
        <w:widowControl w:val="0"/>
        <w:overflowPunct w:val="0"/>
        <w:autoSpaceDE w:val="0"/>
        <w:autoSpaceDN w:val="0"/>
        <w:adjustRightInd w:val="0"/>
      </w:pPr>
    </w:p>
    <w:p w14:paraId="326C32BF" w14:textId="77777777" w:rsidR="00FD5C4A" w:rsidRPr="00A333F1" w:rsidRDefault="0081575A" w:rsidP="00A333F1">
      <w:r w:rsidRPr="00A333F1">
        <w:t>Nesuvartotą vaistinį preparatą ar atliekas reikia tvarkyti laikantis vietinių reikalavimų.</w:t>
      </w:r>
    </w:p>
    <w:p w14:paraId="7BE399DB" w14:textId="77777777" w:rsidR="00FD5C4A" w:rsidRPr="00A333F1" w:rsidRDefault="00FD5C4A" w:rsidP="00A333F1"/>
    <w:p w14:paraId="659269E8" w14:textId="77777777" w:rsidR="0081575A" w:rsidRPr="00A333F1" w:rsidRDefault="0081575A" w:rsidP="00A333F1"/>
    <w:p w14:paraId="3CF5D328" w14:textId="77777777" w:rsidR="00FD5C4A" w:rsidRPr="00A333F1" w:rsidRDefault="00FD5C4A" w:rsidP="00A333F1">
      <w:pPr>
        <w:keepNext/>
        <w:outlineLvl w:val="2"/>
        <w:rPr>
          <w:b/>
        </w:rPr>
      </w:pPr>
      <w:r w:rsidRPr="00A333F1">
        <w:rPr>
          <w:b/>
        </w:rPr>
        <w:t>7.</w:t>
      </w:r>
      <w:r w:rsidRPr="00A333F1">
        <w:rPr>
          <w:b/>
        </w:rPr>
        <w:tab/>
      </w:r>
      <w:r w:rsidR="00C445D0" w:rsidRPr="00A333F1">
        <w:rPr>
          <w:b/>
        </w:rPr>
        <w:t>REGISTRUOTOJAS</w:t>
      </w:r>
    </w:p>
    <w:p w14:paraId="3DB27242" w14:textId="77777777" w:rsidR="00FD5C4A" w:rsidRPr="00A333F1" w:rsidRDefault="00FD5C4A" w:rsidP="00A333F1"/>
    <w:p w14:paraId="01D627D2" w14:textId="77777777" w:rsidR="0081575A" w:rsidRPr="00A333F1" w:rsidRDefault="0081575A" w:rsidP="00A333F1">
      <w:r w:rsidRPr="00A333F1">
        <w:t>Sandoz d.d.</w:t>
      </w:r>
    </w:p>
    <w:p w14:paraId="0FC24E9A" w14:textId="77777777" w:rsidR="0081575A" w:rsidRPr="00A333F1" w:rsidRDefault="0081575A" w:rsidP="00A333F1">
      <w:r w:rsidRPr="00A333F1">
        <w:t>Verovškova 57</w:t>
      </w:r>
    </w:p>
    <w:p w14:paraId="2C4E1CFA" w14:textId="77777777" w:rsidR="0081575A" w:rsidRPr="00A333F1" w:rsidRDefault="0081575A" w:rsidP="00A333F1">
      <w:r w:rsidRPr="00A333F1">
        <w:t>SI-1000 Ljubljana</w:t>
      </w:r>
    </w:p>
    <w:p w14:paraId="4BBA61AF" w14:textId="77777777" w:rsidR="00FD5C4A" w:rsidRPr="00A333F1" w:rsidRDefault="0081575A" w:rsidP="00A333F1">
      <w:r w:rsidRPr="00A333F1">
        <w:t>Slovėnija</w:t>
      </w:r>
    </w:p>
    <w:p w14:paraId="48425FA0" w14:textId="77777777" w:rsidR="00FD5C4A" w:rsidRPr="00A333F1" w:rsidRDefault="00FD5C4A" w:rsidP="00A333F1"/>
    <w:p w14:paraId="355B49ED" w14:textId="77777777" w:rsidR="0081575A" w:rsidRPr="00A333F1" w:rsidRDefault="0081575A" w:rsidP="00A333F1"/>
    <w:p w14:paraId="0A2FE9E9" w14:textId="77777777" w:rsidR="00FD5C4A" w:rsidRPr="00A333F1" w:rsidRDefault="00FD5C4A" w:rsidP="00A333F1">
      <w:pPr>
        <w:keepNext/>
        <w:outlineLvl w:val="2"/>
        <w:rPr>
          <w:b/>
        </w:rPr>
      </w:pPr>
      <w:r w:rsidRPr="00A333F1">
        <w:rPr>
          <w:b/>
        </w:rPr>
        <w:t>8.</w:t>
      </w:r>
      <w:r w:rsidRPr="00A333F1">
        <w:rPr>
          <w:b/>
        </w:rPr>
        <w:tab/>
      </w:r>
      <w:r w:rsidR="00C445D0" w:rsidRPr="00A333F1">
        <w:rPr>
          <w:b/>
        </w:rPr>
        <w:t>REGISTRACIJOS PAŽYMĖJIMO NUMERIS (-IAI)</w:t>
      </w:r>
    </w:p>
    <w:p w14:paraId="6B2D36D4" w14:textId="77777777" w:rsidR="00FD5C4A" w:rsidRPr="00A333F1" w:rsidRDefault="00FD5C4A" w:rsidP="00A333F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F71068" w14:paraId="672D3AA1" w14:textId="77777777" w:rsidTr="00F71068">
        <w:tc>
          <w:tcPr>
            <w:tcW w:w="3020" w:type="dxa"/>
          </w:tcPr>
          <w:p w14:paraId="409D6325" w14:textId="77777777" w:rsidR="00F71068" w:rsidRPr="003F18BD" w:rsidRDefault="00F71068" w:rsidP="00FD5C4A">
            <w:pPr>
              <w:rPr>
                <w:szCs w:val="22"/>
                <w:u w:val="single"/>
              </w:rPr>
            </w:pPr>
            <w:r w:rsidRPr="003F18BD">
              <w:rPr>
                <w:szCs w:val="22"/>
                <w:u w:val="single"/>
              </w:rPr>
              <w:t>5 mg</w:t>
            </w:r>
          </w:p>
          <w:p w14:paraId="70F14D4B" w14:textId="7BB34B5F" w:rsidR="00F71068" w:rsidRPr="00E11EB7" w:rsidRDefault="00F71068" w:rsidP="00F71068">
            <w:pPr>
              <w:rPr>
                <w:bCs/>
                <w:szCs w:val="22"/>
              </w:rPr>
            </w:pPr>
            <w:r>
              <w:rPr>
                <w:szCs w:val="22"/>
              </w:rPr>
              <w:t>LT/1/19/4421/00</w:t>
            </w:r>
            <w:r w:rsidR="00A43287">
              <w:rPr>
                <w:szCs w:val="22"/>
              </w:rPr>
              <w:t>4</w:t>
            </w:r>
            <w:r w:rsidRPr="003C1C77">
              <w:rPr>
                <w:bCs/>
                <w:szCs w:val="22"/>
              </w:rPr>
              <w:t xml:space="preserve"> – N</w:t>
            </w:r>
            <w:r>
              <w:rPr>
                <w:bCs/>
                <w:szCs w:val="22"/>
              </w:rPr>
              <w:t>14</w:t>
            </w:r>
            <w:r w:rsidR="00A43287">
              <w:rPr>
                <w:bCs/>
                <w:szCs w:val="22"/>
              </w:rPr>
              <w:t>x1</w:t>
            </w:r>
          </w:p>
          <w:p w14:paraId="742F21B1" w14:textId="285F8648" w:rsidR="00F71068" w:rsidRPr="00556F71" w:rsidRDefault="00F71068" w:rsidP="00F71068">
            <w:pPr>
              <w:rPr>
                <w:bCs/>
                <w:szCs w:val="22"/>
              </w:rPr>
            </w:pPr>
            <w:r>
              <w:rPr>
                <w:szCs w:val="22"/>
              </w:rPr>
              <w:t>LT/1/19/4421/00</w:t>
            </w:r>
            <w:r w:rsidR="00A43287">
              <w:rPr>
                <w:szCs w:val="22"/>
              </w:rPr>
              <w:t>5</w:t>
            </w:r>
            <w:r w:rsidRPr="003C1C77">
              <w:rPr>
                <w:bCs/>
                <w:szCs w:val="22"/>
              </w:rPr>
              <w:t xml:space="preserve"> – N</w:t>
            </w:r>
            <w:r>
              <w:rPr>
                <w:bCs/>
                <w:szCs w:val="22"/>
              </w:rPr>
              <w:t>28</w:t>
            </w:r>
            <w:r w:rsidR="00A43287">
              <w:rPr>
                <w:bCs/>
                <w:szCs w:val="22"/>
              </w:rPr>
              <w:t>x1</w:t>
            </w:r>
          </w:p>
          <w:p w14:paraId="4F2C6F6C" w14:textId="73AF3AEA" w:rsidR="00F71068" w:rsidRDefault="00F71068">
            <w:pPr>
              <w:rPr>
                <w:szCs w:val="22"/>
              </w:rPr>
            </w:pPr>
            <w:r>
              <w:rPr>
                <w:szCs w:val="22"/>
              </w:rPr>
              <w:t>LT/1/19/4421/00</w:t>
            </w:r>
            <w:r w:rsidR="00A43287">
              <w:rPr>
                <w:szCs w:val="22"/>
              </w:rPr>
              <w:t>6</w:t>
            </w:r>
            <w:r w:rsidRPr="003C1C77">
              <w:rPr>
                <w:bCs/>
                <w:szCs w:val="22"/>
              </w:rPr>
              <w:t xml:space="preserve"> – N</w:t>
            </w:r>
            <w:r>
              <w:rPr>
                <w:bCs/>
                <w:szCs w:val="22"/>
              </w:rPr>
              <w:t>84</w:t>
            </w:r>
            <w:r w:rsidR="00A43287">
              <w:rPr>
                <w:bCs/>
                <w:szCs w:val="22"/>
              </w:rPr>
              <w:t>x1</w:t>
            </w:r>
          </w:p>
        </w:tc>
        <w:tc>
          <w:tcPr>
            <w:tcW w:w="3020" w:type="dxa"/>
          </w:tcPr>
          <w:p w14:paraId="76BB6044" w14:textId="77777777" w:rsidR="00F71068" w:rsidRPr="003F18BD" w:rsidRDefault="00F71068" w:rsidP="00FD5C4A">
            <w:pPr>
              <w:rPr>
                <w:szCs w:val="22"/>
                <w:u w:val="single"/>
              </w:rPr>
            </w:pPr>
            <w:r w:rsidRPr="003F18BD">
              <w:rPr>
                <w:szCs w:val="22"/>
                <w:u w:val="single"/>
              </w:rPr>
              <w:t>10 mg</w:t>
            </w:r>
          </w:p>
          <w:p w14:paraId="0D690F56" w14:textId="24741D25" w:rsidR="00F71068" w:rsidRPr="00E11EB7" w:rsidRDefault="00F71068" w:rsidP="00F71068">
            <w:pPr>
              <w:rPr>
                <w:bCs/>
                <w:szCs w:val="22"/>
              </w:rPr>
            </w:pPr>
            <w:r>
              <w:rPr>
                <w:szCs w:val="22"/>
              </w:rPr>
              <w:t>LT/1/19/4422/00</w:t>
            </w:r>
            <w:r w:rsidR="00A43287">
              <w:rPr>
                <w:szCs w:val="22"/>
              </w:rPr>
              <w:t>6</w:t>
            </w:r>
            <w:r w:rsidRPr="003C1C77">
              <w:rPr>
                <w:bCs/>
                <w:szCs w:val="22"/>
              </w:rPr>
              <w:t xml:space="preserve"> – N</w:t>
            </w:r>
            <w:r>
              <w:rPr>
                <w:bCs/>
                <w:szCs w:val="22"/>
              </w:rPr>
              <w:t>4</w:t>
            </w:r>
            <w:r w:rsidR="00A43287">
              <w:rPr>
                <w:bCs/>
                <w:szCs w:val="22"/>
              </w:rPr>
              <w:t>x1</w:t>
            </w:r>
          </w:p>
          <w:p w14:paraId="127E08D2" w14:textId="158ECAEB" w:rsidR="00F71068" w:rsidRPr="00556F71" w:rsidRDefault="00F71068" w:rsidP="00F71068">
            <w:pPr>
              <w:rPr>
                <w:bCs/>
                <w:szCs w:val="22"/>
              </w:rPr>
            </w:pPr>
            <w:r>
              <w:rPr>
                <w:szCs w:val="22"/>
              </w:rPr>
              <w:t>LT/1/19/4422/00</w:t>
            </w:r>
            <w:r w:rsidR="00A43287">
              <w:rPr>
                <w:szCs w:val="22"/>
              </w:rPr>
              <w:t>7</w:t>
            </w:r>
            <w:r w:rsidRPr="003C1C77">
              <w:rPr>
                <w:bCs/>
                <w:szCs w:val="22"/>
              </w:rPr>
              <w:t xml:space="preserve"> – N</w:t>
            </w:r>
            <w:r>
              <w:rPr>
                <w:bCs/>
                <w:szCs w:val="22"/>
              </w:rPr>
              <w:t>12</w:t>
            </w:r>
            <w:r w:rsidR="00A43287">
              <w:rPr>
                <w:bCs/>
                <w:szCs w:val="22"/>
              </w:rPr>
              <w:t>x1</w:t>
            </w:r>
          </w:p>
          <w:p w14:paraId="08252B12" w14:textId="220B4EDF" w:rsidR="00F71068" w:rsidRDefault="00F71068" w:rsidP="00F71068">
            <w:pPr>
              <w:rPr>
                <w:bCs/>
                <w:szCs w:val="22"/>
              </w:rPr>
            </w:pPr>
            <w:r>
              <w:rPr>
                <w:szCs w:val="22"/>
              </w:rPr>
              <w:t>LT/1/19/4422/00</w:t>
            </w:r>
            <w:r w:rsidR="00A43287">
              <w:rPr>
                <w:szCs w:val="22"/>
              </w:rPr>
              <w:t>8</w:t>
            </w:r>
            <w:r w:rsidRPr="003C1C77">
              <w:rPr>
                <w:bCs/>
                <w:szCs w:val="22"/>
              </w:rPr>
              <w:t xml:space="preserve"> – N</w:t>
            </w:r>
            <w:r>
              <w:rPr>
                <w:bCs/>
                <w:szCs w:val="22"/>
              </w:rPr>
              <w:t>24</w:t>
            </w:r>
            <w:r w:rsidR="00A43287">
              <w:rPr>
                <w:bCs/>
                <w:szCs w:val="22"/>
              </w:rPr>
              <w:t>x1</w:t>
            </w:r>
          </w:p>
          <w:p w14:paraId="14F20FA8" w14:textId="26DD8F04" w:rsidR="00F71068" w:rsidRPr="00556F71" w:rsidRDefault="00F71068" w:rsidP="00F71068">
            <w:pPr>
              <w:rPr>
                <w:bCs/>
                <w:szCs w:val="22"/>
              </w:rPr>
            </w:pPr>
            <w:r>
              <w:rPr>
                <w:szCs w:val="22"/>
              </w:rPr>
              <w:t>LT/1/19/4422/00</w:t>
            </w:r>
            <w:r w:rsidR="00A43287">
              <w:rPr>
                <w:szCs w:val="22"/>
              </w:rPr>
              <w:t>9</w:t>
            </w:r>
            <w:r w:rsidRPr="003C1C77">
              <w:rPr>
                <w:bCs/>
                <w:szCs w:val="22"/>
              </w:rPr>
              <w:t xml:space="preserve"> – N</w:t>
            </w:r>
            <w:r>
              <w:rPr>
                <w:bCs/>
                <w:szCs w:val="22"/>
              </w:rPr>
              <w:t>36</w:t>
            </w:r>
            <w:r w:rsidR="00A43287">
              <w:rPr>
                <w:bCs/>
                <w:szCs w:val="22"/>
              </w:rPr>
              <w:t>x1</w:t>
            </w:r>
          </w:p>
          <w:p w14:paraId="254F69C3" w14:textId="1CC4434E" w:rsidR="00F71068" w:rsidRDefault="00F71068">
            <w:pPr>
              <w:rPr>
                <w:szCs w:val="22"/>
              </w:rPr>
            </w:pPr>
            <w:r>
              <w:rPr>
                <w:szCs w:val="22"/>
              </w:rPr>
              <w:t>LT/1/19/4422/0</w:t>
            </w:r>
            <w:r w:rsidR="00A43287">
              <w:rPr>
                <w:szCs w:val="22"/>
              </w:rPr>
              <w:t>10</w:t>
            </w:r>
            <w:r w:rsidRPr="003C1C77">
              <w:rPr>
                <w:bCs/>
                <w:szCs w:val="22"/>
              </w:rPr>
              <w:t xml:space="preserve"> – N</w:t>
            </w:r>
            <w:r>
              <w:rPr>
                <w:bCs/>
                <w:szCs w:val="22"/>
              </w:rPr>
              <w:t>48</w:t>
            </w:r>
            <w:r w:rsidR="00A43287">
              <w:rPr>
                <w:bCs/>
                <w:szCs w:val="22"/>
              </w:rPr>
              <w:t>x1</w:t>
            </w:r>
          </w:p>
        </w:tc>
        <w:tc>
          <w:tcPr>
            <w:tcW w:w="3020" w:type="dxa"/>
          </w:tcPr>
          <w:p w14:paraId="72992D7C" w14:textId="77777777" w:rsidR="00F71068" w:rsidRPr="003F18BD" w:rsidRDefault="00F71068" w:rsidP="00FD5C4A">
            <w:pPr>
              <w:rPr>
                <w:szCs w:val="22"/>
                <w:u w:val="single"/>
              </w:rPr>
            </w:pPr>
            <w:r w:rsidRPr="003F18BD">
              <w:rPr>
                <w:szCs w:val="22"/>
                <w:u w:val="single"/>
              </w:rPr>
              <w:t>20 mg</w:t>
            </w:r>
          </w:p>
          <w:p w14:paraId="7972F178" w14:textId="3056B950" w:rsidR="00F71068" w:rsidRPr="00E11EB7" w:rsidRDefault="00F71068" w:rsidP="00F71068">
            <w:pPr>
              <w:rPr>
                <w:bCs/>
                <w:szCs w:val="22"/>
              </w:rPr>
            </w:pPr>
            <w:r>
              <w:rPr>
                <w:szCs w:val="22"/>
              </w:rPr>
              <w:t>LT/1/19/4423/0</w:t>
            </w:r>
            <w:r w:rsidR="00A43287">
              <w:rPr>
                <w:szCs w:val="22"/>
              </w:rPr>
              <w:t>10</w:t>
            </w:r>
            <w:r w:rsidRPr="003C1C77">
              <w:rPr>
                <w:bCs/>
                <w:szCs w:val="22"/>
              </w:rPr>
              <w:t xml:space="preserve"> – N</w:t>
            </w:r>
            <w:r>
              <w:rPr>
                <w:bCs/>
                <w:szCs w:val="22"/>
              </w:rPr>
              <w:t>2</w:t>
            </w:r>
            <w:r w:rsidR="00A43287">
              <w:rPr>
                <w:bCs/>
                <w:szCs w:val="22"/>
              </w:rPr>
              <w:t>x1</w:t>
            </w:r>
          </w:p>
          <w:p w14:paraId="49A67983" w14:textId="25888460" w:rsidR="00F71068" w:rsidRPr="00556F71" w:rsidRDefault="00F71068" w:rsidP="00F71068">
            <w:pPr>
              <w:rPr>
                <w:bCs/>
                <w:szCs w:val="22"/>
              </w:rPr>
            </w:pPr>
            <w:r>
              <w:rPr>
                <w:szCs w:val="22"/>
              </w:rPr>
              <w:t>LT/1/19/4423/0</w:t>
            </w:r>
            <w:r w:rsidR="00A43287">
              <w:rPr>
                <w:szCs w:val="22"/>
              </w:rPr>
              <w:t>11</w:t>
            </w:r>
            <w:r w:rsidRPr="003C1C77">
              <w:rPr>
                <w:bCs/>
                <w:szCs w:val="22"/>
              </w:rPr>
              <w:t xml:space="preserve"> – N</w:t>
            </w:r>
            <w:r w:rsidR="006B15A8">
              <w:rPr>
                <w:bCs/>
                <w:szCs w:val="22"/>
              </w:rPr>
              <w:t>4</w:t>
            </w:r>
            <w:r w:rsidR="00A43287">
              <w:rPr>
                <w:bCs/>
                <w:szCs w:val="22"/>
              </w:rPr>
              <w:t>x1</w:t>
            </w:r>
          </w:p>
          <w:p w14:paraId="1290663E" w14:textId="014B1D9D" w:rsidR="00F71068" w:rsidRDefault="00F71068" w:rsidP="00F71068">
            <w:pPr>
              <w:rPr>
                <w:bCs/>
                <w:szCs w:val="22"/>
              </w:rPr>
            </w:pPr>
            <w:r>
              <w:rPr>
                <w:szCs w:val="22"/>
              </w:rPr>
              <w:t>LT/1/19/4423/0</w:t>
            </w:r>
            <w:r w:rsidR="00A43287">
              <w:rPr>
                <w:szCs w:val="22"/>
              </w:rPr>
              <w:t>12</w:t>
            </w:r>
            <w:r w:rsidRPr="003C1C77">
              <w:rPr>
                <w:bCs/>
                <w:szCs w:val="22"/>
              </w:rPr>
              <w:t xml:space="preserve"> – N</w:t>
            </w:r>
            <w:r>
              <w:rPr>
                <w:bCs/>
                <w:szCs w:val="22"/>
              </w:rPr>
              <w:t>8</w:t>
            </w:r>
            <w:r w:rsidR="00A43287">
              <w:rPr>
                <w:bCs/>
                <w:szCs w:val="22"/>
              </w:rPr>
              <w:t>x1</w:t>
            </w:r>
          </w:p>
          <w:p w14:paraId="48AF0F39" w14:textId="39BBAF22" w:rsidR="00F71068" w:rsidRPr="00556F71" w:rsidRDefault="00F71068" w:rsidP="00F71068">
            <w:pPr>
              <w:rPr>
                <w:bCs/>
                <w:szCs w:val="22"/>
              </w:rPr>
            </w:pPr>
            <w:r>
              <w:rPr>
                <w:szCs w:val="22"/>
              </w:rPr>
              <w:t>LT/1/19/4423/0</w:t>
            </w:r>
            <w:r w:rsidR="00A43287">
              <w:rPr>
                <w:szCs w:val="22"/>
              </w:rPr>
              <w:t>13</w:t>
            </w:r>
            <w:r w:rsidRPr="003C1C77">
              <w:rPr>
                <w:bCs/>
                <w:szCs w:val="22"/>
              </w:rPr>
              <w:t xml:space="preserve"> – N</w:t>
            </w:r>
            <w:r>
              <w:rPr>
                <w:bCs/>
                <w:szCs w:val="22"/>
              </w:rPr>
              <w:t>12</w:t>
            </w:r>
            <w:r w:rsidR="00A43287">
              <w:rPr>
                <w:bCs/>
                <w:szCs w:val="22"/>
              </w:rPr>
              <w:t>x1</w:t>
            </w:r>
          </w:p>
          <w:p w14:paraId="7EE7C81B" w14:textId="703A6D70" w:rsidR="00F71068" w:rsidRDefault="00F71068" w:rsidP="00F71068">
            <w:pPr>
              <w:rPr>
                <w:bCs/>
                <w:szCs w:val="22"/>
              </w:rPr>
            </w:pPr>
            <w:r>
              <w:rPr>
                <w:szCs w:val="22"/>
              </w:rPr>
              <w:t>LT/1/19/4423/0</w:t>
            </w:r>
            <w:r w:rsidR="00A43287">
              <w:rPr>
                <w:szCs w:val="22"/>
              </w:rPr>
              <w:t>14</w:t>
            </w:r>
            <w:r w:rsidRPr="003C1C77">
              <w:rPr>
                <w:bCs/>
                <w:szCs w:val="22"/>
              </w:rPr>
              <w:t xml:space="preserve"> – N</w:t>
            </w:r>
            <w:r>
              <w:rPr>
                <w:bCs/>
                <w:szCs w:val="22"/>
              </w:rPr>
              <w:t>14</w:t>
            </w:r>
            <w:r w:rsidR="00A43287">
              <w:rPr>
                <w:bCs/>
                <w:szCs w:val="22"/>
              </w:rPr>
              <w:t>x1</w:t>
            </w:r>
          </w:p>
          <w:p w14:paraId="1CF4C22D" w14:textId="0C854EF0" w:rsidR="00F71068" w:rsidRPr="00556F71" w:rsidRDefault="00F71068" w:rsidP="00F71068">
            <w:pPr>
              <w:rPr>
                <w:bCs/>
                <w:szCs w:val="22"/>
              </w:rPr>
            </w:pPr>
            <w:r>
              <w:rPr>
                <w:szCs w:val="22"/>
              </w:rPr>
              <w:t>LT/1/19/4423/0</w:t>
            </w:r>
            <w:r w:rsidR="00A43287">
              <w:rPr>
                <w:szCs w:val="22"/>
              </w:rPr>
              <w:t>15</w:t>
            </w:r>
            <w:r w:rsidRPr="003C1C77">
              <w:rPr>
                <w:bCs/>
                <w:szCs w:val="22"/>
              </w:rPr>
              <w:t xml:space="preserve"> – N</w:t>
            </w:r>
            <w:r>
              <w:rPr>
                <w:bCs/>
                <w:szCs w:val="22"/>
              </w:rPr>
              <w:t>24</w:t>
            </w:r>
            <w:r w:rsidR="00A43287">
              <w:rPr>
                <w:bCs/>
                <w:szCs w:val="22"/>
              </w:rPr>
              <w:t>x1</w:t>
            </w:r>
          </w:p>
          <w:p w14:paraId="74C9F051" w14:textId="7131FA5E" w:rsidR="00F71068" w:rsidRDefault="00F71068" w:rsidP="00F71068">
            <w:pPr>
              <w:rPr>
                <w:bCs/>
                <w:szCs w:val="22"/>
              </w:rPr>
            </w:pPr>
            <w:r>
              <w:rPr>
                <w:szCs w:val="22"/>
              </w:rPr>
              <w:t>LT/1/19/4423/0</w:t>
            </w:r>
            <w:r w:rsidR="00A43287">
              <w:rPr>
                <w:szCs w:val="22"/>
              </w:rPr>
              <w:t>16</w:t>
            </w:r>
            <w:r w:rsidRPr="003C1C77">
              <w:rPr>
                <w:bCs/>
                <w:szCs w:val="22"/>
              </w:rPr>
              <w:t xml:space="preserve"> – N</w:t>
            </w:r>
            <w:r>
              <w:rPr>
                <w:bCs/>
                <w:szCs w:val="22"/>
              </w:rPr>
              <w:t>28</w:t>
            </w:r>
            <w:r w:rsidR="00A43287">
              <w:rPr>
                <w:bCs/>
                <w:szCs w:val="22"/>
              </w:rPr>
              <w:t>x1</w:t>
            </w:r>
          </w:p>
          <w:p w14:paraId="02154792" w14:textId="255ED64C" w:rsidR="00F71068" w:rsidRPr="00556F71" w:rsidRDefault="00F71068" w:rsidP="00F71068">
            <w:pPr>
              <w:rPr>
                <w:bCs/>
                <w:szCs w:val="22"/>
              </w:rPr>
            </w:pPr>
            <w:r>
              <w:rPr>
                <w:szCs w:val="22"/>
              </w:rPr>
              <w:t>LT/1/19/4423/0</w:t>
            </w:r>
            <w:r w:rsidR="00A43287">
              <w:rPr>
                <w:szCs w:val="22"/>
              </w:rPr>
              <w:t>17</w:t>
            </w:r>
            <w:r w:rsidRPr="003C1C77">
              <w:rPr>
                <w:bCs/>
                <w:szCs w:val="22"/>
              </w:rPr>
              <w:t xml:space="preserve"> – N</w:t>
            </w:r>
            <w:r>
              <w:rPr>
                <w:bCs/>
                <w:szCs w:val="22"/>
              </w:rPr>
              <w:t>36</w:t>
            </w:r>
            <w:r w:rsidR="00A43287">
              <w:rPr>
                <w:bCs/>
                <w:szCs w:val="22"/>
              </w:rPr>
              <w:t>x1</w:t>
            </w:r>
          </w:p>
          <w:p w14:paraId="05674E23" w14:textId="424FD5AF" w:rsidR="00F71068" w:rsidRDefault="00F71068">
            <w:pPr>
              <w:rPr>
                <w:szCs w:val="22"/>
              </w:rPr>
            </w:pPr>
            <w:r>
              <w:rPr>
                <w:szCs w:val="22"/>
              </w:rPr>
              <w:t>LT/1/19/4423/0</w:t>
            </w:r>
            <w:r w:rsidR="00A43287">
              <w:rPr>
                <w:szCs w:val="22"/>
              </w:rPr>
              <w:t>18</w:t>
            </w:r>
            <w:r w:rsidRPr="003C1C77">
              <w:rPr>
                <w:bCs/>
                <w:szCs w:val="22"/>
              </w:rPr>
              <w:t xml:space="preserve"> – N</w:t>
            </w:r>
            <w:r>
              <w:rPr>
                <w:bCs/>
                <w:szCs w:val="22"/>
              </w:rPr>
              <w:t>48</w:t>
            </w:r>
            <w:r w:rsidR="00A43287">
              <w:rPr>
                <w:bCs/>
                <w:szCs w:val="22"/>
              </w:rPr>
              <w:t>x1</w:t>
            </w:r>
          </w:p>
        </w:tc>
      </w:tr>
    </w:tbl>
    <w:p w14:paraId="4D2F1FE0" w14:textId="77777777" w:rsidR="00F71068" w:rsidRPr="00A333F1" w:rsidRDefault="00F71068" w:rsidP="00A333F1"/>
    <w:p w14:paraId="23E6A66C" w14:textId="77777777" w:rsidR="00FD5C4A" w:rsidRPr="00A333F1" w:rsidRDefault="00FD5C4A" w:rsidP="00A333F1"/>
    <w:p w14:paraId="628B531A" w14:textId="77777777" w:rsidR="00FD5C4A" w:rsidRPr="00A333F1" w:rsidRDefault="00FD5C4A" w:rsidP="00A333F1">
      <w:pPr>
        <w:keepNext/>
        <w:outlineLvl w:val="2"/>
        <w:rPr>
          <w:b/>
        </w:rPr>
      </w:pPr>
      <w:r w:rsidRPr="00A333F1">
        <w:rPr>
          <w:b/>
        </w:rPr>
        <w:t>9.</w:t>
      </w:r>
      <w:r w:rsidRPr="00A333F1">
        <w:rPr>
          <w:b/>
        </w:rPr>
        <w:tab/>
      </w:r>
      <w:r w:rsidR="00C445D0" w:rsidRPr="00A333F1">
        <w:rPr>
          <w:b/>
        </w:rPr>
        <w:t>REGISTRAVIMO / PERREGISTRAVIMO DATA</w:t>
      </w:r>
    </w:p>
    <w:p w14:paraId="15FFEC6E" w14:textId="77777777" w:rsidR="00FD5C4A" w:rsidRPr="00A333F1" w:rsidRDefault="00FD5C4A" w:rsidP="00A333F1"/>
    <w:p w14:paraId="161E0597" w14:textId="77777777" w:rsidR="0081575A" w:rsidRPr="00A333F1" w:rsidRDefault="0081575A" w:rsidP="00A333F1">
      <w:pPr>
        <w:tabs>
          <w:tab w:val="left" w:pos="567"/>
        </w:tabs>
      </w:pPr>
      <w:r w:rsidRPr="00A333F1">
        <w:t xml:space="preserve">Registravimo data </w:t>
      </w:r>
      <w:r w:rsidR="00F71068" w:rsidRPr="00A333F1">
        <w:t>2019 m. liepos 2 d.</w:t>
      </w:r>
    </w:p>
    <w:p w14:paraId="18C92C3A" w14:textId="2625D765" w:rsidR="00FD5C4A" w:rsidRDefault="000538ED" w:rsidP="00A333F1">
      <w:r>
        <w:t>P</w:t>
      </w:r>
      <w:r w:rsidR="001F4B21">
        <w:t>askutinio p</w:t>
      </w:r>
      <w:r>
        <w:t>erregistravimo data</w:t>
      </w:r>
      <w:r w:rsidR="003F18BD">
        <w:t xml:space="preserve"> 2023 m. gruodžio 18 d.</w:t>
      </w:r>
    </w:p>
    <w:p w14:paraId="5FD8760E" w14:textId="77777777" w:rsidR="001F4B21" w:rsidRPr="00A333F1" w:rsidRDefault="001F4B21" w:rsidP="00A333F1"/>
    <w:p w14:paraId="78B273A6" w14:textId="77777777" w:rsidR="00FD5C4A" w:rsidRPr="00A333F1" w:rsidRDefault="00FD5C4A" w:rsidP="00A333F1"/>
    <w:p w14:paraId="710BAB8D" w14:textId="77777777" w:rsidR="00FD5C4A" w:rsidRDefault="00FD5C4A" w:rsidP="00A333F1">
      <w:pPr>
        <w:keepNext/>
        <w:outlineLvl w:val="2"/>
        <w:rPr>
          <w:b/>
        </w:rPr>
      </w:pPr>
      <w:r w:rsidRPr="00A333F1">
        <w:rPr>
          <w:b/>
        </w:rPr>
        <w:t>10.</w:t>
      </w:r>
      <w:r w:rsidRPr="00A333F1">
        <w:rPr>
          <w:b/>
        </w:rPr>
        <w:tab/>
        <w:t>TEKSTO PERŽIŪROS DATA</w:t>
      </w:r>
    </w:p>
    <w:p w14:paraId="64C07522" w14:textId="77777777" w:rsidR="003F18BD" w:rsidRDefault="003F18BD" w:rsidP="00A333F1">
      <w:pPr>
        <w:keepNext/>
        <w:outlineLvl w:val="2"/>
        <w:rPr>
          <w:b/>
        </w:rPr>
      </w:pPr>
    </w:p>
    <w:p w14:paraId="197A5406" w14:textId="43609890" w:rsidR="003F18BD" w:rsidRDefault="003F18BD" w:rsidP="00A333F1">
      <w:pPr>
        <w:keepNext/>
        <w:outlineLvl w:val="2"/>
        <w:rPr>
          <w:bCs/>
        </w:rPr>
      </w:pPr>
      <w:r w:rsidRPr="003F18BD">
        <w:rPr>
          <w:bCs/>
        </w:rPr>
        <w:t>202</w:t>
      </w:r>
      <w:r w:rsidR="00D455CE">
        <w:rPr>
          <w:bCs/>
        </w:rPr>
        <w:t xml:space="preserve">4 m. </w:t>
      </w:r>
      <w:r w:rsidR="006E40EA">
        <w:rPr>
          <w:bCs/>
        </w:rPr>
        <w:t>gegužės 5 d.</w:t>
      </w:r>
    </w:p>
    <w:p w14:paraId="43C85B59" w14:textId="77777777" w:rsidR="00D455CE" w:rsidRPr="003F18BD" w:rsidRDefault="00D455CE" w:rsidP="00A333F1">
      <w:pPr>
        <w:keepNext/>
        <w:outlineLvl w:val="2"/>
        <w:rPr>
          <w:bCs/>
        </w:rPr>
      </w:pPr>
    </w:p>
    <w:p w14:paraId="099FDBF8" w14:textId="77777777" w:rsidR="003845BC" w:rsidRDefault="003845BC" w:rsidP="001F4B21">
      <w:pPr>
        <w:tabs>
          <w:tab w:val="left" w:pos="567"/>
        </w:tabs>
      </w:pPr>
    </w:p>
    <w:p w14:paraId="4004C4F3" w14:textId="77777777" w:rsidR="00FD5C4A" w:rsidRPr="00797CDB" w:rsidRDefault="00FD5C4A" w:rsidP="00A333F1">
      <w:pPr>
        <w:tabs>
          <w:tab w:val="left" w:pos="5954"/>
          <w:tab w:val="left" w:pos="6237"/>
          <w:tab w:val="left" w:pos="6663"/>
          <w:tab w:val="left" w:pos="6946"/>
        </w:tabs>
        <w:rPr>
          <w:rFonts w:asciiTheme="minorHAnsi" w:eastAsia="SimSun" w:hAnsiTheme="minorHAnsi" w:cstheme="minorBidi"/>
          <w:szCs w:val="22"/>
          <w:lang w:eastAsia="en-US"/>
        </w:rPr>
      </w:pPr>
      <w:r w:rsidRPr="00797CDB">
        <w:rPr>
          <w:rFonts w:eastAsia="SimSun"/>
        </w:rPr>
        <w:t>Išsami informacija apie šį vaistinį preparatą pateikiama Valstybinės vaistų kontrolės tarnybos prie Lietuvos Respublikos  sveikatos apsaugos ministerijos tinklalapyje</w:t>
      </w:r>
      <w:r w:rsidRPr="00797CDB">
        <w:rPr>
          <w:rFonts w:eastAsia="SimSun"/>
          <w:i/>
        </w:rPr>
        <w:t xml:space="preserve"> </w:t>
      </w:r>
      <w:hyperlink r:id="rId8" w:history="1">
        <w:r w:rsidRPr="00797CDB">
          <w:rPr>
            <w:rFonts w:eastAsia="SimSun"/>
            <w:color w:val="0000FF"/>
            <w:u w:val="single"/>
          </w:rPr>
          <w:t>http://www.vvkt.lt</w:t>
        </w:r>
      </w:hyperlink>
    </w:p>
    <w:p w14:paraId="1204866E" w14:textId="77777777" w:rsidR="00FD5C4A" w:rsidRPr="00797CDB" w:rsidRDefault="00FD5C4A" w:rsidP="00A333F1">
      <w:pPr>
        <w:tabs>
          <w:tab w:val="left" w:pos="5954"/>
          <w:tab w:val="left" w:pos="6237"/>
          <w:tab w:val="left" w:pos="6663"/>
          <w:tab w:val="left" w:pos="6946"/>
        </w:tabs>
        <w:jc w:val="center"/>
        <w:rPr>
          <w:rFonts w:eastAsia="SimSun"/>
        </w:rPr>
      </w:pPr>
    </w:p>
    <w:p w14:paraId="52A5EFDE" w14:textId="77777777" w:rsidR="00FD5C4A" w:rsidRPr="00797CDB" w:rsidRDefault="00FD5C4A" w:rsidP="00A333F1">
      <w:pPr>
        <w:tabs>
          <w:tab w:val="left" w:pos="5954"/>
          <w:tab w:val="left" w:pos="6237"/>
          <w:tab w:val="left" w:pos="6663"/>
          <w:tab w:val="left" w:pos="6946"/>
        </w:tabs>
        <w:jc w:val="center"/>
        <w:rPr>
          <w:rFonts w:eastAsia="SimSun"/>
        </w:rPr>
      </w:pPr>
      <w:r w:rsidRPr="00797CDB">
        <w:rPr>
          <w:rFonts w:eastAsia="SimSun"/>
        </w:rPr>
        <w:br w:type="page"/>
      </w:r>
    </w:p>
    <w:p w14:paraId="42F0038C" w14:textId="77777777" w:rsidR="00FD5C4A" w:rsidRPr="00797CDB" w:rsidRDefault="00FD5C4A" w:rsidP="00A333F1">
      <w:pPr>
        <w:tabs>
          <w:tab w:val="left" w:pos="5954"/>
          <w:tab w:val="left" w:pos="6237"/>
          <w:tab w:val="left" w:pos="6663"/>
          <w:tab w:val="left" w:pos="6946"/>
        </w:tabs>
        <w:jc w:val="center"/>
        <w:rPr>
          <w:rFonts w:eastAsia="SimSun"/>
        </w:rPr>
      </w:pPr>
    </w:p>
    <w:p w14:paraId="0CC4DAEB" w14:textId="77777777" w:rsidR="00FD5C4A" w:rsidRPr="00797CDB" w:rsidRDefault="00FD5C4A" w:rsidP="00A333F1">
      <w:pPr>
        <w:tabs>
          <w:tab w:val="left" w:pos="5954"/>
          <w:tab w:val="left" w:pos="6237"/>
          <w:tab w:val="left" w:pos="6663"/>
          <w:tab w:val="left" w:pos="6946"/>
        </w:tabs>
        <w:jc w:val="center"/>
        <w:rPr>
          <w:rFonts w:eastAsia="SimSun"/>
        </w:rPr>
      </w:pPr>
    </w:p>
    <w:p w14:paraId="770F20AA" w14:textId="77777777" w:rsidR="00FD5C4A" w:rsidRPr="00797CDB" w:rsidRDefault="00FD5C4A" w:rsidP="00A333F1">
      <w:pPr>
        <w:tabs>
          <w:tab w:val="left" w:pos="5954"/>
          <w:tab w:val="left" w:pos="6237"/>
          <w:tab w:val="left" w:pos="6663"/>
          <w:tab w:val="left" w:pos="6946"/>
        </w:tabs>
        <w:jc w:val="center"/>
        <w:rPr>
          <w:rFonts w:eastAsia="SimSun"/>
        </w:rPr>
      </w:pPr>
    </w:p>
    <w:p w14:paraId="1A651BE9" w14:textId="77777777" w:rsidR="00FD5C4A" w:rsidRPr="00797CDB" w:rsidRDefault="00FD5C4A" w:rsidP="00A333F1">
      <w:pPr>
        <w:tabs>
          <w:tab w:val="left" w:pos="5954"/>
          <w:tab w:val="left" w:pos="6237"/>
          <w:tab w:val="left" w:pos="6663"/>
          <w:tab w:val="left" w:pos="6946"/>
        </w:tabs>
        <w:jc w:val="center"/>
        <w:rPr>
          <w:rFonts w:eastAsia="SimSun"/>
        </w:rPr>
      </w:pPr>
    </w:p>
    <w:p w14:paraId="33EC80C1" w14:textId="77777777" w:rsidR="00FD5C4A" w:rsidRPr="00797CDB" w:rsidRDefault="00FD5C4A" w:rsidP="00A333F1">
      <w:pPr>
        <w:tabs>
          <w:tab w:val="left" w:pos="5954"/>
          <w:tab w:val="left" w:pos="6237"/>
          <w:tab w:val="left" w:pos="6663"/>
          <w:tab w:val="left" w:pos="6946"/>
        </w:tabs>
        <w:ind w:left="5103"/>
        <w:rPr>
          <w:rFonts w:eastAsia="SimSun"/>
          <w:color w:val="000000"/>
        </w:rPr>
      </w:pPr>
    </w:p>
    <w:p w14:paraId="13142E0E" w14:textId="77777777" w:rsidR="00FD5C4A" w:rsidRPr="00A333F1" w:rsidRDefault="00FD5C4A" w:rsidP="00A333F1"/>
    <w:p w14:paraId="08377C92" w14:textId="77777777" w:rsidR="00FD5C4A" w:rsidRPr="00A333F1" w:rsidRDefault="00FD5C4A" w:rsidP="00A333F1"/>
    <w:p w14:paraId="53B2AA54" w14:textId="77777777" w:rsidR="00FD5C4A" w:rsidRPr="00A333F1" w:rsidRDefault="00FD5C4A" w:rsidP="00A333F1"/>
    <w:p w14:paraId="083D48B0" w14:textId="77777777" w:rsidR="00FD5C4A" w:rsidRPr="00A333F1" w:rsidRDefault="00FD5C4A" w:rsidP="00A333F1"/>
    <w:p w14:paraId="321A3831" w14:textId="77777777" w:rsidR="00FD5C4A" w:rsidRPr="00A333F1" w:rsidRDefault="00FD5C4A" w:rsidP="00A333F1"/>
    <w:p w14:paraId="32EA88BE" w14:textId="77777777" w:rsidR="00FD5C4A" w:rsidRPr="00A333F1" w:rsidRDefault="00FD5C4A" w:rsidP="00A333F1"/>
    <w:p w14:paraId="6A8CABCD" w14:textId="77777777" w:rsidR="00FD5C4A" w:rsidRPr="00A333F1" w:rsidRDefault="00FD5C4A" w:rsidP="00A333F1"/>
    <w:p w14:paraId="31A7BBF4" w14:textId="77777777" w:rsidR="00FD5C4A" w:rsidRPr="00A333F1" w:rsidRDefault="00FD5C4A" w:rsidP="00A333F1"/>
    <w:p w14:paraId="0AE24960" w14:textId="77777777" w:rsidR="00FD5C4A" w:rsidRPr="00A333F1" w:rsidRDefault="00FD5C4A" w:rsidP="00A333F1"/>
    <w:p w14:paraId="2625912A" w14:textId="77777777" w:rsidR="00FD5C4A" w:rsidRPr="00A333F1" w:rsidRDefault="00FD5C4A" w:rsidP="00A333F1"/>
    <w:p w14:paraId="0A3EAEF6" w14:textId="77777777" w:rsidR="00FD5C4A" w:rsidRPr="00A333F1" w:rsidRDefault="00FD5C4A" w:rsidP="00A333F1"/>
    <w:p w14:paraId="21CAB769" w14:textId="77777777" w:rsidR="00FD5C4A" w:rsidRPr="00A333F1" w:rsidRDefault="00FD5C4A" w:rsidP="00A333F1"/>
    <w:p w14:paraId="78EAF8C7" w14:textId="77777777" w:rsidR="00FD5C4A" w:rsidRPr="00A333F1" w:rsidRDefault="00FD5C4A" w:rsidP="00A333F1"/>
    <w:p w14:paraId="6956EEFD" w14:textId="77777777" w:rsidR="00FD5C4A" w:rsidRPr="00A333F1" w:rsidRDefault="00FD5C4A" w:rsidP="00A333F1"/>
    <w:p w14:paraId="471B5420" w14:textId="77777777" w:rsidR="00FD5C4A" w:rsidRPr="00A333F1" w:rsidRDefault="00FD5C4A" w:rsidP="00A333F1"/>
    <w:p w14:paraId="7E771EE5" w14:textId="77777777" w:rsidR="00FD5C4A" w:rsidRPr="00A333F1" w:rsidRDefault="00FD5C4A" w:rsidP="00A333F1"/>
    <w:p w14:paraId="3AE93E23" w14:textId="77777777" w:rsidR="00FD5C4A" w:rsidRPr="00A333F1" w:rsidRDefault="00FD5C4A" w:rsidP="00A333F1"/>
    <w:p w14:paraId="2101A3CD" w14:textId="77777777" w:rsidR="00FD5C4A" w:rsidRPr="00A333F1" w:rsidRDefault="00FD5C4A" w:rsidP="00A333F1"/>
    <w:p w14:paraId="56F5B634" w14:textId="77777777" w:rsidR="00FD5C4A" w:rsidRPr="00A333F1" w:rsidRDefault="00FD5C4A" w:rsidP="00A333F1">
      <w:pPr>
        <w:jc w:val="center"/>
        <w:rPr>
          <w:b/>
        </w:rPr>
      </w:pPr>
      <w:r w:rsidRPr="00A333F1">
        <w:rPr>
          <w:b/>
        </w:rPr>
        <w:t>II PRIEDAS</w:t>
      </w:r>
    </w:p>
    <w:p w14:paraId="2B5BD4B7" w14:textId="77777777" w:rsidR="00FD5C4A" w:rsidRPr="00A333F1" w:rsidRDefault="00FD5C4A" w:rsidP="00A333F1">
      <w:pPr>
        <w:ind w:left="1701" w:right="1416" w:hanging="567"/>
      </w:pPr>
    </w:p>
    <w:p w14:paraId="7CFC3290" w14:textId="77777777" w:rsidR="00FD5C4A" w:rsidRPr="00A333F1" w:rsidRDefault="00C445D0" w:rsidP="00A333F1">
      <w:pPr>
        <w:jc w:val="center"/>
        <w:rPr>
          <w:b/>
        </w:rPr>
      </w:pPr>
      <w:r w:rsidRPr="00A333F1">
        <w:rPr>
          <w:b/>
        </w:rPr>
        <w:t>REGISTRACIJOS SĄLYGOS</w:t>
      </w:r>
    </w:p>
    <w:p w14:paraId="722CC674" w14:textId="77777777" w:rsidR="00E64B4A" w:rsidRPr="00A333F1" w:rsidRDefault="00E64B4A" w:rsidP="00A333F1">
      <w:pPr>
        <w:jc w:val="center"/>
      </w:pPr>
    </w:p>
    <w:p w14:paraId="3AC651FE" w14:textId="77777777" w:rsidR="00FD5C4A" w:rsidRPr="00A333F1" w:rsidRDefault="00FD5C4A" w:rsidP="00A333F1">
      <w:pPr>
        <w:tabs>
          <w:tab w:val="left" w:pos="1701"/>
        </w:tabs>
        <w:ind w:left="1701" w:right="567" w:hanging="567"/>
        <w:rPr>
          <w:b/>
        </w:rPr>
      </w:pPr>
      <w:r w:rsidRPr="00A333F1">
        <w:rPr>
          <w:b/>
        </w:rPr>
        <w:t>A.</w:t>
      </w:r>
      <w:r w:rsidRPr="00A333F1">
        <w:rPr>
          <w:b/>
        </w:rPr>
        <w:tab/>
      </w:r>
      <w:r w:rsidR="00CD12BB" w:rsidRPr="00A333F1">
        <w:rPr>
          <w:b/>
        </w:rPr>
        <w:t>GAMINTOJAS (-AI), ATSAKINGAS (-I)</w:t>
      </w:r>
      <w:r w:rsidR="0062109C" w:rsidRPr="00A333F1">
        <w:rPr>
          <w:b/>
        </w:rPr>
        <w:t xml:space="preserve"> </w:t>
      </w:r>
      <w:r w:rsidRPr="00A333F1">
        <w:rPr>
          <w:b/>
        </w:rPr>
        <w:t>UŽ SERIJŲ IŠLEIDIMĄ</w:t>
      </w:r>
    </w:p>
    <w:p w14:paraId="65444EDE" w14:textId="77777777" w:rsidR="00FD5C4A" w:rsidRPr="00A333F1" w:rsidRDefault="00FD5C4A" w:rsidP="00A333F1">
      <w:pPr>
        <w:tabs>
          <w:tab w:val="left" w:pos="1701"/>
        </w:tabs>
        <w:ind w:left="567" w:right="567" w:hanging="567"/>
      </w:pPr>
    </w:p>
    <w:p w14:paraId="08929370" w14:textId="77777777" w:rsidR="00FD5C4A" w:rsidRPr="00A333F1" w:rsidRDefault="00FD5C4A" w:rsidP="00A333F1">
      <w:pPr>
        <w:tabs>
          <w:tab w:val="left" w:pos="1701"/>
        </w:tabs>
        <w:ind w:left="1701" w:right="567" w:hanging="567"/>
        <w:rPr>
          <w:b/>
        </w:rPr>
      </w:pPr>
      <w:r w:rsidRPr="00A333F1">
        <w:rPr>
          <w:b/>
        </w:rPr>
        <w:t>B.</w:t>
      </w:r>
      <w:r w:rsidRPr="00A333F1">
        <w:rPr>
          <w:b/>
        </w:rPr>
        <w:tab/>
        <w:t>TIEKIMO IR VARTOJIMO SĄLYGOS AR APRIBOJIMAI</w:t>
      </w:r>
    </w:p>
    <w:p w14:paraId="7A2EDBAB" w14:textId="77777777" w:rsidR="00FD5C4A" w:rsidRPr="00A333F1" w:rsidRDefault="00FD5C4A" w:rsidP="00A333F1">
      <w:pPr>
        <w:tabs>
          <w:tab w:val="left" w:pos="1701"/>
        </w:tabs>
        <w:ind w:left="567" w:right="567" w:hanging="567"/>
      </w:pPr>
    </w:p>
    <w:p w14:paraId="72AE20DC" w14:textId="77777777" w:rsidR="00FD5C4A" w:rsidRPr="00A333F1" w:rsidRDefault="00FD5C4A" w:rsidP="00A333F1">
      <w:pPr>
        <w:ind w:left="1701" w:right="1558" w:hanging="850"/>
        <w:rPr>
          <w:b/>
        </w:rPr>
      </w:pPr>
    </w:p>
    <w:p w14:paraId="1D2F8DF0" w14:textId="77777777" w:rsidR="00FD5C4A" w:rsidRPr="00A333F1" w:rsidRDefault="00FD5C4A" w:rsidP="00A333F1">
      <w:pPr>
        <w:ind w:left="567" w:hanging="567"/>
      </w:pPr>
    </w:p>
    <w:p w14:paraId="4464E6F6" w14:textId="77777777" w:rsidR="00FD5C4A" w:rsidRPr="00A333F1" w:rsidRDefault="00FD5C4A" w:rsidP="00A333F1">
      <w:pPr>
        <w:ind w:right="-1"/>
      </w:pPr>
    </w:p>
    <w:p w14:paraId="6DFD3CBD" w14:textId="77777777" w:rsidR="00FD5C4A" w:rsidRPr="00A333F1" w:rsidRDefault="00FD5C4A" w:rsidP="00A333F1">
      <w:pPr>
        <w:ind w:left="567" w:hanging="567"/>
        <w:rPr>
          <w:b/>
        </w:rPr>
      </w:pPr>
      <w:r w:rsidRPr="00A333F1">
        <w:br w:type="page"/>
      </w:r>
      <w:r w:rsidRPr="00A333F1">
        <w:rPr>
          <w:b/>
        </w:rPr>
        <w:t>A.</w:t>
      </w:r>
      <w:r w:rsidRPr="00A333F1">
        <w:rPr>
          <w:b/>
        </w:rPr>
        <w:tab/>
      </w:r>
      <w:r w:rsidR="00CD12BB" w:rsidRPr="00A333F1">
        <w:rPr>
          <w:b/>
        </w:rPr>
        <w:t xml:space="preserve">GAMINTOJAS (-AI), ATSAKINGAS (-I) </w:t>
      </w:r>
      <w:r w:rsidRPr="00A333F1">
        <w:rPr>
          <w:b/>
        </w:rPr>
        <w:t>UŽ SERIJŲ IŠLEIDIMĄ</w:t>
      </w:r>
    </w:p>
    <w:p w14:paraId="2710028B" w14:textId="77777777" w:rsidR="00FD5C4A" w:rsidRPr="00A333F1" w:rsidRDefault="00FD5C4A" w:rsidP="00A333F1"/>
    <w:p w14:paraId="2C3E46EB" w14:textId="77777777" w:rsidR="00CD12BB" w:rsidRPr="00A333F1" w:rsidRDefault="00CD12BB" w:rsidP="00A333F1">
      <w:pPr>
        <w:tabs>
          <w:tab w:val="left" w:pos="567"/>
        </w:tabs>
        <w:jc w:val="both"/>
      </w:pPr>
      <w:r w:rsidRPr="00A333F1">
        <w:rPr>
          <w:u w:val="single"/>
        </w:rPr>
        <w:t>Gamintojo (-ų), atsakingo (-ų) už serijų išleidimą, pavadinimas (-ai) ir adresas (-ai)</w:t>
      </w:r>
    </w:p>
    <w:p w14:paraId="6C337697" w14:textId="77777777" w:rsidR="00FD5C4A" w:rsidRPr="00A333F1" w:rsidRDefault="00FD5C4A" w:rsidP="00A333F1"/>
    <w:p w14:paraId="0F632ABC" w14:textId="77777777" w:rsidR="009A26F1" w:rsidRPr="00A333F1" w:rsidRDefault="009A26F1" w:rsidP="00A333F1">
      <w:r w:rsidRPr="00A333F1">
        <w:t xml:space="preserve">TEVA Pharma, S.L.U. </w:t>
      </w:r>
    </w:p>
    <w:p w14:paraId="6A6B164E" w14:textId="77777777" w:rsidR="009A26F1" w:rsidRPr="00A333F1" w:rsidRDefault="009A26F1" w:rsidP="00A333F1">
      <w:r w:rsidRPr="00A333F1">
        <w:t xml:space="preserve">Polígono Industrial Malpica, </w:t>
      </w:r>
    </w:p>
    <w:p w14:paraId="2943AE64" w14:textId="77777777" w:rsidR="009A26F1" w:rsidRPr="00A333F1" w:rsidRDefault="009A26F1" w:rsidP="00A333F1">
      <w:r w:rsidRPr="00A333F1">
        <w:t xml:space="preserve">C/C, nº4, 50016, Zaragoza, </w:t>
      </w:r>
    </w:p>
    <w:p w14:paraId="2485F611" w14:textId="77777777" w:rsidR="009A26F1" w:rsidRPr="00A333F1" w:rsidRDefault="009A26F1" w:rsidP="00A333F1">
      <w:r w:rsidRPr="00A333F1">
        <w:t>Ispanija</w:t>
      </w:r>
    </w:p>
    <w:p w14:paraId="7EF8B427" w14:textId="154E1D1B" w:rsidR="003C5923" w:rsidRPr="00A333F1" w:rsidRDefault="003C5923" w:rsidP="00A333F1"/>
    <w:p w14:paraId="77F91C8A" w14:textId="77777777" w:rsidR="00FF220B" w:rsidRDefault="00FF220B" w:rsidP="00FF220B">
      <w:pPr>
        <w:rPr>
          <w:szCs w:val="22"/>
        </w:rPr>
      </w:pPr>
      <w:r>
        <w:rPr>
          <w:szCs w:val="22"/>
        </w:rPr>
        <w:t>arba</w:t>
      </w:r>
    </w:p>
    <w:p w14:paraId="2AC8E55A" w14:textId="77777777" w:rsidR="00FF220B" w:rsidRDefault="00FF220B" w:rsidP="00FF220B">
      <w:pPr>
        <w:rPr>
          <w:szCs w:val="22"/>
        </w:rPr>
      </w:pPr>
    </w:p>
    <w:p w14:paraId="7813740D" w14:textId="77777777" w:rsidR="00FF220B" w:rsidRPr="00700071" w:rsidRDefault="00FF220B" w:rsidP="00FF220B">
      <w:pPr>
        <w:rPr>
          <w:szCs w:val="22"/>
        </w:rPr>
      </w:pPr>
      <w:r w:rsidRPr="00700071">
        <w:rPr>
          <w:szCs w:val="22"/>
        </w:rPr>
        <w:t xml:space="preserve">Lek Pharmaceuticals d.d., </w:t>
      </w:r>
    </w:p>
    <w:p w14:paraId="1D580612" w14:textId="77777777" w:rsidR="00FF220B" w:rsidRDefault="00FF220B" w:rsidP="00FF220B">
      <w:pPr>
        <w:rPr>
          <w:szCs w:val="22"/>
        </w:rPr>
      </w:pPr>
      <w:r w:rsidRPr="00700071">
        <w:rPr>
          <w:szCs w:val="22"/>
        </w:rPr>
        <w:t xml:space="preserve">Verovškova 57, </w:t>
      </w:r>
    </w:p>
    <w:p w14:paraId="54ED9104" w14:textId="77777777" w:rsidR="00FF220B" w:rsidRPr="00700071" w:rsidRDefault="00FF220B" w:rsidP="00FF220B">
      <w:pPr>
        <w:rPr>
          <w:szCs w:val="22"/>
        </w:rPr>
      </w:pPr>
      <w:r w:rsidRPr="00700071">
        <w:rPr>
          <w:szCs w:val="22"/>
        </w:rPr>
        <w:t xml:space="preserve">1526 Ljubljana, </w:t>
      </w:r>
    </w:p>
    <w:p w14:paraId="38E1344C" w14:textId="77777777" w:rsidR="00FF220B" w:rsidRDefault="00FF220B" w:rsidP="00FF220B">
      <w:pPr>
        <w:rPr>
          <w:szCs w:val="22"/>
        </w:rPr>
      </w:pPr>
      <w:r>
        <w:rPr>
          <w:szCs w:val="22"/>
        </w:rPr>
        <w:t>Slovėnija</w:t>
      </w:r>
    </w:p>
    <w:p w14:paraId="70BF58D8" w14:textId="77777777" w:rsidR="00FF220B" w:rsidRDefault="00FF220B" w:rsidP="009A26F1">
      <w:pPr>
        <w:rPr>
          <w:szCs w:val="22"/>
        </w:rPr>
      </w:pPr>
    </w:p>
    <w:p w14:paraId="26244909" w14:textId="5AC6AEF1" w:rsidR="003C5923" w:rsidRPr="00A333F1" w:rsidRDefault="003C5923" w:rsidP="00A333F1">
      <w:r w:rsidRPr="00A333F1">
        <w:t>Su pakuote pateikiamame lapelyje nurodomas gamintojo, atsakingo už konkrečios serijos išleidimą, pavadinimas ir adresas.</w:t>
      </w:r>
    </w:p>
    <w:p w14:paraId="0484A3F6" w14:textId="77777777" w:rsidR="0081575A" w:rsidRPr="00A333F1" w:rsidRDefault="0081575A" w:rsidP="00A333F1"/>
    <w:p w14:paraId="6F92DA1F" w14:textId="77777777" w:rsidR="00FD5C4A" w:rsidRPr="00A333F1" w:rsidRDefault="00FD5C4A" w:rsidP="00A333F1"/>
    <w:p w14:paraId="6FC6DB95" w14:textId="77777777" w:rsidR="00FD5C4A" w:rsidRPr="00A333F1" w:rsidRDefault="00FD5C4A" w:rsidP="00A333F1">
      <w:pPr>
        <w:ind w:left="567" w:hanging="567"/>
      </w:pPr>
      <w:r w:rsidRPr="00A333F1">
        <w:rPr>
          <w:b/>
        </w:rPr>
        <w:t>B.</w:t>
      </w:r>
      <w:r w:rsidRPr="00A333F1">
        <w:rPr>
          <w:b/>
        </w:rPr>
        <w:tab/>
        <w:t>TIEKIMO IR VARTOJIMO SĄLYGOS AR APRIBOJIMAI</w:t>
      </w:r>
    </w:p>
    <w:p w14:paraId="3AE2DAF1" w14:textId="77777777" w:rsidR="00FD5C4A" w:rsidRPr="00A333F1" w:rsidRDefault="00FD5C4A" w:rsidP="00A333F1"/>
    <w:p w14:paraId="2BF6141D" w14:textId="77777777" w:rsidR="00FD5C4A" w:rsidRPr="00A333F1" w:rsidRDefault="00BE5A01" w:rsidP="00A333F1">
      <w:r w:rsidRPr="00A333F1">
        <w:t xml:space="preserve">Receptinis </w:t>
      </w:r>
      <w:r w:rsidR="00FD5C4A" w:rsidRPr="00A333F1">
        <w:t>vaistinis preparatas.</w:t>
      </w:r>
    </w:p>
    <w:p w14:paraId="1A6E57BB" w14:textId="77777777" w:rsidR="00FD5C4A" w:rsidRPr="00A333F1" w:rsidRDefault="00FD5C4A" w:rsidP="00A333F1"/>
    <w:p w14:paraId="16286772" w14:textId="77777777" w:rsidR="00FD5C4A" w:rsidRPr="00797CDB" w:rsidRDefault="00FD5C4A" w:rsidP="00A333F1">
      <w:pPr>
        <w:tabs>
          <w:tab w:val="left" w:pos="5954"/>
          <w:tab w:val="left" w:pos="6237"/>
          <w:tab w:val="left" w:pos="6663"/>
          <w:tab w:val="left" w:pos="6946"/>
        </w:tabs>
        <w:rPr>
          <w:rFonts w:eastAsia="SimSun"/>
          <w:color w:val="000000"/>
        </w:rPr>
      </w:pPr>
    </w:p>
    <w:p w14:paraId="271530F8" w14:textId="77777777" w:rsidR="00FD5C4A" w:rsidRPr="00A333F1" w:rsidRDefault="00FD5C4A" w:rsidP="00A333F1">
      <w:pPr>
        <w:ind w:right="566"/>
      </w:pPr>
    </w:p>
    <w:p w14:paraId="7304688A" w14:textId="77777777" w:rsidR="00FD5C4A" w:rsidRPr="00A333F1" w:rsidRDefault="00FD5C4A" w:rsidP="00A333F1"/>
    <w:p w14:paraId="0B2B7D28" w14:textId="77777777" w:rsidR="00FD5C4A" w:rsidRPr="00A333F1" w:rsidRDefault="00FD5C4A" w:rsidP="00A333F1">
      <w:pPr>
        <w:outlineLvl w:val="0"/>
        <w:rPr>
          <w:b/>
        </w:rPr>
      </w:pPr>
      <w:r w:rsidRPr="00A333F1">
        <w:br w:type="page"/>
      </w:r>
    </w:p>
    <w:p w14:paraId="1E6D274C" w14:textId="77777777" w:rsidR="00FD5C4A" w:rsidRPr="00A333F1" w:rsidRDefault="00FD5C4A" w:rsidP="00A333F1">
      <w:pPr>
        <w:outlineLvl w:val="0"/>
        <w:rPr>
          <w:b/>
        </w:rPr>
      </w:pPr>
    </w:p>
    <w:p w14:paraId="5C895830" w14:textId="77777777" w:rsidR="00FD5C4A" w:rsidRPr="00A333F1" w:rsidRDefault="00FD5C4A" w:rsidP="00A333F1">
      <w:pPr>
        <w:outlineLvl w:val="0"/>
        <w:rPr>
          <w:b/>
        </w:rPr>
      </w:pPr>
    </w:p>
    <w:p w14:paraId="1C091184" w14:textId="77777777" w:rsidR="00FD5C4A" w:rsidRPr="00A333F1" w:rsidRDefault="00FD5C4A" w:rsidP="00A333F1">
      <w:pPr>
        <w:outlineLvl w:val="0"/>
        <w:rPr>
          <w:b/>
        </w:rPr>
      </w:pPr>
    </w:p>
    <w:p w14:paraId="22F1B3E5" w14:textId="77777777" w:rsidR="00FD5C4A" w:rsidRPr="00A333F1" w:rsidRDefault="00FD5C4A" w:rsidP="00A333F1">
      <w:pPr>
        <w:keepNext/>
        <w:tabs>
          <w:tab w:val="left" w:pos="540"/>
        </w:tabs>
        <w:jc w:val="center"/>
        <w:outlineLvl w:val="1"/>
        <w:rPr>
          <w:b/>
        </w:rPr>
      </w:pPr>
    </w:p>
    <w:p w14:paraId="2D8F21D9" w14:textId="77777777" w:rsidR="00FD5C4A" w:rsidRPr="00A333F1" w:rsidRDefault="00FD5C4A" w:rsidP="00A333F1">
      <w:pPr>
        <w:keepNext/>
        <w:tabs>
          <w:tab w:val="left" w:pos="540"/>
        </w:tabs>
        <w:jc w:val="center"/>
        <w:outlineLvl w:val="1"/>
        <w:rPr>
          <w:b/>
        </w:rPr>
      </w:pPr>
    </w:p>
    <w:p w14:paraId="67124A83" w14:textId="77777777" w:rsidR="00FD5C4A" w:rsidRPr="00A333F1" w:rsidRDefault="00FD5C4A" w:rsidP="00A333F1">
      <w:pPr>
        <w:keepNext/>
        <w:tabs>
          <w:tab w:val="left" w:pos="540"/>
        </w:tabs>
        <w:jc w:val="center"/>
        <w:outlineLvl w:val="1"/>
        <w:rPr>
          <w:b/>
        </w:rPr>
      </w:pPr>
    </w:p>
    <w:p w14:paraId="43C164C6" w14:textId="77777777" w:rsidR="00FD5C4A" w:rsidRPr="00A333F1" w:rsidRDefault="00FD5C4A" w:rsidP="00A333F1">
      <w:pPr>
        <w:keepNext/>
        <w:tabs>
          <w:tab w:val="left" w:pos="540"/>
        </w:tabs>
        <w:jc w:val="center"/>
        <w:outlineLvl w:val="1"/>
        <w:rPr>
          <w:b/>
        </w:rPr>
      </w:pPr>
    </w:p>
    <w:p w14:paraId="6D43C9F5" w14:textId="77777777" w:rsidR="00FD5C4A" w:rsidRPr="00A333F1" w:rsidRDefault="00FD5C4A" w:rsidP="00A333F1">
      <w:pPr>
        <w:keepNext/>
        <w:tabs>
          <w:tab w:val="left" w:pos="540"/>
        </w:tabs>
        <w:jc w:val="center"/>
        <w:outlineLvl w:val="1"/>
        <w:rPr>
          <w:b/>
        </w:rPr>
      </w:pPr>
    </w:p>
    <w:p w14:paraId="5CA7A786" w14:textId="77777777" w:rsidR="00FD5C4A" w:rsidRPr="00A333F1" w:rsidRDefault="00FD5C4A" w:rsidP="00A333F1">
      <w:pPr>
        <w:keepNext/>
        <w:tabs>
          <w:tab w:val="left" w:pos="540"/>
        </w:tabs>
        <w:jc w:val="center"/>
        <w:outlineLvl w:val="1"/>
        <w:rPr>
          <w:b/>
        </w:rPr>
      </w:pPr>
    </w:p>
    <w:p w14:paraId="26D2B2B2" w14:textId="77777777" w:rsidR="00FD5C4A" w:rsidRPr="00A333F1" w:rsidRDefault="00FD5C4A" w:rsidP="00A333F1">
      <w:pPr>
        <w:keepNext/>
        <w:tabs>
          <w:tab w:val="left" w:pos="540"/>
        </w:tabs>
        <w:jc w:val="center"/>
        <w:outlineLvl w:val="1"/>
        <w:rPr>
          <w:b/>
        </w:rPr>
      </w:pPr>
    </w:p>
    <w:p w14:paraId="7C1E2988" w14:textId="77777777" w:rsidR="00FD5C4A" w:rsidRPr="00A333F1" w:rsidRDefault="00FD5C4A" w:rsidP="00A333F1">
      <w:pPr>
        <w:keepNext/>
        <w:tabs>
          <w:tab w:val="left" w:pos="540"/>
        </w:tabs>
        <w:jc w:val="center"/>
        <w:outlineLvl w:val="1"/>
        <w:rPr>
          <w:b/>
        </w:rPr>
      </w:pPr>
    </w:p>
    <w:p w14:paraId="2C2C4290" w14:textId="77777777" w:rsidR="00FD5C4A" w:rsidRPr="00A333F1" w:rsidRDefault="00FD5C4A" w:rsidP="00A333F1">
      <w:pPr>
        <w:keepNext/>
        <w:tabs>
          <w:tab w:val="left" w:pos="540"/>
        </w:tabs>
        <w:jc w:val="center"/>
        <w:outlineLvl w:val="1"/>
        <w:rPr>
          <w:b/>
        </w:rPr>
      </w:pPr>
    </w:p>
    <w:p w14:paraId="39026767" w14:textId="77777777" w:rsidR="00FD5C4A" w:rsidRPr="00A333F1" w:rsidRDefault="00FD5C4A" w:rsidP="00A333F1">
      <w:pPr>
        <w:keepNext/>
        <w:tabs>
          <w:tab w:val="left" w:pos="540"/>
        </w:tabs>
        <w:jc w:val="center"/>
        <w:outlineLvl w:val="1"/>
        <w:rPr>
          <w:b/>
        </w:rPr>
      </w:pPr>
    </w:p>
    <w:p w14:paraId="2C45B322" w14:textId="77777777" w:rsidR="00FD5C4A" w:rsidRPr="00A333F1" w:rsidRDefault="00FD5C4A" w:rsidP="00A333F1">
      <w:pPr>
        <w:keepNext/>
        <w:tabs>
          <w:tab w:val="left" w:pos="540"/>
        </w:tabs>
        <w:jc w:val="center"/>
        <w:outlineLvl w:val="1"/>
        <w:rPr>
          <w:b/>
        </w:rPr>
      </w:pPr>
    </w:p>
    <w:p w14:paraId="08F5FB98" w14:textId="77777777" w:rsidR="00FD5C4A" w:rsidRPr="00A333F1" w:rsidRDefault="00FD5C4A" w:rsidP="00A333F1">
      <w:pPr>
        <w:keepNext/>
        <w:tabs>
          <w:tab w:val="left" w:pos="540"/>
        </w:tabs>
        <w:jc w:val="center"/>
        <w:outlineLvl w:val="1"/>
        <w:rPr>
          <w:b/>
        </w:rPr>
      </w:pPr>
    </w:p>
    <w:p w14:paraId="5FC19A55" w14:textId="77777777" w:rsidR="00FD5C4A" w:rsidRPr="00A333F1" w:rsidRDefault="00FD5C4A" w:rsidP="00A333F1">
      <w:pPr>
        <w:keepNext/>
        <w:tabs>
          <w:tab w:val="left" w:pos="540"/>
        </w:tabs>
        <w:jc w:val="center"/>
        <w:outlineLvl w:val="1"/>
        <w:rPr>
          <w:b/>
        </w:rPr>
      </w:pPr>
    </w:p>
    <w:p w14:paraId="214A9DDA" w14:textId="77777777" w:rsidR="00FD5C4A" w:rsidRPr="00A333F1" w:rsidRDefault="00FD5C4A" w:rsidP="00A333F1">
      <w:pPr>
        <w:keepNext/>
        <w:tabs>
          <w:tab w:val="left" w:pos="540"/>
        </w:tabs>
        <w:jc w:val="center"/>
        <w:outlineLvl w:val="1"/>
        <w:rPr>
          <w:b/>
        </w:rPr>
      </w:pPr>
    </w:p>
    <w:p w14:paraId="4696680C" w14:textId="77777777" w:rsidR="00FD5C4A" w:rsidRPr="00A333F1" w:rsidRDefault="00FD5C4A" w:rsidP="00A333F1">
      <w:pPr>
        <w:keepNext/>
        <w:tabs>
          <w:tab w:val="left" w:pos="540"/>
        </w:tabs>
        <w:jc w:val="center"/>
        <w:outlineLvl w:val="1"/>
        <w:rPr>
          <w:b/>
        </w:rPr>
      </w:pPr>
    </w:p>
    <w:p w14:paraId="13226283" w14:textId="77777777" w:rsidR="00FD5C4A" w:rsidRPr="00A333F1" w:rsidRDefault="00FD5C4A" w:rsidP="00A333F1">
      <w:pPr>
        <w:keepNext/>
        <w:tabs>
          <w:tab w:val="left" w:pos="540"/>
        </w:tabs>
        <w:jc w:val="center"/>
        <w:outlineLvl w:val="1"/>
        <w:rPr>
          <w:b/>
        </w:rPr>
      </w:pPr>
    </w:p>
    <w:p w14:paraId="292A0060" w14:textId="77777777" w:rsidR="00FD5C4A" w:rsidRPr="00A333F1" w:rsidRDefault="00FD5C4A" w:rsidP="00A333F1">
      <w:pPr>
        <w:keepNext/>
        <w:tabs>
          <w:tab w:val="left" w:pos="540"/>
        </w:tabs>
        <w:jc w:val="center"/>
        <w:outlineLvl w:val="1"/>
        <w:rPr>
          <w:b/>
        </w:rPr>
      </w:pPr>
    </w:p>
    <w:p w14:paraId="4B5D32F9" w14:textId="77777777" w:rsidR="00FD5C4A" w:rsidRPr="00A333F1" w:rsidRDefault="00FD5C4A" w:rsidP="00A333F1">
      <w:pPr>
        <w:keepNext/>
        <w:tabs>
          <w:tab w:val="left" w:pos="540"/>
        </w:tabs>
        <w:jc w:val="center"/>
        <w:outlineLvl w:val="1"/>
        <w:rPr>
          <w:b/>
        </w:rPr>
      </w:pPr>
    </w:p>
    <w:p w14:paraId="51795AF7" w14:textId="77777777" w:rsidR="00FD5C4A" w:rsidRPr="00A333F1" w:rsidRDefault="00FD5C4A" w:rsidP="00A333F1">
      <w:pPr>
        <w:keepNext/>
        <w:tabs>
          <w:tab w:val="left" w:pos="540"/>
        </w:tabs>
        <w:jc w:val="center"/>
        <w:outlineLvl w:val="1"/>
        <w:rPr>
          <w:b/>
        </w:rPr>
      </w:pPr>
    </w:p>
    <w:p w14:paraId="37A38DC6" w14:textId="77777777" w:rsidR="00FD5C4A" w:rsidRPr="00A333F1" w:rsidRDefault="00FD5C4A" w:rsidP="00A333F1"/>
    <w:p w14:paraId="1882A8D1" w14:textId="77777777" w:rsidR="00FD5C4A" w:rsidRPr="00A333F1" w:rsidRDefault="00FD5C4A" w:rsidP="00A333F1">
      <w:pPr>
        <w:keepNext/>
        <w:tabs>
          <w:tab w:val="left" w:pos="540"/>
        </w:tabs>
        <w:jc w:val="center"/>
        <w:outlineLvl w:val="1"/>
        <w:rPr>
          <w:b/>
        </w:rPr>
      </w:pPr>
      <w:r w:rsidRPr="00A333F1">
        <w:rPr>
          <w:b/>
        </w:rPr>
        <w:t>III PRIEDAS</w:t>
      </w:r>
    </w:p>
    <w:p w14:paraId="67932321" w14:textId="77777777" w:rsidR="00FD5C4A" w:rsidRPr="00A333F1" w:rsidRDefault="00FD5C4A" w:rsidP="00A333F1"/>
    <w:p w14:paraId="12B79497" w14:textId="77777777" w:rsidR="00FD5C4A" w:rsidRPr="00A333F1" w:rsidRDefault="00FD5C4A" w:rsidP="00A333F1">
      <w:pPr>
        <w:keepNext/>
        <w:tabs>
          <w:tab w:val="left" w:pos="540"/>
        </w:tabs>
        <w:jc w:val="center"/>
        <w:outlineLvl w:val="1"/>
        <w:rPr>
          <w:b/>
        </w:rPr>
      </w:pPr>
      <w:r w:rsidRPr="00A333F1">
        <w:rPr>
          <w:b/>
        </w:rPr>
        <w:t>ŽENKLINIMAS IR PAKUOTĖS LAPELIS</w:t>
      </w:r>
    </w:p>
    <w:p w14:paraId="27CC120A" w14:textId="77777777" w:rsidR="00FD5C4A" w:rsidRPr="00A333F1" w:rsidRDefault="00FD5C4A" w:rsidP="00A333F1">
      <w:r w:rsidRPr="00A333F1">
        <w:br w:type="page"/>
      </w:r>
    </w:p>
    <w:p w14:paraId="5ADCD16A" w14:textId="77777777" w:rsidR="00FD5C4A" w:rsidRPr="00A333F1" w:rsidRDefault="00FD5C4A" w:rsidP="00A333F1"/>
    <w:p w14:paraId="645AA9CB" w14:textId="77777777" w:rsidR="00FD5C4A" w:rsidRPr="00A333F1" w:rsidRDefault="00FD5C4A" w:rsidP="00A333F1"/>
    <w:p w14:paraId="0530CC3B" w14:textId="77777777" w:rsidR="00FD5C4A" w:rsidRPr="00A333F1" w:rsidRDefault="00FD5C4A" w:rsidP="00A333F1"/>
    <w:p w14:paraId="3C17B419" w14:textId="77777777" w:rsidR="00FD5C4A" w:rsidRPr="00A333F1" w:rsidRDefault="00FD5C4A" w:rsidP="00A333F1"/>
    <w:p w14:paraId="7464F38D" w14:textId="77777777" w:rsidR="00FD5C4A" w:rsidRPr="00A333F1" w:rsidRDefault="00FD5C4A" w:rsidP="00A333F1"/>
    <w:p w14:paraId="5FE06B92" w14:textId="77777777" w:rsidR="00FD5C4A" w:rsidRPr="00A333F1" w:rsidRDefault="00FD5C4A" w:rsidP="00A333F1"/>
    <w:p w14:paraId="3F8BA9EA" w14:textId="77777777" w:rsidR="00FD5C4A" w:rsidRPr="00A333F1" w:rsidRDefault="00FD5C4A" w:rsidP="00A333F1"/>
    <w:p w14:paraId="6C0242BB" w14:textId="77777777" w:rsidR="00FD5C4A" w:rsidRPr="00A333F1" w:rsidRDefault="00FD5C4A" w:rsidP="00A333F1"/>
    <w:p w14:paraId="2DC70023" w14:textId="77777777" w:rsidR="00FD5C4A" w:rsidRPr="00A333F1" w:rsidRDefault="00FD5C4A" w:rsidP="00A333F1"/>
    <w:p w14:paraId="465D1076" w14:textId="77777777" w:rsidR="00FD5C4A" w:rsidRPr="00A333F1" w:rsidRDefault="00FD5C4A" w:rsidP="00A333F1"/>
    <w:p w14:paraId="7B4D5F39" w14:textId="77777777" w:rsidR="00FD5C4A" w:rsidRPr="00A333F1" w:rsidRDefault="00FD5C4A" w:rsidP="00A333F1"/>
    <w:p w14:paraId="624AFE2C" w14:textId="77777777" w:rsidR="00FD5C4A" w:rsidRPr="00A333F1" w:rsidRDefault="00FD5C4A" w:rsidP="00A333F1"/>
    <w:p w14:paraId="7205D08C" w14:textId="77777777" w:rsidR="00FD5C4A" w:rsidRPr="00A333F1" w:rsidRDefault="00FD5C4A" w:rsidP="00A333F1"/>
    <w:p w14:paraId="641E80A5" w14:textId="77777777" w:rsidR="00FD5C4A" w:rsidRPr="00A333F1" w:rsidRDefault="00FD5C4A" w:rsidP="00A333F1"/>
    <w:p w14:paraId="013A2877" w14:textId="77777777" w:rsidR="00FD5C4A" w:rsidRPr="00A333F1" w:rsidRDefault="00FD5C4A" w:rsidP="00A333F1"/>
    <w:p w14:paraId="2F2F0DA3" w14:textId="77777777" w:rsidR="00FD5C4A" w:rsidRPr="00A333F1" w:rsidRDefault="00FD5C4A" w:rsidP="00A333F1"/>
    <w:p w14:paraId="3B2AE6BB" w14:textId="77777777" w:rsidR="00FD5C4A" w:rsidRPr="00A333F1" w:rsidRDefault="00FD5C4A" w:rsidP="00A333F1"/>
    <w:p w14:paraId="77E261F8" w14:textId="77777777" w:rsidR="00FD5C4A" w:rsidRPr="00A333F1" w:rsidRDefault="00FD5C4A" w:rsidP="00A333F1"/>
    <w:p w14:paraId="42D55AEF" w14:textId="77777777" w:rsidR="00FD5C4A" w:rsidRPr="00A333F1" w:rsidRDefault="00FD5C4A" w:rsidP="00A333F1"/>
    <w:p w14:paraId="0E0E55C6" w14:textId="77777777" w:rsidR="00FD5C4A" w:rsidRPr="00A333F1" w:rsidRDefault="00FD5C4A" w:rsidP="00A333F1"/>
    <w:p w14:paraId="56FD4354" w14:textId="77777777" w:rsidR="00FD5C4A" w:rsidRPr="00A333F1" w:rsidRDefault="00FD5C4A" w:rsidP="00A333F1"/>
    <w:p w14:paraId="4D0CC269" w14:textId="77777777" w:rsidR="00FD5C4A" w:rsidRPr="00A333F1" w:rsidRDefault="00FD5C4A" w:rsidP="00A333F1"/>
    <w:p w14:paraId="7D8B0843" w14:textId="77777777" w:rsidR="00FD5C4A" w:rsidRPr="00A333F1" w:rsidRDefault="00FD5C4A" w:rsidP="00A333F1"/>
    <w:p w14:paraId="59C8F58A" w14:textId="77777777" w:rsidR="00FD5C4A" w:rsidRPr="00A333F1" w:rsidRDefault="00FD5C4A" w:rsidP="00A333F1">
      <w:pPr>
        <w:keepNext/>
        <w:tabs>
          <w:tab w:val="left" w:pos="540"/>
        </w:tabs>
        <w:jc w:val="center"/>
        <w:outlineLvl w:val="1"/>
        <w:rPr>
          <w:b/>
        </w:rPr>
      </w:pPr>
      <w:r w:rsidRPr="00A333F1">
        <w:rPr>
          <w:b/>
        </w:rPr>
        <w:t>A. ŽENKLINIMAS</w:t>
      </w:r>
    </w:p>
    <w:p w14:paraId="0D808B13" w14:textId="77777777" w:rsidR="00FD5C4A" w:rsidRPr="00A333F1" w:rsidRDefault="00FD5C4A" w:rsidP="00A333F1">
      <w:r w:rsidRPr="00A333F1">
        <w:br w:type="page"/>
      </w:r>
    </w:p>
    <w:p w14:paraId="17640683" w14:textId="77777777" w:rsidR="00FD5C4A" w:rsidRPr="00A333F1" w:rsidRDefault="00FD5C4A" w:rsidP="00A333F1">
      <w:pPr>
        <w:pBdr>
          <w:top w:val="single" w:sz="4" w:space="1" w:color="auto"/>
          <w:left w:val="single" w:sz="4" w:space="4" w:color="auto"/>
          <w:bottom w:val="single" w:sz="4" w:space="1" w:color="auto"/>
          <w:right w:val="single" w:sz="4" w:space="4" w:color="auto"/>
        </w:pBdr>
        <w:rPr>
          <w:b/>
        </w:rPr>
      </w:pPr>
      <w:r w:rsidRPr="00A333F1">
        <w:rPr>
          <w:b/>
        </w:rPr>
        <w:t>INFORMACIJA ANT IŠORINĖS PAKUOTĖS</w:t>
      </w:r>
    </w:p>
    <w:p w14:paraId="735A8250"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rPr>
          <w:b/>
        </w:rPr>
      </w:pPr>
    </w:p>
    <w:p w14:paraId="72463623" w14:textId="77777777" w:rsidR="00FD5C4A" w:rsidRPr="00A333F1" w:rsidRDefault="003B52F8" w:rsidP="00A333F1">
      <w:pPr>
        <w:pBdr>
          <w:top w:val="single" w:sz="4" w:space="1" w:color="auto"/>
          <w:left w:val="single" w:sz="4" w:space="4" w:color="auto"/>
          <w:bottom w:val="single" w:sz="4" w:space="1" w:color="auto"/>
          <w:right w:val="single" w:sz="4" w:space="4" w:color="auto"/>
        </w:pBdr>
        <w:rPr>
          <w:b/>
        </w:rPr>
      </w:pPr>
      <w:r w:rsidRPr="00A333F1">
        <w:rPr>
          <w:b/>
        </w:rPr>
        <w:t>KARTONO DĖŽUTĖ</w:t>
      </w:r>
    </w:p>
    <w:p w14:paraId="0A97DF52" w14:textId="77777777" w:rsidR="00FD5C4A" w:rsidRPr="00A333F1" w:rsidRDefault="00FD5C4A" w:rsidP="00A333F1"/>
    <w:p w14:paraId="7F5EF0FA" w14:textId="77777777" w:rsidR="00FD5C4A" w:rsidRPr="00A333F1" w:rsidRDefault="00FD5C4A" w:rsidP="00A333F1"/>
    <w:p w14:paraId="784F9CC1"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outlineLvl w:val="0"/>
      </w:pPr>
      <w:r w:rsidRPr="00A333F1">
        <w:rPr>
          <w:b/>
        </w:rPr>
        <w:t>1.</w:t>
      </w:r>
      <w:r w:rsidRPr="00A333F1">
        <w:rPr>
          <w:b/>
        </w:rPr>
        <w:tab/>
      </w:r>
      <w:r w:rsidRPr="00A333F1">
        <w:rPr>
          <w:b/>
          <w:caps/>
        </w:rPr>
        <w:t>VAISTINIO</w:t>
      </w:r>
      <w:r w:rsidRPr="00A333F1">
        <w:rPr>
          <w:b/>
        </w:rPr>
        <w:t xml:space="preserve"> PREPARATO PAVADINIMAS</w:t>
      </w:r>
    </w:p>
    <w:p w14:paraId="213D94B9" w14:textId="77777777" w:rsidR="00FD5C4A" w:rsidRPr="00A333F1" w:rsidRDefault="00FD5C4A" w:rsidP="00A333F1"/>
    <w:p w14:paraId="527F3361" w14:textId="77777777" w:rsidR="00FD5C4A" w:rsidRPr="00A333F1" w:rsidRDefault="00254A51" w:rsidP="00A333F1">
      <w:pPr>
        <w:autoSpaceDE w:val="0"/>
        <w:autoSpaceDN w:val="0"/>
        <w:adjustRightInd w:val="0"/>
      </w:pPr>
      <w:r w:rsidRPr="00A333F1">
        <w:t xml:space="preserve">Quator </w:t>
      </w:r>
      <w:r w:rsidR="00FD5C4A" w:rsidRPr="00A333F1">
        <w:t>5</w:t>
      </w:r>
      <w:r w:rsidR="000B5CC7" w:rsidRPr="00A333F1">
        <w:t> mg</w:t>
      </w:r>
      <w:r w:rsidR="00FD5C4A" w:rsidRPr="00A333F1">
        <w:t xml:space="preserve"> pl</w:t>
      </w:r>
      <w:r w:rsidR="00FD5C4A" w:rsidRPr="00797CDB">
        <w:rPr>
          <w:rFonts w:eastAsia="TimesNewRomanPSMT"/>
        </w:rPr>
        <w:t>ė</w:t>
      </w:r>
      <w:r w:rsidR="00FD5C4A" w:rsidRPr="00A333F1">
        <w:t>vele dengtos tablet</w:t>
      </w:r>
      <w:r w:rsidR="00FD5C4A" w:rsidRPr="00797CDB">
        <w:rPr>
          <w:rFonts w:eastAsia="TimesNewRomanPSMT"/>
        </w:rPr>
        <w:t>ė</w:t>
      </w:r>
      <w:r w:rsidR="00FD5C4A" w:rsidRPr="00A333F1">
        <w:t>s</w:t>
      </w:r>
    </w:p>
    <w:p w14:paraId="74E2F696" w14:textId="77777777" w:rsidR="003B52F8" w:rsidRPr="00A333F1" w:rsidRDefault="00254A51" w:rsidP="00A333F1">
      <w:pPr>
        <w:shd w:val="clear" w:color="auto" w:fill="D9D9D9" w:themeFill="background1" w:themeFillShade="D9"/>
      </w:pPr>
      <w:r w:rsidRPr="00A333F1">
        <w:t xml:space="preserve">Quator </w:t>
      </w:r>
      <w:r w:rsidR="003B52F8" w:rsidRPr="00A333F1">
        <w:rPr>
          <w:highlight w:val="lightGray"/>
        </w:rPr>
        <w:t>10 mg pl</w:t>
      </w:r>
      <w:r w:rsidR="003B52F8" w:rsidRPr="00797CDB">
        <w:rPr>
          <w:rFonts w:eastAsia="TimesNewRomanPSMT"/>
          <w:highlight w:val="lightGray"/>
        </w:rPr>
        <w:t>ė</w:t>
      </w:r>
      <w:r w:rsidR="003B52F8" w:rsidRPr="00A333F1">
        <w:rPr>
          <w:highlight w:val="lightGray"/>
        </w:rPr>
        <w:t>vele dengtos tablet</w:t>
      </w:r>
      <w:r w:rsidR="003B52F8" w:rsidRPr="00797CDB">
        <w:rPr>
          <w:rFonts w:eastAsia="TimesNewRomanPSMT"/>
          <w:highlight w:val="lightGray"/>
        </w:rPr>
        <w:t>ė</w:t>
      </w:r>
      <w:r w:rsidR="003B52F8" w:rsidRPr="00A333F1">
        <w:rPr>
          <w:highlight w:val="lightGray"/>
        </w:rPr>
        <w:t>s</w:t>
      </w:r>
    </w:p>
    <w:p w14:paraId="421ADD57" w14:textId="77777777" w:rsidR="00FD5C4A" w:rsidRPr="00A333F1" w:rsidRDefault="00254A51" w:rsidP="00A333F1">
      <w:pPr>
        <w:shd w:val="clear" w:color="auto" w:fill="BFBFBF" w:themeFill="background1" w:themeFillShade="BF"/>
      </w:pPr>
      <w:r w:rsidRPr="00A333F1">
        <w:t xml:space="preserve">Quator </w:t>
      </w:r>
      <w:r w:rsidR="00FD5C4A" w:rsidRPr="00A333F1">
        <w:t>20</w:t>
      </w:r>
      <w:r w:rsidR="000B5CC7" w:rsidRPr="00A333F1">
        <w:t> mg</w:t>
      </w:r>
      <w:r w:rsidR="00FD5C4A" w:rsidRPr="00A333F1">
        <w:t xml:space="preserve"> pl</w:t>
      </w:r>
      <w:r w:rsidR="00FD5C4A" w:rsidRPr="00797CDB">
        <w:rPr>
          <w:rFonts w:eastAsia="TimesNewRomanPSMT"/>
        </w:rPr>
        <w:t>ė</w:t>
      </w:r>
      <w:r w:rsidR="00FD5C4A" w:rsidRPr="00A333F1">
        <w:t>vele dengtos tablet</w:t>
      </w:r>
      <w:r w:rsidR="00FD5C4A" w:rsidRPr="00797CDB">
        <w:rPr>
          <w:rFonts w:eastAsia="TimesNewRomanPSMT"/>
        </w:rPr>
        <w:t>ė</w:t>
      </w:r>
      <w:r w:rsidR="00FD5C4A" w:rsidRPr="00A333F1">
        <w:t>s</w:t>
      </w:r>
    </w:p>
    <w:p w14:paraId="1BAA2E65" w14:textId="77777777" w:rsidR="00540A4D" w:rsidRPr="00A333F1" w:rsidRDefault="00540A4D" w:rsidP="00A333F1"/>
    <w:p w14:paraId="6AC29FB9" w14:textId="640C31DE" w:rsidR="00FD5C4A" w:rsidRPr="00BE7FAC" w:rsidRDefault="0029693F" w:rsidP="00FD5C4A">
      <w:pPr>
        <w:rPr>
          <w:szCs w:val="22"/>
        </w:rPr>
      </w:pPr>
      <w:r>
        <w:rPr>
          <w:szCs w:val="22"/>
        </w:rPr>
        <w:t>t</w:t>
      </w:r>
      <w:r w:rsidR="00FD5C4A" w:rsidRPr="00BE7FAC">
        <w:rPr>
          <w:szCs w:val="22"/>
        </w:rPr>
        <w:t>adalafilum</w:t>
      </w:r>
    </w:p>
    <w:p w14:paraId="47765D8A" w14:textId="77777777" w:rsidR="00FD5C4A" w:rsidRPr="00A333F1" w:rsidRDefault="00FD5C4A" w:rsidP="00A333F1">
      <w:pPr>
        <w:rPr>
          <w:i/>
        </w:rPr>
      </w:pPr>
    </w:p>
    <w:p w14:paraId="22EF4F1A" w14:textId="77777777" w:rsidR="00FD5C4A" w:rsidRPr="00A333F1" w:rsidRDefault="00FD5C4A" w:rsidP="00A333F1"/>
    <w:p w14:paraId="51BA555C"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outlineLvl w:val="0"/>
        <w:rPr>
          <w:b/>
        </w:rPr>
      </w:pPr>
      <w:r w:rsidRPr="00A333F1">
        <w:rPr>
          <w:b/>
        </w:rPr>
        <w:t>2.</w:t>
      </w:r>
      <w:r w:rsidRPr="00A333F1">
        <w:rPr>
          <w:b/>
        </w:rPr>
        <w:tab/>
        <w:t>VEIKLIOJI (-IOS) MEDŽIAGA (-OS) IR JOS (-Ų) KIEKIS (-IAI)</w:t>
      </w:r>
    </w:p>
    <w:p w14:paraId="74699E1C" w14:textId="77777777" w:rsidR="00FD5C4A" w:rsidRPr="00A333F1" w:rsidRDefault="00FD5C4A" w:rsidP="00A333F1"/>
    <w:p w14:paraId="12E38366"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Kiekvienoje tabletėje yra 5</w:t>
      </w:r>
      <w:r w:rsidR="000B5CC7" w:rsidRPr="00797CDB">
        <w:rPr>
          <w:rFonts w:eastAsia="TimesNewRomanPSMT"/>
        </w:rPr>
        <w:t> mg</w:t>
      </w:r>
      <w:r w:rsidRPr="00797CDB">
        <w:rPr>
          <w:rFonts w:eastAsia="TimesNewRomanPSMT"/>
        </w:rPr>
        <w:t xml:space="preserve"> tadalafilio.</w:t>
      </w:r>
    </w:p>
    <w:p w14:paraId="3D3490D5" w14:textId="77777777" w:rsidR="003B52F8" w:rsidRPr="00797CDB" w:rsidRDefault="003B52F8" w:rsidP="00A333F1">
      <w:pPr>
        <w:shd w:val="clear" w:color="auto" w:fill="D9D9D9" w:themeFill="background1" w:themeFillShade="D9"/>
        <w:rPr>
          <w:rFonts w:asciiTheme="minorHAnsi" w:eastAsia="TimesNewRomanPSMT" w:hAnsiTheme="minorHAnsi" w:cstheme="minorBidi"/>
          <w:szCs w:val="22"/>
          <w:lang w:eastAsia="en-US"/>
        </w:rPr>
      </w:pPr>
      <w:r w:rsidRPr="00797CDB">
        <w:rPr>
          <w:rFonts w:eastAsia="TimesNewRomanPSMT"/>
        </w:rPr>
        <w:t>Kiekvienoje tabletėje yra 10 mg tadalafilio.</w:t>
      </w:r>
    </w:p>
    <w:p w14:paraId="24A51EBC" w14:textId="77777777" w:rsidR="00FD5C4A" w:rsidRPr="00A333F1" w:rsidRDefault="00FD5C4A" w:rsidP="00A333F1">
      <w:pPr>
        <w:shd w:val="clear" w:color="auto" w:fill="BFBFBF" w:themeFill="background1" w:themeFillShade="BF"/>
        <w:rPr>
          <w:rFonts w:asciiTheme="minorHAnsi" w:eastAsiaTheme="minorHAnsi" w:hAnsiTheme="minorHAnsi" w:cstheme="minorBidi"/>
          <w:szCs w:val="22"/>
          <w:lang w:eastAsia="en-US"/>
        </w:rPr>
      </w:pPr>
      <w:r w:rsidRPr="00797CDB">
        <w:rPr>
          <w:rFonts w:eastAsia="TimesNewRomanPSMT"/>
        </w:rPr>
        <w:t>Kiekvienoje tabletėje yra 20</w:t>
      </w:r>
      <w:r w:rsidR="000B5CC7" w:rsidRPr="00797CDB">
        <w:rPr>
          <w:rFonts w:eastAsia="TimesNewRomanPSMT"/>
        </w:rPr>
        <w:t> mg</w:t>
      </w:r>
      <w:r w:rsidRPr="00797CDB">
        <w:rPr>
          <w:rFonts w:eastAsia="TimesNewRomanPSMT"/>
        </w:rPr>
        <w:t xml:space="preserve"> tadalafilio.</w:t>
      </w:r>
    </w:p>
    <w:p w14:paraId="6D98E697" w14:textId="77777777" w:rsidR="00FD5C4A" w:rsidRPr="00A333F1" w:rsidRDefault="00FD5C4A" w:rsidP="00A333F1"/>
    <w:p w14:paraId="1DD315F6" w14:textId="77777777" w:rsidR="00FD5C4A" w:rsidRPr="00A333F1" w:rsidRDefault="00FD5C4A" w:rsidP="00A333F1"/>
    <w:p w14:paraId="45FE2F72"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outlineLvl w:val="0"/>
      </w:pPr>
      <w:r w:rsidRPr="00A333F1">
        <w:rPr>
          <w:b/>
        </w:rPr>
        <w:t>3.</w:t>
      </w:r>
      <w:r w:rsidRPr="00A333F1">
        <w:rPr>
          <w:b/>
        </w:rPr>
        <w:tab/>
        <w:t>PAGALBINIŲ MEDŽIAGŲ SĄRAŠAS</w:t>
      </w:r>
    </w:p>
    <w:p w14:paraId="436F0147" w14:textId="77777777" w:rsidR="00FD5C4A" w:rsidRPr="00A333F1" w:rsidRDefault="00FD5C4A" w:rsidP="00A333F1"/>
    <w:p w14:paraId="1490EAF8" w14:textId="77777777" w:rsidR="00FD5C4A" w:rsidRPr="00A333F1" w:rsidRDefault="00FD5C4A" w:rsidP="00A333F1">
      <w:r w:rsidRPr="00A333F1">
        <w:t xml:space="preserve">Sudėtyje yra laktozės. </w:t>
      </w:r>
      <w:r w:rsidRPr="00A333F1">
        <w:rPr>
          <w:highlight w:val="lightGray"/>
        </w:rPr>
        <w:t>Daugiau informacijos pateikta pakuotės lapelyje.</w:t>
      </w:r>
    </w:p>
    <w:p w14:paraId="1692EE55" w14:textId="77777777" w:rsidR="00FD5C4A" w:rsidRPr="00A333F1" w:rsidRDefault="00FD5C4A" w:rsidP="00A333F1"/>
    <w:p w14:paraId="1DCDFC3C" w14:textId="77777777" w:rsidR="00FD5C4A" w:rsidRPr="00A333F1" w:rsidRDefault="00FD5C4A" w:rsidP="00A333F1"/>
    <w:p w14:paraId="02525CF9"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outlineLvl w:val="0"/>
      </w:pPr>
      <w:r w:rsidRPr="00A333F1">
        <w:rPr>
          <w:b/>
        </w:rPr>
        <w:t>4.</w:t>
      </w:r>
      <w:r w:rsidRPr="00A333F1">
        <w:rPr>
          <w:b/>
        </w:rPr>
        <w:tab/>
        <w:t>FARMACINĖ FORMA IR KIEKIS PAKUOTĖJE</w:t>
      </w:r>
    </w:p>
    <w:p w14:paraId="2CC56166" w14:textId="77777777" w:rsidR="00FD5C4A" w:rsidRPr="00A333F1" w:rsidRDefault="00FD5C4A" w:rsidP="00A333F1"/>
    <w:p w14:paraId="2B364E97" w14:textId="77777777" w:rsidR="00FD5C4A" w:rsidRPr="00A333F1" w:rsidRDefault="00FD5C4A" w:rsidP="00A333F1">
      <w:r w:rsidRPr="00A333F1">
        <w:rPr>
          <w:highlight w:val="lightGray"/>
        </w:rPr>
        <w:t>Plėvele dengt</w:t>
      </w:r>
      <w:r w:rsidR="009C6D19" w:rsidRPr="00A333F1">
        <w:rPr>
          <w:highlight w:val="lightGray"/>
        </w:rPr>
        <w:t>os</w:t>
      </w:r>
      <w:r w:rsidRPr="00A333F1">
        <w:rPr>
          <w:highlight w:val="lightGray"/>
        </w:rPr>
        <w:t xml:space="preserve"> tabletė</w:t>
      </w:r>
      <w:r w:rsidR="009C6D19" w:rsidRPr="00A333F1">
        <w:rPr>
          <w:highlight w:val="lightGray"/>
        </w:rPr>
        <w:t>s</w:t>
      </w:r>
    </w:p>
    <w:p w14:paraId="5D71BABD" w14:textId="77777777" w:rsidR="00FD5C4A" w:rsidRPr="00A333F1" w:rsidRDefault="00FD5C4A" w:rsidP="00A333F1"/>
    <w:p w14:paraId="6F15D43A" w14:textId="77777777" w:rsidR="003B52F8" w:rsidRPr="00A333F1" w:rsidRDefault="003B52F8" w:rsidP="00A333F1">
      <w:pPr>
        <w:rPr>
          <w:color w:val="70AD47" w:themeColor="accent6"/>
        </w:rPr>
      </w:pPr>
      <w:r w:rsidRPr="00A333F1">
        <w:rPr>
          <w:color w:val="70AD47" w:themeColor="accent6"/>
        </w:rPr>
        <w:t>[Tik 5 mg]</w:t>
      </w:r>
    </w:p>
    <w:p w14:paraId="337BA0AB" w14:textId="5503DA9C" w:rsidR="00FD5C4A" w:rsidRPr="00A333F1" w:rsidRDefault="003B52F8" w:rsidP="00A333F1">
      <w:r w:rsidRPr="00BE7FAC">
        <w:rPr>
          <w:szCs w:val="22"/>
        </w:rPr>
        <w:t>14</w:t>
      </w:r>
      <w:r w:rsidR="0029693F">
        <w:rPr>
          <w:szCs w:val="22"/>
        </w:rPr>
        <w:t>x1</w:t>
      </w:r>
      <w:r w:rsidRPr="00A333F1">
        <w:t xml:space="preserve"> tablečių</w:t>
      </w:r>
    </w:p>
    <w:p w14:paraId="28CF93AB" w14:textId="0FE679A0" w:rsidR="003B52F8" w:rsidRPr="00A333F1" w:rsidRDefault="003B52F8" w:rsidP="00A333F1">
      <w:pPr>
        <w:rPr>
          <w:highlight w:val="lightGray"/>
        </w:rPr>
      </w:pPr>
      <w:r w:rsidRPr="00AD0568">
        <w:rPr>
          <w:szCs w:val="22"/>
          <w:highlight w:val="lightGray"/>
        </w:rPr>
        <w:t>28</w:t>
      </w:r>
      <w:r w:rsidR="0029693F">
        <w:rPr>
          <w:szCs w:val="22"/>
          <w:highlight w:val="lightGray"/>
        </w:rPr>
        <w:t>x1</w:t>
      </w:r>
      <w:r w:rsidRPr="00A333F1">
        <w:rPr>
          <w:highlight w:val="lightGray"/>
        </w:rPr>
        <w:t xml:space="preserve"> tabletės</w:t>
      </w:r>
    </w:p>
    <w:p w14:paraId="3E60CEE7" w14:textId="17D4B8A2" w:rsidR="003B52F8" w:rsidRPr="00A333F1" w:rsidRDefault="003B52F8" w:rsidP="00A333F1">
      <w:r w:rsidRPr="00AD0568">
        <w:rPr>
          <w:szCs w:val="22"/>
          <w:highlight w:val="lightGray"/>
        </w:rPr>
        <w:t>84</w:t>
      </w:r>
      <w:r w:rsidR="0029693F">
        <w:rPr>
          <w:szCs w:val="22"/>
          <w:highlight w:val="lightGray"/>
        </w:rPr>
        <w:t>x1</w:t>
      </w:r>
      <w:r w:rsidRPr="00A333F1">
        <w:rPr>
          <w:highlight w:val="lightGray"/>
        </w:rPr>
        <w:t xml:space="preserve"> tabletės</w:t>
      </w:r>
    </w:p>
    <w:p w14:paraId="22EE4E35" w14:textId="77777777" w:rsidR="003B52F8" w:rsidRPr="00A333F1" w:rsidRDefault="003B52F8" w:rsidP="00A333F1">
      <w:pPr>
        <w:rPr>
          <w:highlight w:val="lightGray"/>
        </w:rPr>
      </w:pPr>
    </w:p>
    <w:p w14:paraId="2B3B1C60" w14:textId="77777777" w:rsidR="003B52F8" w:rsidRPr="00A333F1" w:rsidRDefault="003B52F8" w:rsidP="00A333F1">
      <w:pPr>
        <w:rPr>
          <w:color w:val="70AD47" w:themeColor="accent6"/>
        </w:rPr>
      </w:pPr>
      <w:r w:rsidRPr="00A333F1">
        <w:rPr>
          <w:color w:val="70AD47" w:themeColor="accent6"/>
        </w:rPr>
        <w:t>[Tik 10 mg]</w:t>
      </w:r>
    </w:p>
    <w:p w14:paraId="15BC4F8B" w14:textId="28A87954" w:rsidR="003B52F8" w:rsidRPr="00A333F1" w:rsidRDefault="003B52F8" w:rsidP="00A333F1">
      <w:r w:rsidRPr="00A333F1">
        <w:t xml:space="preserve">4 </w:t>
      </w:r>
      <w:r w:rsidR="0029693F">
        <w:rPr>
          <w:szCs w:val="22"/>
        </w:rPr>
        <w:t>x1</w:t>
      </w:r>
      <w:r w:rsidR="00C373A7">
        <w:rPr>
          <w:szCs w:val="22"/>
        </w:rPr>
        <w:t xml:space="preserve"> </w:t>
      </w:r>
      <w:r w:rsidRPr="00BE7FAC">
        <w:rPr>
          <w:szCs w:val="22"/>
        </w:rPr>
        <w:t>tabletės</w:t>
      </w:r>
    </w:p>
    <w:p w14:paraId="7444319A" w14:textId="7F9785A4" w:rsidR="003B52F8" w:rsidRPr="00A333F1" w:rsidRDefault="003B52F8" w:rsidP="00A333F1">
      <w:pPr>
        <w:rPr>
          <w:highlight w:val="lightGray"/>
        </w:rPr>
      </w:pPr>
      <w:r w:rsidRPr="00AD0568">
        <w:rPr>
          <w:szCs w:val="22"/>
          <w:highlight w:val="lightGray"/>
        </w:rPr>
        <w:t>12</w:t>
      </w:r>
      <w:r w:rsidR="0029693F">
        <w:rPr>
          <w:szCs w:val="22"/>
          <w:highlight w:val="lightGray"/>
        </w:rPr>
        <w:t>x1</w:t>
      </w:r>
      <w:r w:rsidRPr="00A333F1">
        <w:rPr>
          <w:highlight w:val="lightGray"/>
        </w:rPr>
        <w:t xml:space="preserve"> tablečių</w:t>
      </w:r>
    </w:p>
    <w:p w14:paraId="772FE44B" w14:textId="72EED438" w:rsidR="003B52F8" w:rsidRPr="00AD0568" w:rsidRDefault="003B52F8" w:rsidP="003B52F8">
      <w:pPr>
        <w:rPr>
          <w:szCs w:val="22"/>
          <w:highlight w:val="lightGray"/>
        </w:rPr>
      </w:pPr>
      <w:r w:rsidRPr="00AD0568">
        <w:rPr>
          <w:szCs w:val="22"/>
          <w:highlight w:val="lightGray"/>
        </w:rPr>
        <w:t>24</w:t>
      </w:r>
      <w:r w:rsidR="0029693F">
        <w:rPr>
          <w:szCs w:val="22"/>
          <w:highlight w:val="lightGray"/>
        </w:rPr>
        <w:t>x1</w:t>
      </w:r>
      <w:r w:rsidRPr="00AD0568">
        <w:rPr>
          <w:szCs w:val="22"/>
          <w:highlight w:val="lightGray"/>
        </w:rPr>
        <w:t xml:space="preserve"> tabletės</w:t>
      </w:r>
    </w:p>
    <w:p w14:paraId="0355FB20" w14:textId="3BF7E116" w:rsidR="003B52F8" w:rsidRPr="00A333F1" w:rsidRDefault="003B52F8" w:rsidP="00A333F1">
      <w:pPr>
        <w:rPr>
          <w:highlight w:val="lightGray"/>
        </w:rPr>
      </w:pPr>
      <w:r w:rsidRPr="00AD0568">
        <w:rPr>
          <w:szCs w:val="22"/>
          <w:highlight w:val="lightGray"/>
        </w:rPr>
        <w:t>36</w:t>
      </w:r>
      <w:r w:rsidR="0029693F">
        <w:rPr>
          <w:szCs w:val="22"/>
          <w:highlight w:val="lightGray"/>
        </w:rPr>
        <w:t>x1</w:t>
      </w:r>
      <w:r w:rsidRPr="00A333F1">
        <w:rPr>
          <w:highlight w:val="lightGray"/>
        </w:rPr>
        <w:t xml:space="preserve"> tabletės</w:t>
      </w:r>
    </w:p>
    <w:p w14:paraId="148FA111" w14:textId="62435445" w:rsidR="003B52F8" w:rsidRPr="00AD0568" w:rsidRDefault="003B52F8" w:rsidP="003B52F8">
      <w:pPr>
        <w:rPr>
          <w:szCs w:val="22"/>
          <w:highlight w:val="lightGray"/>
        </w:rPr>
      </w:pPr>
      <w:r w:rsidRPr="00AD0568">
        <w:rPr>
          <w:szCs w:val="22"/>
          <w:highlight w:val="lightGray"/>
        </w:rPr>
        <w:t>48</w:t>
      </w:r>
      <w:r w:rsidR="0029693F">
        <w:rPr>
          <w:szCs w:val="22"/>
          <w:highlight w:val="lightGray"/>
        </w:rPr>
        <w:t>x1</w:t>
      </w:r>
      <w:r w:rsidR="00C373A7">
        <w:rPr>
          <w:szCs w:val="22"/>
          <w:highlight w:val="lightGray"/>
        </w:rPr>
        <w:t xml:space="preserve"> </w:t>
      </w:r>
      <w:r w:rsidRPr="00AD0568">
        <w:rPr>
          <w:szCs w:val="22"/>
          <w:highlight w:val="lightGray"/>
        </w:rPr>
        <w:t>tabletės</w:t>
      </w:r>
    </w:p>
    <w:p w14:paraId="6522C39E" w14:textId="77777777" w:rsidR="003B52F8" w:rsidRPr="00A333F1" w:rsidRDefault="003B52F8" w:rsidP="00A333F1">
      <w:pPr>
        <w:rPr>
          <w:highlight w:val="lightGray"/>
        </w:rPr>
      </w:pPr>
    </w:p>
    <w:p w14:paraId="01B77851" w14:textId="77777777" w:rsidR="003B52F8" w:rsidRPr="00A333F1" w:rsidRDefault="003B52F8" w:rsidP="00A333F1">
      <w:pPr>
        <w:rPr>
          <w:color w:val="70AD47" w:themeColor="accent6"/>
        </w:rPr>
      </w:pPr>
      <w:r w:rsidRPr="00A333F1">
        <w:rPr>
          <w:color w:val="70AD47" w:themeColor="accent6"/>
        </w:rPr>
        <w:t>[Tik 20 mg]</w:t>
      </w:r>
    </w:p>
    <w:p w14:paraId="768F6ED3" w14:textId="2C1A6A59" w:rsidR="003B52F8" w:rsidRPr="00A333F1" w:rsidRDefault="003B52F8" w:rsidP="00A333F1">
      <w:r w:rsidRPr="00BE7FAC">
        <w:rPr>
          <w:szCs w:val="22"/>
        </w:rPr>
        <w:t>2</w:t>
      </w:r>
      <w:r w:rsidR="0029693F">
        <w:rPr>
          <w:szCs w:val="22"/>
        </w:rPr>
        <w:t>x1</w:t>
      </w:r>
      <w:r w:rsidRPr="00A333F1">
        <w:t xml:space="preserve"> tabletės</w:t>
      </w:r>
    </w:p>
    <w:p w14:paraId="779B85B8" w14:textId="0C6EABBB" w:rsidR="003B52F8" w:rsidRPr="00A333F1" w:rsidRDefault="003B52F8" w:rsidP="00A333F1">
      <w:pPr>
        <w:rPr>
          <w:highlight w:val="lightGray"/>
        </w:rPr>
      </w:pPr>
      <w:r w:rsidRPr="00AD0568">
        <w:rPr>
          <w:szCs w:val="22"/>
          <w:highlight w:val="lightGray"/>
        </w:rPr>
        <w:t>4</w:t>
      </w:r>
      <w:r w:rsidR="0029693F">
        <w:rPr>
          <w:szCs w:val="22"/>
          <w:highlight w:val="lightGray"/>
        </w:rPr>
        <w:t>x1</w:t>
      </w:r>
      <w:r w:rsidRPr="00A333F1">
        <w:rPr>
          <w:highlight w:val="lightGray"/>
        </w:rPr>
        <w:t xml:space="preserve"> tabletės</w:t>
      </w:r>
    </w:p>
    <w:p w14:paraId="2465D85C" w14:textId="0CBEDEC8" w:rsidR="003B52F8" w:rsidRPr="00A333F1" w:rsidRDefault="003B52F8" w:rsidP="00A333F1">
      <w:pPr>
        <w:rPr>
          <w:highlight w:val="lightGray"/>
        </w:rPr>
      </w:pPr>
      <w:r w:rsidRPr="00AD0568">
        <w:rPr>
          <w:szCs w:val="22"/>
          <w:highlight w:val="lightGray"/>
        </w:rPr>
        <w:t>8</w:t>
      </w:r>
      <w:r w:rsidR="0029693F">
        <w:rPr>
          <w:szCs w:val="22"/>
          <w:highlight w:val="lightGray"/>
        </w:rPr>
        <w:t>x1</w:t>
      </w:r>
      <w:r w:rsidRPr="00A333F1">
        <w:rPr>
          <w:highlight w:val="lightGray"/>
        </w:rPr>
        <w:t xml:space="preserve"> tabletės</w:t>
      </w:r>
    </w:p>
    <w:p w14:paraId="722A0647" w14:textId="11755AD4" w:rsidR="003B52F8" w:rsidRPr="00A333F1" w:rsidRDefault="003B52F8" w:rsidP="00A333F1">
      <w:pPr>
        <w:rPr>
          <w:highlight w:val="lightGray"/>
        </w:rPr>
      </w:pPr>
      <w:r w:rsidRPr="00AD0568">
        <w:rPr>
          <w:szCs w:val="22"/>
          <w:highlight w:val="lightGray"/>
        </w:rPr>
        <w:t>12</w:t>
      </w:r>
      <w:r w:rsidR="0029693F">
        <w:rPr>
          <w:szCs w:val="22"/>
          <w:highlight w:val="lightGray"/>
        </w:rPr>
        <w:t>x1</w:t>
      </w:r>
      <w:r w:rsidRPr="00A333F1">
        <w:rPr>
          <w:highlight w:val="lightGray"/>
        </w:rPr>
        <w:t xml:space="preserve"> tablečių</w:t>
      </w:r>
    </w:p>
    <w:p w14:paraId="513FCF39" w14:textId="5E2A2505" w:rsidR="003B52F8" w:rsidRPr="00A333F1" w:rsidRDefault="003B52F8" w:rsidP="00A333F1">
      <w:pPr>
        <w:rPr>
          <w:highlight w:val="lightGray"/>
        </w:rPr>
      </w:pPr>
      <w:r w:rsidRPr="00AD0568">
        <w:rPr>
          <w:szCs w:val="22"/>
          <w:highlight w:val="lightGray"/>
        </w:rPr>
        <w:t>14</w:t>
      </w:r>
      <w:r w:rsidR="0029693F">
        <w:rPr>
          <w:szCs w:val="22"/>
          <w:highlight w:val="lightGray"/>
        </w:rPr>
        <w:t>x1</w:t>
      </w:r>
      <w:r w:rsidRPr="00A333F1">
        <w:rPr>
          <w:highlight w:val="lightGray"/>
        </w:rPr>
        <w:t xml:space="preserve"> tablečių</w:t>
      </w:r>
    </w:p>
    <w:p w14:paraId="17FD9A3F" w14:textId="11DB1EE4" w:rsidR="003B52F8" w:rsidRPr="00A333F1" w:rsidRDefault="003B52F8" w:rsidP="00A333F1">
      <w:pPr>
        <w:rPr>
          <w:highlight w:val="lightGray"/>
        </w:rPr>
      </w:pPr>
      <w:r w:rsidRPr="00AD0568">
        <w:rPr>
          <w:szCs w:val="22"/>
          <w:highlight w:val="lightGray"/>
        </w:rPr>
        <w:t>24</w:t>
      </w:r>
      <w:r w:rsidR="0029693F">
        <w:rPr>
          <w:szCs w:val="22"/>
          <w:highlight w:val="lightGray"/>
        </w:rPr>
        <w:t>x1</w:t>
      </w:r>
      <w:r w:rsidRPr="00A333F1">
        <w:rPr>
          <w:highlight w:val="lightGray"/>
        </w:rPr>
        <w:t xml:space="preserve"> tabletės</w:t>
      </w:r>
    </w:p>
    <w:p w14:paraId="771322DF" w14:textId="1E3CBDCA" w:rsidR="003B52F8" w:rsidRPr="00A333F1" w:rsidRDefault="003B52F8" w:rsidP="00A333F1">
      <w:pPr>
        <w:rPr>
          <w:highlight w:val="lightGray"/>
        </w:rPr>
      </w:pPr>
      <w:r w:rsidRPr="00AD0568">
        <w:rPr>
          <w:szCs w:val="22"/>
          <w:highlight w:val="lightGray"/>
        </w:rPr>
        <w:t>28</w:t>
      </w:r>
      <w:r w:rsidR="0029693F">
        <w:rPr>
          <w:szCs w:val="22"/>
          <w:highlight w:val="lightGray"/>
        </w:rPr>
        <w:t>x1</w:t>
      </w:r>
      <w:r w:rsidRPr="00A333F1">
        <w:rPr>
          <w:highlight w:val="lightGray"/>
        </w:rPr>
        <w:t xml:space="preserve"> tabletės</w:t>
      </w:r>
    </w:p>
    <w:p w14:paraId="342DC9DC" w14:textId="1B49A143" w:rsidR="003B52F8" w:rsidRPr="00A333F1" w:rsidRDefault="003B52F8" w:rsidP="00A333F1">
      <w:pPr>
        <w:rPr>
          <w:highlight w:val="lightGray"/>
        </w:rPr>
      </w:pPr>
      <w:r w:rsidRPr="00AD0568">
        <w:rPr>
          <w:szCs w:val="22"/>
          <w:highlight w:val="lightGray"/>
        </w:rPr>
        <w:t>36</w:t>
      </w:r>
      <w:r w:rsidR="0029693F">
        <w:rPr>
          <w:szCs w:val="22"/>
          <w:highlight w:val="lightGray"/>
        </w:rPr>
        <w:t>x1</w:t>
      </w:r>
      <w:r w:rsidRPr="00A333F1">
        <w:rPr>
          <w:highlight w:val="lightGray"/>
        </w:rPr>
        <w:t xml:space="preserve"> tabletės</w:t>
      </w:r>
    </w:p>
    <w:p w14:paraId="5BA5D8B5" w14:textId="72BC47A0" w:rsidR="003B52F8" w:rsidRPr="00A333F1" w:rsidRDefault="003B52F8" w:rsidP="00A333F1">
      <w:r w:rsidRPr="00AD0568">
        <w:rPr>
          <w:szCs w:val="22"/>
          <w:highlight w:val="lightGray"/>
        </w:rPr>
        <w:t>48</w:t>
      </w:r>
      <w:r w:rsidR="0029693F">
        <w:rPr>
          <w:szCs w:val="22"/>
          <w:highlight w:val="lightGray"/>
        </w:rPr>
        <w:t>x1</w:t>
      </w:r>
      <w:r w:rsidRPr="00A333F1">
        <w:rPr>
          <w:highlight w:val="lightGray"/>
        </w:rPr>
        <w:t xml:space="preserve"> tabletės</w:t>
      </w:r>
    </w:p>
    <w:p w14:paraId="04778527" w14:textId="77777777" w:rsidR="00FD5C4A" w:rsidRPr="00A333F1" w:rsidRDefault="00FD5C4A" w:rsidP="00A333F1"/>
    <w:p w14:paraId="783BE422" w14:textId="77777777" w:rsidR="003B52F8" w:rsidRPr="00A333F1" w:rsidRDefault="003B52F8" w:rsidP="00A333F1"/>
    <w:p w14:paraId="2CABEAAF"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outlineLvl w:val="0"/>
      </w:pPr>
      <w:r w:rsidRPr="00A333F1">
        <w:rPr>
          <w:b/>
        </w:rPr>
        <w:t>5.</w:t>
      </w:r>
      <w:r w:rsidRPr="00A333F1">
        <w:rPr>
          <w:b/>
        </w:rPr>
        <w:tab/>
        <w:t>VARTOJIMO METODAS IR BŪDAS (-AI)</w:t>
      </w:r>
    </w:p>
    <w:p w14:paraId="5A56F8A4" w14:textId="77777777" w:rsidR="00FD5C4A" w:rsidRPr="00A333F1" w:rsidRDefault="00FD5C4A" w:rsidP="00A333F1"/>
    <w:p w14:paraId="558D86D7" w14:textId="77777777" w:rsidR="00F13526" w:rsidRPr="00A333F1" w:rsidRDefault="00F13526" w:rsidP="00A333F1">
      <w:pPr>
        <w:rPr>
          <w:color w:val="70AD47" w:themeColor="accent6"/>
          <w:highlight w:val="lightGray"/>
        </w:rPr>
      </w:pPr>
      <w:r w:rsidRPr="00A333F1">
        <w:rPr>
          <w:color w:val="70AD47" w:themeColor="accent6"/>
          <w:highlight w:val="lightGray"/>
        </w:rPr>
        <w:t>[Tik 5 mg]</w:t>
      </w:r>
    </w:p>
    <w:p w14:paraId="317AC916" w14:textId="77777777" w:rsidR="005808F3" w:rsidRPr="00A333F1" w:rsidRDefault="005808F3" w:rsidP="00A333F1">
      <w:pPr>
        <w:rPr>
          <w:highlight w:val="lightGray"/>
        </w:rPr>
      </w:pPr>
    </w:p>
    <w:p w14:paraId="4E8128CF" w14:textId="77777777" w:rsidR="005808F3" w:rsidRPr="00A333F1" w:rsidRDefault="005808F3" w:rsidP="00A333F1">
      <w:pPr>
        <w:rPr>
          <w:highlight w:val="lightGray"/>
        </w:rPr>
      </w:pPr>
      <w:r w:rsidRPr="00A333F1">
        <w:rPr>
          <w:highlight w:val="lightGray"/>
        </w:rPr>
        <w:t xml:space="preserve">Kaip vartoti </w:t>
      </w:r>
      <w:r w:rsidR="00EB159D" w:rsidRPr="00A333F1">
        <w:rPr>
          <w:highlight w:val="lightGray"/>
        </w:rPr>
        <w:t>Quator</w:t>
      </w:r>
      <w:r w:rsidR="00254A51" w:rsidRPr="00A333F1">
        <w:rPr>
          <w:highlight w:val="lightGray"/>
        </w:rPr>
        <w:t xml:space="preserve"> </w:t>
      </w:r>
      <w:r w:rsidRPr="00A333F1">
        <w:rPr>
          <w:highlight w:val="lightGray"/>
        </w:rPr>
        <w:t xml:space="preserve">vieną kartą per parą </w:t>
      </w:r>
    </w:p>
    <w:p w14:paraId="4C07628B" w14:textId="77777777" w:rsidR="005808F3" w:rsidRPr="00A333F1" w:rsidRDefault="005808F3" w:rsidP="00A333F1">
      <w:pPr>
        <w:ind w:left="567" w:hanging="283"/>
        <w:rPr>
          <w:highlight w:val="lightGray"/>
        </w:rPr>
      </w:pPr>
      <w:r w:rsidRPr="00A333F1">
        <w:rPr>
          <w:highlight w:val="lightGray"/>
        </w:rPr>
        <w:t>1.</w:t>
      </w:r>
      <w:r w:rsidRPr="00A333F1">
        <w:rPr>
          <w:highlight w:val="lightGray"/>
        </w:rPr>
        <w:tab/>
        <w:t xml:space="preserve">Tabletes pradėkite vartoti iš lizdinės plokštelės, atitinkančios tą dieną, kurią pradedate vartoti </w:t>
      </w:r>
      <w:r w:rsidR="00254A51" w:rsidRPr="00A333F1">
        <w:rPr>
          <w:highlight w:val="lightGray"/>
        </w:rPr>
        <w:t>Quator</w:t>
      </w:r>
      <w:r w:rsidR="00CD12BB" w:rsidRPr="00A333F1">
        <w:rPr>
          <w:highlight w:val="lightGray"/>
        </w:rPr>
        <w:t>.</w:t>
      </w:r>
    </w:p>
    <w:p w14:paraId="525C4410" w14:textId="77777777" w:rsidR="005808F3" w:rsidRPr="00A333F1" w:rsidRDefault="005808F3" w:rsidP="00A333F1">
      <w:pPr>
        <w:ind w:left="567" w:hanging="283"/>
        <w:rPr>
          <w:highlight w:val="lightGray"/>
        </w:rPr>
      </w:pPr>
      <w:r w:rsidRPr="00A333F1">
        <w:rPr>
          <w:highlight w:val="lightGray"/>
        </w:rPr>
        <w:t>2.</w:t>
      </w:r>
      <w:r w:rsidRPr="00A333F1">
        <w:rPr>
          <w:highlight w:val="lightGray"/>
        </w:rPr>
        <w:tab/>
        <w:t xml:space="preserve">Kiekvieną parą </w:t>
      </w:r>
      <w:r w:rsidR="00EB159D" w:rsidRPr="00A333F1">
        <w:rPr>
          <w:highlight w:val="lightGray"/>
        </w:rPr>
        <w:t>Quator</w:t>
      </w:r>
      <w:r w:rsidR="00254A51" w:rsidRPr="00A333F1">
        <w:rPr>
          <w:highlight w:val="lightGray"/>
        </w:rPr>
        <w:t xml:space="preserve"> </w:t>
      </w:r>
      <w:r w:rsidRPr="00A333F1">
        <w:rPr>
          <w:highlight w:val="lightGray"/>
        </w:rPr>
        <w:t>tabletę nurykite užgerdami vandeniu, maždaug tokiu pačiu paros laiku, valgant ar kitu laiku.</w:t>
      </w:r>
    </w:p>
    <w:p w14:paraId="38AC0449" w14:textId="77777777" w:rsidR="005808F3" w:rsidRPr="00A333F1" w:rsidRDefault="005808F3" w:rsidP="00A333F1">
      <w:pPr>
        <w:ind w:left="567" w:hanging="283"/>
        <w:rPr>
          <w:highlight w:val="lightGray"/>
        </w:rPr>
      </w:pPr>
      <w:r w:rsidRPr="00A333F1">
        <w:rPr>
          <w:highlight w:val="lightGray"/>
        </w:rPr>
        <w:t>3.</w:t>
      </w:r>
      <w:r w:rsidRPr="00A333F1">
        <w:rPr>
          <w:highlight w:val="lightGray"/>
        </w:rPr>
        <w:tab/>
        <w:t xml:space="preserve">Jeigu vartojamas kartą per parą, </w:t>
      </w:r>
      <w:r w:rsidR="00EB159D" w:rsidRPr="00A333F1">
        <w:rPr>
          <w:highlight w:val="lightGray"/>
        </w:rPr>
        <w:t>Quator</w:t>
      </w:r>
      <w:r w:rsidR="00254A51" w:rsidRPr="00A333F1">
        <w:rPr>
          <w:highlight w:val="lightGray"/>
        </w:rPr>
        <w:t xml:space="preserve"> </w:t>
      </w:r>
      <w:r w:rsidRPr="00A333F1">
        <w:rPr>
          <w:highlight w:val="lightGray"/>
        </w:rPr>
        <w:t>Jums padės sukelti erekciją, jeigu esate seksualiai stimuliuojamas, bet kuriuo metu 24 valandų laikotarpiu. Jums su partnere reikės užsiimti išankstiniu žaidimu taip pat, kaip užsiimtumėte negerdami vaisto nuo erekcijos sutrikimo.</w:t>
      </w:r>
    </w:p>
    <w:p w14:paraId="3A2D42A1" w14:textId="77777777" w:rsidR="005808F3" w:rsidRPr="00797CDB" w:rsidRDefault="00E9109F" w:rsidP="00797CDB">
      <w:pPr>
        <w:pStyle w:val="Sraopastraipa"/>
        <w:numPr>
          <w:ilvl w:val="0"/>
          <w:numId w:val="9"/>
        </w:numPr>
        <w:ind w:left="567" w:hanging="283"/>
        <w:rPr>
          <w:highlight w:val="lightGray"/>
        </w:rPr>
      </w:pPr>
      <w:r w:rsidRPr="00A333F1">
        <w:rPr>
          <w:highlight w:val="lightGray"/>
        </w:rPr>
        <w:t>Quator</w:t>
      </w:r>
      <w:r w:rsidRPr="00797CDB">
        <w:rPr>
          <w:sz w:val="22"/>
          <w:highlight w:val="lightGray"/>
        </w:rPr>
        <w:t xml:space="preserve"> </w:t>
      </w:r>
      <w:r w:rsidR="005808F3" w:rsidRPr="00797CDB">
        <w:rPr>
          <w:sz w:val="22"/>
          <w:highlight w:val="lightGray"/>
        </w:rPr>
        <w:t>visada vartokite tiksliai, kaip nurodė gydytojas. Jeigu abejojate, kreipkitės į gydytoją arba vaistininką.</w:t>
      </w:r>
    </w:p>
    <w:p w14:paraId="7561F9B8" w14:textId="77777777" w:rsidR="005808F3" w:rsidRPr="00797CDB" w:rsidRDefault="005808F3" w:rsidP="00797CDB">
      <w:pPr>
        <w:pStyle w:val="Sraopastraipa"/>
        <w:numPr>
          <w:ilvl w:val="0"/>
          <w:numId w:val="9"/>
        </w:numPr>
        <w:ind w:left="567" w:hanging="283"/>
        <w:rPr>
          <w:highlight w:val="lightGray"/>
        </w:rPr>
      </w:pPr>
      <w:r w:rsidRPr="00797CDB">
        <w:rPr>
          <w:sz w:val="22"/>
          <w:highlight w:val="lightGray"/>
        </w:rPr>
        <w:t>Alkoholis gali daryti poveikį gebėjimui sukelti erekciją, todėl venkite piktnaudžiavimo alkoholiu vartojant</w:t>
      </w:r>
      <w:r w:rsidR="00254A51" w:rsidRPr="00A333F1">
        <w:rPr>
          <w:highlight w:val="lightGray"/>
        </w:rPr>
        <w:t xml:space="preserve"> Quator</w:t>
      </w:r>
      <w:r w:rsidRPr="00797CDB">
        <w:rPr>
          <w:sz w:val="22"/>
          <w:highlight w:val="lightGray"/>
        </w:rPr>
        <w:t>.</w:t>
      </w:r>
    </w:p>
    <w:p w14:paraId="4AB602E0" w14:textId="77777777" w:rsidR="005808F3" w:rsidRPr="00797CDB" w:rsidRDefault="00E9109F" w:rsidP="00797CDB">
      <w:pPr>
        <w:pStyle w:val="Sraopastraipa"/>
        <w:numPr>
          <w:ilvl w:val="0"/>
          <w:numId w:val="9"/>
        </w:numPr>
        <w:ind w:left="567" w:hanging="283"/>
        <w:rPr>
          <w:highlight w:val="lightGray"/>
        </w:rPr>
      </w:pPr>
      <w:r w:rsidRPr="00A333F1">
        <w:rPr>
          <w:highlight w:val="lightGray"/>
        </w:rPr>
        <w:t>Quator</w:t>
      </w:r>
      <w:r w:rsidRPr="00797CDB">
        <w:rPr>
          <w:sz w:val="22"/>
          <w:highlight w:val="lightGray"/>
        </w:rPr>
        <w:t xml:space="preserve"> </w:t>
      </w:r>
      <w:r w:rsidR="00CD12BB" w:rsidRPr="00797CDB">
        <w:rPr>
          <w:sz w:val="22"/>
          <w:highlight w:val="lightGray"/>
        </w:rPr>
        <w:t xml:space="preserve">negalima vartoti </w:t>
      </w:r>
      <w:r w:rsidR="005808F3" w:rsidRPr="00797CDB">
        <w:rPr>
          <w:sz w:val="22"/>
          <w:highlight w:val="lightGray"/>
        </w:rPr>
        <w:t>dažniau negu vieną kartą per parą. Jeigu išgersite daugiau negu reikia, pasakykite gydytojui.</w:t>
      </w:r>
    </w:p>
    <w:p w14:paraId="43992F1B" w14:textId="77777777" w:rsidR="005808F3" w:rsidRPr="00A333F1" w:rsidRDefault="005808F3" w:rsidP="00A333F1"/>
    <w:p w14:paraId="66B0EF94" w14:textId="77777777" w:rsidR="00FD5C4A" w:rsidRPr="00A333F1" w:rsidRDefault="00FD5C4A" w:rsidP="00A333F1">
      <w:r w:rsidRPr="00A333F1">
        <w:t>Vartoti per burną</w:t>
      </w:r>
      <w:r w:rsidR="00F13526" w:rsidRPr="00A333F1">
        <w:t xml:space="preserve"> kartą per parą</w:t>
      </w:r>
      <w:r w:rsidRPr="00A333F1">
        <w:t>.</w:t>
      </w:r>
    </w:p>
    <w:p w14:paraId="2CE3F9A0" w14:textId="77777777" w:rsidR="00FD5C4A" w:rsidRPr="00A333F1" w:rsidRDefault="00FD5C4A" w:rsidP="00A333F1">
      <w:r w:rsidRPr="00A333F1">
        <w:t>Prieš vartojimą perskaitykite pakuotės lapelį.</w:t>
      </w:r>
    </w:p>
    <w:p w14:paraId="40EC4871" w14:textId="77777777" w:rsidR="00FD5C4A" w:rsidRPr="00A333F1" w:rsidRDefault="00FD5C4A" w:rsidP="00A333F1"/>
    <w:p w14:paraId="43A3DE4F" w14:textId="77777777" w:rsidR="00FD5C4A" w:rsidRPr="00A333F1" w:rsidRDefault="00FD5C4A" w:rsidP="00A333F1"/>
    <w:p w14:paraId="00944C94"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outlineLvl w:val="0"/>
      </w:pPr>
      <w:r w:rsidRPr="00A333F1">
        <w:rPr>
          <w:b/>
        </w:rPr>
        <w:t>6.</w:t>
      </w:r>
      <w:r w:rsidRPr="00A333F1">
        <w:rPr>
          <w:b/>
        </w:rPr>
        <w:tab/>
        <w:t>SPECIALUS ĮSPĖJIMAS, KAD VAISTINĮ PREPARATĄ BŪTINA LAIKYTI VAIKAMS NEPASTEBIMOJE IR  NEPASIEKIAMOJE VIETOJE</w:t>
      </w:r>
    </w:p>
    <w:p w14:paraId="544A6F01" w14:textId="77777777" w:rsidR="00FD5C4A" w:rsidRPr="00A333F1" w:rsidRDefault="00FD5C4A" w:rsidP="00A333F1"/>
    <w:p w14:paraId="46915DC5" w14:textId="77777777" w:rsidR="00FD5C4A" w:rsidRPr="00A333F1" w:rsidRDefault="00FD5C4A" w:rsidP="00A333F1">
      <w:r w:rsidRPr="00A333F1">
        <w:t>Laikyti vaikams nepastebimoje ir nepasiekiamoje vietoje.</w:t>
      </w:r>
    </w:p>
    <w:p w14:paraId="51C71CCA" w14:textId="77777777" w:rsidR="00FD5C4A" w:rsidRPr="00A333F1" w:rsidRDefault="00FD5C4A" w:rsidP="00A333F1"/>
    <w:p w14:paraId="5EA8637F" w14:textId="77777777" w:rsidR="00FD5C4A" w:rsidRPr="00A333F1" w:rsidRDefault="00FD5C4A" w:rsidP="00A333F1"/>
    <w:p w14:paraId="7CFDF179"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outlineLvl w:val="0"/>
      </w:pPr>
      <w:r w:rsidRPr="00A333F1">
        <w:rPr>
          <w:b/>
        </w:rPr>
        <w:t>7.</w:t>
      </w:r>
      <w:r w:rsidRPr="00A333F1">
        <w:rPr>
          <w:b/>
        </w:rPr>
        <w:tab/>
        <w:t>KITAS (-I) SPECIALUS (-ŪS) ĮSPĖJIMAS (-AI) (JEI REIKIA)</w:t>
      </w:r>
    </w:p>
    <w:p w14:paraId="3525B634" w14:textId="77777777" w:rsidR="00FD5C4A" w:rsidRPr="00A333F1" w:rsidRDefault="00FD5C4A" w:rsidP="00A333F1"/>
    <w:p w14:paraId="02CBBD7D" w14:textId="77777777" w:rsidR="00FD5C4A" w:rsidRPr="00A333F1" w:rsidRDefault="00FD5C4A" w:rsidP="00A333F1"/>
    <w:p w14:paraId="5D311AA8"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outlineLvl w:val="0"/>
      </w:pPr>
      <w:r w:rsidRPr="00A333F1">
        <w:rPr>
          <w:b/>
        </w:rPr>
        <w:t>8.</w:t>
      </w:r>
      <w:r w:rsidRPr="00A333F1">
        <w:rPr>
          <w:b/>
        </w:rPr>
        <w:tab/>
        <w:t>TINKAMUMO LAIKAS</w:t>
      </w:r>
    </w:p>
    <w:p w14:paraId="3FD88C5B" w14:textId="77777777" w:rsidR="00FD5C4A" w:rsidRPr="00A333F1" w:rsidRDefault="00FD5C4A" w:rsidP="00A333F1"/>
    <w:p w14:paraId="718D4A0F" w14:textId="77777777" w:rsidR="00FD5C4A" w:rsidRPr="00A333F1" w:rsidRDefault="00C445D0" w:rsidP="00A333F1">
      <w:r w:rsidRPr="00A333F1">
        <w:t>EXP</w:t>
      </w:r>
      <w:r w:rsidR="00FD5C4A" w:rsidRPr="00A333F1">
        <w:t xml:space="preserve"> {mm /MMMM}</w:t>
      </w:r>
    </w:p>
    <w:p w14:paraId="545F1AD5" w14:textId="77777777" w:rsidR="00FD5C4A" w:rsidRPr="00A333F1" w:rsidRDefault="00FD5C4A" w:rsidP="00A333F1"/>
    <w:p w14:paraId="5F95411B" w14:textId="77777777" w:rsidR="00FD5C4A" w:rsidRPr="00A333F1" w:rsidRDefault="00FD5C4A" w:rsidP="00A333F1"/>
    <w:p w14:paraId="7BEF9FF1" w14:textId="77777777" w:rsidR="00FD5C4A" w:rsidRPr="00A333F1" w:rsidRDefault="00FD5C4A" w:rsidP="00A333F1">
      <w:pPr>
        <w:keepNext/>
        <w:pBdr>
          <w:top w:val="single" w:sz="4" w:space="1" w:color="auto"/>
          <w:left w:val="single" w:sz="4" w:space="4" w:color="auto"/>
          <w:bottom w:val="single" w:sz="4" w:space="1" w:color="auto"/>
          <w:right w:val="single" w:sz="4" w:space="4" w:color="auto"/>
        </w:pBdr>
        <w:ind w:left="567" w:hanging="567"/>
        <w:outlineLvl w:val="0"/>
      </w:pPr>
      <w:r w:rsidRPr="00A333F1">
        <w:rPr>
          <w:b/>
        </w:rPr>
        <w:t>9.</w:t>
      </w:r>
      <w:r w:rsidRPr="00A333F1">
        <w:rPr>
          <w:b/>
        </w:rPr>
        <w:tab/>
        <w:t>SPECIALIOS LAIKYMO SĄLYGOS</w:t>
      </w:r>
    </w:p>
    <w:p w14:paraId="32D7D969" w14:textId="77777777" w:rsidR="00FD5C4A" w:rsidRPr="00A333F1" w:rsidRDefault="00FD5C4A" w:rsidP="00A333F1"/>
    <w:p w14:paraId="1DBC6A89" w14:textId="77777777" w:rsidR="00FD5C4A" w:rsidRPr="00A333F1" w:rsidRDefault="00FD5C4A" w:rsidP="00A333F1"/>
    <w:p w14:paraId="604FD7FE" w14:textId="77777777" w:rsidR="00FD5C4A" w:rsidRPr="00A333F1" w:rsidRDefault="00FD5C4A" w:rsidP="00A333F1">
      <w:pPr>
        <w:pBdr>
          <w:top w:val="single" w:sz="4" w:space="1" w:color="auto"/>
          <w:left w:val="single" w:sz="4" w:space="4" w:color="auto"/>
          <w:bottom w:val="single" w:sz="4" w:space="1" w:color="auto"/>
          <w:right w:val="single" w:sz="4" w:space="4" w:color="auto"/>
        </w:pBdr>
        <w:outlineLvl w:val="0"/>
        <w:rPr>
          <w:b/>
        </w:rPr>
      </w:pPr>
      <w:r w:rsidRPr="00A333F1">
        <w:rPr>
          <w:b/>
        </w:rPr>
        <w:t>10.</w:t>
      </w:r>
      <w:r w:rsidRPr="00A333F1">
        <w:rPr>
          <w:b/>
        </w:rPr>
        <w:tab/>
        <w:t>SPECIALIOS ATSARGUMO PRIEMONĖS DĖL NESUVARTOTO VAISTINIO PREPARATO AR JO ATLIEKŲ TVARKYMO (JEI REIKIA)</w:t>
      </w:r>
    </w:p>
    <w:p w14:paraId="721E1D63" w14:textId="77777777" w:rsidR="00FD5C4A" w:rsidRPr="00A333F1" w:rsidRDefault="00FD5C4A" w:rsidP="00A333F1"/>
    <w:p w14:paraId="085A514F" w14:textId="77777777" w:rsidR="00FD5C4A" w:rsidRPr="00A333F1" w:rsidRDefault="0062109C" w:rsidP="00A333F1">
      <w:r w:rsidRPr="00A333F1">
        <w:rPr>
          <w:highlight w:val="lightGray"/>
        </w:rPr>
        <w:t>Nesuvartotą vaistą ar atliekas reikia tvarkyti laikantis vietinių reikalavimų.</w:t>
      </w:r>
    </w:p>
    <w:p w14:paraId="0BEDFE5F" w14:textId="77777777" w:rsidR="0062109C" w:rsidRPr="00A333F1" w:rsidRDefault="0062109C" w:rsidP="00A333F1"/>
    <w:p w14:paraId="44443E9B" w14:textId="77777777" w:rsidR="0062109C" w:rsidRPr="00A333F1" w:rsidRDefault="0062109C" w:rsidP="00A333F1"/>
    <w:p w14:paraId="09228DB7" w14:textId="77777777" w:rsidR="00FD5C4A" w:rsidRPr="00A333F1" w:rsidRDefault="00FD5C4A" w:rsidP="00A333F1">
      <w:pPr>
        <w:pBdr>
          <w:top w:val="single" w:sz="4" w:space="1" w:color="auto"/>
          <w:left w:val="single" w:sz="4" w:space="4" w:color="auto"/>
          <w:bottom w:val="single" w:sz="4" w:space="1" w:color="auto"/>
          <w:right w:val="single" w:sz="4" w:space="4" w:color="auto"/>
        </w:pBdr>
        <w:outlineLvl w:val="0"/>
        <w:rPr>
          <w:b/>
        </w:rPr>
      </w:pPr>
      <w:r w:rsidRPr="00A333F1">
        <w:rPr>
          <w:b/>
        </w:rPr>
        <w:t>11.</w:t>
      </w:r>
      <w:r w:rsidRPr="00A333F1">
        <w:rPr>
          <w:b/>
        </w:rPr>
        <w:tab/>
      </w:r>
      <w:r w:rsidR="00C445D0" w:rsidRPr="00A333F1">
        <w:rPr>
          <w:b/>
          <w:caps/>
        </w:rPr>
        <w:t>REGISTRUOTOJO</w:t>
      </w:r>
      <w:r w:rsidRPr="00A333F1">
        <w:rPr>
          <w:b/>
          <w:caps/>
        </w:rPr>
        <w:t xml:space="preserve"> PAVADINIMAS IR ADRESAS</w:t>
      </w:r>
    </w:p>
    <w:p w14:paraId="0DA34AF3" w14:textId="77777777" w:rsidR="00FD5C4A" w:rsidRPr="00A333F1" w:rsidRDefault="00FD5C4A" w:rsidP="00A333F1"/>
    <w:p w14:paraId="4C7EF8DC" w14:textId="77777777" w:rsidR="00F13526" w:rsidRPr="00A333F1" w:rsidRDefault="00F13526" w:rsidP="00A333F1">
      <w:r w:rsidRPr="00A333F1">
        <w:t>Sandoz d.d.</w:t>
      </w:r>
    </w:p>
    <w:p w14:paraId="3E1DECAF" w14:textId="77777777" w:rsidR="00F13526" w:rsidRPr="00A333F1" w:rsidRDefault="00F13526" w:rsidP="00A333F1">
      <w:r w:rsidRPr="00A333F1">
        <w:t>Verovškova 57</w:t>
      </w:r>
    </w:p>
    <w:p w14:paraId="1D0DCA78" w14:textId="77777777" w:rsidR="00F13526" w:rsidRPr="00A333F1" w:rsidRDefault="00F13526" w:rsidP="00A333F1">
      <w:r w:rsidRPr="00A333F1">
        <w:t>SI-1000 Ljubljana</w:t>
      </w:r>
    </w:p>
    <w:p w14:paraId="351D2FB7" w14:textId="77777777" w:rsidR="00FD5C4A" w:rsidRPr="00A333F1" w:rsidRDefault="00F13526" w:rsidP="00A333F1">
      <w:r w:rsidRPr="00A333F1">
        <w:t>Slovėnija</w:t>
      </w:r>
    </w:p>
    <w:p w14:paraId="3BBC5C51" w14:textId="77777777" w:rsidR="00F13526" w:rsidRPr="00A333F1" w:rsidRDefault="00F13526" w:rsidP="00A333F1"/>
    <w:p w14:paraId="442E6B4A" w14:textId="77777777" w:rsidR="00F13526" w:rsidRPr="00A333F1" w:rsidRDefault="00F13526" w:rsidP="00A333F1"/>
    <w:p w14:paraId="43D6C3E2" w14:textId="77777777" w:rsidR="00FD5C4A" w:rsidRPr="00A333F1" w:rsidRDefault="00FD5C4A" w:rsidP="00A333F1">
      <w:pPr>
        <w:pBdr>
          <w:top w:val="single" w:sz="4" w:space="1" w:color="auto"/>
          <w:left w:val="single" w:sz="4" w:space="4" w:color="auto"/>
          <w:bottom w:val="single" w:sz="4" w:space="1" w:color="auto"/>
          <w:right w:val="single" w:sz="4" w:space="4" w:color="auto"/>
        </w:pBdr>
        <w:outlineLvl w:val="0"/>
      </w:pPr>
      <w:r w:rsidRPr="00A333F1">
        <w:rPr>
          <w:b/>
        </w:rPr>
        <w:t>12.</w:t>
      </w:r>
      <w:r w:rsidRPr="00A333F1">
        <w:rPr>
          <w:b/>
        </w:rPr>
        <w:tab/>
      </w:r>
      <w:r w:rsidR="00C445D0" w:rsidRPr="00A333F1">
        <w:rPr>
          <w:b/>
        </w:rPr>
        <w:t>REGISTRACIJOS</w:t>
      </w:r>
      <w:r w:rsidRPr="00A333F1">
        <w:rPr>
          <w:b/>
        </w:rPr>
        <w:t xml:space="preserve"> PAŽYMĖJIMO NUMERIS (-IAI) </w:t>
      </w:r>
    </w:p>
    <w:p w14:paraId="21259251" w14:textId="77777777" w:rsidR="00FD5C4A" w:rsidRPr="00A333F1" w:rsidRDefault="00FD5C4A" w:rsidP="00A333F1"/>
    <w:p w14:paraId="396ADF67" w14:textId="10100618" w:rsidR="00F71068" w:rsidRPr="00A333F1" w:rsidRDefault="003F18BD" w:rsidP="00A333F1">
      <w:pPr>
        <w:rPr>
          <w:highlight w:val="lightGray"/>
        </w:rPr>
      </w:pPr>
      <w:r>
        <w:rPr>
          <w:highlight w:val="lightGray"/>
        </w:rPr>
        <w:t>&lt;</w:t>
      </w:r>
      <w:r w:rsidR="00F71068" w:rsidRPr="00A333F1">
        <w:rPr>
          <w:highlight w:val="lightGray"/>
        </w:rPr>
        <w:t>5 mg</w:t>
      </w:r>
      <w:r>
        <w:rPr>
          <w:highlight w:val="lightGray"/>
        </w:rPr>
        <w:t>&gt;</w:t>
      </w:r>
    </w:p>
    <w:p w14:paraId="5409522D" w14:textId="3C14BF7C" w:rsidR="00F71068" w:rsidRPr="00A333F1" w:rsidRDefault="00F71068" w:rsidP="00A333F1">
      <w:pPr>
        <w:rPr>
          <w:highlight w:val="lightGray"/>
        </w:rPr>
      </w:pPr>
      <w:r w:rsidRPr="00A333F1">
        <w:t>LT/1/19/4421/00</w:t>
      </w:r>
      <w:r w:rsidR="008413B2">
        <w:t>4</w:t>
      </w:r>
      <w:r w:rsidRPr="00A333F1">
        <w:t xml:space="preserve"> </w:t>
      </w:r>
      <w:r w:rsidRPr="00A333F1">
        <w:rPr>
          <w:highlight w:val="lightGray"/>
        </w:rPr>
        <w:t>– N14</w:t>
      </w:r>
      <w:r w:rsidR="008413B2">
        <w:rPr>
          <w:highlight w:val="lightGray"/>
        </w:rPr>
        <w:t>x1</w:t>
      </w:r>
    </w:p>
    <w:p w14:paraId="04A26770" w14:textId="0302C35B" w:rsidR="00F71068" w:rsidRPr="00A333F1" w:rsidRDefault="00F71068" w:rsidP="00A333F1">
      <w:pPr>
        <w:rPr>
          <w:highlight w:val="lightGray"/>
        </w:rPr>
      </w:pPr>
      <w:r w:rsidRPr="00A333F1">
        <w:rPr>
          <w:highlight w:val="lightGray"/>
        </w:rPr>
        <w:t>LT/1/19/4421/00</w:t>
      </w:r>
      <w:r w:rsidR="008413B2">
        <w:rPr>
          <w:highlight w:val="lightGray"/>
        </w:rPr>
        <w:t>5</w:t>
      </w:r>
      <w:r w:rsidRPr="00A333F1">
        <w:rPr>
          <w:highlight w:val="lightGray"/>
        </w:rPr>
        <w:t xml:space="preserve"> – N28</w:t>
      </w:r>
      <w:r w:rsidR="008413B2">
        <w:rPr>
          <w:highlight w:val="lightGray"/>
        </w:rPr>
        <w:t>x1</w:t>
      </w:r>
    </w:p>
    <w:p w14:paraId="6566D40E" w14:textId="1C0D1C3A" w:rsidR="00F71068" w:rsidRPr="00A333F1" w:rsidRDefault="00F71068" w:rsidP="00A333F1">
      <w:r w:rsidRPr="00A333F1">
        <w:rPr>
          <w:highlight w:val="lightGray"/>
        </w:rPr>
        <w:t>LT/1/19/4421/00</w:t>
      </w:r>
      <w:r w:rsidR="008413B2">
        <w:rPr>
          <w:highlight w:val="lightGray"/>
        </w:rPr>
        <w:t>6</w:t>
      </w:r>
      <w:r w:rsidRPr="00A333F1">
        <w:rPr>
          <w:highlight w:val="lightGray"/>
        </w:rPr>
        <w:t xml:space="preserve"> – N8</w:t>
      </w:r>
      <w:r w:rsidRPr="008413B2">
        <w:rPr>
          <w:highlight w:val="lightGray"/>
        </w:rPr>
        <w:t>4</w:t>
      </w:r>
      <w:r w:rsidR="008413B2" w:rsidRPr="00797CDB">
        <w:rPr>
          <w:highlight w:val="lightGray"/>
        </w:rPr>
        <w:t>x1</w:t>
      </w:r>
    </w:p>
    <w:p w14:paraId="34E208E9" w14:textId="77777777" w:rsidR="00F71068" w:rsidRPr="00A333F1" w:rsidRDefault="00F71068" w:rsidP="00A333F1"/>
    <w:p w14:paraId="5E7C94BB" w14:textId="494FDF0C" w:rsidR="00F71068" w:rsidRPr="00A333F1" w:rsidRDefault="003F18BD" w:rsidP="00A333F1">
      <w:pPr>
        <w:rPr>
          <w:highlight w:val="lightGray"/>
        </w:rPr>
      </w:pPr>
      <w:r>
        <w:rPr>
          <w:highlight w:val="lightGray"/>
        </w:rPr>
        <w:t>&lt;</w:t>
      </w:r>
      <w:r w:rsidR="00F71068" w:rsidRPr="00A333F1">
        <w:rPr>
          <w:highlight w:val="lightGray"/>
        </w:rPr>
        <w:t>10 mg</w:t>
      </w:r>
      <w:r>
        <w:rPr>
          <w:highlight w:val="lightGray"/>
        </w:rPr>
        <w:t>&gt;</w:t>
      </w:r>
    </w:p>
    <w:p w14:paraId="6C62ABB6" w14:textId="3E00B052" w:rsidR="00F71068" w:rsidRPr="00A333F1" w:rsidRDefault="00F71068" w:rsidP="00A333F1">
      <w:pPr>
        <w:rPr>
          <w:highlight w:val="lightGray"/>
        </w:rPr>
      </w:pPr>
      <w:r w:rsidRPr="00A333F1">
        <w:t>LT/1/19/4422/00</w:t>
      </w:r>
      <w:r w:rsidR="001B42EE">
        <w:t>6</w:t>
      </w:r>
      <w:r w:rsidRPr="00A333F1">
        <w:t xml:space="preserve"> </w:t>
      </w:r>
      <w:r w:rsidRPr="00A333F1">
        <w:rPr>
          <w:highlight w:val="lightGray"/>
        </w:rPr>
        <w:t>– N4</w:t>
      </w:r>
      <w:r w:rsidR="001B42EE">
        <w:rPr>
          <w:highlight w:val="lightGray"/>
        </w:rPr>
        <w:t>x1</w:t>
      </w:r>
    </w:p>
    <w:p w14:paraId="206266E5" w14:textId="3B78FCB3" w:rsidR="00F71068" w:rsidRPr="00A333F1" w:rsidRDefault="00F71068" w:rsidP="00A333F1">
      <w:pPr>
        <w:rPr>
          <w:highlight w:val="lightGray"/>
        </w:rPr>
      </w:pPr>
      <w:r w:rsidRPr="00A333F1">
        <w:rPr>
          <w:highlight w:val="lightGray"/>
        </w:rPr>
        <w:t>LT/1/19/4422/00</w:t>
      </w:r>
      <w:r w:rsidR="001B42EE">
        <w:rPr>
          <w:highlight w:val="lightGray"/>
        </w:rPr>
        <w:t>7</w:t>
      </w:r>
      <w:r w:rsidRPr="00A333F1">
        <w:rPr>
          <w:highlight w:val="lightGray"/>
        </w:rPr>
        <w:t xml:space="preserve"> – N12</w:t>
      </w:r>
      <w:r w:rsidR="001B42EE">
        <w:rPr>
          <w:highlight w:val="lightGray"/>
        </w:rPr>
        <w:t>x1</w:t>
      </w:r>
    </w:p>
    <w:p w14:paraId="7A1229BE" w14:textId="2B8340BC" w:rsidR="00F71068" w:rsidRPr="00A333F1" w:rsidRDefault="00F71068" w:rsidP="00A333F1">
      <w:pPr>
        <w:rPr>
          <w:highlight w:val="lightGray"/>
        </w:rPr>
      </w:pPr>
      <w:r w:rsidRPr="00A333F1">
        <w:rPr>
          <w:highlight w:val="lightGray"/>
        </w:rPr>
        <w:t>LT/1/19/4422/00</w:t>
      </w:r>
      <w:r w:rsidR="001B42EE">
        <w:rPr>
          <w:highlight w:val="lightGray"/>
        </w:rPr>
        <w:t>8</w:t>
      </w:r>
      <w:r w:rsidRPr="00A333F1">
        <w:rPr>
          <w:highlight w:val="lightGray"/>
        </w:rPr>
        <w:t xml:space="preserve"> – N24</w:t>
      </w:r>
      <w:r w:rsidR="001B42EE">
        <w:rPr>
          <w:highlight w:val="lightGray"/>
        </w:rPr>
        <w:t>x1</w:t>
      </w:r>
    </w:p>
    <w:p w14:paraId="25D853F6" w14:textId="655740BD" w:rsidR="00F71068" w:rsidRPr="00A333F1" w:rsidRDefault="00F71068" w:rsidP="00A333F1">
      <w:pPr>
        <w:rPr>
          <w:highlight w:val="lightGray"/>
        </w:rPr>
      </w:pPr>
      <w:r w:rsidRPr="00A333F1">
        <w:rPr>
          <w:highlight w:val="lightGray"/>
        </w:rPr>
        <w:t>LT/1/19/4422/00</w:t>
      </w:r>
      <w:r w:rsidR="001B42EE">
        <w:rPr>
          <w:highlight w:val="lightGray"/>
        </w:rPr>
        <w:t>9</w:t>
      </w:r>
      <w:r w:rsidRPr="00A333F1">
        <w:rPr>
          <w:highlight w:val="lightGray"/>
        </w:rPr>
        <w:t xml:space="preserve"> – N36</w:t>
      </w:r>
      <w:r w:rsidR="001B42EE">
        <w:rPr>
          <w:highlight w:val="lightGray"/>
        </w:rPr>
        <w:t>x1</w:t>
      </w:r>
    </w:p>
    <w:p w14:paraId="7719DA9B" w14:textId="5F5B87B2" w:rsidR="00F71068" w:rsidRPr="00A333F1" w:rsidRDefault="00F71068" w:rsidP="00A333F1">
      <w:pPr>
        <w:rPr>
          <w:highlight w:val="lightGray"/>
        </w:rPr>
      </w:pPr>
      <w:r w:rsidRPr="00A333F1">
        <w:rPr>
          <w:highlight w:val="lightGray"/>
        </w:rPr>
        <w:t>LT/1/19/4422/0</w:t>
      </w:r>
      <w:r w:rsidR="001B42EE">
        <w:rPr>
          <w:highlight w:val="lightGray"/>
        </w:rPr>
        <w:t>10</w:t>
      </w:r>
      <w:r w:rsidRPr="00A333F1">
        <w:rPr>
          <w:highlight w:val="lightGray"/>
        </w:rPr>
        <w:t xml:space="preserve"> – N48</w:t>
      </w:r>
      <w:r w:rsidR="001B42EE">
        <w:rPr>
          <w:highlight w:val="lightGray"/>
        </w:rPr>
        <w:t>x1</w:t>
      </w:r>
    </w:p>
    <w:p w14:paraId="35E46F22" w14:textId="77777777" w:rsidR="00F71068" w:rsidRPr="00A333F1" w:rsidRDefault="00F71068" w:rsidP="00A333F1">
      <w:pPr>
        <w:rPr>
          <w:highlight w:val="lightGray"/>
        </w:rPr>
      </w:pPr>
    </w:p>
    <w:p w14:paraId="17884AE3" w14:textId="04EAF520" w:rsidR="00F71068" w:rsidRPr="00A333F1" w:rsidRDefault="003F18BD" w:rsidP="00A333F1">
      <w:pPr>
        <w:rPr>
          <w:highlight w:val="lightGray"/>
        </w:rPr>
      </w:pPr>
      <w:r>
        <w:rPr>
          <w:highlight w:val="lightGray"/>
        </w:rPr>
        <w:t>&lt;</w:t>
      </w:r>
      <w:r w:rsidR="00F71068" w:rsidRPr="00A333F1">
        <w:rPr>
          <w:highlight w:val="lightGray"/>
        </w:rPr>
        <w:t>20 mg</w:t>
      </w:r>
      <w:r>
        <w:rPr>
          <w:highlight w:val="lightGray"/>
        </w:rPr>
        <w:t>&gt;</w:t>
      </w:r>
    </w:p>
    <w:p w14:paraId="62ADB0A4" w14:textId="5571AD3A" w:rsidR="00F71068" w:rsidRPr="00A333F1" w:rsidRDefault="00F71068" w:rsidP="00A333F1">
      <w:pPr>
        <w:rPr>
          <w:highlight w:val="lightGray"/>
        </w:rPr>
      </w:pPr>
      <w:r w:rsidRPr="00A333F1">
        <w:t>LT/1/19/4423/0</w:t>
      </w:r>
      <w:r w:rsidR="00961805">
        <w:t>10</w:t>
      </w:r>
      <w:r w:rsidRPr="00A333F1">
        <w:rPr>
          <w:highlight w:val="lightGray"/>
        </w:rPr>
        <w:t xml:space="preserve"> – N2</w:t>
      </w:r>
      <w:r w:rsidR="00FD21CF">
        <w:rPr>
          <w:highlight w:val="lightGray"/>
        </w:rPr>
        <w:t>x1</w:t>
      </w:r>
    </w:p>
    <w:p w14:paraId="3C5E7D0A" w14:textId="050F63B0" w:rsidR="00F71068" w:rsidRPr="00A333F1" w:rsidRDefault="00F71068" w:rsidP="00A333F1">
      <w:pPr>
        <w:rPr>
          <w:highlight w:val="lightGray"/>
        </w:rPr>
      </w:pPr>
      <w:r w:rsidRPr="00A333F1">
        <w:rPr>
          <w:highlight w:val="lightGray"/>
        </w:rPr>
        <w:t>LT/1/19/4423/0</w:t>
      </w:r>
      <w:r w:rsidR="00961805">
        <w:rPr>
          <w:highlight w:val="lightGray"/>
        </w:rPr>
        <w:t>11</w:t>
      </w:r>
      <w:r w:rsidRPr="00A333F1">
        <w:rPr>
          <w:highlight w:val="lightGray"/>
        </w:rPr>
        <w:t xml:space="preserve"> – N4</w:t>
      </w:r>
      <w:r w:rsidR="00FD21CF">
        <w:rPr>
          <w:highlight w:val="lightGray"/>
        </w:rPr>
        <w:t>x1</w:t>
      </w:r>
    </w:p>
    <w:p w14:paraId="0FEFACF8" w14:textId="3A7013B4" w:rsidR="00F71068" w:rsidRPr="00A333F1" w:rsidRDefault="00F71068" w:rsidP="00A333F1">
      <w:pPr>
        <w:rPr>
          <w:highlight w:val="lightGray"/>
        </w:rPr>
      </w:pPr>
      <w:r w:rsidRPr="00A333F1">
        <w:rPr>
          <w:highlight w:val="lightGray"/>
        </w:rPr>
        <w:t>LT/1/19/4423/0</w:t>
      </w:r>
      <w:r w:rsidR="00961805">
        <w:rPr>
          <w:highlight w:val="lightGray"/>
        </w:rPr>
        <w:t>12</w:t>
      </w:r>
      <w:r w:rsidRPr="00A333F1">
        <w:rPr>
          <w:highlight w:val="lightGray"/>
        </w:rPr>
        <w:t xml:space="preserve"> – N8</w:t>
      </w:r>
      <w:r w:rsidR="00FD21CF">
        <w:rPr>
          <w:highlight w:val="lightGray"/>
        </w:rPr>
        <w:t>x1</w:t>
      </w:r>
    </w:p>
    <w:p w14:paraId="78CB72BE" w14:textId="78B0C624" w:rsidR="00F71068" w:rsidRPr="00A333F1" w:rsidRDefault="00F71068" w:rsidP="00A333F1">
      <w:pPr>
        <w:rPr>
          <w:highlight w:val="lightGray"/>
        </w:rPr>
      </w:pPr>
      <w:r w:rsidRPr="00A333F1">
        <w:rPr>
          <w:highlight w:val="lightGray"/>
        </w:rPr>
        <w:t>LT/1/19/4423/0</w:t>
      </w:r>
      <w:r w:rsidR="00961805">
        <w:rPr>
          <w:highlight w:val="lightGray"/>
        </w:rPr>
        <w:t>13</w:t>
      </w:r>
      <w:r w:rsidRPr="00A333F1">
        <w:rPr>
          <w:highlight w:val="lightGray"/>
        </w:rPr>
        <w:t xml:space="preserve"> – N12</w:t>
      </w:r>
      <w:r w:rsidR="00FD21CF">
        <w:rPr>
          <w:highlight w:val="lightGray"/>
        </w:rPr>
        <w:t>x1</w:t>
      </w:r>
    </w:p>
    <w:p w14:paraId="2FFDDC42" w14:textId="30AE468B" w:rsidR="00F71068" w:rsidRPr="00A333F1" w:rsidRDefault="00F71068" w:rsidP="00A333F1">
      <w:pPr>
        <w:rPr>
          <w:highlight w:val="lightGray"/>
        </w:rPr>
      </w:pPr>
      <w:r w:rsidRPr="00A333F1">
        <w:rPr>
          <w:highlight w:val="lightGray"/>
        </w:rPr>
        <w:t>LT/1/19/4423/0</w:t>
      </w:r>
      <w:r w:rsidR="00961805">
        <w:rPr>
          <w:highlight w:val="lightGray"/>
        </w:rPr>
        <w:t>14</w:t>
      </w:r>
      <w:r w:rsidRPr="00A333F1">
        <w:rPr>
          <w:highlight w:val="lightGray"/>
        </w:rPr>
        <w:t xml:space="preserve"> – N14</w:t>
      </w:r>
      <w:r w:rsidR="00FD21CF">
        <w:rPr>
          <w:highlight w:val="lightGray"/>
        </w:rPr>
        <w:t>x1</w:t>
      </w:r>
    </w:p>
    <w:p w14:paraId="38F7A5EC" w14:textId="28D518E4" w:rsidR="00F71068" w:rsidRPr="00A333F1" w:rsidRDefault="00F71068" w:rsidP="00A333F1">
      <w:pPr>
        <w:rPr>
          <w:highlight w:val="lightGray"/>
        </w:rPr>
      </w:pPr>
      <w:r w:rsidRPr="00A333F1">
        <w:rPr>
          <w:highlight w:val="lightGray"/>
        </w:rPr>
        <w:t>LT/1/19/4423/0</w:t>
      </w:r>
      <w:r w:rsidR="00961805">
        <w:rPr>
          <w:highlight w:val="lightGray"/>
        </w:rPr>
        <w:t>15</w:t>
      </w:r>
      <w:r w:rsidRPr="00A333F1">
        <w:rPr>
          <w:highlight w:val="lightGray"/>
        </w:rPr>
        <w:t xml:space="preserve"> – N24</w:t>
      </w:r>
      <w:r w:rsidR="00FD21CF">
        <w:rPr>
          <w:highlight w:val="lightGray"/>
        </w:rPr>
        <w:t>x1</w:t>
      </w:r>
    </w:p>
    <w:p w14:paraId="0FA50F53" w14:textId="1228A6DE" w:rsidR="00F71068" w:rsidRPr="00A333F1" w:rsidRDefault="00F71068" w:rsidP="00A333F1">
      <w:pPr>
        <w:rPr>
          <w:highlight w:val="lightGray"/>
        </w:rPr>
      </w:pPr>
      <w:r w:rsidRPr="00A333F1">
        <w:rPr>
          <w:highlight w:val="lightGray"/>
        </w:rPr>
        <w:t>LT/1/19/4423/0</w:t>
      </w:r>
      <w:r w:rsidR="00961805">
        <w:rPr>
          <w:highlight w:val="lightGray"/>
        </w:rPr>
        <w:t>16</w:t>
      </w:r>
      <w:r w:rsidRPr="00A333F1">
        <w:rPr>
          <w:highlight w:val="lightGray"/>
        </w:rPr>
        <w:t xml:space="preserve"> – N28</w:t>
      </w:r>
      <w:r w:rsidR="00FD21CF">
        <w:rPr>
          <w:highlight w:val="lightGray"/>
        </w:rPr>
        <w:t>x1</w:t>
      </w:r>
    </w:p>
    <w:p w14:paraId="4A49ACA8" w14:textId="3C96436D" w:rsidR="00F71068" w:rsidRPr="00A333F1" w:rsidRDefault="00F71068" w:rsidP="00A333F1">
      <w:pPr>
        <w:rPr>
          <w:highlight w:val="lightGray"/>
        </w:rPr>
      </w:pPr>
      <w:r w:rsidRPr="00A333F1">
        <w:rPr>
          <w:highlight w:val="lightGray"/>
        </w:rPr>
        <w:t>LT/1/19/4423/0</w:t>
      </w:r>
      <w:r w:rsidR="00961805">
        <w:rPr>
          <w:highlight w:val="lightGray"/>
        </w:rPr>
        <w:t>17</w:t>
      </w:r>
      <w:r w:rsidRPr="00A333F1">
        <w:rPr>
          <w:highlight w:val="lightGray"/>
        </w:rPr>
        <w:t xml:space="preserve"> – N36</w:t>
      </w:r>
      <w:r w:rsidR="00FD21CF">
        <w:rPr>
          <w:highlight w:val="lightGray"/>
        </w:rPr>
        <w:t>x1</w:t>
      </w:r>
    </w:p>
    <w:p w14:paraId="07718A24" w14:textId="6BA58FF3" w:rsidR="00F71068" w:rsidRPr="00A333F1" w:rsidRDefault="00F71068" w:rsidP="00A333F1">
      <w:r w:rsidRPr="00A333F1">
        <w:rPr>
          <w:highlight w:val="lightGray"/>
        </w:rPr>
        <w:t>LT/1/19/4423/0</w:t>
      </w:r>
      <w:r w:rsidR="00961805">
        <w:rPr>
          <w:highlight w:val="lightGray"/>
        </w:rPr>
        <w:t>18</w:t>
      </w:r>
      <w:r w:rsidRPr="00A333F1">
        <w:rPr>
          <w:highlight w:val="lightGray"/>
        </w:rPr>
        <w:t xml:space="preserve"> – </w:t>
      </w:r>
      <w:r w:rsidRPr="00FD21CF">
        <w:rPr>
          <w:highlight w:val="lightGray"/>
        </w:rPr>
        <w:t>N48</w:t>
      </w:r>
      <w:r w:rsidR="00FD21CF" w:rsidRPr="00797CDB">
        <w:rPr>
          <w:highlight w:val="lightGray"/>
        </w:rPr>
        <w:t>x1</w:t>
      </w:r>
    </w:p>
    <w:p w14:paraId="29CD4A24" w14:textId="77777777" w:rsidR="00F71068" w:rsidRPr="00A333F1" w:rsidRDefault="00F71068" w:rsidP="00A333F1"/>
    <w:p w14:paraId="43A2105C" w14:textId="77777777" w:rsidR="00FD5C4A" w:rsidRPr="00A333F1" w:rsidRDefault="00FD5C4A" w:rsidP="00A333F1"/>
    <w:p w14:paraId="3B5A65A0" w14:textId="77777777" w:rsidR="00FD5C4A" w:rsidRPr="00A333F1" w:rsidRDefault="00FD5C4A" w:rsidP="00A333F1">
      <w:pPr>
        <w:pBdr>
          <w:top w:val="single" w:sz="4" w:space="1" w:color="auto"/>
          <w:left w:val="single" w:sz="4" w:space="4" w:color="auto"/>
          <w:bottom w:val="single" w:sz="4" w:space="1" w:color="auto"/>
          <w:right w:val="single" w:sz="4" w:space="4" w:color="auto"/>
        </w:pBdr>
        <w:outlineLvl w:val="0"/>
      </w:pPr>
      <w:r w:rsidRPr="00A333F1">
        <w:rPr>
          <w:b/>
        </w:rPr>
        <w:t>13.</w:t>
      </w:r>
      <w:r w:rsidRPr="00A333F1">
        <w:rPr>
          <w:b/>
        </w:rPr>
        <w:tab/>
        <w:t xml:space="preserve">SERIJOS NUMERIS </w:t>
      </w:r>
    </w:p>
    <w:p w14:paraId="15F97A8D" w14:textId="77777777" w:rsidR="00FD5C4A" w:rsidRPr="00A333F1" w:rsidRDefault="00FD5C4A" w:rsidP="00A333F1"/>
    <w:p w14:paraId="1EDF3B62" w14:textId="77777777" w:rsidR="00FD5C4A" w:rsidRPr="00A333F1" w:rsidRDefault="00C445D0" w:rsidP="00A333F1">
      <w:r w:rsidRPr="00A333F1">
        <w:t>Lot</w:t>
      </w:r>
    </w:p>
    <w:p w14:paraId="74F5CF01" w14:textId="77777777" w:rsidR="00FD5C4A" w:rsidRPr="00A333F1" w:rsidRDefault="00FD5C4A" w:rsidP="00A333F1"/>
    <w:p w14:paraId="1513403E" w14:textId="77777777" w:rsidR="00FD5C4A" w:rsidRPr="00A333F1" w:rsidRDefault="00FD5C4A" w:rsidP="00A333F1"/>
    <w:p w14:paraId="1E944D23" w14:textId="77777777" w:rsidR="00FD5C4A" w:rsidRPr="00A333F1" w:rsidRDefault="00FD5C4A" w:rsidP="00A333F1">
      <w:pPr>
        <w:pBdr>
          <w:top w:val="single" w:sz="4" w:space="1" w:color="auto"/>
          <w:left w:val="single" w:sz="4" w:space="4" w:color="auto"/>
          <w:bottom w:val="single" w:sz="4" w:space="1" w:color="auto"/>
          <w:right w:val="single" w:sz="4" w:space="4" w:color="auto"/>
        </w:pBdr>
        <w:outlineLvl w:val="0"/>
      </w:pPr>
      <w:r w:rsidRPr="00A333F1">
        <w:rPr>
          <w:b/>
        </w:rPr>
        <w:t>14.</w:t>
      </w:r>
      <w:r w:rsidRPr="00A333F1">
        <w:rPr>
          <w:b/>
        </w:rPr>
        <w:tab/>
        <w:t>PARDAVIMO (IŠDAVIMO) TVARKA</w:t>
      </w:r>
    </w:p>
    <w:p w14:paraId="3A5FFD8C" w14:textId="77777777" w:rsidR="00FD5C4A" w:rsidRPr="00A333F1" w:rsidRDefault="00FD5C4A" w:rsidP="00A333F1"/>
    <w:p w14:paraId="0F8EC8CB" w14:textId="77777777" w:rsidR="00FD5C4A" w:rsidRPr="00A333F1" w:rsidRDefault="0094786C" w:rsidP="00A333F1">
      <w:r w:rsidRPr="00A333F1">
        <w:t xml:space="preserve">Receptinis </w:t>
      </w:r>
      <w:r w:rsidR="00FD5C4A" w:rsidRPr="00A333F1">
        <w:t>vaist</w:t>
      </w:r>
      <w:r w:rsidR="00C445D0" w:rsidRPr="00A333F1">
        <w:t>as</w:t>
      </w:r>
    </w:p>
    <w:p w14:paraId="73B9BA8E" w14:textId="77777777" w:rsidR="00FD5C4A" w:rsidRPr="00A333F1" w:rsidRDefault="00FD5C4A" w:rsidP="00A333F1"/>
    <w:p w14:paraId="3736DD3C" w14:textId="77777777" w:rsidR="00FD5C4A" w:rsidRPr="00A333F1" w:rsidRDefault="00FD5C4A" w:rsidP="00A333F1"/>
    <w:p w14:paraId="4ED2262E" w14:textId="77777777" w:rsidR="00FD5C4A" w:rsidRPr="00A333F1" w:rsidRDefault="00FD5C4A" w:rsidP="00A333F1">
      <w:pPr>
        <w:pBdr>
          <w:top w:val="single" w:sz="4" w:space="2" w:color="auto"/>
          <w:left w:val="single" w:sz="4" w:space="4" w:color="auto"/>
          <w:bottom w:val="single" w:sz="4" w:space="1" w:color="auto"/>
          <w:right w:val="single" w:sz="4" w:space="4" w:color="auto"/>
        </w:pBdr>
        <w:outlineLvl w:val="0"/>
      </w:pPr>
      <w:r w:rsidRPr="00A333F1">
        <w:rPr>
          <w:b/>
        </w:rPr>
        <w:t>15.</w:t>
      </w:r>
      <w:r w:rsidRPr="00A333F1">
        <w:rPr>
          <w:b/>
        </w:rPr>
        <w:tab/>
        <w:t>VARTOJIMO INSTRUKCIJA</w:t>
      </w:r>
    </w:p>
    <w:p w14:paraId="6F0F9550" w14:textId="77777777" w:rsidR="00FD5C4A" w:rsidRPr="00A333F1" w:rsidRDefault="00FD5C4A" w:rsidP="00A333F1"/>
    <w:p w14:paraId="43E01FC3" w14:textId="77777777" w:rsidR="00FD5C4A" w:rsidRPr="00A333F1" w:rsidRDefault="00FD5C4A" w:rsidP="00A333F1"/>
    <w:p w14:paraId="082F65DE" w14:textId="77777777" w:rsidR="00FD5C4A" w:rsidRPr="00A333F1" w:rsidRDefault="00FD5C4A" w:rsidP="00A333F1">
      <w:pPr>
        <w:pBdr>
          <w:top w:val="single" w:sz="4" w:space="1" w:color="auto"/>
          <w:left w:val="single" w:sz="4" w:space="4" w:color="auto"/>
          <w:bottom w:val="single" w:sz="4" w:space="0" w:color="auto"/>
          <w:right w:val="single" w:sz="4" w:space="4" w:color="auto"/>
        </w:pBdr>
        <w:rPr>
          <w:color w:val="008000"/>
        </w:rPr>
      </w:pPr>
      <w:r w:rsidRPr="00A333F1">
        <w:rPr>
          <w:b/>
        </w:rPr>
        <w:t>16.</w:t>
      </w:r>
      <w:r w:rsidRPr="00A333F1">
        <w:rPr>
          <w:b/>
        </w:rPr>
        <w:tab/>
        <w:t>INFORMACIJA BRAILIO RAŠTU</w:t>
      </w:r>
    </w:p>
    <w:p w14:paraId="1D63A9F3" w14:textId="77777777" w:rsidR="00FD5C4A" w:rsidRPr="00A333F1" w:rsidRDefault="00FD5C4A" w:rsidP="00A333F1"/>
    <w:p w14:paraId="137BA0E1" w14:textId="77777777" w:rsidR="00FD5C4A" w:rsidRPr="00A333F1" w:rsidRDefault="00254A51" w:rsidP="00A333F1">
      <w:pPr>
        <w:autoSpaceDE w:val="0"/>
        <w:autoSpaceDN w:val="0"/>
        <w:adjustRightInd w:val="0"/>
      </w:pPr>
      <w:r w:rsidRPr="00A333F1">
        <w:t xml:space="preserve">Quator </w:t>
      </w:r>
      <w:r w:rsidR="00FD5C4A" w:rsidRPr="00A333F1">
        <w:t>5</w:t>
      </w:r>
      <w:r w:rsidR="000B5CC7" w:rsidRPr="00A333F1">
        <w:t> mg</w:t>
      </w:r>
      <w:r w:rsidR="00FD5C4A" w:rsidRPr="00A333F1">
        <w:t xml:space="preserve"> </w:t>
      </w:r>
    </w:p>
    <w:p w14:paraId="08D783CD" w14:textId="77777777" w:rsidR="00F13526" w:rsidRPr="00A333F1" w:rsidRDefault="00254A51" w:rsidP="00A333F1">
      <w:pPr>
        <w:shd w:val="clear" w:color="auto" w:fill="D9D9D9" w:themeFill="background1" w:themeFillShade="D9"/>
      </w:pPr>
      <w:r w:rsidRPr="00A333F1">
        <w:t xml:space="preserve">Quator </w:t>
      </w:r>
      <w:r w:rsidR="00F13526" w:rsidRPr="00A333F1">
        <w:t xml:space="preserve">10 mg </w:t>
      </w:r>
    </w:p>
    <w:p w14:paraId="4EE7FB74" w14:textId="77777777" w:rsidR="00FD5C4A" w:rsidRPr="00A333F1" w:rsidRDefault="00254A51" w:rsidP="00A333F1">
      <w:pPr>
        <w:shd w:val="clear" w:color="auto" w:fill="BFBFBF" w:themeFill="background1" w:themeFillShade="BF"/>
      </w:pPr>
      <w:r w:rsidRPr="00A333F1">
        <w:t xml:space="preserve">Quator </w:t>
      </w:r>
      <w:r w:rsidR="00FD5C4A" w:rsidRPr="00A333F1">
        <w:t>20</w:t>
      </w:r>
      <w:r w:rsidR="000B5CC7" w:rsidRPr="00A333F1">
        <w:t> mg</w:t>
      </w:r>
    </w:p>
    <w:p w14:paraId="34A682E2" w14:textId="77777777" w:rsidR="00C445D0" w:rsidRPr="00A333F1" w:rsidRDefault="00C445D0" w:rsidP="00A333F1"/>
    <w:p w14:paraId="72F7E799" w14:textId="77777777" w:rsidR="00093CB6" w:rsidRPr="00A333F1" w:rsidRDefault="00093CB6" w:rsidP="00A333F1"/>
    <w:p w14:paraId="2B7CCE12" w14:textId="77777777" w:rsidR="00093CB6" w:rsidRPr="00A333F1" w:rsidRDefault="00093CB6" w:rsidP="00A333F1">
      <w:pPr>
        <w:pBdr>
          <w:top w:val="single" w:sz="4" w:space="1" w:color="auto"/>
          <w:left w:val="single" w:sz="4" w:space="4" w:color="auto"/>
          <w:bottom w:val="single" w:sz="4" w:space="1" w:color="auto"/>
          <w:right w:val="single" w:sz="4" w:space="4" w:color="auto"/>
        </w:pBdr>
        <w:rPr>
          <w:i/>
        </w:rPr>
      </w:pPr>
      <w:r w:rsidRPr="00A333F1">
        <w:rPr>
          <w:b/>
        </w:rPr>
        <w:t>17.</w:t>
      </w:r>
      <w:r w:rsidRPr="00A333F1">
        <w:rPr>
          <w:b/>
        </w:rPr>
        <w:tab/>
        <w:t>UNIKALUS IDENTIFIKATORIUS – 2D BRŪKŠNINIS KODAS</w:t>
      </w:r>
    </w:p>
    <w:p w14:paraId="6DFA5B2F" w14:textId="77777777" w:rsidR="00093CB6" w:rsidRPr="00A333F1" w:rsidRDefault="00093CB6" w:rsidP="00A333F1"/>
    <w:p w14:paraId="38890154" w14:textId="77777777" w:rsidR="00093CB6" w:rsidRPr="00A333F1" w:rsidRDefault="00093CB6" w:rsidP="00A333F1">
      <w:r w:rsidRPr="00A333F1">
        <w:rPr>
          <w:highlight w:val="lightGray"/>
        </w:rPr>
        <w:t>2D brūkšninis kodas su nurodytu unikaliu identifikatoriumi.</w:t>
      </w:r>
    </w:p>
    <w:p w14:paraId="7B04B2AD" w14:textId="77777777" w:rsidR="00093CB6" w:rsidRPr="00A333F1" w:rsidRDefault="00093CB6" w:rsidP="00A333F1"/>
    <w:p w14:paraId="7E479BC4" w14:textId="77777777" w:rsidR="00093CB6" w:rsidRPr="00A333F1" w:rsidRDefault="00093CB6" w:rsidP="00A333F1"/>
    <w:p w14:paraId="1C2FB766" w14:textId="77777777" w:rsidR="00093CB6" w:rsidRPr="00A333F1" w:rsidRDefault="00093CB6" w:rsidP="00A333F1">
      <w:pPr>
        <w:pBdr>
          <w:top w:val="single" w:sz="4" w:space="1" w:color="auto"/>
          <w:left w:val="single" w:sz="4" w:space="4" w:color="auto"/>
          <w:bottom w:val="single" w:sz="4" w:space="1" w:color="auto"/>
          <w:right w:val="single" w:sz="4" w:space="4" w:color="auto"/>
        </w:pBdr>
        <w:rPr>
          <w:i/>
        </w:rPr>
      </w:pPr>
      <w:r w:rsidRPr="00A333F1">
        <w:rPr>
          <w:b/>
        </w:rPr>
        <w:t>18.</w:t>
      </w:r>
      <w:r w:rsidRPr="00A333F1">
        <w:rPr>
          <w:b/>
        </w:rPr>
        <w:tab/>
        <w:t>UNIKALUS IDENTIFIKATORIUS – ŽMONĖMS SUPRANTAMI DUOMENYS</w:t>
      </w:r>
    </w:p>
    <w:p w14:paraId="6D9B8E02" w14:textId="77777777" w:rsidR="00093CB6" w:rsidRPr="00A333F1" w:rsidRDefault="00093CB6" w:rsidP="00A333F1"/>
    <w:p w14:paraId="03A3C749" w14:textId="77777777" w:rsidR="00093CB6" w:rsidRPr="00A333F1" w:rsidRDefault="00093CB6" w:rsidP="00A333F1">
      <w:r w:rsidRPr="00A333F1">
        <w:t>PC:</w:t>
      </w:r>
    </w:p>
    <w:p w14:paraId="3D20E601" w14:textId="77777777" w:rsidR="00093CB6" w:rsidRPr="00A333F1" w:rsidRDefault="00093CB6" w:rsidP="00A333F1">
      <w:r w:rsidRPr="00A333F1">
        <w:t>SN:</w:t>
      </w:r>
    </w:p>
    <w:p w14:paraId="32248DD4" w14:textId="77777777" w:rsidR="00C445D0" w:rsidRPr="00A333F1" w:rsidRDefault="00093CB6" w:rsidP="00A333F1">
      <w:r w:rsidRPr="00A333F1">
        <w:rPr>
          <w:highlight w:val="lightGray"/>
        </w:rPr>
        <w:t>NN:</w:t>
      </w:r>
    </w:p>
    <w:p w14:paraId="3F61D336" w14:textId="77777777" w:rsidR="00FD5C4A" w:rsidRPr="00A333F1" w:rsidRDefault="00FD5C4A" w:rsidP="00A333F1">
      <w:r w:rsidRPr="00A333F1">
        <w:br w:type="page"/>
      </w:r>
    </w:p>
    <w:p w14:paraId="26F08640" w14:textId="77777777" w:rsidR="00FD5C4A" w:rsidRPr="00A333F1" w:rsidRDefault="00FD5C4A" w:rsidP="00A333F1">
      <w:pPr>
        <w:pBdr>
          <w:top w:val="single" w:sz="4" w:space="1" w:color="auto"/>
          <w:left w:val="single" w:sz="4" w:space="4" w:color="auto"/>
          <w:bottom w:val="single" w:sz="4" w:space="1" w:color="auto"/>
          <w:right w:val="single" w:sz="4" w:space="4" w:color="auto"/>
        </w:pBdr>
        <w:tabs>
          <w:tab w:val="left" w:pos="0"/>
        </w:tabs>
        <w:rPr>
          <w:b/>
        </w:rPr>
      </w:pPr>
      <w:r w:rsidRPr="00A333F1">
        <w:rPr>
          <w:b/>
        </w:rPr>
        <w:t>MINIMALI INFORMACIJA ANT LIZDINIŲ PLOKŠTELIŲ ARBA DVISLUOKSNIŲ JUOSTELIŲ</w:t>
      </w:r>
    </w:p>
    <w:p w14:paraId="745B1199" w14:textId="77777777" w:rsidR="00FD5C4A" w:rsidRPr="00A333F1" w:rsidRDefault="00FD5C4A" w:rsidP="00A333F1">
      <w:pPr>
        <w:pBdr>
          <w:top w:val="single" w:sz="4" w:space="1" w:color="auto"/>
          <w:left w:val="single" w:sz="4" w:space="4" w:color="auto"/>
          <w:bottom w:val="single" w:sz="4" w:space="1" w:color="auto"/>
          <w:right w:val="single" w:sz="4" w:space="4" w:color="auto"/>
        </w:pBdr>
        <w:ind w:left="567" w:hanging="567"/>
        <w:rPr>
          <w:b/>
        </w:rPr>
      </w:pPr>
    </w:p>
    <w:p w14:paraId="64BF1E4E" w14:textId="77777777" w:rsidR="00FD5C4A" w:rsidRPr="00A333F1" w:rsidRDefault="00F13526" w:rsidP="00A333F1">
      <w:pPr>
        <w:pBdr>
          <w:top w:val="single" w:sz="4" w:space="1" w:color="auto"/>
          <w:left w:val="single" w:sz="4" w:space="4" w:color="auto"/>
          <w:bottom w:val="single" w:sz="4" w:space="1" w:color="auto"/>
          <w:right w:val="single" w:sz="4" w:space="4" w:color="auto"/>
        </w:pBdr>
        <w:ind w:left="567" w:hanging="567"/>
      </w:pPr>
      <w:r w:rsidRPr="00A333F1">
        <w:rPr>
          <w:b/>
        </w:rPr>
        <w:t>LIZDINĖ PLOKŠTELĖ</w:t>
      </w:r>
    </w:p>
    <w:p w14:paraId="12FA7CC4" w14:textId="77777777" w:rsidR="00FD5C4A" w:rsidRPr="00A333F1" w:rsidRDefault="00FD5C4A" w:rsidP="00A333F1"/>
    <w:p w14:paraId="2E912A4B" w14:textId="77777777" w:rsidR="00FD5C4A" w:rsidRPr="00A333F1" w:rsidRDefault="00FD5C4A" w:rsidP="00A333F1"/>
    <w:p w14:paraId="121056D7" w14:textId="77777777" w:rsidR="00FD5C4A" w:rsidRPr="00A333F1" w:rsidRDefault="00FD5C4A" w:rsidP="00A333F1">
      <w:pPr>
        <w:pBdr>
          <w:top w:val="single" w:sz="4" w:space="1" w:color="auto"/>
          <w:left w:val="single" w:sz="4" w:space="4" w:color="auto"/>
          <w:bottom w:val="single" w:sz="4" w:space="1" w:color="auto"/>
          <w:right w:val="single" w:sz="4" w:space="4" w:color="auto"/>
        </w:pBdr>
        <w:outlineLvl w:val="0"/>
        <w:rPr>
          <w:b/>
        </w:rPr>
      </w:pPr>
      <w:r w:rsidRPr="00A333F1">
        <w:rPr>
          <w:b/>
        </w:rPr>
        <w:t>1.</w:t>
      </w:r>
      <w:r w:rsidRPr="00A333F1">
        <w:rPr>
          <w:b/>
        </w:rPr>
        <w:tab/>
      </w:r>
      <w:r w:rsidRPr="00A333F1">
        <w:rPr>
          <w:b/>
          <w:caps/>
        </w:rPr>
        <w:t>VAISTINIO</w:t>
      </w:r>
      <w:r w:rsidRPr="00A333F1">
        <w:rPr>
          <w:b/>
        </w:rPr>
        <w:t xml:space="preserve"> PREPARATO PAVADINIMAS</w:t>
      </w:r>
    </w:p>
    <w:p w14:paraId="17E0368C" w14:textId="77777777" w:rsidR="00FD5C4A" w:rsidRPr="00A333F1" w:rsidRDefault="00FD5C4A" w:rsidP="00A333F1"/>
    <w:p w14:paraId="0F99546E" w14:textId="77777777" w:rsidR="00F13526" w:rsidRPr="00A333F1" w:rsidRDefault="00254A51" w:rsidP="00A333F1">
      <w:pPr>
        <w:autoSpaceDE w:val="0"/>
        <w:autoSpaceDN w:val="0"/>
        <w:adjustRightInd w:val="0"/>
      </w:pPr>
      <w:r w:rsidRPr="00A333F1">
        <w:t xml:space="preserve">Quator </w:t>
      </w:r>
      <w:r w:rsidR="00F13526" w:rsidRPr="00A333F1">
        <w:t xml:space="preserve">5 mg </w:t>
      </w:r>
      <w:r w:rsidR="00CD12BB" w:rsidRPr="00A333F1">
        <w:t>plėvele dengtos tabletės</w:t>
      </w:r>
    </w:p>
    <w:p w14:paraId="0848C2F3" w14:textId="77777777" w:rsidR="00F13526" w:rsidRPr="00A333F1" w:rsidRDefault="00254A51" w:rsidP="00A333F1">
      <w:pPr>
        <w:shd w:val="clear" w:color="auto" w:fill="D9D9D9" w:themeFill="background1" w:themeFillShade="D9"/>
      </w:pPr>
      <w:r w:rsidRPr="00A333F1">
        <w:t xml:space="preserve">Quator </w:t>
      </w:r>
      <w:r w:rsidR="00F13526" w:rsidRPr="00A333F1">
        <w:t xml:space="preserve">10 mg </w:t>
      </w:r>
      <w:r w:rsidR="00CD12BB" w:rsidRPr="00A333F1">
        <w:t>plėvele dengtos tabletės</w:t>
      </w:r>
    </w:p>
    <w:p w14:paraId="6A6BA696" w14:textId="77777777" w:rsidR="00F13526" w:rsidRPr="00A333F1" w:rsidRDefault="00254A51" w:rsidP="00A333F1">
      <w:pPr>
        <w:shd w:val="clear" w:color="auto" w:fill="BFBFBF" w:themeFill="background1" w:themeFillShade="BF"/>
      </w:pPr>
      <w:r w:rsidRPr="00A333F1">
        <w:t xml:space="preserve">Quator </w:t>
      </w:r>
      <w:r w:rsidR="00F13526" w:rsidRPr="00A333F1">
        <w:t>20 mg</w:t>
      </w:r>
      <w:r w:rsidR="00CD12BB" w:rsidRPr="00A333F1">
        <w:t xml:space="preserve"> plėvele dengtos tabletės</w:t>
      </w:r>
    </w:p>
    <w:p w14:paraId="3EE2BF2E" w14:textId="77777777" w:rsidR="00FD5C4A" w:rsidRPr="00A333F1" w:rsidRDefault="00FD5C4A" w:rsidP="00A333F1"/>
    <w:p w14:paraId="1BCD16C3" w14:textId="71391EE3" w:rsidR="00FD5C4A" w:rsidRPr="00BE7FAC" w:rsidRDefault="0029693F" w:rsidP="00FD5C4A">
      <w:pPr>
        <w:rPr>
          <w:szCs w:val="22"/>
        </w:rPr>
      </w:pPr>
      <w:r>
        <w:rPr>
          <w:szCs w:val="22"/>
        </w:rPr>
        <w:t>t</w:t>
      </w:r>
      <w:r w:rsidR="00FD5C4A" w:rsidRPr="00BE7FAC">
        <w:rPr>
          <w:szCs w:val="22"/>
        </w:rPr>
        <w:t>adalafilum</w:t>
      </w:r>
    </w:p>
    <w:p w14:paraId="25EF0285" w14:textId="77777777" w:rsidR="00FD5C4A" w:rsidRPr="00A333F1" w:rsidRDefault="00FD5C4A" w:rsidP="00A333F1"/>
    <w:p w14:paraId="5D406D53" w14:textId="77777777" w:rsidR="00FD5C4A" w:rsidRPr="00A333F1" w:rsidRDefault="00FD5C4A" w:rsidP="00A333F1"/>
    <w:p w14:paraId="0BAEEE29" w14:textId="77777777" w:rsidR="00FD5C4A" w:rsidRPr="00A333F1" w:rsidRDefault="00FD5C4A" w:rsidP="00A333F1">
      <w:pPr>
        <w:pBdr>
          <w:top w:val="single" w:sz="4" w:space="1" w:color="auto"/>
          <w:left w:val="single" w:sz="4" w:space="4" w:color="auto"/>
          <w:bottom w:val="single" w:sz="4" w:space="1" w:color="auto"/>
          <w:right w:val="single" w:sz="4" w:space="4" w:color="auto"/>
        </w:pBdr>
        <w:outlineLvl w:val="0"/>
        <w:rPr>
          <w:b/>
        </w:rPr>
      </w:pPr>
      <w:r w:rsidRPr="00A333F1">
        <w:rPr>
          <w:b/>
        </w:rPr>
        <w:t>2.</w:t>
      </w:r>
      <w:r w:rsidRPr="00A333F1">
        <w:rPr>
          <w:b/>
        </w:rPr>
        <w:tab/>
      </w:r>
      <w:r w:rsidR="00093CB6" w:rsidRPr="00A333F1">
        <w:rPr>
          <w:b/>
          <w:caps/>
        </w:rPr>
        <w:t>REGISTRUOTOJO</w:t>
      </w:r>
      <w:r w:rsidR="00093CB6" w:rsidRPr="00A333F1" w:rsidDel="00093CB6">
        <w:rPr>
          <w:b/>
          <w:caps/>
        </w:rPr>
        <w:t xml:space="preserve"> </w:t>
      </w:r>
      <w:r w:rsidRPr="00A333F1">
        <w:rPr>
          <w:b/>
          <w:caps/>
        </w:rPr>
        <w:t>pavadinimas</w:t>
      </w:r>
    </w:p>
    <w:p w14:paraId="50F348AD" w14:textId="77777777" w:rsidR="00FD5C4A" w:rsidRPr="00A333F1" w:rsidRDefault="00FD5C4A" w:rsidP="00A333F1"/>
    <w:p w14:paraId="2037EE04" w14:textId="77777777" w:rsidR="00FD5C4A" w:rsidRPr="00A333F1" w:rsidRDefault="00F13526" w:rsidP="00A333F1">
      <w:r w:rsidRPr="00A333F1">
        <w:t>SANDOZ</w:t>
      </w:r>
    </w:p>
    <w:p w14:paraId="1CB2C8C7" w14:textId="77777777" w:rsidR="00F13526" w:rsidRPr="00A333F1" w:rsidRDefault="00F13526" w:rsidP="00A333F1"/>
    <w:p w14:paraId="11CD2C0C" w14:textId="77777777" w:rsidR="00FD5C4A" w:rsidRPr="00A333F1" w:rsidRDefault="00FD5C4A" w:rsidP="00A333F1"/>
    <w:p w14:paraId="071F9337" w14:textId="77777777" w:rsidR="00FD5C4A" w:rsidRPr="00A333F1" w:rsidRDefault="00FD5C4A" w:rsidP="00A333F1">
      <w:pPr>
        <w:pBdr>
          <w:top w:val="single" w:sz="4" w:space="1" w:color="auto"/>
          <w:left w:val="single" w:sz="4" w:space="4" w:color="auto"/>
          <w:bottom w:val="single" w:sz="4" w:space="2" w:color="auto"/>
          <w:right w:val="single" w:sz="4" w:space="4" w:color="auto"/>
        </w:pBdr>
        <w:outlineLvl w:val="0"/>
        <w:rPr>
          <w:b/>
        </w:rPr>
      </w:pPr>
      <w:r w:rsidRPr="00A333F1">
        <w:rPr>
          <w:b/>
        </w:rPr>
        <w:t>3.</w:t>
      </w:r>
      <w:r w:rsidRPr="00A333F1">
        <w:rPr>
          <w:b/>
        </w:rPr>
        <w:tab/>
        <w:t>TINKAMUMO LAIKAS</w:t>
      </w:r>
    </w:p>
    <w:p w14:paraId="615F6A10" w14:textId="77777777" w:rsidR="00FD5C4A" w:rsidRPr="00A333F1" w:rsidRDefault="00FD5C4A" w:rsidP="00A333F1"/>
    <w:p w14:paraId="2474D3C9" w14:textId="77777777" w:rsidR="00FD5C4A" w:rsidRPr="00A333F1" w:rsidRDefault="00FD5C4A" w:rsidP="00A333F1">
      <w:r w:rsidRPr="00A333F1">
        <w:rPr>
          <w:highlight w:val="lightGray"/>
        </w:rPr>
        <w:t>EXP</w:t>
      </w:r>
      <w:r w:rsidRPr="00A333F1">
        <w:t xml:space="preserve"> {mm /MMMM}</w:t>
      </w:r>
    </w:p>
    <w:p w14:paraId="30ED960B" w14:textId="77777777" w:rsidR="00FD5C4A" w:rsidRPr="00A333F1" w:rsidRDefault="00FD5C4A" w:rsidP="00A333F1"/>
    <w:p w14:paraId="25A1FD8A" w14:textId="77777777" w:rsidR="00FD5C4A" w:rsidRPr="00A333F1" w:rsidRDefault="00FD5C4A" w:rsidP="00A333F1"/>
    <w:p w14:paraId="52884CEE" w14:textId="77777777" w:rsidR="00FD5C4A" w:rsidRPr="00A333F1" w:rsidRDefault="00FD5C4A" w:rsidP="00A333F1">
      <w:pPr>
        <w:suppressLineNumbers/>
        <w:pBdr>
          <w:top w:val="single" w:sz="4" w:space="1" w:color="auto"/>
          <w:left w:val="single" w:sz="4" w:space="4" w:color="auto"/>
          <w:bottom w:val="single" w:sz="4" w:space="1" w:color="auto"/>
          <w:right w:val="single" w:sz="4" w:space="4" w:color="auto"/>
        </w:pBdr>
        <w:outlineLvl w:val="0"/>
        <w:rPr>
          <w:b/>
        </w:rPr>
      </w:pPr>
      <w:r w:rsidRPr="00A333F1">
        <w:rPr>
          <w:b/>
        </w:rPr>
        <w:t>4.</w:t>
      </w:r>
      <w:r w:rsidRPr="00A333F1">
        <w:rPr>
          <w:b/>
        </w:rPr>
        <w:tab/>
        <w:t>SERIJOS NUMERIS</w:t>
      </w:r>
    </w:p>
    <w:p w14:paraId="51FC3055" w14:textId="77777777" w:rsidR="00FD5C4A" w:rsidRPr="00A333F1" w:rsidRDefault="00FD5C4A" w:rsidP="00A333F1"/>
    <w:p w14:paraId="52D71FF8" w14:textId="77777777" w:rsidR="00FD5C4A" w:rsidRPr="00A333F1" w:rsidRDefault="00FD5C4A" w:rsidP="00A333F1">
      <w:r w:rsidRPr="00A333F1">
        <w:rPr>
          <w:highlight w:val="lightGray"/>
        </w:rPr>
        <w:t>Lot</w:t>
      </w:r>
    </w:p>
    <w:p w14:paraId="21F246EF" w14:textId="77777777" w:rsidR="00FD5C4A" w:rsidRPr="00A333F1" w:rsidRDefault="00FD5C4A" w:rsidP="00A333F1"/>
    <w:p w14:paraId="6698107E" w14:textId="77777777" w:rsidR="00FD5C4A" w:rsidRPr="00A333F1" w:rsidRDefault="00FD5C4A" w:rsidP="00A333F1"/>
    <w:p w14:paraId="72BDB186" w14:textId="77777777" w:rsidR="00FD5C4A" w:rsidRPr="00A333F1" w:rsidRDefault="00FD5C4A" w:rsidP="00A333F1">
      <w:pPr>
        <w:pBdr>
          <w:top w:val="single" w:sz="4" w:space="1" w:color="auto"/>
          <w:left w:val="single" w:sz="4" w:space="4" w:color="auto"/>
          <w:bottom w:val="single" w:sz="4" w:space="1" w:color="auto"/>
          <w:right w:val="single" w:sz="4" w:space="4" w:color="auto"/>
        </w:pBdr>
        <w:outlineLvl w:val="0"/>
        <w:rPr>
          <w:b/>
        </w:rPr>
      </w:pPr>
      <w:r w:rsidRPr="00A333F1">
        <w:rPr>
          <w:b/>
        </w:rPr>
        <w:t>5.</w:t>
      </w:r>
      <w:r w:rsidRPr="00A333F1">
        <w:rPr>
          <w:b/>
        </w:rPr>
        <w:tab/>
        <w:t>KITA</w:t>
      </w:r>
    </w:p>
    <w:p w14:paraId="72505644" w14:textId="77777777" w:rsidR="00FD5C4A" w:rsidRPr="00A333F1" w:rsidRDefault="00FD5C4A" w:rsidP="00A333F1"/>
    <w:p w14:paraId="0F0A60D2" w14:textId="77777777" w:rsidR="00F13526" w:rsidRPr="00A333F1" w:rsidRDefault="00F13526" w:rsidP="00A333F1">
      <w:pPr>
        <w:rPr>
          <w:color w:val="70AD47" w:themeColor="accent6"/>
          <w:highlight w:val="lightGray"/>
        </w:rPr>
      </w:pPr>
      <w:r w:rsidRPr="00A333F1">
        <w:rPr>
          <w:color w:val="70AD47" w:themeColor="accent6"/>
          <w:highlight w:val="lightGray"/>
        </w:rPr>
        <w:t>[Tik 5 mg]</w:t>
      </w:r>
    </w:p>
    <w:p w14:paraId="1C312458" w14:textId="77777777" w:rsidR="00FD5C4A" w:rsidRPr="00A333F1" w:rsidRDefault="00F13526" w:rsidP="00A333F1">
      <w:r w:rsidRPr="00A333F1">
        <w:t>P</w:t>
      </w:r>
      <w:r w:rsidR="00B543D8" w:rsidRPr="00A333F1">
        <w:t>.</w:t>
      </w:r>
      <w:r w:rsidRPr="00A333F1">
        <w:t>, A</w:t>
      </w:r>
      <w:r w:rsidR="00B543D8" w:rsidRPr="00A333F1">
        <w:t>.</w:t>
      </w:r>
      <w:r w:rsidRPr="00A333F1">
        <w:t>, T</w:t>
      </w:r>
      <w:r w:rsidR="00B543D8" w:rsidRPr="00A333F1">
        <w:t>.</w:t>
      </w:r>
      <w:r w:rsidRPr="00A333F1">
        <w:t>, K</w:t>
      </w:r>
      <w:r w:rsidR="00B543D8" w:rsidRPr="00A333F1">
        <w:t>.</w:t>
      </w:r>
      <w:r w:rsidRPr="00A333F1">
        <w:t>, Pn</w:t>
      </w:r>
      <w:r w:rsidR="00B543D8" w:rsidRPr="00A333F1">
        <w:t>.</w:t>
      </w:r>
      <w:r w:rsidRPr="00A333F1">
        <w:t>, Š</w:t>
      </w:r>
      <w:r w:rsidR="00B543D8" w:rsidRPr="00A333F1">
        <w:t>.</w:t>
      </w:r>
      <w:r w:rsidRPr="00A333F1">
        <w:t>, S</w:t>
      </w:r>
      <w:r w:rsidR="00B543D8" w:rsidRPr="00A333F1">
        <w:t>.</w:t>
      </w:r>
    </w:p>
    <w:p w14:paraId="244C0575" w14:textId="77777777" w:rsidR="00FD5C4A" w:rsidRPr="00A333F1" w:rsidRDefault="00FD5C4A" w:rsidP="00A333F1">
      <w:pPr>
        <w:outlineLvl w:val="0"/>
      </w:pPr>
    </w:p>
    <w:p w14:paraId="137A29E8" w14:textId="77777777" w:rsidR="00FD5C4A" w:rsidRPr="00A333F1" w:rsidRDefault="00FD5C4A" w:rsidP="00A333F1">
      <w:pPr>
        <w:outlineLvl w:val="0"/>
      </w:pPr>
      <w:r w:rsidRPr="00A333F1">
        <w:br w:type="page"/>
      </w:r>
    </w:p>
    <w:p w14:paraId="50A658EF" w14:textId="77777777" w:rsidR="00FD5C4A" w:rsidRPr="00A333F1" w:rsidRDefault="00FD5C4A" w:rsidP="00A333F1">
      <w:pPr>
        <w:outlineLvl w:val="0"/>
      </w:pPr>
    </w:p>
    <w:p w14:paraId="18AEB6BF" w14:textId="77777777" w:rsidR="00FD5C4A" w:rsidRPr="00A333F1" w:rsidRDefault="00FD5C4A" w:rsidP="00A333F1">
      <w:pPr>
        <w:outlineLvl w:val="0"/>
      </w:pPr>
    </w:p>
    <w:p w14:paraId="01A582C6" w14:textId="77777777" w:rsidR="00FD5C4A" w:rsidRPr="00A333F1" w:rsidRDefault="00FD5C4A" w:rsidP="00A333F1">
      <w:pPr>
        <w:jc w:val="center"/>
        <w:outlineLvl w:val="0"/>
        <w:rPr>
          <w:b/>
        </w:rPr>
      </w:pPr>
    </w:p>
    <w:p w14:paraId="4596A10C" w14:textId="77777777" w:rsidR="00FD5C4A" w:rsidRPr="00A333F1" w:rsidRDefault="00FD5C4A" w:rsidP="00A333F1">
      <w:pPr>
        <w:jc w:val="center"/>
        <w:outlineLvl w:val="0"/>
        <w:rPr>
          <w:b/>
        </w:rPr>
      </w:pPr>
    </w:p>
    <w:p w14:paraId="3EAD2F43" w14:textId="77777777" w:rsidR="00FD5C4A" w:rsidRPr="00A333F1" w:rsidRDefault="00FD5C4A" w:rsidP="00A333F1">
      <w:pPr>
        <w:jc w:val="center"/>
        <w:outlineLvl w:val="0"/>
        <w:rPr>
          <w:b/>
        </w:rPr>
      </w:pPr>
    </w:p>
    <w:p w14:paraId="14FB03D8" w14:textId="77777777" w:rsidR="00FD5C4A" w:rsidRPr="00A333F1" w:rsidRDefault="00FD5C4A" w:rsidP="00A333F1">
      <w:pPr>
        <w:jc w:val="center"/>
        <w:outlineLvl w:val="0"/>
        <w:rPr>
          <w:b/>
        </w:rPr>
      </w:pPr>
    </w:p>
    <w:p w14:paraId="7CCF3B86" w14:textId="77777777" w:rsidR="00FD5C4A" w:rsidRPr="00A333F1" w:rsidRDefault="00FD5C4A" w:rsidP="00A333F1">
      <w:pPr>
        <w:jc w:val="center"/>
        <w:outlineLvl w:val="0"/>
        <w:rPr>
          <w:b/>
        </w:rPr>
      </w:pPr>
    </w:p>
    <w:p w14:paraId="352B7D84" w14:textId="77777777" w:rsidR="00FD5C4A" w:rsidRPr="00A333F1" w:rsidRDefault="00FD5C4A" w:rsidP="00A333F1">
      <w:pPr>
        <w:jc w:val="center"/>
        <w:outlineLvl w:val="0"/>
        <w:rPr>
          <w:b/>
        </w:rPr>
      </w:pPr>
    </w:p>
    <w:p w14:paraId="607AF1EA" w14:textId="77777777" w:rsidR="00FD5C4A" w:rsidRPr="00A333F1" w:rsidRDefault="00FD5C4A" w:rsidP="00A333F1">
      <w:pPr>
        <w:jc w:val="center"/>
        <w:outlineLvl w:val="0"/>
        <w:rPr>
          <w:b/>
        </w:rPr>
      </w:pPr>
    </w:p>
    <w:p w14:paraId="679F8A5A" w14:textId="77777777" w:rsidR="00FD5C4A" w:rsidRPr="00A333F1" w:rsidRDefault="00FD5C4A" w:rsidP="00A333F1">
      <w:pPr>
        <w:jc w:val="center"/>
        <w:outlineLvl w:val="0"/>
        <w:rPr>
          <w:b/>
        </w:rPr>
      </w:pPr>
    </w:p>
    <w:p w14:paraId="6E8B918F" w14:textId="77777777" w:rsidR="00FD5C4A" w:rsidRPr="00A333F1" w:rsidRDefault="00FD5C4A" w:rsidP="00A333F1">
      <w:pPr>
        <w:jc w:val="center"/>
        <w:outlineLvl w:val="0"/>
        <w:rPr>
          <w:b/>
        </w:rPr>
      </w:pPr>
    </w:p>
    <w:p w14:paraId="7B5C063E" w14:textId="77777777" w:rsidR="00FD5C4A" w:rsidRPr="00A333F1" w:rsidRDefault="00FD5C4A" w:rsidP="00A333F1">
      <w:pPr>
        <w:jc w:val="center"/>
        <w:outlineLvl w:val="0"/>
        <w:rPr>
          <w:b/>
        </w:rPr>
      </w:pPr>
    </w:p>
    <w:p w14:paraId="14687CED" w14:textId="77777777" w:rsidR="00FD5C4A" w:rsidRPr="00A333F1" w:rsidRDefault="00FD5C4A" w:rsidP="00A333F1">
      <w:pPr>
        <w:jc w:val="center"/>
        <w:outlineLvl w:val="0"/>
        <w:rPr>
          <w:b/>
        </w:rPr>
      </w:pPr>
    </w:p>
    <w:p w14:paraId="078D4214" w14:textId="77777777" w:rsidR="00FD5C4A" w:rsidRPr="00A333F1" w:rsidRDefault="00FD5C4A" w:rsidP="00A333F1">
      <w:pPr>
        <w:jc w:val="center"/>
        <w:outlineLvl w:val="0"/>
        <w:rPr>
          <w:b/>
        </w:rPr>
      </w:pPr>
    </w:p>
    <w:p w14:paraId="512CB2A9" w14:textId="77777777" w:rsidR="00FD5C4A" w:rsidRPr="00A333F1" w:rsidRDefault="00FD5C4A" w:rsidP="00A333F1">
      <w:pPr>
        <w:jc w:val="center"/>
        <w:outlineLvl w:val="0"/>
        <w:rPr>
          <w:b/>
        </w:rPr>
      </w:pPr>
    </w:p>
    <w:p w14:paraId="3ACEDC7B" w14:textId="77777777" w:rsidR="00FD5C4A" w:rsidRPr="00A333F1" w:rsidRDefault="00FD5C4A" w:rsidP="00A333F1">
      <w:pPr>
        <w:jc w:val="center"/>
        <w:outlineLvl w:val="0"/>
        <w:rPr>
          <w:b/>
        </w:rPr>
      </w:pPr>
    </w:p>
    <w:p w14:paraId="2CED216B" w14:textId="77777777" w:rsidR="00FD5C4A" w:rsidRPr="00A333F1" w:rsidRDefault="00FD5C4A" w:rsidP="00A333F1">
      <w:pPr>
        <w:jc w:val="center"/>
        <w:outlineLvl w:val="0"/>
        <w:rPr>
          <w:b/>
        </w:rPr>
      </w:pPr>
    </w:p>
    <w:p w14:paraId="2027CB55" w14:textId="77777777" w:rsidR="00FD5C4A" w:rsidRPr="00A333F1" w:rsidRDefault="00FD5C4A" w:rsidP="00A333F1">
      <w:pPr>
        <w:jc w:val="center"/>
        <w:outlineLvl w:val="0"/>
        <w:rPr>
          <w:b/>
        </w:rPr>
      </w:pPr>
    </w:p>
    <w:p w14:paraId="31B03DF8" w14:textId="77777777" w:rsidR="00FD5C4A" w:rsidRPr="00A333F1" w:rsidRDefault="00FD5C4A" w:rsidP="00A333F1">
      <w:pPr>
        <w:jc w:val="center"/>
        <w:outlineLvl w:val="0"/>
        <w:rPr>
          <w:b/>
        </w:rPr>
      </w:pPr>
    </w:p>
    <w:p w14:paraId="51460E83" w14:textId="77777777" w:rsidR="00FD5C4A" w:rsidRPr="00A333F1" w:rsidRDefault="00FD5C4A" w:rsidP="00A333F1">
      <w:pPr>
        <w:jc w:val="center"/>
        <w:outlineLvl w:val="0"/>
        <w:rPr>
          <w:b/>
        </w:rPr>
      </w:pPr>
    </w:p>
    <w:p w14:paraId="07A79302" w14:textId="77777777" w:rsidR="00FD5C4A" w:rsidRPr="00A333F1" w:rsidRDefault="00FD5C4A" w:rsidP="00A333F1">
      <w:pPr>
        <w:jc w:val="center"/>
        <w:outlineLvl w:val="0"/>
        <w:rPr>
          <w:b/>
        </w:rPr>
      </w:pPr>
    </w:p>
    <w:p w14:paraId="42BF57EB" w14:textId="77777777" w:rsidR="00FD5C4A" w:rsidRPr="00A333F1" w:rsidRDefault="00FD5C4A" w:rsidP="00A333F1">
      <w:pPr>
        <w:jc w:val="center"/>
        <w:outlineLvl w:val="0"/>
        <w:rPr>
          <w:b/>
        </w:rPr>
      </w:pPr>
    </w:p>
    <w:p w14:paraId="419CA1F2" w14:textId="77777777" w:rsidR="00FD5C4A" w:rsidRPr="00A333F1" w:rsidRDefault="00FD5C4A" w:rsidP="00A333F1">
      <w:pPr>
        <w:jc w:val="center"/>
        <w:outlineLvl w:val="0"/>
        <w:rPr>
          <w:b/>
        </w:rPr>
      </w:pPr>
    </w:p>
    <w:p w14:paraId="30FD9702" w14:textId="77777777" w:rsidR="00FD5C4A" w:rsidRPr="00A333F1" w:rsidRDefault="00FD5C4A" w:rsidP="00A333F1">
      <w:pPr>
        <w:jc w:val="center"/>
        <w:outlineLvl w:val="0"/>
        <w:rPr>
          <w:b/>
        </w:rPr>
      </w:pPr>
      <w:r w:rsidRPr="00A333F1">
        <w:rPr>
          <w:b/>
        </w:rPr>
        <w:t>B. PAKUOTĖS LAPELIS</w:t>
      </w:r>
    </w:p>
    <w:p w14:paraId="0B96F641" w14:textId="77777777" w:rsidR="00FD5C4A" w:rsidRPr="00A333F1" w:rsidRDefault="00FD5C4A" w:rsidP="00A333F1">
      <w:pPr>
        <w:keepNext/>
        <w:tabs>
          <w:tab w:val="left" w:pos="540"/>
        </w:tabs>
        <w:jc w:val="center"/>
        <w:outlineLvl w:val="1"/>
        <w:rPr>
          <w:b/>
        </w:rPr>
      </w:pPr>
      <w:r w:rsidRPr="00A333F1">
        <w:rPr>
          <w:b/>
        </w:rPr>
        <w:br w:type="page"/>
        <w:t xml:space="preserve">Pakuotės lapelis: informacija </w:t>
      </w:r>
      <w:r w:rsidR="00CD12BB" w:rsidRPr="00A333F1">
        <w:rPr>
          <w:b/>
        </w:rPr>
        <w:t>pacientui</w:t>
      </w:r>
    </w:p>
    <w:p w14:paraId="3971DCE0" w14:textId="77777777" w:rsidR="00FD5C4A" w:rsidRPr="00A333F1" w:rsidRDefault="00FD5C4A" w:rsidP="00A333F1">
      <w:pPr>
        <w:numPr>
          <w:ilvl w:val="12"/>
          <w:numId w:val="0"/>
        </w:numPr>
        <w:shd w:val="clear" w:color="auto" w:fill="FFFFFF"/>
        <w:jc w:val="center"/>
      </w:pPr>
    </w:p>
    <w:p w14:paraId="60335F3B" w14:textId="77777777" w:rsidR="00325A59" w:rsidRPr="00A333F1" w:rsidRDefault="00254A51" w:rsidP="00A333F1">
      <w:pPr>
        <w:autoSpaceDE w:val="0"/>
        <w:autoSpaceDN w:val="0"/>
        <w:adjustRightInd w:val="0"/>
        <w:jc w:val="center"/>
        <w:rPr>
          <w:b/>
        </w:rPr>
      </w:pPr>
      <w:r w:rsidRPr="00A333F1">
        <w:rPr>
          <w:b/>
        </w:rPr>
        <w:t xml:space="preserve">Quator </w:t>
      </w:r>
      <w:r w:rsidR="00325A59" w:rsidRPr="00A333F1">
        <w:rPr>
          <w:b/>
        </w:rPr>
        <w:t>5 mg pl</w:t>
      </w:r>
      <w:r w:rsidR="00325A59" w:rsidRPr="00797CDB">
        <w:rPr>
          <w:rFonts w:eastAsia="TimesNewRomanPSMT"/>
          <w:b/>
        </w:rPr>
        <w:t>ė</w:t>
      </w:r>
      <w:r w:rsidR="00325A59" w:rsidRPr="00A333F1">
        <w:rPr>
          <w:b/>
        </w:rPr>
        <w:t>vele dengtos tablet</w:t>
      </w:r>
      <w:r w:rsidR="00325A59" w:rsidRPr="00797CDB">
        <w:rPr>
          <w:rFonts w:eastAsia="TimesNewRomanPSMT"/>
          <w:b/>
        </w:rPr>
        <w:t>ė</w:t>
      </w:r>
      <w:r w:rsidR="00325A59" w:rsidRPr="00A333F1">
        <w:rPr>
          <w:b/>
        </w:rPr>
        <w:t>s</w:t>
      </w:r>
    </w:p>
    <w:p w14:paraId="2DD93CD1" w14:textId="77777777" w:rsidR="00325A59" w:rsidRPr="00A333F1" w:rsidRDefault="00254A51" w:rsidP="00A333F1">
      <w:pPr>
        <w:shd w:val="clear" w:color="auto" w:fill="D9D9D9" w:themeFill="background1" w:themeFillShade="D9"/>
        <w:jc w:val="center"/>
        <w:rPr>
          <w:b/>
        </w:rPr>
      </w:pPr>
      <w:r w:rsidRPr="00A333F1">
        <w:rPr>
          <w:b/>
        </w:rPr>
        <w:t xml:space="preserve">Quator </w:t>
      </w:r>
      <w:r w:rsidR="00325A59" w:rsidRPr="00A333F1">
        <w:rPr>
          <w:b/>
          <w:highlight w:val="lightGray"/>
        </w:rPr>
        <w:t>10 mg pl</w:t>
      </w:r>
      <w:r w:rsidR="00325A59" w:rsidRPr="00797CDB">
        <w:rPr>
          <w:rFonts w:eastAsia="TimesNewRomanPSMT"/>
          <w:b/>
          <w:highlight w:val="lightGray"/>
        </w:rPr>
        <w:t>ė</w:t>
      </w:r>
      <w:r w:rsidR="00325A59" w:rsidRPr="00A333F1">
        <w:rPr>
          <w:b/>
          <w:highlight w:val="lightGray"/>
        </w:rPr>
        <w:t>vele dengtos tablet</w:t>
      </w:r>
      <w:r w:rsidR="00325A59" w:rsidRPr="00797CDB">
        <w:rPr>
          <w:rFonts w:eastAsia="TimesNewRomanPSMT"/>
          <w:b/>
          <w:highlight w:val="lightGray"/>
        </w:rPr>
        <w:t>ė</w:t>
      </w:r>
      <w:r w:rsidR="00325A59" w:rsidRPr="00A333F1">
        <w:rPr>
          <w:b/>
          <w:highlight w:val="lightGray"/>
        </w:rPr>
        <w:t>s</w:t>
      </w:r>
    </w:p>
    <w:p w14:paraId="01FEE45D" w14:textId="77777777" w:rsidR="00325A59" w:rsidRPr="00A333F1" w:rsidRDefault="00254A51" w:rsidP="00A333F1">
      <w:pPr>
        <w:shd w:val="clear" w:color="auto" w:fill="BFBFBF" w:themeFill="background1" w:themeFillShade="BF"/>
        <w:jc w:val="center"/>
        <w:rPr>
          <w:b/>
        </w:rPr>
      </w:pPr>
      <w:r w:rsidRPr="00A333F1">
        <w:rPr>
          <w:b/>
        </w:rPr>
        <w:t xml:space="preserve">Quator </w:t>
      </w:r>
      <w:r w:rsidR="00325A59" w:rsidRPr="00A333F1">
        <w:rPr>
          <w:b/>
        </w:rPr>
        <w:t>20 mg pl</w:t>
      </w:r>
      <w:r w:rsidR="00325A59" w:rsidRPr="00797CDB">
        <w:rPr>
          <w:rFonts w:eastAsia="TimesNewRomanPSMT"/>
          <w:b/>
        </w:rPr>
        <w:t>ė</w:t>
      </w:r>
      <w:r w:rsidR="00325A59" w:rsidRPr="00A333F1">
        <w:rPr>
          <w:b/>
        </w:rPr>
        <w:t>vele dengtos tablet</w:t>
      </w:r>
      <w:r w:rsidR="00325A59" w:rsidRPr="00797CDB">
        <w:rPr>
          <w:rFonts w:eastAsia="TimesNewRomanPSMT"/>
          <w:b/>
        </w:rPr>
        <w:t>ė</w:t>
      </w:r>
      <w:r w:rsidR="00325A59" w:rsidRPr="00A333F1">
        <w:rPr>
          <w:b/>
        </w:rPr>
        <w:t>s</w:t>
      </w:r>
    </w:p>
    <w:p w14:paraId="2A8B6D5F" w14:textId="3762EBDE" w:rsidR="00FD5C4A" w:rsidRDefault="0029693F" w:rsidP="00FD5C4A">
      <w:pPr>
        <w:numPr>
          <w:ilvl w:val="12"/>
          <w:numId w:val="0"/>
        </w:numPr>
        <w:jc w:val="center"/>
        <w:rPr>
          <w:szCs w:val="22"/>
        </w:rPr>
      </w:pPr>
      <w:r>
        <w:rPr>
          <w:szCs w:val="22"/>
        </w:rPr>
        <w:t>t</w:t>
      </w:r>
      <w:r w:rsidR="00FD5C4A" w:rsidRPr="00BE7FAC">
        <w:rPr>
          <w:szCs w:val="22"/>
        </w:rPr>
        <w:t>adalafilis</w:t>
      </w:r>
    </w:p>
    <w:p w14:paraId="41EFA816" w14:textId="77777777" w:rsidR="0094786C" w:rsidRPr="00A333F1" w:rsidRDefault="0094786C" w:rsidP="00A333F1">
      <w:pPr>
        <w:numPr>
          <w:ilvl w:val="12"/>
          <w:numId w:val="0"/>
        </w:numPr>
        <w:jc w:val="center"/>
      </w:pPr>
    </w:p>
    <w:p w14:paraId="221024EB" w14:textId="77777777" w:rsidR="00EB159D" w:rsidRPr="00797CDB" w:rsidRDefault="00EB159D" w:rsidP="00A333F1">
      <w:pPr>
        <w:suppressAutoHyphens/>
        <w:rPr>
          <w:rFonts w:asciiTheme="minorHAnsi" w:eastAsia="SimSun" w:hAnsiTheme="minorHAnsi" w:cstheme="minorBidi"/>
          <w:szCs w:val="22"/>
          <w:lang w:eastAsia="en-US"/>
        </w:rPr>
      </w:pPr>
      <w:r w:rsidRPr="00797CDB">
        <w:rPr>
          <w:rFonts w:eastAsia="SimSun"/>
          <w:b/>
        </w:rPr>
        <w:t>Atidžiai perskaitykite visą šį lapelį, prieš pradėdami vartoti vaistą, nes jame pateikiama Jums svarbi informacija.</w:t>
      </w:r>
    </w:p>
    <w:p w14:paraId="60650570" w14:textId="77777777" w:rsidR="00EB159D" w:rsidRPr="00797CDB" w:rsidRDefault="00EB159D" w:rsidP="00797CDB">
      <w:pPr>
        <w:numPr>
          <w:ilvl w:val="0"/>
          <w:numId w:val="16"/>
        </w:numPr>
        <w:ind w:left="567" w:hanging="567"/>
        <w:rPr>
          <w:rFonts w:asciiTheme="minorHAnsi" w:eastAsia="SimSun" w:hAnsiTheme="minorHAnsi" w:cstheme="minorBidi"/>
          <w:szCs w:val="22"/>
          <w:lang w:eastAsia="en-US"/>
        </w:rPr>
      </w:pPr>
      <w:r w:rsidRPr="00797CDB">
        <w:rPr>
          <w:rFonts w:eastAsia="SimSun"/>
        </w:rPr>
        <w:t xml:space="preserve">Neišmeskite šio lapelio, nes vėl gali prireikti jį perskaityti. </w:t>
      </w:r>
    </w:p>
    <w:p w14:paraId="1E8E9120" w14:textId="77777777" w:rsidR="00EB159D" w:rsidRPr="00797CDB" w:rsidRDefault="00EB159D" w:rsidP="00797CDB">
      <w:pPr>
        <w:numPr>
          <w:ilvl w:val="0"/>
          <w:numId w:val="16"/>
        </w:numPr>
        <w:ind w:left="567" w:hanging="567"/>
        <w:rPr>
          <w:rFonts w:asciiTheme="minorHAnsi" w:eastAsia="SimSun" w:hAnsiTheme="minorHAnsi" w:cstheme="minorBidi"/>
          <w:szCs w:val="22"/>
          <w:lang w:eastAsia="en-US"/>
        </w:rPr>
      </w:pPr>
      <w:r w:rsidRPr="00797CDB">
        <w:rPr>
          <w:rFonts w:eastAsia="SimSun"/>
        </w:rPr>
        <w:t>Jeigu kiltų daugiau klausimų, kreipkitės į gydytoją</w:t>
      </w:r>
      <w:r w:rsidR="00CD12BB" w:rsidRPr="00797CDB">
        <w:rPr>
          <w:rFonts w:eastAsia="SimSun"/>
        </w:rPr>
        <w:t xml:space="preserve"> arba</w:t>
      </w:r>
      <w:r w:rsidRPr="00797CDB">
        <w:rPr>
          <w:rFonts w:eastAsia="SimSun"/>
        </w:rPr>
        <w:t xml:space="preserve"> vaistininką.</w:t>
      </w:r>
    </w:p>
    <w:p w14:paraId="5E6240A1" w14:textId="77777777" w:rsidR="00EB159D" w:rsidRPr="00797CDB" w:rsidRDefault="00EB159D" w:rsidP="00797CDB">
      <w:pPr>
        <w:numPr>
          <w:ilvl w:val="1"/>
          <w:numId w:val="17"/>
        </w:numPr>
        <w:ind w:left="567" w:hanging="567"/>
        <w:rPr>
          <w:rFonts w:asciiTheme="minorHAnsi" w:eastAsia="SimSun" w:hAnsiTheme="minorHAnsi" w:cstheme="minorBidi"/>
          <w:szCs w:val="22"/>
          <w:lang w:eastAsia="en-US"/>
        </w:rPr>
      </w:pPr>
      <w:r w:rsidRPr="00797CDB">
        <w:rPr>
          <w:rFonts w:eastAsia="SimSun"/>
        </w:rPr>
        <w:t>Šis vaistas skirtas tik Jums, todėl kitiems žmonėms jo duoti negalima. Vaistas gali jiems pakenkti (net tiems, kurių ligos požymiai yra tokie patys kaip Jūsų).</w:t>
      </w:r>
      <w:r w:rsidRPr="00797CDB">
        <w:rPr>
          <w:rFonts w:eastAsia="Calibri"/>
        </w:rPr>
        <w:t xml:space="preserve"> </w:t>
      </w:r>
    </w:p>
    <w:p w14:paraId="7A564FAE" w14:textId="77777777" w:rsidR="00EB159D" w:rsidRPr="00797CDB" w:rsidRDefault="00EB159D" w:rsidP="00797CDB">
      <w:pPr>
        <w:numPr>
          <w:ilvl w:val="1"/>
          <w:numId w:val="17"/>
        </w:numPr>
        <w:ind w:left="567" w:hanging="567"/>
        <w:rPr>
          <w:rFonts w:asciiTheme="minorHAnsi" w:eastAsia="SimSun" w:hAnsiTheme="minorHAnsi" w:cstheme="minorBidi"/>
          <w:szCs w:val="22"/>
          <w:lang w:eastAsia="en-US"/>
        </w:rPr>
      </w:pPr>
      <w:r w:rsidRPr="00797CDB">
        <w:rPr>
          <w:rFonts w:eastAsia="SimSun"/>
        </w:rPr>
        <w:t>Jeigu pasireiškė šalutinis poveikis (net jeigu jis šiame lapelyje nenurodytas), kreipkitės į gydytoją</w:t>
      </w:r>
      <w:r w:rsidR="00CD12BB" w:rsidRPr="00797CDB">
        <w:rPr>
          <w:rFonts w:eastAsia="SimSun"/>
        </w:rPr>
        <w:t xml:space="preserve"> arba</w:t>
      </w:r>
      <w:r w:rsidRPr="00797CDB">
        <w:rPr>
          <w:rFonts w:eastAsia="SimSun"/>
        </w:rPr>
        <w:t xml:space="preserve"> vaistininką. Žr. 4 skyrių.</w:t>
      </w:r>
    </w:p>
    <w:p w14:paraId="5C3BB554" w14:textId="77777777" w:rsidR="00FD5C4A" w:rsidRPr="00A333F1" w:rsidRDefault="00FD5C4A" w:rsidP="00A333F1">
      <w:pPr>
        <w:ind w:right="-2"/>
      </w:pPr>
    </w:p>
    <w:p w14:paraId="79A83FBD" w14:textId="77777777" w:rsidR="00FD5C4A" w:rsidRPr="00A333F1" w:rsidRDefault="00FD5C4A" w:rsidP="00A333F1">
      <w:pPr>
        <w:rPr>
          <w:b/>
        </w:rPr>
      </w:pPr>
      <w:r w:rsidRPr="00A333F1">
        <w:rPr>
          <w:b/>
        </w:rPr>
        <w:t>Apie ką rašoma šiame lapelyje?</w:t>
      </w:r>
    </w:p>
    <w:p w14:paraId="46A228E6" w14:textId="77777777" w:rsidR="00FD5C4A" w:rsidRPr="00A333F1" w:rsidRDefault="00FD5C4A" w:rsidP="00797CDB">
      <w:pPr>
        <w:numPr>
          <w:ilvl w:val="12"/>
          <w:numId w:val="0"/>
        </w:numPr>
        <w:ind w:left="284" w:right="-2"/>
      </w:pPr>
    </w:p>
    <w:p w14:paraId="5607E77B" w14:textId="77777777" w:rsidR="00FD5C4A" w:rsidRPr="00A333F1" w:rsidRDefault="00FD5C4A" w:rsidP="00A333F1">
      <w:pPr>
        <w:numPr>
          <w:ilvl w:val="12"/>
          <w:numId w:val="0"/>
        </w:numPr>
      </w:pPr>
      <w:r w:rsidRPr="00A333F1">
        <w:t>1.</w:t>
      </w:r>
      <w:r w:rsidRPr="00A333F1">
        <w:tab/>
        <w:t xml:space="preserve">Kas yra </w:t>
      </w:r>
      <w:r w:rsidR="00254A51" w:rsidRPr="00A333F1">
        <w:t xml:space="preserve">Quator </w:t>
      </w:r>
      <w:r w:rsidRPr="00A333F1">
        <w:t xml:space="preserve">ir kam jis vartojamas </w:t>
      </w:r>
    </w:p>
    <w:p w14:paraId="0848310E" w14:textId="77777777" w:rsidR="00FD5C4A" w:rsidRPr="00A333F1" w:rsidRDefault="00FD5C4A" w:rsidP="00A333F1">
      <w:pPr>
        <w:numPr>
          <w:ilvl w:val="12"/>
          <w:numId w:val="0"/>
        </w:numPr>
      </w:pPr>
      <w:r w:rsidRPr="00A333F1">
        <w:t>2.</w:t>
      </w:r>
      <w:r w:rsidRPr="00A333F1">
        <w:tab/>
        <w:t xml:space="preserve">Kas žinotina prieš vartojant </w:t>
      </w:r>
      <w:r w:rsidR="00254A51" w:rsidRPr="00A333F1">
        <w:t xml:space="preserve">Quator </w:t>
      </w:r>
      <w:r w:rsidRPr="00A333F1">
        <w:t xml:space="preserve"> </w:t>
      </w:r>
    </w:p>
    <w:p w14:paraId="548E919E" w14:textId="77777777" w:rsidR="00FD5C4A" w:rsidRPr="00A333F1" w:rsidRDefault="00FD5C4A" w:rsidP="00A333F1">
      <w:pPr>
        <w:numPr>
          <w:ilvl w:val="12"/>
          <w:numId w:val="0"/>
        </w:numPr>
      </w:pPr>
      <w:r w:rsidRPr="00A333F1">
        <w:t>3.</w:t>
      </w:r>
      <w:r w:rsidRPr="00A333F1">
        <w:tab/>
        <w:t xml:space="preserve">Kaip vartoti </w:t>
      </w:r>
      <w:r w:rsidR="00254A51" w:rsidRPr="00A333F1">
        <w:t xml:space="preserve">Quator </w:t>
      </w:r>
    </w:p>
    <w:p w14:paraId="7C7548B1" w14:textId="77777777" w:rsidR="00FD5C4A" w:rsidRPr="00A333F1" w:rsidRDefault="00FD5C4A" w:rsidP="00A333F1">
      <w:pPr>
        <w:numPr>
          <w:ilvl w:val="12"/>
          <w:numId w:val="0"/>
        </w:numPr>
      </w:pPr>
      <w:r w:rsidRPr="00A333F1">
        <w:t>4.</w:t>
      </w:r>
      <w:r w:rsidRPr="00A333F1">
        <w:tab/>
        <w:t xml:space="preserve">Galimas šalutinis poveikis </w:t>
      </w:r>
    </w:p>
    <w:p w14:paraId="3A729687" w14:textId="77777777" w:rsidR="00FD5C4A" w:rsidRPr="00A333F1" w:rsidRDefault="00FD5C4A" w:rsidP="00A333F1">
      <w:pPr>
        <w:numPr>
          <w:ilvl w:val="12"/>
          <w:numId w:val="0"/>
        </w:numPr>
        <w:tabs>
          <w:tab w:val="left" w:pos="567"/>
        </w:tabs>
      </w:pPr>
      <w:r w:rsidRPr="00A333F1">
        <w:t>5.</w:t>
      </w:r>
      <w:r w:rsidRPr="00A333F1">
        <w:tab/>
        <w:t xml:space="preserve">Kaip laikyti </w:t>
      </w:r>
      <w:r w:rsidR="00254A51" w:rsidRPr="00A333F1">
        <w:t>Quator</w:t>
      </w:r>
    </w:p>
    <w:p w14:paraId="590585FE" w14:textId="77777777" w:rsidR="00FD5C4A" w:rsidRPr="00A333F1" w:rsidRDefault="00FD5C4A" w:rsidP="00A333F1">
      <w:pPr>
        <w:numPr>
          <w:ilvl w:val="12"/>
          <w:numId w:val="0"/>
        </w:numPr>
      </w:pPr>
      <w:r w:rsidRPr="00A333F1">
        <w:t>6.</w:t>
      </w:r>
      <w:r w:rsidRPr="00A333F1">
        <w:tab/>
        <w:t>Pakuotės turinys ir kita informacija</w:t>
      </w:r>
    </w:p>
    <w:p w14:paraId="43F25004" w14:textId="77777777" w:rsidR="00FD5C4A" w:rsidRPr="00A333F1" w:rsidRDefault="00FD5C4A" w:rsidP="00A333F1">
      <w:pPr>
        <w:numPr>
          <w:ilvl w:val="12"/>
          <w:numId w:val="0"/>
        </w:numPr>
        <w:ind w:right="-2"/>
      </w:pPr>
    </w:p>
    <w:p w14:paraId="41F49520" w14:textId="77777777" w:rsidR="00FD5C4A" w:rsidRPr="00A333F1" w:rsidRDefault="00FD5C4A" w:rsidP="00A333F1">
      <w:pPr>
        <w:numPr>
          <w:ilvl w:val="12"/>
          <w:numId w:val="0"/>
        </w:numPr>
        <w:ind w:right="-2"/>
      </w:pPr>
    </w:p>
    <w:p w14:paraId="5F09C723" w14:textId="77777777" w:rsidR="00FD5C4A" w:rsidRPr="00A333F1" w:rsidRDefault="00FD5C4A" w:rsidP="00A333F1">
      <w:pPr>
        <w:rPr>
          <w:b/>
        </w:rPr>
      </w:pPr>
      <w:r w:rsidRPr="00A333F1">
        <w:rPr>
          <w:b/>
        </w:rPr>
        <w:t>1.</w:t>
      </w:r>
      <w:r w:rsidRPr="00A333F1">
        <w:rPr>
          <w:b/>
        </w:rPr>
        <w:tab/>
        <w:t xml:space="preserve">Kas yra </w:t>
      </w:r>
      <w:r w:rsidR="00254A51" w:rsidRPr="00A333F1">
        <w:rPr>
          <w:b/>
        </w:rPr>
        <w:t xml:space="preserve">Quator </w:t>
      </w:r>
      <w:r w:rsidRPr="00A333F1">
        <w:rPr>
          <w:b/>
        </w:rPr>
        <w:t>ir kam jis vartojamas</w:t>
      </w:r>
    </w:p>
    <w:p w14:paraId="152973BE" w14:textId="77777777" w:rsidR="00FD5C4A" w:rsidRPr="00A333F1" w:rsidRDefault="00FD5C4A" w:rsidP="00A333F1">
      <w:pPr>
        <w:numPr>
          <w:ilvl w:val="12"/>
          <w:numId w:val="0"/>
        </w:numPr>
        <w:ind w:right="-2"/>
      </w:pPr>
    </w:p>
    <w:p w14:paraId="7249F452" w14:textId="77777777" w:rsidR="00FD5C4A" w:rsidRPr="00797CDB" w:rsidRDefault="00254A51" w:rsidP="00A333F1">
      <w:pPr>
        <w:autoSpaceDE w:val="0"/>
        <w:autoSpaceDN w:val="0"/>
        <w:adjustRightInd w:val="0"/>
        <w:rPr>
          <w:rFonts w:eastAsia="TimesNewRomanPSMT"/>
        </w:rPr>
      </w:pPr>
      <w:r w:rsidRPr="00A333F1">
        <w:t xml:space="preserve">Quator </w:t>
      </w:r>
      <w:r w:rsidR="00FD5C4A" w:rsidRPr="00797CDB">
        <w:rPr>
          <w:rFonts w:eastAsia="TimesNewRomanPSMT"/>
        </w:rPr>
        <w:t>sudėtyje yra veikliosios medžiagos tadalafilio, kuris priklauso vaistų, vadinamų 5</w:t>
      </w:r>
      <w:r w:rsidR="00FD5C4A" w:rsidRPr="00A333F1">
        <w:t>-ojo tipo</w:t>
      </w:r>
      <w:r w:rsidR="00FD5C4A" w:rsidRPr="00797CDB">
        <w:rPr>
          <w:rFonts w:eastAsia="TimesNewRomanPSMT"/>
        </w:rPr>
        <w:t xml:space="preserve"> fosfodiesterazės inhibitoriais, grupei,</w:t>
      </w:r>
    </w:p>
    <w:p w14:paraId="1A2EE5C0" w14:textId="77777777" w:rsidR="00325A59" w:rsidRPr="00A333F1" w:rsidRDefault="00254A51" w:rsidP="00A333F1">
      <w:pPr>
        <w:autoSpaceDE w:val="0"/>
        <w:autoSpaceDN w:val="0"/>
        <w:adjustRightInd w:val="0"/>
      </w:pPr>
      <w:r w:rsidRPr="00A333F1">
        <w:t xml:space="preserve">Quator </w:t>
      </w:r>
      <w:r w:rsidR="009C67FE" w:rsidRPr="00A333F1">
        <w:rPr>
          <w:b/>
        </w:rPr>
        <w:t>5 mg, 10 mg ir 20 mg</w:t>
      </w:r>
      <w:r w:rsidR="009C67FE" w:rsidRPr="00A333F1">
        <w:t xml:space="preserve"> tabletės vartojamos suaugusio vyro erekcijos funkcijos sutrikimui gydyti. </w:t>
      </w:r>
      <w:r w:rsidR="00325A59" w:rsidRPr="00A333F1">
        <w:t xml:space="preserve">Tai būklė kai vyro varpa nestandėja arba neišsilaiko kieta ir standi, tinkama lytiniam aktui atlikti. Buvo įrodyta, kad </w:t>
      </w:r>
      <w:r w:rsidRPr="00A333F1">
        <w:t xml:space="preserve">Quator </w:t>
      </w:r>
      <w:r w:rsidR="00325A59" w:rsidRPr="00A333F1">
        <w:t xml:space="preserve">reikšmingai pagerina gebėjimą sukelti kietą standžią varpą, tinkamą lytiniam aktui atlikti. </w:t>
      </w:r>
    </w:p>
    <w:p w14:paraId="1430C940" w14:textId="77777777" w:rsidR="00325A59" w:rsidRPr="00A333F1" w:rsidRDefault="00325A59" w:rsidP="00A333F1">
      <w:pPr>
        <w:autoSpaceDE w:val="0"/>
        <w:autoSpaceDN w:val="0"/>
        <w:adjustRightInd w:val="0"/>
      </w:pPr>
    </w:p>
    <w:p w14:paraId="2EA54F34" w14:textId="77777777" w:rsidR="009C67FE" w:rsidRPr="00A333F1" w:rsidRDefault="00325A59" w:rsidP="00A333F1">
      <w:pPr>
        <w:autoSpaceDE w:val="0"/>
        <w:autoSpaceDN w:val="0"/>
        <w:adjustRightInd w:val="0"/>
      </w:pPr>
      <w:r w:rsidRPr="00A333F1">
        <w:t xml:space="preserve">Po lytinės stimuliacijos </w:t>
      </w:r>
      <w:r w:rsidR="00254A51" w:rsidRPr="00A333F1">
        <w:t xml:space="preserve">Quator </w:t>
      </w:r>
      <w:r w:rsidRPr="00A333F1">
        <w:t xml:space="preserve">padeda varpos kraujagyslėms atsipalaiduoti, todėl į varpą įteka daugiau kraujo. Dėl to pagerėja erekcijos funkcija. Jeigu Jūsų erekcijos funkcija nesutrikusi, </w:t>
      </w:r>
      <w:r w:rsidR="00254A51" w:rsidRPr="00A333F1">
        <w:t xml:space="preserve">Quator </w:t>
      </w:r>
      <w:r w:rsidRPr="00A333F1">
        <w:t xml:space="preserve">nepadės. Svarbu pažymėti, kad </w:t>
      </w:r>
      <w:r w:rsidR="00254A51" w:rsidRPr="00A333F1">
        <w:t xml:space="preserve">Quator </w:t>
      </w:r>
      <w:r w:rsidRPr="00A333F1">
        <w:t>neveiks, jeigu nebus lytinės stimuliacijos. Prieš lytinį aktą Jūs su savo partnere turėsite užsiimti glamonėmis lygiai taip pat, kaip užsiimtumėte, jeigu būtumėte nevartojęs šio vaisto erekcijos funkcijos sutrikimui gydyti</w:t>
      </w:r>
      <w:r w:rsidR="009C67FE" w:rsidRPr="00A333F1">
        <w:t>.</w:t>
      </w:r>
    </w:p>
    <w:p w14:paraId="16DC4526" w14:textId="77777777" w:rsidR="00325A59" w:rsidRPr="00A333F1" w:rsidRDefault="00325A59" w:rsidP="00A333F1">
      <w:pPr>
        <w:autoSpaceDE w:val="0"/>
        <w:autoSpaceDN w:val="0"/>
        <w:adjustRightInd w:val="0"/>
      </w:pPr>
    </w:p>
    <w:p w14:paraId="1B5592AE" w14:textId="77777777" w:rsidR="00FD5C4A" w:rsidRPr="00A333F1" w:rsidRDefault="00FD5C4A" w:rsidP="00A333F1"/>
    <w:p w14:paraId="3CE8E8D0" w14:textId="77777777" w:rsidR="00FD5C4A" w:rsidRPr="00A333F1" w:rsidRDefault="00FD5C4A" w:rsidP="00A333F1">
      <w:pPr>
        <w:rPr>
          <w:b/>
        </w:rPr>
      </w:pPr>
      <w:r w:rsidRPr="00A333F1">
        <w:rPr>
          <w:b/>
        </w:rPr>
        <w:t>2.</w:t>
      </w:r>
      <w:r w:rsidRPr="00A333F1">
        <w:rPr>
          <w:b/>
        </w:rPr>
        <w:tab/>
        <w:t xml:space="preserve">Kas žinotina prieš vartojant </w:t>
      </w:r>
      <w:r w:rsidR="00254A51" w:rsidRPr="00A333F1">
        <w:rPr>
          <w:b/>
        </w:rPr>
        <w:t xml:space="preserve">Quator </w:t>
      </w:r>
      <w:r w:rsidRPr="00A333F1">
        <w:rPr>
          <w:b/>
        </w:rPr>
        <w:t xml:space="preserve"> </w:t>
      </w:r>
    </w:p>
    <w:p w14:paraId="4E3857F7" w14:textId="77777777" w:rsidR="00FD5C4A" w:rsidRPr="00A333F1" w:rsidRDefault="00FD5C4A" w:rsidP="00A333F1">
      <w:pPr>
        <w:numPr>
          <w:ilvl w:val="12"/>
          <w:numId w:val="0"/>
        </w:numPr>
        <w:ind w:right="-2"/>
      </w:pPr>
    </w:p>
    <w:p w14:paraId="629387DA" w14:textId="43D6C82F" w:rsidR="00FD5C4A" w:rsidRPr="00A333F1" w:rsidRDefault="00254A51" w:rsidP="00A333F1">
      <w:pPr>
        <w:autoSpaceDE w:val="0"/>
        <w:autoSpaceDN w:val="0"/>
        <w:adjustRightInd w:val="0"/>
        <w:rPr>
          <w:b/>
        </w:rPr>
      </w:pPr>
      <w:r w:rsidRPr="00A333F1">
        <w:rPr>
          <w:b/>
        </w:rPr>
        <w:t xml:space="preserve">Quator </w:t>
      </w:r>
      <w:r w:rsidR="00FD5C4A" w:rsidRPr="00A333F1">
        <w:rPr>
          <w:b/>
        </w:rPr>
        <w:t xml:space="preserve">vartoti </w:t>
      </w:r>
      <w:r w:rsidR="00063E6D">
        <w:rPr>
          <w:b/>
        </w:rPr>
        <w:t>draudžiama</w:t>
      </w:r>
      <w:r w:rsidR="00FD5C4A" w:rsidRPr="00A333F1">
        <w:rPr>
          <w:b/>
        </w:rPr>
        <w:t>, jeigu:</w:t>
      </w:r>
    </w:p>
    <w:p w14:paraId="50CFB054" w14:textId="77777777" w:rsidR="00FD5C4A" w:rsidRPr="00A333F1" w:rsidRDefault="00FD5C4A" w:rsidP="00797CDB">
      <w:pPr>
        <w:numPr>
          <w:ilvl w:val="0"/>
          <w:numId w:val="11"/>
        </w:numPr>
        <w:autoSpaceDE w:val="0"/>
        <w:autoSpaceDN w:val="0"/>
        <w:adjustRightInd w:val="0"/>
        <w:ind w:left="567" w:hanging="567"/>
      </w:pPr>
      <w:r w:rsidRPr="00A333F1">
        <w:t>yra alergija tadalafiliui arba bet kuriai pagalbinei šio vaisto medžiagai (jos išvardytos 6 skyriuje);</w:t>
      </w:r>
    </w:p>
    <w:p w14:paraId="4AAC6334" w14:textId="77777777" w:rsidR="00FD5C4A" w:rsidRPr="00A333F1" w:rsidRDefault="00FD5C4A" w:rsidP="00797CDB">
      <w:pPr>
        <w:numPr>
          <w:ilvl w:val="0"/>
          <w:numId w:val="11"/>
        </w:numPr>
        <w:autoSpaceDE w:val="0"/>
        <w:autoSpaceDN w:val="0"/>
        <w:adjustRightInd w:val="0"/>
        <w:ind w:left="567" w:hanging="567"/>
      </w:pPr>
      <w:r w:rsidRPr="00A333F1">
        <w:t xml:space="preserve">vartojate </w:t>
      </w:r>
      <w:r w:rsidR="00325A59" w:rsidRPr="00A333F1">
        <w:t>bet kok</w:t>
      </w:r>
      <w:r w:rsidR="00A160F8" w:rsidRPr="00A333F1">
        <w:t>i</w:t>
      </w:r>
      <w:r w:rsidR="00325A59" w:rsidRPr="00A333F1">
        <w:t>os formos organinio nitrato arba azoto oksido donorų, tokių, kaip. amilnitritas</w:t>
      </w:r>
      <w:r w:rsidRPr="00A333F1">
        <w:t>. Tai yra grupė vaistų</w:t>
      </w:r>
      <w:r w:rsidR="00325A59" w:rsidRPr="00A333F1">
        <w:t xml:space="preserve"> („nitratų“)</w:t>
      </w:r>
      <w:r w:rsidRPr="00A333F1">
        <w:t>, vartojamų krūtinės anginai („krūtinės skausmui“) gydyti.</w:t>
      </w:r>
      <w:r w:rsidRPr="00797CDB">
        <w:rPr>
          <w:rFonts w:eastAsia="TimesNewRomanPSMT"/>
        </w:rPr>
        <w:t xml:space="preserve"> Įrodyta, kad </w:t>
      </w:r>
      <w:r w:rsidR="001C4F36" w:rsidRPr="00797CDB">
        <w:rPr>
          <w:rFonts w:eastAsia="TimesNewRomanPSMT"/>
        </w:rPr>
        <w:t>tadalafilis</w:t>
      </w:r>
      <w:r w:rsidRPr="00797CDB">
        <w:rPr>
          <w:rFonts w:eastAsia="TimesNewRomanPSMT"/>
        </w:rPr>
        <w:t xml:space="preserve"> stiprina šių vaistų sukeliamą poveikį. Jeigu vartojate kokios nors formos nitrato ar abejojate,</w:t>
      </w:r>
      <w:r w:rsidRPr="00A333F1">
        <w:t xml:space="preserve"> pasakykite savo gydytojui;</w:t>
      </w:r>
    </w:p>
    <w:p w14:paraId="52668FD1" w14:textId="77777777" w:rsidR="00FD5C4A" w:rsidRPr="00A333F1" w:rsidRDefault="00FD5C4A" w:rsidP="00797CDB">
      <w:pPr>
        <w:numPr>
          <w:ilvl w:val="0"/>
          <w:numId w:val="11"/>
        </w:numPr>
        <w:autoSpaceDE w:val="0"/>
        <w:autoSpaceDN w:val="0"/>
        <w:adjustRightInd w:val="0"/>
        <w:ind w:left="567" w:hanging="567"/>
      </w:pPr>
      <w:r w:rsidRPr="00A333F1">
        <w:t xml:space="preserve">sergate sunkia širdies liga ar neseniai </w:t>
      </w:r>
      <w:r w:rsidRPr="00797CDB">
        <w:rPr>
          <w:rFonts w:eastAsia="TimesNewRomanPSMT"/>
        </w:rPr>
        <w:t xml:space="preserve">paskutiniųjų </w:t>
      </w:r>
      <w:r w:rsidR="001C4F36" w:rsidRPr="00797CDB">
        <w:rPr>
          <w:rFonts w:eastAsia="TimesNewRomanPSMT"/>
        </w:rPr>
        <w:t>90 parų</w:t>
      </w:r>
      <w:r w:rsidRPr="00797CDB">
        <w:rPr>
          <w:rFonts w:eastAsia="TimesNewRomanPSMT"/>
        </w:rPr>
        <w:t xml:space="preserve"> laikotarp</w:t>
      </w:r>
      <w:r w:rsidRPr="00A333F1">
        <w:t>iu Jus ištiko</w:t>
      </w:r>
      <w:r w:rsidRPr="00797CDB">
        <w:rPr>
          <w:rFonts w:eastAsia="TimesNewRomanPSMT"/>
        </w:rPr>
        <w:t xml:space="preserve"> širdies </w:t>
      </w:r>
      <w:r w:rsidRPr="00A333F1">
        <w:t>priepuolis;</w:t>
      </w:r>
    </w:p>
    <w:p w14:paraId="43A81B2B" w14:textId="77777777" w:rsidR="00FD5C4A" w:rsidRPr="00A333F1" w:rsidRDefault="00FD5C4A" w:rsidP="00797CDB">
      <w:pPr>
        <w:numPr>
          <w:ilvl w:val="0"/>
          <w:numId w:val="11"/>
        </w:numPr>
        <w:ind w:left="567" w:right="-2" w:hanging="567"/>
      </w:pPr>
      <w:r w:rsidRPr="00A333F1">
        <w:t>neseniai</w:t>
      </w:r>
      <w:r w:rsidR="001C4F36" w:rsidRPr="00A333F1">
        <w:t>,</w:t>
      </w:r>
      <w:r w:rsidRPr="00A333F1">
        <w:t xml:space="preserve"> paskutini</w:t>
      </w:r>
      <w:r w:rsidRPr="00797CDB">
        <w:rPr>
          <w:rFonts w:eastAsia="TimesNewRomanPSMT"/>
        </w:rPr>
        <w:t xml:space="preserve">ųjų </w:t>
      </w:r>
      <w:r w:rsidRPr="00A333F1">
        <w:t xml:space="preserve">6 </w:t>
      </w:r>
      <w:r w:rsidRPr="00797CDB">
        <w:rPr>
          <w:rFonts w:eastAsia="TimesNewRomanPSMT"/>
        </w:rPr>
        <w:t>mėnesių laikotarpiu</w:t>
      </w:r>
      <w:r w:rsidR="001C4F36" w:rsidRPr="00797CDB">
        <w:rPr>
          <w:rFonts w:eastAsia="TimesNewRomanPSMT"/>
        </w:rPr>
        <w:t>,</w:t>
      </w:r>
      <w:r w:rsidRPr="00797CDB">
        <w:rPr>
          <w:rFonts w:eastAsia="TimesNewRomanPSMT"/>
        </w:rPr>
        <w:t xml:space="preserve"> </w:t>
      </w:r>
      <w:r w:rsidRPr="00A333F1">
        <w:t>Jus ištiko</w:t>
      </w:r>
      <w:r w:rsidRPr="00797CDB">
        <w:rPr>
          <w:rFonts w:eastAsia="TimesNewRomanPSMT"/>
        </w:rPr>
        <w:t xml:space="preserve"> </w:t>
      </w:r>
      <w:r w:rsidRPr="00A333F1">
        <w:t>insultas;</w:t>
      </w:r>
    </w:p>
    <w:p w14:paraId="23271D16" w14:textId="77777777" w:rsidR="00FD5C4A" w:rsidRPr="00A333F1" w:rsidRDefault="00FD5C4A" w:rsidP="00797CDB">
      <w:pPr>
        <w:numPr>
          <w:ilvl w:val="0"/>
          <w:numId w:val="11"/>
        </w:numPr>
        <w:autoSpaceDE w:val="0"/>
        <w:autoSpaceDN w:val="0"/>
        <w:adjustRightInd w:val="0"/>
        <w:ind w:left="567" w:hanging="567"/>
      </w:pPr>
      <w:r w:rsidRPr="00A333F1">
        <w:t>yra žemas kraujo spaudimas arba aukštas nekontroliuojamas kraujo spaudimas;</w:t>
      </w:r>
    </w:p>
    <w:p w14:paraId="2E938E04" w14:textId="77777777" w:rsidR="001C4F36" w:rsidRPr="00A333F1" w:rsidRDefault="00FD5C4A" w:rsidP="00A333F1">
      <w:pPr>
        <w:numPr>
          <w:ilvl w:val="0"/>
          <w:numId w:val="11"/>
        </w:numPr>
        <w:autoSpaceDE w:val="0"/>
        <w:autoSpaceDN w:val="0"/>
        <w:adjustRightInd w:val="0"/>
      </w:pPr>
      <w:r w:rsidRPr="00A333F1">
        <w:t xml:space="preserve">buvote kada nors </w:t>
      </w:r>
      <w:r w:rsidRPr="00797CDB">
        <w:rPr>
          <w:rFonts w:eastAsia="TimesNewRomanPSMT"/>
        </w:rPr>
        <w:t>apakę dėl ne arterito sukeltos priekinės išeminės regos nervo neu</w:t>
      </w:r>
      <w:r w:rsidRPr="00A333F1">
        <w:t xml:space="preserve">ropatijos (angl. </w:t>
      </w:r>
      <w:r w:rsidR="000054BE" w:rsidRPr="00A333F1">
        <w:rPr>
          <w:i/>
        </w:rPr>
        <w:t xml:space="preserve">non-arteritic anterior ischemic optic neuropathy </w:t>
      </w:r>
      <w:r w:rsidR="000054BE" w:rsidRPr="00A333F1">
        <w:t>(</w:t>
      </w:r>
      <w:r w:rsidRPr="00A333F1">
        <w:rPr>
          <w:i/>
        </w:rPr>
        <w:t>NAION</w:t>
      </w:r>
      <w:r w:rsidRPr="00A333F1">
        <w:t>)</w:t>
      </w:r>
      <w:r w:rsidR="000054BE" w:rsidRPr="00A333F1">
        <w:t>)</w:t>
      </w:r>
      <w:r w:rsidRPr="00A333F1">
        <w:t>, t. y. būsenos, apibūdinamos kaip „akies insultas“</w:t>
      </w:r>
      <w:r w:rsidR="001C4F36" w:rsidRPr="00A333F1">
        <w:t>,</w:t>
      </w:r>
    </w:p>
    <w:p w14:paraId="6DBBEBB1" w14:textId="77777777" w:rsidR="00FD5C4A" w:rsidRPr="00A333F1" w:rsidRDefault="001C4F36" w:rsidP="00797CDB">
      <w:pPr>
        <w:numPr>
          <w:ilvl w:val="0"/>
          <w:numId w:val="11"/>
        </w:numPr>
        <w:autoSpaceDE w:val="0"/>
        <w:autoSpaceDN w:val="0"/>
        <w:adjustRightInd w:val="0"/>
        <w:ind w:left="567" w:hanging="567"/>
      </w:pPr>
      <w:r w:rsidRPr="00A333F1">
        <w:t xml:space="preserve">vartojate riociguato. Šis vaistas vartojamas gydyti plautinę arterinę hipertenziją (t. y. aukštą kraujo spaudimą plaučiuose) ir lėtinę tromboembolinę plautinę hipertenziją (t. y. aukštą kraujo spaudimą plaučiuose, atsiradusį dėl kraujo krešulių susiformavimo). Buvo nustatyta, kad FDE5 inhibitoriai, tokie, kaip </w:t>
      </w:r>
      <w:r w:rsidR="00254A51" w:rsidRPr="00A333F1">
        <w:t xml:space="preserve">Quator </w:t>
      </w:r>
      <w:r w:rsidRPr="00A333F1">
        <w:t>stiprina šio vaisto kraujo spaudimą mažinantį poveikį. Jeigu vartojate riociguato arba dėl to nesate tikri, pasakykite savo gydytojui</w:t>
      </w:r>
      <w:r w:rsidR="00FD5C4A" w:rsidRPr="00A333F1">
        <w:t>.</w:t>
      </w:r>
    </w:p>
    <w:p w14:paraId="5D4DE700" w14:textId="77777777" w:rsidR="00FD5C4A" w:rsidRPr="00A333F1" w:rsidRDefault="00FD5C4A" w:rsidP="00A333F1">
      <w:pPr>
        <w:numPr>
          <w:ilvl w:val="12"/>
          <w:numId w:val="0"/>
        </w:numPr>
        <w:ind w:right="-2"/>
      </w:pPr>
    </w:p>
    <w:p w14:paraId="10A3D507" w14:textId="77777777" w:rsidR="00FD5C4A" w:rsidRPr="00797CDB" w:rsidRDefault="00FD5C4A" w:rsidP="00A333F1">
      <w:pPr>
        <w:autoSpaceDE w:val="0"/>
        <w:autoSpaceDN w:val="0"/>
        <w:adjustRightInd w:val="0"/>
        <w:rPr>
          <w:rFonts w:asciiTheme="minorHAnsi" w:eastAsia="TimesNewRomanPS-BoldMT" w:hAnsiTheme="minorHAnsi" w:cstheme="minorBidi"/>
          <w:b/>
          <w:szCs w:val="22"/>
          <w:lang w:eastAsia="en-US"/>
        </w:rPr>
      </w:pPr>
      <w:r w:rsidRPr="00797CDB">
        <w:rPr>
          <w:rFonts w:eastAsia="TimesNewRomanPS-BoldMT"/>
          <w:b/>
        </w:rPr>
        <w:t>Įspėjimai ir atsargumo priemonės</w:t>
      </w:r>
    </w:p>
    <w:p w14:paraId="783021D7"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Pasitarkite su gydytoju prieš pradėdami vartoti </w:t>
      </w:r>
      <w:r w:rsidR="00254A51" w:rsidRPr="00A333F1">
        <w:t>Quator</w:t>
      </w:r>
      <w:r w:rsidRPr="00797CDB">
        <w:rPr>
          <w:rFonts w:eastAsia="TimesNewRomanPSMT"/>
        </w:rPr>
        <w:t>.</w:t>
      </w:r>
    </w:p>
    <w:p w14:paraId="698F2D10" w14:textId="77777777" w:rsidR="00FD5C4A" w:rsidRPr="00797CDB" w:rsidRDefault="00FD5C4A" w:rsidP="00A333F1">
      <w:pPr>
        <w:autoSpaceDE w:val="0"/>
        <w:autoSpaceDN w:val="0"/>
        <w:adjustRightInd w:val="0"/>
        <w:rPr>
          <w:rFonts w:eastAsia="TimesNewRomanPSMT"/>
        </w:rPr>
      </w:pPr>
    </w:p>
    <w:p w14:paraId="34C0B7AC" w14:textId="77777777" w:rsidR="00FD5C4A" w:rsidRPr="00797CDB" w:rsidRDefault="001C4F36" w:rsidP="00A333F1">
      <w:pPr>
        <w:autoSpaceDE w:val="0"/>
        <w:autoSpaceDN w:val="0"/>
        <w:adjustRightInd w:val="0"/>
        <w:rPr>
          <w:rFonts w:asciiTheme="minorHAnsi" w:eastAsia="TimesNewRomanPS-BoldMT" w:hAnsiTheme="minorHAnsi" w:cstheme="minorBidi"/>
          <w:szCs w:val="22"/>
          <w:lang w:eastAsia="en-US"/>
        </w:rPr>
      </w:pPr>
      <w:r w:rsidRPr="00797CDB">
        <w:rPr>
          <w:rFonts w:eastAsia="TimesNewRomanPSMT"/>
        </w:rPr>
        <w:t>Turėkite omenyje, kad lytinis aktyvumas gali didinti riziką širdies liga sergantiems pacientams, kadangi papildomai apkraunama širdis. Jeigu sergate širdies liga, turite pasakyti savo gydytojui</w:t>
      </w:r>
      <w:r w:rsidR="00FD5C4A" w:rsidRPr="00797CDB">
        <w:rPr>
          <w:rFonts w:eastAsia="TimesNewRomanPS-BoldMT"/>
        </w:rPr>
        <w:t>.</w:t>
      </w:r>
    </w:p>
    <w:p w14:paraId="60531ACC" w14:textId="77777777" w:rsidR="001C4F36" w:rsidRPr="00797CDB" w:rsidRDefault="001C4F36" w:rsidP="00A333F1">
      <w:pPr>
        <w:autoSpaceDE w:val="0"/>
        <w:autoSpaceDN w:val="0"/>
        <w:adjustRightInd w:val="0"/>
        <w:rPr>
          <w:rFonts w:eastAsia="TimesNewRomanPS-BoldMT"/>
        </w:rPr>
      </w:pPr>
    </w:p>
    <w:p w14:paraId="6F37F1BA" w14:textId="77777777" w:rsidR="00FD5C4A" w:rsidRPr="00797CDB" w:rsidRDefault="00FD5C4A" w:rsidP="00A333F1">
      <w:pPr>
        <w:autoSpaceDE w:val="0"/>
        <w:autoSpaceDN w:val="0"/>
        <w:adjustRightInd w:val="0"/>
        <w:rPr>
          <w:rFonts w:eastAsia="TimesNewRomanPS-BoldMT"/>
        </w:rPr>
      </w:pPr>
      <w:r w:rsidRPr="00797CDB">
        <w:rPr>
          <w:rFonts w:eastAsia="TimesNewRomanPS-BoldMT"/>
        </w:rPr>
        <w:t>P</w:t>
      </w:r>
      <w:r w:rsidRPr="00797CDB">
        <w:rPr>
          <w:rFonts w:eastAsia="TimesNewRomanPSMT"/>
        </w:rPr>
        <w:t>rieš prad</w:t>
      </w:r>
      <w:r w:rsidR="001C4F36" w:rsidRPr="00797CDB">
        <w:rPr>
          <w:rFonts w:eastAsia="TimesNewRomanPSMT"/>
        </w:rPr>
        <w:t>edant</w:t>
      </w:r>
      <w:r w:rsidRPr="00797CDB">
        <w:rPr>
          <w:rFonts w:eastAsia="TimesNewRomanPSMT"/>
        </w:rPr>
        <w:t xml:space="preserve"> vartoti table</w:t>
      </w:r>
      <w:r w:rsidR="001C4F36" w:rsidRPr="00797CDB">
        <w:rPr>
          <w:rFonts w:eastAsia="TimesNewRomanPSMT"/>
        </w:rPr>
        <w:t>čių</w:t>
      </w:r>
      <w:r w:rsidRPr="00797CDB">
        <w:rPr>
          <w:rFonts w:eastAsia="TimesNewRomanPSMT"/>
        </w:rPr>
        <w:t xml:space="preserve">, </w:t>
      </w:r>
      <w:r w:rsidRPr="00797CDB">
        <w:rPr>
          <w:rFonts w:eastAsia="TimesNewRomanPS-BoldMT"/>
        </w:rPr>
        <w:t>pasakykite savo gydytojui jeigu Jums yra:</w:t>
      </w:r>
    </w:p>
    <w:p w14:paraId="504162CE" w14:textId="77777777" w:rsidR="00FD5C4A" w:rsidRPr="00797CDB" w:rsidRDefault="0069127D" w:rsidP="00797CDB">
      <w:pPr>
        <w:numPr>
          <w:ilvl w:val="0"/>
          <w:numId w:val="12"/>
        </w:numPr>
        <w:autoSpaceDE w:val="0"/>
        <w:autoSpaceDN w:val="0"/>
        <w:adjustRightInd w:val="0"/>
        <w:ind w:left="567" w:hanging="567"/>
        <w:rPr>
          <w:rFonts w:asciiTheme="minorHAnsi" w:eastAsia="TimesNewRomanPSMT" w:hAnsiTheme="minorHAnsi" w:cstheme="minorBidi"/>
          <w:szCs w:val="22"/>
          <w:lang w:eastAsia="en-US"/>
        </w:rPr>
      </w:pPr>
      <w:r w:rsidRPr="00797CDB">
        <w:rPr>
          <w:rFonts w:eastAsia="TimesNewRomanPS-BoldMT"/>
        </w:rPr>
        <w:t xml:space="preserve">pjautuvo pavidalo ląstelių sutrikimai </w:t>
      </w:r>
      <w:r w:rsidR="00FD5C4A" w:rsidRPr="00797CDB">
        <w:rPr>
          <w:rFonts w:eastAsia="TimesNewRomanPSMT"/>
        </w:rPr>
        <w:t>(raudonųjų kraujo kūnelių nenormalumas);</w:t>
      </w:r>
    </w:p>
    <w:p w14:paraId="77786AF3" w14:textId="77777777" w:rsidR="00FD5C4A" w:rsidRPr="00797CDB" w:rsidRDefault="00FD5C4A" w:rsidP="00797CDB">
      <w:pPr>
        <w:numPr>
          <w:ilvl w:val="0"/>
          <w:numId w:val="12"/>
        </w:numPr>
        <w:autoSpaceDE w:val="0"/>
        <w:autoSpaceDN w:val="0"/>
        <w:adjustRightInd w:val="0"/>
        <w:ind w:left="567" w:hanging="567"/>
        <w:rPr>
          <w:rFonts w:asciiTheme="minorHAnsi" w:eastAsia="TimesNewRomanPSMT" w:hAnsiTheme="minorHAnsi" w:cstheme="minorBidi"/>
          <w:szCs w:val="22"/>
          <w:lang w:eastAsia="en-US"/>
        </w:rPr>
      </w:pPr>
      <w:r w:rsidRPr="00797CDB">
        <w:rPr>
          <w:rFonts w:eastAsia="TimesNewRomanPSMT"/>
        </w:rPr>
        <w:t>dauginė mieloma (kaulų čiulpų vėžys);</w:t>
      </w:r>
    </w:p>
    <w:p w14:paraId="61ABDE9E" w14:textId="77777777" w:rsidR="00FD5C4A" w:rsidRPr="00797CDB" w:rsidRDefault="00FD5C4A" w:rsidP="00797CDB">
      <w:pPr>
        <w:numPr>
          <w:ilvl w:val="0"/>
          <w:numId w:val="12"/>
        </w:numPr>
        <w:autoSpaceDE w:val="0"/>
        <w:autoSpaceDN w:val="0"/>
        <w:adjustRightInd w:val="0"/>
        <w:ind w:left="567" w:hanging="567"/>
        <w:rPr>
          <w:rFonts w:asciiTheme="minorHAnsi" w:eastAsia="TimesNewRomanPS-BoldMT" w:hAnsiTheme="minorHAnsi" w:cstheme="minorBidi"/>
          <w:szCs w:val="22"/>
          <w:lang w:eastAsia="en-US"/>
        </w:rPr>
      </w:pPr>
      <w:r w:rsidRPr="00797CDB">
        <w:rPr>
          <w:rFonts w:eastAsia="TimesNewRomanPS-BoldMT"/>
        </w:rPr>
        <w:t xml:space="preserve">leukemija </w:t>
      </w:r>
      <w:r w:rsidRPr="00797CDB">
        <w:rPr>
          <w:rFonts w:eastAsia="TimesNewRomanPSMT"/>
        </w:rPr>
        <w:t>(kraujo ląstelių vėžys)</w:t>
      </w:r>
      <w:r w:rsidRPr="00797CDB">
        <w:rPr>
          <w:rFonts w:eastAsia="TimesNewRomanPS-BoldMT"/>
        </w:rPr>
        <w:t>;</w:t>
      </w:r>
    </w:p>
    <w:p w14:paraId="1988346F" w14:textId="77777777" w:rsidR="00FD5C4A" w:rsidRPr="00797CDB" w:rsidRDefault="00FD5C4A" w:rsidP="00797CDB">
      <w:pPr>
        <w:numPr>
          <w:ilvl w:val="0"/>
          <w:numId w:val="12"/>
        </w:numPr>
        <w:autoSpaceDE w:val="0"/>
        <w:autoSpaceDN w:val="0"/>
        <w:adjustRightInd w:val="0"/>
        <w:ind w:left="567" w:hanging="567"/>
        <w:rPr>
          <w:rFonts w:asciiTheme="minorHAnsi" w:eastAsia="TimesNewRomanPS-BoldMT" w:hAnsiTheme="minorHAnsi" w:cstheme="minorBidi"/>
          <w:szCs w:val="22"/>
          <w:lang w:eastAsia="en-US"/>
        </w:rPr>
      </w:pPr>
      <w:r w:rsidRPr="00797CDB">
        <w:rPr>
          <w:rFonts w:eastAsia="TimesNewRomanPS-BoldMT"/>
        </w:rPr>
        <w:t>bet kokia varpos deformacija;</w:t>
      </w:r>
    </w:p>
    <w:p w14:paraId="1950426B" w14:textId="77777777" w:rsidR="00FD5C4A" w:rsidRPr="00797CDB" w:rsidRDefault="00FD5C4A" w:rsidP="00797CDB">
      <w:pPr>
        <w:numPr>
          <w:ilvl w:val="0"/>
          <w:numId w:val="12"/>
        </w:numPr>
        <w:autoSpaceDE w:val="0"/>
        <w:autoSpaceDN w:val="0"/>
        <w:adjustRightInd w:val="0"/>
        <w:ind w:left="567" w:hanging="567"/>
        <w:rPr>
          <w:rFonts w:eastAsia="TimesNewRomanPS-BoldMT"/>
        </w:rPr>
      </w:pPr>
      <w:r w:rsidRPr="00797CDB">
        <w:rPr>
          <w:rFonts w:eastAsia="TimesNewRomanPS-BoldMT"/>
        </w:rPr>
        <w:t>s</w:t>
      </w:r>
      <w:r w:rsidRPr="00797CDB">
        <w:rPr>
          <w:rFonts w:eastAsia="TimesNewRomanPSMT"/>
        </w:rPr>
        <w:t>unkus kepenų veiklos sutrikimas</w:t>
      </w:r>
      <w:r w:rsidRPr="00797CDB">
        <w:rPr>
          <w:rFonts w:eastAsia="TimesNewRomanPS-BoldMT"/>
        </w:rPr>
        <w:t>;</w:t>
      </w:r>
    </w:p>
    <w:p w14:paraId="3710D046" w14:textId="77777777" w:rsidR="00FD5C4A" w:rsidRPr="00797CDB" w:rsidRDefault="00FD5C4A" w:rsidP="00797CDB">
      <w:pPr>
        <w:numPr>
          <w:ilvl w:val="0"/>
          <w:numId w:val="12"/>
        </w:numPr>
        <w:autoSpaceDE w:val="0"/>
        <w:autoSpaceDN w:val="0"/>
        <w:adjustRightInd w:val="0"/>
        <w:ind w:left="567" w:hanging="567"/>
        <w:rPr>
          <w:rFonts w:eastAsia="TimesNewRomanPSMT"/>
        </w:rPr>
      </w:pPr>
      <w:r w:rsidRPr="00797CDB">
        <w:rPr>
          <w:rFonts w:eastAsia="TimesNewRomanPS-BoldMT"/>
        </w:rPr>
        <w:t>s</w:t>
      </w:r>
      <w:r w:rsidRPr="00797CDB">
        <w:rPr>
          <w:rFonts w:eastAsia="TimesNewRomanPSMT"/>
        </w:rPr>
        <w:t>unkus inkstų veiklos sutrikimas;</w:t>
      </w:r>
    </w:p>
    <w:p w14:paraId="1B12D942" w14:textId="77777777" w:rsidR="00FD5C4A" w:rsidRPr="00797CDB" w:rsidRDefault="00FD5C4A" w:rsidP="00A333F1">
      <w:pPr>
        <w:autoSpaceDE w:val="0"/>
        <w:autoSpaceDN w:val="0"/>
        <w:adjustRightInd w:val="0"/>
        <w:rPr>
          <w:rFonts w:eastAsia="TimesNewRomanPSMT"/>
        </w:rPr>
      </w:pPr>
    </w:p>
    <w:p w14:paraId="3D258BEC" w14:textId="77777777" w:rsidR="00FD5C4A" w:rsidRPr="00797CDB" w:rsidRDefault="00FD5C4A" w:rsidP="00A333F1">
      <w:pPr>
        <w:autoSpaceDE w:val="0"/>
        <w:autoSpaceDN w:val="0"/>
        <w:adjustRightInd w:val="0"/>
        <w:rPr>
          <w:rFonts w:asciiTheme="minorHAnsi" w:eastAsia="TimesNewRomanPS-BoldMT" w:hAnsiTheme="minorHAnsi" w:cstheme="minorBidi"/>
          <w:szCs w:val="22"/>
          <w:lang w:eastAsia="en-US"/>
        </w:rPr>
      </w:pPr>
      <w:r w:rsidRPr="00797CDB">
        <w:rPr>
          <w:rFonts w:eastAsia="TimesNewRomanPS-BoldMT"/>
        </w:rPr>
        <w:t xml:space="preserve">Nežinoma, ar </w:t>
      </w:r>
      <w:r w:rsidR="00254A51" w:rsidRPr="00797CDB">
        <w:rPr>
          <w:rFonts w:eastAsia="TimesNewRomanPS-BoldMT"/>
        </w:rPr>
        <w:t xml:space="preserve">Quator </w:t>
      </w:r>
      <w:r w:rsidRPr="00797CDB">
        <w:rPr>
          <w:rFonts w:eastAsia="TimesNewRomanPS-BoldMT"/>
        </w:rPr>
        <w:t>yra veiksmingas pacientams, kuriems buvo atlikta:</w:t>
      </w:r>
    </w:p>
    <w:p w14:paraId="6475B97E" w14:textId="77777777" w:rsidR="00FD5C4A" w:rsidRPr="00797CDB" w:rsidRDefault="00FD5C4A" w:rsidP="00797CDB">
      <w:pPr>
        <w:numPr>
          <w:ilvl w:val="0"/>
          <w:numId w:val="13"/>
        </w:numPr>
        <w:tabs>
          <w:tab w:val="clear" w:pos="360"/>
          <w:tab w:val="num" w:pos="567"/>
        </w:tabs>
        <w:autoSpaceDE w:val="0"/>
        <w:autoSpaceDN w:val="0"/>
        <w:adjustRightInd w:val="0"/>
        <w:ind w:left="567" w:hanging="567"/>
        <w:rPr>
          <w:rFonts w:asciiTheme="minorHAnsi" w:eastAsia="TimesNewRomanPS-BoldMT" w:hAnsiTheme="minorHAnsi" w:cstheme="minorBidi"/>
          <w:szCs w:val="22"/>
          <w:lang w:eastAsia="en-US"/>
        </w:rPr>
      </w:pPr>
      <w:r w:rsidRPr="00797CDB">
        <w:rPr>
          <w:rFonts w:eastAsia="TimesNewRomanPS-BoldMT"/>
        </w:rPr>
        <w:t>mažojo dubens operacija;</w:t>
      </w:r>
    </w:p>
    <w:p w14:paraId="135A1209" w14:textId="77777777" w:rsidR="00FD5C4A" w:rsidRPr="00797CDB" w:rsidRDefault="00FD5C4A" w:rsidP="00797CDB">
      <w:pPr>
        <w:numPr>
          <w:ilvl w:val="0"/>
          <w:numId w:val="13"/>
        </w:numPr>
        <w:tabs>
          <w:tab w:val="clear" w:pos="360"/>
          <w:tab w:val="num" w:pos="567"/>
        </w:tabs>
        <w:autoSpaceDE w:val="0"/>
        <w:autoSpaceDN w:val="0"/>
        <w:adjustRightInd w:val="0"/>
        <w:ind w:left="567" w:hanging="567"/>
        <w:rPr>
          <w:rFonts w:asciiTheme="minorHAnsi" w:eastAsia="TimesNewRomanPS-BoldMT" w:hAnsiTheme="minorHAnsi" w:cstheme="minorBidi"/>
          <w:szCs w:val="22"/>
          <w:lang w:eastAsia="en-US"/>
        </w:rPr>
      </w:pPr>
      <w:r w:rsidRPr="00797CDB">
        <w:rPr>
          <w:rFonts w:eastAsia="TimesNewRomanPS-BoldMT"/>
        </w:rPr>
        <w:t xml:space="preserve">visos prostatos arba jos dalies pašalinimo operacija, kurios metu buvo nukirpti prostatos nervai (radikali </w:t>
      </w:r>
      <w:r w:rsidRPr="00797CDB">
        <w:rPr>
          <w:rFonts w:eastAsia="TimesNewRomanPSMT"/>
        </w:rPr>
        <w:t>nervų neišsauganti prost</w:t>
      </w:r>
      <w:r w:rsidRPr="00797CDB">
        <w:rPr>
          <w:rFonts w:eastAsia="TimesNewRomanPS-BoldMT"/>
        </w:rPr>
        <w:t>atektomija).</w:t>
      </w:r>
    </w:p>
    <w:p w14:paraId="01728F08" w14:textId="77777777" w:rsidR="00FD5C4A" w:rsidRPr="00797CDB" w:rsidRDefault="00FD5C4A" w:rsidP="00A333F1">
      <w:pPr>
        <w:autoSpaceDE w:val="0"/>
        <w:autoSpaceDN w:val="0"/>
        <w:adjustRightInd w:val="0"/>
        <w:rPr>
          <w:rFonts w:eastAsia="TimesNewRomanPS-BoldMT"/>
        </w:rPr>
      </w:pPr>
    </w:p>
    <w:p w14:paraId="22E5DC62" w14:textId="101C3F4F"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Jeigu </w:t>
      </w:r>
      <w:r w:rsidR="004F432E">
        <w:rPr>
          <w:rFonts w:eastAsia="TimesNewRomanPSMT"/>
        </w:rPr>
        <w:t xml:space="preserve">vartojant Quator </w:t>
      </w:r>
      <w:r w:rsidRPr="00797CDB">
        <w:rPr>
          <w:rFonts w:eastAsia="TimesNewRomanPSMT"/>
        </w:rPr>
        <w:t>staig</w:t>
      </w:r>
      <w:r w:rsidR="004F432E">
        <w:rPr>
          <w:rFonts w:eastAsia="TimesNewRomanPSMT"/>
        </w:rPr>
        <w:t xml:space="preserve">a </w:t>
      </w:r>
      <w:r w:rsidRPr="00797CDB">
        <w:rPr>
          <w:rFonts w:eastAsia="TimesNewRomanPSMT"/>
        </w:rPr>
        <w:t xml:space="preserve">susilpnėtų regėjimas arba apaktumėte, </w:t>
      </w:r>
      <w:r w:rsidR="004F432E">
        <w:t xml:space="preserve">arba būtų matomas iškreiptas, pritemęs vaizdas, nutraukite Quator  vartojimą </w:t>
      </w:r>
      <w:r w:rsidRPr="00797CDB">
        <w:rPr>
          <w:rFonts w:eastAsia="TimesNewRomanPSMT"/>
        </w:rPr>
        <w:t xml:space="preserve"> ir nedels</w:t>
      </w:r>
      <w:r w:rsidR="004F432E">
        <w:rPr>
          <w:rFonts w:eastAsia="TimesNewRomanPSMT"/>
        </w:rPr>
        <w:t>dami</w:t>
      </w:r>
      <w:r w:rsidRPr="00797CDB">
        <w:rPr>
          <w:rFonts w:eastAsia="TimesNewRomanPSMT"/>
        </w:rPr>
        <w:t xml:space="preserve"> kreipkitės į </w:t>
      </w:r>
      <w:r w:rsidR="00D46F77" w:rsidRPr="00797CDB">
        <w:rPr>
          <w:rFonts w:eastAsia="TimesNewRomanPSMT"/>
        </w:rPr>
        <w:t xml:space="preserve">savo </w:t>
      </w:r>
      <w:r w:rsidRPr="00797CDB">
        <w:rPr>
          <w:rFonts w:eastAsia="TimesNewRomanPSMT"/>
        </w:rPr>
        <w:t>gydytoją.</w:t>
      </w:r>
    </w:p>
    <w:p w14:paraId="67445119" w14:textId="77777777" w:rsidR="00FD5C4A" w:rsidRPr="00797CDB" w:rsidRDefault="00FD5C4A" w:rsidP="00A333F1">
      <w:pPr>
        <w:autoSpaceDE w:val="0"/>
        <w:autoSpaceDN w:val="0"/>
        <w:adjustRightInd w:val="0"/>
        <w:rPr>
          <w:rFonts w:eastAsia="TimesNewRomanPSMT"/>
        </w:rPr>
      </w:pPr>
    </w:p>
    <w:p w14:paraId="42E82BF3" w14:textId="77777777" w:rsidR="00D46F77" w:rsidRPr="00A333F1" w:rsidRDefault="00D46F77" w:rsidP="00A333F1">
      <w:pPr>
        <w:numPr>
          <w:ilvl w:val="12"/>
          <w:numId w:val="0"/>
        </w:numPr>
      </w:pPr>
      <w:r w:rsidRPr="00A333F1">
        <w:t xml:space="preserve">Kai kuriems tadalafilio vartojusiems pacientams buvo pastebėta susilpnėjusi arba staiga išnykusi klausa. Nors nėra žinoma, ar šis reiškinys tiesiogiai susijęs su tadalafiliu, pastebėję, kad nusilpo arba staiga dingo klausa, </w:t>
      </w:r>
      <w:r w:rsidR="00254A51" w:rsidRPr="00A333F1">
        <w:t xml:space="preserve">Quator </w:t>
      </w:r>
      <w:r w:rsidRPr="00A333F1">
        <w:t>nebevartokite ir nedelsdami kreipkitės į savo gydytoją.</w:t>
      </w:r>
    </w:p>
    <w:p w14:paraId="5FEACECF" w14:textId="77777777" w:rsidR="00FD5C4A" w:rsidRPr="00A333F1" w:rsidRDefault="00FD5C4A" w:rsidP="00A333F1">
      <w:pPr>
        <w:numPr>
          <w:ilvl w:val="12"/>
          <w:numId w:val="0"/>
        </w:numPr>
        <w:ind w:right="-2"/>
      </w:pPr>
    </w:p>
    <w:p w14:paraId="4E0CCA9E" w14:textId="77777777" w:rsidR="00D46F77" w:rsidRPr="00A333F1" w:rsidRDefault="00254A51" w:rsidP="00A333F1">
      <w:pPr>
        <w:numPr>
          <w:ilvl w:val="12"/>
          <w:numId w:val="0"/>
        </w:numPr>
        <w:ind w:right="-2"/>
      </w:pPr>
      <w:r w:rsidRPr="00A333F1">
        <w:t xml:space="preserve">Quator </w:t>
      </w:r>
      <w:r w:rsidR="00D46F77" w:rsidRPr="00A333F1">
        <w:t xml:space="preserve">nenumatytas vartoti moterims. </w:t>
      </w:r>
    </w:p>
    <w:p w14:paraId="5BC5ED0F" w14:textId="77777777" w:rsidR="00D46F77" w:rsidRPr="00A333F1" w:rsidRDefault="00D46F77" w:rsidP="00A333F1">
      <w:pPr>
        <w:numPr>
          <w:ilvl w:val="12"/>
          <w:numId w:val="0"/>
        </w:numPr>
        <w:ind w:right="-2"/>
      </w:pPr>
    </w:p>
    <w:p w14:paraId="5324343C" w14:textId="77777777" w:rsidR="00FD5C4A" w:rsidRPr="00A333F1" w:rsidRDefault="00FD5C4A" w:rsidP="00A333F1">
      <w:pPr>
        <w:autoSpaceDE w:val="0"/>
        <w:autoSpaceDN w:val="0"/>
        <w:adjustRightInd w:val="0"/>
        <w:rPr>
          <w:b/>
        </w:rPr>
      </w:pPr>
      <w:r w:rsidRPr="00A333F1">
        <w:rPr>
          <w:b/>
        </w:rPr>
        <w:t>Vaikams ir paaugliams</w:t>
      </w:r>
    </w:p>
    <w:p w14:paraId="2EF4CF32" w14:textId="77777777" w:rsidR="00FD5C4A" w:rsidRPr="00A333F1" w:rsidRDefault="00254A51" w:rsidP="00A333F1">
      <w:pPr>
        <w:numPr>
          <w:ilvl w:val="12"/>
          <w:numId w:val="0"/>
        </w:numPr>
      </w:pPr>
      <w:r w:rsidRPr="00A333F1">
        <w:t xml:space="preserve">Quator </w:t>
      </w:r>
      <w:r w:rsidR="00FD5C4A" w:rsidRPr="00A333F1">
        <w:t>ne</w:t>
      </w:r>
      <w:r w:rsidR="00D46F77" w:rsidRPr="00A333F1">
        <w:t>numatytas</w:t>
      </w:r>
      <w:r w:rsidR="00FD5C4A" w:rsidRPr="00A333F1">
        <w:t xml:space="preserve"> vartoti vaikams ir jaunesniems kaip 18 </w:t>
      </w:r>
      <w:r w:rsidR="00FD5C4A" w:rsidRPr="00797CDB">
        <w:rPr>
          <w:rFonts w:eastAsia="TimesNewRomanPSMT"/>
        </w:rPr>
        <w:t>metų</w:t>
      </w:r>
      <w:r w:rsidR="00D46F77" w:rsidRPr="00797CDB">
        <w:rPr>
          <w:rFonts w:eastAsia="TimesNewRomanPSMT"/>
        </w:rPr>
        <w:t xml:space="preserve"> amžiaus</w:t>
      </w:r>
      <w:r w:rsidR="00FD5C4A" w:rsidRPr="00797CDB">
        <w:rPr>
          <w:rFonts w:eastAsia="TimesNewRomanPSMT"/>
        </w:rPr>
        <w:t xml:space="preserve"> </w:t>
      </w:r>
      <w:r w:rsidR="00FD5C4A" w:rsidRPr="00A333F1">
        <w:t>paaugliams.</w:t>
      </w:r>
    </w:p>
    <w:p w14:paraId="00BD6C23" w14:textId="77777777" w:rsidR="00FD5C4A" w:rsidRPr="00A333F1" w:rsidRDefault="00FD5C4A" w:rsidP="00A333F1">
      <w:pPr>
        <w:numPr>
          <w:ilvl w:val="12"/>
          <w:numId w:val="0"/>
        </w:numPr>
        <w:rPr>
          <w:b/>
        </w:rPr>
      </w:pPr>
    </w:p>
    <w:p w14:paraId="7DEA2C50" w14:textId="77777777" w:rsidR="00FD5C4A" w:rsidRPr="00A333F1" w:rsidRDefault="00FD5C4A" w:rsidP="00A333F1">
      <w:pPr>
        <w:rPr>
          <w:b/>
        </w:rPr>
      </w:pPr>
      <w:r w:rsidRPr="00A333F1">
        <w:rPr>
          <w:b/>
        </w:rPr>
        <w:t xml:space="preserve">Kiti vaistai ir </w:t>
      </w:r>
      <w:r w:rsidR="00254A51" w:rsidRPr="00A333F1">
        <w:rPr>
          <w:b/>
        </w:rPr>
        <w:t xml:space="preserve">QUATOR </w:t>
      </w:r>
    </w:p>
    <w:p w14:paraId="1BB302B6" w14:textId="77777777" w:rsidR="00FD5C4A" w:rsidRPr="00A333F1" w:rsidRDefault="00FD5C4A" w:rsidP="00A333F1">
      <w:pPr>
        <w:autoSpaceDE w:val="0"/>
        <w:autoSpaceDN w:val="0"/>
        <w:adjustRightInd w:val="0"/>
      </w:pPr>
      <w:r w:rsidRPr="00A333F1">
        <w:t>Jeigu vartojate ar neseniai vartojote kitų vaistų, arba dėl to nesate tikri, apie tai pasakykite gydytojui arba vaistininkui.</w:t>
      </w:r>
    </w:p>
    <w:p w14:paraId="3D7BB2B2" w14:textId="77777777" w:rsidR="00D46F77" w:rsidRPr="00797CDB" w:rsidRDefault="00D46F77" w:rsidP="00A333F1">
      <w:pPr>
        <w:autoSpaceDE w:val="0"/>
        <w:autoSpaceDN w:val="0"/>
        <w:adjustRightInd w:val="0"/>
        <w:rPr>
          <w:rFonts w:eastAsia="TimesNewRomanPSMT"/>
        </w:rPr>
      </w:pPr>
    </w:p>
    <w:p w14:paraId="4D832171" w14:textId="77777777" w:rsidR="00FD5C4A" w:rsidRPr="00797CDB" w:rsidRDefault="00D46F77"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Nevartokite</w:t>
      </w:r>
      <w:r w:rsidR="00254A51" w:rsidRPr="00A333F1">
        <w:t xml:space="preserve"> Quator</w:t>
      </w:r>
      <w:r w:rsidR="00FD5C4A" w:rsidRPr="00797CDB">
        <w:rPr>
          <w:rFonts w:eastAsia="TimesNewRomanPSMT"/>
        </w:rPr>
        <w:t>, jeigu jau vartojate nitratų.</w:t>
      </w:r>
    </w:p>
    <w:p w14:paraId="3AA6D088" w14:textId="77777777" w:rsidR="00D46F77" w:rsidRPr="00797CDB" w:rsidRDefault="00D46F77" w:rsidP="00A333F1">
      <w:pPr>
        <w:autoSpaceDE w:val="0"/>
        <w:autoSpaceDN w:val="0"/>
        <w:adjustRightInd w:val="0"/>
        <w:rPr>
          <w:rFonts w:eastAsia="TimesNewRomanPSMT"/>
        </w:rPr>
      </w:pPr>
    </w:p>
    <w:p w14:paraId="2C9ABB23" w14:textId="77777777" w:rsidR="00131BE4" w:rsidRPr="00A333F1" w:rsidRDefault="00254A51" w:rsidP="00A333F1">
      <w:pPr>
        <w:numPr>
          <w:ilvl w:val="12"/>
          <w:numId w:val="0"/>
        </w:numPr>
        <w:ind w:right="-2"/>
      </w:pPr>
      <w:r w:rsidRPr="00A333F1">
        <w:t xml:space="preserve">Quator </w:t>
      </w:r>
      <w:r w:rsidR="00131BE4" w:rsidRPr="00A333F1">
        <w:t xml:space="preserve">gali keisti kai kurių vaistų </w:t>
      </w:r>
      <w:r w:rsidR="00C06BDA" w:rsidRPr="00A333F1">
        <w:t>veikimą</w:t>
      </w:r>
      <w:r w:rsidR="00131BE4" w:rsidRPr="00A333F1">
        <w:t xml:space="preserve"> arba jie − </w:t>
      </w:r>
      <w:r w:rsidRPr="00A333F1">
        <w:t xml:space="preserve">Quator </w:t>
      </w:r>
      <w:r w:rsidR="00C06BDA" w:rsidRPr="00A333F1">
        <w:t>veikimą</w:t>
      </w:r>
      <w:r w:rsidR="00131BE4" w:rsidRPr="00A333F1">
        <w:t xml:space="preserve">. Pasakykite gydytojui arba vaistininkui, jeigu jau vartojate: </w:t>
      </w:r>
    </w:p>
    <w:p w14:paraId="4709FD5D" w14:textId="77777777" w:rsidR="00131BE4" w:rsidRPr="00A333F1" w:rsidRDefault="00131BE4" w:rsidP="00797CDB">
      <w:pPr>
        <w:numPr>
          <w:ilvl w:val="0"/>
          <w:numId w:val="10"/>
        </w:numPr>
        <w:tabs>
          <w:tab w:val="left" w:pos="567"/>
        </w:tabs>
        <w:ind w:left="567" w:hanging="567"/>
      </w:pPr>
      <w:r w:rsidRPr="00A333F1">
        <w:t xml:space="preserve">alfa adrenoreceptorių blokatorių (vartojamų </w:t>
      </w:r>
      <w:r w:rsidR="00C06BDA" w:rsidRPr="00A333F1">
        <w:t>aukštam</w:t>
      </w:r>
      <w:r w:rsidRPr="00A333F1">
        <w:t xml:space="preserve"> kraujo</w:t>
      </w:r>
      <w:r w:rsidR="00C06BDA" w:rsidRPr="00A333F1">
        <w:t xml:space="preserve"> spaudimui</w:t>
      </w:r>
      <w:r w:rsidRPr="00A333F1">
        <w:t xml:space="preserve"> mažinti arba šlapimo organų simptomams, susijusiems su gerybine prostatos hiperplazija, gydyti);</w:t>
      </w:r>
    </w:p>
    <w:p w14:paraId="6549B5D8" w14:textId="77777777" w:rsidR="00131BE4" w:rsidRPr="00A333F1" w:rsidRDefault="00131BE4" w:rsidP="00797CDB">
      <w:pPr>
        <w:numPr>
          <w:ilvl w:val="0"/>
          <w:numId w:val="10"/>
        </w:numPr>
        <w:tabs>
          <w:tab w:val="left" w:pos="567"/>
        </w:tabs>
        <w:ind w:left="567" w:hanging="567"/>
      </w:pPr>
      <w:r w:rsidRPr="00A333F1">
        <w:t xml:space="preserve">kitų vaistų </w:t>
      </w:r>
      <w:r w:rsidR="00C06BDA" w:rsidRPr="00A333F1">
        <w:t>aukštam kraujo spaudimui</w:t>
      </w:r>
      <w:r w:rsidRPr="00A333F1">
        <w:t xml:space="preserve"> mažinti;</w:t>
      </w:r>
    </w:p>
    <w:p w14:paraId="57D2103C" w14:textId="77777777" w:rsidR="00131BE4" w:rsidRPr="00A333F1" w:rsidRDefault="00131BE4" w:rsidP="00797CDB">
      <w:pPr>
        <w:numPr>
          <w:ilvl w:val="0"/>
          <w:numId w:val="10"/>
        </w:numPr>
        <w:tabs>
          <w:tab w:val="left" w:pos="567"/>
        </w:tabs>
        <w:snapToGrid w:val="0"/>
        <w:ind w:left="567" w:hanging="567"/>
      </w:pPr>
      <w:r w:rsidRPr="00A333F1">
        <w:t>riociguato;</w:t>
      </w:r>
    </w:p>
    <w:p w14:paraId="30C5B5CC" w14:textId="77777777" w:rsidR="00131BE4" w:rsidRPr="00A333F1" w:rsidRDefault="00131BE4" w:rsidP="00797CDB">
      <w:pPr>
        <w:numPr>
          <w:ilvl w:val="0"/>
          <w:numId w:val="10"/>
        </w:numPr>
        <w:tabs>
          <w:tab w:val="left" w:pos="567"/>
        </w:tabs>
        <w:ind w:left="567" w:hanging="567"/>
      </w:pPr>
      <w:r w:rsidRPr="00A333F1">
        <w:t>5-alfa reduktazės inhibitorių (vartojamų gerybinei prostatos hiperplazijai gydyti);</w:t>
      </w:r>
    </w:p>
    <w:p w14:paraId="2BDC3172" w14:textId="77777777" w:rsidR="00131BE4" w:rsidRPr="00A333F1" w:rsidRDefault="00131BE4" w:rsidP="00797CDB">
      <w:pPr>
        <w:numPr>
          <w:ilvl w:val="0"/>
          <w:numId w:val="10"/>
        </w:numPr>
        <w:tabs>
          <w:tab w:val="left" w:pos="567"/>
        </w:tabs>
        <w:ind w:left="567" w:hanging="567"/>
      </w:pPr>
      <w:r w:rsidRPr="00A333F1">
        <w:t>tokių vaistų, kaip ketokonazolo tabletės (vartojamos grybelių sukeltoms infekcinėms ligoms gydyti) ir proteazės inhibitoriai AIDS arba ŽIV infekcijai gydyti;</w:t>
      </w:r>
    </w:p>
    <w:p w14:paraId="3961B031" w14:textId="77777777" w:rsidR="00131BE4" w:rsidRPr="00A333F1" w:rsidRDefault="00131BE4" w:rsidP="00797CDB">
      <w:pPr>
        <w:numPr>
          <w:ilvl w:val="0"/>
          <w:numId w:val="10"/>
        </w:numPr>
        <w:tabs>
          <w:tab w:val="left" w:pos="567"/>
        </w:tabs>
        <w:ind w:left="567" w:hanging="567"/>
      </w:pPr>
      <w:r w:rsidRPr="00A333F1">
        <w:t>fenobarbitalio, fenitoino, karbamazepino (vaistų nuo traukulių);</w:t>
      </w:r>
    </w:p>
    <w:p w14:paraId="73B1101B" w14:textId="77777777" w:rsidR="00C06BDA" w:rsidRPr="00A333F1" w:rsidRDefault="00C06BDA" w:rsidP="00797CDB">
      <w:pPr>
        <w:numPr>
          <w:ilvl w:val="0"/>
          <w:numId w:val="10"/>
        </w:numPr>
        <w:tabs>
          <w:tab w:val="left" w:pos="567"/>
        </w:tabs>
        <w:ind w:left="567" w:hanging="567"/>
      </w:pPr>
      <w:r w:rsidRPr="00A333F1">
        <w:t>rifampicino, eritromicino, klaritromicino arba itrakonazolo;</w:t>
      </w:r>
    </w:p>
    <w:p w14:paraId="6AC3C083" w14:textId="77777777" w:rsidR="00C06BDA" w:rsidRPr="00A333F1" w:rsidRDefault="00C06BDA" w:rsidP="00797CDB">
      <w:pPr>
        <w:numPr>
          <w:ilvl w:val="0"/>
          <w:numId w:val="10"/>
        </w:numPr>
        <w:tabs>
          <w:tab w:val="left" w:pos="567"/>
        </w:tabs>
        <w:ind w:left="567" w:hanging="567"/>
      </w:pPr>
      <w:r w:rsidRPr="00A333F1">
        <w:t>kitokių vaistų nuo erekcijos funkcijos sutrikimo.</w:t>
      </w:r>
    </w:p>
    <w:p w14:paraId="72BD4039" w14:textId="77777777" w:rsidR="00FD5C4A" w:rsidRPr="00A333F1" w:rsidRDefault="00FD5C4A" w:rsidP="00A333F1">
      <w:pPr>
        <w:numPr>
          <w:ilvl w:val="12"/>
          <w:numId w:val="0"/>
        </w:numPr>
        <w:ind w:right="-2"/>
      </w:pPr>
    </w:p>
    <w:p w14:paraId="6155B45B" w14:textId="77777777" w:rsidR="00FD5C4A" w:rsidRPr="00A333F1" w:rsidRDefault="00254A51" w:rsidP="00A333F1">
      <w:pPr>
        <w:autoSpaceDE w:val="0"/>
        <w:autoSpaceDN w:val="0"/>
        <w:adjustRightInd w:val="0"/>
        <w:rPr>
          <w:b/>
        </w:rPr>
      </w:pPr>
      <w:r w:rsidRPr="00A333F1">
        <w:rPr>
          <w:b/>
        </w:rPr>
        <w:t xml:space="preserve">Quator </w:t>
      </w:r>
      <w:r w:rsidR="00FD5C4A" w:rsidRPr="00A333F1">
        <w:rPr>
          <w:b/>
        </w:rPr>
        <w:t xml:space="preserve">vartojimas su </w:t>
      </w:r>
      <w:r w:rsidR="00FD5C4A" w:rsidRPr="00797CDB">
        <w:rPr>
          <w:rFonts w:eastAsia="TimesNewRomanPS-BoldMT"/>
          <w:b/>
        </w:rPr>
        <w:t xml:space="preserve">gėrimais </w:t>
      </w:r>
      <w:r w:rsidR="00FD5C4A" w:rsidRPr="00A333F1">
        <w:rPr>
          <w:b/>
        </w:rPr>
        <w:t>ir alkoholiu</w:t>
      </w:r>
    </w:p>
    <w:p w14:paraId="2FF4E565" w14:textId="77777777" w:rsidR="00FD5C4A" w:rsidRPr="00A333F1" w:rsidRDefault="00FD5C4A" w:rsidP="00A333F1">
      <w:pPr>
        <w:autoSpaceDE w:val="0"/>
        <w:autoSpaceDN w:val="0"/>
        <w:adjustRightInd w:val="0"/>
      </w:pPr>
      <w:r w:rsidRPr="00A333F1">
        <w:t>Informacija apie alkoholi</w:t>
      </w:r>
      <w:r w:rsidRPr="00797CDB">
        <w:rPr>
          <w:rFonts w:eastAsia="TimesNewRomanPSMT"/>
        </w:rPr>
        <w:t xml:space="preserve">o įtaką </w:t>
      </w:r>
      <w:r w:rsidRPr="00A333F1">
        <w:t xml:space="preserve">pateikta 3 skyriuje. </w:t>
      </w:r>
      <w:r w:rsidRPr="00797CDB">
        <w:rPr>
          <w:rFonts w:eastAsia="TimesNewRomanPSMT"/>
        </w:rPr>
        <w:t xml:space="preserve">Greipfrutų sultys gali sutrikdyti </w:t>
      </w:r>
      <w:r w:rsidR="00254A51" w:rsidRPr="00797CDB">
        <w:rPr>
          <w:rFonts w:eastAsia="TimesNewRomanPSMT"/>
        </w:rPr>
        <w:t xml:space="preserve">Quator </w:t>
      </w:r>
      <w:r w:rsidRPr="00797CDB">
        <w:rPr>
          <w:rFonts w:eastAsia="TimesNewRomanPSMT"/>
        </w:rPr>
        <w:t>veiksmingumą, todėl turi būti vartojamos atsargiai. Papildomos informacijos kreipkitės į savo gydytoją.</w:t>
      </w:r>
    </w:p>
    <w:p w14:paraId="61112177" w14:textId="77777777" w:rsidR="00FD5C4A" w:rsidRPr="00A333F1" w:rsidRDefault="00FD5C4A" w:rsidP="00A333F1">
      <w:pPr>
        <w:autoSpaceDE w:val="0"/>
        <w:autoSpaceDN w:val="0"/>
        <w:adjustRightInd w:val="0"/>
        <w:rPr>
          <w:b/>
        </w:rPr>
      </w:pPr>
    </w:p>
    <w:p w14:paraId="693DC0E6" w14:textId="77777777" w:rsidR="00FD5C4A" w:rsidRPr="00797CDB" w:rsidRDefault="00B70A0E" w:rsidP="00A333F1">
      <w:pPr>
        <w:autoSpaceDE w:val="0"/>
        <w:autoSpaceDN w:val="0"/>
        <w:adjustRightInd w:val="0"/>
        <w:rPr>
          <w:rFonts w:eastAsia="TimesNewRomanPS-BoldMT"/>
          <w:b/>
        </w:rPr>
      </w:pPr>
      <w:r w:rsidRPr="00797CDB">
        <w:rPr>
          <w:rFonts w:eastAsia="TimesNewRomanPS-BoldMT"/>
          <w:b/>
        </w:rPr>
        <w:t>V</w:t>
      </w:r>
      <w:r w:rsidR="00FD5C4A" w:rsidRPr="00797CDB">
        <w:rPr>
          <w:rFonts w:eastAsia="TimesNewRomanPS-BoldMT"/>
          <w:b/>
        </w:rPr>
        <w:t>aisingumas</w:t>
      </w:r>
    </w:p>
    <w:p w14:paraId="011E1C43" w14:textId="77777777" w:rsidR="00FD5C4A" w:rsidRPr="00797CDB" w:rsidRDefault="00B70A0E" w:rsidP="00A333F1">
      <w:pPr>
        <w:autoSpaceDE w:val="0"/>
        <w:autoSpaceDN w:val="0"/>
        <w:adjustRightInd w:val="0"/>
        <w:rPr>
          <w:rFonts w:asciiTheme="minorHAnsi" w:eastAsia="TimesNewRomanPS-BoldMT" w:hAnsiTheme="minorHAnsi" w:cstheme="minorBidi"/>
          <w:szCs w:val="22"/>
          <w:lang w:eastAsia="en-US"/>
        </w:rPr>
      </w:pPr>
      <w:r w:rsidRPr="00797CDB">
        <w:rPr>
          <w:rFonts w:eastAsia="TimesNewRomanPSMT"/>
        </w:rPr>
        <w:t>Vaisto duodant šunims, sumažėjo spermatozoidų vystymasis jų sėklidėse. Kai kuriems vyrams buvo pastebėtas spermos kiekio sumažėjimas. Nesitikima, kad dėl tokio poveikio sumažėtų vaisingumas</w:t>
      </w:r>
      <w:r w:rsidR="00FD5C4A" w:rsidRPr="00797CDB">
        <w:rPr>
          <w:rFonts w:eastAsia="TimesNewRomanPS-BoldMT"/>
        </w:rPr>
        <w:t>.</w:t>
      </w:r>
    </w:p>
    <w:p w14:paraId="7B2EEE9C" w14:textId="77777777" w:rsidR="00FD5C4A" w:rsidRPr="00A333F1" w:rsidRDefault="00FD5C4A" w:rsidP="00A333F1">
      <w:pPr>
        <w:autoSpaceDE w:val="0"/>
        <w:autoSpaceDN w:val="0"/>
        <w:adjustRightInd w:val="0"/>
      </w:pPr>
    </w:p>
    <w:p w14:paraId="5284C052" w14:textId="77777777" w:rsidR="00FD5C4A" w:rsidRPr="00797CDB" w:rsidRDefault="00FD5C4A" w:rsidP="00A333F1">
      <w:pPr>
        <w:autoSpaceDE w:val="0"/>
        <w:autoSpaceDN w:val="0"/>
        <w:adjustRightInd w:val="0"/>
        <w:rPr>
          <w:rFonts w:asciiTheme="minorHAnsi" w:eastAsia="TimesNewRomanPS-BoldMT" w:hAnsiTheme="minorHAnsi" w:cstheme="minorBidi"/>
          <w:b/>
          <w:szCs w:val="22"/>
          <w:lang w:eastAsia="en-US"/>
        </w:rPr>
      </w:pPr>
      <w:r w:rsidRPr="00797CDB">
        <w:rPr>
          <w:rFonts w:eastAsia="TimesNewRomanPS-BoldMT"/>
          <w:b/>
        </w:rPr>
        <w:t>Vairavimas ir mechanizmų valdymas</w:t>
      </w:r>
    </w:p>
    <w:p w14:paraId="49D2F383" w14:textId="77777777" w:rsidR="00FD5C4A" w:rsidRPr="00A333F1" w:rsidRDefault="00B70A0E"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Klinikinių tyrimų metu tadalafilis kai kuriems vyrams sukėlė svaigulį. Prieš vairavimą ar mechanizmų valdymą atidžiai pasitikrinkite savo reakciją į šias tabletes</w:t>
      </w:r>
      <w:r w:rsidR="00FD5C4A" w:rsidRPr="00A333F1">
        <w:t>.</w:t>
      </w:r>
    </w:p>
    <w:p w14:paraId="3CD4CDBE" w14:textId="77777777" w:rsidR="00FD5C4A" w:rsidRPr="00A333F1" w:rsidRDefault="00FD5C4A" w:rsidP="00A333F1">
      <w:pPr>
        <w:autoSpaceDE w:val="0"/>
        <w:autoSpaceDN w:val="0"/>
        <w:adjustRightInd w:val="0"/>
      </w:pPr>
    </w:p>
    <w:p w14:paraId="4AE5D41B" w14:textId="77777777" w:rsidR="00FD5C4A" w:rsidRPr="00797CDB" w:rsidRDefault="00254A51" w:rsidP="00A333F1">
      <w:pPr>
        <w:autoSpaceDE w:val="0"/>
        <w:autoSpaceDN w:val="0"/>
        <w:adjustRightInd w:val="0"/>
        <w:rPr>
          <w:rFonts w:eastAsia="TimesNewRomanPS-BoldMT"/>
          <w:b/>
        </w:rPr>
      </w:pPr>
      <w:r w:rsidRPr="00A333F1">
        <w:rPr>
          <w:b/>
        </w:rPr>
        <w:t xml:space="preserve">Quator </w:t>
      </w:r>
      <w:r w:rsidR="00FD5C4A" w:rsidRPr="00797CDB">
        <w:rPr>
          <w:rFonts w:eastAsia="TimesNewRomanPS-BoldMT"/>
          <w:b/>
        </w:rPr>
        <w:t>sudėtyje yra laktozės</w:t>
      </w:r>
    </w:p>
    <w:p w14:paraId="6E06E0BB" w14:textId="77777777" w:rsidR="00FD5C4A" w:rsidRPr="00A333F1" w:rsidRDefault="00FD5C4A" w:rsidP="00A333F1">
      <w:pPr>
        <w:autoSpaceDE w:val="0"/>
        <w:autoSpaceDN w:val="0"/>
        <w:adjustRightInd w:val="0"/>
      </w:pPr>
      <w:r w:rsidRPr="00A333F1">
        <w:t>Jeigu gydytojas Jums yra sakęs, kad netoleruojate kokių nors angliavandenių, kreipkitės į jį prieš pradėdami vartoti šį vaistą</w:t>
      </w:r>
      <w:r w:rsidRPr="00797CDB">
        <w:rPr>
          <w:rFonts w:eastAsia="TimesNewRomanPSMT"/>
        </w:rPr>
        <w:t>.</w:t>
      </w:r>
    </w:p>
    <w:p w14:paraId="18E8465E" w14:textId="77777777" w:rsidR="00DB68DB" w:rsidRPr="00A333F1" w:rsidRDefault="00DB68DB" w:rsidP="00A333F1">
      <w:pPr>
        <w:numPr>
          <w:ilvl w:val="12"/>
          <w:numId w:val="0"/>
        </w:numPr>
        <w:ind w:right="-2"/>
      </w:pPr>
    </w:p>
    <w:p w14:paraId="21E0554C" w14:textId="77777777" w:rsidR="00DB68DB" w:rsidRPr="00A333F1" w:rsidRDefault="00254A51" w:rsidP="00A333F1">
      <w:pPr>
        <w:numPr>
          <w:ilvl w:val="12"/>
          <w:numId w:val="0"/>
        </w:numPr>
        <w:ind w:right="-2"/>
        <w:rPr>
          <w:b/>
        </w:rPr>
      </w:pPr>
      <w:r w:rsidRPr="00A333F1">
        <w:rPr>
          <w:b/>
        </w:rPr>
        <w:t xml:space="preserve">Quator </w:t>
      </w:r>
      <w:r w:rsidR="00DB68DB" w:rsidRPr="00A333F1">
        <w:rPr>
          <w:b/>
        </w:rPr>
        <w:t>sudėtyje yra natrio</w:t>
      </w:r>
    </w:p>
    <w:p w14:paraId="36351396" w14:textId="77777777" w:rsidR="00DB68DB" w:rsidRPr="00A333F1" w:rsidRDefault="00DB68DB" w:rsidP="00A333F1">
      <w:pPr>
        <w:numPr>
          <w:ilvl w:val="12"/>
          <w:numId w:val="0"/>
        </w:numPr>
        <w:ind w:right="-2"/>
      </w:pPr>
      <w:r w:rsidRPr="00A333F1">
        <w:t>Šio vaisto tabletėje yra mažiau kaip 1</w:t>
      </w:r>
      <w:r w:rsidR="00CD12BB" w:rsidRPr="00A333F1">
        <w:t> </w:t>
      </w:r>
      <w:r w:rsidRPr="00A333F1">
        <w:t>mmol (23</w:t>
      </w:r>
      <w:r w:rsidR="00CD12BB" w:rsidRPr="00A333F1">
        <w:t> </w:t>
      </w:r>
      <w:r w:rsidRPr="00A333F1">
        <w:t>mg) natrio, t.y. jis beveik neturi reikšmės.</w:t>
      </w:r>
    </w:p>
    <w:p w14:paraId="2D3D2634" w14:textId="77777777" w:rsidR="00DB68DB" w:rsidRPr="00A333F1" w:rsidRDefault="00DB68DB" w:rsidP="00A333F1">
      <w:pPr>
        <w:numPr>
          <w:ilvl w:val="12"/>
          <w:numId w:val="0"/>
        </w:numPr>
        <w:ind w:right="-2"/>
      </w:pPr>
    </w:p>
    <w:p w14:paraId="1DEF6206" w14:textId="77777777" w:rsidR="00FD5C4A" w:rsidRPr="00A333F1" w:rsidRDefault="00FD5C4A" w:rsidP="00A333F1">
      <w:pPr>
        <w:numPr>
          <w:ilvl w:val="12"/>
          <w:numId w:val="0"/>
        </w:numPr>
        <w:ind w:right="-2"/>
      </w:pPr>
    </w:p>
    <w:p w14:paraId="03903E73" w14:textId="77777777" w:rsidR="00FD5C4A" w:rsidRPr="00A333F1" w:rsidRDefault="00FD5C4A" w:rsidP="00A333F1">
      <w:pPr>
        <w:keepNext/>
        <w:outlineLvl w:val="2"/>
        <w:rPr>
          <w:b/>
        </w:rPr>
      </w:pPr>
      <w:r w:rsidRPr="00A333F1">
        <w:rPr>
          <w:b/>
        </w:rPr>
        <w:t>3.</w:t>
      </w:r>
      <w:r w:rsidRPr="00A333F1">
        <w:rPr>
          <w:b/>
        </w:rPr>
        <w:tab/>
        <w:t xml:space="preserve">Kaip vartoti </w:t>
      </w:r>
      <w:r w:rsidR="00254A51" w:rsidRPr="00A333F1">
        <w:rPr>
          <w:b/>
        </w:rPr>
        <w:t>QUATOR</w:t>
      </w:r>
    </w:p>
    <w:p w14:paraId="4FB87314" w14:textId="77777777" w:rsidR="00FD5C4A" w:rsidRPr="00A333F1" w:rsidRDefault="00FD5C4A" w:rsidP="00A333F1">
      <w:pPr>
        <w:numPr>
          <w:ilvl w:val="12"/>
          <w:numId w:val="0"/>
        </w:numPr>
        <w:ind w:right="-2"/>
      </w:pPr>
    </w:p>
    <w:p w14:paraId="7223B408" w14:textId="77777777" w:rsidR="00FD5C4A" w:rsidRPr="00797CDB" w:rsidRDefault="003A613D" w:rsidP="00A333F1">
      <w:pPr>
        <w:autoSpaceDE w:val="0"/>
        <w:autoSpaceDN w:val="0"/>
        <w:adjustRightInd w:val="0"/>
        <w:rPr>
          <w:rFonts w:eastAsia="TimesNewRomanPSMT"/>
        </w:rPr>
      </w:pPr>
      <w:r w:rsidRPr="00A333F1">
        <w:t>Visada vartokite šį vaistą tiksliai kaip aprašyta šiame lapelyje arba kaip nurodė gydytojas. Jeigu abejojate, kreipkitės į gydytoją</w:t>
      </w:r>
      <w:r w:rsidR="00DB68DB" w:rsidRPr="00A333F1">
        <w:t xml:space="preserve"> arba</w:t>
      </w:r>
      <w:r w:rsidRPr="00A333F1">
        <w:t xml:space="preserve"> vaistininką.</w:t>
      </w:r>
    </w:p>
    <w:p w14:paraId="5EBE9B14" w14:textId="77777777" w:rsidR="00FD5C4A" w:rsidRPr="00797CDB" w:rsidRDefault="00FD5C4A" w:rsidP="00A333F1">
      <w:pPr>
        <w:autoSpaceDE w:val="0"/>
        <w:autoSpaceDN w:val="0"/>
        <w:adjustRightInd w:val="0"/>
        <w:rPr>
          <w:rFonts w:eastAsia="TimesNewRomanPSMT"/>
        </w:rPr>
      </w:pPr>
    </w:p>
    <w:p w14:paraId="515037FD" w14:textId="77777777" w:rsidR="00DB68DB" w:rsidRPr="00A333F1" w:rsidRDefault="00254A51" w:rsidP="00A333F1">
      <w:pPr>
        <w:numPr>
          <w:ilvl w:val="12"/>
          <w:numId w:val="0"/>
        </w:numPr>
        <w:ind w:right="-2"/>
        <w:outlineLvl w:val="0"/>
      </w:pPr>
      <w:r w:rsidRPr="00A333F1">
        <w:t xml:space="preserve">Quator </w:t>
      </w:r>
      <w:r w:rsidR="00DB68DB" w:rsidRPr="00A333F1">
        <w:t xml:space="preserve">tabletės yra skirtos vartoti per burną tik vyrams. Tabletę nurykite nepažeistą užgerdami šiek tiek vandens. </w:t>
      </w:r>
      <w:r w:rsidRPr="00A333F1">
        <w:t xml:space="preserve">Quator </w:t>
      </w:r>
      <w:r w:rsidR="00DB68DB" w:rsidRPr="00A333F1">
        <w:t>20 mg tabletes galima padalyti į lygias dozes, Tabletes galima gerti valgio metu arba kitu laiku.</w:t>
      </w:r>
    </w:p>
    <w:p w14:paraId="0D80CA11" w14:textId="77777777" w:rsidR="00DB68DB" w:rsidRPr="00A333F1" w:rsidRDefault="00DB68DB" w:rsidP="00A333F1">
      <w:pPr>
        <w:numPr>
          <w:ilvl w:val="12"/>
          <w:numId w:val="0"/>
        </w:numPr>
        <w:ind w:right="-2"/>
        <w:outlineLvl w:val="0"/>
      </w:pPr>
    </w:p>
    <w:p w14:paraId="20D4A9E5" w14:textId="77777777" w:rsidR="00DB68DB" w:rsidRPr="00797CDB" w:rsidRDefault="00BE7FAC" w:rsidP="00797CDB">
      <w:pPr>
        <w:pStyle w:val="Sraopastraipa"/>
        <w:numPr>
          <w:ilvl w:val="0"/>
          <w:numId w:val="14"/>
        </w:numPr>
        <w:ind w:left="567" w:right="-2" w:hanging="567"/>
        <w:outlineLvl w:val="0"/>
        <w:rPr>
          <w:b/>
          <w:color w:val="000000"/>
        </w:rPr>
      </w:pPr>
      <w:r w:rsidRPr="00797CDB">
        <w:rPr>
          <w:b/>
          <w:color w:val="000000"/>
          <w:sz w:val="22"/>
        </w:rPr>
        <w:t>Prisitaikoma pagal poreikį dozė vartojant 10 mg arba 20 mg tablečių</w:t>
      </w:r>
    </w:p>
    <w:p w14:paraId="1986871E" w14:textId="77777777" w:rsidR="00DB68DB" w:rsidRPr="00A333F1" w:rsidRDefault="00DB68DB" w:rsidP="00797CDB">
      <w:pPr>
        <w:numPr>
          <w:ilvl w:val="12"/>
          <w:numId w:val="0"/>
        </w:numPr>
        <w:ind w:left="567" w:right="-2"/>
        <w:outlineLvl w:val="0"/>
      </w:pPr>
      <w:r w:rsidRPr="00A333F1">
        <w:t>Rekomenduojama pradinė dozė</w:t>
      </w:r>
      <w:r w:rsidRPr="00A333F1">
        <w:rPr>
          <w:b/>
        </w:rPr>
        <w:t xml:space="preserve"> </w:t>
      </w:r>
      <w:r w:rsidRPr="00A333F1">
        <w:t xml:space="preserve">yra viena 10 mg tabletė, geriama prieš </w:t>
      </w:r>
      <w:r w:rsidR="00BE7FAC" w:rsidRPr="00A333F1">
        <w:t>lytinius santykius</w:t>
      </w:r>
      <w:r w:rsidRPr="00A333F1">
        <w:t xml:space="preserve">. Jei ši dozė veikia per silpnai, </w:t>
      </w:r>
      <w:r w:rsidR="00BE7FAC" w:rsidRPr="00A333F1">
        <w:t xml:space="preserve">Jūsų </w:t>
      </w:r>
      <w:r w:rsidRPr="00A333F1">
        <w:t xml:space="preserve">gydytojas gali ją padidinti iki 20 mg. </w:t>
      </w:r>
      <w:r w:rsidR="00254A51" w:rsidRPr="00A333F1">
        <w:t xml:space="preserve">Quator </w:t>
      </w:r>
      <w:r w:rsidR="00BE7FAC" w:rsidRPr="00A333F1">
        <w:t>tabletės yra</w:t>
      </w:r>
      <w:r w:rsidRPr="00A333F1">
        <w:t xml:space="preserve"> skirtos vartoti per burną. </w:t>
      </w:r>
    </w:p>
    <w:p w14:paraId="58FA43F7" w14:textId="77777777" w:rsidR="00DB68DB" w:rsidRPr="00A333F1" w:rsidRDefault="00254A51" w:rsidP="00797CDB">
      <w:pPr>
        <w:numPr>
          <w:ilvl w:val="12"/>
          <w:numId w:val="0"/>
        </w:numPr>
        <w:ind w:left="567" w:right="-2"/>
        <w:outlineLvl w:val="0"/>
      </w:pPr>
      <w:r w:rsidRPr="00A333F1">
        <w:t xml:space="preserve">Quator </w:t>
      </w:r>
      <w:r w:rsidR="00DB68DB" w:rsidRPr="00A333F1">
        <w:t xml:space="preserve">galite gerti likus </w:t>
      </w:r>
      <w:r w:rsidR="00BE7FAC" w:rsidRPr="00A333F1">
        <w:t xml:space="preserve">bent </w:t>
      </w:r>
      <w:r w:rsidR="00DB68DB" w:rsidRPr="00A333F1">
        <w:t xml:space="preserve">30 min. iki </w:t>
      </w:r>
      <w:r w:rsidR="00BE7FAC" w:rsidRPr="00A333F1">
        <w:t>lytinių</w:t>
      </w:r>
      <w:r w:rsidR="00DB68DB" w:rsidRPr="00A333F1">
        <w:t xml:space="preserve"> santykių. </w:t>
      </w:r>
    </w:p>
    <w:p w14:paraId="140E522B" w14:textId="77777777" w:rsidR="00DB68DB" w:rsidRPr="00A333F1" w:rsidRDefault="00254A51" w:rsidP="00797CDB">
      <w:pPr>
        <w:numPr>
          <w:ilvl w:val="12"/>
          <w:numId w:val="0"/>
        </w:numPr>
        <w:ind w:left="567" w:right="-2"/>
        <w:outlineLvl w:val="0"/>
      </w:pPr>
      <w:r w:rsidRPr="00A333F1">
        <w:t xml:space="preserve">Quator </w:t>
      </w:r>
      <w:r w:rsidR="00BE7FAC" w:rsidRPr="00A333F1">
        <w:t>gali būti vis dar veiksmingas iki 36 valandų po tabletės suvartojimo</w:t>
      </w:r>
      <w:r w:rsidR="00DB68DB" w:rsidRPr="00A333F1">
        <w:t xml:space="preserve">. </w:t>
      </w:r>
    </w:p>
    <w:p w14:paraId="047303A2" w14:textId="77777777" w:rsidR="00DB68DB" w:rsidRPr="00A333F1" w:rsidRDefault="00DB68DB" w:rsidP="00797CDB">
      <w:pPr>
        <w:numPr>
          <w:ilvl w:val="12"/>
          <w:numId w:val="0"/>
        </w:numPr>
        <w:ind w:left="567" w:right="-2"/>
        <w:outlineLvl w:val="0"/>
      </w:pPr>
    </w:p>
    <w:p w14:paraId="4B5F0051" w14:textId="77777777" w:rsidR="00BE7FAC" w:rsidRPr="00A333F1" w:rsidRDefault="00DB68DB" w:rsidP="00797CDB">
      <w:pPr>
        <w:numPr>
          <w:ilvl w:val="12"/>
          <w:numId w:val="0"/>
        </w:numPr>
        <w:ind w:left="567" w:right="-2"/>
        <w:outlineLvl w:val="0"/>
      </w:pPr>
      <w:r w:rsidRPr="00A333F1">
        <w:t xml:space="preserve">Daugiau negu vieną kartą per parą </w:t>
      </w:r>
      <w:r w:rsidR="00254A51" w:rsidRPr="00A333F1">
        <w:t xml:space="preserve">Quator </w:t>
      </w:r>
      <w:r w:rsidRPr="00A333F1">
        <w:t xml:space="preserve">nevartokite. </w:t>
      </w:r>
    </w:p>
    <w:p w14:paraId="169C128C" w14:textId="77777777" w:rsidR="00DB68DB" w:rsidRPr="00A333F1" w:rsidRDefault="00254A51" w:rsidP="00797CDB">
      <w:pPr>
        <w:numPr>
          <w:ilvl w:val="12"/>
          <w:numId w:val="0"/>
        </w:numPr>
        <w:ind w:left="567" w:right="-2"/>
        <w:outlineLvl w:val="0"/>
      </w:pPr>
      <w:r w:rsidRPr="00A333F1">
        <w:t xml:space="preserve">Quator </w:t>
      </w:r>
      <w:r w:rsidR="00DB68DB" w:rsidRPr="00A333F1">
        <w:t xml:space="preserve">10 mg ir 20 mg tabletės skirtos vartoti prieš numatomus lytinius santykius, nuolat kiekvieną parą jų vartoti nerekomenduojama. </w:t>
      </w:r>
    </w:p>
    <w:p w14:paraId="7C8046A5" w14:textId="77777777" w:rsidR="00A136A0" w:rsidRPr="00A333F1" w:rsidRDefault="00A136A0" w:rsidP="00797CDB">
      <w:pPr>
        <w:numPr>
          <w:ilvl w:val="12"/>
          <w:numId w:val="0"/>
        </w:numPr>
        <w:ind w:left="567" w:right="-2"/>
        <w:outlineLvl w:val="0"/>
      </w:pPr>
    </w:p>
    <w:p w14:paraId="60231436" w14:textId="77777777" w:rsidR="009F48DB" w:rsidRPr="00A333F1" w:rsidRDefault="00FD5C4A" w:rsidP="00797CDB">
      <w:pPr>
        <w:numPr>
          <w:ilvl w:val="0"/>
          <w:numId w:val="7"/>
        </w:numPr>
        <w:autoSpaceDE w:val="0"/>
        <w:autoSpaceDN w:val="0"/>
        <w:adjustRightInd w:val="0"/>
        <w:ind w:left="567" w:hanging="567"/>
        <w:rPr>
          <w:rFonts w:asciiTheme="minorHAnsi" w:eastAsiaTheme="minorHAnsi" w:hAnsiTheme="minorHAnsi" w:cstheme="minorBidi"/>
          <w:szCs w:val="22"/>
          <w:lang w:eastAsia="en-US"/>
        </w:rPr>
      </w:pPr>
      <w:r w:rsidRPr="00797CDB">
        <w:rPr>
          <w:rFonts w:eastAsia="TimesNewRomanPSMT"/>
          <w:b/>
        </w:rPr>
        <w:t>Dozavimas kartą per parą</w:t>
      </w:r>
      <w:r w:rsidR="009F48DB" w:rsidRPr="00797CDB">
        <w:rPr>
          <w:rFonts w:eastAsia="TimesNewRomanPSMT"/>
          <w:b/>
        </w:rPr>
        <w:t xml:space="preserve"> vartojant 5 mg plėvele dengtų tablečių </w:t>
      </w:r>
    </w:p>
    <w:p w14:paraId="3CCB4797" w14:textId="77777777" w:rsidR="009F48DB" w:rsidRPr="00A333F1" w:rsidRDefault="009F48DB" w:rsidP="00A333F1">
      <w:pPr>
        <w:autoSpaceDE w:val="0"/>
        <w:autoSpaceDN w:val="0"/>
        <w:adjustRightInd w:val="0"/>
        <w:ind w:left="567"/>
      </w:pPr>
      <w:r w:rsidRPr="00797CDB">
        <w:rPr>
          <w:rFonts w:eastAsia="TimesNewRomanPSMT"/>
        </w:rPr>
        <w:t>R</w:t>
      </w:r>
      <w:r w:rsidR="00FD5C4A" w:rsidRPr="00797CDB">
        <w:rPr>
          <w:rFonts w:eastAsia="TimesNewRomanPS-BoldMT"/>
        </w:rPr>
        <w:t xml:space="preserve">ekomenduojama dozė </w:t>
      </w:r>
      <w:r w:rsidR="00FD5C4A" w:rsidRPr="00797CDB">
        <w:rPr>
          <w:rFonts w:eastAsia="TimesNewRomanPSMT"/>
        </w:rPr>
        <w:t>yra viena 5</w:t>
      </w:r>
      <w:r w:rsidR="000B5CC7" w:rsidRPr="00797CDB">
        <w:rPr>
          <w:rFonts w:eastAsia="TimesNewRomanPSMT"/>
        </w:rPr>
        <w:t> mg</w:t>
      </w:r>
      <w:r w:rsidR="00FD5C4A" w:rsidRPr="00797CDB">
        <w:rPr>
          <w:rFonts w:eastAsia="TimesNewRomanPSMT"/>
        </w:rPr>
        <w:t xml:space="preserve"> tabletė. Ji geriama vieną kartą per parą, maždaug tokiu pačiu paros laiku. </w:t>
      </w:r>
      <w:r w:rsidRPr="00A333F1">
        <w:t>Jūsų gydytojas gali ją pakoreguoti iki 2,5 mg remiantis Jūsų atsaku į</w:t>
      </w:r>
      <w:r w:rsidR="00254A51" w:rsidRPr="00A333F1">
        <w:rPr>
          <w:b/>
        </w:rPr>
        <w:t xml:space="preserve"> Quator</w:t>
      </w:r>
      <w:r w:rsidRPr="00A333F1">
        <w:t xml:space="preserve">, Atsižvelgiant į tai būti paskirtos 2, 5mg stiprumo tabletės. </w:t>
      </w:r>
    </w:p>
    <w:p w14:paraId="5D863BE1" w14:textId="77777777" w:rsidR="0057585D" w:rsidRPr="00A333F1" w:rsidRDefault="0057585D" w:rsidP="00A333F1">
      <w:pPr>
        <w:autoSpaceDE w:val="0"/>
        <w:autoSpaceDN w:val="0"/>
        <w:adjustRightInd w:val="0"/>
        <w:ind w:left="567"/>
      </w:pPr>
      <w:r w:rsidRPr="00A333F1">
        <w:t>Kadangi šio vaisto 2,5 mg stiprumo tabletės nėra tiekiamos, reikia vartoti kitas rinkoje esančias 2,5 mg stiprumo tadalafilio tabletes.</w:t>
      </w:r>
    </w:p>
    <w:p w14:paraId="01B40048" w14:textId="77777777" w:rsidR="00FD5C4A" w:rsidRPr="00A333F1" w:rsidRDefault="00FD5C4A" w:rsidP="00A333F1">
      <w:pPr>
        <w:autoSpaceDE w:val="0"/>
        <w:autoSpaceDN w:val="0"/>
        <w:adjustRightInd w:val="0"/>
        <w:ind w:left="567"/>
      </w:pPr>
      <w:r w:rsidRPr="00A333F1">
        <w:t xml:space="preserve">Vieną kartą per parą geriamas </w:t>
      </w:r>
      <w:r w:rsidR="00254A51" w:rsidRPr="00A333F1">
        <w:t xml:space="preserve">Quator </w:t>
      </w:r>
      <w:r w:rsidRPr="00A333F1">
        <w:t>Jums padės sukelti erekciją</w:t>
      </w:r>
      <w:r w:rsidR="00906DE5" w:rsidRPr="00A333F1">
        <w:t xml:space="preserve">, jeigu esate seksualiai stimuliuotas, </w:t>
      </w:r>
      <w:r w:rsidRPr="00A333F1">
        <w:t xml:space="preserve">bet kuriuo </w:t>
      </w:r>
      <w:r w:rsidR="009F48DB" w:rsidRPr="00A333F1">
        <w:t xml:space="preserve">metu </w:t>
      </w:r>
      <w:r w:rsidRPr="00A333F1">
        <w:t xml:space="preserve">24 val. laikotarpiu. </w:t>
      </w:r>
      <w:r w:rsidR="00254A51" w:rsidRPr="00A333F1">
        <w:t xml:space="preserve">Quator </w:t>
      </w:r>
      <w:r w:rsidRPr="00A333F1">
        <w:t xml:space="preserve">dozavimas vieną kartą per parą gali būti naudingas vyrams, kurie </w:t>
      </w:r>
      <w:r w:rsidR="00906DE5" w:rsidRPr="00A333F1">
        <w:t>lytinių</w:t>
      </w:r>
      <w:r w:rsidRPr="00A333F1">
        <w:t xml:space="preserve"> santykių tikisi du arba daugiau kartų per savaitę.</w:t>
      </w:r>
    </w:p>
    <w:p w14:paraId="717B7FF4" w14:textId="77777777" w:rsidR="00FD5C4A" w:rsidRPr="00A333F1" w:rsidRDefault="00FD5C4A" w:rsidP="00A333F1">
      <w:pPr>
        <w:autoSpaceDE w:val="0"/>
        <w:autoSpaceDN w:val="0"/>
        <w:adjustRightInd w:val="0"/>
      </w:pPr>
    </w:p>
    <w:p w14:paraId="29E89D85" w14:textId="77777777" w:rsidR="00906DE5" w:rsidRPr="00A333F1" w:rsidRDefault="00906DE5" w:rsidP="00A333F1">
      <w:pPr>
        <w:autoSpaceDE w:val="0"/>
        <w:autoSpaceDN w:val="0"/>
        <w:adjustRightInd w:val="0"/>
      </w:pPr>
      <w:r w:rsidRPr="00A333F1">
        <w:t xml:space="preserve">Nevartokite </w:t>
      </w:r>
      <w:r w:rsidR="00254A51" w:rsidRPr="00A333F1">
        <w:t xml:space="preserve">Quator </w:t>
      </w:r>
      <w:r w:rsidRPr="00A333F1">
        <w:t>dažniau negu kartą per parą.</w:t>
      </w:r>
    </w:p>
    <w:p w14:paraId="5BEFB4AE" w14:textId="77777777" w:rsidR="00906DE5" w:rsidRPr="00A333F1" w:rsidRDefault="00906DE5" w:rsidP="00A333F1">
      <w:pPr>
        <w:autoSpaceDE w:val="0"/>
        <w:autoSpaceDN w:val="0"/>
        <w:adjustRightInd w:val="0"/>
      </w:pPr>
    </w:p>
    <w:p w14:paraId="15F36E5A" w14:textId="77777777" w:rsidR="00906DE5" w:rsidRPr="00A333F1" w:rsidRDefault="00906DE5" w:rsidP="00A333F1">
      <w:pPr>
        <w:autoSpaceDE w:val="0"/>
        <w:autoSpaceDN w:val="0"/>
        <w:adjustRightInd w:val="0"/>
      </w:pPr>
      <w:r w:rsidRPr="00A333F1">
        <w:t xml:space="preserve">Svarbu įsidėmėti, kad </w:t>
      </w:r>
      <w:r w:rsidR="00254A51" w:rsidRPr="00A333F1">
        <w:t xml:space="preserve">Quator </w:t>
      </w:r>
      <w:r w:rsidRPr="00A333F1">
        <w:t xml:space="preserve">neveikia be seksualinės stimuliacijos. Jūs su savo partnere turite pradėti išankstinį žaidimą lygiai taip pat kaip ir nevartodamas vaistų nuo erekcijos sutrikimo. </w:t>
      </w:r>
    </w:p>
    <w:p w14:paraId="36DD1ED4" w14:textId="77777777" w:rsidR="00906DE5" w:rsidRPr="00A333F1" w:rsidRDefault="00906DE5" w:rsidP="00A333F1">
      <w:pPr>
        <w:autoSpaceDE w:val="0"/>
        <w:autoSpaceDN w:val="0"/>
        <w:adjustRightInd w:val="0"/>
      </w:pPr>
    </w:p>
    <w:p w14:paraId="5BF48454" w14:textId="77777777" w:rsidR="00906DE5" w:rsidRPr="00A333F1" w:rsidRDefault="00906DE5" w:rsidP="00A333F1">
      <w:pPr>
        <w:autoSpaceDE w:val="0"/>
        <w:autoSpaceDN w:val="0"/>
        <w:adjustRightInd w:val="0"/>
      </w:pPr>
      <w:r w:rsidRPr="00A333F1">
        <w:t xml:space="preserve">Alkoholio gėrimas gali veikti gebėjimą sukelti erekciją ir laikinai sumažinti kraujo spaudimą. Jeigu pavartojote arba planuojate pavartoti </w:t>
      </w:r>
      <w:r w:rsidR="00254A51" w:rsidRPr="00797CDB">
        <w:rPr>
          <w:rFonts w:eastAsia="TimesNewRomanPSMT"/>
        </w:rPr>
        <w:t xml:space="preserve">Quator </w:t>
      </w:r>
      <w:r w:rsidRPr="00A333F1">
        <w:t>l, turite vengti piktnaudžiavimo alkoholiu (kai alkoholio koncentracija kraujyje būna 0,08% arba didesnė, nes tai gali padidinti svaigulio riziką stojantis.</w:t>
      </w:r>
    </w:p>
    <w:p w14:paraId="4E857823" w14:textId="77777777" w:rsidR="00FD5C4A" w:rsidRPr="00797CDB" w:rsidRDefault="00FD5C4A" w:rsidP="00A333F1">
      <w:pPr>
        <w:autoSpaceDE w:val="0"/>
        <w:autoSpaceDN w:val="0"/>
        <w:adjustRightInd w:val="0"/>
        <w:rPr>
          <w:rFonts w:eastAsia="TimesNewRomanPSMT"/>
        </w:rPr>
      </w:pPr>
    </w:p>
    <w:p w14:paraId="715EA696" w14:textId="77777777" w:rsidR="00FD5C4A" w:rsidRPr="00797CDB" w:rsidRDefault="00FD5C4A" w:rsidP="00A333F1">
      <w:pPr>
        <w:autoSpaceDE w:val="0"/>
        <w:autoSpaceDN w:val="0"/>
        <w:adjustRightInd w:val="0"/>
        <w:rPr>
          <w:rFonts w:asciiTheme="minorHAnsi" w:eastAsia="TimesNewRomanPSMT" w:hAnsiTheme="minorHAnsi" w:cstheme="minorBidi"/>
          <w:b/>
          <w:szCs w:val="22"/>
          <w:lang w:eastAsia="en-US"/>
        </w:rPr>
      </w:pPr>
      <w:r w:rsidRPr="00797CDB">
        <w:rPr>
          <w:rFonts w:eastAsia="TimesNewRomanPS-BoldMT"/>
          <w:b/>
        </w:rPr>
        <w:t xml:space="preserve">Ką daryti pavartojus per didelę </w:t>
      </w:r>
      <w:r w:rsidR="00254A51" w:rsidRPr="00797CDB">
        <w:rPr>
          <w:rFonts w:eastAsia="TimesNewRomanPSMT"/>
          <w:b/>
        </w:rPr>
        <w:t xml:space="preserve">Quator </w:t>
      </w:r>
      <w:r w:rsidRPr="00797CDB">
        <w:rPr>
          <w:rFonts w:eastAsia="TimesNewRomanPS-BoldMT"/>
          <w:b/>
        </w:rPr>
        <w:t>dozę</w:t>
      </w:r>
      <w:r w:rsidRPr="00797CDB">
        <w:rPr>
          <w:rFonts w:eastAsia="TimesNewRomanPSMT"/>
          <w:b/>
        </w:rPr>
        <w:t>?</w:t>
      </w:r>
    </w:p>
    <w:p w14:paraId="5729BA75" w14:textId="77777777" w:rsidR="00FD5C4A" w:rsidRPr="00797CDB" w:rsidRDefault="00906DE5" w:rsidP="00A333F1">
      <w:pPr>
        <w:autoSpaceDE w:val="0"/>
        <w:autoSpaceDN w:val="0"/>
        <w:adjustRightInd w:val="0"/>
        <w:rPr>
          <w:rFonts w:eastAsia="TimesNewRomanPSMT"/>
        </w:rPr>
      </w:pPr>
      <w:r w:rsidRPr="00A333F1">
        <w:t>Kreipkitės į savo gydytoją</w:t>
      </w:r>
      <w:r w:rsidR="00FD5C4A" w:rsidRPr="00A333F1">
        <w:t>. Gali pasireikšti 4 skyriuje aprašytas šalutinis poveikis</w:t>
      </w:r>
      <w:r w:rsidR="00FD5C4A" w:rsidRPr="00797CDB">
        <w:rPr>
          <w:rFonts w:eastAsia="TimesNewRomanPSMT"/>
        </w:rPr>
        <w:t>.</w:t>
      </w:r>
    </w:p>
    <w:p w14:paraId="76E2FEFB" w14:textId="77777777" w:rsidR="00FD5C4A" w:rsidRPr="00797CDB" w:rsidRDefault="00FD5C4A" w:rsidP="00A333F1">
      <w:pPr>
        <w:autoSpaceDE w:val="0"/>
        <w:autoSpaceDN w:val="0"/>
        <w:adjustRightInd w:val="0"/>
        <w:rPr>
          <w:rFonts w:eastAsia="TimesNewRomanPSMT"/>
          <w:b/>
        </w:rPr>
      </w:pPr>
    </w:p>
    <w:p w14:paraId="7D5CD346" w14:textId="77777777" w:rsidR="00FD5C4A" w:rsidRPr="00797CDB" w:rsidRDefault="00FD5C4A" w:rsidP="00A333F1">
      <w:pPr>
        <w:autoSpaceDE w:val="0"/>
        <w:autoSpaceDN w:val="0"/>
        <w:adjustRightInd w:val="0"/>
        <w:rPr>
          <w:rFonts w:asciiTheme="minorHAnsi" w:eastAsia="TimesNewRomanPSMT" w:hAnsiTheme="minorHAnsi" w:cstheme="minorBidi"/>
          <w:b/>
          <w:szCs w:val="22"/>
          <w:lang w:eastAsia="en-US"/>
        </w:rPr>
      </w:pPr>
      <w:r w:rsidRPr="00797CDB">
        <w:rPr>
          <w:rFonts w:eastAsia="TimesNewRomanPSMT"/>
          <w:b/>
        </w:rPr>
        <w:t xml:space="preserve">Pamiršus pavartoti </w:t>
      </w:r>
      <w:r w:rsidR="00254A51" w:rsidRPr="00797CDB">
        <w:rPr>
          <w:rFonts w:eastAsia="TimesNewRomanPSMT"/>
          <w:b/>
        </w:rPr>
        <w:t>Quator</w:t>
      </w:r>
    </w:p>
    <w:p w14:paraId="6D221A70" w14:textId="77777777" w:rsidR="00FD5C4A" w:rsidRPr="00797CDB" w:rsidRDefault="00906DE5"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 xml:space="preserve">Jeigu </w:t>
      </w:r>
      <w:r w:rsidR="00254A51" w:rsidRPr="00797CDB">
        <w:rPr>
          <w:rFonts w:eastAsia="TimesNewRomanPSMT"/>
        </w:rPr>
        <w:t xml:space="preserve">Quator </w:t>
      </w:r>
      <w:r w:rsidRPr="00797CDB">
        <w:rPr>
          <w:rFonts w:eastAsia="TimesNewRomanPSMT"/>
        </w:rPr>
        <w:t>vartojate kartą per parą, s</w:t>
      </w:r>
      <w:r w:rsidR="00FD5C4A" w:rsidRPr="00797CDB">
        <w:rPr>
          <w:rFonts w:eastAsia="TimesNewRomanPSMT"/>
        </w:rPr>
        <w:t xml:space="preserve">avo dozę </w:t>
      </w:r>
      <w:r w:rsidRPr="00797CDB">
        <w:rPr>
          <w:rFonts w:eastAsia="TimesNewRomanPSMT"/>
        </w:rPr>
        <w:t>iš</w:t>
      </w:r>
      <w:r w:rsidR="00FD5C4A" w:rsidRPr="00797CDB">
        <w:rPr>
          <w:rFonts w:eastAsia="TimesNewRomanPSMT"/>
        </w:rPr>
        <w:t xml:space="preserve">gerkite tuoj pat, kai tik prisiminsite, tačiau negalima vartoti dvigubos dozės norint kompensuoti praleistą tabletę. Jūs turite nevartoti </w:t>
      </w:r>
      <w:r w:rsidR="00254A51" w:rsidRPr="00797CDB">
        <w:rPr>
          <w:rFonts w:eastAsia="TimesNewRomanPSMT"/>
        </w:rPr>
        <w:t xml:space="preserve">Quator </w:t>
      </w:r>
      <w:r w:rsidR="00FD5C4A" w:rsidRPr="00797CDB">
        <w:rPr>
          <w:rFonts w:eastAsia="TimesNewRomanPSMT"/>
        </w:rPr>
        <w:t>daugiau kaip vieną kartą per parą.</w:t>
      </w:r>
    </w:p>
    <w:p w14:paraId="505D3E30" w14:textId="77777777" w:rsidR="00FD5C4A" w:rsidRPr="00797CDB" w:rsidRDefault="00FD5C4A" w:rsidP="00A333F1">
      <w:pPr>
        <w:numPr>
          <w:ilvl w:val="12"/>
          <w:numId w:val="0"/>
        </w:numPr>
        <w:rPr>
          <w:rFonts w:eastAsia="TimesNewRomanPSMT"/>
        </w:rPr>
      </w:pPr>
    </w:p>
    <w:p w14:paraId="242788E3" w14:textId="77777777" w:rsidR="00FD5C4A" w:rsidRPr="00797CDB" w:rsidRDefault="00FD5C4A" w:rsidP="00A333F1">
      <w:pPr>
        <w:numPr>
          <w:ilvl w:val="12"/>
          <w:numId w:val="0"/>
        </w:numPr>
        <w:rPr>
          <w:rFonts w:asciiTheme="minorHAnsi" w:eastAsia="TimesNewRomanPSMT" w:hAnsiTheme="minorHAnsi" w:cstheme="minorBidi"/>
          <w:szCs w:val="22"/>
          <w:lang w:eastAsia="en-US"/>
        </w:rPr>
      </w:pPr>
      <w:r w:rsidRPr="00797CDB">
        <w:rPr>
          <w:rFonts w:eastAsia="TimesNewRomanPSMT"/>
        </w:rPr>
        <w:t>Jeigu kiltų daugiau klausimų dėl šio vaisto vartojimo, kreipkitės į gydytoją arba vaistininką.</w:t>
      </w:r>
    </w:p>
    <w:p w14:paraId="1BBB30F4" w14:textId="77777777" w:rsidR="00FD5C4A" w:rsidRPr="00A333F1" w:rsidRDefault="00FD5C4A" w:rsidP="00A333F1">
      <w:pPr>
        <w:numPr>
          <w:ilvl w:val="12"/>
          <w:numId w:val="0"/>
        </w:numPr>
      </w:pPr>
    </w:p>
    <w:p w14:paraId="7751B4DD" w14:textId="77777777" w:rsidR="00FD5C4A" w:rsidRPr="00A333F1" w:rsidRDefault="00FD5C4A" w:rsidP="00A333F1">
      <w:pPr>
        <w:numPr>
          <w:ilvl w:val="12"/>
          <w:numId w:val="0"/>
        </w:numPr>
      </w:pPr>
    </w:p>
    <w:p w14:paraId="14947348" w14:textId="77777777" w:rsidR="00FD5C4A" w:rsidRPr="00A333F1" w:rsidRDefault="00FD5C4A" w:rsidP="00A333F1">
      <w:pPr>
        <w:keepNext/>
        <w:outlineLvl w:val="2"/>
        <w:rPr>
          <w:b/>
        </w:rPr>
      </w:pPr>
      <w:r w:rsidRPr="00A333F1">
        <w:rPr>
          <w:b/>
        </w:rPr>
        <w:t>4.</w:t>
      </w:r>
      <w:r w:rsidRPr="00A333F1">
        <w:rPr>
          <w:b/>
        </w:rPr>
        <w:tab/>
        <w:t>Galimas šalutinis poveikis</w:t>
      </w:r>
    </w:p>
    <w:p w14:paraId="1E174156" w14:textId="77777777" w:rsidR="00FD5C4A" w:rsidRPr="00A333F1" w:rsidRDefault="00FD5C4A" w:rsidP="00A333F1">
      <w:pPr>
        <w:numPr>
          <w:ilvl w:val="12"/>
          <w:numId w:val="0"/>
        </w:numPr>
      </w:pPr>
    </w:p>
    <w:p w14:paraId="7D325236" w14:textId="77777777" w:rsidR="00FD5C4A" w:rsidRPr="00A333F1" w:rsidRDefault="00FD5C4A" w:rsidP="00A333F1">
      <w:pPr>
        <w:autoSpaceDE w:val="0"/>
        <w:autoSpaceDN w:val="0"/>
        <w:adjustRightInd w:val="0"/>
      </w:pPr>
      <w:r w:rsidRPr="00A333F1">
        <w:t>Šis vaistas</w:t>
      </w:r>
      <w:r w:rsidRPr="00797CDB">
        <w:rPr>
          <w:rFonts w:eastAsia="TimesNewRomanPSMT"/>
        </w:rPr>
        <w:t>, kaip ir visi kiti, gali sukelti šalutinį poveikį, nors jis pasireiškia ne visiems žmonėms. Paprastai jis būna lengvas arba viduti</w:t>
      </w:r>
      <w:r w:rsidRPr="00A333F1">
        <w:t>nio sunkumo.</w:t>
      </w:r>
    </w:p>
    <w:p w14:paraId="0E88D6E2" w14:textId="77777777" w:rsidR="00FD5C4A" w:rsidRPr="00A333F1" w:rsidRDefault="00FD5C4A" w:rsidP="00A333F1">
      <w:pPr>
        <w:autoSpaceDE w:val="0"/>
        <w:autoSpaceDN w:val="0"/>
        <w:adjustRightInd w:val="0"/>
      </w:pPr>
    </w:p>
    <w:p w14:paraId="32A859EB" w14:textId="77777777" w:rsidR="00FD5C4A" w:rsidRPr="00797CDB" w:rsidRDefault="00FD5C4A" w:rsidP="00A333F1">
      <w:pPr>
        <w:autoSpaceDE w:val="0"/>
        <w:autoSpaceDN w:val="0"/>
        <w:adjustRightInd w:val="0"/>
        <w:rPr>
          <w:rFonts w:asciiTheme="minorHAnsi" w:eastAsia="TimesNewRomanPS-BoldMT" w:hAnsiTheme="minorHAnsi" w:cstheme="minorBidi"/>
          <w:b/>
          <w:szCs w:val="22"/>
          <w:lang w:eastAsia="en-US"/>
        </w:rPr>
      </w:pPr>
      <w:r w:rsidRPr="00797CDB">
        <w:rPr>
          <w:rFonts w:eastAsia="TimesNewRomanPS-BoldMT"/>
          <w:b/>
        </w:rPr>
        <w:t>Jeigu pasireiškia kuris nors toliau išvardytas šalutinis poveikis, nutraukite vaisto vartojimą ir nedelsiant kvieskite medicininę pagalbą:</w:t>
      </w:r>
    </w:p>
    <w:p w14:paraId="7F8E6096" w14:textId="77777777" w:rsidR="00FD5C4A" w:rsidRPr="00797CDB" w:rsidRDefault="00FD5C4A" w:rsidP="00797CDB">
      <w:pPr>
        <w:numPr>
          <w:ilvl w:val="0"/>
          <w:numId w:val="15"/>
        </w:numPr>
        <w:tabs>
          <w:tab w:val="clear" w:pos="360"/>
          <w:tab w:val="num" w:pos="567"/>
        </w:tabs>
        <w:ind w:left="567" w:hanging="567"/>
        <w:rPr>
          <w:rFonts w:asciiTheme="minorHAnsi" w:eastAsia="TimesNewRomanPSMT" w:hAnsiTheme="minorHAnsi" w:cstheme="minorBidi"/>
          <w:szCs w:val="22"/>
          <w:lang w:eastAsia="en-US"/>
        </w:rPr>
      </w:pPr>
      <w:r w:rsidRPr="00797CDB">
        <w:rPr>
          <w:rFonts w:eastAsia="TimesNewRomanPSMT"/>
        </w:rPr>
        <w:t>alerginės reakcijos, įskaitant išbėrimus (pasireiškia nedažnai</w:t>
      </w:r>
      <w:r w:rsidR="00A76187" w:rsidRPr="00797CDB">
        <w:rPr>
          <w:rFonts w:eastAsia="TimesNewRomanPSMT"/>
        </w:rPr>
        <w:t xml:space="preserve">, gali paveikti </w:t>
      </w:r>
      <w:r w:rsidR="0069127D" w:rsidRPr="00797CDB">
        <w:rPr>
          <w:rFonts w:eastAsia="TimesNewRomanPSMT"/>
        </w:rPr>
        <w:t>rečiau kaip</w:t>
      </w:r>
      <w:r w:rsidR="00A76187" w:rsidRPr="00797CDB">
        <w:rPr>
          <w:rFonts w:eastAsia="TimesNewRomanPSMT"/>
        </w:rPr>
        <w:t xml:space="preserve"> 1 iš 100 asmenų</w:t>
      </w:r>
      <w:r w:rsidRPr="00797CDB">
        <w:rPr>
          <w:rFonts w:eastAsia="TimesNewRomanPSMT"/>
        </w:rPr>
        <w:t>);</w:t>
      </w:r>
    </w:p>
    <w:p w14:paraId="141C60FE" w14:textId="77777777" w:rsidR="00FD5C4A" w:rsidRPr="00A333F1" w:rsidRDefault="00FD5C4A" w:rsidP="00797CDB">
      <w:pPr>
        <w:numPr>
          <w:ilvl w:val="0"/>
          <w:numId w:val="15"/>
        </w:numPr>
        <w:tabs>
          <w:tab w:val="clear" w:pos="360"/>
          <w:tab w:val="num" w:pos="567"/>
        </w:tabs>
        <w:autoSpaceDE w:val="0"/>
        <w:autoSpaceDN w:val="0"/>
        <w:adjustRightInd w:val="0"/>
        <w:ind w:left="567" w:hanging="567"/>
        <w:rPr>
          <w:rFonts w:asciiTheme="minorHAnsi" w:eastAsiaTheme="minorHAnsi" w:hAnsiTheme="minorHAnsi" w:cstheme="minorBidi"/>
          <w:szCs w:val="22"/>
          <w:lang w:eastAsia="en-US"/>
        </w:rPr>
      </w:pPr>
      <w:r w:rsidRPr="00797CDB">
        <w:rPr>
          <w:rFonts w:eastAsia="TimesNewRomanPSMT"/>
        </w:rPr>
        <w:t xml:space="preserve">krūtinės skausmas - nevartokite </w:t>
      </w:r>
      <w:r w:rsidRPr="00A333F1">
        <w:t>nitra</w:t>
      </w:r>
      <w:r w:rsidRPr="00797CDB">
        <w:rPr>
          <w:rFonts w:eastAsia="TimesNewRomanPSMT"/>
        </w:rPr>
        <w:t xml:space="preserve">tų, bet nedelsiant kvieskite medicininę pagalbą </w:t>
      </w:r>
      <w:r w:rsidR="00A76187" w:rsidRPr="00797CDB">
        <w:rPr>
          <w:rFonts w:eastAsia="TimesNewRomanPSMT"/>
        </w:rPr>
        <w:t xml:space="preserve">(pasireiškia nedažnai, gali paveikti </w:t>
      </w:r>
      <w:r w:rsidR="0069127D" w:rsidRPr="00797CDB">
        <w:rPr>
          <w:rFonts w:eastAsia="TimesNewRomanPSMT"/>
        </w:rPr>
        <w:t>rečiau kaip</w:t>
      </w:r>
      <w:r w:rsidR="00A76187" w:rsidRPr="00797CDB">
        <w:rPr>
          <w:rFonts w:eastAsia="TimesNewRomanPSMT"/>
        </w:rPr>
        <w:t xml:space="preserve"> 1 iš 100 asmenų)</w:t>
      </w:r>
      <w:r w:rsidRPr="00A333F1">
        <w:t>;</w:t>
      </w:r>
    </w:p>
    <w:p w14:paraId="1FC1A58D" w14:textId="77777777" w:rsidR="00A76187" w:rsidRPr="00797CDB" w:rsidRDefault="00A76187" w:rsidP="00797CDB">
      <w:pPr>
        <w:numPr>
          <w:ilvl w:val="0"/>
          <w:numId w:val="15"/>
        </w:numPr>
        <w:tabs>
          <w:tab w:val="clear" w:pos="360"/>
          <w:tab w:val="num" w:pos="567"/>
        </w:tabs>
        <w:autoSpaceDE w:val="0"/>
        <w:autoSpaceDN w:val="0"/>
        <w:adjustRightInd w:val="0"/>
        <w:ind w:left="567" w:hanging="567"/>
        <w:rPr>
          <w:rFonts w:asciiTheme="minorHAnsi" w:eastAsia="TimesNewRomanPSMT" w:hAnsiTheme="minorHAnsi" w:cstheme="minorBidi"/>
          <w:szCs w:val="22"/>
          <w:lang w:eastAsia="en-US"/>
        </w:rPr>
      </w:pPr>
      <w:r w:rsidRPr="00797CDB">
        <w:rPr>
          <w:rFonts w:eastAsia="TimesNewRomanPSMT"/>
        </w:rPr>
        <w:t xml:space="preserve">priapizmas, t. y. </w:t>
      </w:r>
      <w:r w:rsidR="00FD5C4A" w:rsidRPr="00797CDB">
        <w:rPr>
          <w:rFonts w:eastAsia="TimesNewRomanPSMT"/>
        </w:rPr>
        <w:t xml:space="preserve">užsitęsusi ir galbūt skausminga erekcija </w:t>
      </w:r>
      <w:r w:rsidR="00FD5C4A" w:rsidRPr="00A333F1">
        <w:t>p</w:t>
      </w:r>
      <w:r w:rsidR="00FD5C4A" w:rsidRPr="00797CDB">
        <w:rPr>
          <w:rFonts w:eastAsia="TimesNewRomanPSMT"/>
        </w:rPr>
        <w:t>o tadalafilio išgėrimo (</w:t>
      </w:r>
      <w:r w:rsidRPr="00797CDB">
        <w:rPr>
          <w:rFonts w:eastAsia="TimesNewRomanPSMT"/>
        </w:rPr>
        <w:t xml:space="preserve">pasireiškia retai, gali paveikti </w:t>
      </w:r>
      <w:r w:rsidR="0069127D" w:rsidRPr="00797CDB">
        <w:rPr>
          <w:rFonts w:eastAsia="TimesNewRomanPSMT"/>
        </w:rPr>
        <w:t>rečiau kaip</w:t>
      </w:r>
      <w:r w:rsidRPr="00797CDB">
        <w:rPr>
          <w:rFonts w:eastAsia="TimesNewRomanPSMT"/>
        </w:rPr>
        <w:t xml:space="preserve"> 1 iš 1000 asmenų);</w:t>
      </w:r>
    </w:p>
    <w:p w14:paraId="62F8CB51" w14:textId="77777777" w:rsidR="00FD5C4A" w:rsidRPr="00797CDB" w:rsidRDefault="00FD5C4A" w:rsidP="00797CDB">
      <w:pPr>
        <w:numPr>
          <w:ilvl w:val="0"/>
          <w:numId w:val="15"/>
        </w:numPr>
        <w:tabs>
          <w:tab w:val="clear" w:pos="360"/>
          <w:tab w:val="num" w:pos="567"/>
        </w:tabs>
        <w:autoSpaceDE w:val="0"/>
        <w:autoSpaceDN w:val="0"/>
        <w:adjustRightInd w:val="0"/>
        <w:ind w:left="567" w:hanging="567"/>
        <w:rPr>
          <w:rFonts w:asciiTheme="minorHAnsi" w:eastAsia="TimesNewRomanPSMT" w:hAnsiTheme="minorHAnsi" w:cstheme="minorBidi"/>
          <w:szCs w:val="22"/>
          <w:lang w:eastAsia="en-US"/>
        </w:rPr>
      </w:pPr>
      <w:r w:rsidRPr="00797CDB">
        <w:rPr>
          <w:rFonts w:eastAsia="TimesNewRomanPSMT"/>
        </w:rPr>
        <w:t xml:space="preserve">Jeigu </w:t>
      </w:r>
      <w:r w:rsidRPr="00A333F1">
        <w:t xml:space="preserve">pasireiškia tokia erekcija, kuri nepaliaujamai išsilaiko ilgiau kaip 4 valandas, turite nedelsiant </w:t>
      </w:r>
      <w:r w:rsidRPr="00797CDB">
        <w:rPr>
          <w:rFonts w:eastAsia="TimesNewRomanPSMT"/>
        </w:rPr>
        <w:t>kreiptis į gydytoją;</w:t>
      </w:r>
    </w:p>
    <w:p w14:paraId="2AFEBACD" w14:textId="281803F6" w:rsidR="004F432E" w:rsidRPr="00A333F1" w:rsidRDefault="00FD5C4A" w:rsidP="004F432E">
      <w:pPr>
        <w:numPr>
          <w:ilvl w:val="0"/>
          <w:numId w:val="15"/>
        </w:numPr>
        <w:tabs>
          <w:tab w:val="clear" w:pos="360"/>
          <w:tab w:val="num" w:pos="567"/>
        </w:tabs>
        <w:autoSpaceDE w:val="0"/>
        <w:autoSpaceDN w:val="0"/>
        <w:adjustRightInd w:val="0"/>
        <w:ind w:left="567" w:hanging="567"/>
      </w:pPr>
      <w:r w:rsidRPr="00A333F1">
        <w:t xml:space="preserve">staigus </w:t>
      </w:r>
      <w:r w:rsidR="00A76187" w:rsidRPr="00A333F1">
        <w:t>apakimas</w:t>
      </w:r>
      <w:r w:rsidRPr="00A333F1">
        <w:t xml:space="preserve"> (</w:t>
      </w:r>
      <w:r w:rsidR="004F432E">
        <w:t xml:space="preserve">(dažnis retas, </w:t>
      </w:r>
      <w:r w:rsidR="004F432E" w:rsidRPr="00A333F1">
        <w:t>gali paveikti rečiau kaip 1 iš 1000 asmenų)</w:t>
      </w:r>
      <w:r w:rsidR="004F432E">
        <w:t>,</w:t>
      </w:r>
    </w:p>
    <w:p w14:paraId="034AF338" w14:textId="0B99FA35" w:rsidR="00FD5C4A" w:rsidRPr="00A333F1" w:rsidRDefault="004F432E" w:rsidP="00F1648C">
      <w:pPr>
        <w:numPr>
          <w:ilvl w:val="0"/>
          <w:numId w:val="15"/>
        </w:numPr>
        <w:tabs>
          <w:tab w:val="clear" w:pos="360"/>
          <w:tab w:val="num" w:pos="567"/>
        </w:tabs>
        <w:autoSpaceDE w:val="0"/>
        <w:autoSpaceDN w:val="0"/>
        <w:adjustRightInd w:val="0"/>
        <w:ind w:left="567" w:hanging="567"/>
      </w:pPr>
      <w:r>
        <w:t>)iškreiptas, pritemęs, neryškus centrinis matymas arba staigus regos susilpnėjimas (dažnis nežinomas).</w:t>
      </w:r>
    </w:p>
    <w:p w14:paraId="6D616F4D" w14:textId="77777777" w:rsidR="00FD5C4A"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Buvo pranešta apie kitus šalutinio poveikio atvejus</w:t>
      </w:r>
      <w:r w:rsidRPr="00A333F1">
        <w:t>.</w:t>
      </w:r>
    </w:p>
    <w:p w14:paraId="4DF7D383" w14:textId="77777777" w:rsidR="00FD5C4A" w:rsidRPr="00A333F1" w:rsidRDefault="00FD5C4A" w:rsidP="00A333F1">
      <w:pPr>
        <w:autoSpaceDE w:val="0"/>
        <w:autoSpaceDN w:val="0"/>
        <w:adjustRightInd w:val="0"/>
        <w:rPr>
          <w:b/>
        </w:rPr>
      </w:pPr>
    </w:p>
    <w:p w14:paraId="377A20C8" w14:textId="00D005B2" w:rsidR="00FD5C4A" w:rsidRPr="00A333F1" w:rsidRDefault="00063E6D" w:rsidP="00A333F1">
      <w:pPr>
        <w:autoSpaceDE w:val="0"/>
        <w:autoSpaceDN w:val="0"/>
        <w:adjustRightInd w:val="0"/>
      </w:pPr>
      <w:r>
        <w:rPr>
          <w:rFonts w:eastAsia="SimSun"/>
          <w:szCs w:val="22"/>
          <w:u w:val="single"/>
        </w:rPr>
        <w:t>Dažni šalutinio poveikio reiškiniai (gali pasireikšti rečiau kaip 1 iš 10 asmenų):</w:t>
      </w:r>
    </w:p>
    <w:p w14:paraId="63486A7A" w14:textId="77777777" w:rsidR="00FD5C4A" w:rsidRPr="00A333F1" w:rsidRDefault="00FD5C4A" w:rsidP="00797CDB">
      <w:pPr>
        <w:numPr>
          <w:ilvl w:val="0"/>
          <w:numId w:val="8"/>
        </w:numPr>
        <w:autoSpaceDE w:val="0"/>
        <w:autoSpaceDN w:val="0"/>
        <w:adjustRightInd w:val="0"/>
        <w:ind w:left="567" w:hanging="567"/>
      </w:pPr>
      <w:r w:rsidRPr="00A333F1">
        <w:t xml:space="preserve">Galvos skausmas, nugaros skausmas, </w:t>
      </w:r>
      <w:r w:rsidRPr="00797CDB">
        <w:rPr>
          <w:rFonts w:eastAsia="TimesNewRomanPSMT"/>
        </w:rPr>
        <w:t xml:space="preserve">raumenų gėla, rankų ir kojų skausmas, </w:t>
      </w:r>
      <w:r w:rsidRPr="00A333F1">
        <w:t>veido</w:t>
      </w:r>
      <w:r w:rsidR="007D21C9" w:rsidRPr="00A333F1">
        <w:t xml:space="preserve"> ir kaklo</w:t>
      </w:r>
      <w:r w:rsidRPr="00A333F1">
        <w:t xml:space="preserve"> paraudimas, nosies užgulimas, </w:t>
      </w:r>
      <w:r w:rsidR="008B1BCB" w:rsidRPr="00A333F1">
        <w:t>n</w:t>
      </w:r>
      <w:r w:rsidR="007D21C9" w:rsidRPr="00A333F1">
        <w:t>e</w:t>
      </w:r>
      <w:r w:rsidR="008B1BCB" w:rsidRPr="00A333F1">
        <w:t>virškinimas</w:t>
      </w:r>
      <w:r w:rsidRPr="00A333F1">
        <w:t>.</w:t>
      </w:r>
    </w:p>
    <w:p w14:paraId="6C29B1A5" w14:textId="77777777" w:rsidR="00FD5C4A" w:rsidRPr="00A333F1" w:rsidRDefault="00FD5C4A" w:rsidP="00A333F1">
      <w:pPr>
        <w:autoSpaceDE w:val="0"/>
        <w:autoSpaceDN w:val="0"/>
        <w:adjustRightInd w:val="0"/>
      </w:pPr>
    </w:p>
    <w:p w14:paraId="1690F34A" w14:textId="1967ECF7" w:rsidR="00FD5C4A" w:rsidRPr="00A333F1" w:rsidRDefault="00063E6D" w:rsidP="00A333F1">
      <w:pPr>
        <w:autoSpaceDE w:val="0"/>
        <w:autoSpaceDN w:val="0"/>
        <w:adjustRightInd w:val="0"/>
      </w:pPr>
      <w:r>
        <w:rPr>
          <w:rFonts w:eastAsia="SimSun"/>
          <w:szCs w:val="22"/>
          <w:u w:val="single"/>
        </w:rPr>
        <w:t>Nedažni šalutinio poveikio reiškiniai (gali pasireikšti rečiau kaip 1 iš 100 asmenų):</w:t>
      </w:r>
    </w:p>
    <w:p w14:paraId="51D22A89" w14:textId="77777777" w:rsidR="00FD5C4A" w:rsidRPr="00A333F1" w:rsidRDefault="00FD5C4A" w:rsidP="00A333F1">
      <w:pPr>
        <w:numPr>
          <w:ilvl w:val="0"/>
          <w:numId w:val="5"/>
        </w:numPr>
        <w:autoSpaceDE w:val="0"/>
        <w:autoSpaceDN w:val="0"/>
        <w:adjustRightInd w:val="0"/>
      </w:pPr>
      <w:r w:rsidRPr="00A333F1">
        <w:t xml:space="preserve">Svaigulys, pilvo </w:t>
      </w:r>
      <w:r w:rsidR="00A73759" w:rsidRPr="00A333F1">
        <w:t>skausmas</w:t>
      </w:r>
      <w:r w:rsidRPr="00A333F1">
        <w:t xml:space="preserve">, </w:t>
      </w:r>
      <w:r w:rsidR="004640D2" w:rsidRPr="00A333F1">
        <w:t xml:space="preserve">šleikštulys, blogavimas (vėmimas), refliuksas, </w:t>
      </w:r>
      <w:r w:rsidRPr="00797CDB">
        <w:rPr>
          <w:rFonts w:eastAsia="TimesNewRomanPSMT"/>
        </w:rPr>
        <w:t>daiktų matym</w:t>
      </w:r>
      <w:r w:rsidRPr="00A333F1">
        <w:t xml:space="preserve">as </w:t>
      </w:r>
      <w:r w:rsidRPr="00797CDB">
        <w:rPr>
          <w:rFonts w:eastAsia="TimesNewRomanPSMT"/>
        </w:rPr>
        <w:t xml:space="preserve">lyg per miglą, akių skausmas, </w:t>
      </w:r>
      <w:r w:rsidR="004640D2" w:rsidRPr="00A333F1">
        <w:t>apsunkintas kvėpavimas</w:t>
      </w:r>
      <w:r w:rsidRPr="00797CDB">
        <w:rPr>
          <w:rFonts w:eastAsia="TimesNewRomanPSMT"/>
        </w:rPr>
        <w:t xml:space="preserve">, </w:t>
      </w:r>
      <w:r w:rsidR="004640D2" w:rsidRPr="00797CDB">
        <w:rPr>
          <w:rFonts w:eastAsia="TimesNewRomanPSMT"/>
        </w:rPr>
        <w:t xml:space="preserve">kraujas šlapime, užsitęsusi erekcija, </w:t>
      </w:r>
      <w:r w:rsidRPr="00A333F1">
        <w:t>širdies plakim</w:t>
      </w:r>
      <w:r w:rsidR="004640D2" w:rsidRPr="00A333F1">
        <w:t>o jutimas</w:t>
      </w:r>
      <w:r w:rsidRPr="00A333F1">
        <w:t>, dažnas širdies plakimas</w:t>
      </w:r>
      <w:r w:rsidRPr="00797CDB">
        <w:rPr>
          <w:rFonts w:eastAsia="TimesNewRomanPSMT"/>
        </w:rPr>
        <w:t>, aukštas kraujo spaudimas</w:t>
      </w:r>
      <w:r w:rsidRPr="00A333F1">
        <w:t xml:space="preserve">, </w:t>
      </w:r>
      <w:r w:rsidRPr="00797CDB">
        <w:rPr>
          <w:rFonts w:eastAsia="TimesNewRomanPSMT"/>
        </w:rPr>
        <w:t>žemas kraujo spaudimas</w:t>
      </w:r>
      <w:r w:rsidRPr="00A333F1">
        <w:t>, kraujavimas iš nosies</w:t>
      </w:r>
      <w:r w:rsidR="004640D2" w:rsidRPr="00A333F1">
        <w:t>,</w:t>
      </w:r>
      <w:r w:rsidRPr="00797CDB">
        <w:rPr>
          <w:rFonts w:eastAsia="TimesNewRomanPSMT"/>
        </w:rPr>
        <w:t xml:space="preserve"> s</w:t>
      </w:r>
      <w:r w:rsidR="004640D2" w:rsidRPr="00797CDB">
        <w:rPr>
          <w:rFonts w:eastAsia="TimesNewRomanPSMT"/>
        </w:rPr>
        <w:t>kambėjimas</w:t>
      </w:r>
      <w:r w:rsidRPr="00797CDB">
        <w:rPr>
          <w:rFonts w:eastAsia="TimesNewRomanPSMT"/>
        </w:rPr>
        <w:t xml:space="preserve"> ausyse</w:t>
      </w:r>
      <w:r w:rsidR="004640D2" w:rsidRPr="00797CDB">
        <w:rPr>
          <w:rFonts w:eastAsia="TimesNewRomanPSMT"/>
        </w:rPr>
        <w:t>, rankų, pėdų ar kulkšnių patinimas ir nuovargio pojūtis</w:t>
      </w:r>
      <w:r w:rsidRPr="00A333F1">
        <w:t>.</w:t>
      </w:r>
    </w:p>
    <w:p w14:paraId="06B69CA5" w14:textId="77777777" w:rsidR="00FD5C4A" w:rsidRPr="00A333F1" w:rsidRDefault="00FD5C4A" w:rsidP="00A333F1">
      <w:pPr>
        <w:autoSpaceDE w:val="0"/>
        <w:autoSpaceDN w:val="0"/>
        <w:adjustRightInd w:val="0"/>
      </w:pPr>
    </w:p>
    <w:p w14:paraId="7FD4B686" w14:textId="1B6A06EA" w:rsidR="00FD5C4A" w:rsidRPr="00A333F1" w:rsidRDefault="00FD5C4A" w:rsidP="00F1648C">
      <w:pPr>
        <w:autoSpaceDE w:val="0"/>
        <w:autoSpaceDN w:val="0"/>
        <w:adjustRightInd w:val="0"/>
      </w:pPr>
      <w:r w:rsidRPr="00A333F1">
        <w:rPr>
          <w:b/>
        </w:rPr>
        <w:t>Ret</w:t>
      </w:r>
      <w:r w:rsidR="00063E6D">
        <w:rPr>
          <w:b/>
        </w:rPr>
        <w:t xml:space="preserve">i </w:t>
      </w:r>
      <w:r w:rsidR="00063E6D">
        <w:rPr>
          <w:rFonts w:eastAsia="SimSun"/>
          <w:szCs w:val="22"/>
          <w:u w:val="single"/>
        </w:rPr>
        <w:t>šalutinio poveikio reiškiniai (gali pasireikšti rečiau kaip 1 iš 1 000 asmenų):</w:t>
      </w:r>
      <w:r w:rsidRPr="00A333F1">
        <w:rPr>
          <w:b/>
        </w:rPr>
        <w:t xml:space="preserve"> </w:t>
      </w:r>
      <w:r w:rsidRPr="00A333F1">
        <w:t xml:space="preserve">Alpimas, priepuoliai ir praeinantis atminties praradimas, </w:t>
      </w:r>
      <w:r w:rsidRPr="00797CDB">
        <w:rPr>
          <w:rFonts w:eastAsia="TimesNewRomanPSMT"/>
        </w:rPr>
        <w:t>akių vokų patinimas, akių paraudimas, staigus klausos susilpnėjimas ar netekimas</w:t>
      </w:r>
      <w:r w:rsidR="004640D2" w:rsidRPr="00797CDB">
        <w:rPr>
          <w:rFonts w:eastAsia="TimesNewRomanPSMT"/>
        </w:rPr>
        <w:t>,</w:t>
      </w:r>
      <w:r w:rsidRPr="00A333F1">
        <w:t xml:space="preserve"> </w:t>
      </w:r>
      <w:r w:rsidRPr="00797CDB">
        <w:rPr>
          <w:rFonts w:eastAsia="TimesNewRomanPSMT"/>
        </w:rPr>
        <w:t xml:space="preserve">dilgėlinė </w:t>
      </w:r>
      <w:r w:rsidRPr="00A333F1">
        <w:t>(niežtintys raudoni gumbai ant odos paviršiaus)</w:t>
      </w:r>
      <w:r w:rsidR="004640D2" w:rsidRPr="00A333F1">
        <w:t>, kraujavimas iš varpos, kraujas spermoje ir padidėjęs prakaitavimas.</w:t>
      </w:r>
    </w:p>
    <w:p w14:paraId="1E6B2ACB" w14:textId="77777777" w:rsidR="004640D2" w:rsidRPr="00797CDB" w:rsidRDefault="004640D2" w:rsidP="00A333F1">
      <w:pPr>
        <w:autoSpaceDE w:val="0"/>
        <w:autoSpaceDN w:val="0"/>
        <w:adjustRightInd w:val="0"/>
        <w:rPr>
          <w:rFonts w:eastAsia="TimesNewRomanPSMT"/>
        </w:rPr>
      </w:pPr>
    </w:p>
    <w:p w14:paraId="105567D2" w14:textId="77777777" w:rsidR="00FD5C4A" w:rsidRPr="00A333F1" w:rsidRDefault="00FD5C4A" w:rsidP="00A333F1">
      <w:pPr>
        <w:autoSpaceDE w:val="0"/>
        <w:autoSpaceDN w:val="0"/>
        <w:adjustRightInd w:val="0"/>
        <w:rPr>
          <w:rFonts w:asciiTheme="minorHAnsi" w:eastAsiaTheme="minorHAnsi" w:hAnsiTheme="minorHAnsi" w:cstheme="minorBidi"/>
          <w:szCs w:val="22"/>
          <w:lang w:eastAsia="en-US"/>
        </w:rPr>
      </w:pPr>
      <w:r w:rsidRPr="00797CDB">
        <w:rPr>
          <w:rFonts w:eastAsia="TimesNewRomanPSMT"/>
        </w:rPr>
        <w:t xml:space="preserve">Be to, retai gauta pranešimų apie </w:t>
      </w:r>
      <w:r w:rsidRPr="00A333F1">
        <w:t xml:space="preserve">širdies priepuolį ar insultą vyrams, vartojantiems tadalafilio. Daugumai </w:t>
      </w:r>
      <w:r w:rsidRPr="00797CDB">
        <w:rPr>
          <w:rFonts w:eastAsia="TimesNewRomanPSMT"/>
        </w:rPr>
        <w:t>šių vyrų buvo širdies veiklos sutrikimų prieš pradedant vartoti š</w:t>
      </w:r>
      <w:r w:rsidR="004640D2" w:rsidRPr="00797CDB">
        <w:rPr>
          <w:rFonts w:eastAsia="TimesNewRomanPSMT"/>
        </w:rPr>
        <w:t>io</w:t>
      </w:r>
      <w:r w:rsidRPr="00797CDB">
        <w:rPr>
          <w:rFonts w:eastAsia="TimesNewRomanPSMT"/>
        </w:rPr>
        <w:t xml:space="preserve"> vaist</w:t>
      </w:r>
      <w:r w:rsidR="004640D2" w:rsidRPr="00797CDB">
        <w:rPr>
          <w:rFonts w:eastAsia="TimesNewRomanPSMT"/>
        </w:rPr>
        <w:t>o</w:t>
      </w:r>
      <w:r w:rsidRPr="00A333F1">
        <w:t>.</w:t>
      </w:r>
    </w:p>
    <w:p w14:paraId="377C8E00" w14:textId="77777777" w:rsidR="00656A86" w:rsidRPr="00797CDB" w:rsidRDefault="00656A86" w:rsidP="00A333F1">
      <w:pPr>
        <w:autoSpaceDE w:val="0"/>
        <w:autoSpaceDN w:val="0"/>
        <w:adjustRightInd w:val="0"/>
        <w:rPr>
          <w:rFonts w:eastAsia="TimesNewRomanPSMT"/>
        </w:rPr>
      </w:pPr>
    </w:p>
    <w:p w14:paraId="40605E02" w14:textId="77777777" w:rsidR="00FD5C4A" w:rsidRPr="00797CDB" w:rsidRDefault="00FD5C4A" w:rsidP="00A333F1">
      <w:pPr>
        <w:autoSpaceDE w:val="0"/>
        <w:autoSpaceDN w:val="0"/>
        <w:adjustRightInd w:val="0"/>
        <w:rPr>
          <w:rFonts w:asciiTheme="minorHAnsi" w:eastAsia="TimesNewRomanPSMT" w:hAnsiTheme="minorHAnsi" w:cstheme="minorBidi"/>
          <w:szCs w:val="22"/>
          <w:lang w:eastAsia="en-US"/>
        </w:rPr>
      </w:pPr>
      <w:r w:rsidRPr="00797CDB">
        <w:rPr>
          <w:rFonts w:eastAsia="TimesNewRomanPSMT"/>
        </w:rPr>
        <w:t>Retai buvo pranešta apie dalinį, staigų, laikiną ar nuolatinį regėjimo viena ar abiem akimis susilpnėjimą ar praradimą.</w:t>
      </w:r>
    </w:p>
    <w:p w14:paraId="4C033B8E" w14:textId="77777777" w:rsidR="00656A86" w:rsidRPr="00797CDB" w:rsidRDefault="00656A86" w:rsidP="00A333F1">
      <w:pPr>
        <w:autoSpaceDE w:val="0"/>
        <w:autoSpaceDN w:val="0"/>
        <w:adjustRightInd w:val="0"/>
        <w:rPr>
          <w:rFonts w:eastAsia="TimesNewRomanPSMT"/>
        </w:rPr>
      </w:pPr>
    </w:p>
    <w:p w14:paraId="3310A5B5" w14:textId="77777777" w:rsidR="00656A86" w:rsidRPr="00A333F1" w:rsidRDefault="00656A86" w:rsidP="00A333F1">
      <w:pPr>
        <w:numPr>
          <w:ilvl w:val="12"/>
          <w:numId w:val="0"/>
        </w:numPr>
        <w:ind w:right="-29"/>
      </w:pPr>
      <w:r w:rsidRPr="00A333F1">
        <w:t xml:space="preserve">Tadalafilio vartojantiems vyrams buvo pastebėtas </w:t>
      </w:r>
      <w:r w:rsidRPr="00A333F1">
        <w:rPr>
          <w:b/>
        </w:rPr>
        <w:t>kitoks papildomas retas šalutinis poveikis</w:t>
      </w:r>
      <w:r w:rsidRPr="00A333F1">
        <w:t xml:space="preserve">, kuris klinikinių tyrimų metu nepasireiškė. Toks poveikis yra: </w:t>
      </w:r>
    </w:p>
    <w:p w14:paraId="077FC721" w14:textId="77777777" w:rsidR="00063E6D" w:rsidRDefault="00656A86" w:rsidP="00797CDB">
      <w:pPr>
        <w:numPr>
          <w:ilvl w:val="0"/>
          <w:numId w:val="10"/>
        </w:numPr>
        <w:tabs>
          <w:tab w:val="left" w:pos="567"/>
        </w:tabs>
        <w:ind w:left="567" w:hanging="567"/>
      </w:pPr>
      <w:r w:rsidRPr="00A333F1">
        <w:t>migrena, veido patinimas, sunki alerginė reakcija, sukelianti veido arba gerklės patinimą, sunkus odos išbėrimas, kai kurie sutrikimai, darantys poveikį akių aprūpinimui krauju, nereguliarus širdies plakimas, angina ir staigi mirtis dėl širdies sutrikimo</w:t>
      </w:r>
    </w:p>
    <w:p w14:paraId="20B1D28B" w14:textId="4D97F568" w:rsidR="00656A86" w:rsidRPr="00A333F1" w:rsidRDefault="00063E6D" w:rsidP="00797CDB">
      <w:pPr>
        <w:numPr>
          <w:ilvl w:val="0"/>
          <w:numId w:val="10"/>
        </w:numPr>
        <w:tabs>
          <w:tab w:val="left" w:pos="567"/>
        </w:tabs>
        <w:ind w:left="567" w:hanging="567"/>
      </w:pPr>
      <w:r>
        <w:t>iškreiptas, pritemęs, neryškus centrinis matymas arba staigus regos susilpnėjimas (dažnis nežinomas)</w:t>
      </w:r>
      <w:r w:rsidR="00656A86" w:rsidRPr="00A333F1">
        <w:t xml:space="preserve"> </w:t>
      </w:r>
    </w:p>
    <w:p w14:paraId="60E6E467" w14:textId="77777777" w:rsidR="00656A86" w:rsidRPr="00A333F1" w:rsidRDefault="00656A86" w:rsidP="00A333F1">
      <w:pPr>
        <w:ind w:right="-28"/>
      </w:pPr>
    </w:p>
    <w:p w14:paraId="14D52F51" w14:textId="77777777" w:rsidR="00656A86" w:rsidRPr="00797CDB" w:rsidRDefault="00656A86" w:rsidP="00A333F1">
      <w:pPr>
        <w:autoSpaceDE w:val="0"/>
        <w:autoSpaceDN w:val="0"/>
        <w:adjustRightInd w:val="0"/>
        <w:rPr>
          <w:rFonts w:eastAsia="TimesNewRomanPSMT"/>
        </w:rPr>
      </w:pPr>
      <w:r w:rsidRPr="00A333F1">
        <w:t>Buvo pranešta, kad šalutinis poveikis − svaigulys – dažniau pasireiškė tadalafilio vartojantiems vyresniems negu 75 metų vyrams. Buvo pranešta, kad viduriavim</w:t>
      </w:r>
      <w:r w:rsidR="00A136A0" w:rsidRPr="00A333F1">
        <w:t>as</w:t>
      </w:r>
      <w:r w:rsidRPr="00A333F1">
        <w:t xml:space="preserve"> dažniau </w:t>
      </w:r>
      <w:r w:rsidR="00A136A0" w:rsidRPr="00A333F1">
        <w:t>nustatytas t</w:t>
      </w:r>
      <w:r w:rsidRPr="00A333F1">
        <w:t>adalafilio vartojantiems vyresniems negu 65 metų vyrams.</w:t>
      </w:r>
    </w:p>
    <w:p w14:paraId="5184FF7B" w14:textId="77777777" w:rsidR="00FD5C4A" w:rsidRPr="00A333F1" w:rsidRDefault="00FD5C4A" w:rsidP="00A333F1">
      <w:pPr>
        <w:autoSpaceDE w:val="0"/>
        <w:autoSpaceDN w:val="0"/>
        <w:adjustRightInd w:val="0"/>
      </w:pPr>
    </w:p>
    <w:p w14:paraId="7649EF57" w14:textId="77777777" w:rsidR="00FD5C4A" w:rsidRPr="00A333F1" w:rsidRDefault="00FD5C4A" w:rsidP="00A333F1">
      <w:pPr>
        <w:rPr>
          <w:b/>
        </w:rPr>
      </w:pPr>
      <w:r w:rsidRPr="00A333F1">
        <w:rPr>
          <w:b/>
        </w:rPr>
        <w:t>Pranešimas apie šalutinį poveikį</w:t>
      </w:r>
    </w:p>
    <w:p w14:paraId="21BDE7CF" w14:textId="77777777" w:rsidR="002B5139" w:rsidRPr="005D554B" w:rsidRDefault="002B5139" w:rsidP="002B5139">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0" w:history="1">
        <w:r w:rsidRPr="005D554B">
          <w:rPr>
            <w:snapToGrid w:val="0"/>
            <w:color w:val="0000FF"/>
            <w:u w:val="single"/>
          </w:rPr>
          <w:t>https://www.vvkt.lt/index.php?4004286486</w:t>
        </w:r>
      </w:hyperlink>
      <w:r w:rsidRPr="005D554B">
        <w:rPr>
          <w:snapToGrid w:val="0"/>
        </w:rPr>
        <w:t xml:space="preserve">, ir atsiunčiant elektroniniu paštu (adresu </w:t>
      </w:r>
      <w:hyperlink r:id="rId11"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17C17F96" w14:textId="77777777" w:rsidR="00FD5C4A" w:rsidRPr="00A333F1" w:rsidRDefault="00FD5C4A" w:rsidP="00A333F1">
      <w:pPr>
        <w:ind w:right="-1"/>
      </w:pPr>
    </w:p>
    <w:p w14:paraId="75485F6D" w14:textId="77777777" w:rsidR="00FD5C4A" w:rsidRPr="00A333F1" w:rsidRDefault="00FD5C4A" w:rsidP="00A333F1">
      <w:pPr>
        <w:ind w:right="-449"/>
      </w:pPr>
    </w:p>
    <w:p w14:paraId="7481D2CE" w14:textId="77777777" w:rsidR="00FD5C4A" w:rsidRPr="00A333F1" w:rsidRDefault="00FD5C4A" w:rsidP="00A333F1">
      <w:pPr>
        <w:keepNext/>
        <w:outlineLvl w:val="2"/>
        <w:rPr>
          <w:b/>
        </w:rPr>
      </w:pPr>
      <w:r w:rsidRPr="00A333F1">
        <w:rPr>
          <w:b/>
        </w:rPr>
        <w:t>5.</w:t>
      </w:r>
      <w:r w:rsidRPr="00A333F1">
        <w:rPr>
          <w:b/>
        </w:rPr>
        <w:tab/>
        <w:t xml:space="preserve">Kaip laikyti </w:t>
      </w:r>
      <w:r w:rsidR="00254A51" w:rsidRPr="00797CDB">
        <w:rPr>
          <w:rFonts w:eastAsia="TimesNewRomanPSMT"/>
          <w:b/>
        </w:rPr>
        <w:t>Quator</w:t>
      </w:r>
    </w:p>
    <w:p w14:paraId="33810C91" w14:textId="77777777" w:rsidR="00FD5C4A" w:rsidRPr="00A333F1" w:rsidRDefault="00FD5C4A" w:rsidP="00A333F1">
      <w:pPr>
        <w:numPr>
          <w:ilvl w:val="12"/>
          <w:numId w:val="0"/>
        </w:numPr>
        <w:ind w:right="-2"/>
      </w:pPr>
    </w:p>
    <w:p w14:paraId="78CBE785" w14:textId="77777777" w:rsidR="00FD5C4A" w:rsidRPr="00A333F1" w:rsidRDefault="00FD5C4A" w:rsidP="00A333F1">
      <w:pPr>
        <w:numPr>
          <w:ilvl w:val="12"/>
          <w:numId w:val="0"/>
        </w:numPr>
        <w:ind w:right="-2"/>
      </w:pPr>
      <w:r w:rsidRPr="00A333F1">
        <w:t>Šį vaistą laikykite vaikams nepastebimoje ir nepasiekiamoje vietoje.</w:t>
      </w:r>
    </w:p>
    <w:p w14:paraId="417DD925" w14:textId="77777777" w:rsidR="00FD5C4A" w:rsidRPr="00A333F1" w:rsidRDefault="00FD5C4A" w:rsidP="00A333F1">
      <w:pPr>
        <w:numPr>
          <w:ilvl w:val="12"/>
          <w:numId w:val="0"/>
        </w:numPr>
        <w:ind w:right="-2"/>
      </w:pPr>
    </w:p>
    <w:p w14:paraId="140035CA" w14:textId="77777777" w:rsidR="00FD5C4A" w:rsidRPr="00A333F1" w:rsidRDefault="00FD5C4A" w:rsidP="00A333F1">
      <w:pPr>
        <w:numPr>
          <w:ilvl w:val="12"/>
          <w:numId w:val="0"/>
        </w:numPr>
        <w:ind w:right="-2"/>
      </w:pPr>
      <w:r w:rsidRPr="00A333F1">
        <w:t>Ant dėžutės ir lizdinės plokštelės po „EXP“ nurodytam tinkamumo laikui pasibaigus, šio vaisto vartoti negalima. Vaistas tinkamas vartoti iki paskutinės nurodyto mėnesio dienos.</w:t>
      </w:r>
    </w:p>
    <w:p w14:paraId="671C3596" w14:textId="77777777" w:rsidR="00A136A0" w:rsidRPr="00A333F1" w:rsidRDefault="00A136A0" w:rsidP="00A333F1">
      <w:pPr>
        <w:numPr>
          <w:ilvl w:val="12"/>
          <w:numId w:val="0"/>
        </w:numPr>
        <w:ind w:right="-2"/>
      </w:pPr>
    </w:p>
    <w:p w14:paraId="4040A5F7" w14:textId="77777777" w:rsidR="00A136A0" w:rsidRPr="00A333F1" w:rsidRDefault="00A136A0" w:rsidP="00A333F1">
      <w:pPr>
        <w:numPr>
          <w:ilvl w:val="12"/>
          <w:numId w:val="0"/>
        </w:numPr>
        <w:ind w:right="-2"/>
      </w:pPr>
      <w:r w:rsidRPr="00A333F1">
        <w:t>Šiam vaistui specialių laikymo sąlygų nereikia.</w:t>
      </w:r>
    </w:p>
    <w:p w14:paraId="0B2BD2D8" w14:textId="77777777" w:rsidR="00FD5C4A" w:rsidRPr="00A333F1" w:rsidRDefault="00FD5C4A" w:rsidP="00A333F1">
      <w:pPr>
        <w:numPr>
          <w:ilvl w:val="12"/>
          <w:numId w:val="0"/>
        </w:numPr>
        <w:ind w:right="-2"/>
      </w:pPr>
    </w:p>
    <w:p w14:paraId="2B446157" w14:textId="77777777" w:rsidR="00FD5C4A" w:rsidRPr="00A333F1" w:rsidRDefault="00FD5C4A" w:rsidP="00A333F1">
      <w:pPr>
        <w:numPr>
          <w:ilvl w:val="12"/>
          <w:numId w:val="0"/>
        </w:numPr>
        <w:ind w:right="-2"/>
      </w:pPr>
      <w:r w:rsidRPr="00A333F1">
        <w:t>Vaistų negalima išmesti į kanalizaciją arba su buitinėmis atliekomis. Kaip išmesti nereikalingus vaistus, klauskite vaistininko. Šios priemonės padės apsaugoti aplinką.</w:t>
      </w:r>
    </w:p>
    <w:p w14:paraId="79571B45" w14:textId="77777777" w:rsidR="00FD5C4A" w:rsidRPr="00A333F1" w:rsidRDefault="00FD5C4A" w:rsidP="00A333F1">
      <w:pPr>
        <w:numPr>
          <w:ilvl w:val="12"/>
          <w:numId w:val="0"/>
        </w:numPr>
        <w:ind w:right="-2"/>
        <w:rPr>
          <w:i/>
        </w:rPr>
      </w:pPr>
    </w:p>
    <w:p w14:paraId="1DBE3003" w14:textId="77777777" w:rsidR="00FD5C4A" w:rsidRPr="00A333F1" w:rsidRDefault="00FD5C4A" w:rsidP="00A333F1">
      <w:pPr>
        <w:numPr>
          <w:ilvl w:val="12"/>
          <w:numId w:val="0"/>
        </w:numPr>
        <w:ind w:right="-2"/>
      </w:pPr>
    </w:p>
    <w:p w14:paraId="2444A601" w14:textId="77777777" w:rsidR="00FD5C4A" w:rsidRPr="00A333F1" w:rsidRDefault="00FD5C4A" w:rsidP="00A333F1">
      <w:pPr>
        <w:keepNext/>
        <w:outlineLvl w:val="2"/>
        <w:rPr>
          <w:b/>
        </w:rPr>
      </w:pPr>
      <w:r w:rsidRPr="00A333F1">
        <w:rPr>
          <w:b/>
        </w:rPr>
        <w:t>6.</w:t>
      </w:r>
      <w:r w:rsidRPr="00A333F1">
        <w:tab/>
      </w:r>
      <w:r w:rsidRPr="00A333F1">
        <w:rPr>
          <w:b/>
        </w:rPr>
        <w:t>Pakuotės turinys ir kita informacija</w:t>
      </w:r>
    </w:p>
    <w:p w14:paraId="78A12FB4" w14:textId="77777777" w:rsidR="00FD5C4A" w:rsidRPr="00A333F1" w:rsidRDefault="00FD5C4A" w:rsidP="00A333F1">
      <w:pPr>
        <w:numPr>
          <w:ilvl w:val="12"/>
          <w:numId w:val="0"/>
        </w:numPr>
      </w:pPr>
    </w:p>
    <w:p w14:paraId="5AB00732" w14:textId="77777777" w:rsidR="00FD5C4A" w:rsidRPr="00A333F1" w:rsidRDefault="00254A51" w:rsidP="00A333F1">
      <w:pPr>
        <w:rPr>
          <w:b/>
        </w:rPr>
      </w:pPr>
      <w:r w:rsidRPr="00A333F1">
        <w:rPr>
          <w:b/>
        </w:rPr>
        <w:t xml:space="preserve">Quator </w:t>
      </w:r>
      <w:r w:rsidR="00FD5C4A" w:rsidRPr="00A333F1">
        <w:rPr>
          <w:b/>
        </w:rPr>
        <w:t xml:space="preserve">sudėtis </w:t>
      </w:r>
    </w:p>
    <w:p w14:paraId="2E10FE47" w14:textId="77777777" w:rsidR="00A136A0" w:rsidRPr="00A333F1" w:rsidRDefault="00FD5C4A" w:rsidP="00A333F1">
      <w:pPr>
        <w:numPr>
          <w:ilvl w:val="0"/>
          <w:numId w:val="4"/>
        </w:numPr>
        <w:ind w:right="-2"/>
      </w:pPr>
      <w:r w:rsidRPr="00A333F1">
        <w:t xml:space="preserve">Veiklioji medžiaga yra tadalafilis. </w:t>
      </w:r>
    </w:p>
    <w:p w14:paraId="5CF7BFF6" w14:textId="77777777" w:rsidR="00A136A0" w:rsidRPr="00A333F1" w:rsidRDefault="00A136A0" w:rsidP="00A333F1">
      <w:pPr>
        <w:ind w:right="-2"/>
      </w:pPr>
    </w:p>
    <w:p w14:paraId="278C15DD" w14:textId="77777777" w:rsidR="00A136A0" w:rsidRPr="00A333F1" w:rsidRDefault="00254A51" w:rsidP="00A333F1">
      <w:pPr>
        <w:autoSpaceDE w:val="0"/>
        <w:autoSpaceDN w:val="0"/>
        <w:adjustRightInd w:val="0"/>
        <w:rPr>
          <w:b/>
        </w:rPr>
      </w:pPr>
      <w:r w:rsidRPr="00A333F1">
        <w:rPr>
          <w:b/>
        </w:rPr>
        <w:t xml:space="preserve">Quator </w:t>
      </w:r>
      <w:r w:rsidR="00A136A0" w:rsidRPr="00A333F1">
        <w:rPr>
          <w:b/>
        </w:rPr>
        <w:t>5 mg pl</w:t>
      </w:r>
      <w:r w:rsidR="00A136A0" w:rsidRPr="00797CDB">
        <w:rPr>
          <w:rFonts w:eastAsia="TimesNewRomanPSMT"/>
          <w:b/>
        </w:rPr>
        <w:t>ė</w:t>
      </w:r>
      <w:r w:rsidR="00A136A0" w:rsidRPr="00A333F1">
        <w:rPr>
          <w:b/>
        </w:rPr>
        <w:t>vele dengtos tablet</w:t>
      </w:r>
      <w:r w:rsidR="00A136A0" w:rsidRPr="00797CDB">
        <w:rPr>
          <w:rFonts w:eastAsia="TimesNewRomanPSMT"/>
          <w:b/>
        </w:rPr>
        <w:t>ė</w:t>
      </w:r>
      <w:r w:rsidR="00A136A0" w:rsidRPr="00A333F1">
        <w:rPr>
          <w:b/>
        </w:rPr>
        <w:t>s</w:t>
      </w:r>
    </w:p>
    <w:p w14:paraId="442F7C6D" w14:textId="77777777" w:rsidR="00A136A0" w:rsidRPr="00797CDB" w:rsidRDefault="00A136A0" w:rsidP="00A333F1">
      <w:pPr>
        <w:autoSpaceDE w:val="0"/>
        <w:autoSpaceDN w:val="0"/>
        <w:adjustRightInd w:val="0"/>
        <w:rPr>
          <w:rFonts w:eastAsia="TimesNewRomanPSMT"/>
        </w:rPr>
      </w:pPr>
      <w:r w:rsidRPr="00A333F1">
        <w:t>K</w:t>
      </w:r>
      <w:r w:rsidRPr="00797CDB">
        <w:rPr>
          <w:rFonts w:eastAsia="TimesNewRomanPSMT"/>
        </w:rPr>
        <w:t>iekvienoje plėvele dengtoje tabletėje yra 5 mg tadalafilio.</w:t>
      </w:r>
    </w:p>
    <w:p w14:paraId="6CC543D4" w14:textId="77777777" w:rsidR="00A136A0" w:rsidRPr="00A333F1" w:rsidRDefault="00A136A0" w:rsidP="00A333F1"/>
    <w:p w14:paraId="66C7FADF" w14:textId="77777777" w:rsidR="00A136A0" w:rsidRPr="00F1648C" w:rsidRDefault="00254A51" w:rsidP="00A333F1">
      <w:pPr>
        <w:shd w:val="clear" w:color="auto" w:fill="FFFFFF" w:themeFill="background1"/>
        <w:autoSpaceDE w:val="0"/>
        <w:autoSpaceDN w:val="0"/>
        <w:adjustRightInd w:val="0"/>
        <w:rPr>
          <w:b/>
          <w:highlight w:val="lightGray"/>
        </w:rPr>
      </w:pPr>
      <w:r w:rsidRPr="00F1648C">
        <w:rPr>
          <w:b/>
          <w:highlight w:val="lightGray"/>
        </w:rPr>
        <w:t xml:space="preserve">Quator </w:t>
      </w:r>
      <w:r w:rsidR="00A136A0" w:rsidRPr="00F1648C">
        <w:rPr>
          <w:b/>
          <w:highlight w:val="lightGray"/>
        </w:rPr>
        <w:t>10 mg pl</w:t>
      </w:r>
      <w:r w:rsidR="00A136A0" w:rsidRPr="00F1648C">
        <w:rPr>
          <w:rFonts w:eastAsia="TimesNewRomanPSMT"/>
          <w:b/>
          <w:highlight w:val="lightGray"/>
        </w:rPr>
        <w:t>ė</w:t>
      </w:r>
      <w:r w:rsidR="00A136A0" w:rsidRPr="00F1648C">
        <w:rPr>
          <w:b/>
          <w:highlight w:val="lightGray"/>
        </w:rPr>
        <w:t>vele dengtos tablet</w:t>
      </w:r>
      <w:r w:rsidR="00A136A0" w:rsidRPr="00F1648C">
        <w:rPr>
          <w:rFonts w:eastAsia="TimesNewRomanPSMT"/>
          <w:b/>
          <w:highlight w:val="lightGray"/>
        </w:rPr>
        <w:t>ė</w:t>
      </w:r>
      <w:r w:rsidR="00A136A0" w:rsidRPr="00F1648C">
        <w:rPr>
          <w:b/>
          <w:highlight w:val="lightGray"/>
        </w:rPr>
        <w:t>s</w:t>
      </w:r>
    </w:p>
    <w:p w14:paraId="20F03BB8" w14:textId="77777777" w:rsidR="00A136A0" w:rsidRPr="00797CDB" w:rsidRDefault="00A136A0" w:rsidP="00A333F1">
      <w:pPr>
        <w:shd w:val="clear" w:color="auto" w:fill="FFFFFF" w:themeFill="background1"/>
        <w:autoSpaceDE w:val="0"/>
        <w:autoSpaceDN w:val="0"/>
        <w:adjustRightInd w:val="0"/>
        <w:rPr>
          <w:rFonts w:eastAsia="TimesNewRomanPSMT"/>
        </w:rPr>
      </w:pPr>
      <w:r w:rsidRPr="00F1648C">
        <w:rPr>
          <w:highlight w:val="lightGray"/>
        </w:rPr>
        <w:t>K</w:t>
      </w:r>
      <w:r w:rsidRPr="00F1648C">
        <w:rPr>
          <w:rFonts w:eastAsia="TimesNewRomanPSMT"/>
          <w:highlight w:val="lightGray"/>
        </w:rPr>
        <w:t>iekvienoje plėvele dengtoje tabletėje yra 10 mg tadalafilio</w:t>
      </w:r>
      <w:r w:rsidRPr="00797CDB">
        <w:rPr>
          <w:rFonts w:eastAsia="TimesNewRomanPSMT"/>
        </w:rPr>
        <w:t>.</w:t>
      </w:r>
    </w:p>
    <w:p w14:paraId="3B2FBB3D" w14:textId="77777777" w:rsidR="00A136A0" w:rsidRPr="00A333F1" w:rsidRDefault="00A136A0" w:rsidP="00A333F1"/>
    <w:p w14:paraId="312EF23F" w14:textId="77777777" w:rsidR="00A136A0" w:rsidRPr="00F1648C" w:rsidRDefault="00254A51" w:rsidP="00A333F1">
      <w:pPr>
        <w:shd w:val="clear" w:color="auto" w:fill="FFFFFF" w:themeFill="background1"/>
        <w:autoSpaceDE w:val="0"/>
        <w:autoSpaceDN w:val="0"/>
        <w:adjustRightInd w:val="0"/>
        <w:rPr>
          <w:b/>
          <w:highlight w:val="lightGray"/>
        </w:rPr>
      </w:pPr>
      <w:r w:rsidRPr="00F1648C">
        <w:rPr>
          <w:b/>
          <w:highlight w:val="lightGray"/>
        </w:rPr>
        <w:t xml:space="preserve">Quator </w:t>
      </w:r>
      <w:r w:rsidR="00A136A0" w:rsidRPr="00F1648C">
        <w:rPr>
          <w:b/>
          <w:highlight w:val="lightGray"/>
        </w:rPr>
        <w:t>20 mg pl</w:t>
      </w:r>
      <w:r w:rsidR="00A136A0" w:rsidRPr="00F1648C">
        <w:rPr>
          <w:rFonts w:eastAsia="TimesNewRomanPSMT"/>
          <w:b/>
          <w:highlight w:val="lightGray"/>
        </w:rPr>
        <w:t>ė</w:t>
      </w:r>
      <w:r w:rsidR="00A136A0" w:rsidRPr="00F1648C">
        <w:rPr>
          <w:b/>
          <w:highlight w:val="lightGray"/>
        </w:rPr>
        <w:t>vele dengtos tablet</w:t>
      </w:r>
      <w:r w:rsidR="00A136A0" w:rsidRPr="00F1648C">
        <w:rPr>
          <w:rFonts w:eastAsia="TimesNewRomanPSMT"/>
          <w:b/>
          <w:highlight w:val="lightGray"/>
        </w:rPr>
        <w:t>ė</w:t>
      </w:r>
      <w:r w:rsidR="00A136A0" w:rsidRPr="00F1648C">
        <w:rPr>
          <w:b/>
          <w:highlight w:val="lightGray"/>
        </w:rPr>
        <w:t>s</w:t>
      </w:r>
    </w:p>
    <w:p w14:paraId="7110219E" w14:textId="77777777" w:rsidR="00A136A0" w:rsidRPr="00797CDB" w:rsidRDefault="00A136A0" w:rsidP="00A333F1">
      <w:pPr>
        <w:shd w:val="clear" w:color="auto" w:fill="FFFFFF" w:themeFill="background1"/>
        <w:autoSpaceDE w:val="0"/>
        <w:autoSpaceDN w:val="0"/>
        <w:adjustRightInd w:val="0"/>
        <w:rPr>
          <w:rFonts w:eastAsia="TimesNewRomanPSMT"/>
        </w:rPr>
      </w:pPr>
      <w:r w:rsidRPr="00F1648C">
        <w:rPr>
          <w:highlight w:val="lightGray"/>
        </w:rPr>
        <w:t>K</w:t>
      </w:r>
      <w:r w:rsidRPr="00F1648C">
        <w:rPr>
          <w:rFonts w:eastAsia="TimesNewRomanPSMT"/>
          <w:highlight w:val="lightGray"/>
        </w:rPr>
        <w:t>iekvienoje plėvele dengtoje tabletėje yra 20 mg tadalafilio.</w:t>
      </w:r>
    </w:p>
    <w:p w14:paraId="12E69639" w14:textId="77777777" w:rsidR="00A136A0" w:rsidRPr="00797CDB" w:rsidRDefault="00A136A0" w:rsidP="00A333F1">
      <w:pPr>
        <w:shd w:val="clear" w:color="auto" w:fill="FFFFFF" w:themeFill="background1"/>
        <w:autoSpaceDE w:val="0"/>
        <w:autoSpaceDN w:val="0"/>
        <w:adjustRightInd w:val="0"/>
        <w:rPr>
          <w:rFonts w:eastAsia="TimesNewRomanPSMT"/>
        </w:rPr>
      </w:pPr>
    </w:p>
    <w:p w14:paraId="331DCADF" w14:textId="77777777" w:rsidR="00FD5C4A" w:rsidRPr="00A333F1" w:rsidRDefault="00FD5C4A" w:rsidP="00A333F1">
      <w:pPr>
        <w:numPr>
          <w:ilvl w:val="0"/>
          <w:numId w:val="4"/>
        </w:numPr>
        <w:ind w:right="-2"/>
      </w:pPr>
      <w:r w:rsidRPr="00A333F1">
        <w:t>Pagalbinės medžiagos yra:</w:t>
      </w:r>
      <w:r w:rsidRPr="00A333F1">
        <w:rPr>
          <w:i/>
          <w:color w:val="008000"/>
        </w:rPr>
        <w:t xml:space="preserve"> </w:t>
      </w:r>
    </w:p>
    <w:p w14:paraId="18FC8F67" w14:textId="77777777" w:rsidR="00A136A0" w:rsidRPr="00A333F1" w:rsidRDefault="00FD5C4A" w:rsidP="00A333F1">
      <w:pPr>
        <w:rPr>
          <w:i/>
        </w:rPr>
      </w:pPr>
      <w:r w:rsidRPr="00A333F1">
        <w:rPr>
          <w:b/>
          <w:u w:val="single"/>
        </w:rPr>
        <w:t>Tabletės šerdis</w:t>
      </w:r>
      <w:r w:rsidRPr="00A333F1">
        <w:rPr>
          <w:i/>
        </w:rPr>
        <w:t xml:space="preserve"> </w:t>
      </w:r>
    </w:p>
    <w:p w14:paraId="2C161359" w14:textId="77777777" w:rsidR="00A136A0" w:rsidRPr="00A333F1" w:rsidRDefault="00A136A0" w:rsidP="00A333F1">
      <w:r w:rsidRPr="00A333F1">
        <w:t>L</w:t>
      </w:r>
      <w:r w:rsidR="00FD5C4A" w:rsidRPr="00A333F1">
        <w:t xml:space="preserve">aktozė monohidratas, </w:t>
      </w:r>
      <w:r w:rsidRPr="00A333F1">
        <w:t>natrio laurilsulfatas (E487), povidonas K-12 (E1201), krospovidonas (B tipo) (E1202), natrio stearilfumaratas</w:t>
      </w:r>
      <w:r w:rsidR="0046566B" w:rsidRPr="00A333F1">
        <w:t xml:space="preserve">. Žr. 2 skyrių </w:t>
      </w:r>
      <w:r w:rsidR="00313D95" w:rsidRPr="00A333F1">
        <w:t>„</w:t>
      </w:r>
      <w:r w:rsidR="0046566B" w:rsidRPr="00A333F1">
        <w:t>Quator sudėtyje yra laktozės</w:t>
      </w:r>
      <w:r w:rsidR="00313D95" w:rsidRPr="00A333F1">
        <w:t>“</w:t>
      </w:r>
      <w:r w:rsidR="0046566B" w:rsidRPr="00A333F1">
        <w:t>.</w:t>
      </w:r>
    </w:p>
    <w:p w14:paraId="65F10842" w14:textId="77777777" w:rsidR="00A136A0" w:rsidRPr="00A333F1" w:rsidRDefault="00A136A0" w:rsidP="00A333F1"/>
    <w:p w14:paraId="6AD6BE64" w14:textId="77777777" w:rsidR="00A136A0" w:rsidRPr="00A333F1" w:rsidRDefault="00A136A0" w:rsidP="00A333F1">
      <w:pPr>
        <w:rPr>
          <w:b/>
          <w:u w:val="single"/>
        </w:rPr>
      </w:pPr>
      <w:r w:rsidRPr="00A333F1">
        <w:rPr>
          <w:b/>
          <w:u w:val="single"/>
        </w:rPr>
        <w:t>Tabletės plėvelė</w:t>
      </w:r>
    </w:p>
    <w:p w14:paraId="4B52EA2E" w14:textId="77777777" w:rsidR="00FD5C4A" w:rsidRPr="00A333F1" w:rsidRDefault="00A136A0" w:rsidP="00A333F1">
      <w:r w:rsidRPr="00A333F1">
        <w:t>Polivinilo alkoholis (E1203), makrogolis 3350 (E1521), titano dioksidas (E171), talkas (E553b), geltonasis geležies oksidas (E172)</w:t>
      </w:r>
      <w:r w:rsidR="00FD5C4A" w:rsidRPr="00A333F1">
        <w:t>.</w:t>
      </w:r>
      <w:r w:rsidRPr="00A333F1">
        <w:t xml:space="preserve"> </w:t>
      </w:r>
    </w:p>
    <w:p w14:paraId="46EEB742" w14:textId="77777777" w:rsidR="00FD5C4A" w:rsidRPr="00A333F1" w:rsidRDefault="00FD5C4A" w:rsidP="00A333F1">
      <w:pPr>
        <w:numPr>
          <w:ilvl w:val="12"/>
          <w:numId w:val="0"/>
        </w:numPr>
        <w:ind w:right="-2"/>
      </w:pPr>
    </w:p>
    <w:p w14:paraId="4EF942EE" w14:textId="77777777" w:rsidR="00FD5C4A" w:rsidRPr="00A333F1" w:rsidRDefault="00254A51" w:rsidP="00A333F1">
      <w:pPr>
        <w:rPr>
          <w:b/>
        </w:rPr>
      </w:pPr>
      <w:r w:rsidRPr="00A333F1">
        <w:rPr>
          <w:b/>
        </w:rPr>
        <w:t xml:space="preserve">Quator </w:t>
      </w:r>
      <w:r w:rsidR="00FD5C4A" w:rsidRPr="00A333F1">
        <w:rPr>
          <w:b/>
        </w:rPr>
        <w:t>išvaizda ir kiekis pakuotėje</w:t>
      </w:r>
    </w:p>
    <w:p w14:paraId="4B898A23" w14:textId="77777777" w:rsidR="00430ECD" w:rsidRPr="00A333F1" w:rsidRDefault="00430ECD" w:rsidP="00A333F1">
      <w:pPr>
        <w:autoSpaceDE w:val="0"/>
        <w:autoSpaceDN w:val="0"/>
        <w:adjustRightInd w:val="0"/>
        <w:rPr>
          <w:highlight w:val="lightGray"/>
        </w:rPr>
      </w:pPr>
    </w:p>
    <w:p w14:paraId="76854D35" w14:textId="77777777" w:rsidR="00430ECD" w:rsidRPr="00A333F1" w:rsidRDefault="00254A51" w:rsidP="00A333F1">
      <w:pPr>
        <w:autoSpaceDE w:val="0"/>
        <w:autoSpaceDN w:val="0"/>
        <w:adjustRightInd w:val="0"/>
        <w:rPr>
          <w:b/>
        </w:rPr>
      </w:pPr>
      <w:r w:rsidRPr="00A333F1">
        <w:rPr>
          <w:b/>
        </w:rPr>
        <w:t xml:space="preserve">Quator </w:t>
      </w:r>
      <w:r w:rsidR="00430ECD" w:rsidRPr="00A333F1">
        <w:rPr>
          <w:b/>
        </w:rPr>
        <w:t>5 mg plėvele dengtos tabletės</w:t>
      </w:r>
    </w:p>
    <w:p w14:paraId="72EFEB0E" w14:textId="77777777" w:rsidR="00430ECD" w:rsidRPr="00797CDB" w:rsidRDefault="00430ECD" w:rsidP="00A333F1">
      <w:pPr>
        <w:autoSpaceDE w:val="0"/>
        <w:autoSpaceDN w:val="0"/>
        <w:adjustRightInd w:val="0"/>
        <w:rPr>
          <w:rFonts w:eastAsia="TimesNewRomanPSMT"/>
        </w:rPr>
      </w:pPr>
      <w:r w:rsidRPr="00A333F1">
        <w:t>Nuo ochros iki geltonos spalvos</w:t>
      </w:r>
      <w:r w:rsidRPr="00797CDB">
        <w:rPr>
          <w:rFonts w:eastAsia="Calibri"/>
        </w:rPr>
        <w:t xml:space="preserve">, ovali plėvele dengta tabletė, apytiksliai 8 x 4 mm dydžio. Vienoje tabletės pusėje įspaustas ženklas „5”. Kita tabletės pusė yra lygi. </w:t>
      </w:r>
    </w:p>
    <w:p w14:paraId="79195B37" w14:textId="77777777" w:rsidR="00430ECD" w:rsidRPr="00A333F1" w:rsidRDefault="00430ECD" w:rsidP="00A333F1">
      <w:pPr>
        <w:autoSpaceDE w:val="0"/>
        <w:autoSpaceDN w:val="0"/>
        <w:adjustRightInd w:val="0"/>
        <w:rPr>
          <w:highlight w:val="lightGray"/>
        </w:rPr>
      </w:pPr>
    </w:p>
    <w:p w14:paraId="5CCD32CE" w14:textId="77777777" w:rsidR="00430ECD" w:rsidRPr="00A333F1" w:rsidRDefault="00254A51" w:rsidP="00A333F1">
      <w:pPr>
        <w:autoSpaceDE w:val="0"/>
        <w:autoSpaceDN w:val="0"/>
        <w:adjustRightInd w:val="0"/>
        <w:rPr>
          <w:b/>
        </w:rPr>
      </w:pPr>
      <w:r w:rsidRPr="00A333F1">
        <w:rPr>
          <w:b/>
        </w:rPr>
        <w:t xml:space="preserve">Quator </w:t>
      </w:r>
      <w:r w:rsidR="00430ECD" w:rsidRPr="00A333F1">
        <w:rPr>
          <w:b/>
        </w:rPr>
        <w:t>10 mg plėvele dengtos tabletės</w:t>
      </w:r>
    </w:p>
    <w:p w14:paraId="47230358" w14:textId="3FD1B20D" w:rsidR="00430ECD" w:rsidRPr="00797CDB" w:rsidRDefault="00430ECD" w:rsidP="00A333F1">
      <w:pPr>
        <w:autoSpaceDE w:val="0"/>
        <w:autoSpaceDN w:val="0"/>
        <w:adjustRightInd w:val="0"/>
        <w:rPr>
          <w:rFonts w:eastAsia="TimesNewRomanPSMT"/>
        </w:rPr>
      </w:pPr>
      <w:r w:rsidRPr="00A333F1">
        <w:t xml:space="preserve">Nuo ochros iki geltonos spalvos, ovali plėvele dengta tabletė, apytiksliai 11 x </w:t>
      </w:r>
      <w:r w:rsidR="00F62E0D" w:rsidRPr="00A333F1">
        <w:t>6</w:t>
      </w:r>
      <w:r w:rsidRPr="00A333F1">
        <w:t> mm dydžio. Vienoje tabletės pusėje įspaustas ženklas „10”. Kita tabletės pusė yra lygi.</w:t>
      </w:r>
      <w:r w:rsidRPr="00797CDB">
        <w:rPr>
          <w:rFonts w:eastAsia="Calibri"/>
        </w:rPr>
        <w:t xml:space="preserve"> </w:t>
      </w:r>
    </w:p>
    <w:p w14:paraId="25442023" w14:textId="77777777" w:rsidR="00430ECD" w:rsidRPr="00A333F1" w:rsidRDefault="00430ECD" w:rsidP="00A333F1">
      <w:pPr>
        <w:autoSpaceDE w:val="0"/>
        <w:autoSpaceDN w:val="0"/>
        <w:adjustRightInd w:val="0"/>
        <w:rPr>
          <w:highlight w:val="lightGray"/>
        </w:rPr>
      </w:pPr>
    </w:p>
    <w:p w14:paraId="41919809" w14:textId="77777777" w:rsidR="00430ECD" w:rsidRPr="00A333F1" w:rsidRDefault="00254A51" w:rsidP="00A333F1">
      <w:pPr>
        <w:autoSpaceDE w:val="0"/>
        <w:autoSpaceDN w:val="0"/>
        <w:adjustRightInd w:val="0"/>
        <w:rPr>
          <w:b/>
        </w:rPr>
      </w:pPr>
      <w:r w:rsidRPr="00A333F1">
        <w:rPr>
          <w:b/>
        </w:rPr>
        <w:t xml:space="preserve">Quator </w:t>
      </w:r>
      <w:r w:rsidR="00430ECD" w:rsidRPr="00A333F1">
        <w:rPr>
          <w:b/>
        </w:rPr>
        <w:t>20 mg plėvele dengtos tabletės</w:t>
      </w:r>
    </w:p>
    <w:p w14:paraId="09826964" w14:textId="799FD91A" w:rsidR="00430ECD" w:rsidRPr="00A333F1" w:rsidRDefault="00430ECD" w:rsidP="00A333F1">
      <w:pPr>
        <w:autoSpaceDE w:val="0"/>
        <w:autoSpaceDN w:val="0"/>
        <w:adjustRightInd w:val="0"/>
      </w:pPr>
      <w:r w:rsidRPr="00A333F1">
        <w:t>Nuo ochros iki geltonos spalvos, ovali plėvele dengta tabletė, apytiksliai 1</w:t>
      </w:r>
      <w:r w:rsidR="00F62E0D" w:rsidRPr="00A333F1">
        <w:t>5</w:t>
      </w:r>
      <w:r w:rsidRPr="00A333F1">
        <w:t xml:space="preserve"> x </w:t>
      </w:r>
      <w:r w:rsidR="00F62E0D" w:rsidRPr="00A333F1">
        <w:t>9</w:t>
      </w:r>
      <w:r w:rsidRPr="00A333F1">
        <w:t> mm dydžio. Vienoje tabletės pusėje yra  įspaustas ženklas „2</w:t>
      </w:r>
      <w:r w:rsidR="00F62E0D" w:rsidRPr="00A333F1">
        <w:t>0</w:t>
      </w:r>
      <w:r w:rsidRPr="00A333F1">
        <w:t xml:space="preserve">”. Kita tabletės pusė yra </w:t>
      </w:r>
      <w:r w:rsidR="00F62E0D" w:rsidRPr="00A333F1">
        <w:t>briaunuota</w:t>
      </w:r>
      <w:r w:rsidRPr="00A333F1">
        <w:t>.</w:t>
      </w:r>
      <w:r w:rsidRPr="00797CDB">
        <w:rPr>
          <w:rFonts w:eastAsia="Calibri"/>
        </w:rPr>
        <w:t xml:space="preserve"> </w:t>
      </w:r>
      <w:r w:rsidRPr="00A333F1">
        <w:t xml:space="preserve">Tabletę galima padalyti į lygias </w:t>
      </w:r>
      <w:r w:rsidR="00D12654" w:rsidRPr="00A333F1">
        <w:t>dalis</w:t>
      </w:r>
      <w:r w:rsidR="00F62E0D" w:rsidRPr="00A333F1">
        <w:t xml:space="preserve"> ir (arba) ketvirčius</w:t>
      </w:r>
      <w:r w:rsidR="009077A4" w:rsidRPr="00A333F1">
        <w:t>.</w:t>
      </w:r>
    </w:p>
    <w:p w14:paraId="6B11C5D1" w14:textId="77777777" w:rsidR="00430ECD" w:rsidRPr="00A333F1" w:rsidRDefault="00430ECD" w:rsidP="00A333F1">
      <w:pPr>
        <w:widowControl w:val="0"/>
        <w:overflowPunct w:val="0"/>
        <w:autoSpaceDE w:val="0"/>
        <w:autoSpaceDN w:val="0"/>
        <w:adjustRightInd w:val="0"/>
      </w:pPr>
    </w:p>
    <w:p w14:paraId="23DECE60" w14:textId="77777777" w:rsidR="00430ECD" w:rsidRPr="00A333F1" w:rsidRDefault="00430ECD" w:rsidP="00A333F1">
      <w:r w:rsidRPr="00A333F1">
        <w:t>Al-Al (Al-OPA/Al/PVC) lizdinės plokštelės</w:t>
      </w:r>
      <w:r w:rsidR="009077A4" w:rsidRPr="00A333F1">
        <w:t>.</w:t>
      </w:r>
    </w:p>
    <w:p w14:paraId="359FFEA2" w14:textId="77777777" w:rsidR="00430ECD" w:rsidRPr="00A333F1" w:rsidRDefault="00430ECD" w:rsidP="00A333F1">
      <w:r w:rsidRPr="00A333F1">
        <w:t>PVC/ACLAR/PVC – Al lizdinės plokštelės</w:t>
      </w:r>
      <w:r w:rsidR="009077A4" w:rsidRPr="00A333F1">
        <w:t>.</w:t>
      </w:r>
    </w:p>
    <w:p w14:paraId="55F86AD0" w14:textId="56E84CA4" w:rsidR="00430ECD" w:rsidRPr="00A333F1" w:rsidRDefault="00430ECD" w:rsidP="00A333F1">
      <w:r w:rsidRPr="00A333F1">
        <w:t>PVC/ACLAR/PVdC/PVC</w:t>
      </w:r>
      <w:r w:rsidR="004A70D0">
        <w:t xml:space="preserve"> - KPMAX</w:t>
      </w:r>
      <w:r w:rsidRPr="00A333F1">
        <w:t xml:space="preserve"> – Al lizdinės plokštelės.</w:t>
      </w:r>
    </w:p>
    <w:p w14:paraId="36267EDC" w14:textId="3F7130C2" w:rsidR="00430ECD" w:rsidRDefault="000A63D1" w:rsidP="00A333F1">
      <w:r w:rsidRPr="000A63D1">
        <w:t>PVC/PVdC-aliuminio lizdinės plokštelės.</w:t>
      </w:r>
    </w:p>
    <w:p w14:paraId="0407D8BC" w14:textId="77777777" w:rsidR="000A63D1" w:rsidRPr="00A333F1" w:rsidRDefault="000A63D1" w:rsidP="00A333F1"/>
    <w:p w14:paraId="7DDD9AD4" w14:textId="77777777" w:rsidR="00430ECD" w:rsidRPr="00A333F1" w:rsidRDefault="00430ECD" w:rsidP="00A333F1">
      <w:r w:rsidRPr="00A333F1">
        <w:t>Pakuotės dydžiai:</w:t>
      </w:r>
    </w:p>
    <w:p w14:paraId="3989C036" w14:textId="729F0568" w:rsidR="00430ECD" w:rsidRPr="00A333F1" w:rsidRDefault="00430ECD" w:rsidP="00A333F1">
      <w:r w:rsidRPr="00A333F1">
        <w:rPr>
          <w:i/>
        </w:rPr>
        <w:t>5</w:t>
      </w:r>
      <w:r w:rsidR="00E908FA" w:rsidRPr="00A333F1">
        <w:rPr>
          <w:i/>
        </w:rPr>
        <w:t> </w:t>
      </w:r>
      <w:r w:rsidRPr="00A333F1">
        <w:rPr>
          <w:i/>
        </w:rPr>
        <w:t xml:space="preserve">mg: </w:t>
      </w:r>
      <w:r w:rsidRPr="00BE7FAC">
        <w:rPr>
          <w:szCs w:val="22"/>
          <w:lang w:eastAsia="en-US"/>
        </w:rPr>
        <w:t>14</w:t>
      </w:r>
      <w:r w:rsidR="0029693F">
        <w:rPr>
          <w:szCs w:val="22"/>
          <w:lang w:eastAsia="en-US"/>
        </w:rPr>
        <w:t>x1</w:t>
      </w:r>
      <w:r w:rsidRPr="00BE7FAC">
        <w:rPr>
          <w:szCs w:val="22"/>
          <w:lang w:eastAsia="en-US"/>
        </w:rPr>
        <w:t>, 28</w:t>
      </w:r>
      <w:r w:rsidR="0029693F">
        <w:rPr>
          <w:szCs w:val="22"/>
          <w:lang w:eastAsia="en-US"/>
        </w:rPr>
        <w:t>x1</w:t>
      </w:r>
      <w:r w:rsidRPr="00BE7FAC">
        <w:rPr>
          <w:szCs w:val="22"/>
          <w:lang w:eastAsia="en-US"/>
        </w:rPr>
        <w:t>, 84</w:t>
      </w:r>
      <w:r w:rsidR="0029693F">
        <w:rPr>
          <w:szCs w:val="22"/>
          <w:lang w:eastAsia="en-US"/>
        </w:rPr>
        <w:t>x1</w:t>
      </w:r>
      <w:r w:rsidRPr="00A333F1">
        <w:t xml:space="preserve"> tabletės</w:t>
      </w:r>
    </w:p>
    <w:p w14:paraId="749FA192" w14:textId="599F61E3" w:rsidR="00430ECD" w:rsidRPr="00A333F1" w:rsidRDefault="00430ECD" w:rsidP="00A333F1">
      <w:pPr>
        <w:autoSpaceDE w:val="0"/>
        <w:autoSpaceDN w:val="0"/>
        <w:adjustRightInd w:val="0"/>
        <w:rPr>
          <w:color w:val="000000"/>
        </w:rPr>
      </w:pPr>
      <w:r w:rsidRPr="00A333F1">
        <w:rPr>
          <w:i/>
        </w:rPr>
        <w:t>10</w:t>
      </w:r>
      <w:r w:rsidR="00E908FA" w:rsidRPr="00A333F1">
        <w:rPr>
          <w:i/>
        </w:rPr>
        <w:t> </w:t>
      </w:r>
      <w:r w:rsidRPr="00A333F1">
        <w:rPr>
          <w:i/>
        </w:rPr>
        <w:t>mg</w:t>
      </w:r>
      <w:r w:rsidRPr="00A333F1">
        <w:rPr>
          <w:i/>
          <w:color w:val="000000"/>
        </w:rPr>
        <w:t xml:space="preserve">: </w:t>
      </w:r>
      <w:r w:rsidRPr="00BE7FAC">
        <w:rPr>
          <w:color w:val="000000"/>
          <w:szCs w:val="22"/>
          <w:lang w:eastAsia="en-US"/>
        </w:rPr>
        <w:t>4</w:t>
      </w:r>
      <w:r w:rsidR="0029693F">
        <w:rPr>
          <w:color w:val="000000"/>
          <w:szCs w:val="22"/>
          <w:lang w:eastAsia="en-US"/>
        </w:rPr>
        <w:t>x1</w:t>
      </w:r>
      <w:r w:rsidRPr="00BE7FAC">
        <w:rPr>
          <w:color w:val="000000"/>
          <w:szCs w:val="22"/>
          <w:lang w:eastAsia="en-US"/>
        </w:rPr>
        <w:t>, 12</w:t>
      </w:r>
      <w:r w:rsidR="0029693F">
        <w:rPr>
          <w:color w:val="000000"/>
          <w:szCs w:val="22"/>
          <w:lang w:eastAsia="en-US"/>
        </w:rPr>
        <w:t>x1</w:t>
      </w:r>
      <w:r w:rsidRPr="00BE7FAC">
        <w:rPr>
          <w:color w:val="000000"/>
          <w:szCs w:val="22"/>
          <w:lang w:eastAsia="en-US"/>
        </w:rPr>
        <w:t>, 24</w:t>
      </w:r>
      <w:r w:rsidR="0029693F">
        <w:rPr>
          <w:color w:val="000000"/>
          <w:szCs w:val="22"/>
          <w:lang w:eastAsia="en-US"/>
        </w:rPr>
        <w:t>x1</w:t>
      </w:r>
      <w:r w:rsidRPr="00BE7FAC">
        <w:rPr>
          <w:color w:val="000000"/>
          <w:szCs w:val="22"/>
          <w:lang w:eastAsia="en-US"/>
        </w:rPr>
        <w:t>, 36</w:t>
      </w:r>
      <w:r w:rsidR="0029693F">
        <w:rPr>
          <w:color w:val="000000"/>
          <w:szCs w:val="22"/>
          <w:lang w:eastAsia="en-US"/>
        </w:rPr>
        <w:t>x1</w:t>
      </w:r>
      <w:r w:rsidRPr="00BE7FAC">
        <w:rPr>
          <w:color w:val="000000"/>
          <w:szCs w:val="22"/>
          <w:lang w:eastAsia="en-US"/>
        </w:rPr>
        <w:t>, 48</w:t>
      </w:r>
      <w:r w:rsidR="0029693F">
        <w:rPr>
          <w:color w:val="000000"/>
          <w:szCs w:val="22"/>
          <w:lang w:eastAsia="en-US"/>
        </w:rPr>
        <w:t>x1</w:t>
      </w:r>
      <w:r w:rsidRPr="00A333F1">
        <w:rPr>
          <w:color w:val="000000"/>
        </w:rPr>
        <w:t xml:space="preserve"> tabletės</w:t>
      </w:r>
    </w:p>
    <w:p w14:paraId="2B064298" w14:textId="527B2C16" w:rsidR="00430ECD" w:rsidRPr="00A333F1" w:rsidRDefault="00430ECD" w:rsidP="00A333F1">
      <w:pPr>
        <w:autoSpaceDE w:val="0"/>
        <w:autoSpaceDN w:val="0"/>
        <w:adjustRightInd w:val="0"/>
        <w:rPr>
          <w:color w:val="000000"/>
        </w:rPr>
      </w:pPr>
      <w:r w:rsidRPr="00A333F1">
        <w:rPr>
          <w:i/>
        </w:rPr>
        <w:t>20</w:t>
      </w:r>
      <w:r w:rsidR="00E908FA" w:rsidRPr="00A333F1">
        <w:rPr>
          <w:i/>
        </w:rPr>
        <w:t> </w:t>
      </w:r>
      <w:r w:rsidRPr="00A333F1">
        <w:rPr>
          <w:i/>
        </w:rPr>
        <w:t>mg</w:t>
      </w:r>
      <w:r w:rsidRPr="00A333F1">
        <w:rPr>
          <w:i/>
          <w:color w:val="000000"/>
        </w:rPr>
        <w:t xml:space="preserve">: </w:t>
      </w:r>
      <w:r w:rsidRPr="00BE7FAC">
        <w:rPr>
          <w:color w:val="000000"/>
          <w:szCs w:val="22"/>
          <w:lang w:eastAsia="en-US"/>
        </w:rPr>
        <w:t>2</w:t>
      </w:r>
      <w:r w:rsidR="0029693F">
        <w:rPr>
          <w:color w:val="000000"/>
          <w:szCs w:val="22"/>
          <w:lang w:eastAsia="en-US"/>
        </w:rPr>
        <w:t>x1</w:t>
      </w:r>
      <w:r w:rsidRPr="00BE7FAC">
        <w:rPr>
          <w:color w:val="000000"/>
          <w:szCs w:val="22"/>
          <w:lang w:eastAsia="en-US"/>
        </w:rPr>
        <w:t>, 4</w:t>
      </w:r>
      <w:r w:rsidR="0029693F">
        <w:rPr>
          <w:color w:val="000000"/>
          <w:szCs w:val="22"/>
          <w:lang w:eastAsia="en-US"/>
        </w:rPr>
        <w:t>x1</w:t>
      </w:r>
      <w:r w:rsidRPr="00BE7FAC">
        <w:rPr>
          <w:color w:val="000000"/>
          <w:szCs w:val="22"/>
          <w:lang w:eastAsia="en-US"/>
        </w:rPr>
        <w:t>, 8</w:t>
      </w:r>
      <w:r w:rsidR="0029693F">
        <w:rPr>
          <w:color w:val="000000"/>
          <w:szCs w:val="22"/>
          <w:lang w:eastAsia="en-US"/>
        </w:rPr>
        <w:t>x1</w:t>
      </w:r>
      <w:r w:rsidRPr="00BE7FAC">
        <w:rPr>
          <w:color w:val="000000"/>
          <w:szCs w:val="22"/>
          <w:lang w:eastAsia="en-US"/>
        </w:rPr>
        <w:t>, 12</w:t>
      </w:r>
      <w:r w:rsidR="0029693F">
        <w:rPr>
          <w:color w:val="000000"/>
          <w:szCs w:val="22"/>
          <w:lang w:eastAsia="en-US"/>
        </w:rPr>
        <w:t>x1</w:t>
      </w:r>
      <w:r w:rsidRPr="00BE7FAC">
        <w:rPr>
          <w:color w:val="000000"/>
          <w:szCs w:val="22"/>
          <w:lang w:eastAsia="en-US"/>
        </w:rPr>
        <w:t>, 14</w:t>
      </w:r>
      <w:r w:rsidR="0029693F">
        <w:rPr>
          <w:color w:val="000000"/>
          <w:szCs w:val="22"/>
          <w:lang w:eastAsia="en-US"/>
        </w:rPr>
        <w:t>x1</w:t>
      </w:r>
      <w:r w:rsidRPr="00BE7FAC">
        <w:rPr>
          <w:color w:val="000000"/>
          <w:szCs w:val="22"/>
          <w:lang w:eastAsia="en-US"/>
        </w:rPr>
        <w:t>, 24</w:t>
      </w:r>
      <w:r w:rsidR="0029693F">
        <w:rPr>
          <w:color w:val="000000"/>
          <w:szCs w:val="22"/>
          <w:lang w:eastAsia="en-US"/>
        </w:rPr>
        <w:t>x1</w:t>
      </w:r>
      <w:r w:rsidRPr="00BE7FAC">
        <w:rPr>
          <w:color w:val="000000"/>
          <w:szCs w:val="22"/>
          <w:lang w:eastAsia="en-US"/>
        </w:rPr>
        <w:t>, 28</w:t>
      </w:r>
      <w:r w:rsidR="0029693F">
        <w:rPr>
          <w:color w:val="000000"/>
          <w:szCs w:val="22"/>
          <w:lang w:eastAsia="en-US"/>
        </w:rPr>
        <w:t>x1</w:t>
      </w:r>
      <w:r w:rsidRPr="00BE7FAC">
        <w:rPr>
          <w:color w:val="000000"/>
          <w:szCs w:val="22"/>
          <w:lang w:eastAsia="en-US"/>
        </w:rPr>
        <w:t>, 36</w:t>
      </w:r>
      <w:r w:rsidR="0029693F">
        <w:rPr>
          <w:color w:val="000000"/>
          <w:szCs w:val="22"/>
          <w:lang w:eastAsia="en-US"/>
        </w:rPr>
        <w:t>x1</w:t>
      </w:r>
      <w:r w:rsidRPr="00BE7FAC">
        <w:rPr>
          <w:color w:val="000000"/>
          <w:szCs w:val="22"/>
          <w:lang w:eastAsia="en-US"/>
        </w:rPr>
        <w:t>, 48</w:t>
      </w:r>
      <w:r w:rsidR="0029693F">
        <w:rPr>
          <w:color w:val="000000"/>
          <w:szCs w:val="22"/>
          <w:lang w:eastAsia="en-US"/>
        </w:rPr>
        <w:t>x1</w:t>
      </w:r>
      <w:r w:rsidRPr="00A333F1">
        <w:rPr>
          <w:color w:val="000000"/>
        </w:rPr>
        <w:t xml:space="preserve"> tabletės</w:t>
      </w:r>
    </w:p>
    <w:p w14:paraId="2A359211" w14:textId="77777777" w:rsidR="00430ECD" w:rsidRPr="00A333F1" w:rsidRDefault="00430ECD" w:rsidP="00A333F1"/>
    <w:p w14:paraId="64316FA3" w14:textId="77777777" w:rsidR="00430ECD" w:rsidRPr="00A333F1" w:rsidRDefault="00430ECD" w:rsidP="00A333F1">
      <w:r w:rsidRPr="00A333F1">
        <w:t>Gali būti tiekiamos ne visų dydžių pakuotės.</w:t>
      </w:r>
    </w:p>
    <w:p w14:paraId="5794BBC5" w14:textId="77777777" w:rsidR="00430ECD" w:rsidRPr="00A333F1" w:rsidRDefault="00430ECD" w:rsidP="00A333F1"/>
    <w:p w14:paraId="7FF4628F" w14:textId="77777777" w:rsidR="00FD5C4A" w:rsidRPr="00A333F1" w:rsidRDefault="00FD5C4A" w:rsidP="00A333F1">
      <w:pPr>
        <w:rPr>
          <w:b/>
        </w:rPr>
      </w:pPr>
      <w:r w:rsidRPr="00A333F1">
        <w:rPr>
          <w:b/>
        </w:rPr>
        <w:t>R</w:t>
      </w:r>
      <w:r w:rsidR="00BB5469" w:rsidRPr="00A333F1">
        <w:rPr>
          <w:b/>
        </w:rPr>
        <w:t>egistruotojas</w:t>
      </w:r>
      <w:r w:rsidRPr="00A333F1">
        <w:rPr>
          <w:b/>
        </w:rPr>
        <w:t xml:space="preserve"> ir gamintojas</w:t>
      </w:r>
    </w:p>
    <w:p w14:paraId="5D75FAAA" w14:textId="77777777" w:rsidR="00430ECD" w:rsidRPr="00A333F1" w:rsidRDefault="00430ECD" w:rsidP="00A333F1">
      <w:pPr>
        <w:jc w:val="both"/>
      </w:pPr>
    </w:p>
    <w:p w14:paraId="121E2932" w14:textId="77777777" w:rsidR="00430ECD" w:rsidRPr="00A333F1" w:rsidRDefault="00430ECD" w:rsidP="00A333F1">
      <w:pPr>
        <w:jc w:val="both"/>
        <w:rPr>
          <w:i/>
        </w:rPr>
      </w:pPr>
      <w:r w:rsidRPr="00A333F1">
        <w:rPr>
          <w:i/>
        </w:rPr>
        <w:t>Registruotojas</w:t>
      </w:r>
    </w:p>
    <w:p w14:paraId="2A1F2A0C" w14:textId="77777777" w:rsidR="00430ECD" w:rsidRPr="00A333F1" w:rsidRDefault="00430ECD" w:rsidP="00A333F1">
      <w:r w:rsidRPr="00A333F1">
        <w:t>Sandoz d.d.</w:t>
      </w:r>
    </w:p>
    <w:p w14:paraId="089CE1C2" w14:textId="77777777" w:rsidR="00430ECD" w:rsidRPr="00A333F1" w:rsidRDefault="00430ECD" w:rsidP="00A333F1">
      <w:r w:rsidRPr="00A333F1">
        <w:t>Verovškova 57</w:t>
      </w:r>
    </w:p>
    <w:p w14:paraId="058D8953" w14:textId="77777777" w:rsidR="00430ECD" w:rsidRPr="00A333F1" w:rsidRDefault="00430ECD" w:rsidP="00A333F1">
      <w:r w:rsidRPr="00A333F1">
        <w:t>SI-1000 Ljubljana</w:t>
      </w:r>
    </w:p>
    <w:p w14:paraId="21D9F152" w14:textId="77777777" w:rsidR="00430ECD" w:rsidRPr="00A333F1" w:rsidRDefault="00430ECD" w:rsidP="00A333F1">
      <w:r w:rsidRPr="00A333F1">
        <w:t>Slovėnija</w:t>
      </w:r>
    </w:p>
    <w:p w14:paraId="410BAB29" w14:textId="77777777" w:rsidR="00430ECD" w:rsidRPr="00A333F1" w:rsidRDefault="00430ECD" w:rsidP="00A333F1"/>
    <w:p w14:paraId="77B20B99" w14:textId="77777777" w:rsidR="00430ECD" w:rsidRPr="00A333F1" w:rsidRDefault="00430ECD" w:rsidP="00A333F1">
      <w:pPr>
        <w:jc w:val="both"/>
        <w:rPr>
          <w:i/>
        </w:rPr>
      </w:pPr>
      <w:r w:rsidRPr="00A333F1">
        <w:rPr>
          <w:i/>
        </w:rPr>
        <w:t>Gamintojas</w:t>
      </w:r>
    </w:p>
    <w:p w14:paraId="2A90BF0A" w14:textId="77777777" w:rsidR="009A26F1" w:rsidRPr="00A333F1" w:rsidRDefault="009A26F1" w:rsidP="00A333F1">
      <w:r w:rsidRPr="00A333F1">
        <w:t xml:space="preserve">TEVA Pharma, S.L.U. </w:t>
      </w:r>
    </w:p>
    <w:p w14:paraId="0DFD9D9B" w14:textId="77777777" w:rsidR="009A26F1" w:rsidRPr="00A333F1" w:rsidRDefault="009A26F1" w:rsidP="00A333F1">
      <w:r w:rsidRPr="00A333F1">
        <w:t xml:space="preserve">Polígono Industrial Malpica, </w:t>
      </w:r>
    </w:p>
    <w:p w14:paraId="5593F4E9" w14:textId="77777777" w:rsidR="009A26F1" w:rsidRPr="00A333F1" w:rsidRDefault="009A26F1" w:rsidP="00A333F1">
      <w:r w:rsidRPr="00A333F1">
        <w:t xml:space="preserve">C/C, nº4, 50016, Zaragoza, </w:t>
      </w:r>
    </w:p>
    <w:p w14:paraId="282771ED" w14:textId="73EA4AE3" w:rsidR="009A26F1" w:rsidRPr="00A333F1" w:rsidRDefault="009A26F1" w:rsidP="00A333F1">
      <w:r w:rsidRPr="00A333F1">
        <w:t>Ispanija</w:t>
      </w:r>
    </w:p>
    <w:p w14:paraId="7E47EE4E" w14:textId="77777777" w:rsidR="0029693F" w:rsidRPr="00797CDB" w:rsidRDefault="0029693F" w:rsidP="00797CDB"/>
    <w:p w14:paraId="102A584D" w14:textId="77777777" w:rsidR="0029693F" w:rsidRDefault="0029693F" w:rsidP="0029693F">
      <w:pPr>
        <w:rPr>
          <w:szCs w:val="22"/>
        </w:rPr>
      </w:pPr>
      <w:r>
        <w:rPr>
          <w:szCs w:val="22"/>
        </w:rPr>
        <w:t>arba</w:t>
      </w:r>
    </w:p>
    <w:p w14:paraId="438A366C" w14:textId="77777777" w:rsidR="0029693F" w:rsidRDefault="0029693F" w:rsidP="0029693F">
      <w:pPr>
        <w:rPr>
          <w:szCs w:val="22"/>
        </w:rPr>
      </w:pPr>
    </w:p>
    <w:p w14:paraId="2856ACC5" w14:textId="77777777" w:rsidR="0029693F" w:rsidRPr="00700071" w:rsidRDefault="0029693F" w:rsidP="0029693F">
      <w:pPr>
        <w:rPr>
          <w:szCs w:val="22"/>
        </w:rPr>
      </w:pPr>
      <w:r w:rsidRPr="00700071">
        <w:rPr>
          <w:szCs w:val="22"/>
        </w:rPr>
        <w:t xml:space="preserve">Lek Pharmaceuticals d.d., </w:t>
      </w:r>
    </w:p>
    <w:p w14:paraId="202ECBBF" w14:textId="77777777" w:rsidR="0029693F" w:rsidRDefault="0029693F" w:rsidP="0029693F">
      <w:pPr>
        <w:rPr>
          <w:szCs w:val="22"/>
        </w:rPr>
      </w:pPr>
      <w:r w:rsidRPr="00700071">
        <w:rPr>
          <w:szCs w:val="22"/>
        </w:rPr>
        <w:t xml:space="preserve">Verovškova 57, </w:t>
      </w:r>
    </w:p>
    <w:p w14:paraId="3E4B317C" w14:textId="77777777" w:rsidR="0029693F" w:rsidRPr="00700071" w:rsidRDefault="0029693F" w:rsidP="0029693F">
      <w:pPr>
        <w:rPr>
          <w:szCs w:val="22"/>
        </w:rPr>
      </w:pPr>
      <w:r w:rsidRPr="00700071">
        <w:rPr>
          <w:szCs w:val="22"/>
        </w:rPr>
        <w:t xml:space="preserve">1526 Ljubljana, </w:t>
      </w:r>
    </w:p>
    <w:p w14:paraId="65B62661" w14:textId="77777777" w:rsidR="0029693F" w:rsidRDefault="0029693F" w:rsidP="0029693F">
      <w:pPr>
        <w:rPr>
          <w:szCs w:val="22"/>
        </w:rPr>
      </w:pPr>
      <w:r>
        <w:rPr>
          <w:szCs w:val="22"/>
        </w:rPr>
        <w:t>Slovėnija</w:t>
      </w:r>
    </w:p>
    <w:p w14:paraId="6AC1778E" w14:textId="25390195" w:rsidR="0029693F" w:rsidRDefault="0029693F" w:rsidP="009A26F1">
      <w:pPr>
        <w:rPr>
          <w:szCs w:val="22"/>
        </w:rPr>
      </w:pPr>
    </w:p>
    <w:p w14:paraId="7C3A0C6E" w14:textId="77777777" w:rsidR="00430ECD" w:rsidRPr="00430ECD" w:rsidRDefault="00430ECD" w:rsidP="00430ECD">
      <w:pPr>
        <w:tabs>
          <w:tab w:val="left" w:pos="567"/>
          <w:tab w:val="left" w:pos="3060"/>
        </w:tabs>
        <w:rPr>
          <w:rFonts w:eastAsia="Calibri"/>
          <w:noProof/>
          <w:szCs w:val="22"/>
          <w:highlight w:val="yellow"/>
          <w:lang w:eastAsia="en-US"/>
        </w:rPr>
      </w:pPr>
    </w:p>
    <w:p w14:paraId="59FBDE28" w14:textId="77777777" w:rsidR="00430ECD" w:rsidRPr="00A333F1" w:rsidRDefault="00430ECD" w:rsidP="00A333F1">
      <w:pPr>
        <w:tabs>
          <w:tab w:val="left" w:pos="567"/>
          <w:tab w:val="left" w:pos="3060"/>
        </w:tabs>
        <w:autoSpaceDE w:val="0"/>
        <w:autoSpaceDN w:val="0"/>
        <w:adjustRightInd w:val="0"/>
      </w:pPr>
      <w:r w:rsidRPr="00A333F1">
        <w:t>Jeigu apie šį vaistą norite sužinoti daugiau, kreipkitės į vietinį registruotojo atstovą.</w:t>
      </w:r>
    </w:p>
    <w:p w14:paraId="2E868AA9" w14:textId="77777777" w:rsidR="00430ECD" w:rsidRPr="00A333F1" w:rsidRDefault="00430ECD" w:rsidP="00A333F1">
      <w:pPr>
        <w:keepNext/>
        <w:outlineLvl w:val="0"/>
      </w:pPr>
    </w:p>
    <w:p w14:paraId="7A823EF9" w14:textId="77777777" w:rsidR="00430ECD" w:rsidRPr="00A333F1" w:rsidRDefault="00430ECD" w:rsidP="00A333F1">
      <w:pPr>
        <w:tabs>
          <w:tab w:val="left" w:pos="567"/>
        </w:tabs>
        <w:jc w:val="both"/>
      </w:pPr>
      <w:r w:rsidRPr="00A333F1">
        <w:t>Sandoz Pharmaceuticals d.d. filialas</w:t>
      </w:r>
    </w:p>
    <w:p w14:paraId="326FCB29" w14:textId="77777777" w:rsidR="00430ECD" w:rsidRPr="00A333F1" w:rsidRDefault="00430ECD" w:rsidP="00A333F1">
      <w:pPr>
        <w:tabs>
          <w:tab w:val="left" w:pos="567"/>
          <w:tab w:val="left" w:pos="3060"/>
        </w:tabs>
      </w:pPr>
      <w:r w:rsidRPr="00A333F1">
        <w:t>El. paštas: info.lithuania@sandoz.com</w:t>
      </w:r>
    </w:p>
    <w:p w14:paraId="05D1B74B" w14:textId="77777777" w:rsidR="00430ECD" w:rsidRPr="00A333F1" w:rsidRDefault="00430ECD" w:rsidP="00A333F1">
      <w:pPr>
        <w:tabs>
          <w:tab w:val="left" w:pos="567"/>
          <w:tab w:val="left" w:pos="3060"/>
        </w:tabs>
      </w:pPr>
    </w:p>
    <w:p w14:paraId="59717217" w14:textId="77777777" w:rsidR="00430ECD" w:rsidRPr="00A333F1" w:rsidRDefault="00430ECD" w:rsidP="00A333F1">
      <w:pPr>
        <w:numPr>
          <w:ilvl w:val="12"/>
          <w:numId w:val="0"/>
        </w:numPr>
        <w:tabs>
          <w:tab w:val="left" w:pos="567"/>
        </w:tabs>
        <w:ind w:right="-2"/>
      </w:pPr>
      <w:r w:rsidRPr="00A333F1">
        <w:rPr>
          <w:b/>
        </w:rPr>
        <w:t>Šis vaistas EEE valstybėse narėse registruotas tokiais pavadinimais</w:t>
      </w:r>
      <w:r w:rsidRPr="00A333F1">
        <w:t>:</w:t>
      </w:r>
    </w:p>
    <w:p w14:paraId="7032BEE2" w14:textId="77777777" w:rsidR="00882BF1" w:rsidRPr="00A333F1" w:rsidRDefault="00882BF1" w:rsidP="00A333F1">
      <w:pPr>
        <w:numPr>
          <w:ilvl w:val="12"/>
          <w:numId w:val="0"/>
        </w:numPr>
        <w:tabs>
          <w:tab w:val="left" w:pos="567"/>
        </w:tabs>
        <w:ind w:right="-2"/>
      </w:pPr>
    </w:p>
    <w:tbl>
      <w:tblPr>
        <w:tblStyle w:val="Lentelstinklelis"/>
        <w:tblW w:w="0" w:type="auto"/>
        <w:tblLook w:val="04A0" w:firstRow="1" w:lastRow="0" w:firstColumn="1" w:lastColumn="0" w:noHBand="0" w:noVBand="1"/>
      </w:tblPr>
      <w:tblGrid>
        <w:gridCol w:w="4530"/>
        <w:gridCol w:w="4530"/>
      </w:tblGrid>
      <w:tr w:rsidR="00882BF1" w14:paraId="0DB7961B" w14:textId="77777777" w:rsidTr="00882BF1">
        <w:tc>
          <w:tcPr>
            <w:tcW w:w="4530" w:type="dxa"/>
          </w:tcPr>
          <w:p w14:paraId="65D1DED5" w14:textId="77777777" w:rsidR="00882BF1" w:rsidRDefault="00882BF1" w:rsidP="00430ECD">
            <w:pPr>
              <w:numPr>
                <w:ilvl w:val="12"/>
                <w:numId w:val="0"/>
              </w:numPr>
              <w:tabs>
                <w:tab w:val="left" w:pos="567"/>
              </w:tabs>
              <w:ind w:right="-2"/>
              <w:rPr>
                <w:color w:val="000000"/>
                <w:szCs w:val="22"/>
                <w:lang w:eastAsia="zh-TW"/>
              </w:rPr>
            </w:pPr>
            <w:r>
              <w:rPr>
                <w:color w:val="000000"/>
                <w:szCs w:val="22"/>
                <w:lang w:eastAsia="zh-TW"/>
              </w:rPr>
              <w:t>Nyderlandai, Airija, Austrija, Belgija, Danija, Estija, Graikija, Latvija, Lietuva, Portugalija, Prancūzija, Slovakija, Slovėnija, Vokietija</w:t>
            </w:r>
          </w:p>
          <w:p w14:paraId="3F5E7F99" w14:textId="77777777" w:rsidR="00882BF1" w:rsidRDefault="00882BF1" w:rsidP="00430ECD">
            <w:pPr>
              <w:numPr>
                <w:ilvl w:val="12"/>
                <w:numId w:val="0"/>
              </w:numPr>
              <w:tabs>
                <w:tab w:val="left" w:pos="567"/>
              </w:tabs>
              <w:ind w:right="-2"/>
              <w:rPr>
                <w:szCs w:val="22"/>
                <w:lang w:eastAsia="zh-TW"/>
              </w:rPr>
            </w:pPr>
          </w:p>
        </w:tc>
        <w:tc>
          <w:tcPr>
            <w:tcW w:w="4530" w:type="dxa"/>
          </w:tcPr>
          <w:p w14:paraId="2751F1D7" w14:textId="77777777" w:rsidR="00882BF1" w:rsidRDefault="00882BF1" w:rsidP="00430ECD">
            <w:pPr>
              <w:numPr>
                <w:ilvl w:val="12"/>
                <w:numId w:val="0"/>
              </w:numPr>
              <w:tabs>
                <w:tab w:val="left" w:pos="567"/>
              </w:tabs>
              <w:ind w:right="-2"/>
              <w:rPr>
                <w:szCs w:val="22"/>
                <w:lang w:eastAsia="zh-TW"/>
              </w:rPr>
            </w:pPr>
            <w:r>
              <w:rPr>
                <w:color w:val="000000"/>
                <w:szCs w:val="22"/>
                <w:lang w:eastAsia="zh-TW"/>
              </w:rPr>
              <w:t>Quator</w:t>
            </w:r>
          </w:p>
        </w:tc>
      </w:tr>
    </w:tbl>
    <w:p w14:paraId="57064AD8" w14:textId="77777777" w:rsidR="00882BF1" w:rsidRPr="00A333F1" w:rsidRDefault="00882BF1" w:rsidP="00A333F1">
      <w:pPr>
        <w:numPr>
          <w:ilvl w:val="12"/>
          <w:numId w:val="0"/>
        </w:numPr>
        <w:tabs>
          <w:tab w:val="left" w:pos="567"/>
        </w:tabs>
        <w:ind w:right="-2"/>
      </w:pPr>
    </w:p>
    <w:p w14:paraId="277233C9" w14:textId="77777777" w:rsidR="00430ECD" w:rsidRPr="00A333F1" w:rsidRDefault="00430ECD" w:rsidP="00A333F1">
      <w:pPr>
        <w:tabs>
          <w:tab w:val="left" w:pos="567"/>
        </w:tabs>
      </w:pPr>
    </w:p>
    <w:p w14:paraId="63396E66" w14:textId="6BC9A5C6" w:rsidR="00430ECD" w:rsidRPr="00A333F1" w:rsidRDefault="00430ECD" w:rsidP="00A333F1">
      <w:r w:rsidRPr="00A333F1">
        <w:rPr>
          <w:b/>
        </w:rPr>
        <w:t>Šis pakuotės lapelis paskutinį kartą peržiūrėtas</w:t>
      </w:r>
      <w:r w:rsidR="00797CDB">
        <w:rPr>
          <w:b/>
        </w:rPr>
        <w:t xml:space="preserve"> </w:t>
      </w:r>
      <w:r w:rsidR="003F18BD">
        <w:rPr>
          <w:b/>
        </w:rPr>
        <w:t>2</w:t>
      </w:r>
      <w:r w:rsidR="00D455CE">
        <w:rPr>
          <w:b/>
        </w:rPr>
        <w:t>024-0</w:t>
      </w:r>
      <w:r w:rsidR="006E40EA">
        <w:rPr>
          <w:b/>
        </w:rPr>
        <w:t>5-05.</w:t>
      </w:r>
    </w:p>
    <w:p w14:paraId="2D4D2ABA" w14:textId="77777777" w:rsidR="00430ECD" w:rsidRPr="00A333F1" w:rsidRDefault="00430ECD" w:rsidP="00A333F1">
      <w:pPr>
        <w:tabs>
          <w:tab w:val="left" w:pos="567"/>
        </w:tabs>
      </w:pPr>
    </w:p>
    <w:p w14:paraId="046CFC16" w14:textId="216BC4F0" w:rsidR="00430ECD" w:rsidRPr="00A333F1" w:rsidRDefault="00430ECD" w:rsidP="00A333F1">
      <w:pPr>
        <w:tabs>
          <w:tab w:val="left" w:pos="567"/>
        </w:tabs>
      </w:pPr>
      <w:r w:rsidRPr="00A333F1">
        <w:t>Išsami informacija apie šį vaistą pateikiama Valstybinės vaistų kontrolės tarnybos prie Lietuvos Respublikos sveikatos apsaugos ministerijos tinklalapyje</w:t>
      </w:r>
      <w:r w:rsidRPr="00A333F1">
        <w:rPr>
          <w:i/>
        </w:rPr>
        <w:t xml:space="preserve"> </w:t>
      </w:r>
      <w:hyperlink r:id="rId12" w:history="1">
        <w:r w:rsidR="009077A4" w:rsidRPr="00797CDB">
          <w:rPr>
            <w:rFonts w:eastAsia="SimSun"/>
            <w:color w:val="0000FF"/>
            <w:u w:val="single"/>
          </w:rPr>
          <w:t>http://www.vvkt.lt/</w:t>
        </w:r>
      </w:hyperlink>
      <w:r w:rsidRPr="00A333F1">
        <w:t>.</w:t>
      </w:r>
    </w:p>
    <w:p w14:paraId="3E6EF9CA" w14:textId="77AB8C84" w:rsidR="00B56D2D" w:rsidRPr="00A333F1" w:rsidRDefault="00B56D2D" w:rsidP="00A333F1">
      <w:pPr>
        <w:tabs>
          <w:tab w:val="left" w:pos="567"/>
        </w:tabs>
      </w:pPr>
    </w:p>
    <w:p w14:paraId="0B3A9EC4" w14:textId="77777777" w:rsidR="00B56D2D" w:rsidRPr="00430ECD" w:rsidRDefault="00B56D2D" w:rsidP="00797CDB">
      <w:pPr>
        <w:tabs>
          <w:tab w:val="left" w:pos="567"/>
        </w:tabs>
        <w:rPr>
          <w:szCs w:val="22"/>
          <w:lang w:eastAsia="zh-TW"/>
        </w:rPr>
      </w:pPr>
    </w:p>
    <w:sectPr w:rsidR="00B56D2D" w:rsidRPr="00430ECD" w:rsidSect="00F1648C">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58E36" w14:textId="77777777" w:rsidR="006E40EA" w:rsidRDefault="006E40EA" w:rsidP="00A333F1">
      <w:r>
        <w:separator/>
      </w:r>
    </w:p>
  </w:endnote>
  <w:endnote w:type="continuationSeparator" w:id="0">
    <w:p w14:paraId="5CB5ECEF" w14:textId="77777777" w:rsidR="006E40EA" w:rsidRDefault="006E40EA" w:rsidP="00A333F1">
      <w:r>
        <w:continuationSeparator/>
      </w:r>
    </w:p>
  </w:endnote>
  <w:endnote w:type="continuationNotice" w:id="1">
    <w:p w14:paraId="65A07CB8" w14:textId="77777777" w:rsidR="006E40EA" w:rsidRDefault="006E40EA" w:rsidP="00A33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w:panose1 w:val="020703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F9BA7" w14:textId="673BAD15" w:rsidR="00E37FD8" w:rsidRDefault="00E37FD8">
    <w:pPr>
      <w:pStyle w:val="Porat"/>
      <w:jc w:val="center"/>
    </w:pPr>
    <w:r>
      <w:fldChar w:fldCharType="begin"/>
    </w:r>
    <w:r>
      <w:instrText>PAGE   \* MERGEFORMAT</w:instrText>
    </w:r>
    <w:r>
      <w:fldChar w:fldCharType="separate"/>
    </w:r>
    <w:r w:rsidR="00825C47">
      <w:rPr>
        <w:noProof/>
      </w:rPr>
      <w:t>1</w:t>
    </w:r>
    <w:r>
      <w:fldChar w:fldCharType="end"/>
    </w:r>
  </w:p>
  <w:p w14:paraId="45D33055" w14:textId="77777777" w:rsidR="00E37FD8" w:rsidRDefault="00E37F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3192" w14:textId="77777777" w:rsidR="006E40EA" w:rsidRDefault="006E40EA" w:rsidP="00A333F1">
      <w:r>
        <w:separator/>
      </w:r>
    </w:p>
  </w:footnote>
  <w:footnote w:type="continuationSeparator" w:id="0">
    <w:p w14:paraId="157DEA66" w14:textId="77777777" w:rsidR="006E40EA" w:rsidRDefault="006E40EA" w:rsidP="00A333F1">
      <w:r>
        <w:continuationSeparator/>
      </w:r>
    </w:p>
  </w:footnote>
  <w:footnote w:type="continuationNotice" w:id="1">
    <w:p w14:paraId="08C26887" w14:textId="77777777" w:rsidR="006E40EA" w:rsidRDefault="006E40EA" w:rsidP="00A333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45D2" w14:textId="77777777" w:rsidR="00E37FD8" w:rsidRDefault="00E37F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11"/>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16"/>
    <w:lvl w:ilvl="0">
      <w:start w:val="1"/>
      <w:numFmt w:val="decimal"/>
      <w:lvlText w:val="%1."/>
      <w:lvlJc w:val="left"/>
      <w:pPr>
        <w:tabs>
          <w:tab w:val="num" w:pos="570"/>
        </w:tabs>
        <w:ind w:left="570" w:hanging="570"/>
      </w:pPr>
      <w:rPr>
        <w:rFonts w:cs="Times New Roman"/>
      </w:rPr>
    </w:lvl>
  </w:abstractNum>
  <w:abstractNum w:abstractNumId="6" w15:restartNumberingAfterBreak="0">
    <w:nsid w:val="00000007"/>
    <w:multiLevelType w:val="singleLevel"/>
    <w:tmpl w:val="00000007"/>
    <w:name w:val="WW8Num17"/>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18"/>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9"/>
    <w:multiLevelType w:val="singleLevel"/>
    <w:tmpl w:val="00000009"/>
    <w:name w:val="WW8Num23"/>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A"/>
    <w:multiLevelType w:val="singleLevel"/>
    <w:tmpl w:val="0000000A"/>
    <w:name w:val="WW8Num24"/>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B"/>
    <w:multiLevelType w:val="singleLevel"/>
    <w:tmpl w:val="0000000B"/>
    <w:name w:val="WW8Num29"/>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singleLevel"/>
    <w:tmpl w:val="0000000C"/>
    <w:name w:val="WW8Num30"/>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D"/>
    <w:multiLevelType w:val="singleLevel"/>
    <w:tmpl w:val="0000000D"/>
    <w:name w:val="WW8Num32"/>
    <w:lvl w:ilvl="0">
      <w:start w:val="2"/>
      <w:numFmt w:val="decimal"/>
      <w:lvlText w:val="%1."/>
      <w:lvlJc w:val="left"/>
      <w:pPr>
        <w:tabs>
          <w:tab w:val="num" w:pos="570"/>
        </w:tabs>
        <w:ind w:left="570" w:hanging="570"/>
      </w:pPr>
      <w:rPr>
        <w:rFonts w:cs="Times New Roman"/>
      </w:rPr>
    </w:lvl>
  </w:abstractNum>
  <w:abstractNum w:abstractNumId="13" w15:restartNumberingAfterBreak="0">
    <w:nsid w:val="0000000E"/>
    <w:multiLevelType w:val="singleLevel"/>
    <w:tmpl w:val="0000000E"/>
    <w:name w:val="WW8Num36"/>
    <w:lvl w:ilvl="0">
      <w:start w:val="5"/>
      <w:numFmt w:val="decimal"/>
      <w:lvlText w:val="%1."/>
      <w:lvlJc w:val="left"/>
      <w:pPr>
        <w:tabs>
          <w:tab w:val="num" w:pos="570"/>
        </w:tabs>
        <w:ind w:left="570" w:hanging="570"/>
      </w:pPr>
      <w:rPr>
        <w:rFonts w:cs="Times New Roman"/>
      </w:rPr>
    </w:lvl>
  </w:abstractNum>
  <w:abstractNum w:abstractNumId="14" w15:restartNumberingAfterBreak="0">
    <w:nsid w:val="0000000F"/>
    <w:multiLevelType w:val="singleLevel"/>
    <w:tmpl w:val="0000000F"/>
    <w:name w:val="WW8Num39"/>
    <w:lvl w:ilvl="0">
      <w:start w:val="1"/>
      <w:numFmt w:val="bullet"/>
      <w:lvlText w:val=""/>
      <w:lvlJc w:val="left"/>
      <w:pPr>
        <w:tabs>
          <w:tab w:val="num" w:pos="0"/>
        </w:tabs>
        <w:ind w:left="720" w:hanging="360"/>
      </w:pPr>
      <w:rPr>
        <w:rFonts w:ascii="Symbol" w:hAnsi="Symbol"/>
      </w:rPr>
    </w:lvl>
  </w:abstractNum>
  <w:abstractNum w:abstractNumId="15" w15:restartNumberingAfterBreak="0">
    <w:nsid w:val="00AF77E2"/>
    <w:multiLevelType w:val="hybridMultilevel"/>
    <w:tmpl w:val="DB284F4A"/>
    <w:lvl w:ilvl="0" w:tplc="FFFFFFFF">
      <w:start w:val="1"/>
      <w:numFmt w:val="bullet"/>
      <w:lvlText w:val="-"/>
      <w:lvlJc w:val="left"/>
      <w:pPr>
        <w:ind w:left="135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56F2AA9"/>
    <w:multiLevelType w:val="hybridMultilevel"/>
    <w:tmpl w:val="7C8A4174"/>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9D5CFC"/>
    <w:multiLevelType w:val="hybridMultilevel"/>
    <w:tmpl w:val="FA984F6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F404886"/>
    <w:multiLevelType w:val="hybridMultilevel"/>
    <w:tmpl w:val="DAAA33AA"/>
    <w:lvl w:ilvl="0" w:tplc="64E407BE">
      <w:start w:val="1"/>
      <w:numFmt w:val="bullet"/>
      <w:lvlText w:val=""/>
      <w:lvlJc w:val="left"/>
      <w:pPr>
        <w:tabs>
          <w:tab w:val="num" w:pos="360"/>
        </w:tabs>
        <w:ind w:left="360" w:hanging="360"/>
      </w:pPr>
      <w:rPr>
        <w:rFonts w:ascii="Symbol" w:hAnsi="Symbol"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095F03"/>
    <w:multiLevelType w:val="hybridMultilevel"/>
    <w:tmpl w:val="5942A70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2C491820"/>
    <w:multiLevelType w:val="hybridMultilevel"/>
    <w:tmpl w:val="7A0EE2B4"/>
    <w:lvl w:ilvl="0" w:tplc="03E47A94">
      <w:numFmt w:val="bullet"/>
      <w:lvlText w:val="-"/>
      <w:lvlJc w:val="left"/>
      <w:pPr>
        <w:tabs>
          <w:tab w:val="num" w:pos="360"/>
        </w:tabs>
        <w:ind w:left="360" w:hanging="360"/>
      </w:pPr>
      <w:rPr>
        <w:rFonts w:ascii="Times New Roman" w:hAnsi="Times New Roman" w:cs="Times New Roman"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46A7C"/>
    <w:multiLevelType w:val="hybridMultilevel"/>
    <w:tmpl w:val="C6D08F56"/>
    <w:lvl w:ilvl="0" w:tplc="03E47A94">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11454D"/>
    <w:multiLevelType w:val="hybridMultilevel"/>
    <w:tmpl w:val="0DE2EFFA"/>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704AE3"/>
    <w:multiLevelType w:val="hybridMultilevel"/>
    <w:tmpl w:val="CB086528"/>
    <w:lvl w:ilvl="0" w:tplc="03E47A94">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674741"/>
    <w:multiLevelType w:val="hybridMultilevel"/>
    <w:tmpl w:val="8746EF7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481146"/>
    <w:multiLevelType w:val="hybridMultilevel"/>
    <w:tmpl w:val="B7BE67FA"/>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06150"/>
    <w:multiLevelType w:val="hybridMultilevel"/>
    <w:tmpl w:val="E5325752"/>
    <w:lvl w:ilvl="0" w:tplc="03E47A94">
      <w:numFmt w:val="bullet"/>
      <w:lvlText w:val="-"/>
      <w:lvlJc w:val="left"/>
      <w:pPr>
        <w:tabs>
          <w:tab w:val="num" w:pos="360"/>
        </w:tabs>
        <w:ind w:left="360" w:hanging="360"/>
      </w:pPr>
      <w:rPr>
        <w:rFonts w:ascii="Times New Roman" w:hAnsi="Times New Roman" w:cs="Times New Roman" w:hint="default"/>
        <w:color w:val="auto"/>
        <w:sz w:val="22"/>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23"/>
  </w:num>
  <w:num w:numId="4">
    <w:abstractNumId w:val="0"/>
    <w:lvlOverride w:ilvl="0">
      <w:lvl w:ilvl="0">
        <w:start w:val="1"/>
        <w:numFmt w:val="bullet"/>
        <w:lvlText w:val="-"/>
        <w:lvlJc w:val="left"/>
        <w:pPr>
          <w:ind w:left="360" w:hanging="360"/>
        </w:pPr>
      </w:lvl>
    </w:lvlOverride>
  </w:num>
  <w:num w:numId="5">
    <w:abstractNumId w:val="19"/>
  </w:num>
  <w:num w:numId="6">
    <w:abstractNumId w:val="26"/>
  </w:num>
  <w:num w:numId="7">
    <w:abstractNumId w:val="18"/>
  </w:num>
  <w:num w:numId="8">
    <w:abstractNumId w:val="27"/>
  </w:num>
  <w:num w:numId="9">
    <w:abstractNumId w:val="16"/>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5"/>
  </w:num>
  <w:num w:numId="13">
    <w:abstractNumId w:val="24"/>
  </w:num>
  <w:num w:numId="14">
    <w:abstractNumId w:val="22"/>
  </w:num>
  <w:num w:numId="15">
    <w:abstractNumId w:val="31"/>
  </w:num>
  <w:num w:numId="16">
    <w:abstractNumId w:val="32"/>
  </w:num>
  <w:num w:numId="17">
    <w:abstractNumId w:val="20"/>
  </w:num>
  <w:num w:numId="18">
    <w:abstractNumId w:val="17"/>
  </w:num>
  <w:num w:numId="1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0D1E"/>
    <w:rsid w:val="000018D5"/>
    <w:rsid w:val="000054BE"/>
    <w:rsid w:val="000065EE"/>
    <w:rsid w:val="00006AE9"/>
    <w:rsid w:val="00007291"/>
    <w:rsid w:val="00007B09"/>
    <w:rsid w:val="00010895"/>
    <w:rsid w:val="00014F3E"/>
    <w:rsid w:val="00015F7B"/>
    <w:rsid w:val="00016F02"/>
    <w:rsid w:val="00020380"/>
    <w:rsid w:val="00020587"/>
    <w:rsid w:val="00021677"/>
    <w:rsid w:val="0002186A"/>
    <w:rsid w:val="00022B71"/>
    <w:rsid w:val="00022DB9"/>
    <w:rsid w:val="00027D1D"/>
    <w:rsid w:val="00031230"/>
    <w:rsid w:val="000318B1"/>
    <w:rsid w:val="000356A9"/>
    <w:rsid w:val="0003673C"/>
    <w:rsid w:val="0003685A"/>
    <w:rsid w:val="0004001D"/>
    <w:rsid w:val="000423B2"/>
    <w:rsid w:val="00043AD4"/>
    <w:rsid w:val="00050024"/>
    <w:rsid w:val="00051960"/>
    <w:rsid w:val="00053885"/>
    <w:rsid w:val="000538ED"/>
    <w:rsid w:val="00060C2D"/>
    <w:rsid w:val="00062F35"/>
    <w:rsid w:val="00063E6D"/>
    <w:rsid w:val="000649BC"/>
    <w:rsid w:val="00065B13"/>
    <w:rsid w:val="00066299"/>
    <w:rsid w:val="0007212F"/>
    <w:rsid w:val="00073610"/>
    <w:rsid w:val="000736E6"/>
    <w:rsid w:val="00073AB2"/>
    <w:rsid w:val="000744CD"/>
    <w:rsid w:val="00074830"/>
    <w:rsid w:val="00074CC7"/>
    <w:rsid w:val="00074F9B"/>
    <w:rsid w:val="00084435"/>
    <w:rsid w:val="0008682D"/>
    <w:rsid w:val="00086CAD"/>
    <w:rsid w:val="0008715D"/>
    <w:rsid w:val="00092044"/>
    <w:rsid w:val="00092A50"/>
    <w:rsid w:val="0009306F"/>
    <w:rsid w:val="00093CB6"/>
    <w:rsid w:val="000A023B"/>
    <w:rsid w:val="000A248C"/>
    <w:rsid w:val="000A63D1"/>
    <w:rsid w:val="000A7604"/>
    <w:rsid w:val="000A7DDF"/>
    <w:rsid w:val="000B11D4"/>
    <w:rsid w:val="000B50AA"/>
    <w:rsid w:val="000B5A98"/>
    <w:rsid w:val="000B5CC7"/>
    <w:rsid w:val="000B6212"/>
    <w:rsid w:val="000C047D"/>
    <w:rsid w:val="000C08D0"/>
    <w:rsid w:val="000C3E3A"/>
    <w:rsid w:val="000C54A0"/>
    <w:rsid w:val="000C6845"/>
    <w:rsid w:val="000C6D02"/>
    <w:rsid w:val="000D01F7"/>
    <w:rsid w:val="000D428E"/>
    <w:rsid w:val="000D6250"/>
    <w:rsid w:val="000D627C"/>
    <w:rsid w:val="000D7B57"/>
    <w:rsid w:val="000E382F"/>
    <w:rsid w:val="000E40E9"/>
    <w:rsid w:val="000E7079"/>
    <w:rsid w:val="000F091A"/>
    <w:rsid w:val="000F6CDF"/>
    <w:rsid w:val="000F6D84"/>
    <w:rsid w:val="001078BB"/>
    <w:rsid w:val="00107C7E"/>
    <w:rsid w:val="00110049"/>
    <w:rsid w:val="00111EF0"/>
    <w:rsid w:val="001127E7"/>
    <w:rsid w:val="00112EFF"/>
    <w:rsid w:val="0011323B"/>
    <w:rsid w:val="00115BC4"/>
    <w:rsid w:val="001200BE"/>
    <w:rsid w:val="00120DE4"/>
    <w:rsid w:val="00124023"/>
    <w:rsid w:val="00124868"/>
    <w:rsid w:val="00126CB5"/>
    <w:rsid w:val="00130990"/>
    <w:rsid w:val="00130CD3"/>
    <w:rsid w:val="00131BE4"/>
    <w:rsid w:val="00135538"/>
    <w:rsid w:val="00136F81"/>
    <w:rsid w:val="00137569"/>
    <w:rsid w:val="0014145A"/>
    <w:rsid w:val="001435A1"/>
    <w:rsid w:val="00143E70"/>
    <w:rsid w:val="00146AC5"/>
    <w:rsid w:val="001477F1"/>
    <w:rsid w:val="00150C76"/>
    <w:rsid w:val="00152FC7"/>
    <w:rsid w:val="00154162"/>
    <w:rsid w:val="0015687C"/>
    <w:rsid w:val="00160418"/>
    <w:rsid w:val="0016148B"/>
    <w:rsid w:val="00164AD7"/>
    <w:rsid w:val="00164BAE"/>
    <w:rsid w:val="001700AC"/>
    <w:rsid w:val="001709D1"/>
    <w:rsid w:val="00171FA7"/>
    <w:rsid w:val="00173B75"/>
    <w:rsid w:val="00174A60"/>
    <w:rsid w:val="00176C5A"/>
    <w:rsid w:val="00180C48"/>
    <w:rsid w:val="001854B1"/>
    <w:rsid w:val="0018692C"/>
    <w:rsid w:val="001871B8"/>
    <w:rsid w:val="00187350"/>
    <w:rsid w:val="001879E7"/>
    <w:rsid w:val="00190E4A"/>
    <w:rsid w:val="001962F7"/>
    <w:rsid w:val="00196FD7"/>
    <w:rsid w:val="001A210D"/>
    <w:rsid w:val="001A4E11"/>
    <w:rsid w:val="001A5724"/>
    <w:rsid w:val="001A7AC2"/>
    <w:rsid w:val="001A7E3B"/>
    <w:rsid w:val="001B13A6"/>
    <w:rsid w:val="001B42EE"/>
    <w:rsid w:val="001B5F7C"/>
    <w:rsid w:val="001B7DA5"/>
    <w:rsid w:val="001C2BCE"/>
    <w:rsid w:val="001C4F36"/>
    <w:rsid w:val="001C587E"/>
    <w:rsid w:val="001D0454"/>
    <w:rsid w:val="001D06E6"/>
    <w:rsid w:val="001E0A93"/>
    <w:rsid w:val="001E1EDB"/>
    <w:rsid w:val="001E2FFA"/>
    <w:rsid w:val="001E31D6"/>
    <w:rsid w:val="001E6536"/>
    <w:rsid w:val="001F050A"/>
    <w:rsid w:val="001F0E20"/>
    <w:rsid w:val="001F1FE6"/>
    <w:rsid w:val="001F3236"/>
    <w:rsid w:val="001F3B1D"/>
    <w:rsid w:val="001F3BA2"/>
    <w:rsid w:val="001F445E"/>
    <w:rsid w:val="001F4B21"/>
    <w:rsid w:val="001F5D61"/>
    <w:rsid w:val="001F6125"/>
    <w:rsid w:val="00201557"/>
    <w:rsid w:val="00202731"/>
    <w:rsid w:val="00203B91"/>
    <w:rsid w:val="00204CCD"/>
    <w:rsid w:val="002118A7"/>
    <w:rsid w:val="00211CAC"/>
    <w:rsid w:val="002134C3"/>
    <w:rsid w:val="002154C0"/>
    <w:rsid w:val="0021625A"/>
    <w:rsid w:val="00216298"/>
    <w:rsid w:val="00216D94"/>
    <w:rsid w:val="0022061B"/>
    <w:rsid w:val="00227263"/>
    <w:rsid w:val="0022768F"/>
    <w:rsid w:val="002304A2"/>
    <w:rsid w:val="00236EF2"/>
    <w:rsid w:val="00237D35"/>
    <w:rsid w:val="00237EAC"/>
    <w:rsid w:val="00243490"/>
    <w:rsid w:val="00246938"/>
    <w:rsid w:val="002504A3"/>
    <w:rsid w:val="00252628"/>
    <w:rsid w:val="00254A51"/>
    <w:rsid w:val="002550EB"/>
    <w:rsid w:val="00255357"/>
    <w:rsid w:val="0026619E"/>
    <w:rsid w:val="00271E1A"/>
    <w:rsid w:val="00275D36"/>
    <w:rsid w:val="00275FDF"/>
    <w:rsid w:val="0028080B"/>
    <w:rsid w:val="00284064"/>
    <w:rsid w:val="002851ED"/>
    <w:rsid w:val="00290130"/>
    <w:rsid w:val="00293B27"/>
    <w:rsid w:val="00294451"/>
    <w:rsid w:val="00295CD9"/>
    <w:rsid w:val="0029693F"/>
    <w:rsid w:val="00297465"/>
    <w:rsid w:val="002A252F"/>
    <w:rsid w:val="002A48B8"/>
    <w:rsid w:val="002A4DAC"/>
    <w:rsid w:val="002A67CB"/>
    <w:rsid w:val="002A733D"/>
    <w:rsid w:val="002B0020"/>
    <w:rsid w:val="002B36F5"/>
    <w:rsid w:val="002B3DD7"/>
    <w:rsid w:val="002B4D1E"/>
    <w:rsid w:val="002B5139"/>
    <w:rsid w:val="002B5FB1"/>
    <w:rsid w:val="002B7E6A"/>
    <w:rsid w:val="002C13CE"/>
    <w:rsid w:val="002C1EE0"/>
    <w:rsid w:val="002C2923"/>
    <w:rsid w:val="002C609E"/>
    <w:rsid w:val="002C6F95"/>
    <w:rsid w:val="002D3193"/>
    <w:rsid w:val="002D4923"/>
    <w:rsid w:val="002D6378"/>
    <w:rsid w:val="002E0C0D"/>
    <w:rsid w:val="002E1259"/>
    <w:rsid w:val="002E5756"/>
    <w:rsid w:val="002E6B7B"/>
    <w:rsid w:val="002E78C9"/>
    <w:rsid w:val="002F24FF"/>
    <w:rsid w:val="00301659"/>
    <w:rsid w:val="00305589"/>
    <w:rsid w:val="003067CF"/>
    <w:rsid w:val="00310673"/>
    <w:rsid w:val="003133CA"/>
    <w:rsid w:val="00313D95"/>
    <w:rsid w:val="003235B8"/>
    <w:rsid w:val="00325A59"/>
    <w:rsid w:val="00327F97"/>
    <w:rsid w:val="00330E79"/>
    <w:rsid w:val="003316B1"/>
    <w:rsid w:val="00332E52"/>
    <w:rsid w:val="0033463E"/>
    <w:rsid w:val="00334D4A"/>
    <w:rsid w:val="0034029F"/>
    <w:rsid w:val="00342718"/>
    <w:rsid w:val="00343FAA"/>
    <w:rsid w:val="003505CF"/>
    <w:rsid w:val="00350AC7"/>
    <w:rsid w:val="00352609"/>
    <w:rsid w:val="003530FD"/>
    <w:rsid w:val="00355527"/>
    <w:rsid w:val="00355F2F"/>
    <w:rsid w:val="00357274"/>
    <w:rsid w:val="003633F9"/>
    <w:rsid w:val="0036570E"/>
    <w:rsid w:val="0036571D"/>
    <w:rsid w:val="003666A4"/>
    <w:rsid w:val="0036692A"/>
    <w:rsid w:val="00370671"/>
    <w:rsid w:val="0037568D"/>
    <w:rsid w:val="00377B33"/>
    <w:rsid w:val="00381059"/>
    <w:rsid w:val="003845BC"/>
    <w:rsid w:val="003867A6"/>
    <w:rsid w:val="00391251"/>
    <w:rsid w:val="003920E3"/>
    <w:rsid w:val="00396BC2"/>
    <w:rsid w:val="003A123A"/>
    <w:rsid w:val="003A2FA9"/>
    <w:rsid w:val="003A3526"/>
    <w:rsid w:val="003A4886"/>
    <w:rsid w:val="003A5EF7"/>
    <w:rsid w:val="003A613D"/>
    <w:rsid w:val="003B1534"/>
    <w:rsid w:val="003B16D6"/>
    <w:rsid w:val="003B17CE"/>
    <w:rsid w:val="003B32FF"/>
    <w:rsid w:val="003B3CD4"/>
    <w:rsid w:val="003B3ECE"/>
    <w:rsid w:val="003B5178"/>
    <w:rsid w:val="003B52F8"/>
    <w:rsid w:val="003B6C73"/>
    <w:rsid w:val="003B7959"/>
    <w:rsid w:val="003C2FBD"/>
    <w:rsid w:val="003C389D"/>
    <w:rsid w:val="003C46C9"/>
    <w:rsid w:val="003C5923"/>
    <w:rsid w:val="003C6CBD"/>
    <w:rsid w:val="003D1E6F"/>
    <w:rsid w:val="003D6B61"/>
    <w:rsid w:val="003E0474"/>
    <w:rsid w:val="003E4DC5"/>
    <w:rsid w:val="003E72D4"/>
    <w:rsid w:val="003F18BD"/>
    <w:rsid w:val="003F2C46"/>
    <w:rsid w:val="003F32C1"/>
    <w:rsid w:val="003F5D00"/>
    <w:rsid w:val="003F5FF2"/>
    <w:rsid w:val="003F6A71"/>
    <w:rsid w:val="003F6E3B"/>
    <w:rsid w:val="003F7DC9"/>
    <w:rsid w:val="0040083C"/>
    <w:rsid w:val="00400D60"/>
    <w:rsid w:val="0040101C"/>
    <w:rsid w:val="00404F36"/>
    <w:rsid w:val="0041144A"/>
    <w:rsid w:val="00412DC6"/>
    <w:rsid w:val="00413AB7"/>
    <w:rsid w:val="0041431C"/>
    <w:rsid w:val="00415EB6"/>
    <w:rsid w:val="00416943"/>
    <w:rsid w:val="00416E40"/>
    <w:rsid w:val="00423B57"/>
    <w:rsid w:val="00430ECD"/>
    <w:rsid w:val="00431F55"/>
    <w:rsid w:val="00434921"/>
    <w:rsid w:val="004371DA"/>
    <w:rsid w:val="004372F2"/>
    <w:rsid w:val="0044372F"/>
    <w:rsid w:val="0044535C"/>
    <w:rsid w:val="0044570C"/>
    <w:rsid w:val="00446238"/>
    <w:rsid w:val="00446716"/>
    <w:rsid w:val="004506F0"/>
    <w:rsid w:val="004524F1"/>
    <w:rsid w:val="004525B2"/>
    <w:rsid w:val="00452837"/>
    <w:rsid w:val="00453E10"/>
    <w:rsid w:val="00456FF6"/>
    <w:rsid w:val="00460374"/>
    <w:rsid w:val="004640D2"/>
    <w:rsid w:val="00465120"/>
    <w:rsid w:val="0046566B"/>
    <w:rsid w:val="00467D85"/>
    <w:rsid w:val="004729F9"/>
    <w:rsid w:val="00473B56"/>
    <w:rsid w:val="00474BA0"/>
    <w:rsid w:val="0047578D"/>
    <w:rsid w:val="00476291"/>
    <w:rsid w:val="004831F5"/>
    <w:rsid w:val="00485B79"/>
    <w:rsid w:val="004867DE"/>
    <w:rsid w:val="00486BAC"/>
    <w:rsid w:val="00491086"/>
    <w:rsid w:val="00492019"/>
    <w:rsid w:val="00496AD2"/>
    <w:rsid w:val="004A0576"/>
    <w:rsid w:val="004A25BF"/>
    <w:rsid w:val="004A336C"/>
    <w:rsid w:val="004A3EA1"/>
    <w:rsid w:val="004A56BD"/>
    <w:rsid w:val="004A595D"/>
    <w:rsid w:val="004A70D0"/>
    <w:rsid w:val="004B3AC6"/>
    <w:rsid w:val="004B7D6D"/>
    <w:rsid w:val="004C21B7"/>
    <w:rsid w:val="004D15ED"/>
    <w:rsid w:val="004D19B9"/>
    <w:rsid w:val="004D4C77"/>
    <w:rsid w:val="004D5567"/>
    <w:rsid w:val="004D62BE"/>
    <w:rsid w:val="004D7BD5"/>
    <w:rsid w:val="004D7DD0"/>
    <w:rsid w:val="004E1A2A"/>
    <w:rsid w:val="004E1FC7"/>
    <w:rsid w:val="004E222C"/>
    <w:rsid w:val="004E4DD3"/>
    <w:rsid w:val="004E5671"/>
    <w:rsid w:val="004E6E8A"/>
    <w:rsid w:val="004E789A"/>
    <w:rsid w:val="004F111A"/>
    <w:rsid w:val="004F2215"/>
    <w:rsid w:val="004F39C6"/>
    <w:rsid w:val="004F41B7"/>
    <w:rsid w:val="004F432E"/>
    <w:rsid w:val="004F4A45"/>
    <w:rsid w:val="004F5087"/>
    <w:rsid w:val="004F68EF"/>
    <w:rsid w:val="004F7EE0"/>
    <w:rsid w:val="00501864"/>
    <w:rsid w:val="00505462"/>
    <w:rsid w:val="005054CC"/>
    <w:rsid w:val="00506A67"/>
    <w:rsid w:val="005205FD"/>
    <w:rsid w:val="00521359"/>
    <w:rsid w:val="00521A0E"/>
    <w:rsid w:val="0052527B"/>
    <w:rsid w:val="005254A0"/>
    <w:rsid w:val="00530B8D"/>
    <w:rsid w:val="00530C44"/>
    <w:rsid w:val="00533B34"/>
    <w:rsid w:val="005348EC"/>
    <w:rsid w:val="00534E48"/>
    <w:rsid w:val="005407A4"/>
    <w:rsid w:val="00540A4D"/>
    <w:rsid w:val="005428A8"/>
    <w:rsid w:val="00544F4E"/>
    <w:rsid w:val="00545A83"/>
    <w:rsid w:val="00546100"/>
    <w:rsid w:val="00546AB2"/>
    <w:rsid w:val="0055020B"/>
    <w:rsid w:val="00550229"/>
    <w:rsid w:val="0055102B"/>
    <w:rsid w:val="00552713"/>
    <w:rsid w:val="005535AF"/>
    <w:rsid w:val="00563CF8"/>
    <w:rsid w:val="0056442D"/>
    <w:rsid w:val="00565402"/>
    <w:rsid w:val="00565E57"/>
    <w:rsid w:val="00567882"/>
    <w:rsid w:val="00570147"/>
    <w:rsid w:val="005737AC"/>
    <w:rsid w:val="00574858"/>
    <w:rsid w:val="0057585D"/>
    <w:rsid w:val="00576F48"/>
    <w:rsid w:val="005803A2"/>
    <w:rsid w:val="005808F3"/>
    <w:rsid w:val="005809C4"/>
    <w:rsid w:val="00581AE4"/>
    <w:rsid w:val="00583B52"/>
    <w:rsid w:val="00590B39"/>
    <w:rsid w:val="00590C9E"/>
    <w:rsid w:val="00592654"/>
    <w:rsid w:val="00593C06"/>
    <w:rsid w:val="00597E0F"/>
    <w:rsid w:val="005A0525"/>
    <w:rsid w:val="005A1509"/>
    <w:rsid w:val="005A249E"/>
    <w:rsid w:val="005A2A89"/>
    <w:rsid w:val="005A315A"/>
    <w:rsid w:val="005A7CA9"/>
    <w:rsid w:val="005A7D74"/>
    <w:rsid w:val="005B045B"/>
    <w:rsid w:val="005B2F97"/>
    <w:rsid w:val="005B3B3C"/>
    <w:rsid w:val="005B42E3"/>
    <w:rsid w:val="005B441B"/>
    <w:rsid w:val="005B4901"/>
    <w:rsid w:val="005C0890"/>
    <w:rsid w:val="005C1D30"/>
    <w:rsid w:val="005C20C0"/>
    <w:rsid w:val="005C6E92"/>
    <w:rsid w:val="005E0C02"/>
    <w:rsid w:val="005E2AC5"/>
    <w:rsid w:val="005F1143"/>
    <w:rsid w:val="005F3F4B"/>
    <w:rsid w:val="0060067C"/>
    <w:rsid w:val="00606DAC"/>
    <w:rsid w:val="00607A46"/>
    <w:rsid w:val="006105DA"/>
    <w:rsid w:val="0061325C"/>
    <w:rsid w:val="00613F37"/>
    <w:rsid w:val="00615F4C"/>
    <w:rsid w:val="00617B04"/>
    <w:rsid w:val="00617F7D"/>
    <w:rsid w:val="0062109C"/>
    <w:rsid w:val="00621338"/>
    <w:rsid w:val="00624E9F"/>
    <w:rsid w:val="00626A28"/>
    <w:rsid w:val="006335FE"/>
    <w:rsid w:val="00634BC5"/>
    <w:rsid w:val="00640D7F"/>
    <w:rsid w:val="00642BA4"/>
    <w:rsid w:val="00642E3D"/>
    <w:rsid w:val="0064309D"/>
    <w:rsid w:val="00643459"/>
    <w:rsid w:val="00643EDF"/>
    <w:rsid w:val="00656A86"/>
    <w:rsid w:val="0065737D"/>
    <w:rsid w:val="0066193F"/>
    <w:rsid w:val="00662218"/>
    <w:rsid w:val="006659F2"/>
    <w:rsid w:val="00666B6F"/>
    <w:rsid w:val="006676AD"/>
    <w:rsid w:val="00671164"/>
    <w:rsid w:val="00672296"/>
    <w:rsid w:val="00680FA5"/>
    <w:rsid w:val="00683714"/>
    <w:rsid w:val="00683D43"/>
    <w:rsid w:val="0068757C"/>
    <w:rsid w:val="006879FF"/>
    <w:rsid w:val="0069127D"/>
    <w:rsid w:val="00693136"/>
    <w:rsid w:val="006933BA"/>
    <w:rsid w:val="00695ADB"/>
    <w:rsid w:val="00697FD5"/>
    <w:rsid w:val="006A0966"/>
    <w:rsid w:val="006A32D5"/>
    <w:rsid w:val="006B15A8"/>
    <w:rsid w:val="006B2F09"/>
    <w:rsid w:val="006B5CC4"/>
    <w:rsid w:val="006B62FF"/>
    <w:rsid w:val="006C28F9"/>
    <w:rsid w:val="006C3ADB"/>
    <w:rsid w:val="006C400B"/>
    <w:rsid w:val="006C5364"/>
    <w:rsid w:val="006C7B8A"/>
    <w:rsid w:val="006D06EB"/>
    <w:rsid w:val="006D1946"/>
    <w:rsid w:val="006D3EA3"/>
    <w:rsid w:val="006D446D"/>
    <w:rsid w:val="006D4C3C"/>
    <w:rsid w:val="006D75F7"/>
    <w:rsid w:val="006E2897"/>
    <w:rsid w:val="006E40EA"/>
    <w:rsid w:val="006E43FB"/>
    <w:rsid w:val="006E4C21"/>
    <w:rsid w:val="006E6067"/>
    <w:rsid w:val="006F12F6"/>
    <w:rsid w:val="006F29E9"/>
    <w:rsid w:val="006F335D"/>
    <w:rsid w:val="006F6757"/>
    <w:rsid w:val="006F6C97"/>
    <w:rsid w:val="00703D3B"/>
    <w:rsid w:val="00705F36"/>
    <w:rsid w:val="007118FE"/>
    <w:rsid w:val="00712A55"/>
    <w:rsid w:val="007148A0"/>
    <w:rsid w:val="0071588E"/>
    <w:rsid w:val="00715C43"/>
    <w:rsid w:val="00716BE8"/>
    <w:rsid w:val="00717B8B"/>
    <w:rsid w:val="0073430A"/>
    <w:rsid w:val="00736774"/>
    <w:rsid w:val="00740078"/>
    <w:rsid w:val="007439A4"/>
    <w:rsid w:val="0074523C"/>
    <w:rsid w:val="00746A7B"/>
    <w:rsid w:val="00750EB5"/>
    <w:rsid w:val="00755549"/>
    <w:rsid w:val="007562AD"/>
    <w:rsid w:val="00756527"/>
    <w:rsid w:val="0076519A"/>
    <w:rsid w:val="007658CE"/>
    <w:rsid w:val="007663BF"/>
    <w:rsid w:val="00771232"/>
    <w:rsid w:val="00772C5E"/>
    <w:rsid w:val="00780488"/>
    <w:rsid w:val="0078135B"/>
    <w:rsid w:val="00781E17"/>
    <w:rsid w:val="00782703"/>
    <w:rsid w:val="00785DCE"/>
    <w:rsid w:val="007910D5"/>
    <w:rsid w:val="00791C5C"/>
    <w:rsid w:val="00791E2D"/>
    <w:rsid w:val="0079411D"/>
    <w:rsid w:val="007951D5"/>
    <w:rsid w:val="00797CDB"/>
    <w:rsid w:val="007A2065"/>
    <w:rsid w:val="007A323C"/>
    <w:rsid w:val="007A4E9D"/>
    <w:rsid w:val="007B05D5"/>
    <w:rsid w:val="007B15C7"/>
    <w:rsid w:val="007B22BE"/>
    <w:rsid w:val="007B30E8"/>
    <w:rsid w:val="007B5D70"/>
    <w:rsid w:val="007B689A"/>
    <w:rsid w:val="007C087B"/>
    <w:rsid w:val="007C195B"/>
    <w:rsid w:val="007C228E"/>
    <w:rsid w:val="007C4479"/>
    <w:rsid w:val="007C6907"/>
    <w:rsid w:val="007C7D7A"/>
    <w:rsid w:val="007D21C9"/>
    <w:rsid w:val="007D60F9"/>
    <w:rsid w:val="007E191D"/>
    <w:rsid w:val="007E20D8"/>
    <w:rsid w:val="007E7ABE"/>
    <w:rsid w:val="007F1B37"/>
    <w:rsid w:val="007F21B3"/>
    <w:rsid w:val="007F2364"/>
    <w:rsid w:val="007F2F35"/>
    <w:rsid w:val="007F30DA"/>
    <w:rsid w:val="007F4CF7"/>
    <w:rsid w:val="007F71BF"/>
    <w:rsid w:val="007F7408"/>
    <w:rsid w:val="00802F5A"/>
    <w:rsid w:val="008044AB"/>
    <w:rsid w:val="008056A6"/>
    <w:rsid w:val="00805E78"/>
    <w:rsid w:val="008106A2"/>
    <w:rsid w:val="008110C7"/>
    <w:rsid w:val="00812B52"/>
    <w:rsid w:val="00815105"/>
    <w:rsid w:val="0081575A"/>
    <w:rsid w:val="00821B75"/>
    <w:rsid w:val="008222E9"/>
    <w:rsid w:val="00825296"/>
    <w:rsid w:val="00825C47"/>
    <w:rsid w:val="0083033D"/>
    <w:rsid w:val="00835EAA"/>
    <w:rsid w:val="00836746"/>
    <w:rsid w:val="00836AC0"/>
    <w:rsid w:val="008413B2"/>
    <w:rsid w:val="008431FB"/>
    <w:rsid w:val="00843E63"/>
    <w:rsid w:val="00846A54"/>
    <w:rsid w:val="00850A05"/>
    <w:rsid w:val="008516FE"/>
    <w:rsid w:val="00855943"/>
    <w:rsid w:val="00855CA9"/>
    <w:rsid w:val="00856F41"/>
    <w:rsid w:val="008625EC"/>
    <w:rsid w:val="00865731"/>
    <w:rsid w:val="00865C16"/>
    <w:rsid w:val="00872B97"/>
    <w:rsid w:val="00880AAF"/>
    <w:rsid w:val="008811A2"/>
    <w:rsid w:val="008827D2"/>
    <w:rsid w:val="00882AEC"/>
    <w:rsid w:val="00882BF1"/>
    <w:rsid w:val="00884025"/>
    <w:rsid w:val="008866C9"/>
    <w:rsid w:val="00895F57"/>
    <w:rsid w:val="008964D5"/>
    <w:rsid w:val="008A19CE"/>
    <w:rsid w:val="008A2999"/>
    <w:rsid w:val="008A53E0"/>
    <w:rsid w:val="008A6B92"/>
    <w:rsid w:val="008A7105"/>
    <w:rsid w:val="008A7870"/>
    <w:rsid w:val="008B1BCB"/>
    <w:rsid w:val="008B4C24"/>
    <w:rsid w:val="008B5A6F"/>
    <w:rsid w:val="008B5F27"/>
    <w:rsid w:val="008B6339"/>
    <w:rsid w:val="008C15A8"/>
    <w:rsid w:val="008D1343"/>
    <w:rsid w:val="008D1DE1"/>
    <w:rsid w:val="008D5533"/>
    <w:rsid w:val="008D77F5"/>
    <w:rsid w:val="008E05AF"/>
    <w:rsid w:val="008E096D"/>
    <w:rsid w:val="008E20FF"/>
    <w:rsid w:val="008E2FEB"/>
    <w:rsid w:val="008E6C23"/>
    <w:rsid w:val="008F095B"/>
    <w:rsid w:val="008F17EF"/>
    <w:rsid w:val="008F3CD3"/>
    <w:rsid w:val="008F75A3"/>
    <w:rsid w:val="00906DE5"/>
    <w:rsid w:val="009077A4"/>
    <w:rsid w:val="00907BDA"/>
    <w:rsid w:val="00910030"/>
    <w:rsid w:val="009174B2"/>
    <w:rsid w:val="009208BD"/>
    <w:rsid w:val="0092480C"/>
    <w:rsid w:val="00925DF5"/>
    <w:rsid w:val="009276EB"/>
    <w:rsid w:val="00930129"/>
    <w:rsid w:val="0093160C"/>
    <w:rsid w:val="00931B4B"/>
    <w:rsid w:val="00932451"/>
    <w:rsid w:val="00933717"/>
    <w:rsid w:val="00934A53"/>
    <w:rsid w:val="009366B1"/>
    <w:rsid w:val="00942B46"/>
    <w:rsid w:val="009437F8"/>
    <w:rsid w:val="0094786C"/>
    <w:rsid w:val="00952B36"/>
    <w:rsid w:val="0095451E"/>
    <w:rsid w:val="00955FE0"/>
    <w:rsid w:val="00961356"/>
    <w:rsid w:val="00961805"/>
    <w:rsid w:val="009634EA"/>
    <w:rsid w:val="009637B9"/>
    <w:rsid w:val="00966B6A"/>
    <w:rsid w:val="00967179"/>
    <w:rsid w:val="00967BE7"/>
    <w:rsid w:val="00967D8A"/>
    <w:rsid w:val="009705E4"/>
    <w:rsid w:val="00970FA3"/>
    <w:rsid w:val="0097338A"/>
    <w:rsid w:val="0097454C"/>
    <w:rsid w:val="009753CD"/>
    <w:rsid w:val="009763A8"/>
    <w:rsid w:val="00977B15"/>
    <w:rsid w:val="00986AD7"/>
    <w:rsid w:val="00986B76"/>
    <w:rsid w:val="00987825"/>
    <w:rsid w:val="00987F3E"/>
    <w:rsid w:val="00990ADA"/>
    <w:rsid w:val="0099676F"/>
    <w:rsid w:val="00996E37"/>
    <w:rsid w:val="009A26F1"/>
    <w:rsid w:val="009A30ED"/>
    <w:rsid w:val="009A45A0"/>
    <w:rsid w:val="009B2529"/>
    <w:rsid w:val="009B2548"/>
    <w:rsid w:val="009B2AC7"/>
    <w:rsid w:val="009B3916"/>
    <w:rsid w:val="009B580C"/>
    <w:rsid w:val="009B5C60"/>
    <w:rsid w:val="009B5E0F"/>
    <w:rsid w:val="009B68AD"/>
    <w:rsid w:val="009C3479"/>
    <w:rsid w:val="009C49A2"/>
    <w:rsid w:val="009C67FE"/>
    <w:rsid w:val="009C6D19"/>
    <w:rsid w:val="009D3F40"/>
    <w:rsid w:val="009D4298"/>
    <w:rsid w:val="009D5828"/>
    <w:rsid w:val="009D5D71"/>
    <w:rsid w:val="009D73B8"/>
    <w:rsid w:val="009E0A97"/>
    <w:rsid w:val="009E2D36"/>
    <w:rsid w:val="009E2EF0"/>
    <w:rsid w:val="009E4923"/>
    <w:rsid w:val="009F023B"/>
    <w:rsid w:val="009F09AB"/>
    <w:rsid w:val="009F48DB"/>
    <w:rsid w:val="009F5B69"/>
    <w:rsid w:val="00A00AC0"/>
    <w:rsid w:val="00A1013E"/>
    <w:rsid w:val="00A136A0"/>
    <w:rsid w:val="00A14F6E"/>
    <w:rsid w:val="00A155EC"/>
    <w:rsid w:val="00A160F8"/>
    <w:rsid w:val="00A20226"/>
    <w:rsid w:val="00A20A68"/>
    <w:rsid w:val="00A24EC3"/>
    <w:rsid w:val="00A25631"/>
    <w:rsid w:val="00A25C46"/>
    <w:rsid w:val="00A30EFB"/>
    <w:rsid w:val="00A321A9"/>
    <w:rsid w:val="00A333F1"/>
    <w:rsid w:val="00A42A81"/>
    <w:rsid w:val="00A43287"/>
    <w:rsid w:val="00A438FB"/>
    <w:rsid w:val="00A45433"/>
    <w:rsid w:val="00A459BB"/>
    <w:rsid w:val="00A45C73"/>
    <w:rsid w:val="00A463B6"/>
    <w:rsid w:val="00A52CA8"/>
    <w:rsid w:val="00A53B89"/>
    <w:rsid w:val="00A560FC"/>
    <w:rsid w:val="00A63248"/>
    <w:rsid w:val="00A65131"/>
    <w:rsid w:val="00A66A34"/>
    <w:rsid w:val="00A67785"/>
    <w:rsid w:val="00A67E93"/>
    <w:rsid w:val="00A73759"/>
    <w:rsid w:val="00A75CA6"/>
    <w:rsid w:val="00A760E2"/>
    <w:rsid w:val="00A76187"/>
    <w:rsid w:val="00A7657C"/>
    <w:rsid w:val="00A8004D"/>
    <w:rsid w:val="00A80EEF"/>
    <w:rsid w:val="00A8642C"/>
    <w:rsid w:val="00A874D1"/>
    <w:rsid w:val="00A87E33"/>
    <w:rsid w:val="00A87E44"/>
    <w:rsid w:val="00A9297B"/>
    <w:rsid w:val="00A951BF"/>
    <w:rsid w:val="00AA08AF"/>
    <w:rsid w:val="00AA37C0"/>
    <w:rsid w:val="00AA471C"/>
    <w:rsid w:val="00AA5005"/>
    <w:rsid w:val="00AA6656"/>
    <w:rsid w:val="00AA7A97"/>
    <w:rsid w:val="00AB1524"/>
    <w:rsid w:val="00AB19CD"/>
    <w:rsid w:val="00AB36E7"/>
    <w:rsid w:val="00AB3C94"/>
    <w:rsid w:val="00AB3D23"/>
    <w:rsid w:val="00AB5246"/>
    <w:rsid w:val="00AB589A"/>
    <w:rsid w:val="00AB6060"/>
    <w:rsid w:val="00AB7D65"/>
    <w:rsid w:val="00AC145B"/>
    <w:rsid w:val="00AC413E"/>
    <w:rsid w:val="00AC4F8E"/>
    <w:rsid w:val="00AC5444"/>
    <w:rsid w:val="00AC55C2"/>
    <w:rsid w:val="00AC7965"/>
    <w:rsid w:val="00AD0568"/>
    <w:rsid w:val="00AD2419"/>
    <w:rsid w:val="00AD5560"/>
    <w:rsid w:val="00AE02DA"/>
    <w:rsid w:val="00AE1EFE"/>
    <w:rsid w:val="00AE3361"/>
    <w:rsid w:val="00AE5B77"/>
    <w:rsid w:val="00AF2BE0"/>
    <w:rsid w:val="00AF56D3"/>
    <w:rsid w:val="00AF603C"/>
    <w:rsid w:val="00B05274"/>
    <w:rsid w:val="00B11134"/>
    <w:rsid w:val="00B154DB"/>
    <w:rsid w:val="00B20320"/>
    <w:rsid w:val="00B22B13"/>
    <w:rsid w:val="00B234A1"/>
    <w:rsid w:val="00B2392C"/>
    <w:rsid w:val="00B25AC6"/>
    <w:rsid w:val="00B309AD"/>
    <w:rsid w:val="00B34B94"/>
    <w:rsid w:val="00B401C0"/>
    <w:rsid w:val="00B40BCA"/>
    <w:rsid w:val="00B47C3F"/>
    <w:rsid w:val="00B525E2"/>
    <w:rsid w:val="00B53FBE"/>
    <w:rsid w:val="00B543D8"/>
    <w:rsid w:val="00B56D2D"/>
    <w:rsid w:val="00B5727F"/>
    <w:rsid w:val="00B617B8"/>
    <w:rsid w:val="00B62088"/>
    <w:rsid w:val="00B635E3"/>
    <w:rsid w:val="00B663D3"/>
    <w:rsid w:val="00B665B1"/>
    <w:rsid w:val="00B67545"/>
    <w:rsid w:val="00B70A0E"/>
    <w:rsid w:val="00B721B1"/>
    <w:rsid w:val="00B7376E"/>
    <w:rsid w:val="00B741E8"/>
    <w:rsid w:val="00B748D6"/>
    <w:rsid w:val="00B7522B"/>
    <w:rsid w:val="00B81E21"/>
    <w:rsid w:val="00B8263F"/>
    <w:rsid w:val="00B84B1C"/>
    <w:rsid w:val="00B86C9A"/>
    <w:rsid w:val="00B90534"/>
    <w:rsid w:val="00B93219"/>
    <w:rsid w:val="00B94959"/>
    <w:rsid w:val="00B96464"/>
    <w:rsid w:val="00BA34D2"/>
    <w:rsid w:val="00BA5617"/>
    <w:rsid w:val="00BA5BF9"/>
    <w:rsid w:val="00BB074F"/>
    <w:rsid w:val="00BB0915"/>
    <w:rsid w:val="00BB5389"/>
    <w:rsid w:val="00BB5469"/>
    <w:rsid w:val="00BB5D73"/>
    <w:rsid w:val="00BB778D"/>
    <w:rsid w:val="00BC10FD"/>
    <w:rsid w:val="00BC137E"/>
    <w:rsid w:val="00BC309B"/>
    <w:rsid w:val="00BC3D21"/>
    <w:rsid w:val="00BC4160"/>
    <w:rsid w:val="00BC495B"/>
    <w:rsid w:val="00BD3022"/>
    <w:rsid w:val="00BD3A0E"/>
    <w:rsid w:val="00BD4BE3"/>
    <w:rsid w:val="00BD52D3"/>
    <w:rsid w:val="00BD7928"/>
    <w:rsid w:val="00BE0286"/>
    <w:rsid w:val="00BE1D01"/>
    <w:rsid w:val="00BE2CA7"/>
    <w:rsid w:val="00BE4CB5"/>
    <w:rsid w:val="00BE55B8"/>
    <w:rsid w:val="00BE5A01"/>
    <w:rsid w:val="00BE6FA6"/>
    <w:rsid w:val="00BE7FAC"/>
    <w:rsid w:val="00BF2B49"/>
    <w:rsid w:val="00C03600"/>
    <w:rsid w:val="00C04C36"/>
    <w:rsid w:val="00C05035"/>
    <w:rsid w:val="00C05C46"/>
    <w:rsid w:val="00C06017"/>
    <w:rsid w:val="00C06BDA"/>
    <w:rsid w:val="00C0746B"/>
    <w:rsid w:val="00C11ED4"/>
    <w:rsid w:val="00C121C0"/>
    <w:rsid w:val="00C138FE"/>
    <w:rsid w:val="00C1408C"/>
    <w:rsid w:val="00C1412C"/>
    <w:rsid w:val="00C175E9"/>
    <w:rsid w:val="00C17E66"/>
    <w:rsid w:val="00C21C32"/>
    <w:rsid w:val="00C2278F"/>
    <w:rsid w:val="00C24465"/>
    <w:rsid w:val="00C2685E"/>
    <w:rsid w:val="00C26FC0"/>
    <w:rsid w:val="00C30492"/>
    <w:rsid w:val="00C31879"/>
    <w:rsid w:val="00C33EE7"/>
    <w:rsid w:val="00C33F80"/>
    <w:rsid w:val="00C36FB2"/>
    <w:rsid w:val="00C373A7"/>
    <w:rsid w:val="00C42CED"/>
    <w:rsid w:val="00C443A9"/>
    <w:rsid w:val="00C445D0"/>
    <w:rsid w:val="00C445F7"/>
    <w:rsid w:val="00C45AAB"/>
    <w:rsid w:val="00C510E2"/>
    <w:rsid w:val="00C52004"/>
    <w:rsid w:val="00C52009"/>
    <w:rsid w:val="00C53735"/>
    <w:rsid w:val="00C57434"/>
    <w:rsid w:val="00C578E1"/>
    <w:rsid w:val="00C60345"/>
    <w:rsid w:val="00C60F4F"/>
    <w:rsid w:val="00C648D7"/>
    <w:rsid w:val="00C657D4"/>
    <w:rsid w:val="00C7027E"/>
    <w:rsid w:val="00C72436"/>
    <w:rsid w:val="00C73B3B"/>
    <w:rsid w:val="00C77267"/>
    <w:rsid w:val="00C832FF"/>
    <w:rsid w:val="00C8381F"/>
    <w:rsid w:val="00C852E1"/>
    <w:rsid w:val="00C86950"/>
    <w:rsid w:val="00C87570"/>
    <w:rsid w:val="00C87C57"/>
    <w:rsid w:val="00C91636"/>
    <w:rsid w:val="00C91B53"/>
    <w:rsid w:val="00C95A31"/>
    <w:rsid w:val="00CA0883"/>
    <w:rsid w:val="00CA1636"/>
    <w:rsid w:val="00CA2F3D"/>
    <w:rsid w:val="00CB19D4"/>
    <w:rsid w:val="00CB2127"/>
    <w:rsid w:val="00CB5C23"/>
    <w:rsid w:val="00CC49D5"/>
    <w:rsid w:val="00CC63AA"/>
    <w:rsid w:val="00CC7FD7"/>
    <w:rsid w:val="00CD12BB"/>
    <w:rsid w:val="00CD24D5"/>
    <w:rsid w:val="00CD36F9"/>
    <w:rsid w:val="00CD4791"/>
    <w:rsid w:val="00CD4A22"/>
    <w:rsid w:val="00CD5FD4"/>
    <w:rsid w:val="00CD64DD"/>
    <w:rsid w:val="00CD7DFC"/>
    <w:rsid w:val="00CE246F"/>
    <w:rsid w:val="00CE78F8"/>
    <w:rsid w:val="00CE7C19"/>
    <w:rsid w:val="00CE7E64"/>
    <w:rsid w:val="00CF0687"/>
    <w:rsid w:val="00CF09E7"/>
    <w:rsid w:val="00CF2175"/>
    <w:rsid w:val="00CF256D"/>
    <w:rsid w:val="00CF2896"/>
    <w:rsid w:val="00CF539F"/>
    <w:rsid w:val="00CF6CEB"/>
    <w:rsid w:val="00D01DD2"/>
    <w:rsid w:val="00D02E6D"/>
    <w:rsid w:val="00D03C73"/>
    <w:rsid w:val="00D061EC"/>
    <w:rsid w:val="00D11BF8"/>
    <w:rsid w:val="00D12574"/>
    <w:rsid w:val="00D12654"/>
    <w:rsid w:val="00D12995"/>
    <w:rsid w:val="00D13114"/>
    <w:rsid w:val="00D136F4"/>
    <w:rsid w:val="00D1382F"/>
    <w:rsid w:val="00D13F7C"/>
    <w:rsid w:val="00D20435"/>
    <w:rsid w:val="00D233A7"/>
    <w:rsid w:val="00D23643"/>
    <w:rsid w:val="00D3677C"/>
    <w:rsid w:val="00D37297"/>
    <w:rsid w:val="00D40205"/>
    <w:rsid w:val="00D40E78"/>
    <w:rsid w:val="00D423D8"/>
    <w:rsid w:val="00D4289F"/>
    <w:rsid w:val="00D44208"/>
    <w:rsid w:val="00D455CE"/>
    <w:rsid w:val="00D45EB9"/>
    <w:rsid w:val="00D45F6B"/>
    <w:rsid w:val="00D460C0"/>
    <w:rsid w:val="00D46F77"/>
    <w:rsid w:val="00D5208C"/>
    <w:rsid w:val="00D60B81"/>
    <w:rsid w:val="00D60C60"/>
    <w:rsid w:val="00D621AE"/>
    <w:rsid w:val="00D624D7"/>
    <w:rsid w:val="00D62CD3"/>
    <w:rsid w:val="00D70785"/>
    <w:rsid w:val="00D717EE"/>
    <w:rsid w:val="00D73E94"/>
    <w:rsid w:val="00D75402"/>
    <w:rsid w:val="00D77092"/>
    <w:rsid w:val="00D85A8E"/>
    <w:rsid w:val="00D86090"/>
    <w:rsid w:val="00D94F20"/>
    <w:rsid w:val="00D95B62"/>
    <w:rsid w:val="00DA6410"/>
    <w:rsid w:val="00DB1F2D"/>
    <w:rsid w:val="00DB1F87"/>
    <w:rsid w:val="00DB68DB"/>
    <w:rsid w:val="00DC0300"/>
    <w:rsid w:val="00DC0577"/>
    <w:rsid w:val="00DC1809"/>
    <w:rsid w:val="00DC1DA8"/>
    <w:rsid w:val="00DC69C6"/>
    <w:rsid w:val="00DC7AAB"/>
    <w:rsid w:val="00DD0300"/>
    <w:rsid w:val="00DD1644"/>
    <w:rsid w:val="00DF08D8"/>
    <w:rsid w:val="00DF588B"/>
    <w:rsid w:val="00E0414D"/>
    <w:rsid w:val="00E07141"/>
    <w:rsid w:val="00E072F5"/>
    <w:rsid w:val="00E07C2B"/>
    <w:rsid w:val="00E07FA5"/>
    <w:rsid w:val="00E1115A"/>
    <w:rsid w:val="00E11F37"/>
    <w:rsid w:val="00E2105E"/>
    <w:rsid w:val="00E21894"/>
    <w:rsid w:val="00E2370A"/>
    <w:rsid w:val="00E25971"/>
    <w:rsid w:val="00E30951"/>
    <w:rsid w:val="00E32539"/>
    <w:rsid w:val="00E330B6"/>
    <w:rsid w:val="00E34651"/>
    <w:rsid w:val="00E37A96"/>
    <w:rsid w:val="00E37FD8"/>
    <w:rsid w:val="00E413DC"/>
    <w:rsid w:val="00E50A7D"/>
    <w:rsid w:val="00E50E89"/>
    <w:rsid w:val="00E5381C"/>
    <w:rsid w:val="00E53B6E"/>
    <w:rsid w:val="00E567E2"/>
    <w:rsid w:val="00E56D0A"/>
    <w:rsid w:val="00E56D88"/>
    <w:rsid w:val="00E60AD8"/>
    <w:rsid w:val="00E626A8"/>
    <w:rsid w:val="00E6288A"/>
    <w:rsid w:val="00E62B6D"/>
    <w:rsid w:val="00E63647"/>
    <w:rsid w:val="00E64B4A"/>
    <w:rsid w:val="00E72EAA"/>
    <w:rsid w:val="00E75C1E"/>
    <w:rsid w:val="00E769C3"/>
    <w:rsid w:val="00E76E10"/>
    <w:rsid w:val="00E76E3D"/>
    <w:rsid w:val="00E8592F"/>
    <w:rsid w:val="00E87A20"/>
    <w:rsid w:val="00E908FA"/>
    <w:rsid w:val="00E9109F"/>
    <w:rsid w:val="00E91C35"/>
    <w:rsid w:val="00E92488"/>
    <w:rsid w:val="00E92BA1"/>
    <w:rsid w:val="00E92C99"/>
    <w:rsid w:val="00E956E4"/>
    <w:rsid w:val="00E961A3"/>
    <w:rsid w:val="00E96AD9"/>
    <w:rsid w:val="00EA2148"/>
    <w:rsid w:val="00EA21FD"/>
    <w:rsid w:val="00EA270D"/>
    <w:rsid w:val="00EA4E0A"/>
    <w:rsid w:val="00EA502F"/>
    <w:rsid w:val="00EA5AEE"/>
    <w:rsid w:val="00EB159D"/>
    <w:rsid w:val="00EB223B"/>
    <w:rsid w:val="00EB2960"/>
    <w:rsid w:val="00EB5ADD"/>
    <w:rsid w:val="00EB673A"/>
    <w:rsid w:val="00EB6FA0"/>
    <w:rsid w:val="00EB708A"/>
    <w:rsid w:val="00EB743E"/>
    <w:rsid w:val="00EB7D16"/>
    <w:rsid w:val="00EC00C0"/>
    <w:rsid w:val="00EC1C31"/>
    <w:rsid w:val="00EC3719"/>
    <w:rsid w:val="00ED552D"/>
    <w:rsid w:val="00ED5721"/>
    <w:rsid w:val="00EE1029"/>
    <w:rsid w:val="00EE33EF"/>
    <w:rsid w:val="00EE3819"/>
    <w:rsid w:val="00EE404D"/>
    <w:rsid w:val="00EE789A"/>
    <w:rsid w:val="00EF23F1"/>
    <w:rsid w:val="00EF481F"/>
    <w:rsid w:val="00EF57B9"/>
    <w:rsid w:val="00EF6997"/>
    <w:rsid w:val="00F048DE"/>
    <w:rsid w:val="00F059F5"/>
    <w:rsid w:val="00F0640B"/>
    <w:rsid w:val="00F10D1B"/>
    <w:rsid w:val="00F12F1E"/>
    <w:rsid w:val="00F13526"/>
    <w:rsid w:val="00F14145"/>
    <w:rsid w:val="00F158FC"/>
    <w:rsid w:val="00F1648C"/>
    <w:rsid w:val="00F17F41"/>
    <w:rsid w:val="00F2281E"/>
    <w:rsid w:val="00F3007C"/>
    <w:rsid w:val="00F33F6C"/>
    <w:rsid w:val="00F35195"/>
    <w:rsid w:val="00F4170E"/>
    <w:rsid w:val="00F4791F"/>
    <w:rsid w:val="00F53A37"/>
    <w:rsid w:val="00F57B0D"/>
    <w:rsid w:val="00F62E0D"/>
    <w:rsid w:val="00F65F47"/>
    <w:rsid w:val="00F66542"/>
    <w:rsid w:val="00F70490"/>
    <w:rsid w:val="00F71068"/>
    <w:rsid w:val="00F726C0"/>
    <w:rsid w:val="00F728F2"/>
    <w:rsid w:val="00F7357C"/>
    <w:rsid w:val="00F739AD"/>
    <w:rsid w:val="00F74D95"/>
    <w:rsid w:val="00F8002C"/>
    <w:rsid w:val="00F85DAE"/>
    <w:rsid w:val="00F87199"/>
    <w:rsid w:val="00F90CDB"/>
    <w:rsid w:val="00F934EF"/>
    <w:rsid w:val="00F93F80"/>
    <w:rsid w:val="00F94599"/>
    <w:rsid w:val="00F95826"/>
    <w:rsid w:val="00F97081"/>
    <w:rsid w:val="00F97207"/>
    <w:rsid w:val="00F979D8"/>
    <w:rsid w:val="00FA05D8"/>
    <w:rsid w:val="00FA14B5"/>
    <w:rsid w:val="00FA7162"/>
    <w:rsid w:val="00FB1B28"/>
    <w:rsid w:val="00FB2FF5"/>
    <w:rsid w:val="00FB3E23"/>
    <w:rsid w:val="00FB510B"/>
    <w:rsid w:val="00FB68FC"/>
    <w:rsid w:val="00FB6A9E"/>
    <w:rsid w:val="00FB6CC4"/>
    <w:rsid w:val="00FC0FBD"/>
    <w:rsid w:val="00FC3EC4"/>
    <w:rsid w:val="00FC5DD1"/>
    <w:rsid w:val="00FD21CF"/>
    <w:rsid w:val="00FD27DA"/>
    <w:rsid w:val="00FD5317"/>
    <w:rsid w:val="00FD5C4A"/>
    <w:rsid w:val="00FD7653"/>
    <w:rsid w:val="00FE000A"/>
    <w:rsid w:val="00FE05B7"/>
    <w:rsid w:val="00FE1110"/>
    <w:rsid w:val="00FE168E"/>
    <w:rsid w:val="00FE2ACB"/>
    <w:rsid w:val="00FF2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0CFDA7"/>
  <w15:docId w15:val="{5B43D562-6FF2-40EB-A24E-D2FC2CA8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3F1"/>
    <w:rPr>
      <w:sz w:val="22"/>
      <w:lang w:val="lt-LT" w:eastAsia="lt-LT"/>
    </w:rPr>
  </w:style>
  <w:style w:type="paragraph" w:styleId="Antrat1">
    <w:name w:val="heading 1"/>
    <w:basedOn w:val="prastasis"/>
    <w:next w:val="prastasis"/>
    <w:link w:val="Antrat1Diagrama"/>
    <w:autoRedefine/>
    <w:qFormat/>
    <w:rsid w:val="00A333F1"/>
    <w:pPr>
      <w:keepNext/>
      <w:jc w:val="center"/>
      <w:outlineLvl w:val="0"/>
    </w:pPr>
    <w:rPr>
      <w:b/>
      <w:caps/>
      <w:szCs w:val="22"/>
      <w:lang w:val="en-US" w:eastAsia="ja-JP"/>
    </w:rPr>
  </w:style>
  <w:style w:type="paragraph" w:styleId="Antrat2">
    <w:name w:val="heading 2"/>
    <w:basedOn w:val="prastasis"/>
    <w:next w:val="prastasis"/>
    <w:link w:val="Antrat2Diagrama"/>
    <w:autoRedefine/>
    <w:qFormat/>
    <w:rsid w:val="00A333F1"/>
    <w:pPr>
      <w:keepNext/>
      <w:outlineLvl w:val="1"/>
    </w:pPr>
    <w:rPr>
      <w:b/>
    </w:rPr>
  </w:style>
  <w:style w:type="paragraph" w:styleId="Antrat3">
    <w:name w:val="heading 3"/>
    <w:basedOn w:val="prastasis"/>
    <w:next w:val="prastasis"/>
    <w:link w:val="Antrat3Diagrama"/>
    <w:autoRedefine/>
    <w:qFormat/>
    <w:rsid w:val="00A333F1"/>
    <w:pPr>
      <w:keepNext/>
      <w:ind w:left="567" w:hanging="567"/>
      <w:outlineLvl w:val="2"/>
    </w:pPr>
    <w:rPr>
      <w:b/>
      <w:lang w:val="en-US" w:eastAsia="ja-JP"/>
    </w:rPr>
  </w:style>
  <w:style w:type="paragraph" w:styleId="Antrat4">
    <w:name w:val="heading 4"/>
    <w:basedOn w:val="prastasis"/>
    <w:next w:val="prastasis"/>
    <w:link w:val="Antrat4Diagrama"/>
    <w:uiPriority w:val="99"/>
    <w:qFormat/>
    <w:rsid w:val="00A333F1"/>
    <w:pPr>
      <w:keepNext/>
      <w:jc w:val="both"/>
      <w:outlineLvl w:val="3"/>
    </w:pPr>
    <w:rPr>
      <w:u w:val="single"/>
    </w:rPr>
  </w:style>
  <w:style w:type="paragraph" w:styleId="Antrat5">
    <w:name w:val="heading 5"/>
    <w:basedOn w:val="prastasis"/>
    <w:next w:val="prastasis"/>
    <w:link w:val="Antrat5Diagrama"/>
    <w:uiPriority w:val="99"/>
    <w:qFormat/>
    <w:rsid w:val="00A333F1"/>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A333F1"/>
    <w:pPr>
      <w:keepNext/>
      <w:tabs>
        <w:tab w:val="num" w:pos="1152"/>
      </w:tabs>
      <w:suppressAutoHyphens/>
      <w:ind w:left="1152" w:hanging="1152"/>
      <w:outlineLvl w:val="5"/>
    </w:pPr>
    <w:rPr>
      <w:i/>
      <w:iCs/>
      <w:sz w:val="24"/>
      <w:szCs w:val="24"/>
      <w:lang w:val="en-US" w:eastAsia="ar-SA"/>
    </w:rPr>
  </w:style>
  <w:style w:type="paragraph" w:styleId="Antrat7">
    <w:name w:val="heading 7"/>
    <w:basedOn w:val="prastasis"/>
    <w:next w:val="prastasis"/>
    <w:link w:val="Antrat7Diagrama"/>
    <w:uiPriority w:val="99"/>
    <w:qFormat/>
    <w:rsid w:val="00A333F1"/>
    <w:pPr>
      <w:keepNext/>
      <w:tabs>
        <w:tab w:val="num" w:pos="1296"/>
      </w:tabs>
      <w:suppressAutoHyphens/>
      <w:ind w:left="1296" w:hanging="1296"/>
      <w:outlineLvl w:val="6"/>
    </w:pPr>
    <w:rPr>
      <w:sz w:val="24"/>
      <w:szCs w:val="24"/>
      <w:u w:val="single"/>
      <w:lang w:val="nl-NL" w:eastAsia="ar-SA"/>
    </w:rPr>
  </w:style>
  <w:style w:type="paragraph" w:styleId="Antrat8">
    <w:name w:val="heading 8"/>
    <w:basedOn w:val="prastasis"/>
    <w:next w:val="prastasis"/>
    <w:link w:val="Antrat8Diagrama"/>
    <w:uiPriority w:val="99"/>
    <w:qFormat/>
    <w:rsid w:val="00A333F1"/>
    <w:pPr>
      <w:keepNext/>
      <w:overflowPunct w:val="0"/>
      <w:autoSpaceDE w:val="0"/>
      <w:autoSpaceDN w:val="0"/>
      <w:adjustRightInd w:val="0"/>
      <w:textAlignment w:val="baseline"/>
      <w:outlineLvl w:val="7"/>
    </w:pPr>
    <w:rPr>
      <w:rFonts w:ascii="TimesLT" w:hAnsi="TimesLT"/>
      <w:b/>
      <w:bCs/>
      <w:noProof/>
      <w:lang w:val="en-US" w:eastAsia="en-US"/>
    </w:rPr>
  </w:style>
  <w:style w:type="paragraph" w:styleId="Antrat9">
    <w:name w:val="heading 9"/>
    <w:basedOn w:val="prastasis"/>
    <w:next w:val="prastasis"/>
    <w:link w:val="Antrat9Diagrama"/>
    <w:uiPriority w:val="99"/>
    <w:qFormat/>
    <w:rsid w:val="00A333F1"/>
    <w:pPr>
      <w:overflowPunct w:val="0"/>
      <w:autoSpaceDE w:val="0"/>
      <w:autoSpaceDN w:val="0"/>
      <w:adjustRightInd w:val="0"/>
      <w:spacing w:before="240" w:after="60"/>
      <w:textAlignment w:val="baseline"/>
      <w:outlineLvl w:val="8"/>
    </w:pPr>
    <w:rPr>
      <w:rFonts w:ascii="Arial" w:hAnsi="Arial" w:cs="Arial"/>
      <w:noProof/>
      <w:szCs w:val="22"/>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333F1"/>
    <w:pPr>
      <w:spacing w:after="120"/>
    </w:pPr>
  </w:style>
  <w:style w:type="paragraph" w:styleId="Porat">
    <w:name w:val="footer"/>
    <w:basedOn w:val="prastasis"/>
    <w:link w:val="PoratDiagrama"/>
    <w:rsid w:val="00A333F1"/>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qFormat/>
    <w:rsid w:val="00A333F1"/>
    <w:pPr>
      <w:jc w:val="center"/>
      <w:outlineLvl w:val="0"/>
    </w:pPr>
    <w:rPr>
      <w:b/>
      <w:kern w:val="28"/>
    </w:rPr>
  </w:style>
  <w:style w:type="character" w:styleId="Hipersaitas">
    <w:name w:val="Hyperlink"/>
    <w:rsid w:val="00FB6CC4"/>
    <w:rPr>
      <w:color w:val="0000FF"/>
      <w:u w:val="single"/>
    </w:rPr>
  </w:style>
  <w:style w:type="paragraph" w:styleId="Paantrat">
    <w:name w:val="Subtitle"/>
    <w:basedOn w:val="prastasis"/>
    <w:link w:val="PaantratDiagrama"/>
    <w:uiPriority w:val="99"/>
    <w:qFormat/>
    <w:rsid w:val="00A333F1"/>
    <w:pPr>
      <w:autoSpaceDE w:val="0"/>
      <w:autoSpaceDN w:val="0"/>
      <w:adjustRightInd w:val="0"/>
      <w:jc w:val="center"/>
    </w:pPr>
    <w:rPr>
      <w:rFonts w:ascii="TimesNewRoman,Bold" w:hAnsi="TimesNewRoman,Bold"/>
      <w:b/>
      <w:color w:val="000000"/>
      <w:lang w:val="en-US"/>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rsid w:val="00A333F1"/>
    <w:pPr>
      <w:tabs>
        <w:tab w:val="center" w:pos="4153"/>
        <w:tab w:val="right" w:pos="8306"/>
      </w:tabs>
    </w:pPr>
    <w:rPr>
      <w:sz w:val="24"/>
      <w:szCs w:val="24"/>
      <w:lang w:eastAsia="en-US"/>
    </w:rPr>
  </w:style>
  <w:style w:type="paragraph" w:customStyle="1" w:styleId="BT-EMEASMCA">
    <w:name w:val="BT- EMEA_SMCA"/>
    <w:basedOn w:val="prastasis"/>
    <w:rsid w:val="00A333F1"/>
    <w:pPr>
      <w:numPr>
        <w:numId w:val="1"/>
      </w:numPr>
    </w:pPr>
  </w:style>
  <w:style w:type="paragraph" w:customStyle="1" w:styleId="PI-3EMEASMCA">
    <w:name w:val="PI-3 EMEA_SMCA"/>
    <w:basedOn w:val="prastasis"/>
    <w:autoRedefine/>
    <w:uiPriority w:val="99"/>
    <w:rsid w:val="00A333F1"/>
    <w:pPr>
      <w:spacing w:line="220" w:lineRule="exact"/>
    </w:pPr>
    <w:rPr>
      <w:b/>
      <w:bCs/>
      <w:szCs w:val="22"/>
      <w:lang w:eastAsia="en-US"/>
    </w:rPr>
  </w:style>
  <w:style w:type="paragraph" w:customStyle="1" w:styleId="PI-1EMEASMCA">
    <w:name w:val="PI-1 EMEA_SMCA"/>
    <w:basedOn w:val="Antrat2"/>
    <w:link w:val="PI-1EMEASMCAChar"/>
    <w:autoRedefine/>
    <w:rsid w:val="00546100"/>
    <w:pPr>
      <w:tabs>
        <w:tab w:val="left" w:pos="567"/>
      </w:tabs>
    </w:pPr>
    <w:rPr>
      <w:szCs w:val="22"/>
      <w:lang w:eastAsia="en-US"/>
    </w:rPr>
  </w:style>
  <w:style w:type="character" w:customStyle="1" w:styleId="PI-1EMEASMCAChar">
    <w:name w:val="PI-1 EMEA_SMCA Char"/>
    <w:link w:val="PI-1EMEASMCA"/>
    <w:rsid w:val="00146AC5"/>
    <w:rPr>
      <w:b/>
      <w:sz w:val="22"/>
      <w:szCs w:val="22"/>
      <w:lang w:val="lt-LT" w:eastAsia="en-US"/>
    </w:rPr>
  </w:style>
  <w:style w:type="paragraph" w:customStyle="1" w:styleId="PI-2EMEASMCA">
    <w:name w:val="PI-2 EMEA_SMCA"/>
    <w:basedOn w:val="Antrat3"/>
    <w:autoRedefine/>
    <w:rsid w:val="00FB6CC4"/>
    <w:pPr>
      <w:keepLines/>
      <w:tabs>
        <w:tab w:val="left" w:pos="567"/>
      </w:tabs>
    </w:pPr>
    <w:rPr>
      <w:kern w:val="28"/>
      <w:szCs w:val="22"/>
      <w:lang w:eastAsia="en-US"/>
    </w:rPr>
  </w:style>
  <w:style w:type="paragraph" w:customStyle="1" w:styleId="BTEMEASMCA">
    <w:name w:val="BT EMEA_SMCA"/>
    <w:basedOn w:val="prastasis"/>
    <w:link w:val="BTEMEASMCAChar"/>
    <w:autoRedefine/>
    <w:rsid w:val="00A333F1"/>
    <w:rPr>
      <w:noProof/>
      <w:szCs w:val="22"/>
      <w:lang w:eastAsia="en-US"/>
    </w:rPr>
  </w:style>
  <w:style w:type="character" w:customStyle="1" w:styleId="BTEMEASMCAChar">
    <w:name w:val="BT EMEA_SMCA Char"/>
    <w:link w:val="BTEMEASMCA"/>
    <w:rsid w:val="00FB6CC4"/>
    <w:rPr>
      <w:noProof/>
      <w:sz w:val="22"/>
      <w:szCs w:val="22"/>
      <w:lang w:val="lt-LT" w:eastAsia="en-US"/>
    </w:rPr>
  </w:style>
  <w:style w:type="paragraph" w:customStyle="1" w:styleId="TTEMEASMCA">
    <w:name w:val="TT EMEA_SMCA"/>
    <w:basedOn w:val="Antrat1"/>
    <w:link w:val="TTEMEASMCAChar"/>
    <w:autoRedefine/>
    <w:rsid w:val="00546100"/>
    <w:pPr>
      <w:keepNext w:val="0"/>
      <w:tabs>
        <w:tab w:val="left" w:pos="567"/>
      </w:tabs>
      <w:ind w:left="567" w:hanging="567"/>
    </w:pPr>
    <w:rPr>
      <w:lang w:eastAsia="en-US"/>
    </w:rPr>
  </w:style>
  <w:style w:type="character" w:customStyle="1" w:styleId="TTEMEASMCAChar">
    <w:name w:val="TT EMEA_SMCA Char"/>
    <w:link w:val="TTEMEASMCA"/>
    <w:rsid w:val="00FB6CC4"/>
    <w:rPr>
      <w:b/>
      <w:caps/>
      <w:sz w:val="22"/>
      <w:szCs w:val="22"/>
      <w:lang w:eastAsia="en-US"/>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rsid w:val="00A333F1"/>
    <w:rPr>
      <w:rFonts w:ascii="Tahoma" w:hAnsi="Tahoma" w:cs="Tahoma"/>
      <w:sz w:val="16"/>
      <w:szCs w:val="16"/>
      <w:lang w:val="en-US" w:eastAsia="ja-JP"/>
    </w:rPr>
  </w:style>
  <w:style w:type="paragraph" w:customStyle="1" w:styleId="BTgEMEASMCA">
    <w:name w:val="BT(g) EMEA_SMCA"/>
    <w:basedOn w:val="BTEMEASMCA"/>
    <w:link w:val="BTgEMEASMCAChar"/>
    <w:autoRedefine/>
    <w:uiPriority w:val="99"/>
    <w:rsid w:val="00FB6CC4"/>
    <w:rPr>
      <w:i/>
      <w:color w:val="008000"/>
    </w:rPr>
  </w:style>
  <w:style w:type="character" w:customStyle="1" w:styleId="BTgEMEASMCAChar">
    <w:name w:val="BT(g) EMEA_SMCA Char"/>
    <w:link w:val="BTgEMEASMCA"/>
    <w:uiPriority w:val="99"/>
    <w:rsid w:val="00FB6CC4"/>
    <w:rPr>
      <w:i/>
      <w:noProof/>
      <w:color w:val="008000"/>
      <w:sz w:val="22"/>
      <w:szCs w:val="22"/>
      <w:lang w:val="lt-LT" w:eastAsia="en-US" w:bidi="ar-SA"/>
    </w:rPr>
  </w:style>
  <w:style w:type="paragraph" w:customStyle="1" w:styleId="BTuEMEASMCA">
    <w:name w:val="BT(u) EMEA_SMCA"/>
    <w:basedOn w:val="BTEMEASMCA"/>
    <w:autoRedefine/>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A333F1"/>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rPr>
  </w:style>
  <w:style w:type="paragraph" w:styleId="prastasiniatinklio">
    <w:name w:val="Normal (Web)"/>
    <w:basedOn w:val="prastasis"/>
    <w:rsid w:val="00A333F1"/>
    <w:pPr>
      <w:spacing w:before="100" w:after="100"/>
    </w:pPr>
    <w:rPr>
      <w:lang w:val="en-US"/>
    </w:rPr>
  </w:style>
  <w:style w:type="paragraph" w:styleId="Puslapioinaostekstas">
    <w:name w:val="footnote text"/>
    <w:basedOn w:val="prastasis"/>
    <w:next w:val="prastasis"/>
    <w:link w:val="PuslapioinaostekstasDiagrama"/>
    <w:uiPriority w:val="99"/>
    <w:semiHidden/>
    <w:rsid w:val="00A333F1"/>
    <w:rPr>
      <w:rFonts w:ascii="TimesLT" w:hAnsi="TimesLT"/>
      <w:sz w:val="20"/>
      <w:lang w:val="en-GB"/>
    </w:rPr>
  </w:style>
  <w:style w:type="character" w:customStyle="1" w:styleId="TTEMEASMCADiagrama">
    <w:name w:val="TT EMEA_SMCA Diagrama"/>
    <w:uiPriority w:val="99"/>
    <w:rsid w:val="00146AC5"/>
    <w:rPr>
      <w:b/>
      <w:caps/>
      <w:sz w:val="22"/>
      <w:szCs w:val="22"/>
      <w:lang w:val="en-US" w:eastAsia="en-US" w:bidi="ar-SA"/>
    </w:rPr>
  </w:style>
  <w:style w:type="paragraph" w:customStyle="1" w:styleId="EMEABodyText">
    <w:name w:val="EMEA Body Text"/>
    <w:basedOn w:val="prastasis"/>
    <w:link w:val="EMEABodyTextChar"/>
    <w:uiPriority w:val="99"/>
    <w:rsid w:val="00A333F1"/>
    <w:rPr>
      <w:lang w:val="en-GB" w:eastAsia="en-US"/>
    </w:rPr>
  </w:style>
  <w:style w:type="character" w:customStyle="1" w:styleId="EMEABodyTextChar">
    <w:name w:val="EMEA Body Text Char"/>
    <w:link w:val="EMEABodyText"/>
    <w:uiPriority w:val="99"/>
    <w:rsid w:val="00146AC5"/>
    <w:rPr>
      <w:sz w:val="22"/>
      <w:lang w:val="en-GB" w:eastAsia="en-US"/>
    </w:rPr>
  </w:style>
  <w:style w:type="paragraph" w:customStyle="1" w:styleId="Default">
    <w:name w:val="Default"/>
    <w:rsid w:val="00A333F1"/>
    <w:pPr>
      <w:autoSpaceDE w:val="0"/>
      <w:autoSpaceDN w:val="0"/>
      <w:adjustRightInd w:val="0"/>
    </w:pPr>
    <w:rPr>
      <w:color w:val="000000"/>
      <w:sz w:val="24"/>
      <w:szCs w:val="24"/>
      <w:lang w:eastAsia="en-US"/>
    </w:rPr>
  </w:style>
  <w:style w:type="paragraph" w:customStyle="1" w:styleId="NormalLatinArial">
    <w:name w:val="Normal + (Latin) Arial"/>
    <w:aliases w:val="(Complex) Arial,9 pt"/>
    <w:basedOn w:val="Default"/>
    <w:next w:val="Default"/>
    <w:uiPriority w:val="99"/>
    <w:rsid w:val="00A333F1"/>
    <w:pPr>
      <w:numPr>
        <w:numId w:val="2"/>
      </w:numPr>
      <w:tabs>
        <w:tab w:val="clear" w:pos="567"/>
      </w:tabs>
      <w:ind w:left="0" w:firstLine="0"/>
    </w:pPr>
    <w:rPr>
      <w:color w:val="auto"/>
    </w:rPr>
  </w:style>
  <w:style w:type="paragraph" w:customStyle="1" w:styleId="Text">
    <w:name w:val="Text"/>
    <w:basedOn w:val="prastasis"/>
    <w:uiPriority w:val="99"/>
    <w:rsid w:val="00A333F1"/>
    <w:pPr>
      <w:spacing w:before="120"/>
      <w:jc w:val="both"/>
    </w:pPr>
    <w:rPr>
      <w:sz w:val="24"/>
      <w:lang w:val="en-US" w:eastAsia="en-US"/>
    </w:rPr>
  </w:style>
  <w:style w:type="paragraph" w:customStyle="1" w:styleId="Listlevel1">
    <w:name w:val="List level 1"/>
    <w:basedOn w:val="prastasis"/>
    <w:uiPriority w:val="99"/>
    <w:rsid w:val="00A333F1"/>
    <w:pPr>
      <w:spacing w:before="40" w:after="20"/>
      <w:ind w:left="425" w:hanging="425"/>
    </w:pPr>
    <w:rPr>
      <w:sz w:val="24"/>
      <w:lang w:val="en-US" w:eastAsia="en-US"/>
    </w:rPr>
  </w:style>
  <w:style w:type="paragraph" w:customStyle="1" w:styleId="ZchnZchnCharZchnZchnChar">
    <w:name w:val="Zchn Zchn Char Zchn Zchn Char"/>
    <w:basedOn w:val="prastasis"/>
    <w:rsid w:val="008A2999"/>
    <w:pPr>
      <w:widowControl w:val="0"/>
      <w:adjustRightInd w:val="0"/>
      <w:spacing w:after="160" w:line="240" w:lineRule="exact"/>
      <w:jc w:val="both"/>
      <w:textAlignment w:val="baseline"/>
    </w:pPr>
    <w:rPr>
      <w:rFonts w:ascii="Tahoma" w:hAnsi="Tahoma"/>
      <w:sz w:val="20"/>
      <w:lang w:val="en-US" w:eastAsia="en-US"/>
    </w:rPr>
  </w:style>
  <w:style w:type="paragraph" w:customStyle="1" w:styleId="BTbEMEASMCA">
    <w:name w:val="BT(b) EMEA_SMCA"/>
    <w:basedOn w:val="BTEMEASMCA"/>
    <w:autoRedefine/>
    <w:rsid w:val="00546100"/>
    <w:pPr>
      <w:overflowPunct w:val="0"/>
      <w:autoSpaceDE w:val="0"/>
      <w:autoSpaceDN w:val="0"/>
      <w:adjustRightInd w:val="0"/>
      <w:textAlignment w:val="baseline"/>
    </w:pPr>
    <w:rPr>
      <w:b/>
      <w:u w:val="single"/>
    </w:rPr>
  </w:style>
  <w:style w:type="character" w:customStyle="1" w:styleId="Antrat1Diagrama">
    <w:name w:val="Antraštė 1 Diagrama"/>
    <w:link w:val="Antrat1"/>
    <w:locked/>
    <w:rsid w:val="00AE02DA"/>
    <w:rPr>
      <w:b/>
      <w:caps/>
      <w:sz w:val="22"/>
      <w:szCs w:val="22"/>
    </w:rPr>
  </w:style>
  <w:style w:type="character" w:customStyle="1" w:styleId="Antrat2Diagrama">
    <w:name w:val="Antraštė 2 Diagrama"/>
    <w:link w:val="Antrat2"/>
    <w:locked/>
    <w:rsid w:val="00AE02DA"/>
    <w:rPr>
      <w:b/>
      <w:sz w:val="22"/>
      <w:lang w:val="lt-LT" w:eastAsia="lt-LT"/>
    </w:rPr>
  </w:style>
  <w:style w:type="character" w:customStyle="1" w:styleId="Antrat3Diagrama">
    <w:name w:val="Antraštė 3 Diagrama"/>
    <w:link w:val="Antrat3"/>
    <w:locked/>
    <w:rsid w:val="00AE02DA"/>
    <w:rPr>
      <w:b/>
      <w:sz w:val="22"/>
    </w:rPr>
  </w:style>
  <w:style w:type="character" w:customStyle="1" w:styleId="Antrat4Diagrama">
    <w:name w:val="Antraštė 4 Diagrama"/>
    <w:link w:val="Antrat4"/>
    <w:uiPriority w:val="99"/>
    <w:locked/>
    <w:rsid w:val="00AE02DA"/>
    <w:rPr>
      <w:sz w:val="22"/>
      <w:u w:val="single"/>
      <w:lang w:val="lt-LT" w:eastAsia="lt-LT"/>
    </w:rPr>
  </w:style>
  <w:style w:type="character" w:customStyle="1" w:styleId="Antrat5Diagrama">
    <w:name w:val="Antraštė 5 Diagrama"/>
    <w:link w:val="Antrat5"/>
    <w:uiPriority w:val="99"/>
    <w:locked/>
    <w:rsid w:val="00AE02DA"/>
    <w:rPr>
      <w:b/>
      <w:bCs/>
      <w:i/>
      <w:iCs/>
      <w:sz w:val="26"/>
      <w:szCs w:val="26"/>
      <w:lang w:val="lt-LT" w:eastAsia="lt-LT"/>
    </w:rPr>
  </w:style>
  <w:style w:type="character" w:customStyle="1" w:styleId="PagrindinistekstasDiagrama">
    <w:name w:val="Pagrindinis tekstas Diagrama"/>
    <w:link w:val="Pagrindinistekstas"/>
    <w:locked/>
    <w:rsid w:val="00AE02DA"/>
    <w:rPr>
      <w:sz w:val="22"/>
      <w:lang w:val="lt-LT" w:eastAsia="lt-LT"/>
    </w:rPr>
  </w:style>
  <w:style w:type="character" w:customStyle="1" w:styleId="PoratDiagrama">
    <w:name w:val="Poraštė Diagrama"/>
    <w:link w:val="Porat"/>
    <w:locked/>
    <w:rsid w:val="00AE02DA"/>
    <w:rPr>
      <w:sz w:val="22"/>
      <w:lang w:val="lt-LT" w:eastAsia="lt-LT"/>
    </w:rPr>
  </w:style>
  <w:style w:type="character" w:customStyle="1" w:styleId="PavadinimasDiagrama">
    <w:name w:val="Pavadinimas Diagrama"/>
    <w:link w:val="Pavadinimas"/>
    <w:locked/>
    <w:rsid w:val="00AE02DA"/>
    <w:rPr>
      <w:b/>
      <w:kern w:val="28"/>
      <w:sz w:val="22"/>
      <w:lang w:val="lt-LT" w:eastAsia="lt-LT"/>
    </w:rPr>
  </w:style>
  <w:style w:type="character" w:customStyle="1" w:styleId="PaantratDiagrama">
    <w:name w:val="Paantraštė Diagrama"/>
    <w:link w:val="Paantrat"/>
    <w:uiPriority w:val="99"/>
    <w:locked/>
    <w:rsid w:val="00AE02DA"/>
    <w:rPr>
      <w:rFonts w:ascii="TimesNewRoman,Bold" w:hAnsi="TimesNewRoman,Bold"/>
      <w:b/>
      <w:color w:val="000000"/>
      <w:sz w:val="22"/>
      <w:lang w:eastAsia="lt-LT"/>
    </w:rPr>
  </w:style>
  <w:style w:type="character" w:customStyle="1" w:styleId="AntratsDiagrama">
    <w:name w:val="Antraštės Diagrama"/>
    <w:link w:val="Antrats"/>
    <w:locked/>
    <w:rsid w:val="00AE02DA"/>
    <w:rPr>
      <w:sz w:val="24"/>
      <w:szCs w:val="24"/>
      <w:lang w:val="lt-LT" w:eastAsia="en-US"/>
    </w:rPr>
  </w:style>
  <w:style w:type="character" w:customStyle="1" w:styleId="DebesliotekstasDiagrama">
    <w:name w:val="Debesėlio tekstas Diagrama"/>
    <w:link w:val="Debesliotekstas"/>
    <w:locked/>
    <w:rsid w:val="00AE02DA"/>
    <w:rPr>
      <w:rFonts w:ascii="Tahoma" w:hAnsi="Tahoma" w:cs="Tahoma"/>
      <w:sz w:val="16"/>
      <w:szCs w:val="16"/>
    </w:rPr>
  </w:style>
  <w:style w:type="character" w:customStyle="1" w:styleId="PuslapioinaostekstasDiagrama">
    <w:name w:val="Puslapio išnašos tekstas Diagrama"/>
    <w:link w:val="Puslapioinaostekstas"/>
    <w:uiPriority w:val="99"/>
    <w:semiHidden/>
    <w:locked/>
    <w:rsid w:val="00AE02DA"/>
    <w:rPr>
      <w:rFonts w:ascii="TimesLT" w:hAnsi="TimesLT"/>
      <w:lang w:val="en-GB" w:eastAsia="lt-LT"/>
    </w:rPr>
  </w:style>
  <w:style w:type="paragraph" w:customStyle="1" w:styleId="ZchnZchnCharZchnZchnChar0">
    <w:name w:val="Zchn Zchn Char Zchn Zchn Char"/>
    <w:basedOn w:val="prastasis"/>
    <w:uiPriority w:val="99"/>
    <w:rsid w:val="00A333F1"/>
    <w:pPr>
      <w:widowControl w:val="0"/>
      <w:adjustRightInd w:val="0"/>
      <w:spacing w:after="160" w:line="240" w:lineRule="exact"/>
      <w:jc w:val="both"/>
      <w:textAlignment w:val="baseline"/>
    </w:pPr>
    <w:rPr>
      <w:rFonts w:ascii="Tahoma" w:hAnsi="Tahoma"/>
      <w:sz w:val="20"/>
      <w:lang w:val="en-US" w:eastAsia="en-US"/>
    </w:rPr>
  </w:style>
  <w:style w:type="character" w:styleId="Komentaronuoroda">
    <w:name w:val="annotation reference"/>
    <w:rsid w:val="00AE02DA"/>
    <w:rPr>
      <w:rFonts w:cs="Times New Roman"/>
      <w:sz w:val="16"/>
      <w:szCs w:val="16"/>
    </w:rPr>
  </w:style>
  <w:style w:type="paragraph" w:styleId="Komentarotekstas">
    <w:name w:val="annotation text"/>
    <w:basedOn w:val="prastasis"/>
    <w:link w:val="KomentarotekstasDiagrama"/>
    <w:rsid w:val="00A333F1"/>
    <w:rPr>
      <w:sz w:val="20"/>
      <w:lang w:val="en-US" w:eastAsia="ja-JP"/>
    </w:rPr>
  </w:style>
  <w:style w:type="character" w:customStyle="1" w:styleId="KomentarotekstasDiagrama">
    <w:name w:val="Komentaro tekstas Diagrama"/>
    <w:basedOn w:val="Numatytasispastraiposriftas"/>
    <w:link w:val="Komentarotekstas"/>
    <w:rsid w:val="00AE02DA"/>
  </w:style>
  <w:style w:type="paragraph" w:styleId="Komentarotema">
    <w:name w:val="annotation subject"/>
    <w:basedOn w:val="Komentarotekstas"/>
    <w:next w:val="Komentarotekstas"/>
    <w:link w:val="KomentarotemaDiagrama"/>
    <w:rsid w:val="00546100"/>
    <w:rPr>
      <w:b/>
      <w:bCs/>
    </w:rPr>
  </w:style>
  <w:style w:type="character" w:customStyle="1" w:styleId="KomentarotemaDiagrama">
    <w:name w:val="Komentaro tema Diagrama"/>
    <w:link w:val="Komentarotema"/>
    <w:rsid w:val="00AE02DA"/>
    <w:rPr>
      <w:b/>
      <w:bCs/>
    </w:rPr>
  </w:style>
  <w:style w:type="paragraph" w:customStyle="1" w:styleId="BTeEMEASMCA">
    <w:name w:val="BT(e) EMEA_SMCA"/>
    <w:basedOn w:val="BTEMEASMCA"/>
    <w:autoRedefine/>
    <w:uiPriority w:val="99"/>
    <w:rsid w:val="00AE02DA"/>
    <w:pPr>
      <w:jc w:val="center"/>
    </w:pPr>
    <w:rPr>
      <w:szCs w:val="20"/>
    </w:rPr>
  </w:style>
  <w:style w:type="paragraph" w:styleId="Pataisymai">
    <w:name w:val="Revision"/>
    <w:hidden/>
    <w:semiHidden/>
    <w:rsid w:val="00A333F1"/>
    <w:rPr>
      <w:sz w:val="22"/>
      <w:lang w:val="lt-LT" w:eastAsia="lt-LT"/>
    </w:rPr>
  </w:style>
  <w:style w:type="character" w:customStyle="1" w:styleId="Antrat6Diagrama">
    <w:name w:val="Antraštė 6 Diagrama"/>
    <w:link w:val="Antrat6"/>
    <w:uiPriority w:val="99"/>
    <w:rsid w:val="0073430A"/>
    <w:rPr>
      <w:i/>
      <w:iCs/>
      <w:sz w:val="24"/>
      <w:szCs w:val="24"/>
      <w:lang w:eastAsia="ar-SA"/>
    </w:rPr>
  </w:style>
  <w:style w:type="character" w:customStyle="1" w:styleId="Antrat7Diagrama">
    <w:name w:val="Antraštė 7 Diagrama"/>
    <w:link w:val="Antrat7"/>
    <w:uiPriority w:val="99"/>
    <w:rsid w:val="0073430A"/>
    <w:rPr>
      <w:sz w:val="24"/>
      <w:szCs w:val="24"/>
      <w:u w:val="single"/>
      <w:lang w:val="nl-NL" w:eastAsia="ar-SA"/>
    </w:rPr>
  </w:style>
  <w:style w:type="numbering" w:customStyle="1" w:styleId="NoList1">
    <w:name w:val="No List1"/>
    <w:next w:val="Sraonra"/>
    <w:uiPriority w:val="99"/>
    <w:semiHidden/>
    <w:unhideWhenUsed/>
    <w:rsid w:val="0073430A"/>
  </w:style>
  <w:style w:type="character" w:customStyle="1" w:styleId="WW8Num2z0">
    <w:name w:val="WW8Num2z0"/>
    <w:uiPriority w:val="99"/>
    <w:rsid w:val="0073430A"/>
    <w:rPr>
      <w:rFonts w:ascii="Symbol" w:hAnsi="Symbol"/>
    </w:rPr>
  </w:style>
  <w:style w:type="character" w:customStyle="1" w:styleId="WW8Num2z1">
    <w:name w:val="WW8Num2z1"/>
    <w:uiPriority w:val="99"/>
    <w:rsid w:val="0073430A"/>
    <w:rPr>
      <w:rFonts w:ascii="Courier New" w:hAnsi="Courier New"/>
    </w:rPr>
  </w:style>
  <w:style w:type="character" w:customStyle="1" w:styleId="WW8Num2z2">
    <w:name w:val="WW8Num2z2"/>
    <w:uiPriority w:val="99"/>
    <w:rsid w:val="0073430A"/>
    <w:rPr>
      <w:rFonts w:ascii="Wingdings" w:hAnsi="Wingdings"/>
    </w:rPr>
  </w:style>
  <w:style w:type="character" w:customStyle="1" w:styleId="WW8Num3z0">
    <w:name w:val="WW8Num3z0"/>
    <w:uiPriority w:val="99"/>
    <w:rsid w:val="0073430A"/>
    <w:rPr>
      <w:rFonts w:ascii="Wingdings" w:hAnsi="Wingdings"/>
    </w:rPr>
  </w:style>
  <w:style w:type="character" w:customStyle="1" w:styleId="WW8Num3z1">
    <w:name w:val="WW8Num3z1"/>
    <w:uiPriority w:val="99"/>
    <w:rsid w:val="0073430A"/>
    <w:rPr>
      <w:rFonts w:ascii="Courier New" w:hAnsi="Courier New"/>
    </w:rPr>
  </w:style>
  <w:style w:type="character" w:customStyle="1" w:styleId="WW8Num3z3">
    <w:name w:val="WW8Num3z3"/>
    <w:uiPriority w:val="99"/>
    <w:rsid w:val="0073430A"/>
    <w:rPr>
      <w:rFonts w:ascii="Symbol" w:hAnsi="Symbol"/>
    </w:rPr>
  </w:style>
  <w:style w:type="character" w:customStyle="1" w:styleId="WW8Num4z0">
    <w:name w:val="WW8Num4z0"/>
    <w:uiPriority w:val="99"/>
    <w:rsid w:val="0073430A"/>
    <w:rPr>
      <w:rFonts w:ascii="Symbol" w:hAnsi="Symbol"/>
    </w:rPr>
  </w:style>
  <w:style w:type="character" w:customStyle="1" w:styleId="WW8Num4z1">
    <w:name w:val="WW8Num4z1"/>
    <w:uiPriority w:val="99"/>
    <w:rsid w:val="0073430A"/>
    <w:rPr>
      <w:rFonts w:ascii="Courier New" w:hAnsi="Courier New"/>
    </w:rPr>
  </w:style>
  <w:style w:type="character" w:customStyle="1" w:styleId="WW8Num4z2">
    <w:name w:val="WW8Num4z2"/>
    <w:uiPriority w:val="99"/>
    <w:rsid w:val="0073430A"/>
    <w:rPr>
      <w:rFonts w:ascii="Wingdings" w:hAnsi="Wingdings"/>
    </w:rPr>
  </w:style>
  <w:style w:type="character" w:customStyle="1" w:styleId="WW8Num5z0">
    <w:name w:val="WW8Num5z0"/>
    <w:uiPriority w:val="99"/>
    <w:rsid w:val="0073430A"/>
    <w:rPr>
      <w:rFonts w:ascii="Symbol" w:hAnsi="Symbol"/>
    </w:rPr>
  </w:style>
  <w:style w:type="character" w:customStyle="1" w:styleId="WW8Num5z1">
    <w:name w:val="WW8Num5z1"/>
    <w:uiPriority w:val="99"/>
    <w:rsid w:val="0073430A"/>
    <w:rPr>
      <w:rFonts w:ascii="Courier New" w:hAnsi="Courier New"/>
    </w:rPr>
  </w:style>
  <w:style w:type="character" w:customStyle="1" w:styleId="WW8Num5z2">
    <w:name w:val="WW8Num5z2"/>
    <w:uiPriority w:val="99"/>
    <w:rsid w:val="0073430A"/>
    <w:rPr>
      <w:rFonts w:ascii="Wingdings" w:hAnsi="Wingdings"/>
    </w:rPr>
  </w:style>
  <w:style w:type="character" w:customStyle="1" w:styleId="WW8Num6z1">
    <w:name w:val="WW8Num6z1"/>
    <w:uiPriority w:val="99"/>
    <w:rsid w:val="0073430A"/>
    <w:rPr>
      <w:rFonts w:ascii="Courier New" w:hAnsi="Courier New"/>
    </w:rPr>
  </w:style>
  <w:style w:type="character" w:customStyle="1" w:styleId="WW8Num6z2">
    <w:name w:val="WW8Num6z2"/>
    <w:uiPriority w:val="99"/>
    <w:rsid w:val="0073430A"/>
    <w:rPr>
      <w:rFonts w:ascii="Wingdings" w:hAnsi="Wingdings"/>
    </w:rPr>
  </w:style>
  <w:style w:type="character" w:customStyle="1" w:styleId="WW8Num6z3">
    <w:name w:val="WW8Num6z3"/>
    <w:uiPriority w:val="99"/>
    <w:rsid w:val="0073430A"/>
    <w:rPr>
      <w:rFonts w:ascii="Symbol" w:hAnsi="Symbol"/>
    </w:rPr>
  </w:style>
  <w:style w:type="character" w:customStyle="1" w:styleId="WW8Num7z0">
    <w:name w:val="WW8Num7z0"/>
    <w:uiPriority w:val="99"/>
    <w:rsid w:val="0073430A"/>
    <w:rPr>
      <w:rFonts w:ascii="Symbol" w:hAnsi="Symbol"/>
    </w:rPr>
  </w:style>
  <w:style w:type="character" w:customStyle="1" w:styleId="WW8Num7z1">
    <w:name w:val="WW8Num7z1"/>
    <w:uiPriority w:val="99"/>
    <w:rsid w:val="0073430A"/>
    <w:rPr>
      <w:rFonts w:ascii="Courier New" w:hAnsi="Courier New"/>
    </w:rPr>
  </w:style>
  <w:style w:type="character" w:customStyle="1" w:styleId="WW8Num7z2">
    <w:name w:val="WW8Num7z2"/>
    <w:uiPriority w:val="99"/>
    <w:rsid w:val="0073430A"/>
    <w:rPr>
      <w:rFonts w:ascii="Wingdings" w:hAnsi="Wingdings"/>
    </w:rPr>
  </w:style>
  <w:style w:type="character" w:customStyle="1" w:styleId="WW8Num8z0">
    <w:name w:val="WW8Num8z0"/>
    <w:uiPriority w:val="99"/>
    <w:rsid w:val="0073430A"/>
    <w:rPr>
      <w:sz w:val="16"/>
    </w:rPr>
  </w:style>
  <w:style w:type="character" w:customStyle="1" w:styleId="WW8Num8z1">
    <w:name w:val="WW8Num8z1"/>
    <w:uiPriority w:val="99"/>
    <w:rsid w:val="0073430A"/>
    <w:rPr>
      <w:rFonts w:ascii="Courier New" w:hAnsi="Courier New"/>
    </w:rPr>
  </w:style>
  <w:style w:type="character" w:customStyle="1" w:styleId="WW8Num8z2">
    <w:name w:val="WW8Num8z2"/>
    <w:uiPriority w:val="99"/>
    <w:rsid w:val="0073430A"/>
    <w:rPr>
      <w:rFonts w:ascii="Wingdings" w:hAnsi="Wingdings"/>
    </w:rPr>
  </w:style>
  <w:style w:type="character" w:customStyle="1" w:styleId="WW8Num8z3">
    <w:name w:val="WW8Num8z3"/>
    <w:uiPriority w:val="99"/>
    <w:rsid w:val="0073430A"/>
    <w:rPr>
      <w:rFonts w:ascii="Symbol" w:hAnsi="Symbol"/>
    </w:rPr>
  </w:style>
  <w:style w:type="character" w:customStyle="1" w:styleId="WW8Num9z0">
    <w:name w:val="WW8Num9z0"/>
    <w:uiPriority w:val="99"/>
    <w:rsid w:val="0073430A"/>
    <w:rPr>
      <w:rFonts w:ascii="Symbol" w:hAnsi="Symbol"/>
      <w:sz w:val="16"/>
    </w:rPr>
  </w:style>
  <w:style w:type="character" w:customStyle="1" w:styleId="WW8Num9z1">
    <w:name w:val="WW8Num9z1"/>
    <w:uiPriority w:val="99"/>
    <w:rsid w:val="0073430A"/>
    <w:rPr>
      <w:rFonts w:ascii="Courier New" w:hAnsi="Courier New"/>
    </w:rPr>
  </w:style>
  <w:style w:type="character" w:customStyle="1" w:styleId="WW8Num9z2">
    <w:name w:val="WW8Num9z2"/>
    <w:uiPriority w:val="99"/>
    <w:rsid w:val="0073430A"/>
    <w:rPr>
      <w:rFonts w:ascii="Wingdings" w:hAnsi="Wingdings"/>
    </w:rPr>
  </w:style>
  <w:style w:type="character" w:customStyle="1" w:styleId="WW8Num9z3">
    <w:name w:val="WW8Num9z3"/>
    <w:uiPriority w:val="99"/>
    <w:rsid w:val="0073430A"/>
    <w:rPr>
      <w:rFonts w:ascii="Symbol" w:hAnsi="Symbol"/>
    </w:rPr>
  </w:style>
  <w:style w:type="character" w:customStyle="1" w:styleId="WW8Num10z1">
    <w:name w:val="WW8Num10z1"/>
    <w:uiPriority w:val="99"/>
    <w:rsid w:val="0073430A"/>
    <w:rPr>
      <w:rFonts w:ascii="Courier New" w:hAnsi="Courier New"/>
    </w:rPr>
  </w:style>
  <w:style w:type="character" w:customStyle="1" w:styleId="WW8Num10z2">
    <w:name w:val="WW8Num10z2"/>
    <w:uiPriority w:val="99"/>
    <w:rsid w:val="0073430A"/>
    <w:rPr>
      <w:rFonts w:ascii="Wingdings" w:hAnsi="Wingdings"/>
    </w:rPr>
  </w:style>
  <w:style w:type="character" w:customStyle="1" w:styleId="WW8Num10z3">
    <w:name w:val="WW8Num10z3"/>
    <w:uiPriority w:val="99"/>
    <w:rsid w:val="0073430A"/>
    <w:rPr>
      <w:rFonts w:ascii="Symbol" w:hAnsi="Symbol"/>
    </w:rPr>
  </w:style>
  <w:style w:type="character" w:customStyle="1" w:styleId="WW8Num11z0">
    <w:name w:val="WW8Num11z0"/>
    <w:uiPriority w:val="99"/>
    <w:rsid w:val="0073430A"/>
    <w:rPr>
      <w:rFonts w:ascii="Symbol" w:hAnsi="Symbol"/>
    </w:rPr>
  </w:style>
  <w:style w:type="character" w:customStyle="1" w:styleId="WW8Num11z1">
    <w:name w:val="WW8Num11z1"/>
    <w:uiPriority w:val="99"/>
    <w:rsid w:val="0073430A"/>
    <w:rPr>
      <w:rFonts w:ascii="Courier New" w:hAnsi="Courier New"/>
    </w:rPr>
  </w:style>
  <w:style w:type="character" w:customStyle="1" w:styleId="WW8Num11z2">
    <w:name w:val="WW8Num11z2"/>
    <w:uiPriority w:val="99"/>
    <w:rsid w:val="0073430A"/>
    <w:rPr>
      <w:rFonts w:ascii="Wingdings" w:hAnsi="Wingdings"/>
    </w:rPr>
  </w:style>
  <w:style w:type="character" w:customStyle="1" w:styleId="WW8Num12z1">
    <w:name w:val="WW8Num12z1"/>
    <w:uiPriority w:val="99"/>
    <w:rsid w:val="0073430A"/>
    <w:rPr>
      <w:rFonts w:ascii="Courier New" w:hAnsi="Courier New"/>
    </w:rPr>
  </w:style>
  <w:style w:type="character" w:customStyle="1" w:styleId="WW8Num12z2">
    <w:name w:val="WW8Num12z2"/>
    <w:uiPriority w:val="99"/>
    <w:rsid w:val="0073430A"/>
    <w:rPr>
      <w:rFonts w:ascii="Wingdings" w:hAnsi="Wingdings"/>
    </w:rPr>
  </w:style>
  <w:style w:type="character" w:customStyle="1" w:styleId="WW8Num12z3">
    <w:name w:val="WW8Num12z3"/>
    <w:uiPriority w:val="99"/>
    <w:rsid w:val="0073430A"/>
    <w:rPr>
      <w:rFonts w:ascii="Symbol" w:hAnsi="Symbol"/>
    </w:rPr>
  </w:style>
  <w:style w:type="character" w:customStyle="1" w:styleId="WW8Num13z0">
    <w:name w:val="WW8Num13z0"/>
    <w:uiPriority w:val="99"/>
    <w:rsid w:val="0073430A"/>
    <w:rPr>
      <w:rFonts w:ascii="Symbol" w:hAnsi="Symbol"/>
    </w:rPr>
  </w:style>
  <w:style w:type="character" w:customStyle="1" w:styleId="WW8Num13z1">
    <w:name w:val="WW8Num13z1"/>
    <w:uiPriority w:val="99"/>
    <w:rsid w:val="0073430A"/>
    <w:rPr>
      <w:rFonts w:ascii="Courier New" w:hAnsi="Courier New"/>
    </w:rPr>
  </w:style>
  <w:style w:type="character" w:customStyle="1" w:styleId="WW8Num13z2">
    <w:name w:val="WW8Num13z2"/>
    <w:uiPriority w:val="99"/>
    <w:rsid w:val="0073430A"/>
    <w:rPr>
      <w:rFonts w:ascii="Wingdings" w:hAnsi="Wingdings"/>
    </w:rPr>
  </w:style>
  <w:style w:type="character" w:customStyle="1" w:styleId="WW8Num14z0">
    <w:name w:val="WW8Num14z0"/>
    <w:uiPriority w:val="99"/>
    <w:rsid w:val="0073430A"/>
    <w:rPr>
      <w:rFonts w:ascii="Symbol" w:hAnsi="Symbol"/>
    </w:rPr>
  </w:style>
  <w:style w:type="character" w:customStyle="1" w:styleId="WW8Num14z1">
    <w:name w:val="WW8Num14z1"/>
    <w:uiPriority w:val="99"/>
    <w:rsid w:val="0073430A"/>
    <w:rPr>
      <w:rFonts w:ascii="Courier New" w:hAnsi="Courier New"/>
    </w:rPr>
  </w:style>
  <w:style w:type="character" w:customStyle="1" w:styleId="WW8Num14z2">
    <w:name w:val="WW8Num14z2"/>
    <w:uiPriority w:val="99"/>
    <w:rsid w:val="0073430A"/>
    <w:rPr>
      <w:rFonts w:ascii="Wingdings" w:hAnsi="Wingdings"/>
    </w:rPr>
  </w:style>
  <w:style w:type="character" w:customStyle="1" w:styleId="WW8Num17z0">
    <w:name w:val="WW8Num17z0"/>
    <w:uiPriority w:val="99"/>
    <w:rsid w:val="0073430A"/>
    <w:rPr>
      <w:rFonts w:ascii="Symbol" w:hAnsi="Symbol"/>
    </w:rPr>
  </w:style>
  <w:style w:type="character" w:customStyle="1" w:styleId="WW8Num17z1">
    <w:name w:val="WW8Num17z1"/>
    <w:uiPriority w:val="99"/>
    <w:rsid w:val="0073430A"/>
    <w:rPr>
      <w:rFonts w:ascii="Courier New" w:hAnsi="Courier New"/>
    </w:rPr>
  </w:style>
  <w:style w:type="character" w:customStyle="1" w:styleId="WW8Num17z2">
    <w:name w:val="WW8Num17z2"/>
    <w:uiPriority w:val="99"/>
    <w:rsid w:val="0073430A"/>
    <w:rPr>
      <w:rFonts w:ascii="Wingdings" w:hAnsi="Wingdings"/>
    </w:rPr>
  </w:style>
  <w:style w:type="character" w:customStyle="1" w:styleId="WW8Num18z0">
    <w:name w:val="WW8Num18z0"/>
    <w:uiPriority w:val="99"/>
    <w:rsid w:val="0073430A"/>
    <w:rPr>
      <w:rFonts w:ascii="Symbol" w:hAnsi="Symbol"/>
    </w:rPr>
  </w:style>
  <w:style w:type="character" w:customStyle="1" w:styleId="WW8Num18z1">
    <w:name w:val="WW8Num18z1"/>
    <w:uiPriority w:val="99"/>
    <w:rsid w:val="0073430A"/>
    <w:rPr>
      <w:rFonts w:ascii="Courier New" w:hAnsi="Courier New"/>
    </w:rPr>
  </w:style>
  <w:style w:type="character" w:customStyle="1" w:styleId="WW8Num18z2">
    <w:name w:val="WW8Num18z2"/>
    <w:uiPriority w:val="99"/>
    <w:rsid w:val="0073430A"/>
    <w:rPr>
      <w:rFonts w:ascii="Wingdings" w:hAnsi="Wingdings"/>
    </w:rPr>
  </w:style>
  <w:style w:type="character" w:customStyle="1" w:styleId="WW8Num19z0">
    <w:name w:val="WW8Num19z0"/>
    <w:uiPriority w:val="99"/>
    <w:rsid w:val="0073430A"/>
    <w:rPr>
      <w:rFonts w:ascii="Symbol" w:hAnsi="Symbol"/>
    </w:rPr>
  </w:style>
  <w:style w:type="character" w:customStyle="1" w:styleId="WW8Num20z1">
    <w:name w:val="WW8Num20z1"/>
    <w:uiPriority w:val="99"/>
    <w:rsid w:val="0073430A"/>
    <w:rPr>
      <w:b/>
    </w:rPr>
  </w:style>
  <w:style w:type="character" w:customStyle="1" w:styleId="WW8Num21z0">
    <w:name w:val="WW8Num21z0"/>
    <w:uiPriority w:val="99"/>
    <w:rsid w:val="0073430A"/>
    <w:rPr>
      <w:rFonts w:ascii="Symbol" w:hAnsi="Symbol"/>
    </w:rPr>
  </w:style>
  <w:style w:type="character" w:customStyle="1" w:styleId="WW8Num21z1">
    <w:name w:val="WW8Num21z1"/>
    <w:uiPriority w:val="99"/>
    <w:rsid w:val="0073430A"/>
    <w:rPr>
      <w:rFonts w:ascii="Courier New" w:hAnsi="Courier New"/>
    </w:rPr>
  </w:style>
  <w:style w:type="character" w:customStyle="1" w:styleId="WW8Num21z2">
    <w:name w:val="WW8Num21z2"/>
    <w:uiPriority w:val="99"/>
    <w:rsid w:val="0073430A"/>
    <w:rPr>
      <w:rFonts w:ascii="Wingdings" w:hAnsi="Wingdings"/>
    </w:rPr>
  </w:style>
  <w:style w:type="character" w:customStyle="1" w:styleId="WW8Num22z0">
    <w:name w:val="WW8Num22z0"/>
    <w:uiPriority w:val="99"/>
    <w:rsid w:val="0073430A"/>
    <w:rPr>
      <w:rFonts w:ascii="Symbol" w:hAnsi="Symbol"/>
    </w:rPr>
  </w:style>
  <w:style w:type="character" w:customStyle="1" w:styleId="WW8Num22z1">
    <w:name w:val="WW8Num22z1"/>
    <w:uiPriority w:val="99"/>
    <w:rsid w:val="0073430A"/>
    <w:rPr>
      <w:rFonts w:ascii="Courier New" w:hAnsi="Courier New"/>
    </w:rPr>
  </w:style>
  <w:style w:type="character" w:customStyle="1" w:styleId="WW8Num22z2">
    <w:name w:val="WW8Num22z2"/>
    <w:uiPriority w:val="99"/>
    <w:rsid w:val="0073430A"/>
    <w:rPr>
      <w:rFonts w:ascii="Wingdings" w:hAnsi="Wingdings"/>
    </w:rPr>
  </w:style>
  <w:style w:type="character" w:customStyle="1" w:styleId="WW8Num23z0">
    <w:name w:val="WW8Num23z0"/>
    <w:uiPriority w:val="99"/>
    <w:rsid w:val="0073430A"/>
    <w:rPr>
      <w:rFonts w:ascii="Symbol" w:hAnsi="Symbol"/>
    </w:rPr>
  </w:style>
  <w:style w:type="character" w:customStyle="1" w:styleId="WW8Num23z1">
    <w:name w:val="WW8Num23z1"/>
    <w:uiPriority w:val="99"/>
    <w:rsid w:val="0073430A"/>
    <w:rPr>
      <w:rFonts w:ascii="Courier New" w:hAnsi="Courier New"/>
    </w:rPr>
  </w:style>
  <w:style w:type="character" w:customStyle="1" w:styleId="WW8Num23z2">
    <w:name w:val="WW8Num23z2"/>
    <w:uiPriority w:val="99"/>
    <w:rsid w:val="0073430A"/>
    <w:rPr>
      <w:rFonts w:ascii="Wingdings" w:hAnsi="Wingdings"/>
    </w:rPr>
  </w:style>
  <w:style w:type="character" w:customStyle="1" w:styleId="WW8Num24z0">
    <w:name w:val="WW8Num24z0"/>
    <w:uiPriority w:val="99"/>
    <w:rsid w:val="0073430A"/>
    <w:rPr>
      <w:rFonts w:ascii="Symbol" w:hAnsi="Symbol"/>
    </w:rPr>
  </w:style>
  <w:style w:type="character" w:customStyle="1" w:styleId="WW8Num24z1">
    <w:name w:val="WW8Num24z1"/>
    <w:uiPriority w:val="99"/>
    <w:rsid w:val="0073430A"/>
    <w:rPr>
      <w:rFonts w:ascii="Courier New" w:hAnsi="Courier New"/>
    </w:rPr>
  </w:style>
  <w:style w:type="character" w:customStyle="1" w:styleId="WW8Num24z2">
    <w:name w:val="WW8Num24z2"/>
    <w:uiPriority w:val="99"/>
    <w:rsid w:val="0073430A"/>
    <w:rPr>
      <w:rFonts w:ascii="Wingdings" w:hAnsi="Wingdings"/>
    </w:rPr>
  </w:style>
  <w:style w:type="character" w:customStyle="1" w:styleId="WW8Num25z0">
    <w:name w:val="WW8Num25z0"/>
    <w:uiPriority w:val="99"/>
    <w:rsid w:val="0073430A"/>
    <w:rPr>
      <w:rFonts w:ascii="Symbol" w:hAnsi="Symbol"/>
    </w:rPr>
  </w:style>
  <w:style w:type="character" w:customStyle="1" w:styleId="WW8Num25z1">
    <w:name w:val="WW8Num25z1"/>
    <w:uiPriority w:val="99"/>
    <w:rsid w:val="0073430A"/>
    <w:rPr>
      <w:rFonts w:ascii="Courier New" w:hAnsi="Courier New"/>
    </w:rPr>
  </w:style>
  <w:style w:type="character" w:customStyle="1" w:styleId="WW8Num25z2">
    <w:name w:val="WW8Num25z2"/>
    <w:uiPriority w:val="99"/>
    <w:rsid w:val="0073430A"/>
    <w:rPr>
      <w:rFonts w:ascii="Wingdings" w:hAnsi="Wingdings"/>
    </w:rPr>
  </w:style>
  <w:style w:type="character" w:customStyle="1" w:styleId="WW8Num26z1">
    <w:name w:val="WW8Num26z1"/>
    <w:uiPriority w:val="99"/>
    <w:rsid w:val="0073430A"/>
    <w:rPr>
      <w:rFonts w:ascii="Courier New" w:hAnsi="Courier New"/>
    </w:rPr>
  </w:style>
  <w:style w:type="character" w:customStyle="1" w:styleId="WW8Num26z2">
    <w:name w:val="WW8Num26z2"/>
    <w:uiPriority w:val="99"/>
    <w:rsid w:val="0073430A"/>
    <w:rPr>
      <w:rFonts w:ascii="Wingdings" w:hAnsi="Wingdings"/>
    </w:rPr>
  </w:style>
  <w:style w:type="character" w:customStyle="1" w:styleId="WW8Num26z3">
    <w:name w:val="WW8Num26z3"/>
    <w:uiPriority w:val="99"/>
    <w:rsid w:val="0073430A"/>
    <w:rPr>
      <w:rFonts w:ascii="Symbol" w:hAnsi="Symbol"/>
    </w:rPr>
  </w:style>
  <w:style w:type="character" w:customStyle="1" w:styleId="WW8Num27z0">
    <w:name w:val="WW8Num27z0"/>
    <w:uiPriority w:val="99"/>
    <w:rsid w:val="0073430A"/>
    <w:rPr>
      <w:rFonts w:ascii="Symbol" w:hAnsi="Symbol"/>
    </w:rPr>
  </w:style>
  <w:style w:type="character" w:customStyle="1" w:styleId="WW8Num27z1">
    <w:name w:val="WW8Num27z1"/>
    <w:uiPriority w:val="99"/>
    <w:rsid w:val="0073430A"/>
    <w:rPr>
      <w:rFonts w:ascii="Courier New" w:hAnsi="Courier New"/>
    </w:rPr>
  </w:style>
  <w:style w:type="character" w:customStyle="1" w:styleId="WW8Num27z2">
    <w:name w:val="WW8Num27z2"/>
    <w:uiPriority w:val="99"/>
    <w:rsid w:val="0073430A"/>
    <w:rPr>
      <w:rFonts w:ascii="Wingdings" w:hAnsi="Wingdings"/>
    </w:rPr>
  </w:style>
  <w:style w:type="character" w:customStyle="1" w:styleId="WW8Num28z0">
    <w:name w:val="WW8Num28z0"/>
    <w:uiPriority w:val="99"/>
    <w:rsid w:val="0073430A"/>
    <w:rPr>
      <w:rFonts w:ascii="Arial" w:hAnsi="Arial"/>
    </w:rPr>
  </w:style>
  <w:style w:type="character" w:customStyle="1" w:styleId="WW8Num28z1">
    <w:name w:val="WW8Num28z1"/>
    <w:uiPriority w:val="99"/>
    <w:rsid w:val="0073430A"/>
    <w:rPr>
      <w:rFonts w:ascii="Courier New" w:hAnsi="Courier New"/>
    </w:rPr>
  </w:style>
  <w:style w:type="character" w:customStyle="1" w:styleId="WW8Num28z2">
    <w:name w:val="WW8Num28z2"/>
    <w:uiPriority w:val="99"/>
    <w:rsid w:val="0073430A"/>
    <w:rPr>
      <w:rFonts w:ascii="Wingdings" w:hAnsi="Wingdings"/>
    </w:rPr>
  </w:style>
  <w:style w:type="character" w:customStyle="1" w:styleId="WW8Num28z3">
    <w:name w:val="WW8Num28z3"/>
    <w:uiPriority w:val="99"/>
    <w:rsid w:val="0073430A"/>
    <w:rPr>
      <w:rFonts w:ascii="Symbol" w:hAnsi="Symbol"/>
    </w:rPr>
  </w:style>
  <w:style w:type="character" w:customStyle="1" w:styleId="WW8Num29z0">
    <w:name w:val="WW8Num29z0"/>
    <w:uiPriority w:val="99"/>
    <w:rsid w:val="0073430A"/>
    <w:rPr>
      <w:rFonts w:ascii="Symbol" w:hAnsi="Symbol"/>
    </w:rPr>
  </w:style>
  <w:style w:type="character" w:customStyle="1" w:styleId="WW8Num29z1">
    <w:name w:val="WW8Num29z1"/>
    <w:uiPriority w:val="99"/>
    <w:rsid w:val="0073430A"/>
    <w:rPr>
      <w:rFonts w:ascii="Courier New" w:hAnsi="Courier New"/>
    </w:rPr>
  </w:style>
  <w:style w:type="character" w:customStyle="1" w:styleId="WW8Num29z2">
    <w:name w:val="WW8Num29z2"/>
    <w:uiPriority w:val="99"/>
    <w:rsid w:val="0073430A"/>
    <w:rPr>
      <w:rFonts w:ascii="Wingdings" w:hAnsi="Wingdings"/>
    </w:rPr>
  </w:style>
  <w:style w:type="character" w:customStyle="1" w:styleId="WW8Num30z0">
    <w:name w:val="WW8Num30z0"/>
    <w:uiPriority w:val="99"/>
    <w:rsid w:val="0073430A"/>
    <w:rPr>
      <w:rFonts w:ascii="Symbol" w:hAnsi="Symbol"/>
    </w:rPr>
  </w:style>
  <w:style w:type="character" w:customStyle="1" w:styleId="WW8Num30z1">
    <w:name w:val="WW8Num30z1"/>
    <w:uiPriority w:val="99"/>
    <w:rsid w:val="0073430A"/>
    <w:rPr>
      <w:rFonts w:ascii="Courier New" w:hAnsi="Courier New"/>
    </w:rPr>
  </w:style>
  <w:style w:type="character" w:customStyle="1" w:styleId="WW8Num30z2">
    <w:name w:val="WW8Num30z2"/>
    <w:uiPriority w:val="99"/>
    <w:rsid w:val="0073430A"/>
    <w:rPr>
      <w:rFonts w:ascii="Wingdings" w:hAnsi="Wingdings"/>
    </w:rPr>
  </w:style>
  <w:style w:type="character" w:customStyle="1" w:styleId="WW8Num33z0">
    <w:name w:val="WW8Num33z0"/>
    <w:uiPriority w:val="99"/>
    <w:rsid w:val="0073430A"/>
    <w:rPr>
      <w:rFonts w:ascii="Symbol" w:hAnsi="Symbol"/>
    </w:rPr>
  </w:style>
  <w:style w:type="character" w:customStyle="1" w:styleId="WW8Num33z1">
    <w:name w:val="WW8Num33z1"/>
    <w:uiPriority w:val="99"/>
    <w:rsid w:val="0073430A"/>
    <w:rPr>
      <w:rFonts w:ascii="Courier New" w:hAnsi="Courier New"/>
    </w:rPr>
  </w:style>
  <w:style w:type="character" w:customStyle="1" w:styleId="WW8Num33z2">
    <w:name w:val="WW8Num33z2"/>
    <w:uiPriority w:val="99"/>
    <w:rsid w:val="0073430A"/>
    <w:rPr>
      <w:rFonts w:ascii="Wingdings" w:hAnsi="Wingdings"/>
    </w:rPr>
  </w:style>
  <w:style w:type="character" w:customStyle="1" w:styleId="WW8Num34z0">
    <w:name w:val="WW8Num34z0"/>
    <w:uiPriority w:val="99"/>
    <w:rsid w:val="0073430A"/>
    <w:rPr>
      <w:rFonts w:ascii="Symbol" w:hAnsi="Symbol"/>
    </w:rPr>
  </w:style>
  <w:style w:type="character" w:customStyle="1" w:styleId="WW8Num35z1">
    <w:name w:val="WW8Num35z1"/>
    <w:uiPriority w:val="99"/>
    <w:rsid w:val="0073430A"/>
    <w:rPr>
      <w:rFonts w:ascii="Courier New" w:hAnsi="Courier New"/>
    </w:rPr>
  </w:style>
  <w:style w:type="character" w:customStyle="1" w:styleId="WW8Num35z2">
    <w:name w:val="WW8Num35z2"/>
    <w:uiPriority w:val="99"/>
    <w:rsid w:val="0073430A"/>
    <w:rPr>
      <w:rFonts w:ascii="Wingdings" w:hAnsi="Wingdings"/>
    </w:rPr>
  </w:style>
  <w:style w:type="character" w:customStyle="1" w:styleId="WW8Num35z3">
    <w:name w:val="WW8Num35z3"/>
    <w:uiPriority w:val="99"/>
    <w:rsid w:val="0073430A"/>
    <w:rPr>
      <w:rFonts w:ascii="Symbol" w:hAnsi="Symbol"/>
    </w:rPr>
  </w:style>
  <w:style w:type="character" w:customStyle="1" w:styleId="WW8Num38z0">
    <w:name w:val="WW8Num38z0"/>
    <w:uiPriority w:val="99"/>
    <w:rsid w:val="0073430A"/>
    <w:rPr>
      <w:rFonts w:ascii="Symbol" w:hAnsi="Symbol"/>
    </w:rPr>
  </w:style>
  <w:style w:type="character" w:customStyle="1" w:styleId="WW8Num38z1">
    <w:name w:val="WW8Num38z1"/>
    <w:uiPriority w:val="99"/>
    <w:rsid w:val="0073430A"/>
    <w:rPr>
      <w:rFonts w:ascii="Courier New" w:hAnsi="Courier New"/>
    </w:rPr>
  </w:style>
  <w:style w:type="character" w:customStyle="1" w:styleId="WW8Num38z2">
    <w:name w:val="WW8Num38z2"/>
    <w:uiPriority w:val="99"/>
    <w:rsid w:val="0073430A"/>
    <w:rPr>
      <w:rFonts w:ascii="Wingdings" w:hAnsi="Wingdings"/>
    </w:rPr>
  </w:style>
  <w:style w:type="character" w:customStyle="1" w:styleId="WW8Num39z0">
    <w:name w:val="WW8Num39z0"/>
    <w:uiPriority w:val="99"/>
    <w:rsid w:val="0073430A"/>
    <w:rPr>
      <w:rFonts w:ascii="Symbol" w:hAnsi="Symbol"/>
    </w:rPr>
  </w:style>
  <w:style w:type="character" w:customStyle="1" w:styleId="WW8Num39z1">
    <w:name w:val="WW8Num39z1"/>
    <w:uiPriority w:val="99"/>
    <w:rsid w:val="0073430A"/>
    <w:rPr>
      <w:rFonts w:ascii="Courier New" w:hAnsi="Courier New"/>
    </w:rPr>
  </w:style>
  <w:style w:type="character" w:customStyle="1" w:styleId="WW8Num39z2">
    <w:name w:val="WW8Num39z2"/>
    <w:uiPriority w:val="99"/>
    <w:rsid w:val="0073430A"/>
    <w:rPr>
      <w:rFonts w:ascii="Wingdings" w:hAnsi="Wingdings"/>
    </w:rPr>
  </w:style>
  <w:style w:type="character" w:customStyle="1" w:styleId="WW8Num40z0">
    <w:name w:val="WW8Num40z0"/>
    <w:uiPriority w:val="99"/>
    <w:rsid w:val="0073430A"/>
    <w:rPr>
      <w:rFonts w:ascii="Symbol" w:hAnsi="Symbol"/>
      <w:sz w:val="16"/>
    </w:rPr>
  </w:style>
  <w:style w:type="character" w:customStyle="1" w:styleId="WW8Num40z1">
    <w:name w:val="WW8Num40z1"/>
    <w:uiPriority w:val="99"/>
    <w:rsid w:val="0073430A"/>
    <w:rPr>
      <w:rFonts w:ascii="Courier New" w:hAnsi="Courier New"/>
    </w:rPr>
  </w:style>
  <w:style w:type="character" w:customStyle="1" w:styleId="WW8Num40z2">
    <w:name w:val="WW8Num40z2"/>
    <w:uiPriority w:val="99"/>
    <w:rsid w:val="0073430A"/>
    <w:rPr>
      <w:rFonts w:ascii="Wingdings" w:hAnsi="Wingdings"/>
    </w:rPr>
  </w:style>
  <w:style w:type="character" w:customStyle="1" w:styleId="WW8Num40z3">
    <w:name w:val="WW8Num40z3"/>
    <w:uiPriority w:val="99"/>
    <w:rsid w:val="0073430A"/>
    <w:rPr>
      <w:rFonts w:ascii="Symbol" w:hAnsi="Symbol"/>
    </w:rPr>
  </w:style>
  <w:style w:type="character" w:styleId="Grietas">
    <w:name w:val="Strong"/>
    <w:uiPriority w:val="99"/>
    <w:qFormat/>
    <w:rsid w:val="00546100"/>
    <w:rPr>
      <w:rFonts w:ascii="Arial" w:hAnsi="Arial" w:cs="Times New Roman"/>
      <w:b/>
    </w:rPr>
  </w:style>
  <w:style w:type="character" w:customStyle="1" w:styleId="tw4winMark">
    <w:name w:val="tw4winMark"/>
    <w:rsid w:val="0073430A"/>
    <w:rPr>
      <w:rFonts w:ascii="Courier New" w:hAnsi="Courier New"/>
      <w:vanish/>
      <w:color w:val="800080"/>
      <w:sz w:val="24"/>
      <w:vertAlign w:val="subscript"/>
    </w:rPr>
  </w:style>
  <w:style w:type="character" w:customStyle="1" w:styleId="tw4winError">
    <w:name w:val="tw4winError"/>
    <w:rsid w:val="0073430A"/>
    <w:rPr>
      <w:rFonts w:ascii="Courier New" w:hAnsi="Courier New"/>
      <w:color w:val="00FF00"/>
      <w:sz w:val="40"/>
    </w:rPr>
  </w:style>
  <w:style w:type="character" w:customStyle="1" w:styleId="tw4winTerm">
    <w:name w:val="tw4winTerm"/>
    <w:rsid w:val="0073430A"/>
    <w:rPr>
      <w:color w:val="0000FF"/>
    </w:rPr>
  </w:style>
  <w:style w:type="character" w:customStyle="1" w:styleId="tw4winPopup">
    <w:name w:val="tw4winPopup"/>
    <w:rsid w:val="00546100"/>
    <w:rPr>
      <w:rFonts w:ascii="Courier New" w:hAnsi="Courier New"/>
      <w:color w:val="008000"/>
      <w:lang w:val="lt-LT"/>
    </w:rPr>
  </w:style>
  <w:style w:type="character" w:customStyle="1" w:styleId="tw4winJump">
    <w:name w:val="tw4winJump"/>
    <w:rsid w:val="00546100"/>
    <w:rPr>
      <w:rFonts w:ascii="Courier New" w:hAnsi="Courier New"/>
      <w:color w:val="008080"/>
      <w:lang w:val="lt-LT"/>
    </w:rPr>
  </w:style>
  <w:style w:type="character" w:customStyle="1" w:styleId="tw4winExternal">
    <w:name w:val="tw4winExternal"/>
    <w:rsid w:val="00546100"/>
    <w:rPr>
      <w:rFonts w:ascii="Courier New" w:hAnsi="Courier New"/>
      <w:color w:val="808080"/>
      <w:lang w:val="lt-LT"/>
    </w:rPr>
  </w:style>
  <w:style w:type="character" w:customStyle="1" w:styleId="tw4winInternal">
    <w:name w:val="tw4winInternal"/>
    <w:rsid w:val="00546100"/>
    <w:rPr>
      <w:rFonts w:ascii="Courier New" w:hAnsi="Courier New"/>
      <w:color w:val="FF0000"/>
      <w:lang w:val="lt-LT"/>
    </w:rPr>
  </w:style>
  <w:style w:type="character" w:customStyle="1" w:styleId="DONOTTRANSLATE">
    <w:name w:val="DO_NOT_TRANSLATE"/>
    <w:rsid w:val="00546100"/>
    <w:rPr>
      <w:rFonts w:ascii="Courier New" w:hAnsi="Courier New"/>
      <w:color w:val="800000"/>
      <w:lang w:val="lt-LT"/>
    </w:rPr>
  </w:style>
  <w:style w:type="paragraph" w:customStyle="1" w:styleId="Heading">
    <w:name w:val="Heading"/>
    <w:basedOn w:val="prastasis"/>
    <w:next w:val="Pagrindinistekstas"/>
    <w:uiPriority w:val="99"/>
    <w:rsid w:val="00A333F1"/>
    <w:pPr>
      <w:keepNext/>
      <w:suppressAutoHyphens/>
      <w:spacing w:before="240" w:after="120"/>
    </w:pPr>
    <w:rPr>
      <w:rFonts w:ascii="Arial" w:eastAsia="Microsoft YaHei" w:hAnsi="Arial" w:cs="Mangal"/>
      <w:sz w:val="28"/>
      <w:szCs w:val="28"/>
      <w:lang w:val="nl-NL" w:eastAsia="ar-SA"/>
    </w:rPr>
  </w:style>
  <w:style w:type="paragraph" w:styleId="Sraas">
    <w:name w:val="List"/>
    <w:basedOn w:val="Pagrindinistekstas"/>
    <w:uiPriority w:val="99"/>
    <w:rsid w:val="0073430A"/>
    <w:pPr>
      <w:suppressAutoHyphens/>
      <w:spacing w:after="0"/>
    </w:pPr>
    <w:rPr>
      <w:rFonts w:cs="Mangal"/>
      <w:sz w:val="24"/>
      <w:szCs w:val="24"/>
      <w:lang w:val="en-GB" w:eastAsia="ar-SA"/>
    </w:rPr>
  </w:style>
  <w:style w:type="paragraph" w:styleId="Antrat">
    <w:name w:val="caption"/>
    <w:basedOn w:val="prastasis"/>
    <w:uiPriority w:val="99"/>
    <w:qFormat/>
    <w:rsid w:val="00A333F1"/>
    <w:pPr>
      <w:suppressLineNumbers/>
      <w:suppressAutoHyphens/>
      <w:spacing w:before="120" w:after="120"/>
    </w:pPr>
    <w:rPr>
      <w:rFonts w:cs="Mangal"/>
      <w:i/>
      <w:iCs/>
      <w:sz w:val="24"/>
      <w:szCs w:val="24"/>
      <w:lang w:val="nl-NL" w:eastAsia="ar-SA"/>
    </w:rPr>
  </w:style>
  <w:style w:type="paragraph" w:customStyle="1" w:styleId="Index">
    <w:name w:val="Index"/>
    <w:basedOn w:val="prastasis"/>
    <w:uiPriority w:val="99"/>
    <w:rsid w:val="00A333F1"/>
    <w:pPr>
      <w:suppressLineNumbers/>
      <w:suppressAutoHyphens/>
    </w:pPr>
    <w:rPr>
      <w:rFonts w:cs="Mangal"/>
      <w:sz w:val="20"/>
      <w:lang w:val="nl-NL" w:eastAsia="ar-SA"/>
    </w:rPr>
  </w:style>
  <w:style w:type="paragraph" w:customStyle="1" w:styleId="WW-Default">
    <w:name w:val="WW-Default"/>
    <w:uiPriority w:val="99"/>
    <w:rsid w:val="00A333F1"/>
    <w:pPr>
      <w:suppressAutoHyphens/>
      <w:autoSpaceDE w:val="0"/>
    </w:pPr>
    <w:rPr>
      <w:rFonts w:ascii="Arial" w:hAnsi="Arial" w:cs="Arial"/>
      <w:color w:val="000000"/>
      <w:sz w:val="24"/>
      <w:szCs w:val="24"/>
      <w:lang w:val="sv-SE" w:eastAsia="ar-SA"/>
    </w:rPr>
  </w:style>
  <w:style w:type="paragraph" w:styleId="Pagrindinistekstas2">
    <w:name w:val="Body Text 2"/>
    <w:basedOn w:val="prastasis"/>
    <w:link w:val="Pagrindinistekstas2Diagrama"/>
    <w:rsid w:val="00A333F1"/>
    <w:pPr>
      <w:suppressAutoHyphens/>
      <w:jc w:val="both"/>
    </w:pPr>
    <w:rPr>
      <w:sz w:val="24"/>
      <w:szCs w:val="24"/>
      <w:lang w:val="en-US" w:eastAsia="ar-SA"/>
    </w:rPr>
  </w:style>
  <w:style w:type="character" w:customStyle="1" w:styleId="Pagrindinistekstas2Diagrama">
    <w:name w:val="Pagrindinis tekstas 2 Diagrama"/>
    <w:link w:val="Pagrindinistekstas2"/>
    <w:rsid w:val="0073430A"/>
    <w:rPr>
      <w:sz w:val="24"/>
      <w:szCs w:val="24"/>
      <w:lang w:eastAsia="ar-SA"/>
    </w:rPr>
  </w:style>
  <w:style w:type="paragraph" w:styleId="Pagrindinistekstas3">
    <w:name w:val="Body Text 3"/>
    <w:basedOn w:val="prastasis"/>
    <w:link w:val="Pagrindinistekstas3Diagrama"/>
    <w:uiPriority w:val="99"/>
    <w:rsid w:val="00A333F1"/>
    <w:pPr>
      <w:suppressAutoHyphens/>
      <w:ind w:right="-2"/>
      <w:jc w:val="both"/>
    </w:pPr>
    <w:rPr>
      <w:sz w:val="24"/>
      <w:szCs w:val="24"/>
      <w:lang w:val="nl-NL" w:eastAsia="ar-SA"/>
    </w:rPr>
  </w:style>
  <w:style w:type="character" w:customStyle="1" w:styleId="Pagrindinistekstas3Diagrama">
    <w:name w:val="Pagrindinis tekstas 3 Diagrama"/>
    <w:link w:val="Pagrindinistekstas3"/>
    <w:uiPriority w:val="99"/>
    <w:rsid w:val="0073430A"/>
    <w:rPr>
      <w:sz w:val="24"/>
      <w:szCs w:val="24"/>
      <w:lang w:val="nl-NL" w:eastAsia="ar-SA"/>
    </w:rPr>
  </w:style>
  <w:style w:type="paragraph" w:customStyle="1" w:styleId="Formatvorlage1">
    <w:name w:val="Formatvorlage1"/>
    <w:basedOn w:val="Pagrindinistekstas2"/>
    <w:uiPriority w:val="99"/>
    <w:rsid w:val="0073430A"/>
    <w:pPr>
      <w:overflowPunct w:val="0"/>
      <w:autoSpaceDE w:val="0"/>
      <w:textAlignment w:val="baseline"/>
    </w:pPr>
    <w:rPr>
      <w:rFonts w:ascii="Arial" w:hAnsi="Arial" w:cs="Arial"/>
      <w:sz w:val="22"/>
      <w:szCs w:val="22"/>
      <w:lang w:val="en-GB"/>
    </w:rPr>
  </w:style>
  <w:style w:type="paragraph" w:styleId="Pagrindiniotekstotrauka2">
    <w:name w:val="Body Text Indent 2"/>
    <w:basedOn w:val="prastasis"/>
    <w:link w:val="Pagrindiniotekstotrauka2Diagrama"/>
    <w:uiPriority w:val="99"/>
    <w:rsid w:val="00A333F1"/>
    <w:pPr>
      <w:suppressAutoHyphens/>
      <w:spacing w:after="120" w:line="480" w:lineRule="auto"/>
      <w:ind w:left="283"/>
    </w:pPr>
    <w:rPr>
      <w:sz w:val="20"/>
      <w:lang w:val="nl-NL" w:eastAsia="ar-SA"/>
    </w:rPr>
  </w:style>
  <w:style w:type="character" w:customStyle="1" w:styleId="Pagrindiniotekstotrauka2Diagrama">
    <w:name w:val="Pagrindinio teksto įtrauka 2 Diagrama"/>
    <w:link w:val="Pagrindiniotekstotrauka2"/>
    <w:uiPriority w:val="99"/>
    <w:rsid w:val="0073430A"/>
    <w:rPr>
      <w:lang w:val="nl-NL" w:eastAsia="ar-SA"/>
    </w:rPr>
  </w:style>
  <w:style w:type="character" w:customStyle="1" w:styleId="BalloonTextChar1">
    <w:name w:val="Balloon Text Char1"/>
    <w:uiPriority w:val="99"/>
    <w:rsid w:val="00546100"/>
    <w:rPr>
      <w:rFonts w:ascii="Tahoma" w:eastAsia="Times New Roman" w:hAnsi="Tahoma" w:cs="Times New Roman"/>
      <w:sz w:val="16"/>
      <w:szCs w:val="16"/>
      <w:lang w:val="nl-NL" w:eastAsia="ar-SA"/>
    </w:rPr>
  </w:style>
  <w:style w:type="character" w:customStyle="1" w:styleId="TitleChar1">
    <w:name w:val="Title Char1"/>
    <w:rsid w:val="00546100"/>
    <w:rPr>
      <w:rFonts w:ascii="Times New Roman" w:eastAsia="Times New Roman" w:hAnsi="Times New Roman" w:cs="Times New Roman"/>
      <w:b/>
      <w:bCs/>
      <w:sz w:val="24"/>
      <w:szCs w:val="24"/>
      <w:lang w:eastAsia="ar-SA"/>
    </w:rPr>
  </w:style>
  <w:style w:type="paragraph" w:customStyle="1" w:styleId="Listenabsatz1">
    <w:name w:val="Listenabsatz1"/>
    <w:basedOn w:val="prastasis"/>
    <w:uiPriority w:val="99"/>
    <w:rsid w:val="00A333F1"/>
    <w:pPr>
      <w:suppressAutoHyphens/>
      <w:ind w:left="720"/>
    </w:pPr>
    <w:rPr>
      <w:rFonts w:ascii="Arial" w:hAnsi="Arial"/>
      <w:szCs w:val="22"/>
      <w:lang w:val="de-DE" w:eastAsia="ar-SA"/>
    </w:rPr>
  </w:style>
  <w:style w:type="paragraph" w:customStyle="1" w:styleId="Default1">
    <w:name w:val="Default1"/>
    <w:basedOn w:val="WW-Default"/>
    <w:next w:val="WW-Default"/>
    <w:uiPriority w:val="99"/>
    <w:rsid w:val="0073430A"/>
    <w:rPr>
      <w:rFonts w:ascii="Times New Roman" w:hAnsi="Times New Roman" w:cs="Times New Roman"/>
      <w:color w:val="auto"/>
      <w:lang w:val="de-DE"/>
    </w:rPr>
  </w:style>
  <w:style w:type="paragraph" w:customStyle="1" w:styleId="TableContents">
    <w:name w:val="Table Contents"/>
    <w:basedOn w:val="prastasis"/>
    <w:uiPriority w:val="99"/>
    <w:rsid w:val="00A333F1"/>
    <w:pPr>
      <w:suppressLineNumbers/>
      <w:suppressAutoHyphens/>
    </w:pPr>
    <w:rPr>
      <w:sz w:val="20"/>
      <w:lang w:val="nl-NL" w:eastAsia="ar-SA"/>
    </w:rPr>
  </w:style>
  <w:style w:type="paragraph" w:customStyle="1" w:styleId="TableHeading">
    <w:name w:val="Table Heading"/>
    <w:basedOn w:val="TableContents"/>
    <w:uiPriority w:val="99"/>
    <w:rsid w:val="0073430A"/>
    <w:pPr>
      <w:jc w:val="center"/>
    </w:pPr>
    <w:rPr>
      <w:b/>
      <w:bCs/>
    </w:rPr>
  </w:style>
  <w:style w:type="paragraph" w:customStyle="1" w:styleId="Listenabsatz2">
    <w:name w:val="Listenabsatz2"/>
    <w:basedOn w:val="prastasis"/>
    <w:uiPriority w:val="99"/>
    <w:rsid w:val="00A333F1"/>
    <w:pPr>
      <w:suppressAutoHyphens/>
      <w:ind w:left="720"/>
    </w:pPr>
    <w:rPr>
      <w:rFonts w:ascii="Arial" w:hAnsi="Arial"/>
      <w:szCs w:val="22"/>
      <w:lang w:val="de-DE" w:eastAsia="ar-SA"/>
    </w:rPr>
  </w:style>
  <w:style w:type="table" w:customStyle="1" w:styleId="TableGrid1">
    <w:name w:val="Table Grid1"/>
    <w:basedOn w:val="prastojilentel"/>
    <w:next w:val="Lentelstinklelis"/>
    <w:rsid w:val="003B5178"/>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8Diagrama">
    <w:name w:val="Antraštė 8 Diagrama"/>
    <w:link w:val="Antrat8"/>
    <w:uiPriority w:val="99"/>
    <w:rsid w:val="00597E0F"/>
    <w:rPr>
      <w:rFonts w:ascii="TimesLT" w:hAnsi="TimesLT"/>
      <w:b/>
      <w:bCs/>
      <w:noProof/>
      <w:sz w:val="22"/>
      <w:lang w:eastAsia="en-US"/>
    </w:rPr>
  </w:style>
  <w:style w:type="character" w:customStyle="1" w:styleId="Antrat9Diagrama">
    <w:name w:val="Antraštė 9 Diagrama"/>
    <w:link w:val="Antrat9"/>
    <w:uiPriority w:val="99"/>
    <w:rsid w:val="00597E0F"/>
    <w:rPr>
      <w:rFonts w:ascii="Arial" w:hAnsi="Arial" w:cs="Arial"/>
      <w:noProof/>
      <w:sz w:val="22"/>
      <w:szCs w:val="22"/>
    </w:rPr>
  </w:style>
  <w:style w:type="numbering" w:customStyle="1" w:styleId="NoList2">
    <w:name w:val="No List2"/>
    <w:next w:val="Sraonra"/>
    <w:uiPriority w:val="99"/>
    <w:semiHidden/>
    <w:unhideWhenUsed/>
    <w:rsid w:val="00597E0F"/>
  </w:style>
  <w:style w:type="paragraph" w:customStyle="1" w:styleId="BTbeEMEASMCA">
    <w:name w:val="BT(be) EMEA_SMCA"/>
    <w:basedOn w:val="BTEMEASMCA"/>
    <w:autoRedefine/>
    <w:uiPriority w:val="99"/>
    <w:rsid w:val="00597E0F"/>
    <w:pPr>
      <w:overflowPunct w:val="0"/>
      <w:autoSpaceDE w:val="0"/>
      <w:autoSpaceDN w:val="0"/>
      <w:adjustRightInd w:val="0"/>
      <w:jc w:val="center"/>
      <w:textAlignment w:val="baseline"/>
    </w:pPr>
    <w:rPr>
      <w:rFonts w:ascii="TimesLT" w:hAnsi="TimesLT"/>
      <w:b/>
    </w:rPr>
  </w:style>
  <w:style w:type="paragraph" w:customStyle="1" w:styleId="mdTblEntryMod">
    <w:name w:val="md_Tbl Entry/Mod"/>
    <w:basedOn w:val="prastasis"/>
    <w:uiPriority w:val="99"/>
    <w:rsid w:val="00A333F1"/>
    <w:pPr>
      <w:keepNext/>
      <w:keepLines/>
      <w:overflowPunct w:val="0"/>
      <w:autoSpaceDE w:val="0"/>
      <w:autoSpaceDN w:val="0"/>
      <w:adjustRightInd w:val="0"/>
      <w:spacing w:line="259" w:lineRule="atLeast"/>
      <w:textAlignment w:val="baseline"/>
    </w:pPr>
    <w:rPr>
      <w:rFonts w:ascii="TimesLT" w:hAnsi="TimesLT"/>
      <w:noProof/>
      <w:sz w:val="20"/>
      <w:lang w:val="en-US" w:eastAsia="en-US"/>
    </w:rPr>
  </w:style>
  <w:style w:type="paragraph" w:styleId="Pagrindiniotekstotrauka3">
    <w:name w:val="Body Text Indent 3"/>
    <w:basedOn w:val="prastasis"/>
    <w:link w:val="Pagrindiniotekstotrauka3Diagrama"/>
    <w:rsid w:val="00A333F1"/>
    <w:pPr>
      <w:overflowPunct w:val="0"/>
      <w:autoSpaceDE w:val="0"/>
      <w:autoSpaceDN w:val="0"/>
      <w:adjustRightInd w:val="0"/>
      <w:spacing w:after="120"/>
      <w:ind w:left="283"/>
      <w:textAlignment w:val="baseline"/>
    </w:pPr>
    <w:rPr>
      <w:rFonts w:ascii="Arial" w:hAnsi="Arial"/>
      <w:noProof/>
      <w:sz w:val="16"/>
      <w:szCs w:val="16"/>
      <w:lang w:val="en-GB" w:eastAsia="de-DE"/>
    </w:rPr>
  </w:style>
  <w:style w:type="character" w:customStyle="1" w:styleId="Pagrindiniotekstotrauka3Diagrama">
    <w:name w:val="Pagrindinio teksto įtrauka 3 Diagrama"/>
    <w:link w:val="Pagrindiniotekstotrauka3"/>
    <w:rsid w:val="00597E0F"/>
    <w:rPr>
      <w:rFonts w:ascii="Arial" w:hAnsi="Arial"/>
      <w:noProof/>
      <w:sz w:val="16"/>
      <w:szCs w:val="16"/>
      <w:lang w:val="en-GB" w:eastAsia="de-DE"/>
    </w:rPr>
  </w:style>
  <w:style w:type="paragraph" w:customStyle="1" w:styleId="Cmsor">
    <w:name w:val="Címsor"/>
    <w:basedOn w:val="prastasis"/>
    <w:next w:val="Pagrindinistekstas"/>
    <w:uiPriority w:val="99"/>
    <w:rsid w:val="00A333F1"/>
    <w:pPr>
      <w:keepNext/>
      <w:suppressAutoHyphens/>
      <w:overflowPunct w:val="0"/>
      <w:autoSpaceDE w:val="0"/>
      <w:autoSpaceDN w:val="0"/>
      <w:adjustRightInd w:val="0"/>
      <w:spacing w:before="240" w:after="120"/>
      <w:textAlignment w:val="baseline"/>
    </w:pPr>
    <w:rPr>
      <w:rFonts w:ascii="Albany" w:hAnsi="Albany" w:cs="Albany"/>
      <w:noProof/>
      <w:color w:val="000000"/>
      <w:sz w:val="28"/>
      <w:szCs w:val="28"/>
      <w:lang w:val="hu-HU"/>
    </w:rPr>
  </w:style>
  <w:style w:type="paragraph" w:styleId="Pagrindiniotekstotrauka">
    <w:name w:val="Body Text Indent"/>
    <w:basedOn w:val="prastasis"/>
    <w:link w:val="PagrindiniotekstotraukaDiagrama"/>
    <w:rsid w:val="00A333F1"/>
    <w:pPr>
      <w:overflowPunct w:val="0"/>
      <w:autoSpaceDE w:val="0"/>
      <w:autoSpaceDN w:val="0"/>
      <w:adjustRightInd w:val="0"/>
      <w:spacing w:after="120"/>
      <w:ind w:left="283"/>
      <w:textAlignment w:val="baseline"/>
    </w:pPr>
    <w:rPr>
      <w:rFonts w:ascii="Arial" w:hAnsi="Arial"/>
      <w:noProof/>
      <w:lang w:val="en-GB" w:eastAsia="de-DE"/>
    </w:rPr>
  </w:style>
  <w:style w:type="character" w:customStyle="1" w:styleId="PagrindiniotekstotraukaDiagrama">
    <w:name w:val="Pagrindinio teksto įtrauka Diagrama"/>
    <w:link w:val="Pagrindiniotekstotrauka"/>
    <w:rsid w:val="00597E0F"/>
    <w:rPr>
      <w:rFonts w:ascii="Arial" w:hAnsi="Arial"/>
      <w:noProof/>
      <w:sz w:val="22"/>
      <w:lang w:val="en-GB" w:eastAsia="de-DE"/>
    </w:rPr>
  </w:style>
  <w:style w:type="paragraph" w:customStyle="1" w:styleId="knZulassung02">
    <w:name w:val="knZulassung02"/>
    <w:basedOn w:val="prastasis"/>
    <w:uiPriority w:val="99"/>
    <w:rsid w:val="00A333F1"/>
    <w:pPr>
      <w:overflowPunct w:val="0"/>
      <w:autoSpaceDE w:val="0"/>
      <w:autoSpaceDN w:val="0"/>
      <w:adjustRightInd w:val="0"/>
      <w:spacing w:after="240"/>
      <w:ind w:left="1843" w:right="284"/>
      <w:jc w:val="both"/>
      <w:textAlignment w:val="baseline"/>
    </w:pPr>
    <w:rPr>
      <w:rFonts w:ascii="Arial" w:hAnsi="Arial"/>
      <w:noProof/>
      <w:sz w:val="24"/>
      <w:lang w:val="de-DE" w:eastAsia="de-DE"/>
    </w:rPr>
  </w:style>
  <w:style w:type="paragraph" w:customStyle="1" w:styleId="Agendaindenteda">
    <w:name w:val="Agenda indented a)"/>
    <w:basedOn w:val="prastasis"/>
    <w:uiPriority w:val="99"/>
    <w:rsid w:val="00A333F1"/>
    <w:pPr>
      <w:numPr>
        <w:numId w:val="3"/>
      </w:numPr>
      <w:overflowPunct w:val="0"/>
      <w:autoSpaceDE w:val="0"/>
      <w:autoSpaceDN w:val="0"/>
      <w:adjustRightInd w:val="0"/>
      <w:textAlignment w:val="baseline"/>
    </w:pPr>
    <w:rPr>
      <w:rFonts w:ascii="TimesLT" w:hAnsi="TimesLT"/>
      <w:noProof/>
      <w:sz w:val="20"/>
      <w:lang w:val="en-GB" w:eastAsia="en-US"/>
    </w:rPr>
  </w:style>
  <w:style w:type="paragraph" w:customStyle="1" w:styleId="Char">
    <w:name w:val="Char"/>
    <w:basedOn w:val="prastasis"/>
    <w:uiPriority w:val="99"/>
    <w:rsid w:val="00A333F1"/>
    <w:pPr>
      <w:overflowPunct w:val="0"/>
      <w:autoSpaceDE w:val="0"/>
      <w:autoSpaceDN w:val="0"/>
      <w:adjustRightInd w:val="0"/>
      <w:spacing w:after="160" w:line="240" w:lineRule="exact"/>
      <w:textAlignment w:val="baseline"/>
    </w:pPr>
    <w:rPr>
      <w:rFonts w:ascii="Verdana" w:hAnsi="Verdana" w:cs="Verdana"/>
      <w:noProof/>
      <w:sz w:val="20"/>
      <w:lang w:val="en-GB" w:eastAsia="en-US"/>
    </w:rPr>
  </w:style>
  <w:style w:type="paragraph" w:styleId="Turinioantrat">
    <w:name w:val="TOC Heading"/>
    <w:basedOn w:val="prastasis"/>
    <w:qFormat/>
    <w:rsid w:val="00A333F1"/>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mdTblEntryC">
    <w:name w:val="md_Tbl Entry/C"/>
    <w:basedOn w:val="prastasis"/>
    <w:uiPriority w:val="99"/>
    <w:rsid w:val="00A333F1"/>
    <w:pPr>
      <w:keepNext/>
      <w:keepLines/>
      <w:overflowPunct w:val="0"/>
      <w:autoSpaceDE w:val="0"/>
      <w:autoSpaceDN w:val="0"/>
      <w:adjustRightInd w:val="0"/>
      <w:spacing w:line="259" w:lineRule="atLeast"/>
      <w:jc w:val="center"/>
      <w:textAlignment w:val="baseline"/>
    </w:pPr>
    <w:rPr>
      <w:rFonts w:ascii="TimesLT" w:hAnsi="TimesLT"/>
      <w:noProof/>
      <w:sz w:val="20"/>
      <w:lang w:val="en-US" w:eastAsia="en-US"/>
    </w:rPr>
  </w:style>
  <w:style w:type="paragraph" w:customStyle="1" w:styleId="FigFootnote">
    <w:name w:val="Fig Footnote"/>
    <w:basedOn w:val="prastasis"/>
    <w:next w:val="prastasis"/>
    <w:uiPriority w:val="99"/>
    <w:rsid w:val="00A333F1"/>
    <w:pPr>
      <w:keepNext/>
      <w:keepLines/>
      <w:overflowPunct w:val="0"/>
      <w:autoSpaceDE w:val="0"/>
      <w:autoSpaceDN w:val="0"/>
      <w:adjustRightInd w:val="0"/>
      <w:spacing w:line="259" w:lineRule="atLeast"/>
      <w:ind w:left="2304"/>
      <w:textAlignment w:val="baseline"/>
    </w:pPr>
    <w:rPr>
      <w:rFonts w:ascii="TimesLT" w:hAnsi="TimesLT"/>
      <w:noProof/>
      <w:sz w:val="20"/>
      <w:lang w:val="en-US" w:eastAsia="en-US"/>
    </w:rPr>
  </w:style>
  <w:style w:type="paragraph" w:customStyle="1" w:styleId="msolistparagraph0">
    <w:name w:val="msolistparagraph"/>
    <w:basedOn w:val="prastasis"/>
    <w:uiPriority w:val="99"/>
    <w:rsid w:val="00A333F1"/>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CM6">
    <w:name w:val="CM6"/>
    <w:basedOn w:val="prastasis"/>
    <w:next w:val="prastasis"/>
    <w:uiPriority w:val="99"/>
    <w:rsid w:val="00A333F1"/>
    <w:pPr>
      <w:widowControl w:val="0"/>
      <w:overflowPunct w:val="0"/>
      <w:autoSpaceDE w:val="0"/>
      <w:autoSpaceDN w:val="0"/>
      <w:adjustRightInd w:val="0"/>
      <w:spacing w:line="253" w:lineRule="atLeast"/>
      <w:textAlignment w:val="baseline"/>
    </w:pPr>
    <w:rPr>
      <w:rFonts w:ascii="TimesLT" w:hAnsi="TimesLT"/>
      <w:noProof/>
      <w:sz w:val="24"/>
      <w:lang w:val="de-DE" w:eastAsia="de-DE"/>
    </w:rPr>
  </w:style>
  <w:style w:type="paragraph" w:customStyle="1" w:styleId="TextTi10">
    <w:name w:val="Text:Ti10"/>
    <w:basedOn w:val="prastasis"/>
    <w:uiPriority w:val="99"/>
    <w:rsid w:val="00A333F1"/>
    <w:pPr>
      <w:overflowPunct w:val="0"/>
      <w:autoSpaceDE w:val="0"/>
      <w:autoSpaceDN w:val="0"/>
      <w:adjustRightInd w:val="0"/>
      <w:textAlignment w:val="baseline"/>
    </w:pPr>
    <w:rPr>
      <w:rFonts w:ascii="TimesLT" w:hAnsi="TimesLT"/>
      <w:noProof/>
      <w:lang w:val="en-US" w:eastAsia="en-US"/>
    </w:rPr>
  </w:style>
  <w:style w:type="paragraph" w:styleId="Dokumentoinaostekstas">
    <w:name w:val="endnote text"/>
    <w:basedOn w:val="prastasis"/>
    <w:link w:val="DokumentoinaostekstasDiagrama"/>
    <w:rsid w:val="00A333F1"/>
    <w:pPr>
      <w:tabs>
        <w:tab w:val="left" w:pos="567"/>
      </w:tabs>
      <w:overflowPunct w:val="0"/>
      <w:autoSpaceDE w:val="0"/>
      <w:autoSpaceDN w:val="0"/>
      <w:adjustRightInd w:val="0"/>
      <w:textAlignment w:val="baseline"/>
    </w:pPr>
    <w:rPr>
      <w:rFonts w:ascii="TimesLT" w:hAnsi="TimesLT"/>
      <w:noProof/>
      <w:lang w:val="en-GB" w:eastAsia="en-US"/>
    </w:rPr>
  </w:style>
  <w:style w:type="character" w:customStyle="1" w:styleId="DokumentoinaostekstasDiagrama">
    <w:name w:val="Dokumento išnašos tekstas Diagrama"/>
    <w:link w:val="Dokumentoinaostekstas"/>
    <w:rsid w:val="00597E0F"/>
    <w:rPr>
      <w:rFonts w:ascii="TimesLT" w:hAnsi="TimesLT"/>
      <w:noProof/>
      <w:sz w:val="22"/>
      <w:lang w:val="en-GB" w:eastAsia="en-US"/>
    </w:rPr>
  </w:style>
  <w:style w:type="paragraph" w:customStyle="1" w:styleId="StyleTextTi12AsianMSMincho9ptBold">
    <w:name w:val="Style Text:Ti12 + (Asian) MS Mincho 9 pt Bold"/>
    <w:basedOn w:val="prastasis"/>
    <w:uiPriority w:val="99"/>
    <w:rsid w:val="00A333F1"/>
    <w:pPr>
      <w:overflowPunct w:val="0"/>
      <w:autoSpaceDE w:val="0"/>
      <w:autoSpaceDN w:val="0"/>
      <w:adjustRightInd w:val="0"/>
      <w:spacing w:line="280" w:lineRule="atLeast"/>
      <w:textAlignment w:val="baseline"/>
    </w:pPr>
    <w:rPr>
      <w:rFonts w:ascii="TimesLT" w:eastAsia="MS Mincho" w:hAnsi="TimesLT"/>
      <w:b/>
      <w:bCs/>
      <w:noProof/>
      <w:sz w:val="18"/>
      <w:lang w:val="en-US" w:eastAsia="de-DE"/>
    </w:rPr>
  </w:style>
  <w:style w:type="paragraph" w:customStyle="1" w:styleId="Annex">
    <w:name w:val="Annex"/>
    <w:basedOn w:val="prastasis"/>
    <w:next w:val="prastasis"/>
    <w:uiPriority w:val="99"/>
    <w:rsid w:val="00A333F1"/>
    <w:pPr>
      <w:overflowPunct w:val="0"/>
      <w:autoSpaceDE w:val="0"/>
      <w:autoSpaceDN w:val="0"/>
      <w:adjustRightInd w:val="0"/>
      <w:jc w:val="center"/>
      <w:textAlignment w:val="baseline"/>
    </w:pPr>
    <w:rPr>
      <w:rFonts w:ascii="TimesLT" w:hAnsi="TimesLT"/>
      <w:b/>
      <w:noProof/>
      <w:lang w:val="en-US" w:eastAsia="ja-JP"/>
    </w:rPr>
  </w:style>
  <w:style w:type="paragraph" w:customStyle="1" w:styleId="Description">
    <w:name w:val="Description"/>
    <w:basedOn w:val="prastasis"/>
    <w:next w:val="prastasis"/>
    <w:uiPriority w:val="99"/>
    <w:rsid w:val="00A333F1"/>
    <w:pPr>
      <w:overflowPunct w:val="0"/>
      <w:autoSpaceDE w:val="0"/>
      <w:autoSpaceDN w:val="0"/>
      <w:adjustRightInd w:val="0"/>
      <w:textAlignment w:val="baseline"/>
    </w:pPr>
    <w:rPr>
      <w:rFonts w:ascii="TimesLT" w:hAnsi="TimesLT"/>
      <w:noProof/>
      <w:lang w:val="en-US" w:eastAsia="ja-JP"/>
    </w:rPr>
  </w:style>
  <w:style w:type="paragraph" w:customStyle="1" w:styleId="Normal11pt">
    <w:name w:val="Normal + 11 pt"/>
    <w:basedOn w:val="Pagrindinistekstas"/>
    <w:rsid w:val="00546100"/>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2">
    <w:name w:val="Be tarpų2"/>
    <w:qFormat/>
    <w:rsid w:val="00A333F1"/>
    <w:rPr>
      <w:rFonts w:ascii="Calibri" w:hAnsi="Calibri"/>
      <w:sz w:val="22"/>
      <w:szCs w:val="22"/>
      <w:lang w:eastAsia="en-US"/>
    </w:rPr>
  </w:style>
  <w:style w:type="character" w:customStyle="1" w:styleId="PI-1labEMEASMCACharChar">
    <w:name w:val="PI-1_lab EMEA_SMCA Char Char"/>
    <w:uiPriority w:val="99"/>
    <w:locked/>
    <w:rsid w:val="00597E0F"/>
    <w:rPr>
      <w:rFonts w:cs="Times New Roman"/>
      <w:b/>
      <w:noProof/>
      <w:sz w:val="22"/>
      <w:szCs w:val="22"/>
      <w:lang w:val="lt-LT" w:eastAsia="en-US" w:bidi="ar-SA"/>
    </w:rPr>
  </w:style>
  <w:style w:type="character" w:customStyle="1" w:styleId="BTEMEASMCACharChar">
    <w:name w:val="BT EMEA_SMCA Char Char"/>
    <w:uiPriority w:val="99"/>
    <w:locked/>
    <w:rsid w:val="00597E0F"/>
    <w:rPr>
      <w:rFonts w:cs="Times New Roman"/>
      <w:noProof/>
      <w:sz w:val="22"/>
      <w:szCs w:val="22"/>
      <w:lang w:val="lt-LT" w:eastAsia="en-US" w:bidi="ar-SA"/>
    </w:rPr>
  </w:style>
  <w:style w:type="paragraph" w:customStyle="1" w:styleId="CM17">
    <w:name w:val="CM17"/>
    <w:basedOn w:val="prastasis"/>
    <w:next w:val="prastasis"/>
    <w:uiPriority w:val="99"/>
    <w:rsid w:val="00A333F1"/>
    <w:pPr>
      <w:widowControl w:val="0"/>
      <w:autoSpaceDE w:val="0"/>
      <w:autoSpaceDN w:val="0"/>
      <w:adjustRightInd w:val="0"/>
      <w:spacing w:after="243"/>
    </w:pPr>
    <w:rPr>
      <w:sz w:val="24"/>
      <w:szCs w:val="24"/>
    </w:rPr>
  </w:style>
  <w:style w:type="paragraph" w:customStyle="1" w:styleId="CM4">
    <w:name w:val="CM4"/>
    <w:basedOn w:val="Default"/>
    <w:next w:val="Default"/>
    <w:uiPriority w:val="99"/>
    <w:rsid w:val="00597E0F"/>
    <w:pPr>
      <w:widowControl w:val="0"/>
      <w:spacing w:line="240" w:lineRule="atLeast"/>
    </w:pPr>
    <w:rPr>
      <w:color w:val="auto"/>
      <w:lang w:val="lt-LT" w:eastAsia="lt-LT"/>
    </w:rPr>
  </w:style>
  <w:style w:type="paragraph" w:customStyle="1" w:styleId="CM19">
    <w:name w:val="CM19"/>
    <w:basedOn w:val="Default"/>
    <w:next w:val="Default"/>
    <w:uiPriority w:val="99"/>
    <w:rsid w:val="00597E0F"/>
    <w:pPr>
      <w:widowControl w:val="0"/>
      <w:spacing w:after="485"/>
    </w:pPr>
    <w:rPr>
      <w:color w:val="auto"/>
      <w:lang w:val="lt-LT" w:eastAsia="lt-LT"/>
    </w:rPr>
  </w:style>
  <w:style w:type="character" w:customStyle="1" w:styleId="WW8Num1z0">
    <w:name w:val="WW8Num1z0"/>
    <w:uiPriority w:val="99"/>
    <w:rsid w:val="00597E0F"/>
    <w:rPr>
      <w:rFonts w:ascii="Times New Roman" w:hAnsi="Times New Roman"/>
    </w:rPr>
  </w:style>
  <w:style w:type="character" w:customStyle="1" w:styleId="WW8Num1z1">
    <w:name w:val="WW8Num1z1"/>
    <w:uiPriority w:val="99"/>
    <w:rsid w:val="00597E0F"/>
    <w:rPr>
      <w:rFonts w:ascii="Courier New" w:hAnsi="Courier New"/>
    </w:rPr>
  </w:style>
  <w:style w:type="character" w:customStyle="1" w:styleId="WW8Num1z2">
    <w:name w:val="WW8Num1z2"/>
    <w:uiPriority w:val="99"/>
    <w:rsid w:val="00597E0F"/>
    <w:rPr>
      <w:rFonts w:ascii="Wingdings" w:hAnsi="Wingdings"/>
    </w:rPr>
  </w:style>
  <w:style w:type="character" w:customStyle="1" w:styleId="WW8Num1z3">
    <w:name w:val="WW8Num1z3"/>
    <w:uiPriority w:val="99"/>
    <w:rsid w:val="00597E0F"/>
    <w:rPr>
      <w:rFonts w:ascii="Symbol" w:hAnsi="Symbol"/>
    </w:rPr>
  </w:style>
  <w:style w:type="character" w:customStyle="1" w:styleId="NumberingSymbols">
    <w:name w:val="Numbering Symbols"/>
    <w:uiPriority w:val="99"/>
    <w:rsid w:val="00597E0F"/>
  </w:style>
  <w:style w:type="character" w:customStyle="1" w:styleId="Bullets">
    <w:name w:val="Bullets"/>
    <w:uiPriority w:val="99"/>
    <w:rsid w:val="00597E0F"/>
    <w:rPr>
      <w:rFonts w:ascii="StarSymbol" w:eastAsia="StarSymbol" w:hAnsi="StarSymbol"/>
      <w:sz w:val="18"/>
    </w:rPr>
  </w:style>
  <w:style w:type="paragraph" w:styleId="Dokumentostruktra">
    <w:name w:val="Document Map"/>
    <w:basedOn w:val="prastasis"/>
    <w:link w:val="DokumentostruktraDiagrama"/>
    <w:rsid w:val="00A333F1"/>
    <w:pPr>
      <w:shd w:val="clear" w:color="auto" w:fill="000080"/>
    </w:pPr>
    <w:rPr>
      <w:rFonts w:ascii="Tahoma" w:hAnsi="Tahoma" w:cs="Tahoma"/>
      <w:sz w:val="20"/>
      <w:lang w:eastAsia="en-US"/>
    </w:rPr>
  </w:style>
  <w:style w:type="character" w:customStyle="1" w:styleId="DokumentostruktraDiagrama">
    <w:name w:val="Dokumento struktūra Diagrama"/>
    <w:link w:val="Dokumentostruktra"/>
    <w:rsid w:val="00597E0F"/>
    <w:rPr>
      <w:rFonts w:ascii="Tahoma" w:hAnsi="Tahoma" w:cs="Tahoma"/>
      <w:shd w:val="clear" w:color="auto" w:fill="000080"/>
      <w:lang w:val="lt-LT" w:eastAsia="en-US"/>
    </w:rPr>
  </w:style>
  <w:style w:type="paragraph" w:customStyle="1" w:styleId="CommentSubject1">
    <w:name w:val="Comment Subject1"/>
    <w:basedOn w:val="Komentarotekstas"/>
    <w:next w:val="Komentarotekstas"/>
    <w:uiPriority w:val="99"/>
    <w:semiHidden/>
    <w:rsid w:val="00597E0F"/>
    <w:rPr>
      <w:b/>
      <w:bCs/>
    </w:rPr>
  </w:style>
  <w:style w:type="paragraph" w:customStyle="1" w:styleId="BalloonText1">
    <w:name w:val="Balloon Text1"/>
    <w:basedOn w:val="prastasis"/>
    <w:uiPriority w:val="99"/>
    <w:semiHidden/>
    <w:rsid w:val="00A333F1"/>
    <w:rPr>
      <w:rFonts w:ascii="Tahoma" w:hAnsi="Tahoma" w:cs="Tahoma"/>
      <w:sz w:val="16"/>
      <w:szCs w:val="16"/>
    </w:rPr>
  </w:style>
  <w:style w:type="paragraph" w:styleId="Paprastasistekstas">
    <w:name w:val="Plain Text"/>
    <w:basedOn w:val="prastasis"/>
    <w:link w:val="PaprastasistekstasDiagrama"/>
    <w:rsid w:val="00A333F1"/>
    <w:rPr>
      <w:rFonts w:ascii="Courier" w:hAnsi="Courier"/>
      <w:sz w:val="24"/>
      <w:lang w:val="en-US" w:eastAsia="en-US"/>
    </w:rPr>
  </w:style>
  <w:style w:type="character" w:customStyle="1" w:styleId="PaprastasistekstasDiagrama">
    <w:name w:val="Paprastasis tekstas Diagrama"/>
    <w:link w:val="Paprastasistekstas"/>
    <w:rsid w:val="00597E0F"/>
    <w:rPr>
      <w:rFonts w:ascii="Courier" w:hAnsi="Courier"/>
      <w:sz w:val="24"/>
      <w:lang w:eastAsia="en-US"/>
    </w:rPr>
  </w:style>
  <w:style w:type="paragraph" w:customStyle="1" w:styleId="Body">
    <w:name w:val="Body"/>
    <w:basedOn w:val="prastasis"/>
    <w:uiPriority w:val="99"/>
    <w:rsid w:val="00A333F1"/>
    <w:pPr>
      <w:ind w:firstLine="288"/>
      <w:jc w:val="both"/>
    </w:pPr>
    <w:rPr>
      <w:rFonts w:ascii="Arial" w:hAnsi="Arial"/>
      <w:sz w:val="20"/>
      <w:lang w:val="en-US" w:eastAsia="en-US"/>
    </w:rPr>
  </w:style>
  <w:style w:type="paragraph" w:styleId="Betarp">
    <w:name w:val="No Spacing"/>
    <w:uiPriority w:val="99"/>
    <w:qFormat/>
    <w:rsid w:val="00A333F1"/>
    <w:rPr>
      <w:rFonts w:ascii="Calibri" w:hAnsi="Calibri"/>
      <w:sz w:val="22"/>
      <w:szCs w:val="22"/>
      <w:lang w:eastAsia="en-US"/>
    </w:rPr>
  </w:style>
  <w:style w:type="paragraph" w:customStyle="1" w:styleId="EMEAEnBodyText">
    <w:name w:val="EMEA En Body Text"/>
    <w:basedOn w:val="prastasis"/>
    <w:next w:val="prastasis"/>
    <w:uiPriority w:val="99"/>
    <w:rsid w:val="00A333F1"/>
    <w:pPr>
      <w:autoSpaceDE w:val="0"/>
      <w:autoSpaceDN w:val="0"/>
      <w:adjustRightInd w:val="0"/>
    </w:pPr>
    <w:rPr>
      <w:sz w:val="24"/>
      <w:szCs w:val="24"/>
    </w:rPr>
  </w:style>
  <w:style w:type="paragraph" w:customStyle="1" w:styleId="TextChar">
    <w:name w:val="Text Char"/>
    <w:basedOn w:val="Default"/>
    <w:next w:val="Default"/>
    <w:uiPriority w:val="99"/>
    <w:rsid w:val="00597E0F"/>
    <w:rPr>
      <w:color w:val="auto"/>
      <w:lang w:val="lt-LT" w:eastAsia="lt-LT"/>
    </w:rPr>
  </w:style>
  <w:style w:type="paragraph" w:customStyle="1" w:styleId="ListParagraph1">
    <w:name w:val="List Paragraph1"/>
    <w:basedOn w:val="prastasis"/>
    <w:uiPriority w:val="99"/>
    <w:rsid w:val="00A333F1"/>
    <w:pPr>
      <w:ind w:left="720"/>
      <w:contextualSpacing/>
    </w:pPr>
    <w:rPr>
      <w:sz w:val="24"/>
      <w:szCs w:val="24"/>
      <w:lang w:eastAsia="en-US"/>
    </w:rPr>
  </w:style>
  <w:style w:type="paragraph" w:customStyle="1" w:styleId="Sraopastraipa1">
    <w:name w:val="Sąrašo pastraipa1"/>
    <w:basedOn w:val="prastasis"/>
    <w:uiPriority w:val="99"/>
    <w:rsid w:val="00A333F1"/>
    <w:pPr>
      <w:ind w:left="720"/>
      <w:contextualSpacing/>
    </w:pPr>
    <w:rPr>
      <w:sz w:val="24"/>
      <w:szCs w:val="24"/>
      <w:lang w:eastAsia="en-US"/>
    </w:rPr>
  </w:style>
  <w:style w:type="paragraph" w:styleId="Sraopastraipa">
    <w:name w:val="List Paragraph"/>
    <w:basedOn w:val="prastasis"/>
    <w:qFormat/>
    <w:rsid w:val="00A333F1"/>
    <w:pPr>
      <w:ind w:left="720"/>
      <w:contextualSpacing/>
    </w:pPr>
    <w:rPr>
      <w:rFonts w:eastAsia="Calibri"/>
      <w:sz w:val="24"/>
      <w:szCs w:val="24"/>
      <w:lang w:eastAsia="en-US"/>
    </w:rPr>
  </w:style>
  <w:style w:type="paragraph" w:customStyle="1" w:styleId="TOCHeading1">
    <w:name w:val="TOC Heading1"/>
    <w:basedOn w:val="prastasis"/>
    <w:uiPriority w:val="99"/>
    <w:rsid w:val="00A333F1"/>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Betarp1">
    <w:name w:val="Be tarpų1"/>
    <w:uiPriority w:val="99"/>
    <w:rsid w:val="00A333F1"/>
    <w:rPr>
      <w:rFonts w:ascii="Calibri" w:hAnsi="Calibri"/>
      <w:sz w:val="22"/>
      <w:szCs w:val="22"/>
      <w:lang w:eastAsia="en-US"/>
    </w:rPr>
  </w:style>
  <w:style w:type="paragraph" w:customStyle="1" w:styleId="NoSpacing1">
    <w:name w:val="No Spacing1"/>
    <w:uiPriority w:val="99"/>
    <w:rsid w:val="00A333F1"/>
    <w:rPr>
      <w:rFonts w:ascii="Calibri" w:hAnsi="Calibri"/>
      <w:sz w:val="22"/>
      <w:szCs w:val="22"/>
      <w:lang w:eastAsia="en-US"/>
    </w:rPr>
  </w:style>
  <w:style w:type="paragraph" w:customStyle="1" w:styleId="ListParagraph2">
    <w:name w:val="List Paragraph2"/>
    <w:basedOn w:val="prastasis"/>
    <w:uiPriority w:val="99"/>
    <w:rsid w:val="00A333F1"/>
    <w:pPr>
      <w:ind w:left="720"/>
      <w:contextualSpacing/>
    </w:pPr>
    <w:rPr>
      <w:sz w:val="24"/>
      <w:szCs w:val="24"/>
      <w:lang w:eastAsia="en-US"/>
    </w:rPr>
  </w:style>
  <w:style w:type="paragraph" w:customStyle="1" w:styleId="Sraopastraipa2">
    <w:name w:val="Sąrašo pastraipa2"/>
    <w:basedOn w:val="prastasis"/>
    <w:uiPriority w:val="99"/>
    <w:rsid w:val="00A333F1"/>
    <w:pPr>
      <w:ind w:left="720"/>
      <w:contextualSpacing/>
    </w:pPr>
    <w:rPr>
      <w:sz w:val="24"/>
      <w:szCs w:val="24"/>
      <w:lang w:eastAsia="en-US"/>
    </w:rPr>
  </w:style>
  <w:style w:type="paragraph" w:customStyle="1" w:styleId="Turinioantrat1">
    <w:name w:val="Turinio antraštė1"/>
    <w:basedOn w:val="prastasis"/>
    <w:uiPriority w:val="99"/>
    <w:rsid w:val="00A333F1"/>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Betarp11">
    <w:name w:val="Be tarpų11"/>
    <w:uiPriority w:val="99"/>
    <w:rsid w:val="00A333F1"/>
    <w:rPr>
      <w:rFonts w:ascii="Calibri" w:hAnsi="Calibri"/>
      <w:sz w:val="22"/>
      <w:szCs w:val="22"/>
      <w:lang w:eastAsia="en-US"/>
    </w:rPr>
  </w:style>
  <w:style w:type="paragraph" w:customStyle="1" w:styleId="Sraopastraipa21">
    <w:name w:val="Sąrašo pastraipa21"/>
    <w:basedOn w:val="prastasis"/>
    <w:uiPriority w:val="99"/>
    <w:rsid w:val="00A333F1"/>
    <w:pPr>
      <w:ind w:left="720"/>
      <w:contextualSpacing/>
    </w:pPr>
    <w:rPr>
      <w:sz w:val="24"/>
      <w:szCs w:val="24"/>
      <w:lang w:eastAsia="en-US"/>
    </w:rPr>
  </w:style>
  <w:style w:type="character" w:customStyle="1" w:styleId="BodyTextChar1">
    <w:name w:val="Body Text Char1"/>
    <w:rsid w:val="00FD5C4A"/>
    <w:rPr>
      <w:sz w:val="22"/>
      <w:lang w:val="lt-LT" w:eastAsia="lt-LT" w:bidi="ar-SA"/>
    </w:rPr>
  </w:style>
  <w:style w:type="character" w:customStyle="1" w:styleId="CharChar22">
    <w:name w:val="Char Char22"/>
    <w:locked/>
    <w:rsid w:val="00FD5C4A"/>
    <w:rPr>
      <w:b/>
      <w:sz w:val="22"/>
      <w:lang w:val="lt-LT" w:eastAsia="lt-LT"/>
    </w:rPr>
  </w:style>
  <w:style w:type="paragraph" w:customStyle="1" w:styleId="TableText">
    <w:name w:val="Table Text"/>
    <w:basedOn w:val="prastasis"/>
    <w:uiPriority w:val="99"/>
    <w:rsid w:val="00A333F1"/>
    <w:rPr>
      <w:rFonts w:ascii="CG Times (W1)" w:hAnsi="CG Times (W1)"/>
      <w:sz w:val="20"/>
      <w:lang w:val="en-GB" w:eastAsia="en-US"/>
    </w:rPr>
  </w:style>
  <w:style w:type="paragraph" w:customStyle="1" w:styleId="Normal11pt0">
    <w:name w:val="Normal + 11pt"/>
    <w:basedOn w:val="prastasis"/>
    <w:link w:val="Normal11ptCar"/>
    <w:uiPriority w:val="99"/>
    <w:rsid w:val="00A333F1"/>
    <w:rPr>
      <w:szCs w:val="22"/>
      <w:lang w:val="en-GB" w:eastAsia="en-US"/>
    </w:rPr>
  </w:style>
  <w:style w:type="character" w:customStyle="1" w:styleId="Normal11ptCar">
    <w:name w:val="Normal + 11pt Car"/>
    <w:link w:val="Normal11pt0"/>
    <w:uiPriority w:val="99"/>
    <w:rsid w:val="00FD5C4A"/>
    <w:rPr>
      <w:sz w:val="22"/>
      <w:szCs w:val="22"/>
      <w:lang w:val="en-GB" w:eastAsia="en-US"/>
    </w:rPr>
  </w:style>
  <w:style w:type="paragraph" w:customStyle="1" w:styleId="NormaLT">
    <w:name w:val="NormaLT"/>
    <w:basedOn w:val="prastasis"/>
    <w:uiPriority w:val="99"/>
    <w:rsid w:val="00A333F1"/>
    <w:pPr>
      <w:tabs>
        <w:tab w:val="left" w:pos="425"/>
      </w:tabs>
      <w:jc w:val="both"/>
    </w:pPr>
    <w:rPr>
      <w:rFonts w:ascii="Arial" w:hAnsi="Arial"/>
      <w:sz w:val="24"/>
      <w:lang w:eastAsia="en-US"/>
    </w:rPr>
  </w:style>
  <w:style w:type="paragraph" w:customStyle="1" w:styleId="AHeader1">
    <w:name w:val="AHeader 1"/>
    <w:basedOn w:val="prastasis"/>
    <w:uiPriority w:val="99"/>
    <w:rsid w:val="00A333F1"/>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546100"/>
    <w:pPr>
      <w:numPr>
        <w:ilvl w:val="1"/>
      </w:numPr>
      <w:tabs>
        <w:tab w:val="num" w:pos="360"/>
        <w:tab w:val="num" w:pos="720"/>
      </w:tabs>
      <w:ind w:left="360" w:hanging="360"/>
    </w:pPr>
    <w:rPr>
      <w:sz w:val="22"/>
    </w:rPr>
  </w:style>
  <w:style w:type="paragraph" w:customStyle="1" w:styleId="AHeader3">
    <w:name w:val="AHeader 3"/>
    <w:basedOn w:val="AHeader2"/>
    <w:uiPriority w:val="99"/>
    <w:rsid w:val="00FD5C4A"/>
    <w:pPr>
      <w:numPr>
        <w:ilvl w:val="2"/>
      </w:numPr>
      <w:tabs>
        <w:tab w:val="num" w:pos="360"/>
      </w:tabs>
      <w:ind w:left="360" w:hanging="360"/>
    </w:pPr>
  </w:style>
  <w:style w:type="paragraph" w:customStyle="1" w:styleId="AHeader2abc">
    <w:name w:val="AHeader 2 abc"/>
    <w:basedOn w:val="AHeader3"/>
    <w:uiPriority w:val="99"/>
    <w:rsid w:val="00FD5C4A"/>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FD5C4A"/>
    <w:pPr>
      <w:numPr>
        <w:ilvl w:val="4"/>
      </w:numPr>
      <w:tabs>
        <w:tab w:val="num" w:pos="360"/>
      </w:tabs>
      <w:ind w:left="360" w:hanging="360"/>
    </w:pPr>
  </w:style>
  <w:style w:type="character" w:customStyle="1" w:styleId="Normal1">
    <w:name w:val="Normal1"/>
    <w:rsid w:val="00FD5C4A"/>
    <w:rPr>
      <w:rFonts w:ascii="Arial" w:hAnsi="Arial"/>
      <w:sz w:val="24"/>
    </w:rPr>
  </w:style>
  <w:style w:type="character" w:customStyle="1" w:styleId="CharChar7">
    <w:name w:val="Char Char7"/>
    <w:locked/>
    <w:rsid w:val="00FD5C4A"/>
    <w:rPr>
      <w:rFonts w:cs="Times New Roman"/>
      <w:sz w:val="22"/>
      <w:lang w:val="lt-LT" w:eastAsia="en-US"/>
    </w:rPr>
  </w:style>
  <w:style w:type="character" w:customStyle="1" w:styleId="Heading4Char1">
    <w:name w:val="Heading 4 Char1"/>
    <w:uiPriority w:val="99"/>
    <w:locked/>
    <w:rsid w:val="00FD5C4A"/>
    <w:rPr>
      <w:sz w:val="22"/>
      <w:u w:val="single"/>
      <w:lang w:val="lt-LT" w:eastAsia="lt-LT"/>
    </w:rPr>
  </w:style>
  <w:style w:type="character" w:customStyle="1" w:styleId="Heading5Char1">
    <w:name w:val="Heading 5 Char1"/>
    <w:uiPriority w:val="99"/>
    <w:locked/>
    <w:rsid w:val="00FD5C4A"/>
    <w:rPr>
      <w:b/>
      <w:bCs/>
      <w:i/>
      <w:iCs/>
      <w:sz w:val="26"/>
      <w:szCs w:val="26"/>
      <w:lang w:val="lt-LT" w:eastAsia="lt-LT"/>
    </w:rPr>
  </w:style>
  <w:style w:type="character" w:customStyle="1" w:styleId="Heading6Char1">
    <w:name w:val="Heading 6 Char1"/>
    <w:uiPriority w:val="99"/>
    <w:locked/>
    <w:rsid w:val="00FD5C4A"/>
    <w:rPr>
      <w:b/>
      <w:bCs/>
      <w:sz w:val="22"/>
      <w:szCs w:val="22"/>
      <w:lang w:val="lt-LT" w:eastAsia="lt-LT"/>
    </w:rPr>
  </w:style>
  <w:style w:type="character" w:customStyle="1" w:styleId="Heading7Char1">
    <w:name w:val="Heading 7 Char1"/>
    <w:uiPriority w:val="99"/>
    <w:locked/>
    <w:rsid w:val="00FD5C4A"/>
    <w:rPr>
      <w:i/>
      <w:sz w:val="22"/>
      <w:lang w:val="cs-CZ"/>
    </w:rPr>
  </w:style>
  <w:style w:type="character" w:customStyle="1" w:styleId="Heading8Char1">
    <w:name w:val="Heading 8 Char1"/>
    <w:uiPriority w:val="99"/>
    <w:locked/>
    <w:rsid w:val="00FD5C4A"/>
    <w:rPr>
      <w:i/>
      <w:iCs/>
      <w:sz w:val="24"/>
      <w:szCs w:val="24"/>
      <w:lang w:val="lt-LT"/>
    </w:rPr>
  </w:style>
  <w:style w:type="character" w:customStyle="1" w:styleId="Heading9Char1">
    <w:name w:val="Heading 9 Char1"/>
    <w:uiPriority w:val="99"/>
    <w:locked/>
    <w:rsid w:val="00FD5C4A"/>
    <w:rPr>
      <w:b/>
      <w:i/>
      <w:sz w:val="22"/>
      <w:lang w:val="cs-CZ"/>
    </w:rPr>
  </w:style>
  <w:style w:type="character" w:customStyle="1" w:styleId="FooterChar1">
    <w:name w:val="Footer Char1"/>
    <w:locked/>
    <w:rsid w:val="00FD5C4A"/>
    <w:rPr>
      <w:sz w:val="22"/>
      <w:lang w:val="lt-LT" w:eastAsia="lt-LT"/>
    </w:rPr>
  </w:style>
  <w:style w:type="character" w:customStyle="1" w:styleId="HeaderChar2">
    <w:name w:val="Header Char2"/>
    <w:uiPriority w:val="99"/>
    <w:locked/>
    <w:rsid w:val="00FD5C4A"/>
    <w:rPr>
      <w:sz w:val="24"/>
      <w:szCs w:val="24"/>
      <w:lang w:val="lt-LT"/>
    </w:rPr>
  </w:style>
  <w:style w:type="character" w:customStyle="1" w:styleId="BodyText2Char1">
    <w:name w:val="Body Text 2 Char1"/>
    <w:locked/>
    <w:rsid w:val="00FD5C4A"/>
    <w:rPr>
      <w:sz w:val="22"/>
      <w:lang w:val="lt-LT" w:eastAsia="lt-LT"/>
    </w:rPr>
  </w:style>
  <w:style w:type="character" w:customStyle="1" w:styleId="BodyTextIndent2Char1">
    <w:name w:val="Body Text Indent 2 Char1"/>
    <w:uiPriority w:val="99"/>
    <w:locked/>
    <w:rsid w:val="00FD5C4A"/>
    <w:rPr>
      <w:sz w:val="22"/>
      <w:lang w:val="lt-LT" w:eastAsia="lt-LT"/>
    </w:rPr>
  </w:style>
  <w:style w:type="character" w:customStyle="1" w:styleId="BodyText3Char1">
    <w:name w:val="Body Text 3 Char1"/>
    <w:uiPriority w:val="99"/>
    <w:locked/>
    <w:rsid w:val="00FD5C4A"/>
    <w:rPr>
      <w:sz w:val="16"/>
      <w:szCs w:val="16"/>
      <w:lang w:val="lt-LT"/>
    </w:rPr>
  </w:style>
  <w:style w:type="character" w:customStyle="1" w:styleId="CommentTextChar1">
    <w:name w:val="Comment Text Char1"/>
    <w:uiPriority w:val="99"/>
    <w:semiHidden/>
    <w:locked/>
    <w:rsid w:val="00FD5C4A"/>
    <w:rPr>
      <w:b/>
      <w:bCs/>
      <w:lang w:val="lt-LT"/>
    </w:rPr>
  </w:style>
  <w:style w:type="character" w:customStyle="1" w:styleId="CommentSubjectChar1">
    <w:name w:val="Comment Subject Char1"/>
    <w:uiPriority w:val="99"/>
    <w:semiHidden/>
    <w:locked/>
    <w:rsid w:val="00FD5C4A"/>
    <w:rPr>
      <w:b/>
      <w:bCs/>
      <w:lang w:val="lt-LT"/>
    </w:rPr>
  </w:style>
  <w:style w:type="character" w:customStyle="1" w:styleId="CharChar70">
    <w:name w:val="Char Char7"/>
    <w:uiPriority w:val="99"/>
    <w:locked/>
    <w:rsid w:val="00FD5C4A"/>
    <w:rPr>
      <w:sz w:val="22"/>
      <w:lang w:val="lt-LT" w:eastAsia="en-US"/>
    </w:rPr>
  </w:style>
  <w:style w:type="character" w:customStyle="1" w:styleId="Heading1Char1">
    <w:name w:val="Heading 1 Char1"/>
    <w:rsid w:val="00FD5C4A"/>
    <w:rPr>
      <w:rFonts w:ascii="Cambria" w:eastAsia="Times New Roman" w:hAnsi="Cambria" w:cs="Times New Roman"/>
      <w:b/>
      <w:bCs/>
      <w:kern w:val="32"/>
      <w:sz w:val="32"/>
      <w:szCs w:val="32"/>
      <w:lang w:val="lt-LT" w:eastAsia="lt-LT"/>
    </w:rPr>
  </w:style>
  <w:style w:type="character" w:customStyle="1" w:styleId="Heading3Char1">
    <w:name w:val="Heading 3 Char1"/>
    <w:rsid w:val="00FD5C4A"/>
    <w:rPr>
      <w:rFonts w:ascii="Arial" w:hAnsi="Arial" w:cs="Arial"/>
      <w:b/>
      <w:bCs/>
      <w:sz w:val="26"/>
      <w:szCs w:val="26"/>
      <w:lang w:val="lt-LT"/>
    </w:rPr>
  </w:style>
  <w:style w:type="character" w:customStyle="1" w:styleId="CharChar">
    <w:name w:val="Char Char"/>
    <w:rsid w:val="00FD5C4A"/>
    <w:rPr>
      <w:sz w:val="22"/>
      <w:lang w:val="lt-LT" w:eastAsia="lt-LT" w:bidi="ar-SA"/>
    </w:rPr>
  </w:style>
  <w:style w:type="paragraph" w:customStyle="1" w:styleId="A-TableText">
    <w:name w:val="A-TableText"/>
    <w:basedOn w:val="prastasis"/>
    <w:rsid w:val="00A333F1"/>
    <w:pPr>
      <w:spacing w:before="60" w:after="60"/>
    </w:pPr>
    <w:rPr>
      <w:rFonts w:eastAsia="Calibri"/>
      <w:sz w:val="20"/>
      <w:lang w:val="en-GB" w:eastAsia="en-US"/>
    </w:rPr>
  </w:style>
  <w:style w:type="character" w:customStyle="1" w:styleId="CharChar11">
    <w:name w:val="Char Char11"/>
    <w:locked/>
    <w:rsid w:val="00FD5C4A"/>
    <w:rPr>
      <w:rFonts w:ascii="Arial" w:hAnsi="Arial"/>
      <w:b/>
      <w:kern w:val="28"/>
      <w:sz w:val="28"/>
      <w:lang w:val="lt-LT" w:eastAsia="en-US" w:bidi="ar-SA"/>
    </w:rPr>
  </w:style>
  <w:style w:type="character" w:customStyle="1" w:styleId="CharChar10">
    <w:name w:val="Char Char10"/>
    <w:semiHidden/>
    <w:locked/>
    <w:rsid w:val="00FD5C4A"/>
    <w:rPr>
      <w:rFonts w:ascii="Arial" w:hAnsi="Arial"/>
      <w:b/>
      <w:i/>
      <w:sz w:val="22"/>
      <w:lang w:val="lt-LT" w:eastAsia="en-US" w:bidi="ar-SA"/>
    </w:rPr>
  </w:style>
  <w:style w:type="paragraph" w:customStyle="1" w:styleId="BodytextAgency">
    <w:name w:val="Body text (Agency)"/>
    <w:basedOn w:val="prastasis"/>
    <w:link w:val="BodytextAgencyChar"/>
    <w:rsid w:val="00A333F1"/>
    <w:pPr>
      <w:spacing w:after="140" w:line="280" w:lineRule="atLeast"/>
    </w:pPr>
    <w:rPr>
      <w:rFonts w:ascii="Verdana" w:eastAsia="Calibri" w:hAnsi="Verdana"/>
      <w:sz w:val="18"/>
      <w:lang w:val="en-GB"/>
    </w:rPr>
  </w:style>
  <w:style w:type="paragraph" w:customStyle="1" w:styleId="NormalAgency">
    <w:name w:val="Normal (Agency)"/>
    <w:link w:val="NormalAgencyChar"/>
    <w:rsid w:val="00A333F1"/>
    <w:rPr>
      <w:rFonts w:ascii="Verdana" w:eastAsia="Calibri" w:hAnsi="Verdana"/>
      <w:sz w:val="18"/>
      <w:szCs w:val="22"/>
      <w:lang w:val="en-GB" w:eastAsia="lt-LT"/>
    </w:rPr>
  </w:style>
  <w:style w:type="paragraph" w:customStyle="1" w:styleId="TabletextrowsAgency">
    <w:name w:val="Table text rows (Agency)"/>
    <w:basedOn w:val="prastasis"/>
    <w:rsid w:val="00A333F1"/>
    <w:pPr>
      <w:spacing w:line="280" w:lineRule="exact"/>
    </w:pPr>
    <w:rPr>
      <w:rFonts w:ascii="Verdana" w:eastAsia="Calibri" w:hAnsi="Verdana"/>
      <w:sz w:val="18"/>
      <w:lang w:val="en-GB" w:eastAsia="en-US"/>
    </w:rPr>
  </w:style>
  <w:style w:type="character" w:customStyle="1" w:styleId="HeaderChar1">
    <w:name w:val="Header Char1"/>
    <w:locked/>
    <w:rsid w:val="00FD5C4A"/>
    <w:rPr>
      <w:rFonts w:ascii="Times New Roman" w:eastAsia="SimSun" w:hAnsi="Times New Roman"/>
      <w:sz w:val="20"/>
      <w:lang w:val="en-GB" w:eastAsia="zh-CN"/>
    </w:rPr>
  </w:style>
  <w:style w:type="character" w:customStyle="1" w:styleId="BodytextAgencyChar">
    <w:name w:val="Body text (Agency) Char"/>
    <w:link w:val="BodytextAgency"/>
    <w:locked/>
    <w:rsid w:val="00FD5C4A"/>
    <w:rPr>
      <w:rFonts w:ascii="Verdana" w:eastAsia="Calibri" w:hAnsi="Verdana"/>
      <w:sz w:val="18"/>
      <w:lang w:val="en-GB" w:eastAsia="lt-LT"/>
    </w:rPr>
  </w:style>
  <w:style w:type="table" w:customStyle="1" w:styleId="TablegridAgencyblack">
    <w:name w:val="Table grid (Agency) black"/>
    <w:semiHidden/>
    <w:rsid w:val="00FD5C4A"/>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FD5C4A"/>
    <w:pPr>
      <w:keepNext/>
    </w:pPr>
    <w:rPr>
      <w:rFonts w:eastAsia="SimSun" w:cs="Verdana"/>
      <w:b/>
      <w:szCs w:val="18"/>
      <w:lang w:eastAsia="en-GB"/>
    </w:rPr>
  </w:style>
  <w:style w:type="character" w:customStyle="1" w:styleId="NormalAgencyChar">
    <w:name w:val="Normal (Agency) Char"/>
    <w:link w:val="NormalAgency"/>
    <w:locked/>
    <w:rsid w:val="00FD5C4A"/>
    <w:rPr>
      <w:rFonts w:ascii="Verdana" w:eastAsia="Calibri" w:hAnsi="Verdana"/>
      <w:sz w:val="18"/>
      <w:szCs w:val="22"/>
      <w:lang w:val="en-GB" w:eastAsia="lt-LT"/>
    </w:rPr>
  </w:style>
  <w:style w:type="character" w:customStyle="1" w:styleId="CharChar12">
    <w:name w:val="Char Char12"/>
    <w:locked/>
    <w:rsid w:val="00FD5C4A"/>
    <w:rPr>
      <w:snapToGrid w:val="0"/>
      <w:lang w:val="en-GB" w:eastAsia="en-US"/>
    </w:rPr>
  </w:style>
  <w:style w:type="character" w:customStyle="1" w:styleId="CharChar220">
    <w:name w:val="Char Char22"/>
    <w:locked/>
    <w:rsid w:val="00FD5C4A"/>
    <w:rPr>
      <w:b/>
      <w:sz w:val="22"/>
      <w:lang w:val="lt-LT" w:eastAsia="lt-LT"/>
    </w:rPr>
  </w:style>
  <w:style w:type="character" w:customStyle="1" w:styleId="CharChar0">
    <w:name w:val="Char Char"/>
    <w:rsid w:val="00FD5C4A"/>
    <w:rPr>
      <w:sz w:val="22"/>
      <w:lang w:val="lt-LT" w:eastAsia="lt-LT" w:bidi="ar-SA"/>
    </w:rPr>
  </w:style>
  <w:style w:type="character" w:customStyle="1" w:styleId="CharChar110">
    <w:name w:val="Char Char11"/>
    <w:locked/>
    <w:rsid w:val="00FD5C4A"/>
    <w:rPr>
      <w:rFonts w:ascii="Arial" w:hAnsi="Arial"/>
      <w:b/>
      <w:kern w:val="28"/>
      <w:sz w:val="28"/>
      <w:lang w:val="lt-LT" w:eastAsia="en-US" w:bidi="ar-SA"/>
    </w:rPr>
  </w:style>
  <w:style w:type="character" w:customStyle="1" w:styleId="CharChar100">
    <w:name w:val="Char Char10"/>
    <w:semiHidden/>
    <w:locked/>
    <w:rsid w:val="00FD5C4A"/>
    <w:rPr>
      <w:rFonts w:ascii="Arial" w:hAnsi="Arial"/>
      <w:b/>
      <w:i/>
      <w:sz w:val="22"/>
      <w:lang w:val="lt-LT" w:eastAsia="en-US" w:bidi="ar-SA"/>
    </w:rPr>
  </w:style>
  <w:style w:type="character" w:customStyle="1" w:styleId="resultoftext">
    <w:name w:val="resultoftext"/>
    <w:basedOn w:val="Numatytasispastraiposriftas"/>
    <w:rsid w:val="00AF56D3"/>
  </w:style>
  <w:style w:type="numbering" w:customStyle="1" w:styleId="NoList11">
    <w:name w:val="No List11"/>
    <w:next w:val="Sraonra"/>
    <w:semiHidden/>
    <w:unhideWhenUsed/>
    <w:rsid w:val="00A33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7632">
      <w:bodyDiv w:val="1"/>
      <w:marLeft w:val="0"/>
      <w:marRight w:val="0"/>
      <w:marTop w:val="0"/>
      <w:marBottom w:val="0"/>
      <w:divBdr>
        <w:top w:val="none" w:sz="0" w:space="0" w:color="auto"/>
        <w:left w:val="none" w:sz="0" w:space="0" w:color="auto"/>
        <w:bottom w:val="none" w:sz="0" w:space="0" w:color="auto"/>
        <w:right w:val="none" w:sz="0" w:space="0" w:color="auto"/>
      </w:divBdr>
    </w:div>
    <w:div w:id="165440967">
      <w:bodyDiv w:val="1"/>
      <w:marLeft w:val="0"/>
      <w:marRight w:val="0"/>
      <w:marTop w:val="0"/>
      <w:marBottom w:val="0"/>
      <w:divBdr>
        <w:top w:val="none" w:sz="0" w:space="0" w:color="auto"/>
        <w:left w:val="none" w:sz="0" w:space="0" w:color="auto"/>
        <w:bottom w:val="none" w:sz="0" w:space="0" w:color="auto"/>
        <w:right w:val="none" w:sz="0" w:space="0" w:color="auto"/>
      </w:divBdr>
    </w:div>
    <w:div w:id="228853518">
      <w:bodyDiv w:val="1"/>
      <w:marLeft w:val="0"/>
      <w:marRight w:val="0"/>
      <w:marTop w:val="0"/>
      <w:marBottom w:val="0"/>
      <w:divBdr>
        <w:top w:val="none" w:sz="0" w:space="0" w:color="auto"/>
        <w:left w:val="none" w:sz="0" w:space="0" w:color="auto"/>
        <w:bottom w:val="none" w:sz="0" w:space="0" w:color="auto"/>
        <w:right w:val="none" w:sz="0" w:space="0" w:color="auto"/>
      </w:divBdr>
    </w:div>
    <w:div w:id="796682207">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962658587">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23115052">
      <w:bodyDiv w:val="1"/>
      <w:marLeft w:val="0"/>
      <w:marRight w:val="0"/>
      <w:marTop w:val="0"/>
      <w:marBottom w:val="0"/>
      <w:divBdr>
        <w:top w:val="none" w:sz="0" w:space="0" w:color="auto"/>
        <w:left w:val="none" w:sz="0" w:space="0" w:color="auto"/>
        <w:bottom w:val="none" w:sz="0" w:space="0" w:color="auto"/>
        <w:right w:val="none" w:sz="0" w:space="0" w:color="auto"/>
      </w:divBdr>
    </w:div>
    <w:div w:id="1153253908">
      <w:bodyDiv w:val="1"/>
      <w:marLeft w:val="0"/>
      <w:marRight w:val="0"/>
      <w:marTop w:val="0"/>
      <w:marBottom w:val="0"/>
      <w:divBdr>
        <w:top w:val="none" w:sz="0" w:space="0" w:color="auto"/>
        <w:left w:val="none" w:sz="0" w:space="0" w:color="auto"/>
        <w:bottom w:val="none" w:sz="0" w:space="0" w:color="auto"/>
        <w:right w:val="none" w:sz="0" w:space="0" w:color="auto"/>
      </w:divBdr>
    </w:div>
    <w:div w:id="1181120113">
      <w:bodyDiv w:val="1"/>
      <w:marLeft w:val="0"/>
      <w:marRight w:val="0"/>
      <w:marTop w:val="0"/>
      <w:marBottom w:val="0"/>
      <w:divBdr>
        <w:top w:val="none" w:sz="0" w:space="0" w:color="auto"/>
        <w:left w:val="none" w:sz="0" w:space="0" w:color="auto"/>
        <w:bottom w:val="none" w:sz="0" w:space="0" w:color="auto"/>
        <w:right w:val="none" w:sz="0" w:space="0" w:color="auto"/>
      </w:divBdr>
    </w:div>
    <w:div w:id="1360281342">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93905608">
      <w:bodyDiv w:val="1"/>
      <w:marLeft w:val="0"/>
      <w:marRight w:val="0"/>
      <w:marTop w:val="0"/>
      <w:marBottom w:val="0"/>
      <w:divBdr>
        <w:top w:val="none" w:sz="0" w:space="0" w:color="auto"/>
        <w:left w:val="none" w:sz="0" w:space="0" w:color="auto"/>
        <w:bottom w:val="none" w:sz="0" w:space="0" w:color="auto"/>
        <w:right w:val="none" w:sz="0" w:space="0" w:color="auto"/>
      </w:divBdr>
    </w:div>
    <w:div w:id="1553006692">
      <w:bodyDiv w:val="1"/>
      <w:marLeft w:val="0"/>
      <w:marRight w:val="0"/>
      <w:marTop w:val="0"/>
      <w:marBottom w:val="0"/>
      <w:divBdr>
        <w:top w:val="none" w:sz="0" w:space="0" w:color="auto"/>
        <w:left w:val="none" w:sz="0" w:space="0" w:color="auto"/>
        <w:bottom w:val="none" w:sz="0" w:space="0" w:color="auto"/>
        <w:right w:val="none" w:sz="0" w:space="0" w:color="auto"/>
      </w:divBdr>
    </w:div>
    <w:div w:id="1776049874">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21255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7701-539A-4B19-B407-D3EFEF81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8141</Words>
  <Characters>56549</Characters>
  <Application>Microsoft Office Word</Application>
  <DocSecurity>4</DocSecurity>
  <Lines>471</Lines>
  <Paragraphs>129</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I PRIEDAS</vt:lpstr>
      <vt:lpstr/>
      <vt:lpstr/>
      <vt:lpstr/>
      <vt:lpstr>        2.	KOKYBINĖ IR KIEKYBINĖ SUDĖTIS</vt:lpstr>
      <vt:lpstr>        3.	FARMACINĖ FORMA</vt:lpstr>
      <vt:lpstr/>
      <vt:lpstr>Reikia reguliariai iš naujo įvertinti tolesnio kasdieninio vartojimo tinkamumą.</vt:lpstr>
      <vt:lpstr>4.8	Nepageidaujamas poveikis</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2024 m. gegužės 5 d.</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QUATOR</vt:lpstr>
      <vt:lpstr>Quator tabletės yra skirtos vartoti per burną tik vyrams. Tabletę nurykite nepaž</vt:lpstr>
      <vt:lpstr/>
      <vt:lpstr>Prisitaikoma pagal poreikį dozė vartojant 10 mg arba 20 mg tablečių</vt:lpstr>
      <vt:lpstr>Rekomenduojama pradinė dozė yra viena 10 mg tabletė, geriama prieš lytinius sant</vt:lpstr>
      <vt:lpstr>Quator galite gerti likus bent 30 min. iki lytinių santykių. </vt:lpstr>
      <vt:lpstr>Quator gali būti vis dar veiksmingas iki 36 valandų po tabletės suvartojimo. </vt:lpstr>
      <vt:lpstr/>
      <vt:lpstr>Daugiau negu vieną kartą per parą Quator nevartokite. </vt:lpstr>
      <vt:lpstr>Quator 10 mg ir 20 mg tabletės skirtos vartoti prieš numatomus lytinius santykiu</vt:lpstr>
      <vt:lpstr>I PRIEDAS</vt:lpstr>
      <vt:lpstr/>
      <vt:lpstr/>
      <vt:lpstr/>
      <vt:lpstr>        2.	KOKYBINĖ IR KIEKYBINĖ SUDĖTIS</vt:lpstr>
      <vt:lpstr>        3.	FARMACINĖ FORMA</vt:lpstr>
      <vt:lpstr/>
      <vt:lpstr>Reikia reguliariai iš naujo įvertinti tolesnio kasdieninio vartojimo tinkamumą.</vt:lpstr>
      <vt:lpstr>4.8	Nepageidaujamas poveikis</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2024 m. gegužės 5 d.balandžio 4 d.</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QUATOR</vt:lpstr>
      <vt:lpstr>Quator tabletės yra skirtos vartoti per burną tik vyrams. Tabletę nurykite nepaž</vt:lpstr>
      <vt:lpstr/>
      <vt:lpstr>Prisitaikoma pagal poreikį dozė vartojant 10 mg arba 20 mg tablečių</vt:lpstr>
      <vt:lpstr>Rekomenduojama pradinė dozė yra viena 10 mg tabletė, geriama prieš lytinius sant</vt:lpstr>
      <vt:lpstr>Quator galite gerti likus bent 30 min. iki lytinių santykių. </vt:lpstr>
      <vt:lpstr>Quator gali būti vis dar veiksmingas iki 36 valandų po tabletės suvartojimo. </vt:lpstr>
      <vt:lpstr/>
      <vt:lpstr>Daugiau negu vieną kartą per parą Quator nevartokite. </vt:lpstr>
      <vt:lpstr>Quator 10 mg ir 20 mg tabletės skirtos vartoti prieš numatomus lytinius santykiu</vt:lpstr>
    </vt:vector>
  </TitlesOfParts>
  <Company>VVKT</Company>
  <LinksUpToDate>false</LinksUpToDate>
  <CharactersWithSpaces>64561</CharactersWithSpaces>
  <SharedDoc>false</SharedDoc>
  <HLinks>
    <vt:vector size="18" baseType="variant">
      <vt:variant>
        <vt:i4>1245197</vt:i4>
      </vt:variant>
      <vt:variant>
        <vt:i4>18</vt:i4>
      </vt:variant>
      <vt:variant>
        <vt:i4>0</vt:i4>
      </vt:variant>
      <vt:variant>
        <vt:i4>5</vt:i4>
      </vt:variant>
      <vt:variant>
        <vt:lpwstr>http://www.ema.europa.eu/</vt:lpwstr>
      </vt:variant>
      <vt:variant>
        <vt:lpwstr/>
      </vt:variant>
      <vt:variant>
        <vt:i4>4718697</vt:i4>
      </vt:variant>
      <vt:variant>
        <vt:i4>15</vt:i4>
      </vt:variant>
      <vt:variant>
        <vt:i4>0</vt:i4>
      </vt:variant>
      <vt:variant>
        <vt:i4>5</vt:i4>
      </vt:variant>
      <vt:variant>
        <vt:lpwstr>mailto:lithuania@medochemie.</vt:lpwstr>
      </vt:variant>
      <vt:variant>
        <vt:lpwstr/>
      </vt:variant>
      <vt:variant>
        <vt:i4>1245197</vt:i4>
      </vt:variant>
      <vt:variant>
        <vt:i4>6</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cp:lastPrinted>2019-05-17T08:21:00Z</cp:lastPrinted>
  <dcterms:created xsi:type="dcterms:W3CDTF">2024-05-23T08:16:00Z</dcterms:created>
  <dcterms:modified xsi:type="dcterms:W3CDTF">2024-05-23T08:16:00Z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2021-10-25T11:24:02Z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0a043e81-1ec8-40bf-add5-2e23a8e01fa7</vt:lpwstr>
  </property>
  <property fmtid="{D5CDD505-2E9C-101B-9397-08002B2CF9AE}" pid="8" name="MSIP_Label_3c9bec58-8084-492e-8360-0e1cfe36408c_ContentBits">
    <vt:lpwstr>0</vt:lpwstr>
  </property>
</Properties>
</file>