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C5D" w:rsidRPr="00A333F1" w:rsidRDefault="00763C5D" w:rsidP="00763C5D">
      <w:pPr>
        <w:keepNext/>
        <w:tabs>
          <w:tab w:val="left" w:pos="540"/>
        </w:tabs>
        <w:jc w:val="center"/>
        <w:outlineLvl w:val="1"/>
        <w:rPr>
          <w:b/>
        </w:rPr>
      </w:pPr>
      <w:r w:rsidRPr="00A333F1">
        <w:rPr>
          <w:b/>
        </w:rPr>
        <w:t>Pakuotės lapelis: informacija pacientui</w:t>
      </w:r>
    </w:p>
    <w:p w:rsidR="00763C5D" w:rsidRPr="00A333F1" w:rsidRDefault="00763C5D" w:rsidP="00763C5D">
      <w:pPr>
        <w:numPr>
          <w:ilvl w:val="12"/>
          <w:numId w:val="0"/>
        </w:numPr>
        <w:shd w:val="clear" w:color="auto" w:fill="FFFFFF"/>
        <w:jc w:val="center"/>
      </w:pPr>
    </w:p>
    <w:p w:rsidR="00763C5D" w:rsidRPr="00A333F1" w:rsidRDefault="00763C5D" w:rsidP="00763C5D">
      <w:pPr>
        <w:autoSpaceDE w:val="0"/>
        <w:autoSpaceDN w:val="0"/>
        <w:adjustRightInd w:val="0"/>
        <w:jc w:val="center"/>
        <w:rPr>
          <w:b/>
        </w:rPr>
      </w:pPr>
      <w:r w:rsidRPr="00A333F1">
        <w:rPr>
          <w:b/>
        </w:rPr>
        <w:t>Quator 5 mg pl</w:t>
      </w:r>
      <w:r w:rsidRPr="00797CDB">
        <w:rPr>
          <w:rFonts w:eastAsia="TimesNewRomanPSMT"/>
          <w:b/>
        </w:rPr>
        <w:t>ė</w:t>
      </w:r>
      <w:r w:rsidRPr="00A333F1">
        <w:rPr>
          <w:b/>
        </w:rPr>
        <w:t>vele dengtos tablet</w:t>
      </w:r>
      <w:r w:rsidRPr="00797CDB">
        <w:rPr>
          <w:rFonts w:eastAsia="TimesNewRomanPSMT"/>
          <w:b/>
        </w:rPr>
        <w:t>ė</w:t>
      </w:r>
      <w:r w:rsidRPr="00A333F1">
        <w:rPr>
          <w:b/>
        </w:rPr>
        <w:t>s</w:t>
      </w:r>
    </w:p>
    <w:p w:rsidR="00763C5D" w:rsidRPr="00A333F1" w:rsidRDefault="00763C5D" w:rsidP="00763C5D">
      <w:pPr>
        <w:shd w:val="clear" w:color="auto" w:fill="D9D9D9" w:themeFill="background1" w:themeFillShade="D9"/>
        <w:jc w:val="center"/>
        <w:rPr>
          <w:b/>
        </w:rPr>
      </w:pPr>
      <w:r w:rsidRPr="00A333F1">
        <w:rPr>
          <w:b/>
        </w:rPr>
        <w:t xml:space="preserve">Quator </w:t>
      </w:r>
      <w:r w:rsidRPr="00A333F1">
        <w:rPr>
          <w:b/>
          <w:highlight w:val="lightGray"/>
        </w:rPr>
        <w:t>10 mg pl</w:t>
      </w:r>
      <w:r w:rsidRPr="00797CDB">
        <w:rPr>
          <w:rFonts w:eastAsia="TimesNewRomanPSMT"/>
          <w:b/>
          <w:highlight w:val="lightGray"/>
        </w:rPr>
        <w:t>ė</w:t>
      </w:r>
      <w:r w:rsidRPr="00A333F1">
        <w:rPr>
          <w:b/>
          <w:highlight w:val="lightGray"/>
        </w:rPr>
        <w:t>vele dengtos tablet</w:t>
      </w:r>
      <w:r w:rsidRPr="00797CDB">
        <w:rPr>
          <w:rFonts w:eastAsia="TimesNewRomanPSMT"/>
          <w:b/>
          <w:highlight w:val="lightGray"/>
        </w:rPr>
        <w:t>ė</w:t>
      </w:r>
      <w:r w:rsidRPr="00A333F1">
        <w:rPr>
          <w:b/>
          <w:highlight w:val="lightGray"/>
        </w:rPr>
        <w:t>s</w:t>
      </w:r>
    </w:p>
    <w:p w:rsidR="00763C5D" w:rsidRPr="00A333F1" w:rsidRDefault="00763C5D" w:rsidP="00763C5D">
      <w:pPr>
        <w:shd w:val="clear" w:color="auto" w:fill="BFBFBF" w:themeFill="background1" w:themeFillShade="BF"/>
        <w:jc w:val="center"/>
        <w:rPr>
          <w:b/>
        </w:rPr>
      </w:pPr>
      <w:r w:rsidRPr="00A333F1">
        <w:rPr>
          <w:b/>
        </w:rPr>
        <w:t>Quator 20 mg pl</w:t>
      </w:r>
      <w:r w:rsidRPr="00797CDB">
        <w:rPr>
          <w:rFonts w:eastAsia="TimesNewRomanPSMT"/>
          <w:b/>
        </w:rPr>
        <w:t>ė</w:t>
      </w:r>
      <w:r w:rsidRPr="00A333F1">
        <w:rPr>
          <w:b/>
        </w:rPr>
        <w:t>vele dengtos tablet</w:t>
      </w:r>
      <w:r w:rsidRPr="00797CDB">
        <w:rPr>
          <w:rFonts w:eastAsia="TimesNewRomanPSMT"/>
          <w:b/>
        </w:rPr>
        <w:t>ė</w:t>
      </w:r>
      <w:r w:rsidRPr="00A333F1">
        <w:rPr>
          <w:b/>
        </w:rPr>
        <w:t>s</w:t>
      </w:r>
    </w:p>
    <w:p w:rsidR="00763C5D" w:rsidRDefault="00763C5D" w:rsidP="00763C5D">
      <w:pPr>
        <w:numPr>
          <w:ilvl w:val="12"/>
          <w:numId w:val="0"/>
        </w:numPr>
        <w:jc w:val="center"/>
        <w:rPr>
          <w:szCs w:val="22"/>
        </w:rPr>
      </w:pPr>
      <w:r>
        <w:rPr>
          <w:szCs w:val="22"/>
        </w:rPr>
        <w:t>t</w:t>
      </w:r>
      <w:r w:rsidRPr="00BE7FAC">
        <w:rPr>
          <w:szCs w:val="22"/>
        </w:rPr>
        <w:t>adalafilis</w:t>
      </w:r>
    </w:p>
    <w:p w:rsidR="00763C5D" w:rsidRPr="00A333F1" w:rsidRDefault="00763C5D" w:rsidP="00763C5D">
      <w:pPr>
        <w:numPr>
          <w:ilvl w:val="12"/>
          <w:numId w:val="0"/>
        </w:numPr>
        <w:jc w:val="center"/>
      </w:pPr>
    </w:p>
    <w:p w:rsidR="00763C5D" w:rsidRPr="00797CDB" w:rsidRDefault="00763C5D" w:rsidP="00763C5D">
      <w:pPr>
        <w:suppressAutoHyphens/>
        <w:rPr>
          <w:rFonts w:asciiTheme="minorHAnsi" w:eastAsia="SimSun" w:hAnsiTheme="minorHAnsi" w:cstheme="minorBidi"/>
          <w:szCs w:val="22"/>
          <w:lang w:eastAsia="en-US"/>
        </w:rPr>
      </w:pPr>
      <w:r w:rsidRPr="00797CDB">
        <w:rPr>
          <w:rFonts w:eastAsia="SimSun"/>
          <w:b/>
        </w:rPr>
        <w:t>Atidžiai perskaitykite visą šį lapelį, prieš pradėdami vartoti vaistą, nes jame pateikiama Jums svarbi informacija.</w:t>
      </w:r>
    </w:p>
    <w:p w:rsidR="00763C5D" w:rsidRPr="00797CDB" w:rsidRDefault="00763C5D" w:rsidP="00763C5D">
      <w:pPr>
        <w:numPr>
          <w:ilvl w:val="0"/>
          <w:numId w:val="11"/>
        </w:numPr>
        <w:ind w:left="567" w:hanging="567"/>
        <w:rPr>
          <w:rFonts w:asciiTheme="minorHAnsi" w:eastAsia="SimSun" w:hAnsiTheme="minorHAnsi" w:cstheme="minorBidi"/>
          <w:szCs w:val="22"/>
          <w:lang w:eastAsia="en-US"/>
        </w:rPr>
      </w:pPr>
      <w:r w:rsidRPr="00797CDB">
        <w:rPr>
          <w:rFonts w:eastAsia="SimSun"/>
        </w:rPr>
        <w:t xml:space="preserve">Neišmeskite šio lapelio, nes vėl gali prireikti jį perskaityti. </w:t>
      </w:r>
    </w:p>
    <w:p w:rsidR="00763C5D" w:rsidRPr="00797CDB" w:rsidRDefault="00763C5D" w:rsidP="00763C5D">
      <w:pPr>
        <w:numPr>
          <w:ilvl w:val="0"/>
          <w:numId w:val="11"/>
        </w:numPr>
        <w:ind w:left="567" w:hanging="567"/>
        <w:rPr>
          <w:rFonts w:asciiTheme="minorHAnsi" w:eastAsia="SimSun" w:hAnsiTheme="minorHAnsi" w:cstheme="minorBidi"/>
          <w:szCs w:val="22"/>
          <w:lang w:eastAsia="en-US"/>
        </w:rPr>
      </w:pPr>
      <w:r w:rsidRPr="00797CDB">
        <w:rPr>
          <w:rFonts w:eastAsia="SimSun"/>
        </w:rPr>
        <w:t>Jeigu kiltų daugiau klausimų, kreipkitės į gydytoją arba vaistininką.</w:t>
      </w:r>
    </w:p>
    <w:p w:rsidR="00763C5D" w:rsidRPr="00797CDB" w:rsidRDefault="00763C5D" w:rsidP="00763C5D">
      <w:pPr>
        <w:numPr>
          <w:ilvl w:val="1"/>
          <w:numId w:val="12"/>
        </w:numPr>
        <w:ind w:left="567" w:hanging="567"/>
        <w:rPr>
          <w:rFonts w:asciiTheme="minorHAnsi" w:eastAsia="SimSun" w:hAnsiTheme="minorHAnsi" w:cstheme="minorBidi"/>
          <w:szCs w:val="22"/>
          <w:lang w:eastAsia="en-US"/>
        </w:rPr>
      </w:pPr>
      <w:r w:rsidRPr="00797CDB">
        <w:rPr>
          <w:rFonts w:eastAsia="SimSun"/>
        </w:rPr>
        <w:t>Šis vaistas skirtas tik Jums, todėl kitiems žmonėms jo duoti negalima. Vaistas gali jiems pakenkti (net tiems, kurių ligos požymiai yra tokie patys kaip Jūsų).</w:t>
      </w:r>
      <w:r w:rsidRPr="00797CDB">
        <w:rPr>
          <w:rFonts w:eastAsia="Calibri"/>
        </w:rPr>
        <w:t xml:space="preserve"> </w:t>
      </w:r>
    </w:p>
    <w:p w:rsidR="00763C5D" w:rsidRPr="00797CDB" w:rsidRDefault="00763C5D" w:rsidP="00763C5D">
      <w:pPr>
        <w:numPr>
          <w:ilvl w:val="1"/>
          <w:numId w:val="12"/>
        </w:numPr>
        <w:ind w:left="567" w:hanging="567"/>
        <w:rPr>
          <w:rFonts w:asciiTheme="minorHAnsi" w:eastAsia="SimSun" w:hAnsiTheme="minorHAnsi" w:cstheme="minorBidi"/>
          <w:szCs w:val="22"/>
          <w:lang w:eastAsia="en-US"/>
        </w:rPr>
      </w:pPr>
      <w:r w:rsidRPr="00797CDB">
        <w:rPr>
          <w:rFonts w:eastAsia="SimSun"/>
        </w:rPr>
        <w:t>Jeigu pasireiškė šalutinis poveikis (net jeigu jis šiame lapelyje nenurodytas), kreipkitės į gydytoją arba vaistininką. Žr. 4 skyrių.</w:t>
      </w:r>
    </w:p>
    <w:p w:rsidR="00763C5D" w:rsidRPr="00A333F1" w:rsidRDefault="00763C5D" w:rsidP="00763C5D">
      <w:pPr>
        <w:ind w:right="-2"/>
      </w:pPr>
    </w:p>
    <w:p w:rsidR="00763C5D" w:rsidRPr="00A333F1" w:rsidRDefault="00763C5D" w:rsidP="00763C5D">
      <w:pPr>
        <w:rPr>
          <w:b/>
        </w:rPr>
      </w:pPr>
      <w:r w:rsidRPr="00A333F1">
        <w:rPr>
          <w:b/>
        </w:rPr>
        <w:t>Apie ką rašoma šiame lapelyje?</w:t>
      </w:r>
    </w:p>
    <w:p w:rsidR="00763C5D" w:rsidRPr="00A333F1" w:rsidRDefault="00763C5D" w:rsidP="00763C5D">
      <w:pPr>
        <w:numPr>
          <w:ilvl w:val="12"/>
          <w:numId w:val="0"/>
        </w:numPr>
        <w:ind w:left="284" w:right="-2"/>
      </w:pPr>
    </w:p>
    <w:p w:rsidR="00763C5D" w:rsidRPr="00A333F1" w:rsidRDefault="00763C5D" w:rsidP="00763C5D">
      <w:pPr>
        <w:numPr>
          <w:ilvl w:val="12"/>
          <w:numId w:val="0"/>
        </w:numPr>
      </w:pPr>
      <w:r w:rsidRPr="00A333F1">
        <w:t>1.</w:t>
      </w:r>
      <w:r w:rsidRPr="00A333F1">
        <w:tab/>
        <w:t xml:space="preserve">Kas yra Quator ir kam jis vartojamas </w:t>
      </w:r>
    </w:p>
    <w:p w:rsidR="00763C5D" w:rsidRPr="00A333F1" w:rsidRDefault="00763C5D" w:rsidP="00763C5D">
      <w:pPr>
        <w:numPr>
          <w:ilvl w:val="12"/>
          <w:numId w:val="0"/>
        </w:numPr>
      </w:pPr>
      <w:r w:rsidRPr="00A333F1">
        <w:t>2.</w:t>
      </w:r>
      <w:r w:rsidRPr="00A333F1">
        <w:tab/>
        <w:t xml:space="preserve">Kas žinotina prieš vartojant Quator  </w:t>
      </w:r>
    </w:p>
    <w:p w:rsidR="00763C5D" w:rsidRPr="00A333F1" w:rsidRDefault="00763C5D" w:rsidP="00763C5D">
      <w:pPr>
        <w:numPr>
          <w:ilvl w:val="12"/>
          <w:numId w:val="0"/>
        </w:numPr>
      </w:pPr>
      <w:r w:rsidRPr="00A333F1">
        <w:t>3.</w:t>
      </w:r>
      <w:r w:rsidRPr="00A333F1">
        <w:tab/>
        <w:t xml:space="preserve">Kaip vartoti Quator </w:t>
      </w:r>
    </w:p>
    <w:p w:rsidR="00763C5D" w:rsidRPr="00A333F1" w:rsidRDefault="00763C5D" w:rsidP="00763C5D">
      <w:pPr>
        <w:numPr>
          <w:ilvl w:val="12"/>
          <w:numId w:val="0"/>
        </w:numPr>
      </w:pPr>
      <w:r w:rsidRPr="00A333F1">
        <w:t>4.</w:t>
      </w:r>
      <w:r w:rsidRPr="00A333F1">
        <w:tab/>
        <w:t xml:space="preserve">Galimas šalutinis poveikis </w:t>
      </w:r>
    </w:p>
    <w:p w:rsidR="00763C5D" w:rsidRPr="00A333F1" w:rsidRDefault="00763C5D" w:rsidP="00763C5D">
      <w:pPr>
        <w:numPr>
          <w:ilvl w:val="12"/>
          <w:numId w:val="0"/>
        </w:numPr>
        <w:tabs>
          <w:tab w:val="left" w:pos="567"/>
        </w:tabs>
      </w:pPr>
      <w:r w:rsidRPr="00A333F1">
        <w:t>5.</w:t>
      </w:r>
      <w:r w:rsidRPr="00A333F1">
        <w:tab/>
        <w:t>Kaip laikyti Quator</w:t>
      </w:r>
    </w:p>
    <w:p w:rsidR="00763C5D" w:rsidRPr="00A333F1" w:rsidRDefault="00763C5D" w:rsidP="00763C5D">
      <w:pPr>
        <w:numPr>
          <w:ilvl w:val="12"/>
          <w:numId w:val="0"/>
        </w:numPr>
      </w:pPr>
      <w:r w:rsidRPr="00A333F1">
        <w:t>6.</w:t>
      </w:r>
      <w:r w:rsidRPr="00A333F1">
        <w:tab/>
        <w:t>Pakuotės turinys ir kita informacija</w:t>
      </w:r>
    </w:p>
    <w:p w:rsidR="00763C5D" w:rsidRPr="00A333F1" w:rsidRDefault="00763C5D" w:rsidP="00763C5D">
      <w:pPr>
        <w:numPr>
          <w:ilvl w:val="12"/>
          <w:numId w:val="0"/>
        </w:numPr>
        <w:ind w:right="-2"/>
      </w:pPr>
    </w:p>
    <w:p w:rsidR="00763C5D" w:rsidRPr="00A333F1" w:rsidRDefault="00763C5D" w:rsidP="00763C5D">
      <w:pPr>
        <w:numPr>
          <w:ilvl w:val="12"/>
          <w:numId w:val="0"/>
        </w:numPr>
        <w:ind w:right="-2"/>
      </w:pPr>
    </w:p>
    <w:p w:rsidR="00763C5D" w:rsidRPr="00A333F1" w:rsidRDefault="00763C5D" w:rsidP="00763C5D">
      <w:pPr>
        <w:rPr>
          <w:b/>
        </w:rPr>
      </w:pPr>
      <w:r w:rsidRPr="00A333F1">
        <w:rPr>
          <w:b/>
        </w:rPr>
        <w:t>1.</w:t>
      </w:r>
      <w:r w:rsidRPr="00A333F1">
        <w:rPr>
          <w:b/>
        </w:rPr>
        <w:tab/>
        <w:t>Kas yra Quator ir kam jis vartojamas</w:t>
      </w:r>
    </w:p>
    <w:p w:rsidR="00763C5D" w:rsidRPr="00A333F1" w:rsidRDefault="00763C5D" w:rsidP="00763C5D">
      <w:pPr>
        <w:numPr>
          <w:ilvl w:val="12"/>
          <w:numId w:val="0"/>
        </w:numPr>
        <w:ind w:right="-2"/>
      </w:pPr>
    </w:p>
    <w:p w:rsidR="00763C5D" w:rsidRPr="00797CDB" w:rsidRDefault="00763C5D" w:rsidP="00763C5D">
      <w:pPr>
        <w:autoSpaceDE w:val="0"/>
        <w:autoSpaceDN w:val="0"/>
        <w:adjustRightInd w:val="0"/>
        <w:rPr>
          <w:rFonts w:eastAsia="TimesNewRomanPSMT"/>
        </w:rPr>
      </w:pPr>
      <w:r w:rsidRPr="00A333F1">
        <w:t xml:space="preserve">Quator </w:t>
      </w:r>
      <w:r w:rsidRPr="00797CDB">
        <w:rPr>
          <w:rFonts w:eastAsia="TimesNewRomanPSMT"/>
        </w:rPr>
        <w:t>sudėtyje yra veikliosios medžiagos tadalafilio, kuris priklauso vaistų, vadinamų 5</w:t>
      </w:r>
      <w:r w:rsidRPr="00A333F1">
        <w:t>-ojo tipo</w:t>
      </w:r>
      <w:r w:rsidRPr="00797CDB">
        <w:rPr>
          <w:rFonts w:eastAsia="TimesNewRomanPSMT"/>
        </w:rPr>
        <w:t xml:space="preserve"> fosfodiesterazės inhibitoriais, grupei,</w:t>
      </w:r>
    </w:p>
    <w:p w:rsidR="00763C5D" w:rsidRPr="00A333F1" w:rsidRDefault="00763C5D" w:rsidP="00763C5D">
      <w:pPr>
        <w:autoSpaceDE w:val="0"/>
        <w:autoSpaceDN w:val="0"/>
        <w:adjustRightInd w:val="0"/>
      </w:pPr>
      <w:r w:rsidRPr="00A333F1">
        <w:t xml:space="preserve">Quator </w:t>
      </w:r>
      <w:r w:rsidRPr="00A333F1">
        <w:rPr>
          <w:b/>
        </w:rPr>
        <w:t>5 mg, 10 mg ir 20 mg</w:t>
      </w:r>
      <w:r w:rsidRPr="00A333F1">
        <w:t xml:space="preserve"> tabletės vartojamos suaugusio vyro erekcijos funkcijos sutrikimui gydyti. Tai būklė kai vyro varpa nestandėja arba neišsilaiko kieta ir standi, tinkama lytiniam aktui atlikti. Buvo įrodyta, kad Quator reikšmingai pagerina gebėjimą sukelti kietą standžią varpą, tinkamą lytiniam aktui atlikti. </w:t>
      </w:r>
    </w:p>
    <w:p w:rsidR="00763C5D" w:rsidRPr="00A333F1" w:rsidRDefault="00763C5D" w:rsidP="00763C5D">
      <w:pPr>
        <w:autoSpaceDE w:val="0"/>
        <w:autoSpaceDN w:val="0"/>
        <w:adjustRightInd w:val="0"/>
      </w:pPr>
    </w:p>
    <w:p w:rsidR="00763C5D" w:rsidRPr="00A333F1" w:rsidRDefault="00763C5D" w:rsidP="00763C5D">
      <w:pPr>
        <w:autoSpaceDE w:val="0"/>
        <w:autoSpaceDN w:val="0"/>
        <w:adjustRightInd w:val="0"/>
      </w:pPr>
      <w:r w:rsidRPr="00A333F1">
        <w:t>Po lytinės stimuliacijos Quator padeda varpos kraujagyslėms atsipalaiduoti, todėl į varpą įteka daugiau kraujo. Dėl to pagerėja erekcijos funkcija. Jeigu Jūsų erekcijos funkcija nesutrikusi, Quator nepadės. Svarbu pažymėti, kad Quator neveiks, jeigu nebus lytinės stimuliacijos. Prieš lytinį aktą Jūs su savo partnere turėsite užsiimti glamonėmis lygiai taip pat, kaip užsiimtumėte, jeigu būtumėte nevartojęs šio vaisto erekcijos funkcijos sutrikimui gydyti.</w:t>
      </w:r>
    </w:p>
    <w:p w:rsidR="00763C5D" w:rsidRPr="00A333F1" w:rsidRDefault="00763C5D" w:rsidP="00763C5D">
      <w:pPr>
        <w:autoSpaceDE w:val="0"/>
        <w:autoSpaceDN w:val="0"/>
        <w:adjustRightInd w:val="0"/>
      </w:pPr>
    </w:p>
    <w:p w:rsidR="00763C5D" w:rsidRPr="00A333F1" w:rsidRDefault="00763C5D" w:rsidP="00763C5D"/>
    <w:p w:rsidR="00763C5D" w:rsidRPr="00A333F1" w:rsidRDefault="00763C5D" w:rsidP="00763C5D">
      <w:pPr>
        <w:rPr>
          <w:b/>
        </w:rPr>
      </w:pPr>
      <w:r w:rsidRPr="00A333F1">
        <w:rPr>
          <w:b/>
        </w:rPr>
        <w:t>2.</w:t>
      </w:r>
      <w:r w:rsidRPr="00A333F1">
        <w:rPr>
          <w:b/>
        </w:rPr>
        <w:tab/>
        <w:t xml:space="preserve">Kas žinotina prieš vartojant Quator  </w:t>
      </w:r>
    </w:p>
    <w:p w:rsidR="00763C5D" w:rsidRPr="00A333F1" w:rsidRDefault="00763C5D" w:rsidP="00763C5D">
      <w:pPr>
        <w:numPr>
          <w:ilvl w:val="12"/>
          <w:numId w:val="0"/>
        </w:numPr>
        <w:ind w:right="-2"/>
      </w:pPr>
    </w:p>
    <w:p w:rsidR="00763C5D" w:rsidRPr="00A333F1" w:rsidRDefault="00763C5D" w:rsidP="00763C5D">
      <w:pPr>
        <w:autoSpaceDE w:val="0"/>
        <w:autoSpaceDN w:val="0"/>
        <w:adjustRightInd w:val="0"/>
        <w:rPr>
          <w:b/>
        </w:rPr>
      </w:pPr>
      <w:r w:rsidRPr="00A333F1">
        <w:rPr>
          <w:b/>
        </w:rPr>
        <w:t xml:space="preserve">Quator vartoti </w:t>
      </w:r>
      <w:r>
        <w:rPr>
          <w:b/>
        </w:rPr>
        <w:t>draudžiama</w:t>
      </w:r>
      <w:r w:rsidRPr="00A333F1">
        <w:rPr>
          <w:b/>
        </w:rPr>
        <w:t>, jeigu:</w:t>
      </w:r>
    </w:p>
    <w:p w:rsidR="00763C5D" w:rsidRPr="00A333F1" w:rsidRDefault="00763C5D" w:rsidP="00763C5D">
      <w:pPr>
        <w:numPr>
          <w:ilvl w:val="0"/>
          <w:numId w:val="6"/>
        </w:numPr>
        <w:autoSpaceDE w:val="0"/>
        <w:autoSpaceDN w:val="0"/>
        <w:adjustRightInd w:val="0"/>
        <w:ind w:left="567" w:hanging="567"/>
      </w:pPr>
      <w:r w:rsidRPr="00A333F1">
        <w:t>yra alergija tadalafiliui arba bet kuriai pagalbinei šio vaisto medžiagai (jos išvardytos 6 skyriuje);</w:t>
      </w:r>
    </w:p>
    <w:p w:rsidR="00763C5D" w:rsidRPr="00A333F1" w:rsidRDefault="00763C5D" w:rsidP="00763C5D">
      <w:pPr>
        <w:numPr>
          <w:ilvl w:val="0"/>
          <w:numId w:val="6"/>
        </w:numPr>
        <w:autoSpaceDE w:val="0"/>
        <w:autoSpaceDN w:val="0"/>
        <w:adjustRightInd w:val="0"/>
        <w:ind w:left="567" w:hanging="567"/>
      </w:pPr>
      <w:r w:rsidRPr="00A333F1">
        <w:t>vartojate bet kokios formos organinio nitrato arba azoto oksido donorų, tokių, kaip. amilnitritas. Tai yra grupė vaistų („nitratų“), vartojamų krūtinės anginai („krūtinės skausmui“) gydyti.</w:t>
      </w:r>
      <w:r w:rsidRPr="00797CDB">
        <w:rPr>
          <w:rFonts w:eastAsia="TimesNewRomanPSMT"/>
        </w:rPr>
        <w:t xml:space="preserve"> Įrodyta, kad tadalafilis stiprina šių vaistų sukeliamą poveikį. Jeigu vartojate kokios nors formos nitrato ar abejojate,</w:t>
      </w:r>
      <w:r w:rsidRPr="00A333F1">
        <w:t xml:space="preserve"> pasakykite savo gydytojui;</w:t>
      </w:r>
    </w:p>
    <w:p w:rsidR="00763C5D" w:rsidRPr="00A333F1" w:rsidRDefault="00763C5D" w:rsidP="00763C5D">
      <w:pPr>
        <w:numPr>
          <w:ilvl w:val="0"/>
          <w:numId w:val="6"/>
        </w:numPr>
        <w:autoSpaceDE w:val="0"/>
        <w:autoSpaceDN w:val="0"/>
        <w:adjustRightInd w:val="0"/>
        <w:ind w:left="567" w:hanging="567"/>
      </w:pPr>
      <w:r w:rsidRPr="00A333F1">
        <w:t xml:space="preserve">sergate sunkia širdies liga ar neseniai </w:t>
      </w:r>
      <w:r w:rsidRPr="00797CDB">
        <w:rPr>
          <w:rFonts w:eastAsia="TimesNewRomanPSMT"/>
        </w:rPr>
        <w:t>paskutiniųjų 90 parų laikotarp</w:t>
      </w:r>
      <w:r w:rsidRPr="00A333F1">
        <w:t>iu Jus ištiko</w:t>
      </w:r>
      <w:r w:rsidRPr="00797CDB">
        <w:rPr>
          <w:rFonts w:eastAsia="TimesNewRomanPSMT"/>
        </w:rPr>
        <w:t xml:space="preserve"> širdies </w:t>
      </w:r>
      <w:r w:rsidRPr="00A333F1">
        <w:t>priepuolis;</w:t>
      </w:r>
    </w:p>
    <w:p w:rsidR="00763C5D" w:rsidRPr="00A333F1" w:rsidRDefault="00763C5D" w:rsidP="00763C5D">
      <w:pPr>
        <w:numPr>
          <w:ilvl w:val="0"/>
          <w:numId w:val="6"/>
        </w:numPr>
        <w:ind w:left="567" w:right="-2" w:hanging="567"/>
      </w:pPr>
      <w:r w:rsidRPr="00A333F1">
        <w:t>neseniai, paskutini</w:t>
      </w:r>
      <w:r w:rsidRPr="00797CDB">
        <w:rPr>
          <w:rFonts w:eastAsia="TimesNewRomanPSMT"/>
        </w:rPr>
        <w:t xml:space="preserve">ųjų </w:t>
      </w:r>
      <w:r w:rsidRPr="00A333F1">
        <w:t xml:space="preserve">6 </w:t>
      </w:r>
      <w:r w:rsidRPr="00797CDB">
        <w:rPr>
          <w:rFonts w:eastAsia="TimesNewRomanPSMT"/>
        </w:rPr>
        <w:t xml:space="preserve">mėnesių laikotarpiu, </w:t>
      </w:r>
      <w:r w:rsidRPr="00A333F1">
        <w:t>Jus ištiko</w:t>
      </w:r>
      <w:r w:rsidRPr="00797CDB">
        <w:rPr>
          <w:rFonts w:eastAsia="TimesNewRomanPSMT"/>
        </w:rPr>
        <w:t xml:space="preserve"> </w:t>
      </w:r>
      <w:r w:rsidRPr="00A333F1">
        <w:t>insultas;</w:t>
      </w:r>
    </w:p>
    <w:p w:rsidR="00763C5D" w:rsidRPr="00A333F1" w:rsidRDefault="00763C5D" w:rsidP="00763C5D">
      <w:pPr>
        <w:numPr>
          <w:ilvl w:val="0"/>
          <w:numId w:val="6"/>
        </w:numPr>
        <w:autoSpaceDE w:val="0"/>
        <w:autoSpaceDN w:val="0"/>
        <w:adjustRightInd w:val="0"/>
        <w:ind w:left="567" w:hanging="567"/>
      </w:pPr>
      <w:r w:rsidRPr="00A333F1">
        <w:t>yra žemas kraujo spaudimas arba aukštas nekontroliuojamas kraujo spaudimas;</w:t>
      </w:r>
    </w:p>
    <w:p w:rsidR="00763C5D" w:rsidRPr="00A333F1" w:rsidRDefault="00763C5D" w:rsidP="00763C5D">
      <w:pPr>
        <w:numPr>
          <w:ilvl w:val="0"/>
          <w:numId w:val="6"/>
        </w:numPr>
        <w:autoSpaceDE w:val="0"/>
        <w:autoSpaceDN w:val="0"/>
        <w:adjustRightInd w:val="0"/>
      </w:pPr>
      <w:r w:rsidRPr="00A333F1">
        <w:lastRenderedPageBreak/>
        <w:t xml:space="preserve">buvote kada nors </w:t>
      </w:r>
      <w:r w:rsidRPr="00797CDB">
        <w:rPr>
          <w:rFonts w:eastAsia="TimesNewRomanPSMT"/>
        </w:rPr>
        <w:t>apakę dėl ne arterito sukeltos priekinės išeminės regos nervo neu</w:t>
      </w:r>
      <w:r w:rsidRPr="00A333F1">
        <w:t xml:space="preserve">ropatijos (angl. </w:t>
      </w:r>
      <w:r w:rsidRPr="00A333F1">
        <w:rPr>
          <w:i/>
        </w:rPr>
        <w:t xml:space="preserve">non-arteritic anterior ischemic optic neuropathy </w:t>
      </w:r>
      <w:r w:rsidRPr="00A333F1">
        <w:t>(</w:t>
      </w:r>
      <w:r w:rsidRPr="00A333F1">
        <w:rPr>
          <w:i/>
        </w:rPr>
        <w:t>NAION</w:t>
      </w:r>
      <w:r w:rsidRPr="00A333F1">
        <w:t>)), t. y. būsenos, apibūdinamos kaip „akies insultas“,</w:t>
      </w:r>
    </w:p>
    <w:p w:rsidR="00763C5D" w:rsidRPr="00A333F1" w:rsidRDefault="00763C5D" w:rsidP="00763C5D">
      <w:pPr>
        <w:numPr>
          <w:ilvl w:val="0"/>
          <w:numId w:val="6"/>
        </w:numPr>
        <w:autoSpaceDE w:val="0"/>
        <w:autoSpaceDN w:val="0"/>
        <w:adjustRightInd w:val="0"/>
        <w:ind w:left="567" w:hanging="567"/>
      </w:pPr>
      <w:r w:rsidRPr="00A333F1">
        <w:t>vartojate riociguato. Šis vaistas vartojamas gydyti plautinę arterinę hipertenziją (t. y. aukštą kraujo spaudimą plaučiuose) ir lėtinę tromboembolinę plautinę hipertenziją (t. y. aukštą kraujo spaudimą plaučiuose, atsiradusį dėl kraujo krešulių susiformavimo). Buvo nustatyta, kad FDE5 inhibitoriai, tokie, kaip Quator stiprina šio vaisto kraujo spaudimą mažinantį poveikį. Jeigu vartojate riociguato arba dėl to nesate tikri, pasakykite savo gydytojui.</w:t>
      </w:r>
    </w:p>
    <w:p w:rsidR="00763C5D" w:rsidRPr="00A333F1" w:rsidRDefault="00763C5D" w:rsidP="00763C5D">
      <w:pPr>
        <w:numPr>
          <w:ilvl w:val="12"/>
          <w:numId w:val="0"/>
        </w:numPr>
        <w:ind w:right="-2"/>
      </w:pPr>
    </w:p>
    <w:p w:rsidR="00763C5D" w:rsidRPr="00797CDB" w:rsidRDefault="00763C5D" w:rsidP="00763C5D">
      <w:pPr>
        <w:autoSpaceDE w:val="0"/>
        <w:autoSpaceDN w:val="0"/>
        <w:adjustRightInd w:val="0"/>
        <w:rPr>
          <w:rFonts w:asciiTheme="minorHAnsi" w:eastAsia="TimesNewRomanPS-BoldMT" w:hAnsiTheme="minorHAnsi" w:cstheme="minorBidi"/>
          <w:b/>
          <w:szCs w:val="22"/>
          <w:lang w:eastAsia="en-US"/>
        </w:rPr>
      </w:pPr>
      <w:r w:rsidRPr="00797CDB">
        <w:rPr>
          <w:rFonts w:eastAsia="TimesNewRomanPS-BoldMT"/>
          <w:b/>
        </w:rPr>
        <w:t>Įspėjimai ir atsargumo priemonės</w:t>
      </w:r>
    </w:p>
    <w:p w:rsidR="00763C5D" w:rsidRPr="00797CDB" w:rsidRDefault="00763C5D" w:rsidP="00763C5D">
      <w:pPr>
        <w:autoSpaceDE w:val="0"/>
        <w:autoSpaceDN w:val="0"/>
        <w:adjustRightInd w:val="0"/>
        <w:rPr>
          <w:rFonts w:asciiTheme="minorHAnsi" w:eastAsia="TimesNewRomanPSMT" w:hAnsiTheme="minorHAnsi" w:cstheme="minorBidi"/>
          <w:szCs w:val="22"/>
          <w:lang w:eastAsia="en-US"/>
        </w:rPr>
      </w:pPr>
      <w:r w:rsidRPr="00797CDB">
        <w:rPr>
          <w:rFonts w:eastAsia="TimesNewRomanPSMT"/>
        </w:rPr>
        <w:t xml:space="preserve">Pasitarkite su gydytoju prieš pradėdami vartoti </w:t>
      </w:r>
      <w:r w:rsidRPr="00A333F1">
        <w:t>Quator</w:t>
      </w:r>
      <w:r w:rsidRPr="00797CDB">
        <w:rPr>
          <w:rFonts w:eastAsia="TimesNewRomanPSMT"/>
        </w:rPr>
        <w:t>.</w:t>
      </w:r>
    </w:p>
    <w:p w:rsidR="00763C5D" w:rsidRPr="00797CDB" w:rsidRDefault="00763C5D" w:rsidP="00763C5D">
      <w:pPr>
        <w:autoSpaceDE w:val="0"/>
        <w:autoSpaceDN w:val="0"/>
        <w:adjustRightInd w:val="0"/>
        <w:rPr>
          <w:rFonts w:eastAsia="TimesNewRomanPSMT"/>
        </w:rPr>
      </w:pPr>
    </w:p>
    <w:p w:rsidR="00763C5D" w:rsidRPr="00797CDB" w:rsidRDefault="00763C5D" w:rsidP="00763C5D">
      <w:pPr>
        <w:autoSpaceDE w:val="0"/>
        <w:autoSpaceDN w:val="0"/>
        <w:adjustRightInd w:val="0"/>
        <w:rPr>
          <w:rFonts w:asciiTheme="minorHAnsi" w:eastAsia="TimesNewRomanPS-BoldMT" w:hAnsiTheme="minorHAnsi" w:cstheme="minorBidi"/>
          <w:szCs w:val="22"/>
          <w:lang w:eastAsia="en-US"/>
        </w:rPr>
      </w:pPr>
      <w:r w:rsidRPr="00797CDB">
        <w:rPr>
          <w:rFonts w:eastAsia="TimesNewRomanPSMT"/>
        </w:rPr>
        <w:t>Turėkite omenyje, kad lytinis aktyvumas gali didinti riziką širdies liga sergantiems pacientams, kadangi papildomai apkraunama širdis. Jeigu sergate širdies liga, turite pasakyti savo gydytojui</w:t>
      </w:r>
      <w:r w:rsidRPr="00797CDB">
        <w:rPr>
          <w:rFonts w:eastAsia="TimesNewRomanPS-BoldMT"/>
        </w:rPr>
        <w:t>.</w:t>
      </w:r>
    </w:p>
    <w:p w:rsidR="00763C5D" w:rsidRPr="00797CDB" w:rsidRDefault="00763C5D" w:rsidP="00763C5D">
      <w:pPr>
        <w:autoSpaceDE w:val="0"/>
        <w:autoSpaceDN w:val="0"/>
        <w:adjustRightInd w:val="0"/>
        <w:rPr>
          <w:rFonts w:eastAsia="TimesNewRomanPS-BoldMT"/>
        </w:rPr>
      </w:pPr>
    </w:p>
    <w:p w:rsidR="00763C5D" w:rsidRPr="00797CDB" w:rsidRDefault="00763C5D" w:rsidP="00763C5D">
      <w:pPr>
        <w:autoSpaceDE w:val="0"/>
        <w:autoSpaceDN w:val="0"/>
        <w:adjustRightInd w:val="0"/>
        <w:rPr>
          <w:rFonts w:eastAsia="TimesNewRomanPS-BoldMT"/>
        </w:rPr>
      </w:pPr>
      <w:r w:rsidRPr="00797CDB">
        <w:rPr>
          <w:rFonts w:eastAsia="TimesNewRomanPS-BoldMT"/>
        </w:rPr>
        <w:t>P</w:t>
      </w:r>
      <w:r w:rsidRPr="00797CDB">
        <w:rPr>
          <w:rFonts w:eastAsia="TimesNewRomanPSMT"/>
        </w:rPr>
        <w:t xml:space="preserve">rieš pradedant vartoti tablečių, </w:t>
      </w:r>
      <w:r w:rsidRPr="00797CDB">
        <w:rPr>
          <w:rFonts w:eastAsia="TimesNewRomanPS-BoldMT"/>
        </w:rPr>
        <w:t>pasakykite savo gydytojui jeigu Jums yra:</w:t>
      </w:r>
    </w:p>
    <w:p w:rsidR="00763C5D" w:rsidRPr="00797CDB" w:rsidRDefault="00763C5D" w:rsidP="00763C5D">
      <w:pPr>
        <w:numPr>
          <w:ilvl w:val="0"/>
          <w:numId w:val="7"/>
        </w:numPr>
        <w:autoSpaceDE w:val="0"/>
        <w:autoSpaceDN w:val="0"/>
        <w:adjustRightInd w:val="0"/>
        <w:ind w:left="567" w:hanging="567"/>
        <w:rPr>
          <w:rFonts w:asciiTheme="minorHAnsi" w:eastAsia="TimesNewRomanPSMT" w:hAnsiTheme="minorHAnsi" w:cstheme="minorBidi"/>
          <w:szCs w:val="22"/>
          <w:lang w:eastAsia="en-US"/>
        </w:rPr>
      </w:pPr>
      <w:r w:rsidRPr="00797CDB">
        <w:rPr>
          <w:rFonts w:eastAsia="TimesNewRomanPS-BoldMT"/>
        </w:rPr>
        <w:t xml:space="preserve">pjautuvo pavidalo ląstelių sutrikimai </w:t>
      </w:r>
      <w:r w:rsidRPr="00797CDB">
        <w:rPr>
          <w:rFonts w:eastAsia="TimesNewRomanPSMT"/>
        </w:rPr>
        <w:t>(raudonųjų kraujo kūnelių nenormalumas);</w:t>
      </w:r>
    </w:p>
    <w:p w:rsidR="00763C5D" w:rsidRPr="00797CDB" w:rsidRDefault="00763C5D" w:rsidP="00763C5D">
      <w:pPr>
        <w:numPr>
          <w:ilvl w:val="0"/>
          <w:numId w:val="7"/>
        </w:numPr>
        <w:autoSpaceDE w:val="0"/>
        <w:autoSpaceDN w:val="0"/>
        <w:adjustRightInd w:val="0"/>
        <w:ind w:left="567" w:hanging="567"/>
        <w:rPr>
          <w:rFonts w:asciiTheme="minorHAnsi" w:eastAsia="TimesNewRomanPSMT" w:hAnsiTheme="minorHAnsi" w:cstheme="minorBidi"/>
          <w:szCs w:val="22"/>
          <w:lang w:eastAsia="en-US"/>
        </w:rPr>
      </w:pPr>
      <w:r w:rsidRPr="00797CDB">
        <w:rPr>
          <w:rFonts w:eastAsia="TimesNewRomanPSMT"/>
        </w:rPr>
        <w:t>dauginė mieloma (kaulų čiulpų vėžys);</w:t>
      </w:r>
    </w:p>
    <w:p w:rsidR="00763C5D" w:rsidRPr="00797CDB" w:rsidRDefault="00763C5D" w:rsidP="00763C5D">
      <w:pPr>
        <w:numPr>
          <w:ilvl w:val="0"/>
          <w:numId w:val="7"/>
        </w:numPr>
        <w:autoSpaceDE w:val="0"/>
        <w:autoSpaceDN w:val="0"/>
        <w:adjustRightInd w:val="0"/>
        <w:ind w:left="567" w:hanging="567"/>
        <w:rPr>
          <w:rFonts w:asciiTheme="minorHAnsi" w:eastAsia="TimesNewRomanPS-BoldMT" w:hAnsiTheme="minorHAnsi" w:cstheme="minorBidi"/>
          <w:szCs w:val="22"/>
          <w:lang w:eastAsia="en-US"/>
        </w:rPr>
      </w:pPr>
      <w:r w:rsidRPr="00797CDB">
        <w:rPr>
          <w:rFonts w:eastAsia="TimesNewRomanPS-BoldMT"/>
        </w:rPr>
        <w:t xml:space="preserve">leukemija </w:t>
      </w:r>
      <w:r w:rsidRPr="00797CDB">
        <w:rPr>
          <w:rFonts w:eastAsia="TimesNewRomanPSMT"/>
        </w:rPr>
        <w:t>(kraujo ląstelių vėžys)</w:t>
      </w:r>
      <w:r w:rsidRPr="00797CDB">
        <w:rPr>
          <w:rFonts w:eastAsia="TimesNewRomanPS-BoldMT"/>
        </w:rPr>
        <w:t>;</w:t>
      </w:r>
    </w:p>
    <w:p w:rsidR="00763C5D" w:rsidRPr="00797CDB" w:rsidRDefault="00763C5D" w:rsidP="00763C5D">
      <w:pPr>
        <w:numPr>
          <w:ilvl w:val="0"/>
          <w:numId w:val="7"/>
        </w:numPr>
        <w:autoSpaceDE w:val="0"/>
        <w:autoSpaceDN w:val="0"/>
        <w:adjustRightInd w:val="0"/>
        <w:ind w:left="567" w:hanging="567"/>
        <w:rPr>
          <w:rFonts w:asciiTheme="minorHAnsi" w:eastAsia="TimesNewRomanPS-BoldMT" w:hAnsiTheme="minorHAnsi" w:cstheme="minorBidi"/>
          <w:szCs w:val="22"/>
          <w:lang w:eastAsia="en-US"/>
        </w:rPr>
      </w:pPr>
      <w:r w:rsidRPr="00797CDB">
        <w:rPr>
          <w:rFonts w:eastAsia="TimesNewRomanPS-BoldMT"/>
        </w:rPr>
        <w:t>bet kokia varpos deformacija;</w:t>
      </w:r>
    </w:p>
    <w:p w:rsidR="00763C5D" w:rsidRPr="00797CDB" w:rsidRDefault="00763C5D" w:rsidP="00763C5D">
      <w:pPr>
        <w:numPr>
          <w:ilvl w:val="0"/>
          <w:numId w:val="7"/>
        </w:numPr>
        <w:autoSpaceDE w:val="0"/>
        <w:autoSpaceDN w:val="0"/>
        <w:adjustRightInd w:val="0"/>
        <w:ind w:left="567" w:hanging="567"/>
        <w:rPr>
          <w:rFonts w:eastAsia="TimesNewRomanPS-BoldMT"/>
        </w:rPr>
      </w:pPr>
      <w:r w:rsidRPr="00797CDB">
        <w:rPr>
          <w:rFonts w:eastAsia="TimesNewRomanPS-BoldMT"/>
        </w:rPr>
        <w:t>s</w:t>
      </w:r>
      <w:r w:rsidRPr="00797CDB">
        <w:rPr>
          <w:rFonts w:eastAsia="TimesNewRomanPSMT"/>
        </w:rPr>
        <w:t>unkus kepenų veiklos sutrikimas</w:t>
      </w:r>
      <w:r w:rsidRPr="00797CDB">
        <w:rPr>
          <w:rFonts w:eastAsia="TimesNewRomanPS-BoldMT"/>
        </w:rPr>
        <w:t>;</w:t>
      </w:r>
    </w:p>
    <w:p w:rsidR="00763C5D" w:rsidRPr="00797CDB" w:rsidRDefault="00763C5D" w:rsidP="00763C5D">
      <w:pPr>
        <w:numPr>
          <w:ilvl w:val="0"/>
          <w:numId w:val="7"/>
        </w:numPr>
        <w:autoSpaceDE w:val="0"/>
        <w:autoSpaceDN w:val="0"/>
        <w:adjustRightInd w:val="0"/>
        <w:ind w:left="567" w:hanging="567"/>
        <w:rPr>
          <w:rFonts w:eastAsia="TimesNewRomanPSMT"/>
        </w:rPr>
      </w:pPr>
      <w:r w:rsidRPr="00797CDB">
        <w:rPr>
          <w:rFonts w:eastAsia="TimesNewRomanPS-BoldMT"/>
        </w:rPr>
        <w:t>s</w:t>
      </w:r>
      <w:r w:rsidRPr="00797CDB">
        <w:rPr>
          <w:rFonts w:eastAsia="TimesNewRomanPSMT"/>
        </w:rPr>
        <w:t>unkus inkstų veiklos sutrikimas;</w:t>
      </w:r>
    </w:p>
    <w:p w:rsidR="00763C5D" w:rsidRPr="00797CDB" w:rsidRDefault="00763C5D" w:rsidP="00763C5D">
      <w:pPr>
        <w:autoSpaceDE w:val="0"/>
        <w:autoSpaceDN w:val="0"/>
        <w:adjustRightInd w:val="0"/>
        <w:rPr>
          <w:rFonts w:eastAsia="TimesNewRomanPSMT"/>
        </w:rPr>
      </w:pPr>
    </w:p>
    <w:p w:rsidR="00763C5D" w:rsidRPr="00797CDB" w:rsidRDefault="00763C5D" w:rsidP="00763C5D">
      <w:pPr>
        <w:autoSpaceDE w:val="0"/>
        <w:autoSpaceDN w:val="0"/>
        <w:adjustRightInd w:val="0"/>
        <w:rPr>
          <w:rFonts w:asciiTheme="minorHAnsi" w:eastAsia="TimesNewRomanPS-BoldMT" w:hAnsiTheme="minorHAnsi" w:cstheme="minorBidi"/>
          <w:szCs w:val="22"/>
          <w:lang w:eastAsia="en-US"/>
        </w:rPr>
      </w:pPr>
      <w:r w:rsidRPr="00797CDB">
        <w:rPr>
          <w:rFonts w:eastAsia="TimesNewRomanPS-BoldMT"/>
        </w:rPr>
        <w:t>Nežinoma, ar Quator yra veiksmingas pacientams, kuriems buvo atlikta:</w:t>
      </w:r>
    </w:p>
    <w:p w:rsidR="00763C5D" w:rsidRPr="00797CDB" w:rsidRDefault="00763C5D" w:rsidP="00763C5D">
      <w:pPr>
        <w:numPr>
          <w:ilvl w:val="0"/>
          <w:numId w:val="8"/>
        </w:numPr>
        <w:tabs>
          <w:tab w:val="clear" w:pos="360"/>
          <w:tab w:val="num" w:pos="567"/>
        </w:tabs>
        <w:autoSpaceDE w:val="0"/>
        <w:autoSpaceDN w:val="0"/>
        <w:adjustRightInd w:val="0"/>
        <w:ind w:left="567" w:hanging="567"/>
        <w:rPr>
          <w:rFonts w:asciiTheme="minorHAnsi" w:eastAsia="TimesNewRomanPS-BoldMT" w:hAnsiTheme="minorHAnsi" w:cstheme="minorBidi"/>
          <w:szCs w:val="22"/>
          <w:lang w:eastAsia="en-US"/>
        </w:rPr>
      </w:pPr>
      <w:r w:rsidRPr="00797CDB">
        <w:rPr>
          <w:rFonts w:eastAsia="TimesNewRomanPS-BoldMT"/>
        </w:rPr>
        <w:t>mažojo dubens operacija;</w:t>
      </w:r>
    </w:p>
    <w:p w:rsidR="00763C5D" w:rsidRPr="00797CDB" w:rsidRDefault="00763C5D" w:rsidP="00763C5D">
      <w:pPr>
        <w:numPr>
          <w:ilvl w:val="0"/>
          <w:numId w:val="8"/>
        </w:numPr>
        <w:tabs>
          <w:tab w:val="clear" w:pos="360"/>
          <w:tab w:val="num" w:pos="567"/>
        </w:tabs>
        <w:autoSpaceDE w:val="0"/>
        <w:autoSpaceDN w:val="0"/>
        <w:adjustRightInd w:val="0"/>
        <w:ind w:left="567" w:hanging="567"/>
        <w:rPr>
          <w:rFonts w:asciiTheme="minorHAnsi" w:eastAsia="TimesNewRomanPS-BoldMT" w:hAnsiTheme="minorHAnsi" w:cstheme="minorBidi"/>
          <w:szCs w:val="22"/>
          <w:lang w:eastAsia="en-US"/>
        </w:rPr>
      </w:pPr>
      <w:r w:rsidRPr="00797CDB">
        <w:rPr>
          <w:rFonts w:eastAsia="TimesNewRomanPS-BoldMT"/>
        </w:rPr>
        <w:t xml:space="preserve">visos prostatos arba jos dalies pašalinimo operacija, kurios metu buvo nukirpti prostatos nervai (radikali </w:t>
      </w:r>
      <w:r w:rsidRPr="00797CDB">
        <w:rPr>
          <w:rFonts w:eastAsia="TimesNewRomanPSMT"/>
        </w:rPr>
        <w:t>nervų neišsauganti prost</w:t>
      </w:r>
      <w:r w:rsidRPr="00797CDB">
        <w:rPr>
          <w:rFonts w:eastAsia="TimesNewRomanPS-BoldMT"/>
        </w:rPr>
        <w:t>atektomija).</w:t>
      </w:r>
    </w:p>
    <w:p w:rsidR="00763C5D" w:rsidRPr="00797CDB" w:rsidRDefault="00763C5D" w:rsidP="00763C5D">
      <w:pPr>
        <w:autoSpaceDE w:val="0"/>
        <w:autoSpaceDN w:val="0"/>
        <w:adjustRightInd w:val="0"/>
        <w:rPr>
          <w:rFonts w:eastAsia="TimesNewRomanPS-BoldMT"/>
        </w:rPr>
      </w:pPr>
    </w:p>
    <w:p w:rsidR="00763C5D" w:rsidRPr="00797CDB" w:rsidRDefault="00763C5D" w:rsidP="00763C5D">
      <w:pPr>
        <w:autoSpaceDE w:val="0"/>
        <w:autoSpaceDN w:val="0"/>
        <w:adjustRightInd w:val="0"/>
        <w:rPr>
          <w:rFonts w:asciiTheme="minorHAnsi" w:eastAsia="TimesNewRomanPSMT" w:hAnsiTheme="minorHAnsi" w:cstheme="minorBidi"/>
          <w:szCs w:val="22"/>
          <w:lang w:eastAsia="en-US"/>
        </w:rPr>
      </w:pPr>
      <w:r w:rsidRPr="00797CDB">
        <w:rPr>
          <w:rFonts w:eastAsia="TimesNewRomanPSMT"/>
        </w:rPr>
        <w:t xml:space="preserve">Jeigu </w:t>
      </w:r>
      <w:r>
        <w:rPr>
          <w:rFonts w:eastAsia="TimesNewRomanPSMT"/>
        </w:rPr>
        <w:t xml:space="preserve">vartojant Quator </w:t>
      </w:r>
      <w:r w:rsidRPr="00797CDB">
        <w:rPr>
          <w:rFonts w:eastAsia="TimesNewRomanPSMT"/>
        </w:rPr>
        <w:t>staig</w:t>
      </w:r>
      <w:r>
        <w:rPr>
          <w:rFonts w:eastAsia="TimesNewRomanPSMT"/>
        </w:rPr>
        <w:t xml:space="preserve">a </w:t>
      </w:r>
      <w:r w:rsidRPr="00797CDB">
        <w:rPr>
          <w:rFonts w:eastAsia="TimesNewRomanPSMT"/>
        </w:rPr>
        <w:t xml:space="preserve">susilpnėtų regėjimas arba apaktumėte, </w:t>
      </w:r>
      <w:r>
        <w:t xml:space="preserve">arba būtų matomas iškreiptas, pritemęs vaizdas, nutraukite Quator  vartojimą </w:t>
      </w:r>
      <w:r w:rsidRPr="00797CDB">
        <w:rPr>
          <w:rFonts w:eastAsia="TimesNewRomanPSMT"/>
        </w:rPr>
        <w:t xml:space="preserve"> ir nedels</w:t>
      </w:r>
      <w:r>
        <w:rPr>
          <w:rFonts w:eastAsia="TimesNewRomanPSMT"/>
        </w:rPr>
        <w:t>dami</w:t>
      </w:r>
      <w:r w:rsidRPr="00797CDB">
        <w:rPr>
          <w:rFonts w:eastAsia="TimesNewRomanPSMT"/>
        </w:rPr>
        <w:t xml:space="preserve"> kreipkitės į savo gydytoją.</w:t>
      </w:r>
    </w:p>
    <w:p w:rsidR="00763C5D" w:rsidRPr="00797CDB" w:rsidRDefault="00763C5D" w:rsidP="00763C5D">
      <w:pPr>
        <w:autoSpaceDE w:val="0"/>
        <w:autoSpaceDN w:val="0"/>
        <w:adjustRightInd w:val="0"/>
        <w:rPr>
          <w:rFonts w:eastAsia="TimesNewRomanPSMT"/>
        </w:rPr>
      </w:pPr>
    </w:p>
    <w:p w:rsidR="00763C5D" w:rsidRPr="00A333F1" w:rsidRDefault="00763C5D" w:rsidP="00763C5D">
      <w:pPr>
        <w:numPr>
          <w:ilvl w:val="12"/>
          <w:numId w:val="0"/>
        </w:numPr>
      </w:pPr>
      <w:r w:rsidRPr="00A333F1">
        <w:t>Kai kuriems tadalafilio vartojusiems pacientams buvo pastebėta susilpnėjusi arba staiga išnykusi klausa. Nors nėra žinoma, ar šis reiškinys tiesiogiai susijęs su tadalafiliu, pastebėję, kad nusilpo arba staiga dingo klausa, Quator nebevartokite ir nedelsdami kreipkitės į savo gydytoją.</w:t>
      </w:r>
    </w:p>
    <w:p w:rsidR="00763C5D" w:rsidRPr="00A333F1" w:rsidRDefault="00763C5D" w:rsidP="00763C5D">
      <w:pPr>
        <w:numPr>
          <w:ilvl w:val="12"/>
          <w:numId w:val="0"/>
        </w:numPr>
        <w:ind w:right="-2"/>
      </w:pPr>
    </w:p>
    <w:p w:rsidR="00763C5D" w:rsidRPr="00A333F1" w:rsidRDefault="00763C5D" w:rsidP="00763C5D">
      <w:pPr>
        <w:numPr>
          <w:ilvl w:val="12"/>
          <w:numId w:val="0"/>
        </w:numPr>
        <w:ind w:right="-2"/>
      </w:pPr>
      <w:r w:rsidRPr="00A333F1">
        <w:t xml:space="preserve">Quator nenumatytas vartoti moterims. </w:t>
      </w:r>
    </w:p>
    <w:p w:rsidR="00763C5D" w:rsidRPr="00A333F1" w:rsidRDefault="00763C5D" w:rsidP="00763C5D">
      <w:pPr>
        <w:numPr>
          <w:ilvl w:val="12"/>
          <w:numId w:val="0"/>
        </w:numPr>
        <w:ind w:right="-2"/>
      </w:pPr>
    </w:p>
    <w:p w:rsidR="00763C5D" w:rsidRPr="00A333F1" w:rsidRDefault="00763C5D" w:rsidP="00763C5D">
      <w:pPr>
        <w:autoSpaceDE w:val="0"/>
        <w:autoSpaceDN w:val="0"/>
        <w:adjustRightInd w:val="0"/>
        <w:rPr>
          <w:b/>
        </w:rPr>
      </w:pPr>
      <w:r w:rsidRPr="00A333F1">
        <w:rPr>
          <w:b/>
        </w:rPr>
        <w:t>Vaikams ir paaugliams</w:t>
      </w:r>
    </w:p>
    <w:p w:rsidR="00763C5D" w:rsidRPr="00A333F1" w:rsidRDefault="00763C5D" w:rsidP="00763C5D">
      <w:pPr>
        <w:numPr>
          <w:ilvl w:val="12"/>
          <w:numId w:val="0"/>
        </w:numPr>
      </w:pPr>
      <w:r w:rsidRPr="00A333F1">
        <w:t xml:space="preserve">Quator nenumatytas vartoti vaikams ir jaunesniems kaip 18 </w:t>
      </w:r>
      <w:r w:rsidRPr="00797CDB">
        <w:rPr>
          <w:rFonts w:eastAsia="TimesNewRomanPSMT"/>
        </w:rPr>
        <w:t xml:space="preserve">metų amžiaus </w:t>
      </w:r>
      <w:r w:rsidRPr="00A333F1">
        <w:t>paaugliams.</w:t>
      </w:r>
    </w:p>
    <w:p w:rsidR="00763C5D" w:rsidRPr="00A333F1" w:rsidRDefault="00763C5D" w:rsidP="00763C5D">
      <w:pPr>
        <w:numPr>
          <w:ilvl w:val="12"/>
          <w:numId w:val="0"/>
        </w:numPr>
        <w:rPr>
          <w:b/>
        </w:rPr>
      </w:pPr>
    </w:p>
    <w:p w:rsidR="00763C5D" w:rsidRPr="00A333F1" w:rsidRDefault="00763C5D" w:rsidP="00763C5D">
      <w:pPr>
        <w:rPr>
          <w:b/>
        </w:rPr>
      </w:pPr>
      <w:r w:rsidRPr="00A333F1">
        <w:rPr>
          <w:b/>
        </w:rPr>
        <w:t xml:space="preserve">Kiti vaistai ir QUATOR </w:t>
      </w:r>
    </w:p>
    <w:p w:rsidR="00763C5D" w:rsidRPr="00A333F1" w:rsidRDefault="00763C5D" w:rsidP="00763C5D">
      <w:pPr>
        <w:autoSpaceDE w:val="0"/>
        <w:autoSpaceDN w:val="0"/>
        <w:adjustRightInd w:val="0"/>
      </w:pPr>
      <w:r w:rsidRPr="00A333F1">
        <w:t>Jeigu vartojate ar neseniai vartojote kitų vaistų, arba dėl to nesate tikri, apie tai pasakykite gydytojui arba vaistininkui.</w:t>
      </w:r>
    </w:p>
    <w:p w:rsidR="00763C5D" w:rsidRPr="00797CDB" w:rsidRDefault="00763C5D" w:rsidP="00763C5D">
      <w:pPr>
        <w:autoSpaceDE w:val="0"/>
        <w:autoSpaceDN w:val="0"/>
        <w:adjustRightInd w:val="0"/>
        <w:rPr>
          <w:rFonts w:eastAsia="TimesNewRomanPSMT"/>
        </w:rPr>
      </w:pPr>
    </w:p>
    <w:p w:rsidR="00763C5D" w:rsidRPr="00797CDB" w:rsidRDefault="00763C5D" w:rsidP="00763C5D">
      <w:pPr>
        <w:autoSpaceDE w:val="0"/>
        <w:autoSpaceDN w:val="0"/>
        <w:adjustRightInd w:val="0"/>
        <w:rPr>
          <w:rFonts w:asciiTheme="minorHAnsi" w:eastAsia="TimesNewRomanPSMT" w:hAnsiTheme="minorHAnsi" w:cstheme="minorBidi"/>
          <w:szCs w:val="22"/>
          <w:lang w:eastAsia="en-US"/>
        </w:rPr>
      </w:pPr>
      <w:r w:rsidRPr="00797CDB">
        <w:rPr>
          <w:rFonts w:eastAsia="TimesNewRomanPSMT"/>
        </w:rPr>
        <w:t>Nevartokite</w:t>
      </w:r>
      <w:r w:rsidRPr="00A333F1">
        <w:t xml:space="preserve"> Quator</w:t>
      </w:r>
      <w:r w:rsidRPr="00797CDB">
        <w:rPr>
          <w:rFonts w:eastAsia="TimesNewRomanPSMT"/>
        </w:rPr>
        <w:t>, jeigu jau vartojate nitratų.</w:t>
      </w:r>
    </w:p>
    <w:p w:rsidR="00763C5D" w:rsidRPr="00797CDB" w:rsidRDefault="00763C5D" w:rsidP="00763C5D">
      <w:pPr>
        <w:autoSpaceDE w:val="0"/>
        <w:autoSpaceDN w:val="0"/>
        <w:adjustRightInd w:val="0"/>
        <w:rPr>
          <w:rFonts w:eastAsia="TimesNewRomanPSMT"/>
        </w:rPr>
      </w:pPr>
    </w:p>
    <w:p w:rsidR="00763C5D" w:rsidRPr="00A333F1" w:rsidRDefault="00763C5D" w:rsidP="00763C5D">
      <w:pPr>
        <w:numPr>
          <w:ilvl w:val="12"/>
          <w:numId w:val="0"/>
        </w:numPr>
        <w:ind w:right="-2"/>
      </w:pPr>
      <w:r w:rsidRPr="00A333F1">
        <w:t xml:space="preserve">Quator gali keisti kai kurių vaistų veikimą arba jie − Quator veikimą. Pasakykite gydytojui arba vaistininkui, jeigu jau vartojate: </w:t>
      </w:r>
    </w:p>
    <w:p w:rsidR="00763C5D" w:rsidRPr="00A333F1" w:rsidRDefault="00763C5D" w:rsidP="00763C5D">
      <w:pPr>
        <w:numPr>
          <w:ilvl w:val="0"/>
          <w:numId w:val="5"/>
        </w:numPr>
        <w:tabs>
          <w:tab w:val="left" w:pos="567"/>
        </w:tabs>
        <w:ind w:left="567" w:hanging="567"/>
      </w:pPr>
      <w:r w:rsidRPr="00A333F1">
        <w:t>alfa adrenoreceptorių blokatorių (vartojamų aukštam kraujo spaudimui mažinti arba šlapimo organų simptomams, susijusiems su gerybine prostatos hiperplazija, gydyti);</w:t>
      </w:r>
    </w:p>
    <w:p w:rsidR="00763C5D" w:rsidRPr="00A333F1" w:rsidRDefault="00763C5D" w:rsidP="00763C5D">
      <w:pPr>
        <w:numPr>
          <w:ilvl w:val="0"/>
          <w:numId w:val="5"/>
        </w:numPr>
        <w:tabs>
          <w:tab w:val="left" w:pos="567"/>
        </w:tabs>
        <w:ind w:left="567" w:hanging="567"/>
      </w:pPr>
      <w:r w:rsidRPr="00A333F1">
        <w:t>kitų vaistų aukštam kraujo spaudimui mažinti;</w:t>
      </w:r>
    </w:p>
    <w:p w:rsidR="00763C5D" w:rsidRPr="00A333F1" w:rsidRDefault="00763C5D" w:rsidP="00763C5D">
      <w:pPr>
        <w:numPr>
          <w:ilvl w:val="0"/>
          <w:numId w:val="5"/>
        </w:numPr>
        <w:tabs>
          <w:tab w:val="left" w:pos="567"/>
        </w:tabs>
        <w:snapToGrid w:val="0"/>
        <w:ind w:left="567" w:hanging="567"/>
      </w:pPr>
      <w:r w:rsidRPr="00A333F1">
        <w:t>riociguato;</w:t>
      </w:r>
    </w:p>
    <w:p w:rsidR="00763C5D" w:rsidRPr="00A333F1" w:rsidRDefault="00763C5D" w:rsidP="00763C5D">
      <w:pPr>
        <w:numPr>
          <w:ilvl w:val="0"/>
          <w:numId w:val="5"/>
        </w:numPr>
        <w:tabs>
          <w:tab w:val="left" w:pos="567"/>
        </w:tabs>
        <w:ind w:left="567" w:hanging="567"/>
      </w:pPr>
      <w:r w:rsidRPr="00A333F1">
        <w:t>5-alfa reduktazės inhibitorių (vartojamų gerybinei prostatos hiperplazijai gydyti);</w:t>
      </w:r>
    </w:p>
    <w:p w:rsidR="00763C5D" w:rsidRPr="00A333F1" w:rsidRDefault="00763C5D" w:rsidP="00763C5D">
      <w:pPr>
        <w:numPr>
          <w:ilvl w:val="0"/>
          <w:numId w:val="5"/>
        </w:numPr>
        <w:tabs>
          <w:tab w:val="left" w:pos="567"/>
        </w:tabs>
        <w:ind w:left="567" w:hanging="567"/>
      </w:pPr>
      <w:r w:rsidRPr="00A333F1">
        <w:t>tokių vaistų, kaip ketokonazolo tabletės (vartojamos grybelių sukeltoms infekcinėms ligoms gydyti) ir proteazės inhibitoriai AIDS arba ŽIV infekcijai gydyti;</w:t>
      </w:r>
    </w:p>
    <w:p w:rsidR="00763C5D" w:rsidRPr="00A333F1" w:rsidRDefault="00763C5D" w:rsidP="00763C5D">
      <w:pPr>
        <w:numPr>
          <w:ilvl w:val="0"/>
          <w:numId w:val="5"/>
        </w:numPr>
        <w:tabs>
          <w:tab w:val="left" w:pos="567"/>
        </w:tabs>
        <w:ind w:left="567" w:hanging="567"/>
      </w:pPr>
      <w:r w:rsidRPr="00A333F1">
        <w:t>fenobarbitalio, fenitoino, karbamazepino (vaistų nuo traukulių);</w:t>
      </w:r>
    </w:p>
    <w:p w:rsidR="00763C5D" w:rsidRPr="00A333F1" w:rsidRDefault="00763C5D" w:rsidP="00763C5D">
      <w:pPr>
        <w:numPr>
          <w:ilvl w:val="0"/>
          <w:numId w:val="5"/>
        </w:numPr>
        <w:tabs>
          <w:tab w:val="left" w:pos="567"/>
        </w:tabs>
        <w:ind w:left="567" w:hanging="567"/>
      </w:pPr>
      <w:r w:rsidRPr="00A333F1">
        <w:t>rifampicino, eritromicino, klaritromicino arba itrakonazolo;</w:t>
      </w:r>
    </w:p>
    <w:p w:rsidR="00763C5D" w:rsidRPr="00A333F1" w:rsidRDefault="00763C5D" w:rsidP="00763C5D">
      <w:pPr>
        <w:numPr>
          <w:ilvl w:val="0"/>
          <w:numId w:val="5"/>
        </w:numPr>
        <w:tabs>
          <w:tab w:val="left" w:pos="567"/>
        </w:tabs>
        <w:ind w:left="567" w:hanging="567"/>
      </w:pPr>
      <w:r w:rsidRPr="00A333F1">
        <w:t>kitokių vaistų nuo erekcijos funkcijos sutrikimo.</w:t>
      </w:r>
    </w:p>
    <w:p w:rsidR="00763C5D" w:rsidRPr="00A333F1" w:rsidRDefault="00763C5D" w:rsidP="00763C5D">
      <w:pPr>
        <w:numPr>
          <w:ilvl w:val="12"/>
          <w:numId w:val="0"/>
        </w:numPr>
        <w:ind w:right="-2"/>
      </w:pPr>
    </w:p>
    <w:p w:rsidR="00763C5D" w:rsidRPr="00A333F1" w:rsidRDefault="00763C5D" w:rsidP="00763C5D">
      <w:pPr>
        <w:autoSpaceDE w:val="0"/>
        <w:autoSpaceDN w:val="0"/>
        <w:adjustRightInd w:val="0"/>
        <w:rPr>
          <w:b/>
        </w:rPr>
      </w:pPr>
      <w:r w:rsidRPr="00A333F1">
        <w:rPr>
          <w:b/>
        </w:rPr>
        <w:t xml:space="preserve">Quator vartojimas su </w:t>
      </w:r>
      <w:r w:rsidRPr="00797CDB">
        <w:rPr>
          <w:rFonts w:eastAsia="TimesNewRomanPS-BoldMT"/>
          <w:b/>
        </w:rPr>
        <w:t xml:space="preserve">gėrimais </w:t>
      </w:r>
      <w:r w:rsidRPr="00A333F1">
        <w:rPr>
          <w:b/>
        </w:rPr>
        <w:t>ir alkoholiu</w:t>
      </w:r>
    </w:p>
    <w:p w:rsidR="00763C5D" w:rsidRPr="00A333F1" w:rsidRDefault="00763C5D" w:rsidP="00763C5D">
      <w:pPr>
        <w:autoSpaceDE w:val="0"/>
        <w:autoSpaceDN w:val="0"/>
        <w:adjustRightInd w:val="0"/>
      </w:pPr>
      <w:r w:rsidRPr="00A333F1">
        <w:t>Informacija apie alkoholi</w:t>
      </w:r>
      <w:r w:rsidRPr="00797CDB">
        <w:rPr>
          <w:rFonts w:eastAsia="TimesNewRomanPSMT"/>
        </w:rPr>
        <w:t xml:space="preserve">o įtaką </w:t>
      </w:r>
      <w:r w:rsidRPr="00A333F1">
        <w:t xml:space="preserve">pateikta 3 skyriuje. </w:t>
      </w:r>
      <w:r w:rsidRPr="00797CDB">
        <w:rPr>
          <w:rFonts w:eastAsia="TimesNewRomanPSMT"/>
        </w:rPr>
        <w:t>Greipfrutų sultys gali sutrikdyti Quator veiksmingumą, todėl turi būti vartojamos atsargiai. Papildomos informacijos kreipkitės į savo gydytoją.</w:t>
      </w:r>
    </w:p>
    <w:p w:rsidR="00763C5D" w:rsidRPr="00A333F1" w:rsidRDefault="00763C5D" w:rsidP="00763C5D">
      <w:pPr>
        <w:autoSpaceDE w:val="0"/>
        <w:autoSpaceDN w:val="0"/>
        <w:adjustRightInd w:val="0"/>
        <w:rPr>
          <w:b/>
        </w:rPr>
      </w:pPr>
    </w:p>
    <w:p w:rsidR="00763C5D" w:rsidRPr="00797CDB" w:rsidRDefault="00763C5D" w:rsidP="00763C5D">
      <w:pPr>
        <w:autoSpaceDE w:val="0"/>
        <w:autoSpaceDN w:val="0"/>
        <w:adjustRightInd w:val="0"/>
        <w:rPr>
          <w:rFonts w:eastAsia="TimesNewRomanPS-BoldMT"/>
          <w:b/>
        </w:rPr>
      </w:pPr>
      <w:r w:rsidRPr="00797CDB">
        <w:rPr>
          <w:rFonts w:eastAsia="TimesNewRomanPS-BoldMT"/>
          <w:b/>
        </w:rPr>
        <w:t>Vaisingumas</w:t>
      </w:r>
    </w:p>
    <w:p w:rsidR="00763C5D" w:rsidRPr="00797CDB" w:rsidRDefault="00763C5D" w:rsidP="00763C5D">
      <w:pPr>
        <w:autoSpaceDE w:val="0"/>
        <w:autoSpaceDN w:val="0"/>
        <w:adjustRightInd w:val="0"/>
        <w:rPr>
          <w:rFonts w:asciiTheme="minorHAnsi" w:eastAsia="TimesNewRomanPS-BoldMT" w:hAnsiTheme="minorHAnsi" w:cstheme="minorBidi"/>
          <w:szCs w:val="22"/>
          <w:lang w:eastAsia="en-US"/>
        </w:rPr>
      </w:pPr>
      <w:r w:rsidRPr="00797CDB">
        <w:rPr>
          <w:rFonts w:eastAsia="TimesNewRomanPSMT"/>
        </w:rPr>
        <w:t>Vaisto duodant šunims, sumažėjo spermatozoidų vystymasis jų sėklidėse. Kai kuriems vyrams buvo pastebėtas spermos kiekio sumažėjimas. Nesitikima, kad dėl tokio poveikio sumažėtų vaisingumas</w:t>
      </w:r>
      <w:r w:rsidRPr="00797CDB">
        <w:rPr>
          <w:rFonts w:eastAsia="TimesNewRomanPS-BoldMT"/>
        </w:rPr>
        <w:t>.</w:t>
      </w:r>
    </w:p>
    <w:p w:rsidR="00763C5D" w:rsidRPr="00A333F1" w:rsidRDefault="00763C5D" w:rsidP="00763C5D">
      <w:pPr>
        <w:autoSpaceDE w:val="0"/>
        <w:autoSpaceDN w:val="0"/>
        <w:adjustRightInd w:val="0"/>
      </w:pPr>
    </w:p>
    <w:p w:rsidR="00763C5D" w:rsidRPr="00797CDB" w:rsidRDefault="00763C5D" w:rsidP="00763C5D">
      <w:pPr>
        <w:autoSpaceDE w:val="0"/>
        <w:autoSpaceDN w:val="0"/>
        <w:adjustRightInd w:val="0"/>
        <w:rPr>
          <w:rFonts w:asciiTheme="minorHAnsi" w:eastAsia="TimesNewRomanPS-BoldMT" w:hAnsiTheme="minorHAnsi" w:cstheme="minorBidi"/>
          <w:b/>
          <w:szCs w:val="22"/>
          <w:lang w:eastAsia="en-US"/>
        </w:rPr>
      </w:pPr>
      <w:r w:rsidRPr="00797CDB">
        <w:rPr>
          <w:rFonts w:eastAsia="TimesNewRomanPS-BoldMT"/>
          <w:b/>
        </w:rPr>
        <w:t>Vairavimas ir mechanizmų valdymas</w:t>
      </w:r>
    </w:p>
    <w:p w:rsidR="00763C5D" w:rsidRPr="00A333F1" w:rsidRDefault="00763C5D" w:rsidP="00763C5D">
      <w:pPr>
        <w:autoSpaceDE w:val="0"/>
        <w:autoSpaceDN w:val="0"/>
        <w:adjustRightInd w:val="0"/>
        <w:rPr>
          <w:rFonts w:asciiTheme="minorHAnsi" w:eastAsiaTheme="minorHAnsi" w:hAnsiTheme="minorHAnsi" w:cstheme="minorBidi"/>
          <w:szCs w:val="22"/>
          <w:lang w:eastAsia="en-US"/>
        </w:rPr>
      </w:pPr>
      <w:r w:rsidRPr="00797CDB">
        <w:rPr>
          <w:rFonts w:eastAsia="TimesNewRomanPSMT"/>
        </w:rPr>
        <w:t>Klinikinių tyrimų metu tadalafilis kai kuriems vyrams sukėlė svaigulį. Prieš vairavimą ar mechanizmų valdymą atidžiai pasitikrinkite savo reakciją į šias tabletes</w:t>
      </w:r>
      <w:r w:rsidRPr="00A333F1">
        <w:t>.</w:t>
      </w:r>
    </w:p>
    <w:p w:rsidR="00763C5D" w:rsidRPr="00A333F1" w:rsidRDefault="00763C5D" w:rsidP="00763C5D">
      <w:pPr>
        <w:autoSpaceDE w:val="0"/>
        <w:autoSpaceDN w:val="0"/>
        <w:adjustRightInd w:val="0"/>
      </w:pPr>
    </w:p>
    <w:p w:rsidR="00763C5D" w:rsidRPr="00797CDB" w:rsidRDefault="00763C5D" w:rsidP="00763C5D">
      <w:pPr>
        <w:autoSpaceDE w:val="0"/>
        <w:autoSpaceDN w:val="0"/>
        <w:adjustRightInd w:val="0"/>
        <w:rPr>
          <w:rFonts w:eastAsia="TimesNewRomanPS-BoldMT"/>
          <w:b/>
        </w:rPr>
      </w:pPr>
      <w:r w:rsidRPr="00A333F1">
        <w:rPr>
          <w:b/>
        </w:rPr>
        <w:t xml:space="preserve">Quator </w:t>
      </w:r>
      <w:r w:rsidRPr="00797CDB">
        <w:rPr>
          <w:rFonts w:eastAsia="TimesNewRomanPS-BoldMT"/>
          <w:b/>
        </w:rPr>
        <w:t>sudėtyje yra laktozės</w:t>
      </w:r>
    </w:p>
    <w:p w:rsidR="00763C5D" w:rsidRPr="00A333F1" w:rsidRDefault="00763C5D" w:rsidP="00763C5D">
      <w:pPr>
        <w:autoSpaceDE w:val="0"/>
        <w:autoSpaceDN w:val="0"/>
        <w:adjustRightInd w:val="0"/>
      </w:pPr>
      <w:r w:rsidRPr="00A333F1">
        <w:t>Jeigu gydytojas Jums yra sakęs, kad netoleruojate kokių nors angliavandenių, kreipkitės į jį prieš pradėdami vartoti šį vaistą</w:t>
      </w:r>
      <w:r w:rsidRPr="00797CDB">
        <w:rPr>
          <w:rFonts w:eastAsia="TimesNewRomanPSMT"/>
        </w:rPr>
        <w:t>.</w:t>
      </w:r>
    </w:p>
    <w:p w:rsidR="00763C5D" w:rsidRPr="00A333F1" w:rsidRDefault="00763C5D" w:rsidP="00763C5D">
      <w:pPr>
        <w:numPr>
          <w:ilvl w:val="12"/>
          <w:numId w:val="0"/>
        </w:numPr>
        <w:ind w:right="-2"/>
      </w:pPr>
    </w:p>
    <w:p w:rsidR="00763C5D" w:rsidRPr="00A333F1" w:rsidRDefault="00763C5D" w:rsidP="00763C5D">
      <w:pPr>
        <w:numPr>
          <w:ilvl w:val="12"/>
          <w:numId w:val="0"/>
        </w:numPr>
        <w:ind w:right="-2"/>
        <w:rPr>
          <w:b/>
        </w:rPr>
      </w:pPr>
      <w:r w:rsidRPr="00A333F1">
        <w:rPr>
          <w:b/>
        </w:rPr>
        <w:t>Quator sudėtyje yra natrio</w:t>
      </w:r>
    </w:p>
    <w:p w:rsidR="00763C5D" w:rsidRPr="00A333F1" w:rsidRDefault="00763C5D" w:rsidP="00763C5D">
      <w:pPr>
        <w:numPr>
          <w:ilvl w:val="12"/>
          <w:numId w:val="0"/>
        </w:numPr>
        <w:ind w:right="-2"/>
      </w:pPr>
      <w:r w:rsidRPr="00A333F1">
        <w:t>Šio vaisto tabletėje yra mažiau kaip 1 mmol (23 mg) natrio, t.y. jis beveik neturi reikšmės.</w:t>
      </w:r>
    </w:p>
    <w:p w:rsidR="00763C5D" w:rsidRPr="00A333F1" w:rsidRDefault="00763C5D" w:rsidP="00763C5D">
      <w:pPr>
        <w:numPr>
          <w:ilvl w:val="12"/>
          <w:numId w:val="0"/>
        </w:numPr>
        <w:ind w:right="-2"/>
      </w:pPr>
    </w:p>
    <w:p w:rsidR="00763C5D" w:rsidRPr="00A333F1" w:rsidRDefault="00763C5D" w:rsidP="00763C5D">
      <w:pPr>
        <w:numPr>
          <w:ilvl w:val="12"/>
          <w:numId w:val="0"/>
        </w:numPr>
        <w:ind w:right="-2"/>
      </w:pPr>
    </w:p>
    <w:p w:rsidR="00763C5D" w:rsidRPr="00A333F1" w:rsidRDefault="00763C5D" w:rsidP="00763C5D">
      <w:pPr>
        <w:keepNext/>
        <w:outlineLvl w:val="2"/>
        <w:rPr>
          <w:b/>
        </w:rPr>
      </w:pPr>
      <w:r w:rsidRPr="00A333F1">
        <w:rPr>
          <w:b/>
        </w:rPr>
        <w:t>3.</w:t>
      </w:r>
      <w:r w:rsidRPr="00A333F1">
        <w:rPr>
          <w:b/>
        </w:rPr>
        <w:tab/>
        <w:t>Kaip vartoti QUATOR</w:t>
      </w:r>
    </w:p>
    <w:p w:rsidR="00763C5D" w:rsidRPr="00A333F1" w:rsidRDefault="00763C5D" w:rsidP="00763C5D">
      <w:pPr>
        <w:numPr>
          <w:ilvl w:val="12"/>
          <w:numId w:val="0"/>
        </w:numPr>
        <w:ind w:right="-2"/>
      </w:pPr>
    </w:p>
    <w:p w:rsidR="00763C5D" w:rsidRPr="00797CDB" w:rsidRDefault="00763C5D" w:rsidP="00763C5D">
      <w:pPr>
        <w:autoSpaceDE w:val="0"/>
        <w:autoSpaceDN w:val="0"/>
        <w:adjustRightInd w:val="0"/>
        <w:rPr>
          <w:rFonts w:eastAsia="TimesNewRomanPSMT"/>
        </w:rPr>
      </w:pPr>
      <w:r w:rsidRPr="00A333F1">
        <w:t>Visada vartokite šį vaistą tiksliai kaip aprašyta šiame lapelyje arba kaip nurodė gydytojas. Jeigu abejojate, kreipkitės į gydytoją arba vaistininką.</w:t>
      </w:r>
    </w:p>
    <w:p w:rsidR="00763C5D" w:rsidRPr="00797CDB" w:rsidRDefault="00763C5D" w:rsidP="00763C5D">
      <w:pPr>
        <w:autoSpaceDE w:val="0"/>
        <w:autoSpaceDN w:val="0"/>
        <w:adjustRightInd w:val="0"/>
        <w:rPr>
          <w:rFonts w:eastAsia="TimesNewRomanPSMT"/>
        </w:rPr>
      </w:pPr>
    </w:p>
    <w:p w:rsidR="00763C5D" w:rsidRPr="00A333F1" w:rsidRDefault="00763C5D" w:rsidP="00763C5D">
      <w:pPr>
        <w:numPr>
          <w:ilvl w:val="12"/>
          <w:numId w:val="0"/>
        </w:numPr>
        <w:ind w:right="-2"/>
        <w:outlineLvl w:val="0"/>
      </w:pPr>
      <w:r w:rsidRPr="00A333F1">
        <w:t>Quator tabletės yra skirtos vartoti per burną tik vyrams. Tabletę nurykite nepažeistą užgerdami šiek tiek vandens. Quator 20 mg tabletes galima padalyti į lygias dozes, Tabletes galima gerti valgio metu arba kitu laiku.</w:t>
      </w:r>
    </w:p>
    <w:p w:rsidR="00763C5D" w:rsidRPr="00A333F1" w:rsidRDefault="00763C5D" w:rsidP="00763C5D">
      <w:pPr>
        <w:numPr>
          <w:ilvl w:val="12"/>
          <w:numId w:val="0"/>
        </w:numPr>
        <w:ind w:right="-2"/>
        <w:outlineLvl w:val="0"/>
      </w:pPr>
    </w:p>
    <w:p w:rsidR="00763C5D" w:rsidRPr="00797CDB" w:rsidRDefault="00763C5D" w:rsidP="00763C5D">
      <w:pPr>
        <w:pStyle w:val="Sraopastraipa"/>
        <w:numPr>
          <w:ilvl w:val="0"/>
          <w:numId w:val="9"/>
        </w:numPr>
        <w:ind w:left="567" w:right="-2" w:hanging="567"/>
        <w:outlineLvl w:val="0"/>
        <w:rPr>
          <w:b/>
          <w:color w:val="000000"/>
        </w:rPr>
      </w:pPr>
      <w:r w:rsidRPr="00797CDB">
        <w:rPr>
          <w:b/>
          <w:color w:val="000000"/>
          <w:sz w:val="22"/>
        </w:rPr>
        <w:t>Prisitaikoma pagal poreikį dozė vartojant 10 mg arba 20 mg tablečių</w:t>
      </w:r>
    </w:p>
    <w:p w:rsidR="00763C5D" w:rsidRPr="00A333F1" w:rsidRDefault="00763C5D" w:rsidP="00763C5D">
      <w:pPr>
        <w:numPr>
          <w:ilvl w:val="12"/>
          <w:numId w:val="0"/>
        </w:numPr>
        <w:ind w:left="567" w:right="-2"/>
        <w:outlineLvl w:val="0"/>
      </w:pPr>
      <w:r w:rsidRPr="00A333F1">
        <w:t>Rekomenduojama pradinė dozė</w:t>
      </w:r>
      <w:r w:rsidRPr="00A333F1">
        <w:rPr>
          <w:b/>
        </w:rPr>
        <w:t xml:space="preserve"> </w:t>
      </w:r>
      <w:r w:rsidRPr="00A333F1">
        <w:t xml:space="preserve">yra viena 10 mg tabletė, geriama prieš lytinius santykius. Jei ši dozė veikia per silpnai, Jūsų gydytojas gali ją padidinti iki 20 mg. Quator tabletės yra skirtos vartoti per burną. </w:t>
      </w:r>
    </w:p>
    <w:p w:rsidR="00763C5D" w:rsidRPr="00A333F1" w:rsidRDefault="00763C5D" w:rsidP="00763C5D">
      <w:pPr>
        <w:numPr>
          <w:ilvl w:val="12"/>
          <w:numId w:val="0"/>
        </w:numPr>
        <w:ind w:left="567" w:right="-2"/>
        <w:outlineLvl w:val="0"/>
      </w:pPr>
      <w:r w:rsidRPr="00A333F1">
        <w:t xml:space="preserve">Quator galite gerti likus bent 30 min. iki lytinių santykių. </w:t>
      </w:r>
    </w:p>
    <w:p w:rsidR="00763C5D" w:rsidRPr="00A333F1" w:rsidRDefault="00763C5D" w:rsidP="00763C5D">
      <w:pPr>
        <w:numPr>
          <w:ilvl w:val="12"/>
          <w:numId w:val="0"/>
        </w:numPr>
        <w:ind w:left="567" w:right="-2"/>
        <w:outlineLvl w:val="0"/>
      </w:pPr>
      <w:r w:rsidRPr="00A333F1">
        <w:t xml:space="preserve">Quator gali būti vis dar veiksmingas iki 36 valandų po tabletės suvartojimo. </w:t>
      </w:r>
    </w:p>
    <w:p w:rsidR="00763C5D" w:rsidRPr="00A333F1" w:rsidRDefault="00763C5D" w:rsidP="00763C5D">
      <w:pPr>
        <w:numPr>
          <w:ilvl w:val="12"/>
          <w:numId w:val="0"/>
        </w:numPr>
        <w:ind w:left="567" w:right="-2"/>
        <w:outlineLvl w:val="0"/>
      </w:pPr>
    </w:p>
    <w:p w:rsidR="00763C5D" w:rsidRPr="00A333F1" w:rsidRDefault="00763C5D" w:rsidP="00763C5D">
      <w:pPr>
        <w:numPr>
          <w:ilvl w:val="12"/>
          <w:numId w:val="0"/>
        </w:numPr>
        <w:ind w:left="567" w:right="-2"/>
        <w:outlineLvl w:val="0"/>
      </w:pPr>
      <w:r w:rsidRPr="00A333F1">
        <w:t xml:space="preserve">Daugiau negu vieną kartą per parą Quator nevartokite. </w:t>
      </w:r>
    </w:p>
    <w:p w:rsidR="00763C5D" w:rsidRPr="00A333F1" w:rsidRDefault="00763C5D" w:rsidP="00763C5D">
      <w:pPr>
        <w:numPr>
          <w:ilvl w:val="12"/>
          <w:numId w:val="0"/>
        </w:numPr>
        <w:ind w:left="567" w:right="-2"/>
        <w:outlineLvl w:val="0"/>
      </w:pPr>
      <w:r w:rsidRPr="00A333F1">
        <w:t xml:space="preserve">Quator 10 mg ir 20 mg tabletės skirtos vartoti prieš numatomus lytinius santykius, nuolat kiekvieną parą jų vartoti nerekomenduojama. </w:t>
      </w:r>
    </w:p>
    <w:p w:rsidR="00763C5D" w:rsidRPr="00A333F1" w:rsidRDefault="00763C5D" w:rsidP="00763C5D">
      <w:pPr>
        <w:numPr>
          <w:ilvl w:val="12"/>
          <w:numId w:val="0"/>
        </w:numPr>
        <w:ind w:left="567" w:right="-2"/>
        <w:outlineLvl w:val="0"/>
      </w:pPr>
    </w:p>
    <w:p w:rsidR="00763C5D" w:rsidRPr="00A333F1" w:rsidRDefault="00763C5D" w:rsidP="00763C5D">
      <w:pPr>
        <w:numPr>
          <w:ilvl w:val="0"/>
          <w:numId w:val="3"/>
        </w:numPr>
        <w:autoSpaceDE w:val="0"/>
        <w:autoSpaceDN w:val="0"/>
        <w:adjustRightInd w:val="0"/>
        <w:ind w:left="567" w:hanging="567"/>
        <w:rPr>
          <w:rFonts w:asciiTheme="minorHAnsi" w:eastAsiaTheme="minorHAnsi" w:hAnsiTheme="minorHAnsi" w:cstheme="minorBidi"/>
          <w:szCs w:val="22"/>
          <w:lang w:eastAsia="en-US"/>
        </w:rPr>
      </w:pPr>
      <w:r w:rsidRPr="00797CDB">
        <w:rPr>
          <w:rFonts w:eastAsia="TimesNewRomanPSMT"/>
          <w:b/>
        </w:rPr>
        <w:t xml:space="preserve">Dozavimas kartą per parą vartojant 5 mg plėvele dengtų tablečių </w:t>
      </w:r>
    </w:p>
    <w:p w:rsidR="00763C5D" w:rsidRPr="00A333F1" w:rsidRDefault="00763C5D" w:rsidP="00763C5D">
      <w:pPr>
        <w:autoSpaceDE w:val="0"/>
        <w:autoSpaceDN w:val="0"/>
        <w:adjustRightInd w:val="0"/>
        <w:ind w:left="567"/>
      </w:pPr>
      <w:r w:rsidRPr="00797CDB">
        <w:rPr>
          <w:rFonts w:eastAsia="TimesNewRomanPSMT"/>
        </w:rPr>
        <w:t>R</w:t>
      </w:r>
      <w:r w:rsidRPr="00797CDB">
        <w:rPr>
          <w:rFonts w:eastAsia="TimesNewRomanPS-BoldMT"/>
        </w:rPr>
        <w:t xml:space="preserve">ekomenduojama dozė </w:t>
      </w:r>
      <w:r w:rsidRPr="00797CDB">
        <w:rPr>
          <w:rFonts w:eastAsia="TimesNewRomanPSMT"/>
        </w:rPr>
        <w:t xml:space="preserve">yra viena 5 mg tabletė. Ji geriama vieną kartą per parą, maždaug tokiu pačiu paros laiku. </w:t>
      </w:r>
      <w:r w:rsidRPr="00A333F1">
        <w:t>Jūsų gydytojas gali ją pakoreguoti iki 2,5 mg remiantis Jūsų atsaku į</w:t>
      </w:r>
      <w:r w:rsidRPr="00A333F1">
        <w:rPr>
          <w:b/>
        </w:rPr>
        <w:t xml:space="preserve"> Quator</w:t>
      </w:r>
      <w:r w:rsidRPr="00A333F1">
        <w:t xml:space="preserve">, Atsižvelgiant į tai būti paskirtos 2, 5mg stiprumo tabletės. </w:t>
      </w:r>
    </w:p>
    <w:p w:rsidR="00763C5D" w:rsidRPr="00A333F1" w:rsidRDefault="00763C5D" w:rsidP="00763C5D">
      <w:pPr>
        <w:autoSpaceDE w:val="0"/>
        <w:autoSpaceDN w:val="0"/>
        <w:adjustRightInd w:val="0"/>
        <w:ind w:left="567"/>
      </w:pPr>
      <w:r w:rsidRPr="00A333F1">
        <w:t>Kadangi šio vaisto 2,5 mg stiprumo tabletės nėra tiekiamos, reikia vartoti kitas rinkoje esančias 2,5 mg stiprumo tadalafilio tabletes.</w:t>
      </w:r>
    </w:p>
    <w:p w:rsidR="00763C5D" w:rsidRPr="00A333F1" w:rsidRDefault="00763C5D" w:rsidP="00763C5D">
      <w:pPr>
        <w:autoSpaceDE w:val="0"/>
        <w:autoSpaceDN w:val="0"/>
        <w:adjustRightInd w:val="0"/>
        <w:ind w:left="567"/>
      </w:pPr>
      <w:r w:rsidRPr="00A333F1">
        <w:t>Vieną kartą per parą geriamas Quator Jums padės sukelti erekciją, jeigu esate seksualiai stimuliuotas, bet kuriuo metu 24 val. laikotarpiu. Quator dozavimas vieną kartą per parą gali būti naudingas vyrams, kurie lytinių santykių tikisi du arba daugiau kartų per savaitę.</w:t>
      </w:r>
    </w:p>
    <w:p w:rsidR="00763C5D" w:rsidRPr="00A333F1" w:rsidRDefault="00763C5D" w:rsidP="00763C5D">
      <w:pPr>
        <w:autoSpaceDE w:val="0"/>
        <w:autoSpaceDN w:val="0"/>
        <w:adjustRightInd w:val="0"/>
      </w:pPr>
    </w:p>
    <w:p w:rsidR="00763C5D" w:rsidRPr="00A333F1" w:rsidRDefault="00763C5D" w:rsidP="00763C5D">
      <w:pPr>
        <w:autoSpaceDE w:val="0"/>
        <w:autoSpaceDN w:val="0"/>
        <w:adjustRightInd w:val="0"/>
      </w:pPr>
      <w:r w:rsidRPr="00A333F1">
        <w:t>Nevartokite Quator dažniau negu kartą per parą.</w:t>
      </w:r>
    </w:p>
    <w:p w:rsidR="00763C5D" w:rsidRPr="00A333F1" w:rsidRDefault="00763C5D" w:rsidP="00763C5D">
      <w:pPr>
        <w:autoSpaceDE w:val="0"/>
        <w:autoSpaceDN w:val="0"/>
        <w:adjustRightInd w:val="0"/>
      </w:pPr>
    </w:p>
    <w:p w:rsidR="00763C5D" w:rsidRPr="00A333F1" w:rsidRDefault="00763C5D" w:rsidP="00763C5D">
      <w:pPr>
        <w:autoSpaceDE w:val="0"/>
        <w:autoSpaceDN w:val="0"/>
        <w:adjustRightInd w:val="0"/>
      </w:pPr>
      <w:r w:rsidRPr="00A333F1">
        <w:t xml:space="preserve">Svarbu įsidėmėti, kad Quator neveikia be seksualinės stimuliacijos. Jūs su savo partnere turite pradėti išankstinį žaidimą lygiai taip pat kaip ir nevartodamas vaistų nuo erekcijos sutrikimo. </w:t>
      </w:r>
    </w:p>
    <w:p w:rsidR="00763C5D" w:rsidRPr="00A333F1" w:rsidRDefault="00763C5D" w:rsidP="00763C5D">
      <w:pPr>
        <w:autoSpaceDE w:val="0"/>
        <w:autoSpaceDN w:val="0"/>
        <w:adjustRightInd w:val="0"/>
      </w:pPr>
    </w:p>
    <w:p w:rsidR="00763C5D" w:rsidRPr="00A333F1" w:rsidRDefault="00763C5D" w:rsidP="00763C5D">
      <w:pPr>
        <w:autoSpaceDE w:val="0"/>
        <w:autoSpaceDN w:val="0"/>
        <w:adjustRightInd w:val="0"/>
      </w:pPr>
      <w:r w:rsidRPr="00A333F1">
        <w:t xml:space="preserve">Alkoholio gėrimas gali veikti gebėjimą sukelti erekciją ir laikinai sumažinti kraujo spaudimą. Jeigu pavartojote arba planuojate pavartoti </w:t>
      </w:r>
      <w:r w:rsidRPr="00797CDB">
        <w:rPr>
          <w:rFonts w:eastAsia="TimesNewRomanPSMT"/>
        </w:rPr>
        <w:t xml:space="preserve">Quator </w:t>
      </w:r>
      <w:r w:rsidRPr="00A333F1">
        <w:t>l, turite vengti piktnaudžiavimo alkoholiu (kai alkoholio koncentracija kraujyje būna 0,08% arba didesnė, nes tai gali padidinti svaigulio riziką stojantis.</w:t>
      </w:r>
    </w:p>
    <w:p w:rsidR="00763C5D" w:rsidRPr="00797CDB" w:rsidRDefault="00763C5D" w:rsidP="00763C5D">
      <w:pPr>
        <w:autoSpaceDE w:val="0"/>
        <w:autoSpaceDN w:val="0"/>
        <w:adjustRightInd w:val="0"/>
        <w:rPr>
          <w:rFonts w:eastAsia="TimesNewRomanPSMT"/>
        </w:rPr>
      </w:pPr>
    </w:p>
    <w:p w:rsidR="00763C5D" w:rsidRPr="00797CDB" w:rsidRDefault="00763C5D" w:rsidP="00763C5D">
      <w:pPr>
        <w:autoSpaceDE w:val="0"/>
        <w:autoSpaceDN w:val="0"/>
        <w:adjustRightInd w:val="0"/>
        <w:rPr>
          <w:rFonts w:asciiTheme="minorHAnsi" w:eastAsia="TimesNewRomanPSMT" w:hAnsiTheme="minorHAnsi" w:cstheme="minorBidi"/>
          <w:b/>
          <w:szCs w:val="22"/>
          <w:lang w:eastAsia="en-US"/>
        </w:rPr>
      </w:pPr>
      <w:r w:rsidRPr="00797CDB">
        <w:rPr>
          <w:rFonts w:eastAsia="TimesNewRomanPS-BoldMT"/>
          <w:b/>
        </w:rPr>
        <w:t xml:space="preserve">Ką daryti pavartojus per didelę </w:t>
      </w:r>
      <w:r w:rsidRPr="00797CDB">
        <w:rPr>
          <w:rFonts w:eastAsia="TimesNewRomanPSMT"/>
          <w:b/>
        </w:rPr>
        <w:t xml:space="preserve">Quator </w:t>
      </w:r>
      <w:r w:rsidRPr="00797CDB">
        <w:rPr>
          <w:rFonts w:eastAsia="TimesNewRomanPS-BoldMT"/>
          <w:b/>
        </w:rPr>
        <w:t>dozę</w:t>
      </w:r>
      <w:r w:rsidRPr="00797CDB">
        <w:rPr>
          <w:rFonts w:eastAsia="TimesNewRomanPSMT"/>
          <w:b/>
        </w:rPr>
        <w:t>?</w:t>
      </w:r>
    </w:p>
    <w:p w:rsidR="00763C5D" w:rsidRPr="00797CDB" w:rsidRDefault="00763C5D" w:rsidP="00763C5D">
      <w:pPr>
        <w:autoSpaceDE w:val="0"/>
        <w:autoSpaceDN w:val="0"/>
        <w:adjustRightInd w:val="0"/>
        <w:rPr>
          <w:rFonts w:eastAsia="TimesNewRomanPSMT"/>
        </w:rPr>
      </w:pPr>
      <w:r w:rsidRPr="00A333F1">
        <w:t>Kreipkitės į savo gydytoją. Gali pasireikšti 4 skyriuje aprašytas šalutinis poveikis</w:t>
      </w:r>
      <w:r w:rsidRPr="00797CDB">
        <w:rPr>
          <w:rFonts w:eastAsia="TimesNewRomanPSMT"/>
        </w:rPr>
        <w:t>.</w:t>
      </w:r>
    </w:p>
    <w:p w:rsidR="00763C5D" w:rsidRPr="00797CDB" w:rsidRDefault="00763C5D" w:rsidP="00763C5D">
      <w:pPr>
        <w:autoSpaceDE w:val="0"/>
        <w:autoSpaceDN w:val="0"/>
        <w:adjustRightInd w:val="0"/>
        <w:rPr>
          <w:rFonts w:eastAsia="TimesNewRomanPSMT"/>
          <w:b/>
        </w:rPr>
      </w:pPr>
    </w:p>
    <w:p w:rsidR="00763C5D" w:rsidRPr="00797CDB" w:rsidRDefault="00763C5D" w:rsidP="00763C5D">
      <w:pPr>
        <w:autoSpaceDE w:val="0"/>
        <w:autoSpaceDN w:val="0"/>
        <w:adjustRightInd w:val="0"/>
        <w:rPr>
          <w:rFonts w:asciiTheme="minorHAnsi" w:eastAsia="TimesNewRomanPSMT" w:hAnsiTheme="minorHAnsi" w:cstheme="minorBidi"/>
          <w:b/>
          <w:szCs w:val="22"/>
          <w:lang w:eastAsia="en-US"/>
        </w:rPr>
      </w:pPr>
      <w:r w:rsidRPr="00797CDB">
        <w:rPr>
          <w:rFonts w:eastAsia="TimesNewRomanPSMT"/>
          <w:b/>
        </w:rPr>
        <w:t>Pamiršus pavartoti Quator</w:t>
      </w:r>
    </w:p>
    <w:p w:rsidR="00763C5D" w:rsidRPr="00797CDB" w:rsidRDefault="00763C5D" w:rsidP="00763C5D">
      <w:pPr>
        <w:autoSpaceDE w:val="0"/>
        <w:autoSpaceDN w:val="0"/>
        <w:adjustRightInd w:val="0"/>
        <w:rPr>
          <w:rFonts w:asciiTheme="minorHAnsi" w:eastAsia="TimesNewRomanPSMT" w:hAnsiTheme="minorHAnsi" w:cstheme="minorBidi"/>
          <w:szCs w:val="22"/>
          <w:lang w:eastAsia="en-US"/>
        </w:rPr>
      </w:pPr>
      <w:r w:rsidRPr="00797CDB">
        <w:rPr>
          <w:rFonts w:eastAsia="TimesNewRomanPSMT"/>
        </w:rPr>
        <w:t>Jeigu Quator vartojate kartą per parą, savo dozę išgerkite tuoj pat, kai tik prisiminsite, tačiau negalima vartoti dvigubos dozės norint kompensuoti praleistą tabletę. Jūs turite nevartoti Quator daugiau kaip vieną kartą per parą.</w:t>
      </w:r>
    </w:p>
    <w:p w:rsidR="00763C5D" w:rsidRPr="00797CDB" w:rsidRDefault="00763C5D" w:rsidP="00763C5D">
      <w:pPr>
        <w:numPr>
          <w:ilvl w:val="12"/>
          <w:numId w:val="0"/>
        </w:numPr>
        <w:rPr>
          <w:rFonts w:eastAsia="TimesNewRomanPSMT"/>
        </w:rPr>
      </w:pPr>
    </w:p>
    <w:p w:rsidR="00763C5D" w:rsidRPr="00797CDB" w:rsidRDefault="00763C5D" w:rsidP="00763C5D">
      <w:pPr>
        <w:numPr>
          <w:ilvl w:val="12"/>
          <w:numId w:val="0"/>
        </w:numPr>
        <w:rPr>
          <w:rFonts w:asciiTheme="minorHAnsi" w:eastAsia="TimesNewRomanPSMT" w:hAnsiTheme="minorHAnsi" w:cstheme="minorBidi"/>
          <w:szCs w:val="22"/>
          <w:lang w:eastAsia="en-US"/>
        </w:rPr>
      </w:pPr>
      <w:r w:rsidRPr="00797CDB">
        <w:rPr>
          <w:rFonts w:eastAsia="TimesNewRomanPSMT"/>
        </w:rPr>
        <w:t>Jeigu kiltų daugiau klausimų dėl šio vaisto vartojimo, kreipkitės į gydytoją arba vaistininką.</w:t>
      </w:r>
    </w:p>
    <w:p w:rsidR="00763C5D" w:rsidRPr="00A333F1" w:rsidRDefault="00763C5D" w:rsidP="00763C5D">
      <w:pPr>
        <w:numPr>
          <w:ilvl w:val="12"/>
          <w:numId w:val="0"/>
        </w:numPr>
      </w:pPr>
    </w:p>
    <w:p w:rsidR="00763C5D" w:rsidRPr="00A333F1" w:rsidRDefault="00763C5D" w:rsidP="00763C5D">
      <w:pPr>
        <w:numPr>
          <w:ilvl w:val="12"/>
          <w:numId w:val="0"/>
        </w:numPr>
      </w:pPr>
    </w:p>
    <w:p w:rsidR="00763C5D" w:rsidRPr="00A333F1" w:rsidRDefault="00763C5D" w:rsidP="00763C5D">
      <w:pPr>
        <w:keepNext/>
        <w:outlineLvl w:val="2"/>
        <w:rPr>
          <w:b/>
        </w:rPr>
      </w:pPr>
      <w:r w:rsidRPr="00A333F1">
        <w:rPr>
          <w:b/>
        </w:rPr>
        <w:t>4.</w:t>
      </w:r>
      <w:r w:rsidRPr="00A333F1">
        <w:rPr>
          <w:b/>
        </w:rPr>
        <w:tab/>
        <w:t>Galimas šalutinis poveikis</w:t>
      </w:r>
    </w:p>
    <w:p w:rsidR="00763C5D" w:rsidRPr="00A333F1" w:rsidRDefault="00763C5D" w:rsidP="00763C5D">
      <w:pPr>
        <w:numPr>
          <w:ilvl w:val="12"/>
          <w:numId w:val="0"/>
        </w:numPr>
      </w:pPr>
    </w:p>
    <w:p w:rsidR="00763C5D" w:rsidRPr="00A333F1" w:rsidRDefault="00763C5D" w:rsidP="00763C5D">
      <w:pPr>
        <w:autoSpaceDE w:val="0"/>
        <w:autoSpaceDN w:val="0"/>
        <w:adjustRightInd w:val="0"/>
      </w:pPr>
      <w:r w:rsidRPr="00A333F1">
        <w:t>Šis vaistas</w:t>
      </w:r>
      <w:r w:rsidRPr="00797CDB">
        <w:rPr>
          <w:rFonts w:eastAsia="TimesNewRomanPSMT"/>
        </w:rPr>
        <w:t>, kaip ir visi kiti, gali sukelti šalutinį poveikį, nors jis pasireiškia ne visiems žmonėms. Paprastai jis būna lengvas arba viduti</w:t>
      </w:r>
      <w:r w:rsidRPr="00A333F1">
        <w:t>nio sunkumo.</w:t>
      </w:r>
    </w:p>
    <w:p w:rsidR="00763C5D" w:rsidRPr="00A333F1" w:rsidRDefault="00763C5D" w:rsidP="00763C5D">
      <w:pPr>
        <w:autoSpaceDE w:val="0"/>
        <w:autoSpaceDN w:val="0"/>
        <w:adjustRightInd w:val="0"/>
      </w:pPr>
    </w:p>
    <w:p w:rsidR="00763C5D" w:rsidRPr="00797CDB" w:rsidRDefault="00763C5D" w:rsidP="00763C5D">
      <w:pPr>
        <w:autoSpaceDE w:val="0"/>
        <w:autoSpaceDN w:val="0"/>
        <w:adjustRightInd w:val="0"/>
        <w:rPr>
          <w:rFonts w:asciiTheme="minorHAnsi" w:eastAsia="TimesNewRomanPS-BoldMT" w:hAnsiTheme="minorHAnsi" w:cstheme="minorBidi"/>
          <w:b/>
          <w:szCs w:val="22"/>
          <w:lang w:eastAsia="en-US"/>
        </w:rPr>
      </w:pPr>
      <w:r w:rsidRPr="00797CDB">
        <w:rPr>
          <w:rFonts w:eastAsia="TimesNewRomanPS-BoldMT"/>
          <w:b/>
        </w:rPr>
        <w:t>Jeigu pasireiškia kuris nors toliau išvardytas šalutinis poveikis, nutraukite vaisto vartojimą ir nedelsiant kvieskite medicininę pagalbą:</w:t>
      </w:r>
    </w:p>
    <w:p w:rsidR="00763C5D" w:rsidRPr="00797CDB" w:rsidRDefault="00763C5D" w:rsidP="00763C5D">
      <w:pPr>
        <w:numPr>
          <w:ilvl w:val="0"/>
          <w:numId w:val="10"/>
        </w:numPr>
        <w:tabs>
          <w:tab w:val="clear" w:pos="360"/>
          <w:tab w:val="num" w:pos="567"/>
        </w:tabs>
        <w:ind w:left="567" w:hanging="567"/>
        <w:rPr>
          <w:rFonts w:asciiTheme="minorHAnsi" w:eastAsia="TimesNewRomanPSMT" w:hAnsiTheme="minorHAnsi" w:cstheme="minorBidi"/>
          <w:szCs w:val="22"/>
          <w:lang w:eastAsia="en-US"/>
        </w:rPr>
      </w:pPr>
      <w:r w:rsidRPr="00797CDB">
        <w:rPr>
          <w:rFonts w:eastAsia="TimesNewRomanPSMT"/>
        </w:rPr>
        <w:t>alerginės reakcijos, įskaitant išbėrimus (pasireiškia nedažnai, gali paveikti rečiau kaip 1 iš 100 asmenų);</w:t>
      </w:r>
    </w:p>
    <w:p w:rsidR="00763C5D" w:rsidRPr="00A333F1" w:rsidRDefault="00763C5D" w:rsidP="00763C5D">
      <w:pPr>
        <w:numPr>
          <w:ilvl w:val="0"/>
          <w:numId w:val="10"/>
        </w:numPr>
        <w:tabs>
          <w:tab w:val="clear" w:pos="360"/>
          <w:tab w:val="num" w:pos="567"/>
        </w:tabs>
        <w:autoSpaceDE w:val="0"/>
        <w:autoSpaceDN w:val="0"/>
        <w:adjustRightInd w:val="0"/>
        <w:ind w:left="567" w:hanging="567"/>
        <w:rPr>
          <w:rFonts w:asciiTheme="minorHAnsi" w:eastAsiaTheme="minorHAnsi" w:hAnsiTheme="minorHAnsi" w:cstheme="minorBidi"/>
          <w:szCs w:val="22"/>
          <w:lang w:eastAsia="en-US"/>
        </w:rPr>
      </w:pPr>
      <w:r w:rsidRPr="00797CDB">
        <w:rPr>
          <w:rFonts w:eastAsia="TimesNewRomanPSMT"/>
        </w:rPr>
        <w:t xml:space="preserve">krūtinės skausmas - nevartokite </w:t>
      </w:r>
      <w:r w:rsidRPr="00A333F1">
        <w:t>nitra</w:t>
      </w:r>
      <w:r w:rsidRPr="00797CDB">
        <w:rPr>
          <w:rFonts w:eastAsia="TimesNewRomanPSMT"/>
        </w:rPr>
        <w:t>tų, bet nedelsiant kvieskite medicininę pagalbą (pasireiškia nedažnai, gali paveikti rečiau kaip 1 iš 100 asmenų)</w:t>
      </w:r>
      <w:r w:rsidRPr="00A333F1">
        <w:t>;</w:t>
      </w:r>
    </w:p>
    <w:p w:rsidR="00763C5D" w:rsidRPr="00797CDB" w:rsidRDefault="00763C5D" w:rsidP="00763C5D">
      <w:pPr>
        <w:numPr>
          <w:ilvl w:val="0"/>
          <w:numId w:val="10"/>
        </w:numPr>
        <w:tabs>
          <w:tab w:val="clear" w:pos="360"/>
          <w:tab w:val="num" w:pos="567"/>
        </w:tabs>
        <w:autoSpaceDE w:val="0"/>
        <w:autoSpaceDN w:val="0"/>
        <w:adjustRightInd w:val="0"/>
        <w:ind w:left="567" w:hanging="567"/>
        <w:rPr>
          <w:rFonts w:asciiTheme="minorHAnsi" w:eastAsia="TimesNewRomanPSMT" w:hAnsiTheme="minorHAnsi" w:cstheme="minorBidi"/>
          <w:szCs w:val="22"/>
          <w:lang w:eastAsia="en-US"/>
        </w:rPr>
      </w:pPr>
      <w:r w:rsidRPr="00797CDB">
        <w:rPr>
          <w:rFonts w:eastAsia="TimesNewRomanPSMT"/>
        </w:rPr>
        <w:t xml:space="preserve">priapizmas, t. y. užsitęsusi ir galbūt skausminga erekcija </w:t>
      </w:r>
      <w:r w:rsidRPr="00A333F1">
        <w:t>p</w:t>
      </w:r>
      <w:r w:rsidRPr="00797CDB">
        <w:rPr>
          <w:rFonts w:eastAsia="TimesNewRomanPSMT"/>
        </w:rPr>
        <w:t>o tadalafilio išgėrimo (pasireiškia retai, gali paveikti rečiau kaip 1 iš 1000 asmenų);</w:t>
      </w:r>
    </w:p>
    <w:p w:rsidR="00763C5D" w:rsidRPr="00797CDB" w:rsidRDefault="00763C5D" w:rsidP="00763C5D">
      <w:pPr>
        <w:numPr>
          <w:ilvl w:val="0"/>
          <w:numId w:val="10"/>
        </w:numPr>
        <w:tabs>
          <w:tab w:val="clear" w:pos="360"/>
          <w:tab w:val="num" w:pos="567"/>
        </w:tabs>
        <w:autoSpaceDE w:val="0"/>
        <w:autoSpaceDN w:val="0"/>
        <w:adjustRightInd w:val="0"/>
        <w:ind w:left="567" w:hanging="567"/>
        <w:rPr>
          <w:rFonts w:asciiTheme="minorHAnsi" w:eastAsia="TimesNewRomanPSMT" w:hAnsiTheme="minorHAnsi" w:cstheme="minorBidi"/>
          <w:szCs w:val="22"/>
          <w:lang w:eastAsia="en-US"/>
        </w:rPr>
      </w:pPr>
      <w:r w:rsidRPr="00797CDB">
        <w:rPr>
          <w:rFonts w:eastAsia="TimesNewRomanPSMT"/>
        </w:rPr>
        <w:t xml:space="preserve">Jeigu </w:t>
      </w:r>
      <w:r w:rsidRPr="00A333F1">
        <w:t xml:space="preserve">pasireiškia tokia erekcija, kuri nepaliaujamai išsilaiko ilgiau kaip 4 valandas, turite nedelsiant </w:t>
      </w:r>
      <w:r w:rsidRPr="00797CDB">
        <w:rPr>
          <w:rFonts w:eastAsia="TimesNewRomanPSMT"/>
        </w:rPr>
        <w:t>kreiptis į gydytoją;</w:t>
      </w:r>
    </w:p>
    <w:p w:rsidR="00763C5D" w:rsidRPr="00A333F1" w:rsidRDefault="00763C5D" w:rsidP="00763C5D">
      <w:pPr>
        <w:numPr>
          <w:ilvl w:val="0"/>
          <w:numId w:val="10"/>
        </w:numPr>
        <w:tabs>
          <w:tab w:val="clear" w:pos="360"/>
          <w:tab w:val="num" w:pos="567"/>
        </w:tabs>
        <w:autoSpaceDE w:val="0"/>
        <w:autoSpaceDN w:val="0"/>
        <w:adjustRightInd w:val="0"/>
        <w:ind w:left="567" w:hanging="567"/>
      </w:pPr>
      <w:r w:rsidRPr="00A333F1">
        <w:t>staigus apakimas (</w:t>
      </w:r>
      <w:r>
        <w:t xml:space="preserve">(dažnis retas, </w:t>
      </w:r>
      <w:r w:rsidRPr="00A333F1">
        <w:t>gali paveikti rečiau kaip 1 iš 1000 asmenų)</w:t>
      </w:r>
      <w:r>
        <w:t>,</w:t>
      </w:r>
    </w:p>
    <w:p w:rsidR="00763C5D" w:rsidRPr="00A333F1" w:rsidRDefault="00763C5D" w:rsidP="00763C5D">
      <w:pPr>
        <w:numPr>
          <w:ilvl w:val="0"/>
          <w:numId w:val="10"/>
        </w:numPr>
        <w:tabs>
          <w:tab w:val="clear" w:pos="360"/>
          <w:tab w:val="num" w:pos="567"/>
        </w:tabs>
        <w:autoSpaceDE w:val="0"/>
        <w:autoSpaceDN w:val="0"/>
        <w:adjustRightInd w:val="0"/>
        <w:ind w:left="567" w:hanging="567"/>
      </w:pPr>
      <w:r>
        <w:t>)iškreiptas, pritemęs, neryškus centrinis matymas arba staigus regos susilpnėjimas (dažnis nežinomas).</w:t>
      </w:r>
    </w:p>
    <w:p w:rsidR="00763C5D" w:rsidRPr="00A333F1" w:rsidRDefault="00763C5D" w:rsidP="00763C5D">
      <w:pPr>
        <w:autoSpaceDE w:val="0"/>
        <w:autoSpaceDN w:val="0"/>
        <w:adjustRightInd w:val="0"/>
        <w:rPr>
          <w:rFonts w:asciiTheme="minorHAnsi" w:eastAsiaTheme="minorHAnsi" w:hAnsiTheme="minorHAnsi" w:cstheme="minorBidi"/>
          <w:szCs w:val="22"/>
          <w:lang w:eastAsia="en-US"/>
        </w:rPr>
      </w:pPr>
      <w:r w:rsidRPr="00797CDB">
        <w:rPr>
          <w:rFonts w:eastAsia="TimesNewRomanPSMT"/>
        </w:rPr>
        <w:t>Buvo pranešta apie kitus šalutinio poveikio atvejus</w:t>
      </w:r>
      <w:r w:rsidRPr="00A333F1">
        <w:t>.</w:t>
      </w:r>
    </w:p>
    <w:p w:rsidR="00763C5D" w:rsidRPr="00A333F1" w:rsidRDefault="00763C5D" w:rsidP="00763C5D">
      <w:pPr>
        <w:autoSpaceDE w:val="0"/>
        <w:autoSpaceDN w:val="0"/>
        <w:adjustRightInd w:val="0"/>
        <w:rPr>
          <w:b/>
        </w:rPr>
      </w:pPr>
    </w:p>
    <w:p w:rsidR="00763C5D" w:rsidRPr="00A333F1" w:rsidRDefault="00763C5D" w:rsidP="00763C5D">
      <w:pPr>
        <w:autoSpaceDE w:val="0"/>
        <w:autoSpaceDN w:val="0"/>
        <w:adjustRightInd w:val="0"/>
      </w:pPr>
      <w:r>
        <w:rPr>
          <w:rFonts w:eastAsia="SimSun"/>
          <w:szCs w:val="22"/>
          <w:u w:val="single"/>
        </w:rPr>
        <w:t>Dažni šalutinio poveikio reiškiniai (gali pasireikšti rečiau kaip 1 iš 10 asmenų):</w:t>
      </w:r>
    </w:p>
    <w:p w:rsidR="00763C5D" w:rsidRPr="00A333F1" w:rsidRDefault="00763C5D" w:rsidP="00763C5D">
      <w:pPr>
        <w:numPr>
          <w:ilvl w:val="0"/>
          <w:numId w:val="4"/>
        </w:numPr>
        <w:autoSpaceDE w:val="0"/>
        <w:autoSpaceDN w:val="0"/>
        <w:adjustRightInd w:val="0"/>
        <w:ind w:left="567" w:hanging="567"/>
      </w:pPr>
      <w:r w:rsidRPr="00A333F1">
        <w:t xml:space="preserve">Galvos skausmas, nugaros skausmas, </w:t>
      </w:r>
      <w:r w:rsidRPr="00797CDB">
        <w:rPr>
          <w:rFonts w:eastAsia="TimesNewRomanPSMT"/>
        </w:rPr>
        <w:t xml:space="preserve">raumenų gėla, rankų ir kojų skausmas, </w:t>
      </w:r>
      <w:r w:rsidRPr="00A333F1">
        <w:t>veido ir kaklo paraudimas, nosies užgulimas, nevirškinimas.</w:t>
      </w:r>
    </w:p>
    <w:p w:rsidR="00763C5D" w:rsidRPr="00A333F1" w:rsidRDefault="00763C5D" w:rsidP="00763C5D">
      <w:pPr>
        <w:autoSpaceDE w:val="0"/>
        <w:autoSpaceDN w:val="0"/>
        <w:adjustRightInd w:val="0"/>
      </w:pPr>
    </w:p>
    <w:p w:rsidR="00763C5D" w:rsidRPr="00A333F1" w:rsidRDefault="00763C5D" w:rsidP="00763C5D">
      <w:pPr>
        <w:autoSpaceDE w:val="0"/>
        <w:autoSpaceDN w:val="0"/>
        <w:adjustRightInd w:val="0"/>
      </w:pPr>
      <w:r>
        <w:rPr>
          <w:rFonts w:eastAsia="SimSun"/>
          <w:szCs w:val="22"/>
          <w:u w:val="single"/>
        </w:rPr>
        <w:t>Nedažni šalutinio poveikio reiškiniai (gali pasireikšti rečiau kaip 1 iš 100 asmenų):</w:t>
      </w:r>
    </w:p>
    <w:p w:rsidR="00763C5D" w:rsidRPr="00A333F1" w:rsidRDefault="00763C5D" w:rsidP="00763C5D">
      <w:pPr>
        <w:numPr>
          <w:ilvl w:val="0"/>
          <w:numId w:val="2"/>
        </w:numPr>
        <w:autoSpaceDE w:val="0"/>
        <w:autoSpaceDN w:val="0"/>
        <w:adjustRightInd w:val="0"/>
      </w:pPr>
      <w:r w:rsidRPr="00A333F1">
        <w:t xml:space="preserve">Svaigulys, pilvo skausmas, šleikštulys, blogavimas (vėmimas), refliuksas, </w:t>
      </w:r>
      <w:r w:rsidRPr="00797CDB">
        <w:rPr>
          <w:rFonts w:eastAsia="TimesNewRomanPSMT"/>
        </w:rPr>
        <w:t>daiktų matym</w:t>
      </w:r>
      <w:r w:rsidRPr="00A333F1">
        <w:t xml:space="preserve">as </w:t>
      </w:r>
      <w:r w:rsidRPr="00797CDB">
        <w:rPr>
          <w:rFonts w:eastAsia="TimesNewRomanPSMT"/>
        </w:rPr>
        <w:t xml:space="preserve">lyg per miglą, akių skausmas, </w:t>
      </w:r>
      <w:r w:rsidRPr="00A333F1">
        <w:t>apsunkintas kvėpavimas</w:t>
      </w:r>
      <w:r w:rsidRPr="00797CDB">
        <w:rPr>
          <w:rFonts w:eastAsia="TimesNewRomanPSMT"/>
        </w:rPr>
        <w:t xml:space="preserve">, kraujas šlapime, užsitęsusi erekcija, </w:t>
      </w:r>
      <w:r w:rsidRPr="00A333F1">
        <w:t>širdies plakimo jutimas, dažnas širdies plakimas</w:t>
      </w:r>
      <w:r w:rsidRPr="00797CDB">
        <w:rPr>
          <w:rFonts w:eastAsia="TimesNewRomanPSMT"/>
        </w:rPr>
        <w:t>, aukštas kraujo spaudimas</w:t>
      </w:r>
      <w:r w:rsidRPr="00A333F1">
        <w:t xml:space="preserve">, </w:t>
      </w:r>
      <w:r w:rsidRPr="00797CDB">
        <w:rPr>
          <w:rFonts w:eastAsia="TimesNewRomanPSMT"/>
        </w:rPr>
        <w:t>žemas kraujo spaudimas</w:t>
      </w:r>
      <w:r w:rsidRPr="00A333F1">
        <w:t>, kraujavimas iš nosies,</w:t>
      </w:r>
      <w:r w:rsidRPr="00797CDB">
        <w:rPr>
          <w:rFonts w:eastAsia="TimesNewRomanPSMT"/>
        </w:rPr>
        <w:t xml:space="preserve"> skambėjimas ausyse, rankų, pėdų ar kulkšnių patinimas ir nuovargio pojūtis</w:t>
      </w:r>
      <w:r w:rsidRPr="00A333F1">
        <w:t>.</w:t>
      </w:r>
    </w:p>
    <w:p w:rsidR="00763C5D" w:rsidRPr="00A333F1" w:rsidRDefault="00763C5D" w:rsidP="00763C5D">
      <w:pPr>
        <w:autoSpaceDE w:val="0"/>
        <w:autoSpaceDN w:val="0"/>
        <w:adjustRightInd w:val="0"/>
      </w:pPr>
    </w:p>
    <w:p w:rsidR="00763C5D" w:rsidRPr="00A333F1" w:rsidRDefault="00763C5D" w:rsidP="00763C5D">
      <w:pPr>
        <w:autoSpaceDE w:val="0"/>
        <w:autoSpaceDN w:val="0"/>
        <w:adjustRightInd w:val="0"/>
      </w:pPr>
      <w:r w:rsidRPr="00A333F1">
        <w:rPr>
          <w:b/>
        </w:rPr>
        <w:t>Ret</w:t>
      </w:r>
      <w:r>
        <w:rPr>
          <w:b/>
        </w:rPr>
        <w:t xml:space="preserve">i </w:t>
      </w:r>
      <w:r>
        <w:rPr>
          <w:rFonts w:eastAsia="SimSun"/>
          <w:szCs w:val="22"/>
          <w:u w:val="single"/>
        </w:rPr>
        <w:t>šalutinio poveikio reiškiniai (gali pasireikšti rečiau kaip 1 iš 1 000 asmenų):</w:t>
      </w:r>
      <w:r w:rsidRPr="00A333F1">
        <w:rPr>
          <w:b/>
        </w:rPr>
        <w:t xml:space="preserve"> </w:t>
      </w:r>
      <w:r w:rsidRPr="00A333F1">
        <w:t xml:space="preserve">Alpimas, priepuoliai ir praeinantis atminties praradimas, </w:t>
      </w:r>
      <w:r w:rsidRPr="00797CDB">
        <w:rPr>
          <w:rFonts w:eastAsia="TimesNewRomanPSMT"/>
        </w:rPr>
        <w:t>akių vokų patinimas, akių paraudimas, staigus klausos susilpnėjimas ar netekimas,</w:t>
      </w:r>
      <w:r w:rsidRPr="00A333F1">
        <w:t xml:space="preserve"> </w:t>
      </w:r>
      <w:r w:rsidRPr="00797CDB">
        <w:rPr>
          <w:rFonts w:eastAsia="TimesNewRomanPSMT"/>
        </w:rPr>
        <w:t xml:space="preserve">dilgėlinė </w:t>
      </w:r>
      <w:r w:rsidRPr="00A333F1">
        <w:t>(niežtintys raudoni gumbai ant odos paviršiaus), kraujavimas iš varpos, kraujas spermoje ir padidėjęs prakaitavimas.</w:t>
      </w:r>
    </w:p>
    <w:p w:rsidR="00763C5D" w:rsidRPr="00797CDB" w:rsidRDefault="00763C5D" w:rsidP="00763C5D">
      <w:pPr>
        <w:autoSpaceDE w:val="0"/>
        <w:autoSpaceDN w:val="0"/>
        <w:adjustRightInd w:val="0"/>
        <w:rPr>
          <w:rFonts w:eastAsia="TimesNewRomanPSMT"/>
        </w:rPr>
      </w:pPr>
    </w:p>
    <w:p w:rsidR="00763C5D" w:rsidRPr="00A333F1" w:rsidRDefault="00763C5D" w:rsidP="00763C5D">
      <w:pPr>
        <w:autoSpaceDE w:val="0"/>
        <w:autoSpaceDN w:val="0"/>
        <w:adjustRightInd w:val="0"/>
        <w:rPr>
          <w:rFonts w:asciiTheme="minorHAnsi" w:eastAsiaTheme="minorHAnsi" w:hAnsiTheme="minorHAnsi" w:cstheme="minorBidi"/>
          <w:szCs w:val="22"/>
          <w:lang w:eastAsia="en-US"/>
        </w:rPr>
      </w:pPr>
      <w:r w:rsidRPr="00797CDB">
        <w:rPr>
          <w:rFonts w:eastAsia="TimesNewRomanPSMT"/>
        </w:rPr>
        <w:t xml:space="preserve">Be to, retai gauta pranešimų apie </w:t>
      </w:r>
      <w:r w:rsidRPr="00A333F1">
        <w:t xml:space="preserve">širdies priepuolį ar insultą vyrams, vartojantiems tadalafilio. Daugumai </w:t>
      </w:r>
      <w:r w:rsidRPr="00797CDB">
        <w:rPr>
          <w:rFonts w:eastAsia="TimesNewRomanPSMT"/>
        </w:rPr>
        <w:t>šių vyrų buvo širdies veiklos sutrikimų prieš pradedant vartoti šio vaisto</w:t>
      </w:r>
      <w:r w:rsidRPr="00A333F1">
        <w:t>.</w:t>
      </w:r>
    </w:p>
    <w:p w:rsidR="00763C5D" w:rsidRPr="00797CDB" w:rsidRDefault="00763C5D" w:rsidP="00763C5D">
      <w:pPr>
        <w:autoSpaceDE w:val="0"/>
        <w:autoSpaceDN w:val="0"/>
        <w:adjustRightInd w:val="0"/>
        <w:rPr>
          <w:rFonts w:eastAsia="TimesNewRomanPSMT"/>
        </w:rPr>
      </w:pPr>
    </w:p>
    <w:p w:rsidR="00763C5D" w:rsidRPr="00797CDB" w:rsidRDefault="00763C5D" w:rsidP="00763C5D">
      <w:pPr>
        <w:autoSpaceDE w:val="0"/>
        <w:autoSpaceDN w:val="0"/>
        <w:adjustRightInd w:val="0"/>
        <w:rPr>
          <w:rFonts w:asciiTheme="minorHAnsi" w:eastAsia="TimesNewRomanPSMT" w:hAnsiTheme="minorHAnsi" w:cstheme="minorBidi"/>
          <w:szCs w:val="22"/>
          <w:lang w:eastAsia="en-US"/>
        </w:rPr>
      </w:pPr>
      <w:r w:rsidRPr="00797CDB">
        <w:rPr>
          <w:rFonts w:eastAsia="TimesNewRomanPSMT"/>
        </w:rPr>
        <w:t>Retai buvo pranešta apie dalinį, staigų, laikiną ar nuolatinį regėjimo viena ar abiem akimis susilpnėjimą ar praradimą.</w:t>
      </w:r>
    </w:p>
    <w:p w:rsidR="00763C5D" w:rsidRPr="00797CDB" w:rsidRDefault="00763C5D" w:rsidP="00763C5D">
      <w:pPr>
        <w:autoSpaceDE w:val="0"/>
        <w:autoSpaceDN w:val="0"/>
        <w:adjustRightInd w:val="0"/>
        <w:rPr>
          <w:rFonts w:eastAsia="TimesNewRomanPSMT"/>
        </w:rPr>
      </w:pPr>
    </w:p>
    <w:p w:rsidR="00763C5D" w:rsidRPr="00A333F1" w:rsidRDefault="00763C5D" w:rsidP="00763C5D">
      <w:pPr>
        <w:numPr>
          <w:ilvl w:val="12"/>
          <w:numId w:val="0"/>
        </w:numPr>
        <w:ind w:right="-29"/>
      </w:pPr>
      <w:r w:rsidRPr="00A333F1">
        <w:t xml:space="preserve">Tadalafilio vartojantiems vyrams buvo pastebėtas </w:t>
      </w:r>
      <w:r w:rsidRPr="00A333F1">
        <w:rPr>
          <w:b/>
        </w:rPr>
        <w:t>kitoks papildomas retas šalutinis poveikis</w:t>
      </w:r>
      <w:r w:rsidRPr="00A333F1">
        <w:t xml:space="preserve">, kuris klinikinių tyrimų metu nepasireiškė. Toks poveikis yra: </w:t>
      </w:r>
    </w:p>
    <w:p w:rsidR="00763C5D" w:rsidRDefault="00763C5D" w:rsidP="00763C5D">
      <w:pPr>
        <w:numPr>
          <w:ilvl w:val="0"/>
          <w:numId w:val="5"/>
        </w:numPr>
        <w:tabs>
          <w:tab w:val="left" w:pos="567"/>
        </w:tabs>
        <w:ind w:left="567" w:hanging="567"/>
      </w:pPr>
      <w:r w:rsidRPr="00A333F1">
        <w:t>migrena, veido patinimas, sunki alerginė reakcija, sukelianti veido arba gerklės patinimą, sunkus odos išbėrimas, kai kurie sutrikimai, darantys poveikį akių aprūpinimui krauju, nereguliarus širdies plakimas, angina ir staigi mirtis dėl širdies sutrikimo</w:t>
      </w:r>
    </w:p>
    <w:p w:rsidR="00763C5D" w:rsidRPr="00A333F1" w:rsidRDefault="00763C5D" w:rsidP="00763C5D">
      <w:pPr>
        <w:numPr>
          <w:ilvl w:val="0"/>
          <w:numId w:val="5"/>
        </w:numPr>
        <w:tabs>
          <w:tab w:val="left" w:pos="567"/>
        </w:tabs>
        <w:ind w:left="567" w:hanging="567"/>
      </w:pPr>
      <w:r>
        <w:t>iškreiptas, pritemęs, neryškus centrinis matymas arba staigus regos susilpnėjimas (dažnis nežinomas)</w:t>
      </w:r>
      <w:r w:rsidRPr="00A333F1">
        <w:t xml:space="preserve"> </w:t>
      </w:r>
    </w:p>
    <w:p w:rsidR="00763C5D" w:rsidRPr="00A333F1" w:rsidRDefault="00763C5D" w:rsidP="00763C5D">
      <w:pPr>
        <w:ind w:right="-28"/>
      </w:pPr>
    </w:p>
    <w:p w:rsidR="00763C5D" w:rsidRPr="00797CDB" w:rsidRDefault="00763C5D" w:rsidP="00763C5D">
      <w:pPr>
        <w:autoSpaceDE w:val="0"/>
        <w:autoSpaceDN w:val="0"/>
        <w:adjustRightInd w:val="0"/>
        <w:rPr>
          <w:rFonts w:eastAsia="TimesNewRomanPSMT"/>
        </w:rPr>
      </w:pPr>
      <w:r w:rsidRPr="00A333F1">
        <w:t>Buvo pranešta, kad šalutinis poveikis − svaigulys – dažniau pasireiškė tadalafilio vartojantiems vyresniems negu 75 metų vyrams. Buvo pranešta, kad viduriavimas dažniau nustatytas tadalafilio vartojantiems vyresniems negu 65 metų vyrams.</w:t>
      </w:r>
    </w:p>
    <w:p w:rsidR="00763C5D" w:rsidRPr="00A333F1" w:rsidRDefault="00763C5D" w:rsidP="00763C5D">
      <w:pPr>
        <w:autoSpaceDE w:val="0"/>
        <w:autoSpaceDN w:val="0"/>
        <w:adjustRightInd w:val="0"/>
      </w:pPr>
    </w:p>
    <w:p w:rsidR="00763C5D" w:rsidRPr="00A333F1" w:rsidRDefault="00763C5D" w:rsidP="00763C5D">
      <w:pPr>
        <w:rPr>
          <w:b/>
        </w:rPr>
      </w:pPr>
      <w:r w:rsidRPr="00A333F1">
        <w:rPr>
          <w:b/>
        </w:rPr>
        <w:t>Pranešimas apie šalutinį poveikį</w:t>
      </w:r>
    </w:p>
    <w:p w:rsidR="00763C5D" w:rsidRPr="005D554B" w:rsidRDefault="00763C5D" w:rsidP="00763C5D">
      <w:pPr>
        <w:tabs>
          <w:tab w:val="left" w:pos="567"/>
        </w:tabs>
        <w:spacing w:line="260" w:lineRule="exact"/>
        <w:ind w:right="-1"/>
        <w:rPr>
          <w:snapToGrid w:val="0"/>
        </w:rPr>
      </w:pPr>
      <w:r w:rsidRPr="005D554B">
        <w:rPr>
          <w:snapToGrid w:val="0"/>
        </w:rPr>
        <w:t>Jeigu pasireiškė šalutinis poveikis, įskaitant šiame lapelyje nenurodytą, pasakykite gydytojui</w:t>
      </w:r>
      <w:r>
        <w:rPr>
          <w:snapToGrid w:val="0"/>
        </w:rPr>
        <w:t xml:space="preserve"> </w:t>
      </w:r>
      <w:r w:rsidRPr="005D554B">
        <w:rPr>
          <w:snapToGrid w:val="0"/>
        </w:rPr>
        <w:t xml:space="preserve">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D554B">
          <w:rPr>
            <w:snapToGrid w:val="0"/>
            <w:color w:val="0000FF"/>
            <w:u w:val="single"/>
          </w:rPr>
          <w:t>https://vapris.vvkt.lt/vvkt-web/public/nrv</w:t>
        </w:r>
      </w:hyperlink>
      <w:r w:rsidRPr="005D554B">
        <w:rPr>
          <w:snapToGrid w:val="0"/>
        </w:rPr>
        <w:t xml:space="preserve"> arba užpildant Paciento pranešimo apie įtariamą nepageidaujamą reakciją (ĮNR) formą, kuri skelbiama </w:t>
      </w:r>
      <w:hyperlink r:id="rId6" w:history="1">
        <w:r w:rsidRPr="005D554B">
          <w:rPr>
            <w:snapToGrid w:val="0"/>
            <w:color w:val="0000FF"/>
            <w:u w:val="single"/>
          </w:rPr>
          <w:t>https://www.vvkt.lt/index.php?4004286486</w:t>
        </w:r>
      </w:hyperlink>
      <w:r w:rsidRPr="005D554B">
        <w:rPr>
          <w:snapToGrid w:val="0"/>
        </w:rPr>
        <w:t xml:space="preserve">, ir atsiunčiant elektroniniu paštu (adresu </w:t>
      </w:r>
      <w:hyperlink r:id="rId7" w:history="1">
        <w:r w:rsidRPr="005D554B">
          <w:rPr>
            <w:snapToGrid w:val="0"/>
            <w:color w:val="0000FF"/>
            <w:u w:val="single"/>
          </w:rPr>
          <w:t>NepageidaujamaR@vvkt.lt</w:t>
        </w:r>
      </w:hyperlink>
      <w:r w:rsidRPr="005D554B">
        <w:rPr>
          <w:snapToGrid w:val="0"/>
        </w:rPr>
        <w:t>) arba nemokamu telefonu 8 800 73 568. Pranešdami apie šalutinį poveikį galite mums padėti gauti daugiau informacijos apie šio vaisto saugumą.</w:t>
      </w:r>
    </w:p>
    <w:p w:rsidR="00763C5D" w:rsidRPr="00A333F1" w:rsidRDefault="00763C5D" w:rsidP="00763C5D">
      <w:pPr>
        <w:ind w:right="-1"/>
      </w:pPr>
    </w:p>
    <w:p w:rsidR="00763C5D" w:rsidRPr="00A333F1" w:rsidRDefault="00763C5D" w:rsidP="00763C5D">
      <w:pPr>
        <w:ind w:right="-449"/>
      </w:pPr>
    </w:p>
    <w:p w:rsidR="00763C5D" w:rsidRPr="00A333F1" w:rsidRDefault="00763C5D" w:rsidP="00763C5D">
      <w:pPr>
        <w:keepNext/>
        <w:outlineLvl w:val="2"/>
        <w:rPr>
          <w:b/>
        </w:rPr>
      </w:pPr>
      <w:r w:rsidRPr="00A333F1">
        <w:rPr>
          <w:b/>
        </w:rPr>
        <w:t>5.</w:t>
      </w:r>
      <w:r w:rsidRPr="00A333F1">
        <w:rPr>
          <w:b/>
        </w:rPr>
        <w:tab/>
        <w:t xml:space="preserve">Kaip laikyti </w:t>
      </w:r>
      <w:r w:rsidRPr="00797CDB">
        <w:rPr>
          <w:rFonts w:eastAsia="TimesNewRomanPSMT"/>
          <w:b/>
        </w:rPr>
        <w:t>Quator</w:t>
      </w:r>
    </w:p>
    <w:p w:rsidR="00763C5D" w:rsidRPr="00A333F1" w:rsidRDefault="00763C5D" w:rsidP="00763C5D">
      <w:pPr>
        <w:numPr>
          <w:ilvl w:val="12"/>
          <w:numId w:val="0"/>
        </w:numPr>
        <w:ind w:right="-2"/>
      </w:pPr>
    </w:p>
    <w:p w:rsidR="00763C5D" w:rsidRPr="00A333F1" w:rsidRDefault="00763C5D" w:rsidP="00763C5D">
      <w:pPr>
        <w:numPr>
          <w:ilvl w:val="12"/>
          <w:numId w:val="0"/>
        </w:numPr>
        <w:ind w:right="-2"/>
      </w:pPr>
      <w:r w:rsidRPr="00A333F1">
        <w:t>Šį vaistą laikykite vaikams nepastebimoje ir nepasiekiamoje vietoje.</w:t>
      </w:r>
    </w:p>
    <w:p w:rsidR="00763C5D" w:rsidRPr="00A333F1" w:rsidRDefault="00763C5D" w:rsidP="00763C5D">
      <w:pPr>
        <w:numPr>
          <w:ilvl w:val="12"/>
          <w:numId w:val="0"/>
        </w:numPr>
        <w:ind w:right="-2"/>
      </w:pPr>
    </w:p>
    <w:p w:rsidR="00763C5D" w:rsidRPr="00A333F1" w:rsidRDefault="00763C5D" w:rsidP="00763C5D">
      <w:pPr>
        <w:numPr>
          <w:ilvl w:val="12"/>
          <w:numId w:val="0"/>
        </w:numPr>
        <w:ind w:right="-2"/>
      </w:pPr>
      <w:r w:rsidRPr="00A333F1">
        <w:t>Ant dėžutės ir lizdinės plokštelės po „EXP“ nurodytam tinkamumo laikui pasibaigus, šio vaisto vartoti negalima. Vaistas tinkamas vartoti iki paskutinės nurodyto mėnesio dienos.</w:t>
      </w:r>
    </w:p>
    <w:p w:rsidR="00763C5D" w:rsidRPr="00A333F1" w:rsidRDefault="00763C5D" w:rsidP="00763C5D">
      <w:pPr>
        <w:numPr>
          <w:ilvl w:val="12"/>
          <w:numId w:val="0"/>
        </w:numPr>
        <w:ind w:right="-2"/>
      </w:pPr>
    </w:p>
    <w:p w:rsidR="00763C5D" w:rsidRPr="00A333F1" w:rsidRDefault="00763C5D" w:rsidP="00763C5D">
      <w:pPr>
        <w:numPr>
          <w:ilvl w:val="12"/>
          <w:numId w:val="0"/>
        </w:numPr>
        <w:ind w:right="-2"/>
      </w:pPr>
      <w:r w:rsidRPr="00A333F1">
        <w:t>Šiam vaistui specialių laikymo sąlygų nereikia.</w:t>
      </w:r>
    </w:p>
    <w:p w:rsidR="00763C5D" w:rsidRPr="00A333F1" w:rsidRDefault="00763C5D" w:rsidP="00763C5D">
      <w:pPr>
        <w:numPr>
          <w:ilvl w:val="12"/>
          <w:numId w:val="0"/>
        </w:numPr>
        <w:ind w:right="-2"/>
      </w:pPr>
    </w:p>
    <w:p w:rsidR="00763C5D" w:rsidRPr="00A333F1" w:rsidRDefault="00763C5D" w:rsidP="00763C5D">
      <w:pPr>
        <w:numPr>
          <w:ilvl w:val="12"/>
          <w:numId w:val="0"/>
        </w:numPr>
        <w:ind w:right="-2"/>
      </w:pPr>
      <w:r w:rsidRPr="00A333F1">
        <w:t>Vaistų negalima išmesti į kanalizaciją arba su buitinėmis atliekomis. Kaip išmesti nereikalingus vaistus, klauskite vaistininko. Šios priemonės padės apsaugoti aplinką.</w:t>
      </w:r>
    </w:p>
    <w:p w:rsidR="00763C5D" w:rsidRPr="00A333F1" w:rsidRDefault="00763C5D" w:rsidP="00763C5D">
      <w:pPr>
        <w:numPr>
          <w:ilvl w:val="12"/>
          <w:numId w:val="0"/>
        </w:numPr>
        <w:ind w:right="-2"/>
        <w:rPr>
          <w:i/>
        </w:rPr>
      </w:pPr>
    </w:p>
    <w:p w:rsidR="00763C5D" w:rsidRPr="00A333F1" w:rsidRDefault="00763C5D" w:rsidP="00763C5D">
      <w:pPr>
        <w:numPr>
          <w:ilvl w:val="12"/>
          <w:numId w:val="0"/>
        </w:numPr>
        <w:ind w:right="-2"/>
      </w:pPr>
    </w:p>
    <w:p w:rsidR="00763C5D" w:rsidRPr="00A333F1" w:rsidRDefault="00763C5D" w:rsidP="00763C5D">
      <w:pPr>
        <w:keepNext/>
        <w:outlineLvl w:val="2"/>
        <w:rPr>
          <w:b/>
        </w:rPr>
      </w:pPr>
      <w:r w:rsidRPr="00A333F1">
        <w:rPr>
          <w:b/>
        </w:rPr>
        <w:t>6.</w:t>
      </w:r>
      <w:r w:rsidRPr="00A333F1">
        <w:tab/>
      </w:r>
      <w:r w:rsidRPr="00A333F1">
        <w:rPr>
          <w:b/>
        </w:rPr>
        <w:t>Pakuotės turinys ir kita informacija</w:t>
      </w:r>
    </w:p>
    <w:p w:rsidR="00763C5D" w:rsidRPr="00A333F1" w:rsidRDefault="00763C5D" w:rsidP="00763C5D">
      <w:pPr>
        <w:numPr>
          <w:ilvl w:val="12"/>
          <w:numId w:val="0"/>
        </w:numPr>
      </w:pPr>
    </w:p>
    <w:p w:rsidR="00763C5D" w:rsidRPr="00A333F1" w:rsidRDefault="00763C5D" w:rsidP="00763C5D">
      <w:pPr>
        <w:rPr>
          <w:b/>
        </w:rPr>
      </w:pPr>
      <w:r w:rsidRPr="00A333F1">
        <w:rPr>
          <w:b/>
        </w:rPr>
        <w:t xml:space="preserve">Quator sudėtis </w:t>
      </w:r>
    </w:p>
    <w:p w:rsidR="00763C5D" w:rsidRPr="00A333F1" w:rsidRDefault="00763C5D" w:rsidP="00763C5D">
      <w:pPr>
        <w:numPr>
          <w:ilvl w:val="0"/>
          <w:numId w:val="1"/>
        </w:numPr>
        <w:ind w:right="-2"/>
      </w:pPr>
      <w:r w:rsidRPr="00A333F1">
        <w:t xml:space="preserve">Veiklioji medžiaga yra tadalafilis. </w:t>
      </w:r>
    </w:p>
    <w:p w:rsidR="00763C5D" w:rsidRPr="00A333F1" w:rsidRDefault="00763C5D" w:rsidP="00763C5D">
      <w:pPr>
        <w:ind w:right="-2"/>
      </w:pPr>
    </w:p>
    <w:p w:rsidR="00763C5D" w:rsidRPr="00A333F1" w:rsidRDefault="00763C5D" w:rsidP="00763C5D">
      <w:pPr>
        <w:autoSpaceDE w:val="0"/>
        <w:autoSpaceDN w:val="0"/>
        <w:adjustRightInd w:val="0"/>
        <w:rPr>
          <w:b/>
        </w:rPr>
      </w:pPr>
      <w:r w:rsidRPr="00A333F1">
        <w:rPr>
          <w:b/>
        </w:rPr>
        <w:t>Quator 5 mg pl</w:t>
      </w:r>
      <w:r w:rsidRPr="00797CDB">
        <w:rPr>
          <w:rFonts w:eastAsia="TimesNewRomanPSMT"/>
          <w:b/>
        </w:rPr>
        <w:t>ė</w:t>
      </w:r>
      <w:r w:rsidRPr="00A333F1">
        <w:rPr>
          <w:b/>
        </w:rPr>
        <w:t>vele dengtos tablet</w:t>
      </w:r>
      <w:r w:rsidRPr="00797CDB">
        <w:rPr>
          <w:rFonts w:eastAsia="TimesNewRomanPSMT"/>
          <w:b/>
        </w:rPr>
        <w:t>ė</w:t>
      </w:r>
      <w:r w:rsidRPr="00A333F1">
        <w:rPr>
          <w:b/>
        </w:rPr>
        <w:t>s</w:t>
      </w:r>
    </w:p>
    <w:p w:rsidR="00763C5D" w:rsidRPr="00797CDB" w:rsidRDefault="00763C5D" w:rsidP="00763C5D">
      <w:pPr>
        <w:autoSpaceDE w:val="0"/>
        <w:autoSpaceDN w:val="0"/>
        <w:adjustRightInd w:val="0"/>
        <w:rPr>
          <w:rFonts w:eastAsia="TimesNewRomanPSMT"/>
        </w:rPr>
      </w:pPr>
      <w:r w:rsidRPr="00A333F1">
        <w:t>K</w:t>
      </w:r>
      <w:r w:rsidRPr="00797CDB">
        <w:rPr>
          <w:rFonts w:eastAsia="TimesNewRomanPSMT"/>
        </w:rPr>
        <w:t>iekvienoje plėvele dengtoje tabletėje yra 5 mg tadalafilio.</w:t>
      </w:r>
    </w:p>
    <w:p w:rsidR="00763C5D" w:rsidRPr="00A333F1" w:rsidRDefault="00763C5D" w:rsidP="00763C5D"/>
    <w:p w:rsidR="00763C5D" w:rsidRPr="00F1648C" w:rsidRDefault="00763C5D" w:rsidP="00763C5D">
      <w:pPr>
        <w:shd w:val="clear" w:color="auto" w:fill="FFFFFF" w:themeFill="background1"/>
        <w:autoSpaceDE w:val="0"/>
        <w:autoSpaceDN w:val="0"/>
        <w:adjustRightInd w:val="0"/>
        <w:rPr>
          <w:b/>
          <w:highlight w:val="lightGray"/>
        </w:rPr>
      </w:pPr>
      <w:r w:rsidRPr="00F1648C">
        <w:rPr>
          <w:b/>
          <w:highlight w:val="lightGray"/>
        </w:rPr>
        <w:t>Quator 10 mg pl</w:t>
      </w:r>
      <w:r w:rsidRPr="00F1648C">
        <w:rPr>
          <w:rFonts w:eastAsia="TimesNewRomanPSMT"/>
          <w:b/>
          <w:highlight w:val="lightGray"/>
        </w:rPr>
        <w:t>ė</w:t>
      </w:r>
      <w:r w:rsidRPr="00F1648C">
        <w:rPr>
          <w:b/>
          <w:highlight w:val="lightGray"/>
        </w:rPr>
        <w:t>vele dengtos tablet</w:t>
      </w:r>
      <w:r w:rsidRPr="00F1648C">
        <w:rPr>
          <w:rFonts w:eastAsia="TimesNewRomanPSMT"/>
          <w:b/>
          <w:highlight w:val="lightGray"/>
        </w:rPr>
        <w:t>ė</w:t>
      </w:r>
      <w:r w:rsidRPr="00F1648C">
        <w:rPr>
          <w:b/>
          <w:highlight w:val="lightGray"/>
        </w:rPr>
        <w:t>s</w:t>
      </w:r>
    </w:p>
    <w:p w:rsidR="00763C5D" w:rsidRPr="00797CDB" w:rsidRDefault="00763C5D" w:rsidP="00763C5D">
      <w:pPr>
        <w:shd w:val="clear" w:color="auto" w:fill="FFFFFF" w:themeFill="background1"/>
        <w:autoSpaceDE w:val="0"/>
        <w:autoSpaceDN w:val="0"/>
        <w:adjustRightInd w:val="0"/>
        <w:rPr>
          <w:rFonts w:eastAsia="TimesNewRomanPSMT"/>
        </w:rPr>
      </w:pPr>
      <w:r w:rsidRPr="00F1648C">
        <w:rPr>
          <w:highlight w:val="lightGray"/>
        </w:rPr>
        <w:t>K</w:t>
      </w:r>
      <w:r w:rsidRPr="00F1648C">
        <w:rPr>
          <w:rFonts w:eastAsia="TimesNewRomanPSMT"/>
          <w:highlight w:val="lightGray"/>
        </w:rPr>
        <w:t>iekvienoje plėvele dengtoje tabletėje yra 10 mg tadalafilio</w:t>
      </w:r>
      <w:r w:rsidRPr="00797CDB">
        <w:rPr>
          <w:rFonts w:eastAsia="TimesNewRomanPSMT"/>
        </w:rPr>
        <w:t>.</w:t>
      </w:r>
    </w:p>
    <w:p w:rsidR="00763C5D" w:rsidRPr="00A333F1" w:rsidRDefault="00763C5D" w:rsidP="00763C5D"/>
    <w:p w:rsidR="00763C5D" w:rsidRPr="00F1648C" w:rsidRDefault="00763C5D" w:rsidP="00763C5D">
      <w:pPr>
        <w:shd w:val="clear" w:color="auto" w:fill="FFFFFF" w:themeFill="background1"/>
        <w:autoSpaceDE w:val="0"/>
        <w:autoSpaceDN w:val="0"/>
        <w:adjustRightInd w:val="0"/>
        <w:rPr>
          <w:b/>
          <w:highlight w:val="lightGray"/>
        </w:rPr>
      </w:pPr>
      <w:r w:rsidRPr="00F1648C">
        <w:rPr>
          <w:b/>
          <w:highlight w:val="lightGray"/>
        </w:rPr>
        <w:t>Quator 20 mg pl</w:t>
      </w:r>
      <w:r w:rsidRPr="00F1648C">
        <w:rPr>
          <w:rFonts w:eastAsia="TimesNewRomanPSMT"/>
          <w:b/>
          <w:highlight w:val="lightGray"/>
        </w:rPr>
        <w:t>ė</w:t>
      </w:r>
      <w:r w:rsidRPr="00F1648C">
        <w:rPr>
          <w:b/>
          <w:highlight w:val="lightGray"/>
        </w:rPr>
        <w:t>vele dengtos tablet</w:t>
      </w:r>
      <w:r w:rsidRPr="00F1648C">
        <w:rPr>
          <w:rFonts w:eastAsia="TimesNewRomanPSMT"/>
          <w:b/>
          <w:highlight w:val="lightGray"/>
        </w:rPr>
        <w:t>ė</w:t>
      </w:r>
      <w:r w:rsidRPr="00F1648C">
        <w:rPr>
          <w:b/>
          <w:highlight w:val="lightGray"/>
        </w:rPr>
        <w:t>s</w:t>
      </w:r>
    </w:p>
    <w:p w:rsidR="00763C5D" w:rsidRPr="00797CDB" w:rsidRDefault="00763C5D" w:rsidP="00763C5D">
      <w:pPr>
        <w:shd w:val="clear" w:color="auto" w:fill="FFFFFF" w:themeFill="background1"/>
        <w:autoSpaceDE w:val="0"/>
        <w:autoSpaceDN w:val="0"/>
        <w:adjustRightInd w:val="0"/>
        <w:rPr>
          <w:rFonts w:eastAsia="TimesNewRomanPSMT"/>
        </w:rPr>
      </w:pPr>
      <w:r w:rsidRPr="00F1648C">
        <w:rPr>
          <w:highlight w:val="lightGray"/>
        </w:rPr>
        <w:t>K</w:t>
      </w:r>
      <w:r w:rsidRPr="00F1648C">
        <w:rPr>
          <w:rFonts w:eastAsia="TimesNewRomanPSMT"/>
          <w:highlight w:val="lightGray"/>
        </w:rPr>
        <w:t>iekvienoje plėvele dengtoje tabletėje yra 20 mg tadalafilio.</w:t>
      </w:r>
    </w:p>
    <w:p w:rsidR="00763C5D" w:rsidRPr="00797CDB" w:rsidRDefault="00763C5D" w:rsidP="00763C5D">
      <w:pPr>
        <w:shd w:val="clear" w:color="auto" w:fill="FFFFFF" w:themeFill="background1"/>
        <w:autoSpaceDE w:val="0"/>
        <w:autoSpaceDN w:val="0"/>
        <w:adjustRightInd w:val="0"/>
        <w:rPr>
          <w:rFonts w:eastAsia="TimesNewRomanPSMT"/>
        </w:rPr>
      </w:pPr>
    </w:p>
    <w:p w:rsidR="00763C5D" w:rsidRPr="00A333F1" w:rsidRDefault="00763C5D" w:rsidP="00763C5D">
      <w:pPr>
        <w:numPr>
          <w:ilvl w:val="0"/>
          <w:numId w:val="1"/>
        </w:numPr>
        <w:ind w:right="-2"/>
      </w:pPr>
      <w:r w:rsidRPr="00A333F1">
        <w:t>Pagalbinės medžiagos yra:</w:t>
      </w:r>
      <w:r w:rsidRPr="00A333F1">
        <w:rPr>
          <w:i/>
          <w:color w:val="008000"/>
        </w:rPr>
        <w:t xml:space="preserve"> </w:t>
      </w:r>
    </w:p>
    <w:p w:rsidR="00763C5D" w:rsidRPr="00A333F1" w:rsidRDefault="00763C5D" w:rsidP="00763C5D">
      <w:pPr>
        <w:rPr>
          <w:i/>
        </w:rPr>
      </w:pPr>
      <w:r w:rsidRPr="00A333F1">
        <w:rPr>
          <w:b/>
          <w:u w:val="single"/>
        </w:rPr>
        <w:t>Tabletės šerdis</w:t>
      </w:r>
      <w:r w:rsidRPr="00A333F1">
        <w:rPr>
          <w:i/>
        </w:rPr>
        <w:t xml:space="preserve"> </w:t>
      </w:r>
    </w:p>
    <w:p w:rsidR="00763C5D" w:rsidRPr="00A333F1" w:rsidRDefault="00763C5D" w:rsidP="00763C5D">
      <w:r w:rsidRPr="00A333F1">
        <w:t>Laktozė monohidratas, natrio laurilsulfatas (E487), povidonas K-12 (E1201), krospovidonas (B tipo) (E1202), natrio stearilfumaratas. Žr. 2 skyrių „Quator sudėtyje yra laktozės“.</w:t>
      </w:r>
    </w:p>
    <w:p w:rsidR="00763C5D" w:rsidRPr="00A333F1" w:rsidRDefault="00763C5D" w:rsidP="00763C5D"/>
    <w:p w:rsidR="00763C5D" w:rsidRPr="00A333F1" w:rsidRDefault="00763C5D" w:rsidP="00763C5D">
      <w:pPr>
        <w:rPr>
          <w:b/>
          <w:u w:val="single"/>
        </w:rPr>
      </w:pPr>
      <w:r w:rsidRPr="00A333F1">
        <w:rPr>
          <w:b/>
          <w:u w:val="single"/>
        </w:rPr>
        <w:t>Tabletės plėvelė</w:t>
      </w:r>
    </w:p>
    <w:p w:rsidR="00763C5D" w:rsidRPr="00A333F1" w:rsidRDefault="00763C5D" w:rsidP="00763C5D">
      <w:r w:rsidRPr="00A333F1">
        <w:t xml:space="preserve">Polivinilo alkoholis (E1203), makrogolis 3350 (E1521), titano dioksidas (E171), talkas (E553b), geltonasis geležies oksidas (E172). </w:t>
      </w:r>
    </w:p>
    <w:p w:rsidR="00763C5D" w:rsidRPr="00A333F1" w:rsidRDefault="00763C5D" w:rsidP="00763C5D">
      <w:pPr>
        <w:numPr>
          <w:ilvl w:val="12"/>
          <w:numId w:val="0"/>
        </w:numPr>
        <w:ind w:right="-2"/>
      </w:pPr>
    </w:p>
    <w:p w:rsidR="00763C5D" w:rsidRPr="00A333F1" w:rsidRDefault="00763C5D" w:rsidP="00763C5D">
      <w:pPr>
        <w:rPr>
          <w:b/>
        </w:rPr>
      </w:pPr>
      <w:r w:rsidRPr="00A333F1">
        <w:rPr>
          <w:b/>
        </w:rPr>
        <w:t>Quator išvaizda ir kiekis pakuotėje</w:t>
      </w:r>
    </w:p>
    <w:p w:rsidR="00763C5D" w:rsidRPr="00A333F1" w:rsidRDefault="00763C5D" w:rsidP="00763C5D">
      <w:pPr>
        <w:autoSpaceDE w:val="0"/>
        <w:autoSpaceDN w:val="0"/>
        <w:adjustRightInd w:val="0"/>
        <w:rPr>
          <w:highlight w:val="lightGray"/>
        </w:rPr>
      </w:pPr>
    </w:p>
    <w:p w:rsidR="00763C5D" w:rsidRPr="00A333F1" w:rsidRDefault="00763C5D" w:rsidP="00763C5D">
      <w:pPr>
        <w:autoSpaceDE w:val="0"/>
        <w:autoSpaceDN w:val="0"/>
        <w:adjustRightInd w:val="0"/>
        <w:rPr>
          <w:b/>
        </w:rPr>
      </w:pPr>
      <w:r w:rsidRPr="00A333F1">
        <w:rPr>
          <w:b/>
        </w:rPr>
        <w:t>Quator 5 mg plėvele dengtos tabletės</w:t>
      </w:r>
    </w:p>
    <w:p w:rsidR="00763C5D" w:rsidRPr="00797CDB" w:rsidRDefault="00763C5D" w:rsidP="00763C5D">
      <w:pPr>
        <w:autoSpaceDE w:val="0"/>
        <w:autoSpaceDN w:val="0"/>
        <w:adjustRightInd w:val="0"/>
        <w:rPr>
          <w:rFonts w:eastAsia="TimesNewRomanPSMT"/>
        </w:rPr>
      </w:pPr>
      <w:r w:rsidRPr="00A333F1">
        <w:t>Nuo ochros iki geltonos spalvos</w:t>
      </w:r>
      <w:r w:rsidRPr="00797CDB">
        <w:rPr>
          <w:rFonts w:eastAsia="Calibri"/>
        </w:rPr>
        <w:t xml:space="preserve">, ovali plėvele dengta tabletė, apytiksliai 8 x 4 mm dydžio. Vienoje tabletės pusėje įspaustas ženklas „5”. Kita tabletės pusė yra lygi. </w:t>
      </w:r>
    </w:p>
    <w:p w:rsidR="00763C5D" w:rsidRPr="00A333F1" w:rsidRDefault="00763C5D" w:rsidP="00763C5D">
      <w:pPr>
        <w:autoSpaceDE w:val="0"/>
        <w:autoSpaceDN w:val="0"/>
        <w:adjustRightInd w:val="0"/>
        <w:rPr>
          <w:highlight w:val="lightGray"/>
        </w:rPr>
      </w:pPr>
    </w:p>
    <w:p w:rsidR="00763C5D" w:rsidRPr="00A333F1" w:rsidRDefault="00763C5D" w:rsidP="00763C5D">
      <w:pPr>
        <w:autoSpaceDE w:val="0"/>
        <w:autoSpaceDN w:val="0"/>
        <w:adjustRightInd w:val="0"/>
        <w:rPr>
          <w:b/>
        </w:rPr>
      </w:pPr>
      <w:r w:rsidRPr="00A333F1">
        <w:rPr>
          <w:b/>
        </w:rPr>
        <w:t>Quator 10 mg plėvele dengtos tabletės</w:t>
      </w:r>
    </w:p>
    <w:p w:rsidR="00763C5D" w:rsidRPr="00797CDB" w:rsidRDefault="00763C5D" w:rsidP="00763C5D">
      <w:pPr>
        <w:autoSpaceDE w:val="0"/>
        <w:autoSpaceDN w:val="0"/>
        <w:adjustRightInd w:val="0"/>
        <w:rPr>
          <w:rFonts w:eastAsia="TimesNewRomanPSMT"/>
        </w:rPr>
      </w:pPr>
      <w:r w:rsidRPr="00A333F1">
        <w:t>Nuo ochros iki geltonos spalvos, ovali plėvele dengta tabletė, apytiksliai 11 x 6 mm dydžio. Vienoje tabletės pusėje įspaustas ženklas „10”. Kita tabletės pusė yra lygi.</w:t>
      </w:r>
      <w:r w:rsidRPr="00797CDB">
        <w:rPr>
          <w:rFonts w:eastAsia="Calibri"/>
        </w:rPr>
        <w:t xml:space="preserve"> </w:t>
      </w:r>
    </w:p>
    <w:p w:rsidR="00763C5D" w:rsidRPr="00A333F1" w:rsidRDefault="00763C5D" w:rsidP="00763C5D">
      <w:pPr>
        <w:autoSpaceDE w:val="0"/>
        <w:autoSpaceDN w:val="0"/>
        <w:adjustRightInd w:val="0"/>
        <w:rPr>
          <w:highlight w:val="lightGray"/>
        </w:rPr>
      </w:pPr>
    </w:p>
    <w:p w:rsidR="00763C5D" w:rsidRPr="00A333F1" w:rsidRDefault="00763C5D" w:rsidP="00763C5D">
      <w:pPr>
        <w:autoSpaceDE w:val="0"/>
        <w:autoSpaceDN w:val="0"/>
        <w:adjustRightInd w:val="0"/>
        <w:rPr>
          <w:b/>
        </w:rPr>
      </w:pPr>
      <w:r w:rsidRPr="00A333F1">
        <w:rPr>
          <w:b/>
        </w:rPr>
        <w:t>Quator 20 mg plėvele dengtos tabletės</w:t>
      </w:r>
    </w:p>
    <w:p w:rsidR="00763C5D" w:rsidRPr="00A333F1" w:rsidRDefault="00763C5D" w:rsidP="00763C5D">
      <w:pPr>
        <w:autoSpaceDE w:val="0"/>
        <w:autoSpaceDN w:val="0"/>
        <w:adjustRightInd w:val="0"/>
      </w:pPr>
      <w:r w:rsidRPr="00A333F1">
        <w:t>Nuo ochros iki geltonos spalvos, ovali plėvele dengta tabletė, apytiksliai 15 x 9 mm dydžio. Vienoje tabletės pusėje yra  įspaustas ženklas „20”. Kita tabletės pusė yra briaunuota.</w:t>
      </w:r>
      <w:r w:rsidRPr="00797CDB">
        <w:rPr>
          <w:rFonts w:eastAsia="Calibri"/>
        </w:rPr>
        <w:t xml:space="preserve"> </w:t>
      </w:r>
      <w:r w:rsidRPr="00A333F1">
        <w:t>Tabletę galima padalyti į lygias dalis ir (arba) ketvirčius.</w:t>
      </w:r>
    </w:p>
    <w:p w:rsidR="00763C5D" w:rsidRPr="00A333F1" w:rsidRDefault="00763C5D" w:rsidP="00763C5D">
      <w:pPr>
        <w:widowControl w:val="0"/>
        <w:overflowPunct w:val="0"/>
        <w:autoSpaceDE w:val="0"/>
        <w:autoSpaceDN w:val="0"/>
        <w:adjustRightInd w:val="0"/>
      </w:pPr>
    </w:p>
    <w:p w:rsidR="00763C5D" w:rsidRPr="00A333F1" w:rsidRDefault="00763C5D" w:rsidP="00763C5D">
      <w:r w:rsidRPr="00A333F1">
        <w:t>Al-Al (Al-OPA/Al/PVC) lizdinės plokštelės.</w:t>
      </w:r>
    </w:p>
    <w:p w:rsidR="00763C5D" w:rsidRPr="00A333F1" w:rsidRDefault="00763C5D" w:rsidP="00763C5D">
      <w:r w:rsidRPr="00A333F1">
        <w:t>PVC/ACLAR/PVC – Al lizdinės plokštelės.</w:t>
      </w:r>
    </w:p>
    <w:p w:rsidR="00763C5D" w:rsidRPr="00A333F1" w:rsidRDefault="00763C5D" w:rsidP="00763C5D">
      <w:r w:rsidRPr="00A333F1">
        <w:t>PVC/ACLAR/PVdC/PVC</w:t>
      </w:r>
      <w:r>
        <w:t xml:space="preserve"> - KPMAX</w:t>
      </w:r>
      <w:r w:rsidRPr="00A333F1">
        <w:t xml:space="preserve"> – Al lizdinės plokštelės.</w:t>
      </w:r>
    </w:p>
    <w:p w:rsidR="00763C5D" w:rsidRDefault="00763C5D" w:rsidP="00763C5D">
      <w:r w:rsidRPr="000A63D1">
        <w:t>PVC/PVdC-aliuminio lizdinės plokštelės.</w:t>
      </w:r>
    </w:p>
    <w:p w:rsidR="00763C5D" w:rsidRPr="00A333F1" w:rsidRDefault="00763C5D" w:rsidP="00763C5D"/>
    <w:p w:rsidR="00763C5D" w:rsidRPr="00A333F1" w:rsidRDefault="00763C5D" w:rsidP="00763C5D">
      <w:r w:rsidRPr="00A333F1">
        <w:t>Pakuotės dydžiai:</w:t>
      </w:r>
    </w:p>
    <w:p w:rsidR="00763C5D" w:rsidRPr="00A333F1" w:rsidRDefault="00763C5D" w:rsidP="00763C5D">
      <w:r w:rsidRPr="00A333F1">
        <w:rPr>
          <w:i/>
        </w:rPr>
        <w:t xml:space="preserve">5 mg: </w:t>
      </w:r>
      <w:r w:rsidRPr="00BE7FAC">
        <w:rPr>
          <w:szCs w:val="22"/>
          <w:lang w:eastAsia="en-US"/>
        </w:rPr>
        <w:t>14</w:t>
      </w:r>
      <w:r>
        <w:rPr>
          <w:szCs w:val="22"/>
          <w:lang w:eastAsia="en-US"/>
        </w:rPr>
        <w:t>x1</w:t>
      </w:r>
      <w:r w:rsidRPr="00BE7FAC">
        <w:rPr>
          <w:szCs w:val="22"/>
          <w:lang w:eastAsia="en-US"/>
        </w:rPr>
        <w:t>, 28</w:t>
      </w:r>
      <w:r>
        <w:rPr>
          <w:szCs w:val="22"/>
          <w:lang w:eastAsia="en-US"/>
        </w:rPr>
        <w:t>x1</w:t>
      </w:r>
      <w:r w:rsidRPr="00BE7FAC">
        <w:rPr>
          <w:szCs w:val="22"/>
          <w:lang w:eastAsia="en-US"/>
        </w:rPr>
        <w:t>, 84</w:t>
      </w:r>
      <w:r>
        <w:rPr>
          <w:szCs w:val="22"/>
          <w:lang w:eastAsia="en-US"/>
        </w:rPr>
        <w:t>x1</w:t>
      </w:r>
      <w:r w:rsidRPr="00A333F1">
        <w:t xml:space="preserve"> tabletės</w:t>
      </w:r>
    </w:p>
    <w:p w:rsidR="00763C5D" w:rsidRPr="00A333F1" w:rsidRDefault="00763C5D" w:rsidP="00763C5D">
      <w:pPr>
        <w:autoSpaceDE w:val="0"/>
        <w:autoSpaceDN w:val="0"/>
        <w:adjustRightInd w:val="0"/>
        <w:rPr>
          <w:color w:val="000000"/>
        </w:rPr>
      </w:pPr>
      <w:r w:rsidRPr="00A333F1">
        <w:rPr>
          <w:i/>
        </w:rPr>
        <w:t>10 mg</w:t>
      </w:r>
      <w:r w:rsidRPr="00A333F1">
        <w:rPr>
          <w:i/>
          <w:color w:val="000000"/>
        </w:rPr>
        <w:t xml:space="preserve">: </w:t>
      </w:r>
      <w:r w:rsidRPr="00BE7FAC">
        <w:rPr>
          <w:color w:val="000000"/>
          <w:szCs w:val="22"/>
          <w:lang w:eastAsia="en-US"/>
        </w:rPr>
        <w:t>4</w:t>
      </w:r>
      <w:r>
        <w:rPr>
          <w:color w:val="000000"/>
          <w:szCs w:val="22"/>
          <w:lang w:eastAsia="en-US"/>
        </w:rPr>
        <w:t>x1</w:t>
      </w:r>
      <w:r w:rsidRPr="00BE7FAC">
        <w:rPr>
          <w:color w:val="000000"/>
          <w:szCs w:val="22"/>
          <w:lang w:eastAsia="en-US"/>
        </w:rPr>
        <w:t>, 12</w:t>
      </w:r>
      <w:r>
        <w:rPr>
          <w:color w:val="000000"/>
          <w:szCs w:val="22"/>
          <w:lang w:eastAsia="en-US"/>
        </w:rPr>
        <w:t>x1</w:t>
      </w:r>
      <w:r w:rsidRPr="00BE7FAC">
        <w:rPr>
          <w:color w:val="000000"/>
          <w:szCs w:val="22"/>
          <w:lang w:eastAsia="en-US"/>
        </w:rPr>
        <w:t>, 24</w:t>
      </w:r>
      <w:r>
        <w:rPr>
          <w:color w:val="000000"/>
          <w:szCs w:val="22"/>
          <w:lang w:eastAsia="en-US"/>
        </w:rPr>
        <w:t>x1</w:t>
      </w:r>
      <w:r w:rsidRPr="00BE7FAC">
        <w:rPr>
          <w:color w:val="000000"/>
          <w:szCs w:val="22"/>
          <w:lang w:eastAsia="en-US"/>
        </w:rPr>
        <w:t>, 36</w:t>
      </w:r>
      <w:r>
        <w:rPr>
          <w:color w:val="000000"/>
          <w:szCs w:val="22"/>
          <w:lang w:eastAsia="en-US"/>
        </w:rPr>
        <w:t>x1</w:t>
      </w:r>
      <w:r w:rsidRPr="00BE7FAC">
        <w:rPr>
          <w:color w:val="000000"/>
          <w:szCs w:val="22"/>
          <w:lang w:eastAsia="en-US"/>
        </w:rPr>
        <w:t>, 48</w:t>
      </w:r>
      <w:r>
        <w:rPr>
          <w:color w:val="000000"/>
          <w:szCs w:val="22"/>
          <w:lang w:eastAsia="en-US"/>
        </w:rPr>
        <w:t>x1</w:t>
      </w:r>
      <w:r w:rsidRPr="00A333F1">
        <w:rPr>
          <w:color w:val="000000"/>
        </w:rPr>
        <w:t xml:space="preserve"> tabletės</w:t>
      </w:r>
    </w:p>
    <w:p w:rsidR="00763C5D" w:rsidRPr="00A333F1" w:rsidRDefault="00763C5D" w:rsidP="00763C5D">
      <w:pPr>
        <w:autoSpaceDE w:val="0"/>
        <w:autoSpaceDN w:val="0"/>
        <w:adjustRightInd w:val="0"/>
        <w:rPr>
          <w:color w:val="000000"/>
        </w:rPr>
      </w:pPr>
      <w:r w:rsidRPr="00A333F1">
        <w:rPr>
          <w:i/>
        </w:rPr>
        <w:t>20 mg</w:t>
      </w:r>
      <w:r w:rsidRPr="00A333F1">
        <w:rPr>
          <w:i/>
          <w:color w:val="000000"/>
        </w:rPr>
        <w:t xml:space="preserve">: </w:t>
      </w:r>
      <w:r w:rsidRPr="00BE7FAC">
        <w:rPr>
          <w:color w:val="000000"/>
          <w:szCs w:val="22"/>
          <w:lang w:eastAsia="en-US"/>
        </w:rPr>
        <w:t>2</w:t>
      </w:r>
      <w:r>
        <w:rPr>
          <w:color w:val="000000"/>
          <w:szCs w:val="22"/>
          <w:lang w:eastAsia="en-US"/>
        </w:rPr>
        <w:t>x1</w:t>
      </w:r>
      <w:r w:rsidRPr="00BE7FAC">
        <w:rPr>
          <w:color w:val="000000"/>
          <w:szCs w:val="22"/>
          <w:lang w:eastAsia="en-US"/>
        </w:rPr>
        <w:t>, 4</w:t>
      </w:r>
      <w:r>
        <w:rPr>
          <w:color w:val="000000"/>
          <w:szCs w:val="22"/>
          <w:lang w:eastAsia="en-US"/>
        </w:rPr>
        <w:t>x1</w:t>
      </w:r>
      <w:r w:rsidRPr="00BE7FAC">
        <w:rPr>
          <w:color w:val="000000"/>
          <w:szCs w:val="22"/>
          <w:lang w:eastAsia="en-US"/>
        </w:rPr>
        <w:t>, 8</w:t>
      </w:r>
      <w:r>
        <w:rPr>
          <w:color w:val="000000"/>
          <w:szCs w:val="22"/>
          <w:lang w:eastAsia="en-US"/>
        </w:rPr>
        <w:t>x1</w:t>
      </w:r>
      <w:r w:rsidRPr="00BE7FAC">
        <w:rPr>
          <w:color w:val="000000"/>
          <w:szCs w:val="22"/>
          <w:lang w:eastAsia="en-US"/>
        </w:rPr>
        <w:t>, 12</w:t>
      </w:r>
      <w:r>
        <w:rPr>
          <w:color w:val="000000"/>
          <w:szCs w:val="22"/>
          <w:lang w:eastAsia="en-US"/>
        </w:rPr>
        <w:t>x1</w:t>
      </w:r>
      <w:r w:rsidRPr="00BE7FAC">
        <w:rPr>
          <w:color w:val="000000"/>
          <w:szCs w:val="22"/>
          <w:lang w:eastAsia="en-US"/>
        </w:rPr>
        <w:t>, 14</w:t>
      </w:r>
      <w:r>
        <w:rPr>
          <w:color w:val="000000"/>
          <w:szCs w:val="22"/>
          <w:lang w:eastAsia="en-US"/>
        </w:rPr>
        <w:t>x1</w:t>
      </w:r>
      <w:r w:rsidRPr="00BE7FAC">
        <w:rPr>
          <w:color w:val="000000"/>
          <w:szCs w:val="22"/>
          <w:lang w:eastAsia="en-US"/>
        </w:rPr>
        <w:t>, 24</w:t>
      </w:r>
      <w:r>
        <w:rPr>
          <w:color w:val="000000"/>
          <w:szCs w:val="22"/>
          <w:lang w:eastAsia="en-US"/>
        </w:rPr>
        <w:t>x1</w:t>
      </w:r>
      <w:r w:rsidRPr="00BE7FAC">
        <w:rPr>
          <w:color w:val="000000"/>
          <w:szCs w:val="22"/>
          <w:lang w:eastAsia="en-US"/>
        </w:rPr>
        <w:t>, 28</w:t>
      </w:r>
      <w:r>
        <w:rPr>
          <w:color w:val="000000"/>
          <w:szCs w:val="22"/>
          <w:lang w:eastAsia="en-US"/>
        </w:rPr>
        <w:t>x1</w:t>
      </w:r>
      <w:r w:rsidRPr="00BE7FAC">
        <w:rPr>
          <w:color w:val="000000"/>
          <w:szCs w:val="22"/>
          <w:lang w:eastAsia="en-US"/>
        </w:rPr>
        <w:t>, 36</w:t>
      </w:r>
      <w:r>
        <w:rPr>
          <w:color w:val="000000"/>
          <w:szCs w:val="22"/>
          <w:lang w:eastAsia="en-US"/>
        </w:rPr>
        <w:t>x1</w:t>
      </w:r>
      <w:r w:rsidRPr="00BE7FAC">
        <w:rPr>
          <w:color w:val="000000"/>
          <w:szCs w:val="22"/>
          <w:lang w:eastAsia="en-US"/>
        </w:rPr>
        <w:t>, 48</w:t>
      </w:r>
      <w:r>
        <w:rPr>
          <w:color w:val="000000"/>
          <w:szCs w:val="22"/>
          <w:lang w:eastAsia="en-US"/>
        </w:rPr>
        <w:t>x1</w:t>
      </w:r>
      <w:r w:rsidRPr="00A333F1">
        <w:rPr>
          <w:color w:val="000000"/>
        </w:rPr>
        <w:t xml:space="preserve"> tabletės</w:t>
      </w:r>
    </w:p>
    <w:p w:rsidR="00763C5D" w:rsidRPr="00A333F1" w:rsidRDefault="00763C5D" w:rsidP="00763C5D"/>
    <w:p w:rsidR="00763C5D" w:rsidRPr="00A333F1" w:rsidRDefault="00763C5D" w:rsidP="00763C5D">
      <w:r w:rsidRPr="00A333F1">
        <w:t>Gali būti tiekiamos ne visų dydžių pakuotės.</w:t>
      </w:r>
    </w:p>
    <w:p w:rsidR="00763C5D" w:rsidRPr="00A333F1" w:rsidRDefault="00763C5D" w:rsidP="00763C5D"/>
    <w:p w:rsidR="00763C5D" w:rsidRPr="00A333F1" w:rsidRDefault="00763C5D" w:rsidP="00763C5D">
      <w:pPr>
        <w:rPr>
          <w:b/>
        </w:rPr>
      </w:pPr>
      <w:r w:rsidRPr="00A333F1">
        <w:rPr>
          <w:b/>
        </w:rPr>
        <w:t>Registruotojas ir gamintojas</w:t>
      </w:r>
    </w:p>
    <w:p w:rsidR="00763C5D" w:rsidRPr="00A333F1" w:rsidRDefault="00763C5D" w:rsidP="00763C5D">
      <w:pPr>
        <w:jc w:val="both"/>
      </w:pPr>
    </w:p>
    <w:p w:rsidR="00763C5D" w:rsidRPr="00A333F1" w:rsidRDefault="00763C5D" w:rsidP="00763C5D">
      <w:pPr>
        <w:jc w:val="both"/>
        <w:rPr>
          <w:i/>
        </w:rPr>
      </w:pPr>
      <w:r w:rsidRPr="00A333F1">
        <w:rPr>
          <w:i/>
        </w:rPr>
        <w:t>Registruotojas</w:t>
      </w:r>
    </w:p>
    <w:p w:rsidR="00763C5D" w:rsidRPr="00A333F1" w:rsidRDefault="00763C5D" w:rsidP="00763C5D">
      <w:r w:rsidRPr="00A333F1">
        <w:t>Sandoz d.d.</w:t>
      </w:r>
    </w:p>
    <w:p w:rsidR="00763C5D" w:rsidRPr="00A333F1" w:rsidRDefault="00763C5D" w:rsidP="00763C5D">
      <w:r w:rsidRPr="00A333F1">
        <w:t>Verovškova 57</w:t>
      </w:r>
    </w:p>
    <w:p w:rsidR="00763C5D" w:rsidRPr="00A333F1" w:rsidRDefault="00763C5D" w:rsidP="00763C5D">
      <w:r w:rsidRPr="00A333F1">
        <w:t>SI-1000 Ljubljana</w:t>
      </w:r>
    </w:p>
    <w:p w:rsidR="00763C5D" w:rsidRPr="00A333F1" w:rsidRDefault="00763C5D" w:rsidP="00763C5D">
      <w:r w:rsidRPr="00A333F1">
        <w:t>Slovėnija</w:t>
      </w:r>
    </w:p>
    <w:p w:rsidR="00763C5D" w:rsidRPr="00A333F1" w:rsidRDefault="00763C5D" w:rsidP="00763C5D"/>
    <w:p w:rsidR="00763C5D" w:rsidRPr="00A333F1" w:rsidRDefault="00763C5D" w:rsidP="00763C5D">
      <w:pPr>
        <w:jc w:val="both"/>
        <w:rPr>
          <w:i/>
        </w:rPr>
      </w:pPr>
      <w:r w:rsidRPr="00A333F1">
        <w:rPr>
          <w:i/>
        </w:rPr>
        <w:t>Gamintojas</w:t>
      </w:r>
    </w:p>
    <w:p w:rsidR="00763C5D" w:rsidRPr="00A333F1" w:rsidRDefault="00763C5D" w:rsidP="00763C5D">
      <w:r w:rsidRPr="00A333F1">
        <w:t xml:space="preserve">TEVA Pharma, S.L.U. </w:t>
      </w:r>
    </w:p>
    <w:p w:rsidR="00763C5D" w:rsidRPr="00A333F1" w:rsidRDefault="00763C5D" w:rsidP="00763C5D">
      <w:r w:rsidRPr="00A333F1">
        <w:t xml:space="preserve">Polígono Industrial Malpica, </w:t>
      </w:r>
    </w:p>
    <w:p w:rsidR="00763C5D" w:rsidRPr="00A333F1" w:rsidRDefault="00763C5D" w:rsidP="00763C5D">
      <w:r w:rsidRPr="00A333F1">
        <w:t xml:space="preserve">C/C, nº4, 50016, Zaragoza, </w:t>
      </w:r>
    </w:p>
    <w:p w:rsidR="00763C5D" w:rsidRPr="00A333F1" w:rsidRDefault="00763C5D" w:rsidP="00763C5D">
      <w:r w:rsidRPr="00A333F1">
        <w:t>Ispanija</w:t>
      </w:r>
    </w:p>
    <w:p w:rsidR="00763C5D" w:rsidRPr="00797CDB" w:rsidRDefault="00763C5D" w:rsidP="00763C5D"/>
    <w:p w:rsidR="00763C5D" w:rsidRDefault="00763C5D" w:rsidP="00763C5D">
      <w:pPr>
        <w:rPr>
          <w:szCs w:val="22"/>
        </w:rPr>
      </w:pPr>
      <w:r>
        <w:rPr>
          <w:szCs w:val="22"/>
        </w:rPr>
        <w:t>arba</w:t>
      </w:r>
    </w:p>
    <w:p w:rsidR="00763C5D" w:rsidRDefault="00763C5D" w:rsidP="00763C5D">
      <w:pPr>
        <w:rPr>
          <w:szCs w:val="22"/>
        </w:rPr>
      </w:pPr>
    </w:p>
    <w:p w:rsidR="00763C5D" w:rsidRPr="00700071" w:rsidRDefault="00763C5D" w:rsidP="00763C5D">
      <w:pPr>
        <w:rPr>
          <w:szCs w:val="22"/>
        </w:rPr>
      </w:pPr>
      <w:r w:rsidRPr="00700071">
        <w:rPr>
          <w:szCs w:val="22"/>
        </w:rPr>
        <w:t xml:space="preserve">Lek Pharmaceuticals d.d., </w:t>
      </w:r>
    </w:p>
    <w:p w:rsidR="00763C5D" w:rsidRDefault="00763C5D" w:rsidP="00763C5D">
      <w:pPr>
        <w:rPr>
          <w:szCs w:val="22"/>
        </w:rPr>
      </w:pPr>
      <w:r w:rsidRPr="00700071">
        <w:rPr>
          <w:szCs w:val="22"/>
        </w:rPr>
        <w:t xml:space="preserve">Verovškova 57, </w:t>
      </w:r>
    </w:p>
    <w:p w:rsidR="00763C5D" w:rsidRPr="00700071" w:rsidRDefault="00763C5D" w:rsidP="00763C5D">
      <w:pPr>
        <w:rPr>
          <w:szCs w:val="22"/>
        </w:rPr>
      </w:pPr>
      <w:r w:rsidRPr="00700071">
        <w:rPr>
          <w:szCs w:val="22"/>
        </w:rPr>
        <w:t xml:space="preserve">1526 Ljubljana, </w:t>
      </w:r>
    </w:p>
    <w:p w:rsidR="00763C5D" w:rsidRDefault="00763C5D" w:rsidP="00763C5D">
      <w:pPr>
        <w:rPr>
          <w:szCs w:val="22"/>
        </w:rPr>
      </w:pPr>
      <w:r>
        <w:rPr>
          <w:szCs w:val="22"/>
        </w:rPr>
        <w:t>Slovėnija</w:t>
      </w:r>
    </w:p>
    <w:p w:rsidR="00763C5D" w:rsidRDefault="00763C5D" w:rsidP="00763C5D">
      <w:pPr>
        <w:rPr>
          <w:szCs w:val="22"/>
        </w:rPr>
      </w:pPr>
    </w:p>
    <w:p w:rsidR="00763C5D" w:rsidRPr="00430ECD" w:rsidRDefault="00763C5D" w:rsidP="00763C5D">
      <w:pPr>
        <w:tabs>
          <w:tab w:val="left" w:pos="567"/>
          <w:tab w:val="left" w:pos="3060"/>
        </w:tabs>
        <w:rPr>
          <w:rFonts w:eastAsia="Calibri"/>
          <w:noProof/>
          <w:szCs w:val="22"/>
          <w:highlight w:val="yellow"/>
          <w:lang w:eastAsia="en-US"/>
        </w:rPr>
      </w:pPr>
    </w:p>
    <w:p w:rsidR="00763C5D" w:rsidRPr="00A333F1" w:rsidRDefault="00763C5D" w:rsidP="00763C5D">
      <w:pPr>
        <w:tabs>
          <w:tab w:val="left" w:pos="567"/>
          <w:tab w:val="left" w:pos="3060"/>
        </w:tabs>
        <w:autoSpaceDE w:val="0"/>
        <w:autoSpaceDN w:val="0"/>
        <w:adjustRightInd w:val="0"/>
      </w:pPr>
      <w:r w:rsidRPr="00A333F1">
        <w:t>Jeigu apie šį vaistą norite sužinoti daugiau, kreipkitės į vietinį registruotojo atstovą.</w:t>
      </w:r>
    </w:p>
    <w:p w:rsidR="00763C5D" w:rsidRPr="00A333F1" w:rsidRDefault="00763C5D" w:rsidP="00763C5D">
      <w:pPr>
        <w:keepNext/>
        <w:outlineLvl w:val="0"/>
      </w:pPr>
    </w:p>
    <w:p w:rsidR="00763C5D" w:rsidRPr="00A333F1" w:rsidRDefault="00763C5D" w:rsidP="00763C5D">
      <w:pPr>
        <w:tabs>
          <w:tab w:val="left" w:pos="567"/>
        </w:tabs>
        <w:jc w:val="both"/>
      </w:pPr>
      <w:r w:rsidRPr="00A333F1">
        <w:t>Sandoz Pharmaceuticals d.d. filialas</w:t>
      </w:r>
    </w:p>
    <w:p w:rsidR="00763C5D" w:rsidRPr="00A333F1" w:rsidRDefault="00763C5D" w:rsidP="00763C5D">
      <w:pPr>
        <w:tabs>
          <w:tab w:val="left" w:pos="567"/>
          <w:tab w:val="left" w:pos="3060"/>
        </w:tabs>
      </w:pPr>
      <w:r w:rsidRPr="00A333F1">
        <w:t>El. paštas: info.lithuania@sandoz.com</w:t>
      </w:r>
    </w:p>
    <w:p w:rsidR="00763C5D" w:rsidRPr="00A333F1" w:rsidRDefault="00763C5D" w:rsidP="00763C5D">
      <w:pPr>
        <w:tabs>
          <w:tab w:val="left" w:pos="567"/>
          <w:tab w:val="left" w:pos="3060"/>
        </w:tabs>
      </w:pPr>
    </w:p>
    <w:p w:rsidR="00763C5D" w:rsidRPr="00A333F1" w:rsidRDefault="00763C5D" w:rsidP="00763C5D">
      <w:pPr>
        <w:numPr>
          <w:ilvl w:val="12"/>
          <w:numId w:val="0"/>
        </w:numPr>
        <w:tabs>
          <w:tab w:val="left" w:pos="567"/>
        </w:tabs>
        <w:ind w:right="-2"/>
      </w:pPr>
      <w:r w:rsidRPr="00A333F1">
        <w:rPr>
          <w:b/>
        </w:rPr>
        <w:t>Šis vaistas EEE valstybėse narėse registruotas tokiais pavadinimais</w:t>
      </w:r>
      <w:r w:rsidRPr="00A333F1">
        <w:t>:</w:t>
      </w:r>
    </w:p>
    <w:p w:rsidR="00763C5D" w:rsidRPr="00A333F1" w:rsidRDefault="00763C5D" w:rsidP="00763C5D">
      <w:pPr>
        <w:numPr>
          <w:ilvl w:val="12"/>
          <w:numId w:val="0"/>
        </w:numPr>
        <w:tabs>
          <w:tab w:val="left" w:pos="567"/>
        </w:tabs>
        <w:ind w:right="-2"/>
      </w:pPr>
    </w:p>
    <w:tbl>
      <w:tblPr>
        <w:tblStyle w:val="Lentelstinklelis"/>
        <w:tblW w:w="0" w:type="auto"/>
        <w:tblLook w:val="04A0" w:firstRow="1" w:lastRow="0" w:firstColumn="1" w:lastColumn="0" w:noHBand="0" w:noVBand="1"/>
      </w:tblPr>
      <w:tblGrid>
        <w:gridCol w:w="4530"/>
        <w:gridCol w:w="4530"/>
      </w:tblGrid>
      <w:tr w:rsidR="00763C5D" w:rsidTr="000D3466">
        <w:tc>
          <w:tcPr>
            <w:tcW w:w="4530" w:type="dxa"/>
          </w:tcPr>
          <w:p w:rsidR="00763C5D" w:rsidRDefault="00763C5D" w:rsidP="000D3466">
            <w:pPr>
              <w:numPr>
                <w:ilvl w:val="12"/>
                <w:numId w:val="0"/>
              </w:numPr>
              <w:tabs>
                <w:tab w:val="left" w:pos="567"/>
              </w:tabs>
              <w:ind w:right="-2"/>
              <w:rPr>
                <w:color w:val="000000"/>
                <w:szCs w:val="22"/>
                <w:lang w:eastAsia="zh-TW"/>
              </w:rPr>
            </w:pPr>
            <w:r>
              <w:rPr>
                <w:color w:val="000000"/>
                <w:szCs w:val="22"/>
                <w:lang w:eastAsia="zh-TW"/>
              </w:rPr>
              <w:t>Nyderlandai, Airija, Austrija, Belgija, Danija, Estija, Graikija, Latvija, Lietuva, Portugalija, Prancūzija, Slovakija, Slovėnija, Vokietija</w:t>
            </w:r>
          </w:p>
          <w:p w:rsidR="00763C5D" w:rsidRDefault="00763C5D" w:rsidP="000D3466">
            <w:pPr>
              <w:numPr>
                <w:ilvl w:val="12"/>
                <w:numId w:val="0"/>
              </w:numPr>
              <w:tabs>
                <w:tab w:val="left" w:pos="567"/>
              </w:tabs>
              <w:ind w:right="-2"/>
              <w:rPr>
                <w:szCs w:val="22"/>
                <w:lang w:eastAsia="zh-TW"/>
              </w:rPr>
            </w:pPr>
          </w:p>
        </w:tc>
        <w:tc>
          <w:tcPr>
            <w:tcW w:w="4530" w:type="dxa"/>
          </w:tcPr>
          <w:p w:rsidR="00763C5D" w:rsidRDefault="00763C5D" w:rsidP="000D3466">
            <w:pPr>
              <w:numPr>
                <w:ilvl w:val="12"/>
                <w:numId w:val="0"/>
              </w:numPr>
              <w:tabs>
                <w:tab w:val="left" w:pos="567"/>
              </w:tabs>
              <w:ind w:right="-2"/>
              <w:rPr>
                <w:szCs w:val="22"/>
                <w:lang w:eastAsia="zh-TW"/>
              </w:rPr>
            </w:pPr>
            <w:r>
              <w:rPr>
                <w:color w:val="000000"/>
                <w:szCs w:val="22"/>
                <w:lang w:eastAsia="zh-TW"/>
              </w:rPr>
              <w:t>Quator</w:t>
            </w:r>
          </w:p>
        </w:tc>
      </w:tr>
    </w:tbl>
    <w:p w:rsidR="00763C5D" w:rsidRPr="00A333F1" w:rsidRDefault="00763C5D" w:rsidP="00763C5D">
      <w:pPr>
        <w:numPr>
          <w:ilvl w:val="12"/>
          <w:numId w:val="0"/>
        </w:numPr>
        <w:tabs>
          <w:tab w:val="left" w:pos="567"/>
        </w:tabs>
        <w:ind w:right="-2"/>
      </w:pPr>
    </w:p>
    <w:p w:rsidR="00763C5D" w:rsidRPr="00A333F1" w:rsidRDefault="00763C5D" w:rsidP="00763C5D">
      <w:pPr>
        <w:tabs>
          <w:tab w:val="left" w:pos="567"/>
        </w:tabs>
      </w:pPr>
    </w:p>
    <w:p w:rsidR="00763C5D" w:rsidRPr="00A333F1" w:rsidRDefault="00763C5D" w:rsidP="00763C5D">
      <w:r w:rsidRPr="00A333F1">
        <w:rPr>
          <w:b/>
        </w:rPr>
        <w:t>Šis pakuotės lapelis paskutinį kartą peržiūrėtas</w:t>
      </w:r>
      <w:r>
        <w:rPr>
          <w:b/>
        </w:rPr>
        <w:t xml:space="preserve"> 2024-05-05.</w:t>
      </w:r>
    </w:p>
    <w:p w:rsidR="00763C5D" w:rsidRPr="00A333F1" w:rsidRDefault="00763C5D" w:rsidP="00763C5D">
      <w:pPr>
        <w:tabs>
          <w:tab w:val="left" w:pos="567"/>
        </w:tabs>
      </w:pPr>
    </w:p>
    <w:p w:rsidR="00763C5D" w:rsidRPr="00A333F1" w:rsidRDefault="00763C5D" w:rsidP="00763C5D">
      <w:pPr>
        <w:tabs>
          <w:tab w:val="left" w:pos="567"/>
        </w:tabs>
      </w:pPr>
      <w:r w:rsidRPr="00A333F1">
        <w:t>Išsami informacija apie šį vaistą pateikiama Valstybinės vaistų kontrolės tarnybos prie Lietuvos Respublikos sveikatos apsaugos ministerijos tinklalapyje</w:t>
      </w:r>
      <w:r w:rsidRPr="00A333F1">
        <w:rPr>
          <w:i/>
        </w:rPr>
        <w:t xml:space="preserve"> </w:t>
      </w:r>
      <w:hyperlink r:id="rId8" w:history="1">
        <w:r w:rsidRPr="00797CDB">
          <w:rPr>
            <w:rFonts w:eastAsia="SimSun"/>
            <w:color w:val="0000FF"/>
            <w:u w:val="single"/>
          </w:rPr>
          <w:t>http://www.vvkt.lt/</w:t>
        </w:r>
      </w:hyperlink>
      <w:r w:rsidRPr="00A333F1">
        <w:t>.</w:t>
      </w:r>
    </w:p>
    <w:p w:rsidR="00763C5D" w:rsidRPr="00A333F1" w:rsidRDefault="00763C5D" w:rsidP="00763C5D">
      <w:pPr>
        <w:tabs>
          <w:tab w:val="left" w:pos="567"/>
        </w:tabs>
      </w:pPr>
    </w:p>
    <w:p w:rsidR="00763C5D" w:rsidRPr="00430ECD" w:rsidRDefault="00763C5D" w:rsidP="00763C5D">
      <w:pPr>
        <w:tabs>
          <w:tab w:val="left" w:pos="567"/>
        </w:tabs>
        <w:rPr>
          <w:szCs w:val="22"/>
          <w:lang w:eastAsia="zh-TW"/>
        </w:rPr>
      </w:pPr>
    </w:p>
    <w:p w:rsidR="00BA6577" w:rsidRDefault="00BA6577">
      <w:bookmarkStart w:id="0" w:name="_GoBack"/>
      <w:bookmarkEnd w:id="0"/>
    </w:p>
    <w:sectPr w:rsidR="00BA6577" w:rsidSect="00F1648C">
      <w:headerReference w:type="default" r:id="rId9"/>
      <w:footerReference w:type="defaul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FD8" w:rsidRDefault="00763C5D">
    <w:pPr>
      <w:pStyle w:val="Porat"/>
      <w:jc w:val="center"/>
    </w:pPr>
    <w:r>
      <w:fldChar w:fldCharType="begin"/>
    </w:r>
    <w:r>
      <w:instrText>PAGE   \* MERGEFORMAT</w:instrText>
    </w:r>
    <w:r>
      <w:fldChar w:fldCharType="separate"/>
    </w:r>
    <w:r>
      <w:rPr>
        <w:noProof/>
      </w:rPr>
      <w:t>1</w:t>
    </w:r>
    <w:r>
      <w:fldChar w:fldCharType="end"/>
    </w:r>
  </w:p>
  <w:p w:rsidR="00E37FD8" w:rsidRDefault="00763C5D">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FD8" w:rsidRDefault="00763C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F77E2"/>
    <w:multiLevelType w:val="hybridMultilevel"/>
    <w:tmpl w:val="DB284F4A"/>
    <w:lvl w:ilvl="0" w:tplc="FFFFFFFF">
      <w:start w:val="1"/>
      <w:numFmt w:val="bullet"/>
      <w:lvlText w:val="-"/>
      <w:lvlJc w:val="left"/>
      <w:pPr>
        <w:ind w:left="1353"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E9D5CFC"/>
    <w:multiLevelType w:val="hybridMultilevel"/>
    <w:tmpl w:val="FA984F6C"/>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404886"/>
    <w:multiLevelType w:val="hybridMultilevel"/>
    <w:tmpl w:val="DAAA33AA"/>
    <w:lvl w:ilvl="0" w:tplc="64E407BE">
      <w:start w:val="1"/>
      <w:numFmt w:val="bullet"/>
      <w:lvlText w:val=""/>
      <w:lvlJc w:val="left"/>
      <w:pPr>
        <w:tabs>
          <w:tab w:val="num" w:pos="360"/>
        </w:tabs>
        <w:ind w:left="360" w:hanging="360"/>
      </w:pPr>
      <w:rPr>
        <w:rFonts w:ascii="Symbol" w:hAnsi="Symbol" w:hint="default"/>
        <w:color w:val="auto"/>
        <w:sz w:val="22"/>
        <w:szCs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5134FE"/>
    <w:multiLevelType w:val="hybridMultilevel"/>
    <w:tmpl w:val="4BBE20BA"/>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095F03"/>
    <w:multiLevelType w:val="hybridMultilevel"/>
    <w:tmpl w:val="5942A70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491820"/>
    <w:multiLevelType w:val="hybridMultilevel"/>
    <w:tmpl w:val="7A0EE2B4"/>
    <w:lvl w:ilvl="0" w:tplc="03E47A94">
      <w:numFmt w:val="bullet"/>
      <w:lvlText w:val="-"/>
      <w:lvlJc w:val="left"/>
      <w:pPr>
        <w:tabs>
          <w:tab w:val="num" w:pos="360"/>
        </w:tabs>
        <w:ind w:left="360" w:hanging="360"/>
      </w:pPr>
      <w:rPr>
        <w:rFonts w:ascii="Times New Roman" w:hAnsi="Times New Roman" w:cs="Times New Roman" w:hint="default"/>
        <w:color w:val="auto"/>
        <w:sz w:val="22"/>
        <w:szCs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246A7C"/>
    <w:multiLevelType w:val="hybridMultilevel"/>
    <w:tmpl w:val="C6D08F56"/>
    <w:lvl w:ilvl="0" w:tplc="03E47A94">
      <w:numFmt w:val="bullet"/>
      <w:lvlText w:val="-"/>
      <w:lvlJc w:val="left"/>
      <w:pPr>
        <w:ind w:left="720" w:hanging="360"/>
      </w:pPr>
      <w:rPr>
        <w:rFonts w:ascii="Times New Roman" w:hAnsi="Times New Roman" w:cs="Times New Roman"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B704AE3"/>
    <w:multiLevelType w:val="hybridMultilevel"/>
    <w:tmpl w:val="CB086528"/>
    <w:lvl w:ilvl="0" w:tplc="03E47A94">
      <w:numFmt w:val="bullet"/>
      <w:lvlText w:val="-"/>
      <w:lvlJc w:val="left"/>
      <w:pPr>
        <w:ind w:left="720" w:hanging="360"/>
      </w:pPr>
      <w:rPr>
        <w:rFonts w:ascii="Times New Roman" w:hAnsi="Times New Roman" w:cs="Times New Roman"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0674741"/>
    <w:multiLevelType w:val="hybridMultilevel"/>
    <w:tmpl w:val="8746EF7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4B06150"/>
    <w:multiLevelType w:val="hybridMultilevel"/>
    <w:tmpl w:val="E5325752"/>
    <w:lvl w:ilvl="0" w:tplc="03E47A94">
      <w:numFmt w:val="bullet"/>
      <w:lvlText w:val="-"/>
      <w:lvlJc w:val="left"/>
      <w:pPr>
        <w:tabs>
          <w:tab w:val="num" w:pos="360"/>
        </w:tabs>
        <w:ind w:left="360" w:hanging="360"/>
      </w:pPr>
      <w:rPr>
        <w:rFonts w:ascii="Times New Roman" w:hAnsi="Times New Roman" w:cs="Times New Roman" w:hint="default"/>
        <w:color w:val="auto"/>
        <w:sz w:val="22"/>
        <w:szCs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B244FA"/>
    <w:multiLevelType w:val="hybridMultilevel"/>
    <w:tmpl w:val="C6287A5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3"/>
  </w:num>
  <w:num w:numId="3">
    <w:abstractNumId w:val="2"/>
  </w:num>
  <w:num w:numId="4">
    <w:abstractNumId w:val="8"/>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6"/>
  </w:num>
  <w:num w:numId="9">
    <w:abstractNumId w:val="5"/>
  </w:num>
  <w:num w:numId="10">
    <w:abstractNumId w:val="1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C5D"/>
    <w:rsid w:val="00072F85"/>
    <w:rsid w:val="00181364"/>
    <w:rsid w:val="00305C48"/>
    <w:rsid w:val="003362C6"/>
    <w:rsid w:val="00763C5D"/>
    <w:rsid w:val="00B4219F"/>
    <w:rsid w:val="00BA6577"/>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2B744A-BBBE-4702-8CE8-D9C48288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63C5D"/>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763C5D"/>
    <w:pPr>
      <w:tabs>
        <w:tab w:val="center" w:pos="4153"/>
        <w:tab w:val="right" w:pos="8306"/>
      </w:tabs>
    </w:pPr>
  </w:style>
  <w:style w:type="character" w:customStyle="1" w:styleId="PoratDiagrama">
    <w:name w:val="Poraštė Diagrama"/>
    <w:basedOn w:val="Numatytasispastraiposriftas"/>
    <w:link w:val="Porat"/>
    <w:rsid w:val="00763C5D"/>
    <w:rPr>
      <w:rFonts w:ascii="Times New Roman" w:eastAsia="Times New Roman" w:hAnsi="Times New Roman" w:cs="Times New Roman"/>
      <w:szCs w:val="20"/>
      <w:lang w:eastAsia="lt-LT"/>
    </w:rPr>
  </w:style>
  <w:style w:type="paragraph" w:styleId="Antrats">
    <w:name w:val="header"/>
    <w:basedOn w:val="prastasis"/>
    <w:link w:val="AntratsDiagrama"/>
    <w:rsid w:val="00763C5D"/>
    <w:pPr>
      <w:tabs>
        <w:tab w:val="center" w:pos="4153"/>
        <w:tab w:val="right" w:pos="8306"/>
      </w:tabs>
    </w:pPr>
    <w:rPr>
      <w:sz w:val="24"/>
      <w:szCs w:val="24"/>
      <w:lang w:eastAsia="en-US"/>
    </w:rPr>
  </w:style>
  <w:style w:type="character" w:customStyle="1" w:styleId="AntratsDiagrama">
    <w:name w:val="Antraštės Diagrama"/>
    <w:basedOn w:val="Numatytasispastraiposriftas"/>
    <w:link w:val="Antrats"/>
    <w:rsid w:val="00763C5D"/>
    <w:rPr>
      <w:rFonts w:ascii="Times New Roman" w:eastAsia="Times New Roman" w:hAnsi="Times New Roman" w:cs="Times New Roman"/>
      <w:sz w:val="24"/>
      <w:szCs w:val="24"/>
    </w:rPr>
  </w:style>
  <w:style w:type="table" w:styleId="Lentelstinklelis">
    <w:name w:val="Table Grid"/>
    <w:basedOn w:val="prastojilentel"/>
    <w:uiPriority w:val="99"/>
    <w:rsid w:val="00763C5D"/>
    <w:pPr>
      <w:spacing w:after="0" w:line="240" w:lineRule="auto"/>
    </w:pPr>
    <w:rPr>
      <w:rFonts w:ascii="Times New Roman" w:eastAsia="Times New Roma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763C5D"/>
    <w:pPr>
      <w:ind w:left="720"/>
      <w:contextualSpacing/>
    </w:pPr>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10792</Words>
  <Characters>6153</Characters>
  <Application>Microsoft Office Word</Application>
  <DocSecurity>0</DocSecurity>
  <Lines>51</Lines>
  <Paragraphs>33</Paragraphs>
  <ScaleCrop>false</ScaleCrop>
  <HeadingPairs>
    <vt:vector size="4" baseType="variant">
      <vt:variant>
        <vt:lpstr>Pavadinimas</vt:lpstr>
      </vt:variant>
      <vt:variant>
        <vt:i4>1</vt:i4>
      </vt:variant>
      <vt:variant>
        <vt:lpstr>Antraštės</vt:lpstr>
      </vt:variant>
      <vt:variant>
        <vt:i4>16</vt:i4>
      </vt:variant>
    </vt:vector>
  </HeadingPairs>
  <TitlesOfParts>
    <vt:vector size="17" baseType="lpstr">
      <vt:lpstr/>
      <vt:lpstr>    Pakuotės lapelis: informacija pacientui</vt:lpstr>
      <vt:lpstr>        3.	Kaip vartoti QUATOR</vt:lpstr>
      <vt:lpstr>Quator tabletės yra skirtos vartoti per burną tik vyrams. Tabletę nurykite nepaž</vt:lpstr>
      <vt:lpstr/>
      <vt:lpstr>Prisitaikoma pagal poreikį dozė vartojant 10 mg arba 20 mg tablečių</vt:lpstr>
      <vt:lpstr>Rekomenduojama pradinė dozė yra viena 10 mg tabletė, geriama prieš lytinius sant</vt:lpstr>
      <vt:lpstr>Quator galite gerti likus bent 30 min. iki lytinių santykių. </vt:lpstr>
      <vt:lpstr>Quator gali būti vis dar veiksmingas iki 36 valandų po tabletės suvartojimo. </vt:lpstr>
      <vt:lpstr/>
      <vt:lpstr>Daugiau negu vieną kartą per parą Quator nevartokite. </vt:lpstr>
      <vt:lpstr>Quator 10 mg ir 20 mg tabletės skirtos vartoti prieš numatomus lytinius santykiu</vt:lpstr>
      <vt:lpstr/>
      <vt:lpstr>        4.	Galimas šalutinis poveikis</vt:lpstr>
      <vt:lpstr>        5.	Kaip laikyti Quator</vt:lpstr>
      <vt:lpstr>        6.	Pakuotės turinys ir kita informacija</vt:lpstr>
      <vt:lpstr/>
    </vt:vector>
  </TitlesOfParts>
  <Company/>
  <LinksUpToDate>false</LinksUpToDate>
  <CharactersWithSpaces>16912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2024-05-23T08:16:00Z</dcterms:created>
  <dcterms:modified xsi:type="dcterms:W3CDTF">2024-05-23T08:17:00Z</dcterms:modified>
</cp:coreProperties>
</file>