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FEC2C6" w14:textId="77777777" w:rsidR="00350BD0" w:rsidRPr="00350BD0" w:rsidRDefault="00350BD0" w:rsidP="00350BD0">
      <w:pPr>
        <w:tabs>
          <w:tab w:val="left" w:pos="4962"/>
        </w:tabs>
        <w:spacing w:after="0" w:line="240" w:lineRule="auto"/>
        <w:rPr>
          <w:rFonts w:ascii="Times New Roman" w:eastAsia="SimSun" w:hAnsi="Times New Roman" w:cs="Times New Roman"/>
          <w:color w:val="008000"/>
          <w:lang w:eastAsia="x-none"/>
        </w:rPr>
      </w:pPr>
    </w:p>
    <w:p w14:paraId="40831C9E"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b/>
          <w:snapToGrid w:val="0"/>
        </w:rPr>
      </w:pPr>
    </w:p>
    <w:p w14:paraId="00EDA874"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b/>
          <w:snapToGrid w:val="0"/>
        </w:rPr>
      </w:pPr>
    </w:p>
    <w:p w14:paraId="38640F75"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b/>
          <w:snapToGrid w:val="0"/>
        </w:rPr>
      </w:pPr>
    </w:p>
    <w:p w14:paraId="71B1C083"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b/>
          <w:snapToGrid w:val="0"/>
        </w:rPr>
      </w:pPr>
    </w:p>
    <w:p w14:paraId="4B33520F"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0ADFD5A8"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48143717"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4A925BE0"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6BDB7724"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5D7686F4"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2724279E"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31109E3C"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6593225C"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589A16F6"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2A6FB8A8"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1B0BBDFB"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2C83FB76"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5E5296F6"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217644F1"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513FA8C4"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123A5188"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62567837" w14:textId="77777777" w:rsidR="00350BD0" w:rsidRPr="00350BD0" w:rsidRDefault="00350BD0" w:rsidP="00350BD0">
      <w:pPr>
        <w:tabs>
          <w:tab w:val="left" w:pos="-1440"/>
          <w:tab w:val="left" w:pos="-720"/>
          <w:tab w:val="left" w:pos="567"/>
        </w:tabs>
        <w:spacing w:after="0" w:line="260" w:lineRule="exact"/>
        <w:rPr>
          <w:rFonts w:ascii="Times New Roman" w:eastAsia="Times New Roman" w:hAnsi="Times New Roman" w:cs="Times New Roman"/>
          <w:b/>
          <w:snapToGrid w:val="0"/>
        </w:rPr>
      </w:pPr>
    </w:p>
    <w:p w14:paraId="2A4EBD75" w14:textId="77777777" w:rsidR="00350BD0" w:rsidRPr="00350BD0" w:rsidRDefault="00350BD0" w:rsidP="00350BD0">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350BD0">
        <w:rPr>
          <w:rFonts w:ascii="Times New Roman" w:eastAsia="Times New Roman" w:hAnsi="Times New Roman" w:cs="Times New Roman"/>
          <w:b/>
          <w:bCs/>
          <w:iCs/>
          <w:snapToGrid w:val="0"/>
          <w:lang w:eastAsia="x-none"/>
        </w:rPr>
        <w:t>I PRIEDAS</w:t>
      </w:r>
    </w:p>
    <w:p w14:paraId="29C7056D" w14:textId="77777777" w:rsidR="00350BD0" w:rsidRPr="00350BD0" w:rsidRDefault="00350BD0" w:rsidP="00350BD0">
      <w:pPr>
        <w:tabs>
          <w:tab w:val="left" w:pos="567"/>
        </w:tabs>
        <w:spacing w:after="0" w:line="240" w:lineRule="auto"/>
        <w:rPr>
          <w:rFonts w:ascii="Times New Roman" w:eastAsia="Times New Roman" w:hAnsi="Times New Roman" w:cs="Times New Roman"/>
          <w:snapToGrid w:val="0"/>
        </w:rPr>
      </w:pPr>
    </w:p>
    <w:p w14:paraId="5327EADB" w14:textId="77777777" w:rsidR="00350BD0" w:rsidRPr="00350BD0" w:rsidRDefault="00350BD0" w:rsidP="00350BD0">
      <w:pPr>
        <w:tabs>
          <w:tab w:val="left" w:pos="-1440"/>
          <w:tab w:val="left" w:pos="-720"/>
          <w:tab w:val="left" w:pos="567"/>
        </w:tabs>
        <w:spacing w:after="0" w:line="260" w:lineRule="exact"/>
        <w:jc w:val="center"/>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PREPARATO CHARAKTERISTIKŲ SANTRAUKA</w:t>
      </w:r>
    </w:p>
    <w:p w14:paraId="3D69BF9B" w14:textId="77777777" w:rsidR="00350BD0" w:rsidRPr="00350BD0" w:rsidRDefault="00350BD0" w:rsidP="00350BD0">
      <w:pPr>
        <w:tabs>
          <w:tab w:val="left" w:pos="-1440"/>
          <w:tab w:val="left" w:pos="-720"/>
          <w:tab w:val="left" w:pos="567"/>
        </w:tabs>
        <w:spacing w:after="0" w:line="260" w:lineRule="exact"/>
        <w:jc w:val="center"/>
        <w:rPr>
          <w:rFonts w:ascii="Times New Roman" w:eastAsia="Times New Roman" w:hAnsi="Times New Roman" w:cs="Times New Roman"/>
          <w:snapToGrid w:val="0"/>
        </w:rPr>
      </w:pPr>
      <w:r w:rsidRPr="00350BD0">
        <w:rPr>
          <w:rFonts w:ascii="Times New Roman" w:eastAsia="Times New Roman" w:hAnsi="Times New Roman" w:cs="Times New Roman"/>
          <w:snapToGrid w:val="0"/>
          <w:lang w:eastAsia="zh-CN"/>
        </w:rPr>
        <w:br w:type="page"/>
      </w:r>
    </w:p>
    <w:p w14:paraId="1CE8744E" w14:textId="77777777" w:rsidR="00350BD0" w:rsidRPr="00350BD0" w:rsidRDefault="00350BD0" w:rsidP="00350BD0">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lastRenderedPageBreak/>
        <w:t>1.</w:t>
      </w:r>
      <w:r w:rsidRPr="00350BD0">
        <w:rPr>
          <w:rFonts w:ascii="Times New Roman" w:eastAsia="Times New Roman" w:hAnsi="Times New Roman" w:cs="Times New Roman"/>
          <w:b/>
          <w:bCs/>
          <w:snapToGrid w:val="0"/>
          <w:lang w:eastAsia="x-none"/>
        </w:rPr>
        <w:tab/>
        <w:t>VAISTINIO PREPARATO PAVADINIMAS</w:t>
      </w:r>
    </w:p>
    <w:p w14:paraId="1CC2836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D376FDD" w14:textId="5388C43C"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bookmarkStart w:id="0" w:name="_GoBack"/>
      <w:r w:rsidRPr="00350BD0">
        <w:rPr>
          <w:rFonts w:ascii="Times New Roman" w:eastAsia="Times New Roman" w:hAnsi="Times New Roman" w:cs="Times New Roman"/>
          <w:snapToGrid w:val="0"/>
          <w:lang w:val="lv-LV"/>
        </w:rPr>
        <w:t xml:space="preserve">Dutasteride/Tamsulosin </w:t>
      </w:r>
      <w:r w:rsidR="00AC240B">
        <w:rPr>
          <w:rFonts w:ascii="Times New Roman" w:eastAsia="Times New Roman" w:hAnsi="Times New Roman" w:cs="Times New Roman"/>
          <w:snapToGrid w:val="0"/>
          <w:lang w:val="lv-LV"/>
        </w:rPr>
        <w:t>Olpha</w:t>
      </w:r>
      <w:r w:rsidRPr="00350BD0">
        <w:rPr>
          <w:rFonts w:ascii="Times New Roman" w:eastAsia="Times New Roman" w:hAnsi="Times New Roman" w:cs="Times New Roman"/>
          <w:snapToGrid w:val="0"/>
        </w:rPr>
        <w:t xml:space="preserve"> </w:t>
      </w:r>
      <w:bookmarkEnd w:id="0"/>
      <w:r w:rsidRPr="00350BD0">
        <w:rPr>
          <w:rFonts w:ascii="Times New Roman" w:eastAsia="Times New Roman" w:hAnsi="Times New Roman" w:cs="Times New Roman"/>
          <w:snapToGrid w:val="0"/>
        </w:rPr>
        <w:t>0,5 mg / 0,4 mg kietosios kapsulės</w:t>
      </w:r>
    </w:p>
    <w:p w14:paraId="02CB57A4"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4DEDE6D9"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ABDFC7C" w14:textId="77777777" w:rsidR="00350BD0" w:rsidRPr="00350BD0" w:rsidRDefault="00350BD0" w:rsidP="00350BD0">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2.</w:t>
      </w:r>
      <w:r w:rsidRPr="00350BD0">
        <w:rPr>
          <w:rFonts w:ascii="Times New Roman" w:eastAsia="Times New Roman" w:hAnsi="Times New Roman" w:cs="Times New Roman"/>
          <w:b/>
          <w:bCs/>
          <w:snapToGrid w:val="0"/>
          <w:lang w:eastAsia="x-none"/>
        </w:rPr>
        <w:tab/>
        <w:t>KOKYBINĖ IR KIEKYBINĖ SUDĖTIS</w:t>
      </w:r>
    </w:p>
    <w:p w14:paraId="258BEFE0"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47E1B27"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Kiekvienoje kietojoje kapsulėje yra 0,5 mg dutasterido ir 0,4 mg tamsulozino hidrochlorido (atitinkančio 0,367 mg tamsulozino).</w:t>
      </w:r>
    </w:p>
    <w:p w14:paraId="74E4522D"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6316C39"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u w:val="single"/>
        </w:rPr>
        <w:t>Pagalbinė (-s) medžiaga (-os), kurios (-ių) poveikis žinomas:</w:t>
      </w:r>
    </w:p>
    <w:p w14:paraId="6111CBD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Kiekvienoje kapsulėje yra sojų lecitino ir propilenglikolio.</w:t>
      </w:r>
    </w:p>
    <w:p w14:paraId="02C661D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FA4EB7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Kiekvienoje šio vaistinio preparato kietojoje kapsulėje yra 299,46 mg propilenglikolio, tai atitinka 4,27 mg/kg.</w:t>
      </w:r>
    </w:p>
    <w:p w14:paraId="44EA3D6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69435F7A"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Visos pagalbinės medžiagos išvardytos 6.1 skyriuje.</w:t>
      </w:r>
    </w:p>
    <w:p w14:paraId="58B2C634"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5D6A8E88"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5BEAE8D9" w14:textId="77777777" w:rsidR="00350BD0" w:rsidRPr="00350BD0" w:rsidRDefault="00350BD0" w:rsidP="00350BD0">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3.</w:t>
      </w:r>
      <w:r w:rsidRPr="00350BD0">
        <w:rPr>
          <w:rFonts w:ascii="Times New Roman" w:eastAsia="Times New Roman" w:hAnsi="Times New Roman" w:cs="Times New Roman"/>
          <w:b/>
          <w:bCs/>
          <w:snapToGrid w:val="0"/>
          <w:lang w:eastAsia="x-none"/>
        </w:rPr>
        <w:tab/>
        <w:t>FARMACINĖ FORMA</w:t>
      </w:r>
    </w:p>
    <w:p w14:paraId="5DF3A6D2"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753A5E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Kietoji kapsulė</w:t>
      </w:r>
    </w:p>
    <w:p w14:paraId="0F1039B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7C827D5D" w14:textId="40DD2723"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bookmarkStart w:id="1" w:name="_Hlk12521260"/>
      <w:r w:rsidRPr="00350BD0">
        <w:rPr>
          <w:rFonts w:ascii="Times New Roman" w:eastAsia="Times New Roman" w:hAnsi="Times New Roman" w:cs="Times New Roman"/>
          <w:snapToGrid w:val="0"/>
        </w:rPr>
        <w:t xml:space="preserve">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w:t>
      </w:r>
      <w:bookmarkEnd w:id="1"/>
      <w:r w:rsidRPr="00350BD0">
        <w:rPr>
          <w:rFonts w:ascii="Times New Roman" w:eastAsia="Times New Roman" w:hAnsi="Times New Roman" w:cs="Times New Roman"/>
          <w:snapToGrid w:val="0"/>
        </w:rPr>
        <w:t>yra pailgos, kietosios želatinos kapsulės, maždaug 2</w:t>
      </w:r>
      <w:r w:rsidR="00B65AE0">
        <w:rPr>
          <w:rFonts w:ascii="Times New Roman" w:eastAsia="Times New Roman" w:hAnsi="Times New Roman" w:cs="Times New Roman"/>
          <w:snapToGrid w:val="0"/>
        </w:rPr>
        <w:t>4</w:t>
      </w:r>
      <w:r w:rsidRPr="00350BD0">
        <w:rPr>
          <w:rFonts w:ascii="Times New Roman" w:eastAsia="Times New Roman" w:hAnsi="Times New Roman" w:cs="Times New Roman"/>
          <w:snapToGrid w:val="0"/>
        </w:rPr>
        <w:t>,</w:t>
      </w:r>
      <w:r w:rsidR="00B65AE0">
        <w:rPr>
          <w:rFonts w:ascii="Times New Roman" w:eastAsia="Times New Roman" w:hAnsi="Times New Roman" w:cs="Times New Roman"/>
          <w:snapToGrid w:val="0"/>
        </w:rPr>
        <w:t>2</w:t>
      </w:r>
      <w:r w:rsidRPr="00350BD0">
        <w:rPr>
          <w:rFonts w:ascii="Times New Roman" w:eastAsia="Times New Roman" w:hAnsi="Times New Roman" w:cs="Times New Roman"/>
          <w:snapToGrid w:val="0"/>
        </w:rPr>
        <w:t> mm x 7,</w:t>
      </w:r>
      <w:r w:rsidR="00B65AE0">
        <w:rPr>
          <w:rFonts w:ascii="Times New Roman" w:eastAsia="Times New Roman" w:hAnsi="Times New Roman" w:cs="Times New Roman"/>
          <w:snapToGrid w:val="0"/>
        </w:rPr>
        <w:t>7</w:t>
      </w:r>
      <w:r w:rsidRPr="00350BD0">
        <w:rPr>
          <w:rFonts w:ascii="Times New Roman" w:eastAsia="Times New Roman" w:hAnsi="Times New Roman" w:cs="Times New Roman"/>
          <w:snapToGrid w:val="0"/>
        </w:rPr>
        <w:t xml:space="preserve"> mm, kurių korpusas yra rudas, o dangtelis </w:t>
      </w:r>
      <w:r w:rsidR="00B65AE0">
        <w:rPr>
          <w:rFonts w:ascii="Times New Roman" w:eastAsia="Times New Roman" w:hAnsi="Times New Roman" w:cs="Times New Roman"/>
          <w:snapToGrid w:val="0"/>
        </w:rPr>
        <w:t>smėlio spalvos</w:t>
      </w:r>
      <w:r w:rsidRPr="00350BD0">
        <w:rPr>
          <w:rFonts w:ascii="Times New Roman" w:eastAsia="Times New Roman" w:hAnsi="Times New Roman" w:cs="Times New Roman"/>
          <w:snapToGrid w:val="0"/>
        </w:rPr>
        <w:t>. Ant dangtelio juodu rašalu užrašyta ,,C001“.</w:t>
      </w:r>
    </w:p>
    <w:p w14:paraId="351043D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C08182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Kiekvienoje kietojoje kapsulėje yra tamsulozino hidrochlorido modifikuoto atpalaidavimo granulių ir viena dutasterido minkštoji želatinos kapsulė.</w:t>
      </w:r>
    </w:p>
    <w:p w14:paraId="6D926F3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5C1B141"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2B9D279" w14:textId="77777777" w:rsidR="00350BD0" w:rsidRPr="00350BD0" w:rsidRDefault="00350BD0" w:rsidP="00350BD0">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4.</w:t>
      </w:r>
      <w:r w:rsidRPr="00350BD0">
        <w:rPr>
          <w:rFonts w:ascii="Times New Roman" w:eastAsia="Times New Roman" w:hAnsi="Times New Roman" w:cs="Times New Roman"/>
          <w:b/>
          <w:bCs/>
          <w:snapToGrid w:val="0"/>
          <w:lang w:eastAsia="x-none"/>
        </w:rPr>
        <w:tab/>
        <w:t>KLINIKINĖ INFORMACIJA</w:t>
      </w:r>
    </w:p>
    <w:p w14:paraId="7DCC26D9"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BFB4A32" w14:textId="77777777"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4.1</w:t>
      </w:r>
      <w:r w:rsidRPr="00350BD0">
        <w:rPr>
          <w:rFonts w:ascii="Times New Roman" w:eastAsia="Times New Roman" w:hAnsi="Times New Roman" w:cs="Times New Roman"/>
          <w:b/>
          <w:bCs/>
          <w:snapToGrid w:val="0"/>
          <w:lang w:eastAsia="x-none"/>
        </w:rPr>
        <w:tab/>
        <w:t>Terapinės indikacijos</w:t>
      </w:r>
    </w:p>
    <w:p w14:paraId="125A2148"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6BB74B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Vidutinio sunkumo ar sunkių gerybinės prostatos hiperplazijos (GPH) simptomų gydymas.</w:t>
      </w:r>
    </w:p>
    <w:p w14:paraId="007954B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9B4C2B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Ūminio šlapimo susilaikymo (ŪŠS) rizikos ir chirurginio gydymo poreikio mažinimas pacientams, kuriems pasireiškia vidutinio sunkumo ar sunkūs GPH simptomai.</w:t>
      </w:r>
    </w:p>
    <w:p w14:paraId="369E70B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7758304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Informaciją apie gydomąjį poveikį ir klinikiniuose tyrimuose tirtas pacientų populiacijas žr. 5.1 skyriuje.</w:t>
      </w:r>
    </w:p>
    <w:p w14:paraId="0D409B97"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29D9F24" w14:textId="77777777"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4.2</w:t>
      </w:r>
      <w:r w:rsidRPr="00350BD0">
        <w:rPr>
          <w:rFonts w:ascii="Times New Roman" w:eastAsia="Times New Roman" w:hAnsi="Times New Roman" w:cs="Times New Roman"/>
          <w:b/>
          <w:bCs/>
          <w:snapToGrid w:val="0"/>
          <w:lang w:eastAsia="x-none"/>
        </w:rPr>
        <w:tab/>
        <w:t>Dozavimas ir vartojimo metodas</w:t>
      </w:r>
    </w:p>
    <w:p w14:paraId="73EECCCA"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B3361BD"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u w:val="single"/>
        </w:rPr>
      </w:pPr>
      <w:r w:rsidRPr="00350BD0">
        <w:rPr>
          <w:rFonts w:ascii="Times New Roman" w:eastAsia="Times New Roman" w:hAnsi="Times New Roman" w:cs="Times New Roman"/>
          <w:snapToGrid w:val="0"/>
          <w:u w:val="single"/>
        </w:rPr>
        <w:t>Dozavimas</w:t>
      </w:r>
    </w:p>
    <w:p w14:paraId="6D395FE8"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4D2135BA" w14:textId="77777777" w:rsidR="00350BD0" w:rsidRPr="00350BD0" w:rsidRDefault="00350BD0" w:rsidP="00350BD0">
      <w:pPr>
        <w:tabs>
          <w:tab w:val="left" w:pos="567"/>
        </w:tabs>
        <w:spacing w:after="0" w:line="260" w:lineRule="exact"/>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Suaugusiesiems (įskaitant senyviems)</w:t>
      </w:r>
    </w:p>
    <w:p w14:paraId="0E16F086" w14:textId="77777777" w:rsidR="00350BD0" w:rsidRPr="00350BD0" w:rsidRDefault="00350BD0" w:rsidP="00350BD0">
      <w:pPr>
        <w:tabs>
          <w:tab w:val="left" w:pos="567"/>
        </w:tabs>
        <w:spacing w:after="0" w:line="260" w:lineRule="exact"/>
        <w:rPr>
          <w:rFonts w:ascii="Times New Roman" w:eastAsia="Times New Roman" w:hAnsi="Times New Roman" w:cs="Times New Roman"/>
          <w:i/>
          <w:snapToGrid w:val="0"/>
        </w:rPr>
      </w:pPr>
    </w:p>
    <w:p w14:paraId="2115F0E4" w14:textId="7F332E6C"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Rekomenduojama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dozė yra viena kapsulė (0,5 mg/0,4 mg) per parą.</w:t>
      </w:r>
    </w:p>
    <w:p w14:paraId="61C714B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D73CCE3" w14:textId="6988D4BA"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Jei vartojamas dviejų atskirų vaistinių preparatų derinys, kad būtų paprasčiau, jei tinka,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galima vartoti vietoj kartu vartojamų dutasterido ir tamsulozino hidrochlorido vaistinių preparatų.</w:t>
      </w:r>
    </w:p>
    <w:p w14:paraId="4E87F0B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02A6490" w14:textId="4155C833"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Jeigu atsižvelgiant į klinikinę būklę tinka, galima apsvarstyti tiesioginį monoterapijos dutasteridu ar tamsulozino hidrochloridu pakeitimą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w:t>
      </w:r>
    </w:p>
    <w:p w14:paraId="0560B81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p>
    <w:p w14:paraId="6A83F52B" w14:textId="77777777" w:rsidR="00350BD0" w:rsidRPr="00350BD0" w:rsidRDefault="00350BD0" w:rsidP="00350BD0">
      <w:pPr>
        <w:keepNext/>
        <w:tabs>
          <w:tab w:val="left" w:pos="567"/>
        </w:tabs>
        <w:spacing w:after="0" w:line="260" w:lineRule="exact"/>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 xml:space="preserve">Sutrikusi inkstų funkcija </w:t>
      </w:r>
    </w:p>
    <w:p w14:paraId="63615B25" w14:textId="77777777" w:rsidR="00350BD0" w:rsidRPr="00350BD0" w:rsidRDefault="00350BD0" w:rsidP="00350BD0">
      <w:pPr>
        <w:keepNext/>
        <w:tabs>
          <w:tab w:val="left" w:pos="567"/>
        </w:tabs>
        <w:spacing w:after="0" w:line="260" w:lineRule="exact"/>
        <w:rPr>
          <w:rFonts w:ascii="Times New Roman" w:eastAsia="Times New Roman" w:hAnsi="Times New Roman" w:cs="Times New Roman"/>
          <w:i/>
          <w:snapToGrid w:val="0"/>
        </w:rPr>
      </w:pPr>
    </w:p>
    <w:p w14:paraId="28F2833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Inkstų funkcijos sutrikimo poveikis dutasterido ir tamsulozino derinio farmakokinetikai netirtas. Dozės keisti pacientams, kurių inkstų funkcija sutrikusi, nenumatyta (žr. 4.4 ir 5.2 skyrius).</w:t>
      </w:r>
    </w:p>
    <w:p w14:paraId="7A9FC61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E7F51A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Sutrikusi kepenų funkcija</w:t>
      </w:r>
    </w:p>
    <w:p w14:paraId="556C195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F159FE9" w14:textId="12EE2432"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Kepenų funkcijos sutrikimo poveikis dutasterido ir tamsulozino derinio farmakokinetikai netirtas, todėl gydyti pacientus, kuriems pasireiškia lengvas ar vidutinio sunkumo kepenų funkcijos sutrikimas, reikia atsargiai (žr. 4.4 ir 5.2 skyrius). Pacientams, kuriems pasireiškia sunkus kepenų funkcijos sutrikimas,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vartoti negalima (žr. 4.3 skyrių).</w:t>
      </w:r>
    </w:p>
    <w:p w14:paraId="6BA47E0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084420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Vaikų populiacija</w:t>
      </w:r>
    </w:p>
    <w:p w14:paraId="0CE55B0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5E1477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Vaikų populiacijos pacientams (jaunesniems kaip 18 metų) dutasterido ir tamsulozino derinio vartoti negalima (žr. 4.3 skyrių).</w:t>
      </w:r>
    </w:p>
    <w:p w14:paraId="3E7FCE7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81F849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u w:val="single"/>
        </w:rPr>
      </w:pPr>
      <w:r w:rsidRPr="00350BD0">
        <w:rPr>
          <w:rFonts w:ascii="Times New Roman" w:eastAsia="Times New Roman" w:hAnsi="Times New Roman" w:cs="Times New Roman"/>
          <w:snapToGrid w:val="0"/>
          <w:u w:val="single"/>
        </w:rPr>
        <w:t>Vartojimo metodas</w:t>
      </w:r>
    </w:p>
    <w:p w14:paraId="7C2E6FE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u w:val="single"/>
        </w:rPr>
      </w:pPr>
    </w:p>
    <w:p w14:paraId="1C87724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Vartoti per burną.</w:t>
      </w:r>
    </w:p>
    <w:p w14:paraId="13377F0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311381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Pacientams reikia pasakyti, kad kiekvieną dieną nurytų po vieną visą kapsulę, praėjus maždaug 30 minučių po tokio pat maisto pavalgymo. Kapsulių negalima kramtyti ar atidaryti. Susilietus su dutasterido kietojoje kapsulėje esančiu turiniu, gali pasireikšti burnos ir ryklės gleivinės dirginimas.</w:t>
      </w:r>
    </w:p>
    <w:p w14:paraId="56A095B4"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99BF6B3" w14:textId="77777777"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4.3</w:t>
      </w:r>
      <w:r w:rsidRPr="00350BD0">
        <w:rPr>
          <w:rFonts w:ascii="Times New Roman" w:eastAsia="Times New Roman" w:hAnsi="Times New Roman" w:cs="Times New Roman"/>
          <w:b/>
          <w:bCs/>
          <w:snapToGrid w:val="0"/>
          <w:lang w:eastAsia="x-none"/>
        </w:rPr>
        <w:tab/>
        <w:t>Kontraindikacijos</w:t>
      </w:r>
    </w:p>
    <w:p w14:paraId="1F5428D7"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AAF8496" w14:textId="54EF5992"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vartoti negalima:</w:t>
      </w:r>
    </w:p>
    <w:p w14:paraId="3A7E6F72"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r w:rsidRPr="00350BD0">
        <w:rPr>
          <w:rFonts w:ascii="Times New Roman" w:eastAsia="Times New Roman" w:hAnsi="Times New Roman" w:cs="Times New Roman"/>
          <w:snapToGrid w:val="0"/>
        </w:rPr>
        <w:tab/>
        <w:t>moterims, vaikams ir paaugliams (žr. 4.6 skyrių);</w:t>
      </w:r>
    </w:p>
    <w:p w14:paraId="1F86331F"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r w:rsidRPr="00350BD0">
        <w:rPr>
          <w:rFonts w:ascii="Times New Roman" w:eastAsia="Times New Roman" w:hAnsi="Times New Roman" w:cs="Times New Roman"/>
          <w:snapToGrid w:val="0"/>
        </w:rPr>
        <w:tab/>
        <w:t>pacientams, kuriems padidėjęs jautrumas veikliosioms medžiagoms, kitiems 5 alfa reduktazės inhibitoriams, sojai, žemės riešutams arba bet kuriai kitai 6.1 skyriuje nurodytai pagalbinei medžiagai;</w:t>
      </w:r>
    </w:p>
    <w:p w14:paraId="7A63E368"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r w:rsidRPr="00350BD0">
        <w:rPr>
          <w:rFonts w:ascii="Times New Roman" w:eastAsia="Times New Roman" w:hAnsi="Times New Roman" w:cs="Times New Roman"/>
          <w:snapToGrid w:val="0"/>
        </w:rPr>
        <w:tab/>
        <w:t>pacientams, kuriems anksčiau pasireiškė ortostatinė hipotenzija;</w:t>
      </w:r>
    </w:p>
    <w:p w14:paraId="651800FE"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r w:rsidRPr="00350BD0">
        <w:rPr>
          <w:rFonts w:ascii="Times New Roman" w:eastAsia="Times New Roman" w:hAnsi="Times New Roman" w:cs="Times New Roman"/>
          <w:snapToGrid w:val="0"/>
        </w:rPr>
        <w:tab/>
        <w:t>pacientams, kurie serga sunkiu kepenų funkcijos sutrikimu.</w:t>
      </w:r>
    </w:p>
    <w:p w14:paraId="64EB05FC"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7517C19" w14:textId="77777777"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4.4</w:t>
      </w:r>
      <w:r w:rsidRPr="00350BD0">
        <w:rPr>
          <w:rFonts w:ascii="Times New Roman" w:eastAsia="Times New Roman" w:hAnsi="Times New Roman" w:cs="Times New Roman"/>
          <w:b/>
          <w:bCs/>
          <w:snapToGrid w:val="0"/>
          <w:lang w:eastAsia="x-none"/>
        </w:rPr>
        <w:tab/>
        <w:t>Specialūs įspėjimai ir atsargumo priemonės</w:t>
      </w:r>
    </w:p>
    <w:p w14:paraId="7C12A5F7"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276019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Gydymas deriniu gali būti skiriamas, tik atidžiai įvertinus naudos ir rizikos santykį dėl galimo nepageidaujamų reiškinių (įskaitant širdies nepakankamumo) rizikos padidėjimo bei įvertinus kitas gydymo, įskaitant monoterapijos, galimybes.</w:t>
      </w:r>
    </w:p>
    <w:p w14:paraId="342810A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013372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Prostatos vėžys ir didelio laipsnio navikai</w:t>
      </w:r>
    </w:p>
    <w:p w14:paraId="7C368E6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4020612" w14:textId="7D4C13D9"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iCs/>
          <w:snapToGrid w:val="0"/>
        </w:rPr>
        <w:t xml:space="preserve">Ketverius (4) metus trukusio, </w:t>
      </w:r>
      <w:r w:rsidRPr="00350BD0">
        <w:rPr>
          <w:rFonts w:ascii="Times New Roman" w:eastAsia="Times New Roman" w:hAnsi="Times New Roman" w:cs="Times New Roman"/>
          <w:snapToGrid w:val="0"/>
        </w:rPr>
        <w:t xml:space="preserve">keliuose centruose atlikto, atsitiktinių imčių, dvigubai koduoto, placebu kontroliuojamojo </w:t>
      </w:r>
      <w:r w:rsidRPr="00350BD0">
        <w:rPr>
          <w:rFonts w:ascii="Times New Roman" w:eastAsia="Times New Roman" w:hAnsi="Times New Roman" w:cs="Times New Roman"/>
          <w:i/>
          <w:snapToGrid w:val="0"/>
        </w:rPr>
        <w:t>REDUCE</w:t>
      </w:r>
      <w:r w:rsidRPr="00350BD0">
        <w:rPr>
          <w:rFonts w:ascii="Times New Roman" w:eastAsia="Times New Roman" w:hAnsi="Times New Roman" w:cs="Times New Roman"/>
          <w:snapToGrid w:val="0"/>
        </w:rPr>
        <w:t xml:space="preserve"> tyrimo metu buvo tirtas 0,5 mg dutasterido paros dozės poveikis pacientams, kuriems yra didelė prostatos vėžio rizika (įskaitant 50</w:t>
      </w:r>
      <w:r w:rsidRPr="00350BD0">
        <w:rPr>
          <w:rFonts w:ascii="Times New Roman" w:eastAsia="Times New Roman" w:hAnsi="Times New Roman" w:cs="Times New Roman"/>
          <w:snapToGrid w:val="0"/>
        </w:rPr>
        <w:noBreakHyphen/>
        <w:t>75 metų vyrus, kurių PSA koncentracijos buvo nuo 2,5 iki 10 ng/ml ir, prieš priimant į tyrimą, 6 mėnesių laikotarpiu buvo neigiami prostatos biopsijos rezultatai), palyginti su placebu. Šio tyrimo duomenys atskleidė 8</w:t>
      </w:r>
      <w:r w:rsidRPr="00350BD0">
        <w:rPr>
          <w:rFonts w:ascii="Times New Roman" w:eastAsia="Times New Roman" w:hAnsi="Times New Roman" w:cs="Times New Roman"/>
          <w:snapToGrid w:val="0"/>
        </w:rPr>
        <w:noBreakHyphen/>
        <w:t xml:space="preserve">10 laipsnio pagal </w:t>
      </w:r>
      <w:r w:rsidRPr="00350BD0">
        <w:rPr>
          <w:rFonts w:ascii="Times New Roman" w:eastAsia="Times New Roman" w:hAnsi="Times New Roman" w:cs="Times New Roman"/>
          <w:iCs/>
          <w:snapToGrid w:val="0"/>
        </w:rPr>
        <w:t>Glisono sistemą</w:t>
      </w:r>
      <w:r w:rsidRPr="00350BD0">
        <w:rPr>
          <w:rFonts w:ascii="Times New Roman" w:eastAsia="Times New Roman" w:hAnsi="Times New Roman" w:cs="Times New Roman"/>
          <w:snapToGrid w:val="0"/>
        </w:rPr>
        <w:t xml:space="preserve"> prostatos vėžio dažnio padidėjimą dutasteridu gydytiems vyrams (n = 29, 0,9 %), palyginti su placebu (n = 19, 0,6 %). Dutasterido ryšys su 8</w:t>
      </w:r>
      <w:r w:rsidRPr="00350BD0">
        <w:rPr>
          <w:rFonts w:ascii="Times New Roman" w:eastAsia="Times New Roman" w:hAnsi="Times New Roman" w:cs="Times New Roman"/>
          <w:snapToGrid w:val="0"/>
        </w:rPr>
        <w:noBreakHyphen/>
        <w:t xml:space="preserve">10 laipsnio pagal </w:t>
      </w:r>
      <w:r w:rsidRPr="00350BD0">
        <w:rPr>
          <w:rFonts w:ascii="Times New Roman" w:eastAsia="Times New Roman" w:hAnsi="Times New Roman" w:cs="Times New Roman"/>
          <w:iCs/>
          <w:snapToGrid w:val="0"/>
        </w:rPr>
        <w:t>Glisono</w:t>
      </w:r>
      <w:r w:rsidRPr="00350BD0">
        <w:rPr>
          <w:rFonts w:ascii="Times New Roman" w:eastAsia="Times New Roman" w:hAnsi="Times New Roman" w:cs="Times New Roman"/>
          <w:i/>
          <w:snapToGrid w:val="0"/>
        </w:rPr>
        <w:t xml:space="preserve"> </w:t>
      </w:r>
      <w:r w:rsidRPr="00350BD0">
        <w:rPr>
          <w:rFonts w:ascii="Times New Roman" w:eastAsia="Times New Roman" w:hAnsi="Times New Roman" w:cs="Times New Roman"/>
          <w:iCs/>
          <w:snapToGrid w:val="0"/>
        </w:rPr>
        <w:t>sistemą</w:t>
      </w:r>
      <w:r w:rsidRPr="00350BD0">
        <w:rPr>
          <w:rFonts w:ascii="Times New Roman" w:eastAsia="Times New Roman" w:hAnsi="Times New Roman" w:cs="Times New Roman"/>
          <w:snapToGrid w:val="0"/>
        </w:rPr>
        <w:t xml:space="preserve"> prostatos vėžiu yra neaiškus. Todėl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vartojančius vyrus reikia reguliariai tirti dėl prostatos vėžio (žr. 5.1 skyrių).</w:t>
      </w:r>
    </w:p>
    <w:p w14:paraId="6CAFC35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DE6DD64" w14:textId="77777777" w:rsidR="00350BD0" w:rsidRPr="00350BD0" w:rsidRDefault="00350BD0" w:rsidP="00350BD0">
      <w:pPr>
        <w:keepNext/>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lastRenderedPageBreak/>
        <w:t>Prostatos specifinis antigenas (PSA)</w:t>
      </w:r>
    </w:p>
    <w:p w14:paraId="0CC82311" w14:textId="77777777" w:rsidR="00350BD0" w:rsidRPr="00350BD0" w:rsidRDefault="00350BD0" w:rsidP="00350BD0">
      <w:pPr>
        <w:keepNext/>
        <w:tabs>
          <w:tab w:val="left" w:pos="567"/>
        </w:tabs>
        <w:spacing w:after="0" w:line="240" w:lineRule="auto"/>
        <w:contextualSpacing/>
        <w:outlineLvl w:val="0"/>
        <w:rPr>
          <w:rFonts w:ascii="Times New Roman" w:eastAsia="Times New Roman" w:hAnsi="Times New Roman" w:cs="Times New Roman"/>
          <w:snapToGrid w:val="0"/>
        </w:rPr>
      </w:pPr>
    </w:p>
    <w:p w14:paraId="74F5FF91" w14:textId="6AA2558E"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Diagnozuojant prostatos vėžį, labai svarbu yra matuoti prostatos specifinio antigeno (PSA) koncentraciją serume. Po 6 gydymo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mėnesių vidutinės PSA koncentracijos serume sumažėja maždaug 50 %.</w:t>
      </w:r>
    </w:p>
    <w:p w14:paraId="1C5A46F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E60BA0F" w14:textId="24E8E862"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vartojantiems pacientams po 6 gydymo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mėnesių reikia išmatuoti naują pradinį PSA. Vėliau rekomenduojama reguliariai matuoti PSA koncentracijas. Bet koks patvirtintas PSA koncentracijos padidėjimas vartojant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palyginti su mažiausia PSA koncentracija, gali būti prostatos vėžio arba nedrausmingumo gydantis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požymis ir turi būti atidžiai įvertintas net tuo atveju, kai koncentracijos atitinka normalias vyrams, nevartojantiems 5 alfa reduktazės inhibitorių (žr. 5.1 skyrių). Vertinant paciento, vartojančio dutasteridą, PSA koncentracijos rodmenis, juos reikia palyginti su pirmiau išmatuotomis PSA koncentracijomis.</w:t>
      </w:r>
    </w:p>
    <w:p w14:paraId="6FCEACD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66CA64D6" w14:textId="1F85D88F"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Išmatavus naują pradinę PSA koncentraciją, gydymas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netrukdo naudoti PSA kaip priemonės, padedančios diagnozuoti prostatos vėžį.</w:t>
      </w:r>
    </w:p>
    <w:p w14:paraId="7D8B5BC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664BD82C" w14:textId="40119B1B"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Nutraukus gydymą, bendroji PSA koncentracija serume per 6 mėnesius vėl tampa pradinio dydžio. Laisvojo ir bendrojo PSA santykis būna pastovus net veikiant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Jeigu gydytojas nusprendžia apskaičiuoti laisvojo PSA procentinę dalį, kad būtų lengviau diagnozuoti prostatos vėžį vyrui, gydomam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šio rodmens koreguoti nebūtina.</w:t>
      </w:r>
    </w:p>
    <w:p w14:paraId="06B100E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F7C6D7E" w14:textId="7E78358B"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Prieš pradedant gydymą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pacientams reikia atlikti digitalinį tiesiosios žarnos tyrimą, o taip pat kitais būdais ištirti, ar pacientas neserga prostatos vėžiu ir ar jam nėra kitų būklių, kurios gali sukelti tokius pat simptomus, kaip GPH, o vėliau tokius tyrimus periodiškai kartoti.</w:t>
      </w:r>
    </w:p>
    <w:p w14:paraId="738150D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308232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Nepageidaujami širdies ir kraujagyslių reiškiniai</w:t>
      </w:r>
    </w:p>
    <w:p w14:paraId="2A3A369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64DE08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Remiantis dviejų 4 metus trukusių klinikinių tyrimų duomenimis, širdies nepakankamumo (bendra sąvoka, apibrėžianti pasireiškusius, visų pirma širdies nepakankamumo ir stazinio širdies nepakankamumo reiškinius) dažnis buvo nežymiai didesnis tiriamųjų, dutasteridą vartojusių kartu su alfa</w:t>
      </w:r>
      <w:r w:rsidRPr="00350BD0">
        <w:rPr>
          <w:rFonts w:ascii="Times New Roman" w:eastAsia="Times New Roman" w:hAnsi="Times New Roman" w:cs="Times New Roman"/>
          <w:snapToGrid w:val="0"/>
          <w:vertAlign w:val="subscript"/>
        </w:rPr>
        <w:t>1</w:t>
      </w:r>
      <w:r w:rsidRPr="00350BD0">
        <w:rPr>
          <w:rFonts w:ascii="Times New Roman" w:eastAsia="Times New Roman" w:hAnsi="Times New Roman" w:cs="Times New Roman"/>
          <w:snapToGrid w:val="0"/>
        </w:rPr>
        <w:t xml:space="preserve"> adrenoreceptorių blokatoriumi, visų pirma tamsulozinu, grupėje nei tiriamųjų, nevartojusių tokio derinio. Vis dėlto šių tyrimų duomenimis, širdies nepakankamumo dažnis buvo mažesnis visose gydymo aktyviu vaistiniu preparatu grupėse, palyginti su placebo grupe, o kiti turimi dutasterido ar alfa</w:t>
      </w:r>
      <w:r w:rsidRPr="00350BD0">
        <w:rPr>
          <w:rFonts w:ascii="Times New Roman" w:eastAsia="Times New Roman" w:hAnsi="Times New Roman" w:cs="Times New Roman"/>
          <w:snapToGrid w:val="0"/>
          <w:vertAlign w:val="subscript"/>
        </w:rPr>
        <w:t xml:space="preserve">1 </w:t>
      </w:r>
      <w:r w:rsidRPr="00350BD0">
        <w:rPr>
          <w:rFonts w:ascii="Times New Roman" w:eastAsia="Times New Roman" w:hAnsi="Times New Roman" w:cs="Times New Roman"/>
          <w:snapToGrid w:val="0"/>
        </w:rPr>
        <w:t>adrenoreceptorių blokatorių vartojimo duomenys nepatvirtina išvados, kad širdies ir kraujagyslių reiškinių rizika padidėja (žr. 5.1 skyrių).</w:t>
      </w:r>
    </w:p>
    <w:p w14:paraId="44AB7D6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1F7850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Krūties navikai</w:t>
      </w:r>
    </w:p>
    <w:p w14:paraId="0FB753D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718CB2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Gauta retų pranešimų, kad vyrams, vartojantiems dutasteridą klinikinių tyrimų metu ir po vaistinio preparato patekimo į rinkas, buvo diagnozuotas krūties vėžys. Vis dėlto epidemiologijos tyrimai atskleidė, kad krūties vėžio atsiradimo rizika 5 alfa reduktazės inhibitoriais gydomiems vyrams nepadidėja (žr. 5.1 skyrių). Gydytojai turi pasakyti savo pacientams, kad jie nedelsdami praneštų apie visus jų krūtų audinio pokyčius, pavyzdžiui, gumbelius arba išskyras iš spenelių.</w:t>
      </w:r>
    </w:p>
    <w:p w14:paraId="5D35A84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u w:val="single"/>
        </w:rPr>
      </w:pPr>
    </w:p>
    <w:p w14:paraId="6E8565D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u w:val="single"/>
        </w:rPr>
      </w:pPr>
      <w:r w:rsidRPr="00350BD0">
        <w:rPr>
          <w:rFonts w:ascii="Times New Roman" w:eastAsia="Times New Roman" w:hAnsi="Times New Roman" w:cs="Times New Roman"/>
          <w:i/>
          <w:snapToGrid w:val="0"/>
        </w:rPr>
        <w:t>Sutrikusi inkstų funkcija</w:t>
      </w:r>
    </w:p>
    <w:p w14:paraId="0EA1A05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Pacientus, kuriems pasireiškia sunkus inkstų funkcijos sutrikimas (kreatinino klirensas yra mažesnis kaip 10 ml/min.), gydyti reikia atsargiai, nes tyrimų su tokiais pacientais neatlikta.</w:t>
      </w:r>
    </w:p>
    <w:p w14:paraId="6991B19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556518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Hipotenzija</w:t>
      </w:r>
    </w:p>
    <w:p w14:paraId="2B82B54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u w:val="single"/>
        </w:rPr>
      </w:pPr>
    </w:p>
    <w:p w14:paraId="5071740E" w14:textId="64AB146C"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Ortostatinė hipotenzija. Vartojant tamsuloziną, kaip ir kitokius alfa</w:t>
      </w:r>
      <w:r w:rsidRPr="00350BD0">
        <w:rPr>
          <w:rFonts w:ascii="Times New Roman" w:eastAsia="Times New Roman" w:hAnsi="Times New Roman" w:cs="Times New Roman"/>
          <w:snapToGrid w:val="0"/>
          <w:vertAlign w:val="subscript"/>
        </w:rPr>
        <w:t>1</w:t>
      </w:r>
      <w:r w:rsidRPr="00350BD0">
        <w:rPr>
          <w:rFonts w:ascii="Times New Roman" w:eastAsia="Times New Roman" w:hAnsi="Times New Roman" w:cs="Times New Roman"/>
          <w:snapToGrid w:val="0"/>
        </w:rPr>
        <w:t xml:space="preserve"> adrenoreceptorių blokatorius, gali sumažėti kraujospūdis ir dėl to retais atvejais pacientai gali apalpti. Pradedant gydymą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pacientams reikia pasakyti, kad pajutus pirmuosius ortostatinės hipotenzijos požymius (svaigulį, silpnumą), pasėdėtų arba pagulėtų, kol simptomai išnyks.</w:t>
      </w:r>
    </w:p>
    <w:p w14:paraId="2B7E225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0F7401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lastRenderedPageBreak/>
        <w:t>Kad ortostatinės hipotenzijos atsiradimo tikimybė būtų kuo mažesnė, prieš padedant gydymą FDE5 inhibitoriais, paciento, vartojančio alfa</w:t>
      </w:r>
      <w:r w:rsidRPr="00350BD0">
        <w:rPr>
          <w:rFonts w:ascii="Times New Roman" w:eastAsia="Times New Roman" w:hAnsi="Times New Roman" w:cs="Times New Roman"/>
          <w:snapToGrid w:val="0"/>
          <w:vertAlign w:val="subscript"/>
        </w:rPr>
        <w:t>1</w:t>
      </w:r>
      <w:r w:rsidRPr="00350BD0">
        <w:rPr>
          <w:rFonts w:ascii="Times New Roman" w:eastAsia="Times New Roman" w:hAnsi="Times New Roman" w:cs="Times New Roman"/>
          <w:snapToGrid w:val="0"/>
        </w:rPr>
        <w:t xml:space="preserve"> adrenoreceptorių blokatorių, hemodinamika turi būti stabili. Simptominė hipotenzija. Skiriant alfa adrenoreceptorių blokatorių, įskaitant tamsuloziną, vartoti kartu su FDE5 inhibitoriais (pvz.: sildenafiliu, tadalafiliu, vardenafiliu), gydyti reikia atsargiai. Ir alfa</w:t>
      </w:r>
      <w:r w:rsidRPr="00350BD0">
        <w:rPr>
          <w:rFonts w:ascii="Times New Roman" w:eastAsia="Times New Roman" w:hAnsi="Times New Roman" w:cs="Times New Roman"/>
          <w:snapToGrid w:val="0"/>
          <w:vertAlign w:val="subscript"/>
        </w:rPr>
        <w:t>1</w:t>
      </w:r>
      <w:r w:rsidRPr="00350BD0">
        <w:rPr>
          <w:rFonts w:ascii="Times New Roman" w:eastAsia="Times New Roman" w:hAnsi="Times New Roman" w:cs="Times New Roman"/>
          <w:snapToGrid w:val="0"/>
        </w:rPr>
        <w:t xml:space="preserve"> adrenoreceptorių blokatoriai, ir FDE5 inhibitoriai plečia kraujagysles, todėl gali mažinti kraujospūdį. Šių dviejų grupių vaistinių preparatų vartojimas kartu gali sukelti simptominę hipotenziją (žr. 4.5 skyrių).</w:t>
      </w:r>
    </w:p>
    <w:p w14:paraId="4863655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833750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Suglebusios rainelės sindromas operacijos metu</w:t>
      </w:r>
    </w:p>
    <w:p w14:paraId="591E414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78BAF431" w14:textId="123B680D"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Kataraktos chirurginės operacijos metu kai kuriems tamsulozinu gydomiems arba anksčiau gydytiems pacientams pasireiškė operacijos laikotarpiu suglebusios rainelės sindromas (angl. </w:t>
      </w:r>
      <w:r w:rsidRPr="00350BD0">
        <w:rPr>
          <w:rFonts w:ascii="Times New Roman" w:eastAsia="Times New Roman" w:hAnsi="Times New Roman" w:cs="Times New Roman"/>
          <w:i/>
          <w:snapToGrid w:val="0"/>
        </w:rPr>
        <w:t>Intraoperative Floppy Iris sindrome [IFIS]</w:t>
      </w:r>
      <w:r w:rsidRPr="00350BD0">
        <w:rPr>
          <w:rFonts w:ascii="Times New Roman" w:eastAsia="Times New Roman" w:hAnsi="Times New Roman" w:cs="Times New Roman"/>
          <w:snapToGrid w:val="0"/>
        </w:rPr>
        <w:t xml:space="preserve"> – vienas mažo vyzdžio sindromo variantų). </w:t>
      </w:r>
      <w:r w:rsidRPr="00350BD0">
        <w:rPr>
          <w:rFonts w:ascii="Times New Roman" w:eastAsia="Times New Roman" w:hAnsi="Times New Roman" w:cs="Times New Roman"/>
          <w:i/>
          <w:snapToGrid w:val="0"/>
        </w:rPr>
        <w:t>IFIS</w:t>
      </w:r>
      <w:r w:rsidRPr="00350BD0">
        <w:rPr>
          <w:rFonts w:ascii="Times New Roman" w:eastAsia="Times New Roman" w:hAnsi="Times New Roman" w:cs="Times New Roman"/>
          <w:snapToGrid w:val="0"/>
        </w:rPr>
        <w:t xml:space="preserve"> gali didinti akių komplikacijų riziką operacijos metu ir po operacijos. Todėl nerekomenduojama pradėti gydyti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pacientus, kuriems numatytas kataraktos chirurginis gydymas.</w:t>
      </w:r>
    </w:p>
    <w:p w14:paraId="3736ECD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129DE3C" w14:textId="0C137505"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Tiriant prieš operaciją, kataraktą operuosiantis chirurgas ir akių gydytojų komanda turi įvertinti, ar pacientai, kuriems planuojamas kataraktos chirurginis gydymas, šiuo metu yra gydomi arba anksčiau buvo gydyti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ir užtikrinti, kad būtų prieinamos reikiamos priemonės, kurias būtų galima taikyti </w:t>
      </w:r>
      <w:r w:rsidRPr="00350BD0">
        <w:rPr>
          <w:rFonts w:ascii="Times New Roman" w:eastAsia="Times New Roman" w:hAnsi="Times New Roman" w:cs="Times New Roman"/>
          <w:i/>
          <w:snapToGrid w:val="0"/>
        </w:rPr>
        <w:t xml:space="preserve">IFIS </w:t>
      </w:r>
      <w:r w:rsidRPr="00350BD0">
        <w:rPr>
          <w:rFonts w:ascii="Times New Roman" w:eastAsia="Times New Roman" w:hAnsi="Times New Roman" w:cs="Times New Roman"/>
          <w:snapToGrid w:val="0"/>
        </w:rPr>
        <w:t>operacijos metu.</w:t>
      </w:r>
    </w:p>
    <w:p w14:paraId="4E3F789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7403108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Manoma, kad naudinga nutraukti tamsulozino vartojimą, likus 1</w:t>
      </w:r>
      <w:r w:rsidRPr="00350BD0">
        <w:rPr>
          <w:rFonts w:ascii="Times New Roman" w:eastAsia="Times New Roman" w:hAnsi="Times New Roman" w:cs="Times New Roman"/>
          <w:snapToGrid w:val="0"/>
        </w:rPr>
        <w:noBreakHyphen/>
        <w:t>2 savaitėms iki kataraktos chirurginios gydymo, bet gydymo nutraukimo nauda ir trukmė prieš kataraktos chirurginį gydymą neįrodyta.</w:t>
      </w:r>
    </w:p>
    <w:p w14:paraId="349ED22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BF20A59" w14:textId="77777777" w:rsidR="00350BD0" w:rsidRPr="00350BD0" w:rsidRDefault="00350BD0" w:rsidP="00350BD0">
      <w:pPr>
        <w:keepNext/>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Nesandarios kapsulės</w:t>
      </w:r>
    </w:p>
    <w:p w14:paraId="1F83D7CB" w14:textId="77777777" w:rsidR="00350BD0" w:rsidRPr="00350BD0" w:rsidRDefault="00350BD0" w:rsidP="00350BD0">
      <w:pPr>
        <w:keepNext/>
        <w:tabs>
          <w:tab w:val="left" w:pos="567"/>
        </w:tabs>
        <w:spacing w:after="0" w:line="240" w:lineRule="auto"/>
        <w:contextualSpacing/>
        <w:outlineLvl w:val="0"/>
        <w:rPr>
          <w:rFonts w:ascii="Times New Roman" w:eastAsia="Times New Roman" w:hAnsi="Times New Roman" w:cs="Times New Roman"/>
          <w:snapToGrid w:val="0"/>
          <w:u w:val="single"/>
        </w:rPr>
      </w:pPr>
    </w:p>
    <w:p w14:paraId="1FFA49F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Dutasteridas absorbuojamas per odą, todėl moterys, vaikai ir paaugliai turi vengti kontakto su nesandaria kapsule (žr. 4.6 skyrių). Jeigu buvo sąlytis su nesandaria kapsule, paveiktą vietą reikia nedelsiant plauti muilu ir vandeniu.</w:t>
      </w:r>
    </w:p>
    <w:p w14:paraId="5FF4133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319235A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CYP3A4 ir CYP2D6 inhibitoriai</w:t>
      </w:r>
    </w:p>
    <w:p w14:paraId="5121B14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Cs/>
          <w:snapToGrid w:val="0"/>
          <w:u w:val="single"/>
        </w:rPr>
      </w:pPr>
    </w:p>
    <w:p w14:paraId="149B71B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Cs/>
          <w:iCs/>
          <w:snapToGrid w:val="0"/>
        </w:rPr>
      </w:pPr>
      <w:r w:rsidRPr="00350BD0">
        <w:rPr>
          <w:rFonts w:ascii="Times New Roman" w:eastAsia="Times New Roman" w:hAnsi="Times New Roman" w:cs="Times New Roman"/>
          <w:bCs/>
          <w:iCs/>
          <w:snapToGrid w:val="0"/>
        </w:rPr>
        <w:t>Tamsulozino ekspozicija gali padidėti tamsulozino hidrochloridą vartojant kartu su stipraus poveikio CYP3A4 inhibitoriais (pvz., ketokonazolu), mažesniu mastu ekspozicija gali padidėti vartojant kartu su stipraus poveikio CYP2D6 inhibitoriais (pvz., paroksetinu) (žr. 4.5 skyrių). Todėl tamsulozino hidrochlorido nerekomenduojama vartoti pacientams, kurie gydomi stipraus poveikio CYP3A4 inhibitoriais, ir reikia atsargiai vartoti pacientams, kurie yra gydomi vidutinio stiprumo CYP3A4 inhibitoriais, stipraus poveikio ar vidutinio stiprumo CYP2D6 inhibitoriais, CYP3A4 ir CYP2D6 inhibitorių deriniais, arba pacientus, kurių organizme CYP2D6 veikiamas metabolizmas yra silpnas.</w:t>
      </w:r>
    </w:p>
    <w:p w14:paraId="2A669A2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Cs/>
          <w:iCs/>
          <w:snapToGrid w:val="0"/>
        </w:rPr>
      </w:pPr>
    </w:p>
    <w:p w14:paraId="3D33A84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u w:val="single"/>
        </w:rPr>
      </w:pPr>
      <w:r w:rsidRPr="00350BD0">
        <w:rPr>
          <w:rFonts w:ascii="Times New Roman" w:eastAsia="Times New Roman" w:hAnsi="Times New Roman" w:cs="Times New Roman"/>
          <w:i/>
          <w:snapToGrid w:val="0"/>
        </w:rPr>
        <w:t>Sutrikusi kepenų funkcija</w:t>
      </w:r>
    </w:p>
    <w:p w14:paraId="01CA64F0" w14:textId="617D006E"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szCs w:val="20"/>
        </w:rPr>
        <w:t>D</w:t>
      </w:r>
      <w:r w:rsidRPr="00350BD0">
        <w:rPr>
          <w:rFonts w:ascii="Times New Roman" w:eastAsia="Times New Roman" w:hAnsi="Times New Roman" w:cs="Times New Roman"/>
          <w:snapToGrid w:val="0"/>
        </w:rPr>
        <w:t xml:space="preserve">utasterido ir tamsulozino derinio tyrimų su pacientais, sergančiais kepenų liga, neatlikta.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vartoti pacientams, kuriems pasireiškia lengvas ar vidutinio sunkumo kepenų funkcijos sutrikimas, reikia atsargiai (žr. 4.2, 4.3 ir 5.2 skyrius).</w:t>
      </w:r>
    </w:p>
    <w:p w14:paraId="4C8EFBD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45F565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iCs/>
          <w:snapToGrid w:val="0"/>
        </w:rPr>
      </w:pPr>
      <w:r w:rsidRPr="00350BD0">
        <w:rPr>
          <w:rFonts w:ascii="Times New Roman" w:eastAsia="Times New Roman" w:hAnsi="Times New Roman" w:cs="Times New Roman"/>
          <w:i/>
          <w:iCs/>
          <w:snapToGrid w:val="0"/>
        </w:rPr>
        <w:t>Natris</w:t>
      </w:r>
    </w:p>
    <w:p w14:paraId="7880618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Šio vaistinio preparato vienoje kapsulėje yra mažiau kaip 1 mmol (23 mg) natrio, t. y. jis beveik neturi reikšmės.</w:t>
      </w:r>
    </w:p>
    <w:p w14:paraId="70299582"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659A1FA" w14:textId="77777777"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4.5</w:t>
      </w:r>
      <w:r w:rsidRPr="00350BD0">
        <w:rPr>
          <w:rFonts w:ascii="Times New Roman" w:eastAsia="Times New Roman" w:hAnsi="Times New Roman" w:cs="Times New Roman"/>
          <w:b/>
          <w:bCs/>
          <w:snapToGrid w:val="0"/>
          <w:lang w:eastAsia="x-none"/>
        </w:rPr>
        <w:tab/>
        <w:t>Sąveika su kitais vaistiniais preparatais ir kitokia sąveika</w:t>
      </w:r>
    </w:p>
    <w:p w14:paraId="37A7B023"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71D110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Dutasterido ir tamsulozino derinio sąveikos tyrimų su kitais vaistiniais preparatais neatlikta. Toliau pateikti duomenys atspindi informaciją apie atskirai vartojamas sudėtyje esančias veikliąsias medžiagas.</w:t>
      </w:r>
    </w:p>
    <w:p w14:paraId="7122D2A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FF7D802" w14:textId="77777777" w:rsidR="00350BD0" w:rsidRPr="00350BD0" w:rsidRDefault="00350BD0" w:rsidP="00350BD0">
      <w:pPr>
        <w:keepNext/>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lastRenderedPageBreak/>
        <w:t>Dutasteridas</w:t>
      </w:r>
    </w:p>
    <w:p w14:paraId="4226BD70" w14:textId="77777777" w:rsidR="00350BD0" w:rsidRPr="00350BD0" w:rsidRDefault="00350BD0" w:rsidP="00350BD0">
      <w:pPr>
        <w:keepNext/>
        <w:tabs>
          <w:tab w:val="left" w:pos="567"/>
        </w:tabs>
        <w:spacing w:after="0" w:line="240" w:lineRule="auto"/>
        <w:contextualSpacing/>
        <w:outlineLvl w:val="0"/>
        <w:rPr>
          <w:rFonts w:ascii="Times New Roman" w:eastAsia="Times New Roman" w:hAnsi="Times New Roman" w:cs="Times New Roman"/>
          <w:snapToGrid w:val="0"/>
        </w:rPr>
      </w:pPr>
    </w:p>
    <w:p w14:paraId="633E3D1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Informaciją apie PSA koncentracijos serume sumažėjimą gydant dutasteridu ir prostatos vėžio nustatymo rekomendacijas žr. 4.4 skyriuje.</w:t>
      </w:r>
    </w:p>
    <w:p w14:paraId="65B984A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923AFF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Kitų vaistinių preparatų poveikis dutasterido farmakokinetikai</w:t>
      </w:r>
    </w:p>
    <w:p w14:paraId="0922B61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3B0EAB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Didžiausia dalis dutasterido eliminuojama metabolizmo būdu. Tyrimai </w:t>
      </w:r>
      <w:r w:rsidRPr="00350BD0">
        <w:rPr>
          <w:rFonts w:ascii="Times New Roman" w:eastAsia="Times New Roman" w:hAnsi="Times New Roman" w:cs="Times New Roman"/>
          <w:i/>
          <w:snapToGrid w:val="0"/>
        </w:rPr>
        <w:t>in vitro</w:t>
      </w:r>
      <w:r w:rsidRPr="00350BD0">
        <w:rPr>
          <w:rFonts w:ascii="Times New Roman" w:eastAsia="Times New Roman" w:hAnsi="Times New Roman" w:cs="Times New Roman"/>
          <w:snapToGrid w:val="0"/>
        </w:rPr>
        <w:t xml:space="preserve"> rodo, kad šios medžiagos metabolizmą veikia CYP3A4 ir CYP3A5. Oficialių sąveikos tyrimų su stipraus poveikio CYP3A4 inhibitoriais neatlikta. Vis dėlto farmakokinetikos populiacijoje tyrimo duomenimis, mažam skaičiui pacientų kartu vartojant verapamilį ar diltiazemą (vidutinio stiprumo CYP3A4 inhibitoriai ir P</w:t>
      </w:r>
      <w:r w:rsidRPr="00350BD0">
        <w:rPr>
          <w:rFonts w:ascii="Times New Roman" w:eastAsia="Times New Roman" w:hAnsi="Times New Roman" w:cs="Times New Roman"/>
          <w:snapToGrid w:val="0"/>
        </w:rPr>
        <w:noBreakHyphen/>
        <w:t>glikoproteino inhibitoriai), dutasterido koncentracijos serume buvo atitinkamai vidutiniškai nuo 1,6 iki 1,8 karto didesnės nei kitų pacientų.</w:t>
      </w:r>
    </w:p>
    <w:p w14:paraId="0528940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0C43AA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Ilgalaikis dutasterido derinių su kitais vaistiniais preparatais, kurie yra stipraus poveikio CYP3A4 izofermento inhibitoriai (pvz.: ritonaviru, indinaviru, nefazodonu, itrakonazolu, per burną vartojamu ketokonazolu), vartojimas gali padidinti dutasterido koncentracijas serume. Papildomo 5 alfa reduktazės slopinimo, padidėjus dutasterido ekspozicijai, nesitikima. Vis dėlto, pasireiškus nepageidaujamam poveikiui, galima apgalvotai dozuoti dutasteridą rečiau. Reikia pažymėti, kad dėl izofermentų slopinimo ilgas pusinės eliminacijos periodas gali papildomai pailgėti ir gali prireikti ilgesnio kaip 6 mėnesių šio derinio vartojimo, kol vėl bus pasiekta pusiausvyros apykaita.</w:t>
      </w:r>
    </w:p>
    <w:p w14:paraId="0309AA5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4D7ED5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Pavartojus 12 g kolestiramino praėjus vienai valandai po vienkartinės 5 mg dutasterido dozės pavartojimo, dutasterido farmakokinetika nepakito.</w:t>
      </w:r>
    </w:p>
    <w:p w14:paraId="0AB9415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00C752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Dutasterido poveikis kitų vaistinių preparatų farmakokinetikai</w:t>
      </w:r>
    </w:p>
    <w:p w14:paraId="78F7CA8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5224FD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Remiantis mažo dviejų savaičių trukmės tyrimo (n = 24), kuriame dalyvavo sveiki vyrai, duomenimis, dutasteridas (0,5 mg per parą) nedarė poveikio tamsulozino ar terazozino farmakokinetikai. Be to, šio tyrimo metu nepastebėta farmakodinaminės sąveikos požymių.</w:t>
      </w:r>
    </w:p>
    <w:p w14:paraId="205DB51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5F7E50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Dutasteridas neveikia varfarino ar digoksino farmakokinetikos. Tai rodo, kad dutasteridas neslopina ir nesužadina CYP2C9 ar nešiklio P-glikoproteino</w:t>
      </w:r>
      <w:r w:rsidRPr="00350BD0">
        <w:rPr>
          <w:rFonts w:ascii="Times New Roman" w:eastAsia="Times New Roman" w:hAnsi="Times New Roman" w:cs="Times New Roman"/>
          <w:i/>
          <w:snapToGrid w:val="0"/>
        </w:rPr>
        <w:t xml:space="preserve">. </w:t>
      </w:r>
      <w:r w:rsidRPr="00350BD0">
        <w:rPr>
          <w:rFonts w:ascii="Times New Roman" w:eastAsia="Times New Roman" w:hAnsi="Times New Roman" w:cs="Times New Roman"/>
          <w:snapToGrid w:val="0"/>
        </w:rPr>
        <w:t xml:space="preserve">Sąveikos tyrimai </w:t>
      </w:r>
      <w:r w:rsidRPr="00350BD0">
        <w:rPr>
          <w:rFonts w:ascii="Times New Roman" w:eastAsia="Times New Roman" w:hAnsi="Times New Roman" w:cs="Times New Roman"/>
          <w:i/>
          <w:snapToGrid w:val="0"/>
        </w:rPr>
        <w:t>in vitro</w:t>
      </w:r>
      <w:r w:rsidRPr="00350BD0">
        <w:rPr>
          <w:rFonts w:ascii="Times New Roman" w:eastAsia="Times New Roman" w:hAnsi="Times New Roman" w:cs="Times New Roman"/>
          <w:snapToGrid w:val="0"/>
        </w:rPr>
        <w:t xml:space="preserve"> rodo, kad dutasteridas neslopina CYP1A2, CYP2D6, CYP2C9, CYP2C19 ar CYP3A4 fermentų.</w:t>
      </w:r>
    </w:p>
    <w:p w14:paraId="5219280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p>
    <w:p w14:paraId="2A22B95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Tamsulozinas</w:t>
      </w:r>
    </w:p>
    <w:p w14:paraId="112D1C0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A9998E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Tamsulozino hidrochlorido vartojimas kartu su vaistiniais preparatais, kurie mažina kraujospūdį, įskaitant anestetikus, FDE5 inhibitorius ir kitokius alfa</w:t>
      </w:r>
      <w:r w:rsidRPr="00350BD0">
        <w:rPr>
          <w:rFonts w:ascii="Times New Roman" w:eastAsia="Times New Roman" w:hAnsi="Times New Roman" w:cs="Times New Roman"/>
          <w:snapToGrid w:val="0"/>
          <w:vertAlign w:val="subscript"/>
        </w:rPr>
        <w:t>1</w:t>
      </w:r>
      <w:r w:rsidRPr="00350BD0">
        <w:rPr>
          <w:rFonts w:ascii="Times New Roman" w:eastAsia="Times New Roman" w:hAnsi="Times New Roman" w:cs="Times New Roman"/>
          <w:snapToGrid w:val="0"/>
        </w:rPr>
        <w:t xml:space="preserve"> adrenoreceptorių blokatorius, gali sustiprinti hipotenzinį poveikį. Dutasterido ir tamsulozino derinio negalima vartoti kartu su kitais alfa</w:t>
      </w:r>
      <w:r w:rsidRPr="00350BD0">
        <w:rPr>
          <w:rFonts w:ascii="Times New Roman" w:eastAsia="Times New Roman" w:hAnsi="Times New Roman" w:cs="Times New Roman"/>
          <w:snapToGrid w:val="0"/>
          <w:vertAlign w:val="subscript"/>
        </w:rPr>
        <w:t>1</w:t>
      </w:r>
      <w:r w:rsidRPr="00350BD0">
        <w:rPr>
          <w:rFonts w:ascii="Times New Roman" w:eastAsia="Times New Roman" w:hAnsi="Times New Roman" w:cs="Times New Roman"/>
          <w:snapToGrid w:val="0"/>
        </w:rPr>
        <w:t xml:space="preserve"> adrenoreceptorių blokatoriais.</w:t>
      </w:r>
    </w:p>
    <w:p w14:paraId="418AC32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36CCF9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Cs/>
          <w:snapToGrid w:val="0"/>
        </w:rPr>
      </w:pPr>
      <w:r w:rsidRPr="00350BD0">
        <w:rPr>
          <w:rFonts w:ascii="Times New Roman" w:eastAsia="Times New Roman" w:hAnsi="Times New Roman" w:cs="Times New Roman"/>
          <w:bCs/>
          <w:iCs/>
          <w:snapToGrid w:val="0"/>
        </w:rPr>
        <w:t xml:space="preserve">Tamsulozino hidrochloridą vartojant kartu su </w:t>
      </w:r>
      <w:r w:rsidRPr="00350BD0">
        <w:rPr>
          <w:rFonts w:ascii="Times New Roman" w:eastAsia="Times New Roman" w:hAnsi="Times New Roman" w:cs="Times New Roman"/>
          <w:bCs/>
          <w:snapToGrid w:val="0"/>
        </w:rPr>
        <w:t>ketokonazolu (</w:t>
      </w:r>
      <w:r w:rsidRPr="00350BD0">
        <w:rPr>
          <w:rFonts w:ascii="Times New Roman" w:eastAsia="Times New Roman" w:hAnsi="Times New Roman" w:cs="Times New Roman"/>
          <w:bCs/>
          <w:iCs/>
          <w:snapToGrid w:val="0"/>
        </w:rPr>
        <w:t>stipraus poveikio CYP3A4 inhibitoriumi</w:t>
      </w:r>
      <w:r w:rsidRPr="00350BD0">
        <w:rPr>
          <w:rFonts w:ascii="Times New Roman" w:eastAsia="Times New Roman" w:hAnsi="Times New Roman" w:cs="Times New Roman"/>
          <w:bCs/>
          <w:snapToGrid w:val="0"/>
        </w:rPr>
        <w:t xml:space="preserve">), </w:t>
      </w:r>
      <w:r w:rsidRPr="00350BD0">
        <w:rPr>
          <w:rFonts w:ascii="Times New Roman" w:eastAsia="Times New Roman" w:hAnsi="Times New Roman" w:cs="Times New Roman"/>
          <w:bCs/>
          <w:iCs/>
          <w:snapToGrid w:val="0"/>
        </w:rPr>
        <w:t>tamsulozino hidrochlorido</w:t>
      </w:r>
      <w:r w:rsidRPr="00350BD0">
        <w:rPr>
          <w:rFonts w:ascii="Times New Roman" w:eastAsia="Times New Roman" w:hAnsi="Times New Roman" w:cs="Times New Roman"/>
          <w:bCs/>
          <w:snapToGrid w:val="0"/>
        </w:rPr>
        <w:t xml:space="preserve"> </w:t>
      </w:r>
      <w:r w:rsidRPr="00350BD0">
        <w:rPr>
          <w:rFonts w:ascii="Times New Roman" w:eastAsia="Times New Roman" w:hAnsi="Times New Roman" w:cs="Times New Roman"/>
          <w:bCs/>
          <w:i/>
          <w:snapToGrid w:val="0"/>
        </w:rPr>
        <w:t>C</w:t>
      </w:r>
      <w:r w:rsidRPr="00350BD0">
        <w:rPr>
          <w:rFonts w:ascii="Times New Roman" w:eastAsia="Times New Roman" w:hAnsi="Times New Roman" w:cs="Times New Roman"/>
          <w:bCs/>
          <w:i/>
          <w:snapToGrid w:val="0"/>
          <w:vertAlign w:val="subscript"/>
        </w:rPr>
        <w:t>max</w:t>
      </w:r>
      <w:r w:rsidRPr="00350BD0">
        <w:rPr>
          <w:rFonts w:ascii="Times New Roman" w:eastAsia="Times New Roman" w:hAnsi="Times New Roman" w:cs="Times New Roman"/>
          <w:bCs/>
          <w:snapToGrid w:val="0"/>
        </w:rPr>
        <w:t xml:space="preserve"> ir </w:t>
      </w:r>
      <w:r w:rsidRPr="00350BD0">
        <w:rPr>
          <w:rFonts w:ascii="Times New Roman" w:eastAsia="Times New Roman" w:hAnsi="Times New Roman" w:cs="Times New Roman"/>
          <w:bCs/>
          <w:i/>
          <w:snapToGrid w:val="0"/>
        </w:rPr>
        <w:t>AUC</w:t>
      </w:r>
      <w:r w:rsidRPr="00350BD0">
        <w:rPr>
          <w:rFonts w:ascii="Times New Roman" w:eastAsia="Times New Roman" w:hAnsi="Times New Roman" w:cs="Times New Roman"/>
          <w:bCs/>
          <w:snapToGrid w:val="0"/>
        </w:rPr>
        <w:t xml:space="preserve"> padidėjo atitinkamai 2,2 ir 2,8 karto.</w:t>
      </w:r>
      <w:r w:rsidRPr="00350BD0">
        <w:rPr>
          <w:rFonts w:ascii="Times New Roman" w:eastAsia="Times New Roman" w:hAnsi="Times New Roman" w:cs="Times New Roman"/>
          <w:bCs/>
          <w:iCs/>
          <w:snapToGrid w:val="0"/>
        </w:rPr>
        <w:t xml:space="preserve"> Tamsulozino hidrochloridą vartojant kartu su</w:t>
      </w:r>
      <w:r w:rsidRPr="00350BD0">
        <w:rPr>
          <w:rFonts w:ascii="Times New Roman" w:eastAsia="Times New Roman" w:hAnsi="Times New Roman" w:cs="Times New Roman"/>
          <w:bCs/>
          <w:snapToGrid w:val="0"/>
        </w:rPr>
        <w:t xml:space="preserve"> paroksetinu (</w:t>
      </w:r>
      <w:r w:rsidRPr="00350BD0">
        <w:rPr>
          <w:rFonts w:ascii="Times New Roman" w:eastAsia="Times New Roman" w:hAnsi="Times New Roman" w:cs="Times New Roman"/>
          <w:bCs/>
          <w:iCs/>
          <w:snapToGrid w:val="0"/>
        </w:rPr>
        <w:t xml:space="preserve">stipraus poveikio </w:t>
      </w:r>
      <w:r w:rsidRPr="00350BD0">
        <w:rPr>
          <w:rFonts w:ascii="Times New Roman" w:eastAsia="Times New Roman" w:hAnsi="Times New Roman" w:cs="Times New Roman"/>
          <w:bCs/>
          <w:snapToGrid w:val="0"/>
        </w:rPr>
        <w:t xml:space="preserve">CYP2D6 </w:t>
      </w:r>
      <w:r w:rsidRPr="00350BD0">
        <w:rPr>
          <w:rFonts w:ascii="Times New Roman" w:eastAsia="Times New Roman" w:hAnsi="Times New Roman" w:cs="Times New Roman"/>
          <w:bCs/>
          <w:iCs/>
          <w:snapToGrid w:val="0"/>
        </w:rPr>
        <w:t>inhibitoriumi</w:t>
      </w:r>
      <w:r w:rsidRPr="00350BD0">
        <w:rPr>
          <w:rFonts w:ascii="Times New Roman" w:eastAsia="Times New Roman" w:hAnsi="Times New Roman" w:cs="Times New Roman"/>
          <w:bCs/>
          <w:snapToGrid w:val="0"/>
        </w:rPr>
        <w:t xml:space="preserve">), </w:t>
      </w:r>
      <w:r w:rsidRPr="00350BD0">
        <w:rPr>
          <w:rFonts w:ascii="Times New Roman" w:eastAsia="Times New Roman" w:hAnsi="Times New Roman" w:cs="Times New Roman"/>
          <w:bCs/>
          <w:iCs/>
          <w:snapToGrid w:val="0"/>
        </w:rPr>
        <w:t>tamsulozino hidrochlorido</w:t>
      </w:r>
      <w:r w:rsidRPr="00350BD0">
        <w:rPr>
          <w:rFonts w:ascii="Times New Roman" w:eastAsia="Times New Roman" w:hAnsi="Times New Roman" w:cs="Times New Roman"/>
          <w:bCs/>
          <w:snapToGrid w:val="0"/>
        </w:rPr>
        <w:t xml:space="preserve"> </w:t>
      </w:r>
      <w:r w:rsidRPr="00350BD0">
        <w:rPr>
          <w:rFonts w:ascii="Times New Roman" w:eastAsia="Times New Roman" w:hAnsi="Times New Roman" w:cs="Times New Roman"/>
          <w:bCs/>
          <w:i/>
          <w:snapToGrid w:val="0"/>
        </w:rPr>
        <w:t>C</w:t>
      </w:r>
      <w:r w:rsidRPr="00350BD0">
        <w:rPr>
          <w:rFonts w:ascii="Times New Roman" w:eastAsia="Times New Roman" w:hAnsi="Times New Roman" w:cs="Times New Roman"/>
          <w:bCs/>
          <w:i/>
          <w:snapToGrid w:val="0"/>
          <w:vertAlign w:val="subscript"/>
        </w:rPr>
        <w:t>max</w:t>
      </w:r>
      <w:r w:rsidRPr="00350BD0">
        <w:rPr>
          <w:rFonts w:ascii="Times New Roman" w:eastAsia="Times New Roman" w:hAnsi="Times New Roman" w:cs="Times New Roman"/>
          <w:bCs/>
          <w:snapToGrid w:val="0"/>
        </w:rPr>
        <w:t xml:space="preserve"> ir </w:t>
      </w:r>
      <w:r w:rsidRPr="00350BD0">
        <w:rPr>
          <w:rFonts w:ascii="Times New Roman" w:eastAsia="Times New Roman" w:hAnsi="Times New Roman" w:cs="Times New Roman"/>
          <w:bCs/>
          <w:i/>
          <w:snapToGrid w:val="0"/>
        </w:rPr>
        <w:t>AUC</w:t>
      </w:r>
      <w:r w:rsidRPr="00350BD0">
        <w:rPr>
          <w:rFonts w:ascii="Times New Roman" w:eastAsia="Times New Roman" w:hAnsi="Times New Roman" w:cs="Times New Roman"/>
          <w:bCs/>
          <w:snapToGrid w:val="0"/>
        </w:rPr>
        <w:t xml:space="preserve"> padidėjo atitinkamai 1,3 ir 1,6 karto. Panašaus ekspozicijos padidėjimo tikimasi ir vartojant kartu su stipraus poveikio CYP3A4 inhibitoriumi pacientams, kurių organizme CYP2D6 veikiamas metabolizmas yra silpnas, palyginti su tais, kurių organizme metabolizmas yra stiprus. CYP3A4 ir CYP2D6 inhibitorių vartojimo kartu su </w:t>
      </w:r>
      <w:r w:rsidRPr="00350BD0">
        <w:rPr>
          <w:rFonts w:ascii="Times New Roman" w:eastAsia="Times New Roman" w:hAnsi="Times New Roman" w:cs="Times New Roman"/>
          <w:bCs/>
          <w:iCs/>
          <w:snapToGrid w:val="0"/>
        </w:rPr>
        <w:t>tamsulozino hidrochloridu k</w:t>
      </w:r>
      <w:r w:rsidRPr="00350BD0">
        <w:rPr>
          <w:rFonts w:ascii="Times New Roman" w:eastAsia="Times New Roman" w:hAnsi="Times New Roman" w:cs="Times New Roman"/>
          <w:bCs/>
          <w:snapToGrid w:val="0"/>
        </w:rPr>
        <w:t>linikinių tyrimų neatlikta, vis dėlto gali reikšmingai padidėti tamsulozino ekspozicija (žr. 4.4 skyrių).</w:t>
      </w:r>
    </w:p>
    <w:p w14:paraId="0063837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Cs/>
          <w:snapToGrid w:val="0"/>
        </w:rPr>
      </w:pPr>
    </w:p>
    <w:p w14:paraId="04B7DA0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Tamsulozino hidrochloridą (0,4 mg) vartojant kartu su cimetidinu (400 mg kas šešias valandas šešias paras), tamsulozino hidrochlorido klirensas sumažėjo (26 %), o </w:t>
      </w:r>
      <w:r w:rsidRPr="00350BD0">
        <w:rPr>
          <w:rFonts w:ascii="Times New Roman" w:eastAsia="Times New Roman" w:hAnsi="Times New Roman" w:cs="Times New Roman"/>
          <w:i/>
          <w:iCs/>
          <w:snapToGrid w:val="0"/>
        </w:rPr>
        <w:t>AUC</w:t>
      </w:r>
      <w:r w:rsidRPr="00350BD0">
        <w:rPr>
          <w:rFonts w:ascii="Times New Roman" w:eastAsia="Times New Roman" w:hAnsi="Times New Roman" w:cs="Times New Roman"/>
          <w:snapToGrid w:val="0"/>
        </w:rPr>
        <w:t xml:space="preserve"> padidėjo (44 %). Dutasterido ir tamsulozino derinį vartojant kartu su cimetidinu, reikia imtis atsargumo priemonių.</w:t>
      </w:r>
    </w:p>
    <w:p w14:paraId="1C3512C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3B1ED77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Išsamių tamsulozino hidrochlorido sąveikos su varfarinu tyrimų neatlikta. Remiantis ribotais tyrimų </w:t>
      </w:r>
      <w:r w:rsidRPr="00350BD0">
        <w:rPr>
          <w:rFonts w:ascii="Times New Roman" w:eastAsia="Times New Roman" w:hAnsi="Times New Roman" w:cs="Times New Roman"/>
          <w:i/>
          <w:snapToGrid w:val="0"/>
        </w:rPr>
        <w:t>in vitro</w:t>
      </w:r>
      <w:r w:rsidRPr="00350BD0">
        <w:rPr>
          <w:rFonts w:ascii="Times New Roman" w:eastAsia="Times New Roman" w:hAnsi="Times New Roman" w:cs="Times New Roman"/>
          <w:snapToGrid w:val="0"/>
        </w:rPr>
        <w:t xml:space="preserve"> ir </w:t>
      </w:r>
      <w:r w:rsidRPr="00350BD0">
        <w:rPr>
          <w:rFonts w:ascii="Times New Roman" w:eastAsia="Times New Roman" w:hAnsi="Times New Roman" w:cs="Times New Roman"/>
          <w:i/>
          <w:snapToGrid w:val="0"/>
        </w:rPr>
        <w:t>in vivo</w:t>
      </w:r>
      <w:r w:rsidRPr="00350BD0">
        <w:rPr>
          <w:rFonts w:ascii="Times New Roman" w:eastAsia="Times New Roman" w:hAnsi="Times New Roman" w:cs="Times New Roman"/>
          <w:snapToGrid w:val="0"/>
        </w:rPr>
        <w:t xml:space="preserve"> duomenimis, galutinių išvadų pateikti negalima. Vis dėlto diklofenakas ir varfarinas </w:t>
      </w:r>
      <w:r w:rsidRPr="00350BD0">
        <w:rPr>
          <w:rFonts w:ascii="Times New Roman" w:eastAsia="Times New Roman" w:hAnsi="Times New Roman" w:cs="Times New Roman"/>
          <w:snapToGrid w:val="0"/>
        </w:rPr>
        <w:lastRenderedPageBreak/>
        <w:t>gali greitinti tamsulozino eliminaciją. Tamsulozino hidrochloridą vartojant kartu su varfarinu, reikia imtis atsargumo priemonių.</w:t>
      </w:r>
    </w:p>
    <w:p w14:paraId="293BC79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7565544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Tamsulozino hidrochlorido sąveikos su kartu vartojamais atenololiu, enalapriliu, nifedipinu ar teofilinu nepastebėta. Kartu su furozemidu vartojamo tamsulozino koncentracijos plazmoje sumažėja, bet lieka normos ribose ir dozės dėl to keisti nebūtina.</w:t>
      </w:r>
    </w:p>
    <w:p w14:paraId="4B5F393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F2355A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Remiantis tyrimų </w:t>
      </w:r>
      <w:r w:rsidRPr="00350BD0">
        <w:rPr>
          <w:rFonts w:ascii="Times New Roman" w:eastAsia="Times New Roman" w:hAnsi="Times New Roman" w:cs="Times New Roman"/>
          <w:i/>
          <w:snapToGrid w:val="0"/>
        </w:rPr>
        <w:t>in vitro</w:t>
      </w:r>
      <w:r w:rsidRPr="00350BD0">
        <w:rPr>
          <w:rFonts w:ascii="Times New Roman" w:eastAsia="Times New Roman" w:hAnsi="Times New Roman" w:cs="Times New Roman"/>
          <w:snapToGrid w:val="0"/>
        </w:rPr>
        <w:t xml:space="preserve"> duomenimis, diazepamas, propranololis, trichlormetiazidas, chlormadinonas, amitriptilinas, diklofenakas, glibenklamidas ar simvastatinas neveikė laisvos tamsulozino frakcijos koncentracijų žmogaus plazmoje. Tamsulozinas taip pat neveikė laisvos diazepamo, propranololio, trichlormetiazido ar chlormadinono frakcijos koncentracijų plazmoje.</w:t>
      </w:r>
    </w:p>
    <w:p w14:paraId="299939D0"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64BB41B" w14:textId="77777777"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4.6</w:t>
      </w:r>
      <w:r w:rsidRPr="00350BD0">
        <w:rPr>
          <w:rFonts w:ascii="Times New Roman" w:eastAsia="Times New Roman" w:hAnsi="Times New Roman" w:cs="Times New Roman"/>
          <w:b/>
          <w:bCs/>
          <w:snapToGrid w:val="0"/>
          <w:lang w:eastAsia="x-none"/>
        </w:rPr>
        <w:tab/>
        <w:t>Vaisingumas, nėštumo ir žindymo laikotarpis</w:t>
      </w:r>
    </w:p>
    <w:p w14:paraId="51495DF4"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6A63415" w14:textId="13865DF8"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negalima vartoti moterims. Dutasterido ir tamsulozino derinio poveikio nėštumui, žindymui ar vaisingumui tyrimų neatlikta. Toliau pateikti duomenys atitinka informaciją, gautą iš tyrimų, atliktų su atskiromis veikliosiomis medžiagomis, esančioms vaistinio preparato sudėtyje (žr. 5.3 skyrių).</w:t>
      </w:r>
    </w:p>
    <w:p w14:paraId="3128C65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44D169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u w:val="single"/>
        </w:rPr>
      </w:pPr>
      <w:r w:rsidRPr="00350BD0">
        <w:rPr>
          <w:rFonts w:ascii="Times New Roman" w:eastAsia="Times New Roman" w:hAnsi="Times New Roman" w:cs="Times New Roman"/>
          <w:snapToGrid w:val="0"/>
          <w:u w:val="single"/>
        </w:rPr>
        <w:t>Nėštumas</w:t>
      </w:r>
    </w:p>
    <w:p w14:paraId="1C67D6A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6A18E1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Dutasteridas, kaip ir kiti 5 alfa reduktazės inhibitoriai, slopina testosterono virtimą dihidrotestosteronu ir gali, jeigu būtų skiriamas moterims, kurios nešioja vyriškos lyties vaisių, slopinti vaisiaus išorinių lytinių organų vystymąsi (žr. 4.4 skyrių). Dutasteridą vartojančių tiriamųjų spermoje buvo aptiktas mažas dutasterido kiekis. Nežinoma, ar vyriškos lyties vaisius gali būti nepageidaujamai paveiktas į nėščios moters organizmą patekus paciento, vartojančio dutasteridą, spermai (didžiausia rizika per pirmąsias 16 nėštumo savaičių).</w:t>
      </w:r>
    </w:p>
    <w:p w14:paraId="0ED4092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776F007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Kaip ir vartojant visus 5 alfa reduktazės inhibitorius, jeigu paciento partnerė yra arba gali būti nėščia, pacientui rekomenduojama apsaugoti partnerę nuo spermos patekimo, naudojant prezervatyvą.</w:t>
      </w:r>
    </w:p>
    <w:p w14:paraId="7872C2E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65AB1B2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Vaikingoms žiurkėms ir triušiams vartojant tamsulozino hidrochloridą, kenksmingo poveikio vaisiui nepastebėta.</w:t>
      </w:r>
    </w:p>
    <w:p w14:paraId="703DE39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151D13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Informaciją apie ikiklinikinių tyrimų duomenis žr. 5.3 skyriuje.</w:t>
      </w:r>
    </w:p>
    <w:p w14:paraId="0AD3A9B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p>
    <w:p w14:paraId="75225B3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u w:val="single"/>
        </w:rPr>
      </w:pPr>
      <w:r w:rsidRPr="00350BD0">
        <w:rPr>
          <w:rFonts w:ascii="Times New Roman" w:eastAsia="Times New Roman" w:hAnsi="Times New Roman" w:cs="Times New Roman"/>
          <w:snapToGrid w:val="0"/>
          <w:u w:val="single"/>
        </w:rPr>
        <w:t>Žindymas</w:t>
      </w:r>
    </w:p>
    <w:p w14:paraId="421264B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6AE6D3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Nežinoma, ar dutasterido arba tamsulozino išsiskiria į motinos pieną.</w:t>
      </w:r>
    </w:p>
    <w:p w14:paraId="7CA09B5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38733F1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u w:val="single"/>
        </w:rPr>
      </w:pPr>
      <w:r w:rsidRPr="00350BD0">
        <w:rPr>
          <w:rFonts w:ascii="Times New Roman" w:eastAsia="Times New Roman" w:hAnsi="Times New Roman" w:cs="Times New Roman"/>
          <w:snapToGrid w:val="0"/>
          <w:u w:val="single"/>
        </w:rPr>
        <w:t>Vaisingumas</w:t>
      </w:r>
    </w:p>
    <w:p w14:paraId="3847B53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u w:val="single"/>
        </w:rPr>
      </w:pPr>
    </w:p>
    <w:p w14:paraId="31FFB56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Buvo pranešta, kad dutasteridas veikia sveikų vyrų spermos savybes (sumažėja spermatozoidų kiekis, spermos tūris ir spermatozoidų judrumas) (žr. 5.1 skyrių). Galimo vyrų vaisingumo sumažėjimo paneigti negalima.</w:t>
      </w:r>
    </w:p>
    <w:p w14:paraId="39DE1F2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95D2D7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Tamsulozino hidrochlorido poveikis spermatozoidų kiekiui ar spermatozoidų funkcijai netirtas.</w:t>
      </w:r>
    </w:p>
    <w:p w14:paraId="26A657CC"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5682E29B" w14:textId="77777777"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4.7</w:t>
      </w:r>
      <w:r w:rsidRPr="00350BD0">
        <w:rPr>
          <w:rFonts w:ascii="Times New Roman" w:eastAsia="Times New Roman" w:hAnsi="Times New Roman" w:cs="Times New Roman"/>
          <w:b/>
          <w:bCs/>
          <w:snapToGrid w:val="0"/>
          <w:lang w:eastAsia="x-none"/>
        </w:rPr>
        <w:tab/>
        <w:t>Poveikis gebėjimui vairuoti ir valdyti mechanizmus</w:t>
      </w:r>
    </w:p>
    <w:p w14:paraId="763C48AB"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1BCCBB3" w14:textId="24CFBD0D"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Dutasterido ir tamsulozino derinio poveikio gebėjimui vairuoti ar valdyti mechanizmus tyrimų neatlikta. Vis dėlto pacientams reikia pasakyti, kad vartojant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gali atsirasti simptomų, susijusių su ortostatine hipotenzija, pavyzdžiui, svaigulys.</w:t>
      </w:r>
    </w:p>
    <w:p w14:paraId="42DF4401"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A40BA21" w14:textId="77777777" w:rsidR="00350BD0" w:rsidRPr="00350BD0" w:rsidRDefault="00350BD0" w:rsidP="00350BD0">
      <w:pPr>
        <w:keepNext/>
        <w:keepLines/>
        <w:tabs>
          <w:tab w:val="left" w:pos="567"/>
        </w:tabs>
        <w:spacing w:after="0" w:line="240" w:lineRule="auto"/>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lastRenderedPageBreak/>
        <w:t>4.8</w:t>
      </w:r>
      <w:r w:rsidRPr="00350BD0">
        <w:rPr>
          <w:rFonts w:ascii="Times New Roman" w:eastAsia="Times New Roman" w:hAnsi="Times New Roman" w:cs="Times New Roman"/>
          <w:b/>
          <w:snapToGrid w:val="0"/>
        </w:rPr>
        <w:tab/>
        <w:t>Nepageidaujamas poveikis</w:t>
      </w:r>
    </w:p>
    <w:p w14:paraId="70312D59" w14:textId="77777777" w:rsidR="00350BD0" w:rsidRPr="00350BD0" w:rsidRDefault="00350BD0" w:rsidP="00350BD0">
      <w:pPr>
        <w:keepNext/>
        <w:keepLines/>
        <w:tabs>
          <w:tab w:val="left" w:pos="567"/>
        </w:tabs>
        <w:spacing w:after="0" w:line="260" w:lineRule="exact"/>
        <w:rPr>
          <w:rFonts w:ascii="Times New Roman" w:eastAsia="Times New Roman" w:hAnsi="Times New Roman" w:cs="Times New Roman"/>
          <w:snapToGrid w:val="0"/>
          <w:u w:val="single"/>
        </w:rPr>
      </w:pPr>
    </w:p>
    <w:p w14:paraId="29A5935D"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Čia pateikti </w:t>
      </w:r>
      <w:r w:rsidRPr="00350BD0">
        <w:rPr>
          <w:rFonts w:ascii="Times New Roman" w:eastAsia="Times New Roman" w:hAnsi="Times New Roman" w:cs="Times New Roman"/>
          <w:i/>
          <w:snapToGrid w:val="0"/>
        </w:rPr>
        <w:t>CombAT</w:t>
      </w:r>
      <w:r w:rsidRPr="00350BD0">
        <w:rPr>
          <w:rFonts w:ascii="Times New Roman" w:eastAsia="Times New Roman" w:hAnsi="Times New Roman" w:cs="Times New Roman"/>
          <w:snapToGrid w:val="0"/>
        </w:rPr>
        <w:t xml:space="preserve"> (angl. </w:t>
      </w:r>
      <w:r w:rsidRPr="00350BD0">
        <w:rPr>
          <w:rFonts w:ascii="Times New Roman" w:eastAsia="Times New Roman" w:hAnsi="Times New Roman" w:cs="Times New Roman"/>
          <w:i/>
          <w:snapToGrid w:val="0"/>
        </w:rPr>
        <w:t>the Combination of Avodart and Tamsulosin</w:t>
      </w:r>
      <w:r w:rsidRPr="00350BD0">
        <w:rPr>
          <w:rFonts w:ascii="Times New Roman" w:eastAsia="Times New Roman" w:hAnsi="Times New Roman" w:cs="Times New Roman"/>
          <w:snapToGrid w:val="0"/>
        </w:rPr>
        <w:t xml:space="preserve"> – Avodart ir tamsulozino derinio) tyrimo 4 metų analizės duomenys. Šio tyrimo metu 0,4 mg dutasterido vartojimas kartu su 0,5 mg tamsulozino vieną kartą per parą ketverius metus buvo palygintas su monoterapija. Nustatytas </w:t>
      </w:r>
      <w:bookmarkStart w:id="2" w:name="_Hlk12528987"/>
      <w:r w:rsidRPr="00350BD0">
        <w:rPr>
          <w:rFonts w:ascii="Times New Roman" w:eastAsia="Times New Roman" w:hAnsi="Times New Roman" w:cs="Times New Roman"/>
          <w:snapToGrid w:val="0"/>
        </w:rPr>
        <w:t xml:space="preserve">dutasterido ir tamsulozino derinio </w:t>
      </w:r>
      <w:bookmarkEnd w:id="2"/>
      <w:r w:rsidRPr="00350BD0">
        <w:rPr>
          <w:rFonts w:ascii="Times New Roman" w:eastAsia="Times New Roman" w:hAnsi="Times New Roman" w:cs="Times New Roman"/>
          <w:snapToGrid w:val="0"/>
        </w:rPr>
        <w:t>biologinis ekvivalentiškumas su kartu vartojamais dutasteridu ir tamsulozinu (žr. 5.2 skyrių). Taip pat pateikta informacija apie abiejų veikliųjų medžiagų (dutasterido ir tamsulozino) sukeltus nepageidaujamus reiškinius. Pažymėtina, kad ne apie visus nepageidaujamus reiškinius, apie kuriuos buvo pranešta vartojant atskiras veikliąsias medžiagas, buvo pranešta ir vartojant dutasterido ir tamsulozino derinio ir jie yra įtraukti į informaciją vaistinį preparatą skiriančiam gydytojui.</w:t>
      </w:r>
    </w:p>
    <w:p w14:paraId="50131D2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851DD6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i/>
          <w:snapToGrid w:val="0"/>
        </w:rPr>
        <w:t>CombAT</w:t>
      </w:r>
      <w:r w:rsidRPr="00350BD0">
        <w:rPr>
          <w:rFonts w:ascii="Times New Roman" w:eastAsia="Times New Roman" w:hAnsi="Times New Roman" w:cs="Times New Roman"/>
          <w:snapToGrid w:val="0"/>
        </w:rPr>
        <w:t xml:space="preserve"> tyrimo 4 metų duomenys rodo, kad bet kurių nepageidaujamų reiškinių, kurie tyrėjo nuomone buvo susiję su vaistiniu preparatu, dažnis pirmaisiais, antraisiais, trečiaisiais ir ketvirtaisiais gydymo metais buvo atitinkamai 22 %, 6 %, 4 % ir 2 % vartojant dutasterido ir tamsulozino derinį, o monoterapijos dutasteridu atveju –15 %, 6 %, 3 % ir 2 % ir monoterapijos tamsulozinu atveju – 13 %, 5 %, 2 % ir 2 %. Didesnis nepageidaujamų reiškinių dažnis gydymo vaistinių preparatų vartojimo kartu grupėje pirmaisiais gydymo metais buvo dėl didesnio reprodukcijos sutrikimų dažnio, ypač ejakuliacijos sutrikimų, stebėtų šioje grupėje.</w:t>
      </w:r>
    </w:p>
    <w:p w14:paraId="47A84EE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EE8BA0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Nepageidaujami reiškiniai, kurie tyrėjo nuomone buvo susiję su vaistiniu preparatu, pasireiškę 1 % ar didesniu dažnumu per pirmuosius gydymo metus </w:t>
      </w:r>
      <w:r w:rsidRPr="00350BD0">
        <w:rPr>
          <w:rFonts w:ascii="Times New Roman" w:eastAsia="Times New Roman" w:hAnsi="Times New Roman" w:cs="Times New Roman"/>
          <w:i/>
          <w:snapToGrid w:val="0"/>
        </w:rPr>
        <w:t>CombAT</w:t>
      </w:r>
      <w:r w:rsidRPr="00350BD0">
        <w:rPr>
          <w:rFonts w:ascii="Times New Roman" w:eastAsia="Times New Roman" w:hAnsi="Times New Roman" w:cs="Times New Roman"/>
          <w:snapToGrid w:val="0"/>
        </w:rPr>
        <w:t xml:space="preserve"> tyrimo, GPH monoterapijos klinikinio tyrimo ir </w:t>
      </w:r>
      <w:r w:rsidRPr="00350BD0">
        <w:rPr>
          <w:rFonts w:ascii="Times New Roman" w:eastAsia="Times New Roman" w:hAnsi="Times New Roman" w:cs="Times New Roman"/>
          <w:i/>
          <w:snapToGrid w:val="0"/>
        </w:rPr>
        <w:t>REDUCE</w:t>
      </w:r>
      <w:r w:rsidRPr="00350BD0">
        <w:rPr>
          <w:rFonts w:ascii="Times New Roman" w:eastAsia="Times New Roman" w:hAnsi="Times New Roman" w:cs="Times New Roman"/>
          <w:snapToGrid w:val="0"/>
        </w:rPr>
        <w:t xml:space="preserve"> tyrimo metu, pateikti toliau esančioje lentelėje.</w:t>
      </w:r>
    </w:p>
    <w:p w14:paraId="6134A56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3BB9857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Be to, toliau nurodytas tamsulozino nepageidaujamas poveikis yra pagrįstas turima vieša informacija. Skiriant kombinuotą gydymą, nepageidaujamų reiškinių dažnis gali padidėti.</w:t>
      </w:r>
    </w:p>
    <w:p w14:paraId="57419FB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B98EA8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Klinikinių tyrimų metu nustatytas nepageidaujamų reakcijų dažnis:</w:t>
      </w:r>
    </w:p>
    <w:p w14:paraId="0469F59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dažnas (nuo ≥ 1/100 iki &lt; 1/10), nedažnas (nuo ≥ 1/1 000 iki &lt; 1/100), retas (nuo ≥ 1/10 000 iki &lt; 1/1 000), labai retas (&lt; 1/10 000). Kiekvienos organų sistemų klasės grupėje nepageidaujamas poveikis išvardytas mažėjančio sunkumo tvarka.</w:t>
      </w:r>
    </w:p>
    <w:p w14:paraId="7000673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93"/>
        <w:gridCol w:w="2645"/>
        <w:gridCol w:w="1607"/>
        <w:gridCol w:w="1701"/>
        <w:gridCol w:w="1809"/>
      </w:tblGrid>
      <w:tr w:rsidR="00350BD0" w:rsidRPr="00350BD0" w14:paraId="11EB8D3B" w14:textId="77777777" w:rsidTr="005B5AD8">
        <w:tc>
          <w:tcPr>
            <w:tcW w:w="2093" w:type="dxa"/>
            <w:tcBorders>
              <w:top w:val="single" w:sz="4" w:space="0" w:color="auto"/>
              <w:left w:val="single" w:sz="4" w:space="0" w:color="auto"/>
              <w:bottom w:val="single" w:sz="4" w:space="0" w:color="auto"/>
              <w:right w:val="single" w:sz="4" w:space="0" w:color="auto"/>
            </w:tcBorders>
          </w:tcPr>
          <w:p w14:paraId="5A83B6D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Organų sistemos klasės</w:t>
            </w:r>
          </w:p>
        </w:tc>
        <w:tc>
          <w:tcPr>
            <w:tcW w:w="2645" w:type="dxa"/>
            <w:tcBorders>
              <w:top w:val="single" w:sz="4" w:space="0" w:color="auto"/>
              <w:left w:val="single" w:sz="4" w:space="0" w:color="auto"/>
              <w:bottom w:val="single" w:sz="4" w:space="0" w:color="auto"/>
              <w:right w:val="single" w:sz="4" w:space="0" w:color="auto"/>
            </w:tcBorders>
          </w:tcPr>
          <w:p w14:paraId="0A0B241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Nepageidaujamos reakcijos</w:t>
            </w:r>
          </w:p>
        </w:tc>
        <w:tc>
          <w:tcPr>
            <w:tcW w:w="1607" w:type="dxa"/>
            <w:tcBorders>
              <w:top w:val="single" w:sz="4" w:space="0" w:color="auto"/>
              <w:left w:val="single" w:sz="4" w:space="0" w:color="auto"/>
              <w:bottom w:val="single" w:sz="4" w:space="0" w:color="auto"/>
              <w:right w:val="single" w:sz="4" w:space="0" w:color="auto"/>
            </w:tcBorders>
          </w:tcPr>
          <w:p w14:paraId="6873433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Dutasteridas+</w:t>
            </w:r>
          </w:p>
          <w:p w14:paraId="28E77BA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 xml:space="preserve">tamsulozinas </w:t>
            </w:r>
            <w:r w:rsidRPr="00350BD0">
              <w:rPr>
                <w:rFonts w:ascii="Times New Roman" w:eastAsia="Times New Roman" w:hAnsi="Times New Roman" w:cs="Times New Roman"/>
                <w:b/>
                <w:snapToGrid w:val="0"/>
                <w:vertAlign w:val="superscript"/>
              </w:rPr>
              <w:t>a</w:t>
            </w:r>
          </w:p>
        </w:tc>
        <w:tc>
          <w:tcPr>
            <w:tcW w:w="1701" w:type="dxa"/>
            <w:tcBorders>
              <w:top w:val="single" w:sz="4" w:space="0" w:color="auto"/>
              <w:left w:val="single" w:sz="4" w:space="0" w:color="auto"/>
              <w:bottom w:val="single" w:sz="4" w:space="0" w:color="auto"/>
              <w:right w:val="single" w:sz="4" w:space="0" w:color="auto"/>
            </w:tcBorders>
          </w:tcPr>
          <w:p w14:paraId="537FEFF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Dutasteridas</w:t>
            </w:r>
          </w:p>
        </w:tc>
        <w:tc>
          <w:tcPr>
            <w:tcW w:w="1809" w:type="dxa"/>
            <w:tcBorders>
              <w:top w:val="single" w:sz="4" w:space="0" w:color="auto"/>
              <w:left w:val="single" w:sz="4" w:space="0" w:color="auto"/>
              <w:bottom w:val="single" w:sz="4" w:space="0" w:color="auto"/>
              <w:right w:val="single" w:sz="4" w:space="0" w:color="auto"/>
            </w:tcBorders>
          </w:tcPr>
          <w:p w14:paraId="6E24B97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 xml:space="preserve">Tamsulozinas </w:t>
            </w:r>
            <w:r w:rsidRPr="00350BD0">
              <w:rPr>
                <w:rFonts w:ascii="Times New Roman" w:eastAsia="Times New Roman" w:hAnsi="Times New Roman" w:cs="Times New Roman"/>
                <w:b/>
                <w:snapToGrid w:val="0"/>
                <w:vertAlign w:val="superscript"/>
              </w:rPr>
              <w:t>c</w:t>
            </w:r>
          </w:p>
        </w:tc>
      </w:tr>
      <w:tr w:rsidR="00350BD0" w:rsidRPr="00350BD0" w14:paraId="2F92FAFD" w14:textId="77777777" w:rsidTr="005B5AD8">
        <w:trPr>
          <w:trHeight w:val="208"/>
        </w:trPr>
        <w:tc>
          <w:tcPr>
            <w:tcW w:w="2093" w:type="dxa"/>
            <w:tcBorders>
              <w:top w:val="single" w:sz="4" w:space="0" w:color="auto"/>
              <w:left w:val="single" w:sz="4" w:space="0" w:color="auto"/>
              <w:bottom w:val="nil"/>
              <w:right w:val="single" w:sz="4" w:space="0" w:color="auto"/>
            </w:tcBorders>
          </w:tcPr>
          <w:p w14:paraId="1495CE1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Nervų sistemos sutrikimai</w:t>
            </w:r>
          </w:p>
        </w:tc>
        <w:tc>
          <w:tcPr>
            <w:tcW w:w="2645" w:type="dxa"/>
            <w:tcBorders>
              <w:top w:val="single" w:sz="4" w:space="0" w:color="auto"/>
              <w:left w:val="single" w:sz="4" w:space="0" w:color="auto"/>
              <w:bottom w:val="nil"/>
              <w:right w:val="single" w:sz="4" w:space="0" w:color="auto"/>
            </w:tcBorders>
          </w:tcPr>
          <w:p w14:paraId="521081B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Apalpimas</w:t>
            </w:r>
          </w:p>
        </w:tc>
        <w:tc>
          <w:tcPr>
            <w:tcW w:w="1607" w:type="dxa"/>
            <w:tcBorders>
              <w:top w:val="single" w:sz="4" w:space="0" w:color="auto"/>
              <w:left w:val="single" w:sz="4" w:space="0" w:color="auto"/>
              <w:bottom w:val="nil"/>
              <w:right w:val="single" w:sz="4" w:space="0" w:color="auto"/>
            </w:tcBorders>
            <w:vAlign w:val="bottom"/>
          </w:tcPr>
          <w:p w14:paraId="5E4DA4F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701" w:type="dxa"/>
            <w:tcBorders>
              <w:top w:val="single" w:sz="4" w:space="0" w:color="auto"/>
              <w:left w:val="single" w:sz="4" w:space="0" w:color="auto"/>
              <w:bottom w:val="nil"/>
              <w:right w:val="single" w:sz="4" w:space="0" w:color="auto"/>
            </w:tcBorders>
            <w:vAlign w:val="bottom"/>
          </w:tcPr>
          <w:p w14:paraId="63BDB2B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809" w:type="dxa"/>
            <w:tcBorders>
              <w:top w:val="single" w:sz="4" w:space="0" w:color="auto"/>
              <w:left w:val="single" w:sz="4" w:space="0" w:color="auto"/>
              <w:bottom w:val="nil"/>
              <w:right w:val="single" w:sz="4" w:space="0" w:color="auto"/>
            </w:tcBorders>
            <w:vAlign w:val="bottom"/>
          </w:tcPr>
          <w:p w14:paraId="7F7E691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Retas</w:t>
            </w:r>
          </w:p>
        </w:tc>
      </w:tr>
      <w:tr w:rsidR="00350BD0" w:rsidRPr="00350BD0" w14:paraId="2EEF9810" w14:textId="77777777" w:rsidTr="005B5AD8">
        <w:trPr>
          <w:trHeight w:val="216"/>
        </w:trPr>
        <w:tc>
          <w:tcPr>
            <w:tcW w:w="2093" w:type="dxa"/>
            <w:tcBorders>
              <w:top w:val="nil"/>
              <w:left w:val="single" w:sz="4" w:space="0" w:color="auto"/>
              <w:bottom w:val="nil"/>
              <w:right w:val="single" w:sz="4" w:space="0" w:color="auto"/>
            </w:tcBorders>
          </w:tcPr>
          <w:p w14:paraId="34B38F2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c>
        <w:tc>
          <w:tcPr>
            <w:tcW w:w="2645" w:type="dxa"/>
            <w:tcBorders>
              <w:top w:val="single" w:sz="4" w:space="0" w:color="auto"/>
              <w:left w:val="single" w:sz="4" w:space="0" w:color="auto"/>
              <w:bottom w:val="nil"/>
              <w:right w:val="single" w:sz="4" w:space="0" w:color="auto"/>
            </w:tcBorders>
          </w:tcPr>
          <w:p w14:paraId="6787C3C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Svaigulys</w:t>
            </w:r>
          </w:p>
        </w:tc>
        <w:tc>
          <w:tcPr>
            <w:tcW w:w="1607" w:type="dxa"/>
            <w:tcBorders>
              <w:top w:val="single" w:sz="4" w:space="0" w:color="auto"/>
              <w:left w:val="single" w:sz="4" w:space="0" w:color="auto"/>
              <w:bottom w:val="nil"/>
              <w:right w:val="single" w:sz="4" w:space="0" w:color="auto"/>
            </w:tcBorders>
            <w:vAlign w:val="bottom"/>
          </w:tcPr>
          <w:p w14:paraId="5E6F7A3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Dažnas</w:t>
            </w:r>
          </w:p>
        </w:tc>
        <w:tc>
          <w:tcPr>
            <w:tcW w:w="1701" w:type="dxa"/>
            <w:tcBorders>
              <w:top w:val="single" w:sz="4" w:space="0" w:color="auto"/>
              <w:left w:val="single" w:sz="4" w:space="0" w:color="auto"/>
              <w:bottom w:val="nil"/>
              <w:right w:val="single" w:sz="4" w:space="0" w:color="auto"/>
            </w:tcBorders>
            <w:vAlign w:val="bottom"/>
          </w:tcPr>
          <w:p w14:paraId="75B1968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809" w:type="dxa"/>
            <w:tcBorders>
              <w:top w:val="single" w:sz="4" w:space="0" w:color="auto"/>
              <w:left w:val="single" w:sz="4" w:space="0" w:color="auto"/>
              <w:bottom w:val="nil"/>
              <w:right w:val="single" w:sz="4" w:space="0" w:color="auto"/>
            </w:tcBorders>
            <w:vAlign w:val="bottom"/>
          </w:tcPr>
          <w:p w14:paraId="38E7C7F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Dažnas</w:t>
            </w:r>
          </w:p>
        </w:tc>
      </w:tr>
      <w:tr w:rsidR="00350BD0" w:rsidRPr="00350BD0" w14:paraId="669B8455" w14:textId="77777777" w:rsidTr="005B5AD8">
        <w:tc>
          <w:tcPr>
            <w:tcW w:w="2093" w:type="dxa"/>
            <w:tcBorders>
              <w:top w:val="nil"/>
              <w:left w:val="single" w:sz="4" w:space="0" w:color="auto"/>
              <w:bottom w:val="nil"/>
              <w:right w:val="single" w:sz="4" w:space="0" w:color="auto"/>
            </w:tcBorders>
          </w:tcPr>
          <w:p w14:paraId="38A97A4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c>
        <w:tc>
          <w:tcPr>
            <w:tcW w:w="2645" w:type="dxa"/>
            <w:tcBorders>
              <w:top w:val="single" w:sz="4" w:space="0" w:color="auto"/>
              <w:left w:val="single" w:sz="4" w:space="0" w:color="auto"/>
              <w:bottom w:val="nil"/>
              <w:right w:val="single" w:sz="4" w:space="0" w:color="auto"/>
            </w:tcBorders>
          </w:tcPr>
          <w:p w14:paraId="58C4AED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Galvos skausmas</w:t>
            </w:r>
          </w:p>
        </w:tc>
        <w:tc>
          <w:tcPr>
            <w:tcW w:w="1607" w:type="dxa"/>
            <w:tcBorders>
              <w:top w:val="single" w:sz="4" w:space="0" w:color="auto"/>
              <w:left w:val="single" w:sz="4" w:space="0" w:color="auto"/>
              <w:bottom w:val="nil"/>
              <w:right w:val="single" w:sz="4" w:space="0" w:color="auto"/>
            </w:tcBorders>
            <w:vAlign w:val="bottom"/>
          </w:tcPr>
          <w:p w14:paraId="0C73442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701" w:type="dxa"/>
            <w:tcBorders>
              <w:top w:val="single" w:sz="4" w:space="0" w:color="auto"/>
              <w:left w:val="single" w:sz="4" w:space="0" w:color="auto"/>
              <w:bottom w:val="nil"/>
              <w:right w:val="single" w:sz="4" w:space="0" w:color="auto"/>
            </w:tcBorders>
            <w:vAlign w:val="bottom"/>
          </w:tcPr>
          <w:p w14:paraId="3D0B00F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809" w:type="dxa"/>
            <w:tcBorders>
              <w:top w:val="single" w:sz="4" w:space="0" w:color="auto"/>
              <w:left w:val="single" w:sz="4" w:space="0" w:color="auto"/>
              <w:bottom w:val="nil"/>
              <w:right w:val="single" w:sz="4" w:space="0" w:color="auto"/>
            </w:tcBorders>
            <w:vAlign w:val="bottom"/>
          </w:tcPr>
          <w:p w14:paraId="6A30A0F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Nedažnas</w:t>
            </w:r>
          </w:p>
        </w:tc>
      </w:tr>
      <w:tr w:rsidR="00350BD0" w:rsidRPr="00350BD0" w14:paraId="1E1541DF" w14:textId="77777777" w:rsidTr="005B5AD8">
        <w:trPr>
          <w:trHeight w:val="722"/>
        </w:trPr>
        <w:tc>
          <w:tcPr>
            <w:tcW w:w="2093" w:type="dxa"/>
            <w:tcBorders>
              <w:top w:val="single" w:sz="4" w:space="0" w:color="auto"/>
              <w:left w:val="single" w:sz="4" w:space="0" w:color="auto"/>
              <w:bottom w:val="nil"/>
              <w:right w:val="single" w:sz="4" w:space="0" w:color="auto"/>
            </w:tcBorders>
          </w:tcPr>
          <w:p w14:paraId="7730ACF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Širdies sutrikimai</w:t>
            </w:r>
          </w:p>
        </w:tc>
        <w:tc>
          <w:tcPr>
            <w:tcW w:w="2645" w:type="dxa"/>
            <w:tcBorders>
              <w:top w:val="single" w:sz="4" w:space="0" w:color="auto"/>
              <w:left w:val="single" w:sz="4" w:space="0" w:color="auto"/>
              <w:bottom w:val="single" w:sz="4" w:space="0" w:color="auto"/>
              <w:right w:val="single" w:sz="4" w:space="0" w:color="auto"/>
            </w:tcBorders>
          </w:tcPr>
          <w:p w14:paraId="21682B6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Širdies nepakankamumas (bendra sąvoka </w:t>
            </w:r>
            <w:r w:rsidRPr="00350BD0">
              <w:rPr>
                <w:rFonts w:ascii="Times New Roman" w:eastAsia="Times New Roman" w:hAnsi="Times New Roman" w:cs="Times New Roman"/>
                <w:snapToGrid w:val="0"/>
                <w:vertAlign w:val="superscript"/>
              </w:rPr>
              <w:t>1</w:t>
            </w:r>
            <w:r w:rsidRPr="00350BD0">
              <w:rPr>
                <w:rFonts w:ascii="Times New Roman" w:eastAsia="Times New Roman" w:hAnsi="Times New Roman" w:cs="Times New Roman"/>
                <w:snapToGrid w:val="0"/>
              </w:rPr>
              <w:t>)</w:t>
            </w:r>
          </w:p>
        </w:tc>
        <w:tc>
          <w:tcPr>
            <w:tcW w:w="1607" w:type="dxa"/>
            <w:tcBorders>
              <w:top w:val="single" w:sz="4" w:space="0" w:color="auto"/>
              <w:left w:val="single" w:sz="4" w:space="0" w:color="auto"/>
              <w:bottom w:val="single" w:sz="4" w:space="0" w:color="auto"/>
              <w:right w:val="single" w:sz="4" w:space="0" w:color="auto"/>
            </w:tcBorders>
          </w:tcPr>
          <w:p w14:paraId="3456577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Nedažnas</w:t>
            </w:r>
          </w:p>
        </w:tc>
        <w:tc>
          <w:tcPr>
            <w:tcW w:w="1701" w:type="dxa"/>
            <w:tcBorders>
              <w:top w:val="single" w:sz="4" w:space="0" w:color="auto"/>
              <w:left w:val="single" w:sz="4" w:space="0" w:color="auto"/>
              <w:bottom w:val="single" w:sz="4" w:space="0" w:color="auto"/>
              <w:right w:val="single" w:sz="4" w:space="0" w:color="auto"/>
            </w:tcBorders>
          </w:tcPr>
          <w:p w14:paraId="6F65BDB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Nedažnas </w:t>
            </w:r>
            <w:r w:rsidRPr="00350BD0">
              <w:rPr>
                <w:rFonts w:ascii="Times New Roman" w:eastAsia="Times New Roman" w:hAnsi="Times New Roman" w:cs="Times New Roman"/>
                <w:snapToGrid w:val="0"/>
                <w:vertAlign w:val="superscript"/>
              </w:rPr>
              <w:t>d</w:t>
            </w:r>
          </w:p>
        </w:tc>
        <w:tc>
          <w:tcPr>
            <w:tcW w:w="1809" w:type="dxa"/>
            <w:tcBorders>
              <w:top w:val="single" w:sz="4" w:space="0" w:color="auto"/>
              <w:left w:val="single" w:sz="4" w:space="0" w:color="auto"/>
              <w:bottom w:val="single" w:sz="4" w:space="0" w:color="auto"/>
              <w:right w:val="single" w:sz="4" w:space="0" w:color="auto"/>
            </w:tcBorders>
          </w:tcPr>
          <w:p w14:paraId="2D2C787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r>
      <w:tr w:rsidR="00350BD0" w:rsidRPr="00350BD0" w14:paraId="7587FE91" w14:textId="77777777" w:rsidTr="005B5AD8">
        <w:trPr>
          <w:trHeight w:val="495"/>
        </w:trPr>
        <w:tc>
          <w:tcPr>
            <w:tcW w:w="2093" w:type="dxa"/>
            <w:tcBorders>
              <w:top w:val="nil"/>
              <w:left w:val="single" w:sz="4" w:space="0" w:color="auto"/>
              <w:bottom w:val="single" w:sz="4" w:space="0" w:color="auto"/>
              <w:right w:val="single" w:sz="4" w:space="0" w:color="auto"/>
            </w:tcBorders>
          </w:tcPr>
          <w:p w14:paraId="308CD20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c>
        <w:tc>
          <w:tcPr>
            <w:tcW w:w="2645" w:type="dxa"/>
            <w:tcBorders>
              <w:top w:val="single" w:sz="4" w:space="0" w:color="auto"/>
              <w:left w:val="single" w:sz="4" w:space="0" w:color="auto"/>
              <w:bottom w:val="single" w:sz="4" w:space="0" w:color="auto"/>
              <w:right w:val="single" w:sz="4" w:space="0" w:color="auto"/>
            </w:tcBorders>
          </w:tcPr>
          <w:p w14:paraId="2562B52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Palpitacijos</w:t>
            </w:r>
          </w:p>
        </w:tc>
        <w:tc>
          <w:tcPr>
            <w:tcW w:w="1607" w:type="dxa"/>
            <w:tcBorders>
              <w:top w:val="single" w:sz="4" w:space="0" w:color="auto"/>
              <w:left w:val="single" w:sz="4" w:space="0" w:color="auto"/>
              <w:bottom w:val="single" w:sz="4" w:space="0" w:color="auto"/>
              <w:right w:val="single" w:sz="4" w:space="0" w:color="auto"/>
            </w:tcBorders>
          </w:tcPr>
          <w:p w14:paraId="56CC8C1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701" w:type="dxa"/>
            <w:tcBorders>
              <w:top w:val="single" w:sz="4" w:space="0" w:color="auto"/>
              <w:left w:val="single" w:sz="4" w:space="0" w:color="auto"/>
              <w:bottom w:val="single" w:sz="4" w:space="0" w:color="auto"/>
              <w:right w:val="single" w:sz="4" w:space="0" w:color="auto"/>
            </w:tcBorders>
          </w:tcPr>
          <w:p w14:paraId="0027DA1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809" w:type="dxa"/>
            <w:tcBorders>
              <w:top w:val="single" w:sz="4" w:space="0" w:color="auto"/>
              <w:left w:val="single" w:sz="4" w:space="0" w:color="auto"/>
              <w:bottom w:val="single" w:sz="4" w:space="0" w:color="auto"/>
              <w:right w:val="single" w:sz="4" w:space="0" w:color="auto"/>
            </w:tcBorders>
          </w:tcPr>
          <w:p w14:paraId="13E5E4D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Nedažnas</w:t>
            </w:r>
          </w:p>
        </w:tc>
      </w:tr>
      <w:tr w:rsidR="00350BD0" w:rsidRPr="00350BD0" w14:paraId="4BA03AB7" w14:textId="77777777" w:rsidTr="005B5AD8">
        <w:tc>
          <w:tcPr>
            <w:tcW w:w="2093" w:type="dxa"/>
            <w:tcBorders>
              <w:top w:val="single" w:sz="4" w:space="0" w:color="auto"/>
              <w:left w:val="single" w:sz="4" w:space="0" w:color="auto"/>
              <w:bottom w:val="single" w:sz="4" w:space="0" w:color="auto"/>
              <w:right w:val="single" w:sz="4" w:space="0" w:color="auto"/>
            </w:tcBorders>
          </w:tcPr>
          <w:p w14:paraId="7D3DE44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Kraujagyslių sutrikimai</w:t>
            </w:r>
          </w:p>
        </w:tc>
        <w:tc>
          <w:tcPr>
            <w:tcW w:w="2645" w:type="dxa"/>
            <w:tcBorders>
              <w:top w:val="single" w:sz="4" w:space="0" w:color="auto"/>
              <w:left w:val="single" w:sz="4" w:space="0" w:color="auto"/>
              <w:bottom w:val="single" w:sz="4" w:space="0" w:color="auto"/>
              <w:right w:val="single" w:sz="4" w:space="0" w:color="auto"/>
            </w:tcBorders>
          </w:tcPr>
          <w:p w14:paraId="4A6CA2C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Ortostatinė hipotenzija</w:t>
            </w:r>
          </w:p>
        </w:tc>
        <w:tc>
          <w:tcPr>
            <w:tcW w:w="1607" w:type="dxa"/>
            <w:tcBorders>
              <w:top w:val="single" w:sz="4" w:space="0" w:color="auto"/>
              <w:left w:val="single" w:sz="4" w:space="0" w:color="auto"/>
              <w:bottom w:val="single" w:sz="4" w:space="0" w:color="auto"/>
              <w:right w:val="single" w:sz="4" w:space="0" w:color="auto"/>
            </w:tcBorders>
          </w:tcPr>
          <w:p w14:paraId="44AEBFA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701" w:type="dxa"/>
            <w:tcBorders>
              <w:top w:val="single" w:sz="4" w:space="0" w:color="auto"/>
              <w:left w:val="single" w:sz="4" w:space="0" w:color="auto"/>
              <w:bottom w:val="single" w:sz="4" w:space="0" w:color="auto"/>
              <w:right w:val="single" w:sz="4" w:space="0" w:color="auto"/>
            </w:tcBorders>
          </w:tcPr>
          <w:p w14:paraId="7EFA7AE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809" w:type="dxa"/>
            <w:tcBorders>
              <w:top w:val="single" w:sz="4" w:space="0" w:color="auto"/>
              <w:left w:val="single" w:sz="4" w:space="0" w:color="auto"/>
              <w:bottom w:val="single" w:sz="4" w:space="0" w:color="auto"/>
              <w:right w:val="single" w:sz="4" w:space="0" w:color="auto"/>
            </w:tcBorders>
          </w:tcPr>
          <w:p w14:paraId="6A4A9E1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Nedažnas</w:t>
            </w:r>
          </w:p>
        </w:tc>
      </w:tr>
      <w:tr w:rsidR="00350BD0" w:rsidRPr="00350BD0" w14:paraId="38DDA88D" w14:textId="77777777" w:rsidTr="005B5AD8">
        <w:tc>
          <w:tcPr>
            <w:tcW w:w="2093" w:type="dxa"/>
            <w:tcBorders>
              <w:top w:val="single" w:sz="4" w:space="0" w:color="auto"/>
              <w:left w:val="single" w:sz="4" w:space="0" w:color="auto"/>
              <w:bottom w:val="single" w:sz="4" w:space="0" w:color="auto"/>
              <w:right w:val="single" w:sz="4" w:space="0" w:color="auto"/>
            </w:tcBorders>
          </w:tcPr>
          <w:p w14:paraId="5CF94E3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Kvėpavimo sistemos, krūtinės ląstos ir tarpuplaučio sutrikimai</w:t>
            </w:r>
          </w:p>
        </w:tc>
        <w:tc>
          <w:tcPr>
            <w:tcW w:w="2645" w:type="dxa"/>
            <w:tcBorders>
              <w:top w:val="single" w:sz="4" w:space="0" w:color="auto"/>
              <w:left w:val="single" w:sz="4" w:space="0" w:color="auto"/>
              <w:bottom w:val="single" w:sz="4" w:space="0" w:color="auto"/>
              <w:right w:val="single" w:sz="4" w:space="0" w:color="auto"/>
            </w:tcBorders>
          </w:tcPr>
          <w:p w14:paraId="633A04E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Rinitas</w:t>
            </w:r>
          </w:p>
        </w:tc>
        <w:tc>
          <w:tcPr>
            <w:tcW w:w="1607" w:type="dxa"/>
            <w:tcBorders>
              <w:top w:val="single" w:sz="4" w:space="0" w:color="auto"/>
              <w:left w:val="single" w:sz="4" w:space="0" w:color="auto"/>
              <w:bottom w:val="single" w:sz="4" w:space="0" w:color="auto"/>
              <w:right w:val="single" w:sz="4" w:space="0" w:color="auto"/>
            </w:tcBorders>
          </w:tcPr>
          <w:p w14:paraId="43DB980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701" w:type="dxa"/>
            <w:tcBorders>
              <w:top w:val="single" w:sz="4" w:space="0" w:color="auto"/>
              <w:left w:val="single" w:sz="4" w:space="0" w:color="auto"/>
              <w:bottom w:val="single" w:sz="4" w:space="0" w:color="auto"/>
              <w:right w:val="single" w:sz="4" w:space="0" w:color="auto"/>
            </w:tcBorders>
          </w:tcPr>
          <w:p w14:paraId="5A63B9D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809" w:type="dxa"/>
            <w:tcBorders>
              <w:top w:val="single" w:sz="4" w:space="0" w:color="auto"/>
              <w:left w:val="single" w:sz="4" w:space="0" w:color="auto"/>
              <w:bottom w:val="single" w:sz="4" w:space="0" w:color="auto"/>
              <w:right w:val="single" w:sz="4" w:space="0" w:color="auto"/>
            </w:tcBorders>
          </w:tcPr>
          <w:p w14:paraId="3EDCD4D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Nedažnas</w:t>
            </w:r>
          </w:p>
        </w:tc>
      </w:tr>
      <w:tr w:rsidR="00350BD0" w:rsidRPr="00350BD0" w14:paraId="77B9EB5F" w14:textId="77777777" w:rsidTr="005B5A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val="restart"/>
            <w:tcBorders>
              <w:top w:val="single" w:sz="4" w:space="0" w:color="auto"/>
              <w:left w:val="single" w:sz="4" w:space="0" w:color="auto"/>
              <w:right w:val="single" w:sz="4" w:space="0" w:color="auto"/>
            </w:tcBorders>
          </w:tcPr>
          <w:p w14:paraId="2A97F36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Virškinimo trakto sutrikimai</w:t>
            </w:r>
          </w:p>
        </w:tc>
        <w:tc>
          <w:tcPr>
            <w:tcW w:w="2645" w:type="dxa"/>
            <w:tcBorders>
              <w:top w:val="single" w:sz="4" w:space="0" w:color="auto"/>
              <w:left w:val="single" w:sz="4" w:space="0" w:color="auto"/>
              <w:bottom w:val="single" w:sz="4" w:space="0" w:color="auto"/>
              <w:right w:val="single" w:sz="4" w:space="0" w:color="auto"/>
            </w:tcBorders>
          </w:tcPr>
          <w:p w14:paraId="2261898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Vidurių užkietėjimas</w:t>
            </w:r>
          </w:p>
        </w:tc>
        <w:tc>
          <w:tcPr>
            <w:tcW w:w="1607" w:type="dxa"/>
            <w:tcBorders>
              <w:top w:val="single" w:sz="4" w:space="0" w:color="auto"/>
              <w:left w:val="single" w:sz="4" w:space="0" w:color="auto"/>
              <w:bottom w:val="single" w:sz="4" w:space="0" w:color="auto"/>
              <w:right w:val="single" w:sz="4" w:space="0" w:color="auto"/>
            </w:tcBorders>
          </w:tcPr>
          <w:p w14:paraId="12E5514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701" w:type="dxa"/>
            <w:tcBorders>
              <w:top w:val="single" w:sz="4" w:space="0" w:color="auto"/>
              <w:left w:val="single" w:sz="4" w:space="0" w:color="auto"/>
              <w:bottom w:val="single" w:sz="4" w:space="0" w:color="auto"/>
              <w:right w:val="single" w:sz="4" w:space="0" w:color="auto"/>
            </w:tcBorders>
          </w:tcPr>
          <w:p w14:paraId="026C508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809" w:type="dxa"/>
            <w:tcBorders>
              <w:top w:val="single" w:sz="4" w:space="0" w:color="auto"/>
              <w:left w:val="single" w:sz="4" w:space="0" w:color="auto"/>
              <w:bottom w:val="single" w:sz="4" w:space="0" w:color="auto"/>
              <w:right w:val="single" w:sz="4" w:space="0" w:color="auto"/>
            </w:tcBorders>
          </w:tcPr>
          <w:p w14:paraId="105A6AA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Nedažnas</w:t>
            </w:r>
          </w:p>
        </w:tc>
      </w:tr>
      <w:tr w:rsidR="00350BD0" w:rsidRPr="00350BD0" w14:paraId="78FBE4FF" w14:textId="77777777" w:rsidTr="005B5A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tcBorders>
              <w:left w:val="single" w:sz="4" w:space="0" w:color="auto"/>
              <w:right w:val="single" w:sz="4" w:space="0" w:color="auto"/>
            </w:tcBorders>
          </w:tcPr>
          <w:p w14:paraId="32878B8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c>
        <w:tc>
          <w:tcPr>
            <w:tcW w:w="2645" w:type="dxa"/>
            <w:tcBorders>
              <w:top w:val="single" w:sz="4" w:space="0" w:color="auto"/>
              <w:left w:val="single" w:sz="4" w:space="0" w:color="auto"/>
              <w:bottom w:val="single" w:sz="4" w:space="0" w:color="auto"/>
              <w:right w:val="single" w:sz="4" w:space="0" w:color="auto"/>
            </w:tcBorders>
          </w:tcPr>
          <w:p w14:paraId="1500A92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Viduriavimas</w:t>
            </w:r>
          </w:p>
        </w:tc>
        <w:tc>
          <w:tcPr>
            <w:tcW w:w="1607" w:type="dxa"/>
            <w:tcBorders>
              <w:top w:val="single" w:sz="4" w:space="0" w:color="auto"/>
              <w:left w:val="single" w:sz="4" w:space="0" w:color="auto"/>
              <w:bottom w:val="single" w:sz="4" w:space="0" w:color="auto"/>
              <w:right w:val="single" w:sz="4" w:space="0" w:color="auto"/>
            </w:tcBorders>
          </w:tcPr>
          <w:p w14:paraId="5566720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701" w:type="dxa"/>
            <w:tcBorders>
              <w:top w:val="single" w:sz="4" w:space="0" w:color="auto"/>
              <w:left w:val="single" w:sz="4" w:space="0" w:color="auto"/>
              <w:bottom w:val="single" w:sz="4" w:space="0" w:color="auto"/>
              <w:right w:val="single" w:sz="4" w:space="0" w:color="auto"/>
            </w:tcBorders>
          </w:tcPr>
          <w:p w14:paraId="5631FC4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809" w:type="dxa"/>
            <w:tcBorders>
              <w:top w:val="single" w:sz="4" w:space="0" w:color="auto"/>
              <w:left w:val="single" w:sz="4" w:space="0" w:color="auto"/>
              <w:bottom w:val="single" w:sz="4" w:space="0" w:color="auto"/>
              <w:right w:val="single" w:sz="4" w:space="0" w:color="auto"/>
            </w:tcBorders>
          </w:tcPr>
          <w:p w14:paraId="56A7A89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Nedažnas</w:t>
            </w:r>
          </w:p>
        </w:tc>
      </w:tr>
      <w:tr w:rsidR="00350BD0" w:rsidRPr="00350BD0" w14:paraId="6FF43537" w14:textId="77777777" w:rsidTr="005B5A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tcBorders>
              <w:left w:val="single" w:sz="4" w:space="0" w:color="auto"/>
              <w:right w:val="single" w:sz="4" w:space="0" w:color="auto"/>
            </w:tcBorders>
          </w:tcPr>
          <w:p w14:paraId="728D0EA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c>
        <w:tc>
          <w:tcPr>
            <w:tcW w:w="2645" w:type="dxa"/>
            <w:tcBorders>
              <w:top w:val="single" w:sz="4" w:space="0" w:color="auto"/>
              <w:left w:val="single" w:sz="4" w:space="0" w:color="auto"/>
              <w:bottom w:val="single" w:sz="4" w:space="0" w:color="auto"/>
              <w:right w:val="single" w:sz="4" w:space="0" w:color="auto"/>
            </w:tcBorders>
          </w:tcPr>
          <w:p w14:paraId="2878455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Pykinimas</w:t>
            </w:r>
          </w:p>
        </w:tc>
        <w:tc>
          <w:tcPr>
            <w:tcW w:w="1607" w:type="dxa"/>
            <w:tcBorders>
              <w:top w:val="single" w:sz="4" w:space="0" w:color="auto"/>
              <w:left w:val="single" w:sz="4" w:space="0" w:color="auto"/>
              <w:bottom w:val="single" w:sz="4" w:space="0" w:color="auto"/>
              <w:right w:val="single" w:sz="4" w:space="0" w:color="auto"/>
            </w:tcBorders>
          </w:tcPr>
          <w:p w14:paraId="2908A2E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701" w:type="dxa"/>
            <w:tcBorders>
              <w:top w:val="single" w:sz="4" w:space="0" w:color="auto"/>
              <w:left w:val="single" w:sz="4" w:space="0" w:color="auto"/>
              <w:bottom w:val="single" w:sz="4" w:space="0" w:color="auto"/>
              <w:right w:val="single" w:sz="4" w:space="0" w:color="auto"/>
            </w:tcBorders>
          </w:tcPr>
          <w:p w14:paraId="4B5F17C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809" w:type="dxa"/>
            <w:tcBorders>
              <w:top w:val="single" w:sz="4" w:space="0" w:color="auto"/>
              <w:left w:val="single" w:sz="4" w:space="0" w:color="auto"/>
              <w:bottom w:val="single" w:sz="4" w:space="0" w:color="auto"/>
              <w:right w:val="single" w:sz="4" w:space="0" w:color="auto"/>
            </w:tcBorders>
          </w:tcPr>
          <w:p w14:paraId="1A209B5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Nedažnas</w:t>
            </w:r>
          </w:p>
        </w:tc>
      </w:tr>
      <w:tr w:rsidR="00350BD0" w:rsidRPr="00350BD0" w14:paraId="61833276" w14:textId="77777777" w:rsidTr="005B5A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tcBorders>
              <w:left w:val="single" w:sz="4" w:space="0" w:color="auto"/>
              <w:bottom w:val="single" w:sz="4" w:space="0" w:color="auto"/>
              <w:right w:val="single" w:sz="4" w:space="0" w:color="auto"/>
            </w:tcBorders>
          </w:tcPr>
          <w:p w14:paraId="06AA6C4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c>
        <w:tc>
          <w:tcPr>
            <w:tcW w:w="2645" w:type="dxa"/>
            <w:tcBorders>
              <w:top w:val="single" w:sz="4" w:space="0" w:color="auto"/>
              <w:left w:val="single" w:sz="4" w:space="0" w:color="auto"/>
              <w:bottom w:val="single" w:sz="4" w:space="0" w:color="auto"/>
              <w:right w:val="single" w:sz="4" w:space="0" w:color="auto"/>
            </w:tcBorders>
          </w:tcPr>
          <w:p w14:paraId="5309A06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Vėmimas</w:t>
            </w:r>
          </w:p>
        </w:tc>
        <w:tc>
          <w:tcPr>
            <w:tcW w:w="1607" w:type="dxa"/>
            <w:tcBorders>
              <w:top w:val="single" w:sz="4" w:space="0" w:color="auto"/>
              <w:left w:val="single" w:sz="4" w:space="0" w:color="auto"/>
              <w:bottom w:val="single" w:sz="4" w:space="0" w:color="auto"/>
              <w:right w:val="single" w:sz="4" w:space="0" w:color="auto"/>
            </w:tcBorders>
          </w:tcPr>
          <w:p w14:paraId="335BBF3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701" w:type="dxa"/>
            <w:tcBorders>
              <w:top w:val="single" w:sz="4" w:space="0" w:color="auto"/>
              <w:left w:val="single" w:sz="4" w:space="0" w:color="auto"/>
              <w:bottom w:val="single" w:sz="4" w:space="0" w:color="auto"/>
              <w:right w:val="single" w:sz="4" w:space="0" w:color="auto"/>
            </w:tcBorders>
          </w:tcPr>
          <w:p w14:paraId="61C2E64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809" w:type="dxa"/>
            <w:tcBorders>
              <w:top w:val="single" w:sz="4" w:space="0" w:color="auto"/>
              <w:left w:val="single" w:sz="4" w:space="0" w:color="auto"/>
              <w:bottom w:val="single" w:sz="4" w:space="0" w:color="auto"/>
              <w:right w:val="single" w:sz="4" w:space="0" w:color="auto"/>
            </w:tcBorders>
          </w:tcPr>
          <w:p w14:paraId="0D0A5C4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Nedažnas</w:t>
            </w:r>
          </w:p>
        </w:tc>
      </w:tr>
      <w:tr w:rsidR="00350BD0" w:rsidRPr="00350BD0" w14:paraId="43785878" w14:textId="77777777" w:rsidTr="005B5A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val="restart"/>
            <w:tcBorders>
              <w:top w:val="single" w:sz="4" w:space="0" w:color="auto"/>
              <w:left w:val="single" w:sz="4" w:space="0" w:color="auto"/>
              <w:right w:val="single" w:sz="4" w:space="0" w:color="auto"/>
            </w:tcBorders>
          </w:tcPr>
          <w:p w14:paraId="0133BFD3"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lastRenderedPageBreak/>
              <w:t>Odos ir poodinio audinio sutrikimai</w:t>
            </w:r>
          </w:p>
        </w:tc>
        <w:tc>
          <w:tcPr>
            <w:tcW w:w="2645" w:type="dxa"/>
            <w:tcBorders>
              <w:top w:val="single" w:sz="4" w:space="0" w:color="auto"/>
              <w:left w:val="single" w:sz="4" w:space="0" w:color="auto"/>
              <w:bottom w:val="single" w:sz="4" w:space="0" w:color="auto"/>
              <w:right w:val="single" w:sz="4" w:space="0" w:color="auto"/>
            </w:tcBorders>
          </w:tcPr>
          <w:p w14:paraId="3952A4CB"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Angioneurozinė edema</w:t>
            </w:r>
          </w:p>
        </w:tc>
        <w:tc>
          <w:tcPr>
            <w:tcW w:w="1607" w:type="dxa"/>
            <w:tcBorders>
              <w:top w:val="single" w:sz="4" w:space="0" w:color="auto"/>
              <w:left w:val="single" w:sz="4" w:space="0" w:color="auto"/>
              <w:bottom w:val="single" w:sz="4" w:space="0" w:color="auto"/>
              <w:right w:val="single" w:sz="4" w:space="0" w:color="auto"/>
            </w:tcBorders>
          </w:tcPr>
          <w:p w14:paraId="3288E0DB"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701" w:type="dxa"/>
            <w:tcBorders>
              <w:top w:val="single" w:sz="4" w:space="0" w:color="auto"/>
              <w:left w:val="single" w:sz="4" w:space="0" w:color="auto"/>
              <w:bottom w:val="single" w:sz="4" w:space="0" w:color="auto"/>
              <w:right w:val="single" w:sz="4" w:space="0" w:color="auto"/>
            </w:tcBorders>
          </w:tcPr>
          <w:p w14:paraId="48270015"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809" w:type="dxa"/>
            <w:tcBorders>
              <w:top w:val="single" w:sz="4" w:space="0" w:color="auto"/>
              <w:left w:val="single" w:sz="4" w:space="0" w:color="auto"/>
              <w:bottom w:val="single" w:sz="4" w:space="0" w:color="auto"/>
              <w:right w:val="single" w:sz="4" w:space="0" w:color="auto"/>
            </w:tcBorders>
          </w:tcPr>
          <w:p w14:paraId="1B3B0D42"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Retas</w:t>
            </w:r>
          </w:p>
        </w:tc>
      </w:tr>
      <w:tr w:rsidR="00350BD0" w:rsidRPr="00350BD0" w14:paraId="31E1741A" w14:textId="77777777" w:rsidTr="005B5AD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093" w:type="dxa"/>
            <w:vMerge/>
            <w:tcBorders>
              <w:left w:val="single" w:sz="4" w:space="0" w:color="auto"/>
              <w:right w:val="single" w:sz="4" w:space="0" w:color="auto"/>
            </w:tcBorders>
          </w:tcPr>
          <w:p w14:paraId="7AE6D5F9"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p>
        </w:tc>
        <w:tc>
          <w:tcPr>
            <w:tcW w:w="2645" w:type="dxa"/>
            <w:tcBorders>
              <w:top w:val="single" w:sz="4" w:space="0" w:color="auto"/>
              <w:left w:val="single" w:sz="4" w:space="0" w:color="auto"/>
              <w:bottom w:val="single" w:sz="4" w:space="0" w:color="auto"/>
              <w:right w:val="single" w:sz="4" w:space="0" w:color="auto"/>
            </w:tcBorders>
          </w:tcPr>
          <w:p w14:paraId="04AB9E42"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Stivenso-Džonsono (</w:t>
            </w:r>
            <w:r w:rsidRPr="00350BD0">
              <w:rPr>
                <w:rFonts w:ascii="Times New Roman" w:eastAsia="Times New Roman" w:hAnsi="Times New Roman" w:cs="Times New Roman"/>
                <w:i/>
                <w:snapToGrid w:val="0"/>
              </w:rPr>
              <w:t>Stevens-Johnson</w:t>
            </w:r>
            <w:r w:rsidRPr="00350BD0">
              <w:rPr>
                <w:rFonts w:ascii="Times New Roman" w:eastAsia="Times New Roman" w:hAnsi="Times New Roman" w:cs="Times New Roman"/>
                <w:snapToGrid w:val="0"/>
              </w:rPr>
              <w:t>) sindromas</w:t>
            </w:r>
          </w:p>
        </w:tc>
        <w:tc>
          <w:tcPr>
            <w:tcW w:w="1607" w:type="dxa"/>
            <w:tcBorders>
              <w:top w:val="single" w:sz="4" w:space="0" w:color="auto"/>
              <w:left w:val="single" w:sz="4" w:space="0" w:color="auto"/>
              <w:bottom w:val="single" w:sz="4" w:space="0" w:color="auto"/>
              <w:right w:val="single" w:sz="4" w:space="0" w:color="auto"/>
            </w:tcBorders>
          </w:tcPr>
          <w:p w14:paraId="46E2F390"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701" w:type="dxa"/>
            <w:tcBorders>
              <w:top w:val="single" w:sz="4" w:space="0" w:color="auto"/>
              <w:left w:val="single" w:sz="4" w:space="0" w:color="auto"/>
              <w:bottom w:val="single" w:sz="4" w:space="0" w:color="auto"/>
              <w:right w:val="single" w:sz="4" w:space="0" w:color="auto"/>
            </w:tcBorders>
          </w:tcPr>
          <w:p w14:paraId="0BA6ADE3"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809" w:type="dxa"/>
            <w:tcBorders>
              <w:top w:val="single" w:sz="4" w:space="0" w:color="auto"/>
              <w:left w:val="single" w:sz="4" w:space="0" w:color="auto"/>
              <w:bottom w:val="single" w:sz="4" w:space="0" w:color="auto"/>
              <w:right w:val="single" w:sz="4" w:space="0" w:color="auto"/>
            </w:tcBorders>
          </w:tcPr>
          <w:p w14:paraId="14699763"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Labai retas</w:t>
            </w:r>
          </w:p>
        </w:tc>
      </w:tr>
      <w:tr w:rsidR="00350BD0" w:rsidRPr="00350BD0" w14:paraId="6317878F" w14:textId="77777777" w:rsidTr="005B5AD8">
        <w:tc>
          <w:tcPr>
            <w:tcW w:w="2093" w:type="dxa"/>
            <w:vMerge/>
            <w:tcBorders>
              <w:left w:val="single" w:sz="4" w:space="0" w:color="auto"/>
              <w:right w:val="single" w:sz="4" w:space="0" w:color="auto"/>
            </w:tcBorders>
          </w:tcPr>
          <w:p w14:paraId="312FD9B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c>
        <w:tc>
          <w:tcPr>
            <w:tcW w:w="2645" w:type="dxa"/>
            <w:tcBorders>
              <w:top w:val="single" w:sz="4" w:space="0" w:color="auto"/>
              <w:left w:val="single" w:sz="4" w:space="0" w:color="auto"/>
              <w:bottom w:val="single" w:sz="4" w:space="0" w:color="auto"/>
              <w:right w:val="single" w:sz="4" w:space="0" w:color="auto"/>
            </w:tcBorders>
          </w:tcPr>
          <w:p w14:paraId="13BF49C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Dilgėlinė</w:t>
            </w:r>
          </w:p>
        </w:tc>
        <w:tc>
          <w:tcPr>
            <w:tcW w:w="1607" w:type="dxa"/>
            <w:tcBorders>
              <w:top w:val="single" w:sz="4" w:space="0" w:color="auto"/>
              <w:left w:val="single" w:sz="4" w:space="0" w:color="auto"/>
              <w:bottom w:val="single" w:sz="4" w:space="0" w:color="auto"/>
              <w:right w:val="single" w:sz="4" w:space="0" w:color="auto"/>
            </w:tcBorders>
          </w:tcPr>
          <w:p w14:paraId="2C7CF43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701" w:type="dxa"/>
            <w:tcBorders>
              <w:top w:val="single" w:sz="4" w:space="0" w:color="auto"/>
              <w:left w:val="single" w:sz="4" w:space="0" w:color="auto"/>
              <w:bottom w:val="single" w:sz="4" w:space="0" w:color="auto"/>
              <w:right w:val="single" w:sz="4" w:space="0" w:color="auto"/>
            </w:tcBorders>
          </w:tcPr>
          <w:p w14:paraId="50B09A1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809" w:type="dxa"/>
            <w:tcBorders>
              <w:top w:val="single" w:sz="4" w:space="0" w:color="auto"/>
              <w:left w:val="single" w:sz="4" w:space="0" w:color="auto"/>
              <w:bottom w:val="single" w:sz="4" w:space="0" w:color="auto"/>
              <w:right w:val="single" w:sz="4" w:space="0" w:color="auto"/>
            </w:tcBorders>
          </w:tcPr>
          <w:p w14:paraId="22138D1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Nedažnas</w:t>
            </w:r>
          </w:p>
        </w:tc>
      </w:tr>
      <w:tr w:rsidR="00350BD0" w:rsidRPr="00350BD0" w14:paraId="4953290D" w14:textId="77777777" w:rsidTr="005B5AD8">
        <w:tc>
          <w:tcPr>
            <w:tcW w:w="2093" w:type="dxa"/>
            <w:vMerge/>
            <w:tcBorders>
              <w:left w:val="single" w:sz="4" w:space="0" w:color="auto"/>
              <w:right w:val="single" w:sz="4" w:space="0" w:color="auto"/>
            </w:tcBorders>
          </w:tcPr>
          <w:p w14:paraId="18B8769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c>
        <w:tc>
          <w:tcPr>
            <w:tcW w:w="2645" w:type="dxa"/>
            <w:tcBorders>
              <w:top w:val="single" w:sz="4" w:space="0" w:color="auto"/>
              <w:left w:val="single" w:sz="4" w:space="0" w:color="auto"/>
              <w:bottom w:val="single" w:sz="4" w:space="0" w:color="auto"/>
              <w:right w:val="single" w:sz="4" w:space="0" w:color="auto"/>
            </w:tcBorders>
          </w:tcPr>
          <w:p w14:paraId="77AAE33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Išbėrimas</w:t>
            </w:r>
          </w:p>
        </w:tc>
        <w:tc>
          <w:tcPr>
            <w:tcW w:w="1607" w:type="dxa"/>
            <w:tcBorders>
              <w:top w:val="single" w:sz="4" w:space="0" w:color="auto"/>
              <w:left w:val="single" w:sz="4" w:space="0" w:color="auto"/>
              <w:bottom w:val="single" w:sz="4" w:space="0" w:color="auto"/>
              <w:right w:val="single" w:sz="4" w:space="0" w:color="auto"/>
            </w:tcBorders>
          </w:tcPr>
          <w:p w14:paraId="71DC673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701" w:type="dxa"/>
            <w:tcBorders>
              <w:top w:val="single" w:sz="4" w:space="0" w:color="auto"/>
              <w:left w:val="single" w:sz="4" w:space="0" w:color="auto"/>
              <w:bottom w:val="single" w:sz="4" w:space="0" w:color="auto"/>
              <w:right w:val="single" w:sz="4" w:space="0" w:color="auto"/>
            </w:tcBorders>
          </w:tcPr>
          <w:p w14:paraId="2F706A8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809" w:type="dxa"/>
            <w:tcBorders>
              <w:top w:val="single" w:sz="4" w:space="0" w:color="auto"/>
              <w:left w:val="single" w:sz="4" w:space="0" w:color="auto"/>
              <w:bottom w:val="single" w:sz="4" w:space="0" w:color="auto"/>
              <w:right w:val="single" w:sz="4" w:space="0" w:color="auto"/>
            </w:tcBorders>
          </w:tcPr>
          <w:p w14:paraId="06B42DF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Nedažnas</w:t>
            </w:r>
          </w:p>
        </w:tc>
      </w:tr>
      <w:tr w:rsidR="00350BD0" w:rsidRPr="00350BD0" w14:paraId="10AD10ED" w14:textId="77777777" w:rsidTr="005B5AD8">
        <w:tc>
          <w:tcPr>
            <w:tcW w:w="2093" w:type="dxa"/>
            <w:vMerge/>
            <w:tcBorders>
              <w:left w:val="single" w:sz="4" w:space="0" w:color="auto"/>
              <w:bottom w:val="single" w:sz="4" w:space="0" w:color="auto"/>
              <w:right w:val="single" w:sz="4" w:space="0" w:color="auto"/>
            </w:tcBorders>
          </w:tcPr>
          <w:p w14:paraId="165AC1E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c>
        <w:tc>
          <w:tcPr>
            <w:tcW w:w="2645" w:type="dxa"/>
            <w:tcBorders>
              <w:top w:val="single" w:sz="4" w:space="0" w:color="auto"/>
              <w:left w:val="single" w:sz="4" w:space="0" w:color="auto"/>
              <w:bottom w:val="single" w:sz="4" w:space="0" w:color="auto"/>
              <w:right w:val="single" w:sz="4" w:space="0" w:color="auto"/>
            </w:tcBorders>
          </w:tcPr>
          <w:p w14:paraId="32CD56C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Niežėjimas</w:t>
            </w:r>
          </w:p>
        </w:tc>
        <w:tc>
          <w:tcPr>
            <w:tcW w:w="1607" w:type="dxa"/>
            <w:tcBorders>
              <w:top w:val="single" w:sz="4" w:space="0" w:color="auto"/>
              <w:left w:val="single" w:sz="4" w:space="0" w:color="auto"/>
              <w:bottom w:val="single" w:sz="4" w:space="0" w:color="auto"/>
              <w:right w:val="single" w:sz="4" w:space="0" w:color="auto"/>
            </w:tcBorders>
          </w:tcPr>
          <w:p w14:paraId="0A87731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701" w:type="dxa"/>
            <w:tcBorders>
              <w:top w:val="single" w:sz="4" w:space="0" w:color="auto"/>
              <w:left w:val="single" w:sz="4" w:space="0" w:color="auto"/>
              <w:bottom w:val="single" w:sz="4" w:space="0" w:color="auto"/>
              <w:right w:val="single" w:sz="4" w:space="0" w:color="auto"/>
            </w:tcBorders>
          </w:tcPr>
          <w:p w14:paraId="09577F9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809" w:type="dxa"/>
            <w:tcBorders>
              <w:top w:val="single" w:sz="4" w:space="0" w:color="auto"/>
              <w:left w:val="single" w:sz="4" w:space="0" w:color="auto"/>
              <w:bottom w:val="single" w:sz="4" w:space="0" w:color="auto"/>
              <w:right w:val="single" w:sz="4" w:space="0" w:color="auto"/>
            </w:tcBorders>
          </w:tcPr>
          <w:p w14:paraId="7CC79BB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Nedažnas</w:t>
            </w:r>
          </w:p>
        </w:tc>
      </w:tr>
      <w:tr w:rsidR="00350BD0" w:rsidRPr="00350BD0" w14:paraId="23C23617" w14:textId="77777777" w:rsidTr="005B5AD8">
        <w:trPr>
          <w:trHeight w:val="231"/>
        </w:trPr>
        <w:tc>
          <w:tcPr>
            <w:tcW w:w="2093" w:type="dxa"/>
            <w:vMerge w:val="restart"/>
            <w:tcBorders>
              <w:top w:val="single" w:sz="4" w:space="0" w:color="auto"/>
              <w:left w:val="single" w:sz="4" w:space="0" w:color="auto"/>
              <w:right w:val="single" w:sz="4" w:space="0" w:color="auto"/>
            </w:tcBorders>
          </w:tcPr>
          <w:p w14:paraId="5A6F00F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Lytinės sistemos ir krūties sutrikimai</w:t>
            </w:r>
          </w:p>
        </w:tc>
        <w:tc>
          <w:tcPr>
            <w:tcW w:w="2645" w:type="dxa"/>
            <w:tcBorders>
              <w:top w:val="single" w:sz="4" w:space="0" w:color="auto"/>
              <w:left w:val="single" w:sz="4" w:space="0" w:color="auto"/>
              <w:bottom w:val="single" w:sz="4" w:space="0" w:color="auto"/>
              <w:right w:val="single" w:sz="4" w:space="0" w:color="auto"/>
            </w:tcBorders>
          </w:tcPr>
          <w:p w14:paraId="6F856F7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Priapizmas</w:t>
            </w:r>
          </w:p>
        </w:tc>
        <w:tc>
          <w:tcPr>
            <w:tcW w:w="1607" w:type="dxa"/>
            <w:tcBorders>
              <w:top w:val="single" w:sz="4" w:space="0" w:color="auto"/>
              <w:left w:val="single" w:sz="4" w:space="0" w:color="auto"/>
              <w:bottom w:val="single" w:sz="4" w:space="0" w:color="auto"/>
              <w:right w:val="single" w:sz="4" w:space="0" w:color="auto"/>
            </w:tcBorders>
          </w:tcPr>
          <w:p w14:paraId="6D119FE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701" w:type="dxa"/>
            <w:tcBorders>
              <w:top w:val="single" w:sz="4" w:space="0" w:color="auto"/>
              <w:left w:val="single" w:sz="4" w:space="0" w:color="auto"/>
              <w:bottom w:val="single" w:sz="4" w:space="0" w:color="auto"/>
              <w:right w:val="single" w:sz="4" w:space="0" w:color="auto"/>
            </w:tcBorders>
          </w:tcPr>
          <w:p w14:paraId="5830A7B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809" w:type="dxa"/>
            <w:tcBorders>
              <w:top w:val="single" w:sz="4" w:space="0" w:color="auto"/>
              <w:left w:val="single" w:sz="4" w:space="0" w:color="auto"/>
              <w:bottom w:val="single" w:sz="4" w:space="0" w:color="auto"/>
              <w:right w:val="single" w:sz="4" w:space="0" w:color="auto"/>
            </w:tcBorders>
          </w:tcPr>
          <w:p w14:paraId="5D9E7A2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Labai retas</w:t>
            </w:r>
          </w:p>
        </w:tc>
      </w:tr>
      <w:tr w:rsidR="00350BD0" w:rsidRPr="00350BD0" w14:paraId="32AEE3E1" w14:textId="77777777" w:rsidTr="005B5AD8">
        <w:tc>
          <w:tcPr>
            <w:tcW w:w="2093" w:type="dxa"/>
            <w:vMerge/>
            <w:tcBorders>
              <w:left w:val="single" w:sz="4" w:space="0" w:color="auto"/>
              <w:right w:val="single" w:sz="4" w:space="0" w:color="auto"/>
            </w:tcBorders>
          </w:tcPr>
          <w:p w14:paraId="6CA1E21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c>
        <w:tc>
          <w:tcPr>
            <w:tcW w:w="2645" w:type="dxa"/>
            <w:tcBorders>
              <w:top w:val="single" w:sz="4" w:space="0" w:color="auto"/>
              <w:left w:val="single" w:sz="4" w:space="0" w:color="auto"/>
              <w:bottom w:val="single" w:sz="4" w:space="0" w:color="auto"/>
              <w:right w:val="single" w:sz="4" w:space="0" w:color="auto"/>
            </w:tcBorders>
          </w:tcPr>
          <w:p w14:paraId="196BDFC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Impotencija </w:t>
            </w:r>
            <w:r w:rsidRPr="00350BD0">
              <w:rPr>
                <w:rFonts w:ascii="Times New Roman" w:eastAsia="Times New Roman" w:hAnsi="Times New Roman" w:cs="Times New Roman"/>
                <w:snapToGrid w:val="0"/>
                <w:vertAlign w:val="superscript"/>
              </w:rPr>
              <w:t>3</w:t>
            </w:r>
          </w:p>
        </w:tc>
        <w:tc>
          <w:tcPr>
            <w:tcW w:w="1607" w:type="dxa"/>
            <w:tcBorders>
              <w:top w:val="single" w:sz="4" w:space="0" w:color="auto"/>
              <w:left w:val="single" w:sz="4" w:space="0" w:color="auto"/>
              <w:bottom w:val="single" w:sz="4" w:space="0" w:color="auto"/>
              <w:right w:val="single" w:sz="4" w:space="0" w:color="auto"/>
            </w:tcBorders>
          </w:tcPr>
          <w:p w14:paraId="5A75AC1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Dažnas</w:t>
            </w:r>
          </w:p>
        </w:tc>
        <w:tc>
          <w:tcPr>
            <w:tcW w:w="1701" w:type="dxa"/>
            <w:tcBorders>
              <w:top w:val="single" w:sz="4" w:space="0" w:color="auto"/>
              <w:left w:val="single" w:sz="4" w:space="0" w:color="auto"/>
              <w:bottom w:val="single" w:sz="4" w:space="0" w:color="auto"/>
              <w:right w:val="single" w:sz="4" w:space="0" w:color="auto"/>
            </w:tcBorders>
          </w:tcPr>
          <w:p w14:paraId="6F57C86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Dažnas </w:t>
            </w:r>
            <w:r w:rsidRPr="00350BD0">
              <w:rPr>
                <w:rFonts w:ascii="Times New Roman" w:eastAsia="Times New Roman" w:hAnsi="Times New Roman" w:cs="Times New Roman"/>
                <w:snapToGrid w:val="0"/>
                <w:vertAlign w:val="superscript"/>
              </w:rPr>
              <w:t>b</w:t>
            </w:r>
          </w:p>
        </w:tc>
        <w:tc>
          <w:tcPr>
            <w:tcW w:w="1809" w:type="dxa"/>
            <w:tcBorders>
              <w:top w:val="single" w:sz="4" w:space="0" w:color="auto"/>
              <w:left w:val="single" w:sz="4" w:space="0" w:color="auto"/>
              <w:bottom w:val="single" w:sz="4" w:space="0" w:color="auto"/>
              <w:right w:val="single" w:sz="4" w:space="0" w:color="auto"/>
            </w:tcBorders>
          </w:tcPr>
          <w:p w14:paraId="15B0977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r>
      <w:tr w:rsidR="00350BD0" w:rsidRPr="00350BD0" w14:paraId="74039D9E" w14:textId="77777777" w:rsidTr="005B5AD8">
        <w:tc>
          <w:tcPr>
            <w:tcW w:w="2093" w:type="dxa"/>
            <w:vMerge/>
            <w:tcBorders>
              <w:left w:val="single" w:sz="4" w:space="0" w:color="auto"/>
              <w:right w:val="single" w:sz="4" w:space="0" w:color="auto"/>
            </w:tcBorders>
          </w:tcPr>
          <w:p w14:paraId="7A69050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c>
        <w:tc>
          <w:tcPr>
            <w:tcW w:w="2645" w:type="dxa"/>
            <w:tcBorders>
              <w:top w:val="single" w:sz="4" w:space="0" w:color="auto"/>
              <w:left w:val="single" w:sz="4" w:space="0" w:color="auto"/>
              <w:bottom w:val="single" w:sz="4" w:space="0" w:color="auto"/>
              <w:right w:val="single" w:sz="4" w:space="0" w:color="auto"/>
            </w:tcBorders>
          </w:tcPr>
          <w:p w14:paraId="29F3CD8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Lytinio potraukio pokytis (sumažėjimas) </w:t>
            </w:r>
            <w:r w:rsidRPr="00350BD0">
              <w:rPr>
                <w:rFonts w:ascii="Times New Roman" w:eastAsia="Times New Roman" w:hAnsi="Times New Roman" w:cs="Times New Roman"/>
                <w:snapToGrid w:val="0"/>
                <w:vertAlign w:val="superscript"/>
              </w:rPr>
              <w:t>3</w:t>
            </w:r>
          </w:p>
        </w:tc>
        <w:tc>
          <w:tcPr>
            <w:tcW w:w="1607" w:type="dxa"/>
            <w:tcBorders>
              <w:top w:val="single" w:sz="4" w:space="0" w:color="auto"/>
              <w:left w:val="single" w:sz="4" w:space="0" w:color="auto"/>
              <w:bottom w:val="single" w:sz="4" w:space="0" w:color="auto"/>
              <w:right w:val="single" w:sz="4" w:space="0" w:color="auto"/>
            </w:tcBorders>
          </w:tcPr>
          <w:p w14:paraId="09201C4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Dažnas</w:t>
            </w:r>
          </w:p>
        </w:tc>
        <w:tc>
          <w:tcPr>
            <w:tcW w:w="1701" w:type="dxa"/>
            <w:tcBorders>
              <w:top w:val="single" w:sz="4" w:space="0" w:color="auto"/>
              <w:left w:val="single" w:sz="4" w:space="0" w:color="auto"/>
              <w:bottom w:val="single" w:sz="4" w:space="0" w:color="auto"/>
              <w:right w:val="single" w:sz="4" w:space="0" w:color="auto"/>
            </w:tcBorders>
          </w:tcPr>
          <w:p w14:paraId="2FEA2CD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Dažnas </w:t>
            </w:r>
            <w:r w:rsidRPr="00350BD0">
              <w:rPr>
                <w:rFonts w:ascii="Times New Roman" w:eastAsia="Times New Roman" w:hAnsi="Times New Roman" w:cs="Times New Roman"/>
                <w:snapToGrid w:val="0"/>
                <w:vertAlign w:val="superscript"/>
              </w:rPr>
              <w:t>b</w:t>
            </w:r>
          </w:p>
        </w:tc>
        <w:tc>
          <w:tcPr>
            <w:tcW w:w="1809" w:type="dxa"/>
            <w:tcBorders>
              <w:top w:val="single" w:sz="4" w:space="0" w:color="auto"/>
              <w:left w:val="single" w:sz="4" w:space="0" w:color="auto"/>
              <w:bottom w:val="single" w:sz="4" w:space="0" w:color="auto"/>
              <w:right w:val="single" w:sz="4" w:space="0" w:color="auto"/>
            </w:tcBorders>
          </w:tcPr>
          <w:p w14:paraId="45C6BB1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r>
      <w:tr w:rsidR="00350BD0" w:rsidRPr="00350BD0" w14:paraId="787CA28B" w14:textId="77777777" w:rsidTr="005B5AD8">
        <w:tc>
          <w:tcPr>
            <w:tcW w:w="2093" w:type="dxa"/>
            <w:vMerge/>
            <w:tcBorders>
              <w:left w:val="single" w:sz="4" w:space="0" w:color="auto"/>
              <w:right w:val="single" w:sz="4" w:space="0" w:color="auto"/>
            </w:tcBorders>
          </w:tcPr>
          <w:p w14:paraId="49C2AEC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c>
        <w:tc>
          <w:tcPr>
            <w:tcW w:w="2645" w:type="dxa"/>
            <w:tcBorders>
              <w:top w:val="single" w:sz="4" w:space="0" w:color="auto"/>
              <w:left w:val="single" w:sz="4" w:space="0" w:color="auto"/>
              <w:bottom w:val="single" w:sz="4" w:space="0" w:color="auto"/>
              <w:right w:val="single" w:sz="4" w:space="0" w:color="auto"/>
            </w:tcBorders>
          </w:tcPr>
          <w:p w14:paraId="4CB9112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Ejakuliacijos sutrikimai </w:t>
            </w:r>
            <w:r w:rsidRPr="00350BD0">
              <w:rPr>
                <w:rFonts w:ascii="Times New Roman" w:eastAsia="Times New Roman" w:hAnsi="Times New Roman" w:cs="Times New Roman"/>
                <w:snapToGrid w:val="0"/>
                <w:vertAlign w:val="superscript"/>
              </w:rPr>
              <w:t>3</w:t>
            </w:r>
            <w:r w:rsidRPr="00350BD0">
              <w:rPr>
                <w:rFonts w:ascii="Times New Roman" w:eastAsia="Times New Roman" w:hAnsi="Times New Roman" w:cs="Times New Roman"/>
                <w:iCs/>
                <w:snapToGrid w:val="0"/>
                <w:vertAlign w:val="superscript"/>
              </w:rPr>
              <w:t>^</w:t>
            </w:r>
          </w:p>
        </w:tc>
        <w:tc>
          <w:tcPr>
            <w:tcW w:w="1607" w:type="dxa"/>
            <w:tcBorders>
              <w:top w:val="single" w:sz="4" w:space="0" w:color="auto"/>
              <w:left w:val="single" w:sz="4" w:space="0" w:color="auto"/>
              <w:bottom w:val="single" w:sz="4" w:space="0" w:color="auto"/>
              <w:right w:val="single" w:sz="4" w:space="0" w:color="auto"/>
            </w:tcBorders>
          </w:tcPr>
          <w:p w14:paraId="72D3790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Dažnas</w:t>
            </w:r>
          </w:p>
        </w:tc>
        <w:tc>
          <w:tcPr>
            <w:tcW w:w="1701" w:type="dxa"/>
            <w:tcBorders>
              <w:top w:val="single" w:sz="4" w:space="0" w:color="auto"/>
              <w:left w:val="single" w:sz="4" w:space="0" w:color="auto"/>
              <w:bottom w:val="single" w:sz="4" w:space="0" w:color="auto"/>
              <w:right w:val="single" w:sz="4" w:space="0" w:color="auto"/>
            </w:tcBorders>
          </w:tcPr>
          <w:p w14:paraId="35D6F16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Dažnas </w:t>
            </w:r>
            <w:r w:rsidRPr="00350BD0">
              <w:rPr>
                <w:rFonts w:ascii="Times New Roman" w:eastAsia="Times New Roman" w:hAnsi="Times New Roman" w:cs="Times New Roman"/>
                <w:snapToGrid w:val="0"/>
                <w:vertAlign w:val="superscript"/>
              </w:rPr>
              <w:t>b</w:t>
            </w:r>
          </w:p>
        </w:tc>
        <w:tc>
          <w:tcPr>
            <w:tcW w:w="1809" w:type="dxa"/>
            <w:tcBorders>
              <w:top w:val="single" w:sz="4" w:space="0" w:color="auto"/>
              <w:left w:val="single" w:sz="4" w:space="0" w:color="auto"/>
              <w:bottom w:val="single" w:sz="4" w:space="0" w:color="auto"/>
              <w:right w:val="single" w:sz="4" w:space="0" w:color="auto"/>
            </w:tcBorders>
          </w:tcPr>
          <w:p w14:paraId="11F82A5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Dažnas</w:t>
            </w:r>
          </w:p>
        </w:tc>
      </w:tr>
      <w:tr w:rsidR="00350BD0" w:rsidRPr="00350BD0" w14:paraId="5F44ADB1" w14:textId="77777777" w:rsidTr="005B5AD8">
        <w:tc>
          <w:tcPr>
            <w:tcW w:w="2093" w:type="dxa"/>
            <w:vMerge/>
            <w:tcBorders>
              <w:left w:val="single" w:sz="4" w:space="0" w:color="auto"/>
              <w:bottom w:val="single" w:sz="4" w:space="0" w:color="auto"/>
              <w:right w:val="single" w:sz="4" w:space="0" w:color="auto"/>
            </w:tcBorders>
          </w:tcPr>
          <w:p w14:paraId="60749A0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c>
        <w:tc>
          <w:tcPr>
            <w:tcW w:w="2645" w:type="dxa"/>
            <w:tcBorders>
              <w:top w:val="single" w:sz="4" w:space="0" w:color="auto"/>
              <w:left w:val="single" w:sz="4" w:space="0" w:color="auto"/>
              <w:bottom w:val="single" w:sz="4" w:space="0" w:color="auto"/>
              <w:right w:val="single" w:sz="4" w:space="0" w:color="auto"/>
            </w:tcBorders>
          </w:tcPr>
          <w:p w14:paraId="74457E7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Krūtų sutrikimai </w:t>
            </w:r>
            <w:r w:rsidRPr="00350BD0">
              <w:rPr>
                <w:rFonts w:ascii="Times New Roman" w:eastAsia="Times New Roman" w:hAnsi="Times New Roman" w:cs="Times New Roman"/>
                <w:snapToGrid w:val="0"/>
                <w:vertAlign w:val="superscript"/>
              </w:rPr>
              <w:t>2</w:t>
            </w:r>
          </w:p>
        </w:tc>
        <w:tc>
          <w:tcPr>
            <w:tcW w:w="1607" w:type="dxa"/>
            <w:tcBorders>
              <w:top w:val="single" w:sz="4" w:space="0" w:color="auto"/>
              <w:left w:val="single" w:sz="4" w:space="0" w:color="auto"/>
              <w:bottom w:val="single" w:sz="4" w:space="0" w:color="auto"/>
              <w:right w:val="single" w:sz="4" w:space="0" w:color="auto"/>
            </w:tcBorders>
          </w:tcPr>
          <w:p w14:paraId="2911947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Dažnas</w:t>
            </w:r>
          </w:p>
        </w:tc>
        <w:tc>
          <w:tcPr>
            <w:tcW w:w="1701" w:type="dxa"/>
            <w:tcBorders>
              <w:top w:val="single" w:sz="4" w:space="0" w:color="auto"/>
              <w:left w:val="single" w:sz="4" w:space="0" w:color="auto"/>
              <w:bottom w:val="single" w:sz="4" w:space="0" w:color="auto"/>
              <w:right w:val="single" w:sz="4" w:space="0" w:color="auto"/>
            </w:tcBorders>
          </w:tcPr>
          <w:p w14:paraId="22796F2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Dažnas </w:t>
            </w:r>
            <w:r w:rsidRPr="00350BD0">
              <w:rPr>
                <w:rFonts w:ascii="Times New Roman" w:eastAsia="Times New Roman" w:hAnsi="Times New Roman" w:cs="Times New Roman"/>
                <w:snapToGrid w:val="0"/>
                <w:vertAlign w:val="superscript"/>
              </w:rPr>
              <w:t>b</w:t>
            </w:r>
          </w:p>
        </w:tc>
        <w:tc>
          <w:tcPr>
            <w:tcW w:w="1809" w:type="dxa"/>
            <w:tcBorders>
              <w:top w:val="single" w:sz="4" w:space="0" w:color="auto"/>
              <w:left w:val="single" w:sz="4" w:space="0" w:color="auto"/>
              <w:bottom w:val="single" w:sz="4" w:space="0" w:color="auto"/>
              <w:right w:val="single" w:sz="4" w:space="0" w:color="auto"/>
            </w:tcBorders>
          </w:tcPr>
          <w:p w14:paraId="27AAD1F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r>
      <w:tr w:rsidR="00350BD0" w:rsidRPr="00350BD0" w14:paraId="51E6A542" w14:textId="77777777" w:rsidTr="005B5AD8">
        <w:tc>
          <w:tcPr>
            <w:tcW w:w="2093" w:type="dxa"/>
            <w:tcBorders>
              <w:top w:val="single" w:sz="4" w:space="0" w:color="auto"/>
              <w:left w:val="single" w:sz="4" w:space="0" w:color="auto"/>
              <w:bottom w:val="single" w:sz="4" w:space="0" w:color="auto"/>
              <w:right w:val="single" w:sz="4" w:space="0" w:color="auto"/>
            </w:tcBorders>
          </w:tcPr>
          <w:p w14:paraId="68C8406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Bendrieji sutrikimai ir vartojimo vietos pažeidimai</w:t>
            </w:r>
          </w:p>
        </w:tc>
        <w:tc>
          <w:tcPr>
            <w:tcW w:w="2645" w:type="dxa"/>
            <w:tcBorders>
              <w:top w:val="single" w:sz="4" w:space="0" w:color="auto"/>
              <w:left w:val="single" w:sz="4" w:space="0" w:color="auto"/>
              <w:bottom w:val="single" w:sz="4" w:space="0" w:color="auto"/>
              <w:right w:val="single" w:sz="4" w:space="0" w:color="auto"/>
            </w:tcBorders>
          </w:tcPr>
          <w:p w14:paraId="655BBF3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Astenija</w:t>
            </w:r>
          </w:p>
        </w:tc>
        <w:tc>
          <w:tcPr>
            <w:tcW w:w="1607" w:type="dxa"/>
            <w:tcBorders>
              <w:top w:val="single" w:sz="4" w:space="0" w:color="auto"/>
              <w:left w:val="single" w:sz="4" w:space="0" w:color="auto"/>
              <w:bottom w:val="single" w:sz="4" w:space="0" w:color="auto"/>
              <w:right w:val="single" w:sz="4" w:space="0" w:color="auto"/>
            </w:tcBorders>
          </w:tcPr>
          <w:p w14:paraId="0BC31D8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701" w:type="dxa"/>
            <w:tcBorders>
              <w:top w:val="single" w:sz="4" w:space="0" w:color="auto"/>
              <w:left w:val="single" w:sz="4" w:space="0" w:color="auto"/>
              <w:bottom w:val="single" w:sz="4" w:space="0" w:color="auto"/>
              <w:right w:val="single" w:sz="4" w:space="0" w:color="auto"/>
            </w:tcBorders>
          </w:tcPr>
          <w:p w14:paraId="5750DCF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p>
        </w:tc>
        <w:tc>
          <w:tcPr>
            <w:tcW w:w="1809" w:type="dxa"/>
            <w:tcBorders>
              <w:top w:val="single" w:sz="4" w:space="0" w:color="auto"/>
              <w:left w:val="single" w:sz="4" w:space="0" w:color="auto"/>
              <w:bottom w:val="single" w:sz="4" w:space="0" w:color="auto"/>
              <w:right w:val="single" w:sz="4" w:space="0" w:color="auto"/>
            </w:tcBorders>
          </w:tcPr>
          <w:p w14:paraId="543A0BE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Nedažnas</w:t>
            </w:r>
          </w:p>
        </w:tc>
      </w:tr>
    </w:tbl>
    <w:p w14:paraId="185EABB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vertAlign w:val="superscript"/>
        </w:rPr>
        <w:t>a</w:t>
      </w:r>
      <w:r w:rsidRPr="00350BD0">
        <w:rPr>
          <w:rFonts w:ascii="Times New Roman" w:eastAsia="Times New Roman" w:hAnsi="Times New Roman" w:cs="Times New Roman"/>
          <w:snapToGrid w:val="0"/>
        </w:rPr>
        <w:t xml:space="preserve"> Dutasteridas + tamsulozinas. Remiantis </w:t>
      </w:r>
      <w:r w:rsidRPr="00350BD0">
        <w:rPr>
          <w:rFonts w:ascii="Times New Roman" w:eastAsia="Times New Roman" w:hAnsi="Times New Roman" w:cs="Times New Roman"/>
          <w:i/>
          <w:snapToGrid w:val="0"/>
        </w:rPr>
        <w:t>CombAT</w:t>
      </w:r>
      <w:r w:rsidRPr="00350BD0">
        <w:rPr>
          <w:rFonts w:ascii="Times New Roman" w:eastAsia="Times New Roman" w:hAnsi="Times New Roman" w:cs="Times New Roman"/>
          <w:snapToGrid w:val="0"/>
        </w:rPr>
        <w:t xml:space="preserve"> tyrimo duomenimis, šių nepageidaujamų reiškinių dažnis mažėja gydymo metu (nuo pirmųjų iki ketvirtųjų gydymo metų).</w:t>
      </w:r>
    </w:p>
    <w:p w14:paraId="02EF7EE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vertAlign w:val="superscript"/>
        </w:rPr>
        <w:t>b</w:t>
      </w:r>
      <w:r w:rsidRPr="00350BD0">
        <w:rPr>
          <w:rFonts w:ascii="Times New Roman" w:eastAsia="Times New Roman" w:hAnsi="Times New Roman" w:cs="Times New Roman"/>
          <w:snapToGrid w:val="0"/>
        </w:rPr>
        <w:t xml:space="preserve"> Dutasteridas. Remiantis GPH monoterapijos klinikinių tyrimų duomenimis.</w:t>
      </w:r>
    </w:p>
    <w:p w14:paraId="38E4267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vertAlign w:val="superscript"/>
        </w:rPr>
        <w:t>c</w:t>
      </w:r>
      <w:r w:rsidRPr="00350BD0">
        <w:rPr>
          <w:rFonts w:ascii="Times New Roman" w:eastAsia="Times New Roman" w:hAnsi="Times New Roman" w:cs="Times New Roman"/>
          <w:snapToGrid w:val="0"/>
        </w:rPr>
        <w:t xml:space="preserve"> Tamsulozinas. Remiantis tamsulozino ES pagrindiniais saugumo duomenimis.</w:t>
      </w:r>
    </w:p>
    <w:p w14:paraId="23A41560" w14:textId="77777777" w:rsidR="00350BD0" w:rsidRPr="00350BD0" w:rsidRDefault="00350BD0" w:rsidP="00350BD0">
      <w:pPr>
        <w:spacing w:after="6" w:line="247" w:lineRule="auto"/>
        <w:ind w:right="38"/>
        <w:rPr>
          <w:rFonts w:ascii="Times New Roman" w:eastAsia="Times New Roman" w:hAnsi="Times New Roman" w:cs="Times New Roman"/>
          <w:snapToGrid w:val="0"/>
        </w:rPr>
      </w:pPr>
      <w:r w:rsidRPr="00350BD0">
        <w:rPr>
          <w:rFonts w:ascii="Times New Roman" w:eastAsia="Times New Roman" w:hAnsi="Times New Roman" w:cs="Times New Roman"/>
          <w:snapToGrid w:val="0"/>
          <w:vertAlign w:val="superscript"/>
        </w:rPr>
        <w:t>d</w:t>
      </w:r>
      <w:r w:rsidRPr="00350BD0">
        <w:rPr>
          <w:rFonts w:ascii="Times New Roman" w:eastAsia="Times New Roman" w:hAnsi="Times New Roman" w:cs="Times New Roman"/>
          <w:snapToGrid w:val="0"/>
        </w:rPr>
        <w:t xml:space="preserve"> </w:t>
      </w:r>
      <w:r w:rsidRPr="00350BD0">
        <w:rPr>
          <w:rFonts w:ascii="Times New Roman" w:eastAsia="Times New Roman" w:hAnsi="Times New Roman" w:cs="Times New Roman"/>
          <w:i/>
          <w:snapToGrid w:val="0"/>
        </w:rPr>
        <w:t>REDUCE</w:t>
      </w:r>
      <w:r w:rsidRPr="00350BD0">
        <w:rPr>
          <w:rFonts w:ascii="Times New Roman" w:eastAsia="Times New Roman" w:hAnsi="Times New Roman" w:cs="Times New Roman"/>
          <w:snapToGrid w:val="0"/>
        </w:rPr>
        <w:t xml:space="preserve"> tyrimas (žr. 5.1 skyrių). </w:t>
      </w:r>
    </w:p>
    <w:p w14:paraId="68D4B73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SimSun" w:hAnsi="Times New Roman" w:cs="Times New Roman"/>
          <w:snapToGrid w:val="0"/>
          <w:color w:val="000000"/>
          <w:vertAlign w:val="superscript"/>
        </w:rPr>
        <w:footnoteRef/>
      </w:r>
      <w:r w:rsidRPr="00350BD0">
        <w:rPr>
          <w:rFonts w:ascii="Times New Roman" w:eastAsia="Times New Roman" w:hAnsi="Times New Roman" w:cs="Times New Roman"/>
          <w:snapToGrid w:val="0"/>
        </w:rPr>
        <w:t xml:space="preserve"> Bendra širdies nepakankamumo sąvoka apima stazinį širdies nepakankamumą, širdies nepakankamumą, kairiojo skilvelio nepakankamumą, ūminį širdies nepakankamumą, kardiogeninį šoką, ūminį kairiojo skilvelio nepakankamumą, dešiniojo skilvelio nepakankamumą, ūminį dešiniojo skilvelio nepakankamumą, skilvelių nepakankamumą, širdies ir plaučių nepakankamumą, kongestinę (stazinę) kardiomiopatiją.</w:t>
      </w:r>
    </w:p>
    <w:p w14:paraId="438509A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SimSun" w:hAnsi="Times New Roman" w:cs="Times New Roman"/>
          <w:snapToGrid w:val="0"/>
          <w:color w:val="000000"/>
          <w:vertAlign w:val="superscript"/>
        </w:rPr>
        <w:t xml:space="preserve">2 </w:t>
      </w:r>
      <w:r w:rsidRPr="00350BD0">
        <w:rPr>
          <w:rFonts w:ascii="Times New Roman" w:eastAsia="Times New Roman" w:hAnsi="Times New Roman" w:cs="Times New Roman"/>
          <w:snapToGrid w:val="0"/>
        </w:rPr>
        <w:t>Apima krūtų jautrumą ir krūtų padidėjimą.</w:t>
      </w:r>
    </w:p>
    <w:p w14:paraId="61CF20C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vertAlign w:val="superscript"/>
        </w:rPr>
        <w:t>3</w:t>
      </w:r>
      <w:r w:rsidRPr="00350BD0">
        <w:rPr>
          <w:rFonts w:ascii="Times New Roman" w:eastAsia="Times New Roman" w:hAnsi="Times New Roman" w:cs="Times New Roman"/>
          <w:snapToGrid w:val="0"/>
        </w:rPr>
        <w:t xml:space="preserve"> Šie lytinės funkcijos nepageidaujami reiškiniai yra susiję su gydymu dutasteridu (įskaitant monoterapiją ir vartojimą kartu su tamsulozinu). Šie nepageidaujami reiškiniai gali tęstis ir baigus gydymą. Dutasterido įtaka tokiam užsitęsimui nežinoma.</w:t>
      </w:r>
    </w:p>
    <w:p w14:paraId="62287FF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iCs/>
          <w:snapToGrid w:val="0"/>
          <w:vertAlign w:val="superscript"/>
        </w:rPr>
        <w:t>^</w:t>
      </w:r>
      <w:r w:rsidRPr="00350BD0">
        <w:rPr>
          <w:rFonts w:ascii="Times New Roman" w:eastAsia="Times New Roman" w:hAnsi="Times New Roman" w:cs="Times New Roman"/>
          <w:snapToGrid w:val="0"/>
        </w:rPr>
        <w:t xml:space="preserve"> Apima spermos kiekio sumažėjimą.</w:t>
      </w:r>
    </w:p>
    <w:p w14:paraId="46C1867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94F458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KITI DUOMENYS</w:t>
      </w:r>
    </w:p>
    <w:p w14:paraId="412A8FB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8D8A3F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i/>
          <w:snapToGrid w:val="0"/>
        </w:rPr>
        <w:t xml:space="preserve">REDUCE </w:t>
      </w:r>
      <w:r w:rsidRPr="00350BD0">
        <w:rPr>
          <w:rFonts w:ascii="Times New Roman" w:eastAsia="Times New Roman" w:hAnsi="Times New Roman" w:cs="Times New Roman"/>
          <w:snapToGrid w:val="0"/>
        </w:rPr>
        <w:t>tyrimas atskleidė didesnį 8</w:t>
      </w:r>
      <w:r w:rsidRPr="00350BD0">
        <w:rPr>
          <w:rFonts w:ascii="Times New Roman" w:eastAsia="Times New Roman" w:hAnsi="Times New Roman" w:cs="Times New Roman"/>
          <w:snapToGrid w:val="0"/>
        </w:rPr>
        <w:noBreakHyphen/>
        <w:t xml:space="preserve">10 laipsnio pagal </w:t>
      </w:r>
      <w:r w:rsidRPr="00350BD0">
        <w:rPr>
          <w:rFonts w:ascii="Times New Roman" w:eastAsia="Times New Roman" w:hAnsi="Times New Roman" w:cs="Times New Roman"/>
          <w:iCs/>
          <w:snapToGrid w:val="0"/>
        </w:rPr>
        <w:t>Glisono sistemą</w:t>
      </w:r>
      <w:r w:rsidRPr="00350BD0">
        <w:rPr>
          <w:rFonts w:ascii="Times New Roman" w:eastAsia="Times New Roman" w:hAnsi="Times New Roman" w:cs="Times New Roman"/>
          <w:snapToGrid w:val="0"/>
        </w:rPr>
        <w:t xml:space="preserve"> prostatos vėžio dažnį dutasteridu gydytiems vyrams, palyginti su vartojusiais placebą (žr. 4.4 ir 5.1 skyrius). Ar šio tyrimo duomenims turėjo įtakos prostatos tūrį mažinantis dutasterido poveikis ar su tyrimu susiję veiksniai, nenustatyta.</w:t>
      </w:r>
    </w:p>
    <w:p w14:paraId="4A16386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17FB2A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Klinikinių tyrimų metu ir vartojant vaistinį preparatą po jo patekimo į rinką buvo pranešta apie krūties vėžį vyrams (žr. 4.4 skyrių).</w:t>
      </w:r>
    </w:p>
    <w:p w14:paraId="2AF63AB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3383EB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u w:val="single"/>
        </w:rPr>
      </w:pPr>
      <w:r w:rsidRPr="00350BD0">
        <w:rPr>
          <w:rFonts w:ascii="Times New Roman" w:eastAsia="Times New Roman" w:hAnsi="Times New Roman" w:cs="Times New Roman"/>
          <w:snapToGrid w:val="0"/>
          <w:u w:val="single"/>
        </w:rPr>
        <w:t>Stebėjimo po vaistinio preparato patekimo į rinką duomenys</w:t>
      </w:r>
    </w:p>
    <w:p w14:paraId="5FCB25C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F755D0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Po vaistinio preparato patekimo į rinką visame pasaulyje nepageidaujami reiškiniai buvo nustatyti, remiantis savanoriškais pranešimais, todėl tikslus jų dažnis nežinomas.</w:t>
      </w:r>
    </w:p>
    <w:p w14:paraId="247F64B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6475B4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Dutasteridas</w:t>
      </w:r>
    </w:p>
    <w:p w14:paraId="3A869A3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p>
    <w:p w14:paraId="58D7633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Imuninės sistemos sutrikimai</w:t>
      </w:r>
    </w:p>
    <w:p w14:paraId="5A05D4A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u w:val="double"/>
        </w:rPr>
      </w:pPr>
      <w:r w:rsidRPr="00350BD0">
        <w:rPr>
          <w:rFonts w:ascii="Times New Roman" w:eastAsia="Times New Roman" w:hAnsi="Times New Roman" w:cs="Times New Roman"/>
          <w:snapToGrid w:val="0"/>
        </w:rPr>
        <w:t>Dažnis nežinomas: Alerginės reakcijos, įskaitant išbėrimą, niežėjimą, dilgėlinę, lokalią edemą ir angioneurozinę edemą.</w:t>
      </w:r>
    </w:p>
    <w:p w14:paraId="2CBCC45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60C43E9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Psichikos sutrikimai</w:t>
      </w:r>
    </w:p>
    <w:p w14:paraId="63A2785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Dažnis nežinomas: Depresija.</w:t>
      </w:r>
    </w:p>
    <w:p w14:paraId="6AF00FC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69B1606"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lastRenderedPageBreak/>
        <w:t>Odos ir poodinio audinio sutrikimai</w:t>
      </w:r>
    </w:p>
    <w:p w14:paraId="56A8A30B"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Nedažni: Alopecija (visų pirma kūno plaukų slinkimas), hipertrichozė.</w:t>
      </w:r>
    </w:p>
    <w:p w14:paraId="1E83C60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051872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Lytinės sistemos ir krūties sutrikimai</w:t>
      </w:r>
    </w:p>
    <w:p w14:paraId="12BB10B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bCs/>
          <w:iCs/>
          <w:snapToGrid w:val="0"/>
        </w:rPr>
        <w:t>Dažnis nežinomas: Sėklidžių skausmas ir sėklidžių patinimas.</w:t>
      </w:r>
    </w:p>
    <w:p w14:paraId="2D7C96F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Cs/>
          <w:iCs/>
          <w:snapToGrid w:val="0"/>
        </w:rPr>
      </w:pPr>
    </w:p>
    <w:p w14:paraId="1FB77551" w14:textId="77777777" w:rsidR="00350BD0" w:rsidRPr="00350BD0" w:rsidRDefault="00350BD0" w:rsidP="00350BD0">
      <w:pPr>
        <w:keepNext/>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Tamsulozinas</w:t>
      </w:r>
    </w:p>
    <w:p w14:paraId="5C1C6F2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9E0228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Po vaistinio preparato patekimo į rinką pranešta apie su alfa</w:t>
      </w:r>
      <w:r w:rsidRPr="00350BD0">
        <w:rPr>
          <w:rFonts w:ascii="Times New Roman" w:eastAsia="Times New Roman" w:hAnsi="Times New Roman" w:cs="Times New Roman"/>
          <w:snapToGrid w:val="0"/>
          <w:vertAlign w:val="subscript"/>
        </w:rPr>
        <w:t>1</w:t>
      </w:r>
      <w:r w:rsidRPr="00350BD0">
        <w:rPr>
          <w:rFonts w:ascii="Times New Roman" w:eastAsia="Times New Roman" w:hAnsi="Times New Roman" w:cs="Times New Roman"/>
          <w:snapToGrid w:val="0"/>
        </w:rPr>
        <w:t xml:space="preserve"> adrenoreceptorių blokatoriais, įskaitant tamsuloziną, susijusį operacijos laikotarpiu suglebusios rainelės sindromą (angl. </w:t>
      </w:r>
      <w:r w:rsidRPr="00350BD0">
        <w:rPr>
          <w:rFonts w:ascii="Times New Roman" w:eastAsia="Times New Roman" w:hAnsi="Times New Roman" w:cs="Times New Roman"/>
          <w:i/>
          <w:snapToGrid w:val="0"/>
        </w:rPr>
        <w:t>Intraoperative Floppy Iris sindrome [IFIS]</w:t>
      </w:r>
      <w:r w:rsidRPr="00350BD0">
        <w:rPr>
          <w:rFonts w:ascii="Times New Roman" w:eastAsia="Times New Roman" w:hAnsi="Times New Roman" w:cs="Times New Roman"/>
          <w:snapToGrid w:val="0"/>
        </w:rPr>
        <w:t xml:space="preserve"> – tai yra vienas mažo vyzdžio sindromo variantų), pasireiškusį kataraktos chirurginio gydymo metu (žr. 4.4 skyrių).</w:t>
      </w:r>
    </w:p>
    <w:p w14:paraId="3698565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D3589F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Be to, gauta pranešimų apie su tamsulozino vartojimu susijusius prieširdžių virpėjimą, aritmiją, tachikardiją, dusulį, kraujavimą iš nosies, matomo vaizdo neryškumą, regėjimo sutrikimą, daugiaformę eritemą, eksfoliacinį dermatitą, ejakuliacijos sutrikimą, retrogradinę ejakuliaciją, ejakuliacijos nepakankamumą ir burnos džiūvimą. Tikslaus šių reiškinių dažnio ir tamsulozino įtakos jų atsiradimui įvertinti negalima.</w:t>
      </w:r>
    </w:p>
    <w:p w14:paraId="59FACFA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5FDFEDC" w14:textId="77777777" w:rsidR="00350BD0" w:rsidRPr="00350BD0" w:rsidRDefault="00350BD0" w:rsidP="00350BD0">
      <w:pPr>
        <w:tabs>
          <w:tab w:val="left" w:pos="567"/>
        </w:tabs>
        <w:autoSpaceDE w:val="0"/>
        <w:autoSpaceDN w:val="0"/>
        <w:adjustRightInd w:val="0"/>
        <w:spacing w:after="0" w:line="260" w:lineRule="exact"/>
        <w:rPr>
          <w:rFonts w:ascii="Times New Roman" w:eastAsia="Times New Roman" w:hAnsi="Times New Roman" w:cs="Times New Roman"/>
          <w:snapToGrid w:val="0"/>
          <w:u w:val="single"/>
        </w:rPr>
      </w:pPr>
      <w:r w:rsidRPr="00350BD0">
        <w:rPr>
          <w:rFonts w:ascii="Times New Roman" w:eastAsia="Times New Roman" w:hAnsi="Times New Roman" w:cs="Times New Roman"/>
          <w:snapToGrid w:val="0"/>
          <w:u w:val="single"/>
        </w:rPr>
        <w:t>Pranešimas apie įtariamas nepageidaujamas reakcijas</w:t>
      </w:r>
    </w:p>
    <w:p w14:paraId="6F5FD95C" w14:textId="77777777" w:rsidR="00AC240B" w:rsidRPr="00AC240B" w:rsidRDefault="00AC240B" w:rsidP="00AC240B">
      <w:pPr>
        <w:tabs>
          <w:tab w:val="left" w:pos="567"/>
        </w:tabs>
        <w:autoSpaceDE w:val="0"/>
        <w:autoSpaceDN w:val="0"/>
        <w:adjustRightInd w:val="0"/>
        <w:spacing w:after="0" w:line="260" w:lineRule="exact"/>
        <w:rPr>
          <w:rFonts w:ascii="Times New Roman" w:eastAsia="Times New Roman" w:hAnsi="Times New Roman" w:cs="Times New Roman"/>
          <w:snapToGrid w:val="0"/>
        </w:rPr>
      </w:pPr>
      <w:bookmarkStart w:id="3" w:name="_Hlk183014533"/>
      <w:r w:rsidRPr="00AC240B">
        <w:rPr>
          <w:rFonts w:ascii="Times New Roman" w:eastAsia="Times New Roman" w:hAnsi="Times New Roman" w:cs="Times New Roman"/>
          <w:snapToGrid w:val="0"/>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AC240B">
        <w:rPr>
          <w:rFonts w:ascii="Times New Roman" w:eastAsia="Times New Roman" w:hAnsi="Times New Roman" w:cs="Times New Roman"/>
          <w:snapToGrid w:val="0"/>
          <w:u w:val="single"/>
        </w:rPr>
        <w:t>https://vvkt.lrv.lt/lt/</w:t>
      </w:r>
      <w:r w:rsidRPr="00AC240B">
        <w:rPr>
          <w:rFonts w:ascii="Times New Roman" w:eastAsia="Times New Roman" w:hAnsi="Times New Roman" w:cs="Times New Roman"/>
          <w:snapToGrid w:val="0"/>
        </w:rPr>
        <w:t xml:space="preserve"> nurodytais būdais.</w:t>
      </w:r>
      <w:bookmarkEnd w:id="3"/>
    </w:p>
    <w:p w14:paraId="53596F71" w14:textId="77777777" w:rsidR="003931A9" w:rsidRPr="00350BD0" w:rsidRDefault="003931A9" w:rsidP="00350BD0">
      <w:pPr>
        <w:tabs>
          <w:tab w:val="left" w:pos="567"/>
        </w:tabs>
        <w:spacing w:after="0" w:line="260" w:lineRule="exact"/>
        <w:rPr>
          <w:rFonts w:ascii="Times New Roman" w:eastAsia="Times New Roman" w:hAnsi="Times New Roman" w:cs="Times New Roman"/>
          <w:snapToGrid w:val="0"/>
        </w:rPr>
      </w:pPr>
    </w:p>
    <w:p w14:paraId="4ED63A2E" w14:textId="77777777"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4.9</w:t>
      </w:r>
      <w:r w:rsidRPr="00350BD0">
        <w:rPr>
          <w:rFonts w:ascii="Times New Roman" w:eastAsia="Times New Roman" w:hAnsi="Times New Roman" w:cs="Times New Roman"/>
          <w:b/>
          <w:bCs/>
          <w:snapToGrid w:val="0"/>
          <w:lang w:eastAsia="x-none"/>
        </w:rPr>
        <w:tab/>
        <w:t>Perdozavimas</w:t>
      </w:r>
    </w:p>
    <w:p w14:paraId="0B82C3AA"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299192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Pranešimų apie dutasterido ir tamsulozino derinio perdozavimą negauta. Toliau esanti informacija atitinka duomenis, gautus apie atskiras vaistinio preparato sudėtyje esančias veikliąsias medžiagas.</w:t>
      </w:r>
    </w:p>
    <w:p w14:paraId="36663F6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B9A937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Dutasteridas</w:t>
      </w:r>
    </w:p>
    <w:p w14:paraId="4418995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p>
    <w:p w14:paraId="7EBF9FA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Remiantis tyrimų su savanoriais duomenimis, 7 paras vieną kartą per parą vartojant iki 40 mg dutasterido paros dozes (80 kartų didesnes už gydomąją dozę), reikšmingų saugumo problemų nekilo. Remiantis klinikinių tyrimų duomenimis, tiriamiesiems 6 mėnesius vartojant 5 mg paros dozes, papildomo nepageidaujamo poveikio, kitokio nei buvo nustatytas vartojant gydomąsias 0,5 mg dozes, nepasireiškė. Perdozavus dutasterido, specialaus priešnuodžio nėra, todėl įtarus perdozavimą, reikia skirti atitinkamą simptominį ir palaikomąjį gydymą.</w:t>
      </w:r>
    </w:p>
    <w:p w14:paraId="185BDB7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6FE9D4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Tamsulozinas</w:t>
      </w:r>
    </w:p>
    <w:p w14:paraId="40E45FB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p>
    <w:p w14:paraId="1439E9A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Pranešta apie ūmų apsinuodijimą 5 mg tamsulozino hidrochlorido doze. Pasireiškė ūmi hipotenzija (sistolinis kraujospūdis 70 mm Hg), vėmimas ir viduriavimas, kurie buvo gydomi atstatant netekto skysčio kiekį ir pacientą buvo galima tą pačią dieną išleisti iš ligoninės. Po perdozavimo pasireiškus ūmiai hipotenzijai, reikia palaikyti kardiovaskulinę funkciją. Kraujospūdį ir širdies susitraukimų dažnį galima normalizuoti paguldžius pacientą. Jeigu tai nepadeda, reikia padidinti skysčių suvartojimą ir, jeigu būtina, skirti vazopresorių (kraujagysles sutraukiančių vaistinių preparatų). Reikia stebėti inkstų funkciją ir skirti bendrąsias palaikomąsias priemones. Nesitikima, kad būtų veiksminga dializė, nes labai daug tamsulozino prisijungia prie plazmos baltymų.</w:t>
      </w:r>
    </w:p>
    <w:p w14:paraId="0CC52ED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3A1D38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Galima skirti absorbciją mažinančias priemones (pvz., sužadinti vėmimą). Jeigu buvo išgertas didelis vaistinio preparato kiekis, galima plauti skrandį, skirti aktyvintosios anglies ir osmozinių vidurių laisvinamųjų vaistinių preparatų (pvz., natrio sulfato).</w:t>
      </w:r>
    </w:p>
    <w:p w14:paraId="723CC672"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095EC8A"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2A03DFB" w14:textId="77777777" w:rsidR="00350BD0" w:rsidRPr="00350BD0" w:rsidRDefault="00350BD0" w:rsidP="00350BD0">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lastRenderedPageBreak/>
        <w:t>5.</w:t>
      </w:r>
      <w:r w:rsidRPr="00350BD0">
        <w:rPr>
          <w:rFonts w:ascii="Times New Roman" w:eastAsia="Times New Roman" w:hAnsi="Times New Roman" w:cs="Times New Roman"/>
          <w:b/>
          <w:bCs/>
          <w:snapToGrid w:val="0"/>
          <w:lang w:eastAsia="x-none"/>
        </w:rPr>
        <w:tab/>
        <w:t>FARMAKOLOGINĖS SAVYBĖS</w:t>
      </w:r>
    </w:p>
    <w:p w14:paraId="4876837A"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59EA921" w14:textId="77777777"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5.1</w:t>
      </w:r>
      <w:r w:rsidRPr="00350BD0">
        <w:rPr>
          <w:rFonts w:ascii="Times New Roman" w:eastAsia="Times New Roman" w:hAnsi="Times New Roman" w:cs="Times New Roman"/>
          <w:b/>
          <w:snapToGrid w:val="0"/>
          <w:lang w:eastAsia="x-none"/>
        </w:rPr>
        <w:t xml:space="preserve"> </w:t>
      </w:r>
      <w:r w:rsidRPr="00350BD0">
        <w:rPr>
          <w:rFonts w:ascii="Times New Roman" w:eastAsia="Times New Roman" w:hAnsi="Times New Roman" w:cs="Times New Roman"/>
          <w:b/>
          <w:bCs/>
          <w:snapToGrid w:val="0"/>
          <w:lang w:eastAsia="x-none"/>
        </w:rPr>
        <w:tab/>
        <w:t>Farmakodinaminės savybės</w:t>
      </w:r>
    </w:p>
    <w:p w14:paraId="32CB073E"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1E1AE77"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Farmakoterapinė grupė – urologiniai vaistiniai preparatai, </w:t>
      </w:r>
      <w:hyperlink r:id="rId7" w:history="1">
        <w:r w:rsidRPr="00350BD0">
          <w:rPr>
            <w:rFonts w:ascii="Times New Roman" w:eastAsia="Times New Roman" w:hAnsi="Times New Roman" w:cs="Times New Roman"/>
            <w:snapToGrid w:val="0"/>
          </w:rPr>
          <w:t>alfa adrenoreceptorių blokatoriai</w:t>
        </w:r>
      </w:hyperlink>
      <w:r w:rsidRPr="00350BD0">
        <w:rPr>
          <w:rFonts w:ascii="Times New Roman" w:eastAsia="Times New Roman" w:hAnsi="Times New Roman" w:cs="Times New Roman"/>
          <w:snapToGrid w:val="0"/>
        </w:rPr>
        <w:t>. ATC kodas – G04CA52.</w:t>
      </w:r>
    </w:p>
    <w:p w14:paraId="39EED602"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A94EF3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Dutasterido ir tamsulozino derinį sudaro du vaistiniai preparatai: dutasteridas (dvejopas 5 alfa reduktazės inhibitorius, 5 ARI) ir tamsulozino hidrochloridas (alfa</w:t>
      </w:r>
      <w:r w:rsidRPr="00350BD0">
        <w:rPr>
          <w:rFonts w:ascii="Times New Roman" w:eastAsia="Times New Roman" w:hAnsi="Times New Roman" w:cs="Times New Roman"/>
          <w:snapToGrid w:val="0"/>
          <w:vertAlign w:val="subscript"/>
        </w:rPr>
        <w:t>1a</w:t>
      </w:r>
      <w:r w:rsidRPr="00350BD0">
        <w:rPr>
          <w:rFonts w:ascii="Times New Roman" w:eastAsia="Times New Roman" w:hAnsi="Times New Roman" w:cs="Times New Roman"/>
          <w:snapToGrid w:val="0"/>
        </w:rPr>
        <w:t xml:space="preserve"> ir alfa</w:t>
      </w:r>
      <w:r w:rsidRPr="00350BD0">
        <w:rPr>
          <w:rFonts w:ascii="Times New Roman" w:eastAsia="Times New Roman" w:hAnsi="Times New Roman" w:cs="Times New Roman"/>
          <w:snapToGrid w:val="0"/>
          <w:vertAlign w:val="subscript"/>
        </w:rPr>
        <w:t>1d</w:t>
      </w:r>
      <w:r w:rsidRPr="00350BD0">
        <w:rPr>
          <w:rFonts w:ascii="Times New Roman" w:eastAsia="Times New Roman" w:hAnsi="Times New Roman" w:cs="Times New Roman"/>
          <w:snapToGrid w:val="0"/>
        </w:rPr>
        <w:t xml:space="preserve"> adrenoreceptorių blokatorius). Šių vaistinių preparatų veikimo mechanizmai papildo vienas kitą, dėl to greitai sumažina simptomus, pagerina šlapimo srovę ir sumažina ūmaus šlapimo susilaikymo (ŪŠS) riziką ir su GPH susijusios chirurginio gydymo poreikį.</w:t>
      </w:r>
    </w:p>
    <w:p w14:paraId="5EA98DF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9B8CC3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Dutasteridas slopina ir 1, ir 2 tipo izofermentus 5 alfa reduktazes, kurios veikia testosterono virtimą į dihidrotestosteroną (DHT). DHT yra androgenas, kuris daugiausiai skatina prostatos vešėjimą ir GPH atsiradimą. Tamsulozinas</w:t>
      </w:r>
      <w:r w:rsidRPr="00350BD0" w:rsidDel="00C24812">
        <w:rPr>
          <w:rFonts w:ascii="Times New Roman" w:eastAsia="Times New Roman" w:hAnsi="Times New Roman" w:cs="Times New Roman"/>
          <w:snapToGrid w:val="0"/>
        </w:rPr>
        <w:t xml:space="preserve"> </w:t>
      </w:r>
      <w:r w:rsidRPr="00350BD0">
        <w:rPr>
          <w:rFonts w:ascii="Times New Roman" w:eastAsia="Times New Roman" w:hAnsi="Times New Roman" w:cs="Times New Roman"/>
          <w:snapToGrid w:val="0"/>
        </w:rPr>
        <w:t>slopina prostatos stromos lygiųjų raumenų ir šlapimo pūslės kaklo alfa</w:t>
      </w:r>
      <w:r w:rsidRPr="00350BD0">
        <w:rPr>
          <w:rFonts w:ascii="Times New Roman" w:eastAsia="Times New Roman" w:hAnsi="Times New Roman" w:cs="Times New Roman"/>
          <w:snapToGrid w:val="0"/>
          <w:vertAlign w:val="subscript"/>
        </w:rPr>
        <w:t>1a</w:t>
      </w:r>
      <w:r w:rsidRPr="00350BD0">
        <w:rPr>
          <w:rFonts w:ascii="Times New Roman" w:eastAsia="Times New Roman" w:hAnsi="Times New Roman" w:cs="Times New Roman"/>
          <w:snapToGrid w:val="0"/>
        </w:rPr>
        <w:t xml:space="preserve"> ir alfa</w:t>
      </w:r>
      <w:r w:rsidRPr="00350BD0">
        <w:rPr>
          <w:rFonts w:ascii="Times New Roman" w:eastAsia="Times New Roman" w:hAnsi="Times New Roman" w:cs="Times New Roman"/>
          <w:snapToGrid w:val="0"/>
          <w:vertAlign w:val="subscript"/>
        </w:rPr>
        <w:t>1d</w:t>
      </w:r>
      <w:r w:rsidRPr="00350BD0">
        <w:rPr>
          <w:rFonts w:ascii="Times New Roman" w:eastAsia="Times New Roman" w:hAnsi="Times New Roman" w:cs="Times New Roman"/>
          <w:snapToGrid w:val="0"/>
        </w:rPr>
        <w:t xml:space="preserve"> adrenoreceptorius. Maždaug 75 % prostatos alfa</w:t>
      </w:r>
      <w:r w:rsidRPr="00350BD0">
        <w:rPr>
          <w:rFonts w:ascii="Times New Roman" w:eastAsia="Times New Roman" w:hAnsi="Times New Roman" w:cs="Times New Roman"/>
          <w:snapToGrid w:val="0"/>
          <w:vertAlign w:val="subscript"/>
        </w:rPr>
        <w:t>1</w:t>
      </w:r>
      <w:r w:rsidRPr="00350BD0">
        <w:rPr>
          <w:rFonts w:ascii="Times New Roman" w:eastAsia="Times New Roman" w:hAnsi="Times New Roman" w:cs="Times New Roman"/>
          <w:snapToGrid w:val="0"/>
        </w:rPr>
        <w:t xml:space="preserve"> receptorių yra alfa</w:t>
      </w:r>
      <w:r w:rsidRPr="00350BD0">
        <w:rPr>
          <w:rFonts w:ascii="Times New Roman" w:eastAsia="Times New Roman" w:hAnsi="Times New Roman" w:cs="Times New Roman"/>
          <w:snapToGrid w:val="0"/>
          <w:vertAlign w:val="subscript"/>
        </w:rPr>
        <w:t>1a</w:t>
      </w:r>
      <w:r w:rsidRPr="00350BD0">
        <w:rPr>
          <w:rFonts w:ascii="Times New Roman" w:eastAsia="Times New Roman" w:hAnsi="Times New Roman" w:cs="Times New Roman"/>
          <w:snapToGrid w:val="0"/>
        </w:rPr>
        <w:t xml:space="preserve"> porūšio.</w:t>
      </w:r>
    </w:p>
    <w:p w14:paraId="317E773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BB0B67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Dutasterido vartojimas kartu su tamsulozinu</w:t>
      </w:r>
    </w:p>
    <w:p w14:paraId="255527F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EEAC05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Toliau pateikti duomenys atitinka turimą informaciją apie gydymą dutasteridu kartu su tamsulozinu.</w:t>
      </w:r>
    </w:p>
    <w:p w14:paraId="1EE1976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F7952E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Ketverius metus trukusio daugiacentrio, tarptautinio, atsitiktinių imčių, dvigubai koduoto, lygiagrečių grupių klinikinio tyrimo metu buvo tirtas vyrų, kuriems pasireiškia vidutinio sunkumo ar sunkūs GPH simptomai ir nustatytas prostatos tūris </w:t>
      </w:r>
      <w:r w:rsidRPr="00350BD0">
        <w:rPr>
          <w:rFonts w:ascii="Times New Roman" w:eastAsia="Times New Roman" w:hAnsi="Times New Roman" w:cs="Times New Roman"/>
          <w:snapToGrid w:val="0"/>
        </w:rPr>
        <w:sym w:font="Symbol" w:char="F0B3"/>
      </w:r>
      <w:r w:rsidRPr="00350BD0">
        <w:rPr>
          <w:rFonts w:ascii="Times New Roman" w:eastAsia="Times New Roman" w:hAnsi="Times New Roman" w:cs="Times New Roman"/>
          <w:snapToGrid w:val="0"/>
        </w:rPr>
        <w:t> 30 ml bei PSA yra 1,5</w:t>
      </w:r>
      <w:r w:rsidRPr="00350BD0">
        <w:rPr>
          <w:rFonts w:ascii="Times New Roman" w:eastAsia="Times New Roman" w:hAnsi="Times New Roman" w:cs="Times New Roman"/>
          <w:snapToGrid w:val="0"/>
        </w:rPr>
        <w:noBreakHyphen/>
        <w:t>10 ng/ml ribose, gydymas 0,5 mg dutasterido paros doze (n = 1 623), 0,4 mg tamsulozino paros doze (n = 1 611) ar 0,5 mg dutasterido vartojamo kartu su 0,4 mg tamsulozino (n = 1610). Maždaug 53 % tiriamųjų anksčiau vartojo 5 alfa reduktazės inhibitorių arba alfa</w:t>
      </w:r>
      <w:r w:rsidRPr="00350BD0">
        <w:rPr>
          <w:rFonts w:ascii="Times New Roman" w:eastAsia="Times New Roman" w:hAnsi="Times New Roman" w:cs="Times New Roman"/>
          <w:snapToGrid w:val="0"/>
          <w:vertAlign w:val="subscript"/>
        </w:rPr>
        <w:t>1</w:t>
      </w:r>
      <w:r w:rsidRPr="00350BD0">
        <w:rPr>
          <w:rFonts w:ascii="Times New Roman" w:eastAsia="Times New Roman" w:hAnsi="Times New Roman" w:cs="Times New Roman"/>
          <w:snapToGrid w:val="0"/>
        </w:rPr>
        <w:t xml:space="preserve"> adrenoreceptorių blokatorių. Svarbiausioji vertinamoji baigtis per pirmuosius 2 gydymo metus buvo balo pagal tarptautinę prostatos simptomų vertinimo skalę (angl. </w:t>
      </w:r>
      <w:r w:rsidRPr="00350BD0">
        <w:rPr>
          <w:rFonts w:ascii="Times New Roman" w:eastAsia="Times New Roman" w:hAnsi="Times New Roman" w:cs="Times New Roman"/>
          <w:i/>
          <w:snapToGrid w:val="0"/>
        </w:rPr>
        <w:t>International Prostate Symptom Score [IPSS]</w:t>
      </w:r>
      <w:r w:rsidRPr="00350BD0">
        <w:rPr>
          <w:rFonts w:ascii="Times New Roman" w:eastAsia="Times New Roman" w:hAnsi="Times New Roman" w:cs="Times New Roman"/>
          <w:snapToGrid w:val="0"/>
        </w:rPr>
        <w:t xml:space="preserve">) pokytis. </w:t>
      </w:r>
      <w:r w:rsidRPr="00350BD0">
        <w:rPr>
          <w:rFonts w:ascii="Times New Roman" w:eastAsia="Times New Roman" w:hAnsi="Times New Roman" w:cs="Times New Roman"/>
          <w:i/>
          <w:snapToGrid w:val="0"/>
        </w:rPr>
        <w:t>IPSS</w:t>
      </w:r>
      <w:r w:rsidRPr="00350BD0">
        <w:rPr>
          <w:rFonts w:ascii="Times New Roman" w:eastAsia="Times New Roman" w:hAnsi="Times New Roman" w:cs="Times New Roman"/>
          <w:snapToGrid w:val="0"/>
        </w:rPr>
        <w:t xml:space="preserve"> – tai 8 dalių klausimynas, pagrįstas </w:t>
      </w:r>
      <w:r w:rsidRPr="00350BD0">
        <w:rPr>
          <w:rFonts w:ascii="Times New Roman" w:eastAsia="Times New Roman" w:hAnsi="Times New Roman" w:cs="Times New Roman"/>
          <w:i/>
          <w:snapToGrid w:val="0"/>
        </w:rPr>
        <w:t>AUA-SI</w:t>
      </w:r>
      <w:r w:rsidRPr="00350BD0">
        <w:rPr>
          <w:rFonts w:ascii="Times New Roman" w:eastAsia="Times New Roman" w:hAnsi="Times New Roman" w:cs="Times New Roman"/>
          <w:snapToGrid w:val="0"/>
        </w:rPr>
        <w:t xml:space="preserve"> instrumentiniais tyrimais, su papildomu klausimu apie gyvenimo kokybę. </w:t>
      </w:r>
    </w:p>
    <w:p w14:paraId="7C6E72F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Antraeilė vertinamoji baigtis antraisiais metais buvo didžiausia šlapimo srovė (</w:t>
      </w:r>
      <w:r w:rsidRPr="00350BD0">
        <w:rPr>
          <w:rFonts w:ascii="Times New Roman" w:eastAsia="Times New Roman" w:hAnsi="Times New Roman" w:cs="Times New Roman"/>
          <w:i/>
          <w:snapToGrid w:val="0"/>
        </w:rPr>
        <w:t>Q</w:t>
      </w:r>
      <w:r w:rsidRPr="00350BD0">
        <w:rPr>
          <w:rFonts w:ascii="Times New Roman" w:eastAsia="Times New Roman" w:hAnsi="Times New Roman" w:cs="Times New Roman"/>
          <w:i/>
          <w:snapToGrid w:val="0"/>
          <w:vertAlign w:val="subscript"/>
        </w:rPr>
        <w:t>max</w:t>
      </w:r>
      <w:r w:rsidRPr="00350BD0">
        <w:rPr>
          <w:rFonts w:ascii="Times New Roman" w:eastAsia="Times New Roman" w:hAnsi="Times New Roman" w:cs="Times New Roman"/>
          <w:snapToGrid w:val="0"/>
        </w:rPr>
        <w:t xml:space="preserve">) ir prostatos tūris. Skiriant kombinuotąją terapiją, buvo pasiektas reikšmingas </w:t>
      </w:r>
      <w:r w:rsidRPr="00350BD0">
        <w:rPr>
          <w:rFonts w:ascii="Times New Roman" w:eastAsia="Times New Roman" w:hAnsi="Times New Roman" w:cs="Times New Roman"/>
          <w:i/>
          <w:snapToGrid w:val="0"/>
        </w:rPr>
        <w:t>IPSS</w:t>
      </w:r>
      <w:r w:rsidRPr="00350BD0">
        <w:rPr>
          <w:rFonts w:ascii="Times New Roman" w:eastAsia="Times New Roman" w:hAnsi="Times New Roman" w:cs="Times New Roman"/>
          <w:snapToGrid w:val="0"/>
        </w:rPr>
        <w:t xml:space="preserve"> pokytis nuo 3 mėnesio, palyginti su gydymu dutasteridu, o nuo 9-to mėnesio, palyginti su tamsulozinu. Skiriant kombinuotąją terapiją, buvo pasiektas reikšmingas </w:t>
      </w:r>
      <w:r w:rsidRPr="00350BD0">
        <w:rPr>
          <w:rFonts w:ascii="Times New Roman" w:eastAsia="Times New Roman" w:hAnsi="Times New Roman" w:cs="Times New Roman"/>
          <w:i/>
          <w:snapToGrid w:val="0"/>
        </w:rPr>
        <w:t>Q</w:t>
      </w:r>
      <w:r w:rsidRPr="00350BD0">
        <w:rPr>
          <w:rFonts w:ascii="Times New Roman" w:eastAsia="Times New Roman" w:hAnsi="Times New Roman" w:cs="Times New Roman"/>
          <w:i/>
          <w:snapToGrid w:val="0"/>
          <w:vertAlign w:val="subscript"/>
        </w:rPr>
        <w:t>max</w:t>
      </w:r>
      <w:r w:rsidRPr="00350BD0">
        <w:rPr>
          <w:rFonts w:ascii="Times New Roman" w:eastAsia="Times New Roman" w:hAnsi="Times New Roman" w:cs="Times New Roman"/>
          <w:snapToGrid w:val="0"/>
        </w:rPr>
        <w:t xml:space="preserve"> pokytis nuo 6-to mėnesio, palyginti su gydymu dutasteridu ar tamsulozinu.</w:t>
      </w:r>
    </w:p>
    <w:p w14:paraId="343E0C2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B662A6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Vartojant dutasteridą kartu su tamsulozinu, simptomai palengvėja labiau nei vartojant bet kurią veikliąją medžiagą atskirai. Po 2 metų gydymo, vartojant kartu, buvo nustatytas statistiškai reikšmingai didesnis koreguotasis vidutinis simptomų balo pagerėjimas -6,2 vienetų, palyginti su pradiniu rodmeniu.</w:t>
      </w:r>
    </w:p>
    <w:p w14:paraId="2976C97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D1C2F6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Koreguotasis vidutinis šlapimo srovės greičio pagerėjimas, palyginti su pradiniu rodmeniu, buvo 2,4 ml/s, skiriant kombinuotąją terapiją, 1,9 ml/s, vartojant dutasteridą, ir 0,9 ml/s, vartojant tamsuloziną. Koreguotojo vidutinio GPH įtakos indekso (angl. </w:t>
      </w:r>
      <w:r w:rsidRPr="00350BD0">
        <w:rPr>
          <w:rFonts w:ascii="Times New Roman" w:eastAsia="Times New Roman" w:hAnsi="Times New Roman" w:cs="Times New Roman"/>
          <w:i/>
          <w:snapToGrid w:val="0"/>
        </w:rPr>
        <w:t>BPH Impact Index, BII</w:t>
      </w:r>
      <w:r w:rsidRPr="00350BD0">
        <w:rPr>
          <w:rFonts w:ascii="Times New Roman" w:eastAsia="Times New Roman" w:hAnsi="Times New Roman" w:cs="Times New Roman"/>
          <w:snapToGrid w:val="0"/>
        </w:rPr>
        <w:t xml:space="preserve">) pagerėjimas, palyginti su pradiniu rodmeniu, buvo -2,1 vieneto, skiriant kombinuotąją terapiją, -1,7, vartojant dutasteridą, ir -1,5, vartojant tamsuloziną. Toks šlapimo srovės greičio ir </w:t>
      </w:r>
      <w:r w:rsidRPr="00350BD0">
        <w:rPr>
          <w:rFonts w:ascii="Times New Roman" w:eastAsia="Times New Roman" w:hAnsi="Times New Roman" w:cs="Times New Roman"/>
          <w:i/>
          <w:iCs/>
          <w:snapToGrid w:val="0"/>
        </w:rPr>
        <w:t>BII</w:t>
      </w:r>
      <w:r w:rsidRPr="00350BD0">
        <w:rPr>
          <w:rFonts w:ascii="Times New Roman" w:eastAsia="Times New Roman" w:hAnsi="Times New Roman" w:cs="Times New Roman"/>
          <w:snapToGrid w:val="0"/>
        </w:rPr>
        <w:t xml:space="preserve"> pagerėjimas vartojant kartu buvo statistiškai reikšmingai didesnis, palyginti su abejomis monoterapijomis. </w:t>
      </w:r>
    </w:p>
    <w:p w14:paraId="4D53535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0B1110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Bendro prostatos tūrio ir pereinamosios zonos tūrio sumažėjimas po 2 gydymo metų vartojant kartu buvo statistiškai reikšmingai didesnis, palyginti su monoterapija vienu tamsulozinu.</w:t>
      </w:r>
    </w:p>
    <w:p w14:paraId="73E77DB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2CE50C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Pirminė veiksmingumo vertinamoji baigtis ketvirtaisiais gydymo metais buvo laikotarpis, po kurio pasireiškė pirmieji ŪŠS reiškiniai arba buvo atlikta su GPH susijusi chirurginė operacija. Skiriant kombinuotąją terapiją, po ketverių gydymo metų ŪŠS arba su GPH susijusios chirurginės operacijos rizika statistiškai reikšmingai sumažėjo (rizikos sumažėjimas 65,8 %, p &lt; 0,001 [95 % PI nuo 54,7 % iki 74,1 %]), palyginti su monoterapija tamsulozinu. ŪŠS arba su GPH susijusios chirurginės </w:t>
      </w:r>
      <w:r w:rsidRPr="00350BD0">
        <w:rPr>
          <w:rFonts w:ascii="Times New Roman" w:eastAsia="Times New Roman" w:hAnsi="Times New Roman" w:cs="Times New Roman"/>
          <w:snapToGrid w:val="0"/>
        </w:rPr>
        <w:lastRenderedPageBreak/>
        <w:t>operacijos dažnis ketvirtaisiais metais buvo 4,2 %, skiriant kombinuotąją terapiją, ir 11,9 %, vartojant tamsuloziną (p &lt; 0,001). Skiriant kombinuotąją terapiją, palyginti su monoterapija dutasteridu, ŪŠS arba su GPH susijusios chirurginės operacijos rizika sumažėjo 19,6 % (p = 0,18 [95 % PI nuo -10,9 % iki 41,7 %]). ŪŠS arba su GPH susijusios chirurginės operacijos dažnis ketvirtaisiais metais vartojant dutasteridą buvo 5,2 %.</w:t>
      </w:r>
    </w:p>
    <w:p w14:paraId="0FFD11C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7A9E9C1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Antrinę veiksmingumo vertinamąją baigtį ketvirtaisiais gydymo metais sudarė laikotarpis, po kurio klinikinė būklė pradėjo progresuoti (apibūdinama bendru įverčiu: </w:t>
      </w:r>
      <w:r w:rsidRPr="00350BD0">
        <w:rPr>
          <w:rFonts w:ascii="Times New Roman" w:eastAsia="Times New Roman" w:hAnsi="Times New Roman" w:cs="Times New Roman"/>
          <w:i/>
          <w:snapToGrid w:val="0"/>
        </w:rPr>
        <w:t>IPSS</w:t>
      </w:r>
      <w:r w:rsidRPr="00350BD0">
        <w:rPr>
          <w:rFonts w:ascii="Times New Roman" w:eastAsia="Times New Roman" w:hAnsi="Times New Roman" w:cs="Times New Roman"/>
          <w:snapToGrid w:val="0"/>
        </w:rPr>
        <w:t xml:space="preserve"> pablogėjimas </w:t>
      </w:r>
      <w:r w:rsidRPr="00350BD0">
        <w:rPr>
          <w:rFonts w:ascii="Times New Roman" w:eastAsia="Times New Roman" w:hAnsi="Times New Roman" w:cs="Times New Roman"/>
          <w:snapToGrid w:val="0"/>
        </w:rPr>
        <w:sym w:font="Symbol" w:char="F0B3"/>
      </w:r>
      <w:r w:rsidRPr="00350BD0">
        <w:rPr>
          <w:rFonts w:ascii="Times New Roman" w:eastAsia="Times New Roman" w:hAnsi="Times New Roman" w:cs="Times New Roman"/>
          <w:snapToGrid w:val="0"/>
        </w:rPr>
        <w:t xml:space="preserve"> 4 balų, su GPH susiję ŪŠS reiškiniai, šlapimo nelaikymas, šlapimo takų infekcija [ŠTI] ir inkstų nepakankamumas), balo pagal Tarptautinę prostatos simptomų vertinimo skalę (angl. </w:t>
      </w:r>
      <w:r w:rsidRPr="00350BD0">
        <w:rPr>
          <w:rFonts w:ascii="Times New Roman" w:eastAsia="Times New Roman" w:hAnsi="Times New Roman" w:cs="Times New Roman"/>
          <w:i/>
          <w:snapToGrid w:val="0"/>
        </w:rPr>
        <w:t>IPSS</w:t>
      </w:r>
      <w:r w:rsidRPr="00350BD0">
        <w:rPr>
          <w:rFonts w:ascii="Times New Roman" w:eastAsia="Times New Roman" w:hAnsi="Times New Roman" w:cs="Times New Roman"/>
          <w:snapToGrid w:val="0"/>
        </w:rPr>
        <w:t>) pokytis, didžiausia šlapimo srovė (</w:t>
      </w:r>
      <w:r w:rsidRPr="00350BD0">
        <w:rPr>
          <w:rFonts w:ascii="Times New Roman" w:eastAsia="Times New Roman" w:hAnsi="Times New Roman" w:cs="Times New Roman"/>
          <w:i/>
          <w:snapToGrid w:val="0"/>
        </w:rPr>
        <w:t>Q</w:t>
      </w:r>
      <w:r w:rsidRPr="00350BD0">
        <w:rPr>
          <w:rFonts w:ascii="Times New Roman" w:eastAsia="Times New Roman" w:hAnsi="Times New Roman" w:cs="Times New Roman"/>
          <w:i/>
          <w:snapToGrid w:val="0"/>
          <w:vertAlign w:val="subscript"/>
        </w:rPr>
        <w:t>max</w:t>
      </w:r>
      <w:r w:rsidRPr="00350BD0">
        <w:rPr>
          <w:rFonts w:ascii="Times New Roman" w:eastAsia="Times New Roman" w:hAnsi="Times New Roman" w:cs="Times New Roman"/>
          <w:snapToGrid w:val="0"/>
        </w:rPr>
        <w:t xml:space="preserve">) ir prostatos tūris. </w:t>
      </w:r>
      <w:r w:rsidRPr="00350BD0">
        <w:rPr>
          <w:rFonts w:ascii="Times New Roman" w:eastAsia="Times New Roman" w:hAnsi="Times New Roman" w:cs="Times New Roman"/>
          <w:i/>
          <w:snapToGrid w:val="0"/>
        </w:rPr>
        <w:t>IPSS</w:t>
      </w:r>
      <w:r w:rsidRPr="00350BD0">
        <w:rPr>
          <w:rFonts w:ascii="Times New Roman" w:eastAsia="Times New Roman" w:hAnsi="Times New Roman" w:cs="Times New Roman"/>
          <w:snapToGrid w:val="0"/>
        </w:rPr>
        <w:t xml:space="preserve"> – tai 8 dalių klausimynas, pagrįstas </w:t>
      </w:r>
      <w:r w:rsidRPr="00350BD0">
        <w:rPr>
          <w:rFonts w:ascii="Times New Roman" w:eastAsia="Times New Roman" w:hAnsi="Times New Roman" w:cs="Times New Roman"/>
          <w:i/>
          <w:snapToGrid w:val="0"/>
        </w:rPr>
        <w:t>AUA-SI</w:t>
      </w:r>
      <w:r w:rsidRPr="00350BD0">
        <w:rPr>
          <w:rFonts w:ascii="Times New Roman" w:eastAsia="Times New Roman" w:hAnsi="Times New Roman" w:cs="Times New Roman"/>
          <w:snapToGrid w:val="0"/>
        </w:rPr>
        <w:t xml:space="preserve"> instrumentiniais tyrimais, su papildomu klausimu apie gyvenimo kokybę. Duomenys po ketverių gydymo metų pateikti toliau.</w:t>
      </w:r>
    </w:p>
    <w:p w14:paraId="31D7C23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bl>
      <w:tblPr>
        <w:tblW w:w="5002" w:type="pct"/>
        <w:tblInd w:w="8" w:type="dxa"/>
        <w:tblBorders>
          <w:top w:val="single" w:sz="6" w:space="0" w:color="000000"/>
          <w:insideH w:val="single" w:sz="6" w:space="0" w:color="000000"/>
          <w:insideV w:val="single" w:sz="6" w:space="0" w:color="000000"/>
        </w:tblBorders>
        <w:tblLayout w:type="fixed"/>
        <w:tblCellMar>
          <w:left w:w="0" w:type="dxa"/>
          <w:right w:w="0" w:type="dxa"/>
        </w:tblCellMar>
        <w:tblLook w:val="00A0" w:firstRow="1" w:lastRow="0" w:firstColumn="1" w:lastColumn="0" w:noHBand="0" w:noVBand="0"/>
      </w:tblPr>
      <w:tblGrid>
        <w:gridCol w:w="1941"/>
        <w:gridCol w:w="3212"/>
        <w:gridCol w:w="1303"/>
        <w:gridCol w:w="1303"/>
        <w:gridCol w:w="1299"/>
      </w:tblGrid>
      <w:tr w:rsidR="00350BD0" w:rsidRPr="00350BD0" w14:paraId="5A56B038" w14:textId="77777777" w:rsidTr="005B5AD8">
        <w:tc>
          <w:tcPr>
            <w:tcW w:w="1072" w:type="pct"/>
            <w:tcBorders>
              <w:left w:val="single" w:sz="6" w:space="0" w:color="000000"/>
              <w:bottom w:val="single" w:sz="6" w:space="0" w:color="000000"/>
            </w:tcBorders>
          </w:tcPr>
          <w:p w14:paraId="3D420B4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Rodmuo</w:t>
            </w:r>
          </w:p>
          <w:p w14:paraId="29B65F3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c>
        <w:tc>
          <w:tcPr>
            <w:tcW w:w="1773" w:type="pct"/>
            <w:tcBorders>
              <w:bottom w:val="single" w:sz="6" w:space="0" w:color="000000"/>
            </w:tcBorders>
          </w:tcPr>
          <w:p w14:paraId="5470312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Laiko momentas</w:t>
            </w:r>
          </w:p>
        </w:tc>
        <w:tc>
          <w:tcPr>
            <w:tcW w:w="719" w:type="pct"/>
            <w:tcBorders>
              <w:bottom w:val="single" w:sz="6" w:space="0" w:color="000000"/>
            </w:tcBorders>
          </w:tcPr>
          <w:p w14:paraId="6F19788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Vartojimas kartu</w:t>
            </w:r>
          </w:p>
        </w:tc>
        <w:tc>
          <w:tcPr>
            <w:tcW w:w="719" w:type="pct"/>
            <w:tcBorders>
              <w:bottom w:val="single" w:sz="6" w:space="0" w:color="000000"/>
            </w:tcBorders>
          </w:tcPr>
          <w:p w14:paraId="3F31E66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Dutasteridas</w:t>
            </w:r>
          </w:p>
        </w:tc>
        <w:tc>
          <w:tcPr>
            <w:tcW w:w="718" w:type="pct"/>
            <w:tcBorders>
              <w:bottom w:val="single" w:sz="6" w:space="0" w:color="000000"/>
              <w:right w:val="single" w:sz="6" w:space="0" w:color="000000"/>
            </w:tcBorders>
          </w:tcPr>
          <w:p w14:paraId="7861C88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Tamsulozinas</w:t>
            </w:r>
          </w:p>
        </w:tc>
      </w:tr>
      <w:tr w:rsidR="00350BD0" w:rsidRPr="00350BD0" w14:paraId="0146C608" w14:textId="77777777" w:rsidTr="005B5AD8">
        <w:tc>
          <w:tcPr>
            <w:tcW w:w="1072" w:type="pct"/>
            <w:tcBorders>
              <w:left w:val="single" w:sz="6" w:space="0" w:color="000000"/>
              <w:bottom w:val="single" w:sz="6" w:space="0" w:color="000000"/>
            </w:tcBorders>
          </w:tcPr>
          <w:p w14:paraId="4AB331C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Su ŪŠS arba su GPH susijusi chirurginė operacija (%)</w:t>
            </w:r>
          </w:p>
        </w:tc>
        <w:tc>
          <w:tcPr>
            <w:tcW w:w="1773" w:type="pct"/>
            <w:tcBorders>
              <w:bottom w:val="single" w:sz="6" w:space="0" w:color="000000"/>
            </w:tcBorders>
          </w:tcPr>
          <w:p w14:paraId="57898C8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Dažnis 48-ą mėnesį</w:t>
            </w:r>
          </w:p>
        </w:tc>
        <w:tc>
          <w:tcPr>
            <w:tcW w:w="719" w:type="pct"/>
            <w:tcBorders>
              <w:bottom w:val="single" w:sz="6" w:space="0" w:color="000000"/>
            </w:tcBorders>
          </w:tcPr>
          <w:p w14:paraId="52E15D8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4,2</w:t>
            </w:r>
          </w:p>
        </w:tc>
        <w:tc>
          <w:tcPr>
            <w:tcW w:w="719" w:type="pct"/>
            <w:tcBorders>
              <w:bottom w:val="single" w:sz="6" w:space="0" w:color="000000"/>
            </w:tcBorders>
          </w:tcPr>
          <w:p w14:paraId="2ACDE44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5,2</w:t>
            </w:r>
          </w:p>
        </w:tc>
        <w:tc>
          <w:tcPr>
            <w:tcW w:w="718" w:type="pct"/>
            <w:tcBorders>
              <w:bottom w:val="single" w:sz="6" w:space="0" w:color="000000"/>
              <w:right w:val="single" w:sz="6" w:space="0" w:color="000000"/>
            </w:tcBorders>
          </w:tcPr>
          <w:p w14:paraId="37BA4DC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11,9a</w:t>
            </w:r>
          </w:p>
        </w:tc>
      </w:tr>
      <w:tr w:rsidR="00350BD0" w:rsidRPr="00350BD0" w14:paraId="04D00256" w14:textId="77777777" w:rsidTr="005B5AD8">
        <w:trPr>
          <w:trHeight w:val="494"/>
        </w:trPr>
        <w:tc>
          <w:tcPr>
            <w:tcW w:w="1072" w:type="pct"/>
            <w:tcBorders>
              <w:left w:val="single" w:sz="6" w:space="0" w:color="000000"/>
              <w:bottom w:val="single" w:sz="6" w:space="0" w:color="000000"/>
            </w:tcBorders>
          </w:tcPr>
          <w:p w14:paraId="1327C24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Klinikinis progresavimas* (%)</w:t>
            </w:r>
          </w:p>
        </w:tc>
        <w:tc>
          <w:tcPr>
            <w:tcW w:w="1773" w:type="pct"/>
            <w:tcBorders>
              <w:bottom w:val="single" w:sz="6" w:space="0" w:color="000000"/>
            </w:tcBorders>
          </w:tcPr>
          <w:p w14:paraId="7753E49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 48-as mėnuo</w:t>
            </w:r>
          </w:p>
        </w:tc>
        <w:tc>
          <w:tcPr>
            <w:tcW w:w="719" w:type="pct"/>
            <w:tcBorders>
              <w:bottom w:val="single" w:sz="6" w:space="0" w:color="000000"/>
            </w:tcBorders>
          </w:tcPr>
          <w:p w14:paraId="687499C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12,6</w:t>
            </w:r>
          </w:p>
        </w:tc>
        <w:tc>
          <w:tcPr>
            <w:tcW w:w="719" w:type="pct"/>
            <w:tcBorders>
              <w:bottom w:val="single" w:sz="6" w:space="0" w:color="000000"/>
            </w:tcBorders>
          </w:tcPr>
          <w:p w14:paraId="5C3C5CB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17,8b</w:t>
            </w:r>
          </w:p>
        </w:tc>
        <w:tc>
          <w:tcPr>
            <w:tcW w:w="718" w:type="pct"/>
            <w:tcBorders>
              <w:bottom w:val="single" w:sz="6" w:space="0" w:color="000000"/>
              <w:right w:val="single" w:sz="6" w:space="0" w:color="000000"/>
            </w:tcBorders>
          </w:tcPr>
          <w:p w14:paraId="12BD576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21,5a</w:t>
            </w:r>
          </w:p>
        </w:tc>
      </w:tr>
      <w:tr w:rsidR="00350BD0" w:rsidRPr="00350BD0" w14:paraId="340395F2" w14:textId="77777777" w:rsidTr="005B5AD8">
        <w:tc>
          <w:tcPr>
            <w:tcW w:w="1072" w:type="pct"/>
            <w:tcBorders>
              <w:left w:val="single" w:sz="6" w:space="0" w:color="000000"/>
              <w:bottom w:val="single" w:sz="6" w:space="0" w:color="000000"/>
            </w:tcBorders>
          </w:tcPr>
          <w:p w14:paraId="3AF65BE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i/>
                <w:snapToGrid w:val="0"/>
              </w:rPr>
              <w:t>IPSS</w:t>
            </w:r>
            <w:r w:rsidRPr="00350BD0">
              <w:rPr>
                <w:rFonts w:ascii="Times New Roman" w:eastAsia="Times New Roman" w:hAnsi="Times New Roman" w:cs="Times New Roman"/>
                <w:snapToGrid w:val="0"/>
              </w:rPr>
              <w:t xml:space="preserve"> (vienetai)</w:t>
            </w:r>
          </w:p>
        </w:tc>
        <w:tc>
          <w:tcPr>
            <w:tcW w:w="1773" w:type="pct"/>
            <w:tcBorders>
              <w:bottom w:val="single" w:sz="6" w:space="0" w:color="000000"/>
            </w:tcBorders>
          </w:tcPr>
          <w:p w14:paraId="182FC14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[Pradinis rodmuo] </w:t>
            </w:r>
          </w:p>
          <w:p w14:paraId="7B15670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48-as mėnuo (pokytis, palyginti su pradiniu rodmeniu)</w:t>
            </w:r>
          </w:p>
        </w:tc>
        <w:tc>
          <w:tcPr>
            <w:tcW w:w="719" w:type="pct"/>
            <w:tcBorders>
              <w:bottom w:val="single" w:sz="6" w:space="0" w:color="000000"/>
            </w:tcBorders>
          </w:tcPr>
          <w:p w14:paraId="7F1F3D6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[16,6]</w:t>
            </w:r>
          </w:p>
          <w:p w14:paraId="6C8396F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F43A05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-6,3</w:t>
            </w:r>
          </w:p>
        </w:tc>
        <w:tc>
          <w:tcPr>
            <w:tcW w:w="719" w:type="pct"/>
            <w:tcBorders>
              <w:bottom w:val="single" w:sz="6" w:space="0" w:color="000000"/>
            </w:tcBorders>
          </w:tcPr>
          <w:p w14:paraId="306B8B1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[16,4]</w:t>
            </w:r>
          </w:p>
          <w:p w14:paraId="28C2D40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54C197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-5,3b</w:t>
            </w:r>
          </w:p>
        </w:tc>
        <w:tc>
          <w:tcPr>
            <w:tcW w:w="718" w:type="pct"/>
            <w:tcBorders>
              <w:bottom w:val="single" w:sz="6" w:space="0" w:color="000000"/>
              <w:right w:val="single" w:sz="6" w:space="0" w:color="000000"/>
            </w:tcBorders>
          </w:tcPr>
          <w:p w14:paraId="637A6BD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[16,4]</w:t>
            </w:r>
          </w:p>
          <w:p w14:paraId="6A87B6A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7376EA3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-3,8a</w:t>
            </w:r>
          </w:p>
        </w:tc>
      </w:tr>
      <w:tr w:rsidR="00350BD0" w:rsidRPr="00350BD0" w14:paraId="7CADFA24" w14:textId="77777777" w:rsidTr="005B5AD8">
        <w:tc>
          <w:tcPr>
            <w:tcW w:w="1072" w:type="pct"/>
            <w:tcBorders>
              <w:left w:val="single" w:sz="6" w:space="0" w:color="000000"/>
              <w:bottom w:val="single" w:sz="6" w:space="0" w:color="000000"/>
            </w:tcBorders>
          </w:tcPr>
          <w:p w14:paraId="089C42A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i/>
                <w:snapToGrid w:val="0"/>
              </w:rPr>
              <w:t>Q</w:t>
            </w:r>
            <w:r w:rsidRPr="00350BD0">
              <w:rPr>
                <w:rFonts w:ascii="Times New Roman" w:eastAsia="Times New Roman" w:hAnsi="Times New Roman" w:cs="Times New Roman"/>
                <w:i/>
                <w:snapToGrid w:val="0"/>
                <w:vertAlign w:val="subscript"/>
              </w:rPr>
              <w:t>max</w:t>
            </w:r>
            <w:r w:rsidRPr="00350BD0">
              <w:rPr>
                <w:rFonts w:ascii="Times New Roman" w:eastAsia="Times New Roman" w:hAnsi="Times New Roman" w:cs="Times New Roman"/>
                <w:snapToGrid w:val="0"/>
              </w:rPr>
              <w:t xml:space="preserve"> (ml/s)</w:t>
            </w:r>
          </w:p>
        </w:tc>
        <w:tc>
          <w:tcPr>
            <w:tcW w:w="1773" w:type="pct"/>
            <w:tcBorders>
              <w:bottom w:val="single" w:sz="6" w:space="0" w:color="000000"/>
            </w:tcBorders>
          </w:tcPr>
          <w:p w14:paraId="6DB5BD0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[Pradinis rodmuo] </w:t>
            </w:r>
          </w:p>
          <w:p w14:paraId="7022D1B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48-as mėnuo (pokytis, palyginti su pradiniu rodmeniu)</w:t>
            </w:r>
          </w:p>
        </w:tc>
        <w:tc>
          <w:tcPr>
            <w:tcW w:w="719" w:type="pct"/>
            <w:tcBorders>
              <w:bottom w:val="single" w:sz="6" w:space="0" w:color="000000"/>
            </w:tcBorders>
          </w:tcPr>
          <w:p w14:paraId="02D487F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[10,9]</w:t>
            </w:r>
          </w:p>
          <w:p w14:paraId="2E71D06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F54AA9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2,4</w:t>
            </w:r>
          </w:p>
        </w:tc>
        <w:tc>
          <w:tcPr>
            <w:tcW w:w="719" w:type="pct"/>
            <w:tcBorders>
              <w:bottom w:val="single" w:sz="6" w:space="0" w:color="000000"/>
            </w:tcBorders>
          </w:tcPr>
          <w:p w14:paraId="4E20D23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[10,6]</w:t>
            </w:r>
          </w:p>
          <w:p w14:paraId="5C2DA21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DB0D7F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2,0</w:t>
            </w:r>
          </w:p>
        </w:tc>
        <w:tc>
          <w:tcPr>
            <w:tcW w:w="718" w:type="pct"/>
            <w:tcBorders>
              <w:bottom w:val="single" w:sz="6" w:space="0" w:color="000000"/>
              <w:right w:val="single" w:sz="6" w:space="0" w:color="000000"/>
            </w:tcBorders>
          </w:tcPr>
          <w:p w14:paraId="645B4AF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[10,7]</w:t>
            </w:r>
          </w:p>
          <w:p w14:paraId="1D5702A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E0E7BB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0,7a</w:t>
            </w:r>
          </w:p>
        </w:tc>
      </w:tr>
      <w:tr w:rsidR="00350BD0" w:rsidRPr="00350BD0" w14:paraId="7579619C" w14:textId="77777777" w:rsidTr="005B5AD8">
        <w:tc>
          <w:tcPr>
            <w:tcW w:w="1072" w:type="pct"/>
            <w:tcBorders>
              <w:left w:val="single" w:sz="6" w:space="0" w:color="000000"/>
              <w:bottom w:val="single" w:sz="6" w:space="0" w:color="000000"/>
            </w:tcBorders>
          </w:tcPr>
          <w:p w14:paraId="39623A4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Prostatos tūris (ml)</w:t>
            </w:r>
          </w:p>
        </w:tc>
        <w:tc>
          <w:tcPr>
            <w:tcW w:w="1773" w:type="pct"/>
            <w:tcBorders>
              <w:bottom w:val="single" w:sz="6" w:space="0" w:color="000000"/>
            </w:tcBorders>
          </w:tcPr>
          <w:p w14:paraId="086291B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[Pradinis rodmuo]</w:t>
            </w:r>
          </w:p>
          <w:p w14:paraId="487D87E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48-as mėnuo (procentinis pokytis [%], palyginti su pradiniu rodmeniu)</w:t>
            </w:r>
          </w:p>
          <w:p w14:paraId="12D3820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c>
        <w:tc>
          <w:tcPr>
            <w:tcW w:w="719" w:type="pct"/>
            <w:tcBorders>
              <w:bottom w:val="single" w:sz="6" w:space="0" w:color="000000"/>
            </w:tcBorders>
          </w:tcPr>
          <w:p w14:paraId="572F5F7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[54,7]</w:t>
            </w:r>
          </w:p>
          <w:p w14:paraId="4F6D4E4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F61375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3F95B36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-27,3</w:t>
            </w:r>
          </w:p>
        </w:tc>
        <w:tc>
          <w:tcPr>
            <w:tcW w:w="719" w:type="pct"/>
            <w:tcBorders>
              <w:bottom w:val="single" w:sz="6" w:space="0" w:color="000000"/>
            </w:tcBorders>
          </w:tcPr>
          <w:p w14:paraId="6D0FDD8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[54,6]</w:t>
            </w:r>
          </w:p>
          <w:p w14:paraId="14B2EBA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F07042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3B37965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-28,0</w:t>
            </w:r>
          </w:p>
        </w:tc>
        <w:tc>
          <w:tcPr>
            <w:tcW w:w="718" w:type="pct"/>
            <w:tcBorders>
              <w:bottom w:val="single" w:sz="6" w:space="0" w:color="000000"/>
              <w:right w:val="single" w:sz="6" w:space="0" w:color="000000"/>
            </w:tcBorders>
          </w:tcPr>
          <w:p w14:paraId="5E8ECA8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[55,8]</w:t>
            </w:r>
          </w:p>
          <w:p w14:paraId="26FCE88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F72299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69B23A7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+4,6a</w:t>
            </w:r>
          </w:p>
        </w:tc>
      </w:tr>
      <w:tr w:rsidR="00350BD0" w:rsidRPr="00350BD0" w14:paraId="46F1B3BB" w14:textId="77777777" w:rsidTr="005B5AD8">
        <w:tc>
          <w:tcPr>
            <w:tcW w:w="1072" w:type="pct"/>
            <w:tcBorders>
              <w:left w:val="single" w:sz="6" w:space="0" w:color="000000"/>
              <w:bottom w:val="single" w:sz="6" w:space="0" w:color="000000"/>
            </w:tcBorders>
          </w:tcPr>
          <w:p w14:paraId="4CA285F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Prostatos pereinamosios zonos tūris (ml)#</w:t>
            </w:r>
          </w:p>
          <w:p w14:paraId="11FA754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c>
        <w:tc>
          <w:tcPr>
            <w:tcW w:w="1773" w:type="pct"/>
            <w:tcBorders>
              <w:bottom w:val="single" w:sz="6" w:space="0" w:color="000000"/>
            </w:tcBorders>
          </w:tcPr>
          <w:p w14:paraId="5072EEA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[Pradinis rodmuo]</w:t>
            </w:r>
          </w:p>
          <w:p w14:paraId="6439604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48-as mėnuo (procentinis pokytis [%], palyginti su pradiniu rodmeniu)</w:t>
            </w:r>
          </w:p>
          <w:p w14:paraId="082FF3D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tc>
        <w:tc>
          <w:tcPr>
            <w:tcW w:w="719" w:type="pct"/>
            <w:tcBorders>
              <w:bottom w:val="single" w:sz="6" w:space="0" w:color="000000"/>
            </w:tcBorders>
          </w:tcPr>
          <w:p w14:paraId="32AB3E3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[27,7]</w:t>
            </w:r>
          </w:p>
          <w:p w14:paraId="6E7F01D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976C65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7CA2B4D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-17,9</w:t>
            </w:r>
          </w:p>
        </w:tc>
        <w:tc>
          <w:tcPr>
            <w:tcW w:w="719" w:type="pct"/>
            <w:tcBorders>
              <w:bottom w:val="single" w:sz="6" w:space="0" w:color="000000"/>
            </w:tcBorders>
          </w:tcPr>
          <w:p w14:paraId="09017F4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[30,3]</w:t>
            </w:r>
          </w:p>
          <w:p w14:paraId="197C2CA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BC980B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C5BF75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-26,5</w:t>
            </w:r>
          </w:p>
        </w:tc>
        <w:tc>
          <w:tcPr>
            <w:tcW w:w="718" w:type="pct"/>
            <w:tcBorders>
              <w:bottom w:val="single" w:sz="6" w:space="0" w:color="000000"/>
              <w:right w:val="single" w:sz="6" w:space="0" w:color="000000"/>
            </w:tcBorders>
          </w:tcPr>
          <w:p w14:paraId="3F2BF4E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[30,5]</w:t>
            </w:r>
          </w:p>
          <w:p w14:paraId="145E51C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1730FD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363268F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18,2a</w:t>
            </w:r>
          </w:p>
        </w:tc>
      </w:tr>
      <w:tr w:rsidR="00350BD0" w:rsidRPr="00350BD0" w14:paraId="3BCA1A32" w14:textId="77777777" w:rsidTr="005B5AD8">
        <w:tc>
          <w:tcPr>
            <w:tcW w:w="1072" w:type="pct"/>
            <w:tcBorders>
              <w:left w:val="single" w:sz="6" w:space="0" w:color="000000"/>
              <w:bottom w:val="single" w:sz="6" w:space="0" w:color="000000"/>
            </w:tcBorders>
          </w:tcPr>
          <w:p w14:paraId="4188F6B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GPH įtakos indeksas (</w:t>
            </w:r>
            <w:r w:rsidRPr="00350BD0">
              <w:rPr>
                <w:rFonts w:ascii="Times New Roman" w:eastAsia="Times New Roman" w:hAnsi="Times New Roman" w:cs="Times New Roman"/>
                <w:i/>
                <w:iCs/>
                <w:snapToGrid w:val="0"/>
              </w:rPr>
              <w:t>BII</w:t>
            </w:r>
            <w:r w:rsidRPr="00350BD0">
              <w:rPr>
                <w:rFonts w:ascii="Times New Roman" w:eastAsia="Times New Roman" w:hAnsi="Times New Roman" w:cs="Times New Roman"/>
                <w:snapToGrid w:val="0"/>
              </w:rPr>
              <w:t>) (vienetai)</w:t>
            </w:r>
          </w:p>
        </w:tc>
        <w:tc>
          <w:tcPr>
            <w:tcW w:w="1773" w:type="pct"/>
            <w:tcBorders>
              <w:bottom w:val="single" w:sz="6" w:space="0" w:color="000000"/>
            </w:tcBorders>
          </w:tcPr>
          <w:p w14:paraId="3E6E500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[Pradinis rodmuo]</w:t>
            </w:r>
          </w:p>
          <w:p w14:paraId="2902070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48-as mėnuo (pokytis, palyginti su pradiniu rodmeniu)</w:t>
            </w:r>
          </w:p>
        </w:tc>
        <w:tc>
          <w:tcPr>
            <w:tcW w:w="719" w:type="pct"/>
            <w:tcBorders>
              <w:bottom w:val="single" w:sz="6" w:space="0" w:color="000000"/>
            </w:tcBorders>
          </w:tcPr>
          <w:p w14:paraId="4DD528A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[5,3]</w:t>
            </w:r>
          </w:p>
          <w:p w14:paraId="058591F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703CAD6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-2,2</w:t>
            </w:r>
          </w:p>
        </w:tc>
        <w:tc>
          <w:tcPr>
            <w:tcW w:w="719" w:type="pct"/>
            <w:tcBorders>
              <w:bottom w:val="single" w:sz="6" w:space="0" w:color="000000"/>
            </w:tcBorders>
          </w:tcPr>
          <w:p w14:paraId="62D4527B" w14:textId="77777777" w:rsidR="00350BD0" w:rsidRPr="00350BD0" w:rsidRDefault="00350BD0" w:rsidP="00350BD0">
            <w:pPr>
              <w:tabs>
                <w:tab w:val="left" w:pos="567"/>
              </w:tabs>
              <w:spacing w:after="0"/>
              <w:ind w:left="37"/>
              <w:rPr>
                <w:rFonts w:ascii="Times New Roman" w:eastAsia="Times New Roman" w:hAnsi="Times New Roman" w:cs="Times New Roman"/>
                <w:snapToGrid w:val="0"/>
              </w:rPr>
            </w:pPr>
            <w:r w:rsidRPr="00350BD0">
              <w:rPr>
                <w:rFonts w:ascii="Times New Roman" w:eastAsia="Times New Roman" w:hAnsi="Times New Roman" w:cs="Times New Roman"/>
                <w:snapToGrid w:val="0"/>
              </w:rPr>
              <w:t>[5,3]</w:t>
            </w:r>
          </w:p>
          <w:p w14:paraId="066D166C" w14:textId="77777777" w:rsidR="00350BD0" w:rsidRPr="00350BD0" w:rsidRDefault="00350BD0" w:rsidP="00350BD0">
            <w:pPr>
              <w:tabs>
                <w:tab w:val="left" w:pos="567"/>
              </w:tabs>
              <w:spacing w:after="0"/>
              <w:ind w:left="37"/>
              <w:rPr>
                <w:rFonts w:ascii="Times New Roman" w:eastAsia="Times New Roman" w:hAnsi="Times New Roman" w:cs="Times New Roman"/>
                <w:snapToGrid w:val="0"/>
              </w:rPr>
            </w:pPr>
          </w:p>
          <w:p w14:paraId="2201E9A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-1,8b</w:t>
            </w:r>
          </w:p>
        </w:tc>
        <w:tc>
          <w:tcPr>
            <w:tcW w:w="718" w:type="pct"/>
            <w:tcBorders>
              <w:bottom w:val="single" w:sz="6" w:space="0" w:color="000000"/>
              <w:right w:val="single" w:sz="6" w:space="0" w:color="000000"/>
            </w:tcBorders>
          </w:tcPr>
          <w:p w14:paraId="3E6C8866" w14:textId="77777777" w:rsidR="00350BD0" w:rsidRPr="00350BD0" w:rsidRDefault="00350BD0" w:rsidP="00350BD0">
            <w:pPr>
              <w:tabs>
                <w:tab w:val="left" w:pos="567"/>
              </w:tabs>
              <w:spacing w:after="0"/>
              <w:ind w:left="37"/>
              <w:rPr>
                <w:rFonts w:ascii="Times New Roman" w:eastAsia="Times New Roman" w:hAnsi="Times New Roman" w:cs="Times New Roman"/>
                <w:snapToGrid w:val="0"/>
              </w:rPr>
            </w:pPr>
            <w:r w:rsidRPr="00350BD0">
              <w:rPr>
                <w:rFonts w:ascii="Times New Roman" w:eastAsia="Times New Roman" w:hAnsi="Times New Roman" w:cs="Times New Roman"/>
                <w:snapToGrid w:val="0"/>
              </w:rPr>
              <w:t>[5,3]</w:t>
            </w:r>
          </w:p>
          <w:p w14:paraId="64B992C2" w14:textId="77777777" w:rsidR="00350BD0" w:rsidRPr="00350BD0" w:rsidRDefault="00350BD0" w:rsidP="00350BD0">
            <w:pPr>
              <w:tabs>
                <w:tab w:val="left" w:pos="567"/>
              </w:tabs>
              <w:spacing w:after="0"/>
              <w:ind w:left="37"/>
              <w:rPr>
                <w:rFonts w:ascii="Times New Roman" w:eastAsia="Times New Roman" w:hAnsi="Times New Roman" w:cs="Times New Roman"/>
                <w:snapToGrid w:val="0"/>
              </w:rPr>
            </w:pPr>
          </w:p>
          <w:p w14:paraId="3E40174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-1,2a</w:t>
            </w:r>
          </w:p>
        </w:tc>
      </w:tr>
      <w:tr w:rsidR="00350BD0" w:rsidRPr="00350BD0" w14:paraId="2BBB92BE" w14:textId="77777777" w:rsidTr="005B5AD8">
        <w:tc>
          <w:tcPr>
            <w:tcW w:w="1072" w:type="pct"/>
            <w:tcBorders>
              <w:left w:val="single" w:sz="6" w:space="0" w:color="000000"/>
              <w:bottom w:val="single" w:sz="6" w:space="0" w:color="000000"/>
            </w:tcBorders>
          </w:tcPr>
          <w:p w14:paraId="535BBF5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i/>
                <w:snapToGrid w:val="0"/>
              </w:rPr>
              <w:t>IPSS</w:t>
            </w:r>
            <w:r w:rsidRPr="00350BD0">
              <w:rPr>
                <w:rFonts w:ascii="Times New Roman" w:eastAsia="Times New Roman" w:hAnsi="Times New Roman" w:cs="Times New Roman"/>
                <w:snapToGrid w:val="0"/>
              </w:rPr>
              <w:t xml:space="preserve"> 8 klausimas (su GPH susijusi gyvenimo kokybė)</w:t>
            </w:r>
          </w:p>
          <w:p w14:paraId="01C92C6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(vienetai)</w:t>
            </w:r>
          </w:p>
        </w:tc>
        <w:tc>
          <w:tcPr>
            <w:tcW w:w="1773" w:type="pct"/>
            <w:tcBorders>
              <w:bottom w:val="single" w:sz="6" w:space="0" w:color="000000"/>
            </w:tcBorders>
          </w:tcPr>
          <w:p w14:paraId="1DB9283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[Pradinis rodmuo]</w:t>
            </w:r>
          </w:p>
          <w:p w14:paraId="634778D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48-as mėnuo (pokytis, palyginti su pradiniu rodmeniu)</w:t>
            </w:r>
          </w:p>
        </w:tc>
        <w:tc>
          <w:tcPr>
            <w:tcW w:w="719" w:type="pct"/>
            <w:tcBorders>
              <w:bottom w:val="single" w:sz="6" w:space="0" w:color="000000"/>
            </w:tcBorders>
          </w:tcPr>
          <w:p w14:paraId="47F3411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[3,6]</w:t>
            </w:r>
          </w:p>
          <w:p w14:paraId="5A160F8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B5DF8D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-1,5</w:t>
            </w:r>
          </w:p>
        </w:tc>
        <w:tc>
          <w:tcPr>
            <w:tcW w:w="719" w:type="pct"/>
            <w:tcBorders>
              <w:bottom w:val="single" w:sz="6" w:space="0" w:color="000000"/>
            </w:tcBorders>
          </w:tcPr>
          <w:p w14:paraId="7F2051A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[3,6]</w:t>
            </w:r>
          </w:p>
          <w:p w14:paraId="15E9760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38625FE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-1,3b</w:t>
            </w:r>
          </w:p>
        </w:tc>
        <w:tc>
          <w:tcPr>
            <w:tcW w:w="718" w:type="pct"/>
            <w:tcBorders>
              <w:bottom w:val="single" w:sz="6" w:space="0" w:color="000000"/>
              <w:right w:val="single" w:sz="6" w:space="0" w:color="000000"/>
            </w:tcBorders>
          </w:tcPr>
          <w:p w14:paraId="310728C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[3,6]</w:t>
            </w:r>
          </w:p>
          <w:p w14:paraId="7AB4CCD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523067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-1,1a</w:t>
            </w:r>
          </w:p>
        </w:tc>
      </w:tr>
      <w:tr w:rsidR="00350BD0" w:rsidRPr="00350BD0" w14:paraId="56BBA5C8" w14:textId="77777777" w:rsidTr="005B5AD8">
        <w:tc>
          <w:tcPr>
            <w:tcW w:w="5000" w:type="pct"/>
            <w:gridSpan w:val="5"/>
            <w:tcBorders>
              <w:top w:val="single" w:sz="6" w:space="0" w:color="000000"/>
            </w:tcBorders>
          </w:tcPr>
          <w:p w14:paraId="55F94D8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Pradiniai rodmenys yra vidutiniai rodmenys ir pokytis, palyginti su pradiniu, yra koreguotas vidutinis pokytis.</w:t>
            </w:r>
          </w:p>
          <w:p w14:paraId="581F167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 Klinikinės būklės progresavimas apibūdinamas bendru įverčiu: </w:t>
            </w:r>
            <w:r w:rsidRPr="00350BD0">
              <w:rPr>
                <w:rFonts w:ascii="Times New Roman" w:eastAsia="Times New Roman" w:hAnsi="Times New Roman" w:cs="Times New Roman"/>
                <w:i/>
                <w:snapToGrid w:val="0"/>
              </w:rPr>
              <w:t>IPSS</w:t>
            </w:r>
            <w:r w:rsidRPr="00350BD0">
              <w:rPr>
                <w:rFonts w:ascii="Times New Roman" w:eastAsia="Times New Roman" w:hAnsi="Times New Roman" w:cs="Times New Roman"/>
                <w:snapToGrid w:val="0"/>
              </w:rPr>
              <w:t xml:space="preserve"> pablogėjimas </w:t>
            </w:r>
            <w:r w:rsidRPr="00350BD0">
              <w:rPr>
                <w:rFonts w:ascii="Times New Roman" w:eastAsia="Times New Roman" w:hAnsi="Times New Roman" w:cs="Times New Roman"/>
                <w:snapToGrid w:val="0"/>
              </w:rPr>
              <w:sym w:font="Symbol" w:char="00B3"/>
            </w:r>
            <w:r w:rsidRPr="00350BD0">
              <w:rPr>
                <w:rFonts w:ascii="Times New Roman" w:eastAsia="Times New Roman" w:hAnsi="Times New Roman" w:cs="Times New Roman"/>
                <w:snapToGrid w:val="0"/>
              </w:rPr>
              <w:t> 4 balų, su GPH susiję ŪŠS reiškiniai, šlapimo nelaikymas, ŠTI ir inkstų nepakankamumas.</w:t>
            </w:r>
          </w:p>
          <w:p w14:paraId="3BADD3C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Išmatuotas pasirinktose vietose (13 % atsitiktiu būdu atrinktų pacientų).</w:t>
            </w:r>
          </w:p>
          <w:p w14:paraId="16A37A5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a. Pasiektas reikšmingas pokytis 48-tą mėnesį (p &lt; 0,001), palyginti su tamsulozinu.</w:t>
            </w:r>
          </w:p>
          <w:p w14:paraId="1899937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b. Pasiektas reikšmingas pokytis 48-tą mėnesį (p &lt; 0,001), palyginti su dutasteridu.</w:t>
            </w:r>
          </w:p>
        </w:tc>
      </w:tr>
    </w:tbl>
    <w:p w14:paraId="77D3CA2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2FF854D"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lastRenderedPageBreak/>
        <w:t>Dutasteridas</w:t>
      </w:r>
    </w:p>
    <w:p w14:paraId="6FA99EEE"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i/>
          <w:snapToGrid w:val="0"/>
        </w:rPr>
      </w:pPr>
    </w:p>
    <w:p w14:paraId="594306FF"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Keliuose centruose atliktų trijų dvejus metus trukusių pirminio veiksmingumo, tarptautinių, placebu kontroliuojamųjų, dvigubai koduotų tyrimų, kuriuose dalyvavo 4 325 vyrų, kuriems pasireiškė vidutinio sunkumo ar sunkūs GPH simptomai ir prostatos tūris buvo </w:t>
      </w:r>
      <w:r w:rsidRPr="00350BD0">
        <w:rPr>
          <w:rFonts w:ascii="Times New Roman" w:eastAsia="Times New Roman" w:hAnsi="Times New Roman" w:cs="Times New Roman"/>
          <w:snapToGrid w:val="0"/>
        </w:rPr>
        <w:sym w:font="Symbol" w:char="F0B3"/>
      </w:r>
      <w:r w:rsidRPr="00350BD0">
        <w:rPr>
          <w:rFonts w:ascii="Times New Roman" w:eastAsia="Times New Roman" w:hAnsi="Times New Roman" w:cs="Times New Roman"/>
          <w:snapToGrid w:val="0"/>
        </w:rPr>
        <w:t> 30 ml bei PSA buvo 1,5</w:t>
      </w:r>
      <w:r w:rsidRPr="00350BD0">
        <w:rPr>
          <w:rFonts w:ascii="Times New Roman" w:eastAsia="Times New Roman" w:hAnsi="Times New Roman" w:cs="Times New Roman"/>
          <w:snapToGrid w:val="0"/>
        </w:rPr>
        <w:noBreakHyphen/>
        <w:t>10 ng/ml ribose, metu buvo tirtas 0,5 mg dutasterido paros dozės ar placebo vartojimas. Vėliau tyrimai buvo pratęsti atviru būdu iki 4 metų su visais tyrime pasilikusiais pacientais, kurie vartojo tą pačią 0,5 mg dutasterido dozę. Viso 37 % pacientų, iš pradžių vartojusių atsitiktiniu būdu paskirtą placebą, ir 40 % pacientų, iš pradžių vartojusių atsitiktiniu būdu paskirtą dutasteridą, dalyvavo tyrime 4 metus. Dauguma (71 %) iš 2 340 tiriamųjų baigė dvejus metus trukusią tyrimo pratęsimo fazę, vykdomą atviru būdu.</w:t>
      </w:r>
    </w:p>
    <w:p w14:paraId="7B704C4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E2A883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Svarbiausi klinikinio veiksmingumo parametrai buvo Amerikos urologų asociacijos simptomų indeksas (angl. </w:t>
      </w:r>
      <w:r w:rsidRPr="00350BD0">
        <w:rPr>
          <w:rFonts w:ascii="Times New Roman" w:eastAsia="Times New Roman" w:hAnsi="Times New Roman" w:cs="Times New Roman"/>
          <w:i/>
          <w:snapToGrid w:val="0"/>
        </w:rPr>
        <w:t>American Urological Association Symptom Index, AUA-SI</w:t>
      </w:r>
      <w:r w:rsidRPr="00350BD0">
        <w:rPr>
          <w:rFonts w:ascii="Times New Roman" w:eastAsia="Times New Roman" w:hAnsi="Times New Roman" w:cs="Times New Roman"/>
          <w:snapToGrid w:val="0"/>
        </w:rPr>
        <w:t>), didžiausia šlapimo srovė (</w:t>
      </w:r>
      <w:r w:rsidRPr="00350BD0">
        <w:rPr>
          <w:rFonts w:ascii="Times New Roman" w:eastAsia="Times New Roman" w:hAnsi="Times New Roman" w:cs="Times New Roman"/>
          <w:i/>
          <w:iCs/>
          <w:snapToGrid w:val="0"/>
        </w:rPr>
        <w:t>Q</w:t>
      </w:r>
      <w:r w:rsidRPr="00350BD0">
        <w:rPr>
          <w:rFonts w:ascii="Times New Roman" w:eastAsia="Times New Roman" w:hAnsi="Times New Roman" w:cs="Times New Roman"/>
          <w:i/>
          <w:iCs/>
          <w:snapToGrid w:val="0"/>
          <w:vertAlign w:val="subscript"/>
        </w:rPr>
        <w:t>max</w:t>
      </w:r>
      <w:r w:rsidRPr="00350BD0">
        <w:rPr>
          <w:rFonts w:ascii="Times New Roman" w:eastAsia="Times New Roman" w:hAnsi="Times New Roman" w:cs="Times New Roman"/>
          <w:snapToGrid w:val="0"/>
        </w:rPr>
        <w:t>), ūmaus šlapimo susilaikymo dažnis ir su GPH susijusi chirurginė operacija.</w:t>
      </w:r>
    </w:p>
    <w:p w14:paraId="60B7C8B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59B290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i/>
          <w:snapToGrid w:val="0"/>
        </w:rPr>
        <w:t>AUA-SI</w:t>
      </w:r>
      <w:r w:rsidRPr="00350BD0">
        <w:rPr>
          <w:rFonts w:ascii="Times New Roman" w:eastAsia="Times New Roman" w:hAnsi="Times New Roman" w:cs="Times New Roman"/>
          <w:snapToGrid w:val="0"/>
        </w:rPr>
        <w:t xml:space="preserve"> yra septynių dalių klausimynas apie su GPH susijusius simptomus, pagal kurį didžiausias balų skaičius yra 35. Prieš pradedant gydymą, vidutinis balų skaičius buvo maždaug 17. Po šešių mėnesių, vienerių ar dvejų gydymo metų placebo grupėje vidutinis pagerėjimas buvo atitinkamai 2,5, 2,5 ir 2,3 balo, o dutasterido grupėje – atitinkamai 3,2, 3,8 ir 4,5 balo. Skirtumai tarp grupių buvo statistiškai reikšmingi. </w:t>
      </w:r>
      <w:r w:rsidRPr="00350BD0">
        <w:rPr>
          <w:rFonts w:ascii="Times New Roman" w:eastAsia="Times New Roman" w:hAnsi="Times New Roman" w:cs="Times New Roman"/>
          <w:i/>
          <w:snapToGrid w:val="0"/>
        </w:rPr>
        <w:t>AUC-SI</w:t>
      </w:r>
      <w:r w:rsidRPr="00350BD0">
        <w:rPr>
          <w:rFonts w:ascii="Times New Roman" w:eastAsia="Times New Roman" w:hAnsi="Times New Roman" w:cs="Times New Roman"/>
          <w:snapToGrid w:val="0"/>
        </w:rPr>
        <w:t xml:space="preserve"> pagerėjimas, stebėtas per pirmuosius dvejus gydymo dvigubai koduotu būdu metus, ir toliau išliko, atliekant papildomą 2 metų trukmės pratęsimo tyrimą atviru būdu.</w:t>
      </w:r>
    </w:p>
    <w:p w14:paraId="2C8205F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32C1B2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Q</w:t>
      </w:r>
      <w:r w:rsidRPr="00350BD0">
        <w:rPr>
          <w:rFonts w:ascii="Times New Roman" w:eastAsia="Times New Roman" w:hAnsi="Times New Roman" w:cs="Times New Roman"/>
          <w:i/>
          <w:snapToGrid w:val="0"/>
          <w:vertAlign w:val="subscript"/>
        </w:rPr>
        <w:t>max</w:t>
      </w:r>
      <w:r w:rsidRPr="00350BD0">
        <w:rPr>
          <w:rFonts w:ascii="Times New Roman" w:eastAsia="Times New Roman" w:hAnsi="Times New Roman" w:cs="Times New Roman"/>
          <w:i/>
          <w:snapToGrid w:val="0"/>
        </w:rPr>
        <w:t xml:space="preserve"> </w:t>
      </w:r>
      <w:r w:rsidRPr="00350BD0">
        <w:rPr>
          <w:rFonts w:ascii="Times New Roman" w:eastAsia="Times New Roman" w:hAnsi="Times New Roman" w:cs="Times New Roman"/>
          <w:iCs/>
          <w:snapToGrid w:val="0"/>
        </w:rPr>
        <w:t>(didžiausia šlapimo srovė)</w:t>
      </w:r>
    </w:p>
    <w:p w14:paraId="1E1A0D5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687DC31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Tyrimų duomenimis, vidutinė pradinė </w:t>
      </w:r>
      <w:r w:rsidRPr="00350BD0">
        <w:rPr>
          <w:rFonts w:ascii="Times New Roman" w:eastAsia="Times New Roman" w:hAnsi="Times New Roman" w:cs="Times New Roman"/>
          <w:i/>
          <w:iCs/>
          <w:snapToGrid w:val="0"/>
        </w:rPr>
        <w:t>Q</w:t>
      </w:r>
      <w:r w:rsidRPr="00350BD0">
        <w:rPr>
          <w:rFonts w:ascii="Times New Roman" w:eastAsia="Times New Roman" w:hAnsi="Times New Roman" w:cs="Times New Roman"/>
          <w:i/>
          <w:iCs/>
          <w:snapToGrid w:val="0"/>
          <w:vertAlign w:val="subscript"/>
        </w:rPr>
        <w:t>max</w:t>
      </w:r>
      <w:r w:rsidRPr="00350BD0">
        <w:rPr>
          <w:rFonts w:ascii="Times New Roman" w:eastAsia="Times New Roman" w:hAnsi="Times New Roman" w:cs="Times New Roman"/>
          <w:snapToGrid w:val="0"/>
        </w:rPr>
        <w:t xml:space="preserve"> buvo maždaug 10 ml/s (normali </w:t>
      </w:r>
      <w:r w:rsidRPr="00350BD0">
        <w:rPr>
          <w:rFonts w:ascii="Times New Roman" w:eastAsia="Times New Roman" w:hAnsi="Times New Roman" w:cs="Times New Roman"/>
          <w:i/>
          <w:iCs/>
          <w:snapToGrid w:val="0"/>
        </w:rPr>
        <w:t>Q</w:t>
      </w:r>
      <w:r w:rsidRPr="00350BD0">
        <w:rPr>
          <w:rFonts w:ascii="Times New Roman" w:eastAsia="Times New Roman" w:hAnsi="Times New Roman" w:cs="Times New Roman"/>
          <w:i/>
          <w:iCs/>
          <w:snapToGrid w:val="0"/>
          <w:vertAlign w:val="subscript"/>
        </w:rPr>
        <w:t>max</w:t>
      </w:r>
      <w:r w:rsidRPr="00350BD0">
        <w:rPr>
          <w:rFonts w:ascii="Times New Roman" w:eastAsia="Times New Roman" w:hAnsi="Times New Roman" w:cs="Times New Roman"/>
          <w:snapToGrid w:val="0"/>
        </w:rPr>
        <w:t xml:space="preserve"> yra </w:t>
      </w:r>
      <w:r w:rsidRPr="00350BD0">
        <w:rPr>
          <w:rFonts w:ascii="Times New Roman" w:eastAsia="Times New Roman" w:hAnsi="Times New Roman" w:cs="Times New Roman"/>
          <w:snapToGrid w:val="0"/>
          <w:u w:val="single"/>
        </w:rPr>
        <w:t>&gt;</w:t>
      </w:r>
      <w:r w:rsidRPr="00350BD0">
        <w:rPr>
          <w:rFonts w:ascii="Times New Roman" w:eastAsia="Times New Roman" w:hAnsi="Times New Roman" w:cs="Times New Roman"/>
          <w:snapToGrid w:val="0"/>
        </w:rPr>
        <w:t> 15 ml/s). Po vienerių ir dvejų gydymo metų placebo grupėje srovė padidėjo atitinkamai 0,8 ml/s ir 0,9 ml/s, o dutasterido grupėje atitinkamai 1,7 ml/s ir 2 ml/s. Skirtumas tarp grupių buvo statistiškai reikšmingas nuo pirmojo mėnesio iki 24 mėnesio. Didžiausias šlapimo srovės greičio padidėjimas stebėtas pirmuosius dvejus gydymo dvigubai aklu būdu metus ir toliau išliko per 2 papildomus pratęsimo tyrimo, atlikto atviru būdu, metus.</w:t>
      </w:r>
    </w:p>
    <w:p w14:paraId="3BB1AA4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9DD979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Ūminis šlapimo susilaikymas ir chirurginė operacija</w:t>
      </w:r>
    </w:p>
    <w:p w14:paraId="350C7D9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3B3B545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Po dvejų gydymo metų ŪŠS dažnis placebo grupėje buvo 4,2 %, palyginti su 1,8 % dutasterido grupėje (rizikos sumažėjimas 57 %). Šis skirtumas yra statistiškai reikšmingas ir rodo, kad 42 pacientai turi būti gydomi dvejus metus, kad būtų išvengta vieno ŪŠS atvejo (95 % PI 30–73).</w:t>
      </w:r>
    </w:p>
    <w:p w14:paraId="6E1E52F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C616F4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Po dvejų gydymo metų su GPH susijusios chirurginės operacijos dažnis placebo grupėje buvo 4,1 % ir 2,2 % dutasterido grupėje (rizikos sumažėjimas 48 %). Šis skirtumas yra statistiškai reikšmingas ir rodo, kad 51 pacientas turi būti gydomas dvejus metus, kad būtų išvengta vieno chirurginės operacijos atvejo (95 % PI 33–109).</w:t>
      </w:r>
    </w:p>
    <w:p w14:paraId="60F79ED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695449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Plaukų pasiskirstymas</w:t>
      </w:r>
    </w:p>
    <w:p w14:paraId="7776492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Cs/>
          <w:snapToGrid w:val="0"/>
        </w:rPr>
      </w:pPr>
    </w:p>
    <w:p w14:paraId="0FE20CC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Oficialių dutasterido poveikio plaukų pasiskirstymui tyrimų pagal III fazės klinikinių tyrimų programą neatlikta, tačiau 5 alfa reduktazės inhibitoriai gali mažinti plaukų slinkimą ir skatinti jų augimą asmenims, kuriems pasireiškia vyriško tipo plaukų slinkimas (vyrų androgeninė alopecija).</w:t>
      </w:r>
    </w:p>
    <w:p w14:paraId="6E11086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E7D518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Skydliaukės funkcija</w:t>
      </w:r>
    </w:p>
    <w:p w14:paraId="48ACB14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419F4D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Poveikis skydliaukės funkcijai buvo įvertintas vienerius metus trukusiame tyrime, kuriame dalyvavo sveiki vyrai. Vartojant dutasteridą, vienerių gydymo metų pabaigoje laisvo tiroksino koncentracijos nepakito, bet TTH koncentracijos nežymiai padidėjo (0,4 </w:t>
      </w:r>
      <w:r w:rsidRPr="00350BD0">
        <w:rPr>
          <w:rFonts w:ascii="Times New Roman" w:eastAsia="Times New Roman" w:hAnsi="Times New Roman" w:cs="Times New Roman"/>
          <w:i/>
          <w:snapToGrid w:val="0"/>
        </w:rPr>
        <w:t>MCIU</w:t>
      </w:r>
      <w:r w:rsidRPr="00350BD0">
        <w:rPr>
          <w:rFonts w:ascii="Times New Roman" w:eastAsia="Times New Roman" w:hAnsi="Times New Roman" w:cs="Times New Roman"/>
          <w:snapToGrid w:val="0"/>
        </w:rPr>
        <w:t>/ml), palyginti su placebu. Vis dėlto, nors TTH koncentracija pakito, TTH medianos kitimo sritis (1,4</w:t>
      </w:r>
      <w:r w:rsidRPr="00350BD0">
        <w:rPr>
          <w:rFonts w:ascii="Times New Roman" w:eastAsia="Times New Roman" w:hAnsi="Times New Roman" w:cs="Times New Roman"/>
          <w:snapToGrid w:val="0"/>
        </w:rPr>
        <w:noBreakHyphen/>
        <w:t>1,9 </w:t>
      </w:r>
      <w:r w:rsidRPr="00350BD0">
        <w:rPr>
          <w:rFonts w:ascii="Times New Roman" w:eastAsia="Times New Roman" w:hAnsi="Times New Roman" w:cs="Times New Roman"/>
          <w:i/>
          <w:snapToGrid w:val="0"/>
        </w:rPr>
        <w:t>MCIU</w:t>
      </w:r>
      <w:r w:rsidRPr="00350BD0">
        <w:rPr>
          <w:rFonts w:ascii="Times New Roman" w:eastAsia="Times New Roman" w:hAnsi="Times New Roman" w:cs="Times New Roman"/>
          <w:snapToGrid w:val="0"/>
        </w:rPr>
        <w:t>/ml) išliko normos ribose (0,5</w:t>
      </w:r>
      <w:r w:rsidRPr="00350BD0">
        <w:rPr>
          <w:rFonts w:ascii="Times New Roman" w:eastAsia="Times New Roman" w:hAnsi="Times New Roman" w:cs="Times New Roman"/>
          <w:snapToGrid w:val="0"/>
        </w:rPr>
        <w:noBreakHyphen/>
        <w:t>5/6 </w:t>
      </w:r>
      <w:r w:rsidRPr="00350BD0">
        <w:rPr>
          <w:rFonts w:ascii="Times New Roman" w:eastAsia="Times New Roman" w:hAnsi="Times New Roman" w:cs="Times New Roman"/>
          <w:i/>
          <w:snapToGrid w:val="0"/>
        </w:rPr>
        <w:t>MCIU</w:t>
      </w:r>
      <w:r w:rsidRPr="00350BD0">
        <w:rPr>
          <w:rFonts w:ascii="Times New Roman" w:eastAsia="Times New Roman" w:hAnsi="Times New Roman" w:cs="Times New Roman"/>
          <w:snapToGrid w:val="0"/>
        </w:rPr>
        <w:t xml:space="preserve">/ml), laisvo tiroksino koncentracijos nepakito ir išliko normos ribose bei buvo panašios kaip placebo ir dutasterido grupėse. Manoma, kad TTH pokyčiai yra kliniškai nereikšmingi. Remiantis </w:t>
      </w:r>
      <w:r w:rsidRPr="00350BD0">
        <w:rPr>
          <w:rFonts w:ascii="Times New Roman" w:eastAsia="Times New Roman" w:hAnsi="Times New Roman" w:cs="Times New Roman"/>
          <w:snapToGrid w:val="0"/>
        </w:rPr>
        <w:lastRenderedPageBreak/>
        <w:t>visų klinikinių tyrimų duomenimis, nėra jokių įrodymų, kad dutasteridas nepalankiai veiktų skydliaukės funkciją.</w:t>
      </w:r>
    </w:p>
    <w:p w14:paraId="12D1D1B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6672084"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Krūties navikai</w:t>
      </w:r>
    </w:p>
    <w:p w14:paraId="0D5722ED"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p>
    <w:p w14:paraId="62E38FB3"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Dvejus metus trukusių klinikinių tyrimų metu dutasterido ekspozicija truko 3 374 pacientų metus ir, registruojant atviro tyrimo pratęsimui dar 2 metams, nustatyti 2 vyrų krūties vėžio atvejai dutasteridu gydytiems pacientams ir 1 atvejis pacientui, vartojusiam placebą. Remiantis ketverius metus trukusių </w:t>
      </w:r>
      <w:r w:rsidRPr="00350BD0">
        <w:rPr>
          <w:rFonts w:ascii="Times New Roman" w:eastAsia="Times New Roman" w:hAnsi="Times New Roman" w:cs="Times New Roman"/>
          <w:i/>
          <w:snapToGrid w:val="0"/>
        </w:rPr>
        <w:t xml:space="preserve">CombAT </w:t>
      </w:r>
      <w:r w:rsidRPr="00350BD0">
        <w:rPr>
          <w:rFonts w:ascii="Times New Roman" w:eastAsia="Times New Roman" w:hAnsi="Times New Roman" w:cs="Times New Roman"/>
          <w:snapToGrid w:val="0"/>
        </w:rPr>
        <w:t xml:space="preserve">ir </w:t>
      </w:r>
      <w:r w:rsidRPr="00350BD0">
        <w:rPr>
          <w:rFonts w:ascii="Times New Roman" w:eastAsia="Times New Roman" w:hAnsi="Times New Roman" w:cs="Times New Roman"/>
          <w:i/>
          <w:snapToGrid w:val="0"/>
        </w:rPr>
        <w:t xml:space="preserve">REDUCE </w:t>
      </w:r>
      <w:r w:rsidRPr="00350BD0">
        <w:rPr>
          <w:rFonts w:ascii="Times New Roman" w:eastAsia="Times New Roman" w:hAnsi="Times New Roman" w:cs="Times New Roman"/>
          <w:snapToGrid w:val="0"/>
        </w:rPr>
        <w:t>klinikinių tyrimų, kurių metu dutasterido ekspozicija truko 17 489 pacientų metus, o dutasterido ir tamsulozino derinio ekspozicija – 5 027 pacientų metus, duomenimis, pranešimų apie krūties vėžio atvejus negauta nei vienoje gydymo grupėje.</w:t>
      </w:r>
    </w:p>
    <w:p w14:paraId="4F0CA94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33C8090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Du atvejo kontrolės epidemiologijos tyrimai, vienas kurių buvo atliktas naudojant JAV (n = 339 krūties vėžio atvejai ir kontrolinė grupė n = 6 780), o kitas – Jungtinės Karalystės (n = 398 krūties vėžio atvejai ir kontrolinė grupė n = 3 930) sveikatos priežiūros duomenų bazes, atskleidė, kad krūties vėžio rizika 5 ARI vartojantiems vyrams nepadidėja (žr. 4.4 skyrių).</w:t>
      </w:r>
    </w:p>
    <w:p w14:paraId="1C0F166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9DB447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Pirmojo tyrimo duomenys neparodė teigiamo ryšio su vyrų krūties vėžiu (santykinė rizika vartojant 1 metus ir ilgiau prieš diagnozuojant krūties vėžį, palyginti su trumpesniu kaip 1 metų vartojimu: 0,70: 95 % PI 0,34, 1,45). Remiantis antrojo tyrimo duomenimis, apskaičiuotasis krūties vėžio, susijusio su 5 ARI vartojimu, šansų santykis, palyginti su nevartojimu, buvo 1,08: 95 % PI 0,62, 1,87.</w:t>
      </w:r>
    </w:p>
    <w:p w14:paraId="3BDF256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7AABEBB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Ar krūties vėžio atsiradimas vyrams yra priežastiniu ryšiu susijęs su ilgalaikiu dutasterido vartojimu, nenustatyta.</w:t>
      </w:r>
    </w:p>
    <w:p w14:paraId="307F986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A05E90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Poveikis vyrų vaisingumui</w:t>
      </w:r>
    </w:p>
    <w:p w14:paraId="3FC8997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DB341D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Buvo tirtas 0,5 mg dutasterido paros dozės poveikis 18</w:t>
      </w:r>
      <w:r w:rsidRPr="00350BD0">
        <w:rPr>
          <w:rFonts w:ascii="Times New Roman" w:eastAsia="Times New Roman" w:hAnsi="Times New Roman" w:cs="Times New Roman"/>
          <w:snapToGrid w:val="0"/>
        </w:rPr>
        <w:noBreakHyphen/>
        <w:t>52 metų sveikų savanorių vyrų (n = 27 dutasterido, n = 23 placebo grupėje) spermos savybėms per 52 gydymo ir 24 stebėjimo po gydymo savaites. Remiantis 52-osios gydymo savaitės duomenimis, dutasteridu gydytų vyrų vidutinis spermatozoidų kiekio, spermos tūrio ir spermatozoidų judrumo sumažėjimas procentais, palyginti su pradiniu, buvo atitinkamai 23 </w:t>
      </w:r>
      <w:r w:rsidRPr="00350BD0">
        <w:rPr>
          <w:rFonts w:ascii="Times New Roman" w:eastAsia="Times New Roman" w:hAnsi="Times New Roman" w:cs="Times New Roman"/>
          <w:snapToGrid w:val="0"/>
        </w:rPr>
        <w:sym w:font="Symbol" w:char="F025"/>
      </w:r>
      <w:r w:rsidRPr="00350BD0">
        <w:rPr>
          <w:rFonts w:ascii="Times New Roman" w:eastAsia="Times New Roman" w:hAnsi="Times New Roman" w:cs="Times New Roman"/>
          <w:snapToGrid w:val="0"/>
        </w:rPr>
        <w:t>, 26 </w:t>
      </w:r>
      <w:r w:rsidRPr="00350BD0">
        <w:rPr>
          <w:rFonts w:ascii="Times New Roman" w:eastAsia="Times New Roman" w:hAnsi="Times New Roman" w:cs="Times New Roman"/>
          <w:snapToGrid w:val="0"/>
        </w:rPr>
        <w:sym w:font="Symbol" w:char="F025"/>
      </w:r>
      <w:r w:rsidRPr="00350BD0">
        <w:rPr>
          <w:rFonts w:ascii="Times New Roman" w:eastAsia="Times New Roman" w:hAnsi="Times New Roman" w:cs="Times New Roman"/>
          <w:snapToGrid w:val="0"/>
        </w:rPr>
        <w:t xml:space="preserve"> ir 18 </w:t>
      </w:r>
      <w:r w:rsidRPr="00350BD0">
        <w:rPr>
          <w:rFonts w:ascii="Times New Roman" w:eastAsia="Times New Roman" w:hAnsi="Times New Roman" w:cs="Times New Roman"/>
          <w:snapToGrid w:val="0"/>
        </w:rPr>
        <w:sym w:font="Symbol" w:char="F025"/>
      </w:r>
      <w:r w:rsidRPr="00350BD0">
        <w:rPr>
          <w:rFonts w:ascii="Times New Roman" w:eastAsia="Times New Roman" w:hAnsi="Times New Roman" w:cs="Times New Roman"/>
          <w:snapToGrid w:val="0"/>
        </w:rPr>
        <w:t>, patikslinus, atsižvelgiant į pokyčius, atsiradusius placebo grupėje. Spermatozoidų koncentracija ir morfologija nepakito. Vidutinis spermatozoidų kiekio pokytis procentais po 24 stebėjimo savaičių dutasterido grupėje vis dar buvo 23 </w:t>
      </w:r>
      <w:r w:rsidRPr="00350BD0">
        <w:rPr>
          <w:rFonts w:ascii="Times New Roman" w:eastAsia="Times New Roman" w:hAnsi="Times New Roman" w:cs="Times New Roman"/>
          <w:snapToGrid w:val="0"/>
        </w:rPr>
        <w:sym w:font="Symbol" w:char="F025"/>
      </w:r>
      <w:r w:rsidRPr="00350BD0">
        <w:rPr>
          <w:rFonts w:ascii="Times New Roman" w:eastAsia="Times New Roman" w:hAnsi="Times New Roman" w:cs="Times New Roman"/>
          <w:snapToGrid w:val="0"/>
        </w:rPr>
        <w:t xml:space="preserve"> mažesnis, palyginti su pradiniu rodmeniu. Vidutinės visų rodmenų reikšmės bet kuriuo laiku buvo normalių ribose ir nepasiekė prieš tyrimą numatytų kliniškai reikšmingo pokyčio (30 </w:t>
      </w:r>
      <w:r w:rsidRPr="00350BD0">
        <w:rPr>
          <w:rFonts w:ascii="Times New Roman" w:eastAsia="Times New Roman" w:hAnsi="Times New Roman" w:cs="Times New Roman"/>
          <w:snapToGrid w:val="0"/>
        </w:rPr>
        <w:sym w:font="Symbol" w:char="F025"/>
      </w:r>
      <w:r w:rsidRPr="00350BD0">
        <w:rPr>
          <w:rFonts w:ascii="Times New Roman" w:eastAsia="Times New Roman" w:hAnsi="Times New Roman" w:cs="Times New Roman"/>
          <w:snapToGrid w:val="0"/>
        </w:rPr>
        <w:t>) kriterijaus, visgi dviejų dutasterido grupės tiriamųjų spermatozoidų kiekis 52-ą gydymo savaitę sumažėjo daugiau kaip 90 </w:t>
      </w:r>
      <w:r w:rsidRPr="00350BD0">
        <w:rPr>
          <w:rFonts w:ascii="Times New Roman" w:eastAsia="Times New Roman" w:hAnsi="Times New Roman" w:cs="Times New Roman"/>
          <w:snapToGrid w:val="0"/>
        </w:rPr>
        <w:sym w:font="Symbol" w:char="F025"/>
      </w:r>
      <w:r w:rsidRPr="00350BD0">
        <w:rPr>
          <w:rFonts w:ascii="Times New Roman" w:eastAsia="Times New Roman" w:hAnsi="Times New Roman" w:cs="Times New Roman"/>
          <w:snapToGrid w:val="0"/>
        </w:rPr>
        <w:t xml:space="preserve"> pradinio rodmens ir per 24 stebėjimo savaites buvo stebėtas tik dalinis jų kiekio atkūrimas. Vyrų vaisingumo sumažėjimo paneigti negalima.</w:t>
      </w:r>
    </w:p>
    <w:p w14:paraId="30F2B5D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6A37E5C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Širdies ir kraujagyslių nepageidaujami reiškiniai</w:t>
      </w:r>
    </w:p>
    <w:p w14:paraId="7D77053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A100DD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Remiantis ketverius metus trukusio GPH tyrimo, kurio metu dutasteridą kartu su tamsulozinu vartojo 4 844 vyrai (</w:t>
      </w:r>
      <w:r w:rsidRPr="00350BD0">
        <w:rPr>
          <w:rFonts w:ascii="Times New Roman" w:eastAsia="Times New Roman" w:hAnsi="Times New Roman" w:cs="Times New Roman"/>
          <w:i/>
          <w:snapToGrid w:val="0"/>
        </w:rPr>
        <w:t>CombAT</w:t>
      </w:r>
      <w:r w:rsidRPr="00350BD0">
        <w:rPr>
          <w:rFonts w:ascii="Times New Roman" w:eastAsia="Times New Roman" w:hAnsi="Times New Roman" w:cs="Times New Roman"/>
          <w:snapToGrid w:val="0"/>
        </w:rPr>
        <w:t xml:space="preserve"> tyrimas), duomenimis, širdies nepakankamumas (bendras apibūdinimas) vaistinio preparato derinio vartojimo grupėje (14 iš 1 610, 0,9%) pasireiškė dažniau nei bet kurioje monoterapijos grupėje: dutasterido (4 iš 1 623, 0,2 %) ir tamsulozino (10 iš 1611, 0,6 %).</w:t>
      </w:r>
    </w:p>
    <w:p w14:paraId="34EF922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65C6999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Remiantis kito ketverius metus trukusio tyrimo, kuriame dalyvavo 8 231 50</w:t>
      </w:r>
      <w:r w:rsidRPr="00350BD0">
        <w:rPr>
          <w:rFonts w:ascii="Times New Roman" w:eastAsia="Times New Roman" w:hAnsi="Times New Roman" w:cs="Times New Roman"/>
          <w:snapToGrid w:val="0"/>
        </w:rPr>
        <w:noBreakHyphen/>
        <w:t>75 metų vyrai, kuriems pirmiau atliktos biopsijos prostatos vėžiui diagnozuoti duomenys buvo neigiami ir pradinė PSA koncentracija buvo nuo 2,5 ng/ml iki 10,0 ng/ml 50</w:t>
      </w:r>
      <w:r w:rsidRPr="00350BD0">
        <w:rPr>
          <w:rFonts w:ascii="Times New Roman" w:eastAsia="Times New Roman" w:hAnsi="Times New Roman" w:cs="Times New Roman"/>
          <w:snapToGrid w:val="0"/>
        </w:rPr>
        <w:noBreakHyphen/>
        <w:t>60 metų vyrams arba nuo 3 ng/ml iki 10,0 ng/ml vyresniems kaip 60 metų vyrams (</w:t>
      </w:r>
      <w:r w:rsidRPr="00350BD0">
        <w:rPr>
          <w:rFonts w:ascii="Times New Roman" w:eastAsia="Times New Roman" w:hAnsi="Times New Roman" w:cs="Times New Roman"/>
          <w:i/>
          <w:snapToGrid w:val="0"/>
        </w:rPr>
        <w:t>REDUCE</w:t>
      </w:r>
      <w:r w:rsidRPr="00350BD0">
        <w:rPr>
          <w:rFonts w:ascii="Times New Roman" w:eastAsia="Times New Roman" w:hAnsi="Times New Roman" w:cs="Times New Roman"/>
          <w:snapToGrid w:val="0"/>
        </w:rPr>
        <w:t xml:space="preserve"> tyrimas), duomenimis, širdies nepakankamumas (bendras apibūdinimas) tiriamiesiems, vartojantiems 0,5 mg dutasterido vieną kartą per parą (30 iš 4 105, 0,7 %), pasireiškė dažniau, palyginti su tiriamaisiais, vartojusiais placebą (16 iš 4 126, 0,4 %). Vėlesnė šio tyrimo duomenų analizė (angl. </w:t>
      </w:r>
      <w:r w:rsidRPr="00350BD0">
        <w:rPr>
          <w:rFonts w:ascii="Times New Roman" w:eastAsia="Times New Roman" w:hAnsi="Times New Roman" w:cs="Times New Roman"/>
          <w:i/>
          <w:snapToGrid w:val="0"/>
        </w:rPr>
        <w:t>post-hoc</w:t>
      </w:r>
      <w:r w:rsidRPr="00350BD0">
        <w:rPr>
          <w:rFonts w:ascii="Times New Roman" w:eastAsia="Times New Roman" w:hAnsi="Times New Roman" w:cs="Times New Roman"/>
          <w:snapToGrid w:val="0"/>
        </w:rPr>
        <w:t>) parodė, kad širdies nepakankamumas (bendras apibūdinimas) pasireiškė dažniau tiriamiesiems, vartojantiems dutasteridą kartu su alfa</w:t>
      </w:r>
      <w:r w:rsidRPr="00350BD0">
        <w:rPr>
          <w:rFonts w:ascii="Times New Roman" w:eastAsia="Times New Roman" w:hAnsi="Times New Roman" w:cs="Times New Roman"/>
          <w:snapToGrid w:val="0"/>
          <w:vertAlign w:val="subscript"/>
        </w:rPr>
        <w:t>1</w:t>
      </w:r>
      <w:r w:rsidRPr="00350BD0">
        <w:rPr>
          <w:rFonts w:ascii="Times New Roman" w:eastAsia="Times New Roman" w:hAnsi="Times New Roman" w:cs="Times New Roman"/>
          <w:snapToGrid w:val="0"/>
        </w:rPr>
        <w:t xml:space="preserve"> adrenoreceptorių blokatoriumi (12 iš 1 152, 1,0 %), palyginti su tiriamaisiais, vartojusiais dutasteridą be alfa</w:t>
      </w:r>
      <w:r w:rsidRPr="00350BD0">
        <w:rPr>
          <w:rFonts w:ascii="Times New Roman" w:eastAsia="Times New Roman" w:hAnsi="Times New Roman" w:cs="Times New Roman"/>
          <w:snapToGrid w:val="0"/>
          <w:vertAlign w:val="subscript"/>
        </w:rPr>
        <w:t>1</w:t>
      </w:r>
      <w:r w:rsidRPr="00350BD0">
        <w:rPr>
          <w:rFonts w:ascii="Times New Roman" w:eastAsia="Times New Roman" w:hAnsi="Times New Roman" w:cs="Times New Roman"/>
          <w:snapToGrid w:val="0"/>
        </w:rPr>
        <w:t xml:space="preserve"> adrenoreceptorių blokatoriaus (18 iš 2 953, 0,6 %), placebą kartu su alfa</w:t>
      </w:r>
      <w:r w:rsidRPr="00350BD0">
        <w:rPr>
          <w:rFonts w:ascii="Times New Roman" w:eastAsia="Times New Roman" w:hAnsi="Times New Roman" w:cs="Times New Roman"/>
          <w:snapToGrid w:val="0"/>
          <w:vertAlign w:val="subscript"/>
        </w:rPr>
        <w:t>1</w:t>
      </w:r>
      <w:r w:rsidRPr="00350BD0">
        <w:rPr>
          <w:rFonts w:ascii="Times New Roman" w:eastAsia="Times New Roman" w:hAnsi="Times New Roman" w:cs="Times New Roman"/>
          <w:snapToGrid w:val="0"/>
        </w:rPr>
        <w:t xml:space="preserve"> adrenoreceptorių </w:t>
      </w:r>
      <w:r w:rsidRPr="00350BD0">
        <w:rPr>
          <w:rFonts w:ascii="Times New Roman" w:eastAsia="Times New Roman" w:hAnsi="Times New Roman" w:cs="Times New Roman"/>
          <w:snapToGrid w:val="0"/>
        </w:rPr>
        <w:lastRenderedPageBreak/>
        <w:t>blokatoriumi (1 iš 1 399, &lt; 0,1 %) arba placebą be alfa</w:t>
      </w:r>
      <w:r w:rsidRPr="00350BD0">
        <w:rPr>
          <w:rFonts w:ascii="Times New Roman" w:eastAsia="Times New Roman" w:hAnsi="Times New Roman" w:cs="Times New Roman"/>
          <w:snapToGrid w:val="0"/>
          <w:vertAlign w:val="subscript"/>
        </w:rPr>
        <w:t>1</w:t>
      </w:r>
      <w:r w:rsidRPr="00350BD0">
        <w:rPr>
          <w:rFonts w:ascii="Times New Roman" w:eastAsia="Times New Roman" w:hAnsi="Times New Roman" w:cs="Times New Roman"/>
          <w:snapToGrid w:val="0"/>
        </w:rPr>
        <w:t xml:space="preserve"> adrenoreceptorių blokatoriaus (15 iš 2 727, 0,6 %).</w:t>
      </w:r>
    </w:p>
    <w:p w14:paraId="0F0005C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EE9C8A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Remiantis 12 atsitiktinių imčių placebu ar palyginamuoju vaistiniu preparatu kontroliuojamųjų tyrimų (n = 18 802), kurių metu buvo įvertinta širdies ir kraujagyslių nepageidaujamų reiškinių atsiradimo vartojant dutasteridą (palyginti su kontroliniu preparatu) rizika, metaanalizės duomenimis, pastovaus statistiškai reikšmingo širdies nepakankamumo (SR 1,05; PI 95 % 0,71, 1,57), ūminio miokardo infarkto (SR 1,00; PI 95 % 0,77, 1,30) ar insulto (SR 1,20; PI 95 % 0,88, 1,64) rizikos padidėjimo nepastebėta.</w:t>
      </w:r>
    </w:p>
    <w:p w14:paraId="39C2AA9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7C1673F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Prostatos vėžys ir didelio laipsnio navikai</w:t>
      </w:r>
    </w:p>
    <w:p w14:paraId="046B84C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BD27D9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Remiantis 4 metus trukusio dutasterido palyginimo su placebu tyrimo, kuriame dalyvavo 8 231 50</w:t>
      </w:r>
      <w:r w:rsidRPr="00350BD0">
        <w:rPr>
          <w:rFonts w:ascii="Times New Roman" w:eastAsia="Times New Roman" w:hAnsi="Times New Roman" w:cs="Times New Roman"/>
          <w:snapToGrid w:val="0"/>
        </w:rPr>
        <w:noBreakHyphen/>
        <w:t>75 metų vyras, kuriems pirmiau atliktos biopsijos prostatos vėžiui diagnozuoti duomenys buvo neigiami ir pradinė PSA koncentracija buvo nuo 2,5 ng/ml iki 10,0 ng/ml 50</w:t>
      </w:r>
      <w:r w:rsidRPr="00350BD0">
        <w:rPr>
          <w:rFonts w:ascii="Times New Roman" w:eastAsia="Times New Roman" w:hAnsi="Times New Roman" w:cs="Times New Roman"/>
          <w:snapToGrid w:val="0"/>
        </w:rPr>
        <w:noBreakHyphen/>
        <w:t>60 metų vyrams arba nuo 3 ng/ml iki 10,0 ng/ml vyresniems kaip 60 metų vyrams (</w:t>
      </w:r>
      <w:r w:rsidRPr="00350BD0">
        <w:rPr>
          <w:rFonts w:ascii="Times New Roman" w:eastAsia="Times New Roman" w:hAnsi="Times New Roman" w:cs="Times New Roman"/>
          <w:i/>
          <w:snapToGrid w:val="0"/>
        </w:rPr>
        <w:t>REDUCE</w:t>
      </w:r>
      <w:r w:rsidRPr="00350BD0">
        <w:rPr>
          <w:rFonts w:ascii="Times New Roman" w:eastAsia="Times New Roman" w:hAnsi="Times New Roman" w:cs="Times New Roman"/>
          <w:snapToGrid w:val="0"/>
        </w:rPr>
        <w:t xml:space="preserve"> tyrimas), duomenimis, </w:t>
      </w:r>
      <w:r w:rsidRPr="00350BD0">
        <w:rPr>
          <w:rFonts w:ascii="Times New Roman" w:eastAsia="Times New Roman" w:hAnsi="Times New Roman" w:cs="Times New Roman"/>
          <w:iCs/>
          <w:snapToGrid w:val="0"/>
        </w:rPr>
        <w:t xml:space="preserve">Glisono </w:t>
      </w:r>
      <w:r w:rsidRPr="00350BD0">
        <w:rPr>
          <w:rFonts w:ascii="Times New Roman" w:eastAsia="Times New Roman" w:hAnsi="Times New Roman" w:cs="Times New Roman"/>
          <w:snapToGrid w:val="0"/>
        </w:rPr>
        <w:t>balų analizei buvo pateikti 6 706 tiriamųjų prostatos biopsijos adata (privaloma atlikti pagal protokolą) duomenys. Tyrimo metu prostatos vėžys buvo diagnozuotas 1 517 tiriamųjų. Dauguma prostatos vėžio atvejų, diagnozuotų pagal biopsijos duomenis abiejose gydymo grupėse, buvo mažo laipsnio (5</w:t>
      </w:r>
      <w:r w:rsidRPr="00350BD0">
        <w:rPr>
          <w:rFonts w:ascii="Times New Roman" w:eastAsia="Times New Roman" w:hAnsi="Times New Roman" w:cs="Times New Roman"/>
          <w:snapToGrid w:val="0"/>
        </w:rPr>
        <w:noBreakHyphen/>
        <w:t xml:space="preserve">6 laipsnio pagal </w:t>
      </w:r>
      <w:r w:rsidRPr="00350BD0">
        <w:rPr>
          <w:rFonts w:ascii="Times New Roman" w:eastAsia="Times New Roman" w:hAnsi="Times New Roman" w:cs="Times New Roman"/>
          <w:iCs/>
          <w:snapToGrid w:val="0"/>
        </w:rPr>
        <w:t>Glisono sistemą,</w:t>
      </w:r>
      <w:r w:rsidRPr="00350BD0">
        <w:rPr>
          <w:rFonts w:ascii="Times New Roman" w:eastAsia="Times New Roman" w:hAnsi="Times New Roman" w:cs="Times New Roman"/>
          <w:snapToGrid w:val="0"/>
        </w:rPr>
        <w:t xml:space="preserve"> 70 %).</w:t>
      </w:r>
    </w:p>
    <w:p w14:paraId="452A0BB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7911165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8</w:t>
      </w:r>
      <w:r w:rsidRPr="00350BD0">
        <w:rPr>
          <w:rFonts w:ascii="Times New Roman" w:eastAsia="Times New Roman" w:hAnsi="Times New Roman" w:cs="Times New Roman"/>
          <w:snapToGrid w:val="0"/>
        </w:rPr>
        <w:noBreakHyphen/>
        <w:t xml:space="preserve">10 laipsnio pagal </w:t>
      </w:r>
      <w:r w:rsidRPr="00350BD0">
        <w:rPr>
          <w:rFonts w:ascii="Times New Roman" w:eastAsia="Times New Roman" w:hAnsi="Times New Roman" w:cs="Times New Roman"/>
          <w:iCs/>
          <w:snapToGrid w:val="0"/>
        </w:rPr>
        <w:t>Glisono sistemą</w:t>
      </w:r>
      <w:r w:rsidRPr="00350BD0">
        <w:rPr>
          <w:rFonts w:ascii="Times New Roman" w:eastAsia="Times New Roman" w:hAnsi="Times New Roman" w:cs="Times New Roman"/>
          <w:snapToGrid w:val="0"/>
        </w:rPr>
        <w:t xml:space="preserve"> prostatos vėžys gydymo dutasteridu grupėje (n = 29, 0,9 %) buvo dažnesnis, palyginti su placebo grupe (n = 19, 0,6 %) (p = 0,15). </w:t>
      </w:r>
      <w:bookmarkStart w:id="4" w:name="_Hlk12535042"/>
      <w:r w:rsidRPr="00350BD0">
        <w:rPr>
          <w:rFonts w:ascii="Times New Roman" w:eastAsia="Times New Roman" w:hAnsi="Times New Roman" w:cs="Times New Roman"/>
          <w:snapToGrid w:val="0"/>
        </w:rPr>
        <w:t>Remiantis</w:t>
      </w:r>
      <w:bookmarkEnd w:id="4"/>
      <w:r w:rsidRPr="00350BD0">
        <w:rPr>
          <w:rFonts w:ascii="Times New Roman" w:eastAsia="Times New Roman" w:hAnsi="Times New Roman" w:cs="Times New Roman"/>
          <w:snapToGrid w:val="0"/>
        </w:rPr>
        <w:t xml:space="preserve"> pirmųjų ir antrųjų metų duomenimis, tiriamųjų, kuriems buvo diagnozuotas 8</w:t>
      </w:r>
      <w:r w:rsidRPr="00350BD0">
        <w:rPr>
          <w:rFonts w:ascii="Times New Roman" w:eastAsia="Times New Roman" w:hAnsi="Times New Roman" w:cs="Times New Roman"/>
          <w:snapToGrid w:val="0"/>
        </w:rPr>
        <w:noBreakHyphen/>
        <w:t xml:space="preserve">10 laipsnio pagal </w:t>
      </w:r>
      <w:r w:rsidRPr="00350BD0">
        <w:rPr>
          <w:rFonts w:ascii="Times New Roman" w:eastAsia="Times New Roman" w:hAnsi="Times New Roman" w:cs="Times New Roman"/>
          <w:iCs/>
          <w:snapToGrid w:val="0"/>
        </w:rPr>
        <w:t>Glisono</w:t>
      </w:r>
      <w:r w:rsidRPr="00350BD0">
        <w:rPr>
          <w:rFonts w:ascii="Times New Roman" w:eastAsia="Times New Roman" w:hAnsi="Times New Roman" w:cs="Times New Roman"/>
          <w:snapToGrid w:val="0"/>
        </w:rPr>
        <w:t xml:space="preserve"> sistemą prostatos vėžys, skaičius dutasterido (n = 17, 0,5 %) ir placebo grupėse (n = 18, 0,5 %) buvo panašus. Remiantis trečiųjų ir ketvirtųjų metų duomenimis, 8</w:t>
      </w:r>
      <w:r w:rsidRPr="00350BD0">
        <w:rPr>
          <w:rFonts w:ascii="Times New Roman" w:eastAsia="Times New Roman" w:hAnsi="Times New Roman" w:cs="Times New Roman"/>
          <w:snapToGrid w:val="0"/>
        </w:rPr>
        <w:noBreakHyphen/>
        <w:t xml:space="preserve">10 laipsnio pagal </w:t>
      </w:r>
      <w:r w:rsidRPr="00350BD0">
        <w:rPr>
          <w:rFonts w:ascii="Times New Roman" w:eastAsia="Times New Roman" w:hAnsi="Times New Roman" w:cs="Times New Roman"/>
          <w:iCs/>
          <w:snapToGrid w:val="0"/>
        </w:rPr>
        <w:t>Glisono sistemą</w:t>
      </w:r>
      <w:r w:rsidRPr="00350BD0">
        <w:rPr>
          <w:rFonts w:ascii="Times New Roman" w:eastAsia="Times New Roman" w:hAnsi="Times New Roman" w:cs="Times New Roman"/>
          <w:snapToGrid w:val="0"/>
        </w:rPr>
        <w:t xml:space="preserve"> prostatos vėžio atvejų dutasterido grupėje buvo diagnozuota daugiau (n = 12, 0,5 %), palyginti su placebo grupe (n = 1, &lt; 0,1 %) (p = 0,0035). Nėra duomenų apie dutasterido poveikį po ketvirtųjų metų vyrams, turintiems prostatos vėžio riziką. Tiriamųjų, kuriems diagnozuotas 8</w:t>
      </w:r>
      <w:r w:rsidRPr="00350BD0">
        <w:rPr>
          <w:rFonts w:ascii="Times New Roman" w:eastAsia="Times New Roman" w:hAnsi="Times New Roman" w:cs="Times New Roman"/>
          <w:snapToGrid w:val="0"/>
        </w:rPr>
        <w:noBreakHyphen/>
        <w:t xml:space="preserve">10 laipsnio pagal </w:t>
      </w:r>
      <w:r w:rsidRPr="00350BD0">
        <w:rPr>
          <w:rFonts w:ascii="Times New Roman" w:eastAsia="Times New Roman" w:hAnsi="Times New Roman" w:cs="Times New Roman"/>
          <w:iCs/>
          <w:snapToGrid w:val="0"/>
        </w:rPr>
        <w:t>Glisono</w:t>
      </w:r>
      <w:r w:rsidRPr="00350BD0">
        <w:rPr>
          <w:rFonts w:ascii="Times New Roman" w:eastAsia="Times New Roman" w:hAnsi="Times New Roman" w:cs="Times New Roman"/>
          <w:snapToGrid w:val="0"/>
        </w:rPr>
        <w:t xml:space="preserve"> sistemą prostatos vėžys, procentinė dalis tiriamaisiais laikotarpiais (pirmaisiais ir antraisiais arba trečiaisiais ir ketvirtaisiais metais) dutasterido grupėje nekito (0,5 % kiekvienu laikotarpiu), o placebo grupės tiriamųjų, kuriems buvo diagnozuotas 8</w:t>
      </w:r>
      <w:r w:rsidRPr="00350BD0">
        <w:rPr>
          <w:rFonts w:ascii="Times New Roman" w:eastAsia="Times New Roman" w:hAnsi="Times New Roman" w:cs="Times New Roman"/>
          <w:snapToGrid w:val="0"/>
        </w:rPr>
        <w:noBreakHyphen/>
        <w:t xml:space="preserve">10 laipsnio pagal </w:t>
      </w:r>
      <w:r w:rsidRPr="00350BD0">
        <w:rPr>
          <w:rFonts w:ascii="Times New Roman" w:eastAsia="Times New Roman" w:hAnsi="Times New Roman" w:cs="Times New Roman"/>
          <w:iCs/>
          <w:snapToGrid w:val="0"/>
        </w:rPr>
        <w:t>Glisono sistemą</w:t>
      </w:r>
      <w:r w:rsidRPr="00350BD0">
        <w:rPr>
          <w:rFonts w:ascii="Times New Roman" w:eastAsia="Times New Roman" w:hAnsi="Times New Roman" w:cs="Times New Roman"/>
          <w:snapToGrid w:val="0"/>
        </w:rPr>
        <w:t xml:space="preserve"> prostatos vėžys, procentinė dalis trečiaisiais ir ketvirtaisiais metais buvo mažesnė nei pirmaisiais ar antraisiais metais (atitinkamai &lt; 0,1 %, palyginti su 0,5 %) (žr. 4.4 skyrių). 7</w:t>
      </w:r>
      <w:r w:rsidRPr="00350BD0">
        <w:rPr>
          <w:rFonts w:ascii="Times New Roman" w:eastAsia="Times New Roman" w:hAnsi="Times New Roman" w:cs="Times New Roman"/>
          <w:snapToGrid w:val="0"/>
        </w:rPr>
        <w:noBreakHyphen/>
        <w:t xml:space="preserve">10 laipsnio pagal </w:t>
      </w:r>
      <w:r w:rsidRPr="00350BD0">
        <w:rPr>
          <w:rFonts w:ascii="Times New Roman" w:eastAsia="Times New Roman" w:hAnsi="Times New Roman" w:cs="Times New Roman"/>
          <w:iCs/>
          <w:snapToGrid w:val="0"/>
        </w:rPr>
        <w:t>Glisono sistemą</w:t>
      </w:r>
      <w:r w:rsidRPr="00350BD0">
        <w:rPr>
          <w:rFonts w:ascii="Times New Roman" w:eastAsia="Times New Roman" w:hAnsi="Times New Roman" w:cs="Times New Roman"/>
          <w:snapToGrid w:val="0"/>
        </w:rPr>
        <w:t xml:space="preserve"> prostatos vėžio dažnio skirtumų nebuvo (p = 0,81).</w:t>
      </w:r>
    </w:p>
    <w:p w14:paraId="1F9403A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C5C8F3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i/>
          <w:snapToGrid w:val="0"/>
        </w:rPr>
        <w:t>REDUCE</w:t>
      </w:r>
      <w:r w:rsidRPr="00350BD0">
        <w:rPr>
          <w:rFonts w:ascii="Times New Roman" w:eastAsia="Times New Roman" w:hAnsi="Times New Roman" w:cs="Times New Roman"/>
          <w:snapToGrid w:val="0"/>
        </w:rPr>
        <w:t xml:space="preserve"> tyrime dalyvavusių tiriamųjų papildomo stebėjimo 2 metus tyrimo metu naujų 8</w:t>
      </w:r>
      <w:r w:rsidRPr="00350BD0">
        <w:rPr>
          <w:rFonts w:ascii="Times New Roman" w:eastAsia="Times New Roman" w:hAnsi="Times New Roman" w:cs="Times New Roman"/>
          <w:snapToGrid w:val="0"/>
        </w:rPr>
        <w:noBreakHyphen/>
        <w:t xml:space="preserve">10 laipsnio pagal </w:t>
      </w:r>
      <w:r w:rsidRPr="00350BD0">
        <w:rPr>
          <w:rFonts w:ascii="Times New Roman" w:eastAsia="Times New Roman" w:hAnsi="Times New Roman" w:cs="Times New Roman"/>
          <w:iCs/>
          <w:snapToGrid w:val="0"/>
        </w:rPr>
        <w:t>Glisono sistemą</w:t>
      </w:r>
      <w:r w:rsidRPr="00350BD0">
        <w:rPr>
          <w:rFonts w:ascii="Times New Roman" w:eastAsia="Times New Roman" w:hAnsi="Times New Roman" w:cs="Times New Roman"/>
          <w:snapToGrid w:val="0"/>
        </w:rPr>
        <w:t xml:space="preserve"> prostatos vėžio atvejų nepastebėta.</w:t>
      </w:r>
    </w:p>
    <w:p w14:paraId="55EEBBE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2AC142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Remiantis 4 metus trukusio GPH (</w:t>
      </w:r>
      <w:r w:rsidRPr="00350BD0">
        <w:rPr>
          <w:rFonts w:ascii="Times New Roman" w:eastAsia="Times New Roman" w:hAnsi="Times New Roman" w:cs="Times New Roman"/>
          <w:i/>
          <w:snapToGrid w:val="0"/>
        </w:rPr>
        <w:t>CombAT</w:t>
      </w:r>
      <w:r w:rsidRPr="00350BD0">
        <w:rPr>
          <w:rFonts w:ascii="Times New Roman" w:eastAsia="Times New Roman" w:hAnsi="Times New Roman" w:cs="Times New Roman"/>
          <w:snapToGrid w:val="0"/>
        </w:rPr>
        <w:t>) tyrimo, kurio metu pagal protokolą nebuvo privaloma atlikti biopsijos ir prostatos vėžio diagnozė visais atvejais buvo pagrįsta, atlikus priežastinę biopsiją, duomenimis, 8</w:t>
      </w:r>
      <w:r w:rsidRPr="00350BD0">
        <w:rPr>
          <w:rFonts w:ascii="Times New Roman" w:eastAsia="Times New Roman" w:hAnsi="Times New Roman" w:cs="Times New Roman"/>
          <w:snapToGrid w:val="0"/>
        </w:rPr>
        <w:noBreakHyphen/>
        <w:t xml:space="preserve">10 laipsnio pagal </w:t>
      </w:r>
      <w:r w:rsidRPr="00350BD0">
        <w:rPr>
          <w:rFonts w:ascii="Times New Roman" w:eastAsia="Times New Roman" w:hAnsi="Times New Roman" w:cs="Times New Roman"/>
          <w:iCs/>
          <w:snapToGrid w:val="0"/>
        </w:rPr>
        <w:t>Glisono sistemą</w:t>
      </w:r>
      <w:r w:rsidRPr="00350BD0">
        <w:rPr>
          <w:rFonts w:ascii="Times New Roman" w:eastAsia="Times New Roman" w:hAnsi="Times New Roman" w:cs="Times New Roman"/>
          <w:snapToGrid w:val="0"/>
        </w:rPr>
        <w:t xml:space="preserve"> prostatos vėžio dažnis dutasterido grupėje buvo 0,5 % (n = 8), tamsulozino grupėje – 0,7 % (n = 11) ir kombinuoto gydymo grupėje – 0,3 % (n = 5).</w:t>
      </w:r>
    </w:p>
    <w:p w14:paraId="5E8D86E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767C9C3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Keturi skirtingi epidemiologijos tyrimai, pagrįsti populiacijos duomenimis (du iš kurių apima bendrą 174 895 tiriamųjų populiaciją, vienas – 13 892 tiriamųjų populiaciją ir vienas – 38 058 tiriamųjų populiaciją), atskleidė, kad 5 alfa reduktazės inhibitorių vartojimas nėra susijęs nei su didelio laipsnio prostatos vėžio atsiradimu, nei su mirtingumu nuo prostatos vėžio, nei su bendruoju mirtingumu.</w:t>
      </w:r>
    </w:p>
    <w:p w14:paraId="2580C29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7B5FD1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Ryšys tarp dutasterido ir didelio laipsnio prostatos vėžio yra neaiškus.</w:t>
      </w:r>
    </w:p>
    <w:p w14:paraId="7BBB13D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2F56A6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Poveikis lytinei funkcijai</w:t>
      </w:r>
    </w:p>
    <w:p w14:paraId="2BFF29D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76F5CB3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bookmarkStart w:id="5" w:name="_Hlk12535390"/>
      <w:r w:rsidRPr="00350BD0">
        <w:rPr>
          <w:rFonts w:ascii="Times New Roman" w:eastAsia="Times New Roman" w:hAnsi="Times New Roman" w:cs="Times New Roman"/>
          <w:snapToGrid w:val="0"/>
        </w:rPr>
        <w:t xml:space="preserve">Dutasterido ir tamsulozino derinio </w:t>
      </w:r>
      <w:bookmarkEnd w:id="5"/>
      <w:r w:rsidRPr="00350BD0">
        <w:rPr>
          <w:rFonts w:ascii="Times New Roman" w:eastAsia="Times New Roman" w:hAnsi="Times New Roman" w:cs="Times New Roman"/>
          <w:snapToGrid w:val="0"/>
        </w:rPr>
        <w:t xml:space="preserve">poveikis lytinei funkcijai buvo tirtas dvigubai koduoto, placebu kontroliuojamojo tyrimo, kuriame dalyvavo lytiškai aktyvūs vyrai, kuriems diagnozuota GPH (n = 243 dutasterido ir tamsulozino derinys, n = 246 placebas), metu. Derinio vartojimo grupėje 12-tą mėnesį buvo pastebėtas statistiškai reikšmingai (p &lt; 0,001) didesnis balo pagal vyrų lytinės sveikatos </w:t>
      </w:r>
      <w:r w:rsidRPr="00350BD0">
        <w:rPr>
          <w:rFonts w:ascii="Times New Roman" w:eastAsia="Times New Roman" w:hAnsi="Times New Roman" w:cs="Times New Roman"/>
          <w:snapToGrid w:val="0"/>
        </w:rPr>
        <w:lastRenderedPageBreak/>
        <w:t>klausimyną (angl.</w:t>
      </w:r>
      <w:r w:rsidRPr="00350BD0">
        <w:rPr>
          <w:rFonts w:ascii="Times New Roman" w:eastAsia="Times New Roman" w:hAnsi="Times New Roman" w:cs="Times New Roman"/>
          <w:i/>
          <w:snapToGrid w:val="0"/>
        </w:rPr>
        <w:t xml:space="preserve"> the Men’s Sexual Health Questionnaire</w:t>
      </w:r>
      <w:r w:rsidRPr="00350BD0">
        <w:rPr>
          <w:rFonts w:ascii="Times New Roman" w:eastAsia="Times New Roman" w:hAnsi="Times New Roman" w:cs="Times New Roman"/>
          <w:snapToGrid w:val="0"/>
        </w:rPr>
        <w:t>,</w:t>
      </w:r>
      <w:r w:rsidRPr="00350BD0">
        <w:rPr>
          <w:rFonts w:ascii="Times New Roman" w:eastAsia="Times New Roman" w:hAnsi="Times New Roman" w:cs="Times New Roman"/>
          <w:i/>
          <w:snapToGrid w:val="0"/>
        </w:rPr>
        <w:t xml:space="preserve"> MSHQ</w:t>
      </w:r>
      <w:r w:rsidRPr="00350BD0">
        <w:rPr>
          <w:rFonts w:ascii="Times New Roman" w:eastAsia="Times New Roman" w:hAnsi="Times New Roman" w:cs="Times New Roman"/>
          <w:snapToGrid w:val="0"/>
        </w:rPr>
        <w:t>) sumažėjimas (pablogėjimas). Sumažėjimas labiau buvo susijęs su blogesne ejakuliacija ir bendruoju pasitenkinimu nei erekcija. Toks poveikis nepaveikė tiriamųjų požiūrio į dutasterido ir tamsulozino derinio vartojimą, kuris per 12 mėnesių buvo vertinamas statistiškai reikšmingai didesniu pasitenkinimo lygiu, palyginti su placebu (p &lt; 0,05). Šio tyrimo metu lytinės funkcijos nepageidaujami reiškiniai pasireiškė per 12 gydymo mėnesių ir maždaug pusė jų išnyko per 6 mėnesius po gydymo.</w:t>
      </w:r>
    </w:p>
    <w:p w14:paraId="4E81E53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6842EF3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Žinoma, kad dutasterido ir tamsulozino derinys bei monoterapija dutasteridu nepageidaujamai veikia lytinę funkciją (žr. 4.8 skyrių).</w:t>
      </w:r>
    </w:p>
    <w:p w14:paraId="6ADF8CA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D230E8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Kaip buvo stebėta kituose klinikiniuose tyrimuose, įskaitant </w:t>
      </w:r>
      <w:r w:rsidRPr="00350BD0">
        <w:rPr>
          <w:rFonts w:ascii="Times New Roman" w:eastAsia="Times New Roman" w:hAnsi="Times New Roman" w:cs="Times New Roman"/>
          <w:i/>
          <w:snapToGrid w:val="0"/>
        </w:rPr>
        <w:t>CombAT</w:t>
      </w:r>
      <w:r w:rsidRPr="00350BD0">
        <w:rPr>
          <w:rFonts w:ascii="Times New Roman" w:eastAsia="Times New Roman" w:hAnsi="Times New Roman" w:cs="Times New Roman"/>
          <w:snapToGrid w:val="0"/>
        </w:rPr>
        <w:t xml:space="preserve"> ir </w:t>
      </w:r>
      <w:r w:rsidRPr="00350BD0">
        <w:rPr>
          <w:rFonts w:ascii="Times New Roman" w:eastAsia="Times New Roman" w:hAnsi="Times New Roman" w:cs="Times New Roman"/>
          <w:i/>
          <w:snapToGrid w:val="0"/>
        </w:rPr>
        <w:t>REDUCE</w:t>
      </w:r>
      <w:r w:rsidRPr="00350BD0">
        <w:rPr>
          <w:rFonts w:ascii="Times New Roman" w:eastAsia="Times New Roman" w:hAnsi="Times New Roman" w:cs="Times New Roman"/>
          <w:snapToGrid w:val="0"/>
        </w:rPr>
        <w:t xml:space="preserve"> tyrimus, tęsiant gydymą, bėgant laikui, su lytine funkcija susijusių nepageidaujamų reiškinių mažėja.</w:t>
      </w:r>
    </w:p>
    <w:p w14:paraId="64F1054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D63F2B3" w14:textId="77777777" w:rsidR="00350BD0" w:rsidRPr="00350BD0" w:rsidRDefault="00350BD0" w:rsidP="00350BD0">
      <w:pPr>
        <w:keepNext/>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Tamsulozinas</w:t>
      </w:r>
    </w:p>
    <w:p w14:paraId="4E626D35" w14:textId="77777777" w:rsidR="00350BD0" w:rsidRPr="00350BD0" w:rsidRDefault="00350BD0" w:rsidP="00350BD0">
      <w:pPr>
        <w:keepNext/>
        <w:tabs>
          <w:tab w:val="left" w:pos="567"/>
        </w:tabs>
        <w:spacing w:after="0" w:line="240" w:lineRule="auto"/>
        <w:contextualSpacing/>
        <w:outlineLvl w:val="0"/>
        <w:rPr>
          <w:rFonts w:ascii="Times New Roman" w:eastAsia="Times New Roman" w:hAnsi="Times New Roman" w:cs="Times New Roman"/>
          <w:snapToGrid w:val="0"/>
        </w:rPr>
      </w:pPr>
    </w:p>
    <w:p w14:paraId="31045C3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Tamsulozinas didina didžiausią šlapimo srovės greitį. Vaistinis preparatas atpalaiduoja prostatos ir šlaplės lygiuosius raumenis, taip sumažina obstrukciją ir dėl to lengvėja šlapinimosi simptomai. Be to, tamsulozinas palengvina šlapimo susilaikymo simptomus, kurių atsiradimui svarbus šlapimo pūslės nestabilumas. Toks poveikis šlapimo susilaikymo ir šlapinimosi simptomams išlieka ilgalaikio gydymo metu. Pacientą operuoti ar kateterizuoti prireikia žymiai vėliau.</w:t>
      </w:r>
    </w:p>
    <w:p w14:paraId="0F52EBF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7B336D3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Αlfa</w:t>
      </w:r>
      <w:r w:rsidRPr="00350BD0">
        <w:rPr>
          <w:rFonts w:ascii="Times New Roman" w:eastAsia="Times New Roman" w:hAnsi="Times New Roman" w:cs="Times New Roman"/>
          <w:snapToGrid w:val="0"/>
          <w:vertAlign w:val="subscript"/>
        </w:rPr>
        <w:t>1</w:t>
      </w:r>
      <w:r w:rsidRPr="00350BD0">
        <w:rPr>
          <w:rFonts w:ascii="Times New Roman" w:eastAsia="Times New Roman" w:hAnsi="Times New Roman" w:cs="Times New Roman"/>
          <w:snapToGrid w:val="0"/>
        </w:rPr>
        <w:t xml:space="preserve"> adrenoreceptorių blokatoriai gali mažinti kraujospūdį, mažindami periferinį pasipriešinimą. Tamsulozino tyrimų metu kliniškai reikšmingo kraujospūdžio sumažėjimo nepasireiškė.</w:t>
      </w:r>
    </w:p>
    <w:p w14:paraId="7EF10AC6" w14:textId="77777777" w:rsidR="00350BD0" w:rsidRPr="00350BD0" w:rsidRDefault="00350BD0" w:rsidP="00350BD0">
      <w:pPr>
        <w:spacing w:after="0" w:line="240" w:lineRule="auto"/>
        <w:rPr>
          <w:rFonts w:ascii="Times New Roman" w:eastAsia="Times New Roman" w:hAnsi="Times New Roman" w:cs="Times New Roman"/>
          <w:snapToGrid w:val="0"/>
        </w:rPr>
      </w:pPr>
    </w:p>
    <w:p w14:paraId="003758A0" w14:textId="77777777"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5.2</w:t>
      </w:r>
      <w:r w:rsidRPr="00350BD0">
        <w:rPr>
          <w:rFonts w:ascii="Times New Roman" w:eastAsia="Times New Roman" w:hAnsi="Times New Roman" w:cs="Times New Roman"/>
          <w:b/>
          <w:bCs/>
          <w:snapToGrid w:val="0"/>
          <w:lang w:eastAsia="x-none"/>
        </w:rPr>
        <w:tab/>
        <w:t>Farmakokinetinės savybės</w:t>
      </w:r>
    </w:p>
    <w:p w14:paraId="664FADFE" w14:textId="77777777" w:rsidR="00350BD0" w:rsidRPr="00350BD0" w:rsidRDefault="00350BD0" w:rsidP="00350BD0">
      <w:pPr>
        <w:spacing w:after="0" w:line="240" w:lineRule="auto"/>
        <w:rPr>
          <w:rFonts w:ascii="Times New Roman" w:eastAsia="Times New Roman" w:hAnsi="Times New Roman" w:cs="Times New Roman"/>
          <w:snapToGrid w:val="0"/>
        </w:rPr>
      </w:pPr>
    </w:p>
    <w:p w14:paraId="19D2C82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Nustatytas dutasterido ir tamsulozino derinio biologinis ekvivalentiškumas su atskirų dutasterido ir tamsulozino kapsulių vartojimu kartu.</w:t>
      </w:r>
    </w:p>
    <w:p w14:paraId="4654A6E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3894C57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Vienkartinės dozės biologinio ekvivalentiškumo tyrimas atliktas su nevalgiusiais ir pavalgiusiais tiriamaisiais. Dutasterido ir tamsulozino derinį vartojant po valgio, tamsulozino </w:t>
      </w:r>
      <w:r w:rsidRPr="00350BD0">
        <w:rPr>
          <w:rFonts w:ascii="Times New Roman" w:eastAsia="Times New Roman" w:hAnsi="Times New Roman" w:cs="Times New Roman"/>
          <w:i/>
          <w:snapToGrid w:val="0"/>
        </w:rPr>
        <w:t>C</w:t>
      </w:r>
      <w:r w:rsidRPr="00350BD0">
        <w:rPr>
          <w:rFonts w:ascii="Times New Roman" w:eastAsia="Times New Roman" w:hAnsi="Times New Roman" w:cs="Times New Roman"/>
          <w:i/>
          <w:snapToGrid w:val="0"/>
          <w:vertAlign w:val="subscript"/>
        </w:rPr>
        <w:t>max</w:t>
      </w:r>
      <w:r w:rsidRPr="00350BD0">
        <w:rPr>
          <w:rFonts w:ascii="Times New Roman" w:eastAsia="Times New Roman" w:hAnsi="Times New Roman" w:cs="Times New Roman"/>
          <w:snapToGrid w:val="0"/>
        </w:rPr>
        <w:t xml:space="preserve"> buvo 30 % mažesnis, palyginti su vartojamo nevalgius. Maistas neveikė tamsulozino </w:t>
      </w:r>
      <w:r w:rsidRPr="00350BD0">
        <w:rPr>
          <w:rFonts w:ascii="Times New Roman" w:eastAsia="Times New Roman" w:hAnsi="Times New Roman" w:cs="Times New Roman"/>
          <w:i/>
          <w:snapToGrid w:val="0"/>
        </w:rPr>
        <w:t>AUC</w:t>
      </w:r>
      <w:r w:rsidRPr="00350BD0">
        <w:rPr>
          <w:rFonts w:ascii="Times New Roman" w:eastAsia="Times New Roman" w:hAnsi="Times New Roman" w:cs="Times New Roman"/>
          <w:snapToGrid w:val="0"/>
        </w:rPr>
        <w:t>.</w:t>
      </w:r>
    </w:p>
    <w:p w14:paraId="3E691BC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u w:val="single"/>
        </w:rPr>
      </w:pPr>
    </w:p>
    <w:p w14:paraId="615AC90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u w:val="single"/>
        </w:rPr>
      </w:pPr>
      <w:r w:rsidRPr="00350BD0">
        <w:rPr>
          <w:rFonts w:ascii="Times New Roman" w:eastAsia="Times New Roman" w:hAnsi="Times New Roman" w:cs="Times New Roman"/>
          <w:snapToGrid w:val="0"/>
          <w:u w:val="single"/>
        </w:rPr>
        <w:t>Absorbcija</w:t>
      </w:r>
    </w:p>
    <w:p w14:paraId="72DEEC6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6D211E7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Dutasteridas</w:t>
      </w:r>
    </w:p>
    <w:p w14:paraId="2A9A814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Išgėrus vienkartinę 0,5 mg dutasterido dozę, dutasterido didžiausia koncentracija serume pasiekiama po 1–3 valandų. Absoliutusis biologinis įsisavinamumas yra maždaug 60 %. Maistas nedaro įtakos biologiniam įsisavinamumui.</w:t>
      </w:r>
    </w:p>
    <w:p w14:paraId="045EC76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3158EB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Tamsulozinas</w:t>
      </w:r>
    </w:p>
    <w:p w14:paraId="2D11E950" w14:textId="0DF6CDB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Tamsulozinas absorbuojamas iš žarnyno ir beveik visas patenka į sisteminę kraujotaką. Pavartojus tamsuloziną per 30 minučių prieš valgį arba po valgio, sumažėja ir absorbcijos greitis, ir mastas. Kad absorbcija būtų vienodesnė, galima rekomenduoti pacientui, kad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vartotų visada po tokio pat maisto pavalgymo. Tamsulozino ekspozicija plazmoje proporcinga dozei.</w:t>
      </w:r>
    </w:p>
    <w:p w14:paraId="2330772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55906B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Išgėrus vienkartinę tamsulozino dozę nevalgius, tamsulozino didžiausia koncentracija plazmoje pasiekiama maždaug po 6 valandų, o pusiausvyros apykaitos, kuri vartojant kartotines dozes, pasiekiama per 5 paras, sąlygomis vidutinė pusiausvyros apykaitos </w:t>
      </w:r>
      <w:r w:rsidRPr="00350BD0">
        <w:rPr>
          <w:rFonts w:ascii="Times New Roman" w:eastAsia="Times New Roman" w:hAnsi="Times New Roman" w:cs="Times New Roman"/>
          <w:i/>
          <w:snapToGrid w:val="0"/>
        </w:rPr>
        <w:t>C</w:t>
      </w:r>
      <w:r w:rsidRPr="00350BD0">
        <w:rPr>
          <w:rFonts w:ascii="Times New Roman" w:eastAsia="Times New Roman" w:hAnsi="Times New Roman" w:cs="Times New Roman"/>
          <w:i/>
          <w:snapToGrid w:val="0"/>
          <w:vertAlign w:val="subscript"/>
        </w:rPr>
        <w:t>max</w:t>
      </w:r>
      <w:r w:rsidRPr="00350BD0">
        <w:rPr>
          <w:rFonts w:ascii="Times New Roman" w:eastAsia="Times New Roman" w:hAnsi="Times New Roman" w:cs="Times New Roman"/>
          <w:snapToGrid w:val="0"/>
        </w:rPr>
        <w:t xml:space="preserve"> paciento organizme būna maždaug dviem trečdaliais didesnė nei po vienkartinės dozės. Šie duomenys nustatyti senyviems pacientams, visgi galima tikėtis, kad jaunesnių pacientų duomenys bus panašūs.</w:t>
      </w:r>
    </w:p>
    <w:p w14:paraId="1364512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A896257"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u w:val="single"/>
        </w:rPr>
      </w:pPr>
      <w:r w:rsidRPr="00350BD0">
        <w:rPr>
          <w:rFonts w:ascii="Times New Roman" w:eastAsia="Times New Roman" w:hAnsi="Times New Roman" w:cs="Times New Roman"/>
          <w:snapToGrid w:val="0"/>
          <w:u w:val="single"/>
        </w:rPr>
        <w:lastRenderedPageBreak/>
        <w:t>Pasiskirstymas</w:t>
      </w:r>
    </w:p>
    <w:p w14:paraId="538E670A"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p>
    <w:p w14:paraId="1913D6C2"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Dutasteridas</w:t>
      </w:r>
    </w:p>
    <w:p w14:paraId="29228813"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Dutasterido pasiskirstymo tūris yra didelis (300–500 l) ir daug jo prisijungia prie plazmos baltymų (&gt; 99,5 %). Kasdien vartojant dutasterido dozę, po 1 mėnesio dutasterido koncentracijos serume pasiekia 65 % pusiausvyros apykaitos koncentracijos, o po 3 mėnesių – maždaug 90 %.</w:t>
      </w:r>
    </w:p>
    <w:p w14:paraId="2CCB123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Po 6 mėnesių 0,5 mg dutasterido dozės vieną kartą per parą vartojimo pasiekiama 40 ng/ml pusiausvyros apykaitos koncentracija serume (</w:t>
      </w:r>
      <w:r w:rsidRPr="00350BD0">
        <w:rPr>
          <w:rFonts w:ascii="Times New Roman" w:eastAsia="Times New Roman" w:hAnsi="Times New Roman" w:cs="Times New Roman"/>
          <w:i/>
          <w:snapToGrid w:val="0"/>
        </w:rPr>
        <w:t>C</w:t>
      </w:r>
      <w:r w:rsidRPr="00350BD0">
        <w:rPr>
          <w:rFonts w:ascii="Times New Roman" w:eastAsia="Times New Roman" w:hAnsi="Times New Roman" w:cs="Times New Roman"/>
          <w:i/>
          <w:snapToGrid w:val="0"/>
          <w:vertAlign w:val="subscript"/>
        </w:rPr>
        <w:t>ss</w:t>
      </w:r>
      <w:r w:rsidRPr="00350BD0">
        <w:rPr>
          <w:rFonts w:ascii="Times New Roman" w:eastAsia="Times New Roman" w:hAnsi="Times New Roman" w:cs="Times New Roman"/>
          <w:snapToGrid w:val="0"/>
        </w:rPr>
        <w:t>). Iš serumo į spermą patenka vidutiniškai 11,5 % dutasterido.</w:t>
      </w:r>
    </w:p>
    <w:p w14:paraId="05860B7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271AA8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Tamsulozinas</w:t>
      </w:r>
    </w:p>
    <w:p w14:paraId="5DA77A3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Maždaug 99 % tamsulozino žmogaus organizme būna prisijungusio prie plazmos baltymų. Pasiskirstymo tūris yra mažas (maždaug 0,2 l/kg).</w:t>
      </w:r>
    </w:p>
    <w:p w14:paraId="7D07ADC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AA18A93" w14:textId="77777777" w:rsidR="00350BD0" w:rsidRPr="00350BD0" w:rsidRDefault="00350BD0" w:rsidP="00350BD0">
      <w:pPr>
        <w:keepNext/>
        <w:tabs>
          <w:tab w:val="left" w:pos="567"/>
        </w:tabs>
        <w:spacing w:after="0" w:line="240" w:lineRule="auto"/>
        <w:contextualSpacing/>
        <w:outlineLvl w:val="0"/>
        <w:rPr>
          <w:rFonts w:ascii="Times New Roman" w:eastAsia="Times New Roman" w:hAnsi="Times New Roman" w:cs="Times New Roman"/>
          <w:snapToGrid w:val="0"/>
          <w:u w:val="single"/>
        </w:rPr>
      </w:pPr>
      <w:r w:rsidRPr="00350BD0">
        <w:rPr>
          <w:rFonts w:ascii="Times New Roman" w:eastAsia="Times New Roman" w:hAnsi="Times New Roman" w:cs="Times New Roman"/>
          <w:snapToGrid w:val="0"/>
          <w:u w:val="single"/>
        </w:rPr>
        <w:t>Biotransformacija</w:t>
      </w:r>
    </w:p>
    <w:p w14:paraId="124DEB91" w14:textId="77777777" w:rsidR="00350BD0" w:rsidRPr="00350BD0" w:rsidRDefault="00350BD0" w:rsidP="00350BD0">
      <w:pPr>
        <w:keepNext/>
        <w:tabs>
          <w:tab w:val="left" w:pos="567"/>
        </w:tabs>
        <w:spacing w:after="0" w:line="240" w:lineRule="auto"/>
        <w:contextualSpacing/>
        <w:outlineLvl w:val="0"/>
        <w:rPr>
          <w:rFonts w:ascii="Times New Roman" w:eastAsia="Times New Roman" w:hAnsi="Times New Roman" w:cs="Times New Roman"/>
          <w:snapToGrid w:val="0"/>
        </w:rPr>
      </w:pPr>
    </w:p>
    <w:p w14:paraId="5252DC10" w14:textId="77777777" w:rsidR="00350BD0" w:rsidRPr="00350BD0" w:rsidRDefault="00350BD0" w:rsidP="00350BD0">
      <w:pPr>
        <w:keepNext/>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Dutasteridas</w:t>
      </w:r>
    </w:p>
    <w:p w14:paraId="4FD1291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i/>
          <w:snapToGrid w:val="0"/>
        </w:rPr>
        <w:t>In vivo</w:t>
      </w:r>
      <w:r w:rsidRPr="00350BD0">
        <w:rPr>
          <w:rFonts w:ascii="Times New Roman" w:eastAsia="Times New Roman" w:hAnsi="Times New Roman" w:cs="Times New Roman"/>
          <w:snapToGrid w:val="0"/>
        </w:rPr>
        <w:t xml:space="preserve"> metabolizuojama didelė dalis dutasterido. </w:t>
      </w:r>
      <w:r w:rsidRPr="00350BD0">
        <w:rPr>
          <w:rFonts w:ascii="Times New Roman" w:eastAsia="Times New Roman" w:hAnsi="Times New Roman" w:cs="Times New Roman"/>
          <w:i/>
          <w:snapToGrid w:val="0"/>
        </w:rPr>
        <w:t>In vitro</w:t>
      </w:r>
      <w:r w:rsidRPr="00350BD0">
        <w:rPr>
          <w:rFonts w:ascii="Times New Roman" w:eastAsia="Times New Roman" w:hAnsi="Times New Roman" w:cs="Times New Roman"/>
          <w:snapToGrid w:val="0"/>
        </w:rPr>
        <w:t xml:space="preserve"> dutasteridas metabolizuojamas, veikiant citochromo P450 3A4 ir 3A5 izofermentams į tris monohidroksilintus metabolitus ir vieną dihidroksilintą metabolitą.</w:t>
      </w:r>
    </w:p>
    <w:p w14:paraId="2622BBB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D890DB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Kai vartojant per burną 0,5 mg dutasterido paros dozes pasiekiama pusiausvyros apykaita, nuo 1 % iki 15,4 % (vidutiniškai 5,4 %) išgertos dozės šalinama nepakitusio dutasterido pavidalu su išmatomis. Kita dalis pasišalina su išmatomis 4 pagrindinių metabolitų, kurie sudaro 39 %, 21 %, 7 % ir 7 % vaistinio preparato dozės, pavidalu ir 6 metabolitų, kurių kiekis yra mažas (kiekvieno mažiau kaip 5 %), pavidalu. Nepakitusio dutasterido žmogaus šlapime aptikti tik pėdsakai (mažiau kaip 0,1 % dozės).</w:t>
      </w:r>
    </w:p>
    <w:p w14:paraId="2DDFE6F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1AC887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Tamsulozinas</w:t>
      </w:r>
    </w:p>
    <w:p w14:paraId="52FD1FC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Žmogaus organizme tamsulozino hidrochlorido [R(-) izomero] enantiomerinė biologinė konversija į S(+) izomerą nevyksta. Didelė dalis tamsulozino hidrochlorido metabolizuojama veikiant citochromo P450 fermentams kepenyse ir mažiau kaip 10 % dozės šalinama su šlapimu nepakitusio vaistinio preparato pavidalu. Vis dėlto metabolitų farmakokinetikos savybės žmogaus organizme nenustatytos. Tyrimų </w:t>
      </w:r>
      <w:r w:rsidRPr="00350BD0">
        <w:rPr>
          <w:rFonts w:ascii="Times New Roman" w:eastAsia="Times New Roman" w:hAnsi="Times New Roman" w:cs="Times New Roman"/>
          <w:i/>
          <w:snapToGrid w:val="0"/>
        </w:rPr>
        <w:t>in vitro</w:t>
      </w:r>
      <w:r w:rsidRPr="00350BD0">
        <w:rPr>
          <w:rFonts w:ascii="Times New Roman" w:eastAsia="Times New Roman" w:hAnsi="Times New Roman" w:cs="Times New Roman"/>
          <w:snapToGrid w:val="0"/>
        </w:rPr>
        <w:t xml:space="preserve"> duomenys rodo, kad tamsulozino metabolzimą veikia CYP3A4 ir CYP2D6, o kiti CYP izofermentai veikia mažiau. Dėl vaistinių preparatų metabolzimą veikiančių fermentų slopinimo tamsulozino ekspozicija gali padidėti</w:t>
      </w:r>
      <w:r w:rsidRPr="00350BD0">
        <w:rPr>
          <w:rFonts w:ascii="Times New Roman" w:eastAsia="Times New Roman" w:hAnsi="Times New Roman" w:cs="Times New Roman"/>
          <w:bCs/>
          <w:iCs/>
          <w:snapToGrid w:val="0"/>
        </w:rPr>
        <w:t xml:space="preserve"> (žr. 4.4 ir 4.5 skyrius).</w:t>
      </w:r>
      <w:r w:rsidRPr="00350BD0">
        <w:rPr>
          <w:rFonts w:ascii="Times New Roman" w:eastAsia="Times New Roman" w:hAnsi="Times New Roman" w:cs="Times New Roman"/>
          <w:snapToGrid w:val="0"/>
        </w:rPr>
        <w:t xml:space="preserve"> Didelė dalis tamsulozino hidrochlorido metabolitų prisijungia gliukuronidą ar sulfatą prieš pašalinant per inkstus.</w:t>
      </w:r>
    </w:p>
    <w:p w14:paraId="53B9764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CFC6AB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u w:val="single"/>
        </w:rPr>
      </w:pPr>
      <w:r w:rsidRPr="00350BD0">
        <w:rPr>
          <w:rFonts w:ascii="Times New Roman" w:eastAsia="Times New Roman" w:hAnsi="Times New Roman" w:cs="Times New Roman"/>
          <w:snapToGrid w:val="0"/>
          <w:u w:val="single"/>
        </w:rPr>
        <w:t>Eliminacija</w:t>
      </w:r>
    </w:p>
    <w:p w14:paraId="4A97139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20D8A17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Dutasteridas</w:t>
      </w:r>
    </w:p>
    <w:p w14:paraId="31B8136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Dutasterido eliminacija priklauso nuo dozės, ji vyksta lygiagrečiai dviem eliminacijos būdais: vienas jų yra įsotinamas esant kliniškai reikšmingoms koncentracijoms, o kitas – neįsotinamas. Jeigu koncentracija serume yra maža (mažesnė kaip 3 ng/ml), dutasteridas greitai pašalinamas ir nuo koncentracijos priklausomos, ir nepriklausomos eliminacijos būdais. Nustatyta, kad 5 mg ar mažesnės vienkartinės dozės klirensas yra greitas, o pusinės eliminacijos periodas trunka 3–9 paras.</w:t>
      </w:r>
    </w:p>
    <w:p w14:paraId="7DCC10F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8B4557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Vartojant kartotines 0,5 mg dutasterido paros dozes atsiradus gydomajai koncentracijai, vyrauja lėtesnis, linijinis eliminacijos būdas, todėl pusinės eliminacijos periodas trunka 3–5 savaites.</w:t>
      </w:r>
    </w:p>
    <w:p w14:paraId="594049E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25F937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Tamsulozinas</w:t>
      </w:r>
    </w:p>
    <w:p w14:paraId="77A9C5D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Tamsulozinas ir jo metabolitai daugiausiai šalinami su šlapimu, maždaug 9 % dozės nepakitusios veikliosios medžiagos pavidalu.</w:t>
      </w:r>
    </w:p>
    <w:p w14:paraId="471812D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1968E8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Vartojant į veną arba per burną greito atpalaidavimo formos vaistinį preparatą, tamsulozino pusinės eliminacijos iš plazmos periodas trunka 5</w:t>
      </w:r>
      <w:r w:rsidRPr="00350BD0">
        <w:rPr>
          <w:rFonts w:ascii="Times New Roman" w:eastAsia="Times New Roman" w:hAnsi="Times New Roman" w:cs="Times New Roman"/>
          <w:snapToGrid w:val="0"/>
        </w:rPr>
        <w:noBreakHyphen/>
        <w:t xml:space="preserve">7 valandas. Vartojant tamsulozino modifikuoto atpalaidavimo kapsules, farmakokinetika priklauso nuo absorbcijos greičio, todėl pavalgius pavartoto </w:t>
      </w:r>
      <w:r w:rsidRPr="00350BD0">
        <w:rPr>
          <w:rFonts w:ascii="Times New Roman" w:eastAsia="Times New Roman" w:hAnsi="Times New Roman" w:cs="Times New Roman"/>
          <w:snapToGrid w:val="0"/>
        </w:rPr>
        <w:lastRenderedPageBreak/>
        <w:t>tamsulozino tariamas pusinės eliminacijos iš plazmos periodas trunka maždaug 10 valandų, o pusiausvyros apykaitos sąlygomis – maždaug 13 valandų.</w:t>
      </w:r>
    </w:p>
    <w:p w14:paraId="07E5B5A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2763910" w14:textId="77777777" w:rsidR="00350BD0" w:rsidRPr="00350BD0" w:rsidRDefault="00350BD0" w:rsidP="00350BD0">
      <w:pPr>
        <w:keepNext/>
        <w:keepLines/>
        <w:tabs>
          <w:tab w:val="left" w:pos="567"/>
        </w:tabs>
        <w:spacing w:after="0" w:line="260" w:lineRule="exact"/>
        <w:rPr>
          <w:rFonts w:ascii="Times New Roman" w:eastAsia="Times New Roman" w:hAnsi="Times New Roman" w:cs="Times New Roman"/>
          <w:snapToGrid w:val="0"/>
          <w:u w:val="single"/>
        </w:rPr>
      </w:pPr>
      <w:r w:rsidRPr="00350BD0">
        <w:rPr>
          <w:rFonts w:ascii="Times New Roman" w:eastAsia="Times New Roman" w:hAnsi="Times New Roman" w:cs="Times New Roman"/>
          <w:snapToGrid w:val="0"/>
          <w:u w:val="single"/>
        </w:rPr>
        <w:t>Senyvi pacientai</w:t>
      </w:r>
    </w:p>
    <w:p w14:paraId="5C77C9AE" w14:textId="77777777" w:rsidR="00350BD0" w:rsidRPr="00350BD0" w:rsidRDefault="00350BD0" w:rsidP="00350BD0">
      <w:pPr>
        <w:keepNext/>
        <w:keepLines/>
        <w:tabs>
          <w:tab w:val="left" w:pos="567"/>
        </w:tabs>
        <w:spacing w:after="0" w:line="260" w:lineRule="exact"/>
        <w:rPr>
          <w:rFonts w:ascii="Times New Roman" w:eastAsia="Times New Roman" w:hAnsi="Times New Roman" w:cs="Times New Roman"/>
          <w:snapToGrid w:val="0"/>
        </w:rPr>
      </w:pPr>
    </w:p>
    <w:p w14:paraId="7A80F681" w14:textId="77777777" w:rsidR="00350BD0" w:rsidRPr="00350BD0" w:rsidRDefault="00350BD0" w:rsidP="00350BD0">
      <w:pPr>
        <w:keepNext/>
        <w:keepLines/>
        <w:tabs>
          <w:tab w:val="left" w:pos="567"/>
        </w:tabs>
        <w:spacing w:after="0" w:line="260" w:lineRule="exact"/>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Dutasteridas</w:t>
      </w:r>
    </w:p>
    <w:p w14:paraId="407DB6BD"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Įvertinta dutasterido farmakokinetika 36 sveikų 24–87 metų vyrų, išgėrusių vienkartinę 5 mg dutasterido dozę, organizme. Amžius reikšmingos įtakos dutasterido ekspozicijai neturėjo, bet pusinis periodas jaunesnių kaip 50 metų vyrų organizme buvo trumpesnis. Palyginus 50–69 metų ir vyresnių kaip 70 metų pacientų grupes, pusinis periodas statistiškai reikšmingai nesiskyrė.</w:t>
      </w:r>
    </w:p>
    <w:p w14:paraId="31D83E8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FE2F6D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Tamsulozinas</w:t>
      </w:r>
    </w:p>
    <w:p w14:paraId="51255CD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Kryžminio bendrosios tamsulozino hidrochlorido ekspozicijos (</w:t>
      </w:r>
      <w:r w:rsidRPr="00350BD0">
        <w:rPr>
          <w:rFonts w:ascii="Times New Roman" w:eastAsia="Times New Roman" w:hAnsi="Times New Roman" w:cs="Times New Roman"/>
          <w:i/>
          <w:snapToGrid w:val="0"/>
        </w:rPr>
        <w:t>AUC</w:t>
      </w:r>
      <w:r w:rsidRPr="00350BD0">
        <w:rPr>
          <w:rFonts w:ascii="Times New Roman" w:eastAsia="Times New Roman" w:hAnsi="Times New Roman" w:cs="Times New Roman"/>
          <w:snapToGrid w:val="0"/>
        </w:rPr>
        <w:t>) ir pusinio periodo tyrimų palyginimo duomenys rodo, kad tamsulozino hidrochlorido farmakokinetikos rodmenys senyvų vyrų organizme gali šiek tiek pailgėti, palyginti su jaunų sveikų vyrų savanorių. Vidinis klirensas nepriklauso nuo tamsulozino hidrochlorido prisijungimo prie alfa-1 rūgšties glikoproteinų, bet mažėja senstant, dėl to 55</w:t>
      </w:r>
      <w:r w:rsidRPr="00350BD0">
        <w:rPr>
          <w:rFonts w:ascii="Times New Roman" w:eastAsia="Times New Roman" w:hAnsi="Times New Roman" w:cs="Times New Roman"/>
          <w:snapToGrid w:val="0"/>
        </w:rPr>
        <w:noBreakHyphen/>
        <w:t>75 metų tiriamųjų organizme bendroji ekspozicija (</w:t>
      </w:r>
      <w:r w:rsidRPr="00350BD0">
        <w:rPr>
          <w:rFonts w:ascii="Times New Roman" w:eastAsia="Times New Roman" w:hAnsi="Times New Roman" w:cs="Times New Roman"/>
          <w:i/>
          <w:snapToGrid w:val="0"/>
        </w:rPr>
        <w:t>AUC</w:t>
      </w:r>
      <w:r w:rsidRPr="00350BD0">
        <w:rPr>
          <w:rFonts w:ascii="Times New Roman" w:eastAsia="Times New Roman" w:hAnsi="Times New Roman" w:cs="Times New Roman"/>
          <w:snapToGrid w:val="0"/>
        </w:rPr>
        <w:t>) buvo 40 % didesnė, palyginti su 20</w:t>
      </w:r>
      <w:r w:rsidRPr="00350BD0">
        <w:rPr>
          <w:rFonts w:ascii="Times New Roman" w:eastAsia="Times New Roman" w:hAnsi="Times New Roman" w:cs="Times New Roman"/>
          <w:snapToGrid w:val="0"/>
        </w:rPr>
        <w:noBreakHyphen/>
        <w:t>32 metų tiriamaisiais.</w:t>
      </w:r>
    </w:p>
    <w:p w14:paraId="21688FA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35C062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u w:val="single"/>
        </w:rPr>
      </w:pPr>
      <w:r w:rsidRPr="00350BD0">
        <w:rPr>
          <w:rFonts w:ascii="Times New Roman" w:eastAsia="Times New Roman" w:hAnsi="Times New Roman" w:cs="Times New Roman"/>
          <w:snapToGrid w:val="0"/>
          <w:u w:val="single"/>
        </w:rPr>
        <w:t>Sutrikusi inkstų funkcija</w:t>
      </w:r>
    </w:p>
    <w:p w14:paraId="3C651C7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E02360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Dutasteridas</w:t>
      </w:r>
    </w:p>
    <w:p w14:paraId="05DFB63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Inkstų funkcijos sutrikimo įtaka dutasterido farmakokinetikai netirta. Vis dėlto mažiau kaip 0,1 % pusiausvyros apykaitos sąlygomis pavartotos 0,5 mg dutasterido dozės šalinama iš žmogaus organizmo su šlapimu, todėl kliniškai reikšmingo dutasterido koncentracijos padidėjimo pacientų, kurie serga inkstų funkcijos sutrikimu, plazmoje nesitikima (žr. 4.2 skyrių).</w:t>
      </w:r>
    </w:p>
    <w:p w14:paraId="725DFF4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1B16E91D" w14:textId="77777777" w:rsidR="00350BD0" w:rsidRPr="00350BD0" w:rsidRDefault="00350BD0" w:rsidP="00350BD0">
      <w:pPr>
        <w:keepNext/>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Tamsulozinas</w:t>
      </w:r>
    </w:p>
    <w:p w14:paraId="58F9B88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Buvo palyginta tamsulozino hidrochlorido farmakokinetika 6 tiriamųjų, kuriems pasireiškia lengvas ar vidutinio sunkumo (30 ≤ kreatinino klirensas &lt; 70 ml/min./1,73 m</w:t>
      </w:r>
      <w:r w:rsidRPr="00350BD0">
        <w:rPr>
          <w:rFonts w:ascii="Times New Roman" w:eastAsia="Times New Roman" w:hAnsi="Times New Roman" w:cs="Times New Roman"/>
          <w:snapToGrid w:val="0"/>
          <w:vertAlign w:val="superscript"/>
        </w:rPr>
        <w:t>2</w:t>
      </w:r>
      <w:r w:rsidRPr="00350BD0">
        <w:rPr>
          <w:rFonts w:ascii="Times New Roman" w:eastAsia="Times New Roman" w:hAnsi="Times New Roman" w:cs="Times New Roman"/>
          <w:snapToGrid w:val="0"/>
        </w:rPr>
        <w:t>) arba vidutinio sunkumo ar sunkus (10 ≤ kreatinino klirensas &lt; 30 ml/min./1,73 m</w:t>
      </w:r>
      <w:r w:rsidRPr="00350BD0">
        <w:rPr>
          <w:rFonts w:ascii="Times New Roman" w:eastAsia="Times New Roman" w:hAnsi="Times New Roman" w:cs="Times New Roman"/>
          <w:snapToGrid w:val="0"/>
          <w:vertAlign w:val="superscript"/>
        </w:rPr>
        <w:t>2</w:t>
      </w:r>
      <w:r w:rsidRPr="00350BD0">
        <w:rPr>
          <w:rFonts w:ascii="Times New Roman" w:eastAsia="Times New Roman" w:hAnsi="Times New Roman" w:cs="Times New Roman"/>
          <w:snapToGrid w:val="0"/>
        </w:rPr>
        <w:t>) inkstų funkcijos sutrikimas, ir 6 tiriamųjų, kurių inkstų funkcija normali (kreatinino klirensas &gt; 90 ml/min./1,73 m</w:t>
      </w:r>
      <w:r w:rsidRPr="00350BD0">
        <w:rPr>
          <w:rFonts w:ascii="Times New Roman" w:eastAsia="Times New Roman" w:hAnsi="Times New Roman" w:cs="Times New Roman"/>
          <w:snapToGrid w:val="0"/>
          <w:vertAlign w:val="superscript"/>
        </w:rPr>
        <w:t>2</w:t>
      </w:r>
      <w:r w:rsidRPr="00350BD0">
        <w:rPr>
          <w:rFonts w:ascii="Times New Roman" w:eastAsia="Times New Roman" w:hAnsi="Times New Roman" w:cs="Times New Roman"/>
          <w:snapToGrid w:val="0"/>
        </w:rPr>
        <w:t>), organizme. Nustatytas tamsulozino hidrochlorido bendrosios koncentracijos plazmoje pokytis dėl pakitusio prisijungimo prie alfa-1 rūgšties glikoproteinų, o neprisijungusio (aktyvaus) tamsulozino hidrochlorido koncentracija ir vidinis klirensas buvo palyginti pastovūs. Todėl pacientams, kurie serga inkstų funkcijos sutrikimu, tamsulozino hidrochlorido kapsulių dozės keisti nebūtina. Vis dėlto tyrimų su pacientais, kurie serga galutinės stadijos inkstų liga (kreatinino klirensas &lt; 10 ml/min./1,73 m</w:t>
      </w:r>
      <w:r w:rsidRPr="00350BD0">
        <w:rPr>
          <w:rFonts w:ascii="Times New Roman" w:eastAsia="Times New Roman" w:hAnsi="Times New Roman" w:cs="Times New Roman"/>
          <w:snapToGrid w:val="0"/>
          <w:vertAlign w:val="superscript"/>
        </w:rPr>
        <w:t>2</w:t>
      </w:r>
      <w:r w:rsidRPr="00350BD0">
        <w:rPr>
          <w:rFonts w:ascii="Times New Roman" w:eastAsia="Times New Roman" w:hAnsi="Times New Roman" w:cs="Times New Roman"/>
          <w:snapToGrid w:val="0"/>
        </w:rPr>
        <w:t>), neatlikta.</w:t>
      </w:r>
    </w:p>
    <w:p w14:paraId="7F2804D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3D4E1C4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u w:val="single"/>
        </w:rPr>
      </w:pPr>
      <w:r w:rsidRPr="00350BD0">
        <w:rPr>
          <w:rFonts w:ascii="Times New Roman" w:eastAsia="Times New Roman" w:hAnsi="Times New Roman" w:cs="Times New Roman"/>
          <w:snapToGrid w:val="0"/>
          <w:u w:val="single"/>
        </w:rPr>
        <w:t>Sutrikusi kepenų funkcija</w:t>
      </w:r>
    </w:p>
    <w:p w14:paraId="78A05D0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3B1D07E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Dutasteridas</w:t>
      </w:r>
    </w:p>
    <w:p w14:paraId="63C5955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Kepenų funkcijos sutrikimo įtaka dutasterido farmakokinetikai netirta (žr. 4.3 skyrių). Dutasteridas eliminuojamas daugiausiai metabolizmo būdu, todėl tikėtina, kad tokių pacientų plazmoje dutasterido koncentracijos bus didesnės, o dutasterido pusinės eliminacijos periodas ilgesnis (žr. 4.2 ir 4.4 skyrius).</w:t>
      </w:r>
    </w:p>
    <w:p w14:paraId="2DFE213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94C035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Cs/>
          <w:snapToGrid w:val="0"/>
        </w:rPr>
      </w:pPr>
      <w:r w:rsidRPr="00350BD0">
        <w:rPr>
          <w:rFonts w:ascii="Times New Roman" w:eastAsia="Times New Roman" w:hAnsi="Times New Roman" w:cs="Times New Roman"/>
          <w:iCs/>
          <w:snapToGrid w:val="0"/>
        </w:rPr>
        <w:t>Tamsulozinas</w:t>
      </w:r>
    </w:p>
    <w:p w14:paraId="4428A60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Buvo palyginta tamsulozino hidrochlorido farmakokinetika 8 tiriamųjų, kuriems pasireiškia vidutinio sunkumo kepenų funkcijos sutrikimas (A ir B klasių pagal </w:t>
      </w:r>
      <w:r w:rsidRPr="00350BD0">
        <w:rPr>
          <w:rFonts w:ascii="Times New Roman" w:eastAsia="Times New Roman" w:hAnsi="Times New Roman" w:cs="Times New Roman"/>
          <w:i/>
          <w:snapToGrid w:val="0"/>
        </w:rPr>
        <w:t>Child-Pugh</w:t>
      </w:r>
      <w:r w:rsidRPr="00350BD0">
        <w:rPr>
          <w:rFonts w:ascii="Times New Roman" w:eastAsia="Times New Roman" w:hAnsi="Times New Roman" w:cs="Times New Roman"/>
          <w:snapToGrid w:val="0"/>
        </w:rPr>
        <w:t>), ir 8 tiriamųjų, kurių kepenų funkcija normali, organizme. Nustatytas tamsulozino hidrochlorido bendrosios koncentracijos plazmoje pokytis dėl pakitusio prisijungimo prie alfa-1 rūgšties glikoproteinų, o neprisijungusio (aktyvaus) tamsulozino hidrochlorido koncentracija ir vidinis klirensas reikšmingai nepakito, tik nežymiai (32 %) pakito neprisijungusio tamsulozino hidrochlorido vidinis klirensas. Todėl pacientams, kurie serga vidutinio sunkumo kepenų funkcijos sutrikimu, tamsulozino hidrochlorido dozės keisti nereikia. Tamsulozino hidrochlorido tyrimų su pacientais, kuriems pasireiškia sunkus kepenų funkcijos sutrikimas, neatlikta.</w:t>
      </w:r>
    </w:p>
    <w:p w14:paraId="66752AD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bCs/>
          <w:snapToGrid w:val="0"/>
        </w:rPr>
      </w:pPr>
    </w:p>
    <w:p w14:paraId="37F92F9B" w14:textId="77777777" w:rsidR="00350BD0" w:rsidRPr="00350BD0" w:rsidRDefault="00350BD0" w:rsidP="00350BD0">
      <w:pPr>
        <w:keepNext/>
        <w:keepLines/>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lastRenderedPageBreak/>
        <w:t>5.3</w:t>
      </w:r>
      <w:r w:rsidRPr="00350BD0">
        <w:rPr>
          <w:rFonts w:ascii="Times New Roman" w:eastAsia="Times New Roman" w:hAnsi="Times New Roman" w:cs="Times New Roman"/>
          <w:b/>
          <w:bCs/>
          <w:snapToGrid w:val="0"/>
          <w:lang w:eastAsia="x-none"/>
        </w:rPr>
        <w:tab/>
        <w:t>Ikiklinikinių saugumo tyrimų duomenys</w:t>
      </w:r>
    </w:p>
    <w:p w14:paraId="6DA41B4E" w14:textId="77777777" w:rsidR="00350BD0" w:rsidRPr="00350BD0" w:rsidRDefault="00350BD0" w:rsidP="00350BD0">
      <w:pPr>
        <w:keepNext/>
        <w:keepLines/>
        <w:spacing w:after="0" w:line="240" w:lineRule="auto"/>
        <w:rPr>
          <w:rFonts w:ascii="Times New Roman" w:eastAsia="Times New Roman" w:hAnsi="Times New Roman" w:cs="Times New Roman"/>
          <w:snapToGrid w:val="0"/>
        </w:rPr>
      </w:pPr>
    </w:p>
    <w:p w14:paraId="4BB882E9"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Dutasterido ir tamsulozino derinio ikiklinikinių tyrimų neatlikta. Su gyvūnais atlikta daug atskirai vartojamų dutasterido ir tamsulozino hidrochlorido toksiškumo tyrimų ir jų duomenys atitinka žinomą 5 alfa reduktazės inhibitorių ir alfa</w:t>
      </w:r>
      <w:r w:rsidRPr="00350BD0">
        <w:rPr>
          <w:rFonts w:ascii="Times New Roman" w:eastAsia="Times New Roman" w:hAnsi="Times New Roman" w:cs="Times New Roman"/>
          <w:snapToGrid w:val="0"/>
          <w:vertAlign w:val="subscript"/>
        </w:rPr>
        <w:t>1</w:t>
      </w:r>
      <w:r w:rsidRPr="00350BD0">
        <w:rPr>
          <w:rFonts w:ascii="Times New Roman" w:eastAsia="Times New Roman" w:hAnsi="Times New Roman" w:cs="Times New Roman"/>
          <w:snapToGrid w:val="0"/>
        </w:rPr>
        <w:t xml:space="preserve"> adrenoreceptorių blokatorių farmakologinį poveikį. Toliau pateikti duomenys atitinka turimą informaciją apie kiekvieną sudėtyje esančią veikliąją medžiagą.</w:t>
      </w:r>
    </w:p>
    <w:p w14:paraId="0082FCF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3C302F4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Dutasteridas</w:t>
      </w:r>
    </w:p>
    <w:p w14:paraId="1F93A26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p>
    <w:p w14:paraId="7DCADB6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Turimi bendrojo toksiškumo, genotoksiškumo ir kancerogeniškumo tyrimų duomenys specifinio pavojaus žmogui nerodo.</w:t>
      </w:r>
    </w:p>
    <w:p w14:paraId="6A50EEC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3DE4ACF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Toksinio poveikio reprodukcijai tyrimai su žiurkių patinais rodo prostatos ir sėklinių pūslelių masės sumažėjimą, pridėtinių lytinių liaukų sekrecijos sumažėjimą ir vislumo indeksų sumažėjimą (dėl farmakologinio dutasterido poveikio). Šių reiškinių klinikinė reikšmė nežinoma.</w:t>
      </w:r>
    </w:p>
    <w:p w14:paraId="08CB8E4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041E869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Veisimosi laikotarpiu skiriant dutasteridą, kaip ir kitus 5 alfa reduktazės inhibitorius, pastebėta vyriškos lyties žiurkių ir triušių vaisių feminizacija. Dutasterido buvo aptikta žiurkių patelių kraujyje po to, kai jos susiporavo su dutasteridu gydytais patinais. Primatams skiriant dutasteridą nėštumo laikotarpiu, vyriškos lyties vaisiui feminizacija nepasireiškė net kai vaistinio preparato ekspozicija kraujyje buvo daug didesnė nei galėtų būti vaistiniam preparatui patekus į moters organizmą su sperma. Nesitikima, kad su sperma į moters organizmą patekęs dutasteridas sukeltų nepageidaujamą poveikį vyriškos lyties vaisiui.</w:t>
      </w:r>
    </w:p>
    <w:p w14:paraId="221D792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FBD155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i/>
          <w:snapToGrid w:val="0"/>
        </w:rPr>
      </w:pPr>
      <w:r w:rsidRPr="00350BD0">
        <w:rPr>
          <w:rFonts w:ascii="Times New Roman" w:eastAsia="Times New Roman" w:hAnsi="Times New Roman" w:cs="Times New Roman"/>
          <w:i/>
          <w:snapToGrid w:val="0"/>
        </w:rPr>
        <w:t>Tamsulozinas</w:t>
      </w:r>
    </w:p>
    <w:p w14:paraId="73E8C4C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43D30BF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Bendrojo toksiškumo ir genotoksiškumo tyrimai specifinio pavojaus žmogui, kitokio nei susijusio su farmakologiniu tamsulozino poveikiu, nerodo.</w:t>
      </w:r>
    </w:p>
    <w:p w14:paraId="1280048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43ADFD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Remiantis kancerogeninio poveikio tyrimų su žiurkėmis ir pelėmis duomenimis, skiriant tamsulozino hidrochlorido, padažnėjo proliferacinių krūties liaukos pokyčių patelėms. Šiuos reiškinius greičiausiai skatina hiperprolaktinemija, jų atsiranda tik skiriant dideles dozes, kurios kliniškai nėra svarbios.</w:t>
      </w:r>
    </w:p>
    <w:p w14:paraId="71AB61A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56CD1B6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Didelės tamsulozino hidrochlorido dozės sukėlė grįžtamą vislumo sumažėjimą žiurkių patinams, kaip manoma, tai įvyko dėl spermos sudėties pokyčių ar ejakuliacijos sutrikimo. Tamsulozino poveikis spermatozoidų kiekiui ar funkcijai netirtas.</w:t>
      </w:r>
    </w:p>
    <w:p w14:paraId="15A0339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3DE7785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rPr>
        <w:t>Veisimosi laikotarpiu skiriant didesnes už gydomąją tamsulozino hidrochlorido dozes žiurkių ir triušių patelėms, žalingo poveikio vaisiui nepasireiškė.</w:t>
      </w:r>
    </w:p>
    <w:p w14:paraId="7400E863" w14:textId="77777777" w:rsidR="00350BD0" w:rsidRPr="00350BD0" w:rsidRDefault="00350BD0" w:rsidP="00350BD0">
      <w:pPr>
        <w:spacing w:after="0" w:line="240" w:lineRule="auto"/>
        <w:rPr>
          <w:rFonts w:ascii="Times New Roman" w:eastAsia="Times New Roman" w:hAnsi="Times New Roman" w:cs="Times New Roman"/>
          <w:snapToGrid w:val="0"/>
        </w:rPr>
      </w:pPr>
    </w:p>
    <w:p w14:paraId="61E01A0B" w14:textId="77777777" w:rsidR="00350BD0" w:rsidRPr="00350BD0" w:rsidRDefault="00350BD0" w:rsidP="00350BD0">
      <w:pPr>
        <w:spacing w:after="0" w:line="240" w:lineRule="auto"/>
        <w:rPr>
          <w:rFonts w:ascii="Times New Roman" w:eastAsia="Times New Roman" w:hAnsi="Times New Roman" w:cs="Times New Roman"/>
          <w:snapToGrid w:val="0"/>
        </w:rPr>
      </w:pPr>
    </w:p>
    <w:p w14:paraId="6D541067" w14:textId="77777777" w:rsidR="00350BD0" w:rsidRPr="00350BD0" w:rsidRDefault="00350BD0" w:rsidP="00350BD0">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6.</w:t>
      </w:r>
      <w:r w:rsidRPr="00350BD0">
        <w:rPr>
          <w:rFonts w:ascii="Times New Roman" w:eastAsia="Times New Roman" w:hAnsi="Times New Roman" w:cs="Times New Roman"/>
          <w:b/>
          <w:bCs/>
          <w:snapToGrid w:val="0"/>
          <w:lang w:eastAsia="x-none"/>
        </w:rPr>
        <w:tab/>
        <w:t>FARMACINĖ INFORMACIJA</w:t>
      </w:r>
    </w:p>
    <w:p w14:paraId="4D063BA6" w14:textId="77777777" w:rsidR="00350BD0" w:rsidRPr="00350BD0" w:rsidRDefault="00350BD0" w:rsidP="00350BD0">
      <w:pPr>
        <w:spacing w:after="0" w:line="240" w:lineRule="auto"/>
        <w:rPr>
          <w:rFonts w:ascii="Times New Roman" w:eastAsia="Times New Roman" w:hAnsi="Times New Roman" w:cs="Times New Roman"/>
          <w:snapToGrid w:val="0"/>
        </w:rPr>
      </w:pPr>
    </w:p>
    <w:p w14:paraId="032B2F71" w14:textId="77777777"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6.1</w:t>
      </w:r>
      <w:r w:rsidRPr="00350BD0">
        <w:rPr>
          <w:rFonts w:ascii="Times New Roman" w:eastAsia="Times New Roman" w:hAnsi="Times New Roman" w:cs="Times New Roman"/>
          <w:b/>
          <w:bCs/>
          <w:snapToGrid w:val="0"/>
          <w:lang w:eastAsia="x-none"/>
        </w:rPr>
        <w:tab/>
        <w:t>Pagalbinių medžiagų sąrašas</w:t>
      </w:r>
    </w:p>
    <w:p w14:paraId="2AC7B740" w14:textId="77777777" w:rsidR="00350BD0" w:rsidRPr="00350BD0" w:rsidRDefault="00350BD0" w:rsidP="00350BD0">
      <w:pPr>
        <w:spacing w:after="0" w:line="240" w:lineRule="auto"/>
        <w:rPr>
          <w:rFonts w:ascii="Times New Roman" w:eastAsia="Times New Roman" w:hAnsi="Times New Roman" w:cs="Times New Roman"/>
          <w:snapToGrid w:val="0"/>
        </w:rPr>
      </w:pPr>
    </w:p>
    <w:p w14:paraId="4ACDEAB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u w:val="single"/>
        </w:rPr>
      </w:pPr>
      <w:r w:rsidRPr="00350BD0">
        <w:rPr>
          <w:rFonts w:ascii="Times New Roman" w:eastAsia="Times New Roman" w:hAnsi="Times New Roman" w:cs="Times New Roman"/>
          <w:snapToGrid w:val="0"/>
          <w:szCs w:val="20"/>
          <w:u w:val="single"/>
        </w:rPr>
        <w:t>Kietosios kapsulės apvalkalas</w:t>
      </w:r>
    </w:p>
    <w:p w14:paraId="58B3595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Juodasis geležies oksidas (E172)</w:t>
      </w:r>
    </w:p>
    <w:p w14:paraId="7377EC3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Raudonasis geležies oksidas (E172)</w:t>
      </w:r>
    </w:p>
    <w:p w14:paraId="5AAD28D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Titano dioksidas (E171)</w:t>
      </w:r>
    </w:p>
    <w:p w14:paraId="4004582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Geltonasis geležies oksidas (E172)</w:t>
      </w:r>
    </w:p>
    <w:p w14:paraId="01B6DC2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Želatina</w:t>
      </w:r>
    </w:p>
    <w:p w14:paraId="5F27E9E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19443B4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u w:val="single"/>
        </w:rPr>
      </w:pPr>
      <w:r w:rsidRPr="00350BD0">
        <w:rPr>
          <w:rFonts w:ascii="Times New Roman" w:eastAsia="Times New Roman" w:hAnsi="Times New Roman" w:cs="Times New Roman"/>
          <w:snapToGrid w:val="0"/>
          <w:szCs w:val="20"/>
          <w:u w:val="single"/>
        </w:rPr>
        <w:t>Dutasterido minkštosios kapsulės turinys</w:t>
      </w:r>
    </w:p>
    <w:p w14:paraId="69A3CC4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Propilenglikolio monokaprilatas, II tipo</w:t>
      </w:r>
    </w:p>
    <w:p w14:paraId="4BE1327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Butilhidroksitoluenas (E321)</w:t>
      </w:r>
    </w:p>
    <w:p w14:paraId="195AA5B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45939806"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szCs w:val="20"/>
          <w:u w:val="single"/>
        </w:rPr>
      </w:pPr>
      <w:r w:rsidRPr="00350BD0">
        <w:rPr>
          <w:rFonts w:ascii="Times New Roman" w:eastAsia="Times New Roman" w:hAnsi="Times New Roman" w:cs="Times New Roman"/>
          <w:snapToGrid w:val="0"/>
          <w:szCs w:val="20"/>
          <w:u w:val="single"/>
        </w:rPr>
        <w:lastRenderedPageBreak/>
        <w:t>Minkštosios kapsulės apvalkalas</w:t>
      </w:r>
    </w:p>
    <w:p w14:paraId="4A3BE968" w14:textId="77777777"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Želatina</w:t>
      </w:r>
    </w:p>
    <w:p w14:paraId="777622B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Glicerolis</w:t>
      </w:r>
    </w:p>
    <w:p w14:paraId="0A1E512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Titano dioksidas (E171)</w:t>
      </w:r>
    </w:p>
    <w:p w14:paraId="481AE44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Vidutinės grandinės trigliceridai </w:t>
      </w:r>
    </w:p>
    <w:p w14:paraId="4AB5809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Lecitinas (sudėtyje gali būti sojų aliejaus)</w:t>
      </w:r>
    </w:p>
    <w:p w14:paraId="30121AA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41959305" w14:textId="77777777" w:rsidR="00350BD0" w:rsidRPr="00350BD0" w:rsidRDefault="00350BD0" w:rsidP="00350BD0">
      <w:pPr>
        <w:tabs>
          <w:tab w:val="left" w:pos="567"/>
        </w:tabs>
        <w:spacing w:after="0" w:line="260" w:lineRule="exact"/>
        <w:ind w:left="-5" w:right="38"/>
        <w:rPr>
          <w:rFonts w:ascii="Times New Roman" w:eastAsia="Times New Roman" w:hAnsi="Times New Roman" w:cs="Times New Roman"/>
          <w:snapToGrid w:val="0"/>
          <w:szCs w:val="20"/>
          <w:u w:val="single"/>
        </w:rPr>
      </w:pPr>
      <w:r w:rsidRPr="00350BD0">
        <w:rPr>
          <w:rFonts w:ascii="Times New Roman" w:eastAsia="Times New Roman" w:hAnsi="Times New Roman" w:cs="Times New Roman"/>
          <w:snapToGrid w:val="0"/>
          <w:szCs w:val="20"/>
          <w:u w:val="single"/>
        </w:rPr>
        <w:t>Tamsulozino granulės</w:t>
      </w:r>
    </w:p>
    <w:p w14:paraId="2236078D" w14:textId="7D79C5EF"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Metakrilo rūgšties ir etilakrilato </w:t>
      </w:r>
      <w:r w:rsidR="00AC240B">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1:1</w:t>
      </w:r>
      <w:r w:rsidR="00AC240B">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 xml:space="preserve"> kopolimero 30 % dispersija (sudėtyje yra natrio laurilsulfato, polisorbato 80)</w:t>
      </w:r>
    </w:p>
    <w:p w14:paraId="0DCC72C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Mikrokristalinė celiuliozė</w:t>
      </w:r>
    </w:p>
    <w:p w14:paraId="775D26B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Dibutilo sebakatas</w:t>
      </w:r>
    </w:p>
    <w:p w14:paraId="4BA3518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Polisorbatas 80</w:t>
      </w:r>
    </w:p>
    <w:p w14:paraId="537BD5C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Hidratuotas koloidinis silicio dioksidas </w:t>
      </w:r>
    </w:p>
    <w:p w14:paraId="50C5FBE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Kalcio stearatas</w:t>
      </w:r>
    </w:p>
    <w:p w14:paraId="565EA6D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0834381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u w:val="single"/>
        </w:rPr>
      </w:pPr>
      <w:r w:rsidRPr="00350BD0">
        <w:rPr>
          <w:rFonts w:ascii="Times New Roman" w:eastAsia="Times New Roman" w:hAnsi="Times New Roman" w:cs="Times New Roman"/>
          <w:snapToGrid w:val="0"/>
          <w:szCs w:val="20"/>
          <w:u w:val="single"/>
        </w:rPr>
        <w:t>Juodas rašalas</w:t>
      </w:r>
    </w:p>
    <w:p w14:paraId="5659837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Šelakas (E904)</w:t>
      </w:r>
    </w:p>
    <w:p w14:paraId="4315E27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Juodasis geležies oksidas (E172)</w:t>
      </w:r>
    </w:p>
    <w:p w14:paraId="399D044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Propilenglikolis (E1520)</w:t>
      </w:r>
    </w:p>
    <w:p w14:paraId="57BB1CD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Koncentruotas amoniako tirpalas (E527)</w:t>
      </w:r>
    </w:p>
    <w:p w14:paraId="404D812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Kalio hidroksidas (E525)</w:t>
      </w:r>
    </w:p>
    <w:p w14:paraId="785F847C" w14:textId="77777777" w:rsidR="00350BD0" w:rsidRPr="00350BD0" w:rsidRDefault="00350BD0" w:rsidP="00350BD0">
      <w:pPr>
        <w:spacing w:after="0" w:line="240" w:lineRule="auto"/>
        <w:rPr>
          <w:rFonts w:ascii="Times New Roman" w:eastAsia="Times New Roman" w:hAnsi="Times New Roman" w:cs="Times New Roman"/>
          <w:snapToGrid w:val="0"/>
        </w:rPr>
      </w:pPr>
    </w:p>
    <w:p w14:paraId="036A7D6A" w14:textId="77777777"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6.2</w:t>
      </w:r>
      <w:r w:rsidRPr="00350BD0">
        <w:rPr>
          <w:rFonts w:ascii="Times New Roman" w:eastAsia="Times New Roman" w:hAnsi="Times New Roman" w:cs="Times New Roman"/>
          <w:b/>
          <w:bCs/>
          <w:snapToGrid w:val="0"/>
          <w:lang w:eastAsia="x-none"/>
        </w:rPr>
        <w:tab/>
        <w:t>Nesuderinamumas</w:t>
      </w:r>
    </w:p>
    <w:p w14:paraId="275A026F" w14:textId="77777777" w:rsidR="00350BD0" w:rsidRPr="00350BD0" w:rsidRDefault="00350BD0" w:rsidP="00350BD0">
      <w:pPr>
        <w:spacing w:after="0" w:line="240" w:lineRule="auto"/>
        <w:rPr>
          <w:rFonts w:ascii="Times New Roman" w:eastAsia="Times New Roman" w:hAnsi="Times New Roman" w:cs="Times New Roman"/>
          <w:snapToGrid w:val="0"/>
        </w:rPr>
      </w:pPr>
    </w:p>
    <w:p w14:paraId="431C1545" w14:textId="77777777" w:rsidR="00350BD0" w:rsidRPr="00350BD0" w:rsidRDefault="00350BD0" w:rsidP="00350BD0">
      <w:pPr>
        <w:spacing w:after="0" w:line="240" w:lineRule="auto"/>
        <w:rPr>
          <w:rFonts w:ascii="Times New Roman" w:eastAsia="Times New Roman" w:hAnsi="Times New Roman" w:cs="Times New Roman"/>
          <w:snapToGrid w:val="0"/>
        </w:rPr>
      </w:pPr>
      <w:r w:rsidRPr="00350BD0">
        <w:rPr>
          <w:rFonts w:ascii="Times New Roman" w:eastAsia="Times New Roman" w:hAnsi="Times New Roman" w:cs="Times New Roman"/>
          <w:snapToGrid w:val="0"/>
        </w:rPr>
        <w:t>Duomenys nebūtini.</w:t>
      </w:r>
    </w:p>
    <w:p w14:paraId="2768D3B5" w14:textId="77777777" w:rsidR="00350BD0" w:rsidRPr="00350BD0" w:rsidRDefault="00350BD0" w:rsidP="00350BD0">
      <w:pPr>
        <w:spacing w:after="0" w:line="240" w:lineRule="auto"/>
        <w:rPr>
          <w:rFonts w:ascii="Times New Roman" w:eastAsia="Times New Roman" w:hAnsi="Times New Roman" w:cs="Times New Roman"/>
          <w:snapToGrid w:val="0"/>
        </w:rPr>
      </w:pPr>
    </w:p>
    <w:p w14:paraId="7B8E7FD9" w14:textId="77777777"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6.3</w:t>
      </w:r>
      <w:r w:rsidRPr="00350BD0">
        <w:rPr>
          <w:rFonts w:ascii="Times New Roman" w:eastAsia="Times New Roman" w:hAnsi="Times New Roman" w:cs="Times New Roman"/>
          <w:b/>
          <w:bCs/>
          <w:snapToGrid w:val="0"/>
          <w:lang w:eastAsia="x-none"/>
        </w:rPr>
        <w:tab/>
        <w:t>Tinkamumo laikas</w:t>
      </w:r>
    </w:p>
    <w:p w14:paraId="24CB9168" w14:textId="77777777" w:rsidR="00350BD0" w:rsidRPr="00350BD0" w:rsidRDefault="00350BD0" w:rsidP="00350BD0">
      <w:pPr>
        <w:spacing w:after="0" w:line="240" w:lineRule="auto"/>
        <w:rPr>
          <w:rFonts w:ascii="Times New Roman" w:eastAsia="Times New Roman" w:hAnsi="Times New Roman" w:cs="Times New Roman"/>
          <w:snapToGrid w:val="0"/>
        </w:rPr>
      </w:pPr>
    </w:p>
    <w:p w14:paraId="30961A13" w14:textId="77777777" w:rsidR="00350BD0" w:rsidRPr="00350BD0" w:rsidRDefault="00350BD0" w:rsidP="00350BD0">
      <w:pPr>
        <w:spacing w:after="0" w:line="240" w:lineRule="auto"/>
        <w:rPr>
          <w:rFonts w:ascii="Times New Roman" w:eastAsia="Times New Roman" w:hAnsi="Times New Roman" w:cs="Times New Roman"/>
          <w:snapToGrid w:val="0"/>
        </w:rPr>
      </w:pPr>
      <w:r w:rsidRPr="00350BD0">
        <w:rPr>
          <w:rFonts w:ascii="Times New Roman" w:eastAsia="Times New Roman" w:hAnsi="Times New Roman" w:cs="Times New Roman"/>
          <w:snapToGrid w:val="0"/>
        </w:rPr>
        <w:t>2 metai.</w:t>
      </w:r>
    </w:p>
    <w:p w14:paraId="097315D6" w14:textId="77777777" w:rsidR="00350BD0" w:rsidRPr="00350BD0" w:rsidRDefault="00350BD0" w:rsidP="00350BD0">
      <w:pPr>
        <w:spacing w:after="0" w:line="240" w:lineRule="auto"/>
        <w:rPr>
          <w:rFonts w:ascii="Times New Roman" w:eastAsia="Times New Roman" w:hAnsi="Times New Roman" w:cs="Times New Roman"/>
          <w:snapToGrid w:val="0"/>
        </w:rPr>
      </w:pPr>
    </w:p>
    <w:p w14:paraId="1F19586F" w14:textId="77777777"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6.4</w:t>
      </w:r>
      <w:r w:rsidRPr="00350BD0">
        <w:rPr>
          <w:rFonts w:ascii="Times New Roman" w:eastAsia="Times New Roman" w:hAnsi="Times New Roman" w:cs="Times New Roman"/>
          <w:b/>
          <w:bCs/>
          <w:snapToGrid w:val="0"/>
          <w:lang w:eastAsia="x-none"/>
        </w:rPr>
        <w:tab/>
        <w:t>Specialios laikymo sąlygos</w:t>
      </w:r>
    </w:p>
    <w:p w14:paraId="2A625BD0" w14:textId="77777777" w:rsidR="00350BD0" w:rsidRPr="00350BD0" w:rsidRDefault="00350BD0" w:rsidP="00350BD0">
      <w:pPr>
        <w:spacing w:after="0" w:line="240" w:lineRule="auto"/>
        <w:rPr>
          <w:rFonts w:ascii="Times New Roman" w:eastAsia="Times New Roman" w:hAnsi="Times New Roman" w:cs="Times New Roman"/>
          <w:snapToGrid w:val="0"/>
        </w:rPr>
      </w:pPr>
    </w:p>
    <w:p w14:paraId="1A690AF7" w14:textId="77777777" w:rsidR="00350BD0" w:rsidRPr="00350BD0" w:rsidRDefault="00350BD0" w:rsidP="00350BD0">
      <w:pPr>
        <w:spacing w:after="0" w:line="240" w:lineRule="auto"/>
        <w:rPr>
          <w:rFonts w:ascii="Times New Roman" w:eastAsia="Times New Roman" w:hAnsi="Times New Roman" w:cs="Times New Roman"/>
          <w:snapToGrid w:val="0"/>
          <w:color w:val="0D0D0D"/>
        </w:rPr>
      </w:pPr>
      <w:r w:rsidRPr="00350BD0">
        <w:rPr>
          <w:rFonts w:ascii="Times New Roman" w:eastAsia="Times New Roman" w:hAnsi="Times New Roman" w:cs="Times New Roman"/>
          <w:snapToGrid w:val="0"/>
          <w:color w:val="0D0D0D"/>
        </w:rPr>
        <w:t>Šiam vaistiniam preparatui specialių laikymo sąlygų nereikia.</w:t>
      </w:r>
    </w:p>
    <w:p w14:paraId="4AD65562" w14:textId="77777777" w:rsidR="00350BD0" w:rsidRPr="00350BD0" w:rsidRDefault="00350BD0" w:rsidP="00350BD0">
      <w:pPr>
        <w:spacing w:after="0" w:line="240" w:lineRule="auto"/>
        <w:rPr>
          <w:rFonts w:ascii="Times New Roman" w:eastAsia="Times New Roman" w:hAnsi="Times New Roman" w:cs="Times New Roman"/>
          <w:snapToGrid w:val="0"/>
        </w:rPr>
      </w:pPr>
    </w:p>
    <w:p w14:paraId="1B967E86" w14:textId="77777777"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6.5</w:t>
      </w:r>
      <w:r w:rsidRPr="00350BD0">
        <w:rPr>
          <w:rFonts w:ascii="Times New Roman" w:eastAsia="Times New Roman" w:hAnsi="Times New Roman" w:cs="Times New Roman"/>
          <w:b/>
          <w:bCs/>
          <w:snapToGrid w:val="0"/>
          <w:lang w:eastAsia="x-none"/>
        </w:rPr>
        <w:tab/>
        <w:t>Talpyklės pobūdis ir jos turinys</w:t>
      </w:r>
    </w:p>
    <w:p w14:paraId="7780A00F" w14:textId="77777777" w:rsidR="00350BD0" w:rsidRPr="00350BD0" w:rsidRDefault="00350BD0" w:rsidP="00350BD0">
      <w:pPr>
        <w:spacing w:after="0" w:line="240" w:lineRule="auto"/>
        <w:rPr>
          <w:rFonts w:ascii="Times New Roman" w:eastAsia="Times New Roman" w:hAnsi="Times New Roman" w:cs="Times New Roman"/>
          <w:snapToGrid w:val="0"/>
        </w:rPr>
      </w:pPr>
    </w:p>
    <w:p w14:paraId="1C89674C" w14:textId="77777777" w:rsidR="00350BD0" w:rsidRPr="00350BD0" w:rsidRDefault="00350BD0" w:rsidP="00350BD0">
      <w:pPr>
        <w:spacing w:after="0" w:line="240" w:lineRule="auto"/>
        <w:rPr>
          <w:rFonts w:ascii="Times New Roman" w:eastAsia="Times New Roman" w:hAnsi="Times New Roman" w:cs="Times New Roman"/>
          <w:snapToGrid w:val="0"/>
          <w:color w:val="0D0D0D"/>
        </w:rPr>
      </w:pPr>
      <w:r w:rsidRPr="00350BD0">
        <w:rPr>
          <w:rFonts w:ascii="Times New Roman" w:eastAsia="Times New Roman" w:hAnsi="Times New Roman" w:cs="Times New Roman"/>
          <w:snapToGrid w:val="0"/>
          <w:color w:val="0D0D0D"/>
        </w:rPr>
        <w:t>DTPE buteliukas su silikagelio sausikliu, esančiu polipropileno dangtelyje.</w:t>
      </w:r>
    </w:p>
    <w:p w14:paraId="5E4C8E39" w14:textId="77777777" w:rsidR="00350BD0" w:rsidRPr="00350BD0" w:rsidRDefault="00350BD0" w:rsidP="00350BD0">
      <w:pPr>
        <w:spacing w:after="0" w:line="240" w:lineRule="auto"/>
        <w:rPr>
          <w:rFonts w:ascii="Times New Roman" w:eastAsia="Times New Roman" w:hAnsi="Times New Roman" w:cs="Times New Roman"/>
          <w:snapToGrid w:val="0"/>
          <w:color w:val="0D0D0D"/>
        </w:rPr>
      </w:pPr>
    </w:p>
    <w:p w14:paraId="39F902B7" w14:textId="77777777" w:rsidR="00350BD0" w:rsidRPr="00350BD0" w:rsidRDefault="00350BD0" w:rsidP="00350BD0">
      <w:pPr>
        <w:spacing w:after="0" w:line="240" w:lineRule="auto"/>
        <w:rPr>
          <w:rFonts w:ascii="Times New Roman" w:eastAsia="Times New Roman" w:hAnsi="Times New Roman" w:cs="Times New Roman"/>
          <w:snapToGrid w:val="0"/>
          <w:color w:val="0D0D0D"/>
        </w:rPr>
      </w:pPr>
      <w:r w:rsidRPr="00350BD0">
        <w:rPr>
          <w:rFonts w:ascii="Times New Roman" w:eastAsia="Times New Roman" w:hAnsi="Times New Roman" w:cs="Times New Roman"/>
          <w:snapToGrid w:val="0"/>
          <w:color w:val="0D0D0D"/>
        </w:rPr>
        <w:t>7 kietosios kapsulės 35 ml buteliuke.</w:t>
      </w:r>
    </w:p>
    <w:p w14:paraId="20E9F070" w14:textId="77777777" w:rsidR="00350BD0" w:rsidRPr="00350BD0" w:rsidRDefault="00350BD0" w:rsidP="00350BD0">
      <w:pPr>
        <w:spacing w:after="0" w:line="240" w:lineRule="auto"/>
        <w:rPr>
          <w:rFonts w:ascii="Times New Roman" w:eastAsia="Times New Roman" w:hAnsi="Times New Roman" w:cs="Times New Roman"/>
          <w:snapToGrid w:val="0"/>
          <w:color w:val="0D0D0D"/>
        </w:rPr>
      </w:pPr>
      <w:r w:rsidRPr="00350BD0">
        <w:rPr>
          <w:rFonts w:ascii="Times New Roman" w:eastAsia="Times New Roman" w:hAnsi="Times New Roman" w:cs="Times New Roman"/>
          <w:snapToGrid w:val="0"/>
          <w:color w:val="0D0D0D"/>
        </w:rPr>
        <w:t xml:space="preserve">30 </w:t>
      </w:r>
      <w:bookmarkStart w:id="6" w:name="_Hlk12539381"/>
      <w:r w:rsidRPr="00350BD0">
        <w:rPr>
          <w:rFonts w:ascii="Times New Roman" w:eastAsia="Times New Roman" w:hAnsi="Times New Roman" w:cs="Times New Roman"/>
          <w:snapToGrid w:val="0"/>
          <w:color w:val="0D0D0D"/>
        </w:rPr>
        <w:t xml:space="preserve">kietųjų kapsulių </w:t>
      </w:r>
      <w:bookmarkEnd w:id="6"/>
      <w:r w:rsidRPr="00350BD0">
        <w:rPr>
          <w:rFonts w:ascii="Times New Roman" w:eastAsia="Times New Roman" w:hAnsi="Times New Roman" w:cs="Times New Roman"/>
          <w:snapToGrid w:val="0"/>
          <w:color w:val="0D0D0D"/>
        </w:rPr>
        <w:t>100 ml buteliuke.</w:t>
      </w:r>
    </w:p>
    <w:p w14:paraId="49B9B6E1" w14:textId="77777777" w:rsidR="00350BD0" w:rsidRPr="00350BD0" w:rsidRDefault="00350BD0" w:rsidP="00350BD0">
      <w:pPr>
        <w:spacing w:after="0" w:line="240" w:lineRule="auto"/>
        <w:rPr>
          <w:rFonts w:ascii="Times New Roman" w:eastAsia="Times New Roman" w:hAnsi="Times New Roman" w:cs="Times New Roman"/>
          <w:snapToGrid w:val="0"/>
          <w:color w:val="0D0D0D"/>
        </w:rPr>
      </w:pPr>
      <w:r w:rsidRPr="00350BD0">
        <w:rPr>
          <w:rFonts w:ascii="Times New Roman" w:eastAsia="Times New Roman" w:hAnsi="Times New Roman" w:cs="Times New Roman"/>
          <w:snapToGrid w:val="0"/>
          <w:color w:val="0D0D0D"/>
        </w:rPr>
        <w:t>90 kietųjų kapsulių 250 ml buteliuke.</w:t>
      </w:r>
    </w:p>
    <w:p w14:paraId="74A9A66F" w14:textId="77777777" w:rsidR="00350BD0" w:rsidRPr="00350BD0" w:rsidRDefault="00350BD0" w:rsidP="00350BD0">
      <w:pPr>
        <w:spacing w:after="0" w:line="240" w:lineRule="auto"/>
        <w:rPr>
          <w:rFonts w:ascii="Times New Roman" w:eastAsia="Times New Roman" w:hAnsi="Times New Roman" w:cs="Times New Roman"/>
          <w:snapToGrid w:val="0"/>
          <w:color w:val="0D0D0D"/>
        </w:rPr>
      </w:pPr>
    </w:p>
    <w:p w14:paraId="2B62E238" w14:textId="77777777" w:rsidR="00350BD0" w:rsidRPr="00350BD0" w:rsidRDefault="00350BD0" w:rsidP="00350BD0">
      <w:pPr>
        <w:spacing w:after="0" w:line="240" w:lineRule="auto"/>
        <w:rPr>
          <w:rFonts w:ascii="Times New Roman" w:eastAsia="Times New Roman" w:hAnsi="Times New Roman" w:cs="Times New Roman"/>
          <w:snapToGrid w:val="0"/>
          <w:color w:val="0D0D0D"/>
        </w:rPr>
      </w:pPr>
      <w:r w:rsidRPr="00350BD0">
        <w:rPr>
          <w:rFonts w:ascii="Times New Roman" w:eastAsia="Times New Roman" w:hAnsi="Times New Roman" w:cs="Times New Roman"/>
          <w:snapToGrid w:val="0"/>
          <w:color w:val="0D0D0D"/>
        </w:rPr>
        <w:t>Gali būti tiekiamos ne visų dydžių pakuotės.</w:t>
      </w:r>
    </w:p>
    <w:p w14:paraId="0B8D356B" w14:textId="77777777" w:rsidR="00350BD0" w:rsidRPr="00350BD0" w:rsidRDefault="00350BD0" w:rsidP="00350BD0">
      <w:pPr>
        <w:spacing w:after="0" w:line="240" w:lineRule="auto"/>
        <w:rPr>
          <w:rFonts w:ascii="Times New Roman" w:eastAsia="Times New Roman" w:hAnsi="Times New Roman" w:cs="Times New Roman"/>
          <w:snapToGrid w:val="0"/>
          <w:color w:val="0D0D0D"/>
        </w:rPr>
      </w:pPr>
    </w:p>
    <w:p w14:paraId="434710C1" w14:textId="77777777"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bookmarkStart w:id="7" w:name="OLE_LINK1"/>
      <w:r w:rsidRPr="00350BD0">
        <w:rPr>
          <w:rFonts w:ascii="Times New Roman" w:eastAsia="Times New Roman" w:hAnsi="Times New Roman" w:cs="Times New Roman"/>
          <w:b/>
          <w:bCs/>
          <w:snapToGrid w:val="0"/>
          <w:lang w:eastAsia="x-none"/>
        </w:rPr>
        <w:t>6.6</w:t>
      </w:r>
      <w:r w:rsidRPr="00350BD0">
        <w:rPr>
          <w:rFonts w:ascii="Times New Roman" w:eastAsia="Times New Roman" w:hAnsi="Times New Roman" w:cs="Times New Roman"/>
          <w:b/>
          <w:bCs/>
          <w:snapToGrid w:val="0"/>
          <w:lang w:eastAsia="x-none"/>
        </w:rPr>
        <w:tab/>
        <w:t xml:space="preserve">Specialūs reikalavimai atliekoms tvarkyti </w:t>
      </w:r>
    </w:p>
    <w:bookmarkEnd w:id="7"/>
    <w:p w14:paraId="185A8F83" w14:textId="77777777" w:rsidR="00350BD0" w:rsidRPr="00350BD0" w:rsidRDefault="00350BD0" w:rsidP="00350BD0">
      <w:pPr>
        <w:spacing w:after="0" w:line="240" w:lineRule="auto"/>
        <w:rPr>
          <w:rFonts w:ascii="Times New Roman" w:eastAsia="Times New Roman" w:hAnsi="Times New Roman" w:cs="Times New Roman"/>
          <w:snapToGrid w:val="0"/>
        </w:rPr>
      </w:pPr>
    </w:p>
    <w:p w14:paraId="65404E6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Dutasteridas absorbuojamas per odą, todėl reikia vengti sąlyčio su pažeistomis kapsulėmis. Prisilietus prie pažeistų kapsulių, lietimosi vietą reikia nedelsiant nuplauti muilu ir vandeniu (žr. 4.4 skyrių).</w:t>
      </w:r>
    </w:p>
    <w:p w14:paraId="6F0DDAD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0191D7EF" w14:textId="77777777" w:rsidR="00350BD0" w:rsidRPr="00350BD0" w:rsidRDefault="00350BD0" w:rsidP="00350BD0">
      <w:pPr>
        <w:spacing w:after="0" w:line="240" w:lineRule="auto"/>
        <w:rPr>
          <w:rFonts w:ascii="Times New Roman" w:eastAsia="Times New Roman" w:hAnsi="Times New Roman" w:cs="Times New Roman"/>
          <w:snapToGrid w:val="0"/>
        </w:rPr>
      </w:pPr>
      <w:r w:rsidRPr="00350BD0">
        <w:rPr>
          <w:rFonts w:ascii="Times New Roman" w:eastAsia="Times New Roman" w:hAnsi="Times New Roman" w:cs="Times New Roman"/>
          <w:snapToGrid w:val="0"/>
        </w:rPr>
        <w:t>Nesuvartotą vaistinį preparatą ar atliekas reikia tvarkyti laikantis vietinių reikalavimų.</w:t>
      </w:r>
    </w:p>
    <w:p w14:paraId="53158D51" w14:textId="77777777" w:rsidR="00350BD0" w:rsidRPr="00350BD0" w:rsidRDefault="00350BD0" w:rsidP="00350BD0">
      <w:pPr>
        <w:spacing w:after="0" w:line="240" w:lineRule="auto"/>
        <w:rPr>
          <w:rFonts w:ascii="Times New Roman" w:eastAsia="Times New Roman" w:hAnsi="Times New Roman" w:cs="Times New Roman"/>
          <w:snapToGrid w:val="0"/>
        </w:rPr>
      </w:pPr>
    </w:p>
    <w:p w14:paraId="7CDB3DAE" w14:textId="77777777" w:rsidR="00350BD0" w:rsidRPr="00350BD0" w:rsidRDefault="00350BD0" w:rsidP="00350BD0">
      <w:pPr>
        <w:spacing w:after="0" w:line="240" w:lineRule="auto"/>
        <w:rPr>
          <w:rFonts w:ascii="Times New Roman" w:eastAsia="Times New Roman" w:hAnsi="Times New Roman" w:cs="Times New Roman"/>
          <w:snapToGrid w:val="0"/>
        </w:rPr>
      </w:pPr>
    </w:p>
    <w:p w14:paraId="01DA3F0A" w14:textId="77777777" w:rsidR="00350BD0" w:rsidRPr="00350BD0" w:rsidRDefault="00350BD0" w:rsidP="00350BD0">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lastRenderedPageBreak/>
        <w:t>7.</w:t>
      </w:r>
      <w:r w:rsidRPr="00350BD0">
        <w:rPr>
          <w:rFonts w:ascii="Times New Roman" w:eastAsia="Times New Roman" w:hAnsi="Times New Roman" w:cs="Times New Roman"/>
          <w:b/>
          <w:bCs/>
          <w:snapToGrid w:val="0"/>
          <w:lang w:eastAsia="x-none"/>
        </w:rPr>
        <w:tab/>
        <w:t>REGISTRUOTOJAS</w:t>
      </w:r>
    </w:p>
    <w:p w14:paraId="2CB11BCE" w14:textId="77777777" w:rsidR="00350BD0" w:rsidRPr="00350BD0" w:rsidRDefault="00350BD0" w:rsidP="00350BD0">
      <w:pPr>
        <w:keepNext/>
        <w:keepLines/>
        <w:spacing w:after="0" w:line="240" w:lineRule="auto"/>
        <w:rPr>
          <w:rFonts w:ascii="Times New Roman" w:eastAsia="Times New Roman" w:hAnsi="Times New Roman" w:cs="Times New Roman"/>
          <w:snapToGrid w:val="0"/>
        </w:rPr>
      </w:pPr>
    </w:p>
    <w:p w14:paraId="21847805" w14:textId="0DF74FBD" w:rsidR="00350BD0" w:rsidRPr="00350BD0" w:rsidRDefault="00AC240B" w:rsidP="00350BD0">
      <w:pPr>
        <w:keepNext/>
        <w:keepLines/>
        <w:spacing w:after="0" w:line="240" w:lineRule="auto"/>
        <w:rPr>
          <w:rFonts w:ascii="Times New Roman" w:eastAsia="Times New Roman" w:hAnsi="Times New Roman" w:cs="Times New Roman"/>
          <w:snapToGrid w:val="0"/>
        </w:rPr>
      </w:pPr>
      <w:bookmarkStart w:id="8" w:name="_Hlk17189763"/>
      <w:r>
        <w:rPr>
          <w:rFonts w:ascii="Times New Roman" w:eastAsia="Times New Roman" w:hAnsi="Times New Roman" w:cs="Times New Roman"/>
          <w:snapToGrid w:val="0"/>
        </w:rPr>
        <w:t>Olpha AS,</w:t>
      </w:r>
    </w:p>
    <w:p w14:paraId="5C1F7E8A" w14:textId="77777777" w:rsidR="00AC240B" w:rsidRDefault="00350BD0" w:rsidP="00350BD0">
      <w:pPr>
        <w:keepNext/>
        <w:keepLines/>
        <w:spacing w:after="0" w:line="240" w:lineRule="auto"/>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Rupnicu </w:t>
      </w:r>
      <w:r w:rsidR="00AC240B">
        <w:rPr>
          <w:rFonts w:ascii="Times New Roman" w:eastAsia="Times New Roman" w:hAnsi="Times New Roman" w:cs="Times New Roman"/>
          <w:snapToGrid w:val="0"/>
        </w:rPr>
        <w:t xml:space="preserve">iela </w:t>
      </w:r>
      <w:r w:rsidRPr="00350BD0">
        <w:rPr>
          <w:rFonts w:ascii="Times New Roman" w:eastAsia="Times New Roman" w:hAnsi="Times New Roman" w:cs="Times New Roman"/>
          <w:snapToGrid w:val="0"/>
        </w:rPr>
        <w:t>5,</w:t>
      </w:r>
    </w:p>
    <w:p w14:paraId="71FD1B8D" w14:textId="0CE1AAF3" w:rsidR="00350BD0" w:rsidRPr="00350BD0" w:rsidRDefault="00350BD0" w:rsidP="00350BD0">
      <w:pPr>
        <w:keepNext/>
        <w:keepLines/>
        <w:spacing w:after="0" w:line="240" w:lineRule="auto"/>
        <w:rPr>
          <w:rFonts w:ascii="Times New Roman" w:eastAsia="Times New Roman" w:hAnsi="Times New Roman" w:cs="Times New Roman"/>
          <w:snapToGrid w:val="0"/>
        </w:rPr>
      </w:pPr>
      <w:r w:rsidRPr="00350BD0">
        <w:rPr>
          <w:rFonts w:ascii="Times New Roman" w:eastAsia="Times New Roman" w:hAnsi="Times New Roman" w:cs="Times New Roman"/>
          <w:snapToGrid w:val="0"/>
        </w:rPr>
        <w:t>Olaine</w:t>
      </w:r>
      <w:r w:rsidR="00AC240B">
        <w:rPr>
          <w:rFonts w:ascii="Times New Roman" w:eastAsia="Times New Roman" w:hAnsi="Times New Roman" w:cs="Times New Roman"/>
          <w:snapToGrid w:val="0"/>
        </w:rPr>
        <w:t>, Olaines novads,</w:t>
      </w:r>
      <w:r w:rsidR="00AC240B" w:rsidRPr="00AC240B">
        <w:rPr>
          <w:rFonts w:ascii="Times New Roman" w:eastAsia="Times New Roman" w:hAnsi="Times New Roman" w:cs="Times New Roman"/>
          <w:snapToGrid w:val="0"/>
        </w:rPr>
        <w:t xml:space="preserve"> </w:t>
      </w:r>
      <w:r w:rsidR="00AC240B" w:rsidRPr="00350BD0">
        <w:rPr>
          <w:rFonts w:ascii="Times New Roman" w:eastAsia="Times New Roman" w:hAnsi="Times New Roman" w:cs="Times New Roman"/>
          <w:snapToGrid w:val="0"/>
        </w:rPr>
        <w:t>LV</w:t>
      </w:r>
      <w:r w:rsidR="00AC240B" w:rsidRPr="00350BD0">
        <w:rPr>
          <w:rFonts w:ascii="Times New Roman" w:eastAsia="Times New Roman" w:hAnsi="Times New Roman" w:cs="Times New Roman"/>
          <w:snapToGrid w:val="0"/>
        </w:rPr>
        <w:noBreakHyphen/>
        <w:t>2114</w:t>
      </w:r>
      <w:r w:rsidR="00AC240B">
        <w:rPr>
          <w:rFonts w:ascii="Times New Roman" w:eastAsia="Times New Roman" w:hAnsi="Times New Roman" w:cs="Times New Roman"/>
          <w:snapToGrid w:val="0"/>
        </w:rPr>
        <w:t>,</w:t>
      </w:r>
    </w:p>
    <w:p w14:paraId="1616D1DB" w14:textId="14151BE9" w:rsidR="00350BD0" w:rsidRPr="00350BD0" w:rsidRDefault="00350BD0" w:rsidP="00350BD0">
      <w:pPr>
        <w:keepNext/>
        <w:keepLines/>
        <w:spacing w:after="0" w:line="240" w:lineRule="auto"/>
        <w:rPr>
          <w:rFonts w:ascii="Times New Roman" w:eastAsia="Times New Roman" w:hAnsi="Times New Roman" w:cs="Times New Roman"/>
          <w:snapToGrid w:val="0"/>
        </w:rPr>
      </w:pPr>
      <w:r w:rsidRPr="00350BD0">
        <w:rPr>
          <w:rFonts w:ascii="Times New Roman" w:eastAsia="Times New Roman" w:hAnsi="Times New Roman" w:cs="Times New Roman"/>
          <w:snapToGrid w:val="0"/>
        </w:rPr>
        <w:t>Latvija</w:t>
      </w:r>
    </w:p>
    <w:bookmarkEnd w:id="8"/>
    <w:p w14:paraId="047D8C1D" w14:textId="08ABCA64" w:rsidR="00350BD0" w:rsidRPr="00350BD0" w:rsidRDefault="00350BD0" w:rsidP="001427D8">
      <w:pPr>
        <w:spacing w:after="0" w:line="240" w:lineRule="auto"/>
        <w:rPr>
          <w:rFonts w:ascii="Times New Roman" w:eastAsia="Times New Roman" w:hAnsi="Times New Roman" w:cs="Times New Roman"/>
          <w:snapToGrid w:val="0"/>
        </w:rPr>
      </w:pPr>
    </w:p>
    <w:p w14:paraId="5F74E7EF" w14:textId="77777777" w:rsidR="00350BD0" w:rsidRPr="00350BD0" w:rsidRDefault="00350BD0" w:rsidP="00350BD0">
      <w:pPr>
        <w:spacing w:after="0" w:line="240" w:lineRule="auto"/>
        <w:rPr>
          <w:rFonts w:ascii="Times New Roman" w:eastAsia="Times New Roman" w:hAnsi="Times New Roman" w:cs="Times New Roman"/>
          <w:snapToGrid w:val="0"/>
        </w:rPr>
      </w:pPr>
    </w:p>
    <w:p w14:paraId="22F2ACE5" w14:textId="77777777" w:rsidR="00350BD0" w:rsidRPr="00350BD0" w:rsidRDefault="00350BD0" w:rsidP="00350BD0">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8.</w:t>
      </w:r>
      <w:r w:rsidRPr="00350BD0">
        <w:rPr>
          <w:rFonts w:ascii="Times New Roman" w:eastAsia="Times New Roman" w:hAnsi="Times New Roman" w:cs="Times New Roman"/>
          <w:b/>
          <w:bCs/>
          <w:snapToGrid w:val="0"/>
          <w:lang w:eastAsia="x-none"/>
        </w:rPr>
        <w:tab/>
        <w:t xml:space="preserve">REGISTRACIJOS PAŽYMĖJIMO NUMERIS (-IAI) </w:t>
      </w:r>
    </w:p>
    <w:p w14:paraId="52DF8456" w14:textId="77777777" w:rsidR="00350BD0" w:rsidRPr="00350BD0" w:rsidRDefault="00350BD0" w:rsidP="00350BD0">
      <w:pPr>
        <w:spacing w:after="0" w:line="240" w:lineRule="auto"/>
        <w:rPr>
          <w:rFonts w:ascii="Times New Roman" w:eastAsia="Times New Roman" w:hAnsi="Times New Roman" w:cs="Times New Roman"/>
          <w:snapToGrid w:val="0"/>
        </w:rPr>
      </w:pPr>
    </w:p>
    <w:p w14:paraId="63E4CB74" w14:textId="77777777" w:rsidR="00350BD0" w:rsidRPr="00350BD0" w:rsidRDefault="00350BD0" w:rsidP="00350BD0">
      <w:pPr>
        <w:tabs>
          <w:tab w:val="left" w:pos="567"/>
        </w:tabs>
        <w:spacing w:after="0" w:line="260" w:lineRule="exact"/>
        <w:rPr>
          <w:rFonts w:ascii="Times New Roman" w:eastAsia="Times New Roman" w:hAnsi="Times New Roman" w:cs="Times New Roman"/>
          <w:bCs/>
          <w:snapToGrid w:val="0"/>
        </w:rPr>
      </w:pPr>
      <w:r w:rsidRPr="00350BD0">
        <w:rPr>
          <w:rFonts w:ascii="Times New Roman" w:eastAsia="Times New Roman" w:hAnsi="Times New Roman" w:cs="Times New Roman"/>
          <w:snapToGrid w:val="0"/>
        </w:rPr>
        <w:t>LT/1/19/4487/001</w:t>
      </w:r>
      <w:r w:rsidRPr="00350BD0">
        <w:rPr>
          <w:rFonts w:ascii="Times New Roman" w:eastAsia="Times New Roman" w:hAnsi="Times New Roman" w:cs="Times New Roman"/>
          <w:bCs/>
          <w:snapToGrid w:val="0"/>
        </w:rPr>
        <w:t xml:space="preserve"> – N7</w:t>
      </w:r>
    </w:p>
    <w:p w14:paraId="5B5E16C7" w14:textId="77777777" w:rsidR="00350BD0" w:rsidRPr="00350BD0" w:rsidRDefault="00350BD0" w:rsidP="00350BD0">
      <w:pPr>
        <w:tabs>
          <w:tab w:val="left" w:pos="567"/>
        </w:tabs>
        <w:spacing w:after="0" w:line="260" w:lineRule="exact"/>
        <w:rPr>
          <w:rFonts w:ascii="Times New Roman" w:eastAsia="Times New Roman" w:hAnsi="Times New Roman" w:cs="Times New Roman"/>
          <w:bCs/>
          <w:snapToGrid w:val="0"/>
        </w:rPr>
      </w:pPr>
      <w:r w:rsidRPr="00350BD0">
        <w:rPr>
          <w:rFonts w:ascii="Times New Roman" w:eastAsia="Times New Roman" w:hAnsi="Times New Roman" w:cs="Times New Roman"/>
          <w:snapToGrid w:val="0"/>
        </w:rPr>
        <w:t>LT/1/19/4487/002</w:t>
      </w:r>
      <w:r w:rsidRPr="00350BD0">
        <w:rPr>
          <w:rFonts w:ascii="Times New Roman" w:eastAsia="Times New Roman" w:hAnsi="Times New Roman" w:cs="Times New Roman"/>
          <w:bCs/>
          <w:snapToGrid w:val="0"/>
        </w:rPr>
        <w:t xml:space="preserve"> – N30</w:t>
      </w:r>
    </w:p>
    <w:p w14:paraId="439CB0E0" w14:textId="77777777" w:rsidR="00350BD0" w:rsidRPr="00350BD0" w:rsidRDefault="00350BD0" w:rsidP="00350BD0">
      <w:pPr>
        <w:spacing w:after="0" w:line="240" w:lineRule="auto"/>
        <w:rPr>
          <w:rFonts w:ascii="Times New Roman" w:eastAsia="Times New Roman" w:hAnsi="Times New Roman" w:cs="Times New Roman"/>
          <w:bCs/>
          <w:snapToGrid w:val="0"/>
        </w:rPr>
      </w:pPr>
      <w:r w:rsidRPr="00350BD0">
        <w:rPr>
          <w:rFonts w:ascii="Times New Roman" w:eastAsia="Times New Roman" w:hAnsi="Times New Roman" w:cs="Times New Roman"/>
          <w:snapToGrid w:val="0"/>
        </w:rPr>
        <w:t>LT/1/19/4487/003</w:t>
      </w:r>
      <w:r w:rsidRPr="00350BD0">
        <w:rPr>
          <w:rFonts w:ascii="Times New Roman" w:eastAsia="Times New Roman" w:hAnsi="Times New Roman" w:cs="Times New Roman"/>
          <w:bCs/>
          <w:snapToGrid w:val="0"/>
        </w:rPr>
        <w:t xml:space="preserve"> – N90</w:t>
      </w:r>
    </w:p>
    <w:p w14:paraId="6D3A6062" w14:textId="77777777" w:rsidR="00350BD0" w:rsidRPr="00350BD0" w:rsidRDefault="00350BD0" w:rsidP="00350BD0">
      <w:pPr>
        <w:spacing w:after="0" w:line="240" w:lineRule="auto"/>
        <w:rPr>
          <w:rFonts w:ascii="Times New Roman" w:eastAsia="Times New Roman" w:hAnsi="Times New Roman" w:cs="Times New Roman"/>
          <w:bCs/>
          <w:snapToGrid w:val="0"/>
        </w:rPr>
      </w:pPr>
    </w:p>
    <w:p w14:paraId="739075BA" w14:textId="77777777" w:rsidR="00350BD0" w:rsidRPr="00350BD0" w:rsidRDefault="00350BD0" w:rsidP="00350BD0">
      <w:pPr>
        <w:spacing w:after="0" w:line="240" w:lineRule="auto"/>
        <w:rPr>
          <w:rFonts w:ascii="Times New Roman" w:eastAsia="Times New Roman" w:hAnsi="Times New Roman" w:cs="Times New Roman"/>
          <w:snapToGrid w:val="0"/>
        </w:rPr>
      </w:pPr>
    </w:p>
    <w:p w14:paraId="08015098" w14:textId="77777777" w:rsidR="00350BD0" w:rsidRPr="00350BD0" w:rsidRDefault="00350BD0" w:rsidP="00350BD0">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9.</w:t>
      </w:r>
      <w:r w:rsidRPr="00350BD0">
        <w:rPr>
          <w:rFonts w:ascii="Times New Roman" w:eastAsia="Times New Roman" w:hAnsi="Times New Roman" w:cs="Times New Roman"/>
          <w:b/>
          <w:bCs/>
          <w:snapToGrid w:val="0"/>
          <w:lang w:eastAsia="x-none"/>
        </w:rPr>
        <w:tab/>
        <w:t>REGISTRAVIMO / PERREGISTRAVIMO DATA</w:t>
      </w:r>
    </w:p>
    <w:p w14:paraId="357D799D" w14:textId="77777777" w:rsidR="00350BD0" w:rsidRPr="00350BD0" w:rsidRDefault="00350BD0" w:rsidP="00350BD0">
      <w:pPr>
        <w:spacing w:after="0" w:line="240" w:lineRule="auto"/>
        <w:rPr>
          <w:rFonts w:ascii="Times New Roman" w:eastAsia="Times New Roman" w:hAnsi="Times New Roman" w:cs="Times New Roman"/>
          <w:snapToGrid w:val="0"/>
        </w:rPr>
      </w:pPr>
    </w:p>
    <w:p w14:paraId="29AF3DD3" w14:textId="77777777" w:rsidR="00350BD0" w:rsidRPr="00350BD0" w:rsidRDefault="00350BD0" w:rsidP="00350BD0">
      <w:pPr>
        <w:spacing w:after="0" w:line="240" w:lineRule="auto"/>
        <w:rPr>
          <w:rFonts w:ascii="Times New Roman" w:eastAsia="Times New Roman" w:hAnsi="Times New Roman" w:cs="Times New Roman"/>
          <w:snapToGrid w:val="0"/>
        </w:rPr>
      </w:pPr>
      <w:r w:rsidRPr="00350BD0">
        <w:rPr>
          <w:rFonts w:ascii="Times New Roman" w:eastAsia="Times New Roman" w:hAnsi="Times New Roman" w:cs="Times New Roman"/>
          <w:snapToGrid w:val="0"/>
        </w:rPr>
        <w:t>Registravimo data 2019 m. lapkričio 11 d.</w:t>
      </w:r>
    </w:p>
    <w:p w14:paraId="035A2053" w14:textId="77777777" w:rsidR="00350BD0" w:rsidRDefault="00B57C22" w:rsidP="00350BD0">
      <w:pPr>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Paskutinio perregistravimo data</w:t>
      </w:r>
      <w:r w:rsidR="008D0D47">
        <w:rPr>
          <w:rFonts w:ascii="Times New Roman" w:eastAsia="Times New Roman" w:hAnsi="Times New Roman" w:cs="Times New Roman"/>
          <w:snapToGrid w:val="0"/>
        </w:rPr>
        <w:t xml:space="preserve"> 2025 m. vasario 14 d.</w:t>
      </w:r>
    </w:p>
    <w:p w14:paraId="42E38D90" w14:textId="77777777" w:rsidR="00350BD0" w:rsidRPr="00350BD0" w:rsidRDefault="00350BD0" w:rsidP="00350BD0">
      <w:pPr>
        <w:spacing w:after="0" w:line="240" w:lineRule="auto"/>
        <w:rPr>
          <w:rFonts w:ascii="Times New Roman" w:eastAsia="Times New Roman" w:hAnsi="Times New Roman" w:cs="Times New Roman"/>
          <w:snapToGrid w:val="0"/>
        </w:rPr>
      </w:pPr>
    </w:p>
    <w:p w14:paraId="2EBA92D9" w14:textId="77777777" w:rsidR="00350BD0" w:rsidRPr="00350BD0" w:rsidRDefault="00350BD0" w:rsidP="00350BD0">
      <w:pPr>
        <w:spacing w:after="0" w:line="240" w:lineRule="auto"/>
        <w:rPr>
          <w:rFonts w:ascii="Times New Roman" w:eastAsia="Times New Roman" w:hAnsi="Times New Roman" w:cs="Times New Roman"/>
          <w:snapToGrid w:val="0"/>
        </w:rPr>
      </w:pPr>
    </w:p>
    <w:p w14:paraId="46A057E3" w14:textId="77777777" w:rsidR="00350BD0" w:rsidRPr="00350BD0" w:rsidRDefault="00350BD0" w:rsidP="00350BD0">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10.</w:t>
      </w:r>
      <w:r w:rsidRPr="00350BD0">
        <w:rPr>
          <w:rFonts w:ascii="Times New Roman" w:eastAsia="Times New Roman" w:hAnsi="Times New Roman" w:cs="Times New Roman"/>
          <w:b/>
          <w:bCs/>
          <w:snapToGrid w:val="0"/>
          <w:lang w:eastAsia="x-none"/>
        </w:rPr>
        <w:tab/>
        <w:t>TEKSTO PERŽIŪROS DATA</w:t>
      </w:r>
    </w:p>
    <w:p w14:paraId="10587D21" w14:textId="77777777" w:rsidR="00350BD0" w:rsidRPr="00350BD0" w:rsidRDefault="00350BD0" w:rsidP="00350BD0">
      <w:pPr>
        <w:spacing w:after="0" w:line="240" w:lineRule="auto"/>
        <w:rPr>
          <w:rFonts w:ascii="Times New Roman" w:eastAsia="Times New Roman" w:hAnsi="Times New Roman" w:cs="Times New Roman"/>
          <w:snapToGrid w:val="0"/>
        </w:rPr>
      </w:pPr>
    </w:p>
    <w:p w14:paraId="7C137989" w14:textId="4867F70E" w:rsidR="00350BD0" w:rsidRPr="00350BD0" w:rsidRDefault="008D0D47" w:rsidP="00350BD0">
      <w:pPr>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2025</w:t>
      </w:r>
      <w:r w:rsidR="00206ADD">
        <w:rPr>
          <w:rFonts w:ascii="Times New Roman" w:eastAsia="Times New Roman" w:hAnsi="Times New Roman" w:cs="Times New Roman"/>
          <w:snapToGrid w:val="0"/>
        </w:rPr>
        <w:t xml:space="preserve"> m. </w:t>
      </w:r>
      <w:r w:rsidR="00B555D6" w:rsidRPr="00B555D6">
        <w:rPr>
          <w:rFonts w:ascii="Times New Roman" w:eastAsia="Times New Roman" w:hAnsi="Times New Roman" w:cs="Times New Roman"/>
          <w:snapToGrid w:val="0"/>
        </w:rPr>
        <w:t>gegužės</w:t>
      </w:r>
      <w:r w:rsidR="00206ADD">
        <w:rPr>
          <w:rFonts w:ascii="Times New Roman" w:eastAsia="Times New Roman" w:hAnsi="Times New Roman" w:cs="Times New Roman"/>
          <w:snapToGrid w:val="0"/>
        </w:rPr>
        <w:t xml:space="preserve"> 14 d.</w:t>
      </w:r>
    </w:p>
    <w:p w14:paraId="122A8478" w14:textId="77777777" w:rsidR="00350BD0" w:rsidRPr="00350BD0" w:rsidRDefault="00350BD0" w:rsidP="00350BD0">
      <w:pPr>
        <w:spacing w:after="0" w:line="240" w:lineRule="auto"/>
        <w:rPr>
          <w:rFonts w:ascii="Times New Roman" w:eastAsia="Times New Roman" w:hAnsi="Times New Roman" w:cs="Times New Roman"/>
          <w:snapToGrid w:val="0"/>
        </w:rPr>
      </w:pPr>
    </w:p>
    <w:p w14:paraId="25BFBE51" w14:textId="0D1E5C69" w:rsidR="00350BD0" w:rsidRPr="00350BD0" w:rsidRDefault="00350BD0" w:rsidP="00350BD0">
      <w:pPr>
        <w:tabs>
          <w:tab w:val="left" w:pos="5954"/>
          <w:tab w:val="left" w:pos="6237"/>
          <w:tab w:val="left" w:pos="6663"/>
          <w:tab w:val="left" w:pos="6946"/>
        </w:tabs>
        <w:spacing w:after="0" w:line="240" w:lineRule="auto"/>
        <w:rPr>
          <w:rFonts w:ascii="Times New Roman" w:eastAsia="SimSun" w:hAnsi="Times New Roman" w:cs="Times New Roman"/>
          <w:lang w:eastAsia="x-none"/>
        </w:rPr>
      </w:pPr>
      <w:r w:rsidRPr="00350BD0">
        <w:rPr>
          <w:rFonts w:ascii="Times New Roman" w:eastAsia="SimSun" w:hAnsi="Times New Roman" w:cs="Times New Roman"/>
          <w:lang w:eastAsia="x-none"/>
        </w:rPr>
        <w:t>Išsami informacija apie šį vaistinį preparatą pateikiama Valstybinės vaistų kontrolės tarnybos prie Lietuvos Respublikos sveikatos apsaugos ministerijos tinklalapyje</w:t>
      </w:r>
      <w:r w:rsidRPr="00350BD0">
        <w:rPr>
          <w:rFonts w:ascii="Times New Roman" w:eastAsia="SimSun" w:hAnsi="Times New Roman" w:cs="Times New Roman"/>
          <w:i/>
          <w:lang w:eastAsia="x-none"/>
        </w:rPr>
        <w:t xml:space="preserve"> </w:t>
      </w:r>
      <w:bookmarkStart w:id="9" w:name="_Hlk183004725"/>
      <w:r w:rsidR="00B555D6" w:rsidRPr="009F6BD7">
        <w:rPr>
          <w:rFonts w:ascii="Times New Roman" w:hAnsi="Times New Roman"/>
        </w:rPr>
        <w:fldChar w:fldCharType="begin"/>
      </w:r>
      <w:r w:rsidR="00B555D6" w:rsidRPr="009F6BD7">
        <w:rPr>
          <w:rFonts w:ascii="Times New Roman" w:hAnsi="Times New Roman"/>
        </w:rPr>
        <w:instrText>HYPERLINK "https://vvkt.lrv.lt/lt/"</w:instrText>
      </w:r>
      <w:r w:rsidR="00B555D6" w:rsidRPr="009F6BD7">
        <w:rPr>
          <w:rFonts w:ascii="Times New Roman" w:hAnsi="Times New Roman"/>
        </w:rPr>
        <w:fldChar w:fldCharType="separate"/>
      </w:r>
      <w:r w:rsidR="00B555D6" w:rsidRPr="009F6BD7">
        <w:rPr>
          <w:rStyle w:val="Hipersaitas"/>
          <w:rFonts w:ascii="Times New Roman" w:hAnsi="Times New Roman"/>
        </w:rPr>
        <w:t>https://vvkt.lrv.lt/lt/</w:t>
      </w:r>
      <w:bookmarkEnd w:id="9"/>
      <w:r w:rsidR="00B555D6" w:rsidRPr="009F6BD7">
        <w:rPr>
          <w:rFonts w:ascii="Times New Roman" w:hAnsi="Times New Roman"/>
        </w:rPr>
        <w:fldChar w:fldCharType="end"/>
      </w:r>
      <w:r w:rsidR="00B555D6" w:rsidRPr="009F6BD7">
        <w:rPr>
          <w:rFonts w:ascii="Times New Roman" w:hAnsi="Times New Roman"/>
        </w:rPr>
        <w:t>.</w:t>
      </w:r>
    </w:p>
    <w:p w14:paraId="47F4F2A1" w14:textId="77777777" w:rsidR="00350BD0" w:rsidRPr="00350BD0" w:rsidRDefault="00350BD0" w:rsidP="00350BD0">
      <w:pPr>
        <w:tabs>
          <w:tab w:val="left" w:pos="4962"/>
        </w:tabs>
        <w:spacing w:after="0" w:line="240" w:lineRule="auto"/>
        <w:rPr>
          <w:rFonts w:ascii="Times New Roman" w:eastAsia="SimSun" w:hAnsi="Times New Roman" w:cs="Times New Roman"/>
          <w:color w:val="000000"/>
          <w:lang w:eastAsia="x-none"/>
        </w:rPr>
      </w:pPr>
      <w:r w:rsidRPr="00350BD0">
        <w:rPr>
          <w:rFonts w:ascii="Times New Roman" w:eastAsia="SimSun" w:hAnsi="Times New Roman" w:cs="Times New Roman"/>
          <w:lang w:eastAsia="x-none"/>
        </w:rPr>
        <w:br w:type="page"/>
      </w:r>
    </w:p>
    <w:p w14:paraId="1B0CF616" w14:textId="77777777" w:rsidR="00350BD0" w:rsidRPr="00350BD0" w:rsidRDefault="00350BD0" w:rsidP="00350BD0">
      <w:pPr>
        <w:tabs>
          <w:tab w:val="left" w:pos="4962"/>
        </w:tabs>
        <w:spacing w:after="0" w:line="240" w:lineRule="auto"/>
        <w:rPr>
          <w:rFonts w:ascii="Times New Roman" w:eastAsia="SimSun" w:hAnsi="Times New Roman" w:cs="Times New Roman"/>
          <w:lang w:eastAsia="x-none"/>
        </w:rPr>
      </w:pPr>
    </w:p>
    <w:p w14:paraId="5B497D89"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D61DEEA"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EB1914C"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D1FE5BB"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BBCF798"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4B73790E"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7F7EB39"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D07BB14"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5CA0D22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0AAB43A"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4FD0E64B"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C1FA131"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477956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AAAE6D4"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9665A7D"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6AA3079"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A125B3D"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b/>
          <w:snapToGrid w:val="0"/>
        </w:rPr>
      </w:pPr>
    </w:p>
    <w:p w14:paraId="6D42FF5C"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b/>
          <w:snapToGrid w:val="0"/>
        </w:rPr>
      </w:pPr>
    </w:p>
    <w:p w14:paraId="3E4B6236"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b/>
          <w:snapToGrid w:val="0"/>
        </w:rPr>
      </w:pPr>
    </w:p>
    <w:p w14:paraId="6D0379C5"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b/>
          <w:snapToGrid w:val="0"/>
        </w:rPr>
      </w:pPr>
    </w:p>
    <w:p w14:paraId="396377B3"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b/>
          <w:snapToGrid w:val="0"/>
        </w:rPr>
      </w:pPr>
    </w:p>
    <w:p w14:paraId="37F3CEB1" w14:textId="77777777" w:rsidR="00350BD0" w:rsidRPr="00D643E9" w:rsidRDefault="00350BD0" w:rsidP="00350BD0">
      <w:pPr>
        <w:widowControl w:val="0"/>
        <w:tabs>
          <w:tab w:val="left" w:pos="567"/>
        </w:tabs>
        <w:spacing w:after="0" w:line="260" w:lineRule="exact"/>
        <w:jc w:val="center"/>
        <w:outlineLvl w:val="0"/>
        <w:rPr>
          <w:rFonts w:ascii="Times New Roman" w:hAnsi="Times New Roman"/>
          <w:b/>
          <w:kern w:val="28"/>
          <w:lang w:val="en-GB"/>
        </w:rPr>
      </w:pPr>
      <w:r w:rsidRPr="00D643E9">
        <w:rPr>
          <w:rFonts w:ascii="Times New Roman" w:hAnsi="Times New Roman"/>
          <w:b/>
          <w:kern w:val="28"/>
          <w:lang w:val="en-GB"/>
        </w:rPr>
        <w:t>II PRIEDAS</w:t>
      </w:r>
    </w:p>
    <w:p w14:paraId="1F4D2CC7" w14:textId="77777777" w:rsidR="00350BD0" w:rsidRPr="00D643E9" w:rsidRDefault="00350BD0" w:rsidP="00350BD0">
      <w:pPr>
        <w:widowControl w:val="0"/>
        <w:tabs>
          <w:tab w:val="left" w:pos="567"/>
        </w:tabs>
        <w:spacing w:after="0" w:line="260" w:lineRule="exact"/>
        <w:jc w:val="center"/>
        <w:outlineLvl w:val="0"/>
        <w:rPr>
          <w:rFonts w:ascii="Times New Roman" w:hAnsi="Times New Roman"/>
          <w:b/>
          <w:kern w:val="28"/>
          <w:lang w:val="en-GB"/>
        </w:rPr>
      </w:pPr>
    </w:p>
    <w:p w14:paraId="6EBB84EA" w14:textId="77777777" w:rsidR="00350BD0" w:rsidRPr="00D643E9" w:rsidRDefault="00350BD0" w:rsidP="00350BD0">
      <w:pPr>
        <w:widowControl w:val="0"/>
        <w:tabs>
          <w:tab w:val="left" w:pos="567"/>
        </w:tabs>
        <w:spacing w:after="0" w:line="260" w:lineRule="exact"/>
        <w:jc w:val="center"/>
        <w:outlineLvl w:val="0"/>
        <w:rPr>
          <w:rFonts w:ascii="Times New Roman" w:hAnsi="Times New Roman"/>
          <w:b/>
          <w:caps/>
          <w:lang w:val="en-GB"/>
        </w:rPr>
      </w:pPr>
      <w:r w:rsidRPr="00D643E9">
        <w:rPr>
          <w:rFonts w:ascii="Times New Roman" w:hAnsi="Times New Roman"/>
          <w:b/>
          <w:lang w:val="en-GB"/>
        </w:rPr>
        <w:t>REGISTRACIJOS</w:t>
      </w:r>
      <w:r w:rsidRPr="00D643E9">
        <w:rPr>
          <w:rFonts w:ascii="Times New Roman" w:hAnsi="Times New Roman"/>
          <w:b/>
          <w:caps/>
          <w:lang w:val="en-GB"/>
        </w:rPr>
        <w:t xml:space="preserve"> SĄLYGOS</w:t>
      </w:r>
    </w:p>
    <w:p w14:paraId="2AE6EECF" w14:textId="77777777" w:rsidR="00350BD0" w:rsidRPr="00D643E9" w:rsidRDefault="00350BD0" w:rsidP="00350BD0">
      <w:pPr>
        <w:widowControl w:val="0"/>
        <w:tabs>
          <w:tab w:val="left" w:pos="567"/>
        </w:tabs>
        <w:spacing w:after="0" w:line="260" w:lineRule="exact"/>
        <w:rPr>
          <w:rFonts w:ascii="Times New Roman" w:hAnsi="Times New Roman"/>
          <w:lang w:val="en-GB"/>
        </w:rPr>
      </w:pPr>
    </w:p>
    <w:p w14:paraId="786440F4" w14:textId="77777777" w:rsidR="00350BD0" w:rsidRPr="00D643E9" w:rsidRDefault="00350BD0" w:rsidP="00350BD0">
      <w:pPr>
        <w:widowControl w:val="0"/>
        <w:tabs>
          <w:tab w:val="left" w:pos="567"/>
        </w:tabs>
        <w:spacing w:after="0" w:line="260" w:lineRule="exact"/>
        <w:outlineLvl w:val="0"/>
        <w:rPr>
          <w:rFonts w:ascii="Times New Roman" w:hAnsi="Times New Roman"/>
          <w:b/>
          <w:lang w:val="en-GB"/>
        </w:rPr>
      </w:pPr>
      <w:r w:rsidRPr="00D643E9">
        <w:rPr>
          <w:rFonts w:ascii="Times New Roman" w:hAnsi="Times New Roman"/>
          <w:b/>
          <w:lang w:val="en-GB"/>
        </w:rPr>
        <w:t>A.</w:t>
      </w:r>
      <w:r w:rsidRPr="00D643E9">
        <w:rPr>
          <w:rFonts w:ascii="Times New Roman" w:hAnsi="Times New Roman"/>
          <w:b/>
          <w:lang w:val="en-GB"/>
        </w:rPr>
        <w:tab/>
        <w:t>GAMINTOJAS (-AI), ATSAKINGAS (-I) UŽ SERIJŲ IŠLEIDIMĄ</w:t>
      </w:r>
    </w:p>
    <w:p w14:paraId="391CD4F7" w14:textId="77777777" w:rsidR="00350BD0" w:rsidRPr="00D643E9" w:rsidRDefault="00350BD0" w:rsidP="00350BD0">
      <w:pPr>
        <w:widowControl w:val="0"/>
        <w:tabs>
          <w:tab w:val="left" w:pos="567"/>
        </w:tabs>
        <w:spacing w:after="0" w:line="260" w:lineRule="exact"/>
        <w:rPr>
          <w:rFonts w:ascii="Times New Roman" w:hAnsi="Times New Roman"/>
          <w:lang w:val="en-GB"/>
        </w:rPr>
      </w:pPr>
    </w:p>
    <w:p w14:paraId="2222D92E" w14:textId="77777777" w:rsidR="00350BD0" w:rsidRPr="00D643E9" w:rsidRDefault="00350BD0" w:rsidP="00350BD0">
      <w:pPr>
        <w:widowControl w:val="0"/>
        <w:tabs>
          <w:tab w:val="left" w:pos="567"/>
        </w:tabs>
        <w:spacing w:after="0" w:line="260" w:lineRule="exact"/>
        <w:outlineLvl w:val="0"/>
        <w:rPr>
          <w:rFonts w:ascii="Times New Roman" w:hAnsi="Times New Roman"/>
          <w:b/>
          <w:lang w:val="en-GB"/>
        </w:rPr>
      </w:pPr>
      <w:r w:rsidRPr="00D643E9">
        <w:rPr>
          <w:rFonts w:ascii="Times New Roman" w:hAnsi="Times New Roman"/>
          <w:b/>
          <w:lang w:val="en-GB"/>
        </w:rPr>
        <w:t>B.</w:t>
      </w:r>
      <w:r w:rsidRPr="00D643E9">
        <w:rPr>
          <w:rFonts w:ascii="Times New Roman" w:hAnsi="Times New Roman"/>
          <w:b/>
          <w:lang w:val="en-GB"/>
        </w:rPr>
        <w:tab/>
        <w:t>TIEKIMO IR VARTOJIMO SĄLYGOS AR APRIBOJIMAI</w:t>
      </w:r>
    </w:p>
    <w:p w14:paraId="2DF27E32" w14:textId="77777777" w:rsidR="00350BD0" w:rsidRPr="00D643E9" w:rsidRDefault="00350BD0" w:rsidP="00350BD0">
      <w:pPr>
        <w:widowControl w:val="0"/>
        <w:tabs>
          <w:tab w:val="left" w:pos="567"/>
        </w:tabs>
        <w:spacing w:after="0" w:line="260" w:lineRule="exact"/>
        <w:rPr>
          <w:rFonts w:ascii="Times New Roman" w:hAnsi="Times New Roman"/>
          <w:lang w:val="en-GB"/>
        </w:rPr>
      </w:pPr>
    </w:p>
    <w:p w14:paraId="4AE01EC1" w14:textId="77777777" w:rsidR="00350BD0" w:rsidRPr="00D643E9" w:rsidRDefault="00350BD0" w:rsidP="00350BD0">
      <w:pPr>
        <w:widowControl w:val="0"/>
        <w:tabs>
          <w:tab w:val="left" w:pos="567"/>
        </w:tabs>
        <w:spacing w:after="0" w:line="260" w:lineRule="exact"/>
        <w:rPr>
          <w:rFonts w:ascii="Times New Roman" w:hAnsi="Times New Roman"/>
          <w:b/>
          <w:lang w:val="en-GB"/>
        </w:rPr>
      </w:pPr>
      <w:r w:rsidRPr="00D643E9">
        <w:rPr>
          <w:rFonts w:ascii="Times New Roman" w:hAnsi="Times New Roman"/>
          <w:lang w:val="en-GB"/>
        </w:rPr>
        <w:br w:type="page"/>
      </w:r>
      <w:r w:rsidRPr="00D643E9">
        <w:rPr>
          <w:rFonts w:ascii="Times New Roman" w:hAnsi="Times New Roman"/>
          <w:b/>
          <w:lang w:val="en-GB"/>
        </w:rPr>
        <w:lastRenderedPageBreak/>
        <w:t>A.</w:t>
      </w:r>
      <w:r w:rsidRPr="00D643E9">
        <w:rPr>
          <w:rFonts w:ascii="Times New Roman" w:hAnsi="Times New Roman"/>
          <w:b/>
          <w:lang w:val="en-GB"/>
        </w:rPr>
        <w:tab/>
        <w:t>GAMINTOJAS (-AI), ATSAKINGAS (-I) UŽ SERIJŲ IŠLEIDIMĄ</w:t>
      </w:r>
    </w:p>
    <w:p w14:paraId="13089CBF" w14:textId="77777777" w:rsidR="00350BD0" w:rsidRPr="00D643E9" w:rsidRDefault="00350BD0" w:rsidP="00350BD0">
      <w:pPr>
        <w:widowControl w:val="0"/>
        <w:tabs>
          <w:tab w:val="left" w:pos="567"/>
          <w:tab w:val="left" w:pos="3629"/>
        </w:tabs>
        <w:spacing w:after="0" w:line="260" w:lineRule="exact"/>
        <w:rPr>
          <w:rFonts w:ascii="Times New Roman" w:hAnsi="Times New Roman"/>
          <w:lang w:val="en-GB"/>
        </w:rPr>
      </w:pPr>
    </w:p>
    <w:p w14:paraId="4C71FB91" w14:textId="77777777" w:rsidR="00350BD0" w:rsidRPr="00350BD0" w:rsidRDefault="00350BD0" w:rsidP="00350BD0">
      <w:pPr>
        <w:tabs>
          <w:tab w:val="left" w:pos="567"/>
        </w:tabs>
        <w:spacing w:after="0" w:line="240" w:lineRule="auto"/>
        <w:jc w:val="both"/>
        <w:rPr>
          <w:rFonts w:ascii="Times New Roman" w:eastAsia="Times New Roman" w:hAnsi="Times New Roman" w:cs="Times New Roman"/>
          <w:snapToGrid w:val="0"/>
          <w:szCs w:val="24"/>
        </w:rPr>
      </w:pPr>
      <w:r w:rsidRPr="00350BD0">
        <w:rPr>
          <w:rFonts w:ascii="Times New Roman" w:eastAsia="Times New Roman" w:hAnsi="Times New Roman" w:cs="Times New Roman"/>
          <w:noProof/>
          <w:snapToGrid w:val="0"/>
          <w:szCs w:val="24"/>
          <w:u w:val="single"/>
        </w:rPr>
        <w:t>Gamintojo (-ų), atsakingo (-ų) už serijų išleidimą, pavadinimas (-ai) ir adresas (-ai)</w:t>
      </w:r>
    </w:p>
    <w:p w14:paraId="4BCCBBA6" w14:textId="77777777" w:rsidR="00350BD0" w:rsidRPr="00D643E9" w:rsidRDefault="00350BD0" w:rsidP="00350BD0">
      <w:pPr>
        <w:widowControl w:val="0"/>
        <w:tabs>
          <w:tab w:val="left" w:pos="567"/>
        </w:tabs>
        <w:spacing w:after="0" w:line="260" w:lineRule="exact"/>
        <w:rPr>
          <w:rFonts w:ascii="Times New Roman" w:hAnsi="Times New Roman"/>
          <w:lang w:val="en-GB"/>
        </w:rPr>
      </w:pPr>
    </w:p>
    <w:p w14:paraId="08479E35" w14:textId="77777777" w:rsidR="00350BD0" w:rsidRPr="00D643E9" w:rsidRDefault="00350BD0" w:rsidP="00350BD0">
      <w:pPr>
        <w:spacing w:after="6" w:line="247" w:lineRule="auto"/>
        <w:ind w:left="-5" w:right="38" w:hanging="10"/>
        <w:jc w:val="both"/>
        <w:rPr>
          <w:rFonts w:ascii="Times New Roman" w:hAnsi="Times New Roman"/>
          <w:color w:val="000000"/>
          <w:lang w:val="en-GB"/>
        </w:rPr>
      </w:pPr>
      <w:r w:rsidRPr="00D643E9">
        <w:rPr>
          <w:rFonts w:ascii="Times New Roman" w:hAnsi="Times New Roman"/>
          <w:color w:val="000000"/>
          <w:lang w:val="en-GB"/>
        </w:rPr>
        <w:t>Laboratorios Leon Farma, SA</w:t>
      </w:r>
    </w:p>
    <w:p w14:paraId="3E8D14FF" w14:textId="77777777" w:rsidR="00350BD0" w:rsidRPr="00D643E9" w:rsidRDefault="00350BD0" w:rsidP="00350BD0">
      <w:pPr>
        <w:spacing w:after="6" w:line="247" w:lineRule="auto"/>
        <w:ind w:left="-5" w:right="38" w:hanging="10"/>
        <w:jc w:val="both"/>
        <w:rPr>
          <w:rFonts w:ascii="Times New Roman" w:hAnsi="Times New Roman"/>
          <w:color w:val="000000"/>
          <w:lang w:val="en-GB"/>
        </w:rPr>
      </w:pPr>
      <w:r w:rsidRPr="00D643E9">
        <w:rPr>
          <w:rFonts w:ascii="Times New Roman" w:hAnsi="Times New Roman"/>
          <w:color w:val="000000"/>
          <w:lang w:val="en-GB"/>
        </w:rPr>
        <w:t>c/La Vallina, s/n, Polígono Industrial Navatejera</w:t>
      </w:r>
    </w:p>
    <w:p w14:paraId="456B47E3" w14:textId="33956ECD" w:rsidR="00350BD0" w:rsidRPr="00D643E9" w:rsidRDefault="00F870E2" w:rsidP="00350BD0">
      <w:pPr>
        <w:spacing w:after="6" w:line="247" w:lineRule="auto"/>
        <w:ind w:left="-5" w:right="38" w:hanging="10"/>
        <w:jc w:val="both"/>
        <w:rPr>
          <w:rFonts w:ascii="Times New Roman" w:hAnsi="Times New Roman"/>
          <w:color w:val="000000"/>
          <w:lang w:val="en-GB"/>
        </w:rPr>
      </w:pPr>
      <w:r w:rsidRPr="00D643E9">
        <w:rPr>
          <w:rFonts w:ascii="Times New Roman" w:eastAsia="Times New Roman" w:hAnsi="Times New Roman" w:cs="Times New Roman"/>
          <w:snapToGrid w:val="0"/>
          <w:szCs w:val="20"/>
          <w:lang w:val="en-GB"/>
        </w:rPr>
        <w:t xml:space="preserve">24193 </w:t>
      </w:r>
      <w:r w:rsidR="00350BD0" w:rsidRPr="00D643E9">
        <w:rPr>
          <w:rFonts w:ascii="Times New Roman" w:hAnsi="Times New Roman"/>
          <w:color w:val="000000"/>
          <w:lang w:val="en-GB"/>
        </w:rPr>
        <w:t>Villaquilambre, León</w:t>
      </w:r>
    </w:p>
    <w:p w14:paraId="3FB1B3B8" w14:textId="77777777" w:rsidR="00350BD0" w:rsidRPr="00D643E9" w:rsidRDefault="00350BD0" w:rsidP="00350BD0">
      <w:pPr>
        <w:widowControl w:val="0"/>
        <w:tabs>
          <w:tab w:val="left" w:pos="567"/>
        </w:tabs>
        <w:spacing w:after="0" w:line="260" w:lineRule="exact"/>
        <w:rPr>
          <w:rFonts w:ascii="Times New Roman" w:hAnsi="Times New Roman"/>
          <w:lang w:val="en-GB"/>
        </w:rPr>
      </w:pPr>
      <w:r w:rsidRPr="00D643E9">
        <w:rPr>
          <w:rFonts w:ascii="Times New Roman" w:hAnsi="Times New Roman"/>
          <w:lang w:val="en-GB"/>
        </w:rPr>
        <w:t>Ispanija</w:t>
      </w:r>
    </w:p>
    <w:p w14:paraId="1F487509" w14:textId="77777777" w:rsidR="00350BD0" w:rsidRPr="00D643E9" w:rsidRDefault="00350BD0" w:rsidP="00350BD0">
      <w:pPr>
        <w:widowControl w:val="0"/>
        <w:tabs>
          <w:tab w:val="left" w:pos="567"/>
        </w:tabs>
        <w:spacing w:after="0" w:line="260" w:lineRule="exact"/>
        <w:rPr>
          <w:rFonts w:ascii="Times New Roman" w:hAnsi="Times New Roman"/>
          <w:lang w:val="en-GB"/>
        </w:rPr>
      </w:pPr>
    </w:p>
    <w:p w14:paraId="39BE8FEB" w14:textId="77777777" w:rsidR="00350BD0" w:rsidRPr="00D643E9" w:rsidRDefault="00350BD0" w:rsidP="00350BD0">
      <w:pPr>
        <w:widowControl w:val="0"/>
        <w:tabs>
          <w:tab w:val="left" w:pos="567"/>
        </w:tabs>
        <w:spacing w:after="0" w:line="260" w:lineRule="exact"/>
        <w:rPr>
          <w:rFonts w:ascii="Times New Roman" w:hAnsi="Times New Roman"/>
          <w:lang w:val="en-GB"/>
        </w:rPr>
      </w:pPr>
    </w:p>
    <w:p w14:paraId="5EA4064E" w14:textId="77777777" w:rsidR="00350BD0" w:rsidRPr="00D643E9" w:rsidRDefault="00350BD0" w:rsidP="00350BD0">
      <w:pPr>
        <w:widowControl w:val="0"/>
        <w:tabs>
          <w:tab w:val="left" w:pos="567"/>
        </w:tabs>
        <w:spacing w:after="0" w:line="260" w:lineRule="exact"/>
        <w:rPr>
          <w:rFonts w:ascii="Times New Roman" w:hAnsi="Times New Roman"/>
          <w:b/>
          <w:lang w:val="en-GB"/>
        </w:rPr>
      </w:pPr>
      <w:r w:rsidRPr="00D643E9">
        <w:rPr>
          <w:rFonts w:ascii="Times New Roman" w:hAnsi="Times New Roman"/>
          <w:b/>
          <w:lang w:val="en-GB"/>
        </w:rPr>
        <w:t>B.</w:t>
      </w:r>
      <w:bookmarkStart w:id="10" w:name="_Toc129243130"/>
      <w:bookmarkStart w:id="11" w:name="_Toc129243255"/>
      <w:r w:rsidRPr="00D643E9">
        <w:rPr>
          <w:rFonts w:ascii="Times New Roman" w:hAnsi="Times New Roman"/>
          <w:b/>
          <w:kern w:val="28"/>
          <w:lang w:val="en-GB"/>
        </w:rPr>
        <w:tab/>
        <w:t>TIEKIMO IR VARTOJIMO SĄLYGOS AR APRIBOJIMAI</w:t>
      </w:r>
      <w:bookmarkEnd w:id="10"/>
      <w:bookmarkEnd w:id="11"/>
    </w:p>
    <w:p w14:paraId="5592D9AB" w14:textId="77777777" w:rsidR="00350BD0" w:rsidRPr="00D643E9" w:rsidRDefault="00350BD0" w:rsidP="00350BD0">
      <w:pPr>
        <w:widowControl w:val="0"/>
        <w:tabs>
          <w:tab w:val="left" w:pos="567"/>
        </w:tabs>
        <w:spacing w:after="0" w:line="260" w:lineRule="exact"/>
        <w:rPr>
          <w:rFonts w:ascii="Times New Roman" w:hAnsi="Times New Roman"/>
          <w:lang w:val="en-GB"/>
        </w:rPr>
      </w:pPr>
    </w:p>
    <w:p w14:paraId="7DB54E35" w14:textId="77777777" w:rsidR="00350BD0" w:rsidRPr="00D643E9" w:rsidRDefault="00350BD0" w:rsidP="00350BD0">
      <w:pPr>
        <w:widowControl w:val="0"/>
        <w:tabs>
          <w:tab w:val="left" w:pos="567"/>
        </w:tabs>
        <w:spacing w:after="0" w:line="260" w:lineRule="exact"/>
        <w:rPr>
          <w:rFonts w:ascii="Times New Roman" w:hAnsi="Times New Roman"/>
          <w:lang w:val="en-GB"/>
        </w:rPr>
      </w:pPr>
      <w:r w:rsidRPr="00D643E9">
        <w:rPr>
          <w:rFonts w:ascii="Times New Roman" w:hAnsi="Times New Roman"/>
          <w:lang w:val="en-GB"/>
        </w:rPr>
        <w:t>Receptinis vaistinis preparatas.</w:t>
      </w:r>
    </w:p>
    <w:p w14:paraId="2F864655" w14:textId="77777777" w:rsidR="00350BD0" w:rsidRPr="00D643E9" w:rsidRDefault="00350BD0" w:rsidP="00350BD0">
      <w:pPr>
        <w:tabs>
          <w:tab w:val="left" w:pos="567"/>
        </w:tabs>
        <w:spacing w:after="0" w:line="260" w:lineRule="exact"/>
        <w:rPr>
          <w:rFonts w:ascii="Times New Roman" w:hAnsi="Times New Roman"/>
          <w:lang w:val="en-GB"/>
        </w:rPr>
      </w:pPr>
      <w:r w:rsidRPr="00D643E9">
        <w:rPr>
          <w:rFonts w:ascii="Times New Roman" w:hAnsi="Times New Roman"/>
          <w:lang w:val="en-GB"/>
        </w:rPr>
        <w:br w:type="page"/>
      </w:r>
    </w:p>
    <w:p w14:paraId="4D45071D" w14:textId="77777777" w:rsidR="00350BD0" w:rsidRPr="00D643E9" w:rsidRDefault="00350BD0" w:rsidP="00350BD0">
      <w:pPr>
        <w:tabs>
          <w:tab w:val="left" w:pos="567"/>
        </w:tabs>
        <w:spacing w:after="0" w:line="260" w:lineRule="exact"/>
        <w:rPr>
          <w:rFonts w:ascii="Times New Roman" w:hAnsi="Times New Roman"/>
          <w:lang w:val="en-GB"/>
        </w:rPr>
      </w:pPr>
    </w:p>
    <w:p w14:paraId="6C2ED460" w14:textId="77777777" w:rsidR="00350BD0" w:rsidRPr="00D643E9" w:rsidRDefault="00350BD0" w:rsidP="00350BD0">
      <w:pPr>
        <w:tabs>
          <w:tab w:val="left" w:pos="567"/>
        </w:tabs>
        <w:spacing w:after="0" w:line="260" w:lineRule="exact"/>
        <w:rPr>
          <w:rFonts w:ascii="Times New Roman" w:hAnsi="Times New Roman"/>
          <w:lang w:val="en-GB"/>
        </w:rPr>
      </w:pPr>
    </w:p>
    <w:p w14:paraId="5B9655D8" w14:textId="77777777" w:rsidR="00350BD0" w:rsidRPr="00D643E9" w:rsidRDefault="00350BD0" w:rsidP="00350BD0">
      <w:pPr>
        <w:tabs>
          <w:tab w:val="left" w:pos="567"/>
        </w:tabs>
        <w:spacing w:after="0" w:line="260" w:lineRule="exact"/>
        <w:rPr>
          <w:rFonts w:ascii="Times New Roman" w:hAnsi="Times New Roman"/>
          <w:lang w:val="en-GB"/>
        </w:rPr>
      </w:pPr>
    </w:p>
    <w:p w14:paraId="316819C2" w14:textId="77777777" w:rsidR="00350BD0" w:rsidRPr="00D643E9" w:rsidRDefault="00350BD0" w:rsidP="00350BD0">
      <w:pPr>
        <w:tabs>
          <w:tab w:val="left" w:pos="567"/>
        </w:tabs>
        <w:spacing w:after="0" w:line="260" w:lineRule="exact"/>
        <w:rPr>
          <w:rFonts w:ascii="Times New Roman" w:hAnsi="Times New Roman"/>
          <w:lang w:val="en-GB"/>
        </w:rPr>
      </w:pPr>
    </w:p>
    <w:p w14:paraId="01B0FC99" w14:textId="77777777" w:rsidR="00350BD0" w:rsidRPr="00D643E9" w:rsidRDefault="00350BD0" w:rsidP="00350BD0">
      <w:pPr>
        <w:tabs>
          <w:tab w:val="left" w:pos="567"/>
        </w:tabs>
        <w:spacing w:after="0" w:line="260" w:lineRule="exact"/>
        <w:rPr>
          <w:rFonts w:ascii="Times New Roman" w:hAnsi="Times New Roman"/>
          <w:lang w:val="en-GB"/>
        </w:rPr>
      </w:pPr>
    </w:p>
    <w:p w14:paraId="7DD73A3E" w14:textId="77777777" w:rsidR="00350BD0" w:rsidRPr="00D643E9" w:rsidRDefault="00350BD0" w:rsidP="00350BD0">
      <w:pPr>
        <w:tabs>
          <w:tab w:val="left" w:pos="567"/>
        </w:tabs>
        <w:spacing w:after="0" w:line="260" w:lineRule="exact"/>
        <w:rPr>
          <w:rFonts w:ascii="Times New Roman" w:hAnsi="Times New Roman"/>
          <w:lang w:val="en-GB"/>
        </w:rPr>
      </w:pPr>
    </w:p>
    <w:p w14:paraId="44E2535D" w14:textId="77777777" w:rsidR="00350BD0" w:rsidRPr="00D643E9" w:rsidRDefault="00350BD0" w:rsidP="00350BD0">
      <w:pPr>
        <w:tabs>
          <w:tab w:val="left" w:pos="567"/>
        </w:tabs>
        <w:spacing w:after="0" w:line="260" w:lineRule="exact"/>
        <w:rPr>
          <w:rFonts w:ascii="Times New Roman" w:hAnsi="Times New Roman"/>
          <w:lang w:val="en-GB"/>
        </w:rPr>
      </w:pPr>
    </w:p>
    <w:p w14:paraId="39A4E47D" w14:textId="77777777" w:rsidR="00350BD0" w:rsidRPr="00D643E9" w:rsidRDefault="00350BD0" w:rsidP="00350BD0">
      <w:pPr>
        <w:tabs>
          <w:tab w:val="left" w:pos="567"/>
        </w:tabs>
        <w:spacing w:after="0" w:line="260" w:lineRule="exact"/>
        <w:rPr>
          <w:rFonts w:ascii="Times New Roman" w:hAnsi="Times New Roman"/>
          <w:lang w:val="en-GB"/>
        </w:rPr>
      </w:pPr>
    </w:p>
    <w:p w14:paraId="05DE50C0" w14:textId="77777777" w:rsidR="00350BD0" w:rsidRPr="00D643E9" w:rsidRDefault="00350BD0" w:rsidP="00350BD0">
      <w:pPr>
        <w:tabs>
          <w:tab w:val="left" w:pos="567"/>
        </w:tabs>
        <w:spacing w:after="0" w:line="260" w:lineRule="exact"/>
        <w:rPr>
          <w:rFonts w:ascii="Times New Roman" w:hAnsi="Times New Roman"/>
          <w:lang w:val="en-GB"/>
        </w:rPr>
      </w:pPr>
    </w:p>
    <w:p w14:paraId="3CCC9836" w14:textId="77777777" w:rsidR="00350BD0" w:rsidRPr="00D643E9" w:rsidRDefault="00350BD0" w:rsidP="00350BD0">
      <w:pPr>
        <w:tabs>
          <w:tab w:val="left" w:pos="567"/>
        </w:tabs>
        <w:spacing w:after="0" w:line="260" w:lineRule="exact"/>
        <w:rPr>
          <w:rFonts w:ascii="Times New Roman" w:hAnsi="Times New Roman"/>
          <w:lang w:val="en-GB"/>
        </w:rPr>
      </w:pPr>
    </w:p>
    <w:p w14:paraId="0FF82DE1" w14:textId="77777777" w:rsidR="00350BD0" w:rsidRPr="00D643E9" w:rsidRDefault="00350BD0" w:rsidP="00350BD0">
      <w:pPr>
        <w:tabs>
          <w:tab w:val="left" w:pos="567"/>
        </w:tabs>
        <w:spacing w:after="0" w:line="260" w:lineRule="exact"/>
        <w:rPr>
          <w:rFonts w:ascii="Times New Roman" w:hAnsi="Times New Roman"/>
          <w:lang w:val="en-GB"/>
        </w:rPr>
      </w:pPr>
    </w:p>
    <w:p w14:paraId="3F04D78C" w14:textId="77777777" w:rsidR="00350BD0" w:rsidRPr="00D643E9" w:rsidRDefault="00350BD0" w:rsidP="00350BD0">
      <w:pPr>
        <w:tabs>
          <w:tab w:val="left" w:pos="567"/>
        </w:tabs>
        <w:spacing w:after="0" w:line="260" w:lineRule="exact"/>
        <w:rPr>
          <w:rFonts w:ascii="Times New Roman" w:hAnsi="Times New Roman"/>
          <w:lang w:val="en-GB"/>
        </w:rPr>
      </w:pPr>
    </w:p>
    <w:p w14:paraId="37CDE249" w14:textId="77777777" w:rsidR="00350BD0" w:rsidRPr="00D643E9" w:rsidRDefault="00350BD0" w:rsidP="00350BD0">
      <w:pPr>
        <w:tabs>
          <w:tab w:val="left" w:pos="567"/>
        </w:tabs>
        <w:spacing w:after="0" w:line="260" w:lineRule="exact"/>
        <w:rPr>
          <w:rFonts w:ascii="Times New Roman" w:hAnsi="Times New Roman"/>
          <w:lang w:val="en-GB"/>
        </w:rPr>
      </w:pPr>
    </w:p>
    <w:p w14:paraId="706EEED9" w14:textId="77777777" w:rsidR="00350BD0" w:rsidRPr="00D643E9" w:rsidRDefault="00350BD0" w:rsidP="00350BD0">
      <w:pPr>
        <w:tabs>
          <w:tab w:val="left" w:pos="567"/>
        </w:tabs>
        <w:spacing w:after="0" w:line="260" w:lineRule="exact"/>
        <w:rPr>
          <w:rFonts w:ascii="Times New Roman" w:hAnsi="Times New Roman"/>
          <w:lang w:val="en-GB"/>
        </w:rPr>
      </w:pPr>
    </w:p>
    <w:p w14:paraId="6ACDDCFC" w14:textId="77777777" w:rsidR="00350BD0" w:rsidRPr="00D643E9" w:rsidRDefault="00350BD0" w:rsidP="00350BD0">
      <w:pPr>
        <w:tabs>
          <w:tab w:val="left" w:pos="567"/>
        </w:tabs>
        <w:spacing w:after="0" w:line="260" w:lineRule="exact"/>
        <w:rPr>
          <w:rFonts w:ascii="Times New Roman" w:hAnsi="Times New Roman"/>
          <w:lang w:val="en-GB"/>
        </w:rPr>
      </w:pPr>
    </w:p>
    <w:p w14:paraId="76A3ADF3" w14:textId="77777777" w:rsidR="00350BD0" w:rsidRPr="00D643E9" w:rsidRDefault="00350BD0" w:rsidP="00350BD0">
      <w:pPr>
        <w:tabs>
          <w:tab w:val="left" w:pos="567"/>
        </w:tabs>
        <w:spacing w:after="0" w:line="260" w:lineRule="exact"/>
        <w:rPr>
          <w:rFonts w:ascii="Times New Roman" w:hAnsi="Times New Roman"/>
          <w:lang w:val="en-GB"/>
        </w:rPr>
      </w:pPr>
    </w:p>
    <w:p w14:paraId="00552D9B" w14:textId="77777777" w:rsidR="00350BD0" w:rsidRPr="00D643E9" w:rsidRDefault="00350BD0" w:rsidP="00350BD0">
      <w:pPr>
        <w:tabs>
          <w:tab w:val="left" w:pos="567"/>
        </w:tabs>
        <w:spacing w:after="0" w:line="260" w:lineRule="exact"/>
        <w:rPr>
          <w:rFonts w:ascii="Times New Roman" w:hAnsi="Times New Roman"/>
          <w:lang w:val="en-GB"/>
        </w:rPr>
      </w:pPr>
    </w:p>
    <w:p w14:paraId="5EC33D31" w14:textId="77777777" w:rsidR="00350BD0" w:rsidRPr="00D643E9" w:rsidRDefault="00350BD0" w:rsidP="00350BD0">
      <w:pPr>
        <w:tabs>
          <w:tab w:val="left" w:pos="567"/>
        </w:tabs>
        <w:spacing w:after="0" w:line="260" w:lineRule="exact"/>
        <w:rPr>
          <w:rFonts w:ascii="Times New Roman" w:hAnsi="Times New Roman"/>
          <w:lang w:val="en-GB"/>
        </w:rPr>
      </w:pPr>
    </w:p>
    <w:p w14:paraId="030F6F40" w14:textId="77777777" w:rsidR="00350BD0" w:rsidRPr="00D643E9" w:rsidRDefault="00350BD0" w:rsidP="00350BD0">
      <w:pPr>
        <w:tabs>
          <w:tab w:val="left" w:pos="567"/>
        </w:tabs>
        <w:spacing w:after="0" w:line="260" w:lineRule="exact"/>
        <w:rPr>
          <w:rFonts w:ascii="Times New Roman" w:hAnsi="Times New Roman"/>
          <w:lang w:val="en-GB"/>
        </w:rPr>
      </w:pPr>
    </w:p>
    <w:p w14:paraId="022BA213" w14:textId="77777777" w:rsidR="00350BD0" w:rsidRPr="00D643E9" w:rsidRDefault="00350BD0" w:rsidP="00350BD0">
      <w:pPr>
        <w:tabs>
          <w:tab w:val="left" w:pos="567"/>
        </w:tabs>
        <w:spacing w:after="0" w:line="260" w:lineRule="exact"/>
        <w:rPr>
          <w:rFonts w:ascii="Times New Roman" w:hAnsi="Times New Roman"/>
          <w:lang w:val="en-GB"/>
        </w:rPr>
      </w:pPr>
    </w:p>
    <w:p w14:paraId="5EF572BE" w14:textId="77777777" w:rsidR="00350BD0" w:rsidRPr="00D643E9" w:rsidRDefault="00350BD0" w:rsidP="00350BD0">
      <w:pPr>
        <w:tabs>
          <w:tab w:val="left" w:pos="567"/>
        </w:tabs>
        <w:spacing w:after="0" w:line="260" w:lineRule="exact"/>
        <w:rPr>
          <w:rFonts w:ascii="Times New Roman" w:hAnsi="Times New Roman"/>
          <w:lang w:val="en-GB"/>
        </w:rPr>
      </w:pPr>
    </w:p>
    <w:p w14:paraId="093FCA93" w14:textId="77777777" w:rsidR="00350BD0" w:rsidRPr="00D643E9" w:rsidRDefault="00350BD0" w:rsidP="00350BD0">
      <w:pPr>
        <w:tabs>
          <w:tab w:val="left" w:pos="567"/>
        </w:tabs>
        <w:spacing w:after="0" w:line="260" w:lineRule="exact"/>
        <w:rPr>
          <w:rFonts w:ascii="Times New Roman" w:hAnsi="Times New Roman"/>
          <w:lang w:val="en-GB"/>
        </w:rPr>
      </w:pPr>
    </w:p>
    <w:p w14:paraId="6F4B1648" w14:textId="77777777" w:rsidR="00350BD0" w:rsidRPr="00350BD0" w:rsidRDefault="00350BD0" w:rsidP="00350BD0">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350BD0">
        <w:rPr>
          <w:rFonts w:ascii="Times New Roman" w:eastAsia="Times New Roman" w:hAnsi="Times New Roman" w:cs="Times New Roman"/>
          <w:b/>
          <w:bCs/>
          <w:iCs/>
          <w:snapToGrid w:val="0"/>
          <w:lang w:eastAsia="x-none"/>
        </w:rPr>
        <w:t>III PRIEDAS</w:t>
      </w:r>
    </w:p>
    <w:p w14:paraId="2EA2C0CB"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4CAF04E" w14:textId="77777777" w:rsidR="00350BD0" w:rsidRPr="00350BD0" w:rsidRDefault="00350BD0" w:rsidP="00350BD0">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350BD0">
        <w:rPr>
          <w:rFonts w:ascii="Times New Roman" w:eastAsia="Times New Roman" w:hAnsi="Times New Roman" w:cs="Times New Roman"/>
          <w:b/>
          <w:bCs/>
          <w:iCs/>
          <w:snapToGrid w:val="0"/>
          <w:lang w:eastAsia="x-none"/>
        </w:rPr>
        <w:t>ŽENKLINIMAS IR PAKUOTĖS LAPELIS</w:t>
      </w:r>
    </w:p>
    <w:p w14:paraId="6871C1E4"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br w:type="page"/>
      </w:r>
    </w:p>
    <w:p w14:paraId="6F2834B2"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47A8DF1"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CA44B5E"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5EC0F84"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C1C27E7"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4F338070"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5D33962"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34D1F46"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0B57C87"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D76EE1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6986774"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4FC5C673"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15B069C"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4C1990E6"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BD895B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EF4058B"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42854F3B"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F3D6AF2"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423C7797"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4C4C61B"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BF0C304"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4E7635B0"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7F6747C" w14:textId="77777777" w:rsidR="00350BD0" w:rsidRPr="00350BD0" w:rsidRDefault="00350BD0" w:rsidP="00350BD0">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350BD0">
        <w:rPr>
          <w:rFonts w:ascii="Times New Roman" w:eastAsia="Times New Roman" w:hAnsi="Times New Roman" w:cs="Times New Roman"/>
          <w:b/>
          <w:bCs/>
          <w:iCs/>
          <w:snapToGrid w:val="0"/>
          <w:lang w:eastAsia="x-none"/>
        </w:rPr>
        <w:t>A. ŽENKLINIMAS</w:t>
      </w:r>
    </w:p>
    <w:p w14:paraId="34DF80D4"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br w:type="page"/>
      </w:r>
    </w:p>
    <w:p w14:paraId="7D5E1F4D"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lastRenderedPageBreak/>
        <w:t>INFORMACIJA ANT IŠORINĖS PAKUOTĖS</w:t>
      </w:r>
    </w:p>
    <w:p w14:paraId="1EE3C875"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snapToGrid w:val="0"/>
        </w:rPr>
      </w:pPr>
    </w:p>
    <w:p w14:paraId="238DF12B"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KARTONO DĖŽUTĖ</w:t>
      </w:r>
    </w:p>
    <w:p w14:paraId="1769CF19"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513AA8B4"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5266EB30"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1.</w:t>
      </w:r>
      <w:r w:rsidRPr="00350BD0">
        <w:rPr>
          <w:rFonts w:ascii="Times New Roman" w:eastAsia="Times New Roman" w:hAnsi="Times New Roman" w:cs="Times New Roman"/>
          <w:b/>
          <w:snapToGrid w:val="0"/>
        </w:rPr>
        <w:tab/>
      </w:r>
      <w:r w:rsidRPr="00350BD0">
        <w:rPr>
          <w:rFonts w:ascii="Times New Roman" w:eastAsia="Times New Roman" w:hAnsi="Times New Roman" w:cs="Times New Roman"/>
          <w:b/>
          <w:caps/>
          <w:snapToGrid w:val="0"/>
        </w:rPr>
        <w:t>VAISTINIO</w:t>
      </w:r>
      <w:r w:rsidRPr="00350BD0">
        <w:rPr>
          <w:rFonts w:ascii="Times New Roman" w:eastAsia="Times New Roman" w:hAnsi="Times New Roman" w:cs="Times New Roman"/>
          <w:b/>
          <w:snapToGrid w:val="0"/>
        </w:rPr>
        <w:t xml:space="preserve"> PREPARATO PAVADINIMAS</w:t>
      </w:r>
    </w:p>
    <w:p w14:paraId="51597C8F"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10C57E8" w14:textId="60CBD16E"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133187">
        <w:rPr>
          <w:rFonts w:ascii="Times New Roman" w:eastAsia="Times New Roman" w:hAnsi="Times New Roman" w:cs="Times New Roman"/>
          <w:b/>
          <w:bCs/>
          <w:snapToGrid w:val="0"/>
        </w:rPr>
        <w:t xml:space="preserve">Dutasteride/Tamsulosin </w:t>
      </w:r>
      <w:r w:rsidR="00AC240B" w:rsidRPr="00133187">
        <w:rPr>
          <w:rFonts w:ascii="Times New Roman" w:eastAsia="Times New Roman" w:hAnsi="Times New Roman" w:cs="Times New Roman"/>
          <w:b/>
          <w:bCs/>
          <w:snapToGrid w:val="0"/>
        </w:rPr>
        <w:t>Olpha</w:t>
      </w:r>
      <w:r w:rsidRPr="00133187">
        <w:rPr>
          <w:rFonts w:ascii="Times New Roman" w:eastAsia="Times New Roman" w:hAnsi="Times New Roman" w:cs="Times New Roman"/>
          <w:b/>
          <w:bCs/>
          <w:snapToGrid w:val="0"/>
        </w:rPr>
        <w:t xml:space="preserve"> </w:t>
      </w:r>
      <w:r w:rsidRPr="00133187">
        <w:rPr>
          <w:rFonts w:ascii="Times New Roman" w:eastAsia="Times New Roman" w:hAnsi="Times New Roman" w:cs="Times New Roman"/>
          <w:b/>
          <w:bCs/>
          <w:snapToGrid w:val="0"/>
          <w:szCs w:val="20"/>
        </w:rPr>
        <w:t>0,5 mg / 0,4 mg</w:t>
      </w:r>
      <w:r w:rsidRPr="00350BD0">
        <w:rPr>
          <w:rFonts w:ascii="Times New Roman" w:eastAsia="Times New Roman" w:hAnsi="Times New Roman" w:cs="Times New Roman"/>
          <w:snapToGrid w:val="0"/>
          <w:szCs w:val="20"/>
        </w:rPr>
        <w:t xml:space="preserve"> kietosios kapsulės</w:t>
      </w:r>
    </w:p>
    <w:p w14:paraId="019556F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dutasteridas/tamsulozino hidrochloridas</w:t>
      </w:r>
    </w:p>
    <w:p w14:paraId="59353889"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9C6C991"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A2FB744"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2.</w:t>
      </w:r>
      <w:r w:rsidRPr="00350BD0">
        <w:rPr>
          <w:rFonts w:ascii="Times New Roman" w:eastAsia="Times New Roman" w:hAnsi="Times New Roman" w:cs="Times New Roman"/>
          <w:b/>
          <w:snapToGrid w:val="0"/>
        </w:rPr>
        <w:tab/>
        <w:t>VEIKLIOJI (-IOS) MEDŽIAGA (-OS) IR JOS (-Ų) KIEKIS (-IAI)</w:t>
      </w:r>
    </w:p>
    <w:p w14:paraId="63965B48"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A38C01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Kiekvienoje kietojoje kapsulėje yra 0,5 mg dutasterido ir 0,4 mg tamsulozino hidrochlorido (atitinkančio 0,367 mg tamsulozino).</w:t>
      </w:r>
    </w:p>
    <w:p w14:paraId="0E2EBBAE"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1E2BCF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277C610"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3.</w:t>
      </w:r>
      <w:r w:rsidRPr="00350BD0">
        <w:rPr>
          <w:rFonts w:ascii="Times New Roman" w:eastAsia="Times New Roman" w:hAnsi="Times New Roman" w:cs="Times New Roman"/>
          <w:b/>
          <w:snapToGrid w:val="0"/>
        </w:rPr>
        <w:tab/>
        <w:t>PAGALBINIŲ MEDŽIAGŲ SĄRAŠAS</w:t>
      </w:r>
    </w:p>
    <w:p w14:paraId="27F6437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D86ABB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Sudėtyje yra sojų lecitino ir propilenglikolio.</w:t>
      </w:r>
    </w:p>
    <w:p w14:paraId="22760E2E"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60AC2DE"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Daugiau informacijos pateikta pakuotės lapelyje.</w:t>
      </w:r>
    </w:p>
    <w:p w14:paraId="05E2956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608AEA62"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4C4E9A80"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4.</w:t>
      </w:r>
      <w:r w:rsidRPr="00350BD0">
        <w:rPr>
          <w:rFonts w:ascii="Times New Roman" w:eastAsia="Times New Roman" w:hAnsi="Times New Roman" w:cs="Times New Roman"/>
          <w:b/>
          <w:snapToGrid w:val="0"/>
        </w:rPr>
        <w:tab/>
        <w:t>FARMACINĖ FORMA IR KIEKIS PAKUOTĖJE</w:t>
      </w:r>
    </w:p>
    <w:p w14:paraId="7E8A05BA"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00A999F" w14:textId="77777777" w:rsidR="00350BD0" w:rsidRPr="00350BD0" w:rsidRDefault="00350BD0" w:rsidP="00350BD0">
      <w:pPr>
        <w:shd w:val="clear" w:color="auto" w:fill="D9D9D9"/>
        <w:tabs>
          <w:tab w:val="left" w:pos="567"/>
        </w:tabs>
        <w:spacing w:after="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Kietoji kapsulė</w:t>
      </w:r>
    </w:p>
    <w:p w14:paraId="01B435B8" w14:textId="77777777" w:rsidR="00350BD0" w:rsidRPr="00350BD0" w:rsidRDefault="00350BD0" w:rsidP="00350BD0">
      <w:pPr>
        <w:tabs>
          <w:tab w:val="left" w:pos="567"/>
        </w:tabs>
        <w:spacing w:after="0"/>
        <w:rPr>
          <w:rFonts w:ascii="Times New Roman" w:eastAsia="Times New Roman" w:hAnsi="Times New Roman" w:cs="Times New Roman"/>
          <w:snapToGrid w:val="0"/>
          <w:szCs w:val="20"/>
        </w:rPr>
      </w:pPr>
    </w:p>
    <w:p w14:paraId="797D75DC" w14:textId="77777777" w:rsidR="00350BD0" w:rsidRPr="00350BD0" w:rsidRDefault="00350BD0" w:rsidP="00350BD0">
      <w:pPr>
        <w:tabs>
          <w:tab w:val="left" w:pos="567"/>
        </w:tabs>
        <w:spacing w:after="0" w:line="260" w:lineRule="exact"/>
        <w:ind w:left="-5" w:right="38"/>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7 </w:t>
      </w:r>
      <w:bookmarkStart w:id="12" w:name="_Hlk17207182"/>
      <w:r w:rsidRPr="00350BD0">
        <w:rPr>
          <w:rFonts w:ascii="Times New Roman" w:eastAsia="Times New Roman" w:hAnsi="Times New Roman" w:cs="Times New Roman"/>
          <w:snapToGrid w:val="0"/>
          <w:szCs w:val="20"/>
        </w:rPr>
        <w:t xml:space="preserve">kietosios </w:t>
      </w:r>
      <w:bookmarkEnd w:id="12"/>
      <w:r w:rsidRPr="00350BD0">
        <w:rPr>
          <w:rFonts w:ascii="Times New Roman" w:eastAsia="Times New Roman" w:hAnsi="Times New Roman" w:cs="Times New Roman"/>
          <w:snapToGrid w:val="0"/>
          <w:szCs w:val="20"/>
        </w:rPr>
        <w:t>kapsulės</w:t>
      </w:r>
    </w:p>
    <w:p w14:paraId="5D1F6498" w14:textId="77777777" w:rsidR="00350BD0" w:rsidRPr="00350BD0" w:rsidRDefault="00350BD0" w:rsidP="00350BD0">
      <w:pPr>
        <w:shd w:val="clear" w:color="auto" w:fill="D3D3D3"/>
        <w:tabs>
          <w:tab w:val="left" w:pos="567"/>
        </w:tabs>
        <w:spacing w:after="0"/>
        <w:ind w:left="-5"/>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30 </w:t>
      </w:r>
      <w:bookmarkStart w:id="13" w:name="_Hlk17207188"/>
      <w:r w:rsidRPr="00350BD0">
        <w:rPr>
          <w:rFonts w:ascii="Times New Roman" w:eastAsia="Times New Roman" w:hAnsi="Times New Roman" w:cs="Times New Roman"/>
          <w:snapToGrid w:val="0"/>
          <w:szCs w:val="20"/>
        </w:rPr>
        <w:t xml:space="preserve">kietųjų </w:t>
      </w:r>
      <w:bookmarkEnd w:id="13"/>
      <w:r w:rsidRPr="00350BD0">
        <w:rPr>
          <w:rFonts w:ascii="Times New Roman" w:eastAsia="Times New Roman" w:hAnsi="Times New Roman" w:cs="Times New Roman"/>
          <w:snapToGrid w:val="0"/>
          <w:szCs w:val="20"/>
        </w:rPr>
        <w:t>kapsulių</w:t>
      </w:r>
    </w:p>
    <w:p w14:paraId="18630CBD" w14:textId="77777777" w:rsidR="00350BD0" w:rsidRPr="00350BD0" w:rsidRDefault="00350BD0" w:rsidP="00350BD0">
      <w:pPr>
        <w:shd w:val="clear" w:color="auto" w:fill="D3D3D3"/>
        <w:tabs>
          <w:tab w:val="left" w:pos="567"/>
        </w:tabs>
        <w:spacing w:after="0"/>
        <w:ind w:left="-5"/>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90 kietųjų kapsulių</w:t>
      </w:r>
    </w:p>
    <w:p w14:paraId="2AEC6941" w14:textId="77777777" w:rsidR="00350BD0" w:rsidRPr="00350BD0" w:rsidRDefault="00350BD0" w:rsidP="00350BD0">
      <w:pPr>
        <w:tabs>
          <w:tab w:val="left" w:pos="567"/>
        </w:tabs>
        <w:spacing w:after="0"/>
        <w:rPr>
          <w:rFonts w:ascii="Times New Roman" w:eastAsia="Times New Roman" w:hAnsi="Times New Roman" w:cs="Times New Roman"/>
          <w:snapToGrid w:val="0"/>
          <w:szCs w:val="20"/>
        </w:rPr>
      </w:pPr>
    </w:p>
    <w:p w14:paraId="4A8EBE1A"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11FBCF7"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5.</w:t>
      </w:r>
      <w:r w:rsidRPr="00350BD0">
        <w:rPr>
          <w:rFonts w:ascii="Times New Roman" w:eastAsia="Times New Roman" w:hAnsi="Times New Roman" w:cs="Times New Roman"/>
          <w:b/>
          <w:snapToGrid w:val="0"/>
        </w:rPr>
        <w:tab/>
        <w:t>VARTOJIMO METODAS IR BŪDAS (-AI)</w:t>
      </w:r>
    </w:p>
    <w:p w14:paraId="19A1418D"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5A5C6E53" w14:textId="77777777" w:rsidR="00350BD0" w:rsidRPr="00350BD0" w:rsidRDefault="00350BD0" w:rsidP="00350BD0">
      <w:pPr>
        <w:shd w:val="clear" w:color="auto" w:fill="FFFFFF" w:themeFill="background1"/>
        <w:tabs>
          <w:tab w:val="left" w:pos="567"/>
        </w:tabs>
        <w:spacing w:after="0" w:line="260" w:lineRule="exact"/>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Vartoti per burną.</w:t>
      </w:r>
    </w:p>
    <w:p w14:paraId="2701578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Negalima kramtyti. Nuryti visą kapsulę.</w:t>
      </w:r>
    </w:p>
    <w:p w14:paraId="79875C5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Prieš vartojimą perskaitykite pakuotės lapelį.</w:t>
      </w:r>
    </w:p>
    <w:p w14:paraId="58EE32F8"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45264B4E"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923C8CC"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6.</w:t>
      </w:r>
      <w:r w:rsidRPr="00350BD0">
        <w:rPr>
          <w:rFonts w:ascii="Times New Roman" w:eastAsia="Times New Roman" w:hAnsi="Times New Roman" w:cs="Times New Roman"/>
          <w:b/>
          <w:snapToGrid w:val="0"/>
        </w:rPr>
        <w:tab/>
        <w:t>SPECIALUS ĮSPĖJIMAS, KAD VAISTINĮ PREPARATĄ BŪTINA LAIKYTI VAIKAMS NEPASTEBIMOJE IR NEPASIEKIAMOJE VIETOJE</w:t>
      </w:r>
    </w:p>
    <w:p w14:paraId="1CDB35AB"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0A6A8C1"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Laikyti vaikams nepastebimoje ir nepasiekiamoje vietoje.</w:t>
      </w:r>
    </w:p>
    <w:p w14:paraId="34A4C077"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F787298"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AD0F122"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7.</w:t>
      </w:r>
      <w:r w:rsidRPr="00350BD0">
        <w:rPr>
          <w:rFonts w:ascii="Times New Roman" w:eastAsia="Times New Roman" w:hAnsi="Times New Roman" w:cs="Times New Roman"/>
          <w:b/>
          <w:snapToGrid w:val="0"/>
        </w:rPr>
        <w:tab/>
        <w:t>KITAS (-I) SPECIALUS (-ŪS) ĮSPĖJIMAS (-AI) (JEI REIKIA)</w:t>
      </w:r>
    </w:p>
    <w:p w14:paraId="7CBF7CDD"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5926307B"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Vartoti tik vyrams.</w:t>
      </w:r>
    </w:p>
    <w:p w14:paraId="291EC4D0"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szCs w:val="20"/>
        </w:rPr>
        <w:t>Pažeistų kapsulių negalima liesti moterims, vaikams ir paaugliams.</w:t>
      </w:r>
    </w:p>
    <w:p w14:paraId="1C71292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C443227"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F44E779"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8.</w:t>
      </w:r>
      <w:r w:rsidRPr="00350BD0">
        <w:rPr>
          <w:rFonts w:ascii="Times New Roman" w:eastAsia="Times New Roman" w:hAnsi="Times New Roman" w:cs="Times New Roman"/>
          <w:b/>
          <w:snapToGrid w:val="0"/>
        </w:rPr>
        <w:tab/>
        <w:t>TINKAMUMO LAIKAS</w:t>
      </w:r>
    </w:p>
    <w:p w14:paraId="3170D69D"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50E60DB7" w14:textId="4E26DC80"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lastRenderedPageBreak/>
        <w:t>EXP</w:t>
      </w:r>
      <w:r w:rsidR="00D643E9">
        <w:rPr>
          <w:rFonts w:ascii="Times New Roman" w:eastAsia="Times New Roman" w:hAnsi="Times New Roman" w:cs="Times New Roman"/>
          <w:snapToGrid w:val="0"/>
        </w:rPr>
        <w:t>:</w:t>
      </w:r>
      <w:r w:rsidRPr="00350BD0">
        <w:rPr>
          <w:rFonts w:ascii="Times New Roman" w:eastAsia="Times New Roman" w:hAnsi="Times New Roman" w:cs="Times New Roman"/>
          <w:snapToGrid w:val="0"/>
        </w:rPr>
        <w:t xml:space="preserve"> {MMMM mm}</w:t>
      </w:r>
    </w:p>
    <w:p w14:paraId="24A906AA"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37171CA"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227178B" w14:textId="77777777" w:rsidR="00350BD0" w:rsidRPr="00350BD0" w:rsidRDefault="00350BD0" w:rsidP="00350BD0">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9.</w:t>
      </w:r>
      <w:r w:rsidRPr="00350BD0">
        <w:rPr>
          <w:rFonts w:ascii="Times New Roman" w:eastAsia="Times New Roman" w:hAnsi="Times New Roman" w:cs="Times New Roman"/>
          <w:b/>
          <w:snapToGrid w:val="0"/>
        </w:rPr>
        <w:tab/>
        <w:t>SPECIALIOS LAIKYMO SĄLYGOS</w:t>
      </w:r>
    </w:p>
    <w:p w14:paraId="20BEFC13"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59D930CE"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C3228BF"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10.</w:t>
      </w:r>
      <w:r w:rsidRPr="00350BD0">
        <w:rPr>
          <w:rFonts w:ascii="Times New Roman" w:eastAsia="Times New Roman" w:hAnsi="Times New Roman" w:cs="Times New Roman"/>
          <w:b/>
          <w:snapToGrid w:val="0"/>
        </w:rPr>
        <w:tab/>
        <w:t>SPECIALIOS ATSARGUMO PRIEMONĖS DĖL NESUVARTOTO VAISTINIO PREPARATO AR JO ATLIEKŲ TVARKYMO (JEI REIKIA)</w:t>
      </w:r>
    </w:p>
    <w:p w14:paraId="2B522664"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9979FAD"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8D55F0E"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11.</w:t>
      </w:r>
      <w:r w:rsidRPr="00350BD0">
        <w:rPr>
          <w:rFonts w:ascii="Times New Roman" w:eastAsia="Times New Roman" w:hAnsi="Times New Roman" w:cs="Times New Roman"/>
          <w:b/>
          <w:snapToGrid w:val="0"/>
        </w:rPr>
        <w:tab/>
      </w:r>
      <w:r w:rsidRPr="00350BD0">
        <w:rPr>
          <w:rFonts w:ascii="Times New Roman" w:eastAsia="Times New Roman" w:hAnsi="Times New Roman" w:cs="Times New Roman"/>
          <w:b/>
          <w:caps/>
          <w:snapToGrid w:val="0"/>
        </w:rPr>
        <w:t xml:space="preserve"> REGISTRUOTOJO PAVADINIMAS IR ADRESAS</w:t>
      </w:r>
    </w:p>
    <w:p w14:paraId="4CAC6032"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BF33C47" w14:textId="38411E96" w:rsidR="00350BD0" w:rsidRPr="00350BD0" w:rsidRDefault="00AC240B" w:rsidP="00350BD0">
      <w:pPr>
        <w:tabs>
          <w:tab w:val="left" w:pos="567"/>
        </w:tabs>
        <w:spacing w:after="0" w:line="260" w:lineRule="exact"/>
        <w:rPr>
          <w:rFonts w:ascii="Times New Roman" w:eastAsia="Times New Roman" w:hAnsi="Times New Roman" w:cs="Times New Roman"/>
          <w:snapToGrid w:val="0"/>
        </w:rPr>
      </w:pPr>
      <w:r>
        <w:rPr>
          <w:rFonts w:ascii="Times New Roman" w:eastAsia="Times New Roman" w:hAnsi="Times New Roman" w:cs="Times New Roman"/>
          <w:snapToGrid w:val="0"/>
        </w:rPr>
        <w:t>Olpha</w:t>
      </w:r>
      <w:r w:rsidR="00B555D6">
        <w:rPr>
          <w:rFonts w:ascii="Times New Roman" w:eastAsia="Times New Roman" w:hAnsi="Times New Roman" w:cs="Times New Roman"/>
          <w:snapToGrid w:val="0"/>
        </w:rPr>
        <w:t xml:space="preserve"> AS,</w:t>
      </w:r>
    </w:p>
    <w:p w14:paraId="040BC06D" w14:textId="77777777" w:rsidR="00B555D6"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Rupnicu </w:t>
      </w:r>
      <w:r w:rsidR="00B555D6">
        <w:rPr>
          <w:rFonts w:ascii="Times New Roman" w:eastAsia="Times New Roman" w:hAnsi="Times New Roman" w:cs="Times New Roman"/>
          <w:snapToGrid w:val="0"/>
        </w:rPr>
        <w:t xml:space="preserve">iela </w:t>
      </w:r>
      <w:r w:rsidRPr="00350BD0">
        <w:rPr>
          <w:rFonts w:ascii="Times New Roman" w:eastAsia="Times New Roman" w:hAnsi="Times New Roman" w:cs="Times New Roman"/>
          <w:snapToGrid w:val="0"/>
        </w:rPr>
        <w:t>5,</w:t>
      </w:r>
    </w:p>
    <w:p w14:paraId="0D5C28AB" w14:textId="353F2221"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Olaine</w:t>
      </w:r>
      <w:r w:rsidR="00B555D6">
        <w:rPr>
          <w:rFonts w:ascii="Times New Roman" w:eastAsia="Times New Roman" w:hAnsi="Times New Roman" w:cs="Times New Roman"/>
          <w:snapToGrid w:val="0"/>
        </w:rPr>
        <w:t>, Olaines novads,</w:t>
      </w:r>
      <w:r w:rsidR="00B555D6" w:rsidRPr="00B555D6">
        <w:rPr>
          <w:rFonts w:ascii="Times New Roman" w:eastAsia="Times New Roman" w:hAnsi="Times New Roman" w:cs="Times New Roman"/>
          <w:snapToGrid w:val="0"/>
        </w:rPr>
        <w:t xml:space="preserve"> </w:t>
      </w:r>
      <w:r w:rsidR="00B555D6" w:rsidRPr="00350BD0">
        <w:rPr>
          <w:rFonts w:ascii="Times New Roman" w:eastAsia="Times New Roman" w:hAnsi="Times New Roman" w:cs="Times New Roman"/>
          <w:snapToGrid w:val="0"/>
        </w:rPr>
        <w:t>LV</w:t>
      </w:r>
      <w:r w:rsidR="00B555D6" w:rsidRPr="00350BD0">
        <w:rPr>
          <w:rFonts w:ascii="Times New Roman" w:eastAsia="Times New Roman" w:hAnsi="Times New Roman" w:cs="Times New Roman"/>
          <w:snapToGrid w:val="0"/>
        </w:rPr>
        <w:noBreakHyphen/>
        <w:t>2114</w:t>
      </w:r>
      <w:r w:rsidR="00B555D6">
        <w:rPr>
          <w:rFonts w:ascii="Times New Roman" w:eastAsia="Times New Roman" w:hAnsi="Times New Roman" w:cs="Times New Roman"/>
          <w:snapToGrid w:val="0"/>
        </w:rPr>
        <w:t>,</w:t>
      </w:r>
    </w:p>
    <w:p w14:paraId="2390D66E" w14:textId="5E7EA9FD" w:rsid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Latvija</w:t>
      </w:r>
    </w:p>
    <w:p w14:paraId="3233597D" w14:textId="77777777" w:rsidR="003515E1" w:rsidRDefault="003515E1" w:rsidP="00350BD0">
      <w:pPr>
        <w:tabs>
          <w:tab w:val="left" w:pos="567"/>
        </w:tabs>
        <w:spacing w:after="0" w:line="260" w:lineRule="exact"/>
        <w:rPr>
          <w:rFonts w:ascii="Times New Roman" w:eastAsia="Times New Roman" w:hAnsi="Times New Roman" w:cs="Times New Roman"/>
          <w:snapToGrid w:val="0"/>
        </w:rPr>
      </w:pPr>
    </w:p>
    <w:p w14:paraId="468A1D13" w14:textId="7D53064F" w:rsidR="003515E1" w:rsidRPr="00350BD0" w:rsidRDefault="003515E1" w:rsidP="00350BD0">
      <w:pPr>
        <w:tabs>
          <w:tab w:val="left" w:pos="567"/>
        </w:tabs>
        <w:spacing w:after="0" w:line="260" w:lineRule="exact"/>
        <w:rPr>
          <w:rFonts w:ascii="Times New Roman" w:eastAsia="Times New Roman" w:hAnsi="Times New Roman" w:cs="Times New Roman"/>
          <w:snapToGrid w:val="0"/>
        </w:rPr>
      </w:pPr>
      <w:r w:rsidRPr="00133187">
        <w:rPr>
          <w:rFonts w:ascii="Times New Roman" w:eastAsia="Times New Roman" w:hAnsi="Times New Roman" w:cs="Times New Roman"/>
          <w:snapToGrid w:val="0"/>
          <w:highlight w:val="lightGray"/>
        </w:rPr>
        <w:t>[logotipas]</w:t>
      </w:r>
    </w:p>
    <w:p w14:paraId="4FDD628C" w14:textId="77777777" w:rsidR="00350BD0" w:rsidRDefault="00350BD0" w:rsidP="00350BD0">
      <w:pPr>
        <w:tabs>
          <w:tab w:val="left" w:pos="567"/>
        </w:tabs>
        <w:spacing w:after="0" w:line="260" w:lineRule="exact"/>
        <w:rPr>
          <w:rFonts w:ascii="Times New Roman" w:eastAsia="Times New Roman" w:hAnsi="Times New Roman" w:cs="Times New Roman"/>
          <w:snapToGrid w:val="0"/>
        </w:rPr>
      </w:pPr>
    </w:p>
    <w:p w14:paraId="4B9DB9EC" w14:textId="77777777" w:rsidR="001427D8" w:rsidRPr="00350BD0" w:rsidRDefault="001427D8" w:rsidP="00350BD0">
      <w:pPr>
        <w:tabs>
          <w:tab w:val="left" w:pos="567"/>
        </w:tabs>
        <w:spacing w:after="0" w:line="260" w:lineRule="exact"/>
        <w:rPr>
          <w:rFonts w:ascii="Times New Roman" w:eastAsia="Times New Roman" w:hAnsi="Times New Roman" w:cs="Times New Roman"/>
          <w:snapToGrid w:val="0"/>
        </w:rPr>
      </w:pPr>
    </w:p>
    <w:p w14:paraId="7B1A6F98"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12.</w:t>
      </w:r>
      <w:r w:rsidRPr="00350BD0">
        <w:rPr>
          <w:rFonts w:ascii="Times New Roman" w:eastAsia="Times New Roman" w:hAnsi="Times New Roman" w:cs="Times New Roman"/>
          <w:b/>
          <w:snapToGrid w:val="0"/>
        </w:rPr>
        <w:tab/>
        <w:t xml:space="preserve">REGISTRACIJOS PAŽYMĖJIMO NUMERIS (-IAI) </w:t>
      </w:r>
    </w:p>
    <w:p w14:paraId="40381926"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43299541" w14:textId="46AA0F7D" w:rsidR="00350BD0" w:rsidRPr="00350BD0" w:rsidRDefault="00350BD0" w:rsidP="00350BD0">
      <w:pPr>
        <w:tabs>
          <w:tab w:val="left" w:pos="567"/>
        </w:tabs>
        <w:spacing w:after="0" w:line="260" w:lineRule="exact"/>
        <w:rPr>
          <w:rFonts w:ascii="Times New Roman" w:eastAsia="Times New Roman" w:hAnsi="Times New Roman" w:cs="Times New Roman"/>
          <w:bCs/>
          <w:snapToGrid w:val="0"/>
        </w:rPr>
      </w:pPr>
      <w:r w:rsidRPr="00350BD0">
        <w:rPr>
          <w:rFonts w:ascii="Times New Roman" w:eastAsia="Times New Roman" w:hAnsi="Times New Roman" w:cs="Times New Roman"/>
          <w:snapToGrid w:val="0"/>
        </w:rPr>
        <w:t>LT/1/19/4487/001</w:t>
      </w:r>
      <w:r w:rsidRPr="00350BD0">
        <w:rPr>
          <w:rFonts w:ascii="Times New Roman" w:eastAsia="Times New Roman" w:hAnsi="Times New Roman" w:cs="Times New Roman"/>
          <w:bCs/>
          <w:snapToGrid w:val="0"/>
        </w:rPr>
        <w:t xml:space="preserve"> – </w:t>
      </w:r>
      <w:r w:rsidRPr="00350BD0">
        <w:rPr>
          <w:rFonts w:ascii="Times New Roman" w:eastAsia="Times New Roman" w:hAnsi="Times New Roman" w:cs="Times New Roman"/>
          <w:bCs/>
          <w:snapToGrid w:val="0"/>
          <w:shd w:val="clear" w:color="auto" w:fill="D9D9D9" w:themeFill="background1" w:themeFillShade="D9"/>
        </w:rPr>
        <w:t>N7</w:t>
      </w:r>
    </w:p>
    <w:p w14:paraId="2D4FBF46" w14:textId="77777777" w:rsidR="00350BD0" w:rsidRPr="00350BD0" w:rsidRDefault="00350BD0" w:rsidP="00350BD0">
      <w:pPr>
        <w:tabs>
          <w:tab w:val="left" w:pos="567"/>
        </w:tabs>
        <w:spacing w:after="0" w:line="260" w:lineRule="exact"/>
        <w:rPr>
          <w:rFonts w:ascii="Times New Roman" w:eastAsia="Times New Roman" w:hAnsi="Times New Roman" w:cs="Times New Roman"/>
          <w:bCs/>
          <w:snapToGrid w:val="0"/>
          <w:shd w:val="clear" w:color="auto" w:fill="D9D9D9" w:themeFill="background1" w:themeFillShade="D9"/>
        </w:rPr>
      </w:pPr>
      <w:r w:rsidRPr="00350BD0">
        <w:rPr>
          <w:rFonts w:ascii="Times New Roman" w:eastAsia="Times New Roman" w:hAnsi="Times New Roman" w:cs="Times New Roman"/>
          <w:bCs/>
          <w:snapToGrid w:val="0"/>
          <w:shd w:val="clear" w:color="auto" w:fill="D9D9D9" w:themeFill="background1" w:themeFillShade="D9"/>
        </w:rPr>
        <w:t>LT/1/19/4487/002 – N30</w:t>
      </w:r>
    </w:p>
    <w:p w14:paraId="6769A00B" w14:textId="77777777" w:rsidR="00350BD0" w:rsidRPr="00350BD0" w:rsidRDefault="00350BD0" w:rsidP="00350BD0">
      <w:pPr>
        <w:spacing w:after="0" w:line="240" w:lineRule="auto"/>
        <w:rPr>
          <w:rFonts w:ascii="Times New Roman" w:eastAsia="Times New Roman" w:hAnsi="Times New Roman" w:cs="Times New Roman"/>
          <w:bCs/>
          <w:snapToGrid w:val="0"/>
          <w:shd w:val="clear" w:color="auto" w:fill="D9D9D9" w:themeFill="background1" w:themeFillShade="D9"/>
        </w:rPr>
      </w:pPr>
      <w:r w:rsidRPr="00350BD0">
        <w:rPr>
          <w:rFonts w:ascii="Times New Roman" w:eastAsia="Times New Roman" w:hAnsi="Times New Roman" w:cs="Times New Roman"/>
          <w:bCs/>
          <w:snapToGrid w:val="0"/>
          <w:shd w:val="clear" w:color="auto" w:fill="D9D9D9" w:themeFill="background1" w:themeFillShade="D9"/>
        </w:rPr>
        <w:t>LT/1/19/4487/003 – N90</w:t>
      </w:r>
    </w:p>
    <w:p w14:paraId="5A2DA800"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492F852"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54D1FFB"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13.</w:t>
      </w:r>
      <w:r w:rsidRPr="00350BD0">
        <w:rPr>
          <w:rFonts w:ascii="Times New Roman" w:eastAsia="Times New Roman" w:hAnsi="Times New Roman" w:cs="Times New Roman"/>
          <w:b/>
          <w:snapToGrid w:val="0"/>
        </w:rPr>
        <w:tab/>
        <w:t xml:space="preserve">SERIJOS NUMERIS </w:t>
      </w:r>
    </w:p>
    <w:p w14:paraId="6AD0B0E1"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31E99A1" w14:textId="4D85440E"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Lot</w:t>
      </w:r>
      <w:r w:rsidR="00D643E9">
        <w:rPr>
          <w:rFonts w:ascii="Times New Roman" w:eastAsia="Times New Roman" w:hAnsi="Times New Roman" w:cs="Times New Roman"/>
          <w:snapToGrid w:val="0"/>
        </w:rPr>
        <w:t>:</w:t>
      </w:r>
    </w:p>
    <w:p w14:paraId="27F892ED"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62954FC"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AADF493"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14.</w:t>
      </w:r>
      <w:r w:rsidRPr="00350BD0">
        <w:rPr>
          <w:rFonts w:ascii="Times New Roman" w:eastAsia="Times New Roman" w:hAnsi="Times New Roman" w:cs="Times New Roman"/>
          <w:b/>
          <w:snapToGrid w:val="0"/>
        </w:rPr>
        <w:tab/>
        <w:t>PARDAVIMO (IŠDAVIMO) TVARKA</w:t>
      </w:r>
    </w:p>
    <w:p w14:paraId="7E8CB1F8"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6947FFC" w14:textId="77777777" w:rsidR="00350BD0" w:rsidRPr="00D643E9" w:rsidRDefault="00350BD0" w:rsidP="00350BD0">
      <w:pPr>
        <w:widowControl w:val="0"/>
        <w:tabs>
          <w:tab w:val="left" w:pos="567"/>
        </w:tabs>
        <w:spacing w:after="0" w:line="260" w:lineRule="exact"/>
        <w:rPr>
          <w:rFonts w:ascii="Times New Roman" w:hAnsi="Times New Roman"/>
          <w:lang w:val="en-GB"/>
        </w:rPr>
      </w:pPr>
      <w:r w:rsidRPr="00D643E9">
        <w:rPr>
          <w:rFonts w:ascii="Times New Roman" w:hAnsi="Times New Roman"/>
          <w:lang w:val="en-GB"/>
        </w:rPr>
        <w:t>Receptinis vaistas.</w:t>
      </w:r>
    </w:p>
    <w:p w14:paraId="39FEE15B"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2182ED0"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4C8915D" w14:textId="77777777" w:rsidR="00350BD0" w:rsidRPr="00350BD0" w:rsidRDefault="00350BD0" w:rsidP="00350BD0">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15.</w:t>
      </w:r>
      <w:r w:rsidRPr="00350BD0">
        <w:rPr>
          <w:rFonts w:ascii="Times New Roman" w:eastAsia="Times New Roman" w:hAnsi="Times New Roman" w:cs="Times New Roman"/>
          <w:b/>
          <w:snapToGrid w:val="0"/>
        </w:rPr>
        <w:tab/>
        <w:t>VARTOJIMO INSTRUKCIJA</w:t>
      </w:r>
    </w:p>
    <w:p w14:paraId="4D7D98A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655C61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39D1329" w14:textId="77777777" w:rsidR="00350BD0" w:rsidRPr="00350BD0" w:rsidRDefault="00350BD0" w:rsidP="00350BD0">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rPr>
      </w:pPr>
      <w:r w:rsidRPr="00350BD0">
        <w:rPr>
          <w:rFonts w:ascii="Times New Roman" w:eastAsia="Times New Roman" w:hAnsi="Times New Roman" w:cs="Times New Roman"/>
          <w:b/>
          <w:snapToGrid w:val="0"/>
        </w:rPr>
        <w:t>16.</w:t>
      </w:r>
      <w:r w:rsidRPr="00350BD0">
        <w:rPr>
          <w:rFonts w:ascii="Times New Roman" w:eastAsia="Times New Roman" w:hAnsi="Times New Roman" w:cs="Times New Roman"/>
          <w:b/>
          <w:snapToGrid w:val="0"/>
        </w:rPr>
        <w:tab/>
        <w:t>INFORMACIJA BRAILIO RAŠTU</w:t>
      </w:r>
    </w:p>
    <w:p w14:paraId="3BF4C537"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83EA719" w14:textId="77777777" w:rsidR="00350BD0" w:rsidRPr="00350BD0" w:rsidRDefault="00350BD0" w:rsidP="00350BD0">
      <w:pPr>
        <w:tabs>
          <w:tab w:val="left" w:pos="567"/>
        </w:tabs>
        <w:spacing w:after="0" w:line="260" w:lineRule="exact"/>
        <w:rPr>
          <w:rFonts w:ascii="Times New Roman" w:eastAsia="Times New Roman" w:hAnsi="Times New Roman" w:cs="Times New Roman"/>
          <w:shd w:val="clear" w:color="auto" w:fill="CCCCCC"/>
        </w:rPr>
      </w:pPr>
    </w:p>
    <w:p w14:paraId="569D34EF" w14:textId="77777777" w:rsidR="00350BD0" w:rsidRPr="00350BD0" w:rsidRDefault="00350BD0" w:rsidP="00350BD0">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rPr>
      </w:pPr>
      <w:r w:rsidRPr="00350BD0">
        <w:rPr>
          <w:rFonts w:ascii="Times New Roman" w:eastAsia="Times New Roman" w:hAnsi="Times New Roman" w:cs="Times New Roman"/>
          <w:b/>
          <w:snapToGrid w:val="0"/>
        </w:rPr>
        <w:t>17.</w:t>
      </w:r>
      <w:r w:rsidRPr="00350BD0">
        <w:rPr>
          <w:rFonts w:ascii="Times New Roman" w:eastAsia="Times New Roman" w:hAnsi="Times New Roman" w:cs="Times New Roman"/>
          <w:b/>
          <w:snapToGrid w:val="0"/>
        </w:rPr>
        <w:tab/>
        <w:t>UNIKALUS IDENTIFIKATORIUS – 2D BRŪKŠNINIS KODAS</w:t>
      </w:r>
    </w:p>
    <w:p w14:paraId="6804A04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485630B"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shd w:val="clear" w:color="auto" w:fill="CCCCCC"/>
        </w:rPr>
      </w:pPr>
      <w:r w:rsidRPr="00350BD0">
        <w:rPr>
          <w:rFonts w:ascii="Times New Roman" w:eastAsia="Times New Roman" w:hAnsi="Times New Roman" w:cs="Times New Roman"/>
          <w:snapToGrid w:val="0"/>
          <w:highlight w:val="lightGray"/>
        </w:rPr>
        <w:t>&lt;2D brūkšninis kodas su nurodytu unikaliu identifikatoriumi.&gt;</w:t>
      </w:r>
    </w:p>
    <w:p w14:paraId="5C3546A8"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2E47493"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158E134" w14:textId="77777777" w:rsidR="00350BD0" w:rsidRPr="00350BD0" w:rsidRDefault="00350BD0" w:rsidP="00350BD0">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rPr>
      </w:pPr>
      <w:r w:rsidRPr="00350BD0">
        <w:rPr>
          <w:rFonts w:ascii="Times New Roman" w:eastAsia="Times New Roman" w:hAnsi="Times New Roman" w:cs="Times New Roman"/>
          <w:b/>
          <w:snapToGrid w:val="0"/>
        </w:rPr>
        <w:t>18.</w:t>
      </w:r>
      <w:r w:rsidRPr="00350BD0">
        <w:rPr>
          <w:rFonts w:ascii="Times New Roman" w:eastAsia="Times New Roman" w:hAnsi="Times New Roman" w:cs="Times New Roman"/>
          <w:b/>
          <w:snapToGrid w:val="0"/>
        </w:rPr>
        <w:tab/>
        <w:t>UNIKALUS IDENTIFIKATORIUS – ŽMONĖMS SUPRANTAMI DUOMENYS</w:t>
      </w:r>
    </w:p>
    <w:p w14:paraId="19C44B68"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A8D9226"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PC: {numeris}</w:t>
      </w:r>
    </w:p>
    <w:p w14:paraId="442C8C94"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SN: {numeris}</w:t>
      </w:r>
    </w:p>
    <w:p w14:paraId="03E2274B" w14:textId="6FCB7B19" w:rsidR="00B555D6" w:rsidRDefault="00350BD0" w:rsidP="002C1808">
      <w:pPr>
        <w:tabs>
          <w:tab w:val="left" w:pos="567"/>
        </w:tabs>
        <w:spacing w:after="0" w:line="260" w:lineRule="exact"/>
        <w:rPr>
          <w:rFonts w:ascii="Times New Roman" w:eastAsia="Times New Roman" w:hAnsi="Times New Roman" w:cs="Times New Roman"/>
          <w:snapToGrid w:val="0"/>
          <w:highlight w:val="lightGray"/>
        </w:rPr>
      </w:pPr>
      <w:r w:rsidRPr="00350BD0">
        <w:rPr>
          <w:rFonts w:ascii="Times New Roman" w:eastAsia="Times New Roman" w:hAnsi="Times New Roman" w:cs="Times New Roman"/>
          <w:snapToGrid w:val="0"/>
          <w:highlight w:val="lightGray"/>
        </w:rPr>
        <w:t>NN: {numeris}</w:t>
      </w:r>
    </w:p>
    <w:p w14:paraId="6C3E4FC9" w14:textId="77777777" w:rsidR="00B555D6" w:rsidRDefault="00B555D6">
      <w:pPr>
        <w:rPr>
          <w:rFonts w:ascii="Times New Roman" w:eastAsia="Times New Roman" w:hAnsi="Times New Roman" w:cs="Times New Roman"/>
          <w:snapToGrid w:val="0"/>
          <w:highlight w:val="lightGray"/>
        </w:rPr>
      </w:pPr>
      <w:r>
        <w:rPr>
          <w:rFonts w:ascii="Times New Roman" w:eastAsia="Times New Roman" w:hAnsi="Times New Roman" w:cs="Times New Roman"/>
          <w:snapToGrid w:val="0"/>
          <w:highlight w:val="lightGray"/>
        </w:rPr>
        <w:br w:type="page"/>
      </w:r>
    </w:p>
    <w:p w14:paraId="31B7B5F0" w14:textId="77777777" w:rsidR="00350BD0" w:rsidRPr="001427D8" w:rsidRDefault="00350BD0" w:rsidP="002C1808">
      <w:pPr>
        <w:tabs>
          <w:tab w:val="left" w:pos="567"/>
        </w:tabs>
        <w:spacing w:after="0" w:line="260" w:lineRule="exact"/>
        <w:rPr>
          <w:rFonts w:ascii="Times New Roman" w:eastAsia="Times New Roman" w:hAnsi="Times New Roman" w:cs="Times New Roman"/>
          <w:snapToGrid w:val="0"/>
          <w:vanish/>
        </w:rPr>
      </w:pPr>
    </w:p>
    <w:p w14:paraId="1B580B15" w14:textId="77777777" w:rsidR="00350BD0" w:rsidRPr="00B83DB0" w:rsidRDefault="00350BD0" w:rsidP="00B83DB0">
      <w:pPr>
        <w:rPr>
          <w:rFonts w:ascii="Times New Roman" w:hAnsi="Times New Roman"/>
          <w:b/>
        </w:rPr>
      </w:pPr>
    </w:p>
    <w:p w14:paraId="6290FBAC" w14:textId="77777777" w:rsidR="002C1808" w:rsidRDefault="002C1808" w:rsidP="002C1808">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INFORMACIJA ANT VIDINĖS PAKUOTĖS</w:t>
      </w:r>
    </w:p>
    <w:p w14:paraId="688677FB" w14:textId="77777777" w:rsidR="002C1808" w:rsidRPr="00350BD0" w:rsidRDefault="002C1808" w:rsidP="00B83DB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rPr>
      </w:pPr>
    </w:p>
    <w:p w14:paraId="1BADE2AC"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DTPE BUTELIUKO ETIKETĖ</w:t>
      </w:r>
    </w:p>
    <w:p w14:paraId="78DDA33E"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9CC7BA8"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4B0B8DE"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1.</w:t>
      </w:r>
      <w:r w:rsidRPr="00350BD0">
        <w:rPr>
          <w:rFonts w:ascii="Times New Roman" w:eastAsia="Times New Roman" w:hAnsi="Times New Roman" w:cs="Times New Roman"/>
          <w:b/>
          <w:snapToGrid w:val="0"/>
        </w:rPr>
        <w:tab/>
      </w:r>
      <w:r w:rsidRPr="00350BD0">
        <w:rPr>
          <w:rFonts w:ascii="Times New Roman" w:eastAsia="Times New Roman" w:hAnsi="Times New Roman" w:cs="Times New Roman"/>
          <w:b/>
          <w:caps/>
          <w:snapToGrid w:val="0"/>
        </w:rPr>
        <w:t>VAISTINIO</w:t>
      </w:r>
      <w:r w:rsidRPr="00350BD0">
        <w:rPr>
          <w:rFonts w:ascii="Times New Roman" w:eastAsia="Times New Roman" w:hAnsi="Times New Roman" w:cs="Times New Roman"/>
          <w:b/>
          <w:snapToGrid w:val="0"/>
        </w:rPr>
        <w:t xml:space="preserve"> PREPARATO PAVADINIMAS</w:t>
      </w:r>
    </w:p>
    <w:p w14:paraId="6AB0F882"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23A8798" w14:textId="520D2A52"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133187">
        <w:rPr>
          <w:rFonts w:ascii="Times New Roman" w:eastAsia="Times New Roman" w:hAnsi="Times New Roman" w:cs="Times New Roman"/>
          <w:b/>
          <w:bCs/>
          <w:snapToGrid w:val="0"/>
        </w:rPr>
        <w:t xml:space="preserve">Dutasteride/Tamsulosin </w:t>
      </w:r>
      <w:r w:rsidR="00AC240B" w:rsidRPr="00133187">
        <w:rPr>
          <w:rFonts w:ascii="Times New Roman" w:eastAsia="Times New Roman" w:hAnsi="Times New Roman" w:cs="Times New Roman"/>
          <w:b/>
          <w:bCs/>
          <w:snapToGrid w:val="0"/>
        </w:rPr>
        <w:t>Olpha</w:t>
      </w:r>
      <w:r w:rsidRPr="00133187">
        <w:rPr>
          <w:rFonts w:ascii="Times New Roman" w:eastAsia="Times New Roman" w:hAnsi="Times New Roman" w:cs="Times New Roman"/>
          <w:b/>
          <w:bCs/>
          <w:snapToGrid w:val="0"/>
        </w:rPr>
        <w:t xml:space="preserve"> </w:t>
      </w:r>
      <w:r w:rsidRPr="00133187">
        <w:rPr>
          <w:rFonts w:ascii="Times New Roman" w:eastAsia="Times New Roman" w:hAnsi="Times New Roman" w:cs="Times New Roman"/>
          <w:b/>
          <w:bCs/>
          <w:snapToGrid w:val="0"/>
          <w:szCs w:val="20"/>
        </w:rPr>
        <w:t>0,5 mg / 0,4 mg</w:t>
      </w:r>
      <w:r w:rsidRPr="00350BD0">
        <w:rPr>
          <w:rFonts w:ascii="Times New Roman" w:eastAsia="Times New Roman" w:hAnsi="Times New Roman" w:cs="Times New Roman"/>
          <w:snapToGrid w:val="0"/>
          <w:szCs w:val="20"/>
        </w:rPr>
        <w:t xml:space="preserve"> kietosios kapsulės</w:t>
      </w:r>
    </w:p>
    <w:p w14:paraId="3A70891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dutasteridas / tamsulozino hidrochloridas</w:t>
      </w:r>
    </w:p>
    <w:p w14:paraId="0A47298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7108CB6"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0F30135"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2.</w:t>
      </w:r>
      <w:r w:rsidRPr="00350BD0">
        <w:rPr>
          <w:rFonts w:ascii="Times New Roman" w:eastAsia="Times New Roman" w:hAnsi="Times New Roman" w:cs="Times New Roman"/>
          <w:b/>
          <w:snapToGrid w:val="0"/>
        </w:rPr>
        <w:tab/>
        <w:t>VEIKLIOJI (-IOS) MEDŽIAGA (-OS) IR JOS (-Ų) KIEKIS (-IAI)</w:t>
      </w:r>
    </w:p>
    <w:p w14:paraId="0581EEA0"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4AC359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Kiekvienoje kietojoje kapsulėje yra 0,5 mg dutasterido ir 0,4 mg tamsulozino hidrochlorido (atitinkančio 0,367 mg tamsulozino).</w:t>
      </w:r>
    </w:p>
    <w:p w14:paraId="3D908914"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CE786B9"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9286BD5"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3.</w:t>
      </w:r>
      <w:r w:rsidRPr="00350BD0">
        <w:rPr>
          <w:rFonts w:ascii="Times New Roman" w:eastAsia="Times New Roman" w:hAnsi="Times New Roman" w:cs="Times New Roman"/>
          <w:b/>
          <w:snapToGrid w:val="0"/>
        </w:rPr>
        <w:tab/>
        <w:t>PAGALBINIŲ MEDŽIAGŲ SĄRAŠAS</w:t>
      </w:r>
    </w:p>
    <w:p w14:paraId="6EBD915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97D6A9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Sudėtyje yra sojų lecitino ir propilenglikolio.</w:t>
      </w:r>
    </w:p>
    <w:p w14:paraId="5B6F988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633BFD6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Daugiau informacijos pateikta pakuotės lapelyje.</w:t>
      </w:r>
    </w:p>
    <w:p w14:paraId="0F759B16"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DCB4AB9"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AFE69BB"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4.</w:t>
      </w:r>
      <w:r w:rsidRPr="00350BD0">
        <w:rPr>
          <w:rFonts w:ascii="Times New Roman" w:eastAsia="Times New Roman" w:hAnsi="Times New Roman" w:cs="Times New Roman"/>
          <w:b/>
          <w:snapToGrid w:val="0"/>
        </w:rPr>
        <w:tab/>
        <w:t>FARMACINĖ FORMA IR KIEKIS PAKUOTĖJE</w:t>
      </w:r>
    </w:p>
    <w:p w14:paraId="3D2B128F"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873D9E2" w14:textId="77777777" w:rsidR="00350BD0" w:rsidRPr="00350BD0" w:rsidRDefault="00350BD0" w:rsidP="00350BD0">
      <w:pPr>
        <w:shd w:val="clear" w:color="auto" w:fill="D9D9D9"/>
        <w:tabs>
          <w:tab w:val="left" w:pos="567"/>
        </w:tabs>
        <w:spacing w:after="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Kietoji kapsulė</w:t>
      </w:r>
    </w:p>
    <w:p w14:paraId="4F7A7616" w14:textId="77777777" w:rsidR="00350BD0" w:rsidRPr="00350BD0" w:rsidRDefault="00350BD0" w:rsidP="00350BD0">
      <w:pPr>
        <w:tabs>
          <w:tab w:val="left" w:pos="567"/>
        </w:tabs>
        <w:spacing w:after="0"/>
        <w:rPr>
          <w:rFonts w:ascii="Times New Roman" w:eastAsia="Times New Roman" w:hAnsi="Times New Roman" w:cs="Times New Roman"/>
          <w:snapToGrid w:val="0"/>
          <w:szCs w:val="20"/>
        </w:rPr>
      </w:pPr>
    </w:p>
    <w:p w14:paraId="281112AB" w14:textId="77777777" w:rsidR="00350BD0" w:rsidRPr="00350BD0" w:rsidRDefault="00350BD0" w:rsidP="00350BD0">
      <w:pPr>
        <w:tabs>
          <w:tab w:val="left" w:pos="567"/>
        </w:tabs>
        <w:spacing w:after="0" w:line="260" w:lineRule="exact"/>
        <w:ind w:left="-5" w:right="38"/>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7 kietosios kapsulės</w:t>
      </w:r>
    </w:p>
    <w:p w14:paraId="3205FA72" w14:textId="77777777" w:rsidR="00350BD0" w:rsidRPr="00350BD0" w:rsidRDefault="00350BD0" w:rsidP="00350BD0">
      <w:pPr>
        <w:shd w:val="clear" w:color="auto" w:fill="D3D3D3"/>
        <w:tabs>
          <w:tab w:val="left" w:pos="567"/>
        </w:tabs>
        <w:spacing w:after="0"/>
        <w:ind w:left="-5"/>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30 kietųjų kapsulių</w:t>
      </w:r>
    </w:p>
    <w:p w14:paraId="2A65B677" w14:textId="77777777" w:rsidR="00350BD0" w:rsidRPr="00350BD0" w:rsidRDefault="00350BD0" w:rsidP="00350BD0">
      <w:pPr>
        <w:shd w:val="clear" w:color="auto" w:fill="D3D3D3"/>
        <w:tabs>
          <w:tab w:val="left" w:pos="567"/>
        </w:tabs>
        <w:spacing w:after="0"/>
        <w:ind w:left="-5"/>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90 kietųjų kapsulių</w:t>
      </w:r>
    </w:p>
    <w:p w14:paraId="1B15BEE9" w14:textId="77777777" w:rsidR="00350BD0" w:rsidRPr="00350BD0" w:rsidRDefault="00350BD0" w:rsidP="00350BD0">
      <w:pPr>
        <w:tabs>
          <w:tab w:val="left" w:pos="567"/>
        </w:tabs>
        <w:spacing w:after="0"/>
        <w:rPr>
          <w:rFonts w:ascii="Times New Roman" w:eastAsia="Times New Roman" w:hAnsi="Times New Roman" w:cs="Times New Roman"/>
          <w:snapToGrid w:val="0"/>
          <w:szCs w:val="20"/>
        </w:rPr>
      </w:pPr>
    </w:p>
    <w:p w14:paraId="2C49B5A8"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2CAACAC"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5.</w:t>
      </w:r>
      <w:r w:rsidRPr="00350BD0">
        <w:rPr>
          <w:rFonts w:ascii="Times New Roman" w:eastAsia="Times New Roman" w:hAnsi="Times New Roman" w:cs="Times New Roman"/>
          <w:b/>
          <w:snapToGrid w:val="0"/>
        </w:rPr>
        <w:tab/>
        <w:t>VARTOJIMO METODAS IR BŪDAS (-AI)</w:t>
      </w:r>
    </w:p>
    <w:p w14:paraId="544F16A1"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923F7A6" w14:textId="77777777" w:rsidR="00350BD0" w:rsidRPr="00350BD0" w:rsidRDefault="00350BD0" w:rsidP="00350BD0">
      <w:pPr>
        <w:shd w:val="clear" w:color="auto" w:fill="D9D9D9"/>
        <w:tabs>
          <w:tab w:val="left" w:pos="567"/>
        </w:tabs>
        <w:spacing w:after="0" w:line="260" w:lineRule="exact"/>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Vartoti per burną</w:t>
      </w:r>
    </w:p>
    <w:p w14:paraId="73E0A159"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Negalima kramtyti. Nuryti visą kapsulę.</w:t>
      </w:r>
    </w:p>
    <w:p w14:paraId="0B9AD1E4"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Prieš vartojimą perskaitykite pakuotės lapelį.</w:t>
      </w:r>
    </w:p>
    <w:p w14:paraId="4D72C35C"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46BD8EB7"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118EAB4"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6.</w:t>
      </w:r>
      <w:r w:rsidRPr="00350BD0">
        <w:rPr>
          <w:rFonts w:ascii="Times New Roman" w:eastAsia="Times New Roman" w:hAnsi="Times New Roman" w:cs="Times New Roman"/>
          <w:b/>
          <w:snapToGrid w:val="0"/>
        </w:rPr>
        <w:tab/>
        <w:t>SPECIALUS ĮSPĖJIMAS, KAD VAISTINĮ PREPARATĄ BŪTINA LAIKYTI VAIKAMS NEPASTEBIMOJE IR NEPASIEKIAMOJE VIETOJE</w:t>
      </w:r>
    </w:p>
    <w:p w14:paraId="63F0EEA1"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CFF7E6A"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Laikyti vaikams nepastebimoje ir nepasiekiamoje vietoje.</w:t>
      </w:r>
    </w:p>
    <w:p w14:paraId="60A17FDF"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EB38646"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832F35D"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7.</w:t>
      </w:r>
      <w:r w:rsidRPr="00350BD0">
        <w:rPr>
          <w:rFonts w:ascii="Times New Roman" w:eastAsia="Times New Roman" w:hAnsi="Times New Roman" w:cs="Times New Roman"/>
          <w:b/>
          <w:snapToGrid w:val="0"/>
        </w:rPr>
        <w:tab/>
        <w:t>KITAS (-I) SPECIALUS (-ŪS) ĮSPĖJIMAS (-AI) (JEI REIKIA)</w:t>
      </w:r>
    </w:p>
    <w:p w14:paraId="15AEF8A6"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485C52E"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Vartoti tik vyrams.</w:t>
      </w:r>
    </w:p>
    <w:p w14:paraId="4AEA5D7C"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szCs w:val="20"/>
        </w:rPr>
        <w:t>Pažeistų kapsulių negalima liesti moterims, vaikams ir paaugliams.</w:t>
      </w:r>
    </w:p>
    <w:p w14:paraId="1C114DEB"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5EE6EB1D"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5BD6A0F5"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lastRenderedPageBreak/>
        <w:t>8.</w:t>
      </w:r>
      <w:r w:rsidRPr="00350BD0">
        <w:rPr>
          <w:rFonts w:ascii="Times New Roman" w:eastAsia="Times New Roman" w:hAnsi="Times New Roman" w:cs="Times New Roman"/>
          <w:b/>
          <w:snapToGrid w:val="0"/>
        </w:rPr>
        <w:tab/>
        <w:t>TINKAMUMO LAIKAS</w:t>
      </w:r>
    </w:p>
    <w:p w14:paraId="53E9C6A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4A769A82" w14:textId="5E4375D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EXP</w:t>
      </w:r>
      <w:r w:rsidR="00D643E9">
        <w:rPr>
          <w:rFonts w:ascii="Times New Roman" w:eastAsia="Times New Roman" w:hAnsi="Times New Roman" w:cs="Times New Roman"/>
          <w:snapToGrid w:val="0"/>
        </w:rPr>
        <w:t>:</w:t>
      </w:r>
      <w:r w:rsidRPr="00350BD0">
        <w:rPr>
          <w:rFonts w:ascii="Times New Roman" w:eastAsia="Times New Roman" w:hAnsi="Times New Roman" w:cs="Times New Roman"/>
          <w:snapToGrid w:val="0"/>
        </w:rPr>
        <w:t xml:space="preserve"> {MMMM mm}</w:t>
      </w:r>
    </w:p>
    <w:p w14:paraId="43123CA7"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DAD9AD3"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819676B" w14:textId="77777777" w:rsidR="00350BD0" w:rsidRPr="00350BD0" w:rsidRDefault="00350BD0" w:rsidP="00350BD0">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9.</w:t>
      </w:r>
      <w:r w:rsidRPr="00350BD0">
        <w:rPr>
          <w:rFonts w:ascii="Times New Roman" w:eastAsia="Times New Roman" w:hAnsi="Times New Roman" w:cs="Times New Roman"/>
          <w:b/>
          <w:snapToGrid w:val="0"/>
        </w:rPr>
        <w:tab/>
        <w:t>SPECIALIOS LAIKYMO SĄLYGOS</w:t>
      </w:r>
    </w:p>
    <w:p w14:paraId="01A15AC0"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6233A5D"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082C79F"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10.</w:t>
      </w:r>
      <w:r w:rsidRPr="00350BD0">
        <w:rPr>
          <w:rFonts w:ascii="Times New Roman" w:eastAsia="Times New Roman" w:hAnsi="Times New Roman" w:cs="Times New Roman"/>
          <w:b/>
          <w:snapToGrid w:val="0"/>
        </w:rPr>
        <w:tab/>
        <w:t>SPECIALIOS ATSARGUMO PRIEMONĖS DĖL NESUVARTOTO VAISTINIO PREPARATO AR JO ATLIEKŲ TVARKYMO (JEI REIKIA)</w:t>
      </w:r>
    </w:p>
    <w:p w14:paraId="2430E8D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360E8D8"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7D15DCE"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11.</w:t>
      </w:r>
      <w:r w:rsidRPr="00350BD0">
        <w:rPr>
          <w:rFonts w:ascii="Times New Roman" w:eastAsia="Times New Roman" w:hAnsi="Times New Roman" w:cs="Times New Roman"/>
          <w:b/>
          <w:snapToGrid w:val="0"/>
        </w:rPr>
        <w:tab/>
      </w:r>
      <w:r w:rsidRPr="00350BD0">
        <w:rPr>
          <w:rFonts w:ascii="Times New Roman" w:eastAsia="Times New Roman" w:hAnsi="Times New Roman" w:cs="Times New Roman"/>
          <w:b/>
          <w:caps/>
          <w:snapToGrid w:val="0"/>
        </w:rPr>
        <w:t xml:space="preserve"> REGISTRUOTOJO PAVADINIMAS IR ADRESAS</w:t>
      </w:r>
    </w:p>
    <w:p w14:paraId="760873EC"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9110782" w14:textId="1C7EA404" w:rsidR="003515E1" w:rsidRPr="00350BD0" w:rsidRDefault="00AC240B" w:rsidP="00350BD0">
      <w:pPr>
        <w:tabs>
          <w:tab w:val="left" w:pos="567"/>
        </w:tabs>
        <w:spacing w:after="0" w:line="260" w:lineRule="exact"/>
        <w:rPr>
          <w:rFonts w:ascii="Times New Roman" w:eastAsia="Times New Roman" w:hAnsi="Times New Roman" w:cs="Times New Roman"/>
          <w:snapToGrid w:val="0"/>
        </w:rPr>
      </w:pPr>
      <w:bookmarkStart w:id="14" w:name="_Hlk17207110"/>
      <w:r>
        <w:rPr>
          <w:rFonts w:ascii="Times New Roman" w:eastAsia="Times New Roman" w:hAnsi="Times New Roman" w:cs="Times New Roman"/>
          <w:snapToGrid w:val="0"/>
        </w:rPr>
        <w:t>Olpha</w:t>
      </w:r>
      <w:r w:rsidR="00B555D6">
        <w:rPr>
          <w:rFonts w:ascii="Times New Roman" w:eastAsia="Times New Roman" w:hAnsi="Times New Roman" w:cs="Times New Roman"/>
          <w:snapToGrid w:val="0"/>
        </w:rPr>
        <w:t xml:space="preserve"> AS</w:t>
      </w:r>
      <w:r w:rsidR="003515E1">
        <w:rPr>
          <w:rFonts w:ascii="Times New Roman" w:eastAsia="Times New Roman" w:hAnsi="Times New Roman" w:cs="Times New Roman"/>
          <w:snapToGrid w:val="0"/>
        </w:rPr>
        <w:t xml:space="preserve"> </w:t>
      </w:r>
      <w:r w:rsidR="003515E1" w:rsidRPr="00340523">
        <w:rPr>
          <w:rFonts w:ascii="Times New Roman" w:eastAsia="Times New Roman" w:hAnsi="Times New Roman" w:cs="Times New Roman"/>
          <w:snapToGrid w:val="0"/>
          <w:highlight w:val="lightGray"/>
        </w:rPr>
        <w:t>[logotipas]</w:t>
      </w:r>
    </w:p>
    <w:bookmarkEnd w:id="14"/>
    <w:p w14:paraId="2BA23FA0"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A6FAD3A"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9554436"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12.</w:t>
      </w:r>
      <w:r w:rsidRPr="00350BD0">
        <w:rPr>
          <w:rFonts w:ascii="Times New Roman" w:eastAsia="Times New Roman" w:hAnsi="Times New Roman" w:cs="Times New Roman"/>
          <w:b/>
          <w:snapToGrid w:val="0"/>
        </w:rPr>
        <w:tab/>
        <w:t xml:space="preserve">REGISTRACIJOS PAŽYMĖJIMO NUMERIS (-IAI) </w:t>
      </w:r>
    </w:p>
    <w:p w14:paraId="5726CA0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6210C25" w14:textId="3CBA955D" w:rsidR="00350BD0" w:rsidRPr="00350BD0" w:rsidRDefault="00350BD0" w:rsidP="00350BD0">
      <w:pPr>
        <w:tabs>
          <w:tab w:val="left" w:pos="567"/>
        </w:tabs>
        <w:spacing w:after="0" w:line="260" w:lineRule="exact"/>
        <w:rPr>
          <w:rFonts w:ascii="Times New Roman" w:eastAsia="Times New Roman" w:hAnsi="Times New Roman" w:cs="Times New Roman"/>
          <w:bCs/>
          <w:snapToGrid w:val="0"/>
        </w:rPr>
      </w:pPr>
      <w:r w:rsidRPr="00350BD0">
        <w:rPr>
          <w:rFonts w:ascii="Times New Roman" w:eastAsia="Times New Roman" w:hAnsi="Times New Roman" w:cs="Times New Roman"/>
          <w:snapToGrid w:val="0"/>
        </w:rPr>
        <w:t>LT/1/19/4487/001</w:t>
      </w:r>
      <w:r w:rsidRPr="00350BD0">
        <w:rPr>
          <w:rFonts w:ascii="Times New Roman" w:eastAsia="Times New Roman" w:hAnsi="Times New Roman" w:cs="Times New Roman"/>
          <w:bCs/>
          <w:snapToGrid w:val="0"/>
        </w:rPr>
        <w:t xml:space="preserve"> – </w:t>
      </w:r>
      <w:r w:rsidRPr="00350BD0">
        <w:rPr>
          <w:rFonts w:ascii="Times New Roman" w:eastAsia="Times New Roman" w:hAnsi="Times New Roman" w:cs="Times New Roman"/>
          <w:bCs/>
          <w:snapToGrid w:val="0"/>
          <w:shd w:val="clear" w:color="auto" w:fill="D9D9D9" w:themeFill="background1" w:themeFillShade="D9"/>
        </w:rPr>
        <w:t>N7</w:t>
      </w:r>
    </w:p>
    <w:p w14:paraId="3CDB9140" w14:textId="77777777" w:rsidR="00350BD0" w:rsidRPr="00350BD0" w:rsidRDefault="00350BD0" w:rsidP="00350BD0">
      <w:pPr>
        <w:tabs>
          <w:tab w:val="left" w:pos="567"/>
        </w:tabs>
        <w:spacing w:after="0" w:line="260" w:lineRule="exact"/>
        <w:rPr>
          <w:rFonts w:ascii="Times New Roman" w:eastAsia="Times New Roman" w:hAnsi="Times New Roman" w:cs="Times New Roman"/>
          <w:bCs/>
          <w:snapToGrid w:val="0"/>
          <w:shd w:val="clear" w:color="auto" w:fill="D9D9D9" w:themeFill="background1" w:themeFillShade="D9"/>
        </w:rPr>
      </w:pPr>
      <w:r w:rsidRPr="00350BD0">
        <w:rPr>
          <w:rFonts w:ascii="Times New Roman" w:eastAsia="Times New Roman" w:hAnsi="Times New Roman" w:cs="Times New Roman"/>
          <w:bCs/>
          <w:snapToGrid w:val="0"/>
          <w:shd w:val="clear" w:color="auto" w:fill="D9D9D9" w:themeFill="background1" w:themeFillShade="D9"/>
        </w:rPr>
        <w:t>LT/1/19/4487/002 – N30</w:t>
      </w:r>
    </w:p>
    <w:p w14:paraId="4E602BBA" w14:textId="77777777" w:rsidR="00350BD0" w:rsidRPr="00350BD0" w:rsidRDefault="00350BD0" w:rsidP="00350BD0">
      <w:pPr>
        <w:spacing w:after="0" w:line="240" w:lineRule="auto"/>
        <w:rPr>
          <w:rFonts w:ascii="Times New Roman" w:eastAsia="Times New Roman" w:hAnsi="Times New Roman" w:cs="Times New Roman"/>
          <w:bCs/>
          <w:snapToGrid w:val="0"/>
          <w:shd w:val="clear" w:color="auto" w:fill="D9D9D9" w:themeFill="background1" w:themeFillShade="D9"/>
        </w:rPr>
      </w:pPr>
      <w:r w:rsidRPr="00350BD0">
        <w:rPr>
          <w:rFonts w:ascii="Times New Roman" w:eastAsia="Times New Roman" w:hAnsi="Times New Roman" w:cs="Times New Roman"/>
          <w:bCs/>
          <w:snapToGrid w:val="0"/>
          <w:shd w:val="clear" w:color="auto" w:fill="D9D9D9" w:themeFill="background1" w:themeFillShade="D9"/>
        </w:rPr>
        <w:t>LT/1/19/4487/003 – N90</w:t>
      </w:r>
    </w:p>
    <w:p w14:paraId="5A7A527D"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1BB7009"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EC5CEF4"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13.</w:t>
      </w:r>
      <w:r w:rsidRPr="00350BD0">
        <w:rPr>
          <w:rFonts w:ascii="Times New Roman" w:eastAsia="Times New Roman" w:hAnsi="Times New Roman" w:cs="Times New Roman"/>
          <w:b/>
          <w:snapToGrid w:val="0"/>
        </w:rPr>
        <w:tab/>
        <w:t xml:space="preserve">SERIJOS NUMERIS </w:t>
      </w:r>
    </w:p>
    <w:p w14:paraId="75A13DA1"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45C64545" w14:textId="1519F378"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Lot</w:t>
      </w:r>
      <w:r w:rsidR="00D643E9">
        <w:rPr>
          <w:rFonts w:ascii="Times New Roman" w:eastAsia="Times New Roman" w:hAnsi="Times New Roman" w:cs="Times New Roman"/>
          <w:snapToGrid w:val="0"/>
        </w:rPr>
        <w:t>:</w:t>
      </w:r>
    </w:p>
    <w:p w14:paraId="625C449A"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8C0AE4D"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2EB7818" w14:textId="77777777" w:rsidR="00350BD0" w:rsidRPr="00350BD0" w:rsidRDefault="00350BD0" w:rsidP="00350BD0">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14.</w:t>
      </w:r>
      <w:r w:rsidRPr="00350BD0">
        <w:rPr>
          <w:rFonts w:ascii="Times New Roman" w:eastAsia="Times New Roman" w:hAnsi="Times New Roman" w:cs="Times New Roman"/>
          <w:b/>
          <w:snapToGrid w:val="0"/>
        </w:rPr>
        <w:tab/>
        <w:t>PARDAVIMO (IŠDAVIMO) TVARKA</w:t>
      </w:r>
    </w:p>
    <w:p w14:paraId="7E6B0C6D"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BC8BE63" w14:textId="77777777" w:rsidR="00350BD0" w:rsidRPr="00D643E9" w:rsidRDefault="00350BD0" w:rsidP="00350BD0">
      <w:pPr>
        <w:widowControl w:val="0"/>
        <w:tabs>
          <w:tab w:val="left" w:pos="567"/>
        </w:tabs>
        <w:spacing w:after="0" w:line="260" w:lineRule="exact"/>
        <w:contextualSpacing/>
        <w:outlineLvl w:val="0"/>
        <w:rPr>
          <w:rFonts w:ascii="Times New Roman" w:hAnsi="Times New Roman"/>
          <w:lang w:val="en-GB"/>
        </w:rPr>
      </w:pPr>
      <w:r w:rsidRPr="00133187">
        <w:rPr>
          <w:rFonts w:ascii="Times New Roman" w:hAnsi="Times New Roman"/>
          <w:highlight w:val="lightGray"/>
          <w:lang w:val="en-GB"/>
        </w:rPr>
        <w:t>Receptinis vaistas.</w:t>
      </w:r>
    </w:p>
    <w:p w14:paraId="0F3CC17F"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28D7DD69"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C55C86D" w14:textId="77777777" w:rsidR="00350BD0" w:rsidRPr="00350BD0" w:rsidRDefault="00350BD0" w:rsidP="00350BD0">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rPr>
      </w:pPr>
      <w:r w:rsidRPr="00350BD0">
        <w:rPr>
          <w:rFonts w:ascii="Times New Roman" w:eastAsia="Times New Roman" w:hAnsi="Times New Roman" w:cs="Times New Roman"/>
          <w:b/>
          <w:snapToGrid w:val="0"/>
        </w:rPr>
        <w:t>15.</w:t>
      </w:r>
      <w:r w:rsidRPr="00350BD0">
        <w:rPr>
          <w:rFonts w:ascii="Times New Roman" w:eastAsia="Times New Roman" w:hAnsi="Times New Roman" w:cs="Times New Roman"/>
          <w:b/>
          <w:snapToGrid w:val="0"/>
        </w:rPr>
        <w:tab/>
        <w:t>VARTOJIMO INSTRUKCIJA</w:t>
      </w:r>
    </w:p>
    <w:p w14:paraId="01F70226"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C1A2BB7"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130C095E" w14:textId="77777777" w:rsidR="00350BD0" w:rsidRPr="00350BD0" w:rsidRDefault="00350BD0" w:rsidP="00350BD0">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snapToGrid w:val="0"/>
        </w:rPr>
      </w:pPr>
      <w:r w:rsidRPr="00350BD0">
        <w:rPr>
          <w:rFonts w:ascii="Times New Roman" w:eastAsia="Times New Roman" w:hAnsi="Times New Roman" w:cs="Times New Roman"/>
          <w:b/>
          <w:snapToGrid w:val="0"/>
        </w:rPr>
        <w:t>16.</w:t>
      </w:r>
      <w:r w:rsidRPr="00350BD0">
        <w:rPr>
          <w:rFonts w:ascii="Times New Roman" w:eastAsia="Times New Roman" w:hAnsi="Times New Roman" w:cs="Times New Roman"/>
          <w:b/>
          <w:snapToGrid w:val="0"/>
        </w:rPr>
        <w:tab/>
        <w:t>INFORMACIJA BRAILIO RAŠTU</w:t>
      </w:r>
    </w:p>
    <w:p w14:paraId="4FD00555"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A6971D4" w14:textId="77777777" w:rsidR="00350BD0" w:rsidRPr="00350BD0" w:rsidRDefault="00350BD0" w:rsidP="00350BD0">
      <w:pPr>
        <w:tabs>
          <w:tab w:val="left" w:pos="567"/>
        </w:tabs>
        <w:spacing w:after="0" w:line="260" w:lineRule="exact"/>
        <w:rPr>
          <w:rFonts w:ascii="Times New Roman" w:eastAsia="Times New Roman" w:hAnsi="Times New Roman" w:cs="Times New Roman"/>
          <w:shd w:val="clear" w:color="auto" w:fill="CCCCCC"/>
        </w:rPr>
      </w:pPr>
    </w:p>
    <w:p w14:paraId="3A40DE0F" w14:textId="77777777" w:rsidR="00350BD0" w:rsidRPr="00350BD0" w:rsidRDefault="00350BD0" w:rsidP="00350BD0">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rPr>
      </w:pPr>
      <w:r w:rsidRPr="00350BD0">
        <w:rPr>
          <w:rFonts w:ascii="Times New Roman" w:eastAsia="Times New Roman" w:hAnsi="Times New Roman" w:cs="Times New Roman"/>
          <w:b/>
          <w:snapToGrid w:val="0"/>
        </w:rPr>
        <w:t>17.</w:t>
      </w:r>
      <w:r w:rsidRPr="00350BD0">
        <w:rPr>
          <w:rFonts w:ascii="Times New Roman" w:eastAsia="Times New Roman" w:hAnsi="Times New Roman" w:cs="Times New Roman"/>
          <w:b/>
          <w:snapToGrid w:val="0"/>
        </w:rPr>
        <w:tab/>
        <w:t>UNIKALUS IDENTIFIKATORIUS – 2D BRŪKŠNINIS KODAS</w:t>
      </w:r>
    </w:p>
    <w:p w14:paraId="6593ABA8"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6D2D2D70"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7935009E" w14:textId="77777777" w:rsidR="00350BD0" w:rsidRPr="00350BD0" w:rsidRDefault="00350BD0" w:rsidP="00350BD0">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rPr>
      </w:pPr>
      <w:r w:rsidRPr="00350BD0">
        <w:rPr>
          <w:rFonts w:ascii="Times New Roman" w:eastAsia="Times New Roman" w:hAnsi="Times New Roman" w:cs="Times New Roman"/>
          <w:b/>
          <w:snapToGrid w:val="0"/>
        </w:rPr>
        <w:t>18.</w:t>
      </w:r>
      <w:r w:rsidRPr="00350BD0">
        <w:rPr>
          <w:rFonts w:ascii="Times New Roman" w:eastAsia="Times New Roman" w:hAnsi="Times New Roman" w:cs="Times New Roman"/>
          <w:b/>
          <w:snapToGrid w:val="0"/>
        </w:rPr>
        <w:tab/>
        <w:t>UNIKALUS IDENTIFIKATORIUS – ŽMONĖMS SUPRANTAMI DUOMENYS</w:t>
      </w:r>
    </w:p>
    <w:p w14:paraId="0165B300"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3590B562" w14:textId="77777777"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p>
    <w:p w14:paraId="0B8B34CA" w14:textId="77777777" w:rsidR="00350BD0" w:rsidRPr="00350BD0" w:rsidRDefault="00350BD0" w:rsidP="00350BD0">
      <w:pPr>
        <w:tabs>
          <w:tab w:val="left" w:pos="567"/>
        </w:tabs>
        <w:spacing w:after="0" w:line="260" w:lineRule="exact"/>
        <w:rPr>
          <w:rFonts w:ascii="Times New Roman" w:eastAsia="Times New Roman" w:hAnsi="Times New Roman" w:cs="Times New Roman"/>
          <w:b/>
          <w:snapToGrid w:val="0"/>
        </w:rPr>
      </w:pPr>
      <w:r w:rsidRPr="00350BD0">
        <w:rPr>
          <w:rFonts w:ascii="Times New Roman" w:eastAsia="Times New Roman" w:hAnsi="Times New Roman" w:cs="Times New Roman"/>
          <w:snapToGrid w:val="0"/>
        </w:rPr>
        <w:br w:type="page"/>
      </w:r>
    </w:p>
    <w:p w14:paraId="7674F38F"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7FB0AE68"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381FB68E"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33AB3948"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4AC154E0"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75E1E76B"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7677F019"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7242F593"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0DD40A68"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1A9FF0F4"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04EB8AD3"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5B396D62"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4526334D"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658ADD9F"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1B651600"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1009AD6F"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5E4F2DF9"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1EA3A192"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067A180A"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14F8DB60"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2A04BE01"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12F9F4D2" w14:textId="77777777" w:rsidR="00350BD0" w:rsidRPr="00350BD0" w:rsidRDefault="00350BD0" w:rsidP="00350BD0">
      <w:pPr>
        <w:tabs>
          <w:tab w:val="left" w:pos="567"/>
        </w:tabs>
        <w:spacing w:after="0" w:line="260" w:lineRule="exact"/>
        <w:outlineLvl w:val="0"/>
        <w:rPr>
          <w:rFonts w:ascii="Times New Roman" w:eastAsia="Times New Roman" w:hAnsi="Times New Roman" w:cs="Times New Roman"/>
          <w:snapToGrid w:val="0"/>
        </w:rPr>
      </w:pPr>
    </w:p>
    <w:p w14:paraId="1A31E892" w14:textId="77777777" w:rsidR="00350BD0" w:rsidRPr="00350BD0" w:rsidRDefault="00350BD0" w:rsidP="00350BD0">
      <w:pPr>
        <w:tabs>
          <w:tab w:val="left" w:pos="567"/>
        </w:tabs>
        <w:spacing w:after="0" w:line="260" w:lineRule="exact"/>
        <w:jc w:val="center"/>
        <w:outlineLvl w:val="0"/>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B. PAKUOTĖS LAPELIS</w:t>
      </w:r>
    </w:p>
    <w:p w14:paraId="07B3D912" w14:textId="77777777" w:rsidR="00350BD0" w:rsidRPr="00350BD0" w:rsidRDefault="00350BD0" w:rsidP="00350BD0">
      <w:pPr>
        <w:keepNext/>
        <w:tabs>
          <w:tab w:val="left" w:pos="567"/>
        </w:tabs>
        <w:spacing w:after="0" w:line="240" w:lineRule="auto"/>
        <w:jc w:val="center"/>
        <w:outlineLvl w:val="1"/>
        <w:rPr>
          <w:rFonts w:ascii="Times New Roman" w:eastAsia="Times New Roman" w:hAnsi="Times New Roman" w:cs="Times New Roman"/>
          <w:b/>
          <w:snapToGrid w:val="0"/>
          <w:lang w:eastAsia="x-none"/>
        </w:rPr>
      </w:pPr>
      <w:r w:rsidRPr="00350BD0">
        <w:rPr>
          <w:rFonts w:ascii="Times New Roman" w:eastAsia="Times New Roman" w:hAnsi="Times New Roman" w:cs="Times New Roman"/>
          <w:b/>
          <w:bCs/>
          <w:iCs/>
          <w:snapToGrid w:val="0"/>
          <w:lang w:eastAsia="x-none"/>
        </w:rPr>
        <w:br w:type="page"/>
      </w:r>
      <w:bookmarkStart w:id="15" w:name="_Hlk176975044"/>
      <w:r w:rsidRPr="00350BD0">
        <w:rPr>
          <w:rFonts w:ascii="Times New Roman" w:eastAsia="Times New Roman" w:hAnsi="Times New Roman" w:cs="Times New Roman"/>
          <w:b/>
          <w:bCs/>
          <w:iCs/>
          <w:snapToGrid w:val="0"/>
          <w:lang w:eastAsia="x-none"/>
        </w:rPr>
        <w:lastRenderedPageBreak/>
        <w:t>Pakuotės lapelis:</w:t>
      </w:r>
      <w:r w:rsidRPr="00350BD0">
        <w:rPr>
          <w:rFonts w:ascii="Times New Roman" w:eastAsia="Times New Roman" w:hAnsi="Times New Roman" w:cs="Times New Roman"/>
          <w:b/>
          <w:snapToGrid w:val="0"/>
          <w:lang w:eastAsia="x-none"/>
        </w:rPr>
        <w:t xml:space="preserve"> </w:t>
      </w:r>
      <w:r w:rsidRPr="00350BD0">
        <w:rPr>
          <w:rFonts w:ascii="Times New Roman" w:eastAsia="Times New Roman" w:hAnsi="Times New Roman" w:cs="Times New Roman"/>
          <w:b/>
          <w:bCs/>
          <w:iCs/>
          <w:snapToGrid w:val="0"/>
          <w:lang w:eastAsia="x-none"/>
        </w:rPr>
        <w:t>informacija vartotojui</w:t>
      </w:r>
    </w:p>
    <w:p w14:paraId="199B4B94" w14:textId="77777777" w:rsidR="00350BD0" w:rsidRPr="00350BD0" w:rsidRDefault="00350BD0" w:rsidP="00350BD0">
      <w:pPr>
        <w:numPr>
          <w:ilvl w:val="12"/>
          <w:numId w:val="0"/>
        </w:numPr>
        <w:shd w:val="clear" w:color="auto" w:fill="FFFFFF"/>
        <w:spacing w:after="0" w:line="240" w:lineRule="auto"/>
        <w:jc w:val="center"/>
        <w:rPr>
          <w:rFonts w:ascii="Times New Roman" w:eastAsia="Times New Roman" w:hAnsi="Times New Roman" w:cs="Times New Roman"/>
          <w:snapToGrid w:val="0"/>
        </w:rPr>
      </w:pPr>
    </w:p>
    <w:p w14:paraId="75AF1D8A" w14:textId="4166E619" w:rsidR="00350BD0" w:rsidRPr="00350BD0" w:rsidRDefault="00350BD0" w:rsidP="00350BD0">
      <w:pPr>
        <w:tabs>
          <w:tab w:val="left" w:pos="567"/>
        </w:tabs>
        <w:spacing w:after="0" w:line="240" w:lineRule="auto"/>
        <w:contextualSpacing/>
        <w:jc w:val="center"/>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rPr>
        <w:t xml:space="preserve">Dutasteride/Tamsulosin </w:t>
      </w:r>
      <w:r w:rsidR="00AC240B">
        <w:rPr>
          <w:rFonts w:ascii="Times New Roman" w:eastAsia="Times New Roman" w:hAnsi="Times New Roman" w:cs="Times New Roman"/>
          <w:b/>
          <w:snapToGrid w:val="0"/>
        </w:rPr>
        <w:t>Olpha</w:t>
      </w:r>
      <w:r w:rsidRPr="00350BD0">
        <w:rPr>
          <w:rFonts w:ascii="Times New Roman" w:eastAsia="Times New Roman" w:hAnsi="Times New Roman" w:cs="Times New Roman"/>
          <w:b/>
          <w:snapToGrid w:val="0"/>
        </w:rPr>
        <w:t xml:space="preserve"> </w:t>
      </w:r>
      <w:r w:rsidRPr="00350BD0">
        <w:rPr>
          <w:rFonts w:ascii="Times New Roman" w:eastAsia="Times New Roman" w:hAnsi="Times New Roman" w:cs="Times New Roman"/>
          <w:b/>
          <w:snapToGrid w:val="0"/>
          <w:szCs w:val="20"/>
        </w:rPr>
        <w:t>0,5 mg/0,4 mg kietosios kapsulės</w:t>
      </w:r>
    </w:p>
    <w:p w14:paraId="5A0D40DA" w14:textId="77777777" w:rsidR="00350BD0" w:rsidRPr="00350BD0" w:rsidRDefault="00350BD0" w:rsidP="00350BD0">
      <w:pPr>
        <w:tabs>
          <w:tab w:val="left" w:pos="567"/>
        </w:tabs>
        <w:spacing w:after="0" w:line="240" w:lineRule="auto"/>
        <w:contextualSpacing/>
        <w:jc w:val="center"/>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dutasteridas/tamsulozino hidrochloridas</w:t>
      </w:r>
    </w:p>
    <w:p w14:paraId="497DBFA4" w14:textId="77777777" w:rsidR="00350BD0" w:rsidRPr="00350BD0" w:rsidRDefault="00350BD0" w:rsidP="00350BD0">
      <w:pPr>
        <w:tabs>
          <w:tab w:val="left" w:pos="567"/>
        </w:tabs>
        <w:spacing w:after="0" w:line="260" w:lineRule="exact"/>
        <w:jc w:val="center"/>
        <w:rPr>
          <w:rFonts w:ascii="Times New Roman" w:eastAsia="Times New Roman" w:hAnsi="Times New Roman" w:cs="Times New Roman"/>
          <w:snapToGrid w:val="0"/>
        </w:rPr>
      </w:pPr>
    </w:p>
    <w:p w14:paraId="782DC540" w14:textId="77777777" w:rsidR="00350BD0" w:rsidRPr="00350BD0" w:rsidRDefault="00350BD0" w:rsidP="00350BD0">
      <w:pPr>
        <w:suppressAutoHyphens/>
        <w:spacing w:after="0" w:line="240" w:lineRule="auto"/>
        <w:rPr>
          <w:rFonts w:ascii="Times New Roman" w:eastAsia="Times New Roman" w:hAnsi="Times New Roman" w:cs="Times New Roman"/>
          <w:snapToGrid w:val="0"/>
        </w:rPr>
      </w:pPr>
      <w:r w:rsidRPr="00350BD0">
        <w:rPr>
          <w:rFonts w:ascii="Times New Roman" w:eastAsia="Times New Roman" w:hAnsi="Times New Roman" w:cs="Times New Roman"/>
          <w:b/>
          <w:snapToGrid w:val="0"/>
        </w:rPr>
        <w:t>Atidžiai perskaitykite visą šį lapelį, prieš pradėdami vartoti vaistą, nes jame pateikiama Jums svarbi informacija.</w:t>
      </w:r>
    </w:p>
    <w:p w14:paraId="0EF51DD1" w14:textId="77777777" w:rsidR="00350BD0" w:rsidRPr="00350BD0" w:rsidRDefault="00350BD0" w:rsidP="00B83DB0">
      <w:pPr>
        <w:numPr>
          <w:ilvl w:val="0"/>
          <w:numId w:val="3"/>
        </w:numPr>
        <w:spacing w:after="0" w:line="240" w:lineRule="auto"/>
        <w:ind w:left="426" w:right="-2" w:hanging="426"/>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Neišmeskite šio lapelio, nes vėl gali prireikti jį perskaityti. </w:t>
      </w:r>
    </w:p>
    <w:p w14:paraId="6C858E40" w14:textId="77777777" w:rsidR="00350BD0" w:rsidRPr="00350BD0" w:rsidRDefault="00350BD0" w:rsidP="00B83DB0">
      <w:pPr>
        <w:numPr>
          <w:ilvl w:val="0"/>
          <w:numId w:val="3"/>
        </w:numPr>
        <w:spacing w:after="0" w:line="240" w:lineRule="auto"/>
        <w:ind w:left="426" w:right="-2" w:hanging="426"/>
        <w:rPr>
          <w:rFonts w:ascii="Times New Roman" w:eastAsia="Times New Roman" w:hAnsi="Times New Roman" w:cs="Times New Roman"/>
          <w:snapToGrid w:val="0"/>
        </w:rPr>
      </w:pPr>
      <w:r w:rsidRPr="00350BD0">
        <w:rPr>
          <w:rFonts w:ascii="Times New Roman" w:eastAsia="Times New Roman" w:hAnsi="Times New Roman" w:cs="Times New Roman"/>
          <w:snapToGrid w:val="0"/>
        </w:rPr>
        <w:t>Jeigu kiltų daugiau klausimų, kreipkitės į gydytoją arba vaistininką.</w:t>
      </w:r>
    </w:p>
    <w:p w14:paraId="5AAF1759" w14:textId="77777777" w:rsidR="00350BD0" w:rsidRPr="00350BD0" w:rsidRDefault="00350BD0" w:rsidP="00B83DB0">
      <w:pPr>
        <w:spacing w:after="0" w:line="240" w:lineRule="auto"/>
        <w:ind w:left="426" w:right="-2" w:hanging="426"/>
        <w:rPr>
          <w:rFonts w:ascii="Times New Roman" w:eastAsia="Times New Roman" w:hAnsi="Times New Roman" w:cs="Times New Roman"/>
          <w:snapToGrid w:val="0"/>
        </w:rPr>
      </w:pPr>
      <w:r w:rsidRPr="00350BD0">
        <w:rPr>
          <w:rFonts w:ascii="Times New Roman" w:eastAsia="Times New Roman" w:hAnsi="Times New Roman" w:cs="Times New Roman"/>
          <w:snapToGrid w:val="0"/>
        </w:rPr>
        <w:t>-</w:t>
      </w:r>
      <w:r w:rsidRPr="00350BD0">
        <w:rPr>
          <w:rFonts w:ascii="Times New Roman" w:eastAsia="Times New Roman" w:hAnsi="Times New Roman" w:cs="Times New Roman"/>
          <w:snapToGrid w:val="0"/>
        </w:rPr>
        <w:tab/>
        <w:t>Šis vaistas skirtas tik Jums, todėl kitiems žmonėms jo duoti negalima. Vaistas gali jiems pakenkti (net tiems, kurių ligos požymiai yra tokie patys kaip Jūsų).</w:t>
      </w:r>
    </w:p>
    <w:p w14:paraId="0A1F92F8" w14:textId="77777777" w:rsidR="00350BD0" w:rsidRPr="00350BD0" w:rsidRDefault="00350BD0" w:rsidP="00B83DB0">
      <w:pPr>
        <w:numPr>
          <w:ilvl w:val="0"/>
          <w:numId w:val="3"/>
        </w:numPr>
        <w:spacing w:after="0" w:line="240" w:lineRule="auto"/>
        <w:ind w:left="426" w:hanging="426"/>
        <w:rPr>
          <w:rFonts w:ascii="Times New Roman" w:eastAsia="Times New Roman" w:hAnsi="Times New Roman" w:cs="Times New Roman"/>
          <w:snapToGrid w:val="0"/>
        </w:rPr>
      </w:pPr>
      <w:r w:rsidRPr="00350BD0">
        <w:rPr>
          <w:rFonts w:ascii="Times New Roman" w:eastAsia="Times New Roman" w:hAnsi="Times New Roman" w:cs="Times New Roman"/>
          <w:snapToGrid w:val="0"/>
        </w:rPr>
        <w:t>Jeigu pasireiškė šalutinis poveikis (net jeigu jis šiame lapelyje nenurodytas), kreipkitės į gydytoją arba vaistininką. Žr. 4 skyrių.</w:t>
      </w:r>
    </w:p>
    <w:p w14:paraId="7855DB34" w14:textId="77777777" w:rsidR="00350BD0" w:rsidRPr="00350BD0" w:rsidRDefault="00350BD0" w:rsidP="00350BD0">
      <w:pPr>
        <w:spacing w:after="0" w:line="240" w:lineRule="auto"/>
        <w:ind w:right="-2"/>
        <w:rPr>
          <w:rFonts w:ascii="Times New Roman" w:eastAsia="Times New Roman" w:hAnsi="Times New Roman" w:cs="Times New Roman"/>
          <w:snapToGrid w:val="0"/>
        </w:rPr>
      </w:pPr>
    </w:p>
    <w:p w14:paraId="49C9E89F" w14:textId="793B680C" w:rsidR="00350BD0" w:rsidRPr="003931A9" w:rsidRDefault="00350BD0" w:rsidP="003931A9">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Apie ką rašoma šiame lapelyje?</w:t>
      </w:r>
    </w:p>
    <w:p w14:paraId="61EDFFDD" w14:textId="23963336" w:rsidR="00350BD0" w:rsidRPr="00350BD0" w:rsidRDefault="00350BD0" w:rsidP="00B83DB0">
      <w:pPr>
        <w:numPr>
          <w:ilvl w:val="12"/>
          <w:numId w:val="0"/>
        </w:numPr>
        <w:tabs>
          <w:tab w:val="left" w:pos="426"/>
        </w:tabs>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1.</w:t>
      </w:r>
      <w:r w:rsidRPr="00350BD0">
        <w:rPr>
          <w:rFonts w:ascii="Times New Roman" w:eastAsia="Times New Roman" w:hAnsi="Times New Roman" w:cs="Times New Roman"/>
          <w:snapToGrid w:val="0"/>
        </w:rPr>
        <w:tab/>
        <w:t xml:space="preserve">Kas yra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ir kam jis vartojamas </w:t>
      </w:r>
    </w:p>
    <w:p w14:paraId="027DB4E7" w14:textId="54376832" w:rsidR="00350BD0" w:rsidRPr="00350BD0" w:rsidRDefault="00350BD0" w:rsidP="00B83DB0">
      <w:pPr>
        <w:numPr>
          <w:ilvl w:val="12"/>
          <w:numId w:val="0"/>
        </w:numPr>
        <w:tabs>
          <w:tab w:val="left" w:pos="426"/>
        </w:tabs>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2.</w:t>
      </w:r>
      <w:r w:rsidRPr="00350BD0">
        <w:rPr>
          <w:rFonts w:ascii="Times New Roman" w:eastAsia="Times New Roman" w:hAnsi="Times New Roman" w:cs="Times New Roman"/>
          <w:snapToGrid w:val="0"/>
        </w:rPr>
        <w:tab/>
        <w:t xml:space="preserve">Kas žinotina prieš vartojant Dutasteride/Tamsulosin </w:t>
      </w:r>
      <w:r w:rsidR="00AC240B">
        <w:rPr>
          <w:rFonts w:ascii="Times New Roman" w:eastAsia="Times New Roman" w:hAnsi="Times New Roman" w:cs="Times New Roman"/>
          <w:snapToGrid w:val="0"/>
        </w:rPr>
        <w:t>Olpha</w:t>
      </w:r>
    </w:p>
    <w:p w14:paraId="2B91BFCF" w14:textId="6CA52E3D" w:rsidR="00350BD0" w:rsidRPr="00350BD0" w:rsidRDefault="00350BD0" w:rsidP="00B83DB0">
      <w:pPr>
        <w:numPr>
          <w:ilvl w:val="12"/>
          <w:numId w:val="0"/>
        </w:numPr>
        <w:tabs>
          <w:tab w:val="left" w:pos="426"/>
        </w:tabs>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3.</w:t>
      </w:r>
      <w:r w:rsidRPr="00350BD0">
        <w:rPr>
          <w:rFonts w:ascii="Times New Roman" w:eastAsia="Times New Roman" w:hAnsi="Times New Roman" w:cs="Times New Roman"/>
          <w:snapToGrid w:val="0"/>
        </w:rPr>
        <w:tab/>
        <w:t xml:space="preserve">Kaip vartoti Dutasteride/Tamsulosin </w:t>
      </w:r>
      <w:r w:rsidR="00AC240B">
        <w:rPr>
          <w:rFonts w:ascii="Times New Roman" w:eastAsia="Times New Roman" w:hAnsi="Times New Roman" w:cs="Times New Roman"/>
          <w:snapToGrid w:val="0"/>
        </w:rPr>
        <w:t>Olpha</w:t>
      </w:r>
    </w:p>
    <w:p w14:paraId="11784364" w14:textId="77777777" w:rsidR="00350BD0" w:rsidRPr="00350BD0" w:rsidRDefault="00350BD0" w:rsidP="00B83DB0">
      <w:pPr>
        <w:numPr>
          <w:ilvl w:val="12"/>
          <w:numId w:val="0"/>
        </w:numPr>
        <w:tabs>
          <w:tab w:val="left" w:pos="426"/>
        </w:tabs>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4.</w:t>
      </w:r>
      <w:r w:rsidRPr="00350BD0">
        <w:rPr>
          <w:rFonts w:ascii="Times New Roman" w:eastAsia="Times New Roman" w:hAnsi="Times New Roman" w:cs="Times New Roman"/>
          <w:snapToGrid w:val="0"/>
        </w:rPr>
        <w:tab/>
        <w:t xml:space="preserve">Galimas šalutinis poveikis </w:t>
      </w:r>
    </w:p>
    <w:p w14:paraId="4DBE1FFB" w14:textId="17EBBF77" w:rsidR="00350BD0" w:rsidRPr="00350BD0" w:rsidRDefault="00350BD0" w:rsidP="00B83DB0">
      <w:pPr>
        <w:numPr>
          <w:ilvl w:val="12"/>
          <w:numId w:val="0"/>
        </w:numPr>
        <w:tabs>
          <w:tab w:val="left" w:pos="426"/>
        </w:tabs>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5.</w:t>
      </w:r>
      <w:r w:rsidRPr="00350BD0">
        <w:rPr>
          <w:rFonts w:ascii="Times New Roman" w:eastAsia="Times New Roman" w:hAnsi="Times New Roman" w:cs="Times New Roman"/>
          <w:snapToGrid w:val="0"/>
        </w:rPr>
        <w:tab/>
        <w:t xml:space="preserve">Kaip laikyti Dutasteride/Tamsulosin </w:t>
      </w:r>
      <w:r w:rsidR="00AC240B">
        <w:rPr>
          <w:rFonts w:ascii="Times New Roman" w:eastAsia="Times New Roman" w:hAnsi="Times New Roman" w:cs="Times New Roman"/>
          <w:snapToGrid w:val="0"/>
        </w:rPr>
        <w:t>Olpha</w:t>
      </w:r>
    </w:p>
    <w:p w14:paraId="11DDB30F" w14:textId="77777777" w:rsidR="00350BD0" w:rsidRPr="00350BD0" w:rsidRDefault="00350BD0" w:rsidP="00B83DB0">
      <w:pPr>
        <w:numPr>
          <w:ilvl w:val="12"/>
          <w:numId w:val="0"/>
        </w:numPr>
        <w:tabs>
          <w:tab w:val="left" w:pos="426"/>
        </w:tabs>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6.</w:t>
      </w:r>
      <w:r w:rsidRPr="00350BD0">
        <w:rPr>
          <w:rFonts w:ascii="Times New Roman" w:eastAsia="Times New Roman" w:hAnsi="Times New Roman" w:cs="Times New Roman"/>
          <w:snapToGrid w:val="0"/>
        </w:rPr>
        <w:tab/>
        <w:t>Pakuotės turinys ir kita informacija</w:t>
      </w:r>
    </w:p>
    <w:p w14:paraId="012AF5E2"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682791C0"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510F6ADC" w14:textId="4A1D01E2"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1.</w:t>
      </w:r>
      <w:r w:rsidRPr="00350BD0">
        <w:rPr>
          <w:rFonts w:ascii="Times New Roman" w:eastAsia="Times New Roman" w:hAnsi="Times New Roman" w:cs="Times New Roman"/>
          <w:b/>
          <w:bCs/>
          <w:snapToGrid w:val="0"/>
          <w:lang w:eastAsia="x-none"/>
        </w:rPr>
        <w:tab/>
        <w:t xml:space="preserve">Kas yra Dutasteride/Tamsulosin </w:t>
      </w:r>
      <w:r w:rsidR="00AC240B">
        <w:rPr>
          <w:rFonts w:ascii="Times New Roman" w:eastAsia="Times New Roman" w:hAnsi="Times New Roman" w:cs="Times New Roman"/>
          <w:b/>
          <w:bCs/>
          <w:snapToGrid w:val="0"/>
          <w:lang w:eastAsia="x-none"/>
        </w:rPr>
        <w:t>Olpha</w:t>
      </w:r>
      <w:r w:rsidRPr="00350BD0">
        <w:rPr>
          <w:rFonts w:ascii="Times New Roman" w:eastAsia="Times New Roman" w:hAnsi="Times New Roman" w:cs="Times New Roman"/>
          <w:b/>
          <w:bCs/>
          <w:snapToGrid w:val="0"/>
          <w:lang w:eastAsia="x-none"/>
        </w:rPr>
        <w:t xml:space="preserve"> ir kam jis vartojamas</w:t>
      </w:r>
    </w:p>
    <w:p w14:paraId="578365BE"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66E31279" w14:textId="55DE2A25"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bCs/>
          <w:snapToGrid w:val="0"/>
        </w:rPr>
        <w:t xml:space="preserve">Dutasteride/Tamsulosin </w:t>
      </w:r>
      <w:r w:rsidR="00AC240B">
        <w:rPr>
          <w:rFonts w:ascii="Times New Roman" w:eastAsia="Times New Roman" w:hAnsi="Times New Roman" w:cs="Times New Roman"/>
          <w:b/>
          <w:bCs/>
          <w:snapToGrid w:val="0"/>
        </w:rPr>
        <w:t>Olpha</w:t>
      </w:r>
      <w:r w:rsidRPr="00350BD0">
        <w:rPr>
          <w:rFonts w:ascii="Times New Roman" w:eastAsia="Times New Roman" w:hAnsi="Times New Roman" w:cs="Times New Roman"/>
          <w:b/>
          <w:bCs/>
          <w:snapToGrid w:val="0"/>
        </w:rPr>
        <w:t xml:space="preserve"> vartojamas gydyti vyrams, kurių prostata yra padidėjusi</w:t>
      </w:r>
      <w:r w:rsidRPr="00350BD0">
        <w:rPr>
          <w:rFonts w:ascii="Times New Roman" w:eastAsia="Times New Roman" w:hAnsi="Times New Roman" w:cs="Times New Roman"/>
          <w:snapToGrid w:val="0"/>
        </w:rPr>
        <w:t xml:space="preserve"> (</w:t>
      </w:r>
      <w:r w:rsidRPr="00350BD0">
        <w:rPr>
          <w:rFonts w:ascii="Times New Roman" w:eastAsia="Times New Roman" w:hAnsi="Times New Roman" w:cs="Times New Roman"/>
          <w:i/>
          <w:snapToGrid w:val="0"/>
          <w:szCs w:val="20"/>
        </w:rPr>
        <w:t>gerybinė prostatos hiperplazija</w:t>
      </w:r>
      <w:r w:rsidRPr="00350BD0">
        <w:rPr>
          <w:rFonts w:ascii="Times New Roman" w:eastAsia="Times New Roman" w:hAnsi="Times New Roman" w:cs="Times New Roman"/>
          <w:snapToGrid w:val="0"/>
        </w:rPr>
        <w:t xml:space="preserve">). </w:t>
      </w:r>
      <w:r w:rsidRPr="00350BD0">
        <w:rPr>
          <w:rFonts w:ascii="Times New Roman" w:eastAsia="Times New Roman" w:hAnsi="Times New Roman" w:cs="Times New Roman"/>
          <w:snapToGrid w:val="0"/>
          <w:szCs w:val="20"/>
        </w:rPr>
        <w:t>Tai yra gerybinis prostatos (priešinės liaukos) išvešėjimas, kurį sukelia pernelyg intensyvi hormono, vadinamo dihidrotestosteronu, gamyba organizme.</w:t>
      </w:r>
    </w:p>
    <w:p w14:paraId="30488DB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6A726712" w14:textId="4703AEA0"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rPr>
        <w:t xml:space="preserve">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szCs w:val="20"/>
        </w:rPr>
        <w:t xml:space="preserve"> sudėtyje yra du skirtingi vaistai, vadinami dutasteridu ir tamsulozinu. Dutasteridas priklauso vaistų, vadinamų </w:t>
      </w:r>
      <w:r w:rsidRPr="00350BD0">
        <w:rPr>
          <w:rFonts w:ascii="Times New Roman" w:eastAsia="Times New Roman" w:hAnsi="Times New Roman" w:cs="Times New Roman"/>
          <w:i/>
          <w:snapToGrid w:val="0"/>
          <w:szCs w:val="20"/>
        </w:rPr>
        <w:t>5 alfa reduktazės inhibitoriais</w:t>
      </w:r>
      <w:r w:rsidRPr="00350BD0">
        <w:rPr>
          <w:rFonts w:ascii="Times New Roman" w:eastAsia="Times New Roman" w:hAnsi="Times New Roman" w:cs="Times New Roman"/>
          <w:snapToGrid w:val="0"/>
          <w:szCs w:val="20"/>
        </w:rPr>
        <w:t xml:space="preserve">, o tamsulozinas – vaistų, vadinamų </w:t>
      </w:r>
      <w:r w:rsidRPr="00350BD0">
        <w:rPr>
          <w:rFonts w:ascii="Times New Roman" w:eastAsia="Times New Roman" w:hAnsi="Times New Roman" w:cs="Times New Roman"/>
          <w:i/>
          <w:snapToGrid w:val="0"/>
          <w:szCs w:val="20"/>
        </w:rPr>
        <w:t xml:space="preserve">alfa adrenoreceptorių blokatoriais, </w:t>
      </w:r>
      <w:r w:rsidRPr="00350BD0">
        <w:rPr>
          <w:rFonts w:ascii="Times New Roman" w:eastAsia="Times New Roman" w:hAnsi="Times New Roman" w:cs="Times New Roman"/>
          <w:snapToGrid w:val="0"/>
          <w:szCs w:val="20"/>
        </w:rPr>
        <w:t>grupei.</w:t>
      </w:r>
    </w:p>
    <w:p w14:paraId="41E90E7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24DC6E1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Prostatos išvešėjimas gali sukelti šlapinimosi sutrikimus, pavyzdžiui, šlapinimosi pasunkėjimą arba poreikį šlapintis dažniau. Be to, dėl to gali sulėtėti ir susilpnėti šlapimo srovė. Negydant, kyla rizika, kad gali visiškai neištekėti šlapimas </w:t>
      </w:r>
      <w:r w:rsidRPr="00350BD0">
        <w:rPr>
          <w:rFonts w:ascii="Times New Roman" w:eastAsia="Times New Roman" w:hAnsi="Times New Roman" w:cs="Times New Roman"/>
          <w:i/>
          <w:snapToGrid w:val="0"/>
          <w:szCs w:val="20"/>
        </w:rPr>
        <w:t>(ūminiss šlapimo susilaikymas)</w:t>
      </w:r>
      <w:r w:rsidRPr="00350BD0">
        <w:rPr>
          <w:rFonts w:ascii="Times New Roman" w:eastAsia="Times New Roman" w:hAnsi="Times New Roman" w:cs="Times New Roman"/>
          <w:snapToGrid w:val="0"/>
          <w:szCs w:val="20"/>
        </w:rPr>
        <w:t>. Tokiu atveju tenka nedelsiant gydyti. Kai kada priešinę liauką būtina pašalinti arba sumažinti, atliekant chirurginę operaciją.</w:t>
      </w:r>
    </w:p>
    <w:p w14:paraId="3777CB5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09C156F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Dutasteridas slopina hormono, vadinamo dihidrotestosteronu, gamybą. Tai padeda sumažinti prostatą ir palengvinti simptomus. Dėl to sumažėja ūminio šlapimo susilaikymo rizika ir chirurginės operacijos poreikis. Tamsulozinas atpalaiduoja priešinės liaukos raumenis taip palengvindamas šlapinimąsi ir greitai palengvina simptomus.</w:t>
      </w:r>
    </w:p>
    <w:p w14:paraId="5931698A"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57AAB4FD"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4AEE304A" w14:textId="734EFA27"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2.</w:t>
      </w:r>
      <w:r w:rsidRPr="00350BD0">
        <w:rPr>
          <w:rFonts w:ascii="Times New Roman" w:eastAsia="Times New Roman" w:hAnsi="Times New Roman" w:cs="Times New Roman"/>
          <w:b/>
          <w:bCs/>
          <w:snapToGrid w:val="0"/>
          <w:lang w:eastAsia="x-none"/>
        </w:rPr>
        <w:tab/>
        <w:t xml:space="preserve">Kas žinotina prieš vartojant Dutasteride/Tamsulosin </w:t>
      </w:r>
      <w:r w:rsidR="00AC240B">
        <w:rPr>
          <w:rFonts w:ascii="Times New Roman" w:eastAsia="Times New Roman" w:hAnsi="Times New Roman" w:cs="Times New Roman"/>
          <w:b/>
          <w:bCs/>
          <w:snapToGrid w:val="0"/>
          <w:lang w:eastAsia="x-none"/>
        </w:rPr>
        <w:t>Olpha</w:t>
      </w:r>
    </w:p>
    <w:p w14:paraId="2EBF73AE"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01C5AA2A" w14:textId="177E73F5"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 xml:space="preserve">Dutasteride/Tamsulosin </w:t>
      </w:r>
      <w:r w:rsidR="00AC240B">
        <w:rPr>
          <w:rFonts w:ascii="Times New Roman" w:eastAsia="Times New Roman" w:hAnsi="Times New Roman" w:cs="Times New Roman"/>
          <w:b/>
          <w:bCs/>
          <w:snapToGrid w:val="0"/>
          <w:lang w:eastAsia="x-none"/>
        </w:rPr>
        <w:t>Olpha</w:t>
      </w:r>
      <w:r w:rsidRPr="00350BD0">
        <w:rPr>
          <w:rFonts w:ascii="Times New Roman" w:eastAsia="Times New Roman" w:hAnsi="Times New Roman" w:cs="Times New Roman"/>
          <w:b/>
          <w:bCs/>
          <w:snapToGrid w:val="0"/>
          <w:lang w:eastAsia="x-none"/>
        </w:rPr>
        <w:t xml:space="preserve"> vartoti </w:t>
      </w:r>
      <w:r w:rsidR="00B555D6" w:rsidRPr="009F6BD7">
        <w:rPr>
          <w:rFonts w:ascii="Times New Roman" w:hAnsi="Times New Roman"/>
          <w:b/>
          <w:bCs/>
        </w:rPr>
        <w:t>draudžiama</w:t>
      </w:r>
      <w:r w:rsidR="00B555D6" w:rsidRPr="009F6BD7">
        <w:rPr>
          <w:rFonts w:ascii="Times New Roman" w:eastAsia="Times New Roman" w:hAnsi="Times New Roman"/>
          <w:b/>
          <w:bCs/>
        </w:rPr>
        <w:t>:</w:t>
      </w:r>
    </w:p>
    <w:p w14:paraId="171DB978"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rPr>
        <w:t>-</w:t>
      </w:r>
      <w:r w:rsidRPr="00350BD0">
        <w:rPr>
          <w:rFonts w:ascii="Times New Roman" w:eastAsia="Times New Roman" w:hAnsi="Times New Roman" w:cs="Times New Roman"/>
          <w:snapToGrid w:val="0"/>
        </w:rPr>
        <w:tab/>
      </w:r>
      <w:r w:rsidRPr="00350BD0">
        <w:rPr>
          <w:rFonts w:ascii="Times New Roman" w:eastAsia="Times New Roman" w:hAnsi="Times New Roman" w:cs="Times New Roman"/>
          <w:snapToGrid w:val="0"/>
          <w:szCs w:val="20"/>
        </w:rPr>
        <w:t xml:space="preserve">jeigu esate </w:t>
      </w:r>
      <w:r w:rsidRPr="00350BD0">
        <w:rPr>
          <w:rFonts w:ascii="Times New Roman" w:eastAsia="Times New Roman" w:hAnsi="Times New Roman" w:cs="Times New Roman"/>
          <w:b/>
          <w:snapToGrid w:val="0"/>
          <w:szCs w:val="20"/>
        </w:rPr>
        <w:t xml:space="preserve">moteris </w:t>
      </w:r>
      <w:r w:rsidRPr="00350BD0">
        <w:rPr>
          <w:rFonts w:ascii="Times New Roman" w:eastAsia="Times New Roman" w:hAnsi="Times New Roman" w:cs="Times New Roman"/>
          <w:snapToGrid w:val="0"/>
          <w:szCs w:val="20"/>
        </w:rPr>
        <w:t xml:space="preserve">(nes </w:t>
      </w:r>
      <w:r w:rsidRPr="00350BD0">
        <w:rPr>
          <w:rFonts w:ascii="Times New Roman" w:eastAsia="Times New Roman" w:hAnsi="Times New Roman" w:cs="Times New Roman"/>
          <w:b/>
          <w:snapToGrid w:val="0"/>
          <w:szCs w:val="20"/>
        </w:rPr>
        <w:t>šis vaistas yra skirtas vartoti tik vyrams</w:t>
      </w:r>
      <w:r w:rsidRPr="00350BD0">
        <w:rPr>
          <w:rFonts w:ascii="Times New Roman" w:eastAsia="Times New Roman" w:hAnsi="Times New Roman" w:cs="Times New Roman"/>
          <w:snapToGrid w:val="0"/>
          <w:szCs w:val="20"/>
        </w:rPr>
        <w:t>).</w:t>
      </w:r>
    </w:p>
    <w:p w14:paraId="6A60EA83"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 xml:space="preserve">jeigu esate </w:t>
      </w:r>
      <w:r w:rsidRPr="00350BD0">
        <w:rPr>
          <w:rFonts w:ascii="Times New Roman" w:eastAsia="Times New Roman" w:hAnsi="Times New Roman" w:cs="Times New Roman"/>
          <w:b/>
          <w:snapToGrid w:val="0"/>
          <w:szCs w:val="20"/>
        </w:rPr>
        <w:t>vaikas arba jaunesnis kaip 18 metų paauglys</w:t>
      </w:r>
      <w:r w:rsidRPr="00350BD0">
        <w:rPr>
          <w:rFonts w:ascii="Times New Roman" w:eastAsia="Times New Roman" w:hAnsi="Times New Roman" w:cs="Times New Roman"/>
          <w:snapToGrid w:val="0"/>
          <w:szCs w:val="20"/>
        </w:rPr>
        <w:t>.</w:t>
      </w:r>
    </w:p>
    <w:p w14:paraId="2311A418"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jeigu yra</w:t>
      </w:r>
      <w:r w:rsidRPr="00350BD0">
        <w:rPr>
          <w:rFonts w:ascii="Times New Roman" w:eastAsia="Times New Roman" w:hAnsi="Times New Roman" w:cs="Times New Roman"/>
          <w:b/>
          <w:snapToGrid w:val="0"/>
          <w:szCs w:val="20"/>
        </w:rPr>
        <w:t xml:space="preserve"> alergija dutasteridui</w:t>
      </w:r>
      <w:r w:rsidRPr="00350BD0">
        <w:rPr>
          <w:rFonts w:ascii="Times New Roman" w:eastAsia="Times New Roman" w:hAnsi="Times New Roman" w:cs="Times New Roman"/>
          <w:b/>
          <w:i/>
          <w:snapToGrid w:val="0"/>
          <w:szCs w:val="20"/>
        </w:rPr>
        <w:t>,</w:t>
      </w:r>
      <w:r w:rsidRPr="00350BD0">
        <w:rPr>
          <w:rFonts w:ascii="Times New Roman" w:eastAsia="Times New Roman" w:hAnsi="Times New Roman" w:cs="Times New Roman"/>
          <w:b/>
          <w:snapToGrid w:val="0"/>
          <w:szCs w:val="20"/>
        </w:rPr>
        <w:t xml:space="preserve"> </w:t>
      </w:r>
      <w:r w:rsidRPr="00350BD0">
        <w:rPr>
          <w:rFonts w:ascii="Times New Roman" w:eastAsia="Times New Roman" w:hAnsi="Times New Roman" w:cs="Times New Roman"/>
          <w:snapToGrid w:val="0"/>
          <w:szCs w:val="20"/>
        </w:rPr>
        <w:t xml:space="preserve">kitiems </w:t>
      </w:r>
      <w:r w:rsidRPr="00350BD0">
        <w:rPr>
          <w:rFonts w:ascii="Times New Roman" w:eastAsia="Times New Roman" w:hAnsi="Times New Roman" w:cs="Times New Roman"/>
          <w:b/>
          <w:snapToGrid w:val="0"/>
          <w:szCs w:val="20"/>
        </w:rPr>
        <w:t>5 alfa reduktazės inhibitoriams, tamsulozinui, sojai, žemės riešutams</w:t>
      </w:r>
      <w:r w:rsidRPr="00350BD0">
        <w:rPr>
          <w:rFonts w:ascii="Times New Roman" w:eastAsia="Times New Roman" w:hAnsi="Times New Roman" w:cs="Times New Roman"/>
          <w:snapToGrid w:val="0"/>
          <w:szCs w:val="20"/>
        </w:rPr>
        <w:t xml:space="preserve"> arba bet kuriai pagalbinei šio vaisto medžiagai (jos išvardytos 6 skyriuje).</w:t>
      </w:r>
    </w:p>
    <w:p w14:paraId="76D0F3E6"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b/>
          <w:snapToGrid w:val="0"/>
          <w:szCs w:val="20"/>
        </w:rPr>
        <w:tab/>
      </w:r>
      <w:r w:rsidRPr="00350BD0">
        <w:rPr>
          <w:rFonts w:ascii="Times New Roman" w:eastAsia="Times New Roman" w:hAnsi="Times New Roman" w:cs="Times New Roman"/>
          <w:snapToGrid w:val="0"/>
          <w:szCs w:val="20"/>
        </w:rPr>
        <w:t xml:space="preserve">jeigu yra </w:t>
      </w:r>
      <w:r w:rsidRPr="00350BD0">
        <w:rPr>
          <w:rFonts w:ascii="Times New Roman" w:eastAsia="Times New Roman" w:hAnsi="Times New Roman" w:cs="Times New Roman"/>
          <w:b/>
          <w:snapToGrid w:val="0"/>
          <w:szCs w:val="20"/>
        </w:rPr>
        <w:t>sumažėjęs kraujospūdis,</w:t>
      </w:r>
      <w:r w:rsidRPr="00350BD0">
        <w:rPr>
          <w:rFonts w:ascii="Times New Roman" w:eastAsia="Times New Roman" w:hAnsi="Times New Roman" w:cs="Times New Roman"/>
          <w:snapToGrid w:val="0"/>
          <w:szCs w:val="20"/>
        </w:rPr>
        <w:t xml:space="preserve"> dėl kurio gali pasireikšti svaigulys, galvos sukimasis ar apalpimas </w:t>
      </w:r>
      <w:r w:rsidRPr="00350BD0">
        <w:rPr>
          <w:rFonts w:ascii="Times New Roman" w:eastAsia="Times New Roman" w:hAnsi="Times New Roman" w:cs="Times New Roman"/>
          <w:i/>
          <w:snapToGrid w:val="0"/>
          <w:szCs w:val="20"/>
        </w:rPr>
        <w:t>(ortostatinė hipotenzija).</w:t>
      </w:r>
    </w:p>
    <w:p w14:paraId="4929ADD3"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b/>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jeigu sergate</w:t>
      </w:r>
      <w:r w:rsidRPr="00350BD0">
        <w:rPr>
          <w:rFonts w:ascii="Times New Roman" w:eastAsia="Times New Roman" w:hAnsi="Times New Roman" w:cs="Times New Roman"/>
          <w:b/>
          <w:snapToGrid w:val="0"/>
          <w:szCs w:val="20"/>
        </w:rPr>
        <w:t xml:space="preserve"> sunkia kepenų liga. </w:t>
      </w:r>
    </w:p>
    <w:p w14:paraId="5EFE4773"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Times New Roman" w:eastAsia="Times New Roman" w:hAnsi="Times New Roman" w:cs="Times New Roman"/>
          <w:snapToGrid w:val="0"/>
          <w:szCs w:val="20"/>
        </w:rPr>
        <w:t>Jeigu galvojate, kad Jums taip yra, šio vaisto</w:t>
      </w:r>
      <w:r w:rsidRPr="00350BD0">
        <w:rPr>
          <w:rFonts w:ascii="Times New Roman" w:eastAsia="Times New Roman" w:hAnsi="Times New Roman" w:cs="Times New Roman"/>
          <w:b/>
          <w:snapToGrid w:val="0"/>
          <w:szCs w:val="20"/>
        </w:rPr>
        <w:t xml:space="preserve"> vartoti negalima </w:t>
      </w:r>
      <w:r w:rsidRPr="00350BD0">
        <w:rPr>
          <w:rFonts w:ascii="Times New Roman" w:eastAsia="Times New Roman" w:hAnsi="Times New Roman" w:cs="Times New Roman"/>
          <w:snapToGrid w:val="0"/>
          <w:szCs w:val="20"/>
        </w:rPr>
        <w:t>tol, kol nepasitikrinote pas savo gydytoją.</w:t>
      </w:r>
    </w:p>
    <w:p w14:paraId="5C07F1C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37D3217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lastRenderedPageBreak/>
        <w:t>Įspėjimai ir atsargumo priemonės</w:t>
      </w:r>
    </w:p>
    <w:p w14:paraId="39B747E4" w14:textId="69332A82" w:rsidR="00350BD0" w:rsidRPr="00350BD0" w:rsidRDefault="00350BD0" w:rsidP="00350BD0">
      <w:pPr>
        <w:tabs>
          <w:tab w:val="left" w:pos="0"/>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Pasitarkite su gydytoju prieš pradėdami vartoti </w:t>
      </w:r>
      <w:r w:rsidRPr="00350BD0">
        <w:rPr>
          <w:rFonts w:ascii="Times New Roman" w:eastAsia="Times New Roman" w:hAnsi="Times New Roman" w:cs="Times New Roman"/>
          <w:snapToGrid w:val="0"/>
        </w:rPr>
        <w:t xml:space="preserve">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szCs w:val="20"/>
        </w:rPr>
        <w:t>.</w:t>
      </w:r>
    </w:p>
    <w:p w14:paraId="474DCD1F"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Remiantis kai kurių klinikinių tyrimų duomenimis, širdies nepakankamumą patyrė daugiau pacientų, vartojančių dutasteridą ir kitą vaistą, vadinamą alfa adrenoreceptorių blokatoriumi, pavyzdžiui, tamsuloziną, nei pacientai, vartojantys vieną dutasteridą arba vieną alfa adrenoreceptorių blokatorių. Širdies nepakankamumas reiškia, kad Jūsų širdis išstumia kraują blogiau nei turėtų išstumti.</w:t>
      </w:r>
    </w:p>
    <w:p w14:paraId="0EC2E931"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6678C8DA" w14:textId="6AF2B961"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w:t>
      </w:r>
      <w:r w:rsidRPr="00350BD0">
        <w:rPr>
          <w:rFonts w:ascii="Times New Roman" w:eastAsia="Times New Roman" w:hAnsi="Times New Roman" w:cs="Times New Roman"/>
          <w:b/>
          <w:snapToGrid w:val="0"/>
          <w:szCs w:val="20"/>
        </w:rPr>
        <w:tab/>
        <w:t xml:space="preserve">Pasakykite savo gydytojui apie kepenų funkcijos sutrikimus. </w:t>
      </w:r>
      <w:r w:rsidRPr="00350BD0">
        <w:rPr>
          <w:rFonts w:ascii="Times New Roman" w:eastAsia="Times New Roman" w:hAnsi="Times New Roman" w:cs="Times New Roman"/>
          <w:snapToGrid w:val="0"/>
          <w:szCs w:val="20"/>
        </w:rPr>
        <w:t xml:space="preserve">Jeigu sergate kokia nors liga, kuri paveikia kepenis, Jums gali prireikti papildomo stebėjimo vartojant </w:t>
      </w:r>
      <w:r w:rsidRPr="00350BD0">
        <w:rPr>
          <w:rFonts w:ascii="Times New Roman" w:eastAsia="Times New Roman" w:hAnsi="Times New Roman" w:cs="Times New Roman"/>
          <w:snapToGrid w:val="0"/>
        </w:rPr>
        <w:t xml:space="preserve">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szCs w:val="20"/>
        </w:rPr>
        <w:t>.</w:t>
      </w:r>
    </w:p>
    <w:p w14:paraId="42BE3B0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16EC0BC3"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r>
      <w:r w:rsidRPr="00350BD0">
        <w:rPr>
          <w:rFonts w:ascii="Times New Roman" w:eastAsia="Times New Roman" w:hAnsi="Times New Roman" w:cs="Times New Roman"/>
          <w:b/>
          <w:snapToGrid w:val="0"/>
          <w:szCs w:val="20"/>
        </w:rPr>
        <w:t>Pasakykite gydytojui, jeigu Jums pasireiškia sunkūs inkstų funkcijos sutrikimai</w:t>
      </w:r>
      <w:r w:rsidRPr="00350BD0">
        <w:rPr>
          <w:rFonts w:ascii="Times New Roman" w:eastAsia="Times New Roman" w:hAnsi="Times New Roman" w:cs="Times New Roman"/>
          <w:snapToGrid w:val="0"/>
          <w:szCs w:val="20"/>
        </w:rPr>
        <w:t>.</w:t>
      </w:r>
    </w:p>
    <w:p w14:paraId="788BE77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2A3CBAB2" w14:textId="3C7D2825"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b/>
          <w:bCs/>
          <w:snapToGrid w:val="0"/>
          <w:szCs w:val="20"/>
        </w:rPr>
        <w:t>-</w:t>
      </w:r>
      <w:r w:rsidRPr="00350BD0">
        <w:rPr>
          <w:rFonts w:ascii="Times New Roman" w:eastAsia="Times New Roman" w:hAnsi="Times New Roman" w:cs="Times New Roman"/>
          <w:b/>
          <w:bCs/>
          <w:snapToGrid w:val="0"/>
          <w:szCs w:val="20"/>
        </w:rPr>
        <w:tab/>
      </w:r>
      <w:r w:rsidRPr="00350BD0">
        <w:rPr>
          <w:rFonts w:ascii="Times New Roman" w:eastAsia="Times New Roman" w:hAnsi="Times New Roman" w:cs="Times New Roman"/>
          <w:b/>
          <w:snapToGrid w:val="0"/>
          <w:szCs w:val="20"/>
        </w:rPr>
        <w:t>Kataraktos (lęšiuko drumsties) chirurginė operacija.</w:t>
      </w:r>
      <w:r w:rsidRPr="00350BD0">
        <w:rPr>
          <w:rFonts w:ascii="Times New Roman" w:eastAsia="Times New Roman" w:hAnsi="Times New Roman" w:cs="Times New Roman"/>
          <w:snapToGrid w:val="0"/>
          <w:szCs w:val="20"/>
        </w:rPr>
        <w:t xml:space="preserve"> Jeigu Jums numatyta atlikti kataraktos pašalinimo operaciją, Jūsų gydytojas gali nurodyti nutraukti </w:t>
      </w:r>
      <w:r w:rsidRPr="00350BD0">
        <w:rPr>
          <w:rFonts w:ascii="Times New Roman" w:eastAsia="Times New Roman" w:hAnsi="Times New Roman" w:cs="Times New Roman"/>
          <w:snapToGrid w:val="0"/>
        </w:rPr>
        <w:t xml:space="preserve">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szCs w:val="20"/>
        </w:rPr>
        <w:t xml:space="preserve"> vartojimą prieš operaciją. Prieš operaciją pasakykite savo akių ligų gydytojui, kad vartojate </w:t>
      </w:r>
      <w:r w:rsidRPr="00350BD0">
        <w:rPr>
          <w:rFonts w:ascii="Times New Roman" w:eastAsia="Times New Roman" w:hAnsi="Times New Roman" w:cs="Times New Roman"/>
          <w:snapToGrid w:val="0"/>
        </w:rPr>
        <w:t xml:space="preserve">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szCs w:val="20"/>
        </w:rPr>
        <w:t xml:space="preserve"> arba tamsuloziną (arba vartojote anksčiau). Gydytojui teks imtis tinkamų saugumo priemonių, kad operacijos metu būtų išvengta komplikacijų.</w:t>
      </w:r>
    </w:p>
    <w:p w14:paraId="76D3041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185201B7" w14:textId="2879F3E0"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w:t>
      </w:r>
      <w:r w:rsidRPr="00350BD0">
        <w:rPr>
          <w:rFonts w:ascii="Times New Roman" w:eastAsia="Times New Roman" w:hAnsi="Times New Roman" w:cs="Times New Roman"/>
          <w:b/>
          <w:snapToGrid w:val="0"/>
          <w:szCs w:val="20"/>
        </w:rPr>
        <w:tab/>
        <w:t xml:space="preserve">Moterims, vaikams ir paaugliams </w:t>
      </w:r>
      <w:r w:rsidRPr="00350BD0">
        <w:rPr>
          <w:rFonts w:ascii="Times New Roman" w:eastAsia="Times New Roman" w:hAnsi="Times New Roman" w:cs="Times New Roman"/>
          <w:snapToGrid w:val="0"/>
          <w:szCs w:val="20"/>
        </w:rPr>
        <w:t xml:space="preserve">negalima liestis prie nesandarių </w:t>
      </w:r>
      <w:r w:rsidRPr="00350BD0">
        <w:rPr>
          <w:rFonts w:ascii="Times New Roman" w:eastAsia="Times New Roman" w:hAnsi="Times New Roman" w:cs="Times New Roman"/>
          <w:snapToGrid w:val="0"/>
        </w:rPr>
        <w:t xml:space="preserve">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szCs w:val="20"/>
        </w:rPr>
        <w:t xml:space="preserve"> kapsulių, nes veiklioji medžiaga gali absorbuotis per odą. Jeigu vaisto pateko ant odos, </w:t>
      </w:r>
      <w:r w:rsidRPr="00350BD0">
        <w:rPr>
          <w:rFonts w:ascii="Times New Roman" w:eastAsia="Times New Roman" w:hAnsi="Times New Roman" w:cs="Times New Roman"/>
          <w:b/>
          <w:snapToGrid w:val="0"/>
          <w:szCs w:val="20"/>
        </w:rPr>
        <w:t xml:space="preserve">paveiktą vietą reikia nedelsiant plauti </w:t>
      </w:r>
      <w:r w:rsidRPr="00350BD0">
        <w:rPr>
          <w:rFonts w:ascii="Times New Roman" w:eastAsia="Times New Roman" w:hAnsi="Times New Roman" w:cs="Times New Roman"/>
          <w:snapToGrid w:val="0"/>
          <w:szCs w:val="20"/>
        </w:rPr>
        <w:t>muilu ir vandeniu.</w:t>
      </w:r>
    </w:p>
    <w:p w14:paraId="1D18850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50B506B5" w14:textId="698DA972" w:rsidR="00350BD0" w:rsidRPr="00350BD0" w:rsidRDefault="00350BD0" w:rsidP="00350BD0">
      <w:pPr>
        <w:tabs>
          <w:tab w:val="left" w:pos="567"/>
        </w:tabs>
        <w:spacing w:after="0" w:line="240" w:lineRule="auto"/>
        <w:ind w:left="540" w:hanging="54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w:t>
      </w:r>
      <w:r w:rsidRPr="00350BD0">
        <w:rPr>
          <w:rFonts w:ascii="Times New Roman" w:eastAsia="Times New Roman" w:hAnsi="Times New Roman" w:cs="Times New Roman"/>
          <w:b/>
          <w:snapToGrid w:val="0"/>
          <w:szCs w:val="20"/>
        </w:rPr>
        <w:tab/>
        <w:t>Naudokite prezervatyvą lytinių santykių metu.</w:t>
      </w:r>
      <w:r w:rsidRPr="00350BD0">
        <w:rPr>
          <w:rFonts w:ascii="Times New Roman" w:eastAsia="Times New Roman" w:hAnsi="Times New Roman" w:cs="Times New Roman"/>
          <w:snapToGrid w:val="0"/>
          <w:szCs w:val="20"/>
        </w:rPr>
        <w:t xml:space="preserve"> </w:t>
      </w:r>
      <w:r w:rsidRPr="00350BD0">
        <w:rPr>
          <w:rFonts w:ascii="Times New Roman" w:eastAsia="Times New Roman" w:hAnsi="Times New Roman" w:cs="Times New Roman"/>
          <w:snapToGrid w:val="0"/>
        </w:rPr>
        <w:t xml:space="preserve">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w:t>
      </w:r>
      <w:r w:rsidRPr="00350BD0">
        <w:rPr>
          <w:rFonts w:ascii="Times New Roman" w:eastAsia="Times New Roman" w:hAnsi="Times New Roman" w:cs="Times New Roman"/>
          <w:snapToGrid w:val="0"/>
          <w:szCs w:val="20"/>
        </w:rPr>
        <w:t>vartojančių vyrų spermoje buvo aptikta dutasterido. Jeigu Jūsų partnerė yra arba gali būti nėščia, turite apsaugoti ją nuo Jūsų spermos patekimo į jos organizmą, nes dutasteridas gali paveikti normalų vyriškos lyties vaisiaus vystymąsi. Nustatyta, kad dutasteridas mažina spermatozoidų kiekį, spermos tūrį ir spermatozoidų judrumą. Dėl to gali sumažėti Jūsų vaisingumas.</w:t>
      </w:r>
    </w:p>
    <w:p w14:paraId="4BCF366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p>
    <w:p w14:paraId="6767EA48" w14:textId="0EA106F4"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b/>
          <w:iCs/>
          <w:snapToGrid w:val="0"/>
          <w:szCs w:val="20"/>
        </w:rPr>
        <w:t>-</w:t>
      </w:r>
      <w:r w:rsidRPr="00350BD0">
        <w:rPr>
          <w:rFonts w:ascii="Times New Roman" w:eastAsia="Times New Roman" w:hAnsi="Times New Roman" w:cs="Times New Roman"/>
          <w:b/>
          <w:iCs/>
          <w:snapToGrid w:val="0"/>
          <w:szCs w:val="20"/>
        </w:rPr>
        <w:tab/>
      </w:r>
      <w:r w:rsidRPr="00350BD0">
        <w:rPr>
          <w:rFonts w:ascii="Times New Roman" w:eastAsia="Times New Roman" w:hAnsi="Times New Roman" w:cs="Times New Roman"/>
          <w:b/>
          <w:snapToGrid w:val="0"/>
          <w:szCs w:val="20"/>
        </w:rPr>
        <w:t xml:space="preserve">Dutasteride/Tamsulosin </w:t>
      </w:r>
      <w:r w:rsidR="00AC240B">
        <w:rPr>
          <w:rFonts w:ascii="Times New Roman" w:eastAsia="Times New Roman" w:hAnsi="Times New Roman" w:cs="Times New Roman"/>
          <w:b/>
          <w:snapToGrid w:val="0"/>
          <w:szCs w:val="20"/>
        </w:rPr>
        <w:t>Olpha</w:t>
      </w:r>
      <w:r w:rsidRPr="00350BD0">
        <w:rPr>
          <w:rFonts w:ascii="Times New Roman" w:eastAsia="Times New Roman" w:hAnsi="Times New Roman" w:cs="Times New Roman"/>
          <w:b/>
          <w:snapToGrid w:val="0"/>
          <w:szCs w:val="20"/>
        </w:rPr>
        <w:t xml:space="preserve"> veikia kraujo tyrimą, kuriuo nustatomas PSA </w:t>
      </w:r>
      <w:r w:rsidRPr="00350BD0">
        <w:rPr>
          <w:rFonts w:ascii="Times New Roman" w:eastAsia="Times New Roman" w:hAnsi="Times New Roman" w:cs="Times New Roman"/>
          <w:bCs/>
          <w:snapToGrid w:val="0"/>
          <w:szCs w:val="20"/>
        </w:rPr>
        <w:t>(</w:t>
      </w:r>
      <w:r w:rsidRPr="00350BD0">
        <w:rPr>
          <w:rFonts w:ascii="Times New Roman" w:eastAsia="Times New Roman" w:hAnsi="Times New Roman" w:cs="Times New Roman"/>
          <w:bCs/>
          <w:i/>
          <w:iCs/>
          <w:snapToGrid w:val="0"/>
          <w:szCs w:val="20"/>
        </w:rPr>
        <w:t>prostatos specifinis antigenas</w:t>
      </w:r>
      <w:r w:rsidRPr="00350BD0">
        <w:rPr>
          <w:rFonts w:ascii="Times New Roman" w:eastAsia="Times New Roman" w:hAnsi="Times New Roman" w:cs="Times New Roman"/>
          <w:bCs/>
          <w:snapToGrid w:val="0"/>
          <w:szCs w:val="20"/>
        </w:rPr>
        <w:t>) ir</w:t>
      </w:r>
      <w:r w:rsidRPr="00350BD0">
        <w:rPr>
          <w:rFonts w:ascii="Times New Roman" w:eastAsia="Times New Roman" w:hAnsi="Times New Roman" w:cs="Times New Roman"/>
          <w:snapToGrid w:val="0"/>
          <w:szCs w:val="20"/>
        </w:rPr>
        <w:t xml:space="preserve"> kartais atliekamas prostatos vėžiui diagnozuoti. Jūsų gydytojas turi žinoti apie tokį poveikį ir vis tiek gali skirti šį tyrimą prostatos</w:t>
      </w:r>
      <w:r w:rsidRPr="00350BD0" w:rsidDel="00DA62E2">
        <w:rPr>
          <w:rFonts w:ascii="Times New Roman" w:eastAsia="Times New Roman" w:hAnsi="Times New Roman" w:cs="Times New Roman"/>
          <w:snapToGrid w:val="0"/>
          <w:szCs w:val="20"/>
        </w:rPr>
        <w:t xml:space="preserve"> </w:t>
      </w:r>
      <w:r w:rsidRPr="00350BD0">
        <w:rPr>
          <w:rFonts w:ascii="Times New Roman" w:eastAsia="Times New Roman" w:hAnsi="Times New Roman" w:cs="Times New Roman"/>
          <w:snapToGrid w:val="0"/>
          <w:szCs w:val="20"/>
        </w:rPr>
        <w:t xml:space="preserve">vėžiui nustatyti. Jeigu kraujas tiriamas dėl PSA, pasakykite savo gydytojui, kad vartojate Dutasteride/Tamsulosin </w:t>
      </w:r>
      <w:r w:rsidR="00AC240B">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b/>
          <w:snapToGrid w:val="0"/>
          <w:szCs w:val="20"/>
        </w:rPr>
        <w:t xml:space="preserve"> Reikia reguliariai tirti Dutasteride/Tamsulosin </w:t>
      </w:r>
      <w:r w:rsidR="00AC240B">
        <w:rPr>
          <w:rFonts w:ascii="Times New Roman" w:eastAsia="Times New Roman" w:hAnsi="Times New Roman" w:cs="Times New Roman"/>
          <w:b/>
          <w:snapToGrid w:val="0"/>
          <w:szCs w:val="20"/>
        </w:rPr>
        <w:t>Olpha</w:t>
      </w:r>
      <w:r w:rsidRPr="00350BD0">
        <w:rPr>
          <w:rFonts w:ascii="Times New Roman" w:eastAsia="Times New Roman" w:hAnsi="Times New Roman" w:cs="Times New Roman"/>
          <w:b/>
          <w:snapToGrid w:val="0"/>
          <w:szCs w:val="20"/>
        </w:rPr>
        <w:t xml:space="preserve"> vartojančių vyrų PSA.</w:t>
      </w:r>
    </w:p>
    <w:p w14:paraId="1893C19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7775C9B7"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 xml:space="preserve">Klinikinio tyrimo, kuriame dalyvavo vyrai, kurių rizika susirgti prostatos vėžiu yra padidėjusi, duomenimis, dutasteridą vartojantiems vyrams </w:t>
      </w:r>
      <w:r w:rsidRPr="00350BD0">
        <w:rPr>
          <w:rFonts w:ascii="Times New Roman" w:eastAsia="Times New Roman" w:hAnsi="Times New Roman" w:cs="Times New Roman"/>
          <w:b/>
          <w:snapToGrid w:val="0"/>
          <w:szCs w:val="20"/>
        </w:rPr>
        <w:t>sunkios formos prostatos vėžys pasireiškė dažniau</w:t>
      </w:r>
      <w:r w:rsidRPr="00350BD0">
        <w:rPr>
          <w:rFonts w:ascii="Times New Roman" w:eastAsia="Times New Roman" w:hAnsi="Times New Roman" w:cs="Times New Roman"/>
          <w:snapToGrid w:val="0"/>
          <w:szCs w:val="20"/>
        </w:rPr>
        <w:t xml:space="preserve"> nei dutasterido nevartojantiems vyrams. Dutasterido poveikis šios sunkios formos prostatos vėžiui neaiškus.</w:t>
      </w:r>
    </w:p>
    <w:p w14:paraId="7CC85CD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2D9EFC46" w14:textId="52948080"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b/>
          <w:iCs/>
          <w:snapToGrid w:val="0"/>
          <w:szCs w:val="20"/>
        </w:rPr>
        <w:t>-</w:t>
      </w:r>
      <w:r w:rsidRPr="00350BD0">
        <w:rPr>
          <w:rFonts w:ascii="Times New Roman" w:eastAsia="Times New Roman" w:hAnsi="Times New Roman" w:cs="Times New Roman"/>
          <w:b/>
          <w:iCs/>
          <w:snapToGrid w:val="0"/>
          <w:szCs w:val="20"/>
        </w:rPr>
        <w:tab/>
      </w:r>
      <w:r w:rsidRPr="00350BD0">
        <w:rPr>
          <w:rFonts w:ascii="Times New Roman" w:eastAsia="Times New Roman" w:hAnsi="Times New Roman" w:cs="Times New Roman"/>
          <w:b/>
          <w:snapToGrid w:val="0"/>
          <w:szCs w:val="20"/>
        </w:rPr>
        <w:t xml:space="preserve">Dutasteride/Tamsulosin </w:t>
      </w:r>
      <w:r w:rsidR="00AC240B">
        <w:rPr>
          <w:rFonts w:ascii="Times New Roman" w:eastAsia="Times New Roman" w:hAnsi="Times New Roman" w:cs="Times New Roman"/>
          <w:b/>
          <w:snapToGrid w:val="0"/>
          <w:szCs w:val="20"/>
        </w:rPr>
        <w:t>Olpha</w:t>
      </w:r>
      <w:r w:rsidRPr="00350BD0">
        <w:rPr>
          <w:rFonts w:ascii="Times New Roman" w:eastAsia="Times New Roman" w:hAnsi="Times New Roman" w:cs="Times New Roman"/>
          <w:b/>
          <w:snapToGrid w:val="0"/>
          <w:szCs w:val="20"/>
        </w:rPr>
        <w:t xml:space="preserve"> gali sukelti krūtų padidėjimą ir jautrumą.</w:t>
      </w:r>
      <w:r w:rsidRPr="00350BD0">
        <w:rPr>
          <w:rFonts w:ascii="Times New Roman" w:eastAsia="Times New Roman" w:hAnsi="Times New Roman" w:cs="Times New Roman"/>
          <w:snapToGrid w:val="0"/>
          <w:szCs w:val="20"/>
        </w:rPr>
        <w:t xml:space="preserve"> Jeigu dėl to nerimaujate arba jeigu pastebėjote </w:t>
      </w:r>
      <w:r w:rsidRPr="00350BD0">
        <w:rPr>
          <w:rFonts w:ascii="Times New Roman" w:eastAsia="Times New Roman" w:hAnsi="Times New Roman" w:cs="Times New Roman"/>
          <w:b/>
          <w:bCs/>
          <w:snapToGrid w:val="0"/>
          <w:szCs w:val="20"/>
        </w:rPr>
        <w:t>gumbelių k</w:t>
      </w:r>
      <w:r w:rsidRPr="00350BD0">
        <w:rPr>
          <w:rFonts w:ascii="Times New Roman" w:eastAsia="Times New Roman" w:hAnsi="Times New Roman" w:cs="Times New Roman"/>
          <w:b/>
          <w:snapToGrid w:val="0"/>
          <w:szCs w:val="20"/>
        </w:rPr>
        <w:t xml:space="preserve">rūtyse </w:t>
      </w:r>
      <w:r w:rsidRPr="00350BD0">
        <w:rPr>
          <w:rFonts w:ascii="Times New Roman" w:eastAsia="Times New Roman" w:hAnsi="Times New Roman" w:cs="Times New Roman"/>
          <w:snapToGrid w:val="0"/>
          <w:szCs w:val="20"/>
        </w:rPr>
        <w:t xml:space="preserve">ar </w:t>
      </w:r>
      <w:r w:rsidRPr="00350BD0">
        <w:rPr>
          <w:rFonts w:ascii="Times New Roman" w:eastAsia="Times New Roman" w:hAnsi="Times New Roman" w:cs="Times New Roman"/>
          <w:b/>
          <w:snapToGrid w:val="0"/>
          <w:szCs w:val="20"/>
        </w:rPr>
        <w:t>išskyras iš</w:t>
      </w:r>
      <w:r w:rsidRPr="00350BD0">
        <w:rPr>
          <w:rFonts w:ascii="Times New Roman" w:eastAsia="Times New Roman" w:hAnsi="Times New Roman" w:cs="Times New Roman"/>
          <w:snapToGrid w:val="0"/>
          <w:szCs w:val="20"/>
        </w:rPr>
        <w:t xml:space="preserve"> </w:t>
      </w:r>
      <w:r w:rsidRPr="00350BD0">
        <w:rPr>
          <w:rFonts w:ascii="Times New Roman" w:eastAsia="Times New Roman" w:hAnsi="Times New Roman" w:cs="Times New Roman"/>
          <w:b/>
          <w:snapToGrid w:val="0"/>
          <w:szCs w:val="20"/>
        </w:rPr>
        <w:t xml:space="preserve">krūtų spenelių, </w:t>
      </w:r>
      <w:r w:rsidRPr="00350BD0">
        <w:rPr>
          <w:rFonts w:ascii="Times New Roman" w:eastAsia="Times New Roman" w:hAnsi="Times New Roman" w:cs="Times New Roman"/>
          <w:snapToGrid w:val="0"/>
          <w:szCs w:val="20"/>
        </w:rPr>
        <w:t>apie tai turite pasakyti savo gydytojui, nes tai gali būti sunkios būklės, pavyzdžiui, krūties vėžio, požymiai.</w:t>
      </w:r>
    </w:p>
    <w:p w14:paraId="4740E49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1F8F5D6A" w14:textId="2612A1BE" w:rsidR="00350BD0" w:rsidRPr="00350BD0" w:rsidRDefault="00350BD0" w:rsidP="00350BD0">
      <w:pPr>
        <w:tabs>
          <w:tab w:val="left" w:pos="567"/>
        </w:tabs>
        <w:spacing w:after="0" w:line="240" w:lineRule="auto"/>
        <w:ind w:left="567" w:hanging="567"/>
        <w:contextualSpacing/>
        <w:outlineLvl w:val="0"/>
        <w:rPr>
          <w:rFonts w:ascii="Times New Roman" w:eastAsia="Times New Roman" w:hAnsi="Times New Roman" w:cs="Times New Roman"/>
          <w:snapToGrid w:val="0"/>
          <w:szCs w:val="20"/>
        </w:rPr>
      </w:pP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Times New Roman" w:eastAsia="Times New Roman" w:hAnsi="Times New Roman" w:cs="Times New Roman"/>
          <w:snapToGrid w:val="0"/>
          <w:szCs w:val="20"/>
        </w:rPr>
        <w:t xml:space="preserve">Jeigu kiltų daugiau klausimų apie Dutasteride/Tamsulosin </w:t>
      </w:r>
      <w:r w:rsidR="00AC240B">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w:t>
      </w:r>
      <w:r w:rsidRPr="00350BD0">
        <w:rPr>
          <w:rFonts w:ascii="Times New Roman" w:eastAsia="Times New Roman" w:hAnsi="Times New Roman" w:cs="Times New Roman"/>
          <w:b/>
          <w:snapToGrid w:val="0"/>
          <w:szCs w:val="20"/>
        </w:rPr>
        <w:t>kreipkitės į savo gydytoją arba vaistininką</w:t>
      </w:r>
      <w:r w:rsidRPr="00350BD0">
        <w:rPr>
          <w:rFonts w:ascii="Times New Roman" w:eastAsia="Times New Roman" w:hAnsi="Times New Roman" w:cs="Times New Roman"/>
          <w:snapToGrid w:val="0"/>
          <w:szCs w:val="20"/>
        </w:rPr>
        <w:t>.</w:t>
      </w:r>
    </w:p>
    <w:p w14:paraId="59FF611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p>
    <w:p w14:paraId="353C3799" w14:textId="33D3B770"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 xml:space="preserve">Kiti vaistai ir Dutasteride/Tamsulosin </w:t>
      </w:r>
      <w:r w:rsidR="00AC240B">
        <w:rPr>
          <w:rFonts w:ascii="Times New Roman" w:eastAsia="Times New Roman" w:hAnsi="Times New Roman" w:cs="Times New Roman"/>
          <w:b/>
          <w:bCs/>
          <w:snapToGrid w:val="0"/>
          <w:lang w:eastAsia="x-none"/>
        </w:rPr>
        <w:t>Olpha</w:t>
      </w:r>
    </w:p>
    <w:p w14:paraId="622DC1AC"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Jeigu vartojate ar neseniai vartojote kitų vaistų arba dėl to nesate tikri, apie tai pasakykite gydytojui arba vaistininkui.</w:t>
      </w:r>
    </w:p>
    <w:p w14:paraId="106BBC3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101FCCC4" w14:textId="5C310D1E"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Dutasteride/Tamsulosin </w:t>
      </w:r>
      <w:r w:rsidR="00AC240B">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negalima vartoti kartu su šiais vaistais:</w:t>
      </w:r>
    </w:p>
    <w:p w14:paraId="2EFF45AF"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w:t>
      </w:r>
      <w:r w:rsidRPr="00350BD0">
        <w:rPr>
          <w:rFonts w:ascii="Times New Roman" w:eastAsia="Times New Roman" w:hAnsi="Times New Roman" w:cs="Times New Roman"/>
          <w:b/>
          <w:snapToGrid w:val="0"/>
          <w:szCs w:val="20"/>
        </w:rPr>
        <w:tab/>
        <w:t xml:space="preserve">kitais alfa adrenoreceptorių blokatoriais </w:t>
      </w:r>
      <w:r w:rsidRPr="00350BD0">
        <w:rPr>
          <w:rFonts w:ascii="Times New Roman" w:eastAsia="Times New Roman" w:hAnsi="Times New Roman" w:cs="Times New Roman"/>
          <w:snapToGrid w:val="0"/>
          <w:szCs w:val="20"/>
        </w:rPr>
        <w:t>(nuo prostatos išvešėjimo arba padidėjusio kraujospūdžio).</w:t>
      </w:r>
    </w:p>
    <w:p w14:paraId="1221132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19E9A5ED" w14:textId="60D11209" w:rsidR="00350BD0" w:rsidRPr="00350BD0" w:rsidRDefault="00350BD0" w:rsidP="00350BD0">
      <w:pPr>
        <w:keepNext/>
        <w:keepLines/>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lastRenderedPageBreak/>
        <w:t xml:space="preserve">Dutasteride/Tamsulosin </w:t>
      </w:r>
      <w:r w:rsidR="00AC240B">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nerekomenduojama vartoti kartu su šiais vaistais:</w:t>
      </w:r>
    </w:p>
    <w:p w14:paraId="338F4340" w14:textId="77777777" w:rsidR="00350BD0" w:rsidRPr="00350BD0" w:rsidRDefault="00350BD0" w:rsidP="00350BD0">
      <w:pPr>
        <w:keepNext/>
        <w:keepLines/>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w:t>
      </w:r>
      <w:r w:rsidRPr="00350BD0">
        <w:rPr>
          <w:rFonts w:ascii="Times New Roman" w:eastAsia="Times New Roman" w:hAnsi="Times New Roman" w:cs="Times New Roman"/>
          <w:b/>
          <w:snapToGrid w:val="0"/>
          <w:szCs w:val="20"/>
        </w:rPr>
        <w:tab/>
        <w:t xml:space="preserve">ketokonazolu </w:t>
      </w: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bCs/>
          <w:iCs/>
          <w:snapToGrid w:val="0"/>
          <w:szCs w:val="20"/>
        </w:rPr>
        <w:t>gydomos grybelių sukeltos infekcinės ligos</w:t>
      </w:r>
      <w:r w:rsidRPr="00350BD0">
        <w:rPr>
          <w:rFonts w:ascii="Times New Roman" w:eastAsia="Times New Roman" w:hAnsi="Times New Roman" w:cs="Times New Roman"/>
          <w:snapToGrid w:val="0"/>
          <w:szCs w:val="20"/>
        </w:rPr>
        <w:t>).</w:t>
      </w:r>
    </w:p>
    <w:p w14:paraId="1A13B309"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p>
    <w:p w14:paraId="00C8305F" w14:textId="4FADD0D0"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Kai kurie vaistai gali reaguoti su Dutasteride/Tamsulosin </w:t>
      </w:r>
      <w:r w:rsidR="00AC240B">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ir padidinti šalutinio poveikio atsiradimo riziką. Tokie vaistai yra:</w:t>
      </w:r>
    </w:p>
    <w:p w14:paraId="1AF466A9" w14:textId="77777777" w:rsidR="00350BD0" w:rsidRPr="00350BD0" w:rsidRDefault="00350BD0" w:rsidP="00350BD0">
      <w:pPr>
        <w:numPr>
          <w:ilvl w:val="0"/>
          <w:numId w:val="10"/>
        </w:numPr>
        <w:tabs>
          <w:tab w:val="left" w:pos="567"/>
        </w:tabs>
        <w:spacing w:after="0" w:line="240" w:lineRule="auto"/>
        <w:ind w:left="539" w:hanging="539"/>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FDE5 inhibitoriai</w:t>
      </w:r>
      <w:r w:rsidRPr="00350BD0">
        <w:rPr>
          <w:rFonts w:ascii="Times New Roman" w:eastAsia="Times New Roman" w:hAnsi="Times New Roman" w:cs="Times New Roman"/>
          <w:snapToGrid w:val="0"/>
          <w:szCs w:val="20"/>
        </w:rPr>
        <w:t xml:space="preserve"> (vartojami, norint padėti pasiekti ir palaikyti erekciją), pavyzdžiui: vardenafilis, sildenafilio citratas ir tadalafilis;</w:t>
      </w:r>
    </w:p>
    <w:p w14:paraId="2D131313" w14:textId="77777777" w:rsidR="00350BD0" w:rsidRPr="00350BD0" w:rsidRDefault="00350BD0" w:rsidP="00350BD0">
      <w:pPr>
        <w:numPr>
          <w:ilvl w:val="0"/>
          <w:numId w:val="10"/>
        </w:numPr>
        <w:tabs>
          <w:tab w:val="left" w:pos="567"/>
        </w:tabs>
        <w:spacing w:after="0" w:line="240" w:lineRule="auto"/>
        <w:ind w:left="539" w:hanging="539"/>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 xml:space="preserve">verapamilis ar diltiazemas </w:t>
      </w:r>
      <w:r w:rsidRPr="00350BD0">
        <w:rPr>
          <w:rFonts w:ascii="Times New Roman" w:eastAsia="Times New Roman" w:hAnsi="Times New Roman" w:cs="Times New Roman"/>
          <w:snapToGrid w:val="0"/>
          <w:szCs w:val="20"/>
        </w:rPr>
        <w:t>(padidėjusiam kraujospūdžiui mažinti);</w:t>
      </w:r>
    </w:p>
    <w:p w14:paraId="4FCF8F4A" w14:textId="77777777" w:rsidR="00350BD0" w:rsidRPr="00350BD0" w:rsidRDefault="00350BD0" w:rsidP="00350BD0">
      <w:pPr>
        <w:numPr>
          <w:ilvl w:val="0"/>
          <w:numId w:val="8"/>
        </w:numPr>
        <w:tabs>
          <w:tab w:val="clear" w:pos="360"/>
          <w:tab w:val="num" w:pos="567"/>
        </w:tabs>
        <w:spacing w:after="0" w:line="240" w:lineRule="auto"/>
        <w:ind w:left="539" w:hanging="539"/>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 xml:space="preserve">ritonaviras ar indinaviras </w:t>
      </w:r>
      <w:r w:rsidRPr="00350BD0">
        <w:rPr>
          <w:rFonts w:ascii="Times New Roman" w:eastAsia="Times New Roman" w:hAnsi="Times New Roman" w:cs="Times New Roman"/>
          <w:snapToGrid w:val="0"/>
          <w:szCs w:val="20"/>
        </w:rPr>
        <w:t>(ŽIV gydyti);</w:t>
      </w:r>
    </w:p>
    <w:p w14:paraId="68B8E1BC" w14:textId="77777777" w:rsidR="00350BD0" w:rsidRPr="00350BD0" w:rsidRDefault="00350BD0" w:rsidP="00350BD0">
      <w:pPr>
        <w:numPr>
          <w:ilvl w:val="0"/>
          <w:numId w:val="8"/>
        </w:numPr>
        <w:tabs>
          <w:tab w:val="clear" w:pos="360"/>
          <w:tab w:val="num" w:pos="567"/>
        </w:tabs>
        <w:spacing w:after="0" w:line="240" w:lineRule="auto"/>
        <w:ind w:left="539" w:hanging="539"/>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 xml:space="preserve">itrakonazolas ar ketokonazolas </w:t>
      </w:r>
      <w:r w:rsidRPr="00350BD0">
        <w:rPr>
          <w:rFonts w:ascii="Times New Roman" w:eastAsia="Times New Roman" w:hAnsi="Times New Roman" w:cs="Times New Roman"/>
          <w:snapToGrid w:val="0"/>
          <w:szCs w:val="20"/>
        </w:rPr>
        <w:t>(grybelių sukeltoms infekcijoms gydyti);</w:t>
      </w:r>
    </w:p>
    <w:p w14:paraId="17B8D559" w14:textId="77777777" w:rsidR="00350BD0" w:rsidRPr="00350BD0" w:rsidRDefault="00350BD0" w:rsidP="00350BD0">
      <w:pPr>
        <w:numPr>
          <w:ilvl w:val="0"/>
          <w:numId w:val="8"/>
        </w:numPr>
        <w:tabs>
          <w:tab w:val="clear" w:pos="360"/>
          <w:tab w:val="num" w:pos="567"/>
        </w:tabs>
        <w:spacing w:after="0" w:line="240" w:lineRule="auto"/>
        <w:ind w:left="539" w:hanging="539"/>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 xml:space="preserve">nefazodonas </w:t>
      </w:r>
      <w:r w:rsidRPr="00350BD0">
        <w:rPr>
          <w:rFonts w:ascii="Times New Roman" w:eastAsia="Times New Roman" w:hAnsi="Times New Roman" w:cs="Times New Roman"/>
          <w:snapToGrid w:val="0"/>
          <w:szCs w:val="20"/>
        </w:rPr>
        <w:t>(antidepresantas);</w:t>
      </w:r>
    </w:p>
    <w:p w14:paraId="28DD67F6" w14:textId="77777777" w:rsidR="00350BD0" w:rsidRPr="00350BD0" w:rsidRDefault="00350BD0" w:rsidP="00350BD0">
      <w:pPr>
        <w:numPr>
          <w:ilvl w:val="0"/>
          <w:numId w:val="8"/>
        </w:numPr>
        <w:tabs>
          <w:tab w:val="clear" w:pos="360"/>
          <w:tab w:val="num" w:pos="567"/>
        </w:tabs>
        <w:spacing w:after="0" w:line="240" w:lineRule="auto"/>
        <w:ind w:left="539" w:hanging="539"/>
        <w:contextualSpacing/>
        <w:outlineLvl w:val="0"/>
        <w:rPr>
          <w:rFonts w:ascii="Times New Roman" w:eastAsia="Times New Roman" w:hAnsi="Times New Roman" w:cs="Times New Roman"/>
          <w:snapToGrid w:val="0"/>
          <w:szCs w:val="20"/>
          <w:u w:val="single"/>
        </w:rPr>
      </w:pPr>
      <w:r w:rsidRPr="00350BD0">
        <w:rPr>
          <w:rFonts w:ascii="Times New Roman" w:eastAsia="Times New Roman" w:hAnsi="Times New Roman" w:cs="Times New Roman"/>
          <w:b/>
          <w:snapToGrid w:val="0"/>
          <w:szCs w:val="20"/>
        </w:rPr>
        <w:t>cimetidinas</w:t>
      </w:r>
      <w:r w:rsidRPr="00350BD0">
        <w:rPr>
          <w:rFonts w:ascii="Times New Roman" w:eastAsia="Times New Roman" w:hAnsi="Times New Roman" w:cs="Times New Roman"/>
          <w:snapToGrid w:val="0"/>
          <w:szCs w:val="20"/>
        </w:rPr>
        <w:t xml:space="preserve"> (skrandžio opoms gydyti);</w:t>
      </w:r>
    </w:p>
    <w:p w14:paraId="50EA1DC9" w14:textId="77777777" w:rsidR="00350BD0" w:rsidRPr="00350BD0" w:rsidRDefault="00350BD0" w:rsidP="00350BD0">
      <w:pPr>
        <w:numPr>
          <w:ilvl w:val="0"/>
          <w:numId w:val="8"/>
        </w:numPr>
        <w:tabs>
          <w:tab w:val="clear" w:pos="360"/>
          <w:tab w:val="num" w:pos="567"/>
        </w:tabs>
        <w:spacing w:after="0" w:line="240" w:lineRule="auto"/>
        <w:ind w:left="539" w:hanging="539"/>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varfarinas</w:t>
      </w:r>
      <w:r w:rsidRPr="00350BD0">
        <w:rPr>
          <w:rFonts w:ascii="Times New Roman" w:eastAsia="Times New Roman" w:hAnsi="Times New Roman" w:cs="Times New Roman"/>
          <w:snapToGrid w:val="0"/>
          <w:szCs w:val="20"/>
        </w:rPr>
        <w:t xml:space="preserve"> (kraujo krešėjimui mažinti</w:t>
      </w:r>
      <w:r w:rsidRPr="00350BD0">
        <w:rPr>
          <w:rFonts w:ascii="Times New Roman" w:eastAsia="Times New Roman" w:hAnsi="Times New Roman" w:cs="Times New Roman"/>
          <w:bCs/>
          <w:iCs/>
          <w:snapToGrid w:val="0"/>
          <w:szCs w:val="20"/>
        </w:rPr>
        <w:t>);</w:t>
      </w:r>
    </w:p>
    <w:p w14:paraId="4085848E" w14:textId="77777777" w:rsidR="00350BD0" w:rsidRPr="00350BD0" w:rsidRDefault="00350BD0" w:rsidP="00350BD0">
      <w:pPr>
        <w:numPr>
          <w:ilvl w:val="0"/>
          <w:numId w:val="8"/>
        </w:numPr>
        <w:tabs>
          <w:tab w:val="clear" w:pos="360"/>
          <w:tab w:val="num" w:pos="567"/>
        </w:tabs>
        <w:spacing w:after="0" w:line="240" w:lineRule="auto"/>
        <w:ind w:left="539" w:hanging="539"/>
        <w:contextualSpacing/>
        <w:outlineLvl w:val="0"/>
        <w:rPr>
          <w:rFonts w:ascii="Times New Roman" w:eastAsia="Times New Roman" w:hAnsi="Times New Roman" w:cs="Times New Roman"/>
          <w:bCs/>
          <w:iCs/>
          <w:snapToGrid w:val="0"/>
          <w:szCs w:val="20"/>
        </w:rPr>
      </w:pPr>
      <w:r w:rsidRPr="00350BD0">
        <w:rPr>
          <w:rFonts w:ascii="Times New Roman" w:eastAsia="Times New Roman" w:hAnsi="Times New Roman" w:cs="Times New Roman"/>
          <w:b/>
          <w:iCs/>
          <w:snapToGrid w:val="0"/>
          <w:szCs w:val="20"/>
        </w:rPr>
        <w:t xml:space="preserve">eritromicinas </w:t>
      </w:r>
      <w:r w:rsidRPr="00350BD0">
        <w:rPr>
          <w:rFonts w:ascii="Times New Roman" w:eastAsia="Times New Roman" w:hAnsi="Times New Roman" w:cs="Times New Roman"/>
          <w:bCs/>
          <w:iCs/>
          <w:snapToGrid w:val="0"/>
          <w:szCs w:val="20"/>
        </w:rPr>
        <w:t>(antibiotikas, kuriuo gydomos infekcinės ligos);</w:t>
      </w:r>
    </w:p>
    <w:p w14:paraId="5D3B21F0" w14:textId="77777777" w:rsidR="00350BD0" w:rsidRPr="00350BD0" w:rsidRDefault="00350BD0" w:rsidP="00350BD0">
      <w:pPr>
        <w:numPr>
          <w:ilvl w:val="0"/>
          <w:numId w:val="8"/>
        </w:numPr>
        <w:tabs>
          <w:tab w:val="clear" w:pos="360"/>
          <w:tab w:val="num" w:pos="567"/>
        </w:tabs>
        <w:spacing w:after="0" w:line="240" w:lineRule="auto"/>
        <w:ind w:left="539" w:hanging="539"/>
        <w:contextualSpacing/>
        <w:outlineLvl w:val="0"/>
        <w:rPr>
          <w:rFonts w:ascii="Times New Roman" w:eastAsia="Times New Roman" w:hAnsi="Times New Roman" w:cs="Times New Roman"/>
          <w:bCs/>
          <w:iCs/>
          <w:snapToGrid w:val="0"/>
          <w:szCs w:val="20"/>
        </w:rPr>
      </w:pPr>
      <w:r w:rsidRPr="00350BD0">
        <w:rPr>
          <w:rFonts w:ascii="Times New Roman" w:eastAsia="Times New Roman" w:hAnsi="Times New Roman" w:cs="Times New Roman"/>
          <w:b/>
          <w:bCs/>
          <w:iCs/>
          <w:snapToGrid w:val="0"/>
          <w:szCs w:val="20"/>
        </w:rPr>
        <w:t xml:space="preserve">paroksetinas </w:t>
      </w:r>
      <w:r w:rsidRPr="00350BD0">
        <w:rPr>
          <w:rFonts w:ascii="Times New Roman" w:eastAsia="Times New Roman" w:hAnsi="Times New Roman" w:cs="Times New Roman"/>
          <w:bCs/>
          <w:iCs/>
          <w:snapToGrid w:val="0"/>
          <w:szCs w:val="20"/>
        </w:rPr>
        <w:t>(antidepresantas);</w:t>
      </w:r>
    </w:p>
    <w:p w14:paraId="4091D2AC" w14:textId="77777777" w:rsidR="00350BD0" w:rsidRPr="00350BD0" w:rsidRDefault="00350BD0" w:rsidP="00350BD0">
      <w:pPr>
        <w:numPr>
          <w:ilvl w:val="0"/>
          <w:numId w:val="8"/>
        </w:numPr>
        <w:tabs>
          <w:tab w:val="clear" w:pos="360"/>
          <w:tab w:val="num" w:pos="567"/>
        </w:tabs>
        <w:spacing w:after="0" w:line="240" w:lineRule="auto"/>
        <w:ind w:left="539" w:hanging="539"/>
        <w:contextualSpacing/>
        <w:outlineLvl w:val="0"/>
        <w:rPr>
          <w:rFonts w:ascii="Times New Roman" w:eastAsia="Times New Roman" w:hAnsi="Times New Roman" w:cs="Times New Roman"/>
          <w:bCs/>
          <w:iCs/>
          <w:snapToGrid w:val="0"/>
          <w:szCs w:val="20"/>
        </w:rPr>
      </w:pPr>
      <w:r w:rsidRPr="00350BD0">
        <w:rPr>
          <w:rFonts w:ascii="Times New Roman" w:eastAsia="Times New Roman" w:hAnsi="Times New Roman" w:cs="Times New Roman"/>
          <w:b/>
          <w:bCs/>
          <w:iCs/>
          <w:snapToGrid w:val="0"/>
          <w:szCs w:val="20"/>
        </w:rPr>
        <w:t xml:space="preserve">terbinafinas </w:t>
      </w:r>
      <w:r w:rsidRPr="00350BD0">
        <w:rPr>
          <w:rFonts w:ascii="Times New Roman" w:eastAsia="Times New Roman" w:hAnsi="Times New Roman" w:cs="Times New Roman"/>
          <w:bCs/>
          <w:iCs/>
          <w:snapToGrid w:val="0"/>
          <w:szCs w:val="20"/>
        </w:rPr>
        <w:t>(grybelių sukeltoms infekcinėms ligoms gydyti);</w:t>
      </w:r>
    </w:p>
    <w:p w14:paraId="354BEC33" w14:textId="77777777" w:rsidR="00350BD0" w:rsidRPr="00350BD0" w:rsidRDefault="00350BD0" w:rsidP="00350BD0">
      <w:pPr>
        <w:numPr>
          <w:ilvl w:val="0"/>
          <w:numId w:val="8"/>
        </w:numPr>
        <w:tabs>
          <w:tab w:val="clear" w:pos="360"/>
          <w:tab w:val="num" w:pos="567"/>
        </w:tabs>
        <w:spacing w:after="0" w:line="240" w:lineRule="auto"/>
        <w:ind w:left="539" w:hanging="539"/>
        <w:contextualSpacing/>
        <w:outlineLvl w:val="0"/>
        <w:rPr>
          <w:rFonts w:ascii="Times New Roman" w:eastAsia="Times New Roman" w:hAnsi="Times New Roman" w:cs="Times New Roman"/>
          <w:bCs/>
          <w:iCs/>
          <w:snapToGrid w:val="0"/>
          <w:szCs w:val="20"/>
        </w:rPr>
      </w:pPr>
      <w:r w:rsidRPr="00350BD0">
        <w:rPr>
          <w:rFonts w:ascii="Times New Roman" w:eastAsia="Times New Roman" w:hAnsi="Times New Roman" w:cs="Times New Roman"/>
          <w:b/>
          <w:bCs/>
          <w:iCs/>
          <w:snapToGrid w:val="0"/>
          <w:szCs w:val="20"/>
        </w:rPr>
        <w:t>diklofenakas</w:t>
      </w:r>
      <w:r w:rsidRPr="00350BD0">
        <w:rPr>
          <w:rFonts w:ascii="Times New Roman" w:eastAsia="Times New Roman" w:hAnsi="Times New Roman" w:cs="Times New Roman"/>
          <w:bCs/>
          <w:iCs/>
          <w:snapToGrid w:val="0"/>
          <w:szCs w:val="20"/>
        </w:rPr>
        <w:t xml:space="preserve"> (skausmui malšinti ir uždegimui gydyti).</w:t>
      </w:r>
    </w:p>
    <w:p w14:paraId="3CB12097" w14:textId="77777777" w:rsidR="00350BD0" w:rsidRPr="00350BD0" w:rsidRDefault="00350BD0" w:rsidP="00350BD0">
      <w:pPr>
        <w:spacing w:after="0" w:line="240" w:lineRule="auto"/>
        <w:ind w:left="540"/>
        <w:rPr>
          <w:rFonts w:ascii="Times New Roman" w:eastAsia="Times New Roman" w:hAnsi="Times New Roman" w:cs="Times New Roman"/>
          <w:bCs/>
          <w:iCs/>
          <w:snapToGrid w:val="0"/>
          <w:szCs w:val="20"/>
        </w:rPr>
      </w:pPr>
    </w:p>
    <w:p w14:paraId="723C264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Times New Roman" w:eastAsia="Times New Roman" w:hAnsi="Times New Roman" w:cs="Times New Roman"/>
          <w:snapToGrid w:val="0"/>
          <w:szCs w:val="20"/>
        </w:rPr>
        <w:t>Jeigu vartojate bet kurį iš išvardytų vaistų,</w:t>
      </w:r>
      <w:r w:rsidRPr="00350BD0">
        <w:rPr>
          <w:rFonts w:ascii="Times New Roman" w:eastAsia="Times New Roman" w:hAnsi="Times New Roman" w:cs="Times New Roman"/>
          <w:b/>
          <w:snapToGrid w:val="0"/>
          <w:szCs w:val="20"/>
        </w:rPr>
        <w:t xml:space="preserve"> pasakykite savo gydytojui</w:t>
      </w:r>
      <w:r w:rsidRPr="00350BD0">
        <w:rPr>
          <w:rFonts w:ascii="Times New Roman" w:eastAsia="Times New Roman" w:hAnsi="Times New Roman" w:cs="Times New Roman"/>
          <w:snapToGrid w:val="0"/>
          <w:szCs w:val="20"/>
        </w:rPr>
        <w:t>.</w:t>
      </w:r>
    </w:p>
    <w:p w14:paraId="08967C4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p>
    <w:p w14:paraId="102B09C3" w14:textId="5A30AAD4"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bCs/>
          <w:snapToGrid w:val="0"/>
          <w:szCs w:val="20"/>
        </w:rPr>
        <w:t xml:space="preserve">Dutasteride/Tamsulosin </w:t>
      </w:r>
      <w:r w:rsidR="00AC240B">
        <w:rPr>
          <w:rFonts w:ascii="Times New Roman" w:eastAsia="Times New Roman" w:hAnsi="Times New Roman" w:cs="Times New Roman"/>
          <w:b/>
          <w:bCs/>
          <w:snapToGrid w:val="0"/>
          <w:szCs w:val="20"/>
        </w:rPr>
        <w:t>Olpha</w:t>
      </w:r>
      <w:r w:rsidRPr="00350BD0">
        <w:rPr>
          <w:rFonts w:ascii="Times New Roman" w:eastAsia="Times New Roman" w:hAnsi="Times New Roman" w:cs="Times New Roman"/>
          <w:b/>
          <w:snapToGrid w:val="0"/>
          <w:szCs w:val="20"/>
        </w:rPr>
        <w:t xml:space="preserve"> vartojimas su maistu </w:t>
      </w:r>
    </w:p>
    <w:p w14:paraId="5E224060" w14:textId="18167D1B"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Dutasteride/Tamsulosin </w:t>
      </w:r>
      <w:r w:rsidR="00AC240B">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reikia išgerti kiekvieną dieną praėjus 30 minučių po tokio pat maisto pavalgymo.</w:t>
      </w:r>
    </w:p>
    <w:p w14:paraId="630C881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72CE367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Nėštumas, žindymo laikotarpis ir vaisingumas</w:t>
      </w:r>
    </w:p>
    <w:p w14:paraId="6C0D72F0" w14:textId="31CA327A"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Dutasteride/Tamsulosin </w:t>
      </w:r>
      <w:r w:rsidR="00AC240B">
        <w:rPr>
          <w:rFonts w:ascii="Times New Roman" w:eastAsia="Times New Roman" w:hAnsi="Times New Roman" w:cs="Times New Roman"/>
          <w:snapToGrid w:val="0"/>
          <w:szCs w:val="20"/>
        </w:rPr>
        <w:t>Olpha</w:t>
      </w:r>
      <w:r w:rsidRPr="00350BD0">
        <w:rPr>
          <w:rFonts w:ascii="Times New Roman" w:eastAsia="Times New Roman" w:hAnsi="Times New Roman" w:cs="Times New Roman"/>
          <w:b/>
          <w:snapToGrid w:val="0"/>
          <w:szCs w:val="20"/>
        </w:rPr>
        <w:t xml:space="preserve"> negalima vartoti moterims</w:t>
      </w:r>
      <w:r w:rsidRPr="00350BD0">
        <w:rPr>
          <w:rFonts w:ascii="Times New Roman" w:eastAsia="Times New Roman" w:hAnsi="Times New Roman" w:cs="Times New Roman"/>
          <w:snapToGrid w:val="0"/>
          <w:szCs w:val="20"/>
        </w:rPr>
        <w:t>.</w:t>
      </w:r>
    </w:p>
    <w:p w14:paraId="5AFF421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0D96812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Nėščioms moterims (arba moterims, kurios gali būti nėščios) negalima liesti nesandarių (pažeistų) kapsulių.</w:t>
      </w:r>
      <w:r w:rsidRPr="00350BD0">
        <w:rPr>
          <w:rFonts w:ascii="Times New Roman" w:eastAsia="Times New Roman" w:hAnsi="Times New Roman" w:cs="Times New Roman"/>
          <w:snapToGrid w:val="0"/>
          <w:szCs w:val="20"/>
        </w:rPr>
        <w:t xml:space="preserve"> Dutasteridas yra absorbuojamas per odą ir gali paveikti normalų vyriškos lyties vaisiaus vystymąsi. Šis pavojus yra labai didelis per pirmąsias 16 nėštumo savaičių.</w:t>
      </w:r>
    </w:p>
    <w:p w14:paraId="61E4D1F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2257B7B1" w14:textId="34FF389B"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Naudokite prezervatyvą lytinių santykių metu.</w:t>
      </w:r>
      <w:r w:rsidRPr="00350BD0">
        <w:rPr>
          <w:rFonts w:ascii="Times New Roman" w:eastAsia="Times New Roman" w:hAnsi="Times New Roman" w:cs="Times New Roman"/>
          <w:snapToGrid w:val="0"/>
          <w:szCs w:val="20"/>
        </w:rPr>
        <w:t xml:space="preserve"> Dutasterido buvo aptikta Dutasteride/Tamsulosin </w:t>
      </w:r>
      <w:r w:rsidR="00AC240B">
        <w:rPr>
          <w:rFonts w:ascii="Times New Roman" w:eastAsia="Times New Roman" w:hAnsi="Times New Roman" w:cs="Times New Roman"/>
          <w:snapToGrid w:val="0"/>
          <w:szCs w:val="20"/>
        </w:rPr>
        <w:t>Olpha</w:t>
      </w:r>
      <w:r w:rsidRPr="00350BD0">
        <w:rPr>
          <w:rFonts w:ascii="Times New Roman" w:eastAsia="Times New Roman" w:hAnsi="Times New Roman" w:cs="Times New Roman"/>
          <w:b/>
          <w:snapToGrid w:val="0"/>
          <w:szCs w:val="20"/>
        </w:rPr>
        <w:t xml:space="preserve"> </w:t>
      </w:r>
      <w:r w:rsidRPr="00350BD0">
        <w:rPr>
          <w:rFonts w:ascii="Times New Roman" w:eastAsia="Times New Roman" w:hAnsi="Times New Roman" w:cs="Times New Roman"/>
          <w:snapToGrid w:val="0"/>
          <w:szCs w:val="20"/>
        </w:rPr>
        <w:t>vartojančių vyrų spermoje. Jeigu Jūsų partnerė yra arba gali būti nėščia, turite apsaugoti ją nuo Jūsų spermos patekimo į jos organizmą.</w:t>
      </w:r>
    </w:p>
    <w:p w14:paraId="1A2EB54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0CEE2710" w14:textId="3E2B5452" w:rsidR="00350BD0" w:rsidRPr="00350BD0" w:rsidRDefault="00350BD0" w:rsidP="00350BD0">
      <w:pPr>
        <w:tabs>
          <w:tab w:val="left" w:pos="567"/>
        </w:tabs>
        <w:spacing w:after="0" w:line="240" w:lineRule="auto"/>
        <w:contextualSpacing/>
        <w:outlineLvl w:val="0"/>
        <w:rPr>
          <w:rFonts w:ascii="Wingdings" w:eastAsia="Times New Roman" w:hAnsi="Wingdings" w:cs="Wingdings"/>
          <w:snapToGrid w:val="0"/>
          <w:color w:val="000000"/>
          <w:szCs w:val="20"/>
          <w:lang w:eastAsia="en-GB" w:bidi="or-IN"/>
        </w:rPr>
      </w:pPr>
      <w:r w:rsidRPr="00350BD0">
        <w:rPr>
          <w:rFonts w:ascii="Times New Roman" w:eastAsia="Times New Roman" w:hAnsi="Times New Roman" w:cs="Times New Roman"/>
          <w:snapToGrid w:val="0"/>
          <w:szCs w:val="20"/>
        </w:rPr>
        <w:t xml:space="preserve">Nustatyta, kad Dutasteride/Tamsulosin </w:t>
      </w:r>
      <w:r w:rsidR="00AC240B">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mažina spermatozoidų kiekį, spermos tūrį ir spermatozoidų judrumą. Dėl to gali sumažėti vyrų vaisingumas.</w:t>
      </w:r>
    </w:p>
    <w:p w14:paraId="275D4D5B" w14:textId="1F4EA89B" w:rsidR="00350BD0" w:rsidRPr="00350BD0" w:rsidRDefault="00350BD0" w:rsidP="00350BD0">
      <w:pPr>
        <w:tabs>
          <w:tab w:val="left" w:pos="567"/>
        </w:tabs>
        <w:spacing w:after="0" w:line="240" w:lineRule="auto"/>
        <w:ind w:left="567" w:hanging="567"/>
        <w:contextualSpacing/>
        <w:outlineLvl w:val="0"/>
        <w:rPr>
          <w:rFonts w:ascii="Times New Roman" w:eastAsia="Times New Roman" w:hAnsi="Times New Roman" w:cs="Times New Roman"/>
          <w:snapToGrid w:val="0"/>
          <w:szCs w:val="20"/>
        </w:rPr>
      </w:pP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Times New Roman" w:eastAsia="Times New Roman" w:hAnsi="Times New Roman" w:cs="Times New Roman"/>
          <w:snapToGrid w:val="0"/>
          <w:szCs w:val="20"/>
        </w:rPr>
        <w:t xml:space="preserve">Jeigu moteris nėštumo metu buvo paveikta Dutasteride/Tamsulosin </w:t>
      </w:r>
      <w:r w:rsidR="00AC240B">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b/>
          <w:snapToGrid w:val="0"/>
          <w:szCs w:val="20"/>
        </w:rPr>
        <w:t xml:space="preserve"> kreipkitės į savo gydytoją</w:t>
      </w:r>
      <w:r w:rsidRPr="00350BD0">
        <w:rPr>
          <w:rFonts w:ascii="Times New Roman" w:eastAsia="Times New Roman" w:hAnsi="Times New Roman" w:cs="Times New Roman"/>
          <w:snapToGrid w:val="0"/>
          <w:szCs w:val="20"/>
        </w:rPr>
        <w:t>.</w:t>
      </w:r>
    </w:p>
    <w:p w14:paraId="416D6CE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p>
    <w:p w14:paraId="1DF7D9B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Vairavimas ir mechanizmų valdymas</w:t>
      </w:r>
    </w:p>
    <w:p w14:paraId="48694994" w14:textId="27A6FB7B" w:rsidR="00350BD0" w:rsidRPr="00350BD0" w:rsidRDefault="00350BD0" w:rsidP="00350BD0">
      <w:pPr>
        <w:tabs>
          <w:tab w:val="left" w:pos="567"/>
        </w:tabs>
        <w:spacing w:after="0" w:line="240" w:lineRule="auto"/>
        <w:contextualSpacing/>
        <w:outlineLvl w:val="0"/>
        <w:rPr>
          <w:rFonts w:ascii="Wingdings" w:eastAsia="Times New Roman" w:hAnsi="Wingdings" w:cs="Wingdings"/>
          <w:snapToGrid w:val="0"/>
          <w:color w:val="000000"/>
          <w:szCs w:val="20"/>
          <w:lang w:eastAsia="en-GB" w:bidi="or-IN"/>
        </w:rPr>
      </w:pPr>
      <w:r w:rsidRPr="00350BD0">
        <w:rPr>
          <w:rFonts w:ascii="Times New Roman" w:eastAsia="Times New Roman" w:hAnsi="Times New Roman" w:cs="Times New Roman"/>
          <w:snapToGrid w:val="0"/>
          <w:szCs w:val="20"/>
        </w:rPr>
        <w:t xml:space="preserve">Dutasteride/Tamsulosin </w:t>
      </w:r>
      <w:r w:rsidR="00AC240B">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kai kuriems žmonėms gali sukelti svaigulį, todėl tai gali paveikti Jūsų gebėjimą saugiai vairuoti ar valdyti mechanizmus.</w:t>
      </w:r>
    </w:p>
    <w:p w14:paraId="0A38A0C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Times New Roman" w:eastAsia="Times New Roman" w:hAnsi="Times New Roman" w:cs="Times New Roman"/>
          <w:snapToGrid w:val="0"/>
          <w:szCs w:val="20"/>
        </w:rPr>
        <w:t>Jeigu jaučiatės paveikti tokiu būdu,</w:t>
      </w:r>
      <w:r w:rsidRPr="00350BD0">
        <w:rPr>
          <w:rFonts w:ascii="Times New Roman" w:eastAsia="Times New Roman" w:hAnsi="Times New Roman" w:cs="Times New Roman"/>
          <w:b/>
          <w:snapToGrid w:val="0"/>
          <w:szCs w:val="20"/>
        </w:rPr>
        <w:t xml:space="preserve"> vairuoti ir valdyti mechanizmų negalima</w:t>
      </w:r>
      <w:r w:rsidRPr="00350BD0">
        <w:rPr>
          <w:rFonts w:ascii="Times New Roman" w:eastAsia="Times New Roman" w:hAnsi="Times New Roman" w:cs="Times New Roman"/>
          <w:snapToGrid w:val="0"/>
          <w:szCs w:val="20"/>
        </w:rPr>
        <w:t>.</w:t>
      </w:r>
    </w:p>
    <w:p w14:paraId="397C253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p>
    <w:p w14:paraId="6AABA629" w14:textId="4C0A67DD"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bCs/>
          <w:snapToGrid w:val="0"/>
          <w:szCs w:val="20"/>
        </w:rPr>
        <w:t xml:space="preserve">Dutasteride/Tamsulosin </w:t>
      </w:r>
      <w:r w:rsidR="00AC240B">
        <w:rPr>
          <w:rFonts w:ascii="Times New Roman" w:eastAsia="Times New Roman" w:hAnsi="Times New Roman" w:cs="Times New Roman"/>
          <w:b/>
          <w:bCs/>
          <w:snapToGrid w:val="0"/>
          <w:szCs w:val="20"/>
        </w:rPr>
        <w:t>Olpha</w:t>
      </w:r>
      <w:r w:rsidRPr="00350BD0">
        <w:rPr>
          <w:rFonts w:ascii="Times New Roman" w:eastAsia="Times New Roman" w:hAnsi="Times New Roman" w:cs="Times New Roman"/>
          <w:b/>
          <w:snapToGrid w:val="0"/>
          <w:szCs w:val="20"/>
        </w:rPr>
        <w:t xml:space="preserve"> sudėtyje yra sojų lecitino, propilenglikolio ir natrio</w:t>
      </w:r>
    </w:p>
    <w:p w14:paraId="5612592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Šio vaisto sudėtyje yra </w:t>
      </w:r>
      <w:r w:rsidRPr="00350BD0">
        <w:rPr>
          <w:rFonts w:ascii="Times New Roman" w:eastAsia="Times New Roman" w:hAnsi="Times New Roman" w:cs="Times New Roman"/>
          <w:bCs/>
          <w:snapToGrid w:val="0"/>
          <w:szCs w:val="20"/>
        </w:rPr>
        <w:t>sojų lecitino, kuriame gali būti sojų aliejaus.</w:t>
      </w:r>
      <w:r w:rsidRPr="00350BD0">
        <w:rPr>
          <w:rFonts w:ascii="Times New Roman" w:eastAsia="Times New Roman" w:hAnsi="Times New Roman" w:cs="Times New Roman"/>
          <w:snapToGrid w:val="0"/>
          <w:szCs w:val="20"/>
        </w:rPr>
        <w:t xml:space="preserve"> Jei esate alergiškas žemės riešutams arba sojai, Jums šio vaisto vartoti negalima.</w:t>
      </w:r>
    </w:p>
    <w:p w14:paraId="18F3C48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Šio vaisto vienoje kapsulėje yra mažiau kaip 1 mmol (23 mg) natrio, t. y. jis beveik neturi reikšmės.</w:t>
      </w:r>
    </w:p>
    <w:p w14:paraId="5AC6425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Kiekvienoje šio vaisto kapsulėje yra 299 mg propilenglikolio.</w:t>
      </w:r>
    </w:p>
    <w:p w14:paraId="02EB9CE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23F03F70"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52BE7186" w14:textId="463F5C61" w:rsidR="00350BD0" w:rsidRPr="00350BD0" w:rsidRDefault="00350BD0" w:rsidP="00350BD0">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lastRenderedPageBreak/>
        <w:t>3.</w:t>
      </w:r>
      <w:r w:rsidRPr="00350BD0">
        <w:rPr>
          <w:rFonts w:ascii="Times New Roman" w:eastAsia="Times New Roman" w:hAnsi="Times New Roman" w:cs="Times New Roman"/>
          <w:b/>
          <w:bCs/>
          <w:snapToGrid w:val="0"/>
          <w:lang w:eastAsia="x-none"/>
        </w:rPr>
        <w:tab/>
        <w:t xml:space="preserve">Kaip vartoti Dutasteride/Tamsulosin </w:t>
      </w:r>
      <w:r w:rsidR="00AC240B">
        <w:rPr>
          <w:rFonts w:ascii="Times New Roman" w:eastAsia="Times New Roman" w:hAnsi="Times New Roman" w:cs="Times New Roman"/>
          <w:b/>
          <w:bCs/>
          <w:snapToGrid w:val="0"/>
          <w:lang w:eastAsia="x-none"/>
        </w:rPr>
        <w:t>Olpha</w:t>
      </w:r>
    </w:p>
    <w:p w14:paraId="6F15F73F" w14:textId="77777777" w:rsidR="00350BD0" w:rsidRPr="00350BD0" w:rsidRDefault="00350BD0" w:rsidP="00350BD0">
      <w:pPr>
        <w:keepNext/>
        <w:keepLines/>
        <w:numPr>
          <w:ilvl w:val="12"/>
          <w:numId w:val="0"/>
        </w:numPr>
        <w:spacing w:after="0" w:line="240" w:lineRule="auto"/>
        <w:ind w:right="-2"/>
        <w:rPr>
          <w:rFonts w:ascii="Times New Roman" w:eastAsia="Times New Roman" w:hAnsi="Times New Roman" w:cs="Times New Roman"/>
          <w:snapToGrid w:val="0"/>
        </w:rPr>
      </w:pPr>
    </w:p>
    <w:p w14:paraId="38BB165C" w14:textId="07C7DFF1" w:rsidR="00350BD0" w:rsidRPr="00350BD0" w:rsidRDefault="00350BD0" w:rsidP="00350BD0">
      <w:pPr>
        <w:keepNext/>
        <w:keepLines/>
        <w:numPr>
          <w:ilvl w:val="12"/>
          <w:numId w:val="0"/>
        </w:numPr>
        <w:spacing w:after="0" w:line="240" w:lineRule="auto"/>
        <w:ind w:right="-2"/>
        <w:rPr>
          <w:rFonts w:ascii="Times New Roman" w:eastAsia="Times New Roman" w:hAnsi="Times New Roman" w:cs="Times New Roman"/>
          <w:snapToGrid w:val="0"/>
          <w:szCs w:val="20"/>
        </w:rPr>
      </w:pPr>
      <w:r w:rsidRPr="00350BD0">
        <w:rPr>
          <w:rFonts w:ascii="Times New Roman" w:eastAsia="Times New Roman" w:hAnsi="Times New Roman" w:cs="Times New Roman"/>
          <w:b/>
          <w:bCs/>
          <w:snapToGrid w:val="0"/>
        </w:rPr>
        <w:t xml:space="preserve">Visada vartokite </w:t>
      </w:r>
      <w:r w:rsidRPr="00350BD0">
        <w:rPr>
          <w:rFonts w:ascii="Times New Roman" w:eastAsia="Times New Roman" w:hAnsi="Times New Roman" w:cs="Times New Roman"/>
          <w:b/>
          <w:bCs/>
          <w:snapToGrid w:val="0"/>
          <w:szCs w:val="20"/>
        </w:rPr>
        <w:t xml:space="preserve">Dutasteride/Tamsulosin </w:t>
      </w:r>
      <w:r w:rsidR="00AC240B">
        <w:rPr>
          <w:rFonts w:ascii="Times New Roman" w:eastAsia="Times New Roman" w:hAnsi="Times New Roman" w:cs="Times New Roman"/>
          <w:b/>
          <w:bCs/>
          <w:snapToGrid w:val="0"/>
          <w:szCs w:val="20"/>
        </w:rPr>
        <w:t>Olpha</w:t>
      </w:r>
      <w:r w:rsidRPr="00350BD0">
        <w:rPr>
          <w:rFonts w:ascii="Times New Roman" w:eastAsia="Times New Roman" w:hAnsi="Times New Roman" w:cs="Times New Roman"/>
          <w:b/>
          <w:bCs/>
          <w:snapToGrid w:val="0"/>
          <w:szCs w:val="20"/>
        </w:rPr>
        <w:t xml:space="preserve"> </w:t>
      </w:r>
      <w:r w:rsidRPr="00350BD0">
        <w:rPr>
          <w:rFonts w:ascii="Times New Roman" w:eastAsia="Times New Roman" w:hAnsi="Times New Roman" w:cs="Times New Roman"/>
          <w:b/>
          <w:bCs/>
          <w:snapToGrid w:val="0"/>
        </w:rPr>
        <w:t xml:space="preserve">tiksliai kaip nurodė gydytojas arba vaistininkas. </w:t>
      </w:r>
      <w:r w:rsidRPr="00350BD0">
        <w:rPr>
          <w:rFonts w:ascii="Times New Roman" w:eastAsia="Times New Roman" w:hAnsi="Times New Roman" w:cs="Times New Roman"/>
          <w:snapToGrid w:val="0"/>
          <w:szCs w:val="20"/>
        </w:rPr>
        <w:t>Jeigu vaistą vartosite nereguliariai, tai gali paveikti PSA koncentracijos stebėjimą. Jeigu abejojate, kreipkitės į savo gydytoją arba vaistininką.</w:t>
      </w:r>
    </w:p>
    <w:p w14:paraId="7C55A59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7CBF1182" w14:textId="77777777" w:rsidR="00350BD0" w:rsidRPr="00350BD0" w:rsidRDefault="00350BD0" w:rsidP="00350BD0">
      <w:pPr>
        <w:keepNext/>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Kiek kapsulių gerti</w:t>
      </w:r>
    </w:p>
    <w:p w14:paraId="490F9F2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Rekomenduojama dozė yra po vieną kapsulę vieną kartą per parą kiekvieną dieną, praėjus 30 minučių po tokio pat maisto pavalgymo.</w:t>
      </w:r>
    </w:p>
    <w:p w14:paraId="7758E5B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287296A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Kaip gerti kapsules</w:t>
      </w:r>
    </w:p>
    <w:p w14:paraId="4F0B06A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 xml:space="preserve">Reikia nuryti visą kapsulę užgeriant vandeniu. </w:t>
      </w:r>
      <w:r w:rsidRPr="00350BD0">
        <w:rPr>
          <w:rFonts w:ascii="Times New Roman" w:eastAsia="Times New Roman" w:hAnsi="Times New Roman" w:cs="Times New Roman"/>
          <w:snapToGrid w:val="0"/>
          <w:szCs w:val="20"/>
        </w:rPr>
        <w:t>Kapsulės negalima kramtyti ar atidaryti. Dėl kontakto su kapsulės turiniu gali skaudėti burną arba gerklę.</w:t>
      </w:r>
    </w:p>
    <w:p w14:paraId="750AD0B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3AF4ED98" w14:textId="19E6C6D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 xml:space="preserve">Ką daryti pavartojus per didelę </w:t>
      </w:r>
      <w:r w:rsidRPr="00350BD0">
        <w:rPr>
          <w:rFonts w:ascii="Times New Roman" w:eastAsia="Times New Roman" w:hAnsi="Times New Roman" w:cs="Times New Roman"/>
          <w:b/>
          <w:bCs/>
          <w:snapToGrid w:val="0"/>
          <w:szCs w:val="20"/>
        </w:rPr>
        <w:t xml:space="preserve">Dutasteride/Tamsulosin </w:t>
      </w:r>
      <w:r w:rsidR="00AC240B">
        <w:rPr>
          <w:rFonts w:ascii="Times New Roman" w:eastAsia="Times New Roman" w:hAnsi="Times New Roman" w:cs="Times New Roman"/>
          <w:b/>
          <w:bCs/>
          <w:snapToGrid w:val="0"/>
          <w:szCs w:val="20"/>
        </w:rPr>
        <w:t>Olpha</w:t>
      </w:r>
      <w:r w:rsidRPr="00350BD0">
        <w:rPr>
          <w:rFonts w:ascii="Times New Roman" w:eastAsia="Times New Roman" w:hAnsi="Times New Roman" w:cs="Times New Roman"/>
          <w:b/>
          <w:bCs/>
          <w:snapToGrid w:val="0"/>
          <w:szCs w:val="20"/>
        </w:rPr>
        <w:t xml:space="preserve"> </w:t>
      </w:r>
      <w:r w:rsidRPr="00350BD0">
        <w:rPr>
          <w:rFonts w:ascii="Times New Roman" w:eastAsia="Times New Roman" w:hAnsi="Times New Roman" w:cs="Times New Roman"/>
          <w:b/>
          <w:snapToGrid w:val="0"/>
          <w:szCs w:val="20"/>
        </w:rPr>
        <w:t>dozę?</w:t>
      </w:r>
    </w:p>
    <w:p w14:paraId="614BAB38" w14:textId="4566F8FA"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Jeigu išgėrėte per daug Dutasteride/Tamsulosin </w:t>
      </w:r>
      <w:r w:rsidR="00AC240B">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kapsulių, kreipkitės į gydytoją arba vaistininką.</w:t>
      </w:r>
    </w:p>
    <w:p w14:paraId="2EF47CB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7461CF4C" w14:textId="1A6A649E" w:rsidR="00350BD0" w:rsidRPr="00350BD0" w:rsidRDefault="00350BD0" w:rsidP="00350BD0">
      <w:pPr>
        <w:keepNext/>
        <w:tabs>
          <w:tab w:val="left" w:pos="567"/>
        </w:tabs>
        <w:spacing w:after="0" w:line="260" w:lineRule="exact"/>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 xml:space="preserve">Pamiršus pavartoti </w:t>
      </w:r>
      <w:r w:rsidRPr="00350BD0">
        <w:rPr>
          <w:rFonts w:ascii="Times New Roman" w:eastAsia="Times New Roman" w:hAnsi="Times New Roman" w:cs="Times New Roman"/>
          <w:b/>
          <w:bCs/>
          <w:snapToGrid w:val="0"/>
          <w:szCs w:val="20"/>
        </w:rPr>
        <w:t xml:space="preserve">Dutasteride/Tamsulosin </w:t>
      </w:r>
      <w:r w:rsidR="00AC240B">
        <w:rPr>
          <w:rFonts w:ascii="Times New Roman" w:eastAsia="Times New Roman" w:hAnsi="Times New Roman" w:cs="Times New Roman"/>
          <w:b/>
          <w:bCs/>
          <w:snapToGrid w:val="0"/>
          <w:szCs w:val="20"/>
        </w:rPr>
        <w:t>Olpha</w:t>
      </w:r>
    </w:p>
    <w:p w14:paraId="675A8DB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Negalima vartoti dvigubos dozės, norint kompensuoti praleistą dozę. Paprasčiausiai išgerkite kitą dozę įprastu laiku.</w:t>
      </w:r>
    </w:p>
    <w:p w14:paraId="17FCAB0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533A3928" w14:textId="7EA2B40C"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bCs/>
          <w:snapToGrid w:val="0"/>
          <w:szCs w:val="20"/>
        </w:rPr>
        <w:t xml:space="preserve">Dutasteride/Tamsulosin </w:t>
      </w:r>
      <w:r w:rsidR="00AC240B">
        <w:rPr>
          <w:rFonts w:ascii="Times New Roman" w:eastAsia="Times New Roman" w:hAnsi="Times New Roman" w:cs="Times New Roman"/>
          <w:b/>
          <w:bCs/>
          <w:snapToGrid w:val="0"/>
          <w:szCs w:val="20"/>
        </w:rPr>
        <w:t>Olpha</w:t>
      </w:r>
      <w:r w:rsidRPr="00350BD0">
        <w:rPr>
          <w:rFonts w:ascii="Times New Roman" w:eastAsia="Times New Roman" w:hAnsi="Times New Roman" w:cs="Times New Roman"/>
          <w:b/>
          <w:snapToGrid w:val="0"/>
          <w:szCs w:val="20"/>
        </w:rPr>
        <w:t xml:space="preserve"> vartojimo nutraukti negalima nepasitarus</w:t>
      </w:r>
    </w:p>
    <w:p w14:paraId="7BAF98E8" w14:textId="42E22878"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snapToGrid w:val="0"/>
          <w:szCs w:val="20"/>
        </w:rPr>
        <w:t xml:space="preserve">Nenutraukite Dutasteride/Tamsulosin </w:t>
      </w:r>
      <w:r w:rsidR="00AC240B">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vartojimo prieš tai nepasitarę su gydytoju.</w:t>
      </w:r>
    </w:p>
    <w:p w14:paraId="1A89F345" w14:textId="77777777" w:rsidR="00350BD0" w:rsidRPr="00350BD0" w:rsidRDefault="00350BD0" w:rsidP="00350BD0">
      <w:pPr>
        <w:numPr>
          <w:ilvl w:val="12"/>
          <w:numId w:val="0"/>
        </w:numPr>
        <w:spacing w:after="0" w:line="240" w:lineRule="auto"/>
        <w:ind w:right="-29"/>
        <w:rPr>
          <w:rFonts w:ascii="Times New Roman" w:eastAsia="Times New Roman" w:hAnsi="Times New Roman" w:cs="Times New Roman"/>
          <w:snapToGrid w:val="0"/>
        </w:rPr>
      </w:pPr>
    </w:p>
    <w:p w14:paraId="394662A0" w14:textId="77777777" w:rsidR="00350BD0" w:rsidRPr="00350BD0" w:rsidRDefault="00350BD0" w:rsidP="00350BD0">
      <w:pPr>
        <w:numPr>
          <w:ilvl w:val="12"/>
          <w:numId w:val="0"/>
        </w:numPr>
        <w:spacing w:after="0" w:line="240" w:lineRule="auto"/>
        <w:ind w:right="-29"/>
        <w:rPr>
          <w:rFonts w:ascii="Times New Roman" w:eastAsia="Times New Roman" w:hAnsi="Times New Roman" w:cs="Times New Roman"/>
          <w:snapToGrid w:val="0"/>
        </w:rPr>
      </w:pPr>
      <w:r w:rsidRPr="00350BD0">
        <w:rPr>
          <w:rFonts w:ascii="Times New Roman" w:eastAsia="Times New Roman" w:hAnsi="Times New Roman" w:cs="Times New Roman"/>
          <w:snapToGrid w:val="0"/>
        </w:rPr>
        <w:t>Jeigu kiltų daugiau klausimų dėl šio vaisto vartojimo, kreipkitės į gydytoją arba vaistininką.</w:t>
      </w:r>
    </w:p>
    <w:p w14:paraId="5C4275AE" w14:textId="77777777" w:rsidR="00350BD0" w:rsidRPr="00350BD0" w:rsidRDefault="00350BD0" w:rsidP="00350BD0">
      <w:pPr>
        <w:numPr>
          <w:ilvl w:val="12"/>
          <w:numId w:val="0"/>
        </w:numPr>
        <w:spacing w:after="0" w:line="240" w:lineRule="auto"/>
        <w:rPr>
          <w:rFonts w:ascii="Times New Roman" w:eastAsia="Times New Roman" w:hAnsi="Times New Roman" w:cs="Times New Roman"/>
          <w:snapToGrid w:val="0"/>
        </w:rPr>
      </w:pPr>
    </w:p>
    <w:p w14:paraId="7CA98114" w14:textId="77777777" w:rsidR="00350BD0" w:rsidRPr="00350BD0" w:rsidRDefault="00350BD0" w:rsidP="00350BD0">
      <w:pPr>
        <w:numPr>
          <w:ilvl w:val="12"/>
          <w:numId w:val="0"/>
        </w:numPr>
        <w:spacing w:after="0" w:line="240" w:lineRule="auto"/>
        <w:rPr>
          <w:rFonts w:ascii="Times New Roman" w:eastAsia="Times New Roman" w:hAnsi="Times New Roman" w:cs="Times New Roman"/>
          <w:snapToGrid w:val="0"/>
        </w:rPr>
      </w:pPr>
    </w:p>
    <w:p w14:paraId="0DC9D98D" w14:textId="77777777" w:rsidR="00350BD0" w:rsidRPr="00350BD0" w:rsidRDefault="00350BD0" w:rsidP="00350BD0">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4.</w:t>
      </w:r>
      <w:r w:rsidRPr="00350BD0">
        <w:rPr>
          <w:rFonts w:ascii="Times New Roman" w:eastAsia="Times New Roman" w:hAnsi="Times New Roman" w:cs="Times New Roman"/>
          <w:b/>
          <w:bCs/>
          <w:snapToGrid w:val="0"/>
          <w:lang w:eastAsia="x-none"/>
        </w:rPr>
        <w:tab/>
        <w:t>Galimas šalutinis poveikis</w:t>
      </w:r>
    </w:p>
    <w:p w14:paraId="13AB9E50" w14:textId="77777777" w:rsidR="00350BD0" w:rsidRPr="00350BD0" w:rsidRDefault="00350BD0" w:rsidP="00350BD0">
      <w:pPr>
        <w:numPr>
          <w:ilvl w:val="12"/>
          <w:numId w:val="0"/>
        </w:numPr>
        <w:spacing w:after="0" w:line="240" w:lineRule="auto"/>
        <w:rPr>
          <w:rFonts w:ascii="Times New Roman" w:eastAsia="Times New Roman" w:hAnsi="Times New Roman" w:cs="Times New Roman"/>
          <w:snapToGrid w:val="0"/>
        </w:rPr>
      </w:pPr>
    </w:p>
    <w:p w14:paraId="39E51D5B" w14:textId="77777777" w:rsidR="00350BD0" w:rsidRPr="00350BD0" w:rsidRDefault="00350BD0" w:rsidP="00350BD0">
      <w:pPr>
        <w:numPr>
          <w:ilvl w:val="12"/>
          <w:numId w:val="0"/>
        </w:numPr>
        <w:spacing w:after="0" w:line="240" w:lineRule="auto"/>
        <w:ind w:right="-29"/>
        <w:rPr>
          <w:rFonts w:ascii="Times New Roman" w:eastAsia="Times New Roman" w:hAnsi="Times New Roman" w:cs="Times New Roman"/>
          <w:b/>
          <w:bCs/>
          <w:snapToGrid w:val="0"/>
        </w:rPr>
      </w:pPr>
      <w:r w:rsidRPr="00350BD0">
        <w:rPr>
          <w:rFonts w:ascii="Times New Roman" w:eastAsia="Times New Roman" w:hAnsi="Times New Roman" w:cs="Times New Roman"/>
          <w:b/>
          <w:bCs/>
          <w:snapToGrid w:val="0"/>
        </w:rPr>
        <w:t>Šis vaistas, kaip ir visi kiti, gali sukelti šalutinį poveikį, nors jis pasireiškia ne visiems žmonėms.</w:t>
      </w:r>
    </w:p>
    <w:p w14:paraId="25A4120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2254C54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Alerginė reakcija</w:t>
      </w:r>
    </w:p>
    <w:p w14:paraId="2920FEC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Alerginės reakcijos požymiai gali būti šie:</w:t>
      </w:r>
    </w:p>
    <w:p w14:paraId="71D9C9F0" w14:textId="77777777" w:rsidR="00350BD0" w:rsidRPr="00350BD0" w:rsidRDefault="00350BD0" w:rsidP="00350BD0">
      <w:pPr>
        <w:numPr>
          <w:ilvl w:val="0"/>
          <w:numId w:val="9"/>
        </w:numPr>
        <w:tabs>
          <w:tab w:val="clear" w:pos="360"/>
          <w:tab w:val="num"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 xml:space="preserve">odos išbėrimas </w:t>
      </w:r>
      <w:r w:rsidRPr="00350BD0">
        <w:rPr>
          <w:rFonts w:ascii="Times New Roman" w:eastAsia="Times New Roman" w:hAnsi="Times New Roman" w:cs="Times New Roman"/>
          <w:snapToGrid w:val="0"/>
          <w:szCs w:val="20"/>
        </w:rPr>
        <w:t>(kuris gali niežėti);</w:t>
      </w:r>
    </w:p>
    <w:p w14:paraId="4B24F340" w14:textId="77777777" w:rsidR="00350BD0" w:rsidRPr="00350BD0" w:rsidRDefault="00350BD0" w:rsidP="00350BD0">
      <w:pPr>
        <w:numPr>
          <w:ilvl w:val="0"/>
          <w:numId w:val="9"/>
        </w:numPr>
        <w:tabs>
          <w:tab w:val="clear" w:pos="360"/>
          <w:tab w:val="num" w:pos="567"/>
        </w:tabs>
        <w:spacing w:after="0" w:line="240" w:lineRule="auto"/>
        <w:contextualSpacing/>
        <w:outlineLvl w:val="0"/>
        <w:rPr>
          <w:rFonts w:ascii="Times New Roman" w:eastAsia="Times New Roman" w:hAnsi="Times New Roman" w:cs="Times New Roman"/>
          <w:bCs/>
          <w:snapToGrid w:val="0"/>
          <w:szCs w:val="20"/>
        </w:rPr>
      </w:pPr>
      <w:r w:rsidRPr="00350BD0">
        <w:rPr>
          <w:rFonts w:ascii="Times New Roman" w:eastAsia="Times New Roman" w:hAnsi="Times New Roman" w:cs="Times New Roman"/>
          <w:b/>
          <w:snapToGrid w:val="0"/>
          <w:szCs w:val="20"/>
        </w:rPr>
        <w:t>dilgėlinė</w:t>
      </w:r>
      <w:r w:rsidRPr="00350BD0">
        <w:rPr>
          <w:rFonts w:ascii="Times New Roman" w:eastAsia="Times New Roman" w:hAnsi="Times New Roman" w:cs="Times New Roman"/>
          <w:bCs/>
          <w:snapToGrid w:val="0"/>
          <w:szCs w:val="20"/>
        </w:rPr>
        <w:t xml:space="preserve"> (panašus į dilgėlių sukeltą bėrimą);</w:t>
      </w:r>
    </w:p>
    <w:p w14:paraId="6394A9DA" w14:textId="77777777" w:rsidR="00350BD0" w:rsidRPr="00350BD0" w:rsidRDefault="00350BD0" w:rsidP="00350BD0">
      <w:pPr>
        <w:numPr>
          <w:ilvl w:val="0"/>
          <w:numId w:val="9"/>
        </w:numPr>
        <w:tabs>
          <w:tab w:val="clear" w:pos="360"/>
          <w:tab w:val="num"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akių vokų, veido, lūpų, rankų ar kojų patinimas.</w:t>
      </w:r>
    </w:p>
    <w:p w14:paraId="5944F499" w14:textId="79376406" w:rsidR="00350BD0" w:rsidRPr="00350BD0" w:rsidRDefault="00350BD0" w:rsidP="00350BD0">
      <w:pPr>
        <w:tabs>
          <w:tab w:val="left" w:pos="567"/>
        </w:tabs>
        <w:spacing w:after="0" w:line="240" w:lineRule="auto"/>
        <w:ind w:left="567" w:hanging="567"/>
        <w:contextualSpacing/>
        <w:outlineLvl w:val="0"/>
        <w:rPr>
          <w:rFonts w:ascii="Times New Roman" w:eastAsia="Times New Roman" w:hAnsi="Times New Roman" w:cs="Times New Roman"/>
          <w:snapToGrid w:val="0"/>
          <w:szCs w:val="20"/>
        </w:rPr>
      </w:pP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Times New Roman" w:eastAsia="Times New Roman" w:hAnsi="Times New Roman" w:cs="Times New Roman"/>
          <w:snapToGrid w:val="0"/>
          <w:szCs w:val="20"/>
        </w:rPr>
        <w:t>Jeigu Jums pasireiškė kuris nors iš šių simptomų,</w:t>
      </w:r>
      <w:r w:rsidRPr="00350BD0">
        <w:rPr>
          <w:rFonts w:ascii="Times New Roman" w:eastAsia="Times New Roman" w:hAnsi="Times New Roman" w:cs="Times New Roman"/>
          <w:b/>
          <w:snapToGrid w:val="0"/>
          <w:szCs w:val="20"/>
        </w:rPr>
        <w:t xml:space="preserve"> nedelsdami kreipkitės į savo gydytoją</w:t>
      </w:r>
      <w:r w:rsidRPr="00350BD0">
        <w:rPr>
          <w:rFonts w:ascii="Times New Roman" w:eastAsia="Times New Roman" w:hAnsi="Times New Roman" w:cs="Times New Roman"/>
          <w:snapToGrid w:val="0"/>
          <w:szCs w:val="20"/>
        </w:rPr>
        <w:t xml:space="preserve"> ir </w:t>
      </w:r>
      <w:r w:rsidRPr="00350BD0">
        <w:rPr>
          <w:rFonts w:ascii="Times New Roman" w:eastAsia="Times New Roman" w:hAnsi="Times New Roman" w:cs="Times New Roman"/>
          <w:b/>
          <w:snapToGrid w:val="0"/>
          <w:szCs w:val="20"/>
        </w:rPr>
        <w:t xml:space="preserve">nutraukite </w:t>
      </w:r>
      <w:r w:rsidRPr="00350BD0">
        <w:rPr>
          <w:rFonts w:ascii="Times New Roman" w:eastAsia="Times New Roman" w:hAnsi="Times New Roman" w:cs="Times New Roman"/>
          <w:b/>
          <w:bCs/>
          <w:snapToGrid w:val="0"/>
          <w:szCs w:val="20"/>
        </w:rPr>
        <w:t xml:space="preserve">Dutasteride/Tamsulosin </w:t>
      </w:r>
      <w:r w:rsidR="00AC240B">
        <w:rPr>
          <w:rFonts w:ascii="Times New Roman" w:eastAsia="Times New Roman" w:hAnsi="Times New Roman" w:cs="Times New Roman"/>
          <w:b/>
          <w:bCs/>
          <w:snapToGrid w:val="0"/>
          <w:szCs w:val="20"/>
        </w:rPr>
        <w:t>Olpha</w:t>
      </w:r>
      <w:r w:rsidRPr="00350BD0">
        <w:rPr>
          <w:rFonts w:ascii="Times New Roman" w:eastAsia="Times New Roman" w:hAnsi="Times New Roman" w:cs="Times New Roman"/>
          <w:b/>
          <w:snapToGrid w:val="0"/>
          <w:szCs w:val="20"/>
        </w:rPr>
        <w:t xml:space="preserve"> vartojimą.</w:t>
      </w:r>
    </w:p>
    <w:p w14:paraId="45687AB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p>
    <w:p w14:paraId="5438458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Svaigulys, galvos sukimasis ir apalpimas</w:t>
      </w:r>
    </w:p>
    <w:p w14:paraId="0DD0025F" w14:textId="5D05319D"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Dutasteride/Tamsulosin </w:t>
      </w:r>
      <w:r w:rsidR="00AC240B">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gali sukelti svaigulį, galvos sukimąsi ir retais atvejais apalpimą. Būkite atsargūs atsistodami iš gulimos ar sėdimos padėties, ypač atsibudę naktį, kol nežinote, kaip vaistas Jus veikia. Jeigu jaučiate svaigulį arba galvos sukimąsi bet kuriuo gydymo laikotarpiu, </w:t>
      </w:r>
      <w:r w:rsidRPr="00350BD0">
        <w:rPr>
          <w:rFonts w:ascii="Times New Roman" w:eastAsia="Times New Roman" w:hAnsi="Times New Roman" w:cs="Times New Roman"/>
          <w:b/>
          <w:snapToGrid w:val="0"/>
          <w:szCs w:val="20"/>
        </w:rPr>
        <w:t>pasėdėkite arba pagulėkite, kol simptomai praeis</w:t>
      </w:r>
      <w:r w:rsidRPr="00350BD0">
        <w:rPr>
          <w:rFonts w:ascii="Times New Roman" w:eastAsia="Times New Roman" w:hAnsi="Times New Roman" w:cs="Times New Roman"/>
          <w:snapToGrid w:val="0"/>
          <w:szCs w:val="20"/>
        </w:rPr>
        <w:t>.</w:t>
      </w:r>
    </w:p>
    <w:p w14:paraId="7FF79E1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5978152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Sunkios odos reakcijos</w:t>
      </w:r>
    </w:p>
    <w:p w14:paraId="6ED008F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Sunkios odos reakcijos požymiai gali būti:</w:t>
      </w:r>
    </w:p>
    <w:p w14:paraId="3DF5452C"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056B879F" w14:textId="77777777" w:rsidR="00350BD0" w:rsidRPr="00350BD0" w:rsidRDefault="00350BD0" w:rsidP="00350BD0">
      <w:pPr>
        <w:numPr>
          <w:ilvl w:val="0"/>
          <w:numId w:val="9"/>
        </w:numPr>
        <w:tabs>
          <w:tab w:val="clear" w:pos="360"/>
          <w:tab w:val="num" w:pos="567"/>
        </w:tabs>
        <w:spacing w:after="0" w:line="240" w:lineRule="auto"/>
        <w:ind w:left="567" w:hanging="567"/>
        <w:rPr>
          <w:rFonts w:ascii="Times New Roman" w:eastAsia="Times New Roman" w:hAnsi="Times New Roman" w:cs="Times New Roman"/>
          <w:snapToGrid w:val="0"/>
          <w:szCs w:val="20"/>
        </w:rPr>
      </w:pPr>
      <w:r w:rsidRPr="00350BD0">
        <w:rPr>
          <w:rFonts w:ascii="Times New Roman" w:eastAsia="Times New Roman" w:hAnsi="Times New Roman" w:cs="Times New Roman"/>
          <w:b/>
          <w:snapToGrid w:val="0"/>
          <w:szCs w:val="20"/>
        </w:rPr>
        <w:t>išplitęs išbėrimas su pūslėmis ir odos lupimasis, ypač apie burną, nosį, akis ir lytinius organus</w:t>
      </w:r>
      <w:r w:rsidRPr="00350BD0">
        <w:rPr>
          <w:rFonts w:ascii="Times New Roman" w:eastAsia="Times New Roman" w:hAnsi="Times New Roman" w:cs="Times New Roman"/>
          <w:snapToGrid w:val="0"/>
          <w:szCs w:val="20"/>
        </w:rPr>
        <w:t xml:space="preserve"> (Stivenso-Džonsono sindromas).</w:t>
      </w:r>
    </w:p>
    <w:p w14:paraId="093EA20D" w14:textId="2B4D428E"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Wingdings" w:eastAsia="Times New Roman" w:hAnsi="Wingdings" w:cs="Wingdings"/>
          <w:snapToGrid w:val="0"/>
          <w:color w:val="000000"/>
          <w:szCs w:val="20"/>
          <w:lang w:eastAsia="en-GB" w:bidi="or-IN"/>
        </w:rPr>
        <w:t></w:t>
      </w:r>
      <w:r w:rsidRPr="00350BD0">
        <w:rPr>
          <w:rFonts w:ascii="Times New Roman" w:eastAsia="Times New Roman" w:hAnsi="Times New Roman" w:cs="Times New Roman"/>
          <w:snapToGrid w:val="0"/>
          <w:szCs w:val="20"/>
        </w:rPr>
        <w:t>Jeigu Jums pasireiškė tokie simptomai,</w:t>
      </w:r>
      <w:r w:rsidRPr="00350BD0">
        <w:rPr>
          <w:rFonts w:ascii="Times New Roman" w:eastAsia="Times New Roman" w:hAnsi="Times New Roman" w:cs="Times New Roman"/>
          <w:b/>
          <w:snapToGrid w:val="0"/>
          <w:szCs w:val="20"/>
        </w:rPr>
        <w:t xml:space="preserve"> nedelsdami kreipkitės į gydytoją</w:t>
      </w:r>
      <w:r w:rsidRPr="00350BD0">
        <w:rPr>
          <w:rFonts w:ascii="Times New Roman" w:eastAsia="Times New Roman" w:hAnsi="Times New Roman" w:cs="Times New Roman"/>
          <w:snapToGrid w:val="0"/>
          <w:szCs w:val="20"/>
        </w:rPr>
        <w:t xml:space="preserve"> ir </w:t>
      </w:r>
      <w:r w:rsidRPr="00350BD0">
        <w:rPr>
          <w:rFonts w:ascii="Times New Roman" w:eastAsia="Times New Roman" w:hAnsi="Times New Roman" w:cs="Times New Roman"/>
          <w:b/>
          <w:snapToGrid w:val="0"/>
          <w:szCs w:val="20"/>
        </w:rPr>
        <w:t xml:space="preserve">nutraukite </w:t>
      </w:r>
      <w:r w:rsidRPr="00350BD0">
        <w:rPr>
          <w:rFonts w:ascii="Times New Roman" w:eastAsia="Times New Roman" w:hAnsi="Times New Roman" w:cs="Times New Roman"/>
          <w:b/>
          <w:bCs/>
          <w:snapToGrid w:val="0"/>
          <w:szCs w:val="20"/>
        </w:rPr>
        <w:t xml:space="preserve">Dutasteride/Tamsulosin </w:t>
      </w:r>
      <w:r w:rsidR="00AC240B">
        <w:rPr>
          <w:rFonts w:ascii="Times New Roman" w:eastAsia="Times New Roman" w:hAnsi="Times New Roman" w:cs="Times New Roman"/>
          <w:b/>
          <w:bCs/>
          <w:snapToGrid w:val="0"/>
          <w:szCs w:val="20"/>
        </w:rPr>
        <w:t>Olpha</w:t>
      </w:r>
      <w:r w:rsidRPr="00350BD0">
        <w:rPr>
          <w:rFonts w:ascii="Times New Roman" w:eastAsia="Times New Roman" w:hAnsi="Times New Roman" w:cs="Times New Roman"/>
          <w:b/>
          <w:snapToGrid w:val="0"/>
          <w:szCs w:val="20"/>
        </w:rPr>
        <w:t xml:space="preserve"> vartojimą.</w:t>
      </w:r>
    </w:p>
    <w:p w14:paraId="42DB848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p>
    <w:p w14:paraId="7A78AEB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Dažnas šalutinis poveikis</w:t>
      </w:r>
    </w:p>
    <w:p w14:paraId="02D2D994" w14:textId="4DFF185A"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Gali pasireikšti rečiau nei 1 iš 10 Dutasteride/Tamsulosin </w:t>
      </w:r>
      <w:r w:rsidR="00AC240B">
        <w:rPr>
          <w:rFonts w:ascii="Times New Roman" w:eastAsia="Times New Roman" w:hAnsi="Times New Roman" w:cs="Times New Roman"/>
          <w:snapToGrid w:val="0"/>
          <w:szCs w:val="20"/>
        </w:rPr>
        <w:t>Olpha</w:t>
      </w:r>
      <w:r w:rsidRPr="00350BD0">
        <w:rPr>
          <w:rFonts w:ascii="Times New Roman" w:eastAsia="Times New Roman" w:hAnsi="Times New Roman" w:cs="Times New Roman"/>
          <w:snapToGrid w:val="0"/>
          <w:szCs w:val="20"/>
        </w:rPr>
        <w:t xml:space="preserve"> vartojančių vyrų:</w:t>
      </w:r>
    </w:p>
    <w:p w14:paraId="6DF1C06E"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impotencija (</w:t>
      </w:r>
      <w:r w:rsidRPr="00350BD0">
        <w:rPr>
          <w:rFonts w:ascii="Times New Roman" w:eastAsia="Times New Roman" w:hAnsi="Times New Roman" w:cs="Times New Roman"/>
          <w:iCs/>
          <w:snapToGrid w:val="0"/>
          <w:szCs w:val="20"/>
        </w:rPr>
        <w:t>negalėjimas pasiekti ir išlaikyti erekciją</w:t>
      </w: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bCs/>
          <w:iCs/>
          <w:snapToGrid w:val="0"/>
          <w:szCs w:val="20"/>
          <w:vertAlign w:val="superscript"/>
        </w:rPr>
        <w:t xml:space="preserve"> *</w:t>
      </w:r>
      <w:r w:rsidRPr="00350BD0">
        <w:rPr>
          <w:rFonts w:ascii="Times New Roman" w:eastAsia="Times New Roman" w:hAnsi="Times New Roman" w:cs="Times New Roman"/>
          <w:snapToGrid w:val="0"/>
          <w:szCs w:val="20"/>
        </w:rPr>
        <w:t>;</w:t>
      </w:r>
    </w:p>
    <w:p w14:paraId="6E70289B"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lytinio potraukio (</w:t>
      </w:r>
      <w:r w:rsidRPr="00350BD0">
        <w:rPr>
          <w:rFonts w:ascii="Times New Roman" w:eastAsia="Times New Roman" w:hAnsi="Times New Roman" w:cs="Times New Roman"/>
          <w:i/>
          <w:snapToGrid w:val="0"/>
          <w:szCs w:val="20"/>
        </w:rPr>
        <w:t>libido</w:t>
      </w: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i/>
          <w:snapToGrid w:val="0"/>
          <w:szCs w:val="20"/>
        </w:rPr>
        <w:t xml:space="preserve"> </w:t>
      </w:r>
      <w:r w:rsidRPr="00350BD0">
        <w:rPr>
          <w:rFonts w:ascii="Times New Roman" w:eastAsia="Times New Roman" w:hAnsi="Times New Roman" w:cs="Times New Roman"/>
          <w:snapToGrid w:val="0"/>
          <w:szCs w:val="20"/>
        </w:rPr>
        <w:t>susilpnėjimas</w:t>
      </w:r>
      <w:r w:rsidRPr="00350BD0">
        <w:rPr>
          <w:rFonts w:ascii="Times New Roman" w:eastAsia="Times New Roman" w:hAnsi="Times New Roman" w:cs="Times New Roman"/>
          <w:bCs/>
          <w:iCs/>
          <w:snapToGrid w:val="0"/>
          <w:szCs w:val="20"/>
          <w:vertAlign w:val="superscript"/>
        </w:rPr>
        <w:t>*</w:t>
      </w:r>
      <w:r w:rsidRPr="00350BD0">
        <w:rPr>
          <w:rFonts w:ascii="Times New Roman" w:eastAsia="Times New Roman" w:hAnsi="Times New Roman" w:cs="Times New Roman"/>
          <w:snapToGrid w:val="0"/>
          <w:szCs w:val="20"/>
        </w:rPr>
        <w:t>;</w:t>
      </w:r>
    </w:p>
    <w:p w14:paraId="5FD2C1C3"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lastRenderedPageBreak/>
        <w:t>-</w:t>
      </w:r>
      <w:r w:rsidRPr="00350BD0">
        <w:rPr>
          <w:rFonts w:ascii="Times New Roman" w:eastAsia="Times New Roman" w:hAnsi="Times New Roman" w:cs="Times New Roman"/>
          <w:snapToGrid w:val="0"/>
          <w:szCs w:val="20"/>
        </w:rPr>
        <w:tab/>
        <w:t>ejakuliacijos sutrikimas, pavyzdžiui, lytinių santykių metu išsiskiriančios spermos kiekio sumažėjimas</w:t>
      </w:r>
      <w:r w:rsidRPr="00350BD0">
        <w:rPr>
          <w:rFonts w:ascii="Times New Roman" w:eastAsia="Times New Roman" w:hAnsi="Times New Roman" w:cs="Times New Roman"/>
          <w:bCs/>
          <w:iCs/>
          <w:snapToGrid w:val="0"/>
          <w:szCs w:val="20"/>
          <w:vertAlign w:val="superscript"/>
        </w:rPr>
        <w:t>*</w:t>
      </w:r>
      <w:r w:rsidRPr="00350BD0">
        <w:rPr>
          <w:rFonts w:ascii="Times New Roman" w:eastAsia="Times New Roman" w:hAnsi="Times New Roman" w:cs="Times New Roman"/>
          <w:snapToGrid w:val="0"/>
          <w:szCs w:val="20"/>
        </w:rPr>
        <w:t>;</w:t>
      </w:r>
    </w:p>
    <w:p w14:paraId="33602EA2"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krūtų padidėjimas arba jautrumas (</w:t>
      </w:r>
      <w:r w:rsidRPr="00350BD0">
        <w:rPr>
          <w:rFonts w:ascii="Times New Roman" w:eastAsia="Times New Roman" w:hAnsi="Times New Roman" w:cs="Times New Roman"/>
          <w:i/>
          <w:snapToGrid w:val="0"/>
          <w:szCs w:val="20"/>
        </w:rPr>
        <w:t>ginekomastija</w:t>
      </w:r>
      <w:r w:rsidRPr="00350BD0">
        <w:rPr>
          <w:rFonts w:ascii="Times New Roman" w:eastAsia="Times New Roman" w:hAnsi="Times New Roman" w:cs="Times New Roman"/>
          <w:snapToGrid w:val="0"/>
          <w:szCs w:val="20"/>
        </w:rPr>
        <w:t>);</w:t>
      </w:r>
    </w:p>
    <w:p w14:paraId="0BE9B9B2"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bCs/>
          <w:iCs/>
          <w:snapToGrid w:val="0"/>
          <w:szCs w:val="20"/>
        </w:rPr>
      </w:pPr>
      <w:r w:rsidRPr="00350BD0">
        <w:rPr>
          <w:rFonts w:ascii="Times New Roman" w:eastAsia="Times New Roman" w:hAnsi="Times New Roman" w:cs="Times New Roman"/>
          <w:bCs/>
          <w:iCs/>
          <w:snapToGrid w:val="0"/>
          <w:szCs w:val="20"/>
        </w:rPr>
        <w:t>-</w:t>
      </w:r>
      <w:r w:rsidRPr="00350BD0">
        <w:rPr>
          <w:rFonts w:ascii="Times New Roman" w:eastAsia="Times New Roman" w:hAnsi="Times New Roman" w:cs="Times New Roman"/>
          <w:bCs/>
          <w:iCs/>
          <w:snapToGrid w:val="0"/>
          <w:szCs w:val="20"/>
        </w:rPr>
        <w:tab/>
        <w:t>svaigulys;</w:t>
      </w:r>
    </w:p>
    <w:p w14:paraId="2085A806" w14:textId="4E561B92" w:rsidR="00350BD0" w:rsidRPr="00350BD0" w:rsidRDefault="00350BD0" w:rsidP="00350BD0">
      <w:pPr>
        <w:tabs>
          <w:tab w:val="left" w:pos="567"/>
        </w:tabs>
        <w:spacing w:after="0" w:line="240" w:lineRule="auto"/>
        <w:ind w:left="540" w:hanging="540"/>
        <w:rPr>
          <w:rFonts w:ascii="Times New Roman" w:eastAsia="Times New Roman" w:hAnsi="Times New Roman" w:cs="Times New Roman"/>
          <w:bCs/>
          <w:iCs/>
          <w:snapToGrid w:val="0"/>
          <w:szCs w:val="20"/>
        </w:rPr>
      </w:pPr>
      <w:r w:rsidRPr="00350BD0">
        <w:rPr>
          <w:rFonts w:ascii="Times New Roman" w:eastAsia="Times New Roman" w:hAnsi="Times New Roman" w:cs="Times New Roman"/>
          <w:bCs/>
          <w:iCs/>
          <w:snapToGrid w:val="0"/>
          <w:szCs w:val="20"/>
        </w:rPr>
        <w:t>-</w:t>
      </w:r>
      <w:r w:rsidRPr="00350BD0">
        <w:rPr>
          <w:rFonts w:ascii="Times New Roman" w:eastAsia="Times New Roman" w:hAnsi="Times New Roman" w:cs="Times New Roman"/>
          <w:bCs/>
          <w:iCs/>
          <w:snapToGrid w:val="0"/>
          <w:szCs w:val="20"/>
        </w:rPr>
        <w:tab/>
      </w:r>
      <w:r w:rsidRPr="00350BD0">
        <w:rPr>
          <w:rFonts w:ascii="Times New Roman" w:eastAsia="Times New Roman" w:hAnsi="Times New Roman" w:cs="Times New Roman"/>
          <w:bCs/>
          <w:iCs/>
          <w:snapToGrid w:val="0"/>
          <w:szCs w:val="20"/>
          <w:vertAlign w:val="superscript"/>
        </w:rPr>
        <w:t>*</w:t>
      </w:r>
      <w:r w:rsidRPr="00350BD0">
        <w:rPr>
          <w:rFonts w:ascii="Times New Roman" w:eastAsia="Times New Roman" w:hAnsi="Times New Roman" w:cs="Times New Roman"/>
          <w:bCs/>
          <w:iCs/>
          <w:snapToGrid w:val="0"/>
          <w:szCs w:val="20"/>
        </w:rPr>
        <w:t xml:space="preserve">Mažam skaičiui žmonių kai kurie iš šių reiškinių gali tęstis ir nutraukus </w:t>
      </w:r>
      <w:r w:rsidRPr="00350BD0">
        <w:rPr>
          <w:rFonts w:ascii="Times New Roman" w:eastAsia="Times New Roman" w:hAnsi="Times New Roman" w:cs="Times New Roman"/>
          <w:snapToGrid w:val="0"/>
          <w:szCs w:val="20"/>
        </w:rPr>
        <w:t xml:space="preserve">Dutasteride/Tamsulosin </w:t>
      </w:r>
      <w:r w:rsidR="00AC240B">
        <w:rPr>
          <w:rFonts w:ascii="Times New Roman" w:eastAsia="Times New Roman" w:hAnsi="Times New Roman" w:cs="Times New Roman"/>
          <w:snapToGrid w:val="0"/>
          <w:szCs w:val="20"/>
        </w:rPr>
        <w:t>Olpha</w:t>
      </w:r>
      <w:r w:rsidRPr="00350BD0">
        <w:rPr>
          <w:rFonts w:ascii="Times New Roman" w:eastAsia="Times New Roman" w:hAnsi="Times New Roman" w:cs="Times New Roman"/>
          <w:bCs/>
          <w:iCs/>
          <w:snapToGrid w:val="0"/>
          <w:szCs w:val="20"/>
        </w:rPr>
        <w:t xml:space="preserve"> vartojimą</w:t>
      </w:r>
      <w:r w:rsidRPr="00350BD0">
        <w:rPr>
          <w:rFonts w:ascii="Times New Roman" w:eastAsia="Times New Roman" w:hAnsi="Times New Roman" w:cs="Times New Roman"/>
          <w:snapToGrid w:val="0"/>
          <w:szCs w:val="20"/>
        </w:rPr>
        <w:t>.</w:t>
      </w:r>
    </w:p>
    <w:p w14:paraId="428BB72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04FE769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Nedažnas šalutinis poveikis</w:t>
      </w:r>
    </w:p>
    <w:p w14:paraId="3118386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Gali pasireikšti rečiau nei 1 iš 100 vyrų:</w:t>
      </w:r>
    </w:p>
    <w:p w14:paraId="09388E14"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 xml:space="preserve">širdies nepakankamumas (širdis mažiau veiksmingai varinėja kraują po kūną. Jums gali pasireikšti tokie simptomai, kaip dusulys, labai didelis nuovargis ir čiurnų bei kojų patinimas); </w:t>
      </w:r>
    </w:p>
    <w:p w14:paraId="59AF53C1"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kraujospūdžio sumažėjimas atsistojus;</w:t>
      </w:r>
    </w:p>
    <w:p w14:paraId="362CFFAF"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dažnas širdies plakimas (</w:t>
      </w:r>
      <w:r w:rsidRPr="00350BD0">
        <w:rPr>
          <w:rFonts w:ascii="Times New Roman" w:eastAsia="Times New Roman" w:hAnsi="Times New Roman" w:cs="Times New Roman"/>
          <w:i/>
          <w:snapToGrid w:val="0"/>
          <w:szCs w:val="20"/>
        </w:rPr>
        <w:t>palpitacijos</w:t>
      </w:r>
      <w:r w:rsidRPr="00350BD0">
        <w:rPr>
          <w:rFonts w:ascii="Times New Roman" w:eastAsia="Times New Roman" w:hAnsi="Times New Roman" w:cs="Times New Roman"/>
          <w:snapToGrid w:val="0"/>
          <w:szCs w:val="20"/>
        </w:rPr>
        <w:t>);</w:t>
      </w:r>
    </w:p>
    <w:p w14:paraId="7759BDFA"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vidurių užkietėjimas, viduriavimas, vėmimas, šleikštulys (pykinimas);</w:t>
      </w:r>
    </w:p>
    <w:p w14:paraId="48DA251E"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silpnumas arba jėgų neturėjimas;</w:t>
      </w:r>
    </w:p>
    <w:p w14:paraId="73CECF21"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galvos skausmas;</w:t>
      </w:r>
    </w:p>
    <w:p w14:paraId="5FED2005"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nosies niežėjimas, užsikimšimas ar sloga (</w:t>
      </w:r>
      <w:r w:rsidRPr="00350BD0">
        <w:rPr>
          <w:rFonts w:ascii="Times New Roman" w:eastAsia="Times New Roman" w:hAnsi="Times New Roman" w:cs="Times New Roman"/>
          <w:i/>
          <w:snapToGrid w:val="0"/>
          <w:szCs w:val="20"/>
        </w:rPr>
        <w:t>rinitas</w:t>
      </w:r>
      <w:r w:rsidRPr="00350BD0">
        <w:rPr>
          <w:rFonts w:ascii="Times New Roman" w:eastAsia="Times New Roman" w:hAnsi="Times New Roman" w:cs="Times New Roman"/>
          <w:snapToGrid w:val="0"/>
          <w:szCs w:val="20"/>
        </w:rPr>
        <w:t>);</w:t>
      </w:r>
    </w:p>
    <w:p w14:paraId="26F2438C"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odos išbėrimas, dilgėlinė, niežėjimas;</w:t>
      </w:r>
    </w:p>
    <w:p w14:paraId="371622A2"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plaukų slinkimas (paprastai viso kūno) arba plaukuotumo padidėjimas.</w:t>
      </w:r>
    </w:p>
    <w:p w14:paraId="673B735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6EC4F6A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Retas šalutinis poveikis</w:t>
      </w:r>
    </w:p>
    <w:p w14:paraId="1537059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Gali pasireikšti rečiau nei 1 iš 1 000 vyrų:</w:t>
      </w:r>
    </w:p>
    <w:p w14:paraId="7ADD3542"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akių vokų, veido, lūpų, rankų ar kojų patinimas (</w:t>
      </w:r>
      <w:r w:rsidRPr="00350BD0">
        <w:rPr>
          <w:rFonts w:ascii="Times New Roman" w:eastAsia="Times New Roman" w:hAnsi="Times New Roman" w:cs="Times New Roman"/>
          <w:iCs/>
          <w:snapToGrid w:val="0"/>
          <w:szCs w:val="20"/>
        </w:rPr>
        <w:t>angioneurozinė edema</w:t>
      </w:r>
      <w:r w:rsidRPr="00350BD0">
        <w:rPr>
          <w:rFonts w:ascii="Times New Roman" w:eastAsia="Times New Roman" w:hAnsi="Times New Roman" w:cs="Times New Roman"/>
          <w:snapToGrid w:val="0"/>
          <w:szCs w:val="20"/>
        </w:rPr>
        <w:t>);</w:t>
      </w:r>
    </w:p>
    <w:p w14:paraId="13511DEA"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apalpimas.</w:t>
      </w:r>
    </w:p>
    <w:p w14:paraId="29F5541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43A7545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Labai retas šalutinis poveikis</w:t>
      </w:r>
    </w:p>
    <w:p w14:paraId="055B559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Gali pasireikšti rečiau nei 1 iš 10 000 vyrų:</w:t>
      </w:r>
    </w:p>
    <w:p w14:paraId="1BF030DE"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ilgalaikė skausminga varpos erekcija (</w:t>
      </w:r>
      <w:r w:rsidRPr="00350BD0">
        <w:rPr>
          <w:rFonts w:ascii="Times New Roman" w:eastAsia="Times New Roman" w:hAnsi="Times New Roman" w:cs="Times New Roman"/>
          <w:i/>
          <w:snapToGrid w:val="0"/>
          <w:szCs w:val="20"/>
        </w:rPr>
        <w:t>priapizmas</w:t>
      </w:r>
      <w:r w:rsidRPr="00350BD0">
        <w:rPr>
          <w:rFonts w:ascii="Times New Roman" w:eastAsia="Times New Roman" w:hAnsi="Times New Roman" w:cs="Times New Roman"/>
          <w:snapToGrid w:val="0"/>
          <w:szCs w:val="20"/>
        </w:rPr>
        <w:t>);</w:t>
      </w:r>
    </w:p>
    <w:p w14:paraId="688F7D67"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sunkios odos reakcijos (</w:t>
      </w:r>
      <w:r w:rsidRPr="00350BD0">
        <w:rPr>
          <w:rFonts w:ascii="Times New Roman" w:eastAsia="Times New Roman" w:hAnsi="Times New Roman" w:cs="Times New Roman"/>
          <w:i/>
          <w:snapToGrid w:val="0"/>
          <w:szCs w:val="20"/>
        </w:rPr>
        <w:t>Stivenso-Džonsono sindromas</w:t>
      </w:r>
      <w:r w:rsidRPr="00350BD0">
        <w:rPr>
          <w:rFonts w:ascii="Times New Roman" w:eastAsia="Times New Roman" w:hAnsi="Times New Roman" w:cs="Times New Roman"/>
          <w:snapToGrid w:val="0"/>
          <w:szCs w:val="20"/>
        </w:rPr>
        <w:t>).</w:t>
      </w:r>
    </w:p>
    <w:p w14:paraId="63CAC09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744A66F2"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b/>
          <w:snapToGrid w:val="0"/>
          <w:szCs w:val="20"/>
        </w:rPr>
        <w:t>Kitas šalutinis poveikis</w:t>
      </w:r>
    </w:p>
    <w:p w14:paraId="655C3DC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snapToGrid w:val="0"/>
          <w:szCs w:val="20"/>
        </w:rPr>
      </w:pPr>
      <w:r w:rsidRPr="00350BD0">
        <w:rPr>
          <w:rFonts w:ascii="Times New Roman" w:eastAsia="Times New Roman" w:hAnsi="Times New Roman" w:cs="Times New Roman"/>
          <w:snapToGrid w:val="0"/>
          <w:szCs w:val="20"/>
        </w:rPr>
        <w:t>Mažam vyrų skaičiui pasireiškė kitas šalutinis poveikis, bet tikslus tokio poveikio dažnis nežinomas (dažnio negalima nustatyti</w:t>
      </w:r>
      <w:r w:rsidRPr="00350BD0">
        <w:rPr>
          <w:rFonts w:ascii="Times New Roman" w:eastAsia="Times New Roman" w:hAnsi="Times New Roman" w:cs="Times New Roman"/>
          <w:iCs/>
          <w:snapToGrid w:val="0"/>
          <w:szCs w:val="20"/>
        </w:rPr>
        <w:t>,</w:t>
      </w:r>
      <w:r w:rsidRPr="00350BD0">
        <w:rPr>
          <w:rFonts w:ascii="Times New Roman" w:eastAsia="Times New Roman" w:hAnsi="Times New Roman" w:cs="Times New Roman"/>
          <w:snapToGrid w:val="0"/>
          <w:szCs w:val="20"/>
        </w:rPr>
        <w:t xml:space="preserve"> remiantis turimais duomenimis):</w:t>
      </w:r>
    </w:p>
    <w:p w14:paraId="1EBC1D9F"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i/>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nenormalus arba dažnas širdies plakimas (</w:t>
      </w:r>
      <w:r w:rsidRPr="00350BD0">
        <w:rPr>
          <w:rFonts w:ascii="Times New Roman" w:eastAsia="Times New Roman" w:hAnsi="Times New Roman" w:cs="Times New Roman"/>
          <w:i/>
          <w:snapToGrid w:val="0"/>
          <w:szCs w:val="20"/>
        </w:rPr>
        <w:t>aritmija ar tachikardija arba prieširdžių virpėjimas</w:t>
      </w:r>
      <w:r w:rsidRPr="00350BD0">
        <w:rPr>
          <w:rFonts w:ascii="Times New Roman" w:eastAsia="Times New Roman" w:hAnsi="Times New Roman" w:cs="Times New Roman"/>
          <w:snapToGrid w:val="0"/>
          <w:szCs w:val="20"/>
        </w:rPr>
        <w:t>);</w:t>
      </w:r>
    </w:p>
    <w:p w14:paraId="31C9140F"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dusulys (</w:t>
      </w:r>
      <w:r w:rsidRPr="00350BD0">
        <w:rPr>
          <w:rFonts w:ascii="Times New Roman" w:eastAsia="Times New Roman" w:hAnsi="Times New Roman" w:cs="Times New Roman"/>
          <w:i/>
          <w:snapToGrid w:val="0"/>
          <w:szCs w:val="20"/>
        </w:rPr>
        <w:t>dispnėja</w:t>
      </w:r>
      <w:r w:rsidRPr="00350BD0">
        <w:rPr>
          <w:rFonts w:ascii="Times New Roman" w:eastAsia="Times New Roman" w:hAnsi="Times New Roman" w:cs="Times New Roman"/>
          <w:snapToGrid w:val="0"/>
          <w:szCs w:val="20"/>
        </w:rPr>
        <w:t>);</w:t>
      </w:r>
    </w:p>
    <w:p w14:paraId="0A135F3D"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depresija;</w:t>
      </w:r>
    </w:p>
    <w:p w14:paraId="24396E32"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sėklidžių skausmas ir patinimas;</w:t>
      </w:r>
    </w:p>
    <w:p w14:paraId="4A452F22"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kraujavimas iš nosies;</w:t>
      </w:r>
    </w:p>
    <w:p w14:paraId="5B2E0351"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sunkus odos išbėrimas;</w:t>
      </w:r>
    </w:p>
    <w:p w14:paraId="0F421DB6"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regėjimo pokyčiai (</w:t>
      </w:r>
      <w:r w:rsidRPr="00350BD0">
        <w:rPr>
          <w:rFonts w:ascii="Times New Roman" w:eastAsia="Times New Roman" w:hAnsi="Times New Roman" w:cs="Times New Roman"/>
          <w:i/>
          <w:snapToGrid w:val="0"/>
          <w:szCs w:val="20"/>
        </w:rPr>
        <w:t>matomo vaizdo neryškumas ar regėjimo sutrikimas</w:t>
      </w:r>
      <w:r w:rsidRPr="00350BD0">
        <w:rPr>
          <w:rFonts w:ascii="Times New Roman" w:eastAsia="Times New Roman" w:hAnsi="Times New Roman" w:cs="Times New Roman"/>
          <w:snapToGrid w:val="0"/>
          <w:szCs w:val="20"/>
        </w:rPr>
        <w:t>);</w:t>
      </w:r>
    </w:p>
    <w:p w14:paraId="767A7614" w14:textId="77777777" w:rsidR="00350BD0" w:rsidRPr="00350BD0" w:rsidRDefault="00350BD0" w:rsidP="00350BD0">
      <w:pPr>
        <w:tabs>
          <w:tab w:val="left" w:pos="567"/>
        </w:tabs>
        <w:spacing w:after="0" w:line="240" w:lineRule="auto"/>
        <w:ind w:left="540" w:hanging="54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ab/>
        <w:t>burnos džiūvimas.</w:t>
      </w:r>
    </w:p>
    <w:p w14:paraId="5310C87D" w14:textId="77777777" w:rsidR="00350BD0" w:rsidRPr="00350BD0" w:rsidRDefault="00350BD0" w:rsidP="00350BD0">
      <w:pPr>
        <w:numPr>
          <w:ilvl w:val="12"/>
          <w:numId w:val="0"/>
        </w:numPr>
        <w:spacing w:after="0" w:line="240" w:lineRule="auto"/>
        <w:ind w:right="-29"/>
        <w:rPr>
          <w:rFonts w:ascii="Times New Roman" w:eastAsia="Times New Roman" w:hAnsi="Times New Roman" w:cs="Times New Roman"/>
          <w:b/>
          <w:bCs/>
          <w:snapToGrid w:val="0"/>
        </w:rPr>
      </w:pPr>
    </w:p>
    <w:p w14:paraId="45E83A8D" w14:textId="77777777" w:rsidR="00350BD0" w:rsidRPr="00350BD0" w:rsidRDefault="00350BD0" w:rsidP="00350BD0">
      <w:pPr>
        <w:tabs>
          <w:tab w:val="left" w:pos="567"/>
        </w:tabs>
        <w:spacing w:after="0" w:line="240" w:lineRule="auto"/>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Pranešimas apie šalutinį poveikį</w:t>
      </w:r>
    </w:p>
    <w:p w14:paraId="59652D93" w14:textId="77777777" w:rsidR="00B555D6" w:rsidRPr="00B555D6" w:rsidRDefault="00B555D6" w:rsidP="00B555D6">
      <w:pPr>
        <w:tabs>
          <w:tab w:val="left" w:pos="567"/>
        </w:tabs>
        <w:spacing w:after="0" w:line="260" w:lineRule="exact"/>
        <w:ind w:right="-449"/>
        <w:rPr>
          <w:rFonts w:ascii="Times New Roman" w:eastAsia="Times New Roman" w:hAnsi="Times New Roman" w:cs="Times New Roman"/>
          <w:snapToGrid w:val="0"/>
        </w:rPr>
      </w:pPr>
      <w:bookmarkStart w:id="16" w:name="_Hlk188544479"/>
      <w:r w:rsidRPr="00B555D6">
        <w:rPr>
          <w:rFonts w:ascii="Times New Roman" w:eastAsia="Times New Roman" w:hAnsi="Times New Roman" w:cs="Times New Roman"/>
          <w:snapToGrid w:val="0"/>
        </w:rPr>
        <w:t xml:space="preserve">Jeigu pasireiškė šalutinis poveikis, įskaitant šiame lapelyje nenurodytą, pasakykite gydytojui arba vaistininkui. </w:t>
      </w:r>
      <w:bookmarkEnd w:id="16"/>
      <w:r w:rsidRPr="00B555D6">
        <w:rPr>
          <w:rFonts w:ascii="Times New Roman" w:eastAsia="Times New Roman" w:hAnsi="Times New Roman" w:cs="Times New Roman"/>
          <w:snapToGrid w:val="0"/>
        </w:rPr>
        <w:t xml:space="preserve">Pranešimą apie šalutinį poveikį galite užpildyti ir pateikti Valstybinės vaistų kontrolės tarnybos prie Lietuvos Respublikos sveikatos apsaugos ministerijos tinklalapyje </w:t>
      </w:r>
      <w:r w:rsidRPr="00B555D6">
        <w:rPr>
          <w:rFonts w:ascii="Times New Roman" w:eastAsia="Times New Roman" w:hAnsi="Times New Roman" w:cs="Times New Roman"/>
          <w:snapToGrid w:val="0"/>
          <w:u w:val="single"/>
        </w:rPr>
        <w:t>https://vvkt.lrv.lt/lt/</w:t>
      </w:r>
      <w:r w:rsidRPr="00B555D6">
        <w:rPr>
          <w:rFonts w:ascii="Times New Roman" w:eastAsia="Times New Roman" w:hAnsi="Times New Roman" w:cs="Times New Roman"/>
          <w:snapToGrid w:val="0"/>
        </w:rPr>
        <w:t xml:space="preserve"> nurodytais būdais arba paskambinti nemokamu telefonu 8 800 73 568. Pranešdami apie šalutinį poveikį galite mums padėti gauti daugiau informacijos apie šio vaisto saugumą.</w:t>
      </w:r>
    </w:p>
    <w:p w14:paraId="289526A1" w14:textId="77777777" w:rsidR="00350BD0" w:rsidRDefault="00350BD0" w:rsidP="00350BD0">
      <w:pPr>
        <w:tabs>
          <w:tab w:val="left" w:pos="567"/>
        </w:tabs>
        <w:spacing w:after="0" w:line="260" w:lineRule="exact"/>
        <w:ind w:right="-449"/>
        <w:rPr>
          <w:rFonts w:ascii="Times New Roman" w:eastAsia="Times New Roman" w:hAnsi="Times New Roman" w:cs="Times New Roman"/>
          <w:snapToGrid w:val="0"/>
        </w:rPr>
      </w:pPr>
    </w:p>
    <w:p w14:paraId="6AB76D2F" w14:textId="77777777" w:rsidR="003931A9" w:rsidRPr="00350BD0" w:rsidRDefault="003931A9" w:rsidP="00350BD0">
      <w:pPr>
        <w:tabs>
          <w:tab w:val="left" w:pos="567"/>
        </w:tabs>
        <w:spacing w:after="0" w:line="260" w:lineRule="exact"/>
        <w:ind w:right="-449"/>
        <w:rPr>
          <w:rFonts w:ascii="Times New Roman" w:eastAsia="Times New Roman" w:hAnsi="Times New Roman" w:cs="Times New Roman"/>
          <w:snapToGrid w:val="0"/>
        </w:rPr>
      </w:pPr>
    </w:p>
    <w:p w14:paraId="7CF7A688" w14:textId="0CA401CC" w:rsidR="00350BD0" w:rsidRPr="00350BD0" w:rsidRDefault="00350BD0" w:rsidP="00350BD0">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5.</w:t>
      </w:r>
      <w:r w:rsidRPr="00350BD0">
        <w:rPr>
          <w:rFonts w:ascii="Times New Roman" w:eastAsia="Times New Roman" w:hAnsi="Times New Roman" w:cs="Times New Roman"/>
          <w:b/>
          <w:bCs/>
          <w:snapToGrid w:val="0"/>
          <w:lang w:eastAsia="x-none"/>
        </w:rPr>
        <w:tab/>
        <w:t xml:space="preserve">Kaip laikyti Dutasteride/Tamsulosin </w:t>
      </w:r>
      <w:r w:rsidR="00AC240B">
        <w:rPr>
          <w:rFonts w:ascii="Times New Roman" w:eastAsia="Times New Roman" w:hAnsi="Times New Roman" w:cs="Times New Roman"/>
          <w:b/>
          <w:bCs/>
          <w:snapToGrid w:val="0"/>
          <w:lang w:eastAsia="x-none"/>
        </w:rPr>
        <w:t>Olpha</w:t>
      </w:r>
    </w:p>
    <w:p w14:paraId="43BCAA83" w14:textId="77777777" w:rsidR="00350BD0" w:rsidRPr="00350BD0" w:rsidRDefault="00350BD0" w:rsidP="00350BD0">
      <w:pPr>
        <w:keepNext/>
        <w:keepLines/>
        <w:numPr>
          <w:ilvl w:val="12"/>
          <w:numId w:val="0"/>
        </w:numPr>
        <w:spacing w:after="0" w:line="240" w:lineRule="auto"/>
        <w:ind w:right="-2"/>
        <w:rPr>
          <w:rFonts w:ascii="Times New Roman" w:eastAsia="Times New Roman" w:hAnsi="Times New Roman" w:cs="Times New Roman"/>
          <w:snapToGrid w:val="0"/>
        </w:rPr>
      </w:pPr>
    </w:p>
    <w:p w14:paraId="37E64E37" w14:textId="77777777" w:rsidR="00350BD0" w:rsidRPr="00350BD0" w:rsidRDefault="00350BD0" w:rsidP="00350BD0">
      <w:pPr>
        <w:keepNext/>
        <w:keepLines/>
        <w:numPr>
          <w:ilvl w:val="12"/>
          <w:numId w:val="0"/>
        </w:numPr>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Šį vaistą laikykite vaikams nepastebimoje ir nepasiekiamoje vietoje.</w:t>
      </w:r>
    </w:p>
    <w:p w14:paraId="195359AB"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2DA3A5C0"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Ant kartono dėžutės ir buteliuko po „EXP“ nurodytam tinkamumo laikui pasibaigus, </w:t>
      </w:r>
      <w:r w:rsidRPr="00350BD0">
        <w:rPr>
          <w:rFonts w:ascii="Times New Roman" w:eastAsia="Times New Roman" w:hAnsi="Times New Roman" w:cs="Times New Roman"/>
          <w:snapToGrid w:val="0"/>
          <w:szCs w:val="20"/>
        </w:rPr>
        <w:t xml:space="preserve">šio vaisto </w:t>
      </w:r>
      <w:r w:rsidRPr="00350BD0">
        <w:rPr>
          <w:rFonts w:ascii="Times New Roman" w:eastAsia="Times New Roman" w:hAnsi="Times New Roman" w:cs="Times New Roman"/>
          <w:snapToGrid w:val="0"/>
        </w:rPr>
        <w:t>vartoti negalima. Vaistas tinkamas vartoti iki paskutinės nurodyto mėnesio dienos.</w:t>
      </w:r>
    </w:p>
    <w:p w14:paraId="7A1A8C2A"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67802A2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lastRenderedPageBreak/>
        <w:t>Šiam vaistui specialių laikymo sąlygų nereikia.</w:t>
      </w:r>
    </w:p>
    <w:p w14:paraId="3ADE26F5"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77896A74"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i/>
          <w:snapToGrid w:val="0"/>
        </w:rPr>
      </w:pPr>
      <w:r w:rsidRPr="00350BD0">
        <w:rPr>
          <w:rFonts w:ascii="Times New Roman" w:eastAsia="Times New Roman" w:hAnsi="Times New Roman" w:cs="Times New Roman"/>
          <w:snapToGrid w:val="0"/>
        </w:rPr>
        <w:t>Vaistų negalima išmesti į kanalizaciją arba su buitinėmis atliekomis. Kaip išmesti nereikalingus vaistus, klauskite vaistininko. Šios priemonės padės apsaugoti aplinką.</w:t>
      </w:r>
    </w:p>
    <w:p w14:paraId="6DC5E218"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5B7F9998"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49344531" w14:textId="77777777" w:rsidR="00350BD0" w:rsidRPr="00350BD0" w:rsidRDefault="00350BD0" w:rsidP="00350BD0">
      <w:pPr>
        <w:keepNext/>
        <w:keepLines/>
        <w:tabs>
          <w:tab w:val="left" w:pos="567"/>
        </w:tabs>
        <w:spacing w:after="0" w:line="240" w:lineRule="auto"/>
        <w:outlineLvl w:val="2"/>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6.</w:t>
      </w:r>
      <w:r w:rsidRPr="00350BD0">
        <w:rPr>
          <w:rFonts w:ascii="Times New Roman" w:eastAsia="Times New Roman" w:hAnsi="Times New Roman" w:cs="Times New Roman"/>
          <w:bCs/>
          <w:snapToGrid w:val="0"/>
          <w:lang w:eastAsia="x-none"/>
        </w:rPr>
        <w:tab/>
      </w:r>
      <w:r w:rsidRPr="00350BD0">
        <w:rPr>
          <w:rFonts w:ascii="Times New Roman" w:eastAsia="Times New Roman" w:hAnsi="Times New Roman" w:cs="Times New Roman"/>
          <w:b/>
          <w:bCs/>
          <w:snapToGrid w:val="0"/>
          <w:lang w:eastAsia="x-none"/>
        </w:rPr>
        <w:t>Pakuotės turinys ir kita informacija</w:t>
      </w:r>
    </w:p>
    <w:p w14:paraId="754F54FF" w14:textId="77777777" w:rsidR="00350BD0" w:rsidRPr="00350BD0" w:rsidRDefault="00350BD0" w:rsidP="00350BD0">
      <w:pPr>
        <w:numPr>
          <w:ilvl w:val="12"/>
          <w:numId w:val="0"/>
        </w:numPr>
        <w:spacing w:after="0" w:line="240" w:lineRule="auto"/>
        <w:rPr>
          <w:rFonts w:ascii="Times New Roman" w:eastAsia="Times New Roman" w:hAnsi="Times New Roman" w:cs="Times New Roman"/>
          <w:snapToGrid w:val="0"/>
        </w:rPr>
      </w:pPr>
    </w:p>
    <w:p w14:paraId="7F7C9F90" w14:textId="0AE59780"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 xml:space="preserve">Dutasteride/Tamsulosin </w:t>
      </w:r>
      <w:r w:rsidR="00AC240B">
        <w:rPr>
          <w:rFonts w:ascii="Times New Roman" w:eastAsia="Times New Roman" w:hAnsi="Times New Roman" w:cs="Times New Roman"/>
          <w:b/>
          <w:bCs/>
          <w:snapToGrid w:val="0"/>
          <w:lang w:eastAsia="x-none"/>
        </w:rPr>
        <w:t>Olpha</w:t>
      </w:r>
      <w:r w:rsidRPr="00350BD0">
        <w:rPr>
          <w:rFonts w:ascii="Times New Roman" w:eastAsia="Times New Roman" w:hAnsi="Times New Roman" w:cs="Times New Roman"/>
          <w:b/>
          <w:bCs/>
          <w:snapToGrid w:val="0"/>
          <w:lang w:eastAsia="x-none"/>
        </w:rPr>
        <w:t xml:space="preserve"> sudėtis </w:t>
      </w:r>
    </w:p>
    <w:p w14:paraId="6B024AED" w14:textId="77777777" w:rsidR="00350BD0" w:rsidRPr="00FC59F3" w:rsidRDefault="00350BD0" w:rsidP="00FC59F3">
      <w:pPr>
        <w:spacing w:after="0" w:line="240" w:lineRule="auto"/>
        <w:rPr>
          <w:rFonts w:ascii="Times New Roman" w:hAnsi="Times New Roman" w:cs="Times New Roman"/>
        </w:rPr>
      </w:pPr>
      <w:r w:rsidRPr="00FC59F3">
        <w:rPr>
          <w:rFonts w:ascii="Times New Roman" w:hAnsi="Times New Roman" w:cs="Times New Roman"/>
        </w:rPr>
        <w:t>Veikliosios medžiagos yra dutasteridas ir tamsulozino hidrochloridas. Kiekvienoje kietojoje kapsulėje yra 0,5 mg dutasterido ir 0,4 mg tamsulozino hidrochlorido (</w:t>
      </w:r>
      <w:r w:rsidRPr="00133187">
        <w:rPr>
          <w:rFonts w:ascii="Times New Roman" w:hAnsi="Times New Roman" w:cs="Times New Roman"/>
        </w:rPr>
        <w:t>atitinkančio 0,367 mg tamsulozino</w:t>
      </w:r>
      <w:r w:rsidRPr="00FC59F3">
        <w:rPr>
          <w:rFonts w:ascii="Times New Roman" w:hAnsi="Times New Roman" w:cs="Times New Roman"/>
        </w:rPr>
        <w:t>). Pagalbinės medžiagos yra:</w:t>
      </w:r>
    </w:p>
    <w:p w14:paraId="52014A6D" w14:textId="77777777" w:rsidR="00350BD0" w:rsidRPr="00350BD0" w:rsidRDefault="00350BD0" w:rsidP="00350BD0">
      <w:pPr>
        <w:spacing w:after="0" w:line="240" w:lineRule="auto"/>
        <w:ind w:right="-2"/>
        <w:rPr>
          <w:rFonts w:ascii="Times New Roman" w:eastAsia="Times New Roman" w:hAnsi="Times New Roman" w:cs="Times New Roman"/>
          <w:snapToGrid w:val="0"/>
        </w:rPr>
      </w:pPr>
    </w:p>
    <w:p w14:paraId="169119D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u w:val="single"/>
        </w:rPr>
      </w:pPr>
      <w:r w:rsidRPr="00350BD0">
        <w:rPr>
          <w:rFonts w:ascii="Times New Roman" w:eastAsia="Times New Roman" w:hAnsi="Times New Roman" w:cs="Times New Roman"/>
          <w:snapToGrid w:val="0"/>
          <w:szCs w:val="20"/>
          <w:u w:val="single"/>
        </w:rPr>
        <w:t>Kietosios kapsulės apvalkalas</w:t>
      </w:r>
    </w:p>
    <w:p w14:paraId="5798B8E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Juodasis geležies oksidas (E172)</w:t>
      </w:r>
    </w:p>
    <w:p w14:paraId="18F9419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Raudonasis geležies oksidas (E172)</w:t>
      </w:r>
    </w:p>
    <w:p w14:paraId="2D55298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Titano dioksidas (E171)</w:t>
      </w:r>
    </w:p>
    <w:p w14:paraId="3725D47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Geltonasis geležies oksidas (E172)</w:t>
      </w:r>
    </w:p>
    <w:p w14:paraId="41549F3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Želatina</w:t>
      </w:r>
    </w:p>
    <w:p w14:paraId="666CCD7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7713D2FA"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u w:val="single"/>
        </w:rPr>
      </w:pPr>
      <w:r w:rsidRPr="00350BD0">
        <w:rPr>
          <w:rFonts w:ascii="Times New Roman" w:eastAsia="Times New Roman" w:hAnsi="Times New Roman" w:cs="Times New Roman"/>
          <w:snapToGrid w:val="0"/>
          <w:szCs w:val="20"/>
          <w:u w:val="single"/>
        </w:rPr>
        <w:t>Dutasterido minkštosios kapsulės turinys</w:t>
      </w:r>
    </w:p>
    <w:p w14:paraId="4E91C53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Propilenglikolio monokaprilatas, II tipo</w:t>
      </w:r>
    </w:p>
    <w:p w14:paraId="4947CDAF"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Butilhidroksitoluenas (E321)</w:t>
      </w:r>
    </w:p>
    <w:p w14:paraId="62AA925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44BCA5F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u w:val="single"/>
        </w:rPr>
      </w:pPr>
      <w:r w:rsidRPr="00350BD0">
        <w:rPr>
          <w:rFonts w:ascii="Times New Roman" w:eastAsia="Times New Roman" w:hAnsi="Times New Roman" w:cs="Times New Roman"/>
          <w:snapToGrid w:val="0"/>
          <w:szCs w:val="20"/>
          <w:u w:val="single"/>
        </w:rPr>
        <w:t>Minkštosios kapsulės apvalkalas</w:t>
      </w:r>
    </w:p>
    <w:p w14:paraId="1437BB7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Želatina</w:t>
      </w:r>
    </w:p>
    <w:p w14:paraId="391F89B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Glicerolis</w:t>
      </w:r>
    </w:p>
    <w:p w14:paraId="09F20D64"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Titano dioksidas (E171)</w:t>
      </w:r>
    </w:p>
    <w:p w14:paraId="25F870C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Vidutinės grandinės trigliceridai </w:t>
      </w:r>
    </w:p>
    <w:p w14:paraId="470A2AC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Lecitinas (sudėtyje gali būti sojų aliejaus) (žr. 2 skyrių)</w:t>
      </w:r>
    </w:p>
    <w:p w14:paraId="6C18C506"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0D4B6D1F" w14:textId="77777777" w:rsidR="00350BD0" w:rsidRPr="00350BD0" w:rsidRDefault="00350BD0" w:rsidP="00350BD0">
      <w:pPr>
        <w:tabs>
          <w:tab w:val="left" w:pos="567"/>
        </w:tabs>
        <w:spacing w:after="0" w:line="260" w:lineRule="exact"/>
        <w:ind w:left="-5" w:right="38"/>
        <w:rPr>
          <w:rFonts w:ascii="Times New Roman" w:eastAsia="Times New Roman" w:hAnsi="Times New Roman" w:cs="Times New Roman"/>
          <w:snapToGrid w:val="0"/>
          <w:szCs w:val="20"/>
          <w:u w:val="single"/>
        </w:rPr>
      </w:pPr>
      <w:r w:rsidRPr="00350BD0">
        <w:rPr>
          <w:rFonts w:ascii="Times New Roman" w:eastAsia="Times New Roman" w:hAnsi="Times New Roman" w:cs="Times New Roman"/>
          <w:snapToGrid w:val="0"/>
          <w:szCs w:val="20"/>
          <w:u w:val="single"/>
        </w:rPr>
        <w:t>Tamsulozino granulės</w:t>
      </w:r>
    </w:p>
    <w:p w14:paraId="21A5EE25" w14:textId="6D2ED552"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Metakrilo rūgšties ir etilakrilato </w:t>
      </w:r>
      <w:r w:rsidR="00B555D6">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1:1</w:t>
      </w:r>
      <w:r w:rsidR="00B555D6">
        <w:rPr>
          <w:rFonts w:ascii="Times New Roman" w:eastAsia="Times New Roman" w:hAnsi="Times New Roman" w:cs="Times New Roman"/>
          <w:snapToGrid w:val="0"/>
          <w:szCs w:val="20"/>
        </w:rPr>
        <w:t>)</w:t>
      </w:r>
      <w:r w:rsidRPr="00350BD0">
        <w:rPr>
          <w:rFonts w:ascii="Times New Roman" w:eastAsia="Times New Roman" w:hAnsi="Times New Roman" w:cs="Times New Roman"/>
          <w:snapToGrid w:val="0"/>
          <w:szCs w:val="20"/>
        </w:rPr>
        <w:t xml:space="preserve"> kopolimeras 30 % dispersija (sudėtyje yra natrio laurilsulfato, polisorbato 80)</w:t>
      </w:r>
    </w:p>
    <w:p w14:paraId="75ADB78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Mikrokristalinė celiuliozė</w:t>
      </w:r>
    </w:p>
    <w:p w14:paraId="24670885"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Dibutilo sebakatas</w:t>
      </w:r>
    </w:p>
    <w:p w14:paraId="1FBE92A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Polisorbatas 80</w:t>
      </w:r>
    </w:p>
    <w:p w14:paraId="6D0C332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Hidratuotas koloidinis silicio dioksidas </w:t>
      </w:r>
    </w:p>
    <w:p w14:paraId="08136B5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Kalcio stearatas</w:t>
      </w:r>
    </w:p>
    <w:p w14:paraId="6C0A7C9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69599FD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u w:val="single"/>
        </w:rPr>
      </w:pPr>
      <w:r w:rsidRPr="00350BD0">
        <w:rPr>
          <w:rFonts w:ascii="Times New Roman" w:eastAsia="Times New Roman" w:hAnsi="Times New Roman" w:cs="Times New Roman"/>
          <w:snapToGrid w:val="0"/>
          <w:szCs w:val="20"/>
          <w:u w:val="single"/>
        </w:rPr>
        <w:t>Juodas rašalas</w:t>
      </w:r>
    </w:p>
    <w:p w14:paraId="2E55DAF1"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Šelakas (E904)</w:t>
      </w:r>
    </w:p>
    <w:p w14:paraId="2EBD0F3E"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Juodasis geležies oksidas (E172)</w:t>
      </w:r>
    </w:p>
    <w:p w14:paraId="25FE802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Propilenglikolis (E1520)</w:t>
      </w:r>
    </w:p>
    <w:p w14:paraId="2F86848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Koncentruotas amoniako tirpalas (E527)</w:t>
      </w:r>
    </w:p>
    <w:p w14:paraId="5697D3C9"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Kalio hidroksidas (E525)</w:t>
      </w:r>
    </w:p>
    <w:p w14:paraId="19A4B990"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5F6F803C" w14:textId="24F1B94E"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Žr. 2 skyrių „Dutasteride/Tamsulosin </w:t>
      </w:r>
      <w:r w:rsidR="00AC240B">
        <w:rPr>
          <w:rFonts w:ascii="Times New Roman" w:eastAsia="Times New Roman" w:hAnsi="Times New Roman" w:cs="Times New Roman"/>
          <w:snapToGrid w:val="0"/>
        </w:rPr>
        <w:t>Olpha</w:t>
      </w:r>
      <w:r w:rsidRPr="00350BD0">
        <w:rPr>
          <w:rFonts w:ascii="Times New Roman" w:eastAsia="Times New Roman" w:hAnsi="Times New Roman" w:cs="Times New Roman"/>
          <w:snapToGrid w:val="0"/>
        </w:rPr>
        <w:t xml:space="preserve"> sudėtyje yra sojų lecitino ir propilenglikolio“.</w:t>
      </w:r>
    </w:p>
    <w:p w14:paraId="53975D1B"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70DBB071" w14:textId="685EBAD4" w:rsidR="00350BD0" w:rsidRPr="00350BD0" w:rsidRDefault="00350BD0" w:rsidP="00350BD0">
      <w:pPr>
        <w:keepNext/>
        <w:tabs>
          <w:tab w:val="left" w:pos="567"/>
        </w:tabs>
        <w:spacing w:after="0" w:line="260" w:lineRule="exact"/>
        <w:outlineLvl w:val="3"/>
        <w:rPr>
          <w:rFonts w:ascii="Times New Roman" w:eastAsia="Times New Roman" w:hAnsi="Times New Roman" w:cs="Times New Roman"/>
          <w:b/>
          <w:bCs/>
          <w:snapToGrid w:val="0"/>
          <w:lang w:eastAsia="x-none"/>
        </w:rPr>
      </w:pPr>
      <w:r w:rsidRPr="00350BD0">
        <w:rPr>
          <w:rFonts w:ascii="Times New Roman" w:eastAsia="Times New Roman" w:hAnsi="Times New Roman" w:cs="Times New Roman"/>
          <w:b/>
          <w:bCs/>
          <w:snapToGrid w:val="0"/>
          <w:lang w:eastAsia="x-none"/>
        </w:rPr>
        <w:t xml:space="preserve">Dutasteride/Tamsulosin </w:t>
      </w:r>
      <w:r w:rsidR="00AC240B">
        <w:rPr>
          <w:rFonts w:ascii="Times New Roman" w:eastAsia="Times New Roman" w:hAnsi="Times New Roman" w:cs="Times New Roman"/>
          <w:b/>
          <w:bCs/>
          <w:snapToGrid w:val="0"/>
          <w:lang w:eastAsia="x-none"/>
        </w:rPr>
        <w:t>Olpha</w:t>
      </w:r>
      <w:r w:rsidRPr="00350BD0">
        <w:rPr>
          <w:rFonts w:ascii="Times New Roman" w:eastAsia="Times New Roman" w:hAnsi="Times New Roman" w:cs="Times New Roman"/>
          <w:b/>
          <w:bCs/>
          <w:snapToGrid w:val="0"/>
          <w:lang w:eastAsia="x-none"/>
        </w:rPr>
        <w:t xml:space="preserve"> išvaizda ir kiekis pakuotėje</w:t>
      </w:r>
    </w:p>
    <w:p w14:paraId="370CE4E0"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 xml:space="preserve">Šis vaistas yra pailga, kietoji želatinos kapsulė, maždaug </w:t>
      </w:r>
      <w:r w:rsidRPr="00350BD0">
        <w:rPr>
          <w:rFonts w:ascii="Times New Roman" w:eastAsia="Times New Roman" w:hAnsi="Times New Roman" w:cs="Times New Roman"/>
          <w:snapToGrid w:val="0"/>
          <w:spacing w:val="-7"/>
          <w:szCs w:val="20"/>
        </w:rPr>
        <w:t>2</w:t>
      </w:r>
      <w:r w:rsidR="007672E6">
        <w:rPr>
          <w:rFonts w:ascii="Times New Roman" w:eastAsia="Times New Roman" w:hAnsi="Times New Roman" w:cs="Times New Roman"/>
          <w:snapToGrid w:val="0"/>
          <w:spacing w:val="-7"/>
          <w:szCs w:val="20"/>
        </w:rPr>
        <w:t>4</w:t>
      </w:r>
      <w:r w:rsidRPr="00350BD0">
        <w:rPr>
          <w:rFonts w:ascii="Times New Roman" w:eastAsia="Times New Roman" w:hAnsi="Times New Roman" w:cs="Times New Roman"/>
          <w:snapToGrid w:val="0"/>
          <w:spacing w:val="-7"/>
          <w:szCs w:val="20"/>
        </w:rPr>
        <w:t>,</w:t>
      </w:r>
      <w:r w:rsidR="007672E6">
        <w:rPr>
          <w:rFonts w:ascii="Times New Roman" w:eastAsia="Times New Roman" w:hAnsi="Times New Roman" w:cs="Times New Roman"/>
          <w:snapToGrid w:val="0"/>
          <w:spacing w:val="-7"/>
          <w:szCs w:val="20"/>
        </w:rPr>
        <w:t>2</w:t>
      </w:r>
      <w:r w:rsidRPr="00350BD0">
        <w:rPr>
          <w:rFonts w:ascii="Times New Roman" w:eastAsia="Times New Roman" w:hAnsi="Times New Roman" w:cs="Times New Roman"/>
          <w:snapToGrid w:val="0"/>
          <w:spacing w:val="-7"/>
          <w:szCs w:val="20"/>
        </w:rPr>
        <w:t> mm x 7,</w:t>
      </w:r>
      <w:r w:rsidR="007672E6">
        <w:rPr>
          <w:rFonts w:ascii="Times New Roman" w:eastAsia="Times New Roman" w:hAnsi="Times New Roman" w:cs="Times New Roman"/>
          <w:snapToGrid w:val="0"/>
          <w:spacing w:val="-7"/>
          <w:szCs w:val="20"/>
        </w:rPr>
        <w:t>7</w:t>
      </w:r>
      <w:r w:rsidRPr="00350BD0">
        <w:rPr>
          <w:rFonts w:ascii="Times New Roman" w:eastAsia="Times New Roman" w:hAnsi="Times New Roman" w:cs="Times New Roman"/>
          <w:snapToGrid w:val="0"/>
          <w:spacing w:val="-7"/>
          <w:szCs w:val="20"/>
        </w:rPr>
        <w:t xml:space="preserve"> mm </w:t>
      </w:r>
      <w:r w:rsidRPr="00350BD0">
        <w:rPr>
          <w:rFonts w:ascii="Times New Roman" w:eastAsia="Times New Roman" w:hAnsi="Times New Roman" w:cs="Times New Roman"/>
          <w:snapToGrid w:val="0"/>
          <w:szCs w:val="20"/>
        </w:rPr>
        <w:t xml:space="preserve">, kurios korpusas yra rudas, o dangtelis – </w:t>
      </w:r>
      <w:r w:rsidR="007672E6">
        <w:rPr>
          <w:rFonts w:ascii="Times New Roman" w:eastAsia="Times New Roman" w:hAnsi="Times New Roman" w:cs="Times New Roman"/>
          <w:snapToGrid w:val="0"/>
          <w:szCs w:val="20"/>
        </w:rPr>
        <w:t>smėlio spalvos</w:t>
      </w:r>
      <w:r w:rsidRPr="00350BD0">
        <w:rPr>
          <w:rFonts w:ascii="Times New Roman" w:eastAsia="Times New Roman" w:hAnsi="Times New Roman" w:cs="Times New Roman"/>
          <w:snapToGrid w:val="0"/>
          <w:szCs w:val="20"/>
        </w:rPr>
        <w:t>. Ant dangtelio juodu rašalu užrašyta ,,C001“.</w:t>
      </w:r>
    </w:p>
    <w:p w14:paraId="04B528B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34E89973"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Kiekvienoje kietojoje kapsulėje yra tamsulozino modifikuoto atpalaidavimo granulių ir viena dutasterido minkštoji želatinos kapsulė.</w:t>
      </w:r>
    </w:p>
    <w:p w14:paraId="5A53B2DB"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580172D8"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r w:rsidRPr="00350BD0">
        <w:rPr>
          <w:rFonts w:ascii="Times New Roman" w:eastAsia="Times New Roman" w:hAnsi="Times New Roman" w:cs="Times New Roman"/>
          <w:snapToGrid w:val="0"/>
          <w:szCs w:val="20"/>
        </w:rPr>
        <w:t>Tiekiamos pakuotėmis po 7, 30 arba 90 kapsulių.</w:t>
      </w:r>
    </w:p>
    <w:p w14:paraId="4A9FA8E7"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szCs w:val="20"/>
        </w:rPr>
      </w:pPr>
    </w:p>
    <w:p w14:paraId="6A1F76F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rPr>
      </w:pPr>
      <w:r w:rsidRPr="00350BD0">
        <w:rPr>
          <w:rFonts w:ascii="Times New Roman" w:eastAsia="Times New Roman" w:hAnsi="Times New Roman" w:cs="Times New Roman"/>
          <w:snapToGrid w:val="0"/>
          <w:szCs w:val="20"/>
        </w:rPr>
        <w:t>Gali būti tiekiamos ne visų dydžių pakuotės.</w:t>
      </w:r>
    </w:p>
    <w:p w14:paraId="5424B647"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1F71B0FD" w14:textId="77777777"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b/>
          <w:bCs/>
          <w:snapToGrid w:val="0"/>
        </w:rPr>
      </w:pPr>
      <w:r w:rsidRPr="00350BD0">
        <w:rPr>
          <w:rFonts w:ascii="Times New Roman" w:eastAsia="Times New Roman" w:hAnsi="Times New Roman" w:cs="Times New Roman"/>
          <w:b/>
          <w:bCs/>
          <w:snapToGrid w:val="0"/>
        </w:rPr>
        <w:t>Registruotojas ir gamintojas</w:t>
      </w:r>
    </w:p>
    <w:p w14:paraId="679FA2AA"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72303BE8" w14:textId="77777777" w:rsidR="00350BD0" w:rsidRPr="00133187" w:rsidRDefault="00350BD0" w:rsidP="00350BD0">
      <w:pPr>
        <w:numPr>
          <w:ilvl w:val="12"/>
          <w:numId w:val="0"/>
        </w:numPr>
        <w:spacing w:after="0" w:line="240" w:lineRule="auto"/>
        <w:ind w:right="-2"/>
        <w:rPr>
          <w:rFonts w:ascii="Times New Roman" w:eastAsia="Times New Roman" w:hAnsi="Times New Roman" w:cs="Times New Roman"/>
          <w:snapToGrid w:val="0"/>
          <w:u w:val="single"/>
        </w:rPr>
      </w:pPr>
      <w:bookmarkStart w:id="17" w:name="_Hlk17207339"/>
      <w:r w:rsidRPr="00133187">
        <w:rPr>
          <w:rFonts w:ascii="Times New Roman" w:eastAsia="Times New Roman" w:hAnsi="Times New Roman" w:cs="Times New Roman"/>
          <w:snapToGrid w:val="0"/>
          <w:u w:val="single"/>
        </w:rPr>
        <w:t>Registruotojas</w:t>
      </w:r>
    </w:p>
    <w:p w14:paraId="3F771F8E" w14:textId="42FBE28C" w:rsidR="00350BD0" w:rsidRPr="00350BD0" w:rsidRDefault="00AC240B" w:rsidP="00350BD0">
      <w:pPr>
        <w:tabs>
          <w:tab w:val="left" w:pos="567"/>
        </w:tabs>
        <w:spacing w:after="0" w:line="260" w:lineRule="exact"/>
        <w:rPr>
          <w:rFonts w:ascii="Times New Roman" w:eastAsia="Times New Roman" w:hAnsi="Times New Roman" w:cs="Times New Roman"/>
          <w:snapToGrid w:val="0"/>
        </w:rPr>
      </w:pPr>
      <w:r>
        <w:rPr>
          <w:rFonts w:ascii="Times New Roman" w:eastAsia="Times New Roman" w:hAnsi="Times New Roman" w:cs="Times New Roman"/>
          <w:snapToGrid w:val="0"/>
        </w:rPr>
        <w:t>Olpha</w:t>
      </w:r>
      <w:r w:rsidR="00B555D6">
        <w:rPr>
          <w:rFonts w:ascii="Times New Roman" w:eastAsia="Times New Roman" w:hAnsi="Times New Roman" w:cs="Times New Roman"/>
          <w:snapToGrid w:val="0"/>
        </w:rPr>
        <w:t xml:space="preserve"> AS,</w:t>
      </w:r>
    </w:p>
    <w:p w14:paraId="507738FE" w14:textId="77777777" w:rsidR="00B555D6"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 xml:space="preserve">Rupnicu </w:t>
      </w:r>
      <w:r w:rsidR="00B555D6">
        <w:rPr>
          <w:rFonts w:ascii="Times New Roman" w:eastAsia="Times New Roman" w:hAnsi="Times New Roman" w:cs="Times New Roman"/>
          <w:snapToGrid w:val="0"/>
        </w:rPr>
        <w:t xml:space="preserve">iela </w:t>
      </w:r>
      <w:r w:rsidRPr="00350BD0">
        <w:rPr>
          <w:rFonts w:ascii="Times New Roman" w:eastAsia="Times New Roman" w:hAnsi="Times New Roman" w:cs="Times New Roman"/>
          <w:snapToGrid w:val="0"/>
        </w:rPr>
        <w:t>5,</w:t>
      </w:r>
    </w:p>
    <w:p w14:paraId="58025031" w14:textId="542EF3B8"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Olaine</w:t>
      </w:r>
      <w:r w:rsidR="00B555D6">
        <w:rPr>
          <w:rFonts w:ascii="Times New Roman" w:eastAsia="Times New Roman" w:hAnsi="Times New Roman" w:cs="Times New Roman"/>
          <w:snapToGrid w:val="0"/>
        </w:rPr>
        <w:t>, Olaines novads,</w:t>
      </w:r>
      <w:r w:rsidR="00B555D6" w:rsidRPr="00B555D6">
        <w:rPr>
          <w:rFonts w:ascii="Times New Roman" w:eastAsia="Times New Roman" w:hAnsi="Times New Roman" w:cs="Times New Roman"/>
          <w:snapToGrid w:val="0"/>
        </w:rPr>
        <w:t xml:space="preserve"> </w:t>
      </w:r>
      <w:r w:rsidR="00B555D6" w:rsidRPr="00350BD0">
        <w:rPr>
          <w:rFonts w:ascii="Times New Roman" w:eastAsia="Times New Roman" w:hAnsi="Times New Roman" w:cs="Times New Roman"/>
          <w:snapToGrid w:val="0"/>
        </w:rPr>
        <w:t>LV</w:t>
      </w:r>
      <w:r w:rsidR="00B555D6" w:rsidRPr="00350BD0">
        <w:rPr>
          <w:rFonts w:ascii="Times New Roman" w:eastAsia="Times New Roman" w:hAnsi="Times New Roman" w:cs="Times New Roman"/>
          <w:snapToGrid w:val="0"/>
        </w:rPr>
        <w:noBreakHyphen/>
        <w:t>2114</w:t>
      </w:r>
      <w:r w:rsidR="00B555D6">
        <w:rPr>
          <w:rFonts w:ascii="Times New Roman" w:eastAsia="Times New Roman" w:hAnsi="Times New Roman" w:cs="Times New Roman"/>
          <w:snapToGrid w:val="0"/>
        </w:rPr>
        <w:t>,</w:t>
      </w:r>
    </w:p>
    <w:p w14:paraId="6BCB5E2F" w14:textId="6D73F068" w:rsidR="00350BD0" w:rsidRPr="00350BD0" w:rsidRDefault="00350BD0" w:rsidP="00350BD0">
      <w:pPr>
        <w:tabs>
          <w:tab w:val="left" w:pos="567"/>
        </w:tabs>
        <w:spacing w:after="0" w:line="260" w:lineRule="exact"/>
        <w:rPr>
          <w:rFonts w:ascii="Times New Roman" w:eastAsia="Times New Roman" w:hAnsi="Times New Roman" w:cs="Times New Roman"/>
          <w:snapToGrid w:val="0"/>
        </w:rPr>
      </w:pPr>
      <w:r w:rsidRPr="00350BD0">
        <w:rPr>
          <w:rFonts w:ascii="Times New Roman" w:eastAsia="Times New Roman" w:hAnsi="Times New Roman" w:cs="Times New Roman"/>
          <w:snapToGrid w:val="0"/>
        </w:rPr>
        <w:t>Latvija</w:t>
      </w:r>
    </w:p>
    <w:bookmarkEnd w:id="17"/>
    <w:p w14:paraId="73E930F9"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5408C30E" w14:textId="77777777" w:rsidR="00350BD0" w:rsidRPr="00133187" w:rsidRDefault="00350BD0" w:rsidP="00350BD0">
      <w:pPr>
        <w:numPr>
          <w:ilvl w:val="12"/>
          <w:numId w:val="0"/>
        </w:numPr>
        <w:spacing w:after="0" w:line="240" w:lineRule="auto"/>
        <w:ind w:right="-2"/>
        <w:rPr>
          <w:rFonts w:ascii="Times New Roman" w:eastAsia="Times New Roman" w:hAnsi="Times New Roman" w:cs="Times New Roman"/>
          <w:snapToGrid w:val="0"/>
          <w:u w:val="single"/>
        </w:rPr>
      </w:pPr>
      <w:r w:rsidRPr="00133187">
        <w:rPr>
          <w:rFonts w:ascii="Times New Roman" w:eastAsia="Times New Roman" w:hAnsi="Times New Roman" w:cs="Times New Roman"/>
          <w:snapToGrid w:val="0"/>
          <w:u w:val="single"/>
        </w:rPr>
        <w:t>Gamintojas</w:t>
      </w:r>
    </w:p>
    <w:p w14:paraId="6F2FE100" w14:textId="77777777" w:rsidR="00350BD0" w:rsidRPr="00D643E9" w:rsidRDefault="00350BD0" w:rsidP="00350BD0">
      <w:pPr>
        <w:tabs>
          <w:tab w:val="left" w:pos="567"/>
        </w:tabs>
        <w:spacing w:after="0" w:line="260" w:lineRule="exact"/>
        <w:ind w:left="-5" w:right="38"/>
        <w:rPr>
          <w:rFonts w:ascii="Times New Roman" w:hAnsi="Times New Roman"/>
          <w:lang w:val="en-GB"/>
        </w:rPr>
      </w:pPr>
      <w:r w:rsidRPr="00D643E9">
        <w:rPr>
          <w:rFonts w:ascii="Times New Roman" w:hAnsi="Times New Roman"/>
          <w:lang w:val="en-GB"/>
        </w:rPr>
        <w:t>Laboratorios Leon Farma, SA</w:t>
      </w:r>
    </w:p>
    <w:p w14:paraId="1AD7B2F1" w14:textId="77777777" w:rsidR="00350BD0" w:rsidRPr="00D643E9" w:rsidRDefault="00350BD0" w:rsidP="00350BD0">
      <w:pPr>
        <w:tabs>
          <w:tab w:val="left" w:pos="567"/>
        </w:tabs>
        <w:spacing w:after="0" w:line="260" w:lineRule="exact"/>
        <w:ind w:left="-5" w:right="38"/>
        <w:rPr>
          <w:rFonts w:ascii="Times New Roman" w:hAnsi="Times New Roman"/>
          <w:lang w:val="en-GB"/>
        </w:rPr>
      </w:pPr>
      <w:r w:rsidRPr="00D643E9">
        <w:rPr>
          <w:rFonts w:ascii="Times New Roman" w:hAnsi="Times New Roman"/>
          <w:lang w:val="en-GB"/>
        </w:rPr>
        <w:t>C/La Vallina, s/n, Polígono Industrial Navatejera</w:t>
      </w:r>
    </w:p>
    <w:p w14:paraId="5FF8776E" w14:textId="64695066" w:rsidR="00350BD0" w:rsidRPr="00D643E9" w:rsidRDefault="00F870E2" w:rsidP="00350BD0">
      <w:pPr>
        <w:tabs>
          <w:tab w:val="left" w:pos="567"/>
        </w:tabs>
        <w:spacing w:after="0" w:line="260" w:lineRule="exact"/>
        <w:ind w:left="-5" w:right="38"/>
        <w:rPr>
          <w:rFonts w:ascii="Times New Roman" w:hAnsi="Times New Roman"/>
          <w:lang w:val="en-GB"/>
        </w:rPr>
      </w:pPr>
      <w:r w:rsidRPr="00D643E9">
        <w:rPr>
          <w:rFonts w:ascii="Times New Roman" w:eastAsia="Times New Roman" w:hAnsi="Times New Roman" w:cs="Times New Roman"/>
          <w:snapToGrid w:val="0"/>
          <w:szCs w:val="20"/>
          <w:lang w:val="en-GB"/>
        </w:rPr>
        <w:t xml:space="preserve">24193 </w:t>
      </w:r>
      <w:r w:rsidR="00350BD0" w:rsidRPr="00D643E9">
        <w:rPr>
          <w:rFonts w:ascii="Times New Roman" w:hAnsi="Times New Roman"/>
          <w:lang w:val="en-GB"/>
        </w:rPr>
        <w:t>Villaquilambre, León</w:t>
      </w:r>
    </w:p>
    <w:p w14:paraId="5A0A936C"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r w:rsidRPr="00350BD0">
        <w:rPr>
          <w:rFonts w:ascii="Times New Roman" w:eastAsia="Times New Roman" w:hAnsi="Times New Roman" w:cs="Times New Roman"/>
          <w:snapToGrid w:val="0"/>
        </w:rPr>
        <w:t>Ispanija</w:t>
      </w:r>
    </w:p>
    <w:p w14:paraId="62C6759E" w14:textId="77777777" w:rsidR="00350BD0" w:rsidRPr="00350BD0" w:rsidRDefault="00350BD0" w:rsidP="00350BD0">
      <w:pPr>
        <w:numPr>
          <w:ilvl w:val="12"/>
          <w:numId w:val="0"/>
        </w:numPr>
        <w:spacing w:after="0" w:line="240" w:lineRule="auto"/>
        <w:ind w:right="-2"/>
        <w:rPr>
          <w:rFonts w:ascii="Times New Roman" w:eastAsia="Times New Roman" w:hAnsi="Times New Roman" w:cs="Times New Roman"/>
          <w:snapToGrid w:val="0"/>
        </w:rPr>
      </w:pPr>
    </w:p>
    <w:p w14:paraId="729B1100" w14:textId="77777777" w:rsidR="00350BD0" w:rsidRPr="00350BD0" w:rsidRDefault="00350BD0" w:rsidP="00350BD0">
      <w:pPr>
        <w:numPr>
          <w:ilvl w:val="12"/>
          <w:numId w:val="0"/>
        </w:numPr>
        <w:tabs>
          <w:tab w:val="left" w:pos="567"/>
        </w:tabs>
        <w:spacing w:after="0" w:line="260" w:lineRule="exact"/>
        <w:ind w:right="-2"/>
        <w:rPr>
          <w:rFonts w:ascii="Times New Roman" w:eastAsia="Times New Roman" w:hAnsi="Times New Roman" w:cs="Times New Roman"/>
          <w:snapToGrid w:val="0"/>
        </w:rPr>
      </w:pPr>
      <w:r w:rsidRPr="00350BD0">
        <w:rPr>
          <w:rFonts w:ascii="Times New Roman" w:eastAsia="Times New Roman" w:hAnsi="Times New Roman" w:cs="Times New Roman"/>
          <w:b/>
          <w:snapToGrid w:val="0"/>
        </w:rPr>
        <w:t>Šis vaistas EEE valstybėse narėse registruotas tokiais pavadinimais</w:t>
      </w:r>
      <w:r w:rsidRPr="00B83DB0">
        <w:rPr>
          <w:rFonts w:ascii="Times New Roman" w:hAnsi="Times New Roman"/>
          <w: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7"/>
        <w:gridCol w:w="6613"/>
      </w:tblGrid>
      <w:tr w:rsidR="00350BD0" w:rsidRPr="00350BD0" w14:paraId="59CE9462" w14:textId="77777777" w:rsidTr="005B5AD8">
        <w:tc>
          <w:tcPr>
            <w:tcW w:w="2529" w:type="dxa"/>
            <w:shd w:val="clear" w:color="auto" w:fill="auto"/>
          </w:tcPr>
          <w:p w14:paraId="41E82EB3" w14:textId="77777777" w:rsidR="00350BD0" w:rsidRPr="00350BD0" w:rsidRDefault="00350BD0" w:rsidP="00350BD0">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Čekija</w:t>
            </w:r>
          </w:p>
        </w:tc>
        <w:tc>
          <w:tcPr>
            <w:tcW w:w="6757" w:type="dxa"/>
            <w:shd w:val="clear" w:color="auto" w:fill="auto"/>
          </w:tcPr>
          <w:p w14:paraId="0354730E" w14:textId="77777777" w:rsidR="00350BD0" w:rsidRPr="00350BD0" w:rsidRDefault="00350BD0" w:rsidP="00350BD0">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bCs/>
                <w:snapToGrid w:val="0"/>
                <w:szCs w:val="20"/>
                <w:lang w:val="lv-LV"/>
              </w:rPr>
              <w:t>Tedez</w:t>
            </w:r>
          </w:p>
        </w:tc>
      </w:tr>
      <w:tr w:rsidR="00350BD0" w:rsidRPr="00350BD0" w14:paraId="01E887F2" w14:textId="77777777" w:rsidTr="005B5AD8">
        <w:tc>
          <w:tcPr>
            <w:tcW w:w="2529" w:type="dxa"/>
            <w:shd w:val="clear" w:color="auto" w:fill="auto"/>
          </w:tcPr>
          <w:p w14:paraId="651F6B90" w14:textId="77777777" w:rsidR="00350BD0" w:rsidRPr="00350BD0" w:rsidRDefault="00350BD0" w:rsidP="00350BD0">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Danija</w:t>
            </w:r>
          </w:p>
        </w:tc>
        <w:tc>
          <w:tcPr>
            <w:tcW w:w="6757" w:type="dxa"/>
            <w:shd w:val="clear" w:color="auto" w:fill="auto"/>
          </w:tcPr>
          <w:p w14:paraId="016E5CBE" w14:textId="77777777" w:rsidR="00350BD0" w:rsidRPr="00350BD0" w:rsidRDefault="00350BD0" w:rsidP="00350BD0">
            <w:pPr>
              <w:tabs>
                <w:tab w:val="left" w:pos="567"/>
              </w:tabs>
              <w:spacing w:after="0" w:line="240" w:lineRule="auto"/>
              <w:rPr>
                <w:rFonts w:ascii="Times New Roman" w:eastAsia="Times New Roman" w:hAnsi="Times New Roman" w:cs="Times New Roman"/>
                <w:bCs/>
                <w:snapToGrid w:val="0"/>
                <w:szCs w:val="20"/>
                <w:lang w:val="lv-LV"/>
              </w:rPr>
            </w:pPr>
            <w:r w:rsidRPr="00350BD0">
              <w:rPr>
                <w:rFonts w:ascii="Times New Roman" w:eastAsia="Times New Roman" w:hAnsi="Times New Roman" w:cs="Times New Roman"/>
                <w:bCs/>
                <w:snapToGrid w:val="0"/>
                <w:szCs w:val="20"/>
                <w:lang w:val="lv-LV"/>
              </w:rPr>
              <w:t>Dutasteride/Tamsulosina Yes Pharma 0,5 mg/0,4 mg hard capsule</w:t>
            </w:r>
          </w:p>
        </w:tc>
      </w:tr>
      <w:tr w:rsidR="00350BD0" w:rsidRPr="00350BD0" w14:paraId="71341E78" w14:textId="77777777" w:rsidTr="005B5AD8">
        <w:tc>
          <w:tcPr>
            <w:tcW w:w="2529" w:type="dxa"/>
            <w:shd w:val="clear" w:color="auto" w:fill="auto"/>
          </w:tcPr>
          <w:p w14:paraId="50B3F4C1" w14:textId="77777777" w:rsidR="00350BD0" w:rsidRPr="00350BD0" w:rsidRDefault="00350BD0" w:rsidP="00350BD0">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Estija</w:t>
            </w:r>
          </w:p>
        </w:tc>
        <w:tc>
          <w:tcPr>
            <w:tcW w:w="6757" w:type="dxa"/>
            <w:shd w:val="clear" w:color="auto" w:fill="auto"/>
          </w:tcPr>
          <w:p w14:paraId="22C16B0A" w14:textId="6787E773" w:rsidR="00350BD0" w:rsidRPr="00350BD0" w:rsidRDefault="00350BD0" w:rsidP="00350BD0">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bCs/>
                <w:snapToGrid w:val="0"/>
                <w:szCs w:val="20"/>
                <w:lang w:val="lv-LV"/>
              </w:rPr>
              <w:t xml:space="preserve">Dutasteride/Tamsulosin </w:t>
            </w:r>
            <w:r w:rsidR="00AC240B">
              <w:rPr>
                <w:rFonts w:ascii="Times New Roman" w:eastAsia="Times New Roman" w:hAnsi="Times New Roman" w:cs="Times New Roman"/>
                <w:bCs/>
                <w:snapToGrid w:val="0"/>
                <w:szCs w:val="20"/>
                <w:lang w:val="lv-LV"/>
              </w:rPr>
              <w:t>Olpha</w:t>
            </w:r>
          </w:p>
        </w:tc>
      </w:tr>
      <w:tr w:rsidR="00350BD0" w:rsidRPr="00350BD0" w14:paraId="179E078D" w14:textId="77777777" w:rsidTr="005B5AD8">
        <w:tc>
          <w:tcPr>
            <w:tcW w:w="2529" w:type="dxa"/>
            <w:shd w:val="clear" w:color="auto" w:fill="auto"/>
          </w:tcPr>
          <w:p w14:paraId="7781D880" w14:textId="77777777" w:rsidR="00350BD0" w:rsidRPr="00350BD0" w:rsidRDefault="00350BD0" w:rsidP="00350BD0">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Lietuva</w:t>
            </w:r>
          </w:p>
        </w:tc>
        <w:tc>
          <w:tcPr>
            <w:tcW w:w="6757" w:type="dxa"/>
            <w:shd w:val="clear" w:color="auto" w:fill="auto"/>
          </w:tcPr>
          <w:p w14:paraId="4B5BB0E4" w14:textId="63C71226" w:rsidR="00350BD0" w:rsidRPr="00350BD0" w:rsidRDefault="00350BD0" w:rsidP="00350BD0">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bCs/>
                <w:snapToGrid w:val="0"/>
                <w:szCs w:val="20"/>
                <w:lang w:val="lv-LV"/>
              </w:rPr>
              <w:t xml:space="preserve">Dutasteride/Tamsulosin </w:t>
            </w:r>
            <w:r w:rsidR="00AC240B">
              <w:rPr>
                <w:rFonts w:ascii="Times New Roman" w:eastAsia="Times New Roman" w:hAnsi="Times New Roman" w:cs="Times New Roman"/>
                <w:bCs/>
                <w:snapToGrid w:val="0"/>
                <w:szCs w:val="20"/>
                <w:lang w:val="lv-LV"/>
              </w:rPr>
              <w:t>Olpha</w:t>
            </w:r>
          </w:p>
        </w:tc>
      </w:tr>
      <w:tr w:rsidR="00350BD0" w:rsidRPr="00350BD0" w14:paraId="1F788E0A" w14:textId="77777777" w:rsidTr="005B5AD8">
        <w:tc>
          <w:tcPr>
            <w:tcW w:w="2529" w:type="dxa"/>
            <w:shd w:val="clear" w:color="auto" w:fill="auto"/>
          </w:tcPr>
          <w:p w14:paraId="24947534" w14:textId="77777777" w:rsidR="00350BD0" w:rsidRPr="00350BD0" w:rsidRDefault="00350BD0" w:rsidP="00350BD0">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Latvija</w:t>
            </w:r>
          </w:p>
        </w:tc>
        <w:tc>
          <w:tcPr>
            <w:tcW w:w="6757" w:type="dxa"/>
            <w:shd w:val="clear" w:color="auto" w:fill="auto"/>
          </w:tcPr>
          <w:p w14:paraId="6E612295" w14:textId="671020CE" w:rsidR="00350BD0" w:rsidRPr="00350BD0" w:rsidRDefault="00350BD0" w:rsidP="00350BD0">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bCs/>
                <w:snapToGrid w:val="0"/>
                <w:szCs w:val="20"/>
                <w:lang w:val="lv-LV"/>
              </w:rPr>
              <w:t xml:space="preserve">Dutasteride/Tamsulosin </w:t>
            </w:r>
            <w:r w:rsidR="00AC240B">
              <w:rPr>
                <w:rFonts w:ascii="Times New Roman" w:eastAsia="Times New Roman" w:hAnsi="Times New Roman" w:cs="Times New Roman"/>
                <w:bCs/>
                <w:snapToGrid w:val="0"/>
                <w:szCs w:val="20"/>
                <w:lang w:val="lv-LV"/>
              </w:rPr>
              <w:t>Olpha</w:t>
            </w:r>
          </w:p>
        </w:tc>
      </w:tr>
      <w:tr w:rsidR="00350BD0" w:rsidRPr="00350BD0" w14:paraId="5A4F0404" w14:textId="77777777" w:rsidTr="005B5AD8">
        <w:tc>
          <w:tcPr>
            <w:tcW w:w="2529" w:type="dxa"/>
            <w:shd w:val="clear" w:color="auto" w:fill="auto"/>
          </w:tcPr>
          <w:p w14:paraId="6EEDDC4A" w14:textId="77777777" w:rsidR="00350BD0" w:rsidRPr="00350BD0" w:rsidRDefault="00350BD0" w:rsidP="00350BD0">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Kipras</w:t>
            </w:r>
          </w:p>
        </w:tc>
        <w:tc>
          <w:tcPr>
            <w:tcW w:w="6757" w:type="dxa"/>
            <w:shd w:val="clear" w:color="auto" w:fill="auto"/>
          </w:tcPr>
          <w:p w14:paraId="3628E7BD" w14:textId="77777777" w:rsidR="00350BD0" w:rsidRPr="00350BD0" w:rsidRDefault="00350BD0" w:rsidP="00350BD0">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DUTASTERIDE+TAMSULOSIN/THAMA</w:t>
            </w:r>
          </w:p>
        </w:tc>
      </w:tr>
      <w:tr w:rsidR="00350BD0" w:rsidRPr="00350BD0" w14:paraId="69133C61" w14:textId="77777777" w:rsidTr="005B5AD8">
        <w:tc>
          <w:tcPr>
            <w:tcW w:w="2529" w:type="dxa"/>
            <w:shd w:val="clear" w:color="auto" w:fill="auto"/>
          </w:tcPr>
          <w:p w14:paraId="2459FCCC" w14:textId="77777777" w:rsidR="00350BD0" w:rsidRPr="00350BD0" w:rsidRDefault="00350BD0" w:rsidP="00350BD0">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Graikija</w:t>
            </w:r>
          </w:p>
        </w:tc>
        <w:tc>
          <w:tcPr>
            <w:tcW w:w="6757" w:type="dxa"/>
            <w:shd w:val="clear" w:color="auto" w:fill="auto"/>
          </w:tcPr>
          <w:p w14:paraId="2B43F4CE" w14:textId="77777777" w:rsidR="00350BD0" w:rsidRPr="00350BD0" w:rsidRDefault="00350BD0" w:rsidP="00350BD0">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DUTASTERIDE+TAMSULOSIN/THAMA</w:t>
            </w:r>
          </w:p>
        </w:tc>
      </w:tr>
      <w:tr w:rsidR="00350BD0" w:rsidRPr="00350BD0" w14:paraId="75112B95" w14:textId="77777777" w:rsidTr="005B5AD8">
        <w:tc>
          <w:tcPr>
            <w:tcW w:w="2529" w:type="dxa"/>
            <w:shd w:val="clear" w:color="auto" w:fill="auto"/>
          </w:tcPr>
          <w:p w14:paraId="22004243" w14:textId="77777777" w:rsidR="00350BD0" w:rsidRPr="00350BD0" w:rsidRDefault="00350BD0" w:rsidP="00350BD0">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Slov</w:t>
            </w:r>
            <w:r w:rsidRPr="00350BD0">
              <w:rPr>
                <w:rFonts w:ascii="Times New Roman" w:eastAsia="Times New Roman" w:hAnsi="Times New Roman" w:cs="Times New Roman"/>
                <w:snapToGrid w:val="0"/>
                <w:szCs w:val="20"/>
              </w:rPr>
              <w:t>ė</w:t>
            </w:r>
            <w:r w:rsidRPr="00350BD0">
              <w:rPr>
                <w:rFonts w:ascii="Times New Roman" w:eastAsia="Times New Roman" w:hAnsi="Times New Roman" w:cs="Times New Roman"/>
                <w:snapToGrid w:val="0"/>
                <w:szCs w:val="20"/>
                <w:lang w:val="lv-LV"/>
              </w:rPr>
              <w:t>nija</w:t>
            </w:r>
          </w:p>
        </w:tc>
        <w:tc>
          <w:tcPr>
            <w:tcW w:w="6757" w:type="dxa"/>
            <w:shd w:val="clear" w:color="auto" w:fill="auto"/>
          </w:tcPr>
          <w:p w14:paraId="7EFAC2D4" w14:textId="77777777" w:rsidR="00350BD0" w:rsidRPr="00350BD0" w:rsidRDefault="00350BD0" w:rsidP="00350BD0">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Amdut Combo 0,5 mg/0,4 mg trde kapsule</w:t>
            </w:r>
          </w:p>
        </w:tc>
      </w:tr>
      <w:tr w:rsidR="00350BD0" w:rsidRPr="00350BD0" w14:paraId="623E6C54" w14:textId="77777777" w:rsidTr="005B5AD8">
        <w:tc>
          <w:tcPr>
            <w:tcW w:w="2529" w:type="dxa"/>
            <w:shd w:val="clear" w:color="auto" w:fill="auto"/>
          </w:tcPr>
          <w:p w14:paraId="2EC1FAFA" w14:textId="77777777" w:rsidR="00350BD0" w:rsidRPr="00350BD0" w:rsidRDefault="00350BD0" w:rsidP="00350BD0">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snapToGrid w:val="0"/>
                <w:szCs w:val="20"/>
                <w:lang w:val="lv-LV"/>
              </w:rPr>
              <w:t>Slovakija</w:t>
            </w:r>
          </w:p>
        </w:tc>
        <w:tc>
          <w:tcPr>
            <w:tcW w:w="6757" w:type="dxa"/>
            <w:shd w:val="clear" w:color="auto" w:fill="auto"/>
          </w:tcPr>
          <w:p w14:paraId="62C6086F" w14:textId="77777777" w:rsidR="00350BD0" w:rsidRPr="00350BD0" w:rsidRDefault="00350BD0" w:rsidP="00350BD0">
            <w:pPr>
              <w:tabs>
                <w:tab w:val="left" w:pos="567"/>
              </w:tabs>
              <w:spacing w:after="0" w:line="240" w:lineRule="auto"/>
              <w:rPr>
                <w:rFonts w:ascii="Times New Roman" w:eastAsia="Times New Roman" w:hAnsi="Times New Roman" w:cs="Times New Roman"/>
                <w:snapToGrid w:val="0"/>
                <w:szCs w:val="20"/>
                <w:lang w:val="lv-LV"/>
              </w:rPr>
            </w:pPr>
            <w:r w:rsidRPr="00350BD0">
              <w:rPr>
                <w:rFonts w:ascii="Times New Roman" w:eastAsia="Times New Roman" w:hAnsi="Times New Roman" w:cs="Times New Roman"/>
                <w:bCs/>
                <w:snapToGrid w:val="0"/>
                <w:szCs w:val="20"/>
                <w:lang w:val="lv-LV"/>
              </w:rPr>
              <w:t>Tedez</w:t>
            </w:r>
          </w:p>
        </w:tc>
      </w:tr>
    </w:tbl>
    <w:p w14:paraId="0FCEC2D6" w14:textId="77777777" w:rsidR="00350BD0" w:rsidRPr="00350BD0" w:rsidRDefault="00350BD0" w:rsidP="00350BD0">
      <w:pPr>
        <w:tabs>
          <w:tab w:val="left" w:pos="567"/>
        </w:tabs>
        <w:spacing w:after="0" w:line="260" w:lineRule="exact"/>
        <w:ind w:left="567" w:hanging="567"/>
        <w:rPr>
          <w:rFonts w:ascii="Times New Roman" w:eastAsia="Times New Roman" w:hAnsi="Times New Roman" w:cs="Times New Roman"/>
          <w:snapToGrid w:val="0"/>
        </w:rPr>
      </w:pPr>
    </w:p>
    <w:p w14:paraId="0A1549F0" w14:textId="70C77957" w:rsidR="00350BD0" w:rsidRPr="00350BD0" w:rsidRDefault="00350BD0" w:rsidP="00350BD0">
      <w:pPr>
        <w:numPr>
          <w:ilvl w:val="12"/>
          <w:numId w:val="0"/>
        </w:numPr>
        <w:spacing w:after="0" w:line="240" w:lineRule="auto"/>
        <w:ind w:right="-2"/>
        <w:rPr>
          <w:rFonts w:ascii="Times New Roman" w:eastAsia="Times New Roman" w:hAnsi="Times New Roman" w:cs="Times New Roman"/>
          <w:b/>
          <w:snapToGrid w:val="0"/>
        </w:rPr>
      </w:pPr>
      <w:r w:rsidRPr="00350BD0">
        <w:rPr>
          <w:rFonts w:ascii="Times New Roman" w:eastAsia="Times New Roman" w:hAnsi="Times New Roman" w:cs="Times New Roman"/>
          <w:b/>
          <w:snapToGrid w:val="0"/>
        </w:rPr>
        <w:t>Šis pakuotės lapelis paskutinį kartą peržiūrėtas</w:t>
      </w:r>
      <w:r w:rsidR="00F870E2">
        <w:rPr>
          <w:rFonts w:ascii="Times New Roman" w:eastAsia="Times New Roman" w:hAnsi="Times New Roman" w:cs="Times New Roman"/>
          <w:b/>
          <w:snapToGrid w:val="0"/>
        </w:rPr>
        <w:t xml:space="preserve"> </w:t>
      </w:r>
      <w:r w:rsidR="00062F53">
        <w:rPr>
          <w:rFonts w:ascii="Times New Roman" w:eastAsia="Times New Roman" w:hAnsi="Times New Roman" w:cs="Times New Roman"/>
          <w:b/>
          <w:snapToGrid w:val="0"/>
        </w:rPr>
        <w:t>2025-</w:t>
      </w:r>
      <w:r w:rsidR="00856F69">
        <w:rPr>
          <w:rFonts w:ascii="Times New Roman" w:eastAsia="Times New Roman" w:hAnsi="Times New Roman" w:cs="Times New Roman"/>
          <w:b/>
          <w:snapToGrid w:val="0"/>
        </w:rPr>
        <w:t>0</w:t>
      </w:r>
      <w:r w:rsidR="00B555D6">
        <w:rPr>
          <w:rFonts w:ascii="Times New Roman" w:eastAsia="Times New Roman" w:hAnsi="Times New Roman" w:cs="Times New Roman"/>
          <w:b/>
          <w:snapToGrid w:val="0"/>
        </w:rPr>
        <w:t>5</w:t>
      </w:r>
      <w:r w:rsidR="00856F69">
        <w:rPr>
          <w:rFonts w:ascii="Times New Roman" w:eastAsia="Times New Roman" w:hAnsi="Times New Roman" w:cs="Times New Roman"/>
          <w:b/>
          <w:snapToGrid w:val="0"/>
        </w:rPr>
        <w:t>-14</w:t>
      </w:r>
      <w:r w:rsidR="00B83DB0">
        <w:rPr>
          <w:rFonts w:ascii="Times New Roman" w:eastAsia="Times New Roman" w:hAnsi="Times New Roman" w:cs="Times New Roman"/>
          <w:b/>
          <w:snapToGrid w:val="0"/>
        </w:rPr>
        <w:t>.</w:t>
      </w:r>
    </w:p>
    <w:p w14:paraId="6DC22685" w14:textId="77777777" w:rsidR="00350BD0" w:rsidRPr="00350BD0" w:rsidRDefault="00350BD0" w:rsidP="00350BD0">
      <w:pPr>
        <w:numPr>
          <w:ilvl w:val="12"/>
          <w:numId w:val="0"/>
        </w:numPr>
        <w:tabs>
          <w:tab w:val="left" w:pos="567"/>
        </w:tabs>
        <w:spacing w:after="0" w:line="240" w:lineRule="auto"/>
        <w:ind w:right="-2"/>
        <w:rPr>
          <w:rFonts w:ascii="Times New Roman" w:eastAsia="Times New Roman" w:hAnsi="Times New Roman" w:cs="Times New Roman"/>
          <w:i/>
          <w:snapToGrid w:val="0"/>
          <w:color w:val="008000"/>
        </w:rPr>
      </w:pPr>
    </w:p>
    <w:p w14:paraId="4C4CAE35" w14:textId="77777777" w:rsidR="00350BD0" w:rsidRPr="00350BD0" w:rsidRDefault="00350BD0" w:rsidP="00350BD0">
      <w:pPr>
        <w:numPr>
          <w:ilvl w:val="12"/>
          <w:numId w:val="0"/>
        </w:numPr>
        <w:tabs>
          <w:tab w:val="left" w:pos="567"/>
        </w:tabs>
        <w:spacing w:after="0" w:line="240" w:lineRule="auto"/>
        <w:ind w:right="-2"/>
        <w:rPr>
          <w:rFonts w:ascii="Times New Roman" w:eastAsia="Times New Roman" w:hAnsi="Times New Roman" w:cs="Times New Roman"/>
          <w:snapToGrid w:val="0"/>
        </w:rPr>
      </w:pPr>
    </w:p>
    <w:p w14:paraId="34C404B1" w14:textId="68D03E2F" w:rsidR="00350BD0" w:rsidRPr="00350BD0" w:rsidRDefault="00350BD0" w:rsidP="00350BD0">
      <w:pPr>
        <w:tabs>
          <w:tab w:val="left" w:pos="567"/>
        </w:tabs>
        <w:spacing w:after="0" w:line="240" w:lineRule="auto"/>
        <w:contextualSpacing/>
        <w:outlineLvl w:val="0"/>
        <w:rPr>
          <w:rFonts w:ascii="Times New Roman" w:eastAsia="Times New Roman" w:hAnsi="Times New Roman" w:cs="Times New Roman"/>
          <w:snapToGrid w:val="0"/>
          <w:color w:val="0000FF"/>
          <w:szCs w:val="20"/>
          <w:u w:val="single"/>
        </w:rPr>
      </w:pPr>
      <w:r w:rsidRPr="00350BD0">
        <w:rPr>
          <w:rFonts w:ascii="Times New Roman" w:eastAsia="Times New Roman" w:hAnsi="Times New Roman" w:cs="Times New Roman"/>
          <w:snapToGrid w:val="0"/>
          <w:szCs w:val="20"/>
        </w:rPr>
        <w:t xml:space="preserve">Išsami infomacija apie šį vaistą pateikiama Valstybinės vaistų kontrolės tarnybos prie Lietuvos Respublikos sveikatos apsaugos ministerijos tinklalapyje </w:t>
      </w:r>
      <w:hyperlink r:id="rId8" w:history="1">
        <w:r w:rsidR="00B555D6" w:rsidRPr="009F6BD7">
          <w:rPr>
            <w:rStyle w:val="Hipersaitas"/>
            <w:rFonts w:ascii="Times New Roman" w:eastAsia="SimSun" w:hAnsi="Times New Roman"/>
            <w:noProof/>
          </w:rPr>
          <w:t>https://</w:t>
        </w:r>
        <w:r w:rsidR="00B555D6" w:rsidRPr="009F6BD7">
          <w:rPr>
            <w:rStyle w:val="Hipersaitas"/>
            <w:rFonts w:ascii="Times New Roman" w:eastAsia="SimSun" w:hAnsi="Times New Roman"/>
          </w:rPr>
          <w:t>vvkt.lrv.lt/lt</w:t>
        </w:r>
      </w:hyperlink>
      <w:r w:rsidR="00B555D6" w:rsidRPr="009F6BD7">
        <w:rPr>
          <w:rFonts w:ascii="Times New Roman" w:hAnsi="Times New Roman"/>
        </w:rPr>
        <w:t>.</w:t>
      </w:r>
    </w:p>
    <w:bookmarkEnd w:id="15"/>
    <w:p w14:paraId="5EF4C12E" w14:textId="77777777" w:rsidR="00350BD0" w:rsidRPr="00350BD0" w:rsidRDefault="00350BD0" w:rsidP="00350BD0">
      <w:pPr>
        <w:numPr>
          <w:ilvl w:val="12"/>
          <w:numId w:val="0"/>
        </w:numPr>
        <w:tabs>
          <w:tab w:val="left" w:pos="567"/>
        </w:tabs>
        <w:spacing w:after="0" w:line="240" w:lineRule="auto"/>
        <w:ind w:right="-2"/>
        <w:rPr>
          <w:rFonts w:ascii="Times New Roman" w:eastAsia="Times New Roman" w:hAnsi="Times New Roman" w:cs="Times New Roman"/>
          <w:snapToGrid w:val="0"/>
        </w:rPr>
      </w:pPr>
    </w:p>
    <w:p w14:paraId="6EA3FB78" w14:textId="77777777" w:rsidR="00F051A9" w:rsidRDefault="00F051A9"/>
    <w:sectPr w:rsidR="00F051A9" w:rsidSect="005B5AD8">
      <w:headerReference w:type="default" r:id="rId9"/>
      <w:footerReference w:type="default" r:id="rId10"/>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5D5189" w14:textId="77777777" w:rsidR="00232352" w:rsidRDefault="00232352">
      <w:pPr>
        <w:spacing w:after="0" w:line="240" w:lineRule="auto"/>
      </w:pPr>
      <w:r>
        <w:separator/>
      </w:r>
    </w:p>
  </w:endnote>
  <w:endnote w:type="continuationSeparator" w:id="0">
    <w:p w14:paraId="6C0FE71F" w14:textId="77777777" w:rsidR="00232352" w:rsidRDefault="00232352">
      <w:pPr>
        <w:spacing w:after="0" w:line="240" w:lineRule="auto"/>
      </w:pPr>
      <w:r>
        <w:continuationSeparator/>
      </w:r>
    </w:p>
  </w:endnote>
  <w:endnote w:type="continuationNotice" w:id="1">
    <w:p w14:paraId="7B7D9476" w14:textId="77777777" w:rsidR="00232352" w:rsidRDefault="0023235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694B49" w14:textId="4DD3DD82" w:rsidR="00567E71" w:rsidRDefault="00567E71">
    <w:pPr>
      <w:pStyle w:val="Porat"/>
      <w:jc w:val="center"/>
    </w:pPr>
    <w:r>
      <w:fldChar w:fldCharType="begin"/>
    </w:r>
    <w:r>
      <w:instrText>PAGE   \* MERGEFORMAT</w:instrText>
    </w:r>
    <w:r>
      <w:fldChar w:fldCharType="separate"/>
    </w:r>
    <w:r w:rsidR="00A25FD5" w:rsidRPr="00A25FD5">
      <w:rPr>
        <w:noProof/>
        <w:lang w:val="lt-LT"/>
      </w:rPr>
      <w:t>2</w:t>
    </w:r>
    <w:r>
      <w:fldChar w:fldCharType="end"/>
    </w:r>
  </w:p>
  <w:p w14:paraId="477A06E3" w14:textId="77777777" w:rsidR="00567E71" w:rsidRDefault="00567E7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44677A" w14:textId="77777777" w:rsidR="00232352" w:rsidRDefault="00232352">
      <w:pPr>
        <w:spacing w:after="0" w:line="240" w:lineRule="auto"/>
      </w:pPr>
      <w:r>
        <w:separator/>
      </w:r>
    </w:p>
  </w:footnote>
  <w:footnote w:type="continuationSeparator" w:id="0">
    <w:p w14:paraId="0A22DB99" w14:textId="77777777" w:rsidR="00232352" w:rsidRDefault="00232352">
      <w:pPr>
        <w:spacing w:after="0" w:line="240" w:lineRule="auto"/>
      </w:pPr>
      <w:r>
        <w:continuationSeparator/>
      </w:r>
    </w:p>
  </w:footnote>
  <w:footnote w:type="continuationNotice" w:id="1">
    <w:p w14:paraId="56D3E28B" w14:textId="77777777" w:rsidR="00232352" w:rsidRDefault="0023235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420074" w14:textId="77777777" w:rsidR="00062F53" w:rsidRDefault="00062F5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6A770BF"/>
    <w:multiLevelType w:val="hybridMultilevel"/>
    <w:tmpl w:val="322C2F9A"/>
    <w:lvl w:ilvl="0" w:tplc="8F2E38F4">
      <w:start w:val="1"/>
      <w:numFmt w:val="lowerLetter"/>
      <w:lvlText w:val="%1."/>
      <w:lvlJc w:val="left"/>
      <w:pPr>
        <w:ind w:left="1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superscript"/>
      </w:rPr>
    </w:lvl>
    <w:lvl w:ilvl="1" w:tplc="495A5AF2">
      <w:start w:val="1"/>
      <w:numFmt w:val="lowerLetter"/>
      <w:lvlText w:val="%2"/>
      <w:lvlJc w:val="left"/>
      <w:pPr>
        <w:ind w:left="10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superscript"/>
      </w:rPr>
    </w:lvl>
    <w:lvl w:ilvl="2" w:tplc="5B7ACA32">
      <w:start w:val="1"/>
      <w:numFmt w:val="lowerRoman"/>
      <w:lvlText w:val="%3"/>
      <w:lvlJc w:val="left"/>
      <w:pPr>
        <w:ind w:left="18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superscript"/>
      </w:rPr>
    </w:lvl>
    <w:lvl w:ilvl="3" w:tplc="5F14EEA0">
      <w:start w:val="1"/>
      <w:numFmt w:val="decimal"/>
      <w:lvlText w:val="%4"/>
      <w:lvlJc w:val="left"/>
      <w:pPr>
        <w:ind w:left="25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superscript"/>
      </w:rPr>
    </w:lvl>
    <w:lvl w:ilvl="4" w:tplc="F23CAD02">
      <w:start w:val="1"/>
      <w:numFmt w:val="lowerLetter"/>
      <w:lvlText w:val="%5"/>
      <w:lvlJc w:val="left"/>
      <w:pPr>
        <w:ind w:left="324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superscript"/>
      </w:rPr>
    </w:lvl>
    <w:lvl w:ilvl="5" w:tplc="9A04090E">
      <w:start w:val="1"/>
      <w:numFmt w:val="lowerRoman"/>
      <w:lvlText w:val="%6"/>
      <w:lvlJc w:val="left"/>
      <w:pPr>
        <w:ind w:left="396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superscript"/>
      </w:rPr>
    </w:lvl>
    <w:lvl w:ilvl="6" w:tplc="9A74C6AA">
      <w:start w:val="1"/>
      <w:numFmt w:val="decimal"/>
      <w:lvlText w:val="%7"/>
      <w:lvlJc w:val="left"/>
      <w:pPr>
        <w:ind w:left="468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superscript"/>
      </w:rPr>
    </w:lvl>
    <w:lvl w:ilvl="7" w:tplc="24846746">
      <w:start w:val="1"/>
      <w:numFmt w:val="lowerLetter"/>
      <w:lvlText w:val="%8"/>
      <w:lvlJc w:val="left"/>
      <w:pPr>
        <w:ind w:left="540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superscript"/>
      </w:rPr>
    </w:lvl>
    <w:lvl w:ilvl="8" w:tplc="66AEA0CC">
      <w:start w:val="1"/>
      <w:numFmt w:val="lowerRoman"/>
      <w:lvlText w:val="%9"/>
      <w:lvlJc w:val="left"/>
      <w:pPr>
        <w:ind w:left="6120"/>
      </w:pPr>
      <w:rPr>
        <w:rFonts w:ascii="Times New Roman" w:eastAsia="Times New Roman" w:hAnsi="Times New Roman" w:cs="Times New Roman"/>
        <w:b w:val="0"/>
        <w:i w:val="0"/>
        <w:strike w:val="0"/>
        <w:dstrike w:val="0"/>
        <w:color w:val="000000"/>
        <w:sz w:val="21"/>
        <w:szCs w:val="21"/>
        <w:u w:val="none" w:color="000000"/>
        <w:bdr w:val="none" w:sz="0" w:space="0" w:color="auto"/>
        <w:shd w:val="clear" w:color="auto" w:fill="auto"/>
        <w:vertAlign w:val="superscrip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0EE3D5B"/>
    <w:multiLevelType w:val="hybridMultilevel"/>
    <w:tmpl w:val="25A46FC8"/>
    <w:lvl w:ilvl="0" w:tplc="B71E8EBE">
      <w:start w:val="1"/>
      <w:numFmt w:val="bullet"/>
      <w:lvlText w:val="-"/>
      <w:lvlJc w:val="left"/>
      <w:pPr>
        <w:tabs>
          <w:tab w:val="num" w:pos="360"/>
        </w:tabs>
        <w:ind w:left="360" w:hanging="360"/>
      </w:pPr>
      <w:rPr>
        <w:rFonts w:ascii="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E6D7E98"/>
    <w:multiLevelType w:val="hybridMultilevel"/>
    <w:tmpl w:val="A85AEF26"/>
    <w:lvl w:ilvl="0" w:tplc="B71E8EBE">
      <w:start w:val="1"/>
      <w:numFmt w:val="bullet"/>
      <w:lvlText w:val="-"/>
      <w:lvlJc w:val="left"/>
      <w:pPr>
        <w:tabs>
          <w:tab w:val="num" w:pos="360"/>
        </w:tabs>
        <w:ind w:left="360" w:hanging="360"/>
      </w:pPr>
      <w:rPr>
        <w:rFonts w:ascii="Times New Roman" w:hAnsi="Times New Roman" w:cs="Times New Roman"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2333022"/>
    <w:multiLevelType w:val="hybridMultilevel"/>
    <w:tmpl w:val="20023B26"/>
    <w:lvl w:ilvl="0" w:tplc="FE20D7B6">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8BE41E8"/>
    <w:multiLevelType w:val="hybridMultilevel"/>
    <w:tmpl w:val="49164372"/>
    <w:lvl w:ilvl="0" w:tplc="4EBE26D2">
      <w:start w:val="1"/>
      <w:numFmt w:val="bullet"/>
      <w:lvlText w:val="-"/>
      <w:lvlJc w:val="left"/>
      <w:pPr>
        <w:ind w:left="720" w:hanging="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7"/>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5"/>
  </w:num>
  <w:num w:numId="7">
    <w:abstractNumId w:val="1"/>
  </w:num>
  <w:num w:numId="8">
    <w:abstractNumId w:val="4"/>
  </w:num>
  <w:num w:numId="9">
    <w:abstractNumId w:val="3"/>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8"/>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67A2"/>
    <w:rsid w:val="00062F53"/>
    <w:rsid w:val="00072B63"/>
    <w:rsid w:val="000C1FF0"/>
    <w:rsid w:val="00133187"/>
    <w:rsid w:val="001427D8"/>
    <w:rsid w:val="00206ADD"/>
    <w:rsid w:val="00223915"/>
    <w:rsid w:val="00232352"/>
    <w:rsid w:val="0026469B"/>
    <w:rsid w:val="002C1808"/>
    <w:rsid w:val="002E5B77"/>
    <w:rsid w:val="00322ED2"/>
    <w:rsid w:val="00344F6A"/>
    <w:rsid w:val="00350BD0"/>
    <w:rsid w:val="003515E1"/>
    <w:rsid w:val="00371352"/>
    <w:rsid w:val="003931A9"/>
    <w:rsid w:val="003F3F71"/>
    <w:rsid w:val="004259F6"/>
    <w:rsid w:val="0044637D"/>
    <w:rsid w:val="004621F9"/>
    <w:rsid w:val="00465C39"/>
    <w:rsid w:val="00474AAA"/>
    <w:rsid w:val="00475E69"/>
    <w:rsid w:val="004A5AA4"/>
    <w:rsid w:val="00511359"/>
    <w:rsid w:val="00515B7B"/>
    <w:rsid w:val="00567E71"/>
    <w:rsid w:val="005B5AD8"/>
    <w:rsid w:val="006141FA"/>
    <w:rsid w:val="006E524A"/>
    <w:rsid w:val="00700705"/>
    <w:rsid w:val="00714386"/>
    <w:rsid w:val="00752FFC"/>
    <w:rsid w:val="007672E6"/>
    <w:rsid w:val="00783FD7"/>
    <w:rsid w:val="007A5F9A"/>
    <w:rsid w:val="007C60D4"/>
    <w:rsid w:val="007E32E4"/>
    <w:rsid w:val="00817019"/>
    <w:rsid w:val="00830110"/>
    <w:rsid w:val="00856F69"/>
    <w:rsid w:val="00867D7D"/>
    <w:rsid w:val="008757B4"/>
    <w:rsid w:val="008839B0"/>
    <w:rsid w:val="008D0D47"/>
    <w:rsid w:val="008D63E5"/>
    <w:rsid w:val="00911A00"/>
    <w:rsid w:val="00915E7C"/>
    <w:rsid w:val="009D20C0"/>
    <w:rsid w:val="009E25C8"/>
    <w:rsid w:val="00A16C50"/>
    <w:rsid w:val="00A21C13"/>
    <w:rsid w:val="00A25FD5"/>
    <w:rsid w:val="00A4514F"/>
    <w:rsid w:val="00A90D7A"/>
    <w:rsid w:val="00AC240B"/>
    <w:rsid w:val="00B555D6"/>
    <w:rsid w:val="00B57C22"/>
    <w:rsid w:val="00B65AE0"/>
    <w:rsid w:val="00B66AF4"/>
    <w:rsid w:val="00B83DB0"/>
    <w:rsid w:val="00C00B39"/>
    <w:rsid w:val="00C02D81"/>
    <w:rsid w:val="00C44C92"/>
    <w:rsid w:val="00C61086"/>
    <w:rsid w:val="00C7669C"/>
    <w:rsid w:val="00C960F5"/>
    <w:rsid w:val="00D643E9"/>
    <w:rsid w:val="00D72A11"/>
    <w:rsid w:val="00D813E8"/>
    <w:rsid w:val="00DE67A2"/>
    <w:rsid w:val="00E1163F"/>
    <w:rsid w:val="00EC4CE7"/>
    <w:rsid w:val="00F051A9"/>
    <w:rsid w:val="00F35DC8"/>
    <w:rsid w:val="00F44CE6"/>
    <w:rsid w:val="00F870E2"/>
    <w:rsid w:val="00FC1EC8"/>
    <w:rsid w:val="00FC59F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E33A2"/>
  <w15:chartTrackingRefBased/>
  <w15:docId w15:val="{7C915E89-5AB7-473C-ABBF-B0967C323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rsid w:val="00350BD0"/>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eastAsia="x-none"/>
    </w:rPr>
  </w:style>
  <w:style w:type="paragraph" w:styleId="Antrat2">
    <w:name w:val="heading 2"/>
    <w:basedOn w:val="prastasis"/>
    <w:next w:val="prastasis"/>
    <w:link w:val="Antrat2Diagrama"/>
    <w:uiPriority w:val="99"/>
    <w:qFormat/>
    <w:rsid w:val="00350BD0"/>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uiPriority w:val="99"/>
    <w:qFormat/>
    <w:rsid w:val="00350BD0"/>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uiPriority w:val="99"/>
    <w:qFormat/>
    <w:rsid w:val="00350BD0"/>
    <w:pPr>
      <w:keepNext/>
      <w:tabs>
        <w:tab w:val="left" w:pos="567"/>
      </w:tabs>
      <w:spacing w:after="0" w:line="260" w:lineRule="exact"/>
      <w:jc w:val="both"/>
      <w:outlineLvl w:val="3"/>
    </w:pPr>
    <w:rPr>
      <w:rFonts w:ascii="Calibri" w:eastAsia="Times New Roman" w:hAnsi="Calibri" w:cs="Times New Roman"/>
      <w:b/>
      <w:bCs/>
      <w:snapToGrid w:val="0"/>
      <w:sz w:val="28"/>
      <w:szCs w:val="28"/>
      <w:lang w:val="en-GB" w:eastAsia="x-none"/>
    </w:rPr>
  </w:style>
  <w:style w:type="paragraph" w:styleId="Antrat5">
    <w:name w:val="heading 5"/>
    <w:basedOn w:val="prastasis"/>
    <w:next w:val="prastasis"/>
    <w:link w:val="Antrat5Diagrama"/>
    <w:uiPriority w:val="99"/>
    <w:qFormat/>
    <w:rsid w:val="00350BD0"/>
    <w:pPr>
      <w:keepNext/>
      <w:tabs>
        <w:tab w:val="left" w:pos="567"/>
      </w:tabs>
      <w:spacing w:after="0" w:line="260" w:lineRule="exact"/>
      <w:jc w:val="both"/>
      <w:outlineLvl w:val="4"/>
    </w:pPr>
    <w:rPr>
      <w:rFonts w:ascii="Times New Roman" w:eastAsia="SimSun" w:hAnsi="Times New Roman" w:cs="Times New Roman"/>
      <w:noProof/>
      <w:sz w:val="20"/>
      <w:szCs w:val="20"/>
      <w:lang w:val="en-GB" w:eastAsia="x-none"/>
    </w:rPr>
  </w:style>
  <w:style w:type="paragraph" w:styleId="Antrat6">
    <w:name w:val="heading 6"/>
    <w:basedOn w:val="prastasis"/>
    <w:next w:val="prastasis"/>
    <w:link w:val="Antrat6Diagrama"/>
    <w:uiPriority w:val="99"/>
    <w:qFormat/>
    <w:rsid w:val="00350BD0"/>
    <w:pPr>
      <w:keepNext/>
      <w:tabs>
        <w:tab w:val="left" w:pos="-720"/>
        <w:tab w:val="left" w:pos="567"/>
        <w:tab w:val="left" w:pos="4536"/>
      </w:tabs>
      <w:suppressAutoHyphens/>
      <w:spacing w:after="0" w:line="260" w:lineRule="exact"/>
      <w:outlineLvl w:val="5"/>
    </w:pPr>
    <w:rPr>
      <w:rFonts w:ascii="Times New Roman" w:eastAsia="SimSun" w:hAnsi="Times New Roman" w:cs="Times New Roman"/>
      <w:i/>
      <w:sz w:val="20"/>
      <w:szCs w:val="20"/>
      <w:lang w:val="en-GB" w:eastAsia="x-none"/>
    </w:rPr>
  </w:style>
  <w:style w:type="paragraph" w:styleId="Antrat7">
    <w:name w:val="heading 7"/>
    <w:basedOn w:val="prastasis"/>
    <w:next w:val="prastasis"/>
    <w:link w:val="Antrat7Diagrama"/>
    <w:uiPriority w:val="99"/>
    <w:qFormat/>
    <w:rsid w:val="00350BD0"/>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 w:val="20"/>
      <w:szCs w:val="20"/>
      <w:lang w:val="en-GB" w:eastAsia="x-none"/>
    </w:rPr>
  </w:style>
  <w:style w:type="paragraph" w:styleId="Antrat8">
    <w:name w:val="heading 8"/>
    <w:basedOn w:val="prastasis"/>
    <w:next w:val="prastasis"/>
    <w:link w:val="Antrat8Diagrama"/>
    <w:uiPriority w:val="99"/>
    <w:qFormat/>
    <w:rsid w:val="00350BD0"/>
    <w:pPr>
      <w:keepNext/>
      <w:tabs>
        <w:tab w:val="left" w:pos="567"/>
      </w:tabs>
      <w:spacing w:after="0" w:line="260" w:lineRule="exact"/>
      <w:ind w:left="567" w:hanging="567"/>
      <w:jc w:val="both"/>
      <w:outlineLvl w:val="7"/>
    </w:pPr>
    <w:rPr>
      <w:rFonts w:ascii="Times New Roman" w:eastAsia="SimSun" w:hAnsi="Times New Roman" w:cs="Times New Roman"/>
      <w:b/>
      <w:i/>
      <w:sz w:val="20"/>
      <w:szCs w:val="20"/>
      <w:lang w:val="en-GB" w:eastAsia="x-none"/>
    </w:rPr>
  </w:style>
  <w:style w:type="paragraph" w:styleId="Antrat9">
    <w:name w:val="heading 9"/>
    <w:basedOn w:val="prastasis"/>
    <w:next w:val="prastasis"/>
    <w:link w:val="Antrat9Diagrama"/>
    <w:uiPriority w:val="99"/>
    <w:qFormat/>
    <w:rsid w:val="00350BD0"/>
    <w:pPr>
      <w:keepNext/>
      <w:tabs>
        <w:tab w:val="left" w:pos="567"/>
      </w:tabs>
      <w:spacing w:after="0" w:line="260" w:lineRule="exact"/>
      <w:jc w:val="both"/>
      <w:outlineLvl w:val="8"/>
    </w:pPr>
    <w:rPr>
      <w:rFonts w:ascii="Times New Roman" w:eastAsia="SimSun" w:hAnsi="Times New Roman" w:cs="Times New Roman"/>
      <w:b/>
      <w:i/>
      <w:sz w:val="20"/>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350BD0"/>
    <w:rPr>
      <w:rFonts w:ascii="Times New Roman" w:eastAsia="SimSun" w:hAnsi="Times New Roman" w:cs="Times New Roman"/>
      <w:b/>
      <w:caps/>
      <w:sz w:val="26"/>
      <w:szCs w:val="20"/>
      <w:lang w:val="en-US" w:eastAsia="x-none"/>
    </w:rPr>
  </w:style>
  <w:style w:type="character" w:customStyle="1" w:styleId="Antrat2Diagrama">
    <w:name w:val="Antraštė 2 Diagrama"/>
    <w:basedOn w:val="Numatytasispastraiposriftas"/>
    <w:link w:val="Antrat2"/>
    <w:uiPriority w:val="99"/>
    <w:rsid w:val="00350BD0"/>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350BD0"/>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sid w:val="00350BD0"/>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sid w:val="00350BD0"/>
    <w:rPr>
      <w:rFonts w:ascii="Times New Roman" w:eastAsia="SimSun" w:hAnsi="Times New Roman" w:cs="Times New Roman"/>
      <w:noProof/>
      <w:sz w:val="20"/>
      <w:szCs w:val="20"/>
      <w:lang w:val="en-GB" w:eastAsia="x-none"/>
    </w:rPr>
  </w:style>
  <w:style w:type="character" w:customStyle="1" w:styleId="Antrat6Diagrama">
    <w:name w:val="Antraštė 6 Diagrama"/>
    <w:basedOn w:val="Numatytasispastraiposriftas"/>
    <w:link w:val="Antrat6"/>
    <w:uiPriority w:val="99"/>
    <w:rsid w:val="00350BD0"/>
    <w:rPr>
      <w:rFonts w:ascii="Times New Roman" w:eastAsia="SimSun" w:hAnsi="Times New Roman" w:cs="Times New Roman"/>
      <w:i/>
      <w:sz w:val="20"/>
      <w:szCs w:val="20"/>
      <w:lang w:val="en-GB" w:eastAsia="x-none"/>
    </w:rPr>
  </w:style>
  <w:style w:type="character" w:customStyle="1" w:styleId="Antrat7Diagrama">
    <w:name w:val="Antraštė 7 Diagrama"/>
    <w:basedOn w:val="Numatytasispastraiposriftas"/>
    <w:link w:val="Antrat7"/>
    <w:uiPriority w:val="99"/>
    <w:rsid w:val="00350BD0"/>
    <w:rPr>
      <w:rFonts w:ascii="Times New Roman" w:eastAsia="SimSun" w:hAnsi="Times New Roman" w:cs="Times New Roman"/>
      <w:i/>
      <w:sz w:val="20"/>
      <w:szCs w:val="20"/>
      <w:lang w:val="en-GB" w:eastAsia="x-none"/>
    </w:rPr>
  </w:style>
  <w:style w:type="character" w:customStyle="1" w:styleId="Antrat8Diagrama">
    <w:name w:val="Antraštė 8 Diagrama"/>
    <w:basedOn w:val="Numatytasispastraiposriftas"/>
    <w:link w:val="Antrat8"/>
    <w:uiPriority w:val="99"/>
    <w:rsid w:val="00350BD0"/>
    <w:rPr>
      <w:rFonts w:ascii="Times New Roman" w:eastAsia="SimSun" w:hAnsi="Times New Roman" w:cs="Times New Roman"/>
      <w:b/>
      <w:i/>
      <w:sz w:val="20"/>
      <w:szCs w:val="20"/>
      <w:lang w:val="en-GB" w:eastAsia="x-none"/>
    </w:rPr>
  </w:style>
  <w:style w:type="character" w:customStyle="1" w:styleId="Antrat9Diagrama">
    <w:name w:val="Antraštė 9 Diagrama"/>
    <w:basedOn w:val="Numatytasispastraiposriftas"/>
    <w:link w:val="Antrat9"/>
    <w:uiPriority w:val="99"/>
    <w:rsid w:val="00350BD0"/>
    <w:rPr>
      <w:rFonts w:ascii="Times New Roman" w:eastAsia="SimSun" w:hAnsi="Times New Roman" w:cs="Times New Roman"/>
      <w:b/>
      <w:i/>
      <w:sz w:val="20"/>
      <w:szCs w:val="20"/>
      <w:lang w:val="en-GB" w:eastAsia="x-none"/>
    </w:rPr>
  </w:style>
  <w:style w:type="numbering" w:customStyle="1" w:styleId="Sraonra1">
    <w:name w:val="Sąrašo nėra1"/>
    <w:next w:val="Sraonra"/>
    <w:uiPriority w:val="99"/>
    <w:semiHidden/>
    <w:unhideWhenUsed/>
    <w:rsid w:val="00350BD0"/>
  </w:style>
  <w:style w:type="paragraph" w:styleId="Porat">
    <w:name w:val="footer"/>
    <w:basedOn w:val="prastasis"/>
    <w:link w:val="PoratDiagrama"/>
    <w:uiPriority w:val="99"/>
    <w:rsid w:val="00350BD0"/>
    <w:pPr>
      <w:tabs>
        <w:tab w:val="left" w:pos="567"/>
        <w:tab w:val="center" w:pos="4536"/>
        <w:tab w:val="right" w:pos="8306"/>
      </w:tabs>
      <w:spacing w:after="0" w:line="260" w:lineRule="exact"/>
    </w:pPr>
    <w:rPr>
      <w:rFonts w:ascii="Times New Roman" w:eastAsia="Times New Roman" w:hAnsi="Times New Roman" w:cs="Times New Roman"/>
      <w:snapToGrid w:val="0"/>
      <w:sz w:val="20"/>
      <w:szCs w:val="20"/>
      <w:lang w:val="en-GB" w:eastAsia="x-none"/>
    </w:rPr>
  </w:style>
  <w:style w:type="character" w:customStyle="1" w:styleId="PoratDiagrama">
    <w:name w:val="Poraštė Diagrama"/>
    <w:basedOn w:val="Numatytasispastraiposriftas"/>
    <w:link w:val="Porat"/>
    <w:uiPriority w:val="99"/>
    <w:rsid w:val="00350BD0"/>
    <w:rPr>
      <w:rFonts w:ascii="Times New Roman" w:eastAsia="Times New Roman" w:hAnsi="Times New Roman" w:cs="Times New Roman"/>
      <w:snapToGrid w:val="0"/>
      <w:sz w:val="20"/>
      <w:szCs w:val="20"/>
      <w:lang w:val="en-GB" w:eastAsia="x-none"/>
    </w:rPr>
  </w:style>
  <w:style w:type="character" w:customStyle="1" w:styleId="HeaderChar">
    <w:name w:val="Header Char"/>
    <w:rsid w:val="00350BD0"/>
    <w:rPr>
      <w:snapToGrid w:val="0"/>
      <w:sz w:val="22"/>
      <w:lang w:val="en-GB" w:eastAsia="en-US"/>
    </w:rPr>
  </w:style>
  <w:style w:type="character" w:styleId="Puslapionumeris">
    <w:name w:val="page number"/>
    <w:uiPriority w:val="99"/>
    <w:rsid w:val="00350BD0"/>
    <w:rPr>
      <w:rFonts w:cs="Times New Roman"/>
    </w:rPr>
  </w:style>
  <w:style w:type="character" w:styleId="Hipersaitas">
    <w:name w:val="Hyperlink"/>
    <w:uiPriority w:val="99"/>
    <w:rsid w:val="00350BD0"/>
    <w:rPr>
      <w:color w:val="0000FF"/>
      <w:u w:val="single"/>
    </w:rPr>
  </w:style>
  <w:style w:type="paragraph" w:customStyle="1" w:styleId="BodytextAgency">
    <w:name w:val="Body text (Agency)"/>
    <w:basedOn w:val="prastasis"/>
    <w:link w:val="BodytextAgencyChar"/>
    <w:uiPriority w:val="99"/>
    <w:rsid w:val="00350BD0"/>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rsid w:val="00350BD0"/>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350BD0"/>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sid w:val="00350BD0"/>
    <w:rPr>
      <w:rFonts w:ascii="Courier New" w:hAnsi="Courier New"/>
      <w:color w:val="00FF00"/>
      <w:sz w:val="40"/>
    </w:rPr>
  </w:style>
  <w:style w:type="character" w:customStyle="1" w:styleId="tw4winTerm">
    <w:name w:val="tw4winTerm"/>
    <w:uiPriority w:val="99"/>
    <w:rsid w:val="00350BD0"/>
    <w:rPr>
      <w:color w:val="0000FF"/>
    </w:rPr>
  </w:style>
  <w:style w:type="character" w:customStyle="1" w:styleId="tw4winPopup">
    <w:name w:val="tw4winPopup"/>
    <w:uiPriority w:val="99"/>
    <w:rsid w:val="00350BD0"/>
    <w:rPr>
      <w:rFonts w:ascii="Courier New" w:hAnsi="Courier New"/>
      <w:noProof/>
      <w:color w:val="008000"/>
    </w:rPr>
  </w:style>
  <w:style w:type="character" w:customStyle="1" w:styleId="tw4winJump">
    <w:name w:val="tw4winJump"/>
    <w:uiPriority w:val="99"/>
    <w:rsid w:val="00350BD0"/>
    <w:rPr>
      <w:rFonts w:ascii="Courier New" w:hAnsi="Courier New"/>
      <w:noProof/>
      <w:color w:val="008080"/>
    </w:rPr>
  </w:style>
  <w:style w:type="character" w:customStyle="1" w:styleId="tw4winExternal">
    <w:name w:val="tw4winExternal"/>
    <w:uiPriority w:val="99"/>
    <w:rsid w:val="00350BD0"/>
    <w:rPr>
      <w:rFonts w:ascii="Courier New" w:hAnsi="Courier New"/>
      <w:noProof/>
      <w:color w:val="808080"/>
    </w:rPr>
  </w:style>
  <w:style w:type="character" w:customStyle="1" w:styleId="tw4winInternal">
    <w:name w:val="tw4winInternal"/>
    <w:uiPriority w:val="99"/>
    <w:rsid w:val="00350BD0"/>
    <w:rPr>
      <w:rFonts w:ascii="Courier New" w:hAnsi="Courier New"/>
      <w:noProof/>
      <w:color w:val="FF0000"/>
    </w:rPr>
  </w:style>
  <w:style w:type="character" w:customStyle="1" w:styleId="DONOTTRANSLATE">
    <w:name w:val="DO_NOT_TRANSLATE"/>
    <w:uiPriority w:val="99"/>
    <w:rsid w:val="00350BD0"/>
    <w:rPr>
      <w:rFonts w:ascii="Courier New" w:hAnsi="Courier New"/>
      <w:noProof/>
      <w:color w:val="800000"/>
    </w:rPr>
  </w:style>
  <w:style w:type="paragraph" w:styleId="Debesliotekstas">
    <w:name w:val="Balloon Text"/>
    <w:basedOn w:val="prastasis"/>
    <w:link w:val="DebesliotekstasDiagrama"/>
    <w:uiPriority w:val="99"/>
    <w:rsid w:val="00350BD0"/>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350BD0"/>
    <w:rPr>
      <w:rFonts w:ascii="Tahoma" w:eastAsia="Times New Roman" w:hAnsi="Tahoma" w:cs="Times New Roman"/>
      <w:snapToGrid w:val="0"/>
      <w:sz w:val="16"/>
      <w:szCs w:val="16"/>
      <w:lang w:val="en-GB" w:eastAsia="x-none"/>
    </w:rPr>
  </w:style>
  <w:style w:type="character" w:styleId="Komentaronuoroda">
    <w:name w:val="annotation reference"/>
    <w:uiPriority w:val="99"/>
    <w:rsid w:val="00350BD0"/>
    <w:rPr>
      <w:sz w:val="16"/>
      <w:szCs w:val="16"/>
    </w:rPr>
  </w:style>
  <w:style w:type="paragraph" w:styleId="Komentarotekstas">
    <w:name w:val="annotation text"/>
    <w:basedOn w:val="prastasis"/>
    <w:link w:val="KomentarotekstasDiagrama"/>
    <w:uiPriority w:val="99"/>
    <w:rsid w:val="00350BD0"/>
    <w:pPr>
      <w:tabs>
        <w:tab w:val="left" w:pos="567"/>
      </w:tabs>
      <w:spacing w:after="0" w:line="260" w:lineRule="exact"/>
    </w:pPr>
    <w:rPr>
      <w:rFonts w:ascii="Times New Roman" w:eastAsia="Times New Roman" w:hAnsi="Times New Roman" w:cs="Times New Roman"/>
      <w:snapToGrid w:val="0"/>
      <w:sz w:val="20"/>
      <w:szCs w:val="20"/>
      <w:lang w:val="en-GB" w:eastAsia="x-none"/>
    </w:rPr>
  </w:style>
  <w:style w:type="character" w:customStyle="1" w:styleId="KomentarotekstasDiagrama">
    <w:name w:val="Komentaro tekstas Diagrama"/>
    <w:basedOn w:val="Numatytasispastraiposriftas"/>
    <w:link w:val="Komentarotekstas"/>
    <w:uiPriority w:val="99"/>
    <w:rsid w:val="00350BD0"/>
    <w:rPr>
      <w:rFonts w:ascii="Times New Roman" w:eastAsia="Times New Roman" w:hAnsi="Times New Roman" w:cs="Times New Roman"/>
      <w:snapToGrid w:val="0"/>
      <w:sz w:val="20"/>
      <w:szCs w:val="20"/>
      <w:lang w:val="en-GB" w:eastAsia="x-none"/>
    </w:rPr>
  </w:style>
  <w:style w:type="paragraph" w:styleId="Komentarotema">
    <w:name w:val="annotation subject"/>
    <w:basedOn w:val="Komentarotekstas"/>
    <w:next w:val="Komentarotekstas"/>
    <w:link w:val="KomentarotemaDiagrama"/>
    <w:uiPriority w:val="99"/>
    <w:rsid w:val="00350BD0"/>
    <w:rPr>
      <w:b/>
      <w:bCs/>
    </w:rPr>
  </w:style>
  <w:style w:type="character" w:customStyle="1" w:styleId="KomentarotemaDiagrama">
    <w:name w:val="Komentaro tema Diagrama"/>
    <w:basedOn w:val="KomentarotekstasDiagrama"/>
    <w:link w:val="Komentarotema"/>
    <w:uiPriority w:val="99"/>
    <w:rsid w:val="00350BD0"/>
    <w:rPr>
      <w:rFonts w:ascii="Times New Roman" w:eastAsia="Times New Roman" w:hAnsi="Times New Roman" w:cs="Times New Roman"/>
      <w:b/>
      <w:bCs/>
      <w:snapToGrid w:val="0"/>
      <w:sz w:val="20"/>
      <w:szCs w:val="20"/>
      <w:lang w:val="en-GB" w:eastAsia="x-none"/>
    </w:rPr>
  </w:style>
  <w:style w:type="paragraph" w:styleId="Pataisymai">
    <w:name w:val="Revision"/>
    <w:hidden/>
    <w:uiPriority w:val="99"/>
    <w:semiHidden/>
    <w:rsid w:val="00350BD0"/>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uiPriority w:val="99"/>
    <w:rsid w:val="00350BD0"/>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sid w:val="00350BD0"/>
    <w:rPr>
      <w:rFonts w:ascii="Courier New" w:hAnsi="Courier New"/>
      <w:vanish/>
      <w:color w:val="800080"/>
      <w:sz w:val="24"/>
      <w:vertAlign w:val="subscript"/>
    </w:rPr>
  </w:style>
  <w:style w:type="paragraph" w:styleId="Antrats">
    <w:name w:val="header"/>
    <w:basedOn w:val="prastasis"/>
    <w:link w:val="AntratsDiagrama"/>
    <w:uiPriority w:val="99"/>
    <w:rsid w:val="00350BD0"/>
    <w:pPr>
      <w:tabs>
        <w:tab w:val="center" w:pos="4320"/>
        <w:tab w:val="right" w:pos="8640"/>
      </w:tabs>
      <w:spacing w:after="0" w:line="260" w:lineRule="exact"/>
    </w:pPr>
    <w:rPr>
      <w:rFonts w:ascii="Times New Roman" w:eastAsia="SimSun" w:hAnsi="Times New Roman" w:cs="Times New Roman"/>
      <w:sz w:val="20"/>
      <w:szCs w:val="20"/>
      <w:lang w:val="en-GB" w:eastAsia="zh-CN"/>
    </w:rPr>
  </w:style>
  <w:style w:type="character" w:customStyle="1" w:styleId="AntratsDiagrama">
    <w:name w:val="Antraštės Diagrama"/>
    <w:basedOn w:val="Numatytasispastraiposriftas"/>
    <w:link w:val="Antrats"/>
    <w:uiPriority w:val="99"/>
    <w:rsid w:val="00350BD0"/>
    <w:rPr>
      <w:rFonts w:ascii="Times New Roman" w:eastAsia="SimSun" w:hAnsi="Times New Roman" w:cs="Times New Roman"/>
      <w:sz w:val="20"/>
      <w:szCs w:val="20"/>
      <w:lang w:val="en-GB" w:eastAsia="zh-CN"/>
    </w:rPr>
  </w:style>
  <w:style w:type="paragraph" w:styleId="Dokumentostruktra">
    <w:name w:val="Document Map"/>
    <w:basedOn w:val="prastasis"/>
    <w:link w:val="DokumentostruktraDiagrama"/>
    <w:uiPriority w:val="99"/>
    <w:rsid w:val="00350BD0"/>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sid w:val="00350BD0"/>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350BD0"/>
    <w:pPr>
      <w:autoSpaceDE w:val="0"/>
      <w:autoSpaceDN w:val="0"/>
      <w:adjustRightInd w:val="0"/>
      <w:spacing w:after="0" w:line="240" w:lineRule="auto"/>
      <w:ind w:left="720"/>
      <w:jc w:val="both"/>
    </w:pPr>
    <w:rPr>
      <w:rFonts w:ascii="Times New Roman" w:eastAsia="SimSun" w:hAnsi="Times New Roman" w:cs="Times New Roman"/>
      <w:sz w:val="20"/>
      <w:szCs w:val="20"/>
      <w:lang w:val="en-GB" w:eastAsia="en-GB"/>
    </w:rPr>
  </w:style>
  <w:style w:type="character" w:customStyle="1" w:styleId="PagrindiniotekstotraukaDiagrama">
    <w:name w:val="Pagrindinio teksto įtrauka Diagrama"/>
    <w:basedOn w:val="Numatytasispastraiposriftas"/>
    <w:link w:val="Pagrindiniotekstotrauka"/>
    <w:uiPriority w:val="99"/>
    <w:rsid w:val="00350BD0"/>
    <w:rPr>
      <w:rFonts w:ascii="Times New Roman" w:eastAsia="SimSun" w:hAnsi="Times New Roman" w:cs="Times New Roman"/>
      <w:sz w:val="20"/>
      <w:szCs w:val="20"/>
      <w:lang w:val="en-GB" w:eastAsia="en-GB"/>
    </w:rPr>
  </w:style>
  <w:style w:type="paragraph" w:styleId="Pagrindinistekstas3">
    <w:name w:val="Body Text 3"/>
    <w:basedOn w:val="prastasis"/>
    <w:link w:val="Pagrindinistekstas3Diagrama"/>
    <w:uiPriority w:val="99"/>
    <w:rsid w:val="00350BD0"/>
    <w:pPr>
      <w:autoSpaceDE w:val="0"/>
      <w:autoSpaceDN w:val="0"/>
      <w:adjustRightInd w:val="0"/>
      <w:spacing w:after="0" w:line="240" w:lineRule="auto"/>
      <w:jc w:val="both"/>
    </w:pPr>
    <w:rPr>
      <w:rFonts w:ascii="Times New Roman" w:eastAsia="SimSun" w:hAnsi="Times New Roman" w:cs="Times New Roman"/>
      <w:color w:val="0000FF"/>
      <w:sz w:val="20"/>
      <w:szCs w:val="20"/>
      <w:lang w:val="en-GB" w:eastAsia="en-GB"/>
    </w:rPr>
  </w:style>
  <w:style w:type="character" w:customStyle="1" w:styleId="Pagrindinistekstas3Diagrama">
    <w:name w:val="Pagrindinis tekstas 3 Diagrama"/>
    <w:basedOn w:val="Numatytasispastraiposriftas"/>
    <w:link w:val="Pagrindinistekstas3"/>
    <w:uiPriority w:val="99"/>
    <w:rsid w:val="00350BD0"/>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rsid w:val="00350BD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sz w:val="20"/>
      <w:szCs w:val="20"/>
      <w:lang w:val="en-GB" w:eastAsia="x-none"/>
    </w:rPr>
  </w:style>
  <w:style w:type="character" w:customStyle="1" w:styleId="Pagrindiniotekstotrauka2Diagrama">
    <w:name w:val="Pagrindinio teksto įtrauka 2 Diagrama"/>
    <w:basedOn w:val="Numatytasispastraiposriftas"/>
    <w:link w:val="Pagrindiniotekstotrauka2"/>
    <w:uiPriority w:val="99"/>
    <w:rsid w:val="00350BD0"/>
    <w:rPr>
      <w:rFonts w:ascii="Times New Roman" w:eastAsia="SimSun" w:hAnsi="Times New Roman" w:cs="Times New Roman"/>
      <w:b/>
      <w:bCs/>
      <w:color w:val="0000FF"/>
      <w:sz w:val="20"/>
      <w:szCs w:val="20"/>
      <w:lang w:val="en-GB" w:eastAsia="x-none"/>
    </w:rPr>
  </w:style>
  <w:style w:type="paragraph" w:styleId="Pagrindinistekstas">
    <w:name w:val="Body Text"/>
    <w:basedOn w:val="prastasis"/>
    <w:link w:val="PagrindinistekstasDiagrama"/>
    <w:uiPriority w:val="99"/>
    <w:rsid w:val="00350BD0"/>
    <w:pPr>
      <w:spacing w:after="0" w:line="240" w:lineRule="auto"/>
    </w:pPr>
    <w:rPr>
      <w:rFonts w:ascii="Times New Roman" w:eastAsia="SimSun" w:hAnsi="Times New Roman" w:cs="Times New Roman"/>
      <w:i/>
      <w:color w:val="008000"/>
      <w:sz w:val="20"/>
      <w:szCs w:val="20"/>
      <w:lang w:val="en-GB" w:eastAsia="x-none"/>
    </w:rPr>
  </w:style>
  <w:style w:type="character" w:customStyle="1" w:styleId="PagrindinistekstasDiagrama">
    <w:name w:val="Pagrindinis tekstas Diagrama"/>
    <w:basedOn w:val="Numatytasispastraiposriftas"/>
    <w:link w:val="Pagrindinistekstas"/>
    <w:uiPriority w:val="99"/>
    <w:rsid w:val="00350BD0"/>
    <w:rPr>
      <w:rFonts w:ascii="Times New Roman" w:eastAsia="SimSun" w:hAnsi="Times New Roman" w:cs="Times New Roman"/>
      <w:i/>
      <w:color w:val="008000"/>
      <w:sz w:val="20"/>
      <w:szCs w:val="20"/>
      <w:lang w:val="en-GB" w:eastAsia="x-none"/>
    </w:rPr>
  </w:style>
  <w:style w:type="paragraph" w:styleId="Pagrindinistekstas2">
    <w:name w:val="Body Text 2"/>
    <w:basedOn w:val="prastasis"/>
    <w:link w:val="Pagrindinistekstas2Diagrama"/>
    <w:uiPriority w:val="99"/>
    <w:rsid w:val="00350BD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sz w:val="20"/>
      <w:szCs w:val="20"/>
      <w:u w:val="single"/>
      <w:lang w:val="en-GB" w:eastAsia="x-none"/>
    </w:rPr>
  </w:style>
  <w:style w:type="character" w:customStyle="1" w:styleId="Pagrindinistekstas2Diagrama">
    <w:name w:val="Pagrindinis tekstas 2 Diagrama"/>
    <w:basedOn w:val="Numatytasispastraiposriftas"/>
    <w:link w:val="Pagrindinistekstas2"/>
    <w:uiPriority w:val="99"/>
    <w:rsid w:val="00350BD0"/>
    <w:rPr>
      <w:rFonts w:ascii="Times New Roman" w:eastAsia="SimSun" w:hAnsi="Times New Roman" w:cs="Times New Roman"/>
      <w:b/>
      <w:bCs/>
      <w:color w:val="0000FF"/>
      <w:sz w:val="20"/>
      <w:szCs w:val="20"/>
      <w:u w:val="single"/>
      <w:lang w:val="en-GB" w:eastAsia="x-none"/>
    </w:rPr>
  </w:style>
  <w:style w:type="paragraph" w:customStyle="1" w:styleId="AHeader1">
    <w:name w:val="AHeader 1"/>
    <w:basedOn w:val="prastasis"/>
    <w:uiPriority w:val="99"/>
    <w:rsid w:val="00350BD0"/>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350BD0"/>
    <w:pPr>
      <w:tabs>
        <w:tab w:val="clear" w:pos="720"/>
        <w:tab w:val="num" w:pos="360"/>
      </w:tabs>
      <w:ind w:left="709" w:hanging="425"/>
    </w:pPr>
    <w:rPr>
      <w:sz w:val="22"/>
    </w:rPr>
  </w:style>
  <w:style w:type="paragraph" w:customStyle="1" w:styleId="AHeader3">
    <w:name w:val="AHeader 3"/>
    <w:basedOn w:val="AHeader2"/>
    <w:uiPriority w:val="99"/>
    <w:rsid w:val="00350BD0"/>
    <w:pPr>
      <w:ind w:left="1276" w:hanging="567"/>
    </w:pPr>
  </w:style>
  <w:style w:type="paragraph" w:customStyle="1" w:styleId="AHeader2abc">
    <w:name w:val="AHeader 2 abc"/>
    <w:basedOn w:val="AHeader3"/>
    <w:uiPriority w:val="99"/>
    <w:rsid w:val="00350BD0"/>
    <w:pPr>
      <w:jc w:val="both"/>
    </w:pPr>
    <w:rPr>
      <w:b w:val="0"/>
      <w:bCs w:val="0"/>
    </w:rPr>
  </w:style>
  <w:style w:type="paragraph" w:customStyle="1" w:styleId="AHeader3abc">
    <w:name w:val="AHeader 3 abc"/>
    <w:basedOn w:val="AHeader2abc"/>
    <w:uiPriority w:val="99"/>
    <w:rsid w:val="00350BD0"/>
    <w:pPr>
      <w:ind w:left="1701" w:hanging="425"/>
    </w:pPr>
  </w:style>
  <w:style w:type="paragraph" w:styleId="Pagrindiniotekstotrauka3">
    <w:name w:val="Body Text Indent 3"/>
    <w:basedOn w:val="prastasis"/>
    <w:link w:val="Pagrindiniotekstotrauka3Diagrama"/>
    <w:uiPriority w:val="99"/>
    <w:rsid w:val="00350BD0"/>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 w:val="20"/>
      <w:szCs w:val="21"/>
      <w:lang w:val="en-GB" w:eastAsia="x-none"/>
    </w:rPr>
  </w:style>
  <w:style w:type="character" w:customStyle="1" w:styleId="Pagrindiniotekstotrauka3Diagrama">
    <w:name w:val="Pagrindinio teksto įtrauka 3 Diagrama"/>
    <w:basedOn w:val="Numatytasispastraiposriftas"/>
    <w:link w:val="Pagrindiniotekstotrauka3"/>
    <w:uiPriority w:val="99"/>
    <w:rsid w:val="00350BD0"/>
    <w:rPr>
      <w:rFonts w:ascii="Times New Roman" w:eastAsia="SimSun" w:hAnsi="Times New Roman" w:cs="Times New Roman"/>
      <w:sz w:val="20"/>
      <w:szCs w:val="21"/>
      <w:lang w:val="en-GB" w:eastAsia="x-none"/>
    </w:rPr>
  </w:style>
  <w:style w:type="character" w:styleId="Perirtashipersaitas">
    <w:name w:val="FollowedHyperlink"/>
    <w:uiPriority w:val="99"/>
    <w:rsid w:val="00350BD0"/>
    <w:rPr>
      <w:rFonts w:cs="Times New Roman"/>
      <w:color w:val="800080"/>
      <w:u w:val="single"/>
    </w:rPr>
  </w:style>
  <w:style w:type="character" w:styleId="Grietas">
    <w:name w:val="Strong"/>
    <w:uiPriority w:val="99"/>
    <w:qFormat/>
    <w:rsid w:val="00350BD0"/>
    <w:rPr>
      <w:rFonts w:cs="Times New Roman"/>
      <w:b/>
      <w:bCs/>
    </w:rPr>
  </w:style>
  <w:style w:type="character" w:customStyle="1" w:styleId="BodytextAgencyChar">
    <w:name w:val="Body text (Agency) Char"/>
    <w:link w:val="BodytextAgency"/>
    <w:uiPriority w:val="99"/>
    <w:locked/>
    <w:rsid w:val="00350BD0"/>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350BD0"/>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350BD0"/>
    <w:pPr>
      <w:keepNext/>
    </w:pPr>
    <w:rPr>
      <w:rFonts w:eastAsia="SimSun" w:cs="Verdana"/>
      <w:b/>
      <w:snapToGrid/>
      <w:szCs w:val="18"/>
      <w:lang w:eastAsia="en-GB"/>
    </w:rPr>
  </w:style>
  <w:style w:type="character" w:customStyle="1" w:styleId="NormalAgencyChar">
    <w:name w:val="Normal (Agency) Char"/>
    <w:link w:val="NormalAgency"/>
    <w:uiPriority w:val="99"/>
    <w:locked/>
    <w:rsid w:val="00350BD0"/>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350BD0"/>
    <w:pPr>
      <w:spacing w:after="0" w:line="240" w:lineRule="auto"/>
    </w:pPr>
    <w:rPr>
      <w:rFonts w:ascii="Courier New" w:eastAsia="SimSun" w:hAnsi="Courier New" w:cs="Times New Roman"/>
      <w:sz w:val="20"/>
      <w:szCs w:val="20"/>
      <w:lang w:val="en-US" w:eastAsia="x-none"/>
    </w:rPr>
  </w:style>
  <w:style w:type="character" w:customStyle="1" w:styleId="PaprastasistekstasDiagrama">
    <w:name w:val="Paprastasis tekstas Diagrama"/>
    <w:basedOn w:val="Numatytasispastraiposriftas"/>
    <w:link w:val="Paprastasistekstas"/>
    <w:uiPriority w:val="99"/>
    <w:rsid w:val="00350BD0"/>
    <w:rPr>
      <w:rFonts w:ascii="Courier New" w:eastAsia="SimSun" w:hAnsi="Courier New" w:cs="Times New Roman"/>
      <w:sz w:val="20"/>
      <w:szCs w:val="20"/>
      <w:lang w:val="en-US" w:eastAsia="x-none"/>
    </w:rPr>
  </w:style>
  <w:style w:type="paragraph" w:customStyle="1" w:styleId="Default">
    <w:name w:val="Default"/>
    <w:rsid w:val="00350BD0"/>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uiPriority w:val="99"/>
    <w:qFormat/>
    <w:rsid w:val="00350BD0"/>
    <w:pPr>
      <w:spacing w:after="0" w:line="240" w:lineRule="auto"/>
      <w:jc w:val="center"/>
    </w:pPr>
    <w:rPr>
      <w:rFonts w:ascii="Times New Roman" w:eastAsia="SimSun" w:hAnsi="Times New Roman" w:cs="Times New Roman"/>
      <w:b/>
      <w:sz w:val="20"/>
      <w:szCs w:val="20"/>
      <w:lang w:val="en-GB" w:eastAsia="x-none"/>
    </w:rPr>
  </w:style>
  <w:style w:type="character" w:customStyle="1" w:styleId="PavadinimasDiagrama">
    <w:name w:val="Pavadinimas Diagrama"/>
    <w:basedOn w:val="Numatytasispastraiposriftas"/>
    <w:link w:val="Pavadinimas"/>
    <w:uiPriority w:val="99"/>
    <w:rsid w:val="00350BD0"/>
    <w:rPr>
      <w:rFonts w:ascii="Times New Roman" w:eastAsia="SimSun" w:hAnsi="Times New Roman" w:cs="Times New Roman"/>
      <w:b/>
      <w:sz w:val="20"/>
      <w:szCs w:val="20"/>
      <w:lang w:val="en-GB" w:eastAsia="x-none"/>
    </w:rPr>
  </w:style>
  <w:style w:type="paragraph" w:styleId="Dokumentoinaostekstas">
    <w:name w:val="endnote text"/>
    <w:basedOn w:val="prastasis"/>
    <w:link w:val="DokumentoinaostekstasDiagrama"/>
    <w:uiPriority w:val="99"/>
    <w:rsid w:val="00350BD0"/>
    <w:pPr>
      <w:tabs>
        <w:tab w:val="left" w:pos="567"/>
      </w:tabs>
      <w:spacing w:after="0" w:line="240" w:lineRule="auto"/>
    </w:pPr>
    <w:rPr>
      <w:rFonts w:ascii="Times New Roman" w:eastAsia="SimSun" w:hAnsi="Times New Roman" w:cs="Times New Roman"/>
      <w:sz w:val="20"/>
      <w:szCs w:val="20"/>
      <w:lang w:val="en-GB" w:eastAsia="x-none"/>
    </w:rPr>
  </w:style>
  <w:style w:type="character" w:customStyle="1" w:styleId="DokumentoinaostekstasDiagrama">
    <w:name w:val="Dokumento išnašos tekstas Diagrama"/>
    <w:basedOn w:val="Numatytasispastraiposriftas"/>
    <w:link w:val="Dokumentoinaostekstas"/>
    <w:uiPriority w:val="99"/>
    <w:rsid w:val="00350BD0"/>
    <w:rPr>
      <w:rFonts w:ascii="Times New Roman" w:eastAsia="SimSun" w:hAnsi="Times New Roman" w:cs="Times New Roman"/>
      <w:sz w:val="20"/>
      <w:szCs w:val="20"/>
      <w:lang w:val="en-GB" w:eastAsia="x-none"/>
    </w:rPr>
  </w:style>
  <w:style w:type="paragraph" w:customStyle="1" w:styleId="BTEMEASMCA">
    <w:name w:val="BT EMEA_SMCA"/>
    <w:basedOn w:val="prastasis"/>
    <w:link w:val="BTEMEASMCAChar"/>
    <w:autoRedefine/>
    <w:rsid w:val="00350BD0"/>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locked/>
    <w:rsid w:val="00350BD0"/>
    <w:rPr>
      <w:rFonts w:ascii="Times New Roman" w:eastAsia="SimSun" w:hAnsi="Times New Roman" w:cs="Times New Roman"/>
      <w:noProof/>
      <w:sz w:val="20"/>
      <w:szCs w:val="20"/>
      <w:lang w:val="x-none" w:eastAsia="x-none"/>
    </w:rPr>
  </w:style>
  <w:style w:type="character" w:customStyle="1" w:styleId="CharChar12">
    <w:name w:val="Char Char12"/>
    <w:locked/>
    <w:rsid w:val="00350BD0"/>
    <w:rPr>
      <w:snapToGrid w:val="0"/>
      <w:lang w:val="en-GB" w:eastAsia="en-US" w:bidi="ar-SA"/>
    </w:rPr>
  </w:style>
  <w:style w:type="paragraph" w:customStyle="1" w:styleId="footnotedescription">
    <w:name w:val="footnote description"/>
    <w:next w:val="prastasis"/>
    <w:link w:val="footnotedescriptionChar"/>
    <w:hidden/>
    <w:rsid w:val="00350BD0"/>
    <w:pPr>
      <w:spacing w:after="8"/>
      <w:ind w:right="271"/>
    </w:pPr>
    <w:rPr>
      <w:rFonts w:ascii="Times New Roman" w:eastAsia="Times New Roman" w:hAnsi="Times New Roman" w:cs="Times New Roman"/>
      <w:color w:val="000000"/>
      <w:sz w:val="23"/>
      <w:lang w:val="es-ES" w:eastAsia="es-ES"/>
    </w:rPr>
  </w:style>
  <w:style w:type="character" w:customStyle="1" w:styleId="footnotedescriptionChar">
    <w:name w:val="footnote description Char"/>
    <w:link w:val="footnotedescription"/>
    <w:rsid w:val="00350BD0"/>
    <w:rPr>
      <w:rFonts w:ascii="Times New Roman" w:eastAsia="Times New Roman" w:hAnsi="Times New Roman" w:cs="Times New Roman"/>
      <w:color w:val="000000"/>
      <w:sz w:val="23"/>
      <w:lang w:val="es-ES" w:eastAsia="es-ES"/>
    </w:rPr>
  </w:style>
  <w:style w:type="character" w:customStyle="1" w:styleId="footnotemark">
    <w:name w:val="footnote mark"/>
    <w:hidden/>
    <w:rsid w:val="00350BD0"/>
    <w:rPr>
      <w:rFonts w:ascii="Times New Roman" w:eastAsia="Times New Roman" w:hAnsi="Times New Roman" w:cs="Times New Roman"/>
      <w:color w:val="000000"/>
      <w:sz w:val="21"/>
      <w:vertAlign w:val="superscript"/>
    </w:rPr>
  </w:style>
  <w:style w:type="character" w:customStyle="1" w:styleId="UnresolvedMention1">
    <w:name w:val="Unresolved Mention1"/>
    <w:basedOn w:val="Numatytasispastraiposriftas"/>
    <w:uiPriority w:val="99"/>
    <w:semiHidden/>
    <w:unhideWhenUsed/>
    <w:rsid w:val="003931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612841">
      <w:bodyDiv w:val="1"/>
      <w:marLeft w:val="0"/>
      <w:marRight w:val="0"/>
      <w:marTop w:val="0"/>
      <w:marBottom w:val="0"/>
      <w:divBdr>
        <w:top w:val="none" w:sz="0" w:space="0" w:color="auto"/>
        <w:left w:val="none" w:sz="0" w:space="0" w:color="auto"/>
        <w:bottom w:val="none" w:sz="0" w:space="0" w:color="auto"/>
        <w:right w:val="none" w:sz="0" w:space="0" w:color="auto"/>
      </w:divBdr>
    </w:div>
    <w:div w:id="279192684">
      <w:bodyDiv w:val="1"/>
      <w:marLeft w:val="0"/>
      <w:marRight w:val="0"/>
      <w:marTop w:val="0"/>
      <w:marBottom w:val="0"/>
      <w:divBdr>
        <w:top w:val="none" w:sz="0" w:space="0" w:color="auto"/>
        <w:left w:val="none" w:sz="0" w:space="0" w:color="auto"/>
        <w:bottom w:val="none" w:sz="0" w:space="0" w:color="auto"/>
        <w:right w:val="none" w:sz="0" w:space="0" w:color="auto"/>
      </w:divBdr>
    </w:div>
    <w:div w:id="1097403697">
      <w:bodyDiv w:val="1"/>
      <w:marLeft w:val="0"/>
      <w:marRight w:val="0"/>
      <w:marTop w:val="0"/>
      <w:marBottom w:val="0"/>
      <w:divBdr>
        <w:top w:val="none" w:sz="0" w:space="0" w:color="auto"/>
        <w:left w:val="none" w:sz="0" w:space="0" w:color="auto"/>
        <w:bottom w:val="none" w:sz="0" w:space="0" w:color="auto"/>
        <w:right w:val="none" w:sz="0" w:space="0" w:color="auto"/>
      </w:divBdr>
    </w:div>
    <w:div w:id="1301155080">
      <w:bodyDiv w:val="1"/>
      <w:marLeft w:val="0"/>
      <w:marRight w:val="0"/>
      <w:marTop w:val="0"/>
      <w:marBottom w:val="0"/>
      <w:divBdr>
        <w:top w:val="none" w:sz="0" w:space="0" w:color="auto"/>
        <w:left w:val="none" w:sz="0" w:space="0" w:color="auto"/>
        <w:bottom w:val="none" w:sz="0" w:space="0" w:color="auto"/>
        <w:right w:val="none" w:sz="0" w:space="0" w:color="auto"/>
      </w:divBdr>
    </w:div>
    <w:div w:id="1395665743">
      <w:bodyDiv w:val="1"/>
      <w:marLeft w:val="0"/>
      <w:marRight w:val="0"/>
      <w:marTop w:val="0"/>
      <w:marBottom w:val="0"/>
      <w:divBdr>
        <w:top w:val="none" w:sz="0" w:space="0" w:color="auto"/>
        <w:left w:val="none" w:sz="0" w:space="0" w:color="auto"/>
        <w:bottom w:val="none" w:sz="0" w:space="0" w:color="auto"/>
        <w:right w:val="none" w:sz="0" w:space="0" w:color="auto"/>
      </w:divBdr>
    </w:div>
    <w:div w:id="1530676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ettings" Target="settings.xml"/><Relationship Id="rId7" Type="http://schemas.openxmlformats.org/officeDocument/2006/relationships/hyperlink" Target="http://www.whocc.no/atcddd/indexdatabase/index.php?query=G04C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52216</Words>
  <Characters>29764</Characters>
  <Application>Microsoft Office Word</Application>
  <DocSecurity>4</DocSecurity>
  <Lines>248</Lines>
  <Paragraphs>163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dcterms:created xsi:type="dcterms:W3CDTF">2025-06-25T08:56:00Z</dcterms:created>
  <dcterms:modified xsi:type="dcterms:W3CDTF">2025-06-25T08:56:00Z</dcterms:modified>
</cp:coreProperties>
</file>