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33DB" w14:textId="77777777" w:rsidR="00497A38" w:rsidRPr="00D919C8" w:rsidRDefault="00497A38" w:rsidP="00497A38">
      <w:pPr>
        <w:pStyle w:val="BTEMEASMCA"/>
        <w:jc w:val="center"/>
        <w:rPr>
          <w:b/>
          <w:bCs/>
        </w:rPr>
      </w:pPr>
      <w:r w:rsidRPr="00D919C8">
        <w:rPr>
          <w:b/>
          <w:bCs/>
        </w:rPr>
        <w:t>Pakuotės lapelis: informacija vartotojui</w:t>
      </w:r>
    </w:p>
    <w:p w14:paraId="27ED2536" w14:textId="77777777" w:rsidR="00497A38" w:rsidRPr="004A6CAC" w:rsidRDefault="00497A38" w:rsidP="00497A38">
      <w:pPr>
        <w:pStyle w:val="BTEMEASMCA"/>
      </w:pPr>
    </w:p>
    <w:p w14:paraId="4FB95B7D" w14:textId="77777777" w:rsidR="00497A38" w:rsidRPr="004A6CAC" w:rsidRDefault="00497A38" w:rsidP="00497A38">
      <w:pPr>
        <w:pStyle w:val="TxBrp0"/>
        <w:tabs>
          <w:tab w:val="clear" w:pos="204"/>
          <w:tab w:val="left" w:pos="8736"/>
        </w:tabs>
        <w:spacing w:line="240" w:lineRule="auto"/>
        <w:jc w:val="center"/>
        <w:rPr>
          <w:rFonts w:ascii="Times New Roman" w:hAnsi="Times New Roman"/>
          <w:b/>
          <w:szCs w:val="22"/>
          <w:lang w:val="lt-LT"/>
        </w:rPr>
      </w:pPr>
      <w:proofErr w:type="spellStart"/>
      <w:r>
        <w:rPr>
          <w:rFonts w:ascii="Times New Roman" w:hAnsi="Times New Roman"/>
          <w:b/>
          <w:szCs w:val="22"/>
          <w:lang w:val="lt-LT"/>
        </w:rPr>
        <w:t>Prohance</w:t>
      </w:r>
      <w:proofErr w:type="spellEnd"/>
      <w:r w:rsidRPr="004A6CAC">
        <w:rPr>
          <w:rFonts w:ascii="Times New Roman" w:hAnsi="Times New Roman"/>
          <w:b/>
          <w:szCs w:val="22"/>
          <w:lang w:val="lt-LT"/>
        </w:rPr>
        <w:t xml:space="preserve"> 0,5 </w:t>
      </w:r>
      <w:proofErr w:type="spellStart"/>
      <w:r w:rsidRPr="004A6CAC">
        <w:rPr>
          <w:rFonts w:ascii="Times New Roman" w:hAnsi="Times New Roman"/>
          <w:b/>
          <w:szCs w:val="22"/>
          <w:lang w:val="lt-LT"/>
        </w:rPr>
        <w:t>mmol</w:t>
      </w:r>
      <w:proofErr w:type="spellEnd"/>
      <w:r w:rsidRPr="004A6CAC">
        <w:rPr>
          <w:rFonts w:ascii="Times New Roman" w:hAnsi="Times New Roman"/>
          <w:b/>
          <w:szCs w:val="22"/>
          <w:lang w:val="lt-LT"/>
        </w:rPr>
        <w:t>/ml injekcinis tirpalas</w:t>
      </w:r>
    </w:p>
    <w:p w14:paraId="14F7A035" w14:textId="77777777" w:rsidR="00497A38" w:rsidRPr="004A6CAC" w:rsidRDefault="00497A38" w:rsidP="00497A38">
      <w:pPr>
        <w:pStyle w:val="BTEMEASMCA"/>
        <w:jc w:val="center"/>
      </w:pPr>
      <w:r>
        <w:t>g</w:t>
      </w:r>
      <w:r w:rsidRPr="004A6CAC">
        <w:t>adoteridolis</w:t>
      </w:r>
    </w:p>
    <w:p w14:paraId="7AC9C3E7" w14:textId="77777777" w:rsidR="00497A38" w:rsidRPr="004A6CAC" w:rsidRDefault="00497A38" w:rsidP="00497A38">
      <w:pPr>
        <w:pStyle w:val="BTbEMEASMCA"/>
      </w:pPr>
    </w:p>
    <w:p w14:paraId="296D6D08" w14:textId="77777777" w:rsidR="00497A38" w:rsidRPr="004A6CAC" w:rsidRDefault="00497A38" w:rsidP="00497A38">
      <w:pPr>
        <w:pStyle w:val="BTbEMEASMCA"/>
      </w:pPr>
      <w:r w:rsidRPr="004A6CAC">
        <w:t>Atidžiai perskaitykite visą šį lapelį, prieš pradėdami vartoti vaistą, nes jame pateikiama Jums svarbi informacija.</w:t>
      </w:r>
    </w:p>
    <w:p w14:paraId="65FC85F9" w14:textId="77777777" w:rsidR="00497A38" w:rsidRPr="004A6CAC" w:rsidRDefault="00497A38" w:rsidP="00497A38">
      <w:pPr>
        <w:pStyle w:val="BT-EMEASMCA"/>
        <w:tabs>
          <w:tab w:val="clear" w:pos="360"/>
        </w:tabs>
      </w:pPr>
      <w:r w:rsidRPr="004A6CAC">
        <w:t>Neišmeskite šio lapelio, nes vėl gali prireikti jį perskaityti.</w:t>
      </w:r>
    </w:p>
    <w:p w14:paraId="23AC98E5" w14:textId="77777777" w:rsidR="00497A38" w:rsidRPr="004A6CAC" w:rsidRDefault="00497A38" w:rsidP="00497A38">
      <w:pPr>
        <w:pStyle w:val="BT-EMEASMCA"/>
        <w:tabs>
          <w:tab w:val="clear" w:pos="360"/>
        </w:tabs>
      </w:pPr>
      <w:r w:rsidRPr="004A6CAC">
        <w:t>Jeigu kiltų daugiau klausimų, kreipkitės į gydytoją arba vaistininką.</w:t>
      </w:r>
    </w:p>
    <w:p w14:paraId="2F725133" w14:textId="77777777" w:rsidR="00497A38" w:rsidRPr="004A6CAC" w:rsidRDefault="00497A38" w:rsidP="00497A38">
      <w:pPr>
        <w:pStyle w:val="BT-EMEASMCA"/>
        <w:tabs>
          <w:tab w:val="clear" w:pos="360"/>
        </w:tabs>
      </w:pPr>
      <w:r w:rsidRPr="004A6CAC">
        <w:t>Jeigu pasireiškė šalutinis poveikis (net jeigu jis šiame lapelyje nenurodytas), kreipkitės į gydytoją arba vaistininką. Žr. 4 skyrių.</w:t>
      </w:r>
    </w:p>
    <w:p w14:paraId="4FA1DA5B" w14:textId="77777777" w:rsidR="00497A38" w:rsidRPr="004A6CAC" w:rsidRDefault="00497A38" w:rsidP="00497A38">
      <w:pPr>
        <w:pStyle w:val="BTEMEASMCA"/>
      </w:pPr>
    </w:p>
    <w:p w14:paraId="0F42C42E" w14:textId="77777777" w:rsidR="00497A38" w:rsidRPr="004A6CAC" w:rsidRDefault="00497A38" w:rsidP="00497A38">
      <w:pPr>
        <w:pStyle w:val="Antrat4"/>
        <w:spacing w:before="0"/>
        <w:rPr>
          <w:i w:val="0"/>
          <w:color w:val="auto"/>
          <w:sz w:val="22"/>
          <w:szCs w:val="22"/>
        </w:rPr>
      </w:pPr>
      <w:r w:rsidRPr="004A6CAC">
        <w:rPr>
          <w:i w:val="0"/>
          <w:color w:val="auto"/>
          <w:sz w:val="22"/>
          <w:szCs w:val="22"/>
        </w:rPr>
        <w:t>Apie ką rašoma šiame lapelyje?</w:t>
      </w:r>
    </w:p>
    <w:p w14:paraId="0F6CDA80" w14:textId="77777777" w:rsidR="00497A38" w:rsidRPr="004A6CAC" w:rsidRDefault="00497A38" w:rsidP="00497A38">
      <w:pPr>
        <w:pStyle w:val="BTbEMEASMCA"/>
      </w:pPr>
    </w:p>
    <w:p w14:paraId="5E072668" w14:textId="77777777" w:rsidR="00497A38" w:rsidRPr="004A6CAC" w:rsidRDefault="00497A38" w:rsidP="00497A38">
      <w:pPr>
        <w:pStyle w:val="BTEMEASMCA"/>
      </w:pPr>
      <w:r w:rsidRPr="004A6CAC">
        <w:t>1.</w:t>
      </w:r>
      <w:r w:rsidRPr="004A6CAC">
        <w:tab/>
        <w:t xml:space="preserve">Kas yra </w:t>
      </w:r>
      <w:bookmarkStart w:id="0" w:name="_Hlk497108725"/>
      <w:r>
        <w:t>Prohance</w:t>
      </w:r>
      <w:r w:rsidRPr="004A6CAC">
        <w:t xml:space="preserve"> </w:t>
      </w:r>
      <w:bookmarkEnd w:id="0"/>
      <w:r w:rsidRPr="004A6CAC">
        <w:t>ir kam jis vartojamas</w:t>
      </w:r>
    </w:p>
    <w:p w14:paraId="53594FAD" w14:textId="77777777" w:rsidR="00497A38" w:rsidRPr="004A6CAC" w:rsidRDefault="00497A38" w:rsidP="00497A38">
      <w:pPr>
        <w:pStyle w:val="BTEMEASMCA"/>
      </w:pPr>
      <w:r w:rsidRPr="004A6CAC">
        <w:t>2.</w:t>
      </w:r>
      <w:r w:rsidRPr="004A6CAC">
        <w:tab/>
        <w:t xml:space="preserve">Kas žinotina prieš vartojant </w:t>
      </w:r>
      <w:r>
        <w:t>Prohance</w:t>
      </w:r>
    </w:p>
    <w:p w14:paraId="24528F45" w14:textId="77777777" w:rsidR="00497A38" w:rsidRPr="004A6CAC" w:rsidRDefault="00497A38" w:rsidP="00497A38">
      <w:pPr>
        <w:pStyle w:val="BTEMEASMCA"/>
      </w:pPr>
      <w:r w:rsidRPr="004A6CAC">
        <w:t>3.</w:t>
      </w:r>
      <w:r w:rsidRPr="004A6CAC">
        <w:tab/>
        <w:t xml:space="preserve">Kaip vartoti </w:t>
      </w:r>
      <w:r>
        <w:t>Prohance</w:t>
      </w:r>
    </w:p>
    <w:p w14:paraId="0E4F015E" w14:textId="77777777" w:rsidR="00497A38" w:rsidRPr="004A6CAC" w:rsidRDefault="00497A38" w:rsidP="00497A38">
      <w:pPr>
        <w:pStyle w:val="BTEMEASMCA"/>
      </w:pPr>
      <w:r w:rsidRPr="004A6CAC">
        <w:t>4.</w:t>
      </w:r>
      <w:r w:rsidRPr="004A6CAC">
        <w:tab/>
        <w:t>Galimas šalutinis poveikis</w:t>
      </w:r>
    </w:p>
    <w:p w14:paraId="07F42893" w14:textId="77777777" w:rsidR="00497A38" w:rsidRPr="004A6CAC" w:rsidRDefault="00497A38" w:rsidP="00497A38">
      <w:pPr>
        <w:pStyle w:val="BTEMEASMCA"/>
      </w:pPr>
      <w:r w:rsidRPr="004A6CAC">
        <w:t>5.</w:t>
      </w:r>
      <w:r w:rsidRPr="004A6CAC">
        <w:tab/>
        <w:t xml:space="preserve">Kaip laikyti </w:t>
      </w:r>
      <w:r>
        <w:t>Prohance</w:t>
      </w:r>
    </w:p>
    <w:p w14:paraId="3CC5566F" w14:textId="77777777" w:rsidR="00497A38" w:rsidRPr="004A6CAC" w:rsidRDefault="00497A38" w:rsidP="00497A38">
      <w:pPr>
        <w:pStyle w:val="BTEMEASMCA"/>
      </w:pPr>
      <w:r w:rsidRPr="004A6CAC">
        <w:t>6.</w:t>
      </w:r>
      <w:r w:rsidRPr="004A6CAC">
        <w:tab/>
        <w:t>Pakuotės turinys ir kita informacija</w:t>
      </w:r>
    </w:p>
    <w:p w14:paraId="7991C1A7" w14:textId="77777777" w:rsidR="00497A38" w:rsidRPr="004A6CAC" w:rsidRDefault="00497A38" w:rsidP="00497A38">
      <w:pPr>
        <w:pStyle w:val="BTEMEASMCA"/>
      </w:pPr>
    </w:p>
    <w:p w14:paraId="67BF21FF" w14:textId="77777777" w:rsidR="00497A38" w:rsidRPr="004A6CAC" w:rsidRDefault="00497A38" w:rsidP="00497A38">
      <w:pPr>
        <w:pStyle w:val="Antrat4"/>
        <w:spacing w:before="0"/>
        <w:rPr>
          <w:rFonts w:eastAsia="Times New Roman"/>
          <w:b/>
          <w:i w:val="0"/>
          <w:noProof/>
          <w:color w:val="auto"/>
          <w:sz w:val="22"/>
          <w:szCs w:val="22"/>
        </w:rPr>
      </w:pPr>
      <w:bookmarkStart w:id="1" w:name="_Toc129243139"/>
      <w:bookmarkStart w:id="2" w:name="_Toc129243264"/>
    </w:p>
    <w:p w14:paraId="2A881711" w14:textId="77777777" w:rsidR="00497A38" w:rsidRPr="004A6CAC" w:rsidRDefault="00497A38" w:rsidP="00497A38">
      <w:pPr>
        <w:pStyle w:val="Antrat4"/>
        <w:tabs>
          <w:tab w:val="left" w:pos="567"/>
        </w:tabs>
        <w:spacing w:before="0"/>
        <w:rPr>
          <w:i w:val="0"/>
          <w:color w:val="auto"/>
          <w:sz w:val="22"/>
          <w:szCs w:val="22"/>
        </w:rPr>
      </w:pPr>
      <w:r w:rsidRPr="004A6CAC">
        <w:rPr>
          <w:rFonts w:eastAsia="Times New Roman"/>
          <w:i w:val="0"/>
          <w:noProof/>
          <w:color w:val="auto"/>
          <w:sz w:val="22"/>
          <w:szCs w:val="22"/>
        </w:rPr>
        <w:t>1.</w:t>
      </w:r>
      <w:r w:rsidRPr="004A6CAC">
        <w:rPr>
          <w:rFonts w:eastAsia="Times New Roman"/>
          <w:i w:val="0"/>
          <w:noProof/>
          <w:color w:val="auto"/>
          <w:sz w:val="22"/>
          <w:szCs w:val="22"/>
        </w:rPr>
        <w:tab/>
      </w:r>
      <w:r w:rsidRPr="004A6CAC">
        <w:rPr>
          <w:i w:val="0"/>
          <w:color w:val="auto"/>
          <w:sz w:val="22"/>
          <w:szCs w:val="22"/>
        </w:rPr>
        <w:t xml:space="preserve">Kas yra </w:t>
      </w:r>
      <w:bookmarkStart w:id="3" w:name="_Hlk497135405"/>
      <w:proofErr w:type="spellStart"/>
      <w:r>
        <w:rPr>
          <w:i w:val="0"/>
          <w:color w:val="auto"/>
          <w:sz w:val="22"/>
          <w:szCs w:val="22"/>
        </w:rPr>
        <w:t>Prohance</w:t>
      </w:r>
      <w:proofErr w:type="spellEnd"/>
      <w:r w:rsidRPr="004A6CAC">
        <w:rPr>
          <w:i w:val="0"/>
          <w:color w:val="auto"/>
          <w:sz w:val="22"/>
          <w:szCs w:val="22"/>
        </w:rPr>
        <w:t xml:space="preserve"> </w:t>
      </w:r>
      <w:bookmarkEnd w:id="3"/>
      <w:r w:rsidRPr="004A6CAC">
        <w:rPr>
          <w:i w:val="0"/>
          <w:color w:val="auto"/>
          <w:sz w:val="22"/>
          <w:szCs w:val="22"/>
        </w:rPr>
        <w:t>ir kam jis vartojamas</w:t>
      </w:r>
    </w:p>
    <w:bookmarkEnd w:id="1"/>
    <w:bookmarkEnd w:id="2"/>
    <w:p w14:paraId="41E9C270" w14:textId="77777777" w:rsidR="00497A38" w:rsidRPr="004A6CAC" w:rsidRDefault="00497A38" w:rsidP="00497A38">
      <w:pPr>
        <w:pStyle w:val="BTEMEASMCA"/>
      </w:pPr>
    </w:p>
    <w:p w14:paraId="3FD525AB" w14:textId="77777777" w:rsidR="00497A38" w:rsidRPr="004A6CAC" w:rsidRDefault="00497A38" w:rsidP="00497A38">
      <w:pPr>
        <w:pStyle w:val="TxBrp6"/>
        <w:tabs>
          <w:tab w:val="clear" w:pos="1457"/>
          <w:tab w:val="clear" w:pos="2664"/>
        </w:tabs>
        <w:spacing w:line="240" w:lineRule="auto"/>
        <w:ind w:left="0" w:firstLine="0"/>
        <w:rPr>
          <w:rFonts w:ascii="Times New Roman" w:hAnsi="Times New Roman"/>
          <w:szCs w:val="22"/>
          <w:lang w:val="lt-LT"/>
        </w:rPr>
      </w:pPr>
      <w:r w:rsidRPr="004A6CAC">
        <w:rPr>
          <w:rFonts w:ascii="Times New Roman" w:hAnsi="Times New Roman"/>
          <w:szCs w:val="22"/>
          <w:lang w:val="lt-LT"/>
        </w:rPr>
        <w:t xml:space="preserve">Šis vaistas yra vaizdo kontrastinė medžiaga, kurios sudėtyje yra </w:t>
      </w:r>
      <w:proofErr w:type="spellStart"/>
      <w:r w:rsidRPr="004A6CAC">
        <w:rPr>
          <w:rFonts w:ascii="Times New Roman" w:hAnsi="Times New Roman"/>
          <w:szCs w:val="22"/>
          <w:lang w:val="lt-LT"/>
        </w:rPr>
        <w:t>gadoteridolio</w:t>
      </w:r>
      <w:proofErr w:type="spellEnd"/>
      <w:r w:rsidRPr="004A6CAC">
        <w:rPr>
          <w:rFonts w:ascii="Times New Roman" w:hAnsi="Times New Roman"/>
          <w:szCs w:val="22"/>
          <w:lang w:val="lt-LT"/>
        </w:rPr>
        <w:t>. Jis paskirtas Jums magnetinio rezonanso tomografijos (MRT) tyrimui atlikti.</w:t>
      </w:r>
    </w:p>
    <w:p w14:paraId="6F12E8EF" w14:textId="77777777" w:rsidR="00497A38" w:rsidRPr="004A6CAC" w:rsidRDefault="00497A38" w:rsidP="00497A38">
      <w:pPr>
        <w:pStyle w:val="TxBrp6"/>
        <w:tabs>
          <w:tab w:val="clear" w:pos="1457"/>
          <w:tab w:val="clear" w:pos="2664"/>
        </w:tabs>
        <w:spacing w:line="240" w:lineRule="auto"/>
        <w:ind w:left="0" w:firstLine="0"/>
        <w:rPr>
          <w:rFonts w:ascii="Times New Roman" w:hAnsi="Times New Roman"/>
          <w:szCs w:val="22"/>
          <w:lang w:val="lt-LT"/>
        </w:rPr>
      </w:pPr>
      <w:r w:rsidRPr="004A6CAC">
        <w:rPr>
          <w:rFonts w:ascii="Times New Roman" w:hAnsi="Times New Roman"/>
          <w:szCs w:val="22"/>
          <w:lang w:val="lt-LT"/>
        </w:rPr>
        <w:t>Šis vaistas vartojamas tik diagnostikai.</w:t>
      </w:r>
    </w:p>
    <w:p w14:paraId="437F1488" w14:textId="77777777" w:rsidR="00497A38" w:rsidRPr="004A6CAC" w:rsidRDefault="00497A38" w:rsidP="00497A38">
      <w:pPr>
        <w:pStyle w:val="BTEMEASMCA"/>
      </w:pPr>
    </w:p>
    <w:p w14:paraId="7D437B0C" w14:textId="77777777" w:rsidR="00497A38" w:rsidRPr="004A6CAC" w:rsidRDefault="00497A38" w:rsidP="00497A38">
      <w:pPr>
        <w:pStyle w:val="BTEMEASMCA"/>
      </w:pPr>
    </w:p>
    <w:p w14:paraId="20D46CCE" w14:textId="77777777" w:rsidR="00497A38" w:rsidRPr="004A6CAC" w:rsidRDefault="00497A38" w:rsidP="00497A38">
      <w:pPr>
        <w:pStyle w:val="Antrat4"/>
        <w:tabs>
          <w:tab w:val="left" w:pos="567"/>
        </w:tabs>
        <w:spacing w:before="0"/>
        <w:rPr>
          <w:i w:val="0"/>
          <w:color w:val="auto"/>
          <w:sz w:val="22"/>
          <w:szCs w:val="22"/>
        </w:rPr>
      </w:pPr>
      <w:bookmarkStart w:id="4" w:name="_Toc129243140"/>
      <w:bookmarkStart w:id="5" w:name="_Toc129243265"/>
      <w:r w:rsidRPr="004A6CAC">
        <w:rPr>
          <w:i w:val="0"/>
          <w:color w:val="auto"/>
          <w:sz w:val="22"/>
          <w:szCs w:val="22"/>
        </w:rPr>
        <w:t>2.</w:t>
      </w:r>
      <w:r w:rsidRPr="004A6CAC">
        <w:rPr>
          <w:i w:val="0"/>
          <w:color w:val="auto"/>
          <w:sz w:val="22"/>
          <w:szCs w:val="22"/>
        </w:rPr>
        <w:tab/>
        <w:t xml:space="preserve">Kas žinotina prieš vartojant </w:t>
      </w:r>
      <w:proofErr w:type="spellStart"/>
      <w:r>
        <w:rPr>
          <w:i w:val="0"/>
          <w:color w:val="auto"/>
          <w:sz w:val="22"/>
          <w:szCs w:val="22"/>
        </w:rPr>
        <w:t>Prohance</w:t>
      </w:r>
      <w:proofErr w:type="spellEnd"/>
    </w:p>
    <w:bookmarkEnd w:id="4"/>
    <w:bookmarkEnd w:id="5"/>
    <w:p w14:paraId="105ECE9D" w14:textId="77777777" w:rsidR="00497A38" w:rsidRPr="004A6CAC" w:rsidRDefault="00497A38" w:rsidP="00497A38">
      <w:pPr>
        <w:pStyle w:val="BTEMEASMCA"/>
      </w:pPr>
    </w:p>
    <w:p w14:paraId="20292438" w14:textId="77777777" w:rsidR="00497A38" w:rsidRPr="004A6CAC" w:rsidRDefault="00497A38" w:rsidP="00497A38">
      <w:pPr>
        <w:pStyle w:val="PI-3EMEASMCA"/>
      </w:pPr>
      <w:r>
        <w:t>Prohance</w:t>
      </w:r>
      <w:r w:rsidRPr="004A6CAC">
        <w:t xml:space="preserve"> vartoti </w:t>
      </w:r>
      <w:r>
        <w:t>draudžiama</w:t>
      </w:r>
    </w:p>
    <w:p w14:paraId="655F413F" w14:textId="77777777" w:rsidR="00497A38" w:rsidRPr="004A6CAC" w:rsidRDefault="00497A38" w:rsidP="00497A38">
      <w:pPr>
        <w:pStyle w:val="BT-EMEASMCA"/>
        <w:tabs>
          <w:tab w:val="clear" w:pos="360"/>
        </w:tabs>
      </w:pPr>
      <w:r w:rsidRPr="004A6CAC">
        <w:t>jeigu yra alergija gadoteridoliui arba bet kuriai pagalbinei šio vaisto medžiagai (jos išvardytos 6 skyriuje).</w:t>
      </w:r>
    </w:p>
    <w:p w14:paraId="125703FA" w14:textId="77777777" w:rsidR="00497A38" w:rsidRPr="004A6CAC" w:rsidRDefault="00497A38" w:rsidP="00497A38">
      <w:pPr>
        <w:pStyle w:val="BT-EMEASMCA"/>
        <w:tabs>
          <w:tab w:val="clear" w:pos="360"/>
        </w:tabs>
      </w:pPr>
    </w:p>
    <w:p w14:paraId="2F404B7D" w14:textId="77777777" w:rsidR="00497A38" w:rsidRPr="004A6CAC" w:rsidRDefault="00497A38" w:rsidP="00497A38">
      <w:pPr>
        <w:pStyle w:val="Antrat4"/>
        <w:spacing w:before="0"/>
        <w:rPr>
          <w:i w:val="0"/>
          <w:color w:val="auto"/>
          <w:sz w:val="22"/>
          <w:szCs w:val="22"/>
        </w:rPr>
      </w:pPr>
      <w:r w:rsidRPr="004A6CAC">
        <w:rPr>
          <w:i w:val="0"/>
          <w:color w:val="auto"/>
          <w:sz w:val="22"/>
          <w:szCs w:val="22"/>
        </w:rPr>
        <w:t>Įspėjimai ir atsargumo priemonės</w:t>
      </w:r>
    </w:p>
    <w:p w14:paraId="509CC0B1" w14:textId="77777777" w:rsidR="00497A38" w:rsidRPr="004A6CAC" w:rsidRDefault="00497A38" w:rsidP="00497A38">
      <w:pPr>
        <w:pStyle w:val="PI-3EMEASMCA"/>
        <w:spacing w:line="240" w:lineRule="auto"/>
        <w:rPr>
          <w:b w:val="0"/>
        </w:rPr>
      </w:pPr>
      <w:r w:rsidRPr="004A6CAC">
        <w:rPr>
          <w:b w:val="0"/>
        </w:rPr>
        <w:t>Prieš tyrimą turite nusiimti visus metalinius daiktus. Kadangi MRT įrenginiai naudoja labai stiprius magnetinius laukus, pasakykite gydytojui, jei turite širdies stimuliatorių, kraujagyslių spaustuką, kochlearinį implantą (implantą vidinėje ausyje) arba bet kokį kitą implantuotą metalinį daiktą, ypač akyje.</w:t>
      </w:r>
    </w:p>
    <w:p w14:paraId="28992EAD" w14:textId="77777777" w:rsidR="00497A38" w:rsidRPr="004A6CAC" w:rsidRDefault="00497A38" w:rsidP="00497A38">
      <w:pPr>
        <w:pStyle w:val="PI-3EMEASMCA"/>
        <w:spacing w:line="240" w:lineRule="auto"/>
        <w:rPr>
          <w:b w:val="0"/>
        </w:rPr>
      </w:pPr>
    </w:p>
    <w:p w14:paraId="17A07DAA" w14:textId="77777777" w:rsidR="00497A38" w:rsidRPr="004A6CAC" w:rsidRDefault="00497A38" w:rsidP="00497A38">
      <w:pPr>
        <w:pStyle w:val="PI-3EMEASMCA"/>
        <w:spacing w:line="240" w:lineRule="auto"/>
        <w:rPr>
          <w:b w:val="0"/>
        </w:rPr>
      </w:pPr>
      <w:r w:rsidRPr="004A6CAC">
        <w:rPr>
          <w:b w:val="0"/>
        </w:rPr>
        <w:t>Kaip ir visos MRT kontrastinės medžiagos, nepriklausomai nuo vartojimo būdo ir dozės, šis vaistas gali sukelti šalutinį poveikį, kuris paprastai būna minimalus, tačiau gali būti pavojingas gyvybei. Sunkios reakcijos gali pasireikšti per</w:t>
      </w:r>
      <w:r>
        <w:rPr>
          <w:b w:val="0"/>
        </w:rPr>
        <w:t> </w:t>
      </w:r>
      <w:r w:rsidRPr="004A6CAC">
        <w:rPr>
          <w:b w:val="0"/>
        </w:rPr>
        <w:t xml:space="preserve">valandą, lengvos reakcijos gali pasireikšti laikotarpiu iki 7 dienų po vartojimo. Jų negalima numatyti, tačiau rizika yra didesnė, jeigu reakcija pasireiškė ankstesnės MRT kontrastinės medžiagos vartojimo metu (žr. 4 skyrių „Galimas šalutinis poveikis“). Apie tai Jūs turite pasakyti </w:t>
      </w:r>
      <w:r>
        <w:rPr>
          <w:b w:val="0"/>
        </w:rPr>
        <w:t xml:space="preserve">gydytojui </w:t>
      </w:r>
      <w:r w:rsidRPr="004A6CAC">
        <w:rPr>
          <w:b w:val="0"/>
        </w:rPr>
        <w:t>radiologui, kuris atliks injekciją.</w:t>
      </w:r>
    </w:p>
    <w:p w14:paraId="03019BEF" w14:textId="77777777" w:rsidR="00497A38" w:rsidRPr="004A6CAC" w:rsidRDefault="00497A38" w:rsidP="00497A38">
      <w:pPr>
        <w:pStyle w:val="PI-3EMEASMCA"/>
        <w:rPr>
          <w:b w:val="0"/>
        </w:rPr>
      </w:pPr>
    </w:p>
    <w:p w14:paraId="6FC7C3A3" w14:textId="77777777" w:rsidR="00497A38" w:rsidRPr="004A6CAC" w:rsidRDefault="00497A38" w:rsidP="00497A38">
      <w:pPr>
        <w:pStyle w:val="PI-3EMEASMCA"/>
        <w:rPr>
          <w:b w:val="0"/>
        </w:rPr>
      </w:pPr>
      <w:r w:rsidRPr="004A6CAC">
        <w:rPr>
          <w:b w:val="0"/>
        </w:rPr>
        <w:t>Pasakykite savo gydytojui, jei:</w:t>
      </w:r>
    </w:p>
    <w:p w14:paraId="5DA93DAD" w14:textId="77777777" w:rsidR="00497A38" w:rsidRPr="004A6CAC" w:rsidRDefault="00497A38" w:rsidP="00497A38">
      <w:pPr>
        <w:pStyle w:val="Spalvotasspalvinimas3parykinimas1"/>
        <w:numPr>
          <w:ilvl w:val="0"/>
          <w:numId w:val="3"/>
        </w:numPr>
        <w:tabs>
          <w:tab w:val="clear" w:pos="567"/>
        </w:tabs>
        <w:autoSpaceDE w:val="0"/>
        <w:autoSpaceDN w:val="0"/>
        <w:adjustRightInd w:val="0"/>
        <w:spacing w:line="240" w:lineRule="auto"/>
        <w:ind w:right="900"/>
        <w:rPr>
          <w:szCs w:val="22"/>
          <w:lang w:val="lt-LT"/>
        </w:rPr>
      </w:pPr>
      <w:r w:rsidRPr="004A6CAC">
        <w:rPr>
          <w:szCs w:val="22"/>
          <w:lang w:val="lt-LT"/>
        </w:rPr>
        <w:t>sutrikusi Jūsų inkstų veikla;</w:t>
      </w:r>
    </w:p>
    <w:p w14:paraId="40AFF12F" w14:textId="77777777" w:rsidR="00497A38" w:rsidRPr="004A6CAC" w:rsidRDefault="00497A38" w:rsidP="00497A38">
      <w:pPr>
        <w:pStyle w:val="Sraopastraipa"/>
        <w:numPr>
          <w:ilvl w:val="0"/>
          <w:numId w:val="3"/>
        </w:numPr>
        <w:rPr>
          <w:sz w:val="22"/>
          <w:szCs w:val="22"/>
        </w:rPr>
      </w:pPr>
      <w:r w:rsidRPr="004A6CAC">
        <w:rPr>
          <w:sz w:val="22"/>
          <w:szCs w:val="22"/>
        </w:rPr>
        <w:t>Jums neseniai buvo atlikta ar ateityje planuojama atlikti kepenų transplantaciją;</w:t>
      </w:r>
    </w:p>
    <w:p w14:paraId="38C48206" w14:textId="77777777" w:rsidR="00497A38" w:rsidRPr="004A6CAC" w:rsidRDefault="00497A38" w:rsidP="00497A38">
      <w:pPr>
        <w:pStyle w:val="Sraopastraipa"/>
        <w:numPr>
          <w:ilvl w:val="0"/>
          <w:numId w:val="3"/>
        </w:numPr>
        <w:rPr>
          <w:sz w:val="22"/>
          <w:szCs w:val="22"/>
        </w:rPr>
      </w:pPr>
      <w:r w:rsidRPr="004A6CAC">
        <w:rPr>
          <w:sz w:val="22"/>
          <w:szCs w:val="22"/>
        </w:rPr>
        <w:t>Jums buvo atsiradę traukuliai arba sergate galvos smegenų ligomis;</w:t>
      </w:r>
    </w:p>
    <w:p w14:paraId="65BCF3DF" w14:textId="77777777" w:rsidR="00497A38" w:rsidRPr="004A6CAC" w:rsidRDefault="00497A38" w:rsidP="00497A38">
      <w:pPr>
        <w:pStyle w:val="Spalvotasspalvinimas3parykinimas1"/>
        <w:numPr>
          <w:ilvl w:val="0"/>
          <w:numId w:val="3"/>
        </w:numPr>
        <w:tabs>
          <w:tab w:val="clear" w:pos="567"/>
        </w:tabs>
        <w:autoSpaceDE w:val="0"/>
        <w:autoSpaceDN w:val="0"/>
        <w:adjustRightInd w:val="0"/>
        <w:spacing w:line="240" w:lineRule="auto"/>
        <w:ind w:right="900"/>
        <w:rPr>
          <w:szCs w:val="22"/>
          <w:lang w:val="lt-LT"/>
        </w:rPr>
      </w:pPr>
      <w:r w:rsidRPr="004A6CAC">
        <w:rPr>
          <w:szCs w:val="22"/>
          <w:lang w:val="lt-LT"/>
        </w:rPr>
        <w:t>Jums yra ar buvo alergij</w:t>
      </w:r>
      <w:r>
        <w:rPr>
          <w:szCs w:val="22"/>
          <w:lang w:val="lt-LT"/>
        </w:rPr>
        <w:t>ų</w:t>
      </w:r>
      <w:r w:rsidRPr="004A6CAC">
        <w:rPr>
          <w:szCs w:val="22"/>
          <w:lang w:val="lt-LT"/>
        </w:rPr>
        <w:t>.</w:t>
      </w:r>
    </w:p>
    <w:p w14:paraId="1CE4AE18" w14:textId="77777777" w:rsidR="00497A38" w:rsidRPr="004A6CAC" w:rsidRDefault="00497A38" w:rsidP="00497A38">
      <w:pPr>
        <w:pStyle w:val="Spalvotasspalvinimas3parykinimas1"/>
        <w:tabs>
          <w:tab w:val="clear" w:pos="567"/>
        </w:tabs>
        <w:autoSpaceDE w:val="0"/>
        <w:autoSpaceDN w:val="0"/>
        <w:adjustRightInd w:val="0"/>
        <w:spacing w:line="240" w:lineRule="auto"/>
        <w:ind w:left="0" w:right="900"/>
        <w:rPr>
          <w:szCs w:val="22"/>
          <w:lang w:val="lt-LT"/>
        </w:rPr>
      </w:pPr>
    </w:p>
    <w:p w14:paraId="0BF7A0C5" w14:textId="77777777" w:rsidR="00497A38" w:rsidRPr="004A6CAC" w:rsidRDefault="00497A38" w:rsidP="00497A38">
      <w:pPr>
        <w:numPr>
          <w:ilvl w:val="12"/>
          <w:numId w:val="0"/>
        </w:numPr>
        <w:ind w:right="-2"/>
        <w:outlineLvl w:val="0"/>
        <w:rPr>
          <w:bCs/>
          <w:sz w:val="22"/>
          <w:szCs w:val="22"/>
          <w:lang w:eastAsia="fr-FR"/>
        </w:rPr>
      </w:pPr>
      <w:r w:rsidRPr="004A6CAC">
        <w:rPr>
          <w:bCs/>
          <w:sz w:val="22"/>
          <w:szCs w:val="22"/>
          <w:lang w:eastAsia="fr-FR"/>
        </w:rPr>
        <w:t xml:space="preserve">Gydytojas gali nuspręsti atlikti kraujo tyrimą, kad patikrintų, ar gerai veikia Jūsų inkstai, prieš priimdamas sprendimą skirti </w:t>
      </w:r>
      <w:proofErr w:type="spellStart"/>
      <w:r>
        <w:rPr>
          <w:bCs/>
          <w:sz w:val="22"/>
          <w:szCs w:val="22"/>
          <w:lang w:eastAsia="fr-FR"/>
        </w:rPr>
        <w:t>Prohance</w:t>
      </w:r>
      <w:proofErr w:type="spellEnd"/>
      <w:r w:rsidRPr="004A6CAC">
        <w:rPr>
          <w:bCs/>
          <w:sz w:val="22"/>
          <w:szCs w:val="22"/>
          <w:lang w:eastAsia="fr-FR"/>
        </w:rPr>
        <w:t>, ypač jei esate 65 metų ar vyresni.</w:t>
      </w:r>
    </w:p>
    <w:p w14:paraId="35DF5512" w14:textId="77777777" w:rsidR="00497A38" w:rsidRPr="004A6CAC" w:rsidRDefault="00497A38" w:rsidP="00497A38">
      <w:pPr>
        <w:rPr>
          <w:sz w:val="22"/>
          <w:szCs w:val="22"/>
          <w:lang w:eastAsia="fr-FR"/>
        </w:rPr>
      </w:pPr>
    </w:p>
    <w:p w14:paraId="53CF7385" w14:textId="77777777" w:rsidR="00497A38" w:rsidRPr="004A6CAC" w:rsidRDefault="00497A38" w:rsidP="00497A38">
      <w:pPr>
        <w:tabs>
          <w:tab w:val="left" w:pos="0"/>
        </w:tabs>
        <w:ind w:left="360" w:hanging="360"/>
        <w:rPr>
          <w:b/>
          <w:sz w:val="22"/>
          <w:szCs w:val="22"/>
          <w:lang w:eastAsia="fr-FR"/>
        </w:rPr>
      </w:pPr>
      <w:r>
        <w:rPr>
          <w:b/>
          <w:sz w:val="22"/>
          <w:szCs w:val="22"/>
          <w:lang w:eastAsia="fr-FR"/>
        </w:rPr>
        <w:t>Naujagimiams ir kūdikiams</w:t>
      </w:r>
    </w:p>
    <w:p w14:paraId="588FA94E" w14:textId="77777777" w:rsidR="00497A38" w:rsidRPr="004A6CAC" w:rsidRDefault="00497A38" w:rsidP="00497A38">
      <w:pPr>
        <w:numPr>
          <w:ilvl w:val="12"/>
          <w:numId w:val="0"/>
        </w:numPr>
        <w:ind w:right="-2"/>
        <w:outlineLvl w:val="0"/>
        <w:rPr>
          <w:bCs/>
          <w:sz w:val="22"/>
          <w:szCs w:val="22"/>
          <w:lang w:eastAsia="fr-FR"/>
        </w:rPr>
      </w:pPr>
      <w:r w:rsidRPr="004A6CAC">
        <w:rPr>
          <w:bCs/>
          <w:sz w:val="22"/>
          <w:szCs w:val="22"/>
          <w:lang w:eastAsia="fr-FR"/>
        </w:rPr>
        <w:t xml:space="preserve">Kadangi naujagimių, kurių amžius iki 4 savaičių, ir kūdikių iki 1 metų inkstų veikla neišsivysčiusi, šiems pacientams gydytojas gali paskirti </w:t>
      </w:r>
      <w:proofErr w:type="spellStart"/>
      <w:r>
        <w:rPr>
          <w:bCs/>
          <w:sz w:val="22"/>
          <w:szCs w:val="22"/>
          <w:lang w:eastAsia="fr-FR"/>
        </w:rPr>
        <w:t>Prohance</w:t>
      </w:r>
      <w:proofErr w:type="spellEnd"/>
      <w:r w:rsidRPr="004A6CAC">
        <w:rPr>
          <w:bCs/>
          <w:sz w:val="22"/>
          <w:szCs w:val="22"/>
          <w:lang w:eastAsia="fr-FR"/>
        </w:rPr>
        <w:t xml:space="preserve"> tik atidžiai apsvarstęs.</w:t>
      </w:r>
    </w:p>
    <w:p w14:paraId="1A5EF612" w14:textId="77777777" w:rsidR="00497A38" w:rsidRPr="004A6CAC" w:rsidRDefault="00497A38" w:rsidP="00497A38">
      <w:pPr>
        <w:rPr>
          <w:sz w:val="22"/>
          <w:szCs w:val="22"/>
          <w:lang w:eastAsia="fr-FR"/>
        </w:rPr>
      </w:pPr>
    </w:p>
    <w:p w14:paraId="4812D71F" w14:textId="77777777" w:rsidR="00497A38" w:rsidRPr="004A6CAC" w:rsidRDefault="00497A38" w:rsidP="00497A38">
      <w:pPr>
        <w:rPr>
          <w:bCs/>
          <w:sz w:val="22"/>
          <w:szCs w:val="22"/>
          <w:lang w:eastAsia="fr-FR"/>
        </w:rPr>
      </w:pPr>
      <w:r w:rsidRPr="004A6CAC">
        <w:rPr>
          <w:bCs/>
          <w:sz w:val="22"/>
          <w:szCs w:val="22"/>
          <w:lang w:eastAsia="fr-FR"/>
        </w:rPr>
        <w:t>Tyrimo metu, atliekant veninę infuziją Jūs būsite prižiūrimas gydytojo.</w:t>
      </w:r>
    </w:p>
    <w:p w14:paraId="15D39E26" w14:textId="77777777" w:rsidR="00497A38" w:rsidRPr="004A6CAC" w:rsidRDefault="00497A38" w:rsidP="00497A38">
      <w:pPr>
        <w:numPr>
          <w:ilvl w:val="12"/>
          <w:numId w:val="0"/>
        </w:numPr>
        <w:rPr>
          <w:b/>
          <w:bCs/>
          <w:noProof/>
          <w:sz w:val="22"/>
          <w:szCs w:val="20"/>
        </w:rPr>
      </w:pPr>
    </w:p>
    <w:p w14:paraId="7266E221" w14:textId="77777777" w:rsidR="00497A38" w:rsidRPr="004A6CAC" w:rsidRDefault="00497A38" w:rsidP="00497A38">
      <w:pPr>
        <w:numPr>
          <w:ilvl w:val="12"/>
          <w:numId w:val="0"/>
        </w:numPr>
        <w:ind w:right="-2"/>
        <w:rPr>
          <w:noProof/>
          <w:sz w:val="22"/>
          <w:szCs w:val="20"/>
        </w:rPr>
      </w:pPr>
      <w:r w:rsidRPr="004A6CAC">
        <w:rPr>
          <w:b/>
          <w:noProof/>
          <w:sz w:val="22"/>
          <w:szCs w:val="20"/>
        </w:rPr>
        <w:t xml:space="preserve">Kiti vaistai ir </w:t>
      </w:r>
      <w:r>
        <w:rPr>
          <w:b/>
          <w:noProof/>
          <w:sz w:val="22"/>
          <w:szCs w:val="20"/>
        </w:rPr>
        <w:t>Prohance</w:t>
      </w:r>
    </w:p>
    <w:p w14:paraId="6FFE1362" w14:textId="77777777" w:rsidR="00497A38" w:rsidRPr="004A6CAC" w:rsidRDefault="00497A38" w:rsidP="00497A38">
      <w:pPr>
        <w:numPr>
          <w:ilvl w:val="12"/>
          <w:numId w:val="0"/>
        </w:numPr>
        <w:ind w:right="-2"/>
        <w:rPr>
          <w:noProof/>
          <w:sz w:val="22"/>
          <w:szCs w:val="20"/>
        </w:rPr>
      </w:pPr>
      <w:r>
        <w:rPr>
          <w:noProof/>
          <w:sz w:val="22"/>
          <w:szCs w:val="20"/>
        </w:rPr>
        <w:t xml:space="preserve">Pasakykite gydytojui arba vaistininkui apie bet kokias savo ligas. </w:t>
      </w:r>
      <w:r w:rsidRPr="004A6CAC">
        <w:rPr>
          <w:noProof/>
          <w:sz w:val="22"/>
          <w:szCs w:val="20"/>
        </w:rPr>
        <w:t>Jeigu vartojate ar neseniai vartojote kitų vaistų arba dėl to nesate tikri, apie tai pasakykite gydytojui arba vaistininkui</w:t>
      </w:r>
      <w:r>
        <w:rPr>
          <w:noProof/>
          <w:sz w:val="22"/>
          <w:szCs w:val="20"/>
        </w:rPr>
        <w:t>, įskaitant nereceptinius vaistus</w:t>
      </w:r>
      <w:r w:rsidRPr="004A6CAC">
        <w:rPr>
          <w:noProof/>
          <w:sz w:val="22"/>
          <w:szCs w:val="20"/>
        </w:rPr>
        <w:t>. Būkite ypač atsargūs, jei vartojate vaistus arterinei hipertenzijai gydyti.</w:t>
      </w:r>
    </w:p>
    <w:p w14:paraId="013A7923" w14:textId="77777777" w:rsidR="00497A38" w:rsidRPr="004A6CAC" w:rsidRDefault="00497A38" w:rsidP="00497A38">
      <w:pPr>
        <w:pStyle w:val="BTEMEASMCA"/>
      </w:pPr>
    </w:p>
    <w:p w14:paraId="3B45E1CC" w14:textId="77777777" w:rsidR="00497A38" w:rsidRPr="004A6CAC" w:rsidRDefault="00497A38" w:rsidP="00497A38">
      <w:pPr>
        <w:pStyle w:val="PI-3EMEASMCA"/>
      </w:pPr>
      <w:r>
        <w:t>Prohance</w:t>
      </w:r>
      <w:r w:rsidRPr="004A6CAC">
        <w:t xml:space="preserve"> vartojimas su maistu, gėrimais ir alkoholiu</w:t>
      </w:r>
    </w:p>
    <w:p w14:paraId="02F41DCA" w14:textId="77777777" w:rsidR="00497A38" w:rsidRPr="004A6CAC" w:rsidRDefault="00497A38" w:rsidP="00497A38">
      <w:pPr>
        <w:pStyle w:val="TxBrp8"/>
        <w:tabs>
          <w:tab w:val="clear" w:pos="799"/>
        </w:tabs>
        <w:spacing w:line="240" w:lineRule="auto"/>
        <w:ind w:left="0"/>
        <w:rPr>
          <w:rFonts w:ascii="Times New Roman" w:hAnsi="Times New Roman"/>
          <w:szCs w:val="22"/>
          <w:lang w:val="lt-LT"/>
        </w:rPr>
      </w:pPr>
      <w:r w:rsidRPr="004A6CAC">
        <w:rPr>
          <w:rFonts w:ascii="Times New Roman" w:hAnsi="Times New Roman"/>
          <w:szCs w:val="22"/>
          <w:lang w:val="lt-LT"/>
        </w:rPr>
        <w:t xml:space="preserve">Pasitarkite su savo gydytoju, </w:t>
      </w:r>
      <w:r>
        <w:rPr>
          <w:rFonts w:ascii="Times New Roman" w:hAnsi="Times New Roman"/>
          <w:szCs w:val="22"/>
          <w:lang w:val="lt-LT"/>
        </w:rPr>
        <w:t xml:space="preserve">gydytoju </w:t>
      </w:r>
      <w:r w:rsidRPr="004A6CAC">
        <w:rPr>
          <w:rFonts w:ascii="Times New Roman" w:hAnsi="Times New Roman"/>
          <w:szCs w:val="22"/>
          <w:lang w:val="lt-LT"/>
        </w:rPr>
        <w:t>radiologu ar vaistininku, ar yra būtina nevalgyti ar negerti prieš tyrimą.</w:t>
      </w:r>
    </w:p>
    <w:p w14:paraId="6A2782AE" w14:textId="77777777" w:rsidR="00497A38" w:rsidRPr="004A6CAC" w:rsidRDefault="00497A38" w:rsidP="00497A38">
      <w:pPr>
        <w:pStyle w:val="BTEMEASMCA"/>
      </w:pPr>
    </w:p>
    <w:p w14:paraId="08CD452D" w14:textId="77777777" w:rsidR="00497A38" w:rsidRPr="004A6CAC" w:rsidRDefault="00497A38" w:rsidP="00497A38">
      <w:pPr>
        <w:pStyle w:val="PI-3EMEASMCA"/>
      </w:pPr>
      <w:r w:rsidRPr="004A6CAC">
        <w:t>Nėštumas ir žindymo laikotarpis</w:t>
      </w:r>
    </w:p>
    <w:p w14:paraId="45E39269" w14:textId="77777777" w:rsidR="00497A38" w:rsidRPr="004A6CAC" w:rsidRDefault="00497A38" w:rsidP="00497A38">
      <w:pPr>
        <w:pStyle w:val="Pagrindinistekstas2"/>
        <w:spacing w:after="0" w:line="240" w:lineRule="auto"/>
        <w:rPr>
          <w:sz w:val="22"/>
          <w:szCs w:val="22"/>
        </w:rPr>
      </w:pPr>
      <w:r w:rsidRPr="004A6CAC">
        <w:rPr>
          <w:sz w:val="22"/>
          <w:szCs w:val="22"/>
        </w:rPr>
        <w:t>Jeigu esate nėščia, žindote kūdikį, manote, kad galbūt esate nėščia, arba planuojate pastoti, tai prieš vartodama šį vaistą, pasitarkite su gydytoju arba vaistininku.</w:t>
      </w:r>
    </w:p>
    <w:p w14:paraId="46748F6D" w14:textId="77777777" w:rsidR="00497A38" w:rsidRPr="004A6CAC" w:rsidRDefault="00497A38" w:rsidP="00497A38">
      <w:pPr>
        <w:pStyle w:val="Pagrindinistekstas2"/>
        <w:spacing w:after="0" w:line="240" w:lineRule="auto"/>
        <w:rPr>
          <w:sz w:val="22"/>
          <w:szCs w:val="22"/>
        </w:rPr>
      </w:pPr>
    </w:p>
    <w:p w14:paraId="00AF14CE" w14:textId="77777777" w:rsidR="00497A38" w:rsidRPr="00CA03C2" w:rsidRDefault="00497A38" w:rsidP="00497A38">
      <w:pPr>
        <w:pStyle w:val="Pagrindinistekstas2"/>
        <w:spacing w:after="0" w:line="240" w:lineRule="auto"/>
        <w:rPr>
          <w:i/>
          <w:sz w:val="22"/>
          <w:szCs w:val="22"/>
        </w:rPr>
      </w:pPr>
      <w:r w:rsidRPr="00CA03C2">
        <w:rPr>
          <w:i/>
          <w:sz w:val="22"/>
          <w:szCs w:val="22"/>
        </w:rPr>
        <w:t>Nėštumas</w:t>
      </w:r>
    </w:p>
    <w:p w14:paraId="57BDCBE5" w14:textId="77777777" w:rsidR="00497A38" w:rsidRDefault="00497A38" w:rsidP="00497A38">
      <w:pPr>
        <w:pStyle w:val="Pagrindinistekstas2"/>
        <w:spacing w:after="0" w:line="240" w:lineRule="auto"/>
        <w:rPr>
          <w:sz w:val="22"/>
          <w:szCs w:val="22"/>
        </w:rPr>
      </w:pPr>
      <w:bookmarkStart w:id="6" w:name="_Hlk164354538"/>
      <w:proofErr w:type="spellStart"/>
      <w:r>
        <w:rPr>
          <w:sz w:val="22"/>
          <w:szCs w:val="22"/>
        </w:rPr>
        <w:t>Gadoteridolis</w:t>
      </w:r>
      <w:proofErr w:type="spellEnd"/>
      <w:r>
        <w:rPr>
          <w:sz w:val="22"/>
          <w:szCs w:val="22"/>
        </w:rPr>
        <w:t xml:space="preserve"> gali prasiskverbti per placentos barjerą. Ar tai turi poveikį kūdikiui, nežinoma.</w:t>
      </w:r>
    </w:p>
    <w:bookmarkEnd w:id="6"/>
    <w:p w14:paraId="2743FEB7" w14:textId="77777777" w:rsidR="00497A38" w:rsidRPr="004A6CAC" w:rsidRDefault="00497A38" w:rsidP="00497A38">
      <w:pPr>
        <w:pStyle w:val="Pagrindinistekstas2"/>
        <w:spacing w:after="0" w:line="240" w:lineRule="auto"/>
        <w:rPr>
          <w:sz w:val="22"/>
          <w:szCs w:val="22"/>
        </w:rPr>
      </w:pPr>
      <w:r w:rsidRPr="004A6CAC">
        <w:rPr>
          <w:sz w:val="22"/>
          <w:szCs w:val="22"/>
        </w:rPr>
        <w:t xml:space="preserve">Pasakykite savo gydytojui, jeigu esate nėščia, manote, kad galbūt esate nėščia, arba planuojate pastoti. </w:t>
      </w:r>
      <w:bookmarkStart w:id="7" w:name="_Hlk3399477"/>
      <w:proofErr w:type="spellStart"/>
      <w:r>
        <w:rPr>
          <w:sz w:val="22"/>
          <w:szCs w:val="22"/>
        </w:rPr>
        <w:t>Prohance</w:t>
      </w:r>
      <w:proofErr w:type="spellEnd"/>
      <w:r w:rsidRPr="004A6CAC">
        <w:rPr>
          <w:sz w:val="22"/>
          <w:szCs w:val="22"/>
        </w:rPr>
        <w:t xml:space="preserve"> negalima vartoti nėštumo metu, nebent tai būtina.</w:t>
      </w:r>
      <w:bookmarkEnd w:id="7"/>
    </w:p>
    <w:p w14:paraId="768F6E58" w14:textId="77777777" w:rsidR="00497A38" w:rsidRPr="004A6CAC" w:rsidRDefault="00497A38" w:rsidP="00497A38">
      <w:pPr>
        <w:pStyle w:val="Pagrindinistekstas2"/>
        <w:spacing w:after="0" w:line="240" w:lineRule="auto"/>
        <w:rPr>
          <w:sz w:val="22"/>
          <w:szCs w:val="22"/>
        </w:rPr>
      </w:pPr>
    </w:p>
    <w:p w14:paraId="77892B30" w14:textId="77777777" w:rsidR="00497A38" w:rsidRPr="00CA03C2" w:rsidRDefault="00497A38" w:rsidP="00497A38">
      <w:pPr>
        <w:pStyle w:val="Pagrindinistekstas2"/>
        <w:spacing w:after="0" w:line="240" w:lineRule="auto"/>
        <w:rPr>
          <w:i/>
          <w:sz w:val="22"/>
          <w:szCs w:val="22"/>
        </w:rPr>
      </w:pPr>
      <w:r w:rsidRPr="00CA03C2">
        <w:rPr>
          <w:i/>
          <w:sz w:val="22"/>
          <w:szCs w:val="22"/>
        </w:rPr>
        <w:t>Žindymo laikotarpis</w:t>
      </w:r>
    </w:p>
    <w:p w14:paraId="644ACF24" w14:textId="77777777" w:rsidR="00497A38" w:rsidRPr="004A6CAC" w:rsidRDefault="00497A38" w:rsidP="00497A38">
      <w:pPr>
        <w:pStyle w:val="Pagrindinistekstas2"/>
        <w:spacing w:after="0" w:line="240" w:lineRule="auto"/>
        <w:rPr>
          <w:sz w:val="22"/>
          <w:szCs w:val="22"/>
        </w:rPr>
      </w:pPr>
      <w:r w:rsidRPr="004A6CAC">
        <w:rPr>
          <w:sz w:val="22"/>
          <w:szCs w:val="22"/>
        </w:rPr>
        <w:t xml:space="preserve">Pasakykite savo gydytojui, jeigu žindote kūdikį arba pradėsite žindyti. Su savo gydytoju nuspręsite tęsti arba nutraukti žindymą 24 valandoms po </w:t>
      </w:r>
      <w:proofErr w:type="spellStart"/>
      <w:r>
        <w:rPr>
          <w:sz w:val="22"/>
          <w:szCs w:val="22"/>
        </w:rPr>
        <w:t>Prohance</w:t>
      </w:r>
      <w:proofErr w:type="spellEnd"/>
      <w:r w:rsidRPr="004A6CAC">
        <w:rPr>
          <w:sz w:val="22"/>
          <w:szCs w:val="22"/>
        </w:rPr>
        <w:t xml:space="preserve"> vartojimo.</w:t>
      </w:r>
    </w:p>
    <w:p w14:paraId="24F977EA" w14:textId="77777777" w:rsidR="00497A38" w:rsidRPr="004A6CAC" w:rsidRDefault="00497A38" w:rsidP="00497A38">
      <w:pPr>
        <w:pStyle w:val="BTEMEASMCA"/>
      </w:pPr>
    </w:p>
    <w:p w14:paraId="117A0BB3" w14:textId="77777777" w:rsidR="00497A38" w:rsidRPr="004A6CAC" w:rsidRDefault="00497A38" w:rsidP="00497A38">
      <w:pPr>
        <w:pStyle w:val="PI-3EMEASMCA"/>
      </w:pPr>
      <w:r w:rsidRPr="004A6CAC">
        <w:t>Vairavimas ir mechanizmų valdymas</w:t>
      </w:r>
    </w:p>
    <w:p w14:paraId="121F94A4" w14:textId="77777777" w:rsidR="00497A38" w:rsidRPr="004A6CAC" w:rsidRDefault="00497A38" w:rsidP="00497A38">
      <w:pPr>
        <w:pStyle w:val="BTEMEASMCA"/>
      </w:pPr>
      <w:r>
        <w:t>Prohance</w:t>
      </w:r>
      <w:r w:rsidRPr="004A6CAC">
        <w:t xml:space="preserve"> gebėjimo vairuoti ir valdyti mechanizmus neveikia.</w:t>
      </w:r>
    </w:p>
    <w:p w14:paraId="60961D69" w14:textId="77777777" w:rsidR="00497A38" w:rsidRPr="004A6CAC" w:rsidRDefault="00497A38" w:rsidP="00497A38">
      <w:pPr>
        <w:pStyle w:val="BTEMEASMCA"/>
      </w:pPr>
    </w:p>
    <w:p w14:paraId="79F32A12" w14:textId="77777777" w:rsidR="00497A38" w:rsidRPr="00B0422A" w:rsidRDefault="00497A38" w:rsidP="00497A38">
      <w:pPr>
        <w:pStyle w:val="BTEMEASMCA"/>
      </w:pPr>
      <w:r w:rsidRPr="00B0422A">
        <w:t>Prohance sudėtyje yra natrio</w:t>
      </w:r>
    </w:p>
    <w:p w14:paraId="00A1E815" w14:textId="77777777" w:rsidR="00497A38" w:rsidRPr="004A6CAC" w:rsidRDefault="00497A38" w:rsidP="00497A38">
      <w:pPr>
        <w:pStyle w:val="BTEMEASMCA"/>
      </w:pPr>
      <w:r w:rsidRPr="004A6CAC">
        <w:t>Šio vaisto flakone yra mažiau kaip 1 mmol (23 mg) natrio, t. y. jis beveik neturi reikšmės.</w:t>
      </w:r>
    </w:p>
    <w:p w14:paraId="5E5124B3" w14:textId="77777777" w:rsidR="00497A38" w:rsidRPr="004A6CAC" w:rsidRDefault="00497A38" w:rsidP="00497A38">
      <w:pPr>
        <w:pStyle w:val="BTEMEASMCA"/>
      </w:pPr>
    </w:p>
    <w:p w14:paraId="69F9D446" w14:textId="77777777" w:rsidR="00497A38" w:rsidRPr="004A6CAC" w:rsidRDefault="00497A38" w:rsidP="00497A38">
      <w:pPr>
        <w:pStyle w:val="BTEMEASMCA"/>
      </w:pPr>
    </w:p>
    <w:p w14:paraId="3051604A" w14:textId="77777777" w:rsidR="00497A38" w:rsidRPr="004A6CAC" w:rsidRDefault="00497A38" w:rsidP="00497A38">
      <w:pPr>
        <w:pStyle w:val="Antrat3"/>
        <w:tabs>
          <w:tab w:val="left" w:pos="567"/>
        </w:tabs>
        <w:spacing w:before="0"/>
        <w:rPr>
          <w:color w:val="auto"/>
          <w:sz w:val="22"/>
          <w:szCs w:val="22"/>
        </w:rPr>
      </w:pPr>
      <w:bookmarkStart w:id="8" w:name="_Toc129243141"/>
      <w:bookmarkStart w:id="9" w:name="_Toc129243266"/>
      <w:r w:rsidRPr="004A6CAC">
        <w:rPr>
          <w:color w:val="auto"/>
          <w:sz w:val="22"/>
          <w:szCs w:val="22"/>
        </w:rPr>
        <w:t>3.</w:t>
      </w:r>
      <w:r w:rsidRPr="004A6CAC">
        <w:rPr>
          <w:color w:val="auto"/>
          <w:sz w:val="22"/>
          <w:szCs w:val="22"/>
        </w:rPr>
        <w:tab/>
        <w:t xml:space="preserve">Kaip vartoti </w:t>
      </w:r>
      <w:proofErr w:type="spellStart"/>
      <w:r>
        <w:rPr>
          <w:color w:val="auto"/>
          <w:sz w:val="22"/>
          <w:szCs w:val="22"/>
        </w:rPr>
        <w:t>Prohance</w:t>
      </w:r>
      <w:proofErr w:type="spellEnd"/>
    </w:p>
    <w:bookmarkEnd w:id="8"/>
    <w:bookmarkEnd w:id="9"/>
    <w:p w14:paraId="3CE7CF13" w14:textId="77777777" w:rsidR="00497A38" w:rsidRPr="004A6CAC" w:rsidRDefault="00497A38" w:rsidP="00497A38">
      <w:pPr>
        <w:pStyle w:val="BTEMEASMCA"/>
      </w:pPr>
    </w:p>
    <w:p w14:paraId="23FFDDBA" w14:textId="77777777" w:rsidR="00497A38" w:rsidRPr="00B0422A" w:rsidRDefault="00497A38" w:rsidP="00497A38">
      <w:pPr>
        <w:pStyle w:val="TxBrp8"/>
        <w:tabs>
          <w:tab w:val="clear" w:pos="799"/>
        </w:tabs>
        <w:spacing w:line="240" w:lineRule="auto"/>
        <w:ind w:left="0"/>
        <w:rPr>
          <w:rFonts w:ascii="Times New Roman" w:hAnsi="Times New Roman"/>
          <w:u w:val="single"/>
          <w:lang w:val="lt-LT"/>
        </w:rPr>
      </w:pPr>
      <w:r w:rsidRPr="00B0422A">
        <w:rPr>
          <w:rFonts w:ascii="Times New Roman" w:hAnsi="Times New Roman"/>
          <w:u w:val="single"/>
          <w:lang w:val="lt-LT"/>
        </w:rPr>
        <w:t>Dozavimas</w:t>
      </w:r>
    </w:p>
    <w:p w14:paraId="29E9E989" w14:textId="77777777" w:rsidR="00497A38" w:rsidRPr="004A6CAC" w:rsidRDefault="00497A38" w:rsidP="00497A38">
      <w:pPr>
        <w:pStyle w:val="BTEMEASMCA"/>
      </w:pPr>
      <w:r w:rsidRPr="004A6CAC">
        <w:t>Rekomenduojama dozė suaugusiesiems ir vaikams yra 0,2 ml/kg kūno masės. Tam tikrais atvejais suaugusiesiems gali būti skiriama antra 0,4 ml/kg kūno masės dozė.</w:t>
      </w:r>
    </w:p>
    <w:p w14:paraId="0DB0F2C2" w14:textId="77777777" w:rsidR="00497A38" w:rsidRPr="004A6CAC" w:rsidRDefault="00497A38" w:rsidP="00497A38">
      <w:pPr>
        <w:pStyle w:val="BTEMEASMCA"/>
      </w:pPr>
    </w:p>
    <w:p w14:paraId="585DA29D" w14:textId="77777777" w:rsidR="00497A38" w:rsidRPr="00F97917" w:rsidRDefault="00497A38" w:rsidP="00497A38">
      <w:pPr>
        <w:pStyle w:val="BTEMEASMCA"/>
      </w:pPr>
      <w:r w:rsidRPr="00F97917">
        <w:t>Vartojimo metodas ir būdas</w:t>
      </w:r>
    </w:p>
    <w:p w14:paraId="1B344C56" w14:textId="77777777" w:rsidR="00497A38" w:rsidRPr="004A6CAC" w:rsidRDefault="00497A38" w:rsidP="00497A38">
      <w:pPr>
        <w:pStyle w:val="BTEMEASMCA"/>
      </w:pPr>
      <w:r w:rsidRPr="004A6CAC">
        <w:t>Leisti į veną.</w:t>
      </w:r>
    </w:p>
    <w:p w14:paraId="406136EA" w14:textId="77777777" w:rsidR="00497A38" w:rsidRPr="004A6CAC" w:rsidRDefault="00497A38" w:rsidP="00497A38">
      <w:pPr>
        <w:pStyle w:val="BTEMEASMCA"/>
      </w:pPr>
    </w:p>
    <w:p w14:paraId="6C848745" w14:textId="77777777" w:rsidR="00497A38" w:rsidRPr="00F97917" w:rsidRDefault="00497A38" w:rsidP="00497A38">
      <w:pPr>
        <w:pStyle w:val="BTEMEASMCA"/>
      </w:pPr>
      <w:r w:rsidRPr="00F97917">
        <w:t>Dozavimas ypatingoms pacientų grupėms</w:t>
      </w:r>
    </w:p>
    <w:p w14:paraId="33466139" w14:textId="77777777" w:rsidR="00497A38" w:rsidRPr="004A6CAC" w:rsidRDefault="00497A38" w:rsidP="00497A38">
      <w:pPr>
        <w:pStyle w:val="BTEMEASMCA"/>
      </w:pPr>
      <w:r>
        <w:t>Prohance</w:t>
      </w:r>
      <w:r w:rsidRPr="004A6CAC">
        <w:t xml:space="preserve"> nerekomenduojama vartoti pacientams, sergantiems sunkiomis inkstų ligomis, ir pacientams, kuriems neseniai buvo atlikta ar ateityje planuojama atlikti kepenų transplantaciją. Vis dėlto jei vartojimas yra būtinas, Jums turi būti paskirta viena </w:t>
      </w:r>
      <w:r>
        <w:t>Prohance</w:t>
      </w:r>
      <w:r w:rsidRPr="004A6CAC">
        <w:t xml:space="preserve"> dozė tyrimo metu, ir negali būti paskirta antra</w:t>
      </w:r>
      <w:r>
        <w:t> </w:t>
      </w:r>
      <w:r w:rsidRPr="004A6CAC">
        <w:t>dozė nepraėjus mažiausiai 7 dienoms nuo pirmosios.</w:t>
      </w:r>
    </w:p>
    <w:p w14:paraId="2E0C84A0" w14:textId="77777777" w:rsidR="00497A38" w:rsidRPr="004A6CAC" w:rsidRDefault="00497A38" w:rsidP="00497A38">
      <w:pPr>
        <w:pStyle w:val="BTEMEASMCA"/>
      </w:pPr>
    </w:p>
    <w:p w14:paraId="3148BB74" w14:textId="77777777" w:rsidR="00497A38" w:rsidRPr="00B0422A" w:rsidRDefault="00497A38" w:rsidP="00497A38">
      <w:pPr>
        <w:pStyle w:val="BTEMEASMCA"/>
      </w:pPr>
      <w:r w:rsidRPr="0022461A">
        <w:t>Naujagimiams, kūdikiams,</w:t>
      </w:r>
      <w:r w:rsidRPr="00B0422A">
        <w:t xml:space="preserve"> vaikams ir paaugliams</w:t>
      </w:r>
    </w:p>
    <w:p w14:paraId="4E4C1600" w14:textId="77777777" w:rsidR="00497A38" w:rsidRPr="004A6CAC" w:rsidRDefault="00497A38" w:rsidP="00497A38">
      <w:pPr>
        <w:pStyle w:val="BTEMEASMCA"/>
      </w:pPr>
      <w:r w:rsidRPr="004A6CAC">
        <w:t xml:space="preserve">Dėl neišsivysčiusios inkstų veiklos naujagimiams iki 4 savaičių ir kūdikiams iki 1 metų </w:t>
      </w:r>
      <w:r>
        <w:t>Prohance</w:t>
      </w:r>
      <w:r w:rsidRPr="004A6CAC">
        <w:t xml:space="preserve"> gali būti vartojamas tik gydytojui atidžiai apsvarsčius. Naujagimiams ir kūdikiams tyrimo metu gali būti paskirta tik viena </w:t>
      </w:r>
      <w:r>
        <w:t>Prohance</w:t>
      </w:r>
      <w:r w:rsidRPr="004A6CAC">
        <w:t xml:space="preserve"> dozė ir jiems negali būti atliekami kiti MRT tyrimai su kontrastine medžiaga nepraėjus mažiausiai 7 dienoms nuo pirmojo</w:t>
      </w:r>
      <w:r>
        <w:t> </w:t>
      </w:r>
      <w:r w:rsidRPr="004A6CAC">
        <w:t>tyrimo.</w:t>
      </w:r>
    </w:p>
    <w:p w14:paraId="57F4D511" w14:textId="77777777" w:rsidR="00497A38" w:rsidRPr="004A6CAC" w:rsidRDefault="00497A38" w:rsidP="00497A38">
      <w:pPr>
        <w:pStyle w:val="BTEMEASMCA"/>
      </w:pPr>
      <w:r w:rsidRPr="004A6CAC">
        <w:t>Viso kūno MRT tyrimo nerekomenduojama atlikti jaunesniems nei 6 mėnesių vaikams.</w:t>
      </w:r>
    </w:p>
    <w:p w14:paraId="669EC98F" w14:textId="77777777" w:rsidR="00497A38" w:rsidRPr="004A6CAC" w:rsidRDefault="00497A38" w:rsidP="00497A38">
      <w:pPr>
        <w:pStyle w:val="BTEMEASMCA"/>
      </w:pPr>
    </w:p>
    <w:p w14:paraId="74A771BA" w14:textId="77777777" w:rsidR="00497A38" w:rsidRPr="00F97917" w:rsidRDefault="00497A38" w:rsidP="00497A38">
      <w:pPr>
        <w:pStyle w:val="BTEMEASMCA"/>
      </w:pPr>
      <w:r w:rsidRPr="00F97917">
        <w:t>Senyviems pacientams</w:t>
      </w:r>
    </w:p>
    <w:p w14:paraId="56C2D34C" w14:textId="77777777" w:rsidR="00497A38" w:rsidRPr="004A6CAC" w:rsidRDefault="00497A38" w:rsidP="00497A38">
      <w:pPr>
        <w:pStyle w:val="BTEMEASMCA"/>
      </w:pPr>
      <w:r w:rsidRPr="004A6CAC">
        <w:t>Dozės koreguoti nereikia, jei esate 65 metų ar vyresni, bet Jums reikės atlikti kraujo tyrimą ir patikrinti, ar gerai veikia jūsų inkstai.</w:t>
      </w:r>
    </w:p>
    <w:p w14:paraId="0B30E5A7" w14:textId="77777777" w:rsidR="00497A38" w:rsidRPr="004A6CAC" w:rsidRDefault="00497A38" w:rsidP="00497A38">
      <w:pPr>
        <w:pStyle w:val="BTEMEASMCA"/>
      </w:pPr>
    </w:p>
    <w:p w14:paraId="6DE6DF61" w14:textId="77777777" w:rsidR="00497A38" w:rsidRPr="004A6CAC" w:rsidRDefault="00497A38" w:rsidP="00497A38">
      <w:pPr>
        <w:pStyle w:val="PI-3EMEASMCA"/>
      </w:pPr>
      <w:r w:rsidRPr="004A6CAC">
        <w:t xml:space="preserve">Ką daryti pavartojus per didelę </w:t>
      </w:r>
      <w:r>
        <w:t>Prohance</w:t>
      </w:r>
      <w:r w:rsidRPr="004A6CAC">
        <w:t xml:space="preserve"> dozę</w:t>
      </w:r>
    </w:p>
    <w:p w14:paraId="4D14706B" w14:textId="77777777" w:rsidR="00497A38" w:rsidRPr="004A6CAC" w:rsidRDefault="00497A38" w:rsidP="00497A38">
      <w:pPr>
        <w:numPr>
          <w:ilvl w:val="12"/>
          <w:numId w:val="0"/>
        </w:numPr>
        <w:ind w:right="-2"/>
        <w:rPr>
          <w:sz w:val="22"/>
          <w:szCs w:val="22"/>
        </w:rPr>
      </w:pPr>
      <w:r w:rsidRPr="004A6CAC">
        <w:rPr>
          <w:sz w:val="22"/>
          <w:szCs w:val="22"/>
        </w:rPr>
        <w:t>Jei netyčia pavartojote per didelę dozę, pasakykite savo gydytojui, kuris imsis atitinkamų priemonių simptomams gydyti. Tokiu atveju, gydytojas patikrins Jūsų inkstų veiklą.</w:t>
      </w:r>
    </w:p>
    <w:p w14:paraId="24298D2B" w14:textId="77777777" w:rsidR="00497A38" w:rsidRPr="004A6CAC" w:rsidRDefault="00497A38" w:rsidP="00497A38">
      <w:pPr>
        <w:pStyle w:val="PI-3EMEASMCA"/>
        <w:rPr>
          <w:b w:val="0"/>
        </w:rPr>
      </w:pPr>
    </w:p>
    <w:p w14:paraId="69196B5B" w14:textId="77777777" w:rsidR="00497A38" w:rsidRPr="004A6CAC" w:rsidRDefault="00497A38" w:rsidP="00497A38">
      <w:pPr>
        <w:pStyle w:val="BTEMEASMCA"/>
      </w:pPr>
      <w:r w:rsidRPr="004A6CAC">
        <w:t>Jeigu kiltų daugiau klausimų dėl šio vaisto vartojimo, kreipkitės į gydytoją arba vaistininką.</w:t>
      </w:r>
    </w:p>
    <w:p w14:paraId="0F387FDE" w14:textId="77777777" w:rsidR="00497A38" w:rsidRPr="004A6CAC" w:rsidRDefault="00497A38" w:rsidP="00497A38">
      <w:pPr>
        <w:pStyle w:val="BTEMEASMCA"/>
      </w:pPr>
    </w:p>
    <w:p w14:paraId="058E1A27" w14:textId="77777777" w:rsidR="00497A38" w:rsidRPr="004A6CAC" w:rsidRDefault="00497A38" w:rsidP="00497A38">
      <w:pPr>
        <w:pStyle w:val="BTEMEASMCA"/>
      </w:pPr>
    </w:p>
    <w:p w14:paraId="378E0DFB" w14:textId="77777777" w:rsidR="00497A38" w:rsidRPr="004A6CAC" w:rsidRDefault="00497A38" w:rsidP="00497A38">
      <w:pPr>
        <w:pStyle w:val="Antrat3"/>
        <w:tabs>
          <w:tab w:val="left" w:pos="567"/>
        </w:tabs>
        <w:spacing w:before="0"/>
        <w:rPr>
          <w:color w:val="auto"/>
          <w:sz w:val="22"/>
          <w:szCs w:val="22"/>
        </w:rPr>
      </w:pPr>
      <w:bookmarkStart w:id="10" w:name="_Toc129243142"/>
      <w:bookmarkStart w:id="11" w:name="_Toc129243267"/>
      <w:r w:rsidRPr="004A6CAC">
        <w:rPr>
          <w:color w:val="auto"/>
          <w:sz w:val="22"/>
          <w:szCs w:val="22"/>
        </w:rPr>
        <w:t>4.</w:t>
      </w:r>
      <w:r w:rsidRPr="004A6CAC">
        <w:rPr>
          <w:color w:val="auto"/>
          <w:sz w:val="22"/>
          <w:szCs w:val="22"/>
        </w:rPr>
        <w:tab/>
        <w:t>Galimas šalutinis poveikis</w:t>
      </w:r>
    </w:p>
    <w:bookmarkEnd w:id="10"/>
    <w:bookmarkEnd w:id="11"/>
    <w:p w14:paraId="5FBB186B" w14:textId="77777777" w:rsidR="00497A38" w:rsidRPr="004A6CAC" w:rsidRDefault="00497A38" w:rsidP="00497A38">
      <w:pPr>
        <w:pStyle w:val="BTEMEASMCA"/>
      </w:pPr>
    </w:p>
    <w:p w14:paraId="27A4B097" w14:textId="77777777" w:rsidR="00497A38" w:rsidRPr="004A6CAC" w:rsidRDefault="00497A38" w:rsidP="00497A38">
      <w:pPr>
        <w:pStyle w:val="BTEMEASMCA"/>
      </w:pPr>
      <w:r w:rsidRPr="004A6CAC">
        <w:t>Šis vaistas, kaip ir visi kiti, gali sukelti šalutinį poveikį, nors jis pasireiškia ne visiems žmonėms.</w:t>
      </w:r>
    </w:p>
    <w:p w14:paraId="74176406" w14:textId="77777777" w:rsidR="00497A38" w:rsidRPr="004A6CAC" w:rsidRDefault="00497A38" w:rsidP="00497A38">
      <w:pPr>
        <w:ind w:right="900"/>
        <w:rPr>
          <w:sz w:val="22"/>
          <w:szCs w:val="22"/>
        </w:rPr>
      </w:pPr>
    </w:p>
    <w:p w14:paraId="40652BD9" w14:textId="77777777" w:rsidR="00497A38" w:rsidRPr="004A6CAC" w:rsidRDefault="00497A38" w:rsidP="00497A38">
      <w:pPr>
        <w:ind w:right="900"/>
        <w:rPr>
          <w:sz w:val="22"/>
          <w:szCs w:val="22"/>
        </w:rPr>
      </w:pPr>
      <w:r w:rsidRPr="004A6CAC">
        <w:rPr>
          <w:sz w:val="22"/>
          <w:szCs w:val="22"/>
        </w:rPr>
        <w:t xml:space="preserve">MRT tyrimo metu vartojant </w:t>
      </w:r>
      <w:proofErr w:type="spellStart"/>
      <w:r>
        <w:rPr>
          <w:sz w:val="22"/>
          <w:szCs w:val="22"/>
        </w:rPr>
        <w:t>Prohance</w:t>
      </w:r>
      <w:proofErr w:type="spellEnd"/>
      <w:r w:rsidRPr="004A6CAC">
        <w:rPr>
          <w:sz w:val="22"/>
          <w:szCs w:val="22"/>
        </w:rPr>
        <w:t xml:space="preserve"> kontrastui padidinti, turi būti taikomos saugos priemonės ir procedūros.</w:t>
      </w:r>
    </w:p>
    <w:p w14:paraId="044FEC71" w14:textId="77777777" w:rsidR="00497A38" w:rsidRPr="004A6CAC" w:rsidRDefault="00497A38" w:rsidP="00497A38">
      <w:pPr>
        <w:ind w:right="900"/>
        <w:rPr>
          <w:sz w:val="22"/>
          <w:szCs w:val="22"/>
        </w:rPr>
      </w:pPr>
    </w:p>
    <w:p w14:paraId="092E5EE8" w14:textId="77777777" w:rsidR="00497A38" w:rsidRPr="004A6CAC" w:rsidRDefault="00497A38" w:rsidP="00497A38">
      <w:pPr>
        <w:ind w:right="900"/>
        <w:rPr>
          <w:sz w:val="22"/>
          <w:szCs w:val="22"/>
        </w:rPr>
      </w:pPr>
      <w:r w:rsidRPr="004A6CAC">
        <w:rPr>
          <w:sz w:val="22"/>
          <w:szCs w:val="22"/>
        </w:rPr>
        <w:t xml:space="preserve">Buvo pranešta apie </w:t>
      </w:r>
      <w:proofErr w:type="spellStart"/>
      <w:r w:rsidRPr="004A6CAC">
        <w:rPr>
          <w:sz w:val="22"/>
          <w:szCs w:val="22"/>
        </w:rPr>
        <w:t>nefrogeninę</w:t>
      </w:r>
      <w:proofErr w:type="spellEnd"/>
      <w:r w:rsidRPr="004A6CAC">
        <w:rPr>
          <w:sz w:val="22"/>
          <w:szCs w:val="22"/>
        </w:rPr>
        <w:t xml:space="preserve"> sisteminę fibrozę (kuri sukelia odos sukietėjimą ir gali paveikti minkštuosius audinius bei vidaus organus), daugiausia</w:t>
      </w:r>
      <w:r>
        <w:rPr>
          <w:sz w:val="22"/>
          <w:szCs w:val="22"/>
        </w:rPr>
        <w:t>i</w:t>
      </w:r>
      <w:r w:rsidRPr="004A6CAC">
        <w:rPr>
          <w:sz w:val="22"/>
          <w:szCs w:val="22"/>
        </w:rPr>
        <w:t xml:space="preserve"> pasireiškusią pacientams, kurie vartojo </w:t>
      </w:r>
      <w:proofErr w:type="spellStart"/>
      <w:r>
        <w:rPr>
          <w:sz w:val="22"/>
          <w:szCs w:val="22"/>
        </w:rPr>
        <w:t>Prohance</w:t>
      </w:r>
      <w:proofErr w:type="spellEnd"/>
      <w:r w:rsidRPr="004A6CAC">
        <w:rPr>
          <w:sz w:val="22"/>
          <w:szCs w:val="22"/>
        </w:rPr>
        <w:t xml:space="preserve"> kartu su kitomis </w:t>
      </w:r>
      <w:proofErr w:type="spellStart"/>
      <w:r w:rsidRPr="004A6CAC">
        <w:rPr>
          <w:sz w:val="22"/>
          <w:szCs w:val="22"/>
        </w:rPr>
        <w:t>gadolinio</w:t>
      </w:r>
      <w:proofErr w:type="spellEnd"/>
      <w:r w:rsidRPr="004A6CAC">
        <w:rPr>
          <w:sz w:val="22"/>
          <w:szCs w:val="22"/>
        </w:rPr>
        <w:t xml:space="preserve"> turinčiomis kontrastinėmis medžiagomis.</w:t>
      </w:r>
    </w:p>
    <w:p w14:paraId="52FB9211" w14:textId="77777777" w:rsidR="00497A38" w:rsidRPr="004A6CAC" w:rsidRDefault="00497A38" w:rsidP="00497A38">
      <w:pPr>
        <w:rPr>
          <w:b/>
          <w:sz w:val="22"/>
          <w:szCs w:val="22"/>
        </w:rPr>
      </w:pPr>
    </w:p>
    <w:p w14:paraId="181F8153" w14:textId="77777777" w:rsidR="00497A38" w:rsidRPr="00B0422A" w:rsidRDefault="00497A38" w:rsidP="00497A38">
      <w:pPr>
        <w:rPr>
          <w:b/>
          <w:sz w:val="22"/>
        </w:rPr>
      </w:pPr>
      <w:r w:rsidRPr="00016A44">
        <w:rPr>
          <w:b/>
          <w:bCs/>
          <w:iCs/>
          <w:szCs w:val="22"/>
        </w:rPr>
        <w:t>D</w:t>
      </w:r>
      <w:r w:rsidRPr="0022461A">
        <w:rPr>
          <w:b/>
          <w:bCs/>
          <w:iCs/>
          <w:sz w:val="22"/>
          <w:szCs w:val="22"/>
        </w:rPr>
        <w:t>ažni šalutinio poveikio reiškiniai</w:t>
      </w:r>
      <w:r w:rsidRPr="00B0422A">
        <w:rPr>
          <w:b/>
          <w:sz w:val="22"/>
        </w:rPr>
        <w:t xml:space="preserve"> (gali pasireikšti rečiau kaip 1 iš 10</w:t>
      </w:r>
      <w:r w:rsidRPr="0022461A">
        <w:rPr>
          <w:b/>
          <w:bCs/>
          <w:iCs/>
          <w:sz w:val="22"/>
          <w:szCs w:val="22"/>
        </w:rPr>
        <w:t xml:space="preserve"> asmenų):</w:t>
      </w:r>
    </w:p>
    <w:p w14:paraId="0BB11D41"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Pykinimas.</w:t>
      </w:r>
    </w:p>
    <w:p w14:paraId="24BC00C2" w14:textId="77777777" w:rsidR="00497A38" w:rsidRPr="004A6CAC" w:rsidRDefault="00497A38" w:rsidP="00497A38">
      <w:pPr>
        <w:widowControl w:val="0"/>
        <w:overflowPunct w:val="0"/>
        <w:autoSpaceDE w:val="0"/>
        <w:autoSpaceDN w:val="0"/>
        <w:adjustRightInd w:val="0"/>
        <w:jc w:val="both"/>
        <w:textAlignment w:val="baseline"/>
        <w:rPr>
          <w:sz w:val="22"/>
          <w:szCs w:val="22"/>
        </w:rPr>
      </w:pPr>
    </w:p>
    <w:p w14:paraId="5B75EA84" w14:textId="77777777" w:rsidR="00497A38" w:rsidRPr="00B0422A" w:rsidRDefault="00497A38" w:rsidP="00497A38">
      <w:pPr>
        <w:rPr>
          <w:b/>
          <w:color w:val="000000"/>
          <w:sz w:val="22"/>
        </w:rPr>
      </w:pPr>
      <w:r w:rsidRPr="0022461A">
        <w:rPr>
          <w:b/>
          <w:bCs/>
          <w:color w:val="000000"/>
          <w:sz w:val="22"/>
          <w:szCs w:val="22"/>
        </w:rPr>
        <w:t>Nedažni šalutinio poveikio reiškiniai</w:t>
      </w:r>
      <w:r w:rsidRPr="00B0422A">
        <w:rPr>
          <w:b/>
          <w:color w:val="000000"/>
          <w:sz w:val="22"/>
        </w:rPr>
        <w:t xml:space="preserve"> (gali pasireikšti rečiau kaip 1 iš 100</w:t>
      </w:r>
      <w:r w:rsidRPr="0022461A">
        <w:rPr>
          <w:b/>
          <w:bCs/>
          <w:color w:val="000000"/>
          <w:sz w:val="22"/>
          <w:szCs w:val="22"/>
        </w:rPr>
        <w:t xml:space="preserve"> asmenų):</w:t>
      </w:r>
    </w:p>
    <w:p w14:paraId="55B2B433"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Galvos skausmas, svaig</w:t>
      </w:r>
      <w:r>
        <w:rPr>
          <w:szCs w:val="22"/>
          <w:lang w:val="lt-LT"/>
        </w:rPr>
        <w:t>ulio pojūtis</w:t>
      </w:r>
      <w:r w:rsidRPr="004A6CAC">
        <w:rPr>
          <w:szCs w:val="22"/>
          <w:lang w:val="lt-LT"/>
        </w:rPr>
        <w:t xml:space="preserve">, </w:t>
      </w:r>
      <w:r>
        <w:rPr>
          <w:szCs w:val="22"/>
          <w:lang w:val="lt-LT"/>
        </w:rPr>
        <w:t>perštė</w:t>
      </w:r>
      <w:r w:rsidRPr="004A6CAC">
        <w:rPr>
          <w:szCs w:val="22"/>
          <w:lang w:val="lt-LT"/>
        </w:rPr>
        <w:t>jimo pojūtis, neįprastas skonis burnoje.</w:t>
      </w:r>
    </w:p>
    <w:p w14:paraId="43B7F818" w14:textId="77777777" w:rsidR="00497A38"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Padidėjęs ašarojimas.</w:t>
      </w:r>
    </w:p>
    <w:p w14:paraId="03B59C52"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Pr>
          <w:szCs w:val="22"/>
          <w:lang w:val="lt-LT"/>
        </w:rPr>
        <w:t>Padažnėjęs širdies ritmas.</w:t>
      </w:r>
    </w:p>
    <w:p w14:paraId="693AA2F8"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Pr>
          <w:szCs w:val="22"/>
          <w:lang w:val="lt-LT"/>
        </w:rPr>
        <w:t>Mažas kraujospūdis (</w:t>
      </w:r>
      <w:proofErr w:type="spellStart"/>
      <w:r w:rsidRPr="004A6CAC">
        <w:rPr>
          <w:szCs w:val="22"/>
          <w:lang w:val="lt-LT"/>
        </w:rPr>
        <w:t>hipotenzija</w:t>
      </w:r>
      <w:proofErr w:type="spellEnd"/>
      <w:r>
        <w:rPr>
          <w:szCs w:val="22"/>
          <w:lang w:val="lt-LT"/>
        </w:rPr>
        <w:t>)</w:t>
      </w:r>
      <w:r w:rsidRPr="004A6CAC">
        <w:rPr>
          <w:szCs w:val="22"/>
          <w:lang w:val="lt-LT"/>
        </w:rPr>
        <w:t>, karščio pylimas.</w:t>
      </w:r>
    </w:p>
    <w:p w14:paraId="098AF23E"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 xml:space="preserve">Vėmimas, </w:t>
      </w:r>
      <w:r>
        <w:rPr>
          <w:szCs w:val="22"/>
          <w:lang w:val="lt-LT"/>
        </w:rPr>
        <w:t xml:space="preserve">sausa </w:t>
      </w:r>
      <w:r w:rsidRPr="004A6CAC">
        <w:rPr>
          <w:szCs w:val="22"/>
          <w:lang w:val="lt-LT"/>
        </w:rPr>
        <w:t>burna.</w:t>
      </w:r>
    </w:p>
    <w:p w14:paraId="327BE873"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Niežėjimas, dilgėlinė (odos išbėrimas su niežėjimo ir deginimo pojūčiu), išbėrimas.</w:t>
      </w:r>
    </w:p>
    <w:p w14:paraId="569158E5" w14:textId="77777777" w:rsidR="00497A38" w:rsidRPr="004A6CAC" w:rsidRDefault="00497A38" w:rsidP="00497A38">
      <w:pPr>
        <w:pStyle w:val="Spalvotasspalvinimas3parykinimas1"/>
        <w:widowControl w:val="0"/>
        <w:numPr>
          <w:ilvl w:val="0"/>
          <w:numId w:val="3"/>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Skausmas injekcijos vietoje, injekcijos vietos reakcija (dėl vaisto prasiskverbimo per kraujagyslių sieneles)</w:t>
      </w:r>
      <w:r>
        <w:rPr>
          <w:szCs w:val="22"/>
          <w:lang w:val="lt-LT"/>
        </w:rPr>
        <w:t>, nuovargis.</w:t>
      </w:r>
    </w:p>
    <w:p w14:paraId="210C3038" w14:textId="77777777" w:rsidR="00497A38" w:rsidRPr="004A6CAC" w:rsidRDefault="00497A38" w:rsidP="00497A38">
      <w:pPr>
        <w:autoSpaceDE w:val="0"/>
        <w:autoSpaceDN w:val="0"/>
        <w:adjustRightInd w:val="0"/>
        <w:ind w:right="900"/>
        <w:rPr>
          <w:bCs/>
          <w:i/>
          <w:iCs/>
          <w:sz w:val="22"/>
          <w:szCs w:val="22"/>
        </w:rPr>
      </w:pPr>
    </w:p>
    <w:p w14:paraId="6BA2A4D0" w14:textId="77777777" w:rsidR="00497A38" w:rsidRPr="004A6CAC" w:rsidRDefault="00497A38" w:rsidP="00497A38">
      <w:pPr>
        <w:autoSpaceDE w:val="0"/>
        <w:autoSpaceDN w:val="0"/>
        <w:adjustRightInd w:val="0"/>
        <w:ind w:right="900"/>
        <w:rPr>
          <w:bCs/>
          <w:i/>
          <w:iCs/>
          <w:sz w:val="22"/>
          <w:szCs w:val="22"/>
        </w:rPr>
      </w:pPr>
      <w:r w:rsidRPr="00D70940">
        <w:rPr>
          <w:b/>
          <w:bCs/>
          <w:iCs/>
          <w:sz w:val="22"/>
          <w:szCs w:val="22"/>
        </w:rPr>
        <w:t>Reti šalutinio poveikio reiškiniai</w:t>
      </w:r>
      <w:r w:rsidRPr="00B0422A">
        <w:rPr>
          <w:b/>
          <w:sz w:val="22"/>
        </w:rPr>
        <w:t xml:space="preserve"> (gali pasireikšti rečiau kaip 1 iš 1</w:t>
      </w:r>
      <w:r w:rsidRPr="00D70940">
        <w:rPr>
          <w:b/>
          <w:bCs/>
          <w:iCs/>
          <w:sz w:val="22"/>
          <w:szCs w:val="22"/>
        </w:rPr>
        <w:t xml:space="preserve"> </w:t>
      </w:r>
      <w:r w:rsidRPr="00B0422A">
        <w:rPr>
          <w:b/>
          <w:sz w:val="22"/>
        </w:rPr>
        <w:t>000</w:t>
      </w:r>
      <w:r w:rsidRPr="00D70940">
        <w:rPr>
          <w:b/>
          <w:bCs/>
          <w:iCs/>
          <w:sz w:val="22"/>
          <w:szCs w:val="22"/>
        </w:rPr>
        <w:t xml:space="preserve"> asmenų):</w:t>
      </w:r>
    </w:p>
    <w:p w14:paraId="5999C2E9" w14:textId="77777777" w:rsidR="00497A38" w:rsidRPr="004A6CAC"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4A6CAC">
        <w:rPr>
          <w:sz w:val="22"/>
          <w:szCs w:val="22"/>
        </w:rPr>
        <w:t>Alerginės reakcijos (Dažniausiai pranešta apie simptomus</w:t>
      </w:r>
      <w:r>
        <w:rPr>
          <w:sz w:val="22"/>
          <w:szCs w:val="22"/>
        </w:rPr>
        <w:t>,</w:t>
      </w:r>
      <w:r w:rsidRPr="004A6CAC">
        <w:rPr>
          <w:sz w:val="22"/>
          <w:szCs w:val="22"/>
        </w:rPr>
        <w:t xml:space="preserve"> tokius kaip gerklės </w:t>
      </w:r>
      <w:r>
        <w:rPr>
          <w:sz w:val="22"/>
          <w:szCs w:val="22"/>
        </w:rPr>
        <w:t>užgul</w:t>
      </w:r>
      <w:r w:rsidRPr="004A6CAC">
        <w:rPr>
          <w:sz w:val="22"/>
          <w:szCs w:val="22"/>
        </w:rPr>
        <w:t>imo pojūtis, gerklės dirginimas, apsunkintas kvėpavimas, diskomfortas krūtinės srityje, karščio pojūtis, sunkumas ryjant, deginimo pojūtis, gerklės pa</w:t>
      </w:r>
      <w:r>
        <w:rPr>
          <w:sz w:val="22"/>
          <w:szCs w:val="22"/>
        </w:rPr>
        <w:t>br</w:t>
      </w:r>
      <w:r w:rsidRPr="004A6CAC">
        <w:rPr>
          <w:sz w:val="22"/>
          <w:szCs w:val="22"/>
        </w:rPr>
        <w:t>in</w:t>
      </w:r>
      <w:r>
        <w:rPr>
          <w:sz w:val="22"/>
          <w:szCs w:val="22"/>
        </w:rPr>
        <w:t>k</w:t>
      </w:r>
      <w:r w:rsidRPr="004A6CAC">
        <w:rPr>
          <w:sz w:val="22"/>
          <w:szCs w:val="22"/>
        </w:rPr>
        <w:t>imas, žemas kraujosp</w:t>
      </w:r>
      <w:r>
        <w:rPr>
          <w:sz w:val="22"/>
          <w:szCs w:val="22"/>
        </w:rPr>
        <w:t>ū</w:t>
      </w:r>
      <w:r w:rsidRPr="004A6CAC">
        <w:rPr>
          <w:sz w:val="22"/>
          <w:szCs w:val="22"/>
        </w:rPr>
        <w:t>dis).</w:t>
      </w:r>
    </w:p>
    <w:p w14:paraId="7AD74E84" w14:textId="77777777" w:rsidR="00497A38" w:rsidRPr="004A6CAC"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4A6CAC">
        <w:rPr>
          <w:sz w:val="22"/>
          <w:szCs w:val="22"/>
        </w:rPr>
        <w:t>Nerimas.</w:t>
      </w:r>
    </w:p>
    <w:p w14:paraId="30EC110B"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Pusiausvyros sutrikimai, traukuliai, psichikos sutrikimai.</w:t>
      </w:r>
    </w:p>
    <w:p w14:paraId="6B56ACD5"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Skambėjimas ausyse.</w:t>
      </w:r>
    </w:p>
    <w:p w14:paraId="77315F69"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Nenormalus širdies plakimas.</w:t>
      </w:r>
    </w:p>
    <w:p w14:paraId="3C263F0C"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 xml:space="preserve">Gerklės </w:t>
      </w:r>
      <w:r>
        <w:rPr>
          <w:sz w:val="22"/>
          <w:szCs w:val="22"/>
        </w:rPr>
        <w:t>užgul</w:t>
      </w:r>
      <w:r w:rsidRPr="00CA03C2">
        <w:rPr>
          <w:sz w:val="22"/>
          <w:szCs w:val="22"/>
        </w:rPr>
        <w:t xml:space="preserve">imo pojūtis, sulėtėjęs kvėpavimas, </w:t>
      </w:r>
      <w:r>
        <w:rPr>
          <w:sz w:val="22"/>
          <w:szCs w:val="22"/>
        </w:rPr>
        <w:t>sekreto varvėjimas iš nosies</w:t>
      </w:r>
      <w:r w:rsidRPr="00CA03C2">
        <w:rPr>
          <w:sz w:val="22"/>
          <w:szCs w:val="22"/>
        </w:rPr>
        <w:t xml:space="preserve">, kosulys, laikinas kvėpavimo sustojimas, </w:t>
      </w:r>
      <w:r>
        <w:rPr>
          <w:sz w:val="22"/>
          <w:szCs w:val="22"/>
        </w:rPr>
        <w:t>gargimas (</w:t>
      </w:r>
      <w:r w:rsidRPr="00CA03C2">
        <w:rPr>
          <w:sz w:val="22"/>
          <w:szCs w:val="22"/>
        </w:rPr>
        <w:t>švokštimas</w:t>
      </w:r>
      <w:r>
        <w:rPr>
          <w:sz w:val="22"/>
          <w:szCs w:val="22"/>
        </w:rPr>
        <w:t>)</w:t>
      </w:r>
      <w:r w:rsidRPr="00CA03C2">
        <w:rPr>
          <w:sz w:val="22"/>
          <w:szCs w:val="22"/>
        </w:rPr>
        <w:t>.</w:t>
      </w:r>
    </w:p>
    <w:p w14:paraId="224D8B99"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Pilvo skausmas, liežuvio pa</w:t>
      </w:r>
      <w:r>
        <w:rPr>
          <w:sz w:val="22"/>
          <w:szCs w:val="22"/>
        </w:rPr>
        <w:t>br</w:t>
      </w:r>
      <w:r w:rsidRPr="00CA03C2">
        <w:rPr>
          <w:sz w:val="22"/>
          <w:szCs w:val="22"/>
        </w:rPr>
        <w:t>in</w:t>
      </w:r>
      <w:r>
        <w:rPr>
          <w:sz w:val="22"/>
          <w:szCs w:val="22"/>
        </w:rPr>
        <w:t>k</w:t>
      </w:r>
      <w:r w:rsidRPr="00CA03C2">
        <w:rPr>
          <w:sz w:val="22"/>
          <w:szCs w:val="22"/>
        </w:rPr>
        <w:t>imas, burnos niežėjimas, dantenų uždegimas, viduriavimas.</w:t>
      </w:r>
    </w:p>
    <w:p w14:paraId="13F13710"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Veido pa</w:t>
      </w:r>
      <w:r>
        <w:rPr>
          <w:sz w:val="22"/>
          <w:szCs w:val="22"/>
        </w:rPr>
        <w:t>br</w:t>
      </w:r>
      <w:r w:rsidRPr="00CA03C2">
        <w:rPr>
          <w:sz w:val="22"/>
          <w:szCs w:val="22"/>
        </w:rPr>
        <w:t>in</w:t>
      </w:r>
      <w:r>
        <w:rPr>
          <w:sz w:val="22"/>
          <w:szCs w:val="22"/>
        </w:rPr>
        <w:t>k</w:t>
      </w:r>
      <w:r w:rsidRPr="00CA03C2">
        <w:rPr>
          <w:sz w:val="22"/>
          <w:szCs w:val="22"/>
        </w:rPr>
        <w:t>imas.</w:t>
      </w:r>
    </w:p>
    <w:p w14:paraId="27DA296B"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Raumenų s</w:t>
      </w:r>
      <w:r>
        <w:rPr>
          <w:sz w:val="22"/>
          <w:szCs w:val="22"/>
        </w:rPr>
        <w:t>ustingi</w:t>
      </w:r>
      <w:r w:rsidRPr="00CA03C2">
        <w:rPr>
          <w:sz w:val="22"/>
          <w:szCs w:val="22"/>
        </w:rPr>
        <w:t>mas.</w:t>
      </w:r>
    </w:p>
    <w:p w14:paraId="7773C815" w14:textId="77777777" w:rsidR="00497A38" w:rsidRPr="00CA03C2" w:rsidRDefault="00497A38" w:rsidP="00497A38">
      <w:pPr>
        <w:numPr>
          <w:ilvl w:val="0"/>
          <w:numId w:val="4"/>
        </w:numPr>
        <w:tabs>
          <w:tab w:val="clear" w:pos="360"/>
          <w:tab w:val="num" w:pos="567"/>
        </w:tabs>
        <w:autoSpaceDE w:val="0"/>
        <w:autoSpaceDN w:val="0"/>
        <w:adjustRightInd w:val="0"/>
        <w:ind w:left="567" w:right="900" w:hanging="567"/>
        <w:rPr>
          <w:sz w:val="22"/>
          <w:szCs w:val="22"/>
        </w:rPr>
      </w:pPr>
      <w:r w:rsidRPr="00CA03C2">
        <w:rPr>
          <w:sz w:val="22"/>
          <w:szCs w:val="22"/>
        </w:rPr>
        <w:t>Krūtinės skausmas, karščiavimas.</w:t>
      </w:r>
    </w:p>
    <w:p w14:paraId="2FCFC225" w14:textId="77777777" w:rsidR="00497A38" w:rsidRPr="004A6CAC" w:rsidRDefault="00497A38" w:rsidP="00497A38">
      <w:pPr>
        <w:ind w:right="900"/>
        <w:jc w:val="both"/>
        <w:rPr>
          <w:sz w:val="22"/>
          <w:szCs w:val="22"/>
          <w:lang w:eastAsia="de-CH"/>
        </w:rPr>
      </w:pPr>
    </w:p>
    <w:p w14:paraId="5057CA4D" w14:textId="77777777" w:rsidR="00497A38" w:rsidRPr="004A6CAC" w:rsidRDefault="00497A38" w:rsidP="00497A38">
      <w:pPr>
        <w:numPr>
          <w:ilvl w:val="12"/>
          <w:numId w:val="0"/>
        </w:numPr>
        <w:ind w:right="900"/>
        <w:rPr>
          <w:bCs/>
          <w:i/>
          <w:iCs/>
          <w:sz w:val="22"/>
          <w:szCs w:val="22"/>
        </w:rPr>
      </w:pPr>
      <w:r>
        <w:rPr>
          <w:b/>
          <w:bCs/>
          <w:color w:val="000000"/>
          <w:sz w:val="22"/>
          <w:szCs w:val="22"/>
        </w:rPr>
        <w:t xml:space="preserve">Šalutinio poveikio reiškiniai, kurių </w:t>
      </w:r>
      <w:r>
        <w:rPr>
          <w:b/>
          <w:bCs/>
          <w:iCs/>
          <w:sz w:val="22"/>
          <w:szCs w:val="22"/>
        </w:rPr>
        <w:t>d</w:t>
      </w:r>
      <w:r w:rsidRPr="00CA03C2">
        <w:rPr>
          <w:b/>
          <w:bCs/>
          <w:iCs/>
          <w:sz w:val="22"/>
          <w:szCs w:val="22"/>
        </w:rPr>
        <w:t>ažnis nežinomas</w:t>
      </w:r>
      <w:r>
        <w:rPr>
          <w:b/>
          <w:bCs/>
          <w:color w:val="000000"/>
          <w:sz w:val="22"/>
          <w:szCs w:val="22"/>
        </w:rPr>
        <w:t> </w:t>
      </w:r>
      <w:r w:rsidRPr="00B0422A">
        <w:rPr>
          <w:b/>
          <w:color w:val="000000"/>
          <w:sz w:val="22"/>
        </w:rPr>
        <w:t>(negali būti apskaičiuotas pagal turimus duomenis</w:t>
      </w:r>
      <w:r>
        <w:rPr>
          <w:b/>
          <w:bCs/>
          <w:color w:val="000000"/>
          <w:sz w:val="22"/>
          <w:szCs w:val="22"/>
        </w:rPr>
        <w:t>):</w:t>
      </w:r>
    </w:p>
    <w:p w14:paraId="52F8C30A"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Negalavimas, sąmonės praradimas.</w:t>
      </w:r>
    </w:p>
    <w:p w14:paraId="2C5F3305"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lastRenderedPageBreak/>
        <w:t>Koma.</w:t>
      </w:r>
    </w:p>
    <w:p w14:paraId="5B351F3B"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Širdies sustojimas.</w:t>
      </w:r>
    </w:p>
    <w:p w14:paraId="1FFC012A"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Kvėpavimo sustojimas.</w:t>
      </w:r>
    </w:p>
    <w:p w14:paraId="21C55CDC"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Skysčio kaupimasis plaučiuose.</w:t>
      </w:r>
    </w:p>
    <w:p w14:paraId="2B882B08" w14:textId="77777777" w:rsidR="00497A38" w:rsidRPr="00953F5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Sunki anafilak</w:t>
      </w:r>
      <w:r>
        <w:rPr>
          <w:szCs w:val="22"/>
          <w:lang w:val="lt-LT"/>
        </w:rPr>
        <w:t>s</w:t>
      </w:r>
      <w:r w:rsidRPr="004A6CAC">
        <w:rPr>
          <w:szCs w:val="22"/>
          <w:lang w:val="lt-LT"/>
        </w:rPr>
        <w:t xml:space="preserve">inė reakcija, galinti sukelti veido ir </w:t>
      </w:r>
      <w:r>
        <w:rPr>
          <w:szCs w:val="22"/>
          <w:lang w:val="lt-LT"/>
        </w:rPr>
        <w:t>ge</w:t>
      </w:r>
      <w:r w:rsidRPr="004A6CAC">
        <w:rPr>
          <w:szCs w:val="22"/>
          <w:lang w:val="lt-LT"/>
        </w:rPr>
        <w:t xml:space="preserve">rklės </w:t>
      </w:r>
      <w:r>
        <w:rPr>
          <w:szCs w:val="22"/>
          <w:lang w:val="lt-LT"/>
        </w:rPr>
        <w:t>pabr</w:t>
      </w:r>
      <w:r w:rsidRPr="004A6CAC">
        <w:rPr>
          <w:szCs w:val="22"/>
          <w:lang w:val="lt-LT"/>
        </w:rPr>
        <w:t>in</w:t>
      </w:r>
      <w:r>
        <w:rPr>
          <w:szCs w:val="22"/>
          <w:lang w:val="lt-LT"/>
        </w:rPr>
        <w:t>k</w:t>
      </w:r>
      <w:r w:rsidRPr="004A6CAC">
        <w:rPr>
          <w:szCs w:val="22"/>
          <w:lang w:val="lt-LT"/>
        </w:rPr>
        <w:t>imą.</w:t>
      </w:r>
    </w:p>
    <w:p w14:paraId="21E793D8"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4A6CAC">
        <w:rPr>
          <w:szCs w:val="22"/>
          <w:lang w:val="lt-LT"/>
        </w:rPr>
        <w:t>Inkstų nepakankamumas.</w:t>
      </w:r>
    </w:p>
    <w:p w14:paraId="4C1F9950" w14:textId="77777777" w:rsidR="00497A38" w:rsidRPr="004A6CAC" w:rsidRDefault="00497A38" w:rsidP="00497A38">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4A6CAC">
        <w:rPr>
          <w:szCs w:val="22"/>
          <w:lang w:val="fi-FI"/>
        </w:rPr>
        <w:t>Vazovagalinė reakcij</w:t>
      </w:r>
      <w:r>
        <w:rPr>
          <w:szCs w:val="22"/>
          <w:lang w:val="fi-FI"/>
        </w:rPr>
        <w:t>a</w:t>
      </w:r>
      <w:r w:rsidRPr="004A6CAC">
        <w:rPr>
          <w:szCs w:val="22"/>
          <w:lang w:val="fi-FI"/>
        </w:rPr>
        <w:t xml:space="preserve"> (Dažniausiai pranešta apie šiuos simptomus: pykinimas, svaig</w:t>
      </w:r>
      <w:r>
        <w:rPr>
          <w:szCs w:val="22"/>
          <w:lang w:val="fi-FI"/>
        </w:rPr>
        <w:t>uly</w:t>
      </w:r>
      <w:r w:rsidRPr="004A6CAC">
        <w:rPr>
          <w:szCs w:val="22"/>
          <w:lang w:val="fi-FI"/>
        </w:rPr>
        <w:t>s ir padidėjęs prakaitavimas. Sunkiais atvejais pasireiškia šie simptomai: išbalimas, per didelis prakaitavimas, sulėtėjęs širdies darbas, taip pat gali būti sąmonės netekimas. Be to, taip pat gali pasireikšti šie simptomai: baimės jausmas, nerimo jausmas, susijaudinimas, silpnumas, padidėjęs seilių išsiskyrimas).</w:t>
      </w:r>
    </w:p>
    <w:p w14:paraId="734975B7" w14:textId="77777777" w:rsidR="00497A38" w:rsidRPr="004A6CAC" w:rsidRDefault="00497A38" w:rsidP="00497A38">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p>
    <w:p w14:paraId="6435DDA5" w14:textId="77777777" w:rsidR="00497A38" w:rsidRPr="00CA03C2" w:rsidRDefault="00497A38" w:rsidP="00497A38">
      <w:pPr>
        <w:pStyle w:val="Spalvotasspalvinimas3parykinimas1"/>
        <w:widowControl w:val="0"/>
        <w:overflowPunct w:val="0"/>
        <w:autoSpaceDE w:val="0"/>
        <w:autoSpaceDN w:val="0"/>
        <w:adjustRightInd w:val="0"/>
        <w:spacing w:line="240" w:lineRule="auto"/>
        <w:ind w:left="0"/>
        <w:jc w:val="both"/>
        <w:textAlignment w:val="baseline"/>
        <w:rPr>
          <w:b/>
          <w:szCs w:val="22"/>
          <w:lang w:val="fi-FI"/>
        </w:rPr>
      </w:pPr>
      <w:r w:rsidRPr="004A6CAC">
        <w:rPr>
          <w:b/>
          <w:szCs w:val="22"/>
          <w:lang w:val="fi-FI"/>
        </w:rPr>
        <w:t>Kit</w:t>
      </w:r>
      <w:r w:rsidRPr="00CA03C2">
        <w:rPr>
          <w:b/>
          <w:szCs w:val="22"/>
          <w:lang w:val="fi-FI"/>
        </w:rPr>
        <w:t>as šalutinis poveikis</w:t>
      </w:r>
      <w:r w:rsidRPr="004A6CAC">
        <w:rPr>
          <w:b/>
          <w:szCs w:val="22"/>
          <w:lang w:val="fi-FI"/>
        </w:rPr>
        <w:t>, kuris gali pasireikšti</w:t>
      </w:r>
      <w:r w:rsidRPr="00CA03C2">
        <w:rPr>
          <w:b/>
          <w:szCs w:val="22"/>
          <w:lang w:val="fi-FI"/>
        </w:rPr>
        <w:t xml:space="preserve"> vaikams</w:t>
      </w:r>
    </w:p>
    <w:p w14:paraId="01850000" w14:textId="77777777" w:rsidR="00497A38" w:rsidRPr="004A6CAC" w:rsidRDefault="00497A38" w:rsidP="00497A38">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r w:rsidRPr="004A6CAC">
        <w:rPr>
          <w:szCs w:val="22"/>
          <w:lang w:val="fi-FI"/>
        </w:rPr>
        <w:t xml:space="preserve">Vaikams </w:t>
      </w:r>
      <w:r>
        <w:rPr>
          <w:szCs w:val="22"/>
          <w:lang w:val="fi-FI"/>
        </w:rPr>
        <w:t>Prohance</w:t>
      </w:r>
      <w:r w:rsidRPr="004A6CAC">
        <w:rPr>
          <w:szCs w:val="22"/>
          <w:lang w:val="fi-FI"/>
        </w:rPr>
        <w:t xml:space="preserve"> gali sukelti tokį patį šalutinį poveikį kaip ir suaugusiesiems.</w:t>
      </w:r>
    </w:p>
    <w:p w14:paraId="665DB98B" w14:textId="77777777" w:rsidR="00497A38" w:rsidRPr="004A6CAC" w:rsidRDefault="00497A38" w:rsidP="00497A38">
      <w:pPr>
        <w:pStyle w:val="BTEMEASMCA"/>
      </w:pPr>
    </w:p>
    <w:p w14:paraId="34A3F685" w14:textId="77777777" w:rsidR="00497A38" w:rsidRPr="004A6CAC" w:rsidRDefault="00497A38" w:rsidP="00497A38">
      <w:pPr>
        <w:rPr>
          <w:b/>
          <w:sz w:val="22"/>
          <w:szCs w:val="22"/>
        </w:rPr>
      </w:pPr>
      <w:r w:rsidRPr="004A6CAC">
        <w:rPr>
          <w:b/>
          <w:noProof/>
          <w:sz w:val="22"/>
          <w:szCs w:val="22"/>
        </w:rPr>
        <w:t>Pranešimas apie šalutinį poveikį</w:t>
      </w:r>
    </w:p>
    <w:p w14:paraId="11351646" w14:textId="77777777" w:rsidR="00497A38" w:rsidRDefault="00497A38" w:rsidP="00497A38">
      <w:pPr>
        <w:ind w:right="-449"/>
        <w:rPr>
          <w:noProof/>
          <w:sz w:val="22"/>
          <w:szCs w:val="22"/>
        </w:rPr>
      </w:pPr>
      <w:r w:rsidRPr="004A6CAC">
        <w:rPr>
          <w:noProof/>
          <w:sz w:val="22"/>
          <w:szCs w:val="22"/>
        </w:rPr>
        <w:t>Jeigu pasireiškė šalutinis poveikis, įskaitant šiame lapelyje nenurodytą, pasakykite gydytojui arba vaistininkui</w:t>
      </w:r>
      <w:r w:rsidRPr="004A6CAC">
        <w:rPr>
          <w:sz w:val="22"/>
          <w:szCs w:val="22"/>
        </w:rPr>
        <w:t>.</w:t>
      </w:r>
      <w:r w:rsidRPr="004A6CAC">
        <w:rPr>
          <w:noProof/>
          <w:sz w:val="22"/>
          <w:szCs w:val="22"/>
        </w:rPr>
        <w:t xml:space="preserve"> </w:t>
      </w:r>
      <w:r w:rsidRPr="005F0252">
        <w:rPr>
          <w:noProof/>
          <w:sz w:val="22"/>
          <w:szCs w:val="22"/>
        </w:rPr>
        <w:t>Pranešimą apie šalutinį poveikį galite</w:t>
      </w:r>
      <w:r>
        <w:rPr>
          <w:noProof/>
          <w:sz w:val="22"/>
          <w:szCs w:val="22"/>
        </w:rPr>
        <w:t xml:space="preserve"> užpildyti ir pateikti Valstybinės vaistų kontrolės tarnybos prie Lietuvos Respublikos sveikatos apsaugos ministerijos tinklalapyje </w:t>
      </w:r>
      <w:hyperlink r:id="rId5" w:history="1">
        <w:r w:rsidRPr="00823DED">
          <w:rPr>
            <w:rStyle w:val="Hipersaitas"/>
            <w:rFonts w:eastAsiaTheme="majorEastAsia"/>
            <w:noProof/>
            <w:sz w:val="22"/>
            <w:szCs w:val="22"/>
          </w:rPr>
          <w:t>https://vvkt.lrv.lt/lt/</w:t>
        </w:r>
      </w:hyperlink>
      <w:r>
        <w:rPr>
          <w:noProof/>
          <w:sz w:val="22"/>
          <w:szCs w:val="22"/>
        </w:rPr>
        <w:t xml:space="preserve"> nurodytais būdais arba paskambinti nemokamu telefonu +370</w:t>
      </w:r>
      <w:r w:rsidRPr="00B31CC1">
        <w:rPr>
          <w:noProof/>
          <w:sz w:val="22"/>
          <w:szCs w:val="22"/>
        </w:rPr>
        <w:t xml:space="preserve"> </w:t>
      </w:r>
      <w:r>
        <w:rPr>
          <w:noProof/>
          <w:sz w:val="22"/>
          <w:szCs w:val="22"/>
        </w:rPr>
        <w:t>800 73 568.</w:t>
      </w:r>
      <w:r w:rsidRPr="005F0252">
        <w:rPr>
          <w:noProof/>
          <w:sz w:val="22"/>
          <w:szCs w:val="22"/>
        </w:rPr>
        <w:t xml:space="preserve"> </w:t>
      </w:r>
    </w:p>
    <w:p w14:paraId="3CA4399F" w14:textId="77777777" w:rsidR="00497A38" w:rsidRPr="004A6CAC" w:rsidRDefault="00497A38" w:rsidP="00497A38">
      <w:pPr>
        <w:ind w:right="-449"/>
        <w:rPr>
          <w:noProof/>
          <w:sz w:val="22"/>
          <w:szCs w:val="22"/>
        </w:rPr>
      </w:pPr>
      <w:r w:rsidRPr="004A6CAC">
        <w:rPr>
          <w:noProof/>
          <w:sz w:val="22"/>
          <w:szCs w:val="22"/>
        </w:rPr>
        <w:t>Pranešdami apie šalutinį poveikį galite mums padėti gauti daugiau informacijos apie šio vaisto saugumą.</w:t>
      </w:r>
    </w:p>
    <w:p w14:paraId="03435977" w14:textId="77777777" w:rsidR="00497A38" w:rsidRPr="004A6CAC" w:rsidRDefault="00497A38" w:rsidP="00497A38">
      <w:pPr>
        <w:pStyle w:val="BTEMEASMCA"/>
      </w:pPr>
    </w:p>
    <w:p w14:paraId="49CBCF65" w14:textId="77777777" w:rsidR="00497A38" w:rsidRPr="004A6CAC" w:rsidRDefault="00497A38" w:rsidP="00497A38">
      <w:pPr>
        <w:pStyle w:val="BTEMEASMCA"/>
      </w:pPr>
    </w:p>
    <w:p w14:paraId="2AE03322" w14:textId="77777777" w:rsidR="00497A38" w:rsidRPr="004A6CAC" w:rsidRDefault="00497A38" w:rsidP="00497A38">
      <w:pPr>
        <w:pStyle w:val="Antrat3"/>
        <w:tabs>
          <w:tab w:val="left" w:pos="567"/>
        </w:tabs>
        <w:spacing w:before="0"/>
        <w:rPr>
          <w:color w:val="auto"/>
          <w:sz w:val="22"/>
          <w:szCs w:val="22"/>
        </w:rPr>
      </w:pPr>
      <w:bookmarkStart w:id="12" w:name="_Toc129243143"/>
      <w:bookmarkStart w:id="13" w:name="_Toc129243268"/>
      <w:r w:rsidRPr="004A6CAC">
        <w:rPr>
          <w:color w:val="auto"/>
          <w:sz w:val="22"/>
          <w:szCs w:val="22"/>
        </w:rPr>
        <w:t>5.</w:t>
      </w:r>
      <w:r w:rsidRPr="004A6CAC">
        <w:rPr>
          <w:color w:val="auto"/>
          <w:sz w:val="22"/>
          <w:szCs w:val="22"/>
        </w:rPr>
        <w:tab/>
        <w:t xml:space="preserve">Kaip laikyti </w:t>
      </w:r>
      <w:proofErr w:type="spellStart"/>
      <w:r>
        <w:rPr>
          <w:color w:val="auto"/>
          <w:sz w:val="22"/>
          <w:szCs w:val="22"/>
        </w:rPr>
        <w:t>Prohance</w:t>
      </w:r>
      <w:proofErr w:type="spellEnd"/>
    </w:p>
    <w:bookmarkEnd w:id="12"/>
    <w:bookmarkEnd w:id="13"/>
    <w:p w14:paraId="761656DF" w14:textId="77777777" w:rsidR="00497A38" w:rsidRPr="004A6CAC" w:rsidRDefault="00497A38" w:rsidP="00497A38">
      <w:pPr>
        <w:pStyle w:val="BTEMEASMCA"/>
      </w:pPr>
    </w:p>
    <w:p w14:paraId="520F99B4" w14:textId="77777777" w:rsidR="00497A38" w:rsidRPr="004A6CAC" w:rsidRDefault="00497A38" w:rsidP="00497A38">
      <w:pPr>
        <w:pStyle w:val="BTEMEASMCA"/>
      </w:pPr>
      <w:r w:rsidRPr="004A6CAC">
        <w:t>Šį vaistą laikykite vaikams nepastebimoje ir nepasiekiamoje vietoje.</w:t>
      </w:r>
    </w:p>
    <w:p w14:paraId="3B886F6C" w14:textId="77777777" w:rsidR="00497A38" w:rsidRPr="00CA03C2" w:rsidRDefault="00497A38" w:rsidP="00497A38">
      <w:pPr>
        <w:tabs>
          <w:tab w:val="left" w:pos="426"/>
          <w:tab w:val="left" w:pos="810"/>
          <w:tab w:val="left" w:pos="1080"/>
          <w:tab w:val="left" w:pos="1440"/>
          <w:tab w:val="left" w:pos="1800"/>
          <w:tab w:val="left" w:pos="2520"/>
          <w:tab w:val="left" w:pos="3060"/>
        </w:tabs>
        <w:rPr>
          <w:sz w:val="22"/>
          <w:szCs w:val="22"/>
        </w:rPr>
      </w:pPr>
    </w:p>
    <w:p w14:paraId="7C2764B0" w14:textId="77777777" w:rsidR="00497A38" w:rsidRPr="004A6CAC" w:rsidRDefault="00497A38" w:rsidP="00497A38">
      <w:pPr>
        <w:pStyle w:val="BTEMEASMCA"/>
      </w:pPr>
      <w:r w:rsidRPr="004A6CAC">
        <w:t>Ant kartono dėžutės ir flakono po „EXP“ nurodytam tinkamumo laikui pasibaigus, šio vaisto vartoti negalima. Vaistas tinkamas vartoti iki paskutinės nurodyto mėnesio dienos.</w:t>
      </w:r>
    </w:p>
    <w:p w14:paraId="0E4EA7B4" w14:textId="77777777" w:rsidR="00497A38" w:rsidRPr="004A6CAC" w:rsidRDefault="00497A38" w:rsidP="00497A38">
      <w:pPr>
        <w:pStyle w:val="BTEMEASMCA"/>
      </w:pPr>
    </w:p>
    <w:p w14:paraId="7A84704A" w14:textId="77777777" w:rsidR="00497A38" w:rsidRPr="004A6CAC" w:rsidRDefault="00497A38" w:rsidP="00497A38">
      <w:pPr>
        <w:pStyle w:val="BTEMEASMCA"/>
      </w:pPr>
      <w:r w:rsidRPr="004A6CAC">
        <w:t>Laikyti žemesnėje kaip 30 °C temperatūroje.</w:t>
      </w:r>
    </w:p>
    <w:p w14:paraId="45D4C729" w14:textId="77777777" w:rsidR="00497A38" w:rsidRDefault="00497A38" w:rsidP="00497A38">
      <w:pPr>
        <w:pStyle w:val="BTEMEASMCA"/>
      </w:pPr>
      <w:r w:rsidRPr="004A6CAC">
        <w:t>Laikyti gamintojo pakuotėje, kad vaistas būtų apsaugotas nuo šviesos.</w:t>
      </w:r>
    </w:p>
    <w:p w14:paraId="0EE9488A" w14:textId="77777777" w:rsidR="00497A38" w:rsidRDefault="00497A38" w:rsidP="00497A38">
      <w:pPr>
        <w:pStyle w:val="BTEMEASMCA"/>
      </w:pPr>
    </w:p>
    <w:p w14:paraId="2690850A" w14:textId="77777777" w:rsidR="00497A38" w:rsidRPr="004A49C2" w:rsidRDefault="00497A38" w:rsidP="00497A38">
      <w:pPr>
        <w:widowControl w:val="0"/>
        <w:rPr>
          <w:noProof/>
          <w:sz w:val="22"/>
          <w:szCs w:val="22"/>
        </w:rPr>
      </w:pPr>
      <w:bookmarkStart w:id="14" w:name="_Hlk191655511"/>
      <w:r w:rsidRPr="004A49C2">
        <w:rPr>
          <w:noProof/>
          <w:sz w:val="22"/>
          <w:szCs w:val="22"/>
        </w:rPr>
        <w:t>Mikrobiologiniu požiūriu, 50</w:t>
      </w:r>
      <w:r>
        <w:rPr>
          <w:noProof/>
          <w:sz w:val="22"/>
          <w:szCs w:val="22"/>
        </w:rPr>
        <w:t> </w:t>
      </w:r>
      <w:r w:rsidRPr="004A49C2">
        <w:rPr>
          <w:noProof/>
          <w:sz w:val="22"/>
          <w:szCs w:val="22"/>
        </w:rPr>
        <w:t>ml ir 100</w:t>
      </w:r>
      <w:r>
        <w:rPr>
          <w:noProof/>
          <w:sz w:val="22"/>
          <w:szCs w:val="22"/>
        </w:rPr>
        <w:t> </w:t>
      </w:r>
      <w:r w:rsidRPr="004A49C2">
        <w:rPr>
          <w:noProof/>
          <w:sz w:val="22"/>
          <w:szCs w:val="22"/>
        </w:rPr>
        <w:t>ml daugiadoziai flakonai, po atidarymo gali būti laikomi 24 valandas 25 °C temperatūroje.</w:t>
      </w:r>
    </w:p>
    <w:p w14:paraId="114C9F3C" w14:textId="77777777" w:rsidR="00497A38" w:rsidRPr="004A49C2" w:rsidRDefault="00497A38" w:rsidP="00497A38">
      <w:pPr>
        <w:widowControl w:val="0"/>
        <w:rPr>
          <w:noProof/>
          <w:sz w:val="22"/>
          <w:szCs w:val="22"/>
        </w:rPr>
      </w:pPr>
    </w:p>
    <w:p w14:paraId="43858907" w14:textId="77777777" w:rsidR="00497A38" w:rsidRPr="004A49C2" w:rsidRDefault="00497A38" w:rsidP="00497A38">
      <w:pPr>
        <w:widowControl w:val="0"/>
      </w:pPr>
      <w:r w:rsidRPr="004A49C2">
        <w:rPr>
          <w:noProof/>
          <w:sz w:val="22"/>
          <w:szCs w:val="22"/>
        </w:rPr>
        <w:t>Daugiadozės pakuotės turi būti naudojamos tik su daugkartiniam naudojimui patvirtinta automatine injekcijos sistema. Jungtis tarp injektoriaus ir paciento turi būti pakeista po kiekvieno paciento. Visi kiti įrenginiai turi būti pakeičiami vadovaujantis automatinės injekcijos sistemos gamintojo instrukcijomis.</w:t>
      </w:r>
    </w:p>
    <w:bookmarkEnd w:id="14"/>
    <w:p w14:paraId="74E6AF46" w14:textId="77777777" w:rsidR="00497A38" w:rsidRPr="004A6CAC" w:rsidRDefault="00497A38" w:rsidP="00497A38">
      <w:pPr>
        <w:pStyle w:val="BTEMEASMCA"/>
      </w:pPr>
    </w:p>
    <w:p w14:paraId="50DF198C" w14:textId="77777777" w:rsidR="00497A38" w:rsidRPr="004A6CAC" w:rsidRDefault="00497A38" w:rsidP="00497A38">
      <w:pPr>
        <w:pStyle w:val="BTEMEASMCA"/>
      </w:pPr>
      <w:r w:rsidRPr="004A6CAC">
        <w:t>Vaistų negalima išmesti į kanalizaciją arba su buitinėmis atliekomis. Kaip išmesti nereikalingus vaistus, klauskite vaistininko. Šios priemonės padės apsaugoti aplinką.</w:t>
      </w:r>
    </w:p>
    <w:p w14:paraId="19E3F949" w14:textId="77777777" w:rsidR="00497A38" w:rsidRPr="004A6CAC" w:rsidRDefault="00497A38" w:rsidP="00497A38">
      <w:pPr>
        <w:pStyle w:val="BTEMEASMCA"/>
      </w:pPr>
    </w:p>
    <w:p w14:paraId="59DF2ECC" w14:textId="77777777" w:rsidR="00497A38" w:rsidRPr="004A6CAC" w:rsidRDefault="00497A38" w:rsidP="00497A38">
      <w:pPr>
        <w:pStyle w:val="BTEMEASMCA"/>
      </w:pPr>
    </w:p>
    <w:p w14:paraId="62133AAC" w14:textId="77777777" w:rsidR="00497A38" w:rsidRPr="004A6CAC" w:rsidRDefault="00497A38" w:rsidP="00497A38">
      <w:pPr>
        <w:pStyle w:val="Antrat3"/>
        <w:tabs>
          <w:tab w:val="left" w:pos="567"/>
        </w:tabs>
        <w:spacing w:before="0"/>
        <w:rPr>
          <w:color w:val="auto"/>
          <w:sz w:val="22"/>
          <w:szCs w:val="22"/>
        </w:rPr>
      </w:pPr>
      <w:bookmarkStart w:id="15" w:name="_Toc129243144"/>
      <w:bookmarkStart w:id="16" w:name="_Toc129243269"/>
      <w:r w:rsidRPr="004A6CAC">
        <w:rPr>
          <w:color w:val="auto"/>
          <w:sz w:val="22"/>
          <w:szCs w:val="22"/>
        </w:rPr>
        <w:t>6.</w:t>
      </w:r>
      <w:r w:rsidRPr="004A6CAC">
        <w:rPr>
          <w:color w:val="auto"/>
          <w:sz w:val="22"/>
          <w:szCs w:val="22"/>
        </w:rPr>
        <w:tab/>
        <w:t>Pakuotės turinys ir kita informacija</w:t>
      </w:r>
    </w:p>
    <w:bookmarkEnd w:id="15"/>
    <w:bookmarkEnd w:id="16"/>
    <w:p w14:paraId="16BECE46" w14:textId="77777777" w:rsidR="00497A38" w:rsidRPr="004A6CAC" w:rsidRDefault="00497A38" w:rsidP="00497A38">
      <w:pPr>
        <w:pStyle w:val="BTEMEASMCA"/>
      </w:pPr>
    </w:p>
    <w:p w14:paraId="30FC1B96" w14:textId="77777777" w:rsidR="00497A38" w:rsidRPr="004A6CAC" w:rsidRDefault="00497A38" w:rsidP="00497A38">
      <w:pPr>
        <w:pStyle w:val="PI-3EMEASMCA"/>
      </w:pPr>
      <w:r>
        <w:t>Prohance</w:t>
      </w:r>
      <w:r w:rsidRPr="004A6CAC">
        <w:t xml:space="preserve"> sudėtis</w:t>
      </w:r>
    </w:p>
    <w:p w14:paraId="52BB2042" w14:textId="77777777" w:rsidR="00497A38" w:rsidRPr="004A6CAC" w:rsidRDefault="00497A38" w:rsidP="00497A38">
      <w:pPr>
        <w:pStyle w:val="Sraopastraipa"/>
        <w:numPr>
          <w:ilvl w:val="0"/>
          <w:numId w:val="1"/>
        </w:numPr>
        <w:ind w:right="-2"/>
        <w:rPr>
          <w:sz w:val="22"/>
          <w:szCs w:val="22"/>
        </w:rPr>
      </w:pPr>
      <w:r w:rsidRPr="004A6CAC">
        <w:rPr>
          <w:sz w:val="22"/>
          <w:szCs w:val="22"/>
        </w:rPr>
        <w:t xml:space="preserve">Veiklioji medžiaga yra </w:t>
      </w:r>
      <w:proofErr w:type="spellStart"/>
      <w:r w:rsidRPr="004A6CAC">
        <w:rPr>
          <w:sz w:val="22"/>
          <w:szCs w:val="22"/>
        </w:rPr>
        <w:t>gadoteridolis</w:t>
      </w:r>
      <w:proofErr w:type="spellEnd"/>
      <w:r w:rsidRPr="004A6CAC">
        <w:rPr>
          <w:sz w:val="22"/>
          <w:szCs w:val="22"/>
        </w:rPr>
        <w:t xml:space="preserve">. 1 ml injekcinio tirpalo yra 279,3 mg </w:t>
      </w:r>
      <w:proofErr w:type="spellStart"/>
      <w:r w:rsidRPr="004A6CAC">
        <w:rPr>
          <w:sz w:val="22"/>
          <w:szCs w:val="22"/>
        </w:rPr>
        <w:t>gadoteridolio</w:t>
      </w:r>
      <w:proofErr w:type="spellEnd"/>
      <w:r w:rsidRPr="004A6CAC">
        <w:rPr>
          <w:sz w:val="22"/>
          <w:szCs w:val="22"/>
        </w:rPr>
        <w:t xml:space="preserve"> (atitinka 0,5 </w:t>
      </w:r>
      <w:proofErr w:type="spellStart"/>
      <w:r w:rsidRPr="004A6CAC">
        <w:rPr>
          <w:sz w:val="22"/>
          <w:szCs w:val="22"/>
        </w:rPr>
        <w:t>mmol</w:t>
      </w:r>
      <w:proofErr w:type="spellEnd"/>
      <w:r w:rsidRPr="004A6CAC">
        <w:rPr>
          <w:sz w:val="22"/>
          <w:szCs w:val="22"/>
        </w:rPr>
        <w:t xml:space="preserve">/ml </w:t>
      </w:r>
      <w:proofErr w:type="spellStart"/>
      <w:r w:rsidRPr="004A6CAC">
        <w:rPr>
          <w:sz w:val="22"/>
          <w:szCs w:val="22"/>
        </w:rPr>
        <w:t>gadoteridolio</w:t>
      </w:r>
      <w:proofErr w:type="spellEnd"/>
      <w:r w:rsidRPr="004A6CAC">
        <w:rPr>
          <w:sz w:val="22"/>
          <w:szCs w:val="22"/>
        </w:rPr>
        <w:t>).</w:t>
      </w:r>
    </w:p>
    <w:p w14:paraId="6FD16ADA" w14:textId="77777777" w:rsidR="00497A38" w:rsidRPr="00CA03C2" w:rsidRDefault="00497A38" w:rsidP="00497A38">
      <w:pPr>
        <w:pStyle w:val="Pagrindinistekstas"/>
        <w:numPr>
          <w:ilvl w:val="0"/>
          <w:numId w:val="1"/>
        </w:numPr>
        <w:spacing w:line="240" w:lineRule="auto"/>
        <w:rPr>
          <w:sz w:val="22"/>
          <w:szCs w:val="22"/>
        </w:rPr>
      </w:pPr>
      <w:r w:rsidRPr="004A6CAC">
        <w:rPr>
          <w:sz w:val="22"/>
          <w:szCs w:val="22"/>
        </w:rPr>
        <w:t xml:space="preserve">Pagalbinės medžiagos yra kalcio </w:t>
      </w:r>
      <w:proofErr w:type="spellStart"/>
      <w:r w:rsidRPr="004A6CAC">
        <w:rPr>
          <w:sz w:val="22"/>
          <w:szCs w:val="22"/>
        </w:rPr>
        <w:t>kalteridolis</w:t>
      </w:r>
      <w:proofErr w:type="spellEnd"/>
      <w:r w:rsidRPr="004A6CAC">
        <w:rPr>
          <w:sz w:val="22"/>
          <w:szCs w:val="22"/>
        </w:rPr>
        <w:t xml:space="preserve">, </w:t>
      </w:r>
      <w:proofErr w:type="spellStart"/>
      <w:r w:rsidRPr="004A6CAC">
        <w:rPr>
          <w:sz w:val="22"/>
          <w:szCs w:val="22"/>
        </w:rPr>
        <w:t>trometamolis</w:t>
      </w:r>
      <w:proofErr w:type="spellEnd"/>
      <w:r w:rsidRPr="004A6CAC">
        <w:rPr>
          <w:sz w:val="22"/>
          <w:szCs w:val="22"/>
        </w:rPr>
        <w:t>, vandenilio chlorido rūgštis arba natrio hidroksidas (žr. 2 skyrių), injekcinis vanduo.</w:t>
      </w:r>
    </w:p>
    <w:p w14:paraId="4FFD1618" w14:textId="77777777" w:rsidR="00497A38" w:rsidRPr="004A6CAC" w:rsidRDefault="00497A38" w:rsidP="00497A38">
      <w:pPr>
        <w:pStyle w:val="BTEMEASMCA"/>
      </w:pPr>
    </w:p>
    <w:p w14:paraId="3B457BF3" w14:textId="77777777" w:rsidR="00497A38" w:rsidRPr="004A6CAC" w:rsidRDefault="00497A38" w:rsidP="00497A38">
      <w:pPr>
        <w:pStyle w:val="PI-3EMEASMCA"/>
      </w:pPr>
      <w:r>
        <w:t>Prohance</w:t>
      </w:r>
      <w:r w:rsidRPr="004A6CAC">
        <w:t xml:space="preserve"> išvaizda ir kiekis pakuotėje</w:t>
      </w:r>
    </w:p>
    <w:p w14:paraId="73B0DBF6" w14:textId="77777777" w:rsidR="00497A38" w:rsidRPr="004A6CAC" w:rsidRDefault="00497A38" w:rsidP="00497A38">
      <w:pPr>
        <w:pStyle w:val="BTEMEASMCA"/>
      </w:pPr>
      <w:r w:rsidRPr="004A6CAC">
        <w:t>Šis vaistas yra injekcinis tirpalas flakone su vartojimo įtaisais arba be jų.</w:t>
      </w:r>
    </w:p>
    <w:p w14:paraId="62F35F88" w14:textId="77777777" w:rsidR="00497A38" w:rsidRPr="004A6CAC" w:rsidRDefault="00497A38" w:rsidP="00497A38">
      <w:pPr>
        <w:pStyle w:val="BTEMEASMCA"/>
      </w:pPr>
      <w:r w:rsidRPr="004A6CAC">
        <w:t>Injekcinis tirpalas yra skaidrus, bespalvis arba gelsvas be matomų dalelių.</w:t>
      </w:r>
    </w:p>
    <w:p w14:paraId="2DA4C54A" w14:textId="77777777" w:rsidR="00497A38" w:rsidRPr="004A6CAC" w:rsidRDefault="00497A38" w:rsidP="00497A38">
      <w:pPr>
        <w:pStyle w:val="BTEMEASMCA"/>
      </w:pPr>
      <w:r w:rsidRPr="004A6CAC">
        <w:t>5 ml, 10 ml, 15 ml</w:t>
      </w:r>
      <w:r>
        <w:t xml:space="preserve"> arba </w:t>
      </w:r>
      <w:r w:rsidRPr="004A6CAC">
        <w:t>20 ml</w:t>
      </w:r>
      <w:r>
        <w:t xml:space="preserve"> </w:t>
      </w:r>
      <w:r w:rsidRPr="004A6CAC">
        <w:t>injekcinio tirpalo vienadoziame stikliniame flakone.</w:t>
      </w:r>
    </w:p>
    <w:p w14:paraId="25317C67" w14:textId="77777777" w:rsidR="00497A38" w:rsidRDefault="00497A38" w:rsidP="00497A38">
      <w:pPr>
        <w:pStyle w:val="BTEMEASMCA"/>
      </w:pPr>
      <w:bookmarkStart w:id="17" w:name="_Hlk3447390"/>
      <w:r w:rsidRPr="004A6CAC">
        <w:lastRenderedPageBreak/>
        <w:t>15 ml</w:t>
      </w:r>
      <w:r>
        <w:t xml:space="preserve">, </w:t>
      </w:r>
      <w:r w:rsidRPr="004A6CAC">
        <w:t xml:space="preserve">20 ml </w:t>
      </w:r>
      <w:r>
        <w:t xml:space="preserve">arba 50 ml </w:t>
      </w:r>
      <w:r w:rsidRPr="004A6CAC">
        <w:t xml:space="preserve">injekcinio tirpalo vienadoziame stikliniame flakone su vartojimo įtaisais automatinei injekcijai (švirkštas automatinei injekcijai, </w:t>
      </w:r>
      <w:r>
        <w:t>prailginimo</w:t>
      </w:r>
      <w:r w:rsidRPr="00CA03C2">
        <w:t xml:space="preserve"> </w:t>
      </w:r>
      <w:r>
        <w:t>linija</w:t>
      </w:r>
      <w:r w:rsidRPr="004A6CAC">
        <w:t>, smeigė ir saugus kateteris 20G).</w:t>
      </w:r>
    </w:p>
    <w:p w14:paraId="767E510F" w14:textId="77777777" w:rsidR="00497A38" w:rsidRPr="004A6CAC" w:rsidRDefault="00497A38" w:rsidP="00497A38">
      <w:pPr>
        <w:pStyle w:val="BTEMEASMCA"/>
      </w:pPr>
      <w:r>
        <w:t>50 ml arba 100 ml injekcinio tirpalo daugiadoziame stikliniame flakone.</w:t>
      </w:r>
    </w:p>
    <w:bookmarkEnd w:id="17"/>
    <w:p w14:paraId="66F89DE3" w14:textId="77777777" w:rsidR="00497A38" w:rsidRPr="004A6CAC" w:rsidRDefault="00497A38" w:rsidP="00497A38">
      <w:pPr>
        <w:pStyle w:val="BTEMEASMCA"/>
      </w:pPr>
    </w:p>
    <w:p w14:paraId="6ACE0DF7" w14:textId="77777777" w:rsidR="00497A38" w:rsidRPr="004A6CAC" w:rsidRDefault="00497A38" w:rsidP="00497A38">
      <w:pPr>
        <w:pStyle w:val="BTEMEASMCA"/>
      </w:pPr>
      <w:r w:rsidRPr="004A6CAC">
        <w:t>Gali būti tiekiamos ne visų dydžių pakuotės.</w:t>
      </w:r>
    </w:p>
    <w:p w14:paraId="7DFAAA46" w14:textId="77777777" w:rsidR="00497A38" w:rsidRPr="004A6CAC" w:rsidRDefault="00497A38" w:rsidP="00497A38">
      <w:pPr>
        <w:pStyle w:val="BTEMEASMCA"/>
      </w:pPr>
    </w:p>
    <w:p w14:paraId="14632EDA" w14:textId="77777777" w:rsidR="00497A38" w:rsidRPr="004A6CAC" w:rsidRDefault="00497A38" w:rsidP="00497A38">
      <w:pPr>
        <w:pStyle w:val="PI-3EMEASMCA"/>
      </w:pPr>
      <w:r w:rsidRPr="004A6CAC">
        <w:t>Registruotojas ir gamintojas</w:t>
      </w:r>
    </w:p>
    <w:p w14:paraId="3C091891" w14:textId="77777777" w:rsidR="00497A38" w:rsidRPr="004A6CAC" w:rsidRDefault="00497A38" w:rsidP="00497A38">
      <w:pPr>
        <w:pStyle w:val="BTEMEASMCA"/>
      </w:pPr>
    </w:p>
    <w:p w14:paraId="4400556E" w14:textId="77777777" w:rsidR="00497A38" w:rsidRPr="004A6CAC" w:rsidRDefault="00497A38" w:rsidP="00497A38">
      <w:pPr>
        <w:numPr>
          <w:ilvl w:val="12"/>
          <w:numId w:val="0"/>
        </w:numPr>
        <w:ind w:right="-2"/>
        <w:rPr>
          <w:i/>
          <w:sz w:val="22"/>
          <w:szCs w:val="22"/>
        </w:rPr>
      </w:pPr>
      <w:r w:rsidRPr="004A6CAC">
        <w:rPr>
          <w:i/>
          <w:sz w:val="22"/>
          <w:szCs w:val="22"/>
        </w:rPr>
        <w:t>Registruotojas</w:t>
      </w:r>
    </w:p>
    <w:p w14:paraId="5BDA463C" w14:textId="77777777" w:rsidR="00497A38" w:rsidRPr="004A6CAC" w:rsidRDefault="00497A38" w:rsidP="00497A38">
      <w:pPr>
        <w:rPr>
          <w:sz w:val="22"/>
          <w:szCs w:val="22"/>
        </w:rPr>
      </w:pPr>
      <w:proofErr w:type="spellStart"/>
      <w:r w:rsidRPr="004A6CAC">
        <w:rPr>
          <w:sz w:val="22"/>
          <w:szCs w:val="22"/>
        </w:rPr>
        <w:t>Bracco</w:t>
      </w:r>
      <w:proofErr w:type="spellEnd"/>
      <w:r w:rsidRPr="004A6CAC">
        <w:rPr>
          <w:sz w:val="22"/>
          <w:szCs w:val="22"/>
        </w:rPr>
        <w:t xml:space="preserve"> </w:t>
      </w:r>
      <w:proofErr w:type="spellStart"/>
      <w:r w:rsidRPr="004A6CAC">
        <w:rPr>
          <w:sz w:val="22"/>
          <w:szCs w:val="22"/>
        </w:rPr>
        <w:t>Imaging</w:t>
      </w:r>
      <w:proofErr w:type="spellEnd"/>
      <w:r w:rsidRPr="004A6CAC">
        <w:rPr>
          <w:sz w:val="22"/>
          <w:szCs w:val="22"/>
        </w:rPr>
        <w:t xml:space="preserve"> </w:t>
      </w:r>
      <w:proofErr w:type="spellStart"/>
      <w:r w:rsidRPr="004A6CAC">
        <w:rPr>
          <w:sz w:val="22"/>
          <w:szCs w:val="22"/>
        </w:rPr>
        <w:t>s.p.a</w:t>
      </w:r>
      <w:proofErr w:type="spellEnd"/>
      <w:r w:rsidRPr="004A6CAC">
        <w:rPr>
          <w:sz w:val="22"/>
          <w:szCs w:val="22"/>
        </w:rPr>
        <w:t>.</w:t>
      </w:r>
    </w:p>
    <w:p w14:paraId="5FC54D80" w14:textId="77777777" w:rsidR="00497A38" w:rsidRPr="004A6CAC" w:rsidRDefault="00497A38" w:rsidP="00497A38">
      <w:pPr>
        <w:rPr>
          <w:sz w:val="22"/>
          <w:szCs w:val="22"/>
        </w:rPr>
      </w:pPr>
      <w:r w:rsidRPr="004A6CAC">
        <w:rPr>
          <w:sz w:val="22"/>
          <w:szCs w:val="22"/>
        </w:rPr>
        <w:t xml:space="preserve">Via </w:t>
      </w:r>
      <w:proofErr w:type="spellStart"/>
      <w:r w:rsidRPr="004A6CAC">
        <w:rPr>
          <w:sz w:val="22"/>
          <w:szCs w:val="22"/>
        </w:rPr>
        <w:t>Egidio</w:t>
      </w:r>
      <w:proofErr w:type="spellEnd"/>
      <w:r w:rsidRPr="004A6CAC">
        <w:rPr>
          <w:sz w:val="22"/>
          <w:szCs w:val="22"/>
        </w:rPr>
        <w:t xml:space="preserve"> </w:t>
      </w:r>
      <w:proofErr w:type="spellStart"/>
      <w:r w:rsidRPr="004A6CAC">
        <w:rPr>
          <w:sz w:val="22"/>
          <w:szCs w:val="22"/>
        </w:rPr>
        <w:t>Folli</w:t>
      </w:r>
      <w:proofErr w:type="spellEnd"/>
      <w:r w:rsidRPr="004A6CAC">
        <w:rPr>
          <w:sz w:val="22"/>
          <w:szCs w:val="22"/>
        </w:rPr>
        <w:t xml:space="preserve"> 50</w:t>
      </w:r>
    </w:p>
    <w:p w14:paraId="2F3B224F" w14:textId="77777777" w:rsidR="00497A38" w:rsidRPr="004A6CAC" w:rsidRDefault="00497A38" w:rsidP="00497A38">
      <w:pPr>
        <w:rPr>
          <w:sz w:val="22"/>
          <w:szCs w:val="22"/>
        </w:rPr>
      </w:pPr>
      <w:r w:rsidRPr="004A6CAC">
        <w:rPr>
          <w:sz w:val="22"/>
          <w:szCs w:val="22"/>
        </w:rPr>
        <w:t>20134 Milano</w:t>
      </w:r>
    </w:p>
    <w:p w14:paraId="0A9FFF61" w14:textId="77777777" w:rsidR="00497A38" w:rsidRPr="004A6CAC" w:rsidRDefault="00497A38" w:rsidP="00497A38">
      <w:pPr>
        <w:rPr>
          <w:sz w:val="22"/>
          <w:szCs w:val="22"/>
        </w:rPr>
      </w:pPr>
      <w:r w:rsidRPr="004A6CAC">
        <w:rPr>
          <w:sz w:val="22"/>
          <w:szCs w:val="22"/>
        </w:rPr>
        <w:t>Italija</w:t>
      </w:r>
    </w:p>
    <w:p w14:paraId="3714D513" w14:textId="77777777" w:rsidR="00497A38" w:rsidRPr="004A6CAC" w:rsidRDefault="00497A38" w:rsidP="00497A38">
      <w:pPr>
        <w:numPr>
          <w:ilvl w:val="12"/>
          <w:numId w:val="0"/>
        </w:numPr>
        <w:ind w:right="-2"/>
        <w:rPr>
          <w:sz w:val="22"/>
          <w:szCs w:val="22"/>
        </w:rPr>
      </w:pPr>
    </w:p>
    <w:p w14:paraId="353F1384" w14:textId="77777777" w:rsidR="00497A38" w:rsidRPr="004A6CAC" w:rsidRDefault="00497A38" w:rsidP="00497A38">
      <w:pPr>
        <w:numPr>
          <w:ilvl w:val="12"/>
          <w:numId w:val="0"/>
        </w:numPr>
        <w:ind w:right="-2"/>
        <w:rPr>
          <w:i/>
          <w:sz w:val="22"/>
          <w:szCs w:val="22"/>
        </w:rPr>
      </w:pPr>
      <w:r w:rsidRPr="004A6CAC">
        <w:rPr>
          <w:i/>
          <w:sz w:val="22"/>
          <w:szCs w:val="22"/>
        </w:rPr>
        <w:t>Gamintojas</w:t>
      </w:r>
    </w:p>
    <w:p w14:paraId="4FDC9215" w14:textId="77777777" w:rsidR="00497A38" w:rsidRPr="00CA03C2" w:rsidRDefault="00497A38" w:rsidP="00497A38">
      <w:pPr>
        <w:numPr>
          <w:ilvl w:val="12"/>
          <w:numId w:val="0"/>
        </w:numPr>
        <w:ind w:right="-2"/>
        <w:rPr>
          <w:sz w:val="22"/>
          <w:szCs w:val="22"/>
        </w:rPr>
      </w:pPr>
      <w:proofErr w:type="spellStart"/>
      <w:r w:rsidRPr="00CA03C2">
        <w:rPr>
          <w:sz w:val="22"/>
          <w:szCs w:val="22"/>
        </w:rPr>
        <w:t>Bracco</w:t>
      </w:r>
      <w:proofErr w:type="spellEnd"/>
      <w:r w:rsidRPr="00CA03C2">
        <w:rPr>
          <w:sz w:val="22"/>
          <w:szCs w:val="22"/>
        </w:rPr>
        <w:t xml:space="preserve"> </w:t>
      </w:r>
      <w:proofErr w:type="spellStart"/>
      <w:r w:rsidRPr="00CA03C2">
        <w:rPr>
          <w:sz w:val="22"/>
          <w:szCs w:val="22"/>
        </w:rPr>
        <w:t>Imaging</w:t>
      </w:r>
      <w:proofErr w:type="spellEnd"/>
      <w:r w:rsidRPr="00CA03C2">
        <w:rPr>
          <w:sz w:val="22"/>
          <w:szCs w:val="22"/>
        </w:rPr>
        <w:t xml:space="preserve"> </w:t>
      </w:r>
      <w:proofErr w:type="spellStart"/>
      <w:r w:rsidRPr="00CA03C2">
        <w:rPr>
          <w:sz w:val="22"/>
          <w:szCs w:val="22"/>
        </w:rPr>
        <w:t>s.p.a</w:t>
      </w:r>
      <w:proofErr w:type="spellEnd"/>
      <w:r w:rsidRPr="00CA03C2">
        <w:rPr>
          <w:sz w:val="22"/>
          <w:szCs w:val="22"/>
        </w:rPr>
        <w:t>.</w:t>
      </w:r>
    </w:p>
    <w:p w14:paraId="5BDD1561" w14:textId="77777777" w:rsidR="00497A38" w:rsidRPr="004A6CAC" w:rsidRDefault="00497A38" w:rsidP="00497A38">
      <w:pPr>
        <w:numPr>
          <w:ilvl w:val="12"/>
          <w:numId w:val="0"/>
        </w:numPr>
        <w:ind w:right="-2"/>
        <w:rPr>
          <w:sz w:val="22"/>
          <w:szCs w:val="22"/>
        </w:rPr>
      </w:pPr>
      <w:proofErr w:type="spellStart"/>
      <w:r w:rsidRPr="004A6CAC">
        <w:rPr>
          <w:sz w:val="22"/>
          <w:szCs w:val="22"/>
        </w:rPr>
        <w:t>Bioindustry</w:t>
      </w:r>
      <w:proofErr w:type="spellEnd"/>
      <w:r w:rsidRPr="004A6CAC">
        <w:rPr>
          <w:sz w:val="22"/>
          <w:szCs w:val="22"/>
        </w:rPr>
        <w:t xml:space="preserve"> </w:t>
      </w:r>
      <w:proofErr w:type="spellStart"/>
      <w:r w:rsidRPr="004A6CAC">
        <w:rPr>
          <w:sz w:val="22"/>
          <w:szCs w:val="22"/>
        </w:rPr>
        <w:t>Park</w:t>
      </w:r>
      <w:proofErr w:type="spellEnd"/>
    </w:p>
    <w:p w14:paraId="4B8A1DB4" w14:textId="77777777" w:rsidR="00497A38" w:rsidRPr="004A6CAC" w:rsidRDefault="00497A38" w:rsidP="00497A38">
      <w:pPr>
        <w:numPr>
          <w:ilvl w:val="12"/>
          <w:numId w:val="0"/>
        </w:numPr>
        <w:ind w:right="-2"/>
        <w:rPr>
          <w:sz w:val="22"/>
          <w:szCs w:val="22"/>
        </w:rPr>
      </w:pPr>
      <w:r w:rsidRPr="004A6CAC">
        <w:rPr>
          <w:sz w:val="22"/>
          <w:szCs w:val="22"/>
        </w:rPr>
        <w:t>Via Ribes 5</w:t>
      </w:r>
    </w:p>
    <w:p w14:paraId="0CA258B6" w14:textId="77777777" w:rsidR="00497A38" w:rsidRPr="004A6CAC" w:rsidRDefault="00497A38" w:rsidP="00497A38">
      <w:pPr>
        <w:numPr>
          <w:ilvl w:val="12"/>
          <w:numId w:val="0"/>
        </w:numPr>
        <w:ind w:right="-2"/>
        <w:rPr>
          <w:sz w:val="22"/>
          <w:szCs w:val="22"/>
        </w:rPr>
      </w:pPr>
      <w:r w:rsidRPr="004A6CAC">
        <w:rPr>
          <w:sz w:val="22"/>
          <w:szCs w:val="22"/>
        </w:rPr>
        <w:t xml:space="preserve">10010 </w:t>
      </w:r>
      <w:proofErr w:type="spellStart"/>
      <w:r w:rsidRPr="004A6CAC">
        <w:rPr>
          <w:sz w:val="22"/>
          <w:szCs w:val="22"/>
        </w:rPr>
        <w:t>Colleretto</w:t>
      </w:r>
      <w:proofErr w:type="spellEnd"/>
      <w:r w:rsidRPr="004A6CAC">
        <w:rPr>
          <w:sz w:val="22"/>
          <w:szCs w:val="22"/>
        </w:rPr>
        <w:t xml:space="preserve"> </w:t>
      </w:r>
      <w:proofErr w:type="spellStart"/>
      <w:r w:rsidRPr="004A6CAC">
        <w:rPr>
          <w:sz w:val="22"/>
          <w:szCs w:val="22"/>
        </w:rPr>
        <w:t>Giacosa</w:t>
      </w:r>
      <w:proofErr w:type="spellEnd"/>
      <w:r w:rsidRPr="004A6CAC">
        <w:rPr>
          <w:sz w:val="22"/>
          <w:szCs w:val="22"/>
        </w:rPr>
        <w:t xml:space="preserve"> (TO)</w:t>
      </w:r>
    </w:p>
    <w:p w14:paraId="4B31FB2F" w14:textId="77777777" w:rsidR="00497A38" w:rsidRPr="004A6CAC" w:rsidRDefault="00497A38" w:rsidP="00497A38">
      <w:pPr>
        <w:numPr>
          <w:ilvl w:val="12"/>
          <w:numId w:val="0"/>
        </w:numPr>
        <w:ind w:right="-2"/>
        <w:rPr>
          <w:sz w:val="22"/>
          <w:szCs w:val="22"/>
        </w:rPr>
      </w:pPr>
      <w:r w:rsidRPr="004A6CAC">
        <w:rPr>
          <w:sz w:val="22"/>
          <w:szCs w:val="22"/>
        </w:rPr>
        <w:t>Italija</w:t>
      </w:r>
    </w:p>
    <w:p w14:paraId="577E1556" w14:textId="77777777" w:rsidR="00497A38" w:rsidRPr="004A6CAC" w:rsidRDefault="00497A38" w:rsidP="00497A38">
      <w:pPr>
        <w:numPr>
          <w:ilvl w:val="12"/>
          <w:numId w:val="0"/>
        </w:numPr>
        <w:ind w:right="-2"/>
        <w:rPr>
          <w:sz w:val="22"/>
          <w:szCs w:val="22"/>
        </w:rPr>
      </w:pPr>
    </w:p>
    <w:p w14:paraId="1B05673A" w14:textId="77777777" w:rsidR="00497A38" w:rsidRPr="004A6CAC" w:rsidRDefault="00497A38" w:rsidP="00497A38">
      <w:pPr>
        <w:numPr>
          <w:ilvl w:val="12"/>
          <w:numId w:val="0"/>
        </w:numPr>
        <w:ind w:right="-2"/>
        <w:rPr>
          <w:sz w:val="22"/>
          <w:szCs w:val="22"/>
        </w:rPr>
      </w:pPr>
      <w:r w:rsidRPr="004A6CAC">
        <w:rPr>
          <w:sz w:val="22"/>
          <w:szCs w:val="22"/>
        </w:rPr>
        <w:t>arba</w:t>
      </w:r>
    </w:p>
    <w:p w14:paraId="3955CD86" w14:textId="77777777" w:rsidR="00497A38" w:rsidRPr="004A6CAC" w:rsidRDefault="00497A38" w:rsidP="00497A38">
      <w:pPr>
        <w:numPr>
          <w:ilvl w:val="12"/>
          <w:numId w:val="0"/>
        </w:numPr>
        <w:ind w:right="-2"/>
        <w:rPr>
          <w:sz w:val="22"/>
          <w:szCs w:val="22"/>
        </w:rPr>
      </w:pPr>
    </w:p>
    <w:p w14:paraId="2BBA6306" w14:textId="77777777" w:rsidR="00497A38" w:rsidRPr="00CA03C2" w:rsidRDefault="00497A38" w:rsidP="00497A38">
      <w:pPr>
        <w:numPr>
          <w:ilvl w:val="12"/>
          <w:numId w:val="0"/>
        </w:numPr>
        <w:ind w:right="-2"/>
        <w:rPr>
          <w:sz w:val="22"/>
          <w:szCs w:val="22"/>
        </w:rPr>
      </w:pPr>
      <w:r w:rsidRPr="004A6CAC">
        <w:rPr>
          <w:sz w:val="22"/>
          <w:szCs w:val="22"/>
        </w:rPr>
        <w:t>BIPSO </w:t>
      </w:r>
      <w:proofErr w:type="spellStart"/>
      <w:r w:rsidRPr="00CA03C2">
        <w:rPr>
          <w:sz w:val="22"/>
          <w:szCs w:val="22"/>
        </w:rPr>
        <w:t>GmbH</w:t>
      </w:r>
      <w:proofErr w:type="spellEnd"/>
    </w:p>
    <w:p w14:paraId="2875B2C0" w14:textId="77777777" w:rsidR="00497A38" w:rsidRPr="004A6CAC" w:rsidRDefault="00497A38" w:rsidP="00497A38">
      <w:pPr>
        <w:numPr>
          <w:ilvl w:val="12"/>
          <w:numId w:val="0"/>
        </w:numPr>
        <w:ind w:right="-2"/>
        <w:rPr>
          <w:sz w:val="22"/>
          <w:szCs w:val="22"/>
        </w:rPr>
      </w:pPr>
      <w:proofErr w:type="spellStart"/>
      <w:r w:rsidRPr="004A6CAC">
        <w:rPr>
          <w:sz w:val="22"/>
          <w:szCs w:val="22"/>
        </w:rPr>
        <w:t>Robert</w:t>
      </w:r>
      <w:r w:rsidRPr="004A6CAC">
        <w:rPr>
          <w:sz w:val="22"/>
          <w:szCs w:val="22"/>
        </w:rPr>
        <w:noBreakHyphen/>
        <w:t>Gerwig</w:t>
      </w:r>
      <w:proofErr w:type="spellEnd"/>
      <w:r w:rsidRPr="004A6CAC">
        <w:rPr>
          <w:sz w:val="22"/>
          <w:szCs w:val="22"/>
        </w:rPr>
        <w:t> str. 4</w:t>
      </w:r>
    </w:p>
    <w:p w14:paraId="465733DC" w14:textId="77777777" w:rsidR="00497A38" w:rsidRPr="004A6CAC" w:rsidRDefault="00497A38" w:rsidP="00497A38">
      <w:pPr>
        <w:numPr>
          <w:ilvl w:val="12"/>
          <w:numId w:val="0"/>
        </w:numPr>
        <w:ind w:right="-2"/>
        <w:rPr>
          <w:sz w:val="22"/>
          <w:szCs w:val="22"/>
        </w:rPr>
      </w:pPr>
      <w:r w:rsidRPr="004A6CAC">
        <w:rPr>
          <w:sz w:val="22"/>
          <w:szCs w:val="22"/>
        </w:rPr>
        <w:t>78224 </w:t>
      </w:r>
      <w:proofErr w:type="spellStart"/>
      <w:r w:rsidRPr="004A6CAC">
        <w:rPr>
          <w:sz w:val="22"/>
          <w:szCs w:val="22"/>
        </w:rPr>
        <w:t>Singen</w:t>
      </w:r>
      <w:proofErr w:type="spellEnd"/>
    </w:p>
    <w:p w14:paraId="1A6D5D09" w14:textId="77777777" w:rsidR="00497A38" w:rsidRPr="004A6CAC" w:rsidRDefault="00497A38" w:rsidP="00497A38">
      <w:pPr>
        <w:numPr>
          <w:ilvl w:val="12"/>
          <w:numId w:val="0"/>
        </w:numPr>
        <w:ind w:right="-2"/>
        <w:rPr>
          <w:sz w:val="22"/>
          <w:szCs w:val="22"/>
        </w:rPr>
      </w:pPr>
      <w:r w:rsidRPr="004A6CAC">
        <w:rPr>
          <w:sz w:val="22"/>
          <w:szCs w:val="22"/>
        </w:rPr>
        <w:t>Vokietija</w:t>
      </w:r>
    </w:p>
    <w:p w14:paraId="7096DB23" w14:textId="77777777" w:rsidR="00497A38" w:rsidRPr="004A6CAC" w:rsidRDefault="00497A38" w:rsidP="00497A38">
      <w:pPr>
        <w:numPr>
          <w:ilvl w:val="12"/>
          <w:numId w:val="0"/>
        </w:numPr>
        <w:ind w:right="-2"/>
        <w:rPr>
          <w:sz w:val="22"/>
          <w:szCs w:val="22"/>
        </w:rPr>
      </w:pPr>
    </w:p>
    <w:p w14:paraId="6661C8BF" w14:textId="77777777" w:rsidR="00497A38" w:rsidRPr="004A6CAC" w:rsidRDefault="00497A38" w:rsidP="00497A38">
      <w:pPr>
        <w:numPr>
          <w:ilvl w:val="12"/>
          <w:numId w:val="0"/>
        </w:numPr>
        <w:ind w:right="-2"/>
        <w:rPr>
          <w:sz w:val="22"/>
          <w:szCs w:val="22"/>
        </w:rPr>
      </w:pPr>
    </w:p>
    <w:p w14:paraId="505F2B1E" w14:textId="77777777" w:rsidR="00497A38" w:rsidRPr="004A6CAC" w:rsidRDefault="00497A38" w:rsidP="00497A38">
      <w:pPr>
        <w:rPr>
          <w:b/>
          <w:sz w:val="22"/>
          <w:szCs w:val="22"/>
        </w:rPr>
      </w:pPr>
      <w:r w:rsidRPr="004A6CAC">
        <w:rPr>
          <w:b/>
          <w:sz w:val="22"/>
          <w:szCs w:val="22"/>
        </w:rPr>
        <w:t>Šis vaistas E</w:t>
      </w:r>
      <w:r>
        <w:rPr>
          <w:b/>
          <w:sz w:val="22"/>
          <w:szCs w:val="22"/>
        </w:rPr>
        <w:t>uropos ekonominės erdvės</w:t>
      </w:r>
      <w:r w:rsidRPr="004A6CAC">
        <w:rPr>
          <w:b/>
          <w:sz w:val="22"/>
          <w:szCs w:val="22"/>
        </w:rPr>
        <w:t xml:space="preserve"> valstybėse narėse registruotas tokiais pavadinimais:</w:t>
      </w:r>
    </w:p>
    <w:p w14:paraId="6E05EEAB" w14:textId="77777777" w:rsidR="00497A38" w:rsidRPr="004A6CAC" w:rsidRDefault="00497A38" w:rsidP="00497A38">
      <w:pPr>
        <w:rPr>
          <w:sz w:val="22"/>
          <w:szCs w:val="22"/>
        </w:rPr>
      </w:pPr>
      <w:proofErr w:type="spellStart"/>
      <w:r>
        <w:rPr>
          <w:sz w:val="22"/>
          <w:szCs w:val="22"/>
        </w:rPr>
        <w:t>Prohance</w:t>
      </w:r>
      <w:proofErr w:type="spellEnd"/>
      <w:r w:rsidRPr="004A6CAC">
        <w:rPr>
          <w:sz w:val="22"/>
          <w:szCs w:val="22"/>
        </w:rPr>
        <w:t>.</w:t>
      </w:r>
    </w:p>
    <w:p w14:paraId="74A20EFA" w14:textId="77777777" w:rsidR="00497A38" w:rsidRPr="004A6CAC" w:rsidRDefault="00497A38" w:rsidP="00497A38">
      <w:pPr>
        <w:pStyle w:val="BTEMEASMCA"/>
      </w:pPr>
    </w:p>
    <w:p w14:paraId="08258C94" w14:textId="77777777" w:rsidR="00497A38" w:rsidRPr="004A6CAC" w:rsidRDefault="00497A38" w:rsidP="00497A38">
      <w:pPr>
        <w:pStyle w:val="BTbEMEASMCA"/>
      </w:pPr>
      <w:r w:rsidRPr="004A6CAC">
        <w:t>Šis pakuotės lapelis paskutinį kartą peržiūrėtas</w:t>
      </w:r>
      <w:r>
        <w:t xml:space="preserve"> 2025-03-28.</w:t>
      </w:r>
    </w:p>
    <w:p w14:paraId="238EB1B4" w14:textId="77777777" w:rsidR="00497A38" w:rsidRDefault="00497A38" w:rsidP="00497A38">
      <w:pPr>
        <w:rPr>
          <w:b/>
          <w:bCs/>
          <w:sz w:val="22"/>
          <w:szCs w:val="22"/>
        </w:rPr>
      </w:pPr>
    </w:p>
    <w:p w14:paraId="3444191D" w14:textId="77777777" w:rsidR="00497A38" w:rsidRPr="00645999" w:rsidRDefault="00497A38" w:rsidP="00497A38">
      <w:pPr>
        <w:rPr>
          <w:b/>
          <w:bCs/>
          <w:sz w:val="22"/>
          <w:szCs w:val="22"/>
        </w:rPr>
      </w:pPr>
      <w:r w:rsidRPr="00645999">
        <w:rPr>
          <w:b/>
          <w:bCs/>
          <w:sz w:val="22"/>
          <w:szCs w:val="22"/>
        </w:rPr>
        <w:t>Kiti informacijos šaltiniai</w:t>
      </w:r>
    </w:p>
    <w:p w14:paraId="33843564" w14:textId="77777777" w:rsidR="00497A38" w:rsidRPr="004A6CAC" w:rsidRDefault="00497A38" w:rsidP="00497A38">
      <w:pPr>
        <w:rPr>
          <w:sz w:val="22"/>
          <w:szCs w:val="22"/>
        </w:rPr>
      </w:pPr>
    </w:p>
    <w:p w14:paraId="72011E95" w14:textId="77777777" w:rsidR="00497A38" w:rsidRDefault="00497A38" w:rsidP="00497A38">
      <w:pPr>
        <w:rPr>
          <w:sz w:val="22"/>
          <w:szCs w:val="22"/>
        </w:rPr>
      </w:pPr>
      <w:r w:rsidRPr="004A6CAC">
        <w:rPr>
          <w:sz w:val="22"/>
          <w:szCs w:val="22"/>
        </w:rPr>
        <w:t>Valstybinė vaistų kontrolės tarnyba prie Lietuvos Respublikos sveikatos apsaugos ministerijos bent kartą per metus peržiūrės naują informaciją apie šį vaistą ir prireikus atnaujins šį lapelį.</w:t>
      </w:r>
    </w:p>
    <w:p w14:paraId="2FFF317E" w14:textId="77777777" w:rsidR="00497A38" w:rsidRPr="004A6CAC" w:rsidRDefault="00497A38" w:rsidP="00497A38">
      <w:pPr>
        <w:rPr>
          <w:sz w:val="22"/>
          <w:szCs w:val="22"/>
        </w:rPr>
      </w:pPr>
    </w:p>
    <w:p w14:paraId="6C1A6FE2" w14:textId="77777777" w:rsidR="00497A38" w:rsidRPr="004A6CAC" w:rsidRDefault="00497A38" w:rsidP="00497A38">
      <w:r w:rsidRPr="004A6CAC">
        <w:rPr>
          <w:sz w:val="22"/>
          <w:szCs w:val="22"/>
        </w:rPr>
        <w:t>Išsami informacija apie šį vaistą pateikiama Valstybinės vaistų kontrolės tarnybos prie Lietuvos Respublikos sveikatos apsaugos ministerijos tinklalapyje</w:t>
      </w:r>
      <w:r w:rsidRPr="004A6CAC">
        <w:rPr>
          <w:i/>
          <w:sz w:val="22"/>
          <w:szCs w:val="22"/>
        </w:rPr>
        <w:t xml:space="preserve"> </w:t>
      </w:r>
      <w:hyperlink r:id="rId6" w:history="1">
        <w:hyperlink r:id="rId7" w:history="1">
          <w:r w:rsidRPr="004A6CAC">
            <w:rPr>
              <w:rFonts w:eastAsia="SimSun"/>
              <w:snapToGrid w:val="0"/>
              <w:color w:val="0000FF"/>
              <w:sz w:val="22"/>
              <w:szCs w:val="20"/>
              <w:u w:val="single"/>
            </w:rPr>
            <w:t>http</w:t>
          </w:r>
          <w:r>
            <w:rPr>
              <w:rFonts w:eastAsia="SimSun"/>
              <w:snapToGrid w:val="0"/>
              <w:color w:val="0000FF"/>
              <w:sz w:val="22"/>
              <w:szCs w:val="20"/>
              <w:u w:val="single"/>
            </w:rPr>
            <w:t>s</w:t>
          </w:r>
          <w:r w:rsidRPr="004A6CAC">
            <w:rPr>
              <w:rFonts w:eastAsia="SimSun"/>
              <w:snapToGrid w:val="0"/>
              <w:color w:val="0000FF"/>
              <w:sz w:val="22"/>
              <w:szCs w:val="20"/>
              <w:u w:val="single"/>
            </w:rPr>
            <w:t>://vvkt.</w:t>
          </w:r>
          <w:r>
            <w:rPr>
              <w:rFonts w:eastAsia="SimSun"/>
              <w:snapToGrid w:val="0"/>
              <w:color w:val="0000FF"/>
              <w:sz w:val="22"/>
              <w:szCs w:val="20"/>
              <w:u w:val="single"/>
            </w:rPr>
            <w:t>lrv.lt/</w:t>
          </w:r>
          <w:r w:rsidRPr="004A6CAC">
            <w:rPr>
              <w:rFonts w:eastAsia="SimSun"/>
              <w:snapToGrid w:val="0"/>
              <w:color w:val="0000FF"/>
              <w:sz w:val="22"/>
              <w:szCs w:val="20"/>
              <w:u w:val="single"/>
            </w:rPr>
            <w:t>lt/</w:t>
          </w:r>
        </w:hyperlink>
      </w:hyperlink>
      <w:r w:rsidRPr="004A6CAC">
        <w:rPr>
          <w:sz w:val="22"/>
          <w:szCs w:val="22"/>
        </w:rPr>
        <w:t>.</w:t>
      </w:r>
    </w:p>
    <w:p w14:paraId="4D432B62" w14:textId="77777777" w:rsidR="00497A38" w:rsidRPr="004A6CAC" w:rsidRDefault="00497A38" w:rsidP="00497A38">
      <w:r w:rsidRPr="004A6CAC">
        <w:t>-----------------------------------------------------------------------------------------------------------------</w:t>
      </w:r>
    </w:p>
    <w:p w14:paraId="24E4393A" w14:textId="77777777" w:rsidR="00497A38" w:rsidRPr="00CA03C2" w:rsidRDefault="00497A38" w:rsidP="00497A38">
      <w:pPr>
        <w:rPr>
          <w:sz w:val="22"/>
          <w:szCs w:val="22"/>
        </w:rPr>
      </w:pPr>
    </w:p>
    <w:p w14:paraId="62742BC0" w14:textId="77777777" w:rsidR="00497A38" w:rsidRPr="00B0422A" w:rsidRDefault="00497A38" w:rsidP="00497A38">
      <w:pPr>
        <w:rPr>
          <w:b/>
          <w:sz w:val="22"/>
        </w:rPr>
      </w:pPr>
      <w:r w:rsidRPr="00B0422A">
        <w:rPr>
          <w:b/>
          <w:sz w:val="22"/>
        </w:rPr>
        <w:t>Toliau pateikta informacija skirta tik sveikatos priežiūros specialistams.</w:t>
      </w:r>
    </w:p>
    <w:p w14:paraId="1DBF621C" w14:textId="77777777" w:rsidR="00497A38" w:rsidRPr="00CA03C2" w:rsidRDefault="00497A38" w:rsidP="00497A38">
      <w:pPr>
        <w:rPr>
          <w:sz w:val="22"/>
          <w:szCs w:val="22"/>
        </w:rPr>
      </w:pPr>
    </w:p>
    <w:p w14:paraId="52237B3A" w14:textId="77777777" w:rsidR="00497A38" w:rsidRPr="00B0422A" w:rsidRDefault="00497A38" w:rsidP="00497A38">
      <w:pPr>
        <w:rPr>
          <w:b/>
          <w:sz w:val="22"/>
        </w:rPr>
      </w:pPr>
      <w:r w:rsidRPr="00B0422A">
        <w:rPr>
          <w:b/>
          <w:sz w:val="22"/>
        </w:rPr>
        <w:t xml:space="preserve">Prieš skiriant </w:t>
      </w:r>
      <w:proofErr w:type="spellStart"/>
      <w:r w:rsidRPr="00B0422A">
        <w:rPr>
          <w:b/>
          <w:sz w:val="22"/>
        </w:rPr>
        <w:t>Prohance</w:t>
      </w:r>
      <w:proofErr w:type="spellEnd"/>
      <w:r w:rsidRPr="00B0422A">
        <w:rPr>
          <w:b/>
          <w:sz w:val="22"/>
        </w:rPr>
        <w:t xml:space="preserve">, </w:t>
      </w:r>
      <w:r w:rsidRPr="0022461A">
        <w:rPr>
          <w:b/>
          <w:bCs/>
          <w:sz w:val="22"/>
          <w:szCs w:val="22"/>
        </w:rPr>
        <w:t>rizikos grupei priskiriamus pacientus ir senyvus</w:t>
      </w:r>
      <w:r w:rsidRPr="00B0422A">
        <w:rPr>
          <w:b/>
          <w:sz w:val="22"/>
        </w:rPr>
        <w:t xml:space="preserve"> pacientus</w:t>
      </w:r>
      <w:r w:rsidRPr="00B0422A" w:rsidDel="00FD01CC">
        <w:rPr>
          <w:b/>
          <w:sz w:val="22"/>
        </w:rPr>
        <w:t xml:space="preserve"> </w:t>
      </w:r>
      <w:r w:rsidRPr="00B0422A">
        <w:rPr>
          <w:b/>
          <w:sz w:val="22"/>
        </w:rPr>
        <w:t>rekomenduojama ištirti dėl inkstų veiklos sutrikimo atliekant laboratorinius tyrimus.</w:t>
      </w:r>
    </w:p>
    <w:p w14:paraId="363B3C9C" w14:textId="77777777" w:rsidR="00497A38" w:rsidRPr="00CA03C2" w:rsidRDefault="00497A38" w:rsidP="00497A38">
      <w:pPr>
        <w:rPr>
          <w:sz w:val="22"/>
          <w:szCs w:val="22"/>
        </w:rPr>
      </w:pPr>
      <w:r w:rsidRPr="00CA03C2">
        <w:rPr>
          <w:sz w:val="22"/>
          <w:szCs w:val="22"/>
        </w:rPr>
        <w:t xml:space="preserve">Buvo pranešta apie </w:t>
      </w:r>
      <w:proofErr w:type="spellStart"/>
      <w:r w:rsidRPr="00CA03C2">
        <w:rPr>
          <w:sz w:val="22"/>
          <w:szCs w:val="22"/>
        </w:rPr>
        <w:t>nefrogeninę</w:t>
      </w:r>
      <w:proofErr w:type="spellEnd"/>
      <w:r w:rsidRPr="00CA03C2">
        <w:rPr>
          <w:sz w:val="22"/>
          <w:szCs w:val="22"/>
        </w:rPr>
        <w:t xml:space="preserve"> sisteminę fibrozę (NSF), susijusią su </w:t>
      </w:r>
      <w:proofErr w:type="spellStart"/>
      <w:r w:rsidRPr="00CA03C2">
        <w:rPr>
          <w:sz w:val="22"/>
          <w:szCs w:val="22"/>
        </w:rPr>
        <w:t>gadolinio</w:t>
      </w:r>
      <w:proofErr w:type="spellEnd"/>
      <w:r w:rsidRPr="00CA03C2">
        <w:rPr>
          <w:sz w:val="22"/>
          <w:szCs w:val="22"/>
        </w:rPr>
        <w:t xml:space="preserve"> turinčių kontrastinių medžiagų vartojimu, ūmi</w:t>
      </w:r>
      <w:r>
        <w:rPr>
          <w:sz w:val="22"/>
          <w:szCs w:val="22"/>
        </w:rPr>
        <w:t>ni</w:t>
      </w:r>
      <w:r w:rsidRPr="00CA03C2">
        <w:rPr>
          <w:sz w:val="22"/>
          <w:szCs w:val="22"/>
        </w:rPr>
        <w:t>u ar lėtiniu sunkiu inkstų veiklos sutrikimu (kreatinino klirensas arba GFG &lt;</w:t>
      </w:r>
      <w:r w:rsidRPr="004A6CAC">
        <w:rPr>
          <w:sz w:val="22"/>
          <w:szCs w:val="22"/>
        </w:rPr>
        <w:t> </w:t>
      </w:r>
      <w:r w:rsidRPr="00CA03C2">
        <w:rPr>
          <w:sz w:val="22"/>
          <w:szCs w:val="22"/>
        </w:rPr>
        <w:t>30</w:t>
      </w:r>
      <w:r w:rsidRPr="004A6CAC">
        <w:rPr>
          <w:sz w:val="22"/>
          <w:szCs w:val="22"/>
        </w:rPr>
        <w:t> </w:t>
      </w:r>
      <w:r w:rsidRPr="00CA03C2">
        <w:rPr>
          <w:sz w:val="22"/>
          <w:szCs w:val="22"/>
        </w:rPr>
        <w:t>ml/min/1,73</w:t>
      </w:r>
      <w:r w:rsidRPr="004A6CAC">
        <w:rPr>
          <w:sz w:val="22"/>
          <w:szCs w:val="22"/>
        </w:rPr>
        <w:t> </w:t>
      </w:r>
      <w:r w:rsidRPr="00CA03C2">
        <w:rPr>
          <w:sz w:val="22"/>
          <w:szCs w:val="22"/>
        </w:rPr>
        <w:t>m</w:t>
      </w:r>
      <w:r w:rsidRPr="00CA03C2">
        <w:rPr>
          <w:sz w:val="22"/>
          <w:szCs w:val="22"/>
          <w:vertAlign w:val="superscript"/>
        </w:rPr>
        <w:t>2</w:t>
      </w:r>
      <w:r w:rsidRPr="00CA03C2">
        <w:rPr>
          <w:sz w:val="22"/>
          <w:szCs w:val="22"/>
        </w:rPr>
        <w:t xml:space="preserve">) sergantiems pacientams. Pacientams po kepenų transplantacijos yra ypatinga rizika, nes šioje grupėje yra didelis ūminio inkstų nepakankamumo pasireiškimo dažnis. Kadangi yra tikimybė, kad skiriant </w:t>
      </w:r>
      <w:proofErr w:type="spellStart"/>
      <w:r>
        <w:rPr>
          <w:sz w:val="22"/>
          <w:szCs w:val="22"/>
        </w:rPr>
        <w:t>Prohance</w:t>
      </w:r>
      <w:proofErr w:type="spellEnd"/>
      <w:r w:rsidRPr="00CA03C2">
        <w:rPr>
          <w:sz w:val="22"/>
          <w:szCs w:val="22"/>
        </w:rPr>
        <w:t xml:space="preserve"> gali pasireikšti NSF, sunkiu inkstų veiklos sutrikimu sergantiems pacientams ir pacientams, kurie ruošiami kepenų transplantacijos operacijai, jis turi būti skiriamas tik atidžiai įvertinus rizikos ir naudos santykį, ir jeigu diagnostinė informacija yra būtina ir jos negalima gauti atlikus MRT</w:t>
      </w:r>
      <w:r w:rsidRPr="004A6CAC">
        <w:rPr>
          <w:sz w:val="22"/>
          <w:szCs w:val="22"/>
        </w:rPr>
        <w:t> </w:t>
      </w:r>
      <w:r w:rsidRPr="00CA03C2">
        <w:rPr>
          <w:sz w:val="22"/>
          <w:szCs w:val="22"/>
        </w:rPr>
        <w:t xml:space="preserve">tyrimą be kontrastinės medžiagos. Jei būtina naudoti </w:t>
      </w:r>
      <w:proofErr w:type="spellStart"/>
      <w:r>
        <w:rPr>
          <w:sz w:val="22"/>
          <w:szCs w:val="22"/>
        </w:rPr>
        <w:t>Prohance</w:t>
      </w:r>
      <w:proofErr w:type="spellEnd"/>
      <w:r w:rsidRPr="00CA03C2">
        <w:rPr>
          <w:sz w:val="22"/>
          <w:szCs w:val="22"/>
        </w:rPr>
        <w:t>, dozė netur</w:t>
      </w:r>
      <w:r>
        <w:rPr>
          <w:sz w:val="22"/>
          <w:szCs w:val="22"/>
        </w:rPr>
        <w:t>i</w:t>
      </w:r>
      <w:r w:rsidRPr="00CA03C2">
        <w:rPr>
          <w:sz w:val="22"/>
          <w:szCs w:val="22"/>
        </w:rPr>
        <w:t xml:space="preserve"> viršyti 0,1</w:t>
      </w:r>
      <w:r w:rsidRPr="004A6CAC">
        <w:rPr>
          <w:sz w:val="22"/>
          <w:szCs w:val="22"/>
        </w:rPr>
        <w:t> </w:t>
      </w:r>
      <w:proofErr w:type="spellStart"/>
      <w:r w:rsidRPr="00CA03C2">
        <w:rPr>
          <w:sz w:val="22"/>
          <w:szCs w:val="22"/>
        </w:rPr>
        <w:t>mmol</w:t>
      </w:r>
      <w:proofErr w:type="spellEnd"/>
      <w:r w:rsidRPr="00CA03C2">
        <w:rPr>
          <w:sz w:val="22"/>
          <w:szCs w:val="22"/>
        </w:rPr>
        <w:t>/kg kūno masės. Skenavimo metu negalima skirti daugiau nei vienos</w:t>
      </w:r>
      <w:r>
        <w:rPr>
          <w:sz w:val="22"/>
          <w:szCs w:val="22"/>
        </w:rPr>
        <w:t> </w:t>
      </w:r>
      <w:r w:rsidRPr="00CA03C2">
        <w:rPr>
          <w:sz w:val="22"/>
          <w:szCs w:val="22"/>
        </w:rPr>
        <w:t xml:space="preserve">dozės. Nėra </w:t>
      </w:r>
      <w:r w:rsidRPr="00CA03C2">
        <w:rPr>
          <w:sz w:val="22"/>
          <w:szCs w:val="22"/>
        </w:rPr>
        <w:lastRenderedPageBreak/>
        <w:t xml:space="preserve">pakankamai duomenų apie </w:t>
      </w:r>
      <w:proofErr w:type="spellStart"/>
      <w:r>
        <w:rPr>
          <w:sz w:val="22"/>
          <w:szCs w:val="22"/>
        </w:rPr>
        <w:t>Prohance</w:t>
      </w:r>
      <w:proofErr w:type="spellEnd"/>
      <w:r w:rsidRPr="00CA03C2">
        <w:rPr>
          <w:sz w:val="22"/>
          <w:szCs w:val="22"/>
        </w:rPr>
        <w:t xml:space="preserve"> skyrimą pakartotinai, todėl injekcijų kartoti negalima, nebent intervalas tarp injekcijų yra daugiau nei 7</w:t>
      </w:r>
      <w:r w:rsidRPr="004A6CAC">
        <w:rPr>
          <w:sz w:val="22"/>
          <w:szCs w:val="22"/>
        </w:rPr>
        <w:t> par</w:t>
      </w:r>
      <w:r w:rsidRPr="00CA03C2">
        <w:rPr>
          <w:sz w:val="22"/>
          <w:szCs w:val="22"/>
        </w:rPr>
        <w:t>os.</w:t>
      </w:r>
    </w:p>
    <w:p w14:paraId="1990ECAA" w14:textId="77777777" w:rsidR="00497A38" w:rsidRPr="00CA03C2" w:rsidRDefault="00497A38" w:rsidP="00497A38">
      <w:pPr>
        <w:rPr>
          <w:sz w:val="22"/>
          <w:szCs w:val="22"/>
        </w:rPr>
      </w:pPr>
    </w:p>
    <w:p w14:paraId="67D3EDE1" w14:textId="77777777" w:rsidR="00497A38" w:rsidRPr="00CA03C2" w:rsidRDefault="00497A38" w:rsidP="00497A38">
      <w:pPr>
        <w:rPr>
          <w:sz w:val="22"/>
          <w:szCs w:val="22"/>
        </w:rPr>
      </w:pPr>
      <w:r w:rsidRPr="00CA03C2">
        <w:rPr>
          <w:sz w:val="22"/>
          <w:szCs w:val="22"/>
        </w:rPr>
        <w:t>Dėl neišsivysčiusios inkstų veiklos naujagimiams iki 4</w:t>
      </w:r>
      <w:r w:rsidRPr="004A6CAC">
        <w:rPr>
          <w:sz w:val="22"/>
          <w:szCs w:val="22"/>
        </w:rPr>
        <w:t> </w:t>
      </w:r>
      <w:r w:rsidRPr="00CA03C2">
        <w:rPr>
          <w:sz w:val="22"/>
          <w:szCs w:val="22"/>
        </w:rPr>
        <w:t>savaičių ir kūdikiams iki 1</w:t>
      </w:r>
      <w:r w:rsidRPr="004A6CAC">
        <w:rPr>
          <w:sz w:val="22"/>
          <w:szCs w:val="22"/>
        </w:rPr>
        <w:t> </w:t>
      </w:r>
      <w:r w:rsidRPr="00CA03C2">
        <w:rPr>
          <w:sz w:val="22"/>
          <w:szCs w:val="22"/>
        </w:rPr>
        <w:t xml:space="preserve">metų </w:t>
      </w:r>
      <w:proofErr w:type="spellStart"/>
      <w:r>
        <w:rPr>
          <w:sz w:val="22"/>
          <w:szCs w:val="22"/>
        </w:rPr>
        <w:t>Prohance</w:t>
      </w:r>
      <w:proofErr w:type="spellEnd"/>
      <w:r w:rsidRPr="00CA03C2">
        <w:rPr>
          <w:sz w:val="22"/>
          <w:szCs w:val="22"/>
        </w:rPr>
        <w:t xml:space="preserve"> gali būti skiriamas tik atidžiai apsvarsčius ir ne didesnė nei 0,1</w:t>
      </w:r>
      <w:r w:rsidRPr="004A6CAC">
        <w:rPr>
          <w:sz w:val="22"/>
          <w:szCs w:val="22"/>
        </w:rPr>
        <w:t> </w:t>
      </w:r>
      <w:proofErr w:type="spellStart"/>
      <w:r w:rsidRPr="00CA03C2">
        <w:rPr>
          <w:sz w:val="22"/>
          <w:szCs w:val="22"/>
        </w:rPr>
        <w:t>mmol</w:t>
      </w:r>
      <w:proofErr w:type="spellEnd"/>
      <w:r w:rsidRPr="00CA03C2">
        <w:rPr>
          <w:sz w:val="22"/>
          <w:szCs w:val="22"/>
        </w:rPr>
        <w:t>/kg kūno masės dozė. Skenavimo metu negalima skirti daugiau nei vienos</w:t>
      </w:r>
      <w:r w:rsidRPr="004A6CAC">
        <w:rPr>
          <w:sz w:val="22"/>
          <w:szCs w:val="22"/>
        </w:rPr>
        <w:t> </w:t>
      </w:r>
      <w:r w:rsidRPr="00CA03C2">
        <w:rPr>
          <w:sz w:val="22"/>
          <w:szCs w:val="22"/>
        </w:rPr>
        <w:t xml:space="preserve">dozės. Nėra pakankamai duomenų apie </w:t>
      </w:r>
      <w:proofErr w:type="spellStart"/>
      <w:r>
        <w:rPr>
          <w:sz w:val="22"/>
          <w:szCs w:val="22"/>
        </w:rPr>
        <w:t>Prohance</w:t>
      </w:r>
      <w:proofErr w:type="spellEnd"/>
      <w:r w:rsidRPr="00CA03C2">
        <w:rPr>
          <w:sz w:val="22"/>
          <w:szCs w:val="22"/>
        </w:rPr>
        <w:t xml:space="preserve"> skyrimą pakartotinai, todėl injekcijų kartoti negalima, nebent intervalas tarp injekcijų yra daugiau nei 7</w:t>
      </w:r>
      <w:r w:rsidRPr="004A6CAC">
        <w:rPr>
          <w:sz w:val="22"/>
          <w:szCs w:val="22"/>
        </w:rPr>
        <w:t> par</w:t>
      </w:r>
      <w:r w:rsidRPr="00CA03C2">
        <w:rPr>
          <w:sz w:val="22"/>
          <w:szCs w:val="22"/>
        </w:rPr>
        <w:t>os.</w:t>
      </w:r>
    </w:p>
    <w:p w14:paraId="4859AC73" w14:textId="77777777" w:rsidR="00497A38" w:rsidRPr="00CA03C2" w:rsidRDefault="00497A38" w:rsidP="00497A38">
      <w:pPr>
        <w:rPr>
          <w:sz w:val="22"/>
          <w:szCs w:val="22"/>
        </w:rPr>
      </w:pPr>
    </w:p>
    <w:p w14:paraId="33399E35" w14:textId="77777777" w:rsidR="00497A38" w:rsidRPr="00CA03C2" w:rsidRDefault="00497A38" w:rsidP="00497A38">
      <w:pPr>
        <w:rPr>
          <w:sz w:val="22"/>
          <w:szCs w:val="22"/>
        </w:rPr>
      </w:pPr>
      <w:r w:rsidRPr="00CA03C2">
        <w:rPr>
          <w:sz w:val="22"/>
          <w:szCs w:val="22"/>
        </w:rPr>
        <w:t xml:space="preserve">Senyvo amžiaus pacientams </w:t>
      </w:r>
      <w:proofErr w:type="spellStart"/>
      <w:r w:rsidRPr="00CA03C2">
        <w:rPr>
          <w:sz w:val="22"/>
          <w:szCs w:val="22"/>
        </w:rPr>
        <w:t>gadoteridolio</w:t>
      </w:r>
      <w:proofErr w:type="spellEnd"/>
      <w:r w:rsidRPr="00CA03C2">
        <w:rPr>
          <w:sz w:val="22"/>
          <w:szCs w:val="22"/>
        </w:rPr>
        <w:t xml:space="preserve"> klirensas gali būti sutrikęs, todėl 65</w:t>
      </w:r>
      <w:r w:rsidRPr="004A6CAC">
        <w:rPr>
          <w:sz w:val="22"/>
          <w:szCs w:val="22"/>
        </w:rPr>
        <w:t> </w:t>
      </w:r>
      <w:r w:rsidRPr="00CA03C2">
        <w:rPr>
          <w:sz w:val="22"/>
          <w:szCs w:val="22"/>
        </w:rPr>
        <w:t>metų ir vyresnius pacientus labai svarbu ištirti dėl inkstų veiklos sutrikimo.</w:t>
      </w:r>
    </w:p>
    <w:p w14:paraId="44771658" w14:textId="77777777" w:rsidR="00497A38" w:rsidRPr="00CA03C2" w:rsidRDefault="00497A38" w:rsidP="00497A38">
      <w:pPr>
        <w:rPr>
          <w:sz w:val="22"/>
          <w:szCs w:val="22"/>
        </w:rPr>
      </w:pPr>
    </w:p>
    <w:p w14:paraId="27A10590" w14:textId="77777777" w:rsidR="00497A38" w:rsidRPr="00CA03C2" w:rsidRDefault="00497A38" w:rsidP="00497A38">
      <w:pPr>
        <w:rPr>
          <w:sz w:val="22"/>
          <w:szCs w:val="22"/>
        </w:rPr>
      </w:pPr>
      <w:r w:rsidRPr="00CA03C2">
        <w:rPr>
          <w:sz w:val="22"/>
          <w:szCs w:val="22"/>
        </w:rPr>
        <w:t xml:space="preserve">Hemodializė, atliekama iš karto po </w:t>
      </w:r>
      <w:proofErr w:type="spellStart"/>
      <w:r>
        <w:rPr>
          <w:sz w:val="22"/>
          <w:szCs w:val="22"/>
        </w:rPr>
        <w:t>Prohance</w:t>
      </w:r>
      <w:proofErr w:type="spellEnd"/>
      <w:r w:rsidRPr="00CA03C2">
        <w:rPr>
          <w:sz w:val="22"/>
          <w:szCs w:val="22"/>
        </w:rPr>
        <w:t xml:space="preserve"> paskyrimo, gali būti naudinga tam, kad </w:t>
      </w:r>
      <w:r>
        <w:rPr>
          <w:sz w:val="22"/>
          <w:szCs w:val="22"/>
        </w:rPr>
        <w:t xml:space="preserve">būtų </w:t>
      </w:r>
      <w:r w:rsidRPr="00CA03C2">
        <w:rPr>
          <w:sz w:val="22"/>
          <w:szCs w:val="22"/>
        </w:rPr>
        <w:t>pašalint</w:t>
      </w:r>
      <w:r>
        <w:rPr>
          <w:sz w:val="22"/>
          <w:szCs w:val="22"/>
        </w:rPr>
        <w:t>as</w:t>
      </w:r>
      <w:r w:rsidRPr="00CA03C2">
        <w:rPr>
          <w:sz w:val="22"/>
          <w:szCs w:val="22"/>
        </w:rPr>
        <w:t xml:space="preserve"> </w:t>
      </w:r>
      <w:proofErr w:type="spellStart"/>
      <w:r>
        <w:rPr>
          <w:sz w:val="22"/>
          <w:szCs w:val="22"/>
        </w:rPr>
        <w:t>Prohance</w:t>
      </w:r>
      <w:proofErr w:type="spellEnd"/>
      <w:r w:rsidRPr="00CA03C2">
        <w:rPr>
          <w:sz w:val="22"/>
          <w:szCs w:val="22"/>
        </w:rPr>
        <w:t xml:space="preserve"> iš organizmo. Nėra įrodymų, kad hemodializė padeda išvengti ar gydyti NSF tiems pacientams, kuriems hemodializė neatliekama.</w:t>
      </w:r>
    </w:p>
    <w:p w14:paraId="675F25C0" w14:textId="77777777" w:rsidR="00497A38" w:rsidRPr="00CA03C2" w:rsidRDefault="00497A38" w:rsidP="00497A38">
      <w:pPr>
        <w:rPr>
          <w:sz w:val="22"/>
          <w:szCs w:val="22"/>
        </w:rPr>
      </w:pPr>
    </w:p>
    <w:p w14:paraId="483818AE" w14:textId="77777777" w:rsidR="00497A38" w:rsidRPr="00CA03C2" w:rsidRDefault="00497A38" w:rsidP="00497A38">
      <w:pPr>
        <w:rPr>
          <w:sz w:val="22"/>
          <w:szCs w:val="22"/>
        </w:rPr>
      </w:pPr>
      <w:proofErr w:type="spellStart"/>
      <w:r>
        <w:rPr>
          <w:sz w:val="22"/>
          <w:szCs w:val="22"/>
        </w:rPr>
        <w:t>Prohance</w:t>
      </w:r>
      <w:proofErr w:type="spellEnd"/>
      <w:r w:rsidRPr="00CA03C2">
        <w:rPr>
          <w:sz w:val="22"/>
          <w:szCs w:val="22"/>
        </w:rPr>
        <w:t xml:space="preserve"> negalima vartoti nėštumo metu, nebent dėl klinikinės būklės </w:t>
      </w:r>
      <w:proofErr w:type="spellStart"/>
      <w:r w:rsidRPr="00CA03C2">
        <w:rPr>
          <w:sz w:val="22"/>
          <w:szCs w:val="22"/>
        </w:rPr>
        <w:t>gadoteridolį</w:t>
      </w:r>
      <w:proofErr w:type="spellEnd"/>
      <w:r w:rsidRPr="00CA03C2">
        <w:rPr>
          <w:sz w:val="22"/>
          <w:szCs w:val="22"/>
        </w:rPr>
        <w:t xml:space="preserve"> vartoti būtina.</w:t>
      </w:r>
    </w:p>
    <w:p w14:paraId="2B17B490" w14:textId="77777777" w:rsidR="00497A38" w:rsidRPr="00CA03C2" w:rsidRDefault="00497A38" w:rsidP="00497A38">
      <w:pPr>
        <w:rPr>
          <w:sz w:val="22"/>
          <w:szCs w:val="22"/>
        </w:rPr>
      </w:pPr>
    </w:p>
    <w:p w14:paraId="4776BAA0" w14:textId="77777777" w:rsidR="00497A38" w:rsidRPr="00CA03C2" w:rsidRDefault="00497A38" w:rsidP="00497A38">
      <w:pPr>
        <w:rPr>
          <w:sz w:val="22"/>
          <w:szCs w:val="22"/>
        </w:rPr>
      </w:pPr>
      <w:r w:rsidRPr="00CA03C2">
        <w:rPr>
          <w:sz w:val="22"/>
          <w:szCs w:val="22"/>
        </w:rPr>
        <w:t>Sprendimą tęsti arba nutraukti žindymą 24</w:t>
      </w:r>
      <w:r w:rsidRPr="004A6CAC">
        <w:rPr>
          <w:sz w:val="22"/>
          <w:szCs w:val="22"/>
        </w:rPr>
        <w:t> </w:t>
      </w:r>
      <w:r w:rsidRPr="00CA03C2">
        <w:rPr>
          <w:sz w:val="22"/>
          <w:szCs w:val="22"/>
        </w:rPr>
        <w:t xml:space="preserve">valandoms po </w:t>
      </w:r>
      <w:proofErr w:type="spellStart"/>
      <w:r>
        <w:rPr>
          <w:sz w:val="22"/>
          <w:szCs w:val="22"/>
        </w:rPr>
        <w:t>Prohance</w:t>
      </w:r>
      <w:proofErr w:type="spellEnd"/>
      <w:r w:rsidRPr="00CA03C2">
        <w:rPr>
          <w:sz w:val="22"/>
          <w:szCs w:val="22"/>
        </w:rPr>
        <w:t xml:space="preserve"> paskyrimo turi priimti gydytojas ir žind</w:t>
      </w:r>
      <w:r w:rsidRPr="004A6CAC">
        <w:rPr>
          <w:sz w:val="22"/>
          <w:szCs w:val="22"/>
        </w:rPr>
        <w:t>yvė</w:t>
      </w:r>
      <w:r w:rsidRPr="00CA03C2">
        <w:rPr>
          <w:sz w:val="22"/>
          <w:szCs w:val="22"/>
        </w:rPr>
        <w:t>.</w:t>
      </w:r>
    </w:p>
    <w:p w14:paraId="30E25C73" w14:textId="77777777" w:rsidR="00497A38" w:rsidRPr="00CA03C2" w:rsidRDefault="00497A38" w:rsidP="00497A38">
      <w:pPr>
        <w:rPr>
          <w:sz w:val="22"/>
          <w:szCs w:val="22"/>
        </w:rPr>
      </w:pPr>
    </w:p>
    <w:p w14:paraId="770176D3" w14:textId="77777777" w:rsidR="00497A38" w:rsidRPr="00CA03C2" w:rsidRDefault="00497A38" w:rsidP="00497A38">
      <w:pPr>
        <w:widowControl w:val="0"/>
        <w:rPr>
          <w:sz w:val="22"/>
          <w:szCs w:val="22"/>
        </w:rPr>
      </w:pPr>
      <w:r w:rsidRPr="004A6CAC">
        <w:rPr>
          <w:sz w:val="22"/>
          <w:szCs w:val="22"/>
        </w:rPr>
        <w:t>Nu</w:t>
      </w:r>
      <w:r w:rsidRPr="00CA03C2">
        <w:rPr>
          <w:sz w:val="22"/>
          <w:szCs w:val="22"/>
        </w:rPr>
        <w:t>plėšiama</w:t>
      </w:r>
      <w:r w:rsidRPr="004A6CAC">
        <w:rPr>
          <w:sz w:val="22"/>
          <w:szCs w:val="22"/>
        </w:rPr>
        <w:t xml:space="preserve"> flakono</w:t>
      </w:r>
      <w:r w:rsidRPr="00CA03C2">
        <w:rPr>
          <w:sz w:val="22"/>
          <w:szCs w:val="22"/>
        </w:rPr>
        <w:t xml:space="preserve"> etiketė turi būti įklijuota į paciento </w:t>
      </w:r>
      <w:r w:rsidRPr="004A6CAC">
        <w:rPr>
          <w:sz w:val="22"/>
          <w:szCs w:val="22"/>
        </w:rPr>
        <w:t>ligos istoriją</w:t>
      </w:r>
      <w:r w:rsidRPr="00CA03C2">
        <w:rPr>
          <w:sz w:val="22"/>
          <w:szCs w:val="22"/>
        </w:rPr>
        <w:t xml:space="preserve">, </w:t>
      </w:r>
      <w:r w:rsidRPr="004A6CAC">
        <w:rPr>
          <w:sz w:val="22"/>
          <w:szCs w:val="22"/>
        </w:rPr>
        <w:t xml:space="preserve">kad būtų išsaugota tiksli informacija apie vartotas </w:t>
      </w:r>
      <w:proofErr w:type="spellStart"/>
      <w:r w:rsidRPr="004A6CAC">
        <w:rPr>
          <w:sz w:val="22"/>
          <w:szCs w:val="22"/>
        </w:rPr>
        <w:t>gadolinio</w:t>
      </w:r>
      <w:proofErr w:type="spellEnd"/>
      <w:r w:rsidRPr="004A6CAC">
        <w:rPr>
          <w:sz w:val="22"/>
          <w:szCs w:val="22"/>
        </w:rPr>
        <w:t xml:space="preserve"> sudėtyje turinčias kontrastines medžiagas</w:t>
      </w:r>
      <w:r w:rsidRPr="00CA03C2">
        <w:rPr>
          <w:sz w:val="22"/>
          <w:szCs w:val="22"/>
        </w:rPr>
        <w:t>. Taip pat turi būti įrašyta</w:t>
      </w:r>
      <w:r w:rsidRPr="004A6CAC">
        <w:rPr>
          <w:sz w:val="22"/>
          <w:szCs w:val="22"/>
        </w:rPr>
        <w:t>s paskirtos</w:t>
      </w:r>
      <w:r w:rsidRPr="00CA03C2">
        <w:rPr>
          <w:sz w:val="22"/>
          <w:szCs w:val="22"/>
        </w:rPr>
        <w:t xml:space="preserve"> dozė</w:t>
      </w:r>
      <w:r w:rsidRPr="004A6CAC">
        <w:rPr>
          <w:sz w:val="22"/>
          <w:szCs w:val="22"/>
        </w:rPr>
        <w:t>s dydis</w:t>
      </w:r>
      <w:r w:rsidRPr="00CA03C2">
        <w:rPr>
          <w:sz w:val="22"/>
          <w:szCs w:val="22"/>
        </w:rPr>
        <w:t xml:space="preserve">. Jei paciento </w:t>
      </w:r>
      <w:r w:rsidRPr="004A6CAC">
        <w:rPr>
          <w:sz w:val="22"/>
          <w:szCs w:val="22"/>
        </w:rPr>
        <w:t>ligos istorija</w:t>
      </w:r>
      <w:r w:rsidRPr="00CA03C2">
        <w:rPr>
          <w:sz w:val="22"/>
          <w:szCs w:val="22"/>
        </w:rPr>
        <w:t xml:space="preserve"> yra elektroninė, joje turi būti </w:t>
      </w:r>
      <w:r w:rsidRPr="004A6CAC">
        <w:rPr>
          <w:sz w:val="22"/>
          <w:szCs w:val="22"/>
        </w:rPr>
        <w:t>įrašytas</w:t>
      </w:r>
      <w:r w:rsidRPr="00CA03C2">
        <w:rPr>
          <w:sz w:val="22"/>
          <w:szCs w:val="22"/>
        </w:rPr>
        <w:t xml:space="preserve"> vaistinio preparato pavadinimas, serijos numeris ir dozė</w:t>
      </w:r>
      <w:r w:rsidRPr="004A6CAC">
        <w:rPr>
          <w:sz w:val="22"/>
          <w:szCs w:val="22"/>
        </w:rPr>
        <w:t>s dydis</w:t>
      </w:r>
      <w:r w:rsidRPr="00CA03C2">
        <w:rPr>
          <w:sz w:val="22"/>
          <w:szCs w:val="22"/>
        </w:rPr>
        <w:t>.</w:t>
      </w:r>
    </w:p>
    <w:p w14:paraId="0E386EB2" w14:textId="77777777" w:rsidR="00497A38" w:rsidRPr="00CA03C2" w:rsidRDefault="00497A38" w:rsidP="00497A38">
      <w:pPr>
        <w:rPr>
          <w:sz w:val="22"/>
          <w:szCs w:val="22"/>
        </w:rPr>
      </w:pPr>
    </w:p>
    <w:p w14:paraId="25FB67D3" w14:textId="77777777" w:rsidR="00497A38" w:rsidRPr="00CA03C2" w:rsidRDefault="00497A38" w:rsidP="00497A38">
      <w:pPr>
        <w:rPr>
          <w:sz w:val="22"/>
          <w:szCs w:val="22"/>
        </w:rPr>
      </w:pPr>
      <w:r w:rsidRPr="00CA03C2">
        <w:rPr>
          <w:sz w:val="22"/>
          <w:szCs w:val="22"/>
        </w:rPr>
        <w:t>Skaidrus, bespalvis arba gelsvas tirpalas be matomų dalelių. Po atidarymo vaistinį preparatą suvartoti nedelsiant.</w:t>
      </w:r>
    </w:p>
    <w:p w14:paraId="38CAD63B" w14:textId="77777777" w:rsidR="00497A38" w:rsidRPr="00CA03C2" w:rsidRDefault="00497A38" w:rsidP="00497A38">
      <w:pPr>
        <w:rPr>
          <w:sz w:val="22"/>
          <w:szCs w:val="22"/>
        </w:rPr>
      </w:pPr>
    </w:p>
    <w:p w14:paraId="58896156" w14:textId="77777777" w:rsidR="00497A38" w:rsidRDefault="00497A38" w:rsidP="00497A38">
      <w:pPr>
        <w:rPr>
          <w:sz w:val="22"/>
          <w:szCs w:val="22"/>
        </w:rPr>
      </w:pPr>
      <w:r w:rsidRPr="00CA03C2">
        <w:rPr>
          <w:sz w:val="22"/>
          <w:szCs w:val="22"/>
        </w:rPr>
        <w:t>Po naudojimo flakonai turi būti sunaikinti laikantis vaizdo kontrastinėms medžiagoms taikomų reikalavimų.</w:t>
      </w:r>
    </w:p>
    <w:p w14:paraId="2967FA28" w14:textId="77777777" w:rsidR="00497A38" w:rsidRPr="00CA03C2" w:rsidRDefault="00497A38" w:rsidP="00497A38">
      <w:pPr>
        <w:rPr>
          <w:sz w:val="22"/>
          <w:szCs w:val="22"/>
        </w:rPr>
      </w:pPr>
    </w:p>
    <w:p w14:paraId="5B7E3895" w14:textId="77777777" w:rsidR="00222FED" w:rsidRDefault="00222FED"/>
    <w:sectPr w:rsidR="00222FED" w:rsidSect="00497A38">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A92D" w14:textId="77777777" w:rsidR="00497A38" w:rsidRDefault="00497A38" w:rsidP="001F6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0AD242" w14:textId="77777777" w:rsidR="00497A38" w:rsidRDefault="00497A38" w:rsidP="001F6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C437" w14:textId="77777777" w:rsidR="00497A38" w:rsidRPr="00464C4A" w:rsidRDefault="00497A38" w:rsidP="001F699E">
    <w:pPr>
      <w:pStyle w:val="Porat"/>
      <w:framePr w:wrap="around" w:vAnchor="text" w:hAnchor="margin" w:xAlign="right" w:y="1"/>
      <w:rPr>
        <w:rStyle w:val="Puslapionumeris"/>
      </w:rPr>
    </w:pPr>
    <w:r w:rsidRPr="00464C4A">
      <w:rPr>
        <w:rStyle w:val="Puslapionumeris"/>
        <w:sz w:val="22"/>
        <w:szCs w:val="22"/>
      </w:rPr>
      <w:fldChar w:fldCharType="begin"/>
    </w:r>
    <w:r w:rsidRPr="00464C4A">
      <w:rPr>
        <w:rStyle w:val="Puslapionumeris"/>
        <w:sz w:val="22"/>
        <w:szCs w:val="22"/>
      </w:rPr>
      <w:instrText xml:space="preserve">PAGE  </w:instrText>
    </w:r>
    <w:r w:rsidRPr="00464C4A">
      <w:rPr>
        <w:rStyle w:val="Puslapionumeris"/>
        <w:sz w:val="22"/>
        <w:szCs w:val="22"/>
      </w:rPr>
      <w:fldChar w:fldCharType="separate"/>
    </w:r>
    <w:r>
      <w:rPr>
        <w:rStyle w:val="Puslapionumeris"/>
        <w:noProof/>
        <w:sz w:val="22"/>
        <w:szCs w:val="22"/>
      </w:rPr>
      <w:t>2</w:t>
    </w:r>
    <w:r>
      <w:rPr>
        <w:rStyle w:val="Puslapionumeris"/>
        <w:noProof/>
        <w:sz w:val="22"/>
        <w:szCs w:val="22"/>
      </w:rPr>
      <w:t>6</w:t>
    </w:r>
    <w:r w:rsidRPr="00464C4A">
      <w:rPr>
        <w:rStyle w:val="Puslapionumeris"/>
        <w:sz w:val="22"/>
        <w:szCs w:val="22"/>
      </w:rPr>
      <w:fldChar w:fldCharType="end"/>
    </w:r>
  </w:p>
  <w:p w14:paraId="25F2295B" w14:textId="77777777" w:rsidR="00497A38" w:rsidRDefault="00497A38" w:rsidP="001F699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000ED5"/>
    <w:multiLevelType w:val="hybridMultilevel"/>
    <w:tmpl w:val="94B8EA9A"/>
    <w:lvl w:ilvl="0" w:tplc="CA48D87E">
      <w:start w:val="1"/>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126245213">
    <w:abstractNumId w:val="0"/>
    <w:lvlOverride w:ilvl="0">
      <w:lvl w:ilvl="0">
        <w:start w:val="1"/>
        <w:numFmt w:val="bullet"/>
        <w:lvlText w:val="-"/>
        <w:legacy w:legacy="1" w:legacySpace="0" w:legacyIndent="360"/>
        <w:lvlJc w:val="left"/>
        <w:pPr>
          <w:ind w:left="360" w:hanging="360"/>
        </w:pPr>
      </w:lvl>
    </w:lvlOverride>
  </w:num>
  <w:num w:numId="2" w16cid:durableId="155072557">
    <w:abstractNumId w:val="2"/>
  </w:num>
  <w:num w:numId="3" w16cid:durableId="1366833961">
    <w:abstractNumId w:val="4"/>
  </w:num>
  <w:num w:numId="4" w16cid:durableId="374426522">
    <w:abstractNumId w:val="3"/>
  </w:num>
  <w:num w:numId="5" w16cid:durableId="89327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38"/>
    <w:rsid w:val="00222FED"/>
    <w:rsid w:val="00497A38"/>
    <w:rsid w:val="005F173E"/>
    <w:rsid w:val="00631D56"/>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C6F0"/>
  <w15:chartTrackingRefBased/>
  <w15:docId w15:val="{5A7D7579-CBD1-4988-A345-FAC5B916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A38"/>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497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7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497A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497A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7A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7A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A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A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A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A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7A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497A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497A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7A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7A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A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A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A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A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A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A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A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A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7A38"/>
    <w:rPr>
      <w:i/>
      <w:iCs/>
      <w:color w:val="404040" w:themeColor="text1" w:themeTint="BF"/>
    </w:rPr>
  </w:style>
  <w:style w:type="paragraph" w:styleId="Sraopastraipa">
    <w:name w:val="List Paragraph"/>
    <w:basedOn w:val="prastasis"/>
    <w:uiPriority w:val="34"/>
    <w:qFormat/>
    <w:rsid w:val="00497A38"/>
    <w:pPr>
      <w:ind w:left="720"/>
      <w:contextualSpacing/>
    </w:pPr>
  </w:style>
  <w:style w:type="character" w:styleId="Rykuspabraukimas">
    <w:name w:val="Intense Emphasis"/>
    <w:basedOn w:val="Numatytasispastraiposriftas"/>
    <w:uiPriority w:val="21"/>
    <w:qFormat/>
    <w:rsid w:val="00497A38"/>
    <w:rPr>
      <w:i/>
      <w:iCs/>
      <w:color w:val="0F4761" w:themeColor="accent1" w:themeShade="BF"/>
    </w:rPr>
  </w:style>
  <w:style w:type="paragraph" w:styleId="Iskirtacitata">
    <w:name w:val="Intense Quote"/>
    <w:basedOn w:val="prastasis"/>
    <w:next w:val="prastasis"/>
    <w:link w:val="IskirtacitataDiagrama"/>
    <w:uiPriority w:val="30"/>
    <w:qFormat/>
    <w:rsid w:val="00497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7A38"/>
    <w:rPr>
      <w:i/>
      <w:iCs/>
      <w:color w:val="0F4761" w:themeColor="accent1" w:themeShade="BF"/>
    </w:rPr>
  </w:style>
  <w:style w:type="character" w:styleId="Rykinuoroda">
    <w:name w:val="Intense Reference"/>
    <w:basedOn w:val="Numatytasispastraiposriftas"/>
    <w:uiPriority w:val="32"/>
    <w:qFormat/>
    <w:rsid w:val="00497A38"/>
    <w:rPr>
      <w:b/>
      <w:bCs/>
      <w:smallCaps/>
      <w:color w:val="0F4761" w:themeColor="accent1" w:themeShade="BF"/>
      <w:spacing w:val="5"/>
    </w:rPr>
  </w:style>
  <w:style w:type="character" w:styleId="Hipersaitas">
    <w:name w:val="Hyperlink"/>
    <w:rsid w:val="00497A38"/>
    <w:rPr>
      <w:rFonts w:cs="Times New Roman"/>
      <w:color w:val="0000FF"/>
      <w:u w:val="single"/>
    </w:rPr>
  </w:style>
  <w:style w:type="paragraph" w:customStyle="1" w:styleId="BTEMEASMCA">
    <w:name w:val="BT EMEA_SMCA"/>
    <w:basedOn w:val="prastasis"/>
    <w:link w:val="BTEMEASMCAChar"/>
    <w:autoRedefine/>
    <w:uiPriority w:val="99"/>
    <w:rsid w:val="00497A38"/>
    <w:pPr>
      <w:widowControl w:val="0"/>
    </w:pPr>
    <w:rPr>
      <w:noProof/>
      <w:sz w:val="22"/>
      <w:szCs w:val="22"/>
    </w:rPr>
  </w:style>
  <w:style w:type="paragraph" w:customStyle="1" w:styleId="BT-EMEASMCA">
    <w:name w:val="BT- EMEA_SMCA"/>
    <w:basedOn w:val="BTEMEASMCA"/>
    <w:autoRedefine/>
    <w:uiPriority w:val="99"/>
    <w:rsid w:val="00497A38"/>
    <w:pPr>
      <w:numPr>
        <w:numId w:val="2"/>
      </w:numPr>
      <w:tabs>
        <w:tab w:val="num" w:pos="360"/>
      </w:tabs>
      <w:ind w:left="567" w:hanging="567"/>
    </w:pPr>
  </w:style>
  <w:style w:type="paragraph" w:customStyle="1" w:styleId="PI-3EMEASMCA">
    <w:name w:val="PI-3 EMEA_SMCA"/>
    <w:basedOn w:val="prastasis"/>
    <w:autoRedefine/>
    <w:uiPriority w:val="99"/>
    <w:rsid w:val="00497A38"/>
    <w:pPr>
      <w:spacing w:line="220" w:lineRule="exact"/>
    </w:pPr>
    <w:rPr>
      <w:b/>
      <w:bCs/>
      <w:noProof/>
      <w:sz w:val="22"/>
      <w:szCs w:val="22"/>
    </w:rPr>
  </w:style>
  <w:style w:type="paragraph" w:customStyle="1" w:styleId="BTbEMEASMCA">
    <w:name w:val="BT(b) EMEA_SMCA"/>
    <w:basedOn w:val="BTEMEASMCA"/>
    <w:autoRedefine/>
    <w:uiPriority w:val="99"/>
    <w:rsid w:val="00497A38"/>
    <w:rPr>
      <w:b/>
    </w:rPr>
  </w:style>
  <w:style w:type="character" w:customStyle="1" w:styleId="BTEMEASMCAChar">
    <w:name w:val="BT EMEA_SMCA Char"/>
    <w:link w:val="BTEMEASMCA"/>
    <w:uiPriority w:val="99"/>
    <w:locked/>
    <w:rsid w:val="00497A38"/>
    <w:rPr>
      <w:rFonts w:ascii="Times New Roman" w:eastAsia="Times New Roman" w:hAnsi="Times New Roman" w:cs="Times New Roman"/>
      <w:noProof/>
      <w:kern w:val="0"/>
      <w:sz w:val="22"/>
      <w:szCs w:val="22"/>
      <w14:ligatures w14:val="none"/>
    </w:rPr>
  </w:style>
  <w:style w:type="paragraph" w:styleId="Pagrindinistekstas">
    <w:name w:val="Body Text"/>
    <w:basedOn w:val="prastasis"/>
    <w:link w:val="PagrindinistekstasDiagrama"/>
    <w:uiPriority w:val="99"/>
    <w:rsid w:val="00497A38"/>
    <w:pPr>
      <w:spacing w:line="360" w:lineRule="auto"/>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497A38"/>
    <w:rPr>
      <w:rFonts w:ascii="Times New Roman" w:eastAsia="Calibri" w:hAnsi="Times New Roman" w:cs="Times New Roman"/>
      <w:kern w:val="0"/>
      <w:sz w:val="20"/>
      <w:szCs w:val="20"/>
      <w:lang w:eastAsia="lt-LT"/>
      <w14:ligatures w14:val="none"/>
    </w:rPr>
  </w:style>
  <w:style w:type="paragraph" w:styleId="Pagrindinistekstas2">
    <w:name w:val="Body Text 2"/>
    <w:basedOn w:val="prastasis"/>
    <w:link w:val="Pagrindinistekstas2Diagrama"/>
    <w:uiPriority w:val="99"/>
    <w:rsid w:val="00497A38"/>
    <w:pPr>
      <w:spacing w:after="120" w:line="480" w:lineRule="auto"/>
    </w:pPr>
    <w:rPr>
      <w:rFonts w:eastAsia="Calibri"/>
      <w:lang w:eastAsia="x-none"/>
    </w:rPr>
  </w:style>
  <w:style w:type="character" w:customStyle="1" w:styleId="Pagrindinistekstas2Diagrama">
    <w:name w:val="Pagrindinis tekstas 2 Diagrama"/>
    <w:basedOn w:val="Numatytasispastraiposriftas"/>
    <w:link w:val="Pagrindinistekstas2"/>
    <w:uiPriority w:val="99"/>
    <w:rsid w:val="00497A38"/>
    <w:rPr>
      <w:rFonts w:ascii="Times New Roman" w:eastAsia="Calibri" w:hAnsi="Times New Roman" w:cs="Times New Roman"/>
      <w:kern w:val="0"/>
      <w:lang w:eastAsia="x-none"/>
      <w14:ligatures w14:val="none"/>
    </w:rPr>
  </w:style>
  <w:style w:type="paragraph" w:styleId="Porat">
    <w:name w:val="footer"/>
    <w:basedOn w:val="prastasis"/>
    <w:link w:val="PoratDiagrama"/>
    <w:uiPriority w:val="99"/>
    <w:rsid w:val="00497A38"/>
    <w:pPr>
      <w:tabs>
        <w:tab w:val="center" w:pos="4986"/>
        <w:tab w:val="right" w:pos="9972"/>
      </w:tabs>
    </w:pPr>
    <w:rPr>
      <w:rFonts w:eastAsia="Calibri"/>
      <w:lang w:eastAsia="x-none"/>
    </w:rPr>
  </w:style>
  <w:style w:type="character" w:customStyle="1" w:styleId="PoratDiagrama">
    <w:name w:val="Poraštė Diagrama"/>
    <w:basedOn w:val="Numatytasispastraiposriftas"/>
    <w:link w:val="Porat"/>
    <w:uiPriority w:val="99"/>
    <w:rsid w:val="00497A38"/>
    <w:rPr>
      <w:rFonts w:ascii="Times New Roman" w:eastAsia="Calibri" w:hAnsi="Times New Roman" w:cs="Times New Roman"/>
      <w:kern w:val="0"/>
      <w:lang w:eastAsia="x-none"/>
      <w14:ligatures w14:val="none"/>
    </w:rPr>
  </w:style>
  <w:style w:type="paragraph" w:customStyle="1" w:styleId="TxBrp0">
    <w:name w:val="TxBr_p0"/>
    <w:basedOn w:val="prastasis"/>
    <w:uiPriority w:val="99"/>
    <w:rsid w:val="00497A38"/>
    <w:pPr>
      <w:widowControl w:val="0"/>
      <w:tabs>
        <w:tab w:val="left" w:pos="204"/>
      </w:tabs>
      <w:autoSpaceDE w:val="0"/>
      <w:autoSpaceDN w:val="0"/>
      <w:adjustRightInd w:val="0"/>
      <w:spacing w:line="240" w:lineRule="atLeast"/>
      <w:jc w:val="both"/>
    </w:pPr>
    <w:rPr>
      <w:rFonts w:ascii="Arial" w:hAnsi="Arial"/>
      <w:sz w:val="22"/>
      <w:lang w:val="en-US" w:eastAsia="de-DE"/>
    </w:rPr>
  </w:style>
  <w:style w:type="paragraph" w:customStyle="1" w:styleId="TxBrp6">
    <w:name w:val="TxBr_p6"/>
    <w:basedOn w:val="prastasis"/>
    <w:uiPriority w:val="99"/>
    <w:rsid w:val="00497A38"/>
    <w:pPr>
      <w:widowControl w:val="0"/>
      <w:tabs>
        <w:tab w:val="left" w:pos="1457"/>
        <w:tab w:val="left" w:pos="2664"/>
      </w:tabs>
      <w:autoSpaceDE w:val="0"/>
      <w:autoSpaceDN w:val="0"/>
      <w:adjustRightInd w:val="0"/>
      <w:spacing w:line="226" w:lineRule="atLeast"/>
      <w:ind w:left="2664" w:hanging="1207"/>
    </w:pPr>
    <w:rPr>
      <w:rFonts w:ascii="Arial" w:hAnsi="Arial"/>
      <w:sz w:val="22"/>
      <w:lang w:val="en-US" w:eastAsia="de-DE"/>
    </w:rPr>
  </w:style>
  <w:style w:type="paragraph" w:customStyle="1" w:styleId="TxBrp8">
    <w:name w:val="TxBr_p8"/>
    <w:basedOn w:val="prastasis"/>
    <w:uiPriority w:val="99"/>
    <w:rsid w:val="00497A38"/>
    <w:pPr>
      <w:widowControl w:val="0"/>
      <w:tabs>
        <w:tab w:val="left" w:pos="799"/>
      </w:tabs>
      <w:autoSpaceDE w:val="0"/>
      <w:autoSpaceDN w:val="0"/>
      <w:adjustRightInd w:val="0"/>
      <w:spacing w:line="240" w:lineRule="atLeast"/>
      <w:ind w:left="641"/>
    </w:pPr>
    <w:rPr>
      <w:rFonts w:ascii="Arial" w:hAnsi="Arial"/>
      <w:sz w:val="22"/>
      <w:lang w:val="en-US" w:eastAsia="de-DE"/>
    </w:rPr>
  </w:style>
  <w:style w:type="character" w:styleId="Puslapionumeris">
    <w:name w:val="page number"/>
    <w:uiPriority w:val="99"/>
    <w:rsid w:val="00497A38"/>
    <w:rPr>
      <w:rFonts w:cs="Times New Roman"/>
    </w:rPr>
  </w:style>
  <w:style w:type="paragraph" w:customStyle="1" w:styleId="Spalvotasspalvinimas3parykinimas1">
    <w:name w:val="Spalvotas spalvinimas – 3 paryškinimas1"/>
    <w:basedOn w:val="prastasis"/>
    <w:uiPriority w:val="99"/>
    <w:qFormat/>
    <w:rsid w:val="00497A38"/>
    <w:pPr>
      <w:tabs>
        <w:tab w:val="left" w:pos="567"/>
      </w:tabs>
      <w:spacing w:line="260" w:lineRule="exact"/>
      <w:ind w:left="720"/>
      <w:contextualSpacing/>
    </w:pPr>
    <w:rPr>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9461</Words>
  <Characters>5393</Characters>
  <Application>Microsoft Office Word</Application>
  <DocSecurity>0</DocSecurity>
  <Lines>44</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2025-07-29T11:03:00Z</dcterms:created>
  <dcterms:modified xsi:type="dcterms:W3CDTF">2025-07-29T11:04:00Z</dcterms:modified>
</cp:coreProperties>
</file>