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F2C3" w14:textId="77777777" w:rsidR="00091B58" w:rsidRPr="00C81D88" w:rsidRDefault="00091B58" w:rsidP="00091B58">
      <w:pPr>
        <w:outlineLvl w:val="0"/>
        <w:rPr>
          <w:b/>
          <w:snapToGrid w:val="0"/>
          <w:szCs w:val="22"/>
        </w:rPr>
      </w:pPr>
    </w:p>
    <w:p w14:paraId="76ECE7B2" w14:textId="77777777" w:rsidR="00091B58" w:rsidRPr="00C81D88" w:rsidRDefault="00091B58" w:rsidP="00091B58">
      <w:pPr>
        <w:outlineLvl w:val="0"/>
        <w:rPr>
          <w:b/>
          <w:snapToGrid w:val="0"/>
          <w:szCs w:val="22"/>
        </w:rPr>
      </w:pPr>
    </w:p>
    <w:p w14:paraId="79819517" w14:textId="77777777" w:rsidR="00091B58" w:rsidRPr="00C81D88" w:rsidRDefault="00091B58" w:rsidP="00091B58">
      <w:pPr>
        <w:outlineLvl w:val="0"/>
        <w:rPr>
          <w:b/>
          <w:snapToGrid w:val="0"/>
          <w:szCs w:val="22"/>
        </w:rPr>
      </w:pPr>
    </w:p>
    <w:p w14:paraId="7B419640" w14:textId="77777777" w:rsidR="00091B58" w:rsidRPr="00C81D88" w:rsidRDefault="00091B58" w:rsidP="00091B58">
      <w:pPr>
        <w:outlineLvl w:val="0"/>
        <w:rPr>
          <w:b/>
          <w:snapToGrid w:val="0"/>
          <w:szCs w:val="22"/>
        </w:rPr>
      </w:pPr>
    </w:p>
    <w:p w14:paraId="1E2E220B" w14:textId="77777777" w:rsidR="00091B58" w:rsidRPr="00C81D88" w:rsidRDefault="00091B58" w:rsidP="00091B58">
      <w:pPr>
        <w:tabs>
          <w:tab w:val="left" w:pos="-1440"/>
          <w:tab w:val="left" w:pos="-720"/>
        </w:tabs>
        <w:rPr>
          <w:b/>
          <w:snapToGrid w:val="0"/>
          <w:szCs w:val="22"/>
        </w:rPr>
      </w:pPr>
    </w:p>
    <w:p w14:paraId="6ADCBF29" w14:textId="77777777" w:rsidR="00091B58" w:rsidRPr="00C81D88" w:rsidRDefault="00091B58" w:rsidP="00091B58">
      <w:pPr>
        <w:tabs>
          <w:tab w:val="left" w:pos="-1440"/>
          <w:tab w:val="left" w:pos="-720"/>
        </w:tabs>
        <w:rPr>
          <w:b/>
          <w:snapToGrid w:val="0"/>
          <w:szCs w:val="22"/>
        </w:rPr>
      </w:pPr>
    </w:p>
    <w:p w14:paraId="319E6675" w14:textId="77777777" w:rsidR="00091B58" w:rsidRPr="00C81D88" w:rsidRDefault="00091B58" w:rsidP="00091B58">
      <w:pPr>
        <w:tabs>
          <w:tab w:val="left" w:pos="-1440"/>
          <w:tab w:val="left" w:pos="-720"/>
        </w:tabs>
        <w:rPr>
          <w:b/>
          <w:snapToGrid w:val="0"/>
          <w:szCs w:val="22"/>
        </w:rPr>
      </w:pPr>
    </w:p>
    <w:p w14:paraId="24CD52F9" w14:textId="77777777" w:rsidR="00091B58" w:rsidRPr="00C81D88" w:rsidRDefault="00091B58" w:rsidP="00091B58">
      <w:pPr>
        <w:tabs>
          <w:tab w:val="left" w:pos="-1440"/>
          <w:tab w:val="left" w:pos="-720"/>
        </w:tabs>
        <w:rPr>
          <w:b/>
          <w:snapToGrid w:val="0"/>
          <w:szCs w:val="22"/>
        </w:rPr>
      </w:pPr>
    </w:p>
    <w:p w14:paraId="73F4E455" w14:textId="77777777" w:rsidR="00091B58" w:rsidRPr="00C81D88" w:rsidRDefault="00091B58" w:rsidP="00091B58">
      <w:pPr>
        <w:tabs>
          <w:tab w:val="left" w:pos="-1440"/>
          <w:tab w:val="left" w:pos="-720"/>
        </w:tabs>
        <w:rPr>
          <w:b/>
          <w:snapToGrid w:val="0"/>
          <w:szCs w:val="22"/>
        </w:rPr>
      </w:pPr>
    </w:p>
    <w:p w14:paraId="14E894D5" w14:textId="77777777" w:rsidR="00091B58" w:rsidRPr="00C81D88" w:rsidRDefault="00091B58" w:rsidP="00091B58">
      <w:pPr>
        <w:tabs>
          <w:tab w:val="left" w:pos="-1440"/>
          <w:tab w:val="left" w:pos="-720"/>
        </w:tabs>
        <w:rPr>
          <w:b/>
          <w:snapToGrid w:val="0"/>
          <w:szCs w:val="22"/>
        </w:rPr>
      </w:pPr>
    </w:p>
    <w:p w14:paraId="39A25DE9" w14:textId="77777777" w:rsidR="00091B58" w:rsidRPr="00C81D88" w:rsidRDefault="00091B58" w:rsidP="00091B58">
      <w:pPr>
        <w:tabs>
          <w:tab w:val="left" w:pos="-1440"/>
          <w:tab w:val="left" w:pos="-720"/>
        </w:tabs>
        <w:rPr>
          <w:b/>
          <w:snapToGrid w:val="0"/>
          <w:szCs w:val="22"/>
        </w:rPr>
      </w:pPr>
    </w:p>
    <w:p w14:paraId="24F985C5" w14:textId="77777777" w:rsidR="00091B58" w:rsidRPr="00C81D88" w:rsidRDefault="00091B58" w:rsidP="00091B58">
      <w:pPr>
        <w:tabs>
          <w:tab w:val="left" w:pos="-1440"/>
          <w:tab w:val="left" w:pos="-720"/>
        </w:tabs>
        <w:rPr>
          <w:b/>
          <w:snapToGrid w:val="0"/>
          <w:szCs w:val="22"/>
        </w:rPr>
      </w:pPr>
    </w:p>
    <w:p w14:paraId="138D8D0B" w14:textId="77777777" w:rsidR="00091B58" w:rsidRPr="00C81D88" w:rsidRDefault="00091B58" w:rsidP="00091B58">
      <w:pPr>
        <w:tabs>
          <w:tab w:val="left" w:pos="-1440"/>
          <w:tab w:val="left" w:pos="-720"/>
        </w:tabs>
        <w:rPr>
          <w:b/>
          <w:snapToGrid w:val="0"/>
          <w:szCs w:val="22"/>
        </w:rPr>
      </w:pPr>
    </w:p>
    <w:p w14:paraId="3868947F" w14:textId="77777777" w:rsidR="00091B58" w:rsidRPr="00C81D88" w:rsidRDefault="00091B58" w:rsidP="00091B58">
      <w:pPr>
        <w:tabs>
          <w:tab w:val="left" w:pos="-1440"/>
          <w:tab w:val="left" w:pos="-720"/>
        </w:tabs>
        <w:rPr>
          <w:b/>
          <w:snapToGrid w:val="0"/>
          <w:szCs w:val="22"/>
        </w:rPr>
      </w:pPr>
    </w:p>
    <w:p w14:paraId="1F159A24" w14:textId="77777777" w:rsidR="00091B58" w:rsidRPr="00C81D88" w:rsidRDefault="00091B58" w:rsidP="00091B58">
      <w:pPr>
        <w:tabs>
          <w:tab w:val="left" w:pos="-1440"/>
          <w:tab w:val="left" w:pos="-720"/>
        </w:tabs>
        <w:rPr>
          <w:b/>
          <w:snapToGrid w:val="0"/>
          <w:szCs w:val="22"/>
        </w:rPr>
      </w:pPr>
    </w:p>
    <w:p w14:paraId="1AC70DEE" w14:textId="77777777" w:rsidR="00091B58" w:rsidRPr="00C81D88" w:rsidRDefault="00091B58" w:rsidP="00091B58">
      <w:pPr>
        <w:tabs>
          <w:tab w:val="left" w:pos="-1440"/>
          <w:tab w:val="left" w:pos="-720"/>
        </w:tabs>
        <w:rPr>
          <w:b/>
          <w:snapToGrid w:val="0"/>
          <w:szCs w:val="22"/>
        </w:rPr>
      </w:pPr>
    </w:p>
    <w:p w14:paraId="616E1570" w14:textId="77777777" w:rsidR="00091B58" w:rsidRPr="00C81D88" w:rsidRDefault="00091B58" w:rsidP="00091B58">
      <w:pPr>
        <w:tabs>
          <w:tab w:val="left" w:pos="-1440"/>
          <w:tab w:val="left" w:pos="-720"/>
        </w:tabs>
        <w:rPr>
          <w:b/>
          <w:snapToGrid w:val="0"/>
          <w:szCs w:val="22"/>
        </w:rPr>
      </w:pPr>
    </w:p>
    <w:p w14:paraId="57394972" w14:textId="77777777" w:rsidR="00091B58" w:rsidRPr="00C81D88" w:rsidRDefault="00091B58" w:rsidP="00091B58">
      <w:pPr>
        <w:tabs>
          <w:tab w:val="left" w:pos="-1440"/>
          <w:tab w:val="left" w:pos="-720"/>
        </w:tabs>
        <w:rPr>
          <w:b/>
          <w:snapToGrid w:val="0"/>
          <w:szCs w:val="22"/>
        </w:rPr>
      </w:pPr>
    </w:p>
    <w:p w14:paraId="4BC3797F" w14:textId="77777777" w:rsidR="00091B58" w:rsidRPr="00C81D88" w:rsidRDefault="00091B58" w:rsidP="00091B58">
      <w:pPr>
        <w:tabs>
          <w:tab w:val="left" w:pos="-1440"/>
          <w:tab w:val="left" w:pos="-720"/>
        </w:tabs>
        <w:rPr>
          <w:b/>
          <w:snapToGrid w:val="0"/>
          <w:szCs w:val="22"/>
        </w:rPr>
      </w:pPr>
    </w:p>
    <w:p w14:paraId="2518EA3C" w14:textId="77777777" w:rsidR="00091B58" w:rsidRPr="00C81D88" w:rsidRDefault="00091B58" w:rsidP="00091B58">
      <w:pPr>
        <w:tabs>
          <w:tab w:val="left" w:pos="-1440"/>
          <w:tab w:val="left" w:pos="-720"/>
        </w:tabs>
        <w:rPr>
          <w:b/>
          <w:snapToGrid w:val="0"/>
          <w:szCs w:val="22"/>
        </w:rPr>
      </w:pPr>
    </w:p>
    <w:p w14:paraId="47DEC541" w14:textId="77777777" w:rsidR="00091B58" w:rsidRPr="00C81D88" w:rsidRDefault="00091B58" w:rsidP="00091B58">
      <w:pPr>
        <w:tabs>
          <w:tab w:val="left" w:pos="-1440"/>
          <w:tab w:val="left" w:pos="-720"/>
        </w:tabs>
        <w:rPr>
          <w:b/>
          <w:snapToGrid w:val="0"/>
          <w:szCs w:val="22"/>
        </w:rPr>
      </w:pPr>
    </w:p>
    <w:p w14:paraId="48423710" w14:textId="77777777" w:rsidR="00091B58" w:rsidRPr="00C81D88" w:rsidRDefault="00091B58" w:rsidP="00091B58">
      <w:pPr>
        <w:tabs>
          <w:tab w:val="left" w:pos="-1440"/>
          <w:tab w:val="left" w:pos="-720"/>
        </w:tabs>
        <w:rPr>
          <w:b/>
          <w:snapToGrid w:val="0"/>
          <w:szCs w:val="22"/>
        </w:rPr>
      </w:pPr>
    </w:p>
    <w:p w14:paraId="2F474298" w14:textId="77777777" w:rsidR="00091B58" w:rsidRPr="00C81D88" w:rsidRDefault="00091B58" w:rsidP="00091B58">
      <w:pPr>
        <w:keepNext/>
        <w:jc w:val="center"/>
        <w:outlineLvl w:val="1"/>
        <w:rPr>
          <w:b/>
          <w:bCs/>
          <w:iCs/>
          <w:snapToGrid w:val="0"/>
          <w:szCs w:val="22"/>
        </w:rPr>
      </w:pPr>
    </w:p>
    <w:p w14:paraId="5BD29CA1" w14:textId="77777777" w:rsidR="00091B58" w:rsidRPr="00C81D88" w:rsidRDefault="00091B58" w:rsidP="00091B58">
      <w:pPr>
        <w:keepNext/>
        <w:jc w:val="center"/>
        <w:outlineLvl w:val="1"/>
        <w:rPr>
          <w:b/>
          <w:snapToGrid w:val="0"/>
          <w:sz w:val="22"/>
          <w:szCs w:val="22"/>
        </w:rPr>
      </w:pPr>
      <w:r w:rsidRPr="00C81D88">
        <w:rPr>
          <w:b/>
          <w:bCs/>
          <w:iCs/>
          <w:snapToGrid w:val="0"/>
          <w:sz w:val="22"/>
          <w:szCs w:val="22"/>
        </w:rPr>
        <w:t>I PRIEDAS</w:t>
      </w:r>
    </w:p>
    <w:p w14:paraId="39CFBD68" w14:textId="77777777" w:rsidR="00091B58" w:rsidRPr="00C81D88" w:rsidRDefault="00091B58" w:rsidP="00091B58">
      <w:pPr>
        <w:rPr>
          <w:snapToGrid w:val="0"/>
          <w:sz w:val="22"/>
          <w:szCs w:val="22"/>
        </w:rPr>
      </w:pPr>
    </w:p>
    <w:p w14:paraId="71A20E5A" w14:textId="77777777" w:rsidR="00091B58" w:rsidRPr="00C81D88" w:rsidRDefault="00091B58" w:rsidP="00091B58">
      <w:pPr>
        <w:tabs>
          <w:tab w:val="left" w:pos="-1440"/>
          <w:tab w:val="left" w:pos="-720"/>
        </w:tabs>
        <w:jc w:val="center"/>
        <w:rPr>
          <w:b/>
          <w:snapToGrid w:val="0"/>
          <w:sz w:val="22"/>
          <w:szCs w:val="22"/>
        </w:rPr>
      </w:pPr>
      <w:r w:rsidRPr="00C81D88">
        <w:rPr>
          <w:b/>
          <w:snapToGrid w:val="0"/>
          <w:sz w:val="22"/>
          <w:szCs w:val="22"/>
        </w:rPr>
        <w:t>PREPARATO CHARAKTERISTIKŲ SANTRAUKA</w:t>
      </w:r>
    </w:p>
    <w:p w14:paraId="710D8F26" w14:textId="77777777" w:rsidR="00091B58" w:rsidRPr="00C81D88" w:rsidRDefault="00091B58" w:rsidP="00091B58">
      <w:pPr>
        <w:tabs>
          <w:tab w:val="left" w:pos="-1440"/>
          <w:tab w:val="left" w:pos="-720"/>
        </w:tabs>
        <w:rPr>
          <w:snapToGrid w:val="0"/>
          <w:sz w:val="22"/>
          <w:szCs w:val="22"/>
        </w:rPr>
      </w:pPr>
      <w:r w:rsidRPr="00C81D88">
        <w:rPr>
          <w:snapToGrid w:val="0"/>
          <w:szCs w:val="22"/>
          <w:lang w:eastAsia="zh-CN"/>
        </w:rPr>
        <w:br w:type="page"/>
      </w:r>
    </w:p>
    <w:p w14:paraId="303999C5" w14:textId="77777777" w:rsidR="00091B58" w:rsidRPr="00C81D88" w:rsidRDefault="00091B58" w:rsidP="00091B58">
      <w:pPr>
        <w:autoSpaceDE w:val="0"/>
        <w:autoSpaceDN w:val="0"/>
        <w:adjustRightInd w:val="0"/>
        <w:rPr>
          <w:rFonts w:eastAsia="Calibri"/>
          <w:sz w:val="22"/>
          <w:szCs w:val="22"/>
        </w:rPr>
      </w:pPr>
      <w:r w:rsidRPr="00C81D88">
        <w:rPr>
          <w:rFonts w:eastAsia="Calibri"/>
          <w:b/>
          <w:bCs/>
          <w:sz w:val="22"/>
          <w:szCs w:val="22"/>
        </w:rPr>
        <w:lastRenderedPageBreak/>
        <w:t>1.</w:t>
      </w:r>
      <w:r w:rsidRPr="00C81D88">
        <w:rPr>
          <w:rFonts w:eastAsia="Calibri"/>
          <w:b/>
          <w:bCs/>
          <w:sz w:val="22"/>
          <w:szCs w:val="22"/>
        </w:rPr>
        <w:tab/>
        <w:t xml:space="preserve">VAISTINIO PREPARATO PAVADINIMAS </w:t>
      </w:r>
    </w:p>
    <w:p w14:paraId="2CCCE2E0" w14:textId="77777777" w:rsidR="00091B58" w:rsidRPr="00C81D88" w:rsidRDefault="00091B58" w:rsidP="00091B58">
      <w:pPr>
        <w:autoSpaceDE w:val="0"/>
        <w:autoSpaceDN w:val="0"/>
        <w:adjustRightInd w:val="0"/>
        <w:rPr>
          <w:rFonts w:eastAsia="Calibri"/>
          <w:sz w:val="22"/>
          <w:szCs w:val="22"/>
        </w:rPr>
      </w:pPr>
    </w:p>
    <w:p w14:paraId="4B2869B7"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Dasatinib Norameda 20 mg plėvele dengtos tabletės</w:t>
      </w:r>
    </w:p>
    <w:p w14:paraId="686C701D"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50 mg plėvele dengtos tabletės</w:t>
      </w:r>
    </w:p>
    <w:p w14:paraId="2315F230"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70 mg plėvele dengtos tabletės</w:t>
      </w:r>
    </w:p>
    <w:p w14:paraId="1BF8D343" w14:textId="77777777" w:rsidR="00091B58" w:rsidRPr="00C81D88" w:rsidRDefault="00091B58" w:rsidP="00091B58">
      <w:pPr>
        <w:autoSpaceDE w:val="0"/>
        <w:autoSpaceDN w:val="0"/>
        <w:adjustRightInd w:val="0"/>
        <w:rPr>
          <w:rFonts w:eastAsia="Calibri"/>
          <w:sz w:val="22"/>
          <w:szCs w:val="22"/>
        </w:rPr>
      </w:pPr>
    </w:p>
    <w:p w14:paraId="33CD712E" w14:textId="77777777" w:rsidR="00091B58" w:rsidRPr="00C81D88" w:rsidRDefault="00091B58" w:rsidP="00091B58">
      <w:pPr>
        <w:autoSpaceDE w:val="0"/>
        <w:autoSpaceDN w:val="0"/>
        <w:adjustRightInd w:val="0"/>
        <w:rPr>
          <w:rFonts w:eastAsia="Calibri"/>
          <w:b/>
          <w:bCs/>
          <w:sz w:val="22"/>
          <w:szCs w:val="22"/>
        </w:rPr>
      </w:pPr>
    </w:p>
    <w:p w14:paraId="6B7BC242" w14:textId="77777777" w:rsidR="00091B58" w:rsidRPr="00C81D88" w:rsidRDefault="00091B58" w:rsidP="00091B58">
      <w:pPr>
        <w:autoSpaceDE w:val="0"/>
        <w:autoSpaceDN w:val="0"/>
        <w:adjustRightInd w:val="0"/>
        <w:rPr>
          <w:rFonts w:eastAsia="Calibri"/>
          <w:sz w:val="22"/>
          <w:szCs w:val="22"/>
        </w:rPr>
      </w:pPr>
      <w:r w:rsidRPr="00C81D88">
        <w:rPr>
          <w:rFonts w:eastAsia="Calibri"/>
          <w:b/>
          <w:bCs/>
          <w:sz w:val="22"/>
          <w:szCs w:val="22"/>
        </w:rPr>
        <w:t>2.</w:t>
      </w:r>
      <w:r w:rsidRPr="00C81D88">
        <w:rPr>
          <w:rFonts w:eastAsia="Calibri"/>
          <w:b/>
          <w:bCs/>
          <w:sz w:val="22"/>
          <w:szCs w:val="22"/>
        </w:rPr>
        <w:tab/>
        <w:t xml:space="preserve">KOKYBINĖ IR KIEKYBINĖ SUDĖTIS </w:t>
      </w:r>
    </w:p>
    <w:p w14:paraId="05D841EF" w14:textId="77777777" w:rsidR="00091B58" w:rsidRPr="00C81D88" w:rsidRDefault="00091B58" w:rsidP="00091B58">
      <w:pPr>
        <w:autoSpaceDE w:val="0"/>
        <w:autoSpaceDN w:val="0"/>
        <w:adjustRightInd w:val="0"/>
        <w:rPr>
          <w:rFonts w:eastAsia="Calibri"/>
          <w:sz w:val="22"/>
          <w:szCs w:val="22"/>
        </w:rPr>
      </w:pPr>
    </w:p>
    <w:p w14:paraId="54662D4A" w14:textId="77777777" w:rsidR="00091B58" w:rsidRPr="00C81D88" w:rsidRDefault="00091B58" w:rsidP="00091B58">
      <w:pPr>
        <w:autoSpaceDE w:val="0"/>
        <w:autoSpaceDN w:val="0"/>
        <w:adjustRightInd w:val="0"/>
        <w:rPr>
          <w:rFonts w:eastAsia="Calibri"/>
          <w:sz w:val="22"/>
          <w:szCs w:val="22"/>
          <w:u w:val="single"/>
        </w:rPr>
      </w:pPr>
      <w:r w:rsidRPr="00C81D88">
        <w:rPr>
          <w:rFonts w:eastAsia="Calibri"/>
          <w:sz w:val="22"/>
          <w:szCs w:val="22"/>
          <w:u w:val="single"/>
        </w:rPr>
        <w:t xml:space="preserve">Dasatinib Norameda 20 mg plėvele dengtos tabletės </w:t>
      </w:r>
    </w:p>
    <w:p w14:paraId="6EE443F3"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 xml:space="preserve">Kiekvienoje plėvele dengtoje tabletėje yra 20 mg dazatinibo. </w:t>
      </w:r>
    </w:p>
    <w:p w14:paraId="460FB9D6" w14:textId="77777777" w:rsidR="00091B58" w:rsidRPr="00C81D88" w:rsidRDefault="00091B58" w:rsidP="00091B58">
      <w:pPr>
        <w:autoSpaceDE w:val="0"/>
        <w:autoSpaceDN w:val="0"/>
        <w:adjustRightInd w:val="0"/>
        <w:rPr>
          <w:rFonts w:eastAsia="Calibri"/>
          <w:sz w:val="22"/>
          <w:szCs w:val="22"/>
        </w:rPr>
      </w:pPr>
    </w:p>
    <w:p w14:paraId="64592A9F" w14:textId="77777777" w:rsidR="00091B58" w:rsidRPr="00C81D88" w:rsidRDefault="00091B58" w:rsidP="00091B58">
      <w:pPr>
        <w:autoSpaceDE w:val="0"/>
        <w:autoSpaceDN w:val="0"/>
        <w:adjustRightInd w:val="0"/>
        <w:rPr>
          <w:rFonts w:eastAsia="Calibri"/>
          <w:sz w:val="22"/>
          <w:szCs w:val="22"/>
          <w:u w:val="single"/>
        </w:rPr>
      </w:pPr>
      <w:r w:rsidRPr="00C81D88">
        <w:rPr>
          <w:rFonts w:eastAsia="Calibri"/>
          <w:sz w:val="22"/>
          <w:szCs w:val="22"/>
          <w:u w:val="single"/>
        </w:rPr>
        <w:t>Pagalbinė medžiaga, kurios poveikis žinomas</w:t>
      </w:r>
    </w:p>
    <w:p w14:paraId="4BC4F478" w14:textId="1BE62272"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Kiekvienoje plėvele dengtoje tabletėje yra 28 mg laktozės monohidrato.</w:t>
      </w:r>
    </w:p>
    <w:p w14:paraId="5DE39036" w14:textId="77777777" w:rsidR="00091B58" w:rsidRPr="00C81D88" w:rsidRDefault="00091B58" w:rsidP="00091B58">
      <w:pPr>
        <w:autoSpaceDE w:val="0"/>
        <w:autoSpaceDN w:val="0"/>
        <w:adjustRightInd w:val="0"/>
        <w:rPr>
          <w:rFonts w:eastAsia="Calibri"/>
          <w:sz w:val="22"/>
          <w:szCs w:val="22"/>
        </w:rPr>
      </w:pPr>
    </w:p>
    <w:p w14:paraId="7E2041AD" w14:textId="77777777" w:rsidR="00091B58" w:rsidRPr="00C81D88" w:rsidRDefault="00091B58" w:rsidP="00091B58">
      <w:pPr>
        <w:autoSpaceDE w:val="0"/>
        <w:autoSpaceDN w:val="0"/>
        <w:adjustRightInd w:val="0"/>
        <w:rPr>
          <w:rFonts w:eastAsia="Calibri"/>
          <w:sz w:val="22"/>
          <w:szCs w:val="22"/>
          <w:highlight w:val="lightGray"/>
          <w:u w:val="single"/>
        </w:rPr>
      </w:pPr>
      <w:r w:rsidRPr="00C81D88">
        <w:rPr>
          <w:rFonts w:eastAsia="Calibri"/>
          <w:sz w:val="22"/>
          <w:szCs w:val="22"/>
          <w:highlight w:val="lightGray"/>
          <w:u w:val="single"/>
        </w:rPr>
        <w:t xml:space="preserve">Dasatinib Norameda 50 mg plėvele dengtos tabletės </w:t>
      </w:r>
    </w:p>
    <w:p w14:paraId="368496CA"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 xml:space="preserve">Kiekvienoje plėvele dengtoje tabletėje yra 50 mg dazatinibo. </w:t>
      </w:r>
    </w:p>
    <w:p w14:paraId="1799907D" w14:textId="77777777" w:rsidR="00091B58" w:rsidRPr="00C81D88" w:rsidRDefault="00091B58" w:rsidP="00091B58">
      <w:pPr>
        <w:autoSpaceDE w:val="0"/>
        <w:autoSpaceDN w:val="0"/>
        <w:adjustRightInd w:val="0"/>
        <w:rPr>
          <w:rFonts w:eastAsia="Calibri"/>
          <w:sz w:val="22"/>
          <w:szCs w:val="22"/>
          <w:highlight w:val="lightGray"/>
        </w:rPr>
      </w:pPr>
    </w:p>
    <w:p w14:paraId="7948BB5C" w14:textId="77777777" w:rsidR="00091B58" w:rsidRPr="00C81D88" w:rsidRDefault="00091B58" w:rsidP="00091B58">
      <w:pPr>
        <w:autoSpaceDE w:val="0"/>
        <w:autoSpaceDN w:val="0"/>
        <w:adjustRightInd w:val="0"/>
        <w:rPr>
          <w:rFonts w:eastAsia="Calibri"/>
          <w:sz w:val="22"/>
          <w:szCs w:val="22"/>
          <w:highlight w:val="lightGray"/>
          <w:u w:val="single"/>
        </w:rPr>
      </w:pPr>
      <w:r w:rsidRPr="00C81D88">
        <w:rPr>
          <w:rFonts w:eastAsia="Calibri"/>
          <w:sz w:val="22"/>
          <w:szCs w:val="22"/>
          <w:highlight w:val="lightGray"/>
          <w:u w:val="single"/>
        </w:rPr>
        <w:t>Pagalbinė medžiaga, kurios poveikis žinomas</w:t>
      </w:r>
    </w:p>
    <w:p w14:paraId="7648C236" w14:textId="10C5909C" w:rsidR="00091B58" w:rsidRPr="00C81D88" w:rsidRDefault="00091B58" w:rsidP="00091B58">
      <w:pPr>
        <w:autoSpaceDE w:val="0"/>
        <w:autoSpaceDN w:val="0"/>
        <w:adjustRightInd w:val="0"/>
        <w:rPr>
          <w:rFonts w:eastAsia="Calibri"/>
          <w:sz w:val="22"/>
          <w:szCs w:val="22"/>
        </w:rPr>
      </w:pPr>
      <w:r w:rsidRPr="00C81D88">
        <w:rPr>
          <w:rFonts w:eastAsia="Calibri"/>
          <w:sz w:val="22"/>
          <w:szCs w:val="22"/>
          <w:highlight w:val="lightGray"/>
        </w:rPr>
        <w:t>Kiekvienoje plėvele dengtoje tabletėje yra 69 mg laktozės monohidrato.</w:t>
      </w:r>
    </w:p>
    <w:p w14:paraId="604F9351" w14:textId="77777777" w:rsidR="00091B58" w:rsidRPr="00C81D88" w:rsidRDefault="00091B58" w:rsidP="00091B58">
      <w:pPr>
        <w:autoSpaceDE w:val="0"/>
        <w:autoSpaceDN w:val="0"/>
        <w:adjustRightInd w:val="0"/>
        <w:rPr>
          <w:rFonts w:eastAsia="Calibri"/>
          <w:sz w:val="22"/>
          <w:szCs w:val="22"/>
          <w:highlight w:val="lightGray"/>
        </w:rPr>
      </w:pPr>
    </w:p>
    <w:p w14:paraId="67D37472" w14:textId="77777777" w:rsidR="00091B58" w:rsidRPr="00C81D88" w:rsidRDefault="00091B58" w:rsidP="00091B58">
      <w:pPr>
        <w:autoSpaceDE w:val="0"/>
        <w:autoSpaceDN w:val="0"/>
        <w:adjustRightInd w:val="0"/>
        <w:rPr>
          <w:rFonts w:eastAsia="Calibri"/>
          <w:sz w:val="22"/>
          <w:szCs w:val="22"/>
          <w:highlight w:val="lightGray"/>
          <w:u w:val="single"/>
        </w:rPr>
      </w:pPr>
      <w:r w:rsidRPr="00C81D88">
        <w:rPr>
          <w:rFonts w:eastAsia="Calibri"/>
          <w:sz w:val="22"/>
          <w:szCs w:val="22"/>
          <w:highlight w:val="lightGray"/>
          <w:u w:val="single"/>
        </w:rPr>
        <w:t xml:space="preserve">Dasatinib Norameda 70 mg plėvele dengtos tabletės </w:t>
      </w:r>
    </w:p>
    <w:p w14:paraId="36273A71"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 xml:space="preserve">Kiekvienoje plėvele dengtoje tabletėje yra 70 mg dazatinibo. </w:t>
      </w:r>
    </w:p>
    <w:p w14:paraId="19F9D2A6" w14:textId="77777777" w:rsidR="00091B58" w:rsidRPr="00C81D88" w:rsidRDefault="00091B58" w:rsidP="00091B58">
      <w:pPr>
        <w:autoSpaceDE w:val="0"/>
        <w:autoSpaceDN w:val="0"/>
        <w:adjustRightInd w:val="0"/>
        <w:rPr>
          <w:rFonts w:eastAsia="Calibri"/>
          <w:sz w:val="22"/>
          <w:szCs w:val="22"/>
          <w:highlight w:val="lightGray"/>
        </w:rPr>
      </w:pPr>
    </w:p>
    <w:p w14:paraId="2012FCBA" w14:textId="77777777" w:rsidR="00091B58" w:rsidRPr="00C81D88" w:rsidRDefault="00091B58" w:rsidP="00091B58">
      <w:pPr>
        <w:autoSpaceDE w:val="0"/>
        <w:autoSpaceDN w:val="0"/>
        <w:adjustRightInd w:val="0"/>
        <w:rPr>
          <w:rFonts w:eastAsia="Calibri"/>
          <w:sz w:val="22"/>
          <w:szCs w:val="22"/>
          <w:highlight w:val="lightGray"/>
          <w:u w:val="single"/>
        </w:rPr>
      </w:pPr>
      <w:r w:rsidRPr="00C81D88">
        <w:rPr>
          <w:rFonts w:eastAsia="Calibri"/>
          <w:sz w:val="22"/>
          <w:szCs w:val="22"/>
          <w:highlight w:val="lightGray"/>
          <w:u w:val="single"/>
        </w:rPr>
        <w:t>Pagalbinė medžiaga, kurios poveikis žinomas</w:t>
      </w:r>
    </w:p>
    <w:p w14:paraId="13763DEB" w14:textId="351505F5"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Kiekvienoje plėvele dengtoje tabletėje yra 97 mg laktozės monohidrato.</w:t>
      </w:r>
    </w:p>
    <w:p w14:paraId="3A322BC0" w14:textId="77777777" w:rsidR="00091B58" w:rsidRPr="00C81D88" w:rsidRDefault="00091B58" w:rsidP="00091B58">
      <w:pPr>
        <w:autoSpaceDE w:val="0"/>
        <w:autoSpaceDN w:val="0"/>
        <w:adjustRightInd w:val="0"/>
        <w:rPr>
          <w:rFonts w:eastAsia="Calibri"/>
          <w:sz w:val="22"/>
          <w:szCs w:val="22"/>
          <w:highlight w:val="lightGray"/>
        </w:rPr>
      </w:pPr>
    </w:p>
    <w:p w14:paraId="31C53440"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Visos pagalbinės medžiagos išvardytos 6.1 skyriuje.</w:t>
      </w:r>
    </w:p>
    <w:p w14:paraId="75724A5F" w14:textId="77777777" w:rsidR="00091B58" w:rsidRPr="00C81D88" w:rsidRDefault="00091B58" w:rsidP="00091B58">
      <w:pPr>
        <w:autoSpaceDE w:val="0"/>
        <w:autoSpaceDN w:val="0"/>
        <w:adjustRightInd w:val="0"/>
        <w:rPr>
          <w:rFonts w:eastAsia="Calibri"/>
          <w:b/>
          <w:bCs/>
          <w:sz w:val="22"/>
          <w:szCs w:val="22"/>
        </w:rPr>
      </w:pPr>
    </w:p>
    <w:p w14:paraId="3C9C1785" w14:textId="77777777" w:rsidR="00091B58" w:rsidRPr="00C81D88" w:rsidRDefault="00091B58" w:rsidP="00091B58">
      <w:pPr>
        <w:autoSpaceDE w:val="0"/>
        <w:autoSpaceDN w:val="0"/>
        <w:adjustRightInd w:val="0"/>
        <w:rPr>
          <w:rFonts w:eastAsia="Calibri"/>
          <w:b/>
          <w:bCs/>
          <w:sz w:val="22"/>
          <w:szCs w:val="22"/>
        </w:rPr>
      </w:pPr>
    </w:p>
    <w:p w14:paraId="4B3F30A4" w14:textId="77777777" w:rsidR="00091B58" w:rsidRPr="00C81D88" w:rsidRDefault="00091B58" w:rsidP="00091B58">
      <w:pPr>
        <w:autoSpaceDE w:val="0"/>
        <w:autoSpaceDN w:val="0"/>
        <w:adjustRightInd w:val="0"/>
        <w:rPr>
          <w:rFonts w:eastAsia="Calibri"/>
          <w:sz w:val="22"/>
          <w:szCs w:val="22"/>
        </w:rPr>
      </w:pPr>
      <w:r w:rsidRPr="00C81D88">
        <w:rPr>
          <w:rFonts w:eastAsia="Calibri"/>
          <w:b/>
          <w:bCs/>
          <w:sz w:val="22"/>
          <w:szCs w:val="22"/>
        </w:rPr>
        <w:t>3.</w:t>
      </w:r>
      <w:r w:rsidRPr="00C81D88">
        <w:rPr>
          <w:rFonts w:eastAsia="Calibri"/>
          <w:b/>
          <w:bCs/>
          <w:sz w:val="22"/>
          <w:szCs w:val="22"/>
        </w:rPr>
        <w:tab/>
        <w:t xml:space="preserve">FARMACINĖ FORMA </w:t>
      </w:r>
    </w:p>
    <w:p w14:paraId="5239EFEC" w14:textId="77777777" w:rsidR="00091B58" w:rsidRPr="00C81D88" w:rsidRDefault="00091B58" w:rsidP="00091B58">
      <w:pPr>
        <w:autoSpaceDE w:val="0"/>
        <w:autoSpaceDN w:val="0"/>
        <w:adjustRightInd w:val="0"/>
        <w:rPr>
          <w:rFonts w:eastAsia="Calibri"/>
          <w:sz w:val="22"/>
          <w:szCs w:val="22"/>
        </w:rPr>
      </w:pPr>
    </w:p>
    <w:p w14:paraId="13B6239A"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Plėvele dengta tabletė (tabletė).</w:t>
      </w:r>
    </w:p>
    <w:p w14:paraId="4D808FE1" w14:textId="77777777" w:rsidR="00091B58" w:rsidRPr="00C81D88" w:rsidRDefault="00091B58" w:rsidP="00091B58">
      <w:pPr>
        <w:autoSpaceDE w:val="0"/>
        <w:autoSpaceDN w:val="0"/>
        <w:adjustRightInd w:val="0"/>
        <w:rPr>
          <w:rFonts w:eastAsia="Calibri"/>
          <w:sz w:val="22"/>
          <w:szCs w:val="22"/>
        </w:rPr>
      </w:pPr>
    </w:p>
    <w:p w14:paraId="581C88C6" w14:textId="77777777" w:rsidR="00091B58" w:rsidRPr="00C81D88" w:rsidRDefault="00091B58" w:rsidP="00091B58">
      <w:pPr>
        <w:autoSpaceDE w:val="0"/>
        <w:autoSpaceDN w:val="0"/>
        <w:adjustRightInd w:val="0"/>
        <w:rPr>
          <w:rFonts w:eastAsia="Calibri"/>
          <w:sz w:val="22"/>
          <w:szCs w:val="22"/>
          <w:u w:val="single"/>
        </w:rPr>
      </w:pPr>
      <w:r w:rsidRPr="00C81D88">
        <w:rPr>
          <w:rFonts w:eastAsia="Calibri"/>
          <w:sz w:val="22"/>
          <w:szCs w:val="22"/>
          <w:u w:val="single"/>
        </w:rPr>
        <w:t>Dasatinib Norameda 20 mg plėvele dengtos tabletės</w:t>
      </w:r>
    </w:p>
    <w:p w14:paraId="59B7EC32"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Balta arba balkšva, abipus išgaubta, apvali, apytiksliai 5,6 mm skersmens plėvele dengta tabletė, kurios vienoje pusėje įspausta „D7SB“, o kitoje pusėje –„20“.</w:t>
      </w:r>
    </w:p>
    <w:p w14:paraId="7FED12F3" w14:textId="77777777" w:rsidR="00091B58" w:rsidRPr="00C81D88" w:rsidRDefault="00091B58" w:rsidP="00091B58">
      <w:pPr>
        <w:autoSpaceDE w:val="0"/>
        <w:autoSpaceDN w:val="0"/>
        <w:adjustRightInd w:val="0"/>
        <w:rPr>
          <w:rFonts w:eastAsia="Calibri"/>
          <w:sz w:val="22"/>
          <w:szCs w:val="22"/>
        </w:rPr>
      </w:pPr>
    </w:p>
    <w:p w14:paraId="44FCFDD9" w14:textId="77777777" w:rsidR="00091B58" w:rsidRPr="00C81D88" w:rsidRDefault="00091B58" w:rsidP="00091B58">
      <w:pPr>
        <w:autoSpaceDE w:val="0"/>
        <w:autoSpaceDN w:val="0"/>
        <w:adjustRightInd w:val="0"/>
        <w:rPr>
          <w:rFonts w:eastAsia="Calibri"/>
          <w:sz w:val="22"/>
          <w:szCs w:val="22"/>
          <w:highlight w:val="lightGray"/>
          <w:u w:val="single"/>
        </w:rPr>
      </w:pPr>
      <w:r w:rsidRPr="00C81D88">
        <w:rPr>
          <w:rFonts w:eastAsia="Calibri"/>
          <w:sz w:val="22"/>
          <w:szCs w:val="22"/>
          <w:highlight w:val="lightGray"/>
          <w:u w:val="single"/>
        </w:rPr>
        <w:t>Dasatinib Norameda 50 mg plėvele dengtos tabletės</w:t>
      </w:r>
    </w:p>
    <w:p w14:paraId="38A33431"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Balta arba balkšva, abipus išgaubta, ovali, apytiksliai 11,0 mm ilgio ir 6,0 mm pločio plėvele dengta tabletė, kurios vienoje pusėje įspausta „D7SB“, o kitoje pusėje –„50“.</w:t>
      </w:r>
    </w:p>
    <w:p w14:paraId="681604C7" w14:textId="77777777" w:rsidR="00091B58" w:rsidRPr="00C81D88" w:rsidRDefault="00091B58" w:rsidP="00091B58">
      <w:pPr>
        <w:autoSpaceDE w:val="0"/>
        <w:autoSpaceDN w:val="0"/>
        <w:adjustRightInd w:val="0"/>
        <w:rPr>
          <w:rFonts w:eastAsia="Calibri"/>
          <w:sz w:val="22"/>
          <w:szCs w:val="22"/>
          <w:highlight w:val="lightGray"/>
        </w:rPr>
      </w:pPr>
    </w:p>
    <w:p w14:paraId="2FC24359" w14:textId="77777777" w:rsidR="00091B58" w:rsidRPr="00C81D88" w:rsidRDefault="00091B58" w:rsidP="00091B58">
      <w:pPr>
        <w:autoSpaceDE w:val="0"/>
        <w:autoSpaceDN w:val="0"/>
        <w:adjustRightInd w:val="0"/>
        <w:rPr>
          <w:rFonts w:eastAsia="Calibri"/>
          <w:sz w:val="22"/>
          <w:szCs w:val="22"/>
          <w:highlight w:val="lightGray"/>
          <w:u w:val="single"/>
        </w:rPr>
      </w:pPr>
      <w:r w:rsidRPr="00C81D88">
        <w:rPr>
          <w:rFonts w:eastAsia="Calibri"/>
          <w:sz w:val="22"/>
          <w:szCs w:val="22"/>
          <w:highlight w:val="lightGray"/>
          <w:u w:val="single"/>
        </w:rPr>
        <w:t>Dasatinib Norameda 70 mg plėvele dengtos tabletės</w:t>
      </w:r>
    </w:p>
    <w:p w14:paraId="4A9E8D3D"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Balta arba balkšva, abipus išgaubta, apvali, apytiksliai 9,1 mm skersmens plėvele dengta tabletė, kurios vienoje pusėje įspausta „D7SB“, o kitoje pusėje –„70“.</w:t>
      </w:r>
    </w:p>
    <w:p w14:paraId="3F9D4A2E" w14:textId="77777777" w:rsidR="00091B58" w:rsidRPr="00C81D88" w:rsidRDefault="00091B58" w:rsidP="00091B58">
      <w:pPr>
        <w:autoSpaceDE w:val="0"/>
        <w:autoSpaceDN w:val="0"/>
        <w:adjustRightInd w:val="0"/>
        <w:rPr>
          <w:rFonts w:eastAsia="Calibri"/>
          <w:sz w:val="22"/>
          <w:szCs w:val="22"/>
        </w:rPr>
      </w:pPr>
    </w:p>
    <w:p w14:paraId="1033AB91" w14:textId="77777777" w:rsidR="00091B58" w:rsidRPr="00C81D88" w:rsidRDefault="00091B58" w:rsidP="00091B58">
      <w:pPr>
        <w:autoSpaceDE w:val="0"/>
        <w:autoSpaceDN w:val="0"/>
        <w:adjustRightInd w:val="0"/>
        <w:rPr>
          <w:rFonts w:eastAsia="Calibri"/>
          <w:b/>
          <w:bCs/>
          <w:sz w:val="22"/>
          <w:szCs w:val="22"/>
        </w:rPr>
      </w:pPr>
    </w:p>
    <w:p w14:paraId="29499FE3" w14:textId="77777777" w:rsidR="00091B58" w:rsidRPr="00C81D88" w:rsidRDefault="00091B58" w:rsidP="00091B58">
      <w:pPr>
        <w:autoSpaceDE w:val="0"/>
        <w:autoSpaceDN w:val="0"/>
        <w:adjustRightInd w:val="0"/>
        <w:rPr>
          <w:rFonts w:eastAsia="Calibri"/>
          <w:sz w:val="22"/>
          <w:szCs w:val="22"/>
        </w:rPr>
      </w:pPr>
      <w:r w:rsidRPr="00C81D88">
        <w:rPr>
          <w:rFonts w:eastAsia="Calibri"/>
          <w:b/>
          <w:bCs/>
          <w:sz w:val="22"/>
          <w:szCs w:val="22"/>
        </w:rPr>
        <w:t>4.</w:t>
      </w:r>
      <w:r w:rsidRPr="00C81D88">
        <w:rPr>
          <w:rFonts w:eastAsia="Calibri"/>
          <w:b/>
          <w:bCs/>
          <w:sz w:val="22"/>
          <w:szCs w:val="22"/>
        </w:rPr>
        <w:tab/>
        <w:t xml:space="preserve">KLINIKINĖ INFORMACIJA </w:t>
      </w:r>
    </w:p>
    <w:p w14:paraId="08878283" w14:textId="77777777" w:rsidR="00091B58" w:rsidRPr="00C81D88" w:rsidRDefault="00091B58" w:rsidP="00091B58">
      <w:pPr>
        <w:autoSpaceDE w:val="0"/>
        <w:autoSpaceDN w:val="0"/>
        <w:adjustRightInd w:val="0"/>
        <w:rPr>
          <w:rFonts w:eastAsia="Calibri"/>
          <w:b/>
          <w:bCs/>
          <w:sz w:val="22"/>
          <w:szCs w:val="22"/>
        </w:rPr>
      </w:pPr>
    </w:p>
    <w:p w14:paraId="51A69429" w14:textId="77777777" w:rsidR="00091B58" w:rsidRPr="00C81D88" w:rsidRDefault="00091B58" w:rsidP="00091B58">
      <w:pPr>
        <w:autoSpaceDE w:val="0"/>
        <w:autoSpaceDN w:val="0"/>
        <w:adjustRightInd w:val="0"/>
        <w:rPr>
          <w:rFonts w:eastAsia="Calibri"/>
          <w:sz w:val="22"/>
          <w:szCs w:val="22"/>
        </w:rPr>
      </w:pPr>
      <w:r w:rsidRPr="00C81D88">
        <w:rPr>
          <w:rFonts w:eastAsia="Calibri"/>
          <w:b/>
          <w:bCs/>
          <w:sz w:val="22"/>
          <w:szCs w:val="22"/>
        </w:rPr>
        <w:t>4.1</w:t>
      </w:r>
      <w:r w:rsidRPr="00C81D88">
        <w:rPr>
          <w:rFonts w:eastAsia="Calibri"/>
          <w:b/>
          <w:bCs/>
          <w:sz w:val="22"/>
          <w:szCs w:val="22"/>
        </w:rPr>
        <w:tab/>
        <w:t xml:space="preserve">Terapinės indikacijos </w:t>
      </w:r>
    </w:p>
    <w:p w14:paraId="7E8EC80D" w14:textId="77777777" w:rsidR="00091B58" w:rsidRPr="00C81D88" w:rsidRDefault="00091B58" w:rsidP="00091B58">
      <w:pPr>
        <w:autoSpaceDE w:val="0"/>
        <w:autoSpaceDN w:val="0"/>
        <w:adjustRightInd w:val="0"/>
        <w:rPr>
          <w:rFonts w:eastAsia="Calibri"/>
          <w:sz w:val="22"/>
          <w:szCs w:val="22"/>
        </w:rPr>
      </w:pPr>
    </w:p>
    <w:p w14:paraId="469D8EC9"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Dasatinib Norameda skirtas gydyti suaugusius pacientus, kuriems yra:</w:t>
      </w:r>
    </w:p>
    <w:p w14:paraId="257B9CCC" w14:textId="77777777" w:rsidR="00091B58" w:rsidRPr="00C81D88" w:rsidRDefault="00091B58" w:rsidP="00091B58">
      <w:pPr>
        <w:numPr>
          <w:ilvl w:val="0"/>
          <w:numId w:val="17"/>
        </w:numPr>
        <w:autoSpaceDE w:val="0"/>
        <w:autoSpaceDN w:val="0"/>
        <w:adjustRightInd w:val="0"/>
        <w:ind w:left="567" w:hanging="425"/>
        <w:rPr>
          <w:rFonts w:eastAsia="Calibri"/>
          <w:sz w:val="22"/>
          <w:szCs w:val="22"/>
        </w:rPr>
      </w:pPr>
      <w:r w:rsidRPr="00C81D88">
        <w:rPr>
          <w:rFonts w:eastAsia="Calibri"/>
          <w:sz w:val="22"/>
          <w:szCs w:val="22"/>
        </w:rPr>
        <w:t>Filadelfijos (</w:t>
      </w:r>
      <w:r w:rsidRPr="00C81D88">
        <w:rPr>
          <w:rFonts w:eastAsia="Calibri"/>
          <w:i/>
          <w:sz w:val="22"/>
          <w:szCs w:val="22"/>
        </w:rPr>
        <w:t>Philadelphia</w:t>
      </w:r>
      <w:r w:rsidRPr="00C81D88">
        <w:rPr>
          <w:rFonts w:eastAsia="Calibri"/>
          <w:sz w:val="22"/>
          <w:szCs w:val="22"/>
        </w:rPr>
        <w:t>) chromosomai teigiama (Ph+) ūminė limfoblastinė leukemija (ŪLL),</w:t>
      </w:r>
      <w:r w:rsidRPr="00053893">
        <w:rPr>
          <w:sz w:val="22"/>
        </w:rPr>
        <w:t xml:space="preserve"> </w:t>
      </w:r>
      <w:r w:rsidRPr="00053893">
        <w:rPr>
          <w:rFonts w:eastAsia="Calibri"/>
          <w:sz w:val="22"/>
        </w:rPr>
        <w:t>jei liga buvo atspari ankstesniam gydymui arba pacientas jo netoleravo</w:t>
      </w:r>
      <w:r w:rsidRPr="00C81D88">
        <w:rPr>
          <w:rFonts w:eastAsia="Calibri"/>
          <w:sz w:val="22"/>
          <w:szCs w:val="22"/>
        </w:rPr>
        <w:t>.</w:t>
      </w:r>
    </w:p>
    <w:p w14:paraId="123B078B" w14:textId="77777777" w:rsidR="00091B58" w:rsidRPr="00C81D88" w:rsidRDefault="00091B58" w:rsidP="00091B58">
      <w:pPr>
        <w:rPr>
          <w:snapToGrid w:val="0"/>
          <w:sz w:val="22"/>
          <w:szCs w:val="22"/>
        </w:rPr>
      </w:pPr>
    </w:p>
    <w:p w14:paraId="7D9D1345" w14:textId="77777777" w:rsidR="00091B58" w:rsidRPr="00C81D88" w:rsidRDefault="00091B58" w:rsidP="00091B58">
      <w:pPr>
        <w:rPr>
          <w:snapToGrid w:val="0"/>
          <w:sz w:val="22"/>
          <w:szCs w:val="22"/>
        </w:rPr>
      </w:pPr>
      <w:r w:rsidRPr="00C81D88">
        <w:rPr>
          <w:snapToGrid w:val="0"/>
          <w:sz w:val="22"/>
          <w:szCs w:val="22"/>
        </w:rPr>
        <w:t xml:space="preserve">Dasatinib Norameda skirtas gydyti vaikus, kuriems yra: </w:t>
      </w:r>
    </w:p>
    <w:p w14:paraId="0DF92B9D" w14:textId="77777777" w:rsidR="00091B58" w:rsidRPr="00053893" w:rsidRDefault="00091B58" w:rsidP="00091B58">
      <w:pPr>
        <w:pStyle w:val="ListParagraph"/>
        <w:numPr>
          <w:ilvl w:val="0"/>
          <w:numId w:val="18"/>
        </w:numPr>
        <w:tabs>
          <w:tab w:val="left" w:pos="567"/>
        </w:tabs>
        <w:spacing w:line="260" w:lineRule="exact"/>
        <w:ind w:left="567" w:hanging="567"/>
        <w:contextualSpacing/>
        <w:rPr>
          <w:rFonts w:eastAsia="Calibri"/>
          <w:sz w:val="22"/>
          <w:lang w:val="lt-LT"/>
        </w:rPr>
      </w:pPr>
      <w:r w:rsidRPr="00053893">
        <w:rPr>
          <w:rFonts w:eastAsia="Calibri"/>
          <w:sz w:val="22"/>
          <w:lang w:val="lt-LT"/>
        </w:rPr>
        <w:t>naujai diagnozuota Ph+ ŪLL (kartu skiriant chemoterapiją).</w:t>
      </w:r>
    </w:p>
    <w:p w14:paraId="2B0AEF18" w14:textId="77777777" w:rsidR="00091B58" w:rsidRPr="00C81D88" w:rsidRDefault="00091B58" w:rsidP="00091B58">
      <w:pPr>
        <w:rPr>
          <w:snapToGrid w:val="0"/>
          <w:sz w:val="22"/>
          <w:szCs w:val="22"/>
        </w:rPr>
      </w:pPr>
    </w:p>
    <w:p w14:paraId="5D832304" w14:textId="77777777" w:rsidR="00091B58" w:rsidRPr="00C81D88" w:rsidRDefault="00091B58" w:rsidP="00091B58">
      <w:pPr>
        <w:rPr>
          <w:b/>
          <w:snapToGrid w:val="0"/>
          <w:sz w:val="22"/>
          <w:szCs w:val="22"/>
        </w:rPr>
      </w:pPr>
      <w:r w:rsidRPr="00C81D88">
        <w:rPr>
          <w:b/>
          <w:snapToGrid w:val="0"/>
          <w:sz w:val="22"/>
          <w:szCs w:val="22"/>
        </w:rPr>
        <w:t>4.2</w:t>
      </w:r>
      <w:r w:rsidRPr="00C81D88">
        <w:rPr>
          <w:b/>
          <w:snapToGrid w:val="0"/>
          <w:sz w:val="22"/>
          <w:szCs w:val="22"/>
        </w:rPr>
        <w:tab/>
        <w:t>Dozavimas ir vartojimo metodas</w:t>
      </w:r>
    </w:p>
    <w:p w14:paraId="0AE32C3E" w14:textId="77777777" w:rsidR="00091B58" w:rsidRPr="00C81D88" w:rsidRDefault="00091B58" w:rsidP="00091B58">
      <w:pPr>
        <w:rPr>
          <w:snapToGrid w:val="0"/>
          <w:sz w:val="22"/>
          <w:szCs w:val="22"/>
        </w:rPr>
      </w:pPr>
    </w:p>
    <w:p w14:paraId="48250D8E"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Gydymą turi pradėti gydytojas, turintis leukemijos diagnostikos ir gydymo patirties.</w:t>
      </w:r>
    </w:p>
    <w:p w14:paraId="5085E1EB" w14:textId="77777777" w:rsidR="00091B58" w:rsidRPr="00C81D88" w:rsidRDefault="00091B58" w:rsidP="00091B58">
      <w:pPr>
        <w:autoSpaceDE w:val="0"/>
        <w:autoSpaceDN w:val="0"/>
        <w:adjustRightInd w:val="0"/>
        <w:rPr>
          <w:rFonts w:eastAsia="Calibri"/>
          <w:sz w:val="22"/>
          <w:szCs w:val="22"/>
        </w:rPr>
      </w:pPr>
    </w:p>
    <w:p w14:paraId="3B38CC56" w14:textId="77777777" w:rsidR="00091B58" w:rsidRPr="00C81D88" w:rsidRDefault="00091B58" w:rsidP="00091B58">
      <w:pPr>
        <w:autoSpaceDE w:val="0"/>
        <w:autoSpaceDN w:val="0"/>
        <w:adjustRightInd w:val="0"/>
        <w:rPr>
          <w:rFonts w:eastAsia="Calibri"/>
          <w:sz w:val="22"/>
          <w:szCs w:val="22"/>
          <w:u w:val="single"/>
        </w:rPr>
      </w:pPr>
      <w:r w:rsidRPr="00C81D88">
        <w:rPr>
          <w:rFonts w:eastAsia="Calibri"/>
          <w:sz w:val="22"/>
          <w:szCs w:val="22"/>
          <w:u w:val="single"/>
        </w:rPr>
        <w:t>Dozavimas</w:t>
      </w:r>
    </w:p>
    <w:p w14:paraId="0D03E287" w14:textId="77777777" w:rsidR="00091B58" w:rsidRPr="00C81D88" w:rsidRDefault="00091B58" w:rsidP="00091B58">
      <w:pPr>
        <w:autoSpaceDE w:val="0"/>
        <w:autoSpaceDN w:val="0"/>
        <w:adjustRightInd w:val="0"/>
        <w:rPr>
          <w:rFonts w:eastAsia="Calibri"/>
          <w:i/>
          <w:iCs/>
          <w:sz w:val="22"/>
          <w:szCs w:val="22"/>
          <w:u w:val="single"/>
        </w:rPr>
      </w:pPr>
      <w:r w:rsidRPr="00C81D88">
        <w:rPr>
          <w:rFonts w:eastAsia="Calibri"/>
          <w:i/>
          <w:iCs/>
          <w:sz w:val="22"/>
          <w:szCs w:val="22"/>
          <w:u w:val="single"/>
        </w:rPr>
        <w:t>Suaugusiesiems</w:t>
      </w:r>
    </w:p>
    <w:p w14:paraId="6915FC01" w14:textId="77777777" w:rsidR="00091B58" w:rsidRPr="00C81D88" w:rsidRDefault="00091B58" w:rsidP="00091B58">
      <w:pPr>
        <w:autoSpaceDE w:val="0"/>
        <w:autoSpaceDN w:val="0"/>
        <w:adjustRightInd w:val="0"/>
        <w:rPr>
          <w:rFonts w:eastAsia="Calibri"/>
          <w:sz w:val="22"/>
          <w:szCs w:val="22"/>
        </w:rPr>
      </w:pPr>
    </w:p>
    <w:p w14:paraId="0B719D97"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Rekomenduojama pradinė dozė Ph+ ŪLL gydyti yra 140 mg kartą per parą (žr. 4.4 skyrių).</w:t>
      </w:r>
    </w:p>
    <w:p w14:paraId="20B75A90" w14:textId="77777777" w:rsidR="00091B58" w:rsidRPr="00C81D88" w:rsidRDefault="00091B58" w:rsidP="00091B58">
      <w:pPr>
        <w:autoSpaceDE w:val="0"/>
        <w:autoSpaceDN w:val="0"/>
        <w:adjustRightInd w:val="0"/>
        <w:rPr>
          <w:rFonts w:eastAsia="Calibri"/>
          <w:i/>
          <w:iCs/>
          <w:sz w:val="22"/>
          <w:szCs w:val="22"/>
        </w:rPr>
      </w:pPr>
    </w:p>
    <w:p w14:paraId="3519FC56" w14:textId="77777777" w:rsidR="00091B58" w:rsidRPr="00C81D88" w:rsidRDefault="00091B58" w:rsidP="00091B58">
      <w:pPr>
        <w:autoSpaceDE w:val="0"/>
        <w:autoSpaceDN w:val="0"/>
        <w:adjustRightInd w:val="0"/>
        <w:rPr>
          <w:rFonts w:eastAsia="Calibri"/>
          <w:iCs/>
          <w:sz w:val="22"/>
          <w:szCs w:val="22"/>
        </w:rPr>
      </w:pPr>
      <w:r w:rsidRPr="00C81D88">
        <w:rPr>
          <w:rFonts w:eastAsia="Calibri"/>
          <w:i/>
          <w:iCs/>
          <w:sz w:val="22"/>
          <w:szCs w:val="22"/>
        </w:rPr>
        <w:t>Vaikų populiacija (Ph+ ŪLL)</w:t>
      </w:r>
      <w:r w:rsidRPr="00C81D88">
        <w:rPr>
          <w:rFonts w:eastAsia="Calibri"/>
          <w:iCs/>
          <w:sz w:val="22"/>
          <w:szCs w:val="22"/>
        </w:rPr>
        <w:t xml:space="preserve"> </w:t>
      </w:r>
    </w:p>
    <w:p w14:paraId="40F247A8"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Vaikams ir paaugliams dozuojama pagal kūno svorį (žr. 1 lentelę). Dazatinibas vartojamas per burną kartą per parą d</w:t>
      </w:r>
      <w:r w:rsidRPr="00C81D88">
        <w:rPr>
          <w:rFonts w:eastAsia="Calibri"/>
          <w:sz w:val="22"/>
          <w:szCs w:val="22"/>
        </w:rPr>
        <w:t xml:space="preserve">azatinibo plėvele dengtų tablečių arba </w:t>
      </w:r>
      <w:r w:rsidRPr="00C81D88">
        <w:rPr>
          <w:rFonts w:eastAsia="Calibri"/>
          <w:iCs/>
          <w:sz w:val="22"/>
          <w:szCs w:val="22"/>
        </w:rPr>
        <w:t xml:space="preserve">miltelių geriamajai suspensijai pavidalu. Dozę reikia perskaičiuoti kas 3 mėn. arba prireikus dažniau atsižvelgiant į kūno svorio kitimą. Pacientams, sveriantiems mažiau kaip 10 kg, tabletės nerekomenduojamos, jiems reikia skirti dazitinibo miltelių geriamajai suspensijai. Didinti arba mažinti dozę rekomenduojama atsižvelgiant į individualų paciento atsaką ir toleravimą. </w:t>
      </w:r>
      <w:r w:rsidRPr="00C81D88">
        <w:rPr>
          <w:rFonts w:eastAsia="Calibri"/>
          <w:sz w:val="22"/>
          <w:szCs w:val="22"/>
        </w:rPr>
        <w:t xml:space="preserve">Dasatinib Norameda </w:t>
      </w:r>
      <w:r w:rsidRPr="00C81D88">
        <w:rPr>
          <w:rFonts w:eastAsia="Calibri"/>
          <w:iCs/>
          <w:sz w:val="22"/>
          <w:szCs w:val="22"/>
        </w:rPr>
        <w:t>vartojimo jaunesniems kaip 1 metų vaikams patirties nėra.</w:t>
      </w:r>
    </w:p>
    <w:p w14:paraId="29B3DEC2" w14:textId="77777777" w:rsidR="00091B58" w:rsidRPr="00C81D88" w:rsidRDefault="00091B58" w:rsidP="00091B58">
      <w:pPr>
        <w:autoSpaceDE w:val="0"/>
        <w:autoSpaceDN w:val="0"/>
        <w:adjustRightInd w:val="0"/>
        <w:rPr>
          <w:rFonts w:eastAsia="Calibri"/>
          <w:iCs/>
          <w:sz w:val="22"/>
          <w:szCs w:val="22"/>
        </w:rPr>
      </w:pPr>
    </w:p>
    <w:p w14:paraId="74759370" w14:textId="77777777" w:rsidR="00091B58" w:rsidRPr="00C81D88" w:rsidRDefault="00091B58" w:rsidP="00091B58">
      <w:pPr>
        <w:autoSpaceDE w:val="0"/>
        <w:autoSpaceDN w:val="0"/>
        <w:adjustRightInd w:val="0"/>
        <w:rPr>
          <w:rFonts w:eastAsia="Calibri"/>
          <w:iCs/>
          <w:sz w:val="22"/>
          <w:szCs w:val="22"/>
        </w:rPr>
      </w:pPr>
      <w:r w:rsidRPr="00C81D88">
        <w:rPr>
          <w:rFonts w:eastAsia="Calibri"/>
          <w:sz w:val="22"/>
          <w:szCs w:val="22"/>
        </w:rPr>
        <w:t>Dazatinibo</w:t>
      </w:r>
      <w:r w:rsidRPr="00C81D88">
        <w:rPr>
          <w:rFonts w:eastAsia="Calibri"/>
          <w:iCs/>
          <w:sz w:val="22"/>
          <w:szCs w:val="22"/>
        </w:rPr>
        <w:t xml:space="preserve"> plėvele dengtos tabletės ir dazitinibo milteliai geriamajai suspensijai nėra biologiškai ekvivalentiški. Jeigu pacientas gali nuryti tabletę ir nori dazitinibo miltelius geriamajai suspensijai pakeisti </w:t>
      </w:r>
      <w:r w:rsidRPr="00C81D88">
        <w:rPr>
          <w:rFonts w:eastAsia="Calibri"/>
          <w:sz w:val="22"/>
          <w:szCs w:val="22"/>
        </w:rPr>
        <w:t>dazatinibo</w:t>
      </w:r>
      <w:r w:rsidRPr="00C81D88">
        <w:rPr>
          <w:rFonts w:eastAsia="Calibri"/>
          <w:iCs/>
          <w:sz w:val="22"/>
          <w:szCs w:val="22"/>
        </w:rPr>
        <w:t xml:space="preserve"> tabletėmis arba negali nuryti tabletės ir tabletes nori pakeisti geriamąja suspensija, tai tą galima padaryti laikantis</w:t>
      </w:r>
      <w:r w:rsidRPr="00C81D88">
        <w:rPr>
          <w:sz w:val="22"/>
          <w:szCs w:val="22"/>
        </w:rPr>
        <w:t xml:space="preserve"> </w:t>
      </w:r>
      <w:r w:rsidRPr="00C81D88">
        <w:rPr>
          <w:rFonts w:eastAsia="Calibri"/>
          <w:iCs/>
          <w:sz w:val="22"/>
          <w:szCs w:val="22"/>
        </w:rPr>
        <w:t xml:space="preserve">atitinkamos farmacinės formos dozavimo rekomendacijų. </w:t>
      </w:r>
    </w:p>
    <w:p w14:paraId="5DA61D28"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 xml:space="preserve"> </w:t>
      </w:r>
    </w:p>
    <w:p w14:paraId="48B96FE8"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 xml:space="preserve">Rekomenduojama </w:t>
      </w:r>
      <w:r w:rsidRPr="00C81D88">
        <w:rPr>
          <w:rFonts w:eastAsia="Calibri"/>
          <w:sz w:val="22"/>
          <w:szCs w:val="22"/>
        </w:rPr>
        <w:t>Dasatinib Norameda</w:t>
      </w:r>
      <w:r w:rsidRPr="00C81D88">
        <w:rPr>
          <w:rFonts w:eastAsia="Calibri"/>
          <w:iCs/>
          <w:sz w:val="22"/>
          <w:szCs w:val="22"/>
        </w:rPr>
        <w:t xml:space="preserve"> tablečių pradinė paros dozė vaikams pateikiama 1 lentelėje.</w:t>
      </w:r>
    </w:p>
    <w:p w14:paraId="0D06F219" w14:textId="77777777" w:rsidR="00091B58" w:rsidRPr="00C81D88" w:rsidRDefault="00091B58" w:rsidP="00091B58">
      <w:pPr>
        <w:autoSpaceDE w:val="0"/>
        <w:autoSpaceDN w:val="0"/>
        <w:adjustRightInd w:val="0"/>
        <w:rPr>
          <w:rFonts w:eastAsia="Calibri"/>
          <w:i/>
          <w:iCs/>
          <w:sz w:val="22"/>
          <w:szCs w:val="22"/>
          <w:u w:val="single"/>
        </w:rPr>
      </w:pPr>
    </w:p>
    <w:p w14:paraId="5E826240" w14:textId="77777777" w:rsidR="00091B58" w:rsidRPr="00C81D88" w:rsidRDefault="00091B58" w:rsidP="00091B58">
      <w:pPr>
        <w:autoSpaceDE w:val="0"/>
        <w:autoSpaceDN w:val="0"/>
        <w:adjustRightInd w:val="0"/>
        <w:rPr>
          <w:rFonts w:eastAsia="Calibri"/>
          <w:b/>
          <w:iCs/>
          <w:sz w:val="22"/>
          <w:szCs w:val="22"/>
        </w:rPr>
      </w:pPr>
      <w:r w:rsidRPr="00C81D88">
        <w:rPr>
          <w:rFonts w:eastAsia="Calibri"/>
          <w:b/>
          <w:iCs/>
          <w:sz w:val="22"/>
          <w:szCs w:val="22"/>
        </w:rPr>
        <w:t xml:space="preserve">1 lentelė. </w:t>
      </w:r>
      <w:r w:rsidRPr="00C81D88">
        <w:rPr>
          <w:rFonts w:eastAsia="Calibri"/>
          <w:b/>
          <w:sz w:val="22"/>
          <w:szCs w:val="22"/>
        </w:rPr>
        <w:t>Dasatinib Norameda</w:t>
      </w:r>
      <w:r w:rsidRPr="00C81D88">
        <w:rPr>
          <w:rFonts w:eastAsia="Calibri"/>
          <w:b/>
          <w:iCs/>
          <w:sz w:val="22"/>
          <w:szCs w:val="22"/>
        </w:rPr>
        <w:t xml:space="preserve"> tablečių dozavimas vaikams, sergantiems Ph+ ŪLL</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470"/>
        <w:gridCol w:w="4470"/>
      </w:tblGrid>
      <w:tr w:rsidR="00091B58" w:rsidRPr="00C81D88" w14:paraId="7F8D91CD" w14:textId="77777777" w:rsidTr="00AB3BF3">
        <w:tc>
          <w:tcPr>
            <w:tcW w:w="4530" w:type="dxa"/>
            <w:hideMark/>
          </w:tcPr>
          <w:p w14:paraId="4B0021CB" w14:textId="77777777" w:rsidR="00091B58" w:rsidRPr="00C81D88" w:rsidRDefault="00091B58" w:rsidP="00AB3BF3">
            <w:pPr>
              <w:rPr>
                <w:b/>
                <w:bCs/>
                <w:sz w:val="22"/>
                <w:szCs w:val="22"/>
                <w:u w:val="single"/>
              </w:rPr>
            </w:pPr>
            <w:r w:rsidRPr="00C81D88">
              <w:rPr>
                <w:rFonts w:eastAsia="Calibri"/>
                <w:b/>
                <w:iCs/>
                <w:sz w:val="22"/>
                <w:szCs w:val="22"/>
              </w:rPr>
              <w:t>Kūno svoris (kg)</w:t>
            </w:r>
            <w:r w:rsidRPr="00C81D88">
              <w:rPr>
                <w:b/>
                <w:bCs/>
                <w:sz w:val="22"/>
                <w:szCs w:val="22"/>
                <w:vertAlign w:val="superscript"/>
              </w:rPr>
              <w:t>a</w:t>
            </w:r>
          </w:p>
        </w:tc>
        <w:tc>
          <w:tcPr>
            <w:tcW w:w="4531" w:type="dxa"/>
            <w:hideMark/>
          </w:tcPr>
          <w:p w14:paraId="5F1D3BD7" w14:textId="77777777" w:rsidR="00091B58" w:rsidRPr="00C81D88" w:rsidRDefault="00091B58" w:rsidP="00AB3BF3">
            <w:pPr>
              <w:rPr>
                <w:b/>
                <w:bCs/>
                <w:sz w:val="22"/>
                <w:szCs w:val="22"/>
              </w:rPr>
            </w:pPr>
            <w:r w:rsidRPr="00C81D88">
              <w:rPr>
                <w:rFonts w:eastAsia="Calibri"/>
                <w:b/>
                <w:iCs/>
                <w:sz w:val="22"/>
                <w:szCs w:val="22"/>
              </w:rPr>
              <w:t xml:space="preserve">Paros dozė </w:t>
            </w:r>
            <w:r w:rsidRPr="00C81D88">
              <w:rPr>
                <w:b/>
                <w:bCs/>
                <w:sz w:val="22"/>
                <w:szCs w:val="22"/>
              </w:rPr>
              <w:t>(mg)</w:t>
            </w:r>
          </w:p>
        </w:tc>
      </w:tr>
      <w:tr w:rsidR="00091B58" w:rsidRPr="00C81D88" w14:paraId="66392DE5" w14:textId="77777777" w:rsidTr="00AB3BF3">
        <w:tc>
          <w:tcPr>
            <w:tcW w:w="4530" w:type="dxa"/>
            <w:hideMark/>
          </w:tcPr>
          <w:p w14:paraId="751F587C" w14:textId="77777777" w:rsidR="00091B58" w:rsidRPr="00C81D88" w:rsidRDefault="00091B58" w:rsidP="00AB3BF3">
            <w:pPr>
              <w:rPr>
                <w:sz w:val="22"/>
                <w:szCs w:val="22"/>
              </w:rPr>
            </w:pPr>
            <w:r w:rsidRPr="00C81D88">
              <w:rPr>
                <w:sz w:val="22"/>
                <w:szCs w:val="22"/>
              </w:rPr>
              <w:t>Nuo 10 kg iki &lt; 20 kg</w:t>
            </w:r>
          </w:p>
        </w:tc>
        <w:tc>
          <w:tcPr>
            <w:tcW w:w="4531" w:type="dxa"/>
            <w:hideMark/>
          </w:tcPr>
          <w:p w14:paraId="4E92865B" w14:textId="77777777" w:rsidR="00091B58" w:rsidRPr="00C81D88" w:rsidRDefault="00091B58" w:rsidP="00AB3BF3">
            <w:pPr>
              <w:rPr>
                <w:sz w:val="22"/>
                <w:szCs w:val="22"/>
              </w:rPr>
            </w:pPr>
            <w:r w:rsidRPr="00C81D88">
              <w:rPr>
                <w:sz w:val="22"/>
                <w:szCs w:val="22"/>
              </w:rPr>
              <w:t>40 mg</w:t>
            </w:r>
          </w:p>
        </w:tc>
      </w:tr>
      <w:tr w:rsidR="00091B58" w:rsidRPr="00C81D88" w14:paraId="264D4A34" w14:textId="77777777" w:rsidTr="00AB3BF3">
        <w:tc>
          <w:tcPr>
            <w:tcW w:w="4530" w:type="dxa"/>
            <w:hideMark/>
          </w:tcPr>
          <w:p w14:paraId="3AA2860E" w14:textId="77777777" w:rsidR="00091B58" w:rsidRPr="00C81D88" w:rsidRDefault="00091B58" w:rsidP="00AB3BF3">
            <w:pPr>
              <w:rPr>
                <w:sz w:val="22"/>
                <w:szCs w:val="22"/>
              </w:rPr>
            </w:pPr>
            <w:r w:rsidRPr="00C81D88">
              <w:rPr>
                <w:sz w:val="22"/>
                <w:szCs w:val="22"/>
              </w:rPr>
              <w:t>Nuo 20 kg iki &lt; 30 kg</w:t>
            </w:r>
          </w:p>
        </w:tc>
        <w:tc>
          <w:tcPr>
            <w:tcW w:w="4531" w:type="dxa"/>
            <w:hideMark/>
          </w:tcPr>
          <w:p w14:paraId="07FD9517" w14:textId="77777777" w:rsidR="00091B58" w:rsidRPr="00C81D88" w:rsidRDefault="00091B58" w:rsidP="00AB3BF3">
            <w:pPr>
              <w:rPr>
                <w:sz w:val="22"/>
                <w:szCs w:val="22"/>
              </w:rPr>
            </w:pPr>
            <w:r w:rsidRPr="00C81D88">
              <w:rPr>
                <w:sz w:val="22"/>
                <w:szCs w:val="22"/>
              </w:rPr>
              <w:t>60 mg</w:t>
            </w:r>
          </w:p>
        </w:tc>
      </w:tr>
      <w:tr w:rsidR="00091B58" w:rsidRPr="00C81D88" w14:paraId="66FF1F08" w14:textId="77777777" w:rsidTr="00AB3BF3">
        <w:tc>
          <w:tcPr>
            <w:tcW w:w="4530" w:type="dxa"/>
            <w:hideMark/>
          </w:tcPr>
          <w:p w14:paraId="7E24853A" w14:textId="77777777" w:rsidR="00091B58" w:rsidRPr="00C81D88" w:rsidRDefault="00091B58" w:rsidP="00AB3BF3">
            <w:pPr>
              <w:rPr>
                <w:sz w:val="22"/>
                <w:szCs w:val="22"/>
              </w:rPr>
            </w:pPr>
            <w:r w:rsidRPr="00C81D88">
              <w:rPr>
                <w:sz w:val="22"/>
                <w:szCs w:val="22"/>
              </w:rPr>
              <w:t>Nuo 30 kg iki &lt; 45 kg</w:t>
            </w:r>
          </w:p>
        </w:tc>
        <w:tc>
          <w:tcPr>
            <w:tcW w:w="4531" w:type="dxa"/>
            <w:hideMark/>
          </w:tcPr>
          <w:p w14:paraId="5A180831" w14:textId="77777777" w:rsidR="00091B58" w:rsidRPr="00C81D88" w:rsidRDefault="00091B58" w:rsidP="00AB3BF3">
            <w:pPr>
              <w:rPr>
                <w:sz w:val="22"/>
                <w:szCs w:val="22"/>
              </w:rPr>
            </w:pPr>
            <w:r w:rsidRPr="00C81D88">
              <w:rPr>
                <w:sz w:val="22"/>
                <w:szCs w:val="22"/>
              </w:rPr>
              <w:t>70 mg</w:t>
            </w:r>
          </w:p>
        </w:tc>
      </w:tr>
      <w:tr w:rsidR="00091B58" w:rsidRPr="00C81D88" w14:paraId="64D36A67" w14:textId="77777777" w:rsidTr="00AB3BF3">
        <w:tc>
          <w:tcPr>
            <w:tcW w:w="4530" w:type="dxa"/>
            <w:hideMark/>
          </w:tcPr>
          <w:p w14:paraId="645670F0" w14:textId="77777777" w:rsidR="00091B58" w:rsidRPr="00C81D88" w:rsidRDefault="00091B58" w:rsidP="00AB3BF3">
            <w:pPr>
              <w:rPr>
                <w:sz w:val="22"/>
                <w:szCs w:val="22"/>
              </w:rPr>
            </w:pPr>
            <w:r w:rsidRPr="00C81D88">
              <w:rPr>
                <w:sz w:val="22"/>
                <w:szCs w:val="22"/>
              </w:rPr>
              <w:t>Ne mažiau kaip 45 kg</w:t>
            </w:r>
          </w:p>
        </w:tc>
        <w:tc>
          <w:tcPr>
            <w:tcW w:w="4531" w:type="dxa"/>
            <w:hideMark/>
          </w:tcPr>
          <w:p w14:paraId="63378AC4" w14:textId="77777777" w:rsidR="00091B58" w:rsidRPr="00C81D88" w:rsidRDefault="00091B58" w:rsidP="00AB3BF3">
            <w:pPr>
              <w:rPr>
                <w:sz w:val="22"/>
                <w:szCs w:val="22"/>
              </w:rPr>
            </w:pPr>
            <w:r w:rsidRPr="00C81D88">
              <w:rPr>
                <w:sz w:val="22"/>
                <w:szCs w:val="22"/>
              </w:rPr>
              <w:t>100 mg</w:t>
            </w:r>
          </w:p>
        </w:tc>
      </w:tr>
    </w:tbl>
    <w:p w14:paraId="1DA5CC29" w14:textId="77777777" w:rsidR="00091B58" w:rsidRPr="00C81D88" w:rsidRDefault="00091B58" w:rsidP="00091B58">
      <w:pPr>
        <w:autoSpaceDE w:val="0"/>
        <w:autoSpaceDN w:val="0"/>
        <w:adjustRightInd w:val="0"/>
        <w:rPr>
          <w:rFonts w:eastAsia="Calibri"/>
          <w:iCs/>
          <w:sz w:val="20"/>
        </w:rPr>
      </w:pPr>
      <w:r w:rsidRPr="00C81D88">
        <w:rPr>
          <w:rFonts w:eastAsia="Calibri"/>
          <w:iCs/>
          <w:szCs w:val="22"/>
          <w:vertAlign w:val="superscript"/>
        </w:rPr>
        <w:t xml:space="preserve">a </w:t>
      </w:r>
      <w:r w:rsidRPr="00C81D88">
        <w:rPr>
          <w:rFonts w:eastAsia="Calibri"/>
          <w:iCs/>
          <w:sz w:val="20"/>
        </w:rPr>
        <w:t xml:space="preserve">Tabletės nerekomenduojamos pacientams, sveriantiems mažiau kaip 10 kg; tokiems pacientams reikia vartoti miltelių geriamajai suspensijai. </w:t>
      </w:r>
    </w:p>
    <w:p w14:paraId="7C95F318" w14:textId="77777777" w:rsidR="00091B58" w:rsidRPr="00C81D88" w:rsidRDefault="00091B58" w:rsidP="00091B58">
      <w:pPr>
        <w:autoSpaceDE w:val="0"/>
        <w:autoSpaceDN w:val="0"/>
        <w:adjustRightInd w:val="0"/>
        <w:rPr>
          <w:rFonts w:eastAsia="Calibri"/>
          <w:i/>
          <w:iCs/>
          <w:szCs w:val="22"/>
          <w:u w:val="single"/>
        </w:rPr>
      </w:pPr>
    </w:p>
    <w:p w14:paraId="1F9BD462" w14:textId="77777777" w:rsidR="00091B58" w:rsidRPr="00C81D88" w:rsidRDefault="00091B58" w:rsidP="00091B58">
      <w:pPr>
        <w:autoSpaceDE w:val="0"/>
        <w:autoSpaceDN w:val="0"/>
        <w:adjustRightInd w:val="0"/>
        <w:rPr>
          <w:rFonts w:eastAsia="Calibri"/>
          <w:i/>
          <w:iCs/>
          <w:sz w:val="22"/>
          <w:szCs w:val="22"/>
          <w:u w:val="single"/>
        </w:rPr>
      </w:pPr>
      <w:r w:rsidRPr="00C81D88">
        <w:rPr>
          <w:rFonts w:eastAsia="Calibri"/>
          <w:i/>
          <w:iCs/>
          <w:sz w:val="22"/>
          <w:szCs w:val="22"/>
          <w:u w:val="single"/>
        </w:rPr>
        <w:t>Gydymo trukmė</w:t>
      </w:r>
    </w:p>
    <w:p w14:paraId="382F8666"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 xml:space="preserve">Klinikinių tyrimų metu </w:t>
      </w:r>
      <w:r w:rsidRPr="00C81D88">
        <w:rPr>
          <w:rFonts w:eastAsia="Calibri"/>
          <w:iCs/>
          <w:sz w:val="22"/>
          <w:szCs w:val="22"/>
        </w:rPr>
        <w:t xml:space="preserve">Ph+ ŪLL </w:t>
      </w:r>
      <w:r w:rsidRPr="00C81D88">
        <w:rPr>
          <w:rFonts w:eastAsia="Calibri"/>
          <w:sz w:val="22"/>
          <w:szCs w:val="22"/>
        </w:rPr>
        <w:t xml:space="preserve">sergančių suaugusiųjų gydymas dazatinibu buvo tęsiamas iki ligos progresavimo arba tol, kol pacientas gydymo nebetoleruodavo. Kokias pasekmes ilgalaikėms ligos baigtims sukelia gydymo nutraukimas pasiekus citogenetinį arba molekulinį atsaką (įskaitant visišką citogenetinį atsaką [angl. </w:t>
      </w:r>
      <w:r w:rsidRPr="00C81D88">
        <w:rPr>
          <w:rFonts w:eastAsia="Calibri"/>
          <w:i/>
          <w:sz w:val="22"/>
          <w:szCs w:val="22"/>
        </w:rPr>
        <w:t>complete cytogenetic response,</w:t>
      </w:r>
      <w:r w:rsidRPr="00C81D88">
        <w:rPr>
          <w:rFonts w:eastAsia="Calibri"/>
          <w:sz w:val="22"/>
          <w:szCs w:val="22"/>
        </w:rPr>
        <w:t xml:space="preserve"> CCyR], didįjį molekulinį atsaką [angl. </w:t>
      </w:r>
      <w:r w:rsidRPr="00C81D88">
        <w:rPr>
          <w:rFonts w:eastAsia="Calibri"/>
          <w:i/>
          <w:sz w:val="22"/>
          <w:szCs w:val="22"/>
        </w:rPr>
        <w:t>major molecular response,</w:t>
      </w:r>
      <w:r w:rsidRPr="00C81D88">
        <w:rPr>
          <w:rFonts w:eastAsia="Calibri"/>
          <w:sz w:val="22"/>
          <w:szCs w:val="22"/>
        </w:rPr>
        <w:t xml:space="preserve"> MMR,] ir MR4.5), neištirta.</w:t>
      </w:r>
    </w:p>
    <w:p w14:paraId="1243C5E2" w14:textId="77777777" w:rsidR="00091B58" w:rsidRPr="00C81D88" w:rsidRDefault="00091B58" w:rsidP="00091B58">
      <w:pPr>
        <w:autoSpaceDE w:val="0"/>
        <w:autoSpaceDN w:val="0"/>
        <w:adjustRightInd w:val="0"/>
        <w:rPr>
          <w:rFonts w:eastAsia="Calibri"/>
          <w:sz w:val="22"/>
          <w:szCs w:val="22"/>
        </w:rPr>
      </w:pPr>
    </w:p>
    <w:p w14:paraId="4D0B25E0"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 xml:space="preserve">Klinikinių tyrimų metu Ph+ ŪLL sergančių vaikų gydymas dazatinibu buvo nepertraukiamai tęsiamas iki dvejų metų greta kartojamų pagrindinės chemoterapijos kursų. Pacientai, kuriems vėliau buvo persodinta kamieninių ląstelių, dazatinibą gali vartoti dar vienerius metus po transplantacijos. </w:t>
      </w:r>
    </w:p>
    <w:p w14:paraId="3FB8D3BF" w14:textId="77777777" w:rsidR="00091B58" w:rsidRPr="00C81D88" w:rsidRDefault="00091B58" w:rsidP="00091B58">
      <w:pPr>
        <w:autoSpaceDE w:val="0"/>
        <w:autoSpaceDN w:val="0"/>
        <w:adjustRightInd w:val="0"/>
        <w:rPr>
          <w:rFonts w:eastAsia="Calibri"/>
          <w:sz w:val="22"/>
          <w:szCs w:val="22"/>
        </w:rPr>
      </w:pPr>
    </w:p>
    <w:p w14:paraId="30A02A44"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Kad būtų patogiau dozuoti kaip rekomenduojama, tiekiamos Dasatinib Norameda 20 mg, 50 mg ir 70 mg plėvele dengtos tabletės. Dozę didinti ar mažinti rekomenduojama atsižvelgiant į organizmo atsaką ir vaistinio preparato toleravimą.</w:t>
      </w:r>
    </w:p>
    <w:p w14:paraId="0B82516A" w14:textId="77777777" w:rsidR="00091B58" w:rsidRPr="00C81D88" w:rsidRDefault="00091B58" w:rsidP="00091B58">
      <w:pPr>
        <w:autoSpaceDE w:val="0"/>
        <w:autoSpaceDN w:val="0"/>
        <w:adjustRightInd w:val="0"/>
        <w:rPr>
          <w:rFonts w:eastAsia="Calibri"/>
          <w:sz w:val="22"/>
          <w:szCs w:val="22"/>
        </w:rPr>
      </w:pPr>
    </w:p>
    <w:p w14:paraId="217A19C4" w14:textId="77777777" w:rsidR="00091B58" w:rsidRPr="00C81D88" w:rsidRDefault="00091B58" w:rsidP="00091B58">
      <w:pPr>
        <w:autoSpaceDE w:val="0"/>
        <w:autoSpaceDN w:val="0"/>
        <w:adjustRightInd w:val="0"/>
        <w:rPr>
          <w:rFonts w:eastAsia="Calibri"/>
          <w:i/>
          <w:iCs/>
          <w:sz w:val="22"/>
          <w:szCs w:val="22"/>
          <w:u w:val="single"/>
        </w:rPr>
      </w:pPr>
      <w:r w:rsidRPr="00C81D88">
        <w:rPr>
          <w:rFonts w:eastAsia="Calibri"/>
          <w:i/>
          <w:iCs/>
          <w:sz w:val="22"/>
          <w:szCs w:val="22"/>
          <w:u w:val="single"/>
        </w:rPr>
        <w:t>Dozės didinimas</w:t>
      </w:r>
    </w:p>
    <w:p w14:paraId="643B27E7" w14:textId="77777777" w:rsidR="00091B58" w:rsidRPr="00C81D88" w:rsidRDefault="00091B58" w:rsidP="00091B58">
      <w:pPr>
        <w:rPr>
          <w:sz w:val="22"/>
          <w:szCs w:val="22"/>
        </w:rPr>
      </w:pPr>
      <w:r w:rsidRPr="00C81D88">
        <w:rPr>
          <w:sz w:val="22"/>
          <w:szCs w:val="22"/>
        </w:rPr>
        <w:t>Klinikinių tyrimų su Ph+ ŪLL sergančiais suaugusiais pacientais metu vartojant rekomenduojamą pradinę dozę nepasireiškus hematologiniam ar citogenetiniam atsakui, buvo leidžiama didinti dozę iki 180 mg kartą per parą.</w:t>
      </w:r>
    </w:p>
    <w:p w14:paraId="4C76AF7F" w14:textId="77777777" w:rsidR="00091B58" w:rsidRPr="00C81D88" w:rsidRDefault="00091B58" w:rsidP="00091B58">
      <w:pPr>
        <w:rPr>
          <w:sz w:val="22"/>
          <w:szCs w:val="22"/>
        </w:rPr>
      </w:pPr>
    </w:p>
    <w:p w14:paraId="0037682B" w14:textId="77777777" w:rsidR="00091B58" w:rsidRPr="00C81D88" w:rsidRDefault="00091B58" w:rsidP="00091B58">
      <w:pPr>
        <w:autoSpaceDE w:val="0"/>
        <w:autoSpaceDN w:val="0"/>
        <w:adjustRightInd w:val="0"/>
        <w:rPr>
          <w:sz w:val="22"/>
          <w:szCs w:val="22"/>
        </w:rPr>
      </w:pPr>
      <w:r w:rsidRPr="00C81D88">
        <w:rPr>
          <w:sz w:val="22"/>
          <w:szCs w:val="22"/>
        </w:rPr>
        <w:t>Vaikams, sergantiems Ph+ ŪLL, dozės didinti nerekomenduojama, kadangi jiems dazatinibas skiriamas kartu su chemoterapija.</w:t>
      </w:r>
    </w:p>
    <w:p w14:paraId="68A3E29B" w14:textId="77777777" w:rsidR="00091B58" w:rsidRPr="00C81D88" w:rsidRDefault="00091B58" w:rsidP="00091B58">
      <w:pPr>
        <w:autoSpaceDE w:val="0"/>
        <w:autoSpaceDN w:val="0"/>
        <w:adjustRightInd w:val="0"/>
        <w:rPr>
          <w:rFonts w:eastAsia="Calibri"/>
          <w:i/>
          <w:iCs/>
          <w:sz w:val="22"/>
          <w:szCs w:val="22"/>
        </w:rPr>
      </w:pPr>
    </w:p>
    <w:p w14:paraId="72393BDC" w14:textId="77777777" w:rsidR="00091B58" w:rsidRPr="00C81D88" w:rsidRDefault="00091B58" w:rsidP="00091B58">
      <w:pPr>
        <w:autoSpaceDE w:val="0"/>
        <w:autoSpaceDN w:val="0"/>
        <w:adjustRightInd w:val="0"/>
        <w:rPr>
          <w:rFonts w:eastAsia="Calibri"/>
          <w:i/>
          <w:iCs/>
          <w:sz w:val="22"/>
          <w:szCs w:val="22"/>
          <w:u w:val="single"/>
        </w:rPr>
      </w:pPr>
      <w:r w:rsidRPr="00C81D88">
        <w:rPr>
          <w:rFonts w:eastAsia="Calibri"/>
          <w:i/>
          <w:iCs/>
          <w:sz w:val="22"/>
          <w:szCs w:val="22"/>
          <w:u w:val="single"/>
        </w:rPr>
        <w:t>Dozės koregavimas dėl nepageidaujamų reakcijų</w:t>
      </w:r>
    </w:p>
    <w:p w14:paraId="18BA5033" w14:textId="77777777" w:rsidR="00091B58" w:rsidRPr="00C81D88" w:rsidRDefault="00091B58" w:rsidP="00091B58">
      <w:pPr>
        <w:autoSpaceDE w:val="0"/>
        <w:autoSpaceDN w:val="0"/>
        <w:adjustRightInd w:val="0"/>
        <w:rPr>
          <w:rFonts w:eastAsia="Calibri"/>
          <w:i/>
          <w:iCs/>
          <w:sz w:val="22"/>
          <w:szCs w:val="22"/>
        </w:rPr>
      </w:pPr>
      <w:r w:rsidRPr="00C81D88">
        <w:rPr>
          <w:rFonts w:eastAsia="Calibri"/>
          <w:i/>
          <w:iCs/>
          <w:sz w:val="22"/>
          <w:szCs w:val="22"/>
        </w:rPr>
        <w:t>Kaulų čiulpų slopinimas</w:t>
      </w:r>
    </w:p>
    <w:p w14:paraId="3EA36FF2"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lastRenderedPageBreak/>
        <w:t>Klinikinių tyrimų metu kaulų čiulpų slopinimas buvo kontroliuojamas mažinant vaistinio preparato dozę arba laikinai ar visam laikui nutraukiant jo vartojimą. Prireikus būdavo perpilama trombocitų ir eritrocitų. Pasireiškus atspariam kaulų čiulpų slopinimui, būdavo skiriama hemopoezinio augimo faktoriaus.</w:t>
      </w:r>
    </w:p>
    <w:p w14:paraId="1F0A7254"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Dozės koregavimo suaugusiems pacientams rekomendacijos apibendrintos 2 lentelėje. Rekomendacijos Ph+ ŪLL sergantiems vaikams, kuriems kartu taikoma chemoterapija, pateikiamos atskirame paragrafe po šių lentelių.</w:t>
      </w:r>
    </w:p>
    <w:p w14:paraId="6ED0CB11" w14:textId="77777777" w:rsidR="00091B58" w:rsidRPr="00C81D88" w:rsidRDefault="00091B58" w:rsidP="00091B58">
      <w:pPr>
        <w:autoSpaceDE w:val="0"/>
        <w:autoSpaceDN w:val="0"/>
        <w:adjustRightInd w:val="0"/>
        <w:rPr>
          <w:rFonts w:eastAsia="Calibri"/>
          <w:sz w:val="22"/>
          <w:szCs w:val="22"/>
        </w:rPr>
      </w:pPr>
    </w:p>
    <w:p w14:paraId="5B0B411D" w14:textId="77777777" w:rsidR="00091B58" w:rsidRPr="00C81D88" w:rsidRDefault="00091B58" w:rsidP="00091B58">
      <w:pPr>
        <w:autoSpaceDE w:val="0"/>
        <w:autoSpaceDN w:val="0"/>
        <w:adjustRightInd w:val="0"/>
        <w:rPr>
          <w:rFonts w:eastAsia="Calibri"/>
          <w:sz w:val="22"/>
          <w:szCs w:val="22"/>
        </w:rPr>
      </w:pPr>
      <w:r w:rsidRPr="00C81D88">
        <w:rPr>
          <w:b/>
          <w:bCs/>
          <w:sz w:val="22"/>
          <w:szCs w:val="22"/>
        </w:rPr>
        <w:t>2 lentelė. Dozės koregavimas dėl neutropenijos ir trombocitopenijos suaugusiesiems</w:t>
      </w:r>
    </w:p>
    <w:p w14:paraId="59CDCBC7" w14:textId="77777777" w:rsidR="00091B58" w:rsidRPr="00C81D88" w:rsidRDefault="00091B58" w:rsidP="00091B58">
      <w:pPr>
        <w:autoSpaceDE w:val="0"/>
        <w:autoSpaceDN w:val="0"/>
        <w:adjustRightInd w:val="0"/>
        <w:rPr>
          <w:rFonts w:eastAsia="Calibri"/>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872"/>
        <w:gridCol w:w="4818"/>
      </w:tblGrid>
      <w:tr w:rsidR="00091B58" w:rsidRPr="00C81D88" w14:paraId="7544C8EA" w14:textId="77777777" w:rsidTr="00AB3BF3">
        <w:tc>
          <w:tcPr>
            <w:tcW w:w="2207" w:type="dxa"/>
            <w:shd w:val="clear" w:color="auto" w:fill="auto"/>
          </w:tcPr>
          <w:p w14:paraId="470F6DC1" w14:textId="77777777" w:rsidR="00091B58" w:rsidRPr="00C81D88" w:rsidRDefault="00091B58" w:rsidP="00AB3BF3">
            <w:pPr>
              <w:widowControl w:val="0"/>
              <w:rPr>
                <w:rFonts w:eastAsia="Calibri"/>
                <w:sz w:val="22"/>
                <w:szCs w:val="22"/>
              </w:rPr>
            </w:pPr>
            <w:r w:rsidRPr="00C81D88">
              <w:rPr>
                <w:rFonts w:eastAsia="Calibri"/>
                <w:sz w:val="22"/>
                <w:szCs w:val="22"/>
              </w:rPr>
              <w:t>Suaugusieji, sergantys Ph+ ŪLL (pradinė dozė – 140 mg kartą per parą)</w:t>
            </w:r>
          </w:p>
        </w:tc>
        <w:tc>
          <w:tcPr>
            <w:tcW w:w="1891" w:type="dxa"/>
            <w:shd w:val="clear" w:color="auto" w:fill="auto"/>
          </w:tcPr>
          <w:p w14:paraId="35F2647F" w14:textId="77777777" w:rsidR="00091B58" w:rsidRPr="00C81D88" w:rsidRDefault="00091B58" w:rsidP="00AB3BF3">
            <w:pPr>
              <w:widowControl w:val="0"/>
              <w:rPr>
                <w:rFonts w:eastAsia="Calibri"/>
                <w:sz w:val="22"/>
                <w:szCs w:val="22"/>
              </w:rPr>
            </w:pPr>
            <w:r w:rsidRPr="00C81D88">
              <w:rPr>
                <w:rFonts w:eastAsia="Calibri"/>
                <w:sz w:val="22"/>
                <w:szCs w:val="22"/>
              </w:rPr>
              <w:t>ANS &lt; 0,5 x 10</w:t>
            </w:r>
            <w:r w:rsidRPr="00C81D88">
              <w:rPr>
                <w:rFonts w:eastAsia="Calibri"/>
                <w:sz w:val="22"/>
                <w:szCs w:val="22"/>
                <w:vertAlign w:val="superscript"/>
              </w:rPr>
              <w:t>9</w:t>
            </w:r>
            <w:r w:rsidRPr="00C81D88">
              <w:rPr>
                <w:rFonts w:eastAsia="Calibri"/>
                <w:sz w:val="22"/>
                <w:szCs w:val="22"/>
              </w:rPr>
              <w:t xml:space="preserve">/l ir (arba) trombocitų skaičius </w:t>
            </w:r>
            <w:r w:rsidRPr="00C81D88">
              <w:rPr>
                <w:rFonts w:eastAsia="Calibri"/>
                <w:sz w:val="22"/>
                <w:szCs w:val="22"/>
              </w:rPr>
              <w:br/>
              <w:t>&lt; 10 x 10</w:t>
            </w:r>
            <w:r w:rsidRPr="00C81D88">
              <w:rPr>
                <w:rFonts w:eastAsia="Calibri"/>
                <w:sz w:val="22"/>
                <w:szCs w:val="22"/>
                <w:vertAlign w:val="superscript"/>
              </w:rPr>
              <w:t>9</w:t>
            </w:r>
            <w:r w:rsidRPr="00C81D88">
              <w:rPr>
                <w:rFonts w:eastAsia="Calibri"/>
                <w:sz w:val="22"/>
                <w:szCs w:val="22"/>
              </w:rPr>
              <w:t>/l</w:t>
            </w:r>
          </w:p>
        </w:tc>
        <w:tc>
          <w:tcPr>
            <w:tcW w:w="4906" w:type="dxa"/>
            <w:shd w:val="clear" w:color="auto" w:fill="auto"/>
          </w:tcPr>
          <w:p w14:paraId="2F063EBE" w14:textId="77777777" w:rsidR="00091B58" w:rsidRPr="00C81D88" w:rsidRDefault="00091B58" w:rsidP="00AB3BF3">
            <w:pPr>
              <w:widowControl w:val="0"/>
              <w:spacing w:line="254" w:lineRule="exact"/>
              <w:ind w:left="308" w:right="-23" w:hanging="308"/>
              <w:rPr>
                <w:rFonts w:eastAsia="Calibri"/>
                <w:sz w:val="22"/>
                <w:szCs w:val="22"/>
              </w:rPr>
            </w:pPr>
            <w:r w:rsidRPr="00C81D88">
              <w:rPr>
                <w:rFonts w:eastAsia="Calibri"/>
                <w:sz w:val="22"/>
                <w:szCs w:val="22"/>
              </w:rPr>
              <w:t>1. Ištirti, ar citopenija susijusi su leukemija (kaulų čiulpų aspiracija arba biopsija).</w:t>
            </w:r>
          </w:p>
          <w:p w14:paraId="1DA1DA5D" w14:textId="77777777" w:rsidR="00091B58" w:rsidRPr="00C81D88" w:rsidRDefault="00091B58" w:rsidP="00AB3BF3">
            <w:pPr>
              <w:widowControl w:val="0"/>
              <w:spacing w:line="254" w:lineRule="exact"/>
              <w:ind w:left="308" w:right="-23" w:hanging="308"/>
              <w:rPr>
                <w:rFonts w:eastAsia="Calibri"/>
                <w:sz w:val="22"/>
                <w:szCs w:val="22"/>
              </w:rPr>
            </w:pPr>
          </w:p>
          <w:p w14:paraId="6542E55E" w14:textId="77777777" w:rsidR="00091B58" w:rsidRPr="00C81D88" w:rsidRDefault="00091B58" w:rsidP="00AB3BF3">
            <w:pPr>
              <w:widowControl w:val="0"/>
              <w:spacing w:line="254" w:lineRule="exact"/>
              <w:ind w:left="308" w:right="-23" w:hanging="308"/>
              <w:rPr>
                <w:rFonts w:eastAsia="Calibri"/>
                <w:sz w:val="22"/>
                <w:szCs w:val="22"/>
              </w:rPr>
            </w:pPr>
            <w:r w:rsidRPr="00C81D88">
              <w:rPr>
                <w:rFonts w:eastAsia="Calibri"/>
                <w:sz w:val="22"/>
                <w:szCs w:val="22"/>
              </w:rPr>
              <w:t>2. Jei citopenija nesusijusi su leukemija, nutraukti gydymą, kol ANS taps ≥ 1 x 10</w:t>
            </w:r>
            <w:r w:rsidRPr="00C81D88">
              <w:rPr>
                <w:rFonts w:eastAsia="Calibri"/>
                <w:sz w:val="22"/>
                <w:szCs w:val="22"/>
                <w:vertAlign w:val="superscript"/>
              </w:rPr>
              <w:t>9</w:t>
            </w:r>
            <w:r w:rsidRPr="00C81D88">
              <w:rPr>
                <w:rFonts w:eastAsia="Calibri"/>
                <w:sz w:val="22"/>
                <w:szCs w:val="22"/>
              </w:rPr>
              <w:t>/l, o trombocitų skaičius ≥ 20 x 10</w:t>
            </w:r>
            <w:r w:rsidRPr="00C81D88">
              <w:rPr>
                <w:rFonts w:eastAsia="Calibri"/>
                <w:sz w:val="22"/>
                <w:szCs w:val="22"/>
                <w:vertAlign w:val="superscript"/>
              </w:rPr>
              <w:t>9</w:t>
            </w:r>
            <w:r w:rsidRPr="00C81D88">
              <w:rPr>
                <w:rFonts w:eastAsia="Calibri"/>
                <w:sz w:val="22"/>
                <w:szCs w:val="22"/>
              </w:rPr>
              <w:t>/l. Vėliau gydymą atnaujinti tokia pačia doze kaip pirmoji pradinė dozė.</w:t>
            </w:r>
          </w:p>
          <w:p w14:paraId="52664135" w14:textId="77777777" w:rsidR="00091B58" w:rsidRPr="00C81D88" w:rsidRDefault="00091B58" w:rsidP="00AB3BF3">
            <w:pPr>
              <w:widowControl w:val="0"/>
              <w:spacing w:line="254" w:lineRule="exact"/>
              <w:ind w:right="-23"/>
              <w:rPr>
                <w:rFonts w:eastAsia="Calibri"/>
                <w:sz w:val="22"/>
                <w:szCs w:val="22"/>
              </w:rPr>
            </w:pPr>
          </w:p>
          <w:p w14:paraId="37E063F9" w14:textId="77777777" w:rsidR="00091B58" w:rsidRPr="00C81D88" w:rsidRDefault="00091B58" w:rsidP="00AB3BF3">
            <w:pPr>
              <w:widowControl w:val="0"/>
              <w:spacing w:line="254" w:lineRule="exact"/>
              <w:ind w:left="308" w:right="-23" w:hanging="308"/>
              <w:rPr>
                <w:rFonts w:eastAsia="Calibri"/>
                <w:sz w:val="22"/>
                <w:szCs w:val="22"/>
              </w:rPr>
            </w:pPr>
            <w:r w:rsidRPr="00C81D88">
              <w:rPr>
                <w:rFonts w:eastAsia="Calibri"/>
                <w:sz w:val="22"/>
                <w:szCs w:val="22"/>
              </w:rPr>
              <w:t>3. Citopenijai atsinaujinus, kartoti pirmąjį žingsnį. Vėliau gydymą tęsti mažesnė doze: 100 mg kartą per parą (antras epizodas) arba 80 mg kartą per parą (trečias epizodas).</w:t>
            </w:r>
          </w:p>
          <w:p w14:paraId="36681981" w14:textId="77777777" w:rsidR="00091B58" w:rsidRPr="00C81D88" w:rsidRDefault="00091B58" w:rsidP="00AB3BF3">
            <w:pPr>
              <w:widowControl w:val="0"/>
              <w:spacing w:line="254" w:lineRule="exact"/>
              <w:ind w:right="-23"/>
              <w:rPr>
                <w:rFonts w:eastAsia="Calibri"/>
                <w:sz w:val="22"/>
                <w:szCs w:val="22"/>
              </w:rPr>
            </w:pPr>
          </w:p>
          <w:p w14:paraId="52A73FBB" w14:textId="77777777" w:rsidR="00091B58" w:rsidRPr="00C81D88" w:rsidRDefault="00091B58" w:rsidP="00AB3BF3">
            <w:pPr>
              <w:widowControl w:val="0"/>
              <w:spacing w:line="254" w:lineRule="exact"/>
              <w:ind w:left="308" w:right="-23" w:hanging="308"/>
              <w:rPr>
                <w:rFonts w:eastAsia="Calibri"/>
                <w:sz w:val="22"/>
                <w:szCs w:val="22"/>
              </w:rPr>
            </w:pPr>
            <w:r w:rsidRPr="00C81D88">
              <w:rPr>
                <w:rFonts w:eastAsia="Calibri"/>
                <w:sz w:val="22"/>
                <w:szCs w:val="22"/>
              </w:rPr>
              <w:t>4. Jei citopenija susijusi su leukemija, svarstytinas dozės didinimas iki 180 mg kartą per parą.</w:t>
            </w:r>
          </w:p>
        </w:tc>
      </w:tr>
    </w:tbl>
    <w:p w14:paraId="6ADCACFF"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ANS - absoliutus neutrofilų skaičius</w:t>
      </w:r>
    </w:p>
    <w:p w14:paraId="2EE5935F" w14:textId="77777777" w:rsidR="00091B58" w:rsidRPr="00C81D88" w:rsidRDefault="00091B58" w:rsidP="00091B58">
      <w:pPr>
        <w:autoSpaceDE w:val="0"/>
        <w:autoSpaceDN w:val="0"/>
        <w:adjustRightInd w:val="0"/>
        <w:rPr>
          <w:rFonts w:eastAsia="Calibri"/>
          <w:sz w:val="22"/>
          <w:szCs w:val="22"/>
        </w:rPr>
      </w:pPr>
    </w:p>
    <w:p w14:paraId="38536A2B"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Vaikams, sergantiems Ph+ ŪLL, dėl 1</w:t>
      </w:r>
      <w:r w:rsidRPr="00C81D88">
        <w:rPr>
          <w:rFonts w:eastAsia="Calibri"/>
          <w:iCs/>
          <w:sz w:val="22"/>
          <w:szCs w:val="22"/>
        </w:rPr>
        <w:noBreakHyphen/>
        <w:t>4 laipsnio hematotoksinio poveikio dozės koreguoti nerekomenduojama. Jeigu dėl neutropenijos ir (arba) trombocitopenijos tenka atidėti kitą gydymo kursą daugiau kaip 14 dienų, tai dazatinibo vartojimą reikia laikinai nutraukti, o pradedant vėlesnį gydymo kursą – vėl atnaujinti ta pačia doze. Jeigu neutropenija ir (arba) trombocitopenija išlieka, o kitas gydymo kursas atidedamas dar 7 dienoms, reikia ištirti kaulų čiulpus (kokią dalį juose sudaro ląstelės ir kokia yra blastų procentinė dalis). Jeigu ląstelės sudaro &lt; 10 %, dazatinibo vartojimą reikia laikinai nutraukti, kol ANS taps &gt; 500/μl (0,5 x 10</w:t>
      </w:r>
      <w:r w:rsidRPr="00C81D88">
        <w:rPr>
          <w:rFonts w:eastAsia="Calibri"/>
          <w:iCs/>
          <w:sz w:val="22"/>
          <w:szCs w:val="22"/>
          <w:vertAlign w:val="superscript"/>
        </w:rPr>
        <w:t>9</w:t>
      </w:r>
      <w:r w:rsidRPr="00C81D88">
        <w:rPr>
          <w:rFonts w:eastAsia="Calibri"/>
          <w:iCs/>
          <w:sz w:val="22"/>
          <w:szCs w:val="22"/>
        </w:rPr>
        <w:t>/l), o tuomet gydymą galima tęsti ta pačia doze. Galimybę atnaujinti gydymą dazatinibu galima svarstyti tada, kai ląstelės sudaro &gt; 10 % kaulų čiulpų.</w:t>
      </w:r>
    </w:p>
    <w:p w14:paraId="731CD879" w14:textId="77777777" w:rsidR="00091B58" w:rsidRPr="00C81D88" w:rsidRDefault="00091B58" w:rsidP="00091B58">
      <w:pPr>
        <w:autoSpaceDE w:val="0"/>
        <w:autoSpaceDN w:val="0"/>
        <w:adjustRightInd w:val="0"/>
        <w:rPr>
          <w:rFonts w:eastAsia="Calibri"/>
          <w:sz w:val="22"/>
          <w:szCs w:val="22"/>
        </w:rPr>
      </w:pPr>
    </w:p>
    <w:p w14:paraId="34A98687" w14:textId="77777777" w:rsidR="00091B58" w:rsidRPr="00C81D88" w:rsidRDefault="00091B58" w:rsidP="00091B58">
      <w:pPr>
        <w:autoSpaceDE w:val="0"/>
        <w:autoSpaceDN w:val="0"/>
        <w:adjustRightInd w:val="0"/>
        <w:rPr>
          <w:rFonts w:eastAsia="Calibri"/>
          <w:i/>
          <w:iCs/>
          <w:sz w:val="22"/>
          <w:szCs w:val="22"/>
          <w:u w:val="single"/>
        </w:rPr>
      </w:pPr>
      <w:r w:rsidRPr="00C81D88">
        <w:rPr>
          <w:rFonts w:eastAsia="Calibri"/>
          <w:i/>
          <w:iCs/>
          <w:sz w:val="22"/>
          <w:szCs w:val="22"/>
          <w:u w:val="single"/>
        </w:rPr>
        <w:t>Nehematologinės nepageidaujamos reakcijos</w:t>
      </w:r>
    </w:p>
    <w:p w14:paraId="669ACA86"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Dazatinibo vartojimo metu pasireiškus vidutinio sunkumo (2 laipsnio) nehematologinei nepageidaujamai reakcijai, šio vaistinio preparato vartojimą reikia laikinai nutraukti, kol nepageidaujama reakcija išnyks arba būklė pasidarys tokia, kokia buvo iki gydymo. Vėliau po pirmojo nepageidaujamos reakcijos epizodo gydymą reikia tęsti tokia pačia doze, o po pasikartojusio epizodo – sumažinta doze. Dazatinibo vartojimo metu pasireiškus sunkiai (3 ar 4 laipsnio) nehematologinei nepageidaujamai reakcijai, gydymą reikia sustabdyti, kol ji praeis. Vėliau gydymą galima tinkamai atnaujinti, sumažinus dozę atsižvelgiant į pradinį nepageidaujamos reakcijos sunkumą. Ph+ ŪLL sergantiems pacientams, kurie vartojo 140 mg kartą per parą, dozę rekomenduojama sumažinti iki 100 mg kartą per parą, o vėliau, jei reikia – nuo 100 mg kartą per parą iki 50 mg kartą per parą. Ph+ ŪLL sergantiems vaikams pasireiškus nehematologinių nepageidaujamų reakcijų, jei reikia, galima sumažinti dozę , remiantis anksčiau pateikiamomis dozės mažinimo dėl hematologinių nepageidaujamų reakcijų rekomendacijomis.</w:t>
      </w:r>
    </w:p>
    <w:p w14:paraId="5B585C95" w14:textId="77777777" w:rsidR="00091B58" w:rsidRPr="00C81D88" w:rsidRDefault="00091B58" w:rsidP="00091B58">
      <w:pPr>
        <w:autoSpaceDE w:val="0"/>
        <w:autoSpaceDN w:val="0"/>
        <w:adjustRightInd w:val="0"/>
        <w:rPr>
          <w:rFonts w:eastAsia="Calibri"/>
          <w:sz w:val="22"/>
          <w:szCs w:val="22"/>
        </w:rPr>
      </w:pPr>
    </w:p>
    <w:p w14:paraId="67E49B2A" w14:textId="77777777" w:rsidR="00091B58" w:rsidRPr="00C81D88" w:rsidRDefault="00091B58" w:rsidP="00091B58">
      <w:pPr>
        <w:autoSpaceDE w:val="0"/>
        <w:autoSpaceDN w:val="0"/>
        <w:adjustRightInd w:val="0"/>
        <w:rPr>
          <w:rFonts w:eastAsia="Calibri"/>
          <w:i/>
          <w:iCs/>
          <w:sz w:val="22"/>
          <w:szCs w:val="22"/>
        </w:rPr>
      </w:pPr>
      <w:r w:rsidRPr="00C81D88">
        <w:rPr>
          <w:rFonts w:eastAsia="Calibri"/>
          <w:i/>
          <w:iCs/>
          <w:sz w:val="22"/>
          <w:szCs w:val="22"/>
        </w:rPr>
        <w:t>Pleuros efuzija</w:t>
      </w:r>
    </w:p>
    <w:p w14:paraId="48218EB2"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Diagnozavus pleuros efuziją, reikia laikinai nutraukti dazatinibo vartojimą, kol išnyks simptomai arba būklė pasidarys tokia, kokia buvo iki gydymo. Jeigu per maždaug vieną savaitę paciento būklė nepagerėja, svarstytinas gydymo diuretikais ir (arba) kortikosteroidais tikslingumas (žr. 4.4 ir 4.8 skyrius). Praėjus pirmajam epizodui, svarstytina galimybė vėl skirti tokią pačią dazatinibo dozę. Praėjus pasikartojusiam epizodui, skiriama vienu lygiu mažesnė dazatinibo dozė. Praėjus sunkiam (3 ar 4 laipsnio) epizodui, jei reikia, gydymą galima tinkamai atnaujinti, sumažinus dozę atsižvelgiant į pradinį nepageidaujamos reakcijos sunkumą.</w:t>
      </w:r>
    </w:p>
    <w:p w14:paraId="4A6C26D8" w14:textId="77777777" w:rsidR="00091B58" w:rsidRPr="00C81D88" w:rsidRDefault="00091B58" w:rsidP="00091B58">
      <w:pPr>
        <w:autoSpaceDE w:val="0"/>
        <w:autoSpaceDN w:val="0"/>
        <w:adjustRightInd w:val="0"/>
        <w:rPr>
          <w:rFonts w:eastAsia="Calibri"/>
          <w:iCs/>
          <w:sz w:val="22"/>
          <w:szCs w:val="22"/>
        </w:rPr>
      </w:pPr>
    </w:p>
    <w:p w14:paraId="321B00B0" w14:textId="77777777" w:rsidR="00091B58" w:rsidRPr="00C81D88" w:rsidRDefault="00091B58" w:rsidP="00091B58">
      <w:pPr>
        <w:autoSpaceDE w:val="0"/>
        <w:autoSpaceDN w:val="0"/>
        <w:adjustRightInd w:val="0"/>
        <w:rPr>
          <w:rFonts w:eastAsia="Calibri"/>
          <w:i/>
          <w:iCs/>
          <w:sz w:val="22"/>
          <w:szCs w:val="22"/>
        </w:rPr>
      </w:pPr>
      <w:r w:rsidRPr="00C81D88">
        <w:rPr>
          <w:rFonts w:eastAsia="Calibri"/>
          <w:i/>
          <w:iCs/>
          <w:sz w:val="22"/>
          <w:szCs w:val="22"/>
        </w:rPr>
        <w:t>Dozės mažinimas kartu vartojant stipraus poveikio CYP3A4 inhibitorių</w:t>
      </w:r>
    </w:p>
    <w:p w14:paraId="50F64012"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Būtina vengti kartu su dazatinibu vartoti stipraus poveikio CYP3A4 inhibitorių ir greipfrutų sulčių (žr. 4.5 skyrių). Jei galima, reikia pasirinkti kitą vaistinį preparatą, kuris fermentų neslopina arba juos slopina minimaliai. Jeigu dazatinibą tenka vartoti kartu su stipraus poveikio CYP3A4 inhibitoriumi, reikia apsvarstyti poreikį sumažinti dozę:</w:t>
      </w:r>
    </w:p>
    <w:p w14:paraId="1204CE1B" w14:textId="77777777" w:rsidR="00091B58" w:rsidRPr="00053893" w:rsidRDefault="00091B58" w:rsidP="00091B58">
      <w:pPr>
        <w:pStyle w:val="ListParagraph"/>
        <w:numPr>
          <w:ilvl w:val="1"/>
          <w:numId w:val="19"/>
        </w:numPr>
        <w:autoSpaceDE w:val="0"/>
        <w:autoSpaceDN w:val="0"/>
        <w:adjustRightInd w:val="0"/>
        <w:ind w:left="567" w:hanging="567"/>
        <w:contextualSpacing/>
        <w:rPr>
          <w:rFonts w:eastAsia="Calibri"/>
          <w:sz w:val="22"/>
          <w:lang w:val="lt-LT"/>
        </w:rPr>
      </w:pPr>
      <w:r w:rsidRPr="00053893">
        <w:rPr>
          <w:rFonts w:eastAsia="Calibri"/>
          <w:sz w:val="22"/>
          <w:lang w:val="lt-LT"/>
        </w:rPr>
        <w:t>pacientams, kasdien vartojantiems Dasatinb Norameda 140 mg dozę – iki 40 mg per parą;</w:t>
      </w:r>
    </w:p>
    <w:p w14:paraId="5D6393EF" w14:textId="77777777" w:rsidR="00091B58" w:rsidRPr="00053893" w:rsidRDefault="00091B58" w:rsidP="00091B58">
      <w:pPr>
        <w:pStyle w:val="ListParagraph"/>
        <w:numPr>
          <w:ilvl w:val="1"/>
          <w:numId w:val="19"/>
        </w:numPr>
        <w:autoSpaceDE w:val="0"/>
        <w:autoSpaceDN w:val="0"/>
        <w:adjustRightInd w:val="0"/>
        <w:ind w:left="567" w:hanging="567"/>
        <w:contextualSpacing/>
        <w:rPr>
          <w:rFonts w:eastAsia="Calibri"/>
          <w:sz w:val="22"/>
          <w:lang w:val="lt-LT"/>
        </w:rPr>
      </w:pPr>
      <w:r w:rsidRPr="00053893">
        <w:rPr>
          <w:rFonts w:eastAsia="Calibri"/>
          <w:sz w:val="22"/>
          <w:lang w:val="lt-LT"/>
        </w:rPr>
        <w:t>pacientams, kasdien vartojantiems Dasatinb Norameda 100 mg dozę – iki 20 mg per parą;</w:t>
      </w:r>
    </w:p>
    <w:p w14:paraId="502F2585" w14:textId="77777777" w:rsidR="00091B58" w:rsidRPr="00053893" w:rsidRDefault="00091B58" w:rsidP="00091B58">
      <w:pPr>
        <w:pStyle w:val="ListParagraph"/>
        <w:numPr>
          <w:ilvl w:val="1"/>
          <w:numId w:val="19"/>
        </w:numPr>
        <w:autoSpaceDE w:val="0"/>
        <w:autoSpaceDN w:val="0"/>
        <w:adjustRightInd w:val="0"/>
        <w:ind w:left="567" w:hanging="567"/>
        <w:contextualSpacing/>
        <w:rPr>
          <w:rFonts w:eastAsia="Calibri"/>
          <w:sz w:val="22"/>
          <w:lang w:val="lt-LT"/>
        </w:rPr>
      </w:pPr>
      <w:r w:rsidRPr="00053893">
        <w:rPr>
          <w:rFonts w:eastAsia="Calibri"/>
          <w:sz w:val="22"/>
          <w:lang w:val="lt-LT"/>
        </w:rPr>
        <w:t>pacientams, kasdien vartojantiems Dasatinb Norameda 70 mg dozę – iki 20 mg per parą.</w:t>
      </w:r>
    </w:p>
    <w:p w14:paraId="3BBF3629" w14:textId="77777777" w:rsidR="00091B58" w:rsidRPr="00C81D88" w:rsidRDefault="00091B58" w:rsidP="00091B58">
      <w:pPr>
        <w:autoSpaceDE w:val="0"/>
        <w:autoSpaceDN w:val="0"/>
        <w:adjustRightInd w:val="0"/>
        <w:rPr>
          <w:rFonts w:eastAsia="Calibri"/>
          <w:iCs/>
          <w:sz w:val="22"/>
          <w:szCs w:val="22"/>
        </w:rPr>
      </w:pPr>
    </w:p>
    <w:p w14:paraId="318D8A61"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Jeigu pacientas vartoja 40 mg arba 60 mg Dasatinb Norameda per parą, būtina apsvarstyti galimybę laikinai (iki gydymo CYP3A4 inhibitoriumi nutraukimo) sustabdyti Dasatinb Norameda vartojimą arba sumažinti jo dozę pakeičiant tabletes milteliais geriamajai suspensijai. Baigus vartoti</w:t>
      </w:r>
      <w:r w:rsidRPr="00C81D88">
        <w:rPr>
          <w:sz w:val="22"/>
          <w:szCs w:val="22"/>
        </w:rPr>
        <w:t xml:space="preserve"> </w:t>
      </w:r>
      <w:r w:rsidRPr="00C81D88">
        <w:rPr>
          <w:rFonts w:eastAsia="Calibri"/>
          <w:iCs/>
          <w:sz w:val="22"/>
          <w:szCs w:val="22"/>
        </w:rPr>
        <w:t>CYP3A4 inhibitorių, reikia palaukti maždaug savaitę („išplovimo laikotarpį“) ir tik tada vėl pradėti vartoti Dasatinb Norameda.</w:t>
      </w:r>
    </w:p>
    <w:p w14:paraId="1E0269A8" w14:textId="77777777" w:rsidR="00091B58" w:rsidRPr="00C81D88" w:rsidRDefault="00091B58" w:rsidP="00091B58">
      <w:pPr>
        <w:autoSpaceDE w:val="0"/>
        <w:autoSpaceDN w:val="0"/>
        <w:adjustRightInd w:val="0"/>
        <w:rPr>
          <w:rFonts w:eastAsia="Calibri"/>
          <w:iCs/>
          <w:sz w:val="22"/>
          <w:szCs w:val="22"/>
        </w:rPr>
      </w:pPr>
    </w:p>
    <w:p w14:paraId="5D9C1145"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Šios sumažintos dazatinibo dozės apskaičiuotos taip, kad plotas po kreive (AUC) būtų tokiose ribose kaip CYP3A4 inhibitorių nevartojant. Vis dėlto klinikinių tokio dozės koregavimo pacientams, kartu vartojantiems stipraus poveikio CYP3A4 inhibitorių, duomenų nėra. Jei pacientas netoleruoja</w:t>
      </w:r>
    </w:p>
    <w:p w14:paraId="474F6998"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sumažintos dazatinibo dozės, reikia nutraukti gydymą stipraus poveikio CYP3A4 inhibitoriumi arba sustabdyti dazatinibo vartojimą iki gydymo inhibitoriumi nutraukimo. Baigus vartoti inhibitorių, reikia palaukti maždaug savaitę („išplovimo laikotarpį“) ir tik tada padidinti dazatinibo dozę.</w:t>
      </w:r>
    </w:p>
    <w:p w14:paraId="4C92CAC7" w14:textId="77777777" w:rsidR="00091B58" w:rsidRPr="00C81D88" w:rsidRDefault="00091B58" w:rsidP="00091B58">
      <w:pPr>
        <w:autoSpaceDE w:val="0"/>
        <w:autoSpaceDN w:val="0"/>
        <w:adjustRightInd w:val="0"/>
        <w:rPr>
          <w:rFonts w:eastAsia="Calibri"/>
          <w:iCs/>
          <w:sz w:val="22"/>
          <w:szCs w:val="22"/>
        </w:rPr>
      </w:pPr>
    </w:p>
    <w:p w14:paraId="367A16F9" w14:textId="77777777" w:rsidR="00091B58" w:rsidRPr="00C81D88" w:rsidRDefault="00091B58" w:rsidP="00091B58">
      <w:pPr>
        <w:autoSpaceDE w:val="0"/>
        <w:autoSpaceDN w:val="0"/>
        <w:adjustRightInd w:val="0"/>
        <w:rPr>
          <w:rFonts w:eastAsia="Calibri"/>
          <w:iCs/>
          <w:sz w:val="22"/>
          <w:szCs w:val="22"/>
          <w:u w:val="single"/>
        </w:rPr>
      </w:pPr>
      <w:r w:rsidRPr="00C81D88">
        <w:rPr>
          <w:rFonts w:eastAsia="Calibri"/>
          <w:iCs/>
          <w:sz w:val="22"/>
          <w:szCs w:val="22"/>
          <w:u w:val="single"/>
        </w:rPr>
        <w:t>Ypatingos pacientų populiacijos</w:t>
      </w:r>
    </w:p>
    <w:p w14:paraId="04D030C4" w14:textId="77777777" w:rsidR="00091B58" w:rsidRPr="00C81D88" w:rsidRDefault="00091B58" w:rsidP="00091B58">
      <w:pPr>
        <w:autoSpaceDE w:val="0"/>
        <w:autoSpaceDN w:val="0"/>
        <w:adjustRightInd w:val="0"/>
        <w:rPr>
          <w:rFonts w:eastAsia="Calibri"/>
          <w:i/>
          <w:iCs/>
          <w:sz w:val="22"/>
          <w:szCs w:val="22"/>
        </w:rPr>
      </w:pPr>
      <w:r w:rsidRPr="00C81D88">
        <w:rPr>
          <w:rFonts w:eastAsia="Calibri"/>
          <w:i/>
          <w:iCs/>
          <w:sz w:val="22"/>
          <w:szCs w:val="22"/>
        </w:rPr>
        <w:t>Senyviems pacientams</w:t>
      </w:r>
    </w:p>
    <w:p w14:paraId="41EB8EAB"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Kliniškai reikšmingų su amžiumi susijusių farmakokinetikos skirtumų senyviems pacientams nenustatyta. Senyviems pacientams ypatingos dozavimo rekomendacijos nereikalingos.</w:t>
      </w:r>
    </w:p>
    <w:p w14:paraId="04CD0A32" w14:textId="77777777" w:rsidR="00091B58" w:rsidRPr="00C81D88" w:rsidRDefault="00091B58" w:rsidP="00091B58">
      <w:pPr>
        <w:autoSpaceDE w:val="0"/>
        <w:autoSpaceDN w:val="0"/>
        <w:adjustRightInd w:val="0"/>
        <w:rPr>
          <w:rFonts w:eastAsia="Calibri"/>
          <w:i/>
          <w:iCs/>
          <w:sz w:val="22"/>
          <w:szCs w:val="22"/>
        </w:rPr>
      </w:pPr>
    </w:p>
    <w:p w14:paraId="490CCBFF" w14:textId="77777777" w:rsidR="00091B58" w:rsidRPr="00C81D88" w:rsidRDefault="00091B58" w:rsidP="00091B58">
      <w:pPr>
        <w:autoSpaceDE w:val="0"/>
        <w:autoSpaceDN w:val="0"/>
        <w:adjustRightInd w:val="0"/>
        <w:rPr>
          <w:rFonts w:eastAsia="Calibri"/>
          <w:i/>
          <w:iCs/>
          <w:sz w:val="22"/>
          <w:szCs w:val="22"/>
        </w:rPr>
      </w:pPr>
      <w:r w:rsidRPr="00C81D88">
        <w:rPr>
          <w:rFonts w:eastAsia="Calibri"/>
          <w:i/>
          <w:iCs/>
          <w:sz w:val="22"/>
          <w:szCs w:val="22"/>
        </w:rPr>
        <w:t xml:space="preserve">Pacientams, kurių kepenų funkcija sutrikusi </w:t>
      </w:r>
    </w:p>
    <w:p w14:paraId="0AFAD972"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 xml:space="preserve">Pacientams, kuriems yra lengvas, vidutinio sunkumo ar sunkus kepenų funkcijos sutrikimas, galima vartoti rekomenduojamą pradinę dozę. Vis dėlto, pacientams, kurių kepenų funkcija sutrikusi, </w:t>
      </w:r>
      <w:r w:rsidRPr="00C81D88">
        <w:rPr>
          <w:rFonts w:eastAsia="Calibri"/>
          <w:sz w:val="22"/>
          <w:szCs w:val="22"/>
        </w:rPr>
        <w:t>Dasatinib Norameda</w:t>
      </w:r>
      <w:r w:rsidRPr="00C81D88">
        <w:rPr>
          <w:rFonts w:eastAsia="Calibri"/>
          <w:iCs/>
          <w:sz w:val="22"/>
          <w:szCs w:val="22"/>
        </w:rPr>
        <w:t xml:space="preserve"> reikia vartoti atsargiai (žr. 5.2 skyrių).</w:t>
      </w:r>
    </w:p>
    <w:p w14:paraId="54749BCA" w14:textId="77777777" w:rsidR="00091B58" w:rsidRPr="00C81D88" w:rsidRDefault="00091B58" w:rsidP="00091B58">
      <w:pPr>
        <w:autoSpaceDE w:val="0"/>
        <w:autoSpaceDN w:val="0"/>
        <w:adjustRightInd w:val="0"/>
        <w:rPr>
          <w:rFonts w:eastAsia="Calibri"/>
          <w:i/>
          <w:iCs/>
          <w:sz w:val="22"/>
          <w:szCs w:val="22"/>
        </w:rPr>
      </w:pPr>
    </w:p>
    <w:p w14:paraId="18898920" w14:textId="77777777" w:rsidR="00091B58" w:rsidRPr="00C81D88" w:rsidRDefault="00091B58" w:rsidP="00091B58">
      <w:pPr>
        <w:autoSpaceDE w:val="0"/>
        <w:autoSpaceDN w:val="0"/>
        <w:adjustRightInd w:val="0"/>
        <w:rPr>
          <w:rFonts w:eastAsia="Calibri"/>
          <w:i/>
          <w:iCs/>
          <w:sz w:val="22"/>
          <w:szCs w:val="22"/>
        </w:rPr>
      </w:pPr>
      <w:r w:rsidRPr="00C81D88">
        <w:rPr>
          <w:rFonts w:eastAsia="Calibri"/>
          <w:i/>
          <w:iCs/>
          <w:sz w:val="22"/>
          <w:szCs w:val="22"/>
        </w:rPr>
        <w:t xml:space="preserve">Pacientams, kurių inkstų funkcija sutrikusi </w:t>
      </w:r>
    </w:p>
    <w:p w14:paraId="6F5E43F3" w14:textId="77777777" w:rsidR="00091B58" w:rsidRPr="00C81D88" w:rsidRDefault="00091B58" w:rsidP="00091B58">
      <w:pPr>
        <w:autoSpaceDE w:val="0"/>
        <w:autoSpaceDN w:val="0"/>
        <w:adjustRightInd w:val="0"/>
        <w:rPr>
          <w:rFonts w:eastAsia="Calibri"/>
          <w:iCs/>
          <w:sz w:val="22"/>
          <w:szCs w:val="22"/>
        </w:rPr>
      </w:pPr>
      <w:r w:rsidRPr="00C81D88">
        <w:rPr>
          <w:rFonts w:eastAsia="Calibri"/>
          <w:sz w:val="22"/>
          <w:szCs w:val="22"/>
        </w:rPr>
        <w:t>Pacientams,</w:t>
      </w:r>
      <w:r w:rsidRPr="00C81D88">
        <w:rPr>
          <w:rFonts w:eastAsia="Calibri"/>
          <w:iCs/>
          <w:sz w:val="22"/>
          <w:szCs w:val="22"/>
        </w:rPr>
        <w:t xml:space="preserve"> kurių inkstų funkcija susilpnėjusi,</w:t>
      </w:r>
      <w:r w:rsidRPr="00C81D88">
        <w:rPr>
          <w:rFonts w:eastAsia="Calibri"/>
          <w:sz w:val="22"/>
          <w:szCs w:val="22"/>
        </w:rPr>
        <w:t xml:space="preserve"> </w:t>
      </w:r>
      <w:r w:rsidRPr="00C81D88">
        <w:rPr>
          <w:rFonts w:eastAsia="Calibri"/>
          <w:iCs/>
          <w:sz w:val="22"/>
          <w:szCs w:val="22"/>
        </w:rPr>
        <w:t>klinikinių tyrimų su dazatinibu neatlikta. Kadangi dazatinibo ir jo metabolitų inkstų klirensas yra mažesnis negu 4 %, manoma, kad pacientams, kuriems nustatytas inkstų nepakankamumas, bendras organizmo klirensas nesumažės.</w:t>
      </w:r>
    </w:p>
    <w:p w14:paraId="0E61AB61" w14:textId="77777777" w:rsidR="00091B58" w:rsidRPr="00C81D88" w:rsidRDefault="00091B58" w:rsidP="00091B58">
      <w:pPr>
        <w:autoSpaceDE w:val="0"/>
        <w:autoSpaceDN w:val="0"/>
        <w:adjustRightInd w:val="0"/>
        <w:rPr>
          <w:rFonts w:eastAsia="Calibri"/>
          <w:iCs/>
          <w:sz w:val="22"/>
          <w:szCs w:val="22"/>
        </w:rPr>
      </w:pPr>
    </w:p>
    <w:p w14:paraId="53F86381" w14:textId="77777777" w:rsidR="00091B58" w:rsidRPr="00C81D88" w:rsidRDefault="00091B58" w:rsidP="00091B58">
      <w:pPr>
        <w:autoSpaceDE w:val="0"/>
        <w:autoSpaceDN w:val="0"/>
        <w:adjustRightInd w:val="0"/>
        <w:rPr>
          <w:rFonts w:eastAsia="Calibri"/>
          <w:iCs/>
          <w:sz w:val="22"/>
          <w:szCs w:val="22"/>
          <w:u w:val="single"/>
        </w:rPr>
      </w:pPr>
      <w:r w:rsidRPr="00C81D88">
        <w:rPr>
          <w:rFonts w:eastAsia="Calibri"/>
          <w:iCs/>
          <w:sz w:val="22"/>
          <w:szCs w:val="22"/>
          <w:u w:val="single"/>
        </w:rPr>
        <w:t>Vartojimo metodas</w:t>
      </w:r>
    </w:p>
    <w:p w14:paraId="7B0E3FB3" w14:textId="77777777" w:rsidR="00091B58" w:rsidRPr="00C81D88" w:rsidRDefault="00091B58" w:rsidP="00091B58">
      <w:pPr>
        <w:autoSpaceDE w:val="0"/>
        <w:autoSpaceDN w:val="0"/>
        <w:adjustRightInd w:val="0"/>
        <w:rPr>
          <w:rFonts w:eastAsia="Calibri"/>
          <w:iCs/>
          <w:sz w:val="22"/>
          <w:szCs w:val="22"/>
        </w:rPr>
      </w:pPr>
      <w:r w:rsidRPr="00C81D88">
        <w:rPr>
          <w:rFonts w:eastAsia="Calibri"/>
          <w:iCs/>
          <w:sz w:val="22"/>
          <w:szCs w:val="22"/>
        </w:rPr>
        <w:t>Dasatinib Norameda reikia vartoti per burną.</w:t>
      </w:r>
    </w:p>
    <w:p w14:paraId="6CAEAF2F" w14:textId="77777777" w:rsidR="00091B58" w:rsidRPr="00C81D88" w:rsidRDefault="00091B58" w:rsidP="00091B58">
      <w:pPr>
        <w:rPr>
          <w:rFonts w:eastAsia="SimSun"/>
          <w:sz w:val="22"/>
          <w:szCs w:val="22"/>
          <w:lang w:eastAsia="zh-CN"/>
        </w:rPr>
      </w:pPr>
      <w:r w:rsidRPr="00C81D88">
        <w:rPr>
          <w:rFonts w:eastAsia="SimSun"/>
          <w:sz w:val="22"/>
          <w:szCs w:val="22"/>
          <w:lang w:eastAsia="zh-CN"/>
        </w:rPr>
        <w:t>Plėvele dengtų tablečių negalima traiškyti, pjaustyti ar kramtyti, kad būtų išgerta tiksli dozė ir sumažėtų kontakto su oda rizika; jas reikia nuryti sveikas. Plėvele dengtų tablečių negalima disperguoti, kadangi tuomet ekspozicija būna mažesnė negu jas nurijus sveikas. Taip pat tiekiami milteliai geriamajai suspensijai Ph+ ŪLL sergantiems vaikams, kurie negali nuryti tablečių.</w:t>
      </w:r>
    </w:p>
    <w:p w14:paraId="04839357" w14:textId="77777777" w:rsidR="00091B58" w:rsidRPr="00C81D88" w:rsidRDefault="00091B58" w:rsidP="00091B58">
      <w:pPr>
        <w:rPr>
          <w:rFonts w:eastAsia="SimSun"/>
          <w:sz w:val="22"/>
          <w:szCs w:val="22"/>
          <w:lang w:eastAsia="zh-CN"/>
        </w:rPr>
      </w:pPr>
      <w:r w:rsidRPr="00C81D88">
        <w:rPr>
          <w:rFonts w:eastAsia="Calibri"/>
          <w:iCs/>
          <w:sz w:val="22"/>
          <w:szCs w:val="22"/>
        </w:rPr>
        <w:t xml:space="preserve">Dasatinib Norameda </w:t>
      </w:r>
      <w:r w:rsidRPr="00C81D88">
        <w:rPr>
          <w:rFonts w:eastAsia="SimSun"/>
          <w:sz w:val="22"/>
          <w:szCs w:val="22"/>
          <w:lang w:eastAsia="zh-CN"/>
        </w:rPr>
        <w:t>galima vartoti valgant arba kitu laiku, visada ryte arba visada vakare (</w:t>
      </w:r>
      <w:r w:rsidRPr="00C81D88">
        <w:rPr>
          <w:rFonts w:eastAsia="MS Mincho"/>
          <w:sz w:val="22"/>
          <w:szCs w:val="22"/>
          <w:lang w:eastAsia="zh-CN"/>
        </w:rPr>
        <w:t>ž</w:t>
      </w:r>
      <w:r w:rsidRPr="00C81D88">
        <w:rPr>
          <w:rFonts w:eastAsia="SimSun"/>
          <w:sz w:val="22"/>
          <w:szCs w:val="22"/>
          <w:lang w:eastAsia="zh-CN"/>
        </w:rPr>
        <w:t>r. 5.2 skyri</w:t>
      </w:r>
      <w:r w:rsidRPr="00C81D88">
        <w:rPr>
          <w:rFonts w:eastAsia="MS Mincho"/>
          <w:sz w:val="22"/>
          <w:szCs w:val="22"/>
          <w:lang w:eastAsia="zh-CN"/>
        </w:rPr>
        <w:t>ų</w:t>
      </w:r>
      <w:r w:rsidRPr="00C81D88">
        <w:rPr>
          <w:rFonts w:eastAsia="SimSun"/>
          <w:sz w:val="22"/>
          <w:szCs w:val="22"/>
          <w:lang w:eastAsia="zh-CN"/>
        </w:rPr>
        <w:t xml:space="preserve">). </w:t>
      </w:r>
      <w:r w:rsidRPr="00C81D88">
        <w:rPr>
          <w:rFonts w:eastAsia="Calibri"/>
          <w:iCs/>
          <w:sz w:val="22"/>
          <w:szCs w:val="22"/>
        </w:rPr>
        <w:t xml:space="preserve">Dasatinib Norameda </w:t>
      </w:r>
      <w:r w:rsidRPr="00C81D88">
        <w:rPr>
          <w:rFonts w:eastAsia="SimSun"/>
          <w:sz w:val="22"/>
          <w:szCs w:val="22"/>
          <w:lang w:eastAsia="zh-CN"/>
        </w:rPr>
        <w:t>negalima vartoti kartu su greipfrutais arba jų sultimis (žr. 4.5 skyrių).</w:t>
      </w:r>
    </w:p>
    <w:p w14:paraId="46B82E6C" w14:textId="77777777" w:rsidR="00091B58" w:rsidRPr="00C81D88" w:rsidRDefault="00091B58" w:rsidP="00091B58">
      <w:pPr>
        <w:rPr>
          <w:rFonts w:eastAsia="SimSun"/>
          <w:sz w:val="22"/>
          <w:szCs w:val="22"/>
          <w:lang w:eastAsia="zh-CN"/>
        </w:rPr>
      </w:pPr>
    </w:p>
    <w:p w14:paraId="22D9B975" w14:textId="77777777" w:rsidR="00091B58" w:rsidRPr="00C81D88" w:rsidRDefault="00091B58" w:rsidP="00091B58">
      <w:pPr>
        <w:rPr>
          <w:rFonts w:eastAsia="SimSun"/>
          <w:b/>
          <w:sz w:val="22"/>
          <w:szCs w:val="22"/>
        </w:rPr>
      </w:pPr>
      <w:r w:rsidRPr="00C81D88">
        <w:rPr>
          <w:rFonts w:eastAsia="SimSun"/>
          <w:b/>
          <w:sz w:val="22"/>
          <w:szCs w:val="22"/>
        </w:rPr>
        <w:t>4.3</w:t>
      </w:r>
      <w:r w:rsidRPr="00C81D88">
        <w:rPr>
          <w:rFonts w:eastAsia="SimSun"/>
          <w:b/>
          <w:sz w:val="22"/>
          <w:szCs w:val="22"/>
        </w:rPr>
        <w:tab/>
        <w:t>Kontraindikacijos</w:t>
      </w:r>
    </w:p>
    <w:p w14:paraId="15AC7747" w14:textId="77777777" w:rsidR="00091B58" w:rsidRPr="00C81D88" w:rsidRDefault="00091B58" w:rsidP="00091B58">
      <w:pPr>
        <w:rPr>
          <w:rFonts w:eastAsia="SimSun"/>
          <w:sz w:val="22"/>
          <w:szCs w:val="22"/>
          <w:lang w:eastAsia="zh-CN"/>
        </w:rPr>
      </w:pPr>
    </w:p>
    <w:p w14:paraId="146893FF" w14:textId="77777777" w:rsidR="00091B58" w:rsidRPr="00C81D88" w:rsidRDefault="00091B58" w:rsidP="00091B58">
      <w:pPr>
        <w:rPr>
          <w:rFonts w:eastAsia="SimSun"/>
          <w:sz w:val="22"/>
          <w:szCs w:val="22"/>
          <w:lang w:eastAsia="zh-CN"/>
        </w:rPr>
      </w:pPr>
      <w:r w:rsidRPr="00C81D88">
        <w:rPr>
          <w:rFonts w:eastAsia="SimSun"/>
          <w:sz w:val="22"/>
          <w:szCs w:val="22"/>
          <w:lang w:eastAsia="zh-CN"/>
        </w:rPr>
        <w:t>Padidėjęs jautrumas veikliajai arba bet kuriai 6.1 skyriuje nurodytai pagalbinei medžiagai.</w:t>
      </w:r>
    </w:p>
    <w:p w14:paraId="0B024FC4" w14:textId="77777777" w:rsidR="00091B58" w:rsidRPr="00C81D88" w:rsidRDefault="00091B58" w:rsidP="00091B58">
      <w:pPr>
        <w:rPr>
          <w:rFonts w:eastAsia="SimSun"/>
          <w:sz w:val="22"/>
          <w:szCs w:val="22"/>
          <w:lang w:eastAsia="zh-CN"/>
        </w:rPr>
      </w:pPr>
    </w:p>
    <w:p w14:paraId="72BAD988" w14:textId="77777777" w:rsidR="00091B58" w:rsidRPr="00C81D88" w:rsidRDefault="00091B58" w:rsidP="00091B58">
      <w:pPr>
        <w:rPr>
          <w:rFonts w:eastAsia="SimSun"/>
          <w:b/>
          <w:sz w:val="22"/>
          <w:szCs w:val="22"/>
        </w:rPr>
      </w:pPr>
      <w:r w:rsidRPr="00C81D88">
        <w:rPr>
          <w:rFonts w:eastAsia="SimSun"/>
          <w:b/>
          <w:sz w:val="22"/>
          <w:szCs w:val="22"/>
        </w:rPr>
        <w:t>4.4</w:t>
      </w:r>
      <w:r w:rsidRPr="00C81D88">
        <w:rPr>
          <w:rFonts w:eastAsia="SimSun"/>
          <w:b/>
          <w:sz w:val="22"/>
          <w:szCs w:val="22"/>
        </w:rPr>
        <w:tab/>
        <w:t>Specialūs įspėjimai ir atsargumo priemonės</w:t>
      </w:r>
    </w:p>
    <w:p w14:paraId="0538339E" w14:textId="77777777" w:rsidR="00091B58" w:rsidRPr="00C81D88" w:rsidRDefault="00091B58" w:rsidP="00091B58">
      <w:pPr>
        <w:rPr>
          <w:rFonts w:eastAsia="SimSun"/>
          <w:sz w:val="22"/>
          <w:szCs w:val="22"/>
          <w:lang w:eastAsia="zh-CN"/>
        </w:rPr>
      </w:pPr>
    </w:p>
    <w:p w14:paraId="5820D597"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Kliniškai reikšminga s</w:t>
      </w:r>
      <w:r w:rsidRPr="00C81D88">
        <w:rPr>
          <w:rFonts w:eastAsia="MS Mincho"/>
          <w:sz w:val="22"/>
          <w:szCs w:val="22"/>
          <w:u w:val="single"/>
          <w:lang w:eastAsia="zh-CN"/>
        </w:rPr>
        <w:t>ą</w:t>
      </w:r>
      <w:r w:rsidRPr="00C81D88">
        <w:rPr>
          <w:rFonts w:eastAsia="SimSun"/>
          <w:sz w:val="22"/>
          <w:szCs w:val="22"/>
          <w:u w:val="single"/>
          <w:lang w:eastAsia="zh-CN"/>
        </w:rPr>
        <w:t>veika</w:t>
      </w:r>
    </w:p>
    <w:p w14:paraId="7EAEED99"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Dazatinibas yra citochromo P450 (CYP) 3A4 substratas ir inhibitorius, tod</w:t>
      </w:r>
      <w:r w:rsidRPr="00C81D88">
        <w:rPr>
          <w:rFonts w:eastAsia="MS Mincho"/>
          <w:sz w:val="22"/>
          <w:szCs w:val="22"/>
          <w:lang w:eastAsia="zh-CN"/>
        </w:rPr>
        <w:t>ė</w:t>
      </w:r>
      <w:r w:rsidRPr="00C81D88">
        <w:rPr>
          <w:rFonts w:eastAsia="SimSun"/>
          <w:sz w:val="22"/>
          <w:szCs w:val="22"/>
          <w:lang w:eastAsia="zh-CN"/>
        </w:rPr>
        <w:t>l galima jo s</w:t>
      </w:r>
      <w:r w:rsidRPr="00C81D88">
        <w:rPr>
          <w:rFonts w:eastAsia="MS Mincho"/>
          <w:sz w:val="22"/>
          <w:szCs w:val="22"/>
          <w:lang w:eastAsia="zh-CN"/>
        </w:rPr>
        <w:t>ą</w:t>
      </w:r>
      <w:r w:rsidRPr="00C81D88">
        <w:rPr>
          <w:rFonts w:eastAsia="SimSun"/>
          <w:sz w:val="22"/>
          <w:szCs w:val="22"/>
          <w:lang w:eastAsia="zh-CN"/>
        </w:rPr>
        <w:t>veika su kartu vartojamais vaistiniais preparatais, kuriuos daugiausia metabolizuoja CYP3A4 arba kurie moduliuoja šio fermento aktyvum</w:t>
      </w:r>
      <w:r w:rsidRPr="00C81D88">
        <w:rPr>
          <w:rFonts w:eastAsia="MS Mincho"/>
          <w:sz w:val="22"/>
          <w:szCs w:val="22"/>
          <w:lang w:eastAsia="zh-CN"/>
        </w:rPr>
        <w:t>ą</w:t>
      </w:r>
      <w:r w:rsidRPr="00C81D88">
        <w:rPr>
          <w:rFonts w:eastAsia="SimSun"/>
          <w:sz w:val="22"/>
          <w:szCs w:val="22"/>
          <w:lang w:eastAsia="zh-CN"/>
        </w:rPr>
        <w:t xml:space="preserve"> (</w:t>
      </w:r>
      <w:r w:rsidRPr="00C81D88">
        <w:rPr>
          <w:rFonts w:eastAsia="MS Mincho"/>
          <w:sz w:val="22"/>
          <w:szCs w:val="22"/>
          <w:lang w:eastAsia="zh-CN"/>
        </w:rPr>
        <w:t>ž</w:t>
      </w:r>
      <w:r w:rsidRPr="00C81D88">
        <w:rPr>
          <w:rFonts w:eastAsia="SimSun"/>
          <w:sz w:val="22"/>
          <w:szCs w:val="22"/>
          <w:lang w:eastAsia="zh-CN"/>
        </w:rPr>
        <w:t>r. 4.5 skyri</w:t>
      </w:r>
      <w:r w:rsidRPr="00C81D88">
        <w:rPr>
          <w:rFonts w:eastAsia="MS Mincho"/>
          <w:sz w:val="22"/>
          <w:szCs w:val="22"/>
          <w:lang w:eastAsia="zh-CN"/>
        </w:rPr>
        <w:t>ų</w:t>
      </w:r>
      <w:r w:rsidRPr="00C81D88">
        <w:rPr>
          <w:rFonts w:eastAsia="SimSun"/>
          <w:sz w:val="22"/>
          <w:szCs w:val="22"/>
          <w:lang w:eastAsia="zh-CN"/>
        </w:rPr>
        <w:t>).</w:t>
      </w:r>
    </w:p>
    <w:p w14:paraId="17DE0E6E" w14:textId="77777777" w:rsidR="00091B58" w:rsidRPr="00C81D88" w:rsidRDefault="00091B58" w:rsidP="00091B58">
      <w:pPr>
        <w:rPr>
          <w:rFonts w:eastAsia="SimSun"/>
          <w:sz w:val="22"/>
          <w:szCs w:val="22"/>
          <w:lang w:eastAsia="zh-CN"/>
        </w:rPr>
      </w:pPr>
    </w:p>
    <w:p w14:paraId="3CDC5193" w14:textId="77777777" w:rsidR="00091B58" w:rsidRPr="00C81D88" w:rsidRDefault="00091B58" w:rsidP="00091B58">
      <w:pPr>
        <w:rPr>
          <w:rFonts w:eastAsia="SimSun"/>
          <w:sz w:val="22"/>
          <w:szCs w:val="22"/>
          <w:lang w:eastAsia="zh-CN"/>
        </w:rPr>
      </w:pPr>
      <w:r w:rsidRPr="00C81D88">
        <w:rPr>
          <w:rFonts w:eastAsia="SimSun"/>
          <w:sz w:val="22"/>
          <w:szCs w:val="22"/>
          <w:lang w:eastAsia="zh-CN"/>
        </w:rPr>
        <w:lastRenderedPageBreak/>
        <w:t>Kartu su dazatinibu vartojant vaistini</w:t>
      </w:r>
      <w:r w:rsidRPr="00C81D88">
        <w:rPr>
          <w:rFonts w:eastAsia="MS Mincho"/>
          <w:sz w:val="22"/>
          <w:szCs w:val="22"/>
          <w:lang w:eastAsia="zh-CN"/>
        </w:rPr>
        <w:t>ų</w:t>
      </w:r>
      <w:r w:rsidRPr="00C81D88">
        <w:rPr>
          <w:rFonts w:eastAsia="SimSun"/>
          <w:sz w:val="22"/>
          <w:szCs w:val="22"/>
          <w:lang w:eastAsia="zh-CN"/>
        </w:rPr>
        <w:t xml:space="preserve"> preparat</w:t>
      </w:r>
      <w:r w:rsidRPr="00C81D88">
        <w:rPr>
          <w:rFonts w:eastAsia="MS Mincho"/>
          <w:sz w:val="22"/>
          <w:szCs w:val="22"/>
          <w:lang w:eastAsia="zh-CN"/>
        </w:rPr>
        <w:t>ų</w:t>
      </w:r>
      <w:r w:rsidRPr="00C81D88">
        <w:rPr>
          <w:rFonts w:eastAsia="SimSun"/>
          <w:sz w:val="22"/>
          <w:szCs w:val="22"/>
          <w:lang w:eastAsia="zh-CN"/>
        </w:rPr>
        <w:t xml:space="preserve"> ar kit</w:t>
      </w:r>
      <w:r w:rsidRPr="00C81D88">
        <w:rPr>
          <w:rFonts w:eastAsia="MS Mincho"/>
          <w:sz w:val="22"/>
          <w:szCs w:val="22"/>
          <w:lang w:eastAsia="zh-CN"/>
        </w:rPr>
        <w:t>ų</w:t>
      </w:r>
      <w:r w:rsidRPr="00C81D88">
        <w:rPr>
          <w:rFonts w:eastAsia="SimSun"/>
          <w:sz w:val="22"/>
          <w:szCs w:val="22"/>
          <w:lang w:eastAsia="zh-CN"/>
        </w:rPr>
        <w:t xml:space="preserve"> med</w:t>
      </w:r>
      <w:r w:rsidRPr="00C81D88">
        <w:rPr>
          <w:rFonts w:eastAsia="MS Mincho"/>
          <w:sz w:val="22"/>
          <w:szCs w:val="22"/>
          <w:lang w:eastAsia="zh-CN"/>
        </w:rPr>
        <w:t>ž</w:t>
      </w:r>
      <w:r w:rsidRPr="00C81D88">
        <w:rPr>
          <w:rFonts w:eastAsia="SimSun"/>
          <w:sz w:val="22"/>
          <w:szCs w:val="22"/>
          <w:lang w:eastAsia="zh-CN"/>
        </w:rPr>
        <w:t>iag</w:t>
      </w:r>
      <w:r w:rsidRPr="00C81D88">
        <w:rPr>
          <w:rFonts w:eastAsia="MS Mincho"/>
          <w:sz w:val="22"/>
          <w:szCs w:val="22"/>
          <w:lang w:eastAsia="zh-CN"/>
        </w:rPr>
        <w:t>ų</w:t>
      </w:r>
      <w:r w:rsidRPr="00C81D88">
        <w:rPr>
          <w:rFonts w:eastAsia="SimSun"/>
          <w:sz w:val="22"/>
          <w:szCs w:val="22"/>
          <w:lang w:eastAsia="zh-CN"/>
        </w:rPr>
        <w:t>, galin</w:t>
      </w:r>
      <w:r w:rsidRPr="00C81D88">
        <w:rPr>
          <w:rFonts w:eastAsia="MS Mincho"/>
          <w:sz w:val="22"/>
          <w:szCs w:val="22"/>
          <w:lang w:eastAsia="zh-CN"/>
        </w:rPr>
        <w:t>č</w:t>
      </w:r>
      <w:r w:rsidRPr="00C81D88">
        <w:rPr>
          <w:rFonts w:eastAsia="SimSun"/>
          <w:sz w:val="22"/>
          <w:szCs w:val="22"/>
          <w:lang w:eastAsia="zh-CN"/>
        </w:rPr>
        <w:t>i</w:t>
      </w:r>
      <w:r w:rsidRPr="00C81D88">
        <w:rPr>
          <w:rFonts w:eastAsia="MS Mincho"/>
          <w:sz w:val="22"/>
          <w:szCs w:val="22"/>
          <w:lang w:eastAsia="zh-CN"/>
        </w:rPr>
        <w:t>ų</w:t>
      </w:r>
      <w:r w:rsidRPr="00C81D88">
        <w:rPr>
          <w:rFonts w:eastAsia="SimSun"/>
          <w:sz w:val="22"/>
          <w:szCs w:val="22"/>
          <w:lang w:eastAsia="zh-CN"/>
        </w:rPr>
        <w:t xml:space="preserve"> slopinti CYP3A4 (pvz., ketokonazol</w:t>
      </w:r>
      <w:r w:rsidRPr="00C81D88">
        <w:rPr>
          <w:rFonts w:eastAsia="MS Mincho"/>
          <w:sz w:val="22"/>
          <w:szCs w:val="22"/>
          <w:lang w:eastAsia="zh-CN"/>
        </w:rPr>
        <w:t>o</w:t>
      </w:r>
      <w:r w:rsidRPr="00C81D88">
        <w:rPr>
          <w:rFonts w:eastAsia="SimSun"/>
          <w:sz w:val="22"/>
          <w:szCs w:val="22"/>
          <w:lang w:eastAsia="zh-CN"/>
        </w:rPr>
        <w:t>, itrakonazol</w:t>
      </w:r>
      <w:r w:rsidRPr="00C81D88">
        <w:rPr>
          <w:rFonts w:eastAsia="MS Mincho"/>
          <w:sz w:val="22"/>
          <w:szCs w:val="22"/>
          <w:lang w:eastAsia="zh-CN"/>
        </w:rPr>
        <w:t>o</w:t>
      </w:r>
      <w:r w:rsidRPr="00C81D88">
        <w:rPr>
          <w:rFonts w:eastAsia="SimSun"/>
          <w:sz w:val="22"/>
          <w:szCs w:val="22"/>
          <w:lang w:eastAsia="zh-CN"/>
        </w:rPr>
        <w:t>, eritromicin</w:t>
      </w:r>
      <w:r w:rsidRPr="00C81D88">
        <w:rPr>
          <w:rFonts w:eastAsia="MS Mincho"/>
          <w:sz w:val="22"/>
          <w:szCs w:val="22"/>
          <w:lang w:eastAsia="zh-CN"/>
        </w:rPr>
        <w:t>o</w:t>
      </w:r>
      <w:r w:rsidRPr="00C81D88">
        <w:rPr>
          <w:rFonts w:eastAsia="SimSun"/>
          <w:sz w:val="22"/>
          <w:szCs w:val="22"/>
          <w:lang w:eastAsia="zh-CN"/>
        </w:rPr>
        <w:t>, klaritromicin</w:t>
      </w:r>
      <w:r w:rsidRPr="00C81D88">
        <w:rPr>
          <w:rFonts w:eastAsia="MS Mincho"/>
          <w:sz w:val="22"/>
          <w:szCs w:val="22"/>
          <w:lang w:eastAsia="zh-CN"/>
        </w:rPr>
        <w:t>o</w:t>
      </w:r>
      <w:r w:rsidRPr="00C81D88">
        <w:rPr>
          <w:rFonts w:eastAsia="SimSun"/>
          <w:sz w:val="22"/>
          <w:szCs w:val="22"/>
          <w:lang w:eastAsia="zh-CN"/>
        </w:rPr>
        <w:t>, ritonavir</w:t>
      </w:r>
      <w:r w:rsidRPr="00C81D88">
        <w:rPr>
          <w:rFonts w:eastAsia="MS Mincho"/>
          <w:sz w:val="22"/>
          <w:szCs w:val="22"/>
          <w:lang w:eastAsia="zh-CN"/>
        </w:rPr>
        <w:t>o</w:t>
      </w:r>
      <w:r w:rsidRPr="00C81D88">
        <w:rPr>
          <w:rFonts w:eastAsia="SimSun"/>
          <w:sz w:val="22"/>
          <w:szCs w:val="22"/>
          <w:lang w:eastAsia="zh-CN"/>
        </w:rPr>
        <w:t>, telitromicin</w:t>
      </w:r>
      <w:r w:rsidRPr="00C81D88">
        <w:rPr>
          <w:rFonts w:eastAsia="MS Mincho"/>
          <w:sz w:val="22"/>
          <w:szCs w:val="22"/>
          <w:lang w:eastAsia="zh-CN"/>
        </w:rPr>
        <w:t>o</w:t>
      </w:r>
      <w:r w:rsidRPr="00C81D88">
        <w:rPr>
          <w:rFonts w:eastAsia="SimSun"/>
          <w:sz w:val="22"/>
          <w:szCs w:val="22"/>
          <w:lang w:eastAsia="zh-CN"/>
        </w:rPr>
        <w:t>, greipfrut</w:t>
      </w:r>
      <w:r w:rsidRPr="00C81D88">
        <w:rPr>
          <w:rFonts w:eastAsia="MS Mincho"/>
          <w:sz w:val="22"/>
          <w:szCs w:val="22"/>
          <w:lang w:eastAsia="zh-CN"/>
        </w:rPr>
        <w:t>ų</w:t>
      </w:r>
      <w:r w:rsidRPr="00C81D88">
        <w:rPr>
          <w:rFonts w:eastAsia="SimSun"/>
          <w:sz w:val="22"/>
          <w:szCs w:val="22"/>
          <w:lang w:eastAsia="zh-CN"/>
        </w:rPr>
        <w:t xml:space="preserve"> sul</w:t>
      </w:r>
      <w:r w:rsidRPr="00C81D88">
        <w:rPr>
          <w:rFonts w:eastAsia="MS Mincho"/>
          <w:sz w:val="22"/>
          <w:szCs w:val="22"/>
          <w:lang w:eastAsia="zh-CN"/>
        </w:rPr>
        <w:t>č</w:t>
      </w:r>
      <w:r w:rsidRPr="00C81D88">
        <w:rPr>
          <w:rFonts w:eastAsia="SimSun"/>
          <w:sz w:val="22"/>
          <w:szCs w:val="22"/>
          <w:lang w:eastAsia="zh-CN"/>
        </w:rPr>
        <w:t>i</w:t>
      </w:r>
      <w:r w:rsidRPr="00C81D88">
        <w:rPr>
          <w:rFonts w:eastAsia="MS Mincho"/>
          <w:sz w:val="22"/>
          <w:szCs w:val="22"/>
          <w:lang w:eastAsia="zh-CN"/>
        </w:rPr>
        <w:t>ų</w:t>
      </w:r>
      <w:r w:rsidRPr="00C81D88">
        <w:rPr>
          <w:rFonts w:eastAsia="SimSun"/>
          <w:sz w:val="22"/>
          <w:szCs w:val="22"/>
          <w:lang w:eastAsia="zh-CN"/>
        </w:rPr>
        <w:t>), gali did</w:t>
      </w:r>
      <w:r w:rsidRPr="00C81D88">
        <w:rPr>
          <w:rFonts w:eastAsia="MS Mincho"/>
          <w:sz w:val="22"/>
          <w:szCs w:val="22"/>
          <w:lang w:eastAsia="zh-CN"/>
        </w:rPr>
        <w:t>ė</w:t>
      </w:r>
      <w:r w:rsidRPr="00C81D88">
        <w:rPr>
          <w:rFonts w:eastAsia="SimSun"/>
          <w:sz w:val="22"/>
          <w:szCs w:val="22"/>
          <w:lang w:eastAsia="zh-CN"/>
        </w:rPr>
        <w:t>ti dazatinibo ekspozicija. D</w:t>
      </w:r>
      <w:r w:rsidRPr="00C81D88">
        <w:rPr>
          <w:rFonts w:eastAsia="MS Mincho"/>
          <w:sz w:val="22"/>
          <w:szCs w:val="22"/>
          <w:lang w:eastAsia="zh-CN"/>
        </w:rPr>
        <w:t>ė</w:t>
      </w:r>
      <w:r w:rsidRPr="00C81D88">
        <w:rPr>
          <w:rFonts w:eastAsia="SimSun"/>
          <w:sz w:val="22"/>
          <w:szCs w:val="22"/>
          <w:lang w:eastAsia="zh-CN"/>
        </w:rPr>
        <w:t>l to vaistini</w:t>
      </w:r>
      <w:r w:rsidRPr="00C81D88">
        <w:rPr>
          <w:rFonts w:eastAsia="MS Mincho"/>
          <w:sz w:val="22"/>
          <w:szCs w:val="22"/>
          <w:lang w:eastAsia="zh-CN"/>
        </w:rPr>
        <w:t>ų</w:t>
      </w:r>
      <w:r w:rsidRPr="00C81D88">
        <w:rPr>
          <w:rFonts w:eastAsia="SimSun"/>
          <w:sz w:val="22"/>
          <w:szCs w:val="22"/>
          <w:lang w:eastAsia="zh-CN"/>
        </w:rPr>
        <w:t xml:space="preserve"> preparat</w:t>
      </w:r>
      <w:r w:rsidRPr="00C81D88">
        <w:rPr>
          <w:rFonts w:eastAsia="MS Mincho"/>
          <w:sz w:val="22"/>
          <w:szCs w:val="22"/>
          <w:lang w:eastAsia="zh-CN"/>
        </w:rPr>
        <w:t>ų</w:t>
      </w:r>
      <w:r w:rsidRPr="00C81D88">
        <w:rPr>
          <w:rFonts w:eastAsia="SimSun"/>
          <w:sz w:val="22"/>
          <w:szCs w:val="22"/>
          <w:lang w:eastAsia="zh-CN"/>
        </w:rPr>
        <w:t>, kurie stipriai slopina CYP3A4, kartu su dazatinibu vartoti nerekomenduojama (</w:t>
      </w:r>
      <w:r w:rsidRPr="00C81D88">
        <w:rPr>
          <w:rFonts w:eastAsia="MS Mincho"/>
          <w:sz w:val="22"/>
          <w:szCs w:val="22"/>
          <w:lang w:eastAsia="zh-CN"/>
        </w:rPr>
        <w:t>ž</w:t>
      </w:r>
      <w:r w:rsidRPr="00C81D88">
        <w:rPr>
          <w:rFonts w:eastAsia="SimSun"/>
          <w:sz w:val="22"/>
          <w:szCs w:val="22"/>
          <w:lang w:eastAsia="zh-CN"/>
        </w:rPr>
        <w:t>r. 4.5 skyri</w:t>
      </w:r>
      <w:r w:rsidRPr="00C81D88">
        <w:rPr>
          <w:rFonts w:eastAsia="MS Mincho"/>
          <w:sz w:val="22"/>
          <w:szCs w:val="22"/>
          <w:lang w:eastAsia="zh-CN"/>
        </w:rPr>
        <w:t>ų</w:t>
      </w:r>
      <w:r w:rsidRPr="00C81D88">
        <w:rPr>
          <w:rFonts w:eastAsia="SimSun"/>
          <w:sz w:val="22"/>
          <w:szCs w:val="22"/>
          <w:lang w:eastAsia="zh-CN"/>
        </w:rPr>
        <w:t>).</w:t>
      </w:r>
    </w:p>
    <w:p w14:paraId="6B325668" w14:textId="77777777" w:rsidR="00091B58" w:rsidRPr="00C81D88" w:rsidRDefault="00091B58" w:rsidP="00091B58">
      <w:pPr>
        <w:rPr>
          <w:rFonts w:eastAsia="SimSun"/>
          <w:sz w:val="22"/>
          <w:szCs w:val="22"/>
          <w:lang w:eastAsia="zh-CN"/>
        </w:rPr>
      </w:pPr>
    </w:p>
    <w:p w14:paraId="0529C41A" w14:textId="77777777" w:rsidR="00091B58" w:rsidRPr="00C81D88" w:rsidRDefault="00091B58" w:rsidP="00091B58">
      <w:pPr>
        <w:rPr>
          <w:rFonts w:eastAsia="SimSun"/>
          <w:sz w:val="22"/>
          <w:szCs w:val="22"/>
          <w:lang w:eastAsia="zh-CN"/>
        </w:rPr>
      </w:pPr>
      <w:r w:rsidRPr="00C81D88">
        <w:rPr>
          <w:rFonts w:eastAsia="SimSun"/>
          <w:sz w:val="22"/>
          <w:szCs w:val="22"/>
          <w:lang w:eastAsia="zh-CN"/>
        </w:rPr>
        <w:t>Kartu vartojant vaistinių preparatų, kurie indukuoja CYP3A4, pvz., deksametazon</w:t>
      </w:r>
      <w:r w:rsidRPr="00C81D88">
        <w:rPr>
          <w:rFonts w:eastAsia="MS Mincho"/>
          <w:sz w:val="22"/>
          <w:szCs w:val="22"/>
          <w:lang w:eastAsia="zh-CN"/>
        </w:rPr>
        <w:t>o</w:t>
      </w:r>
      <w:r w:rsidRPr="00C81D88">
        <w:rPr>
          <w:rFonts w:eastAsia="SimSun"/>
          <w:sz w:val="22"/>
          <w:szCs w:val="22"/>
          <w:lang w:eastAsia="zh-CN"/>
        </w:rPr>
        <w:t>, fenitoin</w:t>
      </w:r>
      <w:r w:rsidRPr="00C81D88">
        <w:rPr>
          <w:rFonts w:eastAsia="MS Mincho"/>
          <w:sz w:val="22"/>
          <w:szCs w:val="22"/>
          <w:lang w:eastAsia="zh-CN"/>
        </w:rPr>
        <w:t>o</w:t>
      </w:r>
      <w:r w:rsidRPr="00C81D88">
        <w:rPr>
          <w:rFonts w:eastAsia="SimSun"/>
          <w:sz w:val="22"/>
          <w:szCs w:val="22"/>
          <w:lang w:eastAsia="zh-CN"/>
        </w:rPr>
        <w:t>, karbamazepin</w:t>
      </w:r>
      <w:r w:rsidRPr="00C81D88">
        <w:rPr>
          <w:rFonts w:eastAsia="MS Mincho"/>
          <w:sz w:val="22"/>
          <w:szCs w:val="22"/>
          <w:lang w:eastAsia="zh-CN"/>
        </w:rPr>
        <w:t>o</w:t>
      </w:r>
      <w:r w:rsidRPr="00C81D88">
        <w:rPr>
          <w:rFonts w:eastAsia="SimSun"/>
          <w:sz w:val="22"/>
          <w:szCs w:val="22"/>
          <w:lang w:eastAsia="zh-CN"/>
        </w:rPr>
        <w:t>, rifampicin</w:t>
      </w:r>
      <w:r w:rsidRPr="00C81D88">
        <w:rPr>
          <w:rFonts w:eastAsia="MS Mincho"/>
          <w:sz w:val="22"/>
          <w:szCs w:val="22"/>
          <w:lang w:eastAsia="zh-CN"/>
        </w:rPr>
        <w:t>o</w:t>
      </w:r>
      <w:r w:rsidRPr="00C81D88">
        <w:rPr>
          <w:rFonts w:eastAsia="SimSun"/>
          <w:sz w:val="22"/>
          <w:szCs w:val="22"/>
          <w:lang w:eastAsia="zh-CN"/>
        </w:rPr>
        <w:t>, fenobarbital</w:t>
      </w:r>
      <w:r w:rsidRPr="00C81D88">
        <w:rPr>
          <w:rFonts w:eastAsia="MS Mincho"/>
          <w:sz w:val="22"/>
          <w:szCs w:val="22"/>
          <w:lang w:eastAsia="zh-CN"/>
        </w:rPr>
        <w:t>io</w:t>
      </w:r>
      <w:r w:rsidRPr="00C81D88">
        <w:rPr>
          <w:rFonts w:eastAsia="SimSun"/>
          <w:sz w:val="22"/>
          <w:szCs w:val="22"/>
          <w:lang w:eastAsia="zh-CN"/>
        </w:rPr>
        <w:t xml:space="preserve"> ar augalinių preparatų, kuri</w:t>
      </w:r>
      <w:r w:rsidRPr="00C81D88">
        <w:rPr>
          <w:rFonts w:eastAsia="MS Mincho"/>
          <w:sz w:val="22"/>
          <w:szCs w:val="22"/>
          <w:lang w:eastAsia="zh-CN"/>
        </w:rPr>
        <w:t>ų</w:t>
      </w:r>
      <w:r w:rsidRPr="00C81D88">
        <w:rPr>
          <w:rFonts w:eastAsia="SimSun"/>
          <w:sz w:val="22"/>
          <w:szCs w:val="22"/>
          <w:lang w:eastAsia="zh-CN"/>
        </w:rPr>
        <w:t xml:space="preserve"> sud</w:t>
      </w:r>
      <w:r w:rsidRPr="00C81D88">
        <w:rPr>
          <w:rFonts w:eastAsia="MS Mincho"/>
          <w:sz w:val="22"/>
          <w:szCs w:val="22"/>
          <w:lang w:eastAsia="zh-CN"/>
        </w:rPr>
        <w:t>ė</w:t>
      </w:r>
      <w:r w:rsidRPr="00C81D88">
        <w:rPr>
          <w:rFonts w:eastAsia="SimSun"/>
          <w:sz w:val="22"/>
          <w:szCs w:val="22"/>
          <w:lang w:eastAsia="zh-CN"/>
        </w:rPr>
        <w:t xml:space="preserve">tyje yra </w:t>
      </w:r>
      <w:r w:rsidRPr="00C81D88">
        <w:rPr>
          <w:rFonts w:eastAsia="SimSun"/>
          <w:i/>
          <w:iCs/>
          <w:sz w:val="22"/>
          <w:szCs w:val="22"/>
          <w:lang w:eastAsia="zh-CN"/>
        </w:rPr>
        <w:t>Hypericum perforatum</w:t>
      </w:r>
      <w:r w:rsidRPr="00C81D88">
        <w:rPr>
          <w:rFonts w:eastAsia="SimSun"/>
          <w:sz w:val="22"/>
          <w:szCs w:val="22"/>
          <w:lang w:eastAsia="zh-CN"/>
        </w:rPr>
        <w:t xml:space="preserve"> (paprastųjų jona</w:t>
      </w:r>
      <w:r w:rsidRPr="00C81D88">
        <w:rPr>
          <w:rFonts w:eastAsia="MS Mincho"/>
          <w:sz w:val="22"/>
          <w:szCs w:val="22"/>
          <w:lang w:eastAsia="zh-CN"/>
        </w:rPr>
        <w:t>ž</w:t>
      </w:r>
      <w:r w:rsidRPr="00C81D88">
        <w:rPr>
          <w:rFonts w:eastAsia="SimSun"/>
          <w:sz w:val="22"/>
          <w:szCs w:val="22"/>
          <w:lang w:eastAsia="zh-CN"/>
        </w:rPr>
        <w:t>olių), gali gerokai suma</w:t>
      </w:r>
      <w:r w:rsidRPr="00C81D88">
        <w:rPr>
          <w:rFonts w:eastAsia="MS Mincho"/>
          <w:sz w:val="22"/>
          <w:szCs w:val="22"/>
          <w:lang w:eastAsia="zh-CN"/>
        </w:rPr>
        <w:t>žė</w:t>
      </w:r>
      <w:r w:rsidRPr="00C81D88">
        <w:rPr>
          <w:rFonts w:eastAsia="SimSun"/>
          <w:sz w:val="22"/>
          <w:szCs w:val="22"/>
          <w:lang w:eastAsia="zh-CN"/>
        </w:rPr>
        <w:t>ti dazatinibo ekspozicija ir padid</w:t>
      </w:r>
      <w:r w:rsidRPr="00C81D88">
        <w:rPr>
          <w:rFonts w:eastAsia="MS Mincho"/>
          <w:sz w:val="22"/>
          <w:szCs w:val="22"/>
          <w:lang w:eastAsia="zh-CN"/>
        </w:rPr>
        <w:t>ė</w:t>
      </w:r>
      <w:r w:rsidRPr="00C81D88">
        <w:rPr>
          <w:rFonts w:eastAsia="SimSun"/>
          <w:sz w:val="22"/>
          <w:szCs w:val="22"/>
          <w:lang w:eastAsia="zh-CN"/>
        </w:rPr>
        <w:t>ti gydymo neveiksmingumo rizika. D</w:t>
      </w:r>
      <w:r w:rsidRPr="00C81D88">
        <w:rPr>
          <w:rFonts w:eastAsia="MS Mincho"/>
          <w:sz w:val="22"/>
          <w:szCs w:val="22"/>
          <w:lang w:eastAsia="zh-CN"/>
        </w:rPr>
        <w:t>ė</w:t>
      </w:r>
      <w:r w:rsidRPr="00C81D88">
        <w:rPr>
          <w:rFonts w:eastAsia="SimSun"/>
          <w:sz w:val="22"/>
          <w:szCs w:val="22"/>
          <w:lang w:eastAsia="zh-CN"/>
        </w:rPr>
        <w:t>l to vartojimui kartu su dazatinibu reikia parinkti tokių kitų vaistinių preparatų, kuri</w:t>
      </w:r>
      <w:r w:rsidRPr="00C81D88">
        <w:rPr>
          <w:rFonts w:eastAsia="MS Mincho"/>
          <w:sz w:val="22"/>
          <w:szCs w:val="22"/>
          <w:lang w:eastAsia="zh-CN"/>
        </w:rPr>
        <w:t>ų</w:t>
      </w:r>
      <w:r w:rsidRPr="00C81D88">
        <w:rPr>
          <w:rFonts w:eastAsia="SimSun"/>
          <w:sz w:val="22"/>
          <w:szCs w:val="22"/>
          <w:lang w:eastAsia="zh-CN"/>
        </w:rPr>
        <w:t xml:space="preserve"> CYP3A4 indukcijos potencialas yra ma</w:t>
      </w:r>
      <w:r w:rsidRPr="00C81D88">
        <w:rPr>
          <w:rFonts w:eastAsia="MS Mincho"/>
          <w:sz w:val="22"/>
          <w:szCs w:val="22"/>
          <w:lang w:eastAsia="zh-CN"/>
        </w:rPr>
        <w:t>ž</w:t>
      </w:r>
      <w:r w:rsidRPr="00C81D88">
        <w:rPr>
          <w:rFonts w:eastAsia="SimSun"/>
          <w:sz w:val="22"/>
          <w:szCs w:val="22"/>
          <w:lang w:eastAsia="zh-CN"/>
        </w:rPr>
        <w:t>esn</w:t>
      </w:r>
      <w:r w:rsidRPr="00C81D88">
        <w:rPr>
          <w:rFonts w:eastAsia="MS Mincho"/>
          <w:sz w:val="22"/>
          <w:szCs w:val="22"/>
          <w:lang w:eastAsia="zh-CN"/>
        </w:rPr>
        <w:t>is</w:t>
      </w:r>
      <w:r w:rsidRPr="00C81D88">
        <w:rPr>
          <w:rFonts w:eastAsia="SimSun"/>
          <w:sz w:val="22"/>
          <w:szCs w:val="22"/>
          <w:lang w:eastAsia="zh-CN"/>
        </w:rPr>
        <w:t xml:space="preserve"> (</w:t>
      </w:r>
      <w:r w:rsidRPr="00C81D88">
        <w:rPr>
          <w:rFonts w:eastAsia="MS Mincho"/>
          <w:sz w:val="22"/>
          <w:szCs w:val="22"/>
          <w:lang w:eastAsia="zh-CN"/>
        </w:rPr>
        <w:t>ž</w:t>
      </w:r>
      <w:r w:rsidRPr="00C81D88">
        <w:rPr>
          <w:rFonts w:eastAsia="SimSun"/>
          <w:sz w:val="22"/>
          <w:szCs w:val="22"/>
          <w:lang w:eastAsia="zh-CN"/>
        </w:rPr>
        <w:t>r. 4.5 skyri</w:t>
      </w:r>
      <w:r w:rsidRPr="00C81D88">
        <w:rPr>
          <w:rFonts w:eastAsia="MS Mincho"/>
          <w:sz w:val="22"/>
          <w:szCs w:val="22"/>
          <w:lang w:eastAsia="zh-CN"/>
        </w:rPr>
        <w:t>ų</w:t>
      </w:r>
      <w:r w:rsidRPr="00C81D88">
        <w:rPr>
          <w:rFonts w:eastAsia="SimSun"/>
          <w:sz w:val="22"/>
          <w:szCs w:val="22"/>
          <w:lang w:eastAsia="zh-CN"/>
        </w:rPr>
        <w:t>).</w:t>
      </w:r>
    </w:p>
    <w:p w14:paraId="2E54D7B6" w14:textId="77777777" w:rsidR="00091B58" w:rsidRPr="00C81D88" w:rsidRDefault="00091B58" w:rsidP="00091B58">
      <w:pPr>
        <w:rPr>
          <w:rFonts w:eastAsia="SimSun"/>
          <w:sz w:val="22"/>
          <w:szCs w:val="22"/>
          <w:lang w:eastAsia="zh-CN"/>
        </w:rPr>
      </w:pPr>
    </w:p>
    <w:p w14:paraId="07E438C9"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Dazatinibo vartojant kartu su CYP3A4 substrat</w:t>
      </w:r>
      <w:r w:rsidRPr="00C81D88">
        <w:rPr>
          <w:rFonts w:eastAsia="MS Mincho"/>
          <w:sz w:val="22"/>
          <w:szCs w:val="22"/>
          <w:lang w:eastAsia="zh-CN"/>
        </w:rPr>
        <w:t>u</w:t>
      </w:r>
      <w:r w:rsidRPr="00C81D88">
        <w:rPr>
          <w:rFonts w:eastAsia="SimSun"/>
          <w:sz w:val="22"/>
          <w:szCs w:val="22"/>
          <w:lang w:eastAsia="zh-CN"/>
        </w:rPr>
        <w:t xml:space="preserve"> gali padid</w:t>
      </w:r>
      <w:r w:rsidRPr="00C81D88">
        <w:rPr>
          <w:rFonts w:eastAsia="MS Mincho"/>
          <w:sz w:val="22"/>
          <w:szCs w:val="22"/>
          <w:lang w:eastAsia="zh-CN"/>
        </w:rPr>
        <w:t>ė</w:t>
      </w:r>
      <w:r w:rsidRPr="00C81D88">
        <w:rPr>
          <w:rFonts w:eastAsia="SimSun"/>
          <w:sz w:val="22"/>
          <w:szCs w:val="22"/>
          <w:lang w:eastAsia="zh-CN"/>
        </w:rPr>
        <w:t>ti CYP3A4 substrat</w:t>
      </w:r>
      <w:r w:rsidRPr="00C81D88">
        <w:rPr>
          <w:rFonts w:eastAsia="MS Mincho"/>
          <w:sz w:val="22"/>
          <w:szCs w:val="22"/>
          <w:lang w:eastAsia="zh-CN"/>
        </w:rPr>
        <w:t>o</w:t>
      </w:r>
      <w:r w:rsidRPr="00C81D88">
        <w:rPr>
          <w:rFonts w:eastAsia="SimSun"/>
          <w:sz w:val="22"/>
          <w:szCs w:val="22"/>
          <w:lang w:eastAsia="zh-CN"/>
        </w:rPr>
        <w:t xml:space="preserve"> ekspozicija. D</w:t>
      </w:r>
      <w:r w:rsidRPr="00C81D88">
        <w:rPr>
          <w:rFonts w:eastAsia="MS Mincho"/>
          <w:sz w:val="22"/>
          <w:szCs w:val="22"/>
          <w:lang w:eastAsia="zh-CN"/>
        </w:rPr>
        <w:t>ė</w:t>
      </w:r>
      <w:r w:rsidRPr="00C81D88">
        <w:rPr>
          <w:rFonts w:eastAsia="SimSun"/>
          <w:sz w:val="22"/>
          <w:szCs w:val="22"/>
          <w:lang w:eastAsia="zh-CN"/>
        </w:rPr>
        <w:t>l to dazatinibo vartoti kartu su CYP3A4 substratais, kuri</w:t>
      </w:r>
      <w:r w:rsidRPr="00C81D88">
        <w:rPr>
          <w:rFonts w:eastAsia="MS Mincho"/>
          <w:sz w:val="22"/>
          <w:szCs w:val="22"/>
          <w:lang w:eastAsia="zh-CN"/>
        </w:rPr>
        <w:t>ų</w:t>
      </w:r>
      <w:r w:rsidRPr="00C81D88">
        <w:rPr>
          <w:rFonts w:eastAsia="SimSun"/>
          <w:sz w:val="22"/>
          <w:szCs w:val="22"/>
          <w:lang w:eastAsia="zh-CN"/>
        </w:rPr>
        <w:t xml:space="preserve"> terapinis indeksas siauras, pvz., astemizolu, terfenadinu, cisapridu, pimozidu, chinidinu, bepridilu ar skalsi</w:t>
      </w:r>
      <w:r w:rsidRPr="00C81D88">
        <w:rPr>
          <w:rFonts w:eastAsia="MS Mincho"/>
          <w:sz w:val="22"/>
          <w:szCs w:val="22"/>
          <w:lang w:eastAsia="zh-CN"/>
        </w:rPr>
        <w:t>ų</w:t>
      </w:r>
      <w:r w:rsidRPr="00C81D88">
        <w:rPr>
          <w:rFonts w:eastAsia="SimSun"/>
          <w:sz w:val="22"/>
          <w:szCs w:val="22"/>
          <w:lang w:eastAsia="zh-CN"/>
        </w:rPr>
        <w:t xml:space="preserve"> alkaloidais (ergotaminu, dihidroergotaminu), reikia atsargiai (</w:t>
      </w:r>
      <w:r w:rsidRPr="00C81D88">
        <w:rPr>
          <w:rFonts w:eastAsia="MS Mincho"/>
          <w:sz w:val="22"/>
          <w:szCs w:val="22"/>
          <w:lang w:eastAsia="zh-CN"/>
        </w:rPr>
        <w:t>ž</w:t>
      </w:r>
      <w:r w:rsidRPr="00C81D88">
        <w:rPr>
          <w:rFonts w:eastAsia="SimSun"/>
          <w:sz w:val="22"/>
          <w:szCs w:val="22"/>
          <w:lang w:eastAsia="zh-CN"/>
        </w:rPr>
        <w:t>r. 4.5 skyri</w:t>
      </w:r>
      <w:r w:rsidRPr="00C81D88">
        <w:rPr>
          <w:rFonts w:eastAsia="MS Mincho"/>
          <w:sz w:val="22"/>
          <w:szCs w:val="22"/>
          <w:lang w:eastAsia="zh-CN"/>
        </w:rPr>
        <w:t>ų</w:t>
      </w:r>
      <w:r w:rsidRPr="00C81D88">
        <w:rPr>
          <w:rFonts w:eastAsia="SimSun"/>
          <w:sz w:val="22"/>
          <w:szCs w:val="22"/>
          <w:lang w:eastAsia="zh-CN"/>
        </w:rPr>
        <w:t>).</w:t>
      </w:r>
    </w:p>
    <w:p w14:paraId="59633E6D" w14:textId="77777777" w:rsidR="00091B58" w:rsidRPr="00C81D88" w:rsidRDefault="00091B58" w:rsidP="00091B58">
      <w:pPr>
        <w:rPr>
          <w:rFonts w:eastAsia="SimSun"/>
          <w:sz w:val="22"/>
          <w:szCs w:val="22"/>
          <w:lang w:eastAsia="zh-CN"/>
        </w:rPr>
      </w:pPr>
    </w:p>
    <w:p w14:paraId="4F5EB968"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Dazatinibo vartojant kartu su histamino-2 (H</w:t>
      </w:r>
      <w:r w:rsidRPr="00C81D88">
        <w:rPr>
          <w:rFonts w:eastAsia="SimSun"/>
          <w:sz w:val="22"/>
          <w:szCs w:val="22"/>
          <w:vertAlign w:val="subscript"/>
          <w:lang w:eastAsia="zh-CN"/>
        </w:rPr>
        <w:t>2</w:t>
      </w:r>
      <w:r w:rsidRPr="00C81D88">
        <w:rPr>
          <w:rFonts w:eastAsia="SimSun"/>
          <w:sz w:val="22"/>
          <w:szCs w:val="22"/>
          <w:lang w:eastAsia="zh-CN"/>
        </w:rPr>
        <w:t>) antagonist</w:t>
      </w:r>
      <w:r w:rsidRPr="00C81D88">
        <w:rPr>
          <w:rFonts w:eastAsia="MS Mincho"/>
          <w:sz w:val="22"/>
          <w:szCs w:val="22"/>
          <w:lang w:eastAsia="zh-CN"/>
        </w:rPr>
        <w:t>u</w:t>
      </w:r>
      <w:r w:rsidRPr="00C81D88">
        <w:rPr>
          <w:rFonts w:eastAsia="SimSun"/>
          <w:sz w:val="22"/>
          <w:szCs w:val="22"/>
          <w:lang w:eastAsia="zh-CN"/>
        </w:rPr>
        <w:t xml:space="preserve"> (pvz., famotidin</w:t>
      </w:r>
      <w:r w:rsidRPr="00C81D88">
        <w:rPr>
          <w:rFonts w:eastAsia="MS Mincho"/>
          <w:sz w:val="22"/>
          <w:szCs w:val="22"/>
          <w:lang w:eastAsia="zh-CN"/>
        </w:rPr>
        <w:t>u</w:t>
      </w:r>
      <w:r w:rsidRPr="00C81D88">
        <w:rPr>
          <w:rFonts w:eastAsia="SimSun"/>
          <w:sz w:val="22"/>
          <w:szCs w:val="22"/>
          <w:lang w:eastAsia="zh-CN"/>
        </w:rPr>
        <w:t>), proton</w:t>
      </w:r>
      <w:r w:rsidRPr="00C81D88">
        <w:rPr>
          <w:rFonts w:eastAsia="MS Mincho"/>
          <w:sz w:val="22"/>
          <w:szCs w:val="22"/>
          <w:lang w:eastAsia="zh-CN"/>
        </w:rPr>
        <w:t>ų</w:t>
      </w:r>
      <w:r w:rsidRPr="00C81D88">
        <w:rPr>
          <w:rFonts w:eastAsia="SimSun"/>
          <w:sz w:val="22"/>
          <w:szCs w:val="22"/>
          <w:lang w:eastAsia="zh-CN"/>
        </w:rPr>
        <w:t xml:space="preserve"> siurblio inhibitoriumi (pvz., omeprazol</w:t>
      </w:r>
      <w:r w:rsidRPr="00C81D88">
        <w:rPr>
          <w:rFonts w:eastAsia="MS Mincho"/>
          <w:sz w:val="22"/>
          <w:szCs w:val="22"/>
          <w:lang w:eastAsia="zh-CN"/>
        </w:rPr>
        <w:t>u</w:t>
      </w:r>
      <w:r w:rsidRPr="00C81D88">
        <w:rPr>
          <w:rFonts w:eastAsia="SimSun"/>
          <w:sz w:val="22"/>
          <w:szCs w:val="22"/>
          <w:lang w:eastAsia="zh-CN"/>
        </w:rPr>
        <w:t>) ar aliuminio hidroksid</w:t>
      </w:r>
      <w:r w:rsidRPr="00C81D88">
        <w:rPr>
          <w:rFonts w:eastAsia="MS Mincho"/>
          <w:sz w:val="22"/>
          <w:szCs w:val="22"/>
          <w:lang w:eastAsia="zh-CN"/>
        </w:rPr>
        <w:t>o ir</w:t>
      </w:r>
      <w:r w:rsidRPr="00C81D88">
        <w:rPr>
          <w:rFonts w:eastAsia="SimSun"/>
          <w:sz w:val="22"/>
          <w:szCs w:val="22"/>
          <w:lang w:eastAsia="zh-CN"/>
        </w:rPr>
        <w:t xml:space="preserve"> magnio hidroksid</w:t>
      </w:r>
      <w:r w:rsidRPr="00C81D88">
        <w:rPr>
          <w:rFonts w:eastAsia="MS Mincho"/>
          <w:sz w:val="22"/>
          <w:szCs w:val="22"/>
          <w:lang w:eastAsia="zh-CN"/>
        </w:rPr>
        <w:t>o deriniu</w:t>
      </w:r>
      <w:r w:rsidRPr="00C81D88">
        <w:rPr>
          <w:rFonts w:eastAsia="SimSun"/>
          <w:sz w:val="22"/>
          <w:szCs w:val="22"/>
          <w:lang w:eastAsia="zh-CN"/>
        </w:rPr>
        <w:t>, gali suma</w:t>
      </w:r>
      <w:r w:rsidRPr="00C81D88">
        <w:rPr>
          <w:rFonts w:eastAsia="MS Mincho"/>
          <w:sz w:val="22"/>
          <w:szCs w:val="22"/>
          <w:lang w:eastAsia="zh-CN"/>
        </w:rPr>
        <w:t>žė</w:t>
      </w:r>
      <w:r w:rsidRPr="00C81D88">
        <w:rPr>
          <w:rFonts w:eastAsia="SimSun"/>
          <w:sz w:val="22"/>
          <w:szCs w:val="22"/>
          <w:lang w:eastAsia="zh-CN"/>
        </w:rPr>
        <w:t>ti dazatinibo ekspozicija. D</w:t>
      </w:r>
      <w:r w:rsidRPr="00C81D88">
        <w:rPr>
          <w:rFonts w:eastAsia="MS Mincho"/>
          <w:sz w:val="22"/>
          <w:szCs w:val="22"/>
          <w:lang w:eastAsia="zh-CN"/>
        </w:rPr>
        <w:t>ė</w:t>
      </w:r>
      <w:r w:rsidRPr="00C81D88">
        <w:rPr>
          <w:rFonts w:eastAsia="SimSun"/>
          <w:sz w:val="22"/>
          <w:szCs w:val="22"/>
          <w:lang w:eastAsia="zh-CN"/>
        </w:rPr>
        <w:t>l to H</w:t>
      </w:r>
      <w:r w:rsidRPr="00C81D88">
        <w:rPr>
          <w:rFonts w:eastAsia="SimSun"/>
          <w:sz w:val="22"/>
          <w:szCs w:val="22"/>
          <w:vertAlign w:val="subscript"/>
          <w:lang w:eastAsia="zh-CN"/>
        </w:rPr>
        <w:t>2</w:t>
      </w:r>
      <w:r w:rsidRPr="00C81D88">
        <w:rPr>
          <w:rFonts w:eastAsia="SimSun"/>
          <w:sz w:val="22"/>
          <w:szCs w:val="22"/>
          <w:lang w:eastAsia="zh-CN"/>
        </w:rPr>
        <w:t xml:space="preserve"> antagonist</w:t>
      </w:r>
      <w:r w:rsidRPr="00C81D88">
        <w:rPr>
          <w:rFonts w:eastAsia="MS Mincho"/>
          <w:sz w:val="22"/>
          <w:szCs w:val="22"/>
          <w:lang w:eastAsia="zh-CN"/>
        </w:rPr>
        <w:t>ų</w:t>
      </w:r>
      <w:r w:rsidRPr="00C81D88">
        <w:rPr>
          <w:rFonts w:eastAsia="SimSun"/>
          <w:sz w:val="22"/>
          <w:szCs w:val="22"/>
          <w:lang w:eastAsia="zh-CN"/>
        </w:rPr>
        <w:t xml:space="preserve"> ir proton</w:t>
      </w:r>
      <w:r w:rsidRPr="00C81D88">
        <w:rPr>
          <w:rFonts w:eastAsia="MS Mincho"/>
          <w:sz w:val="22"/>
          <w:szCs w:val="22"/>
          <w:lang w:eastAsia="zh-CN"/>
        </w:rPr>
        <w:t>ų</w:t>
      </w:r>
      <w:r w:rsidRPr="00C81D88">
        <w:rPr>
          <w:rFonts w:eastAsia="SimSun"/>
          <w:sz w:val="22"/>
          <w:szCs w:val="22"/>
          <w:lang w:eastAsia="zh-CN"/>
        </w:rPr>
        <w:t xml:space="preserve"> siurblio inhibitori</w:t>
      </w:r>
      <w:r w:rsidRPr="00C81D88">
        <w:rPr>
          <w:rFonts w:eastAsia="MS Mincho"/>
          <w:sz w:val="22"/>
          <w:szCs w:val="22"/>
          <w:lang w:eastAsia="zh-CN"/>
        </w:rPr>
        <w:t>ų</w:t>
      </w:r>
      <w:r w:rsidRPr="00C81D88">
        <w:rPr>
          <w:rFonts w:eastAsia="SimSun"/>
          <w:sz w:val="22"/>
          <w:szCs w:val="22"/>
          <w:lang w:eastAsia="zh-CN"/>
        </w:rPr>
        <w:t xml:space="preserve"> kartu su šiuo vaistiniu preparatu vartoti nerekomenduojama, o aliuminio hidroksido bei magnio hidroksido preparat</w:t>
      </w:r>
      <w:r w:rsidRPr="00C81D88">
        <w:rPr>
          <w:rFonts w:eastAsia="MS Mincho"/>
          <w:sz w:val="22"/>
          <w:szCs w:val="22"/>
          <w:lang w:eastAsia="zh-CN"/>
        </w:rPr>
        <w:t>ų</w:t>
      </w:r>
      <w:r w:rsidRPr="00C81D88">
        <w:rPr>
          <w:rFonts w:eastAsia="SimSun"/>
          <w:sz w:val="22"/>
          <w:szCs w:val="22"/>
          <w:lang w:eastAsia="zh-CN"/>
        </w:rPr>
        <w:t xml:space="preserve"> reikia vartoti iki dazatinibo vartojimo likus ne mažiau kaip 2 valandoms arba po jo vartojimo praėjus 2 valandoms (</w:t>
      </w:r>
      <w:r w:rsidRPr="00C81D88">
        <w:rPr>
          <w:rFonts w:eastAsia="MS Mincho"/>
          <w:sz w:val="22"/>
          <w:szCs w:val="22"/>
          <w:lang w:eastAsia="zh-CN"/>
        </w:rPr>
        <w:t>ž</w:t>
      </w:r>
      <w:r w:rsidRPr="00C81D88">
        <w:rPr>
          <w:rFonts w:eastAsia="SimSun"/>
          <w:sz w:val="22"/>
          <w:szCs w:val="22"/>
          <w:lang w:eastAsia="zh-CN"/>
        </w:rPr>
        <w:t>r. 4.5 skyri</w:t>
      </w:r>
      <w:r w:rsidRPr="00C81D88">
        <w:rPr>
          <w:rFonts w:eastAsia="MS Mincho"/>
          <w:sz w:val="22"/>
          <w:szCs w:val="22"/>
          <w:lang w:eastAsia="zh-CN"/>
        </w:rPr>
        <w:t>ų</w:t>
      </w:r>
      <w:r w:rsidRPr="00C81D88">
        <w:rPr>
          <w:rFonts w:eastAsia="SimSun"/>
          <w:sz w:val="22"/>
          <w:szCs w:val="22"/>
          <w:lang w:eastAsia="zh-CN"/>
        </w:rPr>
        <w:t>).</w:t>
      </w:r>
    </w:p>
    <w:p w14:paraId="7FFBB480" w14:textId="77777777" w:rsidR="00091B58" w:rsidRPr="00C81D88" w:rsidRDefault="00091B58" w:rsidP="00091B58">
      <w:pPr>
        <w:rPr>
          <w:rFonts w:eastAsia="SimSun"/>
          <w:sz w:val="22"/>
          <w:szCs w:val="22"/>
          <w:lang w:eastAsia="zh-CN"/>
        </w:rPr>
      </w:pPr>
    </w:p>
    <w:p w14:paraId="76489E03"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Ypatingos populiacijos</w:t>
      </w:r>
    </w:p>
    <w:p w14:paraId="5AE2E1AF" w14:textId="77777777" w:rsidR="00091B58" w:rsidRPr="00C81D88" w:rsidRDefault="00091B58" w:rsidP="00091B58">
      <w:pPr>
        <w:rPr>
          <w:rFonts w:eastAsia="SimSun"/>
          <w:sz w:val="22"/>
          <w:szCs w:val="22"/>
          <w:lang w:eastAsia="zh-CN"/>
        </w:rPr>
      </w:pPr>
      <w:r w:rsidRPr="00C81D88">
        <w:rPr>
          <w:rFonts w:eastAsia="SimSun"/>
          <w:sz w:val="22"/>
          <w:szCs w:val="22"/>
          <w:lang w:eastAsia="zh-CN"/>
        </w:rPr>
        <w:t>Remiantis vienkartin</w:t>
      </w:r>
      <w:r w:rsidRPr="00C81D88">
        <w:rPr>
          <w:rFonts w:eastAsia="MS Mincho"/>
          <w:sz w:val="22"/>
          <w:szCs w:val="22"/>
          <w:lang w:eastAsia="zh-CN"/>
        </w:rPr>
        <w:t>ė</w:t>
      </w:r>
      <w:r w:rsidRPr="00C81D88">
        <w:rPr>
          <w:rFonts w:eastAsia="SimSun"/>
          <w:sz w:val="22"/>
          <w:szCs w:val="22"/>
          <w:lang w:eastAsia="zh-CN"/>
        </w:rPr>
        <w:t>s doz</w:t>
      </w:r>
      <w:r w:rsidRPr="00C81D88">
        <w:rPr>
          <w:rFonts w:eastAsia="MS Mincho"/>
          <w:sz w:val="22"/>
          <w:szCs w:val="22"/>
          <w:lang w:eastAsia="zh-CN"/>
        </w:rPr>
        <w:t>ė</w:t>
      </w:r>
      <w:r w:rsidRPr="00C81D88">
        <w:rPr>
          <w:rFonts w:eastAsia="SimSun"/>
          <w:sz w:val="22"/>
          <w:szCs w:val="22"/>
          <w:lang w:eastAsia="zh-CN"/>
        </w:rPr>
        <w:t>s farmakokinetikos tyrimo duomenimis, pacientams, kuriems yra lengvas, vidutinio sunkumo ar sunkus kepen</w:t>
      </w:r>
      <w:r w:rsidRPr="00C81D88">
        <w:rPr>
          <w:rFonts w:eastAsia="MS Mincho"/>
          <w:sz w:val="22"/>
          <w:szCs w:val="22"/>
          <w:lang w:eastAsia="zh-CN"/>
        </w:rPr>
        <w:t>ų</w:t>
      </w:r>
      <w:r w:rsidRPr="00C81D88">
        <w:rPr>
          <w:rFonts w:eastAsia="SimSun"/>
          <w:sz w:val="22"/>
          <w:szCs w:val="22"/>
          <w:lang w:eastAsia="zh-CN"/>
        </w:rPr>
        <w:t xml:space="preserve"> funkcijos sutrikimas, galima vartoti rekomenduojam</w:t>
      </w:r>
      <w:r w:rsidRPr="00C81D88">
        <w:rPr>
          <w:rFonts w:eastAsia="MS Mincho"/>
          <w:sz w:val="22"/>
          <w:szCs w:val="22"/>
          <w:lang w:eastAsia="zh-CN"/>
        </w:rPr>
        <w:t xml:space="preserve">ą </w:t>
      </w:r>
      <w:r w:rsidRPr="00C81D88">
        <w:rPr>
          <w:rFonts w:eastAsia="SimSun"/>
          <w:sz w:val="22"/>
          <w:szCs w:val="22"/>
          <w:lang w:eastAsia="zh-CN"/>
        </w:rPr>
        <w:t>pradin</w:t>
      </w:r>
      <w:r w:rsidRPr="00C81D88">
        <w:rPr>
          <w:rFonts w:eastAsia="MS Mincho"/>
          <w:sz w:val="22"/>
          <w:szCs w:val="22"/>
          <w:lang w:eastAsia="zh-CN"/>
        </w:rPr>
        <w:t>ę</w:t>
      </w:r>
      <w:r w:rsidRPr="00C81D88">
        <w:rPr>
          <w:rFonts w:eastAsia="SimSun"/>
          <w:sz w:val="22"/>
          <w:szCs w:val="22"/>
          <w:lang w:eastAsia="zh-CN"/>
        </w:rPr>
        <w:t xml:space="preserve"> doz</w:t>
      </w:r>
      <w:r w:rsidRPr="00C81D88">
        <w:rPr>
          <w:rFonts w:eastAsia="MS Mincho"/>
          <w:sz w:val="22"/>
          <w:szCs w:val="22"/>
          <w:lang w:eastAsia="zh-CN"/>
        </w:rPr>
        <w:t>ę</w:t>
      </w:r>
      <w:r w:rsidRPr="00C81D88">
        <w:rPr>
          <w:rFonts w:eastAsia="SimSun"/>
          <w:sz w:val="22"/>
          <w:szCs w:val="22"/>
          <w:lang w:eastAsia="zh-CN"/>
        </w:rPr>
        <w:t xml:space="preserve"> (</w:t>
      </w:r>
      <w:r w:rsidRPr="00C81D88">
        <w:rPr>
          <w:rFonts w:eastAsia="MS Mincho"/>
          <w:sz w:val="22"/>
          <w:szCs w:val="22"/>
          <w:lang w:eastAsia="zh-CN"/>
        </w:rPr>
        <w:t>ž</w:t>
      </w:r>
      <w:r w:rsidRPr="00C81D88">
        <w:rPr>
          <w:rFonts w:eastAsia="SimSun"/>
          <w:sz w:val="22"/>
          <w:szCs w:val="22"/>
          <w:lang w:eastAsia="zh-CN"/>
        </w:rPr>
        <w:t>r. 5.2 skyrių). D</w:t>
      </w:r>
      <w:r w:rsidRPr="00C81D88">
        <w:rPr>
          <w:rFonts w:eastAsia="MS Mincho"/>
          <w:sz w:val="22"/>
          <w:szCs w:val="22"/>
          <w:lang w:eastAsia="zh-CN"/>
        </w:rPr>
        <w:t>ė</w:t>
      </w:r>
      <w:r w:rsidRPr="00C81D88">
        <w:rPr>
          <w:rFonts w:eastAsia="SimSun"/>
          <w:sz w:val="22"/>
          <w:szCs w:val="22"/>
          <w:lang w:eastAsia="zh-CN"/>
        </w:rPr>
        <w:t>l šio klinikinio tyrimo apribojimų pacientams, kurių kepen</w:t>
      </w:r>
      <w:r w:rsidRPr="00C81D88">
        <w:rPr>
          <w:rFonts w:eastAsia="MS Mincho"/>
          <w:sz w:val="22"/>
          <w:szCs w:val="22"/>
          <w:lang w:eastAsia="zh-CN"/>
        </w:rPr>
        <w:t>ų funkcija sutrikusi</w:t>
      </w:r>
      <w:r w:rsidRPr="00C81D88">
        <w:rPr>
          <w:rFonts w:eastAsia="SimSun"/>
          <w:sz w:val="22"/>
          <w:szCs w:val="22"/>
          <w:lang w:eastAsia="zh-CN"/>
        </w:rPr>
        <w:t>, dazatinibo rekomenduojama skirti atsargiai.</w:t>
      </w:r>
    </w:p>
    <w:p w14:paraId="4CF8D582" w14:textId="77777777" w:rsidR="00091B58" w:rsidRPr="00C81D88" w:rsidRDefault="00091B58" w:rsidP="00091B58">
      <w:pPr>
        <w:rPr>
          <w:rFonts w:eastAsia="SimSun"/>
          <w:sz w:val="22"/>
          <w:szCs w:val="22"/>
          <w:lang w:eastAsia="zh-CN"/>
        </w:rPr>
      </w:pPr>
    </w:p>
    <w:p w14:paraId="0123BB64"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Svarbios nepageidaujamos reakcijos</w:t>
      </w:r>
    </w:p>
    <w:p w14:paraId="52D892AA" w14:textId="77777777" w:rsidR="00091B58" w:rsidRPr="00C81D88" w:rsidRDefault="00091B58" w:rsidP="00091B58">
      <w:pPr>
        <w:rPr>
          <w:rFonts w:eastAsia="SimSun"/>
          <w:i/>
          <w:iCs/>
          <w:sz w:val="22"/>
          <w:szCs w:val="22"/>
          <w:u w:val="single"/>
          <w:lang w:eastAsia="zh-CN"/>
        </w:rPr>
      </w:pPr>
      <w:r w:rsidRPr="00C81D88">
        <w:rPr>
          <w:rFonts w:eastAsia="SimSun"/>
          <w:i/>
          <w:iCs/>
          <w:sz w:val="22"/>
          <w:szCs w:val="22"/>
          <w:u w:val="single"/>
          <w:lang w:eastAsia="zh-CN"/>
        </w:rPr>
        <w:t>Kaulų čiulpų slopinimas</w:t>
      </w:r>
    </w:p>
    <w:p w14:paraId="597F6B75" w14:textId="77777777" w:rsidR="00091B58" w:rsidRPr="00C81D88" w:rsidRDefault="00091B58" w:rsidP="00091B58">
      <w:pPr>
        <w:rPr>
          <w:rFonts w:eastAsia="SimSun"/>
          <w:sz w:val="22"/>
          <w:szCs w:val="22"/>
          <w:lang w:eastAsia="zh-CN"/>
        </w:rPr>
      </w:pPr>
      <w:r w:rsidRPr="00C81D88">
        <w:rPr>
          <w:rFonts w:eastAsia="SimSun"/>
          <w:sz w:val="22"/>
          <w:szCs w:val="22"/>
          <w:lang w:eastAsia="zh-CN"/>
        </w:rPr>
        <w:t>Gydymas dazatinib</w:t>
      </w:r>
      <w:r w:rsidRPr="00C81D88">
        <w:rPr>
          <w:rFonts w:eastAsia="MS Mincho"/>
          <w:sz w:val="22"/>
          <w:szCs w:val="22"/>
          <w:lang w:eastAsia="zh-CN"/>
        </w:rPr>
        <w:t>u yra susijęs su</w:t>
      </w:r>
      <w:r w:rsidRPr="00C81D88">
        <w:rPr>
          <w:rFonts w:eastAsia="SimSun"/>
          <w:sz w:val="22"/>
          <w:szCs w:val="22"/>
          <w:lang w:eastAsia="zh-CN"/>
        </w:rPr>
        <w:t xml:space="preserve"> anemija, neutropenija ir trombocitopenija. Ph+ ŪLL sergantiems suaugusiesiems taikant monoterapiją dazatinibu, visų kraujo ląstelių skaičių reikia tirti kas savaitę pirmuosius 2 mėnesius, o vėliau kas mėnesį ar pagal klinikinį poreikį. Ph+ ŪLL sergantiems vaikams, gydomiems dazatinibu kartu su chemoterapija, visų kraujo ląstelių skaičių reikia tirti prieš kiekvienos chemoterapijos kurso pradžią ir pagal klinikinį poreikį. Konsoliduojamosios chemoterapijos kursų metu visų kraujo ląstelių skaičių reikia tirti kas 2 dienas, kol jis sunormalės (žr. 4.2 ir 4.8 skyrius). Kaulų čiulpų slopinimas paprastai būna laikinas ir dažniausiai praeina laikinai nutraukus dazatinibo vartojimą arba sumažinus jo dozę.  </w:t>
      </w:r>
    </w:p>
    <w:p w14:paraId="084A5BCC" w14:textId="77777777" w:rsidR="00091B58" w:rsidRPr="00C81D88" w:rsidRDefault="00091B58" w:rsidP="00091B58">
      <w:pPr>
        <w:rPr>
          <w:rFonts w:eastAsia="SimSun"/>
          <w:sz w:val="22"/>
          <w:szCs w:val="22"/>
          <w:lang w:eastAsia="zh-CN"/>
        </w:rPr>
      </w:pPr>
    </w:p>
    <w:p w14:paraId="27B050FE"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Kraujavimas</w:t>
      </w:r>
    </w:p>
    <w:p w14:paraId="321FD65F"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Dauguma su kraujavimu susijusių nepageidaujamų reakcijų dazatinibą vartojusiems pacientams dažniausiai buvo susijusios su 3 ar 4 laipsnio trombocitopenija (žr. 4.8 skyrių). Be to, trombocitų tyrimų </w:t>
      </w:r>
      <w:r w:rsidRPr="00C81D88">
        <w:rPr>
          <w:rFonts w:eastAsia="SimSun"/>
          <w:i/>
          <w:sz w:val="22"/>
          <w:szCs w:val="22"/>
          <w:lang w:eastAsia="zh-CN"/>
        </w:rPr>
        <w:t>in vitro</w:t>
      </w:r>
      <w:r w:rsidRPr="00C81D88">
        <w:rPr>
          <w:rFonts w:eastAsia="SimSun"/>
          <w:sz w:val="22"/>
          <w:szCs w:val="22"/>
          <w:lang w:eastAsia="zh-CN"/>
        </w:rPr>
        <w:t xml:space="preserve"> ir </w:t>
      </w:r>
      <w:r w:rsidRPr="00C81D88">
        <w:rPr>
          <w:rFonts w:eastAsia="SimSun"/>
          <w:i/>
          <w:sz w:val="22"/>
          <w:szCs w:val="22"/>
          <w:lang w:eastAsia="zh-CN"/>
        </w:rPr>
        <w:t>in vivo</w:t>
      </w:r>
      <w:r w:rsidRPr="00C81D88">
        <w:rPr>
          <w:rFonts w:eastAsia="SimSun"/>
          <w:sz w:val="22"/>
          <w:szCs w:val="22"/>
          <w:lang w:eastAsia="zh-CN"/>
        </w:rPr>
        <w:t xml:space="preserve"> duomenys rodo, kad dazatinibas laikinai paveikia trombocitų aktyvaciją. </w:t>
      </w:r>
    </w:p>
    <w:p w14:paraId="0A6FD9E6" w14:textId="77777777" w:rsidR="00091B58" w:rsidRPr="00C81D88" w:rsidRDefault="00091B58" w:rsidP="00091B58">
      <w:pPr>
        <w:rPr>
          <w:rFonts w:eastAsia="SimSun"/>
          <w:sz w:val="22"/>
          <w:szCs w:val="22"/>
          <w:lang w:eastAsia="zh-CN"/>
        </w:rPr>
      </w:pPr>
    </w:p>
    <w:p w14:paraId="000708CD" w14:textId="77777777" w:rsidR="00091B58" w:rsidRPr="00C81D88" w:rsidRDefault="00091B58" w:rsidP="00091B58">
      <w:pPr>
        <w:rPr>
          <w:rFonts w:eastAsia="SimSun"/>
          <w:sz w:val="22"/>
          <w:szCs w:val="22"/>
          <w:lang w:eastAsia="zh-CN"/>
        </w:rPr>
      </w:pPr>
      <w:r w:rsidRPr="00C81D88">
        <w:rPr>
          <w:rFonts w:eastAsia="SimSun"/>
          <w:sz w:val="22"/>
          <w:szCs w:val="22"/>
          <w:lang w:eastAsia="zh-CN"/>
        </w:rPr>
        <w:t>Jei pacientui kartu būtina vartoti trombocitų funkciją slopinančių vaistinių preparatų arba antikoaguliantų, reikia imtis atsargumo priemonių.</w:t>
      </w:r>
    </w:p>
    <w:p w14:paraId="28E95573" w14:textId="77777777" w:rsidR="00091B58" w:rsidRPr="00C81D88" w:rsidRDefault="00091B58" w:rsidP="00091B58">
      <w:pPr>
        <w:rPr>
          <w:rFonts w:eastAsia="SimSun"/>
          <w:sz w:val="22"/>
          <w:szCs w:val="22"/>
          <w:lang w:eastAsia="zh-CN"/>
        </w:rPr>
      </w:pPr>
    </w:p>
    <w:p w14:paraId="1A7FE05E" w14:textId="77777777" w:rsidR="00091B58" w:rsidRPr="00C81D88" w:rsidRDefault="00091B58" w:rsidP="00091B58">
      <w:pPr>
        <w:rPr>
          <w:rFonts w:eastAsia="SimSun"/>
          <w:i/>
          <w:sz w:val="22"/>
          <w:szCs w:val="22"/>
          <w:u w:val="single"/>
          <w:lang w:eastAsia="zh-CN"/>
        </w:rPr>
      </w:pPr>
      <w:r w:rsidRPr="00A373EB">
        <w:rPr>
          <w:rFonts w:eastAsia="SimSun"/>
          <w:i/>
          <w:sz w:val="22"/>
          <w:szCs w:val="22"/>
          <w:u w:val="single"/>
          <w:lang w:eastAsia="zh-CN"/>
        </w:rPr>
        <w:t>Skysčių susilaikymas</w:t>
      </w:r>
    </w:p>
    <w:p w14:paraId="36CF311E" w14:textId="77777777" w:rsidR="00091B58" w:rsidRPr="00C81D88" w:rsidRDefault="00091B58" w:rsidP="00091B58">
      <w:pPr>
        <w:rPr>
          <w:rFonts w:eastAsia="SimSun"/>
          <w:sz w:val="22"/>
          <w:szCs w:val="22"/>
          <w:lang w:eastAsia="zh-CN"/>
        </w:rPr>
      </w:pPr>
      <w:r w:rsidRPr="00C81D88">
        <w:rPr>
          <w:rFonts w:eastAsia="SimSun"/>
          <w:sz w:val="22"/>
          <w:szCs w:val="22"/>
          <w:lang w:eastAsia="zh-CN"/>
        </w:rPr>
        <w:t>Klinikinių tyrimų metu 3 ar 4 laipsnio skysčių susilaikymas nustatytas 8 % pacientų (7 % pasireiškė 3 ar 4 laipsnio pleuros efuzija, 1 % – 3 ar 4 laipsnio perikardo efuzija), vartojusių rekomenduojamą dazatinibo dozę (n=304). 3 ar 4 laipsnio plaučių edema ir plaučių hipertenzija pasireiškė po 1 % šių pacientų.</w:t>
      </w:r>
    </w:p>
    <w:p w14:paraId="459C23DD" w14:textId="77777777" w:rsidR="00091B58" w:rsidRPr="00C81D88" w:rsidRDefault="00091B58" w:rsidP="00091B58">
      <w:pPr>
        <w:rPr>
          <w:rFonts w:eastAsia="SimSun"/>
          <w:sz w:val="22"/>
          <w:szCs w:val="22"/>
          <w:lang w:eastAsia="zh-CN"/>
        </w:rPr>
      </w:pPr>
    </w:p>
    <w:p w14:paraId="1218B891" w14:textId="3A8FAD55" w:rsidR="00091B58" w:rsidRPr="00C81D88" w:rsidRDefault="00091B58" w:rsidP="00091B58">
      <w:pPr>
        <w:rPr>
          <w:rFonts w:eastAsia="SimSun"/>
          <w:sz w:val="22"/>
          <w:szCs w:val="22"/>
          <w:lang w:eastAsia="zh-CN"/>
        </w:rPr>
      </w:pPr>
      <w:r w:rsidRPr="00C81D88">
        <w:rPr>
          <w:rFonts w:eastAsia="SimSun"/>
          <w:sz w:val="22"/>
          <w:szCs w:val="22"/>
          <w:lang w:eastAsia="zh-CN"/>
        </w:rPr>
        <w:t xml:space="preserve">Jei atsiranda pleuros efuziją galinčių rodyti simptomų, pvz., dusulys arba sausas kosulys, pacientui reikia atlikti krūtinės ląstos rentgenogramą. Jeigu yra 3 ar 4 laipsnio pleuros efuzija, gali tekti atlikti torakocentezę ir gydyti deguonimi. Su skysčių susilaikymu susijusios nepageidaujamos reakcijos paprastai buvo koreguojamos palaikomosiomis priemonėmis, įskaitant diuretikus ir trumpus steroidų kursus (žr. 4.2 ir 4.8 skyrius). 65 metų ir vyresniems pacientams, palyginti su jaunesniais pacientais, </w:t>
      </w:r>
      <w:r w:rsidRPr="00C81D88">
        <w:rPr>
          <w:rFonts w:eastAsia="SimSun"/>
          <w:sz w:val="22"/>
          <w:szCs w:val="22"/>
          <w:lang w:eastAsia="zh-CN"/>
        </w:rPr>
        <w:lastRenderedPageBreak/>
        <w:t>pleuros efuzijos, dusulio, kosulio, perikardo efuzijos ir stazinio širdies nepakankamumo atsiradimo tikimybė yra didesnė, todėl juos reikia atidžiai stebėti.</w:t>
      </w:r>
      <w:r w:rsidR="00120B05">
        <w:rPr>
          <w:rFonts w:eastAsia="SimSun"/>
          <w:sz w:val="22"/>
          <w:szCs w:val="22"/>
          <w:lang w:eastAsia="zh-CN"/>
        </w:rPr>
        <w:t xml:space="preserve"> </w:t>
      </w:r>
      <w:r w:rsidR="00120B05" w:rsidRPr="00BB771B">
        <w:rPr>
          <w:rFonts w:eastAsia="SimSun"/>
          <w:sz w:val="22"/>
          <w:szCs w:val="22"/>
          <w:lang w:eastAsia="zh-CN"/>
        </w:rPr>
        <w:t>Buvo pranešta apie chilotorakso atvejus pacientams, kuriems pasireiškė pleuros efuzija (žr. 4.8 skyrių).</w:t>
      </w:r>
    </w:p>
    <w:p w14:paraId="596D6000" w14:textId="77777777" w:rsidR="00091B58" w:rsidRPr="00C81D88" w:rsidRDefault="00091B58" w:rsidP="00091B58">
      <w:pPr>
        <w:rPr>
          <w:rFonts w:eastAsia="SimSun"/>
          <w:sz w:val="22"/>
          <w:szCs w:val="22"/>
          <w:lang w:eastAsia="zh-CN"/>
        </w:rPr>
      </w:pPr>
    </w:p>
    <w:p w14:paraId="5408CB39"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Plaučių arterijos hipertenzija (PAH)</w:t>
      </w:r>
    </w:p>
    <w:p w14:paraId="706920C5" w14:textId="77777777" w:rsidR="00091B58" w:rsidRPr="00C81D88" w:rsidRDefault="00091B58" w:rsidP="00091B58">
      <w:pPr>
        <w:rPr>
          <w:rFonts w:eastAsia="SimSun"/>
          <w:sz w:val="22"/>
          <w:szCs w:val="22"/>
          <w:lang w:eastAsia="zh-CN"/>
        </w:rPr>
      </w:pPr>
      <w:r w:rsidRPr="00C81D88">
        <w:rPr>
          <w:rFonts w:eastAsia="SimSun"/>
          <w:sz w:val="22"/>
          <w:szCs w:val="22"/>
          <w:lang w:eastAsia="zh-CN"/>
        </w:rPr>
        <w:t>Gauta pranešimų apie vartojant dazatinibą pasireiškusią PAH (prekapiliarinę plaučių arterijos hipertenziją, patvirtintą kateterizuojant dešinę širdies pusę) (žr. 4.8 skyrių). Šiais atvejais apie PAH pranešta po gydymo dazatinibu pradžios, įskaitant atvejus po ilgesnio nei vienerių metų gydymo.</w:t>
      </w:r>
    </w:p>
    <w:p w14:paraId="0C1B2852" w14:textId="77777777" w:rsidR="00091B58" w:rsidRPr="00C81D88" w:rsidRDefault="00091B58" w:rsidP="00091B58">
      <w:pPr>
        <w:rPr>
          <w:rFonts w:eastAsia="SimSun"/>
          <w:sz w:val="22"/>
          <w:szCs w:val="22"/>
          <w:lang w:eastAsia="zh-CN"/>
        </w:rPr>
      </w:pPr>
    </w:p>
    <w:p w14:paraId="08E683EB" w14:textId="77777777" w:rsidR="00091B58" w:rsidRPr="00C81D88" w:rsidRDefault="00091B58" w:rsidP="00091B58">
      <w:pPr>
        <w:rPr>
          <w:rFonts w:eastAsia="SimSun"/>
          <w:sz w:val="22"/>
          <w:szCs w:val="22"/>
          <w:lang w:eastAsia="zh-CN"/>
        </w:rPr>
      </w:pPr>
      <w:r w:rsidRPr="00C81D88">
        <w:rPr>
          <w:rFonts w:eastAsia="SimSun"/>
          <w:sz w:val="22"/>
          <w:szCs w:val="22"/>
          <w:lang w:eastAsia="zh-CN"/>
        </w:rPr>
        <w:t>Prieš pradedant gydymą dazatinibu, reikia ištirti, ar nėra širdies ir plaučių ligų požymių ir simptomų. Pradedant gydymą, reikia atlikti ultragarsinį širdies tyrimą kiekvienam pacientui, kuriam yra širdies ligos simptomų, bei apsvarstyti jo atlikimą pacientams, kuriems yra širdies ar plaučių ligos rizikos veiksnių. Jeigu pradėjus gydymą pacientui pasireiškia dusulys ir nuovargis, reikia ištirti, ar tokio poveikio nesukėlė dažnai pasitaikančios priežastys (pvz., pleuros efuzija, plaučių edema, anemija arba plaučių infiltracija). Laikantis nehematologinių nepageidaujamų reakcijų kontrolės rekomendacijų (žr. 4.2 skyrių), tokio ištyrimo metu reikia sumažinti dazatinibo dozę arba laikinai nutraukti jo vartojimą. Jeigu nerandama kitos priežasties arba jei sumažinus vaistinio preparato dozę ar jo vartojimą laikinai nutraukus, būklė nepagerėja, reikia atsižvelgti į PAH diagnozės galimybę. PAH diagnozuojama laikantis standartinės praktikos rekomendacijų. Patvirtinus PAH diagnozę, dazatinibo vartojimą reikia nutraukti visam laikui.</w:t>
      </w:r>
    </w:p>
    <w:p w14:paraId="0E5F95B5" w14:textId="77777777" w:rsidR="00091B58" w:rsidRPr="00C81D88" w:rsidRDefault="00091B58" w:rsidP="00091B58">
      <w:pPr>
        <w:rPr>
          <w:rFonts w:eastAsia="SimSun"/>
          <w:sz w:val="22"/>
          <w:szCs w:val="22"/>
          <w:lang w:eastAsia="zh-CN"/>
        </w:rPr>
      </w:pPr>
      <w:r w:rsidRPr="00C81D88">
        <w:rPr>
          <w:rFonts w:eastAsia="SimSun"/>
          <w:sz w:val="22"/>
          <w:szCs w:val="22"/>
          <w:lang w:eastAsia="zh-CN"/>
        </w:rPr>
        <w:t>Pacientai turi būti stebimi laikantis standartinės praktikos rekomendacijų. Dazatinibu gydytų pacientų, kuriems pasireiškė PAH, hemodinamikos ir klinikiniai parametrai pagerėjo nutraukus dazatinibo vartojimą.</w:t>
      </w:r>
    </w:p>
    <w:p w14:paraId="03FEF13D" w14:textId="77777777" w:rsidR="00091B58" w:rsidRPr="00C81D88" w:rsidRDefault="00091B58" w:rsidP="00091B58">
      <w:pPr>
        <w:rPr>
          <w:rFonts w:eastAsia="SimSun"/>
          <w:sz w:val="22"/>
          <w:szCs w:val="22"/>
          <w:lang w:eastAsia="zh-CN"/>
        </w:rPr>
      </w:pPr>
    </w:p>
    <w:p w14:paraId="66795247"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QT pailgėjimas</w:t>
      </w:r>
    </w:p>
    <w:p w14:paraId="57565292"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Tyrimų </w:t>
      </w:r>
      <w:r w:rsidRPr="00C81D88">
        <w:rPr>
          <w:rFonts w:eastAsia="SimSun"/>
          <w:i/>
          <w:sz w:val="22"/>
          <w:szCs w:val="22"/>
          <w:lang w:eastAsia="zh-CN"/>
        </w:rPr>
        <w:t>in vitro</w:t>
      </w:r>
      <w:r w:rsidRPr="00C81D88">
        <w:rPr>
          <w:rFonts w:eastAsia="SimSun"/>
          <w:sz w:val="22"/>
          <w:szCs w:val="22"/>
          <w:lang w:eastAsia="zh-CN"/>
        </w:rPr>
        <w:t xml:space="preserve"> duomenimis, dazatinibas gali pailginti širdies skilvelių repoliarizacijos trukmę (QT intervalą) (žr. 5.3 skyrių). II fazės klinikinių tyrimų metu 865 leukemija sirgusiems pacientams vartojant dazatinibą, vidutinis </w:t>
      </w:r>
      <w:r w:rsidRPr="00C81D88">
        <w:rPr>
          <w:rFonts w:eastAsia="SimSun"/>
          <w:i/>
          <w:sz w:val="22"/>
          <w:szCs w:val="22"/>
          <w:lang w:eastAsia="zh-CN"/>
        </w:rPr>
        <w:t>Fridericia</w:t>
      </w:r>
      <w:r w:rsidRPr="00C81D88">
        <w:rPr>
          <w:rFonts w:eastAsia="SimSun"/>
          <w:sz w:val="22"/>
          <w:szCs w:val="22"/>
          <w:lang w:eastAsia="zh-CN"/>
        </w:rPr>
        <w:t xml:space="preserve"> metodu koreguoto QT intervalo (QTcF) pokytis (palyginus su iki gydymo buvusiu rodmeniu) buvo 4</w:t>
      </w:r>
      <w:r w:rsidRPr="00C81D88">
        <w:rPr>
          <w:rFonts w:eastAsia="SimSun"/>
          <w:sz w:val="22"/>
          <w:szCs w:val="22"/>
          <w:lang w:eastAsia="zh-CN"/>
        </w:rPr>
        <w:noBreakHyphen/>
        <w:t>6 milisekundės, visų pokyčių nuo pradinio rodmens vidurkio 95 % pasikliautinojo intervalo viršutinė riba buvo &lt; 7 milisekundės (žr. 4.8 skyrių).</w:t>
      </w:r>
    </w:p>
    <w:p w14:paraId="25AA90A5" w14:textId="77777777" w:rsidR="00091B58" w:rsidRPr="00C81D88" w:rsidRDefault="00091B58" w:rsidP="00091B58">
      <w:pPr>
        <w:rPr>
          <w:rFonts w:eastAsia="SimSun"/>
          <w:sz w:val="22"/>
          <w:szCs w:val="22"/>
          <w:lang w:eastAsia="zh-CN"/>
        </w:rPr>
      </w:pPr>
      <w:r w:rsidRPr="00C81D88">
        <w:rPr>
          <w:rFonts w:eastAsia="SimSun"/>
          <w:sz w:val="22"/>
          <w:szCs w:val="22"/>
          <w:lang w:eastAsia="zh-CN"/>
        </w:rPr>
        <w:t>15 (1 %) iš 2 182 pacientų, kurie nereagavo į ankstesnį gydymą imatinibu arba jo netoleravo ir kurie klinikinių tyrimų metu vartojo dazatinibą, kaip nepageidaujama reakcija nustatytas QTc intervalo pailgėjimas. Dvidešimt vienam iš jų (1 %) QTcF buvo &gt; 500 milisekundžių.</w:t>
      </w:r>
    </w:p>
    <w:p w14:paraId="1B7BC91C" w14:textId="77777777" w:rsidR="00091B58" w:rsidRPr="00C81D88" w:rsidRDefault="00091B58" w:rsidP="00091B58">
      <w:pPr>
        <w:rPr>
          <w:rFonts w:eastAsia="SimSun"/>
          <w:sz w:val="22"/>
          <w:szCs w:val="22"/>
          <w:lang w:eastAsia="zh-CN"/>
        </w:rPr>
      </w:pPr>
    </w:p>
    <w:p w14:paraId="76DEEF5D" w14:textId="77777777" w:rsidR="00091B58" w:rsidRPr="00C81D88" w:rsidRDefault="00091B58" w:rsidP="00091B58">
      <w:pPr>
        <w:rPr>
          <w:rFonts w:eastAsia="SimSun"/>
          <w:sz w:val="22"/>
          <w:szCs w:val="22"/>
          <w:lang w:eastAsia="zh-CN"/>
        </w:rPr>
      </w:pPr>
      <w:r w:rsidRPr="00C81D88">
        <w:rPr>
          <w:rFonts w:eastAsia="SimSun"/>
          <w:sz w:val="22"/>
          <w:szCs w:val="22"/>
          <w:lang w:eastAsia="zh-CN"/>
        </w:rPr>
        <w:t>Pacientams, kuriems yra QT intervalo pailgėjimas arba jo pailgėjimo rizika (hipokalemija ar hipomagnezemija, įgimtas ilgo QT sindromas, vartojama vaistinių preparatų nuo aritmijos ar kitų QT intervalą pailginti galinčių vaistinių preparatų, suvartota didelė kumuliacinė antraciklinų dozė), dazatinibo būtina skirti atsargiai. Prieš skiriant dazatinibo reikia koreguoti hipokalemiją ar hipomagnezemiją.</w:t>
      </w:r>
    </w:p>
    <w:p w14:paraId="6191CBD4" w14:textId="77777777" w:rsidR="00091B58" w:rsidRPr="00C81D88" w:rsidRDefault="00091B58" w:rsidP="00091B58">
      <w:pPr>
        <w:rPr>
          <w:rFonts w:eastAsia="SimSun"/>
          <w:sz w:val="22"/>
          <w:szCs w:val="22"/>
          <w:lang w:eastAsia="zh-CN"/>
        </w:rPr>
      </w:pPr>
    </w:p>
    <w:p w14:paraId="31456666"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Širdies nepageidaujamos reakcijos</w:t>
      </w:r>
    </w:p>
    <w:p w14:paraId="4E761D7D" w14:textId="77777777" w:rsidR="00091B58" w:rsidRPr="00C81D88" w:rsidRDefault="00091B58" w:rsidP="00091B58">
      <w:pPr>
        <w:rPr>
          <w:rFonts w:eastAsia="SimSun"/>
          <w:sz w:val="22"/>
          <w:szCs w:val="22"/>
          <w:lang w:eastAsia="zh-CN"/>
        </w:rPr>
      </w:pPr>
      <w:r w:rsidRPr="00C81D88">
        <w:rPr>
          <w:rFonts w:eastAsia="SimSun"/>
          <w:sz w:val="22"/>
          <w:szCs w:val="22"/>
          <w:lang w:eastAsia="zh-CN"/>
        </w:rPr>
        <w:t>Gauta pranešimų apie vartojant dazatinibą pasireiškusias širdies nepageidaujamas reakcijas: stazinį širdies nepakankamumą ar sutrikusią širdies funkciją, perikardo efuziją, aritmijas, palpitaciją, QT intervalo pailgėjimą bei miokardo infarktą (buvo ir mirties atvejų). Širdies nepageidaujamų reakcijų dažniau nustatyta pacientams, kurie turėjo rizikos veiksnių arba jau sirgo širdies ligomis. Jei nustatyta rizikos veiksnių (pvz., hipertenzija, hiperlipidemija, cukrinis diabetas) arba pacientas serga ar yra sirgęs širdies liga (pvz., daryta perkutaninė koronarinė intervencija, dokumentuota išeminė širdies liga), būtina atidžiai stebėti, ar nepasireiškė sutrikusiai širdies funkcijai būdingų klinikinių požymių ar simptomų (pvz., krūtinės skausmas, dusulys, prakaitavimas).</w:t>
      </w:r>
    </w:p>
    <w:p w14:paraId="2456145C" w14:textId="77777777" w:rsidR="00091B58" w:rsidRPr="00C81D88" w:rsidRDefault="00091B58" w:rsidP="00091B58">
      <w:pPr>
        <w:rPr>
          <w:rFonts w:eastAsia="SimSun"/>
          <w:sz w:val="22"/>
          <w:szCs w:val="22"/>
          <w:lang w:eastAsia="zh-CN"/>
        </w:rPr>
      </w:pPr>
    </w:p>
    <w:p w14:paraId="1557DFFF" w14:textId="77777777" w:rsidR="00091B58" w:rsidRPr="00C81D88" w:rsidRDefault="00091B58" w:rsidP="00091B58">
      <w:pPr>
        <w:rPr>
          <w:rFonts w:eastAsia="SimSun"/>
          <w:sz w:val="22"/>
          <w:szCs w:val="22"/>
          <w:lang w:eastAsia="zh-CN"/>
        </w:rPr>
      </w:pPr>
      <w:r w:rsidRPr="00C81D88">
        <w:rPr>
          <w:rFonts w:eastAsia="SimSun"/>
          <w:sz w:val="22"/>
          <w:szCs w:val="22"/>
          <w:lang w:eastAsia="zh-CN"/>
        </w:rPr>
        <w:t>Jeigu atsiranda šių klinikinių požymių ar simptomų, gydytojui rekomenduojama laikinai nutraukti gydymą dazatinibu ir įvertinti kitokio gydymo galimybę. Poveikiui išnykus, prieš gydymo dazatinibu atnaujinimą reikia atlikti funkcinį ištyrimą. Jeigu nepageidaujama reakcija buvo lengva ar vidutinio sunkumo (≤ 2 laipsnio), galima vėl skirti tokią pačią dozę, o jeigu nepageidaujama reakcija buvo sunki (≥ 3 laipsnio) – mažesnio lygio dazatinibo dozę (žr. 4.2 skyrių). Toliau gydomų pacientų būklę reikia periodiškai tirti.</w:t>
      </w:r>
    </w:p>
    <w:p w14:paraId="6738F38E" w14:textId="77777777" w:rsidR="00091B58" w:rsidRPr="00C81D88" w:rsidRDefault="00091B58" w:rsidP="00091B58">
      <w:pPr>
        <w:rPr>
          <w:rFonts w:eastAsia="SimSun"/>
          <w:sz w:val="22"/>
          <w:szCs w:val="22"/>
          <w:lang w:eastAsia="zh-CN"/>
        </w:rPr>
      </w:pPr>
    </w:p>
    <w:p w14:paraId="0EE47817" w14:textId="77777777" w:rsidR="00091B58" w:rsidRPr="00C81D88" w:rsidRDefault="00091B58" w:rsidP="00091B58">
      <w:pPr>
        <w:rPr>
          <w:rFonts w:eastAsia="SimSun"/>
          <w:sz w:val="22"/>
          <w:szCs w:val="22"/>
          <w:lang w:eastAsia="zh-CN"/>
        </w:rPr>
      </w:pPr>
      <w:r w:rsidRPr="00C81D88">
        <w:rPr>
          <w:rFonts w:eastAsia="SimSun"/>
          <w:sz w:val="22"/>
          <w:szCs w:val="22"/>
          <w:lang w:eastAsia="zh-CN"/>
        </w:rPr>
        <w:t>Dekompensuotomis ar reikšmingomis širdies ir kraujagyslių ligomis sergantys pacientai į klinikinius tyrimus būdavo neįtraukiami.</w:t>
      </w:r>
    </w:p>
    <w:p w14:paraId="6DDFB43D" w14:textId="77777777" w:rsidR="00091B58" w:rsidRPr="00C81D88" w:rsidRDefault="00091B58" w:rsidP="00091B58">
      <w:pPr>
        <w:rPr>
          <w:rFonts w:eastAsia="SimSun"/>
          <w:sz w:val="22"/>
          <w:szCs w:val="22"/>
          <w:lang w:eastAsia="zh-CN"/>
        </w:rPr>
      </w:pPr>
    </w:p>
    <w:p w14:paraId="3A12769B"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Trombinė mikroangiopatija (TMA)</w:t>
      </w:r>
    </w:p>
    <w:p w14:paraId="715CE841" w14:textId="77777777" w:rsidR="00091B58" w:rsidRPr="00C81D88" w:rsidRDefault="00091B58" w:rsidP="00091B58">
      <w:pPr>
        <w:rPr>
          <w:rFonts w:eastAsia="SimSun"/>
          <w:sz w:val="22"/>
          <w:szCs w:val="22"/>
          <w:lang w:eastAsia="zh-CN"/>
        </w:rPr>
      </w:pPr>
      <w:r w:rsidRPr="00C81D88">
        <w:rPr>
          <w:rFonts w:eastAsia="SimSun"/>
          <w:sz w:val="22"/>
          <w:szCs w:val="22"/>
          <w:lang w:eastAsia="zh-CN"/>
        </w:rPr>
        <w:t>BCR-ABL tirozino kinazės inhibitoriai buvo siejami su trombine mikroangiopatija (TMA), įskaitant pavienius atvejų pranešimus vartojant dazatinibo (žr. 4.8 skyrių). Jei dazatinibo vartojantiems pacientams atsirado su TMA susijusių laboratorinių arba klinikinių pokyčių, būtina nutraukti gydymą dazatinibu ir atlikti išsamų ištyrimą dėl TMA, įskaitant ADAMTS13 aktyvumo ir anti-ADAMTS13-antikūnų nustatymą. Jei anti-ADAMTS13-antikūnų kiekis yra padidėjęs ir kartu yra mažas ADAMTS13 aktyvumas, gydymo dazatinibu atnaujinti negalima.</w:t>
      </w:r>
    </w:p>
    <w:p w14:paraId="1446FE8D" w14:textId="77777777" w:rsidR="00091B58" w:rsidRPr="00C81D88" w:rsidRDefault="00091B58" w:rsidP="00091B58">
      <w:pPr>
        <w:rPr>
          <w:rFonts w:eastAsia="SimSun"/>
          <w:sz w:val="22"/>
          <w:szCs w:val="22"/>
          <w:lang w:eastAsia="zh-CN"/>
        </w:rPr>
      </w:pPr>
    </w:p>
    <w:p w14:paraId="02A0214C"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Hepatito B reaktyvacija</w:t>
      </w:r>
    </w:p>
    <w:p w14:paraId="542A0B51" w14:textId="77777777" w:rsidR="00091B58" w:rsidRPr="00C81D88" w:rsidRDefault="00091B58" w:rsidP="00091B58">
      <w:pPr>
        <w:rPr>
          <w:rFonts w:eastAsia="SimSun"/>
          <w:sz w:val="22"/>
          <w:szCs w:val="22"/>
          <w:lang w:eastAsia="zh-CN"/>
        </w:rPr>
      </w:pPr>
      <w:r w:rsidRPr="00C81D88">
        <w:rPr>
          <w:rFonts w:eastAsia="SimSun"/>
          <w:sz w:val="22"/>
          <w:szCs w:val="22"/>
          <w:lang w:eastAsia="zh-CN"/>
        </w:rPr>
        <w:t>Hepatito B reaktyvacijos atvejų nustatyta pacientams, kurie yra ilgalaikiai šio viruso nešiotojai, po to, kai tokie pacientai pavartojo BCR-ABL tirozinkinazės inhibitorių. Kai kuriais atvejais tai sukėlė ūminį kepenų nepakankamumą arba žaibinį hepatitą, dėl kurio pacientui teko persodinti kepenis arba jis mirė.</w:t>
      </w:r>
    </w:p>
    <w:p w14:paraId="6C0110CC" w14:textId="77777777" w:rsidR="00091B58" w:rsidRPr="00C81D88" w:rsidRDefault="00091B58" w:rsidP="00091B58">
      <w:pPr>
        <w:rPr>
          <w:rFonts w:eastAsia="SimSun"/>
          <w:sz w:val="22"/>
          <w:szCs w:val="22"/>
          <w:lang w:eastAsia="zh-CN"/>
        </w:rPr>
      </w:pPr>
      <w:r w:rsidRPr="00C81D88">
        <w:rPr>
          <w:rFonts w:eastAsia="SimSun"/>
          <w:sz w:val="22"/>
          <w:szCs w:val="22"/>
          <w:lang w:eastAsia="zh-CN"/>
        </w:rPr>
        <w:t>Prieš pradedant gydymą Dasatinib Norameda, pacientą reikia ištirti dėl HBV infekcijos. Prieš pradedant gydyti pacientus, kuriems nustatytas serologiškai teigiamas hepatitas B (įskaitant aktyvia liga sergančius pacientus), arba jei pacientui gydymo laikotarpiu HBV infekciją rodantys testai tapo teigiami, reikia pasitarti su kepenų ligų ekspertais ir hepatitą B gydančiais gydytojais specialistais. Gydymo laikotarpiu ir kelis mėnesius po jo pabaigos reikia atidžiai stebėti, ar HBV nešiotojams, kuriems būtinas gydymas Dasatinib Norameda, nepasireiškia aktyvios HBV infekcijos požymių ir simptomų (žr. 4.8 skyrių).</w:t>
      </w:r>
    </w:p>
    <w:p w14:paraId="7FEE41F0" w14:textId="77777777" w:rsidR="00091B58" w:rsidRPr="00C81D88" w:rsidRDefault="00091B58" w:rsidP="00091B58">
      <w:pPr>
        <w:rPr>
          <w:rFonts w:eastAsia="SimSun"/>
          <w:sz w:val="22"/>
          <w:szCs w:val="22"/>
          <w:lang w:eastAsia="zh-CN"/>
        </w:rPr>
      </w:pPr>
    </w:p>
    <w:p w14:paraId="7264A0AD"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Poveikis vaikų augimui ir vystymuisi</w:t>
      </w:r>
    </w:p>
    <w:p w14:paraId="1974FCDE" w14:textId="77777777" w:rsidR="00091B58" w:rsidRPr="00C81D88" w:rsidRDefault="00091B58" w:rsidP="00091B58">
      <w:pPr>
        <w:rPr>
          <w:rFonts w:eastAsia="SimSun"/>
          <w:sz w:val="22"/>
          <w:szCs w:val="22"/>
          <w:lang w:eastAsia="zh-CN"/>
        </w:rPr>
      </w:pPr>
    </w:p>
    <w:p w14:paraId="38159968" w14:textId="77777777" w:rsidR="00091B58" w:rsidRDefault="00091B58" w:rsidP="00091B58">
      <w:pPr>
        <w:rPr>
          <w:rFonts w:eastAsia="SimSun"/>
          <w:sz w:val="22"/>
          <w:szCs w:val="22"/>
          <w:lang w:eastAsia="zh-CN"/>
        </w:rPr>
      </w:pPr>
      <w:r w:rsidRPr="00C81D88">
        <w:rPr>
          <w:rFonts w:eastAsia="SimSun"/>
          <w:sz w:val="22"/>
          <w:szCs w:val="22"/>
          <w:lang w:eastAsia="zh-CN"/>
        </w:rPr>
        <w:t>Dazatinibo derinio su chemoterapija poveikio naujai diagnozuota Ph+ ŪLL sergantiems vaikams klinikinių tyrimų metu per ne ilgesnį kaip 2 metų laikotarpį su gydymu susijusių kaulų augimo ir vystymosi nepageidaujamų reiškinių nustatyta 1 pacientui (0,6 %). Šis atvejis buvo 1 laipsnio osteopenija.</w:t>
      </w:r>
    </w:p>
    <w:p w14:paraId="74CF531C" w14:textId="77777777" w:rsidR="00D42F5D" w:rsidRDefault="00D42F5D" w:rsidP="00091B58">
      <w:pPr>
        <w:rPr>
          <w:rFonts w:eastAsia="SimSun"/>
          <w:sz w:val="22"/>
          <w:szCs w:val="22"/>
          <w:lang w:eastAsia="zh-CN"/>
        </w:rPr>
      </w:pPr>
    </w:p>
    <w:p w14:paraId="57CC63E2" w14:textId="0303913E" w:rsidR="00D42F5D" w:rsidRPr="00C81D88" w:rsidRDefault="00D42F5D" w:rsidP="00091B58">
      <w:pPr>
        <w:rPr>
          <w:rFonts w:eastAsia="SimSun"/>
          <w:sz w:val="22"/>
          <w:szCs w:val="22"/>
          <w:lang w:eastAsia="zh-CN"/>
        </w:rPr>
      </w:pPr>
      <w:r w:rsidRPr="00D42F5D">
        <w:rPr>
          <w:rFonts w:eastAsia="SimSun"/>
          <w:sz w:val="22"/>
          <w:szCs w:val="22"/>
          <w:lang w:eastAsia="zh-CN"/>
        </w:rPr>
        <w:t>Klinikinių tyrimų metu stebėtas vaikų, gydytų dazatinibu, augimo sulėtėjimas (žr. 4.8 skyrių). Po daugiausiai 2 metų gydymo buvo pastebėta tikėtino ūgio mažėjimo tendencija, kuri buvo tokia pat, kaip ir taikant vien chemoterapiją, be poveikio tikėtinam svoriui ir KMI, ir nesusijusi su hormonų sutrikimais ar kitais laboratoriniais parametrais. Rekomenduojama stebėti vaikų kaulų augimą ir vystymąsi.</w:t>
      </w:r>
    </w:p>
    <w:p w14:paraId="2FAAEC92" w14:textId="77777777" w:rsidR="00091B58" w:rsidRPr="00C81D88" w:rsidRDefault="00091B58" w:rsidP="00091B58">
      <w:pPr>
        <w:rPr>
          <w:rFonts w:eastAsia="SimSun"/>
          <w:sz w:val="22"/>
          <w:szCs w:val="22"/>
          <w:lang w:eastAsia="zh-CN"/>
        </w:rPr>
      </w:pPr>
    </w:p>
    <w:p w14:paraId="4B4262F2"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Pagalbinės medžiagos</w:t>
      </w:r>
    </w:p>
    <w:p w14:paraId="4CDAC9CF" w14:textId="77777777" w:rsidR="00091B58" w:rsidRPr="00C81D88" w:rsidRDefault="00091B58" w:rsidP="00091B58">
      <w:pPr>
        <w:rPr>
          <w:rFonts w:eastAsia="SimSun"/>
          <w:sz w:val="22"/>
          <w:szCs w:val="22"/>
          <w:lang w:eastAsia="zh-CN"/>
        </w:rPr>
      </w:pPr>
      <w:r w:rsidRPr="00C81D88">
        <w:rPr>
          <w:rFonts w:eastAsia="SimSun"/>
          <w:sz w:val="22"/>
          <w:szCs w:val="22"/>
          <w:lang w:eastAsia="zh-CN"/>
        </w:rPr>
        <w:t>Šio vaistinio preparato sudėtyje yra laktozės monohidrato, todėl jo negalima vartoti pacientams, kuriems nustatytas retas paveldimas sutrikimas – galaktozės netoleravimas, visiškas laktazės stygius arba gliukozės ir galaktozės malabsorbcija.</w:t>
      </w:r>
    </w:p>
    <w:p w14:paraId="007CF99F" w14:textId="77777777" w:rsidR="00091B58" w:rsidRPr="00C81D88" w:rsidRDefault="00091B58" w:rsidP="00091B58">
      <w:pPr>
        <w:rPr>
          <w:rFonts w:eastAsia="SimSun"/>
          <w:sz w:val="22"/>
          <w:szCs w:val="22"/>
          <w:u w:val="single"/>
          <w:lang w:eastAsia="zh-CN"/>
        </w:rPr>
      </w:pPr>
    </w:p>
    <w:p w14:paraId="5581000F" w14:textId="77777777" w:rsidR="00091B58" w:rsidRPr="00C81D88" w:rsidRDefault="00091B58" w:rsidP="00091B58">
      <w:pPr>
        <w:rPr>
          <w:rFonts w:eastAsia="SimSun"/>
          <w:sz w:val="22"/>
          <w:szCs w:val="22"/>
          <w:lang w:eastAsia="zh-CN"/>
        </w:rPr>
      </w:pPr>
      <w:r w:rsidRPr="00C81D88">
        <w:rPr>
          <w:rFonts w:eastAsia="SimSun"/>
          <w:sz w:val="22"/>
          <w:szCs w:val="22"/>
          <w:lang w:eastAsia="zh-CN"/>
        </w:rPr>
        <w:t>Šio vaistinio preparato vienoje plėvele dengtoje tabletėje yra mažiau kaip 1 mmol (23 mg) natrio, t. y. jis beveik neturi reikšmės.</w:t>
      </w:r>
    </w:p>
    <w:p w14:paraId="50EC1B3D" w14:textId="77777777" w:rsidR="00091B58" w:rsidRPr="00C81D88" w:rsidRDefault="00091B58" w:rsidP="00091B58">
      <w:pPr>
        <w:rPr>
          <w:rFonts w:eastAsia="SimSun"/>
          <w:sz w:val="22"/>
          <w:szCs w:val="22"/>
          <w:lang w:eastAsia="zh-CN"/>
        </w:rPr>
      </w:pPr>
    </w:p>
    <w:p w14:paraId="0CDDC5A9"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4.5</w:t>
      </w:r>
      <w:r w:rsidRPr="00C81D88">
        <w:rPr>
          <w:rFonts w:eastAsia="SimSun"/>
          <w:b/>
          <w:sz w:val="22"/>
          <w:szCs w:val="22"/>
          <w:lang w:eastAsia="zh-CN"/>
        </w:rPr>
        <w:tab/>
        <w:t>Sąveika su kitais vaistiniais preparatais ir kitokia sąveika</w:t>
      </w:r>
    </w:p>
    <w:p w14:paraId="32F49759" w14:textId="77777777" w:rsidR="00091B58" w:rsidRPr="00C81D88" w:rsidRDefault="00091B58" w:rsidP="00091B58">
      <w:pPr>
        <w:rPr>
          <w:rFonts w:eastAsia="SimSun"/>
          <w:sz w:val="22"/>
          <w:szCs w:val="22"/>
          <w:lang w:eastAsia="zh-CN"/>
        </w:rPr>
      </w:pPr>
    </w:p>
    <w:p w14:paraId="6C5EF896"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Veikliosios medžiagos, kurios gali didinti dazatinibo koncentraciją kraujo plazmoje</w:t>
      </w:r>
    </w:p>
    <w:p w14:paraId="127388BB"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Tyrimai </w:t>
      </w:r>
      <w:r w:rsidRPr="00C81D88">
        <w:rPr>
          <w:rFonts w:eastAsia="SimSun"/>
          <w:i/>
          <w:sz w:val="22"/>
          <w:szCs w:val="22"/>
          <w:lang w:eastAsia="zh-CN"/>
        </w:rPr>
        <w:t>in vitro</w:t>
      </w:r>
      <w:r w:rsidRPr="00C81D88">
        <w:rPr>
          <w:rFonts w:eastAsia="SimSun"/>
          <w:sz w:val="22"/>
          <w:szCs w:val="22"/>
          <w:lang w:eastAsia="zh-CN"/>
        </w:rPr>
        <w:t xml:space="preserve"> parodė, kad dazatinibas yra CYP3A4 substratas. Kartu vartojant dazatinibą ir vaistinių preparatų ar kitų medžiagų, galinčių slopinti CYP3A4 (pvz., ketokonazolą, itrakonazolą, eritromiciną, klaritromiciną, ritonavirą, telitromiciną, greipfrutų sulčių), gali padidėti dazatinibo</w:t>
      </w:r>
    </w:p>
    <w:p w14:paraId="755139AF" w14:textId="77777777" w:rsidR="00091B58" w:rsidRPr="00C81D88" w:rsidRDefault="00091B58" w:rsidP="00091B58">
      <w:pPr>
        <w:rPr>
          <w:rFonts w:eastAsia="SimSun"/>
          <w:sz w:val="22"/>
          <w:szCs w:val="22"/>
          <w:lang w:eastAsia="zh-CN"/>
        </w:rPr>
      </w:pPr>
      <w:r w:rsidRPr="00C81D88">
        <w:rPr>
          <w:rFonts w:eastAsia="SimSun"/>
          <w:sz w:val="22"/>
          <w:szCs w:val="22"/>
          <w:lang w:eastAsia="zh-CN"/>
        </w:rPr>
        <w:t>ekspozicija, todėl kartu su dazatinibu stipriai CYP3A4 slopinančių sisteminio poveikio vaistinių preparatų vartoti nerekomenduojama (žr. 4.2 skyrių).</w:t>
      </w:r>
    </w:p>
    <w:p w14:paraId="481EE0EA" w14:textId="77777777" w:rsidR="00091B58" w:rsidRPr="00C81D88" w:rsidRDefault="00091B58" w:rsidP="00091B58">
      <w:pPr>
        <w:rPr>
          <w:rFonts w:eastAsia="SimSun"/>
          <w:sz w:val="22"/>
          <w:szCs w:val="22"/>
          <w:lang w:eastAsia="zh-CN"/>
        </w:rPr>
      </w:pPr>
    </w:p>
    <w:p w14:paraId="63A7520A"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Tyrimų </w:t>
      </w:r>
      <w:r w:rsidRPr="00C81D88">
        <w:rPr>
          <w:rFonts w:eastAsia="SimSun"/>
          <w:i/>
          <w:sz w:val="22"/>
          <w:szCs w:val="22"/>
          <w:lang w:eastAsia="zh-CN"/>
        </w:rPr>
        <w:t>in vitro</w:t>
      </w:r>
      <w:r w:rsidRPr="00C81D88">
        <w:rPr>
          <w:rFonts w:eastAsia="SimSun"/>
          <w:sz w:val="22"/>
          <w:szCs w:val="22"/>
          <w:lang w:eastAsia="zh-CN"/>
        </w:rPr>
        <w:t xml:space="preserve"> duomenimis, esant kliniškai reikšmingoms koncentracijoms prie plazmos baltymų prisijungia maždaug 96 % dazatinibo. Dazatinibo sąveikos su kitais vaistiniais preparatais, kurie būna prisijungę prie baltymų, tyrimų neatlikta. Išstūmimo iš junginių su baltymais galimybė ir jo klinikinė reikšmė nežinoma.</w:t>
      </w:r>
    </w:p>
    <w:p w14:paraId="25032C17" w14:textId="77777777" w:rsidR="00091B58" w:rsidRPr="00C81D88" w:rsidRDefault="00091B58" w:rsidP="00091B58">
      <w:pPr>
        <w:rPr>
          <w:rFonts w:eastAsia="SimSun"/>
          <w:sz w:val="22"/>
          <w:szCs w:val="22"/>
          <w:lang w:eastAsia="zh-CN"/>
        </w:rPr>
      </w:pPr>
    </w:p>
    <w:p w14:paraId="05BF3BC3"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Veikliosios medžiagos, kurios gali mažinti dazatinibo koncentraciją kraujo plazmoje</w:t>
      </w:r>
    </w:p>
    <w:p w14:paraId="14644D4F" w14:textId="77777777" w:rsidR="00091B58" w:rsidRPr="00C81D88" w:rsidRDefault="00091B58" w:rsidP="00091B58">
      <w:pPr>
        <w:rPr>
          <w:rFonts w:eastAsia="SimSun"/>
          <w:sz w:val="22"/>
          <w:szCs w:val="22"/>
          <w:lang w:eastAsia="zh-CN"/>
        </w:rPr>
      </w:pPr>
      <w:r w:rsidRPr="00C81D88">
        <w:rPr>
          <w:rFonts w:eastAsia="SimSun"/>
          <w:sz w:val="22"/>
          <w:szCs w:val="22"/>
          <w:lang w:eastAsia="zh-CN"/>
        </w:rPr>
        <w:lastRenderedPageBreak/>
        <w:t xml:space="preserve">Dazatinibo išgėrus prieš tai 8 dienas kas vakarą vartojus po 600 mg rifampicino, kuris yra stiprus CYP3A4 induktorius, dazatinibo AUC sumažėjo 82 %. Kiti vaistiniai preparatai, kurie didina CYP3A4 aktyvumą, pvz., deksametazonas, fenitoinas, karbamazepinas, fenobarbitalis ir augaliniai preparatai, kurių sudėtyje yra </w:t>
      </w:r>
      <w:r w:rsidRPr="00C81D88">
        <w:rPr>
          <w:rFonts w:eastAsia="SimSun"/>
          <w:i/>
          <w:sz w:val="22"/>
          <w:szCs w:val="22"/>
          <w:lang w:eastAsia="zh-CN"/>
        </w:rPr>
        <w:t>Hypericum perforatum</w:t>
      </w:r>
      <w:r w:rsidRPr="00C81D88">
        <w:rPr>
          <w:rFonts w:eastAsia="SimSun"/>
          <w:sz w:val="22"/>
          <w:szCs w:val="22"/>
          <w:lang w:eastAsia="zh-CN"/>
        </w:rPr>
        <w:t xml:space="preserve"> (paprastųjų jonažolių), taip pat gali pagreitinti dazatinibo metabolizmą ir sumažinti dazatinibo koncentraciją kraujo plazmoje. Dėl to vaistinių preparatų, kurie stipriai indukuoja CYP3A4, kartu su dazatinibu vartoti nerekomenduojama. Jei yra indikacijų vartoti rifampiciną arba kitą CYP3A4 induktorių, būtina pasirinkti kitus vaistinius preparatus, kurie fermentus indukuoja silpniau. Kartu su dazatinibu galima vartoti deksametazoną, kuris yra silpnas CYP3A4 induktorius; kartu vartojant deksametazono, tikėtinas dazatinibo AUC sumažėjimas maždaug 25 % ir nėra tikėtina, kad toks poveikis būtų kliniškai reikšmingas.</w:t>
      </w:r>
    </w:p>
    <w:p w14:paraId="66F67C48" w14:textId="77777777" w:rsidR="00091B58" w:rsidRPr="00C81D88" w:rsidRDefault="00091B58" w:rsidP="00091B58">
      <w:pPr>
        <w:rPr>
          <w:rFonts w:eastAsia="SimSun"/>
          <w:sz w:val="22"/>
          <w:szCs w:val="22"/>
          <w:lang w:eastAsia="zh-CN"/>
        </w:rPr>
      </w:pPr>
    </w:p>
    <w:p w14:paraId="190AB2EC"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Histamino-2 antagonistai ir protonų siurblio inhibitoriai</w:t>
      </w:r>
    </w:p>
    <w:p w14:paraId="4A7EB644" w14:textId="77777777" w:rsidR="00091B58" w:rsidRPr="00C81D88" w:rsidRDefault="00091B58" w:rsidP="00091B58">
      <w:pPr>
        <w:rPr>
          <w:rFonts w:eastAsia="SimSun"/>
          <w:sz w:val="22"/>
          <w:szCs w:val="22"/>
          <w:lang w:eastAsia="zh-CN"/>
        </w:rPr>
      </w:pPr>
      <w:r w:rsidRPr="00C81D88">
        <w:rPr>
          <w:rFonts w:eastAsia="SimSun"/>
          <w:sz w:val="22"/>
          <w:szCs w:val="22"/>
          <w:lang w:eastAsia="zh-CN"/>
        </w:rPr>
        <w:t>Tikėtina, kad ilgalaikis skrandžio rūgšties sekrecijos slopinimas H</w:t>
      </w:r>
      <w:r w:rsidRPr="00C81D88">
        <w:rPr>
          <w:rFonts w:eastAsia="SimSun"/>
          <w:sz w:val="22"/>
          <w:szCs w:val="22"/>
          <w:vertAlign w:val="subscript"/>
          <w:lang w:eastAsia="zh-CN"/>
        </w:rPr>
        <w:t>2</w:t>
      </w:r>
      <w:r w:rsidRPr="00C81D88">
        <w:rPr>
          <w:rFonts w:eastAsia="SimSun"/>
          <w:sz w:val="22"/>
          <w:szCs w:val="22"/>
          <w:lang w:eastAsia="zh-CN"/>
        </w:rPr>
        <w:t xml:space="preserve"> antagonistais arba protonų siurblio inhibitoriais (pvz., famotidinu ar omeprazolu) sumažins dazatinibo ekspoziciją. Su sveikais asmenimis atlikto vienos dozės tyrimo metu famotidino pavartojus likus 10 valandų iki vienkartinės dazatinibo dozės pavartojimo, dazatinibo ekspozicija sumažėjo 61 %. Tyrimo metu 14 sveikų asmenų 4 dienas vartojus 40 mg omeprazolo dozę nusistovėjo jo pusiausvyrinė apykaita; po to po 22 valandų jiems pavartojus vieną 100 mg dazatinibo dozę, dazatinibo AUC suažėjo 43 %, o C</w:t>
      </w:r>
      <w:r w:rsidRPr="00C81D88">
        <w:rPr>
          <w:rFonts w:eastAsia="SimSun"/>
          <w:sz w:val="22"/>
          <w:szCs w:val="22"/>
          <w:vertAlign w:val="subscript"/>
          <w:lang w:eastAsia="zh-CN"/>
        </w:rPr>
        <w:t>max</w:t>
      </w:r>
      <w:r w:rsidRPr="00C81D88">
        <w:rPr>
          <w:rFonts w:eastAsia="SimSun"/>
          <w:sz w:val="22"/>
          <w:szCs w:val="22"/>
          <w:lang w:eastAsia="zh-CN"/>
        </w:rPr>
        <w:t xml:space="preserve"> – 42 %. Dazatinibu gydomiems pacientams vietoje H</w:t>
      </w:r>
      <w:r w:rsidRPr="00C81D88">
        <w:rPr>
          <w:rFonts w:eastAsia="SimSun"/>
          <w:sz w:val="22"/>
          <w:szCs w:val="22"/>
          <w:vertAlign w:val="subscript"/>
          <w:lang w:eastAsia="zh-CN"/>
        </w:rPr>
        <w:t>2</w:t>
      </w:r>
      <w:r w:rsidRPr="00C81D88">
        <w:rPr>
          <w:rFonts w:eastAsia="SimSun"/>
          <w:sz w:val="22"/>
          <w:szCs w:val="22"/>
          <w:lang w:eastAsia="zh-CN"/>
        </w:rPr>
        <w:t xml:space="preserve"> antagonistų ar protonų siurblio inhibitorių svarstytinas antacidinių vaistinių preparatų vartojimas (žr. 4.4 skyrių).</w:t>
      </w:r>
    </w:p>
    <w:p w14:paraId="7A2320D2" w14:textId="77777777" w:rsidR="00091B58" w:rsidRPr="00C81D88" w:rsidRDefault="00091B58" w:rsidP="00091B58">
      <w:pPr>
        <w:rPr>
          <w:rFonts w:eastAsia="SimSun"/>
          <w:sz w:val="22"/>
          <w:szCs w:val="22"/>
          <w:lang w:eastAsia="zh-CN"/>
        </w:rPr>
      </w:pPr>
    </w:p>
    <w:p w14:paraId="30AF1B7D"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Antacidiniai vaistiniai preparatai</w:t>
      </w:r>
    </w:p>
    <w:p w14:paraId="48BE6659" w14:textId="77777777" w:rsidR="00091B58" w:rsidRPr="00C81D88" w:rsidRDefault="00091B58" w:rsidP="00091B58">
      <w:pPr>
        <w:rPr>
          <w:rFonts w:eastAsia="SimSun"/>
          <w:sz w:val="22"/>
          <w:szCs w:val="22"/>
          <w:lang w:eastAsia="zh-CN"/>
        </w:rPr>
      </w:pPr>
      <w:r w:rsidRPr="00C81D88">
        <w:rPr>
          <w:rFonts w:eastAsia="SimSun"/>
          <w:sz w:val="22"/>
          <w:szCs w:val="22"/>
          <w:lang w:eastAsia="zh-CN"/>
        </w:rPr>
        <w:t>Ikiklinikiniai duomenys rodo, kad dazatinibo tirpumas priklauso nuo pH. Sveikiems asmenims vartojant aliuminio hidroksido ir magnio hidroksido antacidinių vaistinių preparatų, AUC po vienkartinės dazatinibo dozės pavartojimo sumažėjo 55 %, C</w:t>
      </w:r>
      <w:r w:rsidRPr="00C81D88">
        <w:rPr>
          <w:rFonts w:eastAsia="SimSun"/>
          <w:sz w:val="22"/>
          <w:szCs w:val="22"/>
          <w:vertAlign w:val="subscript"/>
          <w:lang w:eastAsia="zh-CN"/>
        </w:rPr>
        <w:t>max</w:t>
      </w:r>
      <w:r w:rsidRPr="00C81D88">
        <w:rPr>
          <w:rFonts w:eastAsia="SimSun"/>
          <w:sz w:val="22"/>
          <w:szCs w:val="22"/>
          <w:lang w:eastAsia="zh-CN"/>
        </w:rPr>
        <w:t xml:space="preserve"> – 58 %. Vis dėlto antacidinius vaistinius preparatus išgėrus likus 2 valandoms iki vienkartinės dazatinibo dozės pavartojimo, reikšmingos įtakos dazatinibo koncentracijai ar ekspozicijai nepastebėta. Taigi, antacidinių vaistinių preparatų galima vartoti likus ne mažiau kaip 2 valandoms iki dazatinibo vartojimo ir praėjus 2 valandoms po jo (žr. 4.4 skyrių).</w:t>
      </w:r>
    </w:p>
    <w:p w14:paraId="4B69394D" w14:textId="77777777" w:rsidR="00091B58" w:rsidRPr="00C81D88" w:rsidRDefault="00091B58" w:rsidP="00091B58">
      <w:pPr>
        <w:rPr>
          <w:rFonts w:eastAsia="SimSun"/>
          <w:sz w:val="22"/>
          <w:szCs w:val="22"/>
          <w:lang w:eastAsia="zh-CN"/>
        </w:rPr>
      </w:pPr>
    </w:p>
    <w:p w14:paraId="1EC81811"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Veikliosios medžiagos, kurių koncentracija kraujo plazmoje gali pakisti dėl dazatinibo poveikio</w:t>
      </w:r>
    </w:p>
    <w:p w14:paraId="7D4FF686" w14:textId="77777777" w:rsidR="00091B58" w:rsidRPr="00C81D88" w:rsidRDefault="00091B58" w:rsidP="00091B58">
      <w:pPr>
        <w:rPr>
          <w:rFonts w:eastAsia="SimSun"/>
          <w:sz w:val="22"/>
          <w:szCs w:val="22"/>
          <w:lang w:eastAsia="zh-CN"/>
        </w:rPr>
      </w:pPr>
      <w:r w:rsidRPr="00C81D88">
        <w:rPr>
          <w:rFonts w:eastAsia="SimSun"/>
          <w:sz w:val="22"/>
          <w:szCs w:val="22"/>
          <w:lang w:eastAsia="zh-CN"/>
        </w:rPr>
        <w:t>Gali padidėti kartu su dazatinibu vartojamų CYP3A4 substratų ekspozicija. Su sveikais savanoriais atlikto tyrimo metu vienkartinė 100 mg dazatinibo dozė padidino CYP3A4 substrato simvastatino AUC 20 %, C</w:t>
      </w:r>
      <w:r w:rsidRPr="00C81D88">
        <w:rPr>
          <w:rFonts w:eastAsia="SimSun"/>
          <w:sz w:val="22"/>
          <w:szCs w:val="22"/>
          <w:vertAlign w:val="subscript"/>
          <w:lang w:eastAsia="zh-CN"/>
        </w:rPr>
        <w:t>max</w:t>
      </w:r>
      <w:r w:rsidRPr="00C81D88">
        <w:rPr>
          <w:rFonts w:eastAsia="SimSun"/>
          <w:sz w:val="22"/>
          <w:szCs w:val="22"/>
          <w:lang w:eastAsia="zh-CN"/>
        </w:rPr>
        <w:t xml:space="preserve"> – 37 %. Negalima paneigti, kad kartotinių dazatinibo dozių poveikis yra stipresnis. Dėl to CYP3A4 substratų, kurių terapinis indeksas siauras, pvz., astemizolo, terfenadino, cisaprido, pimozido, chinidino, bepridilo ir skalsių alkaloidų (ergotamino, dihidroergotamino), dazatinibo vartojantiems pacientams reikia skirti atsargiai (žr. 4.4 skyrių).</w:t>
      </w:r>
    </w:p>
    <w:p w14:paraId="7FB17547" w14:textId="77777777" w:rsidR="00091B58" w:rsidRPr="00C81D88" w:rsidRDefault="00091B58" w:rsidP="00091B58">
      <w:pPr>
        <w:rPr>
          <w:rFonts w:eastAsia="SimSun"/>
          <w:sz w:val="22"/>
          <w:szCs w:val="22"/>
          <w:lang w:eastAsia="zh-CN"/>
        </w:rPr>
      </w:pPr>
      <w:r w:rsidRPr="00C81D88">
        <w:rPr>
          <w:rFonts w:eastAsia="SimSun"/>
          <w:i/>
          <w:sz w:val="22"/>
          <w:szCs w:val="22"/>
          <w:lang w:eastAsia="zh-CN"/>
        </w:rPr>
        <w:t>In vitro</w:t>
      </w:r>
      <w:r w:rsidRPr="00C81D88">
        <w:rPr>
          <w:rFonts w:eastAsia="SimSun"/>
          <w:sz w:val="22"/>
          <w:szCs w:val="22"/>
          <w:lang w:eastAsia="zh-CN"/>
        </w:rPr>
        <w:t xml:space="preserve"> tyrimų duomenys rodo galimą tarpusavio sąveikos su CYP3A4 substratais, pvz., glitazonais, riziką.</w:t>
      </w:r>
    </w:p>
    <w:p w14:paraId="55ED15B5" w14:textId="77777777" w:rsidR="00091B58" w:rsidRPr="00C81D88" w:rsidRDefault="00091B58" w:rsidP="00091B58">
      <w:pPr>
        <w:rPr>
          <w:rFonts w:eastAsia="SimSun"/>
          <w:sz w:val="22"/>
          <w:szCs w:val="22"/>
          <w:lang w:eastAsia="zh-CN"/>
        </w:rPr>
      </w:pPr>
    </w:p>
    <w:p w14:paraId="0366B6C5"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Vaikų populiacija</w:t>
      </w:r>
    </w:p>
    <w:p w14:paraId="167E5A44"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Sąveikos tyrimai atlikti tik suaugusiesiems. </w:t>
      </w:r>
      <w:r w:rsidRPr="00C81D88">
        <w:rPr>
          <w:rFonts w:eastAsia="SimSun"/>
          <w:sz w:val="22"/>
          <w:szCs w:val="22"/>
          <w:lang w:eastAsia="zh-CN"/>
        </w:rPr>
        <w:cr/>
      </w:r>
    </w:p>
    <w:p w14:paraId="0859AD1C"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4.6</w:t>
      </w:r>
      <w:r w:rsidRPr="00C81D88">
        <w:rPr>
          <w:rFonts w:eastAsia="SimSun"/>
          <w:b/>
          <w:sz w:val="22"/>
          <w:szCs w:val="22"/>
          <w:lang w:eastAsia="zh-CN"/>
        </w:rPr>
        <w:tab/>
        <w:t>Vaisingumas, nėštumo ir žindymo laikotarpis</w:t>
      </w:r>
    </w:p>
    <w:p w14:paraId="7352CCCE" w14:textId="77777777" w:rsidR="00091B58" w:rsidRPr="00C81D88" w:rsidRDefault="00091B58" w:rsidP="00091B58">
      <w:pPr>
        <w:rPr>
          <w:rFonts w:eastAsia="SimSun"/>
          <w:sz w:val="22"/>
          <w:szCs w:val="22"/>
          <w:lang w:eastAsia="zh-CN"/>
        </w:rPr>
      </w:pPr>
    </w:p>
    <w:p w14:paraId="4A87FF89"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Vaisingos moterys / vyrų ir moterų kontracepcija</w:t>
      </w:r>
    </w:p>
    <w:p w14:paraId="5E62F89E" w14:textId="77777777" w:rsidR="00091B58" w:rsidRPr="00C81D88" w:rsidRDefault="00091B58" w:rsidP="00091B58">
      <w:pPr>
        <w:rPr>
          <w:rFonts w:eastAsia="SimSun"/>
          <w:sz w:val="22"/>
          <w:szCs w:val="22"/>
          <w:lang w:eastAsia="zh-CN"/>
        </w:rPr>
      </w:pPr>
      <w:r w:rsidRPr="00C81D88">
        <w:rPr>
          <w:rFonts w:eastAsia="SimSun"/>
          <w:sz w:val="22"/>
          <w:szCs w:val="22"/>
          <w:lang w:eastAsia="zh-CN"/>
        </w:rPr>
        <w:t>Lytiškai aktyvūs vyrai ir vaisingos moterys gydymo metu turi naudoti veiksmingus kontracepcijos metodus.</w:t>
      </w:r>
    </w:p>
    <w:p w14:paraId="15E8BB0A" w14:textId="77777777" w:rsidR="00091B58" w:rsidRPr="00C81D88" w:rsidRDefault="00091B58" w:rsidP="00091B58">
      <w:pPr>
        <w:rPr>
          <w:rFonts w:eastAsia="SimSun"/>
          <w:sz w:val="22"/>
          <w:szCs w:val="22"/>
          <w:u w:val="single"/>
          <w:lang w:eastAsia="zh-CN"/>
        </w:rPr>
      </w:pPr>
    </w:p>
    <w:p w14:paraId="1C5C28DB"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Nėštumas</w:t>
      </w:r>
    </w:p>
    <w:p w14:paraId="16981235" w14:textId="77777777" w:rsidR="00091B58" w:rsidRPr="00C81D88" w:rsidRDefault="00091B58" w:rsidP="00091B58">
      <w:pPr>
        <w:rPr>
          <w:rFonts w:eastAsia="SimSun"/>
          <w:sz w:val="22"/>
          <w:szCs w:val="22"/>
          <w:lang w:eastAsia="zh-CN"/>
        </w:rPr>
      </w:pPr>
      <w:r w:rsidRPr="00C81D88">
        <w:rPr>
          <w:rFonts w:eastAsia="SimSun"/>
          <w:sz w:val="22"/>
          <w:szCs w:val="22"/>
          <w:lang w:eastAsia="zh-CN"/>
        </w:rPr>
        <w:t>Remiantis su žmonėmis gautais duomenimis įtariama, kad nėštumo metu vartojamas dazatinibas sukelia apsigimimus, įskaitant nervinio vamzdelio defektus, ir kenksmingą farmakologinį poveikį vaisiui. Su gyvūnais atlikti tyrimai parodė toksinį poveikį reprodukcijai (žr. 5.3 skyrių).</w:t>
      </w:r>
    </w:p>
    <w:p w14:paraId="62FF3B04" w14:textId="77777777" w:rsidR="00091B58" w:rsidRPr="00C81D88" w:rsidRDefault="00091B58" w:rsidP="00091B58">
      <w:pPr>
        <w:rPr>
          <w:rFonts w:eastAsia="SimSun"/>
          <w:sz w:val="22"/>
          <w:szCs w:val="22"/>
          <w:lang w:eastAsia="zh-CN"/>
        </w:rPr>
      </w:pPr>
      <w:r w:rsidRPr="00C81D88">
        <w:rPr>
          <w:rFonts w:eastAsia="SimSun"/>
          <w:sz w:val="22"/>
          <w:szCs w:val="22"/>
          <w:lang w:eastAsia="zh-CN"/>
        </w:rPr>
        <w:t>Dasatinib Norameda nėštumo metu vartoti negalima, nebent moters klinikinė būklė yra tokia, kad ją būtina gydyti dazatinibu. Jeigu Dasatinib Norameda vartojamas nėštumo laikotarpiu, pacientė turi būti informuota apie galimą riziką vaisiui.</w:t>
      </w:r>
    </w:p>
    <w:p w14:paraId="7487F865" w14:textId="77777777" w:rsidR="00091B58" w:rsidRPr="00C81D88" w:rsidRDefault="00091B58" w:rsidP="00091B58">
      <w:pPr>
        <w:rPr>
          <w:rFonts w:eastAsia="SimSun"/>
          <w:sz w:val="22"/>
          <w:szCs w:val="22"/>
          <w:lang w:eastAsia="zh-CN"/>
        </w:rPr>
      </w:pPr>
    </w:p>
    <w:p w14:paraId="1F5122C5"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Žindymas</w:t>
      </w:r>
    </w:p>
    <w:p w14:paraId="06AF9E96" w14:textId="77777777" w:rsidR="00091B58" w:rsidRPr="00C81D88" w:rsidRDefault="00091B58" w:rsidP="00091B58">
      <w:pPr>
        <w:rPr>
          <w:rFonts w:eastAsia="SimSun"/>
          <w:sz w:val="22"/>
          <w:szCs w:val="22"/>
          <w:lang w:eastAsia="zh-CN"/>
        </w:rPr>
      </w:pPr>
      <w:r w:rsidRPr="00C81D88">
        <w:rPr>
          <w:rFonts w:eastAsia="SimSun"/>
          <w:sz w:val="22"/>
          <w:szCs w:val="22"/>
          <w:lang w:eastAsia="zh-CN"/>
        </w:rPr>
        <w:lastRenderedPageBreak/>
        <w:t>Duomenų apie dazatinibo išskyrimą į žmogaus ar gyvūnų pieną nepakanka ir jie yra riboti. Dazatinibo fizikocheminiai bei turimi farmakodinaminiai ir toksikologiniai duomenys rodo galimą jo išskyrimą į pieną, paneigti riziką žindomam kūdikiui negalima.</w:t>
      </w:r>
    </w:p>
    <w:p w14:paraId="1A638AC1" w14:textId="77777777" w:rsidR="00091B58" w:rsidRPr="00C81D88" w:rsidRDefault="00091B58" w:rsidP="00091B58">
      <w:pPr>
        <w:rPr>
          <w:rFonts w:eastAsia="SimSun"/>
          <w:sz w:val="22"/>
          <w:szCs w:val="22"/>
          <w:lang w:eastAsia="zh-CN"/>
        </w:rPr>
      </w:pPr>
      <w:r w:rsidRPr="00C81D88">
        <w:rPr>
          <w:rFonts w:eastAsia="SimSun"/>
          <w:sz w:val="22"/>
          <w:szCs w:val="22"/>
          <w:lang w:eastAsia="zh-CN"/>
        </w:rPr>
        <w:t>Gydymo Dasatinib Norameda metu žindymas turi būti nutrauktas.</w:t>
      </w:r>
    </w:p>
    <w:p w14:paraId="77CED2AB" w14:textId="77777777" w:rsidR="00091B58" w:rsidRPr="00C81D88" w:rsidRDefault="00091B58" w:rsidP="00091B58">
      <w:pPr>
        <w:rPr>
          <w:rFonts w:eastAsia="SimSun"/>
          <w:sz w:val="22"/>
          <w:szCs w:val="22"/>
          <w:lang w:eastAsia="zh-CN"/>
        </w:rPr>
      </w:pPr>
    </w:p>
    <w:p w14:paraId="5474F20A"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Vaisingumas</w:t>
      </w:r>
    </w:p>
    <w:p w14:paraId="257656A8" w14:textId="77777777" w:rsidR="00091B58" w:rsidRPr="00C81D88" w:rsidRDefault="00091B58" w:rsidP="00091B58">
      <w:pPr>
        <w:rPr>
          <w:rFonts w:eastAsia="SimSun"/>
          <w:sz w:val="22"/>
          <w:szCs w:val="22"/>
          <w:lang w:eastAsia="zh-CN"/>
        </w:rPr>
      </w:pPr>
      <w:r w:rsidRPr="00C81D88">
        <w:rPr>
          <w:rFonts w:eastAsia="SimSun"/>
          <w:sz w:val="22"/>
          <w:szCs w:val="22"/>
          <w:lang w:eastAsia="zh-CN"/>
        </w:rPr>
        <w:t>Tyrimų su gyvūnais metu dazatinibas žiurkių patinų ir patelių vislumo neveikė (žr. 5.3 skyrių). Gydytojai ir kiti sveikatos priežiūros specialistai turi pakonsultuoti atitinkamo amžiaus vyrus dėl galimo Dasatinib Norameda poveikio vaisingumui ir ši konsultacija gali apimti spermos atidavimo saugojimui apsvarstymą.</w:t>
      </w:r>
    </w:p>
    <w:p w14:paraId="47E72985" w14:textId="77777777" w:rsidR="00091B58" w:rsidRPr="00C81D88" w:rsidRDefault="00091B58" w:rsidP="00091B58">
      <w:pPr>
        <w:rPr>
          <w:rFonts w:eastAsia="SimSun"/>
          <w:sz w:val="22"/>
          <w:szCs w:val="22"/>
          <w:lang w:eastAsia="zh-CN"/>
        </w:rPr>
      </w:pPr>
    </w:p>
    <w:p w14:paraId="0A30BFE4"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4.7</w:t>
      </w:r>
      <w:r w:rsidRPr="00C81D88">
        <w:rPr>
          <w:rFonts w:eastAsia="SimSun"/>
          <w:b/>
          <w:sz w:val="22"/>
          <w:szCs w:val="22"/>
          <w:lang w:eastAsia="zh-CN"/>
        </w:rPr>
        <w:tab/>
        <w:t>Poveikis gebėjimui vairuoti ir valdyti mechanizmus</w:t>
      </w:r>
    </w:p>
    <w:p w14:paraId="0B3E48E0" w14:textId="77777777" w:rsidR="00091B58" w:rsidRPr="00C81D88" w:rsidRDefault="00091B58" w:rsidP="00091B58">
      <w:pPr>
        <w:rPr>
          <w:rFonts w:eastAsia="SimSun"/>
          <w:sz w:val="22"/>
          <w:szCs w:val="22"/>
          <w:lang w:eastAsia="zh-CN"/>
        </w:rPr>
      </w:pPr>
    </w:p>
    <w:p w14:paraId="6F7E71F1" w14:textId="77777777" w:rsidR="00091B58" w:rsidRPr="00C81D88" w:rsidRDefault="00091B58" w:rsidP="00091B58">
      <w:pPr>
        <w:rPr>
          <w:rFonts w:eastAsia="SimSun"/>
          <w:sz w:val="22"/>
          <w:szCs w:val="22"/>
          <w:lang w:eastAsia="zh-CN"/>
        </w:rPr>
      </w:pPr>
      <w:r w:rsidRPr="00C81D88">
        <w:rPr>
          <w:rFonts w:eastAsia="SimSun"/>
          <w:sz w:val="22"/>
          <w:szCs w:val="22"/>
          <w:lang w:eastAsia="zh-CN"/>
        </w:rPr>
        <w:t>Dasatinib Norameda gebėjimą vairuoti ir valdyti mechanizmus veikia silpnai. Pacientą reikia įspėti, kad vartojant dazatinibą gali pasireikšti nepageidaujamų reakcijų, tokių kaip svaigulys ar matomo vaizdo neryškumas, todėl vairuoti automobilį ar valdyti mechanizmus rekomenduojama atsargiai.</w:t>
      </w:r>
    </w:p>
    <w:p w14:paraId="60E63012" w14:textId="77777777" w:rsidR="00091B58" w:rsidRPr="00C81D88" w:rsidRDefault="00091B58" w:rsidP="00091B58">
      <w:pPr>
        <w:rPr>
          <w:rFonts w:eastAsia="SimSun"/>
          <w:sz w:val="22"/>
          <w:szCs w:val="22"/>
          <w:lang w:eastAsia="zh-CN"/>
        </w:rPr>
      </w:pPr>
    </w:p>
    <w:p w14:paraId="79CF16C0"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4.8</w:t>
      </w:r>
      <w:r w:rsidRPr="00C81D88">
        <w:rPr>
          <w:rFonts w:eastAsia="SimSun"/>
          <w:b/>
          <w:sz w:val="22"/>
          <w:szCs w:val="22"/>
          <w:lang w:eastAsia="zh-CN"/>
        </w:rPr>
        <w:tab/>
        <w:t>Nepageidaujamas poveikis</w:t>
      </w:r>
    </w:p>
    <w:p w14:paraId="18A8B964" w14:textId="77777777" w:rsidR="00091B58" w:rsidRPr="00C81D88" w:rsidRDefault="00091B58" w:rsidP="00091B58">
      <w:pPr>
        <w:rPr>
          <w:rFonts w:eastAsia="SimSun"/>
          <w:sz w:val="22"/>
          <w:szCs w:val="22"/>
          <w:lang w:eastAsia="zh-CN"/>
        </w:rPr>
      </w:pPr>
    </w:p>
    <w:p w14:paraId="1BDCEBB3"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Saugumo duomenų santrauka</w:t>
      </w:r>
    </w:p>
    <w:p w14:paraId="054AF89D" w14:textId="77777777" w:rsidR="00091B58" w:rsidRPr="00C81D88" w:rsidRDefault="00091B58" w:rsidP="00091B58">
      <w:pPr>
        <w:rPr>
          <w:rFonts w:eastAsia="SimSun"/>
          <w:sz w:val="22"/>
          <w:szCs w:val="22"/>
          <w:lang w:eastAsia="zh-CN"/>
        </w:rPr>
      </w:pPr>
      <w:r w:rsidRPr="00C81D88">
        <w:rPr>
          <w:rFonts w:eastAsia="SimSun"/>
          <w:sz w:val="22"/>
          <w:szCs w:val="22"/>
          <w:lang w:eastAsia="zh-CN"/>
        </w:rPr>
        <w:t>Toliau pateikiami duomenys gauti taikant monoterapiją visomis dazatinibo dozėmis, tirtomis klinikinių tyrimų metu (N=2900). 2 712 suaugusių pacientų gydymo trukmės mediana buvo 19,2 mėnesio (ribos – 0-93,2 mėnesio).</w:t>
      </w:r>
    </w:p>
    <w:p w14:paraId="2830568F" w14:textId="77777777" w:rsidR="00091B58" w:rsidRPr="00C81D88" w:rsidRDefault="00091B58" w:rsidP="00091B58">
      <w:pPr>
        <w:rPr>
          <w:rFonts w:eastAsia="SimSun"/>
          <w:sz w:val="22"/>
          <w:szCs w:val="22"/>
          <w:lang w:eastAsia="zh-CN"/>
        </w:rPr>
      </w:pPr>
    </w:p>
    <w:p w14:paraId="61757647" w14:textId="77777777" w:rsidR="00091B58" w:rsidRPr="00C81D88" w:rsidRDefault="00091B58" w:rsidP="00091B58">
      <w:pPr>
        <w:rPr>
          <w:rFonts w:eastAsia="SimSun"/>
          <w:sz w:val="22"/>
          <w:szCs w:val="22"/>
          <w:lang w:eastAsia="zh-CN"/>
        </w:rPr>
      </w:pPr>
      <w:r w:rsidRPr="00C81D88">
        <w:rPr>
          <w:rFonts w:eastAsia="SimSun"/>
          <w:sz w:val="22"/>
          <w:szCs w:val="22"/>
          <w:lang w:eastAsia="zh-CN"/>
        </w:rPr>
        <w:t>188 pacientų, dalyvavusių pediatriniuose tyrimuose, gydymo trukmės mediana buvo 26,3 mėnesio (ribos – 0</w:t>
      </w:r>
      <w:r w:rsidRPr="00C81D88">
        <w:rPr>
          <w:rFonts w:eastAsia="SimSun"/>
          <w:sz w:val="22"/>
          <w:szCs w:val="22"/>
          <w:lang w:eastAsia="zh-CN"/>
        </w:rPr>
        <w:noBreakHyphen/>
        <w:t xml:space="preserve">99,6 mėnesio). </w:t>
      </w:r>
    </w:p>
    <w:p w14:paraId="724762D3" w14:textId="77777777" w:rsidR="00091B58" w:rsidRPr="00C81D88" w:rsidRDefault="00091B58" w:rsidP="00091B58">
      <w:pPr>
        <w:rPr>
          <w:rFonts w:eastAsia="SimSun"/>
          <w:sz w:val="22"/>
          <w:szCs w:val="22"/>
          <w:lang w:eastAsia="zh-CN"/>
        </w:rPr>
      </w:pPr>
    </w:p>
    <w:p w14:paraId="37A71B1C" w14:textId="77777777" w:rsidR="00091B58" w:rsidRPr="00C81D88" w:rsidRDefault="00091B58" w:rsidP="00091B58">
      <w:pPr>
        <w:rPr>
          <w:rFonts w:eastAsia="SimSun"/>
          <w:sz w:val="22"/>
          <w:szCs w:val="22"/>
          <w:lang w:eastAsia="zh-CN"/>
        </w:rPr>
      </w:pPr>
      <w:r w:rsidRPr="00C81D88">
        <w:rPr>
          <w:rFonts w:eastAsia="SimSun"/>
          <w:sz w:val="22"/>
          <w:szCs w:val="22"/>
          <w:lang w:eastAsia="zh-CN"/>
        </w:rPr>
        <w:t>Daugumai dazatinibo vartojusių pacientų tam tikru laikotarpiu laiku pasireiškė nepageidaujamų reakcijų. 520 iš 2 712 (19 %) visų dazatinibo vartojusių suaugusių pacientų atsirado nepageidaujamų reakcijų, dėl kurių teko nutraukti gydymą.</w:t>
      </w:r>
    </w:p>
    <w:p w14:paraId="20C7CEBA" w14:textId="77777777" w:rsidR="00091B58" w:rsidRPr="00C81D88" w:rsidRDefault="00091B58" w:rsidP="00091B58">
      <w:pPr>
        <w:rPr>
          <w:rFonts w:eastAsia="SimSun"/>
          <w:sz w:val="22"/>
          <w:szCs w:val="22"/>
          <w:lang w:eastAsia="zh-CN"/>
        </w:rPr>
      </w:pPr>
    </w:p>
    <w:p w14:paraId="2C5268F9"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Nepageidaujamų reakcijų santrauka lentelėse</w:t>
      </w:r>
    </w:p>
    <w:p w14:paraId="7091E328" w14:textId="77777777" w:rsidR="00091B58" w:rsidRPr="00C81D88" w:rsidRDefault="00091B58" w:rsidP="00091B58">
      <w:pPr>
        <w:rPr>
          <w:rFonts w:eastAsia="SimSun"/>
          <w:sz w:val="22"/>
          <w:szCs w:val="22"/>
          <w:lang w:eastAsia="zh-CN"/>
        </w:rPr>
      </w:pPr>
      <w:r w:rsidRPr="00C81D88">
        <w:rPr>
          <w:rFonts w:eastAsia="SimSun"/>
          <w:sz w:val="22"/>
          <w:szCs w:val="22"/>
          <w:lang w:eastAsia="zh-CN"/>
        </w:rPr>
        <w:t>Toliau išvardytos nepageidaujamos reakcijos (išskyrus nenormalius laboratorinių duomenų pokyčius), apie kurias buvo pranešta dazatinibo monoterapijos klinikinių tyrimų metu ir po vaistinio preparato pateikimo į rinką (žr. 3 lentelę). Šios reakcijos pateikiamos pagal organų sistemų klases ir dažnį. Nepageidaujamo poveikio dažnis apibūdinamas taip: labai dažnas (≥ 1/10), dažnas (nuo ≥ 1/100 iki &lt; 1/10), nedažnas (nuo ≥ 1/1000 iki &lt; 1/100), retas (nuo ≥ 1/10 000 iki &lt; 1/1000), labai retas (&lt; 1/10 000) ir nežinomas (negali būti apskaičiuotas pagal turimus duomenis).</w:t>
      </w:r>
    </w:p>
    <w:p w14:paraId="27C47968" w14:textId="77777777" w:rsidR="00091B58" w:rsidRPr="00C81D88" w:rsidRDefault="00091B58" w:rsidP="00091B58">
      <w:pPr>
        <w:rPr>
          <w:rFonts w:eastAsia="SimSun"/>
          <w:sz w:val="22"/>
          <w:szCs w:val="22"/>
          <w:lang w:eastAsia="zh-CN"/>
        </w:rPr>
      </w:pPr>
      <w:r w:rsidRPr="00C81D88">
        <w:rPr>
          <w:rFonts w:eastAsia="SimSun"/>
          <w:sz w:val="22"/>
          <w:szCs w:val="22"/>
          <w:lang w:eastAsia="zh-CN"/>
        </w:rPr>
        <w:t>Kiekvienoje dažnio grupėje nepageidaujamos reakcijos pateikiamos mažėjančio sunkumo tvarka.</w:t>
      </w:r>
    </w:p>
    <w:p w14:paraId="377258A2" w14:textId="77777777" w:rsidR="00091B58" w:rsidRPr="00C81D88" w:rsidRDefault="00091B58" w:rsidP="00091B58">
      <w:pPr>
        <w:rPr>
          <w:rFonts w:eastAsia="SimSun"/>
          <w:sz w:val="22"/>
          <w:szCs w:val="22"/>
          <w:lang w:eastAsia="zh-CN"/>
        </w:rPr>
      </w:pPr>
    </w:p>
    <w:p w14:paraId="38BF0E20" w14:textId="77777777" w:rsidR="00091B58" w:rsidRPr="00C81D88" w:rsidRDefault="00091B58" w:rsidP="00091B58">
      <w:pPr>
        <w:rPr>
          <w:rFonts w:eastAsia="SimSun"/>
          <w:b/>
          <w:sz w:val="22"/>
          <w:szCs w:val="22"/>
          <w:lang w:eastAsia="zh-CN"/>
        </w:rPr>
      </w:pPr>
      <w:r w:rsidRPr="00053893">
        <w:rPr>
          <w:rFonts w:eastAsia="SimSun"/>
          <w:b/>
          <w:sz w:val="22"/>
        </w:rPr>
        <w:t>3</w:t>
      </w:r>
      <w:r w:rsidRPr="00C81D88">
        <w:rPr>
          <w:rFonts w:eastAsia="SimSun"/>
          <w:b/>
          <w:sz w:val="22"/>
          <w:szCs w:val="22"/>
          <w:lang w:eastAsia="zh-CN"/>
        </w:rPr>
        <w:t xml:space="preserve"> lentelė. Nepageidaujamų reakcijų santrauka lentelėje</w:t>
      </w:r>
    </w:p>
    <w:p w14:paraId="148DC236" w14:textId="77777777" w:rsidR="00091B58" w:rsidRPr="00C81D88" w:rsidRDefault="00091B58" w:rsidP="00091B58">
      <w:pPr>
        <w:rPr>
          <w:rFonts w:eastAsia="SimSun"/>
          <w:sz w:val="22"/>
          <w:szCs w:val="22"/>
          <w:lang w:eastAsia="zh-CN"/>
        </w:rPr>
      </w:pPr>
    </w:p>
    <w:tbl>
      <w:tblPr>
        <w:tblW w:w="9459" w:type="dxa"/>
        <w:tblInd w:w="98" w:type="dxa"/>
        <w:tblLayout w:type="fixed"/>
        <w:tblCellMar>
          <w:left w:w="0" w:type="dxa"/>
          <w:right w:w="0" w:type="dxa"/>
        </w:tblCellMar>
        <w:tblLook w:val="01E0" w:firstRow="1" w:lastRow="1" w:firstColumn="1" w:lastColumn="1" w:noHBand="0" w:noVBand="0"/>
      </w:tblPr>
      <w:tblGrid>
        <w:gridCol w:w="1648"/>
        <w:gridCol w:w="7811"/>
      </w:tblGrid>
      <w:tr w:rsidR="00091B58" w:rsidRPr="00C81D88" w14:paraId="120DD278"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D604A44" w14:textId="77777777" w:rsidR="00091B58" w:rsidRPr="00C81D88" w:rsidRDefault="00091B58" w:rsidP="00AB3BF3">
            <w:pPr>
              <w:widowControl w:val="0"/>
              <w:ind w:left="57"/>
              <w:rPr>
                <w:sz w:val="22"/>
                <w:szCs w:val="22"/>
              </w:rPr>
            </w:pPr>
            <w:r w:rsidRPr="00C81D88">
              <w:rPr>
                <w:b/>
                <w:bCs/>
                <w:sz w:val="22"/>
                <w:szCs w:val="22"/>
              </w:rPr>
              <w:t>Infekcijos ir infestacijos</w:t>
            </w:r>
          </w:p>
        </w:tc>
      </w:tr>
      <w:tr w:rsidR="00091B58" w:rsidRPr="00C81D88" w14:paraId="10136BC1"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7500F2D"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1562F310" w14:textId="77777777" w:rsidR="00091B58" w:rsidRPr="00C81D88" w:rsidRDefault="00091B58" w:rsidP="00AB3BF3">
            <w:pPr>
              <w:widowControl w:val="0"/>
              <w:ind w:left="57"/>
              <w:rPr>
                <w:sz w:val="22"/>
                <w:szCs w:val="22"/>
              </w:rPr>
            </w:pPr>
            <w:r w:rsidRPr="00C81D88">
              <w:rPr>
                <w:sz w:val="22"/>
                <w:szCs w:val="22"/>
              </w:rPr>
              <w:t>Infekcija (įskaitant bakterinę, virusinę, grybelinę, nepatikslintą)</w:t>
            </w:r>
          </w:p>
        </w:tc>
      </w:tr>
      <w:tr w:rsidR="00091B58" w:rsidRPr="00C81D88" w14:paraId="1761DC12" w14:textId="77777777" w:rsidTr="00AB3BF3">
        <w:trPr>
          <w:trHeight w:hRule="exact" w:val="769"/>
        </w:trPr>
        <w:tc>
          <w:tcPr>
            <w:tcW w:w="1648" w:type="dxa"/>
            <w:tcBorders>
              <w:top w:val="single" w:sz="4" w:space="0" w:color="000000"/>
              <w:left w:val="single" w:sz="4" w:space="0" w:color="000000"/>
              <w:bottom w:val="single" w:sz="4" w:space="0" w:color="000000"/>
              <w:right w:val="single" w:sz="4" w:space="0" w:color="000000"/>
            </w:tcBorders>
          </w:tcPr>
          <w:p w14:paraId="541994C4"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746D123E" w14:textId="77777777" w:rsidR="00091B58" w:rsidRPr="00C81D88" w:rsidRDefault="00091B58" w:rsidP="00AB3BF3">
            <w:pPr>
              <w:widowControl w:val="0"/>
              <w:ind w:left="57"/>
              <w:rPr>
                <w:sz w:val="22"/>
                <w:szCs w:val="22"/>
              </w:rPr>
            </w:pPr>
            <w:r w:rsidRPr="00C81D88">
              <w:rPr>
                <w:sz w:val="22"/>
                <w:szCs w:val="22"/>
              </w:rPr>
              <w:t>Pneumonija (įskaitant bakterinę, virusinę, grybelinę), viršutinių kvėpavimo takų infekcija ar uždegimas, pūslelinės viruso, įskaitant citomegalovirusą (CMV), infekcija, enterokolitinė infekcija, sepsis (įskaitant nedažnus mirties atvejus)</w:t>
            </w:r>
          </w:p>
        </w:tc>
      </w:tr>
      <w:tr w:rsidR="00091B58" w:rsidRPr="00C81D88" w14:paraId="7812D0FE"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04468A5" w14:textId="77777777" w:rsidR="00091B58" w:rsidRPr="00C81D88" w:rsidRDefault="00091B58" w:rsidP="00AB3BF3">
            <w:pPr>
              <w:widowControl w:val="0"/>
              <w:ind w:left="57"/>
              <w:rPr>
                <w:sz w:val="22"/>
                <w:szCs w:val="22"/>
              </w:rPr>
            </w:pPr>
            <w:r w:rsidRPr="00C81D88">
              <w:rPr>
                <w:i/>
                <w:sz w:val="22"/>
                <w:szCs w:val="22"/>
              </w:rPr>
              <w:t>Nežinomas</w:t>
            </w:r>
          </w:p>
        </w:tc>
        <w:tc>
          <w:tcPr>
            <w:tcW w:w="7811" w:type="dxa"/>
            <w:tcBorders>
              <w:top w:val="single" w:sz="4" w:space="0" w:color="000000"/>
              <w:left w:val="single" w:sz="4" w:space="0" w:color="000000"/>
              <w:bottom w:val="single" w:sz="4" w:space="0" w:color="000000"/>
              <w:right w:val="single" w:sz="4" w:space="0" w:color="000000"/>
            </w:tcBorders>
          </w:tcPr>
          <w:p w14:paraId="7B6F4E11" w14:textId="77777777" w:rsidR="00091B58" w:rsidRPr="00C81D88" w:rsidRDefault="00091B58" w:rsidP="00AB3BF3">
            <w:pPr>
              <w:widowControl w:val="0"/>
              <w:ind w:left="57"/>
              <w:rPr>
                <w:sz w:val="22"/>
                <w:szCs w:val="22"/>
              </w:rPr>
            </w:pPr>
            <w:r w:rsidRPr="00C81D88">
              <w:rPr>
                <w:sz w:val="22"/>
                <w:szCs w:val="22"/>
              </w:rPr>
              <w:t>Hepatito B reaktyvacija</w:t>
            </w:r>
          </w:p>
        </w:tc>
      </w:tr>
      <w:tr w:rsidR="00091B58" w:rsidRPr="00C81D88" w14:paraId="695BD158" w14:textId="77777777" w:rsidTr="00AB3BF3">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04E892FE" w14:textId="77777777" w:rsidR="00091B58" w:rsidRPr="00C81D88" w:rsidRDefault="00091B58" w:rsidP="00AB3BF3">
            <w:pPr>
              <w:widowControl w:val="0"/>
              <w:ind w:left="57"/>
              <w:rPr>
                <w:sz w:val="22"/>
                <w:szCs w:val="22"/>
              </w:rPr>
            </w:pPr>
            <w:r w:rsidRPr="00C81D88">
              <w:rPr>
                <w:b/>
                <w:bCs/>
                <w:sz w:val="22"/>
                <w:szCs w:val="22"/>
              </w:rPr>
              <w:t>Kraujo ir limfinės sistemos sutrikimai</w:t>
            </w:r>
          </w:p>
        </w:tc>
      </w:tr>
      <w:tr w:rsidR="00091B58" w:rsidRPr="00C81D88" w14:paraId="51454A16" w14:textId="77777777" w:rsidTr="00AB3BF3">
        <w:trPr>
          <w:trHeight w:hRule="exact" w:val="305"/>
        </w:trPr>
        <w:tc>
          <w:tcPr>
            <w:tcW w:w="1648" w:type="dxa"/>
            <w:tcBorders>
              <w:top w:val="single" w:sz="4" w:space="0" w:color="000000"/>
              <w:left w:val="single" w:sz="4" w:space="0" w:color="000000"/>
              <w:bottom w:val="single" w:sz="4" w:space="0" w:color="000000"/>
              <w:right w:val="single" w:sz="4" w:space="0" w:color="000000"/>
            </w:tcBorders>
          </w:tcPr>
          <w:p w14:paraId="027B0A38" w14:textId="77777777" w:rsidR="00091B58" w:rsidRPr="00C81D88" w:rsidRDefault="00091B58" w:rsidP="00AB3BF3">
            <w:pPr>
              <w:rPr>
                <w:i/>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4543B360" w14:textId="77777777" w:rsidR="00091B58" w:rsidRPr="00C81D88" w:rsidRDefault="00091B58" w:rsidP="00AB3BF3">
            <w:pPr>
              <w:widowControl w:val="0"/>
              <w:ind w:left="57"/>
              <w:rPr>
                <w:sz w:val="22"/>
                <w:szCs w:val="22"/>
              </w:rPr>
            </w:pPr>
            <w:r w:rsidRPr="00C81D88">
              <w:rPr>
                <w:spacing w:val="2"/>
                <w:sz w:val="22"/>
                <w:szCs w:val="22"/>
              </w:rPr>
              <w:t>Kaulų čiulpų slopinimas (įskaitant anemiją, neutropeniją, trombocitopeniją)</w:t>
            </w:r>
          </w:p>
        </w:tc>
      </w:tr>
      <w:tr w:rsidR="00091B58" w:rsidRPr="00C81D88" w14:paraId="440B23D8"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A380129" w14:textId="77777777" w:rsidR="00091B58" w:rsidRPr="00C81D88" w:rsidRDefault="00091B58" w:rsidP="00AB3BF3">
            <w:pPr>
              <w:rPr>
                <w:i/>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01917391" w14:textId="77777777" w:rsidR="00091B58" w:rsidRPr="00C81D88" w:rsidRDefault="00091B58" w:rsidP="00AB3BF3">
            <w:pPr>
              <w:widowControl w:val="0"/>
              <w:ind w:left="57"/>
              <w:rPr>
                <w:sz w:val="22"/>
                <w:szCs w:val="22"/>
              </w:rPr>
            </w:pPr>
            <w:r w:rsidRPr="00C81D88">
              <w:rPr>
                <w:spacing w:val="4"/>
                <w:sz w:val="22"/>
                <w:szCs w:val="22"/>
              </w:rPr>
              <w:t>Febrilinė neutropenija</w:t>
            </w:r>
          </w:p>
        </w:tc>
      </w:tr>
      <w:tr w:rsidR="00091B58" w:rsidRPr="00C81D88" w14:paraId="16EC2AD0"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A6AE8B6"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726E9237" w14:textId="77777777" w:rsidR="00091B58" w:rsidRPr="00C81D88" w:rsidRDefault="00091B58" w:rsidP="00AB3BF3">
            <w:pPr>
              <w:widowControl w:val="0"/>
              <w:ind w:left="57"/>
              <w:rPr>
                <w:sz w:val="22"/>
                <w:szCs w:val="22"/>
              </w:rPr>
            </w:pPr>
            <w:r w:rsidRPr="00C81D88">
              <w:rPr>
                <w:spacing w:val="3"/>
                <w:sz w:val="22"/>
                <w:szCs w:val="22"/>
              </w:rPr>
              <w:t>Limfadenopatija, limfopenija</w:t>
            </w:r>
          </w:p>
        </w:tc>
      </w:tr>
      <w:tr w:rsidR="00091B58" w:rsidRPr="00C81D88" w14:paraId="7557F712"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D333783"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30E5A782" w14:textId="77777777" w:rsidR="00091B58" w:rsidRPr="00C81D88" w:rsidRDefault="00091B58" w:rsidP="00AB3BF3">
            <w:pPr>
              <w:widowControl w:val="0"/>
              <w:ind w:left="57"/>
              <w:rPr>
                <w:sz w:val="22"/>
                <w:szCs w:val="22"/>
              </w:rPr>
            </w:pPr>
            <w:r w:rsidRPr="00C81D88">
              <w:rPr>
                <w:spacing w:val="3"/>
                <w:sz w:val="22"/>
                <w:szCs w:val="22"/>
              </w:rPr>
              <w:t>Gryna eritropoezės ląstelių aplazija</w:t>
            </w:r>
          </w:p>
        </w:tc>
      </w:tr>
      <w:tr w:rsidR="00091B58" w:rsidRPr="00C81D88" w14:paraId="20A6847E"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AAE6D5E" w14:textId="77777777" w:rsidR="00091B58" w:rsidRPr="00C81D88" w:rsidRDefault="00091B58" w:rsidP="00AB3BF3">
            <w:pPr>
              <w:widowControl w:val="0"/>
              <w:ind w:left="57"/>
              <w:rPr>
                <w:sz w:val="22"/>
                <w:szCs w:val="22"/>
              </w:rPr>
            </w:pPr>
            <w:r w:rsidRPr="00C81D88">
              <w:rPr>
                <w:b/>
                <w:bCs/>
                <w:sz w:val="22"/>
                <w:szCs w:val="22"/>
              </w:rPr>
              <w:t>Imuninės sistemos sutrikimai</w:t>
            </w:r>
          </w:p>
        </w:tc>
      </w:tr>
      <w:tr w:rsidR="00091B58" w:rsidRPr="00C81D88" w14:paraId="1317C461"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F35AB58"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38FB1314" w14:textId="77777777" w:rsidR="00091B58" w:rsidRPr="00C81D88" w:rsidRDefault="00091B58" w:rsidP="00AB3BF3">
            <w:pPr>
              <w:widowControl w:val="0"/>
              <w:ind w:left="57"/>
              <w:rPr>
                <w:sz w:val="22"/>
                <w:szCs w:val="22"/>
              </w:rPr>
            </w:pPr>
            <w:r w:rsidRPr="00C81D88">
              <w:rPr>
                <w:spacing w:val="3"/>
                <w:sz w:val="22"/>
                <w:szCs w:val="22"/>
              </w:rPr>
              <w:t>Padidėjęs jautrumas (įskaitant mazginę eritemą)</w:t>
            </w:r>
          </w:p>
        </w:tc>
      </w:tr>
      <w:tr w:rsidR="00091B58" w:rsidRPr="00C81D88" w14:paraId="19F7EFB0"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1D5761D" w14:textId="77777777" w:rsidR="00091B58" w:rsidRPr="00C81D88" w:rsidRDefault="00091B58" w:rsidP="00AB3BF3">
            <w:pPr>
              <w:widowControl w:val="0"/>
              <w:ind w:left="57"/>
              <w:rPr>
                <w:i/>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4520E4D7" w14:textId="77777777" w:rsidR="00091B58" w:rsidRPr="00C81D88" w:rsidRDefault="00091B58" w:rsidP="00AB3BF3">
            <w:pPr>
              <w:widowControl w:val="0"/>
              <w:ind w:left="57"/>
              <w:rPr>
                <w:spacing w:val="3"/>
                <w:sz w:val="22"/>
                <w:szCs w:val="22"/>
              </w:rPr>
            </w:pPr>
            <w:r w:rsidRPr="00C81D88">
              <w:rPr>
                <w:spacing w:val="3"/>
                <w:sz w:val="22"/>
                <w:szCs w:val="22"/>
              </w:rPr>
              <w:t>Anafilaksinis šokas</w:t>
            </w:r>
          </w:p>
        </w:tc>
      </w:tr>
      <w:tr w:rsidR="00091B58" w:rsidRPr="00C81D88" w14:paraId="078B87AC" w14:textId="77777777" w:rsidTr="00AB3BF3">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7B2F5C6" w14:textId="77777777" w:rsidR="00091B58" w:rsidRPr="00C81D88" w:rsidRDefault="00091B58" w:rsidP="00AB3BF3">
            <w:pPr>
              <w:widowControl w:val="0"/>
              <w:ind w:left="57"/>
              <w:rPr>
                <w:sz w:val="22"/>
                <w:szCs w:val="22"/>
              </w:rPr>
            </w:pPr>
            <w:r w:rsidRPr="00C81D88">
              <w:rPr>
                <w:b/>
                <w:bCs/>
                <w:sz w:val="22"/>
                <w:szCs w:val="22"/>
              </w:rPr>
              <w:t>Endokrininiai sutrikimai</w:t>
            </w:r>
          </w:p>
        </w:tc>
      </w:tr>
      <w:tr w:rsidR="00091B58" w:rsidRPr="00C81D88" w14:paraId="752387E1"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EE083B1"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5628C53D" w14:textId="77777777" w:rsidR="00091B58" w:rsidRPr="00C81D88" w:rsidRDefault="00091B58" w:rsidP="00AB3BF3">
            <w:pPr>
              <w:widowControl w:val="0"/>
              <w:ind w:left="57"/>
              <w:rPr>
                <w:sz w:val="22"/>
                <w:szCs w:val="22"/>
              </w:rPr>
            </w:pPr>
            <w:r w:rsidRPr="00C81D88">
              <w:rPr>
                <w:spacing w:val="3"/>
                <w:sz w:val="22"/>
                <w:szCs w:val="22"/>
              </w:rPr>
              <w:t>Hipotirozė</w:t>
            </w:r>
          </w:p>
        </w:tc>
      </w:tr>
      <w:tr w:rsidR="00091B58" w:rsidRPr="00C81D88" w14:paraId="0B482349"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F20B0F5" w14:textId="77777777" w:rsidR="00091B58" w:rsidRPr="00C81D88" w:rsidRDefault="00091B58" w:rsidP="00AB3BF3">
            <w:pPr>
              <w:widowControl w:val="0"/>
              <w:ind w:left="57"/>
              <w:rPr>
                <w:sz w:val="22"/>
                <w:szCs w:val="22"/>
              </w:rPr>
            </w:pPr>
            <w:r w:rsidRPr="00C81D88">
              <w:rPr>
                <w:i/>
                <w:sz w:val="22"/>
                <w:szCs w:val="22"/>
              </w:rPr>
              <w:lastRenderedPageBreak/>
              <w:t>Reti</w:t>
            </w:r>
          </w:p>
        </w:tc>
        <w:tc>
          <w:tcPr>
            <w:tcW w:w="7811" w:type="dxa"/>
            <w:tcBorders>
              <w:top w:val="single" w:sz="4" w:space="0" w:color="000000"/>
              <w:left w:val="single" w:sz="4" w:space="0" w:color="000000"/>
              <w:bottom w:val="single" w:sz="4" w:space="0" w:color="000000"/>
              <w:right w:val="single" w:sz="4" w:space="0" w:color="000000"/>
            </w:tcBorders>
          </w:tcPr>
          <w:p w14:paraId="54318856" w14:textId="77777777" w:rsidR="00091B58" w:rsidRPr="00C81D88" w:rsidRDefault="00091B58" w:rsidP="00AB3BF3">
            <w:pPr>
              <w:widowControl w:val="0"/>
              <w:ind w:left="57"/>
              <w:rPr>
                <w:sz w:val="22"/>
                <w:szCs w:val="22"/>
              </w:rPr>
            </w:pPr>
            <w:r w:rsidRPr="00C81D88">
              <w:rPr>
                <w:spacing w:val="3"/>
                <w:sz w:val="22"/>
                <w:szCs w:val="22"/>
              </w:rPr>
              <w:t>Hipertireozė, tiroiditas</w:t>
            </w:r>
          </w:p>
        </w:tc>
      </w:tr>
      <w:tr w:rsidR="00091B58" w:rsidRPr="00C81D88" w14:paraId="31EB3DFD"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97E6B67" w14:textId="77777777" w:rsidR="00091B58" w:rsidRPr="00C81D88" w:rsidRDefault="00091B58" w:rsidP="00AB3BF3">
            <w:pPr>
              <w:widowControl w:val="0"/>
              <w:ind w:left="57"/>
              <w:rPr>
                <w:sz w:val="22"/>
                <w:szCs w:val="22"/>
              </w:rPr>
            </w:pPr>
            <w:r w:rsidRPr="00C81D88">
              <w:rPr>
                <w:b/>
                <w:bCs/>
                <w:sz w:val="22"/>
                <w:szCs w:val="22"/>
              </w:rPr>
              <w:t>Metabolizmo ir mitybos sutrikimai</w:t>
            </w:r>
          </w:p>
        </w:tc>
      </w:tr>
      <w:tr w:rsidR="00091B58" w:rsidRPr="00C81D88" w14:paraId="0A116FB2"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8B5D825"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6331D6FC" w14:textId="77777777" w:rsidR="00091B58" w:rsidRPr="00C81D88" w:rsidRDefault="00091B58" w:rsidP="00AB3BF3">
            <w:pPr>
              <w:widowControl w:val="0"/>
              <w:ind w:left="57"/>
              <w:rPr>
                <w:sz w:val="22"/>
                <w:szCs w:val="22"/>
              </w:rPr>
            </w:pPr>
            <w:r w:rsidRPr="00C81D88">
              <w:rPr>
                <w:sz w:val="22"/>
                <w:szCs w:val="22"/>
              </w:rPr>
              <w:t>Apetito sutrikimai</w:t>
            </w:r>
            <w:r w:rsidRPr="00C81D88">
              <w:rPr>
                <w:sz w:val="22"/>
                <w:szCs w:val="22"/>
                <w:vertAlign w:val="superscript"/>
              </w:rPr>
              <w:t>a</w:t>
            </w:r>
            <w:r w:rsidRPr="00C81D88">
              <w:rPr>
                <w:sz w:val="22"/>
                <w:szCs w:val="22"/>
              </w:rPr>
              <w:t>, hiperurikemija</w:t>
            </w:r>
          </w:p>
        </w:tc>
      </w:tr>
      <w:tr w:rsidR="00091B58" w:rsidRPr="00C81D88" w14:paraId="0C4B437D"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9F6B397"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68547CF9" w14:textId="77777777" w:rsidR="00091B58" w:rsidRPr="00C81D88" w:rsidRDefault="00091B58" w:rsidP="00AB3BF3">
            <w:pPr>
              <w:widowControl w:val="0"/>
              <w:ind w:left="57"/>
              <w:rPr>
                <w:sz w:val="22"/>
                <w:szCs w:val="22"/>
              </w:rPr>
            </w:pPr>
            <w:r w:rsidRPr="00C81D88">
              <w:rPr>
                <w:sz w:val="22"/>
                <w:szCs w:val="22"/>
              </w:rPr>
              <w:t>Naviko lizės (irimo) sindromas, dehidratacija, hipoalbuminemija, hipercholesterolemija</w:t>
            </w:r>
          </w:p>
        </w:tc>
      </w:tr>
      <w:tr w:rsidR="00091B58" w:rsidRPr="00C81D88" w14:paraId="6B2BCEC5"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E68BC85"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5315174D" w14:textId="77777777" w:rsidR="00091B58" w:rsidRPr="00C81D88" w:rsidRDefault="00091B58" w:rsidP="00AB3BF3">
            <w:pPr>
              <w:widowControl w:val="0"/>
              <w:ind w:left="57"/>
              <w:rPr>
                <w:sz w:val="22"/>
                <w:szCs w:val="22"/>
              </w:rPr>
            </w:pPr>
            <w:r w:rsidRPr="00C81D88">
              <w:rPr>
                <w:sz w:val="22"/>
                <w:szCs w:val="22"/>
              </w:rPr>
              <w:t>Cukrinis diabetas</w:t>
            </w:r>
          </w:p>
        </w:tc>
      </w:tr>
      <w:tr w:rsidR="00091B58" w:rsidRPr="00C81D88" w14:paraId="74D308F8" w14:textId="77777777" w:rsidTr="00AB3BF3">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0AA847B1" w14:textId="77777777" w:rsidR="00091B58" w:rsidRPr="00C81D88" w:rsidRDefault="00091B58" w:rsidP="00AB3BF3">
            <w:pPr>
              <w:widowControl w:val="0"/>
              <w:ind w:left="57"/>
              <w:rPr>
                <w:sz w:val="22"/>
                <w:szCs w:val="22"/>
              </w:rPr>
            </w:pPr>
            <w:r w:rsidRPr="00C81D88">
              <w:rPr>
                <w:b/>
                <w:bCs/>
                <w:sz w:val="22"/>
                <w:szCs w:val="22"/>
              </w:rPr>
              <w:t>Psichikos sutrikimai</w:t>
            </w:r>
          </w:p>
        </w:tc>
      </w:tr>
      <w:tr w:rsidR="00091B58" w:rsidRPr="00C81D88" w14:paraId="76C41695"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F0C10B9"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6CEA6225" w14:textId="77777777" w:rsidR="00091B58" w:rsidRPr="00C81D88" w:rsidRDefault="00091B58" w:rsidP="00AB3BF3">
            <w:pPr>
              <w:widowControl w:val="0"/>
              <w:ind w:left="57"/>
              <w:rPr>
                <w:sz w:val="22"/>
                <w:szCs w:val="22"/>
              </w:rPr>
            </w:pPr>
            <w:r w:rsidRPr="00C81D88">
              <w:rPr>
                <w:sz w:val="22"/>
                <w:szCs w:val="22"/>
              </w:rPr>
              <w:t>Depresija, nemiga</w:t>
            </w:r>
          </w:p>
        </w:tc>
      </w:tr>
      <w:tr w:rsidR="00091B58" w:rsidRPr="00C81D88" w14:paraId="6E0E9AB7"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BA336C2"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1F788838" w14:textId="77777777" w:rsidR="00091B58" w:rsidRPr="00C81D88" w:rsidRDefault="00091B58" w:rsidP="00AB3BF3">
            <w:pPr>
              <w:widowControl w:val="0"/>
              <w:ind w:left="57"/>
              <w:rPr>
                <w:sz w:val="22"/>
                <w:szCs w:val="22"/>
              </w:rPr>
            </w:pPr>
            <w:r w:rsidRPr="00C81D88">
              <w:rPr>
                <w:sz w:val="22"/>
                <w:szCs w:val="22"/>
              </w:rPr>
              <w:t>Nerimas, sumišimo būklė, nuotaikos labilumas, susilpnėjęs lytinis potraukis</w:t>
            </w:r>
          </w:p>
        </w:tc>
      </w:tr>
      <w:tr w:rsidR="00091B58" w:rsidRPr="00C81D88" w14:paraId="10017195"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1525E88" w14:textId="77777777" w:rsidR="00091B58" w:rsidRPr="00C81D88" w:rsidRDefault="00091B58" w:rsidP="00AB3BF3">
            <w:pPr>
              <w:widowControl w:val="0"/>
              <w:ind w:left="57"/>
              <w:rPr>
                <w:sz w:val="22"/>
                <w:szCs w:val="22"/>
              </w:rPr>
            </w:pPr>
            <w:r w:rsidRPr="00C81D88">
              <w:rPr>
                <w:b/>
                <w:bCs/>
                <w:sz w:val="22"/>
                <w:szCs w:val="22"/>
              </w:rPr>
              <w:t>Nervų sistemos sutrikimai</w:t>
            </w:r>
          </w:p>
        </w:tc>
      </w:tr>
      <w:tr w:rsidR="00091B58" w:rsidRPr="00C81D88" w14:paraId="2416A609"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26F235E"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1CAC9681" w14:textId="77777777" w:rsidR="00091B58" w:rsidRPr="00C81D88" w:rsidRDefault="00091B58" w:rsidP="00AB3BF3">
            <w:pPr>
              <w:widowControl w:val="0"/>
              <w:ind w:left="57"/>
              <w:rPr>
                <w:sz w:val="22"/>
                <w:szCs w:val="22"/>
              </w:rPr>
            </w:pPr>
            <w:r w:rsidRPr="00C81D88">
              <w:rPr>
                <w:sz w:val="22"/>
                <w:szCs w:val="22"/>
              </w:rPr>
              <w:t>Galvos skausmas</w:t>
            </w:r>
          </w:p>
        </w:tc>
      </w:tr>
      <w:tr w:rsidR="00091B58" w:rsidRPr="00C81D88" w14:paraId="645F5911" w14:textId="77777777" w:rsidTr="00AB3BF3">
        <w:trPr>
          <w:trHeight w:hRule="exact" w:val="342"/>
        </w:trPr>
        <w:tc>
          <w:tcPr>
            <w:tcW w:w="1648" w:type="dxa"/>
            <w:tcBorders>
              <w:top w:val="single" w:sz="4" w:space="0" w:color="000000"/>
              <w:left w:val="single" w:sz="4" w:space="0" w:color="000000"/>
              <w:bottom w:val="single" w:sz="4" w:space="0" w:color="000000"/>
              <w:right w:val="single" w:sz="4" w:space="0" w:color="000000"/>
            </w:tcBorders>
          </w:tcPr>
          <w:p w14:paraId="13EC7293"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70F439EE" w14:textId="77777777" w:rsidR="00091B58" w:rsidRPr="00C81D88" w:rsidRDefault="00091B58" w:rsidP="00AB3BF3">
            <w:pPr>
              <w:widowControl w:val="0"/>
              <w:ind w:left="57"/>
              <w:rPr>
                <w:sz w:val="22"/>
                <w:szCs w:val="22"/>
              </w:rPr>
            </w:pPr>
            <w:r w:rsidRPr="00C81D88">
              <w:rPr>
                <w:sz w:val="22"/>
                <w:szCs w:val="22"/>
              </w:rPr>
              <w:t>Neuropatija (įskaitant periferinę neuropatiją), svaigulys, disgeuzija, somnolencija</w:t>
            </w:r>
          </w:p>
        </w:tc>
      </w:tr>
      <w:tr w:rsidR="00091B58" w:rsidRPr="00C81D88" w14:paraId="6BEFC1F7"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38E8D9E3"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57FBA4D7" w14:textId="77777777" w:rsidR="00091B58" w:rsidRPr="00C81D88" w:rsidRDefault="00091B58" w:rsidP="00AB3BF3">
            <w:pPr>
              <w:widowControl w:val="0"/>
              <w:ind w:left="57"/>
              <w:rPr>
                <w:sz w:val="22"/>
                <w:szCs w:val="22"/>
              </w:rPr>
            </w:pPr>
            <w:r w:rsidRPr="00C81D88">
              <w:rPr>
                <w:sz w:val="22"/>
                <w:szCs w:val="22"/>
              </w:rPr>
              <w:t>Kraujavimas CNS</w:t>
            </w:r>
            <w:r w:rsidRPr="00C81D88">
              <w:rPr>
                <w:sz w:val="22"/>
                <w:szCs w:val="22"/>
                <w:vertAlign w:val="superscript"/>
              </w:rPr>
              <w:t>*b</w:t>
            </w:r>
            <w:r w:rsidRPr="00C81D88">
              <w:rPr>
                <w:sz w:val="22"/>
                <w:szCs w:val="22"/>
              </w:rPr>
              <w:t>, apalpimas, tremoras, amnezija, pusiausvyros sutrikimas</w:t>
            </w:r>
          </w:p>
        </w:tc>
      </w:tr>
      <w:tr w:rsidR="00091B58" w:rsidRPr="00C81D88" w14:paraId="1B73B52A" w14:textId="77777777" w:rsidTr="00AB3BF3">
        <w:trPr>
          <w:trHeight w:hRule="exact" w:val="515"/>
        </w:trPr>
        <w:tc>
          <w:tcPr>
            <w:tcW w:w="1648" w:type="dxa"/>
            <w:tcBorders>
              <w:top w:val="single" w:sz="4" w:space="0" w:color="000000"/>
              <w:left w:val="single" w:sz="4" w:space="0" w:color="000000"/>
              <w:bottom w:val="single" w:sz="4" w:space="0" w:color="000000"/>
              <w:right w:val="single" w:sz="4" w:space="0" w:color="000000"/>
            </w:tcBorders>
          </w:tcPr>
          <w:p w14:paraId="67F11637"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26EE34FE" w14:textId="77777777" w:rsidR="00091B58" w:rsidRPr="00C81D88" w:rsidRDefault="00091B58" w:rsidP="00AB3BF3">
            <w:pPr>
              <w:widowControl w:val="0"/>
              <w:ind w:left="57"/>
              <w:rPr>
                <w:sz w:val="22"/>
                <w:szCs w:val="22"/>
              </w:rPr>
            </w:pPr>
            <w:r w:rsidRPr="00C81D88">
              <w:rPr>
                <w:sz w:val="22"/>
                <w:szCs w:val="22"/>
              </w:rPr>
              <w:t>Smegenų kraujotakos sutrikimas, praeinantysis smegenų išemijos priepuolis, traukuliai, optinis neuritas, VII-ojo nervo paralyžius, demencija, ataksija</w:t>
            </w:r>
          </w:p>
        </w:tc>
      </w:tr>
      <w:tr w:rsidR="00091B58" w:rsidRPr="00C81D88" w14:paraId="49F80D0D"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0F9CB46" w14:textId="77777777" w:rsidR="00091B58" w:rsidRPr="00C81D88" w:rsidRDefault="00091B58" w:rsidP="00AB3BF3">
            <w:pPr>
              <w:widowControl w:val="0"/>
              <w:ind w:left="57"/>
              <w:rPr>
                <w:sz w:val="22"/>
                <w:szCs w:val="22"/>
              </w:rPr>
            </w:pPr>
            <w:r w:rsidRPr="00C81D88">
              <w:rPr>
                <w:b/>
                <w:bCs/>
                <w:sz w:val="22"/>
                <w:szCs w:val="22"/>
              </w:rPr>
              <w:t>Akių sutrikimai</w:t>
            </w:r>
          </w:p>
        </w:tc>
      </w:tr>
      <w:tr w:rsidR="00091B58" w:rsidRPr="00C81D88" w14:paraId="1AA00A03" w14:textId="77777777" w:rsidTr="00AB3BF3">
        <w:trPr>
          <w:trHeight w:hRule="exact" w:val="510"/>
        </w:trPr>
        <w:tc>
          <w:tcPr>
            <w:tcW w:w="1648" w:type="dxa"/>
            <w:tcBorders>
              <w:top w:val="single" w:sz="4" w:space="0" w:color="000000"/>
              <w:left w:val="single" w:sz="4" w:space="0" w:color="000000"/>
              <w:bottom w:val="single" w:sz="4" w:space="0" w:color="000000"/>
              <w:right w:val="single" w:sz="4" w:space="0" w:color="000000"/>
            </w:tcBorders>
          </w:tcPr>
          <w:p w14:paraId="4C1996A5"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0CB51980" w14:textId="77777777" w:rsidR="00091B58" w:rsidRPr="00C81D88" w:rsidRDefault="00091B58" w:rsidP="00AB3BF3">
            <w:pPr>
              <w:widowControl w:val="0"/>
              <w:ind w:left="57"/>
              <w:rPr>
                <w:sz w:val="22"/>
                <w:szCs w:val="22"/>
              </w:rPr>
            </w:pPr>
            <w:r w:rsidRPr="00C81D88">
              <w:rPr>
                <w:sz w:val="22"/>
                <w:szCs w:val="22"/>
              </w:rPr>
              <w:t>Regos sutrikimai (įskaitant sutrikusį regėjimą, matomo vaizdo neryškumą, regėjimo aštrumo sumažėjimą), sausos akys</w:t>
            </w:r>
          </w:p>
        </w:tc>
      </w:tr>
      <w:tr w:rsidR="00091B58" w:rsidRPr="00C81D88" w14:paraId="6205F1FC"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08ACC5A6"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67271964" w14:textId="77777777" w:rsidR="00091B58" w:rsidRPr="00C81D88" w:rsidRDefault="00091B58" w:rsidP="00AB3BF3">
            <w:pPr>
              <w:widowControl w:val="0"/>
              <w:ind w:left="57"/>
              <w:rPr>
                <w:sz w:val="22"/>
                <w:szCs w:val="22"/>
              </w:rPr>
            </w:pPr>
            <w:r w:rsidRPr="00C81D88">
              <w:rPr>
                <w:sz w:val="22"/>
                <w:szCs w:val="22"/>
              </w:rPr>
              <w:t>Regėjimo sutrikimai, konjunktyvitas, šviesos baimė, padidėjęs ašarojimas</w:t>
            </w:r>
          </w:p>
        </w:tc>
      </w:tr>
      <w:tr w:rsidR="00091B58" w:rsidRPr="00C81D88" w14:paraId="2A3594B0"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9213687" w14:textId="77777777" w:rsidR="00091B58" w:rsidRPr="00C81D88" w:rsidRDefault="00091B58" w:rsidP="00AB3BF3">
            <w:pPr>
              <w:widowControl w:val="0"/>
              <w:ind w:left="57"/>
              <w:rPr>
                <w:sz w:val="22"/>
                <w:szCs w:val="22"/>
              </w:rPr>
            </w:pPr>
            <w:r w:rsidRPr="00C81D88">
              <w:rPr>
                <w:b/>
                <w:bCs/>
                <w:sz w:val="22"/>
                <w:szCs w:val="22"/>
              </w:rPr>
              <w:t>Ausų ir labirintų sutrikimai</w:t>
            </w:r>
          </w:p>
        </w:tc>
      </w:tr>
      <w:tr w:rsidR="00091B58" w:rsidRPr="00C81D88" w14:paraId="741E084C"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495EDE4"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66D42861" w14:textId="77777777" w:rsidR="00091B58" w:rsidRPr="00C81D88" w:rsidRDefault="00091B58" w:rsidP="00AB3BF3">
            <w:pPr>
              <w:widowControl w:val="0"/>
              <w:ind w:left="57"/>
              <w:rPr>
                <w:sz w:val="22"/>
                <w:szCs w:val="22"/>
              </w:rPr>
            </w:pPr>
            <w:r w:rsidRPr="00C81D88">
              <w:rPr>
                <w:sz w:val="22"/>
                <w:szCs w:val="22"/>
              </w:rPr>
              <w:t>Ūžesys (</w:t>
            </w:r>
            <w:r w:rsidRPr="00C81D88">
              <w:rPr>
                <w:i/>
                <w:sz w:val="22"/>
                <w:szCs w:val="22"/>
              </w:rPr>
              <w:t>tinnitus</w:t>
            </w:r>
            <w:r w:rsidRPr="00C81D88">
              <w:rPr>
                <w:sz w:val="22"/>
                <w:szCs w:val="22"/>
              </w:rPr>
              <w:t>)</w:t>
            </w:r>
          </w:p>
        </w:tc>
      </w:tr>
      <w:tr w:rsidR="00091B58" w:rsidRPr="00C81D88" w14:paraId="3228A212"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F313D80"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5F1134EF" w14:textId="77777777" w:rsidR="00091B58" w:rsidRPr="00C81D88" w:rsidRDefault="00091B58" w:rsidP="00AB3BF3">
            <w:pPr>
              <w:widowControl w:val="0"/>
              <w:ind w:left="57"/>
              <w:rPr>
                <w:sz w:val="22"/>
                <w:szCs w:val="22"/>
              </w:rPr>
            </w:pPr>
            <w:r w:rsidRPr="00053893">
              <w:rPr>
                <w:sz w:val="22"/>
              </w:rPr>
              <w:t>P</w:t>
            </w:r>
            <w:r w:rsidRPr="00053893">
              <w:rPr>
                <w:w w:val="105"/>
                <w:sz w:val="22"/>
              </w:rPr>
              <w:t xml:space="preserve">rikurtimas, </w:t>
            </w:r>
            <w:r w:rsidRPr="00C81D88">
              <w:rPr>
                <w:sz w:val="22"/>
                <w:szCs w:val="22"/>
              </w:rPr>
              <w:t>svaigimas (</w:t>
            </w:r>
            <w:r w:rsidRPr="00C81D88">
              <w:rPr>
                <w:i/>
                <w:sz w:val="22"/>
                <w:szCs w:val="22"/>
              </w:rPr>
              <w:t>vertigo</w:t>
            </w:r>
            <w:r w:rsidRPr="00C81D88">
              <w:rPr>
                <w:sz w:val="22"/>
                <w:szCs w:val="22"/>
              </w:rPr>
              <w:t>)</w:t>
            </w:r>
          </w:p>
        </w:tc>
      </w:tr>
      <w:tr w:rsidR="00091B58" w:rsidRPr="00C81D88" w14:paraId="7D133407"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BDE5FEF" w14:textId="77777777" w:rsidR="00091B58" w:rsidRPr="00C81D88" w:rsidRDefault="00091B58" w:rsidP="00AB3BF3">
            <w:pPr>
              <w:widowControl w:val="0"/>
              <w:ind w:left="57"/>
              <w:rPr>
                <w:sz w:val="22"/>
                <w:szCs w:val="22"/>
              </w:rPr>
            </w:pPr>
            <w:r w:rsidRPr="00C81D88">
              <w:rPr>
                <w:b/>
                <w:bCs/>
                <w:sz w:val="22"/>
                <w:szCs w:val="22"/>
              </w:rPr>
              <w:t>Širdies sutrikimai</w:t>
            </w:r>
          </w:p>
        </w:tc>
      </w:tr>
      <w:tr w:rsidR="00091B58" w:rsidRPr="00C81D88" w14:paraId="76B17106" w14:textId="77777777" w:rsidTr="00AB3BF3">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64BFF96F"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33D11222" w14:textId="77777777" w:rsidR="00091B58" w:rsidRPr="00C81D88" w:rsidRDefault="00091B58" w:rsidP="00AB3BF3">
            <w:pPr>
              <w:widowControl w:val="0"/>
              <w:ind w:left="57"/>
              <w:rPr>
                <w:sz w:val="22"/>
                <w:szCs w:val="22"/>
              </w:rPr>
            </w:pPr>
            <w:r w:rsidRPr="00C81D88">
              <w:rPr>
                <w:sz w:val="22"/>
                <w:szCs w:val="22"/>
              </w:rPr>
              <w:t>Stazinis širdies nepakankamumas ar širdies funkcijos sutrikimas</w:t>
            </w:r>
            <w:r w:rsidRPr="00C81D88">
              <w:rPr>
                <w:sz w:val="22"/>
                <w:szCs w:val="22"/>
                <w:vertAlign w:val="superscript"/>
              </w:rPr>
              <w:t>*c</w:t>
            </w:r>
            <w:r w:rsidRPr="00C81D88">
              <w:rPr>
                <w:sz w:val="22"/>
                <w:szCs w:val="22"/>
              </w:rPr>
              <w:t>, skysčio susikaupimas perikardo ertmėje (efuzija)</w:t>
            </w:r>
            <w:r w:rsidRPr="00C81D88">
              <w:rPr>
                <w:sz w:val="22"/>
                <w:szCs w:val="22"/>
                <w:vertAlign w:val="superscript"/>
              </w:rPr>
              <w:t>*</w:t>
            </w:r>
            <w:r w:rsidRPr="00C81D88">
              <w:rPr>
                <w:sz w:val="22"/>
                <w:szCs w:val="22"/>
              </w:rPr>
              <w:t>, aritmija (įskaitant tachikardiją), palpitacijos</w:t>
            </w:r>
          </w:p>
        </w:tc>
      </w:tr>
      <w:tr w:rsidR="00091B58" w:rsidRPr="00C81D88" w14:paraId="0DA62238" w14:textId="77777777" w:rsidTr="00AB3BF3">
        <w:trPr>
          <w:trHeight w:hRule="exact" w:val="1077"/>
        </w:trPr>
        <w:tc>
          <w:tcPr>
            <w:tcW w:w="1648" w:type="dxa"/>
            <w:tcBorders>
              <w:top w:val="single" w:sz="4" w:space="0" w:color="000000"/>
              <w:left w:val="single" w:sz="4" w:space="0" w:color="000000"/>
              <w:bottom w:val="single" w:sz="4" w:space="0" w:color="000000"/>
              <w:right w:val="single" w:sz="4" w:space="0" w:color="000000"/>
            </w:tcBorders>
          </w:tcPr>
          <w:p w14:paraId="1049E8BF"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7E729AB6" w14:textId="77777777" w:rsidR="00091B58" w:rsidRPr="00C81D88" w:rsidRDefault="00091B58" w:rsidP="00AB3BF3">
            <w:pPr>
              <w:widowControl w:val="0"/>
              <w:ind w:left="57"/>
              <w:rPr>
                <w:sz w:val="22"/>
                <w:szCs w:val="22"/>
              </w:rPr>
            </w:pPr>
            <w:r w:rsidRPr="00C81D88">
              <w:rPr>
                <w:spacing w:val="-2"/>
                <w:sz w:val="22"/>
                <w:szCs w:val="22"/>
              </w:rPr>
              <w:t>Miokardo infarktas (įskaitant mirties atvejus)</w:t>
            </w:r>
            <w:r w:rsidRPr="00C81D88">
              <w:rPr>
                <w:spacing w:val="-2"/>
                <w:sz w:val="22"/>
                <w:szCs w:val="22"/>
                <w:vertAlign w:val="superscript"/>
              </w:rPr>
              <w:t>*</w:t>
            </w:r>
            <w:r w:rsidRPr="00C81D88">
              <w:rPr>
                <w:spacing w:val="-2"/>
                <w:sz w:val="22"/>
                <w:szCs w:val="22"/>
              </w:rPr>
              <w:t>, pailgėjęs QT intervalas elektrokardiogramoje</w:t>
            </w:r>
            <w:r w:rsidRPr="00C81D88">
              <w:rPr>
                <w:spacing w:val="-2"/>
                <w:sz w:val="22"/>
                <w:szCs w:val="22"/>
                <w:vertAlign w:val="superscript"/>
              </w:rPr>
              <w:t>*</w:t>
            </w:r>
            <w:r w:rsidRPr="00C81D88">
              <w:rPr>
                <w:spacing w:val="-2"/>
                <w:sz w:val="22"/>
                <w:szCs w:val="22"/>
              </w:rPr>
              <w:t>, perikarditas, skilvelinė aritmija (įskaitant skilvelinę tachikardiją), krūtinės angina, kardiomegalija, nenormalus T dantelis elektrokardiogramoje, padidėjusi troponino koncentracija</w:t>
            </w:r>
          </w:p>
        </w:tc>
      </w:tr>
      <w:tr w:rsidR="00091B58" w:rsidRPr="00C81D88" w14:paraId="6D11F962" w14:textId="77777777" w:rsidTr="00AB3BF3">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397B799D"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50F54983" w14:textId="77777777" w:rsidR="00091B58" w:rsidRPr="00C81D88" w:rsidRDefault="00091B58" w:rsidP="00AB3BF3">
            <w:pPr>
              <w:widowControl w:val="0"/>
              <w:ind w:left="57"/>
              <w:rPr>
                <w:sz w:val="22"/>
                <w:szCs w:val="22"/>
              </w:rPr>
            </w:pPr>
            <w:r w:rsidRPr="00C81D88">
              <w:rPr>
                <w:sz w:val="22"/>
                <w:szCs w:val="22"/>
              </w:rPr>
              <w:t>Plautinė širdis, miokarditas, ūminis vainikinis sindromas, širdies sustojimas, pailgėjęs PR intervalas elektrokardiogramoje, vainikinių arterijų liga, pleuroperikarditas</w:t>
            </w:r>
          </w:p>
        </w:tc>
      </w:tr>
      <w:tr w:rsidR="00091B58" w:rsidRPr="00C81D88" w14:paraId="5481BAB0"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59919CA" w14:textId="77777777" w:rsidR="00091B58" w:rsidRPr="00C81D88" w:rsidRDefault="00091B58" w:rsidP="00AB3BF3">
            <w:pPr>
              <w:widowControl w:val="0"/>
              <w:ind w:left="57"/>
              <w:rPr>
                <w:sz w:val="22"/>
                <w:szCs w:val="22"/>
              </w:rPr>
            </w:pPr>
            <w:r w:rsidRPr="00C81D88">
              <w:rPr>
                <w:i/>
                <w:sz w:val="22"/>
                <w:szCs w:val="22"/>
              </w:rPr>
              <w:t>Nežinomas</w:t>
            </w:r>
            <w:r w:rsidRPr="00C81D88">
              <w:rPr>
                <w:i/>
                <w:spacing w:val="-3"/>
                <w:sz w:val="22"/>
                <w:szCs w:val="22"/>
              </w:rPr>
              <w:t xml:space="preserve"> </w:t>
            </w:r>
            <w:r w:rsidRPr="00C81D88">
              <w:rPr>
                <w:i/>
                <w:sz w:val="22"/>
                <w:szCs w:val="22"/>
              </w:rPr>
              <w:t>known</w:t>
            </w:r>
          </w:p>
        </w:tc>
        <w:tc>
          <w:tcPr>
            <w:tcW w:w="7811" w:type="dxa"/>
            <w:tcBorders>
              <w:top w:val="single" w:sz="4" w:space="0" w:color="000000"/>
              <w:left w:val="single" w:sz="4" w:space="0" w:color="000000"/>
              <w:bottom w:val="single" w:sz="4" w:space="0" w:color="000000"/>
              <w:right w:val="single" w:sz="4" w:space="0" w:color="000000"/>
            </w:tcBorders>
          </w:tcPr>
          <w:p w14:paraId="3D7F3785" w14:textId="77777777" w:rsidR="00091B58" w:rsidRPr="00C81D88" w:rsidRDefault="00091B58" w:rsidP="00AB3BF3">
            <w:pPr>
              <w:widowControl w:val="0"/>
              <w:ind w:left="57"/>
              <w:rPr>
                <w:sz w:val="22"/>
                <w:szCs w:val="22"/>
              </w:rPr>
            </w:pPr>
            <w:r w:rsidRPr="00C81D88">
              <w:rPr>
                <w:sz w:val="22"/>
                <w:szCs w:val="22"/>
              </w:rPr>
              <w:t>Prieširdžių virpėjimas ar plazdėjimas</w:t>
            </w:r>
          </w:p>
        </w:tc>
      </w:tr>
      <w:tr w:rsidR="00091B58" w:rsidRPr="00C81D88" w14:paraId="328E91A3"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0FE3D5D2" w14:textId="77777777" w:rsidR="00091B58" w:rsidRPr="00C81D88" w:rsidRDefault="00091B58" w:rsidP="00AB3BF3">
            <w:pPr>
              <w:widowControl w:val="0"/>
              <w:ind w:left="57"/>
              <w:rPr>
                <w:sz w:val="22"/>
                <w:szCs w:val="22"/>
              </w:rPr>
            </w:pPr>
            <w:r w:rsidRPr="00C81D88">
              <w:rPr>
                <w:b/>
                <w:bCs/>
                <w:sz w:val="22"/>
                <w:szCs w:val="22"/>
              </w:rPr>
              <w:t>Kraujagyslių sutrikimai</w:t>
            </w:r>
          </w:p>
        </w:tc>
      </w:tr>
      <w:tr w:rsidR="00091B58" w:rsidRPr="00C81D88" w14:paraId="3CDB789C"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275E479"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1FCAA9A9" w14:textId="77777777" w:rsidR="00091B58" w:rsidRPr="00C81D88" w:rsidRDefault="00091B58" w:rsidP="00AB3BF3">
            <w:pPr>
              <w:widowControl w:val="0"/>
              <w:ind w:left="57"/>
              <w:rPr>
                <w:sz w:val="22"/>
                <w:szCs w:val="22"/>
              </w:rPr>
            </w:pPr>
            <w:r w:rsidRPr="00C81D88">
              <w:rPr>
                <w:spacing w:val="1"/>
                <w:sz w:val="22"/>
                <w:szCs w:val="22"/>
              </w:rPr>
              <w:t>Kraujavimas</w:t>
            </w:r>
            <w:r w:rsidRPr="00C81D88">
              <w:rPr>
                <w:spacing w:val="1"/>
                <w:sz w:val="22"/>
                <w:szCs w:val="22"/>
                <w:vertAlign w:val="superscript"/>
              </w:rPr>
              <w:t>*d</w:t>
            </w:r>
          </w:p>
        </w:tc>
      </w:tr>
      <w:tr w:rsidR="00091B58" w:rsidRPr="00C81D88" w14:paraId="0036D16E"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AAEC5B3"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2DE33361" w14:textId="77777777" w:rsidR="00091B58" w:rsidRPr="00C81D88" w:rsidRDefault="00091B58" w:rsidP="00AB3BF3">
            <w:pPr>
              <w:widowControl w:val="0"/>
              <w:ind w:left="57"/>
              <w:rPr>
                <w:sz w:val="22"/>
                <w:szCs w:val="22"/>
              </w:rPr>
            </w:pPr>
            <w:r w:rsidRPr="00C81D88">
              <w:rPr>
                <w:spacing w:val="-1"/>
                <w:sz w:val="22"/>
                <w:szCs w:val="22"/>
              </w:rPr>
              <w:t>Hipertenzija, paraudimas</w:t>
            </w:r>
          </w:p>
        </w:tc>
      </w:tr>
      <w:tr w:rsidR="00091B58" w:rsidRPr="00C81D88" w14:paraId="5F8869AA"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520D1D7C"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5C31048D" w14:textId="77777777" w:rsidR="00091B58" w:rsidRPr="00C81D88" w:rsidRDefault="00091B58" w:rsidP="00AB3BF3">
            <w:pPr>
              <w:widowControl w:val="0"/>
              <w:ind w:left="57"/>
              <w:rPr>
                <w:sz w:val="22"/>
                <w:szCs w:val="22"/>
              </w:rPr>
            </w:pPr>
            <w:r w:rsidRPr="00C81D88">
              <w:rPr>
                <w:sz w:val="22"/>
                <w:szCs w:val="22"/>
              </w:rPr>
              <w:t>Hipotenzija, tromboflebitas, trombozė</w:t>
            </w:r>
          </w:p>
        </w:tc>
      </w:tr>
      <w:tr w:rsidR="00091B58" w:rsidRPr="00C81D88" w14:paraId="27555851"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F4A93CD"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3B14C84F" w14:textId="77777777" w:rsidR="00091B58" w:rsidRPr="00C81D88" w:rsidRDefault="00091B58" w:rsidP="00AB3BF3">
            <w:pPr>
              <w:widowControl w:val="0"/>
              <w:ind w:left="57"/>
              <w:rPr>
                <w:sz w:val="22"/>
                <w:szCs w:val="22"/>
              </w:rPr>
            </w:pPr>
            <w:r w:rsidRPr="00C81D88">
              <w:rPr>
                <w:sz w:val="22"/>
                <w:szCs w:val="22"/>
              </w:rPr>
              <w:t>Giliųjų venų trombozė, embolija, odos marmuruotumas (</w:t>
            </w:r>
            <w:r w:rsidRPr="00C81D88">
              <w:rPr>
                <w:i/>
                <w:sz w:val="22"/>
                <w:szCs w:val="22"/>
              </w:rPr>
              <w:t>livedo reticularis</w:t>
            </w:r>
            <w:r w:rsidRPr="00C81D88">
              <w:rPr>
                <w:sz w:val="22"/>
                <w:szCs w:val="22"/>
              </w:rPr>
              <w:t>)</w:t>
            </w:r>
          </w:p>
        </w:tc>
      </w:tr>
      <w:tr w:rsidR="00091B58" w:rsidRPr="00C81D88" w14:paraId="2FDCD5B0"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029D832" w14:textId="77777777" w:rsidR="00091B58" w:rsidRPr="00C81D88" w:rsidRDefault="00091B58" w:rsidP="00AB3BF3">
            <w:pPr>
              <w:widowControl w:val="0"/>
              <w:ind w:left="57"/>
              <w:rPr>
                <w:i/>
                <w:sz w:val="22"/>
                <w:szCs w:val="22"/>
              </w:rPr>
            </w:pPr>
            <w:r w:rsidRPr="00C81D88">
              <w:rPr>
                <w:i/>
                <w:sz w:val="22"/>
                <w:szCs w:val="22"/>
              </w:rPr>
              <w:t>Nežinomas</w:t>
            </w:r>
          </w:p>
        </w:tc>
        <w:tc>
          <w:tcPr>
            <w:tcW w:w="7811" w:type="dxa"/>
            <w:tcBorders>
              <w:top w:val="single" w:sz="4" w:space="0" w:color="000000"/>
              <w:left w:val="single" w:sz="4" w:space="0" w:color="000000"/>
              <w:bottom w:val="single" w:sz="4" w:space="0" w:color="000000"/>
              <w:right w:val="single" w:sz="4" w:space="0" w:color="000000"/>
            </w:tcBorders>
          </w:tcPr>
          <w:p w14:paraId="3057B58E" w14:textId="77777777" w:rsidR="00091B58" w:rsidRPr="00C81D88" w:rsidRDefault="00091B58" w:rsidP="00AB3BF3">
            <w:pPr>
              <w:widowControl w:val="0"/>
              <w:ind w:left="57"/>
              <w:rPr>
                <w:sz w:val="22"/>
                <w:szCs w:val="22"/>
              </w:rPr>
            </w:pPr>
            <w:r w:rsidRPr="00C81D88">
              <w:rPr>
                <w:sz w:val="22"/>
                <w:szCs w:val="22"/>
              </w:rPr>
              <w:t>Trombinė mikroangiopatija</w:t>
            </w:r>
          </w:p>
        </w:tc>
      </w:tr>
      <w:tr w:rsidR="00091B58" w:rsidRPr="00C81D88" w14:paraId="52FD7C0B"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5FE9741" w14:textId="77777777" w:rsidR="00091B58" w:rsidRPr="00C81D88" w:rsidRDefault="00091B58" w:rsidP="00AB3BF3">
            <w:pPr>
              <w:widowControl w:val="0"/>
              <w:ind w:left="57"/>
              <w:rPr>
                <w:sz w:val="22"/>
                <w:szCs w:val="22"/>
              </w:rPr>
            </w:pPr>
            <w:r w:rsidRPr="00C81D88">
              <w:rPr>
                <w:b/>
                <w:bCs/>
                <w:sz w:val="22"/>
                <w:szCs w:val="22"/>
              </w:rPr>
              <w:t>Kvėpavimo sistemos, krūtinės ląstos ir tarpuplaučio sutrikimai</w:t>
            </w:r>
          </w:p>
        </w:tc>
      </w:tr>
      <w:tr w:rsidR="00091B58" w:rsidRPr="00C81D88" w14:paraId="624F31D1"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18C8D42"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6813FFF4" w14:textId="77777777" w:rsidR="00091B58" w:rsidRPr="00C81D88" w:rsidRDefault="00091B58" w:rsidP="00AB3BF3">
            <w:pPr>
              <w:widowControl w:val="0"/>
              <w:ind w:left="57"/>
              <w:rPr>
                <w:sz w:val="22"/>
                <w:szCs w:val="22"/>
              </w:rPr>
            </w:pPr>
            <w:r w:rsidRPr="00C81D88">
              <w:rPr>
                <w:sz w:val="22"/>
                <w:szCs w:val="22"/>
              </w:rPr>
              <w:t>Skystis pleuros ertmėje (efuzija)*, dusulys</w:t>
            </w:r>
          </w:p>
        </w:tc>
      </w:tr>
      <w:tr w:rsidR="00091B58" w:rsidRPr="00C81D88" w14:paraId="24358959"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3371AA3"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44058E6B" w14:textId="77777777" w:rsidR="00091B58" w:rsidRPr="00C81D88" w:rsidRDefault="00091B58" w:rsidP="00AB3BF3">
            <w:pPr>
              <w:widowControl w:val="0"/>
              <w:ind w:left="57"/>
              <w:rPr>
                <w:sz w:val="22"/>
                <w:szCs w:val="22"/>
              </w:rPr>
            </w:pPr>
            <w:r w:rsidRPr="00C81D88">
              <w:rPr>
                <w:sz w:val="22"/>
                <w:szCs w:val="22"/>
              </w:rPr>
              <w:t>Plaučių edema*, plaučių hipertenzija*, plaučių infiltracija, pneumonitas, kosulys</w:t>
            </w:r>
          </w:p>
        </w:tc>
      </w:tr>
      <w:tr w:rsidR="00091B58" w:rsidRPr="00C81D88" w14:paraId="33B6542C"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4E2D314"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7CC8857F" w14:textId="443BC706" w:rsidR="00091B58" w:rsidRPr="00C81D88" w:rsidRDefault="00091B58" w:rsidP="00AB3BF3">
            <w:pPr>
              <w:widowControl w:val="0"/>
              <w:ind w:left="57"/>
              <w:rPr>
                <w:sz w:val="22"/>
                <w:szCs w:val="22"/>
              </w:rPr>
            </w:pPr>
            <w:r w:rsidRPr="00C81D88">
              <w:rPr>
                <w:sz w:val="22"/>
                <w:szCs w:val="22"/>
              </w:rPr>
              <w:t>Plaučių arterijos hipertenzija, bronchų spazmas, astma</w:t>
            </w:r>
            <w:r w:rsidR="00372A39">
              <w:rPr>
                <w:sz w:val="22"/>
                <w:szCs w:val="22"/>
              </w:rPr>
              <w:t xml:space="preserve">, </w:t>
            </w:r>
            <w:r w:rsidR="00372A39" w:rsidRPr="0034393C">
              <w:rPr>
                <w:sz w:val="22"/>
                <w:szCs w:val="22"/>
              </w:rPr>
              <w:t>chilotoraksas*</w:t>
            </w:r>
          </w:p>
        </w:tc>
      </w:tr>
      <w:tr w:rsidR="00091B58" w:rsidRPr="00C81D88" w14:paraId="7E39283C"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4C7D959"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31EA2278" w14:textId="77777777" w:rsidR="00091B58" w:rsidRPr="00C81D88" w:rsidRDefault="00091B58" w:rsidP="00AB3BF3">
            <w:pPr>
              <w:widowControl w:val="0"/>
              <w:ind w:left="57"/>
              <w:rPr>
                <w:sz w:val="22"/>
                <w:szCs w:val="22"/>
              </w:rPr>
            </w:pPr>
            <w:r w:rsidRPr="00C81D88">
              <w:rPr>
                <w:sz w:val="22"/>
                <w:szCs w:val="22"/>
              </w:rPr>
              <w:t>Plaučių embolija, ūminis respiracinio distreso sindromas</w:t>
            </w:r>
          </w:p>
        </w:tc>
      </w:tr>
      <w:tr w:rsidR="00091B58" w:rsidRPr="00C81D88" w14:paraId="0A3E8D1F"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71C99369" w14:textId="77777777" w:rsidR="00091B58" w:rsidRPr="00C81D88" w:rsidRDefault="00091B58" w:rsidP="00AB3BF3">
            <w:pPr>
              <w:widowControl w:val="0"/>
              <w:ind w:left="57"/>
              <w:rPr>
                <w:sz w:val="22"/>
                <w:szCs w:val="22"/>
              </w:rPr>
            </w:pPr>
            <w:r w:rsidRPr="00C81D88">
              <w:rPr>
                <w:i/>
                <w:sz w:val="22"/>
                <w:szCs w:val="22"/>
              </w:rPr>
              <w:t>Nežinomas</w:t>
            </w:r>
          </w:p>
        </w:tc>
        <w:tc>
          <w:tcPr>
            <w:tcW w:w="7811" w:type="dxa"/>
            <w:tcBorders>
              <w:top w:val="single" w:sz="4" w:space="0" w:color="000000"/>
              <w:left w:val="single" w:sz="4" w:space="0" w:color="000000"/>
              <w:bottom w:val="single" w:sz="4" w:space="0" w:color="000000"/>
              <w:right w:val="single" w:sz="4" w:space="0" w:color="000000"/>
            </w:tcBorders>
          </w:tcPr>
          <w:p w14:paraId="5D2908AC" w14:textId="77777777" w:rsidR="00091B58" w:rsidRPr="00C81D88" w:rsidRDefault="00091B58" w:rsidP="00AB3BF3">
            <w:pPr>
              <w:widowControl w:val="0"/>
              <w:ind w:left="57"/>
              <w:rPr>
                <w:sz w:val="22"/>
                <w:szCs w:val="22"/>
              </w:rPr>
            </w:pPr>
            <w:r w:rsidRPr="00C81D88">
              <w:rPr>
                <w:sz w:val="22"/>
                <w:szCs w:val="22"/>
              </w:rPr>
              <w:t>Intersticinė plaučių liga</w:t>
            </w:r>
          </w:p>
        </w:tc>
      </w:tr>
      <w:tr w:rsidR="00091B58" w:rsidRPr="00C81D88" w14:paraId="721A560B"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CB8A18D" w14:textId="77777777" w:rsidR="00091B58" w:rsidRPr="00C81D88" w:rsidRDefault="00091B58" w:rsidP="00AB3BF3">
            <w:pPr>
              <w:widowControl w:val="0"/>
              <w:ind w:left="57"/>
              <w:rPr>
                <w:sz w:val="22"/>
                <w:szCs w:val="22"/>
              </w:rPr>
            </w:pPr>
            <w:r w:rsidRPr="00C81D88">
              <w:rPr>
                <w:b/>
                <w:bCs/>
                <w:sz w:val="22"/>
                <w:szCs w:val="22"/>
              </w:rPr>
              <w:t>Virškinimo trakto sutrikimai</w:t>
            </w:r>
          </w:p>
        </w:tc>
      </w:tr>
      <w:tr w:rsidR="00091B58" w:rsidRPr="00C81D88" w14:paraId="1A57D7EF"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763CA32"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4A50D713" w14:textId="77777777" w:rsidR="00091B58" w:rsidRPr="00C81D88" w:rsidRDefault="00091B58" w:rsidP="00AB3BF3">
            <w:pPr>
              <w:widowControl w:val="0"/>
              <w:ind w:left="57"/>
              <w:rPr>
                <w:sz w:val="22"/>
                <w:szCs w:val="22"/>
              </w:rPr>
            </w:pPr>
            <w:r w:rsidRPr="00C81D88">
              <w:rPr>
                <w:sz w:val="22"/>
                <w:szCs w:val="22"/>
              </w:rPr>
              <w:t>Viduriavimas, vėmimas, pykinimas, pilvo skausmas</w:t>
            </w:r>
          </w:p>
        </w:tc>
      </w:tr>
      <w:tr w:rsidR="00091B58" w:rsidRPr="00C81D88" w14:paraId="2EC54BE4" w14:textId="77777777" w:rsidTr="00AB3BF3">
        <w:trPr>
          <w:trHeight w:hRule="exact" w:val="747"/>
        </w:trPr>
        <w:tc>
          <w:tcPr>
            <w:tcW w:w="1648" w:type="dxa"/>
            <w:tcBorders>
              <w:top w:val="single" w:sz="4" w:space="0" w:color="000000"/>
              <w:left w:val="single" w:sz="4" w:space="0" w:color="000000"/>
              <w:bottom w:val="single" w:sz="4" w:space="0" w:color="000000"/>
              <w:right w:val="single" w:sz="4" w:space="0" w:color="000000"/>
            </w:tcBorders>
          </w:tcPr>
          <w:p w14:paraId="3703B21C"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23D49E30" w14:textId="77777777" w:rsidR="00091B58" w:rsidRPr="00C81D88" w:rsidRDefault="00091B58" w:rsidP="00AB3BF3">
            <w:pPr>
              <w:widowControl w:val="0"/>
              <w:ind w:left="57"/>
              <w:rPr>
                <w:sz w:val="22"/>
                <w:szCs w:val="22"/>
              </w:rPr>
            </w:pPr>
            <w:r w:rsidRPr="00C81D88">
              <w:rPr>
                <w:sz w:val="22"/>
                <w:szCs w:val="22"/>
              </w:rPr>
              <w:t>Kraujavimas iš virškinimo trakto*, kolitas (įskaitant neutropeninį kolitą), gastritas, gleivinės uždegimas (įskaitant mukozitą / stomatitą), dispepsija, pilvo tempimas, vidurių užkietėjimas, burnos minkštųjų audinių sutrikimai</w:t>
            </w:r>
          </w:p>
        </w:tc>
      </w:tr>
      <w:tr w:rsidR="00091B58" w:rsidRPr="00C81D88" w14:paraId="444C94CE" w14:textId="77777777" w:rsidTr="00AB3BF3">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61FD22FF"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4734812E" w14:textId="77777777" w:rsidR="00091B58" w:rsidRPr="00C81D88" w:rsidRDefault="00091B58" w:rsidP="00AB3BF3">
            <w:pPr>
              <w:widowControl w:val="0"/>
              <w:ind w:left="57"/>
              <w:rPr>
                <w:sz w:val="22"/>
                <w:szCs w:val="22"/>
              </w:rPr>
            </w:pPr>
            <w:r w:rsidRPr="00C81D88">
              <w:rPr>
                <w:sz w:val="22"/>
                <w:szCs w:val="22"/>
              </w:rPr>
              <w:t>Pankreatitas (įskaitant ūminį), viršutinės virškinimo trakto dalies opa, ezofagitas, ascitas*, išangės įplėša, disfagija, gastroezofaginio refliukso liga</w:t>
            </w:r>
          </w:p>
        </w:tc>
      </w:tr>
      <w:tr w:rsidR="00091B58" w:rsidRPr="00C81D88" w14:paraId="2D953B1B"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8F58D89"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0F438D6D" w14:textId="77777777" w:rsidR="00091B58" w:rsidRPr="00C81D88" w:rsidRDefault="00091B58" w:rsidP="00AB3BF3">
            <w:pPr>
              <w:widowControl w:val="0"/>
              <w:ind w:left="57"/>
              <w:rPr>
                <w:sz w:val="22"/>
                <w:szCs w:val="22"/>
              </w:rPr>
            </w:pPr>
            <w:r w:rsidRPr="00C81D88">
              <w:rPr>
                <w:sz w:val="22"/>
                <w:szCs w:val="22"/>
              </w:rPr>
              <w:t>Baltymų netekimo gastroenteropatija, žarnų nepraeinamumas, išangės fistulė</w:t>
            </w:r>
          </w:p>
        </w:tc>
      </w:tr>
      <w:tr w:rsidR="00091B58" w:rsidRPr="00C81D88" w14:paraId="7CA63B1C"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109509A" w14:textId="77777777" w:rsidR="00091B58" w:rsidRPr="00C81D88" w:rsidRDefault="00091B58" w:rsidP="00AB3BF3">
            <w:pPr>
              <w:widowControl w:val="0"/>
              <w:ind w:left="57"/>
              <w:rPr>
                <w:sz w:val="22"/>
                <w:szCs w:val="22"/>
              </w:rPr>
            </w:pPr>
            <w:r w:rsidRPr="00C81D88">
              <w:rPr>
                <w:i/>
                <w:sz w:val="22"/>
                <w:szCs w:val="22"/>
              </w:rPr>
              <w:t>Nežinomas</w:t>
            </w:r>
          </w:p>
        </w:tc>
        <w:tc>
          <w:tcPr>
            <w:tcW w:w="7811" w:type="dxa"/>
            <w:tcBorders>
              <w:top w:val="single" w:sz="4" w:space="0" w:color="000000"/>
              <w:left w:val="single" w:sz="4" w:space="0" w:color="000000"/>
              <w:bottom w:val="single" w:sz="4" w:space="0" w:color="000000"/>
              <w:right w:val="single" w:sz="4" w:space="0" w:color="000000"/>
            </w:tcBorders>
          </w:tcPr>
          <w:p w14:paraId="6D65FCF5" w14:textId="77777777" w:rsidR="00091B58" w:rsidRPr="00C81D88" w:rsidRDefault="00091B58" w:rsidP="00AB3BF3">
            <w:pPr>
              <w:widowControl w:val="0"/>
              <w:ind w:left="57"/>
              <w:rPr>
                <w:sz w:val="22"/>
                <w:szCs w:val="22"/>
              </w:rPr>
            </w:pPr>
            <w:r w:rsidRPr="00C81D88">
              <w:rPr>
                <w:sz w:val="22"/>
                <w:szCs w:val="22"/>
              </w:rPr>
              <w:t>Mirtinas kraujavimas iš virškinimo trakto*</w:t>
            </w:r>
          </w:p>
        </w:tc>
      </w:tr>
      <w:tr w:rsidR="00091B58" w:rsidRPr="00C81D88" w14:paraId="1BD6A63E" w14:textId="77777777" w:rsidTr="00AB3BF3">
        <w:trPr>
          <w:cantSplit/>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036A7F9" w14:textId="77777777" w:rsidR="00091B58" w:rsidRPr="00C81D88" w:rsidRDefault="00091B58" w:rsidP="00AB3BF3">
            <w:pPr>
              <w:widowControl w:val="0"/>
              <w:ind w:left="57"/>
              <w:rPr>
                <w:sz w:val="22"/>
                <w:szCs w:val="22"/>
              </w:rPr>
            </w:pPr>
            <w:r w:rsidRPr="00C81D88">
              <w:rPr>
                <w:b/>
                <w:bCs/>
                <w:sz w:val="22"/>
                <w:szCs w:val="22"/>
              </w:rPr>
              <w:t>Kepenų, tulžies pūslės ir latakų sutrikimai</w:t>
            </w:r>
          </w:p>
        </w:tc>
      </w:tr>
      <w:tr w:rsidR="00091B58" w:rsidRPr="00C81D88" w14:paraId="7E7206BE"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4B46780"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67F35E35" w14:textId="77777777" w:rsidR="00091B58" w:rsidRPr="00C81D88" w:rsidRDefault="00091B58" w:rsidP="00AB3BF3">
            <w:pPr>
              <w:widowControl w:val="0"/>
              <w:ind w:left="57"/>
              <w:rPr>
                <w:sz w:val="22"/>
                <w:szCs w:val="22"/>
              </w:rPr>
            </w:pPr>
            <w:r w:rsidRPr="00C81D88">
              <w:rPr>
                <w:sz w:val="22"/>
                <w:szCs w:val="22"/>
              </w:rPr>
              <w:t>Hepatitas, cholecistitas, cholestazė</w:t>
            </w:r>
          </w:p>
        </w:tc>
      </w:tr>
      <w:tr w:rsidR="00091B58" w:rsidRPr="00C81D88" w14:paraId="12AF1B32"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7779B203" w14:textId="77777777" w:rsidR="00091B58" w:rsidRPr="00C81D88" w:rsidRDefault="00091B58" w:rsidP="00AB3BF3">
            <w:pPr>
              <w:widowControl w:val="0"/>
              <w:ind w:left="57"/>
              <w:rPr>
                <w:sz w:val="22"/>
                <w:szCs w:val="22"/>
              </w:rPr>
            </w:pPr>
            <w:r w:rsidRPr="00C81D88">
              <w:rPr>
                <w:b/>
                <w:bCs/>
                <w:sz w:val="22"/>
                <w:szCs w:val="22"/>
              </w:rPr>
              <w:t>Odos ir poodinio audinio sutrikimai</w:t>
            </w:r>
          </w:p>
        </w:tc>
      </w:tr>
      <w:tr w:rsidR="00091B58" w:rsidRPr="00C81D88" w14:paraId="3D3A0A47"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2B31B9D"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0C3736B2" w14:textId="77777777" w:rsidR="00091B58" w:rsidRPr="00C81D88" w:rsidRDefault="00091B58" w:rsidP="00AB3BF3">
            <w:pPr>
              <w:widowControl w:val="0"/>
              <w:ind w:left="57"/>
              <w:rPr>
                <w:sz w:val="22"/>
                <w:szCs w:val="22"/>
              </w:rPr>
            </w:pPr>
            <w:r w:rsidRPr="00C81D88">
              <w:rPr>
                <w:sz w:val="22"/>
                <w:szCs w:val="22"/>
              </w:rPr>
              <w:t>Odos išbėrimas</w:t>
            </w:r>
            <w:r w:rsidRPr="00C81D88">
              <w:rPr>
                <w:spacing w:val="1"/>
                <w:sz w:val="22"/>
                <w:szCs w:val="22"/>
                <w:vertAlign w:val="superscript"/>
              </w:rPr>
              <w:t>e</w:t>
            </w:r>
          </w:p>
        </w:tc>
      </w:tr>
      <w:tr w:rsidR="00091B58" w:rsidRPr="00C81D88" w14:paraId="14D2133B" w14:textId="77777777" w:rsidTr="00AB3BF3">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76A927CC" w14:textId="77777777" w:rsidR="00091B58" w:rsidRPr="00C81D88" w:rsidRDefault="00091B58" w:rsidP="00AB3BF3">
            <w:pPr>
              <w:widowControl w:val="0"/>
              <w:ind w:left="57"/>
              <w:rPr>
                <w:sz w:val="22"/>
                <w:szCs w:val="22"/>
              </w:rPr>
            </w:pPr>
            <w:r w:rsidRPr="00C81D88">
              <w:rPr>
                <w:i/>
                <w:sz w:val="22"/>
                <w:szCs w:val="22"/>
              </w:rPr>
              <w:lastRenderedPageBreak/>
              <w:t>Dažni</w:t>
            </w:r>
          </w:p>
        </w:tc>
        <w:tc>
          <w:tcPr>
            <w:tcW w:w="7811" w:type="dxa"/>
            <w:tcBorders>
              <w:top w:val="single" w:sz="4" w:space="0" w:color="000000"/>
              <w:left w:val="single" w:sz="4" w:space="0" w:color="000000"/>
              <w:bottom w:val="single" w:sz="4" w:space="0" w:color="000000"/>
              <w:right w:val="single" w:sz="4" w:space="0" w:color="000000"/>
            </w:tcBorders>
          </w:tcPr>
          <w:p w14:paraId="5268AD6D" w14:textId="77777777" w:rsidR="00091B58" w:rsidRPr="00C81D88" w:rsidRDefault="00091B58" w:rsidP="00AB3BF3">
            <w:pPr>
              <w:widowControl w:val="0"/>
              <w:ind w:left="57"/>
              <w:rPr>
                <w:sz w:val="22"/>
                <w:szCs w:val="22"/>
              </w:rPr>
            </w:pPr>
            <w:r w:rsidRPr="00C81D88">
              <w:rPr>
                <w:sz w:val="22"/>
                <w:szCs w:val="22"/>
              </w:rPr>
              <w:t>Alopecija, dermatitas (įskaitant egzemą), niežėjimas, spuogai, sausa oda, dilgėlinė, hiperhidrozė</w:t>
            </w:r>
          </w:p>
        </w:tc>
      </w:tr>
      <w:tr w:rsidR="00091B58" w:rsidRPr="00C81D88" w14:paraId="641C02FC" w14:textId="77777777" w:rsidTr="00AB3BF3">
        <w:trPr>
          <w:trHeight w:hRule="exact" w:val="850"/>
        </w:trPr>
        <w:tc>
          <w:tcPr>
            <w:tcW w:w="1648" w:type="dxa"/>
            <w:tcBorders>
              <w:top w:val="single" w:sz="4" w:space="0" w:color="000000"/>
              <w:left w:val="single" w:sz="4" w:space="0" w:color="000000"/>
              <w:bottom w:val="single" w:sz="4" w:space="0" w:color="000000"/>
              <w:right w:val="single" w:sz="4" w:space="0" w:color="000000"/>
            </w:tcBorders>
          </w:tcPr>
          <w:p w14:paraId="5A386FBC"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42236D11" w14:textId="77777777" w:rsidR="00091B58" w:rsidRPr="00C81D88" w:rsidRDefault="00091B58" w:rsidP="00AB3BF3">
            <w:pPr>
              <w:widowControl w:val="0"/>
              <w:ind w:left="57"/>
              <w:rPr>
                <w:sz w:val="22"/>
                <w:szCs w:val="22"/>
              </w:rPr>
            </w:pPr>
            <w:r w:rsidRPr="00C81D88">
              <w:rPr>
                <w:sz w:val="22"/>
                <w:szCs w:val="22"/>
              </w:rPr>
              <w:t>Neutrofilinė dermatozė, padidėjęs jautrumas šviesai, pigmentacijos sutrikimas, panikulitas (poodinio ląstelyno uždegimas), odos opa, pūslinės būklės, nagų sutrikimai, delnų ir padų eritrodisestezijos sindromas, plaukų sutrikimai</w:t>
            </w:r>
          </w:p>
        </w:tc>
      </w:tr>
      <w:tr w:rsidR="00091B58" w:rsidRPr="00C81D88" w14:paraId="390CF16D"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1AB6746"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47A5A738" w14:textId="77777777" w:rsidR="00091B58" w:rsidRPr="00C81D88" w:rsidRDefault="00091B58" w:rsidP="00AB3BF3">
            <w:pPr>
              <w:widowControl w:val="0"/>
              <w:ind w:left="57"/>
              <w:rPr>
                <w:sz w:val="22"/>
                <w:szCs w:val="22"/>
              </w:rPr>
            </w:pPr>
            <w:r w:rsidRPr="00C81D88">
              <w:rPr>
                <w:sz w:val="22"/>
                <w:szCs w:val="22"/>
              </w:rPr>
              <w:t>Leukocitoklastinis vaskulitas, odos fibrozė</w:t>
            </w:r>
          </w:p>
        </w:tc>
      </w:tr>
      <w:tr w:rsidR="00091B58" w:rsidRPr="00C81D88" w14:paraId="5A21F7D2"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4096B385" w14:textId="77777777" w:rsidR="00091B58" w:rsidRPr="00C81D88" w:rsidRDefault="00091B58" w:rsidP="00AB3BF3">
            <w:pPr>
              <w:widowControl w:val="0"/>
              <w:ind w:left="57"/>
              <w:rPr>
                <w:sz w:val="22"/>
                <w:szCs w:val="22"/>
              </w:rPr>
            </w:pPr>
            <w:r w:rsidRPr="00C81D88">
              <w:rPr>
                <w:i/>
                <w:sz w:val="22"/>
                <w:szCs w:val="22"/>
              </w:rPr>
              <w:t>Nežinomas</w:t>
            </w:r>
          </w:p>
        </w:tc>
        <w:tc>
          <w:tcPr>
            <w:tcW w:w="7811" w:type="dxa"/>
            <w:tcBorders>
              <w:top w:val="single" w:sz="4" w:space="0" w:color="000000"/>
              <w:left w:val="single" w:sz="4" w:space="0" w:color="000000"/>
              <w:bottom w:val="single" w:sz="4" w:space="0" w:color="000000"/>
              <w:right w:val="single" w:sz="4" w:space="0" w:color="000000"/>
            </w:tcBorders>
          </w:tcPr>
          <w:p w14:paraId="7071D5BF" w14:textId="77777777" w:rsidR="00091B58" w:rsidRPr="00C81D88" w:rsidRDefault="00091B58" w:rsidP="00AB3BF3">
            <w:pPr>
              <w:widowControl w:val="0"/>
              <w:ind w:left="57"/>
              <w:rPr>
                <w:sz w:val="22"/>
                <w:szCs w:val="22"/>
              </w:rPr>
            </w:pPr>
            <w:r w:rsidRPr="00C81D88">
              <w:rPr>
                <w:sz w:val="22"/>
                <w:szCs w:val="22"/>
              </w:rPr>
              <w:t>Stivenso-Džonsono (</w:t>
            </w:r>
            <w:r w:rsidRPr="00C81D88">
              <w:rPr>
                <w:i/>
                <w:sz w:val="22"/>
                <w:szCs w:val="22"/>
              </w:rPr>
              <w:t>Stevens-Johnson</w:t>
            </w:r>
            <w:r w:rsidRPr="00C81D88">
              <w:rPr>
                <w:sz w:val="22"/>
                <w:szCs w:val="22"/>
              </w:rPr>
              <w:t>) sindromas</w:t>
            </w:r>
            <w:r w:rsidRPr="00C81D88">
              <w:rPr>
                <w:sz w:val="22"/>
                <w:szCs w:val="22"/>
                <w:vertAlign w:val="superscript"/>
              </w:rPr>
              <w:t>f</w:t>
            </w:r>
          </w:p>
        </w:tc>
      </w:tr>
      <w:tr w:rsidR="00091B58" w:rsidRPr="00C81D88" w14:paraId="3276D8F8"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42D21CE" w14:textId="77777777" w:rsidR="00091B58" w:rsidRPr="00C81D88" w:rsidRDefault="00091B58" w:rsidP="00AB3BF3">
            <w:pPr>
              <w:widowControl w:val="0"/>
              <w:ind w:left="57"/>
              <w:rPr>
                <w:sz w:val="22"/>
                <w:szCs w:val="22"/>
              </w:rPr>
            </w:pPr>
            <w:r w:rsidRPr="00C81D88">
              <w:rPr>
                <w:b/>
                <w:bCs/>
                <w:sz w:val="22"/>
                <w:szCs w:val="22"/>
              </w:rPr>
              <w:t>Skeleto, raumenų ir jungiamojo audinio sutrikimai</w:t>
            </w:r>
          </w:p>
        </w:tc>
      </w:tr>
      <w:tr w:rsidR="00091B58" w:rsidRPr="00C81D88" w14:paraId="7B6C7F7B"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46E629C"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69C9BD35" w14:textId="77777777" w:rsidR="00091B58" w:rsidRPr="00C81D88" w:rsidRDefault="00091B58" w:rsidP="00AB3BF3">
            <w:pPr>
              <w:widowControl w:val="0"/>
              <w:ind w:left="57"/>
              <w:rPr>
                <w:sz w:val="22"/>
                <w:szCs w:val="22"/>
              </w:rPr>
            </w:pPr>
            <w:r w:rsidRPr="00C81D88">
              <w:rPr>
                <w:spacing w:val="-2"/>
                <w:sz w:val="22"/>
                <w:szCs w:val="22"/>
              </w:rPr>
              <w:t>Griaučių raumenų skausmas</w:t>
            </w:r>
            <w:r w:rsidRPr="00C81D88">
              <w:rPr>
                <w:spacing w:val="-2"/>
                <w:sz w:val="22"/>
                <w:szCs w:val="22"/>
                <w:vertAlign w:val="superscript"/>
              </w:rPr>
              <w:t>g</w:t>
            </w:r>
          </w:p>
        </w:tc>
      </w:tr>
      <w:tr w:rsidR="00091B58" w:rsidRPr="00C81D88" w14:paraId="3F1B9EA2" w14:textId="77777777" w:rsidTr="00AB3BF3">
        <w:trPr>
          <w:trHeight w:hRule="exact" w:val="361"/>
        </w:trPr>
        <w:tc>
          <w:tcPr>
            <w:tcW w:w="1648" w:type="dxa"/>
            <w:tcBorders>
              <w:top w:val="single" w:sz="4" w:space="0" w:color="000000"/>
              <w:left w:val="single" w:sz="4" w:space="0" w:color="000000"/>
              <w:bottom w:val="single" w:sz="4" w:space="0" w:color="000000"/>
              <w:right w:val="single" w:sz="4" w:space="0" w:color="000000"/>
            </w:tcBorders>
          </w:tcPr>
          <w:p w14:paraId="0C637ABD"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5F684B3F" w14:textId="77777777" w:rsidR="00091B58" w:rsidRPr="00C81D88" w:rsidRDefault="00091B58" w:rsidP="00AB3BF3">
            <w:pPr>
              <w:widowControl w:val="0"/>
              <w:ind w:left="57"/>
              <w:rPr>
                <w:sz w:val="22"/>
                <w:szCs w:val="22"/>
              </w:rPr>
            </w:pPr>
            <w:r w:rsidRPr="00C81D88">
              <w:rPr>
                <w:sz w:val="22"/>
                <w:szCs w:val="22"/>
              </w:rPr>
              <w:t>Artralgija, mialgija, raumenų silpnumas, griaučių raumenų stingulys, raumenų spazmas</w:t>
            </w:r>
          </w:p>
        </w:tc>
      </w:tr>
      <w:tr w:rsidR="00091B58" w:rsidRPr="00C81D88" w14:paraId="69C9A4CD"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1A1722A"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49A56968" w14:textId="77777777" w:rsidR="00091B58" w:rsidRPr="00C81D88" w:rsidRDefault="00091B58" w:rsidP="00AB3BF3">
            <w:pPr>
              <w:widowControl w:val="0"/>
              <w:ind w:left="57"/>
              <w:rPr>
                <w:sz w:val="22"/>
                <w:szCs w:val="22"/>
              </w:rPr>
            </w:pPr>
            <w:r w:rsidRPr="00C81D88">
              <w:rPr>
                <w:sz w:val="22"/>
                <w:szCs w:val="22"/>
              </w:rPr>
              <w:t>Rabdomiolizė, osteonekrozė, raumenų uždegimas, tendinitas, artritas</w:t>
            </w:r>
          </w:p>
        </w:tc>
      </w:tr>
      <w:tr w:rsidR="00091B58" w:rsidRPr="00C81D88" w14:paraId="7BCB3514"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7C44D7F" w14:textId="77777777" w:rsidR="00091B58" w:rsidRPr="00C81D88" w:rsidRDefault="00091B58" w:rsidP="00AB3BF3">
            <w:pPr>
              <w:widowControl w:val="0"/>
              <w:ind w:left="57"/>
              <w:rPr>
                <w:i/>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40DDF919" w14:textId="77777777" w:rsidR="00091B58" w:rsidRPr="00C81D88" w:rsidRDefault="00091B58" w:rsidP="00AB3BF3">
            <w:pPr>
              <w:widowControl w:val="0"/>
              <w:ind w:left="57"/>
              <w:rPr>
                <w:sz w:val="22"/>
                <w:szCs w:val="22"/>
              </w:rPr>
            </w:pPr>
            <w:r w:rsidRPr="00C81D88">
              <w:rPr>
                <w:sz w:val="22"/>
                <w:szCs w:val="22"/>
              </w:rPr>
              <w:t>Epifizinių kremzlių susiliejimo uždelsimas</w:t>
            </w:r>
            <w:r w:rsidRPr="00C81D88">
              <w:rPr>
                <w:sz w:val="22"/>
                <w:szCs w:val="22"/>
                <w:vertAlign w:val="superscript"/>
              </w:rPr>
              <w:t>h</w:t>
            </w:r>
            <w:r w:rsidRPr="00C81D88">
              <w:rPr>
                <w:sz w:val="22"/>
                <w:szCs w:val="22"/>
              </w:rPr>
              <w:t>, sulėtėjęs augimas</w:t>
            </w:r>
            <w:r w:rsidRPr="00C81D88">
              <w:rPr>
                <w:sz w:val="22"/>
                <w:szCs w:val="22"/>
                <w:vertAlign w:val="superscript"/>
              </w:rPr>
              <w:t>h</w:t>
            </w:r>
          </w:p>
          <w:p w14:paraId="1EAA0695" w14:textId="77777777" w:rsidR="00091B58" w:rsidRPr="00C81D88" w:rsidRDefault="00091B58" w:rsidP="00AB3BF3">
            <w:pPr>
              <w:widowControl w:val="0"/>
              <w:ind w:left="57"/>
              <w:rPr>
                <w:sz w:val="22"/>
                <w:szCs w:val="22"/>
              </w:rPr>
            </w:pPr>
            <w:r w:rsidRPr="00C81D88">
              <w:rPr>
                <w:sz w:val="22"/>
                <w:szCs w:val="22"/>
              </w:rPr>
              <w:t>, sulėtėjęs augimas h</w:t>
            </w:r>
          </w:p>
        </w:tc>
      </w:tr>
      <w:tr w:rsidR="00091B58" w:rsidRPr="00C81D88" w14:paraId="10AD2D6B"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3DC02DE3" w14:textId="77777777" w:rsidR="00091B58" w:rsidRPr="00C81D88" w:rsidRDefault="00091B58" w:rsidP="00AB3BF3">
            <w:pPr>
              <w:widowControl w:val="0"/>
              <w:ind w:left="57"/>
              <w:rPr>
                <w:sz w:val="22"/>
                <w:szCs w:val="22"/>
              </w:rPr>
            </w:pPr>
            <w:r w:rsidRPr="00C81D88">
              <w:rPr>
                <w:b/>
                <w:bCs/>
                <w:sz w:val="22"/>
                <w:szCs w:val="22"/>
              </w:rPr>
              <w:t>Inkstų ir šlapimo takų sutrikimai</w:t>
            </w:r>
          </w:p>
        </w:tc>
      </w:tr>
      <w:tr w:rsidR="00091B58" w:rsidRPr="00C81D88" w14:paraId="06B4E55D" w14:textId="77777777" w:rsidTr="00AB3BF3">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5EB40E14"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3C8CF58D" w14:textId="77777777" w:rsidR="00091B58" w:rsidRPr="00C81D88" w:rsidRDefault="00091B58" w:rsidP="00AB3BF3">
            <w:pPr>
              <w:widowControl w:val="0"/>
              <w:ind w:left="57"/>
              <w:rPr>
                <w:sz w:val="22"/>
                <w:szCs w:val="22"/>
              </w:rPr>
            </w:pPr>
            <w:r w:rsidRPr="00C81D88">
              <w:rPr>
                <w:sz w:val="22"/>
                <w:szCs w:val="22"/>
              </w:rPr>
              <w:t>Sutrikusi inkstų funkcija (įskaitant inkstų nepakankamumą), dažnas šlapinimasis, proteinurija</w:t>
            </w:r>
          </w:p>
        </w:tc>
      </w:tr>
      <w:tr w:rsidR="00091B58" w:rsidRPr="00C81D88" w14:paraId="767FBA79"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4CFCAAB" w14:textId="77777777" w:rsidR="00091B58" w:rsidRPr="00C81D88" w:rsidRDefault="00091B58" w:rsidP="00AB3BF3">
            <w:pPr>
              <w:widowControl w:val="0"/>
              <w:ind w:left="57"/>
              <w:rPr>
                <w:i/>
                <w:sz w:val="22"/>
                <w:szCs w:val="22"/>
              </w:rPr>
            </w:pPr>
            <w:r w:rsidRPr="00C81D88">
              <w:rPr>
                <w:i/>
                <w:sz w:val="22"/>
                <w:szCs w:val="22"/>
              </w:rPr>
              <w:t>Nežinomas known</w:t>
            </w:r>
          </w:p>
        </w:tc>
        <w:tc>
          <w:tcPr>
            <w:tcW w:w="7811" w:type="dxa"/>
            <w:tcBorders>
              <w:top w:val="single" w:sz="4" w:space="0" w:color="000000"/>
              <w:left w:val="single" w:sz="4" w:space="0" w:color="000000"/>
              <w:bottom w:val="single" w:sz="4" w:space="0" w:color="000000"/>
              <w:right w:val="single" w:sz="4" w:space="0" w:color="000000"/>
            </w:tcBorders>
          </w:tcPr>
          <w:p w14:paraId="129EF092" w14:textId="77777777" w:rsidR="00091B58" w:rsidRPr="00C81D88" w:rsidRDefault="00091B58" w:rsidP="00AB3BF3">
            <w:pPr>
              <w:widowControl w:val="0"/>
              <w:ind w:left="57"/>
              <w:rPr>
                <w:sz w:val="22"/>
                <w:szCs w:val="22"/>
              </w:rPr>
            </w:pPr>
            <w:r w:rsidRPr="00C81D88">
              <w:rPr>
                <w:sz w:val="22"/>
                <w:szCs w:val="22"/>
              </w:rPr>
              <w:t>Nefrozinis sindromas</w:t>
            </w:r>
          </w:p>
        </w:tc>
      </w:tr>
      <w:tr w:rsidR="00091B58" w:rsidRPr="00C81D88" w14:paraId="2DDBDF2B" w14:textId="77777777" w:rsidTr="00AB3BF3">
        <w:trPr>
          <w:trHeight w:hRule="exact" w:val="281"/>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D219EF5" w14:textId="77777777" w:rsidR="00091B58" w:rsidRPr="00C81D88" w:rsidRDefault="00091B58" w:rsidP="00AB3BF3">
            <w:pPr>
              <w:widowControl w:val="0"/>
              <w:ind w:left="57"/>
              <w:rPr>
                <w:sz w:val="22"/>
                <w:szCs w:val="22"/>
              </w:rPr>
            </w:pPr>
            <w:r w:rsidRPr="00C81D88">
              <w:rPr>
                <w:b/>
                <w:bCs/>
                <w:sz w:val="22"/>
                <w:szCs w:val="22"/>
              </w:rPr>
              <w:t>Būklės nėštumo, pogimdyminiu ir perinataliniu laikotarpiu</w:t>
            </w:r>
          </w:p>
        </w:tc>
      </w:tr>
      <w:tr w:rsidR="00091B58" w:rsidRPr="00C81D88" w14:paraId="1626CDBF"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70D3701"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01041F06" w14:textId="77777777" w:rsidR="00091B58" w:rsidRPr="00C81D88" w:rsidRDefault="00091B58" w:rsidP="00AB3BF3">
            <w:pPr>
              <w:widowControl w:val="0"/>
              <w:ind w:left="57"/>
              <w:rPr>
                <w:sz w:val="22"/>
                <w:szCs w:val="22"/>
              </w:rPr>
            </w:pPr>
            <w:r w:rsidRPr="00C81D88">
              <w:rPr>
                <w:sz w:val="22"/>
                <w:szCs w:val="22"/>
              </w:rPr>
              <w:t>Persileidimas</w:t>
            </w:r>
          </w:p>
        </w:tc>
      </w:tr>
      <w:tr w:rsidR="00091B58" w:rsidRPr="00C81D88" w14:paraId="1BDB900B"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9AFE470" w14:textId="77777777" w:rsidR="00091B58" w:rsidRPr="00C81D88" w:rsidRDefault="00091B58" w:rsidP="00AB3BF3">
            <w:pPr>
              <w:widowControl w:val="0"/>
              <w:ind w:left="57"/>
              <w:rPr>
                <w:sz w:val="22"/>
                <w:szCs w:val="22"/>
              </w:rPr>
            </w:pPr>
            <w:r w:rsidRPr="00C81D88">
              <w:rPr>
                <w:b/>
                <w:bCs/>
                <w:sz w:val="22"/>
                <w:szCs w:val="22"/>
              </w:rPr>
              <w:t>Lytinės sistemos ir krūties sutrikimai</w:t>
            </w:r>
          </w:p>
        </w:tc>
      </w:tr>
      <w:tr w:rsidR="00091B58" w:rsidRPr="00C81D88" w14:paraId="47327C55"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131AEA4" w14:textId="77777777" w:rsidR="00091B58" w:rsidRPr="00C81D88" w:rsidRDefault="00091B58" w:rsidP="00AB3BF3">
            <w:pPr>
              <w:widowControl w:val="0"/>
              <w:ind w:left="57"/>
              <w:rPr>
                <w:sz w:val="22"/>
                <w:szCs w:val="22"/>
              </w:rPr>
            </w:pPr>
            <w:r w:rsidRPr="00C81D88">
              <w:rPr>
                <w:i/>
                <w:sz w:val="22"/>
                <w:szCs w:val="22"/>
              </w:rPr>
              <w:t>Nežinomas</w:t>
            </w:r>
          </w:p>
        </w:tc>
        <w:tc>
          <w:tcPr>
            <w:tcW w:w="7811" w:type="dxa"/>
            <w:tcBorders>
              <w:top w:val="single" w:sz="4" w:space="0" w:color="000000"/>
              <w:left w:val="single" w:sz="4" w:space="0" w:color="000000"/>
              <w:bottom w:val="single" w:sz="4" w:space="0" w:color="000000"/>
              <w:right w:val="single" w:sz="4" w:space="0" w:color="000000"/>
            </w:tcBorders>
          </w:tcPr>
          <w:p w14:paraId="7A05AFB4" w14:textId="77777777" w:rsidR="00091B58" w:rsidRPr="00C81D88" w:rsidRDefault="00091B58" w:rsidP="00AB3BF3">
            <w:pPr>
              <w:widowControl w:val="0"/>
              <w:ind w:left="57"/>
              <w:rPr>
                <w:sz w:val="22"/>
                <w:szCs w:val="22"/>
              </w:rPr>
            </w:pPr>
            <w:r w:rsidRPr="00C81D88">
              <w:rPr>
                <w:sz w:val="22"/>
                <w:szCs w:val="22"/>
              </w:rPr>
              <w:t>Ginekomastija, mėnesinių sutrikimas</w:t>
            </w:r>
          </w:p>
        </w:tc>
      </w:tr>
      <w:tr w:rsidR="00091B58" w:rsidRPr="00C81D88" w14:paraId="720F25AF"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76D8B11A" w14:textId="77777777" w:rsidR="00091B58" w:rsidRPr="00C81D88" w:rsidRDefault="00091B58" w:rsidP="00AB3BF3">
            <w:pPr>
              <w:widowControl w:val="0"/>
              <w:ind w:left="57"/>
              <w:rPr>
                <w:sz w:val="22"/>
                <w:szCs w:val="22"/>
              </w:rPr>
            </w:pPr>
            <w:r w:rsidRPr="00C81D88">
              <w:rPr>
                <w:b/>
                <w:bCs/>
                <w:sz w:val="22"/>
                <w:szCs w:val="22"/>
              </w:rPr>
              <w:t>Bendrieji sutrikimai ir vartojimo vietos pažeidimai</w:t>
            </w:r>
          </w:p>
        </w:tc>
      </w:tr>
      <w:tr w:rsidR="00091B58" w:rsidRPr="00C81D88" w14:paraId="18DA696B"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A259280" w14:textId="77777777" w:rsidR="00091B58" w:rsidRPr="00C81D88" w:rsidRDefault="00091B58" w:rsidP="00AB3BF3">
            <w:pPr>
              <w:widowControl w:val="0"/>
              <w:ind w:left="57"/>
              <w:rPr>
                <w:sz w:val="22"/>
                <w:szCs w:val="22"/>
              </w:rPr>
            </w:pPr>
            <w:r w:rsidRPr="00C81D88">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1E720FF2" w14:textId="77777777" w:rsidR="00091B58" w:rsidRPr="00C81D88" w:rsidRDefault="00091B58" w:rsidP="00AB3BF3">
            <w:pPr>
              <w:widowControl w:val="0"/>
              <w:ind w:left="57"/>
              <w:rPr>
                <w:sz w:val="22"/>
                <w:szCs w:val="22"/>
              </w:rPr>
            </w:pPr>
            <w:r w:rsidRPr="00C81D88">
              <w:rPr>
                <w:sz w:val="22"/>
                <w:szCs w:val="22"/>
              </w:rPr>
              <w:t>Periferinė edema</w:t>
            </w:r>
            <w:r w:rsidRPr="00C81D88">
              <w:rPr>
                <w:sz w:val="22"/>
                <w:szCs w:val="22"/>
                <w:vertAlign w:val="superscript"/>
              </w:rPr>
              <w:t>i</w:t>
            </w:r>
            <w:r w:rsidRPr="00C81D88">
              <w:rPr>
                <w:sz w:val="22"/>
                <w:szCs w:val="22"/>
              </w:rPr>
              <w:t>, nuovargis, karščiavimas, veido edema</w:t>
            </w:r>
            <w:r w:rsidRPr="00C81D88">
              <w:rPr>
                <w:sz w:val="22"/>
                <w:szCs w:val="22"/>
                <w:vertAlign w:val="superscript"/>
              </w:rPr>
              <w:t>j</w:t>
            </w:r>
          </w:p>
        </w:tc>
      </w:tr>
      <w:tr w:rsidR="00091B58" w:rsidRPr="00C81D88" w14:paraId="2B1B5CEB"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0E0AF1AF"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54E688CF" w14:textId="77777777" w:rsidR="00091B58" w:rsidRPr="00C81D88" w:rsidRDefault="00091B58" w:rsidP="00AB3BF3">
            <w:pPr>
              <w:widowControl w:val="0"/>
              <w:ind w:left="57"/>
              <w:rPr>
                <w:sz w:val="22"/>
                <w:szCs w:val="22"/>
              </w:rPr>
            </w:pPr>
            <w:r w:rsidRPr="00C81D88">
              <w:rPr>
                <w:sz w:val="22"/>
                <w:szCs w:val="22"/>
              </w:rPr>
              <w:t>Astenija, skausmas, krūtinės skausmas, išplitusi edema*</w:t>
            </w:r>
            <w:r w:rsidRPr="00C81D88">
              <w:rPr>
                <w:sz w:val="22"/>
                <w:szCs w:val="22"/>
                <w:vertAlign w:val="superscript"/>
              </w:rPr>
              <w:t>k</w:t>
            </w:r>
            <w:r w:rsidRPr="00C81D88">
              <w:rPr>
                <w:sz w:val="22"/>
                <w:szCs w:val="22"/>
              </w:rPr>
              <w:t>, šaltkrėtis</w:t>
            </w:r>
          </w:p>
        </w:tc>
      </w:tr>
      <w:tr w:rsidR="00091B58" w:rsidRPr="00C81D88" w14:paraId="457EEA01"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3C8768A"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4C787DCC" w14:textId="77777777" w:rsidR="00091B58" w:rsidRPr="00C81D88" w:rsidRDefault="00091B58" w:rsidP="00AB3BF3">
            <w:pPr>
              <w:widowControl w:val="0"/>
              <w:ind w:left="57"/>
              <w:rPr>
                <w:sz w:val="22"/>
                <w:szCs w:val="22"/>
              </w:rPr>
            </w:pPr>
            <w:r w:rsidRPr="00C81D88">
              <w:rPr>
                <w:sz w:val="22"/>
                <w:szCs w:val="22"/>
              </w:rPr>
              <w:t>Bendrasis negalavimas, kitokia paviršinė edema</w:t>
            </w:r>
            <w:r w:rsidRPr="00C81D88">
              <w:rPr>
                <w:sz w:val="22"/>
                <w:szCs w:val="22"/>
                <w:vertAlign w:val="superscript"/>
              </w:rPr>
              <w:t>l</w:t>
            </w:r>
          </w:p>
        </w:tc>
      </w:tr>
      <w:tr w:rsidR="00091B58" w:rsidRPr="00C81D88" w14:paraId="4F124553"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0E3FB9C" w14:textId="77777777" w:rsidR="00091B58" w:rsidRPr="00C81D88" w:rsidRDefault="00091B58" w:rsidP="00AB3BF3">
            <w:pPr>
              <w:widowControl w:val="0"/>
              <w:ind w:left="57"/>
              <w:rPr>
                <w:sz w:val="22"/>
                <w:szCs w:val="22"/>
              </w:rPr>
            </w:pPr>
            <w:r w:rsidRPr="00C81D88">
              <w:rPr>
                <w:i/>
                <w:sz w:val="22"/>
                <w:szCs w:val="22"/>
              </w:rPr>
              <w:t>Reti</w:t>
            </w:r>
          </w:p>
        </w:tc>
        <w:tc>
          <w:tcPr>
            <w:tcW w:w="7811" w:type="dxa"/>
            <w:tcBorders>
              <w:top w:val="single" w:sz="4" w:space="0" w:color="000000"/>
              <w:left w:val="single" w:sz="4" w:space="0" w:color="000000"/>
              <w:bottom w:val="single" w:sz="4" w:space="0" w:color="000000"/>
              <w:right w:val="single" w:sz="4" w:space="0" w:color="000000"/>
            </w:tcBorders>
          </w:tcPr>
          <w:p w14:paraId="353861F2" w14:textId="77777777" w:rsidR="00091B58" w:rsidRPr="00C81D88" w:rsidRDefault="00091B58" w:rsidP="00AB3BF3">
            <w:pPr>
              <w:widowControl w:val="0"/>
              <w:ind w:left="57"/>
              <w:rPr>
                <w:sz w:val="22"/>
                <w:szCs w:val="22"/>
              </w:rPr>
            </w:pPr>
            <w:r w:rsidRPr="00C81D88">
              <w:rPr>
                <w:sz w:val="22"/>
                <w:szCs w:val="22"/>
              </w:rPr>
              <w:t>Sutrikusi eisena</w:t>
            </w:r>
          </w:p>
        </w:tc>
      </w:tr>
      <w:tr w:rsidR="00091B58" w:rsidRPr="00C81D88" w14:paraId="4092FEAE"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0AFA54C7" w14:textId="77777777" w:rsidR="00091B58" w:rsidRPr="00C81D88" w:rsidRDefault="00091B58" w:rsidP="00AB3BF3">
            <w:pPr>
              <w:widowControl w:val="0"/>
              <w:ind w:left="57"/>
              <w:rPr>
                <w:sz w:val="22"/>
                <w:szCs w:val="22"/>
              </w:rPr>
            </w:pPr>
            <w:r w:rsidRPr="00C81D88">
              <w:rPr>
                <w:b/>
                <w:bCs/>
                <w:sz w:val="22"/>
                <w:szCs w:val="22"/>
              </w:rPr>
              <w:t>Tyrimai</w:t>
            </w:r>
          </w:p>
        </w:tc>
      </w:tr>
      <w:tr w:rsidR="00091B58" w:rsidRPr="00C81D88" w14:paraId="59EEF670" w14:textId="77777777" w:rsidTr="00AB3BF3">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2412F60"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79C371BA" w14:textId="77777777" w:rsidR="00091B58" w:rsidRPr="00C81D88" w:rsidRDefault="00091B58" w:rsidP="00AB3BF3">
            <w:pPr>
              <w:widowControl w:val="0"/>
              <w:ind w:left="57"/>
              <w:rPr>
                <w:sz w:val="22"/>
                <w:szCs w:val="22"/>
              </w:rPr>
            </w:pPr>
            <w:r w:rsidRPr="00C81D88">
              <w:rPr>
                <w:sz w:val="22"/>
                <w:szCs w:val="22"/>
              </w:rPr>
              <w:t>Sumažėjęs kūno svoris, padidėjęs kūno svoris</w:t>
            </w:r>
          </w:p>
        </w:tc>
      </w:tr>
      <w:tr w:rsidR="00091B58" w:rsidRPr="00C81D88" w14:paraId="5978F59F" w14:textId="77777777" w:rsidTr="00AB3BF3">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3F7108EB" w14:textId="77777777" w:rsidR="00091B58" w:rsidRPr="00C81D88" w:rsidRDefault="00091B58" w:rsidP="00AB3BF3">
            <w:pPr>
              <w:widowControl w:val="0"/>
              <w:ind w:left="57"/>
              <w:rPr>
                <w:sz w:val="22"/>
                <w:szCs w:val="22"/>
              </w:rPr>
            </w:pPr>
            <w:r w:rsidRPr="00C81D88">
              <w:rPr>
                <w:i/>
                <w:sz w:val="22"/>
                <w:szCs w:val="22"/>
              </w:rPr>
              <w:t>Nedažni</w:t>
            </w:r>
          </w:p>
        </w:tc>
        <w:tc>
          <w:tcPr>
            <w:tcW w:w="7811" w:type="dxa"/>
            <w:tcBorders>
              <w:top w:val="single" w:sz="4" w:space="0" w:color="000000"/>
              <w:left w:val="single" w:sz="4" w:space="0" w:color="000000"/>
              <w:bottom w:val="single" w:sz="4" w:space="0" w:color="000000"/>
              <w:right w:val="single" w:sz="4" w:space="0" w:color="000000"/>
            </w:tcBorders>
          </w:tcPr>
          <w:p w14:paraId="6E6FFE3A" w14:textId="77777777" w:rsidR="00091B58" w:rsidRPr="00C81D88" w:rsidRDefault="00091B58" w:rsidP="00AB3BF3">
            <w:pPr>
              <w:widowControl w:val="0"/>
              <w:ind w:left="57"/>
              <w:rPr>
                <w:sz w:val="22"/>
                <w:szCs w:val="22"/>
              </w:rPr>
            </w:pPr>
            <w:r w:rsidRPr="00C81D88">
              <w:rPr>
                <w:sz w:val="22"/>
                <w:szCs w:val="22"/>
              </w:rPr>
              <w:t>Padidėjęs kreatinfosfokinazės aktyvumas kraujyje, padidėjęs gamaglutamiltransferazės aktyvumas</w:t>
            </w:r>
          </w:p>
        </w:tc>
      </w:tr>
      <w:tr w:rsidR="00091B58" w:rsidRPr="00C81D88" w14:paraId="458D271C" w14:textId="77777777" w:rsidTr="00AB3BF3">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073CD06" w14:textId="77777777" w:rsidR="00091B58" w:rsidRPr="00C81D88" w:rsidRDefault="00091B58" w:rsidP="00AB3BF3">
            <w:pPr>
              <w:widowControl w:val="0"/>
              <w:ind w:left="57"/>
              <w:rPr>
                <w:sz w:val="22"/>
                <w:szCs w:val="22"/>
              </w:rPr>
            </w:pPr>
            <w:r w:rsidRPr="00C81D88">
              <w:rPr>
                <w:b/>
                <w:bCs/>
                <w:sz w:val="22"/>
                <w:szCs w:val="22"/>
              </w:rPr>
              <w:t>Sužalojimai, apsinuodijimai ir procedūrų komplikacijos</w:t>
            </w:r>
          </w:p>
        </w:tc>
      </w:tr>
      <w:tr w:rsidR="00091B58" w:rsidRPr="00C81D88" w14:paraId="2D5B603D" w14:textId="77777777" w:rsidTr="00AB3BF3">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53224565" w14:textId="77777777" w:rsidR="00091B58" w:rsidRPr="00C81D88" w:rsidRDefault="00091B58" w:rsidP="00AB3BF3">
            <w:pPr>
              <w:widowControl w:val="0"/>
              <w:ind w:left="57"/>
              <w:rPr>
                <w:sz w:val="22"/>
                <w:szCs w:val="22"/>
              </w:rPr>
            </w:pPr>
            <w:r w:rsidRPr="00C81D88">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64CD26EE" w14:textId="77777777" w:rsidR="00091B58" w:rsidRPr="00C81D88" w:rsidRDefault="00091B58" w:rsidP="00AB3BF3">
            <w:pPr>
              <w:widowControl w:val="0"/>
              <w:ind w:left="57"/>
              <w:rPr>
                <w:sz w:val="22"/>
                <w:szCs w:val="22"/>
              </w:rPr>
            </w:pPr>
            <w:r w:rsidRPr="00C81D88">
              <w:rPr>
                <w:sz w:val="22"/>
                <w:szCs w:val="22"/>
              </w:rPr>
              <w:t>Sumušimas</w:t>
            </w:r>
          </w:p>
        </w:tc>
      </w:tr>
    </w:tbl>
    <w:p w14:paraId="2587CD98"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a</w:t>
      </w:r>
      <w:r w:rsidRPr="00C81D88">
        <w:rPr>
          <w:rFonts w:eastAsia="SimSun"/>
          <w:sz w:val="18"/>
          <w:szCs w:val="18"/>
          <w:lang w:eastAsia="zh-CN"/>
        </w:rPr>
        <w:t xml:space="preserve"> Įskaitant sumažėjusį apetitą, ankstyvą sotumo pojūtį, padidėjusį apetitą.</w:t>
      </w:r>
    </w:p>
    <w:p w14:paraId="65E6F3FE"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b</w:t>
      </w:r>
      <w:r w:rsidRPr="00C81D88">
        <w:rPr>
          <w:rFonts w:eastAsia="SimSun"/>
          <w:sz w:val="18"/>
          <w:szCs w:val="18"/>
          <w:lang w:eastAsia="zh-CN"/>
        </w:rPr>
        <w:t xml:space="preserve"> Įskaitant kraujavimą centrinėje nervų sistemoje, galvos smegenų hematomą, kraujavimą į galvos smegenis, ekstraduralinę hematomą, intrakranialinį kraujavimą, hemoraginį insultą, povoratinklinį kraujavimą, subduralinę hematomą ir subduralinį kraujavimą.</w:t>
      </w:r>
    </w:p>
    <w:p w14:paraId="682B44D1"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c</w:t>
      </w:r>
      <w:r w:rsidRPr="00C81D88">
        <w:rPr>
          <w:rFonts w:eastAsia="SimSun"/>
          <w:sz w:val="18"/>
          <w:szCs w:val="18"/>
          <w:lang w:eastAsia="zh-CN"/>
        </w:rPr>
        <w:t xml:space="preserve"> Įskaitant padidėjusią smegenų natriurezinio peptido koncentraciją, skilvelių disfunkciją, kairiojo skilvelio disfunkciją, dešiniojo skilvelio disfunkciją, širdies nepakankamumą, ūminį širdies nepakankamumą, lėtinį širdies nepakankamumą, stazinį širdies nepakankamumą, kardiomiopatiją, stazinę kardiomiopatiją, diastolinę disfunkciją, sumažėjusią išstūmimo frakciją ir skilvelių nepakankamumą, kairiojo skilvelio nepakankamumą, dešiniojo skilvelio nepakankamumą ir skilvelių hipokinezę.</w:t>
      </w:r>
    </w:p>
    <w:p w14:paraId="5EFBF531"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d</w:t>
      </w:r>
      <w:r w:rsidRPr="00C81D88">
        <w:rPr>
          <w:rFonts w:eastAsia="SimSun"/>
          <w:sz w:val="18"/>
          <w:szCs w:val="18"/>
          <w:lang w:eastAsia="zh-CN"/>
        </w:rPr>
        <w:t xml:space="preserve"> Išskyrus kraujavimą į virškinimo traktą ir CNS; šios nepageidaujamos reakcijos nurodytos pagal organizmo sistemą atitinkamai prie virškinimo trakto sutrikimų ir nervų sistemos sutrikimų.</w:t>
      </w:r>
    </w:p>
    <w:p w14:paraId="02FA4EE4"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 xml:space="preserve">e </w:t>
      </w:r>
      <w:r w:rsidRPr="00C81D88">
        <w:rPr>
          <w:rFonts w:eastAsia="SimSun"/>
          <w:sz w:val="18"/>
          <w:szCs w:val="18"/>
          <w:lang w:eastAsia="zh-CN"/>
        </w:rPr>
        <w:t>Įskaitant vaistinių preparatų sukeltą išbėrimą, eritemą, daugiaformę eritemą, eritrozę, eksfoliacinį išbėrimą, išplitusią eritemą, lytinių organų išbėrimą, karščio išbėrimą, miliją, miliariją, pustulinę psoriazę, išbėrimą, eriteminį išbėrimą, folikulinį išbėrimą, išplitusį išbėrimą, išbėrimą dėmelėmis, makulopapuplinį išbėrimą, išbėrimą papulėmis, išbėrimą su niežuliu, išbėrimą pustulėmis, vezikulinį išbėrimą, odos eksfoliaciją, odos sudirginimą, toksinį odos išbėrimą, vezikulinę dilgėlinę ir vaskulitinį išbėrimą.</w:t>
      </w:r>
    </w:p>
    <w:p w14:paraId="57B13E7E"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 xml:space="preserve">f </w:t>
      </w:r>
      <w:r w:rsidRPr="00C81D88">
        <w:rPr>
          <w:rFonts w:eastAsia="SimSun"/>
          <w:sz w:val="18"/>
          <w:szCs w:val="18"/>
          <w:lang w:eastAsia="zh-CN"/>
        </w:rPr>
        <w:t>Po vaistinio preparato pateikimo į rinką gauta pavienių pranešimų apie Stivenso-Džonsono (</w:t>
      </w:r>
      <w:r w:rsidRPr="00C81D88">
        <w:rPr>
          <w:rFonts w:eastAsia="SimSun"/>
          <w:i/>
          <w:sz w:val="18"/>
          <w:szCs w:val="18"/>
          <w:lang w:eastAsia="zh-CN"/>
        </w:rPr>
        <w:t>Stevens-Johnson</w:t>
      </w:r>
      <w:r w:rsidRPr="00C81D88">
        <w:rPr>
          <w:rFonts w:eastAsia="SimSun"/>
          <w:sz w:val="18"/>
          <w:szCs w:val="18"/>
          <w:lang w:eastAsia="zh-CN"/>
        </w:rPr>
        <w:t>) sindromo atvejus, tačiau negalima nustatyti, ar šios gleivinės ir odos nepageidaujamos reakcijos buvo tiesiogiai susijusios su dazatinibu, ar su kartu vartotais vaistiniais preparatais.</w:t>
      </w:r>
    </w:p>
    <w:p w14:paraId="45B7546C"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g</w:t>
      </w:r>
      <w:r w:rsidRPr="00C81D88">
        <w:rPr>
          <w:rFonts w:eastAsia="SimSun"/>
          <w:sz w:val="18"/>
          <w:szCs w:val="18"/>
          <w:lang w:eastAsia="zh-CN"/>
        </w:rPr>
        <w:t xml:space="preserve"> Apie skeleto raumenų skausmą pranešta gydymo metu ar po jo nutraukimo.</w:t>
      </w:r>
    </w:p>
    <w:p w14:paraId="252E8C40"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h</w:t>
      </w:r>
      <w:r w:rsidRPr="00C81D88">
        <w:rPr>
          <w:rFonts w:eastAsia="SimSun"/>
          <w:sz w:val="18"/>
          <w:szCs w:val="18"/>
          <w:lang w:eastAsia="zh-CN"/>
        </w:rPr>
        <w:t xml:space="preserve"> Pediatrinių tyrimų metu nustatytas dažnis „dažni“.</w:t>
      </w:r>
    </w:p>
    <w:p w14:paraId="05C74500"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i</w:t>
      </w:r>
      <w:r w:rsidRPr="00C81D88">
        <w:rPr>
          <w:rFonts w:eastAsia="SimSun"/>
          <w:sz w:val="18"/>
          <w:szCs w:val="18"/>
          <w:lang w:eastAsia="zh-CN"/>
        </w:rPr>
        <w:t xml:space="preserve"> Gravitacinė edema, lokalizuota edema, periferinė edema.</w:t>
      </w:r>
    </w:p>
    <w:p w14:paraId="48AECAFF"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j</w:t>
      </w:r>
      <w:r w:rsidRPr="00C81D88">
        <w:rPr>
          <w:rFonts w:eastAsia="SimSun"/>
          <w:sz w:val="18"/>
          <w:szCs w:val="18"/>
          <w:lang w:eastAsia="zh-CN"/>
        </w:rPr>
        <w:t xml:space="preserve"> Junginės edema, akių edema, akių patinimas, akių vokų edema, veido edema, lūpų edema, geltonosios dėmės edema, burnos ertmės edema, akiduobių edema, periorbitalinė edema, veido patinimas.</w:t>
      </w:r>
    </w:p>
    <w:p w14:paraId="74AE62BD"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k</w:t>
      </w:r>
      <w:r w:rsidRPr="00C81D88">
        <w:rPr>
          <w:rFonts w:eastAsia="SimSun"/>
          <w:sz w:val="18"/>
          <w:szCs w:val="18"/>
          <w:lang w:eastAsia="zh-CN"/>
        </w:rPr>
        <w:t xml:space="preserve"> Skysčių perteklius, skysčių susilaikymas, virškinimo trakto edema, išplitusi edema, periferinis patinimas, edema, edema dėl širdies ligos, perinefrinė efuzija, edema po procedūros, vidaus organų edema.</w:t>
      </w:r>
    </w:p>
    <w:p w14:paraId="610EDF26" w14:textId="77777777" w:rsidR="00091B58" w:rsidRPr="00C81D88" w:rsidRDefault="00091B58" w:rsidP="00091B58">
      <w:pPr>
        <w:ind w:left="142" w:hanging="142"/>
        <w:rPr>
          <w:rFonts w:eastAsia="SimSun"/>
          <w:sz w:val="18"/>
          <w:szCs w:val="18"/>
          <w:lang w:eastAsia="zh-CN"/>
        </w:rPr>
      </w:pPr>
      <w:r w:rsidRPr="00C81D88">
        <w:rPr>
          <w:rFonts w:eastAsia="SimSun"/>
          <w:sz w:val="18"/>
          <w:szCs w:val="18"/>
          <w:vertAlign w:val="superscript"/>
          <w:lang w:eastAsia="zh-CN"/>
        </w:rPr>
        <w:t>l</w:t>
      </w:r>
      <w:r w:rsidRPr="00C81D88">
        <w:rPr>
          <w:rFonts w:eastAsia="SimSun"/>
          <w:sz w:val="18"/>
          <w:szCs w:val="18"/>
          <w:lang w:eastAsia="zh-CN"/>
        </w:rPr>
        <w:t xml:space="preserve"> Lytinių organų patinimas, pjūvio vietos edema, lytinių organų edema, varpos edema, varpos patinimas, kapšelio edema, odos patinimas, sėklidžių patinimas, moters išorinių lyties organų ir makšties patinimas.</w:t>
      </w:r>
    </w:p>
    <w:p w14:paraId="1293A3A0" w14:textId="77777777" w:rsidR="00091B58" w:rsidRPr="00C81D88" w:rsidRDefault="00091B58" w:rsidP="00091B58">
      <w:pPr>
        <w:ind w:left="142" w:hanging="142"/>
        <w:rPr>
          <w:rFonts w:eastAsia="SimSun"/>
          <w:sz w:val="18"/>
          <w:szCs w:val="18"/>
          <w:lang w:eastAsia="zh-CN"/>
        </w:rPr>
      </w:pPr>
      <w:r w:rsidRPr="00C81D88">
        <w:rPr>
          <w:rFonts w:eastAsia="SimSun"/>
          <w:sz w:val="18"/>
          <w:szCs w:val="18"/>
          <w:lang w:eastAsia="zh-CN"/>
        </w:rPr>
        <w:t xml:space="preserve">* Išsamesnės informacijos pateikiama skyriuje „Atrinktų nepageidaujamų reakcijų apibūdinimas“. </w:t>
      </w:r>
    </w:p>
    <w:p w14:paraId="44F8FD67" w14:textId="77777777" w:rsidR="00091B58" w:rsidRPr="00C81D88" w:rsidRDefault="00091B58" w:rsidP="00091B58">
      <w:pPr>
        <w:ind w:left="142" w:hanging="142"/>
        <w:rPr>
          <w:rFonts w:eastAsia="SimSun"/>
          <w:sz w:val="20"/>
          <w:szCs w:val="22"/>
          <w:u w:val="single"/>
          <w:lang w:eastAsia="zh-CN"/>
        </w:rPr>
      </w:pPr>
    </w:p>
    <w:p w14:paraId="1F1E2ED0" w14:textId="77777777" w:rsidR="00091B58" w:rsidRPr="00C81D88" w:rsidRDefault="00091B58" w:rsidP="00091B58">
      <w:pPr>
        <w:ind w:left="142" w:hanging="142"/>
        <w:rPr>
          <w:rFonts w:eastAsia="SimSun"/>
          <w:sz w:val="22"/>
          <w:szCs w:val="22"/>
          <w:u w:val="single"/>
          <w:lang w:eastAsia="zh-CN"/>
        </w:rPr>
      </w:pPr>
      <w:r w:rsidRPr="00C81D88">
        <w:rPr>
          <w:rFonts w:eastAsia="SimSun"/>
          <w:sz w:val="22"/>
          <w:szCs w:val="22"/>
          <w:u w:val="single"/>
          <w:lang w:eastAsia="zh-CN"/>
        </w:rPr>
        <w:t>Atrinktų nepageidaujamų reakcijų apibūdinimas</w:t>
      </w:r>
    </w:p>
    <w:p w14:paraId="63F6A598" w14:textId="77777777" w:rsidR="00091B58" w:rsidRPr="00C81D88" w:rsidRDefault="00091B58" w:rsidP="00091B58">
      <w:pPr>
        <w:rPr>
          <w:rFonts w:eastAsia="SimSun"/>
          <w:sz w:val="22"/>
          <w:szCs w:val="22"/>
          <w:lang w:eastAsia="zh-CN"/>
        </w:rPr>
      </w:pPr>
    </w:p>
    <w:p w14:paraId="083BB5BA"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Kaulų čiulpų slopinimas</w:t>
      </w:r>
    </w:p>
    <w:p w14:paraId="75B75D8F" w14:textId="77777777" w:rsidR="00091B58" w:rsidRPr="00C81D88" w:rsidRDefault="00091B58" w:rsidP="00091B58">
      <w:pPr>
        <w:rPr>
          <w:rFonts w:eastAsia="SimSun"/>
          <w:sz w:val="22"/>
          <w:szCs w:val="22"/>
          <w:lang w:eastAsia="zh-CN"/>
        </w:rPr>
      </w:pPr>
      <w:r w:rsidRPr="00C81D88">
        <w:rPr>
          <w:rFonts w:eastAsia="SimSun"/>
          <w:sz w:val="22"/>
          <w:szCs w:val="22"/>
          <w:lang w:eastAsia="zh-CN"/>
        </w:rPr>
        <w:t>Gydymas Dasatinib Norameda yra susijęs su anemija, neutropenija ir trombocitopenija.</w:t>
      </w:r>
    </w:p>
    <w:p w14:paraId="168D319C" w14:textId="77777777" w:rsidR="00091B58" w:rsidRPr="00C81D88" w:rsidRDefault="00091B58" w:rsidP="00091B58">
      <w:pPr>
        <w:rPr>
          <w:rFonts w:eastAsia="SimSun"/>
          <w:sz w:val="22"/>
          <w:szCs w:val="22"/>
          <w:lang w:eastAsia="zh-CN"/>
        </w:rPr>
      </w:pPr>
    </w:p>
    <w:p w14:paraId="41B4EE7C"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Kraujavimas</w:t>
      </w:r>
    </w:p>
    <w:p w14:paraId="552DE975"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Dazatinibo vartojantiems pacientams pasireiškė su vaistiniu preparatu susijusių kraujavimo nepageidaujamų reakcijų, kurių stiprumas svyravo nuo taškinių kraujosruvų ir </w:t>
      </w:r>
      <w:r w:rsidRPr="00053893">
        <w:rPr>
          <w:rFonts w:eastAsia="SimSun"/>
          <w:sz w:val="22"/>
        </w:rPr>
        <w:t>kraujavimo iš nosies</w:t>
      </w:r>
      <w:r w:rsidRPr="00C81D88" w:rsidDel="009E676A">
        <w:rPr>
          <w:rFonts w:eastAsia="SimSun"/>
          <w:sz w:val="22"/>
          <w:szCs w:val="22"/>
          <w:lang w:eastAsia="zh-CN"/>
        </w:rPr>
        <w:t xml:space="preserve"> </w:t>
      </w:r>
      <w:r w:rsidRPr="00C81D88">
        <w:rPr>
          <w:rFonts w:eastAsia="SimSun"/>
          <w:sz w:val="22"/>
          <w:szCs w:val="22"/>
          <w:lang w:eastAsia="zh-CN"/>
        </w:rPr>
        <w:t>iki 3 ar 4 laipsnio kraujavimo virškinimo trakte bei kraujavimo CNS (žr. 4.4 skyrių).</w:t>
      </w:r>
    </w:p>
    <w:p w14:paraId="5D62023F" w14:textId="77777777" w:rsidR="00091B58" w:rsidRPr="00C81D88" w:rsidRDefault="00091B58" w:rsidP="00091B58">
      <w:pPr>
        <w:rPr>
          <w:rFonts w:eastAsia="SimSun"/>
          <w:sz w:val="22"/>
          <w:szCs w:val="22"/>
          <w:lang w:eastAsia="zh-CN"/>
        </w:rPr>
      </w:pPr>
    </w:p>
    <w:p w14:paraId="13FD1570" w14:textId="77777777" w:rsidR="00091B58" w:rsidRPr="00C81D88" w:rsidRDefault="00091B58" w:rsidP="00091B58">
      <w:pPr>
        <w:rPr>
          <w:rFonts w:eastAsia="SimSun"/>
          <w:i/>
          <w:sz w:val="22"/>
          <w:szCs w:val="22"/>
          <w:lang w:eastAsia="zh-CN"/>
        </w:rPr>
      </w:pPr>
      <w:r w:rsidRPr="00C81D88">
        <w:rPr>
          <w:rFonts w:eastAsia="SimSun"/>
          <w:i/>
          <w:sz w:val="22"/>
          <w:szCs w:val="22"/>
          <w:lang w:eastAsia="zh-CN"/>
        </w:rPr>
        <w:t>Skysčių susilaikymas</w:t>
      </w:r>
    </w:p>
    <w:p w14:paraId="6F2C2866" w14:textId="77777777" w:rsidR="00091B58" w:rsidRPr="00C81D88" w:rsidRDefault="00091B58" w:rsidP="00091B58">
      <w:pPr>
        <w:rPr>
          <w:rFonts w:eastAsia="SimSun"/>
          <w:sz w:val="22"/>
          <w:szCs w:val="22"/>
          <w:lang w:eastAsia="zh-CN"/>
        </w:rPr>
      </w:pPr>
      <w:r w:rsidRPr="00C81D88">
        <w:rPr>
          <w:rFonts w:eastAsia="SimSun"/>
          <w:sz w:val="22"/>
          <w:szCs w:val="22"/>
          <w:lang w:eastAsia="zh-CN"/>
        </w:rPr>
        <w:t>Įvairias nepageidaujamas reakcijas (pleuros efuziją, ascitą, plaučių edemą ir perikardo efuziją su paviršine edema ar be jos) galima apibendrintai vadinti skysčių susilaikymu. Pacientų tyrimo metu per bent 60 mėnesių trukusį stebėjimo laikotarpį su dazatinibu susijusios skysčių susilaikymo nepageidaujamos reakcijos buvo pleuros efuzija (28 %), paviršinė edema (14 %), plaučių hipertenzija (5 %), išplitusi edema (4 %) ir perikardo efuzija (4 %). Stazinis širdies nepakankamumas ar širdies disfunkcija ir plaučių edema užfiksuoti &lt; 2 % pacientų.</w:t>
      </w:r>
    </w:p>
    <w:p w14:paraId="0C16D289" w14:textId="77777777" w:rsidR="00091B58" w:rsidRPr="00C81D88" w:rsidRDefault="00091B58" w:rsidP="00091B58">
      <w:pPr>
        <w:rPr>
          <w:rFonts w:eastAsia="SimSun"/>
          <w:sz w:val="22"/>
          <w:szCs w:val="22"/>
          <w:lang w:eastAsia="zh-CN"/>
        </w:rPr>
      </w:pPr>
      <w:r w:rsidRPr="00C81D88">
        <w:rPr>
          <w:rFonts w:eastAsia="SimSun"/>
          <w:sz w:val="22"/>
          <w:szCs w:val="22"/>
          <w:lang w:eastAsia="zh-CN"/>
        </w:rPr>
        <w:t>Kumuliacinis su dazatinibu susijusios bet kokio laipsnio pleuros efuzijos dažnis per 12 mėnesių buvo 10 %, per 24 mėnesius – 14 %, per 36 mėnesius – 19 %, per 48 mėnesius – 24 % ir per 60 mėnesių – 28 %. Iš viso 46 dazatinibo vartojusiems pacientams pleuros efuzija atsinaujino: 17 pacientų nustatyti 2, 6 pacientams – 3, 18 pacientų – 4</w:t>
      </w:r>
      <w:r w:rsidRPr="00C81D88">
        <w:rPr>
          <w:rFonts w:eastAsia="SimSun"/>
          <w:sz w:val="22"/>
          <w:szCs w:val="22"/>
          <w:lang w:eastAsia="zh-CN"/>
        </w:rPr>
        <w:noBreakHyphen/>
        <w:t>8 ir 5 pacientams – daugiau kaip 8 atskiri pleuros efuzijos nepageidaujamos reakcijos epizodai.</w:t>
      </w:r>
    </w:p>
    <w:p w14:paraId="62978073" w14:textId="77777777" w:rsidR="00091B58" w:rsidRPr="00C81D88" w:rsidRDefault="00091B58" w:rsidP="00091B58">
      <w:pPr>
        <w:rPr>
          <w:rFonts w:eastAsia="SimSun"/>
          <w:sz w:val="22"/>
          <w:szCs w:val="22"/>
          <w:lang w:eastAsia="zh-CN"/>
        </w:rPr>
      </w:pPr>
      <w:r w:rsidRPr="00C81D88">
        <w:rPr>
          <w:rFonts w:eastAsia="SimSun"/>
          <w:sz w:val="22"/>
          <w:szCs w:val="22"/>
          <w:lang w:eastAsia="zh-CN"/>
        </w:rPr>
        <w:t>Laikotarpio iki pirmos su dazatinibu susijusios 1 ar 2 laipsnio pleuros efuzijos pasireiškimo mediana buvo 114 savaičių (ribos – nuo 4 iki 299 savaičių). Mažiau kaip 10 % pacientų, kuriems pasireiškė su dazatinibu susijusi pleuros efuzija, ji buvo sunki (3 ar 4 laipsnio). Laikotarpio iki pirmo ≥ 3 laipsnio su dazatinibu susijusios pleuros efuzijos pasireiškimo mediana buvo 175 savaitės (ribos – nuo 114 iki 274 savaičių). Su dazatinibu susijusios bet kokio laipsnio pleuros efuzijos trukmės mediana buvo 283 dienos (maždaug 40 savaičių).</w:t>
      </w:r>
    </w:p>
    <w:p w14:paraId="69279BD5" w14:textId="77777777" w:rsidR="00091B58" w:rsidRPr="00C81D88" w:rsidRDefault="00091B58" w:rsidP="00091B58">
      <w:pPr>
        <w:rPr>
          <w:rFonts w:eastAsia="SimSun"/>
          <w:sz w:val="22"/>
          <w:szCs w:val="22"/>
          <w:lang w:eastAsia="zh-CN"/>
        </w:rPr>
      </w:pPr>
      <w:r w:rsidRPr="00C81D88">
        <w:rPr>
          <w:rFonts w:eastAsia="SimSun"/>
          <w:sz w:val="22"/>
          <w:szCs w:val="22"/>
          <w:lang w:eastAsia="zh-CN"/>
        </w:rPr>
        <w:t>Pleuros efuzija dažniausiai būdavo laikina ir buvo kontroliuojama laikinai nutraukus dazatinibo vartojimą ir skiriant diuretikų arba kitų tinkamų palaikomųjų priemonių (žr. 4.2 ir 4.4 skyrius). Iš viso su gydymu susijusi pleuros efuzija pasireiškė 73 dazatinibo vartojusiems pacientams: 45 (62 %) iš jų buvo laikinai nutrauktas gydymas, 30 (41 %) – sumažinta dozė. Be to, 34 (47 %) pacientams skirta diuretikų, 23 (32 %) – kortikosteroidų ir 20 (27 %) – ir kortikosteroidų, ir diuretikų. 9 (12 %) pacientams atlikta gydomoji torakocentezė.</w:t>
      </w:r>
    </w:p>
    <w:p w14:paraId="2F923556" w14:textId="77777777" w:rsidR="00091B58" w:rsidRPr="00C81D88" w:rsidRDefault="00091B58" w:rsidP="00091B58">
      <w:pPr>
        <w:rPr>
          <w:rFonts w:eastAsia="SimSun"/>
          <w:sz w:val="22"/>
          <w:szCs w:val="22"/>
          <w:lang w:eastAsia="zh-CN"/>
        </w:rPr>
      </w:pPr>
      <w:r w:rsidRPr="00C81D88">
        <w:rPr>
          <w:rFonts w:eastAsia="SimSun"/>
          <w:sz w:val="22"/>
          <w:szCs w:val="22"/>
          <w:lang w:eastAsia="zh-CN"/>
        </w:rPr>
        <w:t>6 % dazatinibo vartojusių pacientų gydymas buvo nutrauktas dėl su vaistiniu preparatu susijusios pleuros efuzijos. Pleuros efuzija netrikdė gydomojo atsako pasireiškimo. Nepaisant laikino gydymo nutraukimo ar sumažintos dozės, cCCyR nustatytas 96 %, MMR – 82 %, o MR4.5 – 50 % dazatinibo vartojusių pacientų, patyrusių pleuros efuziją.</w:t>
      </w:r>
    </w:p>
    <w:p w14:paraId="171500DB" w14:textId="173ECDA4" w:rsidR="00091B58" w:rsidRDefault="00091B58" w:rsidP="00091B58">
      <w:pPr>
        <w:rPr>
          <w:rFonts w:eastAsia="SimSun"/>
          <w:sz w:val="22"/>
          <w:szCs w:val="22"/>
          <w:lang w:eastAsia="zh-CN"/>
        </w:rPr>
      </w:pPr>
      <w:r w:rsidRPr="00C81D88">
        <w:rPr>
          <w:rFonts w:eastAsia="SimSun"/>
          <w:sz w:val="22"/>
          <w:szCs w:val="22"/>
          <w:lang w:eastAsia="zh-CN"/>
        </w:rPr>
        <w:t>Daugiau informacijos apie Ph+ ŪLL sergančius pacientus pateikiama 4.4 skyriuje.</w:t>
      </w:r>
    </w:p>
    <w:p w14:paraId="5F63C11A" w14:textId="23F09ECA" w:rsidR="00C03D0F" w:rsidRPr="00C81D88" w:rsidRDefault="00C03D0F" w:rsidP="00091B58">
      <w:pPr>
        <w:rPr>
          <w:rFonts w:eastAsia="SimSun"/>
          <w:sz w:val="22"/>
          <w:szCs w:val="22"/>
          <w:lang w:eastAsia="zh-CN"/>
        </w:rPr>
      </w:pPr>
      <w:r w:rsidRPr="00885E89">
        <w:rPr>
          <w:rFonts w:eastAsia="SimSun"/>
          <w:sz w:val="22"/>
          <w:szCs w:val="22"/>
          <w:lang w:eastAsia="zh-CN"/>
        </w:rPr>
        <w:t>Buvo pranešta apie chilotorakso atvejus pacientams, kuriems pasireiškė pleuros efuzija. Kai kurie chilotorakso atvejai išnyko nutraukus dazatinibo vartojimą, nutraukus ar sumažinus dozę, tačiau daugeliu atvejų taip pat prireikė papildomo gydymo.</w:t>
      </w:r>
    </w:p>
    <w:p w14:paraId="1BCE9885" w14:textId="77777777" w:rsidR="00091B58" w:rsidRPr="00C81D88" w:rsidRDefault="00091B58" w:rsidP="00091B58">
      <w:pPr>
        <w:rPr>
          <w:rFonts w:eastAsia="SimSun"/>
          <w:sz w:val="22"/>
          <w:szCs w:val="22"/>
          <w:lang w:eastAsia="zh-CN"/>
        </w:rPr>
      </w:pPr>
    </w:p>
    <w:p w14:paraId="5FBDDA51"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Plaučių arterijos hipertenzija (PAH)</w:t>
      </w:r>
    </w:p>
    <w:p w14:paraId="116D3184"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Gauta pranešimų apie vartojant dazatinibą pasireiškusią PAH (prekapiliarinę plaučių arterijos hipertenziją, patvirtintą kateterizuojant dešinę širdies pusę). Tokiais atvejais apie PAH pranešta pradėjus vartoti dazatinibą ir taip pat jį vartojus ilgiau kaip metus. Pacientai, kuriems gydymo dazatinibu metu pasireiškė PAH, dažnais atvejais kartu vartojo ir kitų vaistinių preparatų arba sirgo ne tik vėžiu, bet ir kitomis ligomis. Pacientų, kuriems pasireiškė PAH, hemodinamikos ir klinikiniai parametrai pagerėjo nutraukus dazatinibo vartojimą. </w:t>
      </w:r>
    </w:p>
    <w:p w14:paraId="2511517F" w14:textId="77777777" w:rsidR="00091B58" w:rsidRPr="00C81D88" w:rsidRDefault="00091B58" w:rsidP="00091B58">
      <w:pPr>
        <w:rPr>
          <w:rFonts w:eastAsia="SimSun"/>
          <w:sz w:val="22"/>
          <w:szCs w:val="22"/>
          <w:lang w:eastAsia="zh-CN"/>
        </w:rPr>
      </w:pPr>
    </w:p>
    <w:p w14:paraId="247045FD"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QT intervalo pailgėjimas</w:t>
      </w:r>
    </w:p>
    <w:p w14:paraId="0239AE04"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Penkių II fazės klinikinių tyrimų, kuriuose dalyvavo į ankstesnį gydymą imatinibu nereagavę ar jo netoleravę pacientai, metu ir prieš gydymą, ir kartotinai iš anksto numatytu laiku jo metu buvo registruojama ir centralizuotai vertinama 865 pacientų, vartojusių po 70 mg dazatinibo 2 kartus per parą, EKG. QT intervalas buvo koreguojamas pagal širdies susitraukimo dažnį </w:t>
      </w:r>
      <w:r w:rsidRPr="00C81D88">
        <w:rPr>
          <w:rFonts w:eastAsia="SimSun"/>
          <w:i/>
          <w:sz w:val="22"/>
          <w:szCs w:val="22"/>
          <w:lang w:eastAsia="zh-CN"/>
        </w:rPr>
        <w:t>Fridericia</w:t>
      </w:r>
      <w:r w:rsidRPr="00C81D88">
        <w:rPr>
          <w:rFonts w:eastAsia="SimSun"/>
          <w:sz w:val="22"/>
          <w:szCs w:val="22"/>
          <w:lang w:eastAsia="zh-CN"/>
        </w:rPr>
        <w:t xml:space="preserve"> metodu. 8 dieną visais laiko taškais po dozės pavartojimo vidutinis QTcF intervalo pokytis nuo pradinio rodmens buvo 4</w:t>
      </w:r>
      <w:r w:rsidRPr="00C81D88">
        <w:rPr>
          <w:rFonts w:eastAsia="SimSun"/>
          <w:sz w:val="22"/>
          <w:szCs w:val="22"/>
          <w:lang w:eastAsia="zh-CN"/>
        </w:rPr>
        <w:noBreakHyphen/>
        <w:t xml:space="preserve">6 milisekundės (viršutinė 95 % pasikliautinojo intervalo riba buvo &lt; 7 milisekundės). 15 (1 %) iš 2 182 pacientų, kurie nereagavo į ankstesnį gydymą imatinibu arba jo netoleravo ir kurie klinikinių tyrimų metu vartojo dazatinibą, kaip nepageidaujama reakcija </w:t>
      </w:r>
      <w:r w:rsidRPr="00C81D88">
        <w:rPr>
          <w:rFonts w:eastAsia="SimSun"/>
          <w:sz w:val="22"/>
          <w:szCs w:val="22"/>
          <w:lang w:eastAsia="zh-CN"/>
        </w:rPr>
        <w:lastRenderedPageBreak/>
        <w:t>nustatytas QTc intervalo pailgėjimas. Dvidešimt vienam iš jų (1 %) QTcF buvo &gt; 500 milisekundžių (žr. 4.4 skyrių).</w:t>
      </w:r>
    </w:p>
    <w:p w14:paraId="79D57E48" w14:textId="77777777" w:rsidR="00091B58" w:rsidRPr="00C81D88" w:rsidRDefault="00091B58" w:rsidP="00091B58">
      <w:pPr>
        <w:rPr>
          <w:rFonts w:eastAsia="SimSun"/>
          <w:sz w:val="22"/>
          <w:szCs w:val="22"/>
          <w:lang w:eastAsia="zh-CN"/>
        </w:rPr>
      </w:pPr>
    </w:p>
    <w:p w14:paraId="0E5A7E28"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Širdies nepageidaujamos reakcijos</w:t>
      </w:r>
    </w:p>
    <w:p w14:paraId="40A68199" w14:textId="77777777" w:rsidR="00091B58" w:rsidRPr="00C81D88" w:rsidRDefault="00091B58" w:rsidP="00091B58">
      <w:pPr>
        <w:rPr>
          <w:rFonts w:eastAsia="SimSun"/>
          <w:sz w:val="22"/>
          <w:szCs w:val="22"/>
          <w:lang w:eastAsia="zh-CN"/>
        </w:rPr>
      </w:pPr>
      <w:r w:rsidRPr="00C81D88">
        <w:rPr>
          <w:rFonts w:eastAsia="SimSun"/>
          <w:sz w:val="22"/>
          <w:szCs w:val="22"/>
          <w:lang w:eastAsia="zh-CN"/>
        </w:rPr>
        <w:t>Jei yra širdies ligų rizikos veiksnių arba pacientas jau yra sirgęs širdies liga, būtina atidžiai stebėti, ar nepasireiškė sutrikusiai širdies funkcijai būdingų klinikinių požymių ar simptomų, pacientą reikia tinkamai ištirti ir gydyti (žr. 4.4 skyrių).</w:t>
      </w:r>
    </w:p>
    <w:p w14:paraId="4EC6A5D8" w14:textId="77777777" w:rsidR="00091B58" w:rsidRPr="00C81D88" w:rsidRDefault="00091B58" w:rsidP="00091B58">
      <w:pPr>
        <w:rPr>
          <w:rFonts w:eastAsia="SimSun"/>
          <w:sz w:val="22"/>
          <w:szCs w:val="22"/>
          <w:lang w:eastAsia="zh-CN"/>
        </w:rPr>
      </w:pPr>
    </w:p>
    <w:p w14:paraId="35D53273"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Hepatito B reaktyvacija</w:t>
      </w:r>
    </w:p>
    <w:p w14:paraId="4EFD3D98" w14:textId="77777777" w:rsidR="00091B58" w:rsidRPr="00C81D88" w:rsidRDefault="00091B58" w:rsidP="00091B58">
      <w:pPr>
        <w:rPr>
          <w:rFonts w:eastAsia="SimSun"/>
          <w:sz w:val="22"/>
          <w:szCs w:val="22"/>
          <w:lang w:eastAsia="zh-CN"/>
        </w:rPr>
      </w:pPr>
      <w:r w:rsidRPr="00C81D88">
        <w:rPr>
          <w:rFonts w:eastAsia="SimSun"/>
          <w:sz w:val="22"/>
          <w:szCs w:val="22"/>
          <w:lang w:eastAsia="zh-CN"/>
        </w:rPr>
        <w:t>Pranešta apie hepatito B reaktyvacijos atvejus, susijusius su BCR-ABL tirozinkinazės inhibitorių (TKI) vartojimu. Kai kuriais atvejais tai sukėlė ūminį kepenų nepakankamumą arba žaibinį hepatitą, dėl kurio pacientui teko persodinti kepenis arba pacientas mirė (žr. 4.4 skyrių).</w:t>
      </w:r>
    </w:p>
    <w:p w14:paraId="6430C58F" w14:textId="77777777" w:rsidR="00091B58" w:rsidRPr="00C81D88" w:rsidRDefault="00091B58" w:rsidP="00091B58">
      <w:pPr>
        <w:rPr>
          <w:rFonts w:eastAsia="SimSun"/>
          <w:sz w:val="22"/>
          <w:szCs w:val="22"/>
          <w:lang w:eastAsia="zh-CN"/>
        </w:rPr>
      </w:pPr>
    </w:p>
    <w:p w14:paraId="3E17FAE2" w14:textId="77777777" w:rsidR="00091B58" w:rsidRPr="00C81D88" w:rsidRDefault="00091B58" w:rsidP="00091B58">
      <w:pPr>
        <w:rPr>
          <w:rFonts w:eastAsia="SimSun"/>
          <w:sz w:val="22"/>
          <w:szCs w:val="22"/>
          <w:lang w:eastAsia="zh-CN"/>
        </w:rPr>
      </w:pPr>
      <w:r w:rsidRPr="00C81D88">
        <w:rPr>
          <w:rFonts w:eastAsia="SimSun"/>
          <w:sz w:val="22"/>
          <w:szCs w:val="22"/>
          <w:lang w:eastAsia="zh-CN"/>
        </w:rPr>
        <w:t>III fazės dozės optimizavimo tyrimo, kuriame dalyvavo Ph+ ŪLL sergantys pacientai, metu gydymo trukmės mediana buvo 3 mėnesiai. 4 lentelėje nurodytos atrinktos nepageidaujamos reakcijos, apie kurias gauta pranešimų iš rekomenduojamą 140 mg dozę kartą per parą dozę vartojusių pacientų. Be to, tirtas 70 mg dozės vartojimas du kartus per parą. 140 mg dozės, vartojamos kartą per parą, veiksmingumo pobūdis buvo panašus kaip 70 mg dozės, vartojamos kartą per parą, tačiau saugumo pobūdis – palankesnis.</w:t>
      </w:r>
    </w:p>
    <w:p w14:paraId="39007436" w14:textId="77777777" w:rsidR="00091B58" w:rsidRPr="00C81D88" w:rsidRDefault="00091B58" w:rsidP="00091B58">
      <w:pPr>
        <w:rPr>
          <w:rFonts w:eastAsia="SimSun"/>
          <w:sz w:val="22"/>
          <w:szCs w:val="22"/>
          <w:lang w:eastAsia="zh-CN"/>
        </w:rPr>
      </w:pPr>
    </w:p>
    <w:p w14:paraId="617719BA" w14:textId="77777777" w:rsidR="00091B58" w:rsidRPr="00C81D88" w:rsidRDefault="00091B58" w:rsidP="00091B58">
      <w:pPr>
        <w:rPr>
          <w:rFonts w:eastAsia="SimSun"/>
          <w:sz w:val="22"/>
          <w:szCs w:val="22"/>
          <w:lang w:eastAsia="zh-CN"/>
        </w:rPr>
      </w:pPr>
      <w:r w:rsidRPr="00C81D88">
        <w:rPr>
          <w:rFonts w:eastAsia="SimSun"/>
          <w:b/>
          <w:bCs/>
          <w:sz w:val="22"/>
          <w:szCs w:val="22"/>
          <w:lang w:eastAsia="zh-CN"/>
        </w:rPr>
        <w:t>4 lentelė. Atrinktos nepageidaujamos reakcijos, apie kurias gauta pranešimų III</w:t>
      </w:r>
      <w:r w:rsidRPr="00C81D88">
        <w:rPr>
          <w:rFonts w:eastAsia="SimSun"/>
          <w:b/>
          <w:bCs/>
          <w:sz w:val="22"/>
          <w:szCs w:val="22"/>
        </w:rPr>
        <w:t xml:space="preserve"> </w:t>
      </w:r>
      <w:r w:rsidRPr="00C81D88">
        <w:rPr>
          <w:rFonts w:eastAsia="SimSun"/>
          <w:b/>
          <w:bCs/>
          <w:sz w:val="22"/>
          <w:szCs w:val="22"/>
          <w:lang w:eastAsia="zh-CN"/>
        </w:rPr>
        <w:t>fazės dozės optimizavimo tyrimo metu: Ph+ ŪLL</w:t>
      </w:r>
      <w:r w:rsidRPr="00C81D88">
        <w:rPr>
          <w:rFonts w:eastAsia="SimSun"/>
          <w:b/>
          <w:bCs/>
          <w:sz w:val="22"/>
          <w:szCs w:val="22"/>
          <w:vertAlign w:val="superscript"/>
          <w:lang w:eastAsia="zh-CN"/>
        </w:rPr>
        <w:t>a</w:t>
      </w:r>
    </w:p>
    <w:p w14:paraId="3122D3CE" w14:textId="77777777" w:rsidR="00091B58" w:rsidRPr="00C81D88" w:rsidRDefault="00091B58" w:rsidP="00091B58">
      <w:pPr>
        <w:rPr>
          <w:rFonts w:eastAsia="SimSun"/>
          <w:sz w:val="22"/>
          <w:szCs w:val="22"/>
          <w:lang w:eastAsia="zh-CN"/>
        </w:rPr>
      </w:pP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822"/>
        <w:gridCol w:w="1026"/>
        <w:gridCol w:w="2484"/>
      </w:tblGrid>
      <w:tr w:rsidR="00091B58" w:rsidRPr="00C81D88" w14:paraId="75A7A3FC" w14:textId="77777777" w:rsidTr="00AB3BF3">
        <w:tc>
          <w:tcPr>
            <w:tcW w:w="3791" w:type="dxa"/>
            <w:tcBorders>
              <w:top w:val="single" w:sz="4" w:space="0" w:color="auto"/>
              <w:left w:val="nil"/>
              <w:bottom w:val="nil"/>
              <w:right w:val="nil"/>
            </w:tcBorders>
            <w:shd w:val="clear" w:color="auto" w:fill="auto"/>
          </w:tcPr>
          <w:p w14:paraId="20245A82" w14:textId="77777777" w:rsidR="00091B58" w:rsidRPr="00C81D88" w:rsidRDefault="00091B58" w:rsidP="00AB3BF3">
            <w:pPr>
              <w:widowControl w:val="0"/>
              <w:tabs>
                <w:tab w:val="left" w:pos="1340"/>
              </w:tabs>
              <w:rPr>
                <w:rFonts w:eastAsia="Calibri"/>
                <w:b/>
                <w:bCs/>
                <w:sz w:val="22"/>
                <w:szCs w:val="22"/>
              </w:rPr>
            </w:pPr>
          </w:p>
        </w:tc>
        <w:tc>
          <w:tcPr>
            <w:tcW w:w="5332" w:type="dxa"/>
            <w:gridSpan w:val="3"/>
            <w:tcBorders>
              <w:left w:val="nil"/>
              <w:bottom w:val="nil"/>
              <w:right w:val="nil"/>
            </w:tcBorders>
            <w:shd w:val="clear" w:color="auto" w:fill="auto"/>
          </w:tcPr>
          <w:p w14:paraId="2DB0EA72" w14:textId="77777777" w:rsidR="00091B58" w:rsidRPr="00C81D88" w:rsidRDefault="00091B58" w:rsidP="00AB3BF3">
            <w:pPr>
              <w:widowControl w:val="0"/>
              <w:tabs>
                <w:tab w:val="left" w:pos="1340"/>
              </w:tabs>
              <w:jc w:val="center"/>
              <w:rPr>
                <w:rFonts w:eastAsia="Calibri"/>
                <w:b/>
                <w:bCs/>
                <w:sz w:val="22"/>
                <w:szCs w:val="22"/>
              </w:rPr>
            </w:pPr>
            <w:r w:rsidRPr="00C81D88">
              <w:rPr>
                <w:rFonts w:eastAsia="Calibri"/>
                <w:b/>
                <w:bCs/>
                <w:sz w:val="22"/>
                <w:szCs w:val="22"/>
              </w:rPr>
              <w:t xml:space="preserve">140 mg kartą per parą </w:t>
            </w:r>
          </w:p>
          <w:p w14:paraId="771EDA3F" w14:textId="77777777" w:rsidR="00091B58" w:rsidRPr="00C81D88" w:rsidRDefault="00091B58" w:rsidP="00AB3BF3">
            <w:pPr>
              <w:widowControl w:val="0"/>
              <w:tabs>
                <w:tab w:val="left" w:pos="1340"/>
              </w:tabs>
              <w:jc w:val="center"/>
              <w:rPr>
                <w:rFonts w:eastAsia="Calibri"/>
                <w:b/>
                <w:bCs/>
                <w:sz w:val="22"/>
                <w:szCs w:val="22"/>
              </w:rPr>
            </w:pPr>
            <w:r w:rsidRPr="00C81D88">
              <w:rPr>
                <w:rFonts w:eastAsia="Calibri"/>
                <w:b/>
                <w:bCs/>
                <w:sz w:val="22"/>
                <w:szCs w:val="22"/>
              </w:rPr>
              <w:t>n=304</w:t>
            </w:r>
          </w:p>
        </w:tc>
      </w:tr>
      <w:tr w:rsidR="00091B58" w:rsidRPr="00C81D88" w14:paraId="04AD1FC0" w14:textId="77777777" w:rsidTr="00AB3BF3">
        <w:tc>
          <w:tcPr>
            <w:tcW w:w="3791" w:type="dxa"/>
            <w:tcBorders>
              <w:top w:val="nil"/>
              <w:left w:val="nil"/>
              <w:bottom w:val="nil"/>
              <w:right w:val="nil"/>
            </w:tcBorders>
            <w:shd w:val="clear" w:color="auto" w:fill="auto"/>
          </w:tcPr>
          <w:p w14:paraId="3B4AF98D" w14:textId="77777777" w:rsidR="00091B58" w:rsidRPr="00C81D88" w:rsidRDefault="00091B58" w:rsidP="00AB3BF3">
            <w:pPr>
              <w:widowControl w:val="0"/>
              <w:tabs>
                <w:tab w:val="left" w:pos="1340"/>
              </w:tabs>
              <w:rPr>
                <w:rFonts w:eastAsia="Calibri"/>
                <w:b/>
                <w:bCs/>
                <w:sz w:val="22"/>
                <w:szCs w:val="22"/>
              </w:rPr>
            </w:pPr>
          </w:p>
        </w:tc>
        <w:tc>
          <w:tcPr>
            <w:tcW w:w="1822" w:type="dxa"/>
            <w:tcBorders>
              <w:top w:val="nil"/>
              <w:left w:val="nil"/>
              <w:bottom w:val="nil"/>
              <w:right w:val="nil"/>
            </w:tcBorders>
            <w:shd w:val="clear" w:color="auto" w:fill="auto"/>
          </w:tcPr>
          <w:p w14:paraId="46546B91" w14:textId="77777777" w:rsidR="00091B58" w:rsidRPr="00C81D88" w:rsidRDefault="00091B58" w:rsidP="00AB3BF3">
            <w:pPr>
              <w:widowControl w:val="0"/>
              <w:tabs>
                <w:tab w:val="left" w:pos="1340"/>
              </w:tabs>
              <w:jc w:val="center"/>
              <w:rPr>
                <w:rFonts w:eastAsia="Calibri"/>
                <w:b/>
                <w:bCs/>
                <w:sz w:val="22"/>
                <w:szCs w:val="22"/>
              </w:rPr>
            </w:pPr>
            <w:r w:rsidRPr="00C81D88">
              <w:rPr>
                <w:rFonts w:eastAsia="Calibri"/>
                <w:b/>
                <w:bCs/>
                <w:sz w:val="22"/>
                <w:szCs w:val="22"/>
              </w:rPr>
              <w:t>Bet kokio laipsnio</w:t>
            </w:r>
          </w:p>
        </w:tc>
        <w:tc>
          <w:tcPr>
            <w:tcW w:w="3510" w:type="dxa"/>
            <w:gridSpan w:val="2"/>
            <w:tcBorders>
              <w:top w:val="nil"/>
              <w:left w:val="nil"/>
              <w:bottom w:val="nil"/>
              <w:right w:val="nil"/>
            </w:tcBorders>
            <w:shd w:val="clear" w:color="auto" w:fill="auto"/>
          </w:tcPr>
          <w:p w14:paraId="2FAF6F3F" w14:textId="77777777" w:rsidR="00091B58" w:rsidRPr="00C81D88" w:rsidRDefault="00091B58" w:rsidP="00AB3BF3">
            <w:pPr>
              <w:widowControl w:val="0"/>
              <w:tabs>
                <w:tab w:val="left" w:pos="1340"/>
              </w:tabs>
              <w:jc w:val="center"/>
              <w:rPr>
                <w:rFonts w:eastAsia="Calibri"/>
                <w:b/>
                <w:bCs/>
                <w:sz w:val="22"/>
                <w:szCs w:val="22"/>
              </w:rPr>
            </w:pPr>
            <w:r w:rsidRPr="00C81D88">
              <w:rPr>
                <w:rFonts w:eastAsia="Calibri"/>
                <w:b/>
                <w:bCs/>
                <w:sz w:val="22"/>
                <w:szCs w:val="22"/>
              </w:rPr>
              <w:t>3-4</w:t>
            </w:r>
          </w:p>
          <w:p w14:paraId="784B87FE" w14:textId="77777777" w:rsidR="00091B58" w:rsidRPr="00C81D88" w:rsidRDefault="00091B58" w:rsidP="00AB3BF3">
            <w:pPr>
              <w:widowControl w:val="0"/>
              <w:tabs>
                <w:tab w:val="left" w:pos="1340"/>
              </w:tabs>
              <w:jc w:val="center"/>
              <w:rPr>
                <w:rFonts w:eastAsia="Calibri"/>
                <w:b/>
                <w:bCs/>
                <w:sz w:val="22"/>
                <w:szCs w:val="22"/>
              </w:rPr>
            </w:pPr>
            <w:r w:rsidRPr="00C81D88">
              <w:rPr>
                <w:rFonts w:eastAsia="Calibri"/>
                <w:b/>
                <w:bCs/>
                <w:sz w:val="22"/>
                <w:szCs w:val="22"/>
              </w:rPr>
              <w:t>laipsnio</w:t>
            </w:r>
          </w:p>
        </w:tc>
      </w:tr>
      <w:tr w:rsidR="00091B58" w:rsidRPr="00C81D88" w14:paraId="4491F08B" w14:textId="77777777" w:rsidTr="00AB3BF3">
        <w:tc>
          <w:tcPr>
            <w:tcW w:w="3791" w:type="dxa"/>
            <w:tcBorders>
              <w:top w:val="nil"/>
              <w:left w:val="nil"/>
              <w:bottom w:val="single" w:sz="4" w:space="0" w:color="auto"/>
              <w:right w:val="nil"/>
            </w:tcBorders>
            <w:shd w:val="clear" w:color="auto" w:fill="auto"/>
          </w:tcPr>
          <w:p w14:paraId="00A7C1A0" w14:textId="77777777" w:rsidR="00091B58" w:rsidRPr="00C81D88" w:rsidRDefault="00091B58" w:rsidP="00AB3BF3">
            <w:pPr>
              <w:widowControl w:val="0"/>
              <w:tabs>
                <w:tab w:val="left" w:pos="1340"/>
              </w:tabs>
              <w:rPr>
                <w:rFonts w:eastAsia="Calibri"/>
                <w:b/>
                <w:bCs/>
                <w:sz w:val="22"/>
                <w:szCs w:val="22"/>
              </w:rPr>
            </w:pPr>
            <w:r w:rsidRPr="00C81D88">
              <w:rPr>
                <w:rFonts w:eastAsia="Calibri"/>
                <w:b/>
                <w:bCs/>
                <w:sz w:val="22"/>
                <w:szCs w:val="22"/>
              </w:rPr>
              <w:t>Tinkamiausias terminas</w:t>
            </w:r>
          </w:p>
        </w:tc>
        <w:tc>
          <w:tcPr>
            <w:tcW w:w="5332" w:type="dxa"/>
            <w:gridSpan w:val="3"/>
            <w:tcBorders>
              <w:top w:val="nil"/>
              <w:left w:val="nil"/>
              <w:bottom w:val="single" w:sz="4" w:space="0" w:color="auto"/>
              <w:right w:val="nil"/>
            </w:tcBorders>
            <w:shd w:val="clear" w:color="auto" w:fill="auto"/>
          </w:tcPr>
          <w:p w14:paraId="3EBBC56E" w14:textId="77777777" w:rsidR="00091B58" w:rsidRPr="00C81D88" w:rsidRDefault="00091B58" w:rsidP="00AB3BF3">
            <w:pPr>
              <w:widowControl w:val="0"/>
              <w:ind w:left="57"/>
              <w:jc w:val="center"/>
              <w:rPr>
                <w:rFonts w:eastAsia="Calibri"/>
                <w:b/>
                <w:bCs/>
                <w:sz w:val="22"/>
                <w:szCs w:val="22"/>
              </w:rPr>
            </w:pPr>
            <w:r w:rsidRPr="00C81D88">
              <w:rPr>
                <w:rFonts w:eastAsia="Calibri"/>
                <w:b/>
                <w:bCs/>
                <w:sz w:val="22"/>
                <w:szCs w:val="22"/>
              </w:rPr>
              <w:t xml:space="preserve">Pacientų dalis ( %) </w:t>
            </w:r>
          </w:p>
        </w:tc>
      </w:tr>
      <w:tr w:rsidR="00091B58" w:rsidRPr="00C81D88" w14:paraId="1DB7840E" w14:textId="77777777" w:rsidTr="00AB3BF3">
        <w:tc>
          <w:tcPr>
            <w:tcW w:w="3791" w:type="dxa"/>
            <w:tcBorders>
              <w:top w:val="single" w:sz="4" w:space="0" w:color="auto"/>
              <w:left w:val="nil"/>
              <w:bottom w:val="nil"/>
              <w:right w:val="nil"/>
            </w:tcBorders>
            <w:shd w:val="clear" w:color="auto" w:fill="auto"/>
          </w:tcPr>
          <w:p w14:paraId="2DC5D2CC" w14:textId="77777777" w:rsidR="00091B58" w:rsidRPr="00C81D88" w:rsidRDefault="00091B58" w:rsidP="00AB3BF3">
            <w:pPr>
              <w:widowControl w:val="0"/>
              <w:tabs>
                <w:tab w:val="left" w:pos="1340"/>
              </w:tabs>
              <w:rPr>
                <w:rFonts w:eastAsia="Calibri"/>
                <w:b/>
                <w:bCs/>
                <w:sz w:val="22"/>
                <w:szCs w:val="22"/>
              </w:rPr>
            </w:pPr>
            <w:r w:rsidRPr="00C81D88">
              <w:rPr>
                <w:rFonts w:eastAsia="Calibri"/>
                <w:b/>
                <w:bCs/>
                <w:sz w:val="22"/>
                <w:szCs w:val="22"/>
              </w:rPr>
              <w:t>Viduriavimas</w:t>
            </w:r>
          </w:p>
        </w:tc>
        <w:tc>
          <w:tcPr>
            <w:tcW w:w="2848" w:type="dxa"/>
            <w:gridSpan w:val="2"/>
            <w:tcBorders>
              <w:top w:val="single" w:sz="4" w:space="0" w:color="auto"/>
              <w:left w:val="nil"/>
              <w:bottom w:val="nil"/>
              <w:right w:val="nil"/>
            </w:tcBorders>
            <w:shd w:val="clear" w:color="auto" w:fill="auto"/>
          </w:tcPr>
          <w:p w14:paraId="1934AED5"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28</w:t>
            </w:r>
          </w:p>
        </w:tc>
        <w:tc>
          <w:tcPr>
            <w:tcW w:w="2484" w:type="dxa"/>
            <w:tcBorders>
              <w:top w:val="single" w:sz="4" w:space="0" w:color="auto"/>
              <w:left w:val="nil"/>
              <w:bottom w:val="nil"/>
              <w:right w:val="nil"/>
            </w:tcBorders>
            <w:shd w:val="clear" w:color="auto" w:fill="auto"/>
          </w:tcPr>
          <w:p w14:paraId="1523E93D"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3</w:t>
            </w:r>
          </w:p>
        </w:tc>
      </w:tr>
      <w:tr w:rsidR="00091B58" w:rsidRPr="00C81D88" w14:paraId="7459EE60" w14:textId="77777777" w:rsidTr="00AB3BF3">
        <w:tc>
          <w:tcPr>
            <w:tcW w:w="3791" w:type="dxa"/>
            <w:tcBorders>
              <w:top w:val="nil"/>
              <w:left w:val="nil"/>
              <w:bottom w:val="nil"/>
              <w:right w:val="nil"/>
            </w:tcBorders>
            <w:shd w:val="clear" w:color="auto" w:fill="auto"/>
          </w:tcPr>
          <w:p w14:paraId="2451DE16" w14:textId="77777777" w:rsidR="00091B58" w:rsidRPr="00C81D88" w:rsidRDefault="00091B58" w:rsidP="00AB3BF3">
            <w:pPr>
              <w:widowControl w:val="0"/>
              <w:tabs>
                <w:tab w:val="left" w:pos="1340"/>
              </w:tabs>
              <w:rPr>
                <w:rFonts w:eastAsia="Calibri"/>
                <w:b/>
                <w:bCs/>
                <w:sz w:val="22"/>
                <w:szCs w:val="22"/>
              </w:rPr>
            </w:pPr>
            <w:r w:rsidRPr="00C81D88">
              <w:rPr>
                <w:rFonts w:eastAsia="Calibri"/>
                <w:b/>
                <w:bCs/>
                <w:sz w:val="22"/>
                <w:szCs w:val="22"/>
              </w:rPr>
              <w:t>Skysčio susilaikymas</w:t>
            </w:r>
          </w:p>
        </w:tc>
        <w:tc>
          <w:tcPr>
            <w:tcW w:w="2848" w:type="dxa"/>
            <w:gridSpan w:val="2"/>
            <w:tcBorders>
              <w:top w:val="nil"/>
              <w:left w:val="nil"/>
              <w:bottom w:val="nil"/>
              <w:right w:val="nil"/>
            </w:tcBorders>
            <w:shd w:val="clear" w:color="auto" w:fill="auto"/>
          </w:tcPr>
          <w:p w14:paraId="73C1B307"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33</w:t>
            </w:r>
          </w:p>
        </w:tc>
        <w:tc>
          <w:tcPr>
            <w:tcW w:w="2484" w:type="dxa"/>
            <w:tcBorders>
              <w:top w:val="nil"/>
              <w:left w:val="nil"/>
              <w:bottom w:val="nil"/>
              <w:right w:val="nil"/>
            </w:tcBorders>
            <w:shd w:val="clear" w:color="auto" w:fill="auto"/>
          </w:tcPr>
          <w:p w14:paraId="68FE06DB"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7</w:t>
            </w:r>
          </w:p>
        </w:tc>
      </w:tr>
      <w:tr w:rsidR="00091B58" w:rsidRPr="00C81D88" w14:paraId="505F3812" w14:textId="77777777" w:rsidTr="00AB3BF3">
        <w:tc>
          <w:tcPr>
            <w:tcW w:w="3791" w:type="dxa"/>
            <w:tcBorders>
              <w:top w:val="nil"/>
              <w:left w:val="nil"/>
              <w:bottom w:val="nil"/>
              <w:right w:val="nil"/>
            </w:tcBorders>
            <w:shd w:val="clear" w:color="auto" w:fill="auto"/>
          </w:tcPr>
          <w:p w14:paraId="391ACB84"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Paviršinė edema</w:t>
            </w:r>
          </w:p>
        </w:tc>
        <w:tc>
          <w:tcPr>
            <w:tcW w:w="2848" w:type="dxa"/>
            <w:gridSpan w:val="2"/>
            <w:tcBorders>
              <w:top w:val="nil"/>
              <w:left w:val="nil"/>
              <w:bottom w:val="nil"/>
              <w:right w:val="nil"/>
            </w:tcBorders>
            <w:shd w:val="clear" w:color="auto" w:fill="auto"/>
          </w:tcPr>
          <w:p w14:paraId="53FE5D7F"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15</w:t>
            </w:r>
          </w:p>
        </w:tc>
        <w:tc>
          <w:tcPr>
            <w:tcW w:w="2484" w:type="dxa"/>
            <w:tcBorders>
              <w:top w:val="nil"/>
              <w:left w:val="nil"/>
              <w:bottom w:val="nil"/>
              <w:right w:val="nil"/>
            </w:tcBorders>
            <w:shd w:val="clear" w:color="auto" w:fill="auto"/>
          </w:tcPr>
          <w:p w14:paraId="6055A31B"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&lt;1</w:t>
            </w:r>
          </w:p>
        </w:tc>
      </w:tr>
      <w:tr w:rsidR="00091B58" w:rsidRPr="00C81D88" w14:paraId="74384537" w14:textId="77777777" w:rsidTr="00AB3BF3">
        <w:tc>
          <w:tcPr>
            <w:tcW w:w="3791" w:type="dxa"/>
            <w:tcBorders>
              <w:top w:val="nil"/>
              <w:left w:val="nil"/>
              <w:bottom w:val="nil"/>
              <w:right w:val="nil"/>
            </w:tcBorders>
            <w:shd w:val="clear" w:color="auto" w:fill="auto"/>
          </w:tcPr>
          <w:p w14:paraId="6FF6EEA4"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Pleuros efuzija</w:t>
            </w:r>
          </w:p>
        </w:tc>
        <w:tc>
          <w:tcPr>
            <w:tcW w:w="2848" w:type="dxa"/>
            <w:gridSpan w:val="2"/>
            <w:tcBorders>
              <w:top w:val="nil"/>
              <w:left w:val="nil"/>
              <w:bottom w:val="nil"/>
              <w:right w:val="nil"/>
            </w:tcBorders>
            <w:shd w:val="clear" w:color="auto" w:fill="auto"/>
          </w:tcPr>
          <w:p w14:paraId="6F2DFD31"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20</w:t>
            </w:r>
          </w:p>
        </w:tc>
        <w:tc>
          <w:tcPr>
            <w:tcW w:w="2484" w:type="dxa"/>
            <w:tcBorders>
              <w:top w:val="nil"/>
              <w:left w:val="nil"/>
              <w:bottom w:val="nil"/>
              <w:right w:val="nil"/>
            </w:tcBorders>
            <w:shd w:val="clear" w:color="auto" w:fill="auto"/>
          </w:tcPr>
          <w:p w14:paraId="52572521"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6</w:t>
            </w:r>
          </w:p>
        </w:tc>
      </w:tr>
      <w:tr w:rsidR="00091B58" w:rsidRPr="00C81D88" w14:paraId="4A2250E2" w14:textId="77777777" w:rsidTr="00AB3BF3">
        <w:tc>
          <w:tcPr>
            <w:tcW w:w="3791" w:type="dxa"/>
            <w:tcBorders>
              <w:top w:val="nil"/>
              <w:left w:val="nil"/>
              <w:bottom w:val="nil"/>
              <w:right w:val="nil"/>
            </w:tcBorders>
            <w:shd w:val="clear" w:color="auto" w:fill="auto"/>
          </w:tcPr>
          <w:p w14:paraId="2DC45434"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Išplitusi edema</w:t>
            </w:r>
          </w:p>
        </w:tc>
        <w:tc>
          <w:tcPr>
            <w:tcW w:w="2848" w:type="dxa"/>
            <w:gridSpan w:val="2"/>
            <w:tcBorders>
              <w:top w:val="nil"/>
              <w:left w:val="nil"/>
              <w:bottom w:val="nil"/>
              <w:right w:val="nil"/>
            </w:tcBorders>
            <w:shd w:val="clear" w:color="auto" w:fill="auto"/>
          </w:tcPr>
          <w:p w14:paraId="5FDF273B"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2</w:t>
            </w:r>
          </w:p>
        </w:tc>
        <w:tc>
          <w:tcPr>
            <w:tcW w:w="2484" w:type="dxa"/>
            <w:tcBorders>
              <w:top w:val="nil"/>
              <w:left w:val="nil"/>
              <w:bottom w:val="nil"/>
              <w:right w:val="nil"/>
            </w:tcBorders>
            <w:shd w:val="clear" w:color="auto" w:fill="auto"/>
          </w:tcPr>
          <w:p w14:paraId="0EF0E232"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0</w:t>
            </w:r>
          </w:p>
        </w:tc>
      </w:tr>
      <w:tr w:rsidR="00091B58" w:rsidRPr="00C81D88" w14:paraId="6A824D13" w14:textId="77777777" w:rsidTr="00AB3BF3">
        <w:tc>
          <w:tcPr>
            <w:tcW w:w="3791" w:type="dxa"/>
            <w:tcBorders>
              <w:top w:val="nil"/>
              <w:left w:val="nil"/>
              <w:bottom w:val="nil"/>
              <w:right w:val="nil"/>
            </w:tcBorders>
            <w:shd w:val="clear" w:color="auto" w:fill="auto"/>
          </w:tcPr>
          <w:p w14:paraId="2185DB33"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 xml:space="preserve">Stazinis širdies nepakankamumas/ </w:t>
            </w:r>
            <w:r w:rsidRPr="00C81D88">
              <w:rPr>
                <w:rFonts w:eastAsia="Calibri"/>
                <w:sz w:val="22"/>
                <w:szCs w:val="22"/>
              </w:rPr>
              <w:tab/>
              <w:t>Širdies funkcijos sutrikimas</w:t>
            </w:r>
            <w:r w:rsidRPr="00C81D88">
              <w:rPr>
                <w:rFonts w:eastAsia="Calibri"/>
                <w:sz w:val="22"/>
                <w:szCs w:val="22"/>
                <w:vertAlign w:val="superscript"/>
              </w:rPr>
              <w:t>b</w:t>
            </w:r>
          </w:p>
        </w:tc>
        <w:tc>
          <w:tcPr>
            <w:tcW w:w="2848" w:type="dxa"/>
            <w:gridSpan w:val="2"/>
            <w:tcBorders>
              <w:top w:val="nil"/>
              <w:left w:val="nil"/>
              <w:bottom w:val="nil"/>
              <w:right w:val="nil"/>
            </w:tcBorders>
            <w:shd w:val="clear" w:color="auto" w:fill="auto"/>
          </w:tcPr>
          <w:p w14:paraId="2736F8FD" w14:textId="77777777" w:rsidR="00091B58" w:rsidRPr="00C81D88" w:rsidRDefault="00091B58" w:rsidP="00AB3BF3">
            <w:pPr>
              <w:widowControl w:val="0"/>
              <w:tabs>
                <w:tab w:val="left" w:pos="1340"/>
              </w:tabs>
              <w:jc w:val="center"/>
              <w:rPr>
                <w:rFonts w:eastAsia="Calibri"/>
                <w:sz w:val="22"/>
                <w:szCs w:val="22"/>
              </w:rPr>
            </w:pPr>
          </w:p>
          <w:p w14:paraId="02FAC400"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1</w:t>
            </w:r>
          </w:p>
        </w:tc>
        <w:tc>
          <w:tcPr>
            <w:tcW w:w="2484" w:type="dxa"/>
            <w:tcBorders>
              <w:top w:val="nil"/>
              <w:left w:val="nil"/>
              <w:bottom w:val="nil"/>
              <w:right w:val="nil"/>
            </w:tcBorders>
            <w:shd w:val="clear" w:color="auto" w:fill="auto"/>
          </w:tcPr>
          <w:p w14:paraId="693DEF6A" w14:textId="77777777" w:rsidR="00091B58" w:rsidRPr="00C81D88" w:rsidRDefault="00091B58" w:rsidP="00AB3BF3">
            <w:pPr>
              <w:widowControl w:val="0"/>
              <w:tabs>
                <w:tab w:val="left" w:pos="1340"/>
              </w:tabs>
              <w:jc w:val="center"/>
              <w:rPr>
                <w:rFonts w:eastAsia="Calibri"/>
                <w:sz w:val="22"/>
                <w:szCs w:val="22"/>
              </w:rPr>
            </w:pPr>
          </w:p>
          <w:p w14:paraId="0816B74A"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0</w:t>
            </w:r>
          </w:p>
        </w:tc>
      </w:tr>
      <w:tr w:rsidR="00091B58" w:rsidRPr="00C81D88" w14:paraId="22CD99D1" w14:textId="77777777" w:rsidTr="00AB3BF3">
        <w:tc>
          <w:tcPr>
            <w:tcW w:w="3791" w:type="dxa"/>
            <w:tcBorders>
              <w:top w:val="nil"/>
              <w:left w:val="nil"/>
              <w:bottom w:val="nil"/>
              <w:right w:val="nil"/>
            </w:tcBorders>
            <w:shd w:val="clear" w:color="auto" w:fill="auto"/>
          </w:tcPr>
          <w:p w14:paraId="23D3BEC6"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Perikardo efuzija</w:t>
            </w:r>
          </w:p>
        </w:tc>
        <w:tc>
          <w:tcPr>
            <w:tcW w:w="2848" w:type="dxa"/>
            <w:gridSpan w:val="2"/>
            <w:tcBorders>
              <w:top w:val="nil"/>
              <w:left w:val="nil"/>
              <w:bottom w:val="nil"/>
              <w:right w:val="nil"/>
            </w:tcBorders>
            <w:shd w:val="clear" w:color="auto" w:fill="auto"/>
          </w:tcPr>
          <w:p w14:paraId="0D4A88DA"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2</w:t>
            </w:r>
          </w:p>
        </w:tc>
        <w:tc>
          <w:tcPr>
            <w:tcW w:w="2484" w:type="dxa"/>
            <w:tcBorders>
              <w:top w:val="nil"/>
              <w:left w:val="nil"/>
              <w:bottom w:val="nil"/>
              <w:right w:val="nil"/>
            </w:tcBorders>
            <w:shd w:val="clear" w:color="auto" w:fill="auto"/>
          </w:tcPr>
          <w:p w14:paraId="7F70BB47"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1</w:t>
            </w:r>
          </w:p>
        </w:tc>
      </w:tr>
      <w:tr w:rsidR="00091B58" w:rsidRPr="00C81D88" w14:paraId="697318DD" w14:textId="77777777" w:rsidTr="00AB3BF3">
        <w:tc>
          <w:tcPr>
            <w:tcW w:w="3791" w:type="dxa"/>
            <w:tcBorders>
              <w:top w:val="nil"/>
              <w:left w:val="nil"/>
              <w:bottom w:val="nil"/>
              <w:right w:val="nil"/>
            </w:tcBorders>
            <w:shd w:val="clear" w:color="auto" w:fill="auto"/>
          </w:tcPr>
          <w:p w14:paraId="4492A6B1"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Plaučių edema</w:t>
            </w:r>
          </w:p>
        </w:tc>
        <w:tc>
          <w:tcPr>
            <w:tcW w:w="2848" w:type="dxa"/>
            <w:gridSpan w:val="2"/>
            <w:tcBorders>
              <w:top w:val="nil"/>
              <w:left w:val="nil"/>
              <w:bottom w:val="nil"/>
              <w:right w:val="nil"/>
            </w:tcBorders>
            <w:shd w:val="clear" w:color="auto" w:fill="auto"/>
          </w:tcPr>
          <w:p w14:paraId="49119DE1"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1</w:t>
            </w:r>
          </w:p>
        </w:tc>
        <w:tc>
          <w:tcPr>
            <w:tcW w:w="2484" w:type="dxa"/>
            <w:tcBorders>
              <w:top w:val="nil"/>
              <w:left w:val="nil"/>
              <w:bottom w:val="nil"/>
              <w:right w:val="nil"/>
            </w:tcBorders>
            <w:shd w:val="clear" w:color="auto" w:fill="auto"/>
          </w:tcPr>
          <w:p w14:paraId="43E2A8D0"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1</w:t>
            </w:r>
          </w:p>
        </w:tc>
      </w:tr>
      <w:tr w:rsidR="00091B58" w:rsidRPr="00C81D88" w14:paraId="002D2811" w14:textId="77777777" w:rsidTr="00AB3BF3">
        <w:tc>
          <w:tcPr>
            <w:tcW w:w="3791" w:type="dxa"/>
            <w:tcBorders>
              <w:top w:val="nil"/>
              <w:left w:val="nil"/>
              <w:bottom w:val="nil"/>
              <w:right w:val="nil"/>
            </w:tcBorders>
            <w:shd w:val="clear" w:color="auto" w:fill="auto"/>
          </w:tcPr>
          <w:p w14:paraId="7F8DC64D" w14:textId="77777777" w:rsidR="00091B58" w:rsidRPr="00C81D88" w:rsidRDefault="00091B58" w:rsidP="00AB3BF3">
            <w:pPr>
              <w:widowControl w:val="0"/>
              <w:tabs>
                <w:tab w:val="left" w:pos="1340"/>
              </w:tabs>
              <w:rPr>
                <w:rFonts w:eastAsia="Calibri"/>
                <w:b/>
                <w:bCs/>
                <w:sz w:val="22"/>
                <w:szCs w:val="22"/>
              </w:rPr>
            </w:pPr>
            <w:r w:rsidRPr="00C81D88">
              <w:rPr>
                <w:rFonts w:eastAsia="Calibri"/>
                <w:b/>
                <w:bCs/>
                <w:sz w:val="22"/>
                <w:szCs w:val="22"/>
              </w:rPr>
              <w:t>Kraujavimas</w:t>
            </w:r>
          </w:p>
        </w:tc>
        <w:tc>
          <w:tcPr>
            <w:tcW w:w="2848" w:type="dxa"/>
            <w:gridSpan w:val="2"/>
            <w:tcBorders>
              <w:top w:val="nil"/>
              <w:left w:val="nil"/>
              <w:bottom w:val="nil"/>
              <w:right w:val="nil"/>
            </w:tcBorders>
            <w:shd w:val="clear" w:color="auto" w:fill="auto"/>
          </w:tcPr>
          <w:p w14:paraId="7CFD6703"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23</w:t>
            </w:r>
          </w:p>
        </w:tc>
        <w:tc>
          <w:tcPr>
            <w:tcW w:w="2484" w:type="dxa"/>
            <w:tcBorders>
              <w:top w:val="nil"/>
              <w:left w:val="nil"/>
              <w:bottom w:val="nil"/>
              <w:right w:val="nil"/>
            </w:tcBorders>
            <w:shd w:val="clear" w:color="auto" w:fill="auto"/>
          </w:tcPr>
          <w:p w14:paraId="2065E5CA"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8</w:t>
            </w:r>
          </w:p>
        </w:tc>
      </w:tr>
      <w:tr w:rsidR="00091B58" w:rsidRPr="00C81D88" w14:paraId="1D9EB5A0" w14:textId="77777777" w:rsidTr="00AB3BF3">
        <w:tc>
          <w:tcPr>
            <w:tcW w:w="3791" w:type="dxa"/>
            <w:tcBorders>
              <w:top w:val="nil"/>
              <w:left w:val="nil"/>
              <w:bottom w:val="single" w:sz="4" w:space="0" w:color="auto"/>
              <w:right w:val="nil"/>
            </w:tcBorders>
            <w:shd w:val="clear" w:color="auto" w:fill="auto"/>
          </w:tcPr>
          <w:p w14:paraId="5F66B1B2" w14:textId="77777777" w:rsidR="00091B58" w:rsidRPr="00C81D88" w:rsidRDefault="00091B58" w:rsidP="00AB3BF3">
            <w:pPr>
              <w:widowControl w:val="0"/>
              <w:tabs>
                <w:tab w:val="left" w:pos="261"/>
              </w:tabs>
              <w:rPr>
                <w:rFonts w:eastAsia="Calibri"/>
                <w:sz w:val="22"/>
                <w:szCs w:val="22"/>
              </w:rPr>
            </w:pPr>
            <w:r w:rsidRPr="00C81D88">
              <w:rPr>
                <w:rFonts w:eastAsia="Calibri"/>
                <w:sz w:val="22"/>
                <w:szCs w:val="22"/>
              </w:rPr>
              <w:tab/>
              <w:t>Kraujavimas iš virškinimo trakto</w:t>
            </w:r>
          </w:p>
        </w:tc>
        <w:tc>
          <w:tcPr>
            <w:tcW w:w="2848" w:type="dxa"/>
            <w:gridSpan w:val="2"/>
            <w:tcBorders>
              <w:top w:val="nil"/>
              <w:left w:val="nil"/>
              <w:bottom w:val="single" w:sz="4" w:space="0" w:color="auto"/>
              <w:right w:val="nil"/>
            </w:tcBorders>
            <w:shd w:val="clear" w:color="auto" w:fill="auto"/>
          </w:tcPr>
          <w:p w14:paraId="01BBE93D"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8</w:t>
            </w:r>
          </w:p>
        </w:tc>
        <w:tc>
          <w:tcPr>
            <w:tcW w:w="2484" w:type="dxa"/>
            <w:tcBorders>
              <w:top w:val="nil"/>
              <w:left w:val="nil"/>
              <w:bottom w:val="single" w:sz="4" w:space="0" w:color="auto"/>
              <w:right w:val="nil"/>
            </w:tcBorders>
            <w:shd w:val="clear" w:color="auto" w:fill="auto"/>
          </w:tcPr>
          <w:p w14:paraId="20EF766B" w14:textId="77777777" w:rsidR="00091B58" w:rsidRPr="00C81D88" w:rsidRDefault="00091B58" w:rsidP="00AB3BF3">
            <w:pPr>
              <w:widowControl w:val="0"/>
              <w:tabs>
                <w:tab w:val="left" w:pos="1340"/>
              </w:tabs>
              <w:jc w:val="center"/>
              <w:rPr>
                <w:rFonts w:eastAsia="Calibri"/>
                <w:sz w:val="22"/>
                <w:szCs w:val="22"/>
              </w:rPr>
            </w:pPr>
            <w:r w:rsidRPr="00C81D88">
              <w:rPr>
                <w:rFonts w:eastAsia="Calibri"/>
                <w:sz w:val="22"/>
                <w:szCs w:val="22"/>
              </w:rPr>
              <w:t>6</w:t>
            </w:r>
          </w:p>
        </w:tc>
      </w:tr>
    </w:tbl>
    <w:p w14:paraId="6CAA81EE" w14:textId="77777777" w:rsidR="00091B58" w:rsidRPr="00C81D88" w:rsidRDefault="00091B58" w:rsidP="00091B58">
      <w:pPr>
        <w:ind w:left="142" w:hanging="142"/>
        <w:rPr>
          <w:rFonts w:eastAsia="SimSun"/>
          <w:sz w:val="20"/>
          <w:lang w:eastAsia="zh-CN"/>
        </w:rPr>
      </w:pPr>
      <w:r w:rsidRPr="00C81D88">
        <w:rPr>
          <w:rFonts w:eastAsia="SimSun"/>
          <w:sz w:val="20"/>
          <w:vertAlign w:val="superscript"/>
          <w:lang w:eastAsia="zh-CN"/>
        </w:rPr>
        <w:t>a</w:t>
      </w:r>
      <w:r w:rsidRPr="00C81D88">
        <w:rPr>
          <w:rFonts w:eastAsia="SimSun"/>
          <w:sz w:val="20"/>
          <w:lang w:eastAsia="zh-CN"/>
        </w:rPr>
        <w:t xml:space="preserve"> 3 fazės dozės optimizavimo tyrimo duomenys, apie kuriuos gauta pranešimų iš rekomenduojamą pradinę 140 mg dozę kartą per parą vartojusių pacientų populiacijos (n=304) baigus 2 metus trukusį galutinį stebėjimą.</w:t>
      </w:r>
    </w:p>
    <w:p w14:paraId="64477A40" w14:textId="77777777" w:rsidR="00091B58" w:rsidRPr="00C81D88" w:rsidRDefault="00091B58" w:rsidP="00091B58">
      <w:pPr>
        <w:ind w:left="142" w:hanging="142"/>
        <w:rPr>
          <w:rFonts w:eastAsia="SimSun"/>
          <w:sz w:val="20"/>
          <w:lang w:eastAsia="zh-CN"/>
        </w:rPr>
      </w:pPr>
      <w:r w:rsidRPr="00C81D88">
        <w:rPr>
          <w:rFonts w:eastAsia="SimSun"/>
          <w:sz w:val="20"/>
          <w:vertAlign w:val="superscript"/>
          <w:lang w:eastAsia="zh-CN"/>
        </w:rPr>
        <w:t>b</w:t>
      </w:r>
      <w:r w:rsidRPr="00C81D88">
        <w:rPr>
          <w:rFonts w:eastAsia="SimSun"/>
          <w:sz w:val="20"/>
          <w:lang w:eastAsia="zh-CN"/>
        </w:rPr>
        <w:t xml:space="preserve"> Apima skilvelių disfunkciją, širdies nepakankamumą, stazinį širdies nepakankamumą, kardiomiopatiją, stazinę kardiomiopatiją, diastolinę disfunkciją, sumažėjusią išstūmimo frakciją ir skilvelių nepakankamumą.</w:t>
      </w:r>
    </w:p>
    <w:p w14:paraId="2529CD95" w14:textId="77777777" w:rsidR="00091B58" w:rsidRPr="00C81D88" w:rsidRDefault="00091B58" w:rsidP="00091B58">
      <w:pPr>
        <w:rPr>
          <w:rFonts w:eastAsia="SimSun"/>
          <w:szCs w:val="22"/>
          <w:lang w:eastAsia="zh-CN"/>
        </w:rPr>
      </w:pPr>
    </w:p>
    <w:p w14:paraId="4FC088EC" w14:textId="77777777" w:rsidR="00091B58" w:rsidRPr="00C81D88" w:rsidRDefault="00091B58" w:rsidP="00091B58">
      <w:pPr>
        <w:rPr>
          <w:rFonts w:eastAsia="SimSun"/>
          <w:sz w:val="22"/>
          <w:szCs w:val="22"/>
          <w:lang w:eastAsia="zh-CN"/>
        </w:rPr>
      </w:pPr>
      <w:r w:rsidRPr="00C81D88">
        <w:rPr>
          <w:rFonts w:eastAsia="SimSun"/>
          <w:sz w:val="22"/>
          <w:szCs w:val="22"/>
          <w:lang w:eastAsia="zh-CN"/>
        </w:rPr>
        <w:t>Be to, atlikti 2 tyrimai, kuriuose dalyvavusiam 161 Ph+ ŪLL sirgusiam vaikui skirtas dazatinibas kartu su chemoterapija. Pagrindinio tyrimo metu 106 vaikai gydyti dazatinibu kartu su chemoterapija nepertraukiama schema. Palaikomajame tyrime dalyvavo 55 vaikai, iš kurių 35 gydyti dazatinibu kartu su chemoterapija pertraukiama schema (2 savaitės gydymo, po to 1</w:t>
      </w:r>
      <w:r w:rsidRPr="00C81D88">
        <w:rPr>
          <w:rFonts w:eastAsia="SimSun"/>
          <w:sz w:val="22"/>
          <w:szCs w:val="22"/>
          <w:lang w:eastAsia="zh-CN"/>
        </w:rPr>
        <w:noBreakHyphen/>
        <w:t>2 savaičių pertrauka) ir 20 vaikų gydyti dazatinibu kartu su chemoterapija nepertraukiama schema. 126 Ph+ ŪLL sirgusių vaikų, gydytų dazatinibu kartu su chemoterapija nepertraukiama schema, gydymo trukmės mediana buvo 23,6 mėnesio (ribos – nuo 1,4 iki 33 mėnesių).</w:t>
      </w:r>
    </w:p>
    <w:p w14:paraId="28519DA1" w14:textId="77777777" w:rsidR="00091B58" w:rsidRPr="00C81D88" w:rsidRDefault="00091B58" w:rsidP="00091B58">
      <w:pPr>
        <w:rPr>
          <w:rFonts w:eastAsia="SimSun"/>
          <w:sz w:val="22"/>
          <w:szCs w:val="22"/>
          <w:lang w:eastAsia="zh-CN"/>
        </w:rPr>
      </w:pPr>
    </w:p>
    <w:p w14:paraId="5E18DF6F" w14:textId="77777777" w:rsidR="00091B58" w:rsidRPr="00C81D88" w:rsidRDefault="00091B58" w:rsidP="00091B58">
      <w:pPr>
        <w:rPr>
          <w:rFonts w:eastAsia="SimSun"/>
          <w:sz w:val="22"/>
          <w:szCs w:val="22"/>
          <w:lang w:eastAsia="zh-CN"/>
        </w:rPr>
      </w:pPr>
      <w:r w:rsidRPr="00C81D88">
        <w:rPr>
          <w:rFonts w:eastAsia="SimSun"/>
          <w:sz w:val="22"/>
          <w:szCs w:val="22"/>
          <w:lang w:eastAsia="zh-CN"/>
        </w:rPr>
        <w:t>2 iš 126 (1,6 %) Ph+ ŪLL sirgusių vaikų, gydytų nepertraukiama schema, patyrė nepageidaujamų reakcijų, dėl kurių teko nutraukti gydymą. Šių dviejų pediatrinių tyrimų metu pacientams, gydytiems nepertraukiama schema, nustatytos nepageidaujamos reakcijos, kurių dažnis ≥10 %, pateikiamos 5 lentelėje. Pažymėtina, kad pleuros efuzija nustatyta tik 7 šios grupės pacientams (5,6 %), todėl į lentelę neįtraukta.</w:t>
      </w:r>
    </w:p>
    <w:p w14:paraId="7B409D22" w14:textId="77777777" w:rsidR="00091B58" w:rsidRPr="00C81D88" w:rsidRDefault="00091B58" w:rsidP="00091B58">
      <w:pPr>
        <w:rPr>
          <w:rFonts w:eastAsia="SimSun"/>
          <w:sz w:val="22"/>
          <w:szCs w:val="22"/>
          <w:lang w:eastAsia="zh-CN"/>
        </w:rPr>
      </w:pPr>
    </w:p>
    <w:p w14:paraId="78D90C32" w14:textId="77777777" w:rsidR="00091B58" w:rsidRPr="00C81D88" w:rsidRDefault="00091B58" w:rsidP="00091B58">
      <w:pPr>
        <w:rPr>
          <w:rFonts w:eastAsia="SimSun"/>
          <w:b/>
          <w:bCs/>
          <w:sz w:val="22"/>
          <w:szCs w:val="22"/>
          <w:lang w:eastAsia="zh-CN"/>
        </w:rPr>
      </w:pPr>
      <w:r w:rsidRPr="00C81D88">
        <w:rPr>
          <w:rFonts w:eastAsia="SimSun"/>
          <w:b/>
          <w:bCs/>
          <w:sz w:val="22"/>
          <w:szCs w:val="22"/>
          <w:lang w:eastAsia="zh-CN"/>
        </w:rPr>
        <w:lastRenderedPageBreak/>
        <w:t>5 lentelė. Nepageidaujamos reakcijos, užfiksuotos ≥ 10 % Ph+ ŪLL sirgusių vaikų, gydytų dazatinibu nepertraukiama schema kartu su chemoterapija (N=126)</w:t>
      </w:r>
      <w:r w:rsidRPr="00C81D88">
        <w:rPr>
          <w:rFonts w:eastAsia="SimSun"/>
          <w:b/>
          <w:bCs/>
          <w:sz w:val="22"/>
          <w:szCs w:val="22"/>
          <w:vertAlign w:val="superscript"/>
          <w:lang w:eastAsia="zh-CN"/>
        </w:rPr>
        <w:t>a</w:t>
      </w:r>
    </w:p>
    <w:p w14:paraId="39B5DB44" w14:textId="77777777" w:rsidR="00091B58" w:rsidRPr="00C81D88" w:rsidRDefault="00091B58" w:rsidP="00091B58">
      <w:pPr>
        <w:spacing w:line="210" w:lineRule="exact"/>
        <w:rPr>
          <w:b/>
          <w:bCs/>
          <w:sz w:val="22"/>
          <w:szCs w:val="22"/>
          <w:lang w:eastAsia="en-GB"/>
        </w:rPr>
      </w:pPr>
    </w:p>
    <w:tbl>
      <w:tblPr>
        <w:tblOverlap w:val="never"/>
        <w:tblW w:w="5000" w:type="pct"/>
        <w:jc w:val="center"/>
        <w:tblCellMar>
          <w:left w:w="10" w:type="dxa"/>
          <w:right w:w="10" w:type="dxa"/>
        </w:tblCellMar>
        <w:tblLook w:val="04A0" w:firstRow="1" w:lastRow="0" w:firstColumn="1" w:lastColumn="0" w:noHBand="0" w:noVBand="1"/>
      </w:tblPr>
      <w:tblGrid>
        <w:gridCol w:w="3065"/>
        <w:gridCol w:w="1643"/>
        <w:gridCol w:w="4232"/>
      </w:tblGrid>
      <w:tr w:rsidR="00091B58" w:rsidRPr="00C81D88" w14:paraId="55463D3C" w14:textId="77777777" w:rsidTr="00AB3BF3">
        <w:trPr>
          <w:trHeight w:val="278"/>
          <w:jc w:val="center"/>
        </w:trPr>
        <w:tc>
          <w:tcPr>
            <w:tcW w:w="5000" w:type="pct"/>
            <w:gridSpan w:val="3"/>
            <w:tcBorders>
              <w:top w:val="single" w:sz="4" w:space="0" w:color="auto"/>
              <w:left w:val="nil"/>
              <w:bottom w:val="nil"/>
              <w:right w:val="nil"/>
            </w:tcBorders>
            <w:shd w:val="clear" w:color="auto" w:fill="FFFFFF"/>
            <w:vAlign w:val="bottom"/>
            <w:hideMark/>
          </w:tcPr>
          <w:p w14:paraId="10A99859" w14:textId="77777777" w:rsidR="00091B58" w:rsidRPr="00C81D88" w:rsidRDefault="00091B58" w:rsidP="00AB3BF3">
            <w:pPr>
              <w:spacing w:line="210" w:lineRule="exact"/>
              <w:jc w:val="center"/>
              <w:rPr>
                <w:bCs/>
                <w:color w:val="000000"/>
                <w:sz w:val="22"/>
                <w:szCs w:val="22"/>
                <w:lang w:bidi="en-US"/>
              </w:rPr>
            </w:pPr>
            <w:r w:rsidRPr="00C81D88">
              <w:rPr>
                <w:bCs/>
                <w:color w:val="000000"/>
                <w:sz w:val="22"/>
                <w:szCs w:val="22"/>
                <w:u w:val="single"/>
                <w:lang w:bidi="en-US"/>
              </w:rPr>
              <w:t xml:space="preserve">Pacientų dalis ( %) </w:t>
            </w:r>
          </w:p>
        </w:tc>
      </w:tr>
      <w:tr w:rsidR="00091B58" w:rsidRPr="00C81D88" w14:paraId="7837172D" w14:textId="77777777" w:rsidTr="00AB3BF3">
        <w:trPr>
          <w:trHeight w:hRule="exact" w:val="278"/>
          <w:jc w:val="center"/>
        </w:trPr>
        <w:tc>
          <w:tcPr>
            <w:tcW w:w="1714" w:type="pct"/>
            <w:tcBorders>
              <w:top w:val="single" w:sz="4" w:space="0" w:color="auto"/>
              <w:left w:val="nil"/>
              <w:bottom w:val="nil"/>
              <w:right w:val="nil"/>
            </w:tcBorders>
            <w:shd w:val="clear" w:color="auto" w:fill="FFFFFF"/>
            <w:vAlign w:val="bottom"/>
            <w:hideMark/>
          </w:tcPr>
          <w:p w14:paraId="02A81BC4" w14:textId="77777777" w:rsidR="00091B58" w:rsidRPr="00C81D88" w:rsidRDefault="00091B58" w:rsidP="00AB3BF3">
            <w:pPr>
              <w:spacing w:line="210" w:lineRule="exact"/>
              <w:ind w:left="160"/>
              <w:rPr>
                <w:bCs/>
                <w:sz w:val="22"/>
                <w:szCs w:val="22"/>
                <w:lang w:eastAsia="en-GB"/>
              </w:rPr>
            </w:pPr>
            <w:r w:rsidRPr="00C81D88">
              <w:rPr>
                <w:bCs/>
                <w:color w:val="000000"/>
                <w:sz w:val="22"/>
                <w:szCs w:val="22"/>
                <w:lang w:bidi="en-US"/>
              </w:rPr>
              <w:t>Nepageidaujama reakcija</w:t>
            </w:r>
          </w:p>
        </w:tc>
        <w:tc>
          <w:tcPr>
            <w:tcW w:w="919" w:type="pct"/>
            <w:tcBorders>
              <w:top w:val="single" w:sz="4" w:space="0" w:color="auto"/>
              <w:left w:val="nil"/>
              <w:bottom w:val="nil"/>
              <w:right w:val="nil"/>
            </w:tcBorders>
            <w:shd w:val="clear" w:color="auto" w:fill="FFFFFF"/>
            <w:vAlign w:val="bottom"/>
            <w:hideMark/>
          </w:tcPr>
          <w:p w14:paraId="063DD013" w14:textId="77777777" w:rsidR="00091B58" w:rsidRPr="00C81D88" w:rsidRDefault="00091B58" w:rsidP="00AB3BF3">
            <w:pPr>
              <w:spacing w:line="210" w:lineRule="exact"/>
              <w:jc w:val="center"/>
              <w:rPr>
                <w:bCs/>
                <w:sz w:val="22"/>
                <w:szCs w:val="22"/>
                <w:lang w:eastAsia="en-GB"/>
              </w:rPr>
            </w:pPr>
            <w:r w:rsidRPr="00C81D88">
              <w:rPr>
                <w:bCs/>
                <w:color w:val="000000"/>
                <w:sz w:val="22"/>
                <w:szCs w:val="22"/>
                <w:lang w:bidi="en-US"/>
              </w:rPr>
              <w:t>Bet kokio laipsnio</w:t>
            </w:r>
          </w:p>
        </w:tc>
        <w:tc>
          <w:tcPr>
            <w:tcW w:w="2367" w:type="pct"/>
            <w:tcBorders>
              <w:top w:val="single" w:sz="4" w:space="0" w:color="auto"/>
              <w:left w:val="nil"/>
              <w:bottom w:val="nil"/>
              <w:right w:val="nil"/>
            </w:tcBorders>
            <w:shd w:val="clear" w:color="auto" w:fill="FFFFFF"/>
            <w:vAlign w:val="bottom"/>
            <w:hideMark/>
          </w:tcPr>
          <w:p w14:paraId="0C642048" w14:textId="77777777" w:rsidR="00091B58" w:rsidRPr="00C81D88" w:rsidRDefault="00091B58" w:rsidP="00AB3BF3">
            <w:pPr>
              <w:spacing w:line="210" w:lineRule="exact"/>
              <w:ind w:left="10"/>
              <w:jc w:val="center"/>
              <w:rPr>
                <w:bCs/>
                <w:sz w:val="22"/>
                <w:szCs w:val="22"/>
                <w:lang w:eastAsia="en-GB"/>
              </w:rPr>
            </w:pPr>
            <w:r w:rsidRPr="00C81D88">
              <w:rPr>
                <w:bCs/>
                <w:color w:val="000000"/>
                <w:sz w:val="22"/>
                <w:szCs w:val="22"/>
                <w:lang w:bidi="en-US"/>
              </w:rPr>
              <w:t>3</w:t>
            </w:r>
            <w:r w:rsidRPr="00C81D88">
              <w:rPr>
                <w:bCs/>
                <w:color w:val="000000"/>
                <w:sz w:val="22"/>
                <w:szCs w:val="22"/>
                <w:lang w:bidi="en-US"/>
              </w:rPr>
              <w:noBreakHyphen/>
              <w:t>4 laipsnio</w:t>
            </w:r>
          </w:p>
        </w:tc>
      </w:tr>
      <w:tr w:rsidR="00091B58" w:rsidRPr="00C81D88" w14:paraId="08B5504D" w14:textId="77777777" w:rsidTr="00AB3BF3">
        <w:trPr>
          <w:trHeight w:hRule="exact" w:val="278"/>
          <w:jc w:val="center"/>
        </w:trPr>
        <w:tc>
          <w:tcPr>
            <w:tcW w:w="1714" w:type="pct"/>
            <w:tcBorders>
              <w:top w:val="single" w:sz="4" w:space="0" w:color="auto"/>
              <w:left w:val="nil"/>
              <w:bottom w:val="nil"/>
              <w:right w:val="nil"/>
            </w:tcBorders>
            <w:shd w:val="clear" w:color="auto" w:fill="FFFFFF"/>
            <w:vAlign w:val="bottom"/>
            <w:hideMark/>
          </w:tcPr>
          <w:p w14:paraId="748110A9"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Febrilinė neutropenija</w:t>
            </w:r>
          </w:p>
        </w:tc>
        <w:tc>
          <w:tcPr>
            <w:tcW w:w="919" w:type="pct"/>
            <w:tcBorders>
              <w:top w:val="single" w:sz="4" w:space="0" w:color="auto"/>
              <w:left w:val="nil"/>
              <w:bottom w:val="nil"/>
              <w:right w:val="nil"/>
            </w:tcBorders>
            <w:shd w:val="clear" w:color="auto" w:fill="FFFFFF"/>
            <w:vAlign w:val="bottom"/>
            <w:hideMark/>
          </w:tcPr>
          <w:p w14:paraId="16690B53"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27,0</w:t>
            </w:r>
          </w:p>
        </w:tc>
        <w:tc>
          <w:tcPr>
            <w:tcW w:w="2367" w:type="pct"/>
            <w:tcBorders>
              <w:top w:val="single" w:sz="4" w:space="0" w:color="auto"/>
              <w:left w:val="nil"/>
              <w:bottom w:val="nil"/>
              <w:right w:val="nil"/>
            </w:tcBorders>
            <w:shd w:val="clear" w:color="auto" w:fill="FFFFFF"/>
            <w:vAlign w:val="bottom"/>
            <w:hideMark/>
          </w:tcPr>
          <w:p w14:paraId="56E4203B"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26,2</w:t>
            </w:r>
          </w:p>
        </w:tc>
      </w:tr>
      <w:tr w:rsidR="00091B58" w:rsidRPr="00C81D88" w14:paraId="35A3E320" w14:textId="77777777" w:rsidTr="00AB3BF3">
        <w:trPr>
          <w:trHeight w:hRule="exact" w:val="235"/>
          <w:jc w:val="center"/>
        </w:trPr>
        <w:tc>
          <w:tcPr>
            <w:tcW w:w="1714" w:type="pct"/>
            <w:shd w:val="clear" w:color="auto" w:fill="FFFFFF"/>
            <w:vAlign w:val="bottom"/>
            <w:hideMark/>
          </w:tcPr>
          <w:p w14:paraId="2ED65DC9"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Pykinimas</w:t>
            </w:r>
          </w:p>
        </w:tc>
        <w:tc>
          <w:tcPr>
            <w:tcW w:w="919" w:type="pct"/>
            <w:shd w:val="clear" w:color="auto" w:fill="FFFFFF"/>
            <w:hideMark/>
          </w:tcPr>
          <w:p w14:paraId="70D8AA41"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20,6</w:t>
            </w:r>
          </w:p>
        </w:tc>
        <w:tc>
          <w:tcPr>
            <w:tcW w:w="2367" w:type="pct"/>
            <w:shd w:val="clear" w:color="auto" w:fill="FFFFFF"/>
            <w:vAlign w:val="bottom"/>
            <w:hideMark/>
          </w:tcPr>
          <w:p w14:paraId="43086F55"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5,6</w:t>
            </w:r>
          </w:p>
        </w:tc>
      </w:tr>
      <w:tr w:rsidR="00091B58" w:rsidRPr="00C81D88" w14:paraId="69E7FD50" w14:textId="77777777" w:rsidTr="00AB3BF3">
        <w:trPr>
          <w:trHeight w:hRule="exact" w:val="269"/>
          <w:jc w:val="center"/>
        </w:trPr>
        <w:tc>
          <w:tcPr>
            <w:tcW w:w="1714" w:type="pct"/>
            <w:shd w:val="clear" w:color="auto" w:fill="FFFFFF"/>
            <w:hideMark/>
          </w:tcPr>
          <w:p w14:paraId="6B4D14E5"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Vėmimas</w:t>
            </w:r>
          </w:p>
        </w:tc>
        <w:tc>
          <w:tcPr>
            <w:tcW w:w="919" w:type="pct"/>
            <w:shd w:val="clear" w:color="auto" w:fill="FFFFFF"/>
            <w:vAlign w:val="bottom"/>
            <w:hideMark/>
          </w:tcPr>
          <w:p w14:paraId="07277FF8"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20,6</w:t>
            </w:r>
          </w:p>
        </w:tc>
        <w:tc>
          <w:tcPr>
            <w:tcW w:w="2367" w:type="pct"/>
            <w:shd w:val="clear" w:color="auto" w:fill="FFFFFF"/>
            <w:hideMark/>
          </w:tcPr>
          <w:p w14:paraId="1164FA6E"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4,8</w:t>
            </w:r>
          </w:p>
        </w:tc>
      </w:tr>
      <w:tr w:rsidR="00091B58" w:rsidRPr="00C81D88" w14:paraId="68C345D7" w14:textId="77777777" w:rsidTr="00AB3BF3">
        <w:trPr>
          <w:trHeight w:hRule="exact" w:val="240"/>
          <w:jc w:val="center"/>
        </w:trPr>
        <w:tc>
          <w:tcPr>
            <w:tcW w:w="1714" w:type="pct"/>
            <w:shd w:val="clear" w:color="auto" w:fill="FFFFFF"/>
            <w:hideMark/>
          </w:tcPr>
          <w:p w14:paraId="03EDDE7A"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Pilvo skausmas</w:t>
            </w:r>
          </w:p>
        </w:tc>
        <w:tc>
          <w:tcPr>
            <w:tcW w:w="919" w:type="pct"/>
            <w:shd w:val="clear" w:color="auto" w:fill="FFFFFF"/>
            <w:hideMark/>
          </w:tcPr>
          <w:p w14:paraId="577C9DD3"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14,3</w:t>
            </w:r>
          </w:p>
        </w:tc>
        <w:tc>
          <w:tcPr>
            <w:tcW w:w="2367" w:type="pct"/>
            <w:shd w:val="clear" w:color="auto" w:fill="FFFFFF"/>
            <w:hideMark/>
          </w:tcPr>
          <w:p w14:paraId="62BF87A2"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3,2</w:t>
            </w:r>
          </w:p>
        </w:tc>
      </w:tr>
      <w:tr w:rsidR="00091B58" w:rsidRPr="00C81D88" w14:paraId="1E24CCFC" w14:textId="77777777" w:rsidTr="00AB3BF3">
        <w:trPr>
          <w:trHeight w:hRule="exact" w:val="250"/>
          <w:jc w:val="center"/>
        </w:trPr>
        <w:tc>
          <w:tcPr>
            <w:tcW w:w="1714" w:type="pct"/>
            <w:shd w:val="clear" w:color="auto" w:fill="FFFFFF"/>
            <w:hideMark/>
          </w:tcPr>
          <w:p w14:paraId="265B29D7"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Viduriavimas</w:t>
            </w:r>
          </w:p>
        </w:tc>
        <w:tc>
          <w:tcPr>
            <w:tcW w:w="919" w:type="pct"/>
            <w:shd w:val="clear" w:color="auto" w:fill="FFFFFF"/>
            <w:hideMark/>
          </w:tcPr>
          <w:p w14:paraId="1260E3B1"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12,7</w:t>
            </w:r>
          </w:p>
        </w:tc>
        <w:tc>
          <w:tcPr>
            <w:tcW w:w="2367" w:type="pct"/>
            <w:shd w:val="clear" w:color="auto" w:fill="FFFFFF"/>
            <w:hideMark/>
          </w:tcPr>
          <w:p w14:paraId="2A0BB4D3"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4,8</w:t>
            </w:r>
          </w:p>
        </w:tc>
      </w:tr>
      <w:tr w:rsidR="00091B58" w:rsidRPr="00C81D88" w14:paraId="53D4DE2F" w14:textId="77777777" w:rsidTr="00AB3BF3">
        <w:trPr>
          <w:trHeight w:hRule="exact" w:val="264"/>
          <w:jc w:val="center"/>
        </w:trPr>
        <w:tc>
          <w:tcPr>
            <w:tcW w:w="1714" w:type="pct"/>
            <w:shd w:val="clear" w:color="auto" w:fill="FFFFFF"/>
            <w:hideMark/>
          </w:tcPr>
          <w:p w14:paraId="04D89A38"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Karščiavimas</w:t>
            </w:r>
          </w:p>
        </w:tc>
        <w:tc>
          <w:tcPr>
            <w:tcW w:w="919" w:type="pct"/>
            <w:shd w:val="clear" w:color="auto" w:fill="FFFFFF"/>
            <w:hideMark/>
          </w:tcPr>
          <w:p w14:paraId="04A11271"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12,7</w:t>
            </w:r>
          </w:p>
        </w:tc>
        <w:tc>
          <w:tcPr>
            <w:tcW w:w="2367" w:type="pct"/>
            <w:shd w:val="clear" w:color="auto" w:fill="FFFFFF"/>
            <w:hideMark/>
          </w:tcPr>
          <w:p w14:paraId="324D2017"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5,6</w:t>
            </w:r>
          </w:p>
        </w:tc>
      </w:tr>
      <w:tr w:rsidR="00091B58" w:rsidRPr="00C81D88" w14:paraId="33F3EF85" w14:textId="77777777" w:rsidTr="00AB3BF3">
        <w:trPr>
          <w:trHeight w:hRule="exact" w:val="240"/>
          <w:jc w:val="center"/>
        </w:trPr>
        <w:tc>
          <w:tcPr>
            <w:tcW w:w="1714" w:type="pct"/>
            <w:shd w:val="clear" w:color="auto" w:fill="FFFFFF"/>
            <w:hideMark/>
          </w:tcPr>
          <w:p w14:paraId="285C8406"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Galvos skausmas</w:t>
            </w:r>
          </w:p>
        </w:tc>
        <w:tc>
          <w:tcPr>
            <w:tcW w:w="919" w:type="pct"/>
            <w:shd w:val="clear" w:color="auto" w:fill="FFFFFF"/>
            <w:vAlign w:val="bottom"/>
            <w:hideMark/>
          </w:tcPr>
          <w:p w14:paraId="00419095"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11,1</w:t>
            </w:r>
          </w:p>
        </w:tc>
        <w:tc>
          <w:tcPr>
            <w:tcW w:w="2367" w:type="pct"/>
            <w:shd w:val="clear" w:color="auto" w:fill="FFFFFF"/>
            <w:hideMark/>
          </w:tcPr>
          <w:p w14:paraId="6E5452A8"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4,8</w:t>
            </w:r>
          </w:p>
        </w:tc>
      </w:tr>
      <w:tr w:rsidR="00091B58" w:rsidRPr="00C81D88" w14:paraId="26FFCA9C" w14:textId="77777777" w:rsidTr="00AB3BF3">
        <w:trPr>
          <w:trHeight w:hRule="exact" w:val="269"/>
          <w:jc w:val="center"/>
        </w:trPr>
        <w:tc>
          <w:tcPr>
            <w:tcW w:w="1714" w:type="pct"/>
            <w:shd w:val="clear" w:color="auto" w:fill="FFFFFF"/>
            <w:hideMark/>
          </w:tcPr>
          <w:p w14:paraId="3038862D"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Sumažėjęs apetitas</w:t>
            </w:r>
          </w:p>
        </w:tc>
        <w:tc>
          <w:tcPr>
            <w:tcW w:w="919" w:type="pct"/>
            <w:shd w:val="clear" w:color="auto" w:fill="FFFFFF"/>
            <w:hideMark/>
          </w:tcPr>
          <w:p w14:paraId="0380436B"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10,3</w:t>
            </w:r>
          </w:p>
        </w:tc>
        <w:tc>
          <w:tcPr>
            <w:tcW w:w="2367" w:type="pct"/>
            <w:shd w:val="clear" w:color="auto" w:fill="FFFFFF"/>
            <w:hideMark/>
          </w:tcPr>
          <w:p w14:paraId="6AA715E4"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4,8</w:t>
            </w:r>
          </w:p>
        </w:tc>
      </w:tr>
      <w:tr w:rsidR="00091B58" w:rsidRPr="00C81D88" w14:paraId="29511D39" w14:textId="77777777" w:rsidTr="00AB3BF3">
        <w:trPr>
          <w:trHeight w:hRule="exact" w:val="245"/>
          <w:jc w:val="center"/>
        </w:trPr>
        <w:tc>
          <w:tcPr>
            <w:tcW w:w="1714" w:type="pct"/>
            <w:tcBorders>
              <w:top w:val="nil"/>
              <w:left w:val="nil"/>
              <w:bottom w:val="single" w:sz="4" w:space="0" w:color="auto"/>
              <w:right w:val="nil"/>
            </w:tcBorders>
            <w:shd w:val="clear" w:color="auto" w:fill="FFFFFF"/>
            <w:hideMark/>
          </w:tcPr>
          <w:p w14:paraId="3E0C8309" w14:textId="77777777" w:rsidR="00091B58" w:rsidRPr="00C81D88" w:rsidRDefault="00091B58" w:rsidP="00AB3BF3">
            <w:pPr>
              <w:spacing w:line="210" w:lineRule="exact"/>
              <w:ind w:left="340"/>
              <w:rPr>
                <w:sz w:val="22"/>
                <w:szCs w:val="22"/>
                <w:lang w:eastAsia="en-GB"/>
              </w:rPr>
            </w:pPr>
            <w:r w:rsidRPr="00C81D88">
              <w:rPr>
                <w:color w:val="000000"/>
                <w:sz w:val="22"/>
                <w:szCs w:val="22"/>
                <w:lang w:bidi="en-US"/>
              </w:rPr>
              <w:t>Nuovargis</w:t>
            </w:r>
          </w:p>
        </w:tc>
        <w:tc>
          <w:tcPr>
            <w:tcW w:w="919" w:type="pct"/>
            <w:tcBorders>
              <w:top w:val="nil"/>
              <w:left w:val="nil"/>
              <w:bottom w:val="single" w:sz="4" w:space="0" w:color="auto"/>
              <w:right w:val="nil"/>
            </w:tcBorders>
            <w:shd w:val="clear" w:color="auto" w:fill="FFFFFF"/>
            <w:hideMark/>
          </w:tcPr>
          <w:p w14:paraId="010BCB3D" w14:textId="77777777" w:rsidR="00091B58" w:rsidRPr="00C81D88" w:rsidRDefault="00091B58" w:rsidP="00AB3BF3">
            <w:pPr>
              <w:spacing w:line="210" w:lineRule="exact"/>
              <w:jc w:val="center"/>
              <w:rPr>
                <w:sz w:val="22"/>
                <w:szCs w:val="22"/>
                <w:lang w:eastAsia="en-GB"/>
              </w:rPr>
            </w:pPr>
            <w:r w:rsidRPr="00C81D88">
              <w:rPr>
                <w:color w:val="000000"/>
                <w:sz w:val="22"/>
                <w:szCs w:val="22"/>
                <w:lang w:bidi="en-US"/>
              </w:rPr>
              <w:t>10,3</w:t>
            </w:r>
          </w:p>
        </w:tc>
        <w:tc>
          <w:tcPr>
            <w:tcW w:w="2367" w:type="pct"/>
            <w:tcBorders>
              <w:top w:val="nil"/>
              <w:left w:val="nil"/>
              <w:bottom w:val="single" w:sz="4" w:space="0" w:color="auto"/>
              <w:right w:val="nil"/>
            </w:tcBorders>
            <w:shd w:val="clear" w:color="auto" w:fill="FFFFFF"/>
            <w:vAlign w:val="bottom"/>
            <w:hideMark/>
          </w:tcPr>
          <w:p w14:paraId="3C8083E8" w14:textId="77777777" w:rsidR="00091B58" w:rsidRPr="00C81D88" w:rsidRDefault="00091B58" w:rsidP="00AB3BF3">
            <w:pPr>
              <w:spacing w:line="210" w:lineRule="exact"/>
              <w:ind w:left="10"/>
              <w:jc w:val="center"/>
              <w:rPr>
                <w:sz w:val="22"/>
                <w:szCs w:val="22"/>
                <w:lang w:eastAsia="en-GB"/>
              </w:rPr>
            </w:pPr>
            <w:r w:rsidRPr="00C81D88">
              <w:rPr>
                <w:color w:val="000000"/>
                <w:sz w:val="22"/>
                <w:szCs w:val="22"/>
                <w:lang w:bidi="en-US"/>
              </w:rPr>
              <w:t>0</w:t>
            </w:r>
          </w:p>
        </w:tc>
      </w:tr>
    </w:tbl>
    <w:p w14:paraId="27DACCA8" w14:textId="77777777" w:rsidR="00091B58" w:rsidRPr="00C81D88" w:rsidRDefault="00091B58" w:rsidP="00091B58">
      <w:pPr>
        <w:widowControl w:val="0"/>
        <w:spacing w:line="170" w:lineRule="exact"/>
        <w:ind w:left="284" w:hanging="284"/>
        <w:jc w:val="both"/>
        <w:rPr>
          <w:rFonts w:eastAsia="SimSun"/>
          <w:szCs w:val="22"/>
          <w:lang w:eastAsia="zh-CN"/>
        </w:rPr>
      </w:pPr>
      <w:r w:rsidRPr="00C81D88">
        <w:rPr>
          <w:rFonts w:eastAsia="SimSun"/>
          <w:sz w:val="18"/>
          <w:szCs w:val="22"/>
          <w:vertAlign w:val="superscript"/>
        </w:rPr>
        <w:t>a</w:t>
      </w:r>
      <w:r w:rsidRPr="00C81D88">
        <w:rPr>
          <w:rFonts w:eastAsia="SimSun"/>
          <w:sz w:val="18"/>
          <w:szCs w:val="22"/>
        </w:rPr>
        <w:t xml:space="preserve"> </w:t>
      </w:r>
      <w:r w:rsidRPr="00C81D88">
        <w:rPr>
          <w:rFonts w:eastAsia="SimSun"/>
          <w:sz w:val="18"/>
          <w:szCs w:val="22"/>
        </w:rPr>
        <w:tab/>
        <w:t>Pagrindinio tyrimo metu 24 iš 106 pacientų išgėrė bent vieną miltelių geriamajai suspensijai dozę, 8 iš jų vartojo tik miltelius geriamajai suspensijai</w:t>
      </w:r>
      <w:r w:rsidRPr="00C81D88">
        <w:rPr>
          <w:rFonts w:eastAsia="SimSun"/>
          <w:szCs w:val="22"/>
          <w:lang w:eastAsia="zh-CN"/>
        </w:rPr>
        <w:t>.</w:t>
      </w:r>
    </w:p>
    <w:p w14:paraId="0FE9FE4F" w14:textId="77777777" w:rsidR="00091B58" w:rsidRPr="00C81D88" w:rsidRDefault="00091B58" w:rsidP="00091B58">
      <w:pPr>
        <w:rPr>
          <w:rFonts w:eastAsia="SimSun"/>
          <w:szCs w:val="22"/>
          <w:lang w:eastAsia="zh-CN"/>
        </w:rPr>
      </w:pPr>
    </w:p>
    <w:p w14:paraId="1ECDD5CC" w14:textId="77777777" w:rsidR="00091B58" w:rsidRPr="00C81D88" w:rsidRDefault="00091B58" w:rsidP="00091B58">
      <w:pPr>
        <w:rPr>
          <w:rFonts w:eastAsia="SimSun"/>
          <w:i/>
          <w:sz w:val="22"/>
          <w:szCs w:val="22"/>
          <w:u w:val="single"/>
          <w:lang w:eastAsia="zh-CN"/>
        </w:rPr>
      </w:pPr>
      <w:r w:rsidRPr="00C81D88">
        <w:rPr>
          <w:rFonts w:eastAsia="SimSun"/>
          <w:i/>
          <w:sz w:val="22"/>
          <w:szCs w:val="22"/>
          <w:u w:val="single"/>
          <w:lang w:eastAsia="zh-CN"/>
        </w:rPr>
        <w:t>Laboratorinių tyrimų pokyčiai</w:t>
      </w:r>
    </w:p>
    <w:p w14:paraId="598FB652" w14:textId="77777777" w:rsidR="00091B58" w:rsidRPr="00C81D88" w:rsidRDefault="00091B58" w:rsidP="00091B58">
      <w:pPr>
        <w:rPr>
          <w:rFonts w:eastAsia="SimSun"/>
          <w:sz w:val="22"/>
          <w:szCs w:val="22"/>
          <w:lang w:eastAsia="zh-CN"/>
        </w:rPr>
      </w:pPr>
    </w:p>
    <w:p w14:paraId="79523F01" w14:textId="77777777" w:rsidR="00091B58" w:rsidRPr="00C81D88" w:rsidRDefault="00091B58" w:rsidP="00091B58">
      <w:pPr>
        <w:rPr>
          <w:rFonts w:eastAsia="SimSun"/>
          <w:i/>
          <w:sz w:val="22"/>
          <w:szCs w:val="22"/>
          <w:lang w:eastAsia="zh-CN"/>
        </w:rPr>
      </w:pPr>
      <w:r w:rsidRPr="00C81D88">
        <w:rPr>
          <w:rFonts w:eastAsia="SimSun"/>
          <w:i/>
          <w:sz w:val="22"/>
          <w:szCs w:val="22"/>
          <w:lang w:eastAsia="zh-CN"/>
        </w:rPr>
        <w:t>Hematologiniai tyrimai</w:t>
      </w:r>
    </w:p>
    <w:p w14:paraId="6347F3AF" w14:textId="77777777" w:rsidR="00091B58" w:rsidRPr="00C81D88" w:rsidRDefault="00091B58" w:rsidP="00091B58">
      <w:pPr>
        <w:rPr>
          <w:rFonts w:eastAsia="SimSun"/>
          <w:sz w:val="22"/>
          <w:szCs w:val="22"/>
          <w:lang w:eastAsia="zh-CN"/>
        </w:rPr>
      </w:pPr>
      <w:r w:rsidRPr="00C81D88">
        <w:rPr>
          <w:rFonts w:eastAsia="SimSun"/>
          <w:sz w:val="22"/>
          <w:szCs w:val="22"/>
          <w:lang w:eastAsia="zh-CN"/>
        </w:rPr>
        <w:t>III fazės tyrimo metu per ne trumpesnį kaip 12 mėnesių stebėjimo laikotarpį gauta pranešimų apie vartojant dazatinibą pasireiškusius šiuos 3 ar 4 laipsnio nenormalius laboratorinių rodmenų pokyčius: neutropeniją (21 %), trombocitopeniją (19 %) ir anemiją (10 %). Per ne trumpesnį kaip 60 mėnesių stebėjimo laikotarpį kumuliacinis neutropenijos pasireiškimo dažnis buvo 29 %, trombocitopenijos – 22 %, anemijos – 13 %.</w:t>
      </w:r>
    </w:p>
    <w:p w14:paraId="5A5C772F" w14:textId="77777777" w:rsidR="00091B58" w:rsidRPr="00C81D88" w:rsidRDefault="00091B58" w:rsidP="00091B58">
      <w:pPr>
        <w:rPr>
          <w:rFonts w:eastAsia="SimSun"/>
          <w:sz w:val="22"/>
          <w:szCs w:val="22"/>
          <w:lang w:eastAsia="zh-CN"/>
        </w:rPr>
      </w:pPr>
    </w:p>
    <w:p w14:paraId="28553485" w14:textId="77777777" w:rsidR="00091B58" w:rsidRPr="00C81D88" w:rsidRDefault="00091B58" w:rsidP="00091B58">
      <w:pPr>
        <w:rPr>
          <w:rFonts w:eastAsia="SimSun"/>
          <w:sz w:val="22"/>
          <w:szCs w:val="22"/>
          <w:lang w:eastAsia="zh-CN"/>
        </w:rPr>
      </w:pPr>
      <w:r w:rsidRPr="00C81D88">
        <w:rPr>
          <w:rFonts w:eastAsia="SimSun"/>
          <w:sz w:val="22"/>
          <w:szCs w:val="22"/>
          <w:lang w:eastAsia="zh-CN"/>
        </w:rPr>
        <w:t>Kumuliacinis 3 ar 4 laipsnio citopenijų pasireiškimo dažnis vartojant 100 mg 1 kartą per parą po 2 ir 5 metų buvo panašus: neutropenijos – atitinkamai 35 % ir 36 %, trombocitopenijos – 23 % ir 24 %, anemijos – 13 % ir 13 %.</w:t>
      </w:r>
    </w:p>
    <w:p w14:paraId="67CCA21D" w14:textId="77777777" w:rsidR="00091B58" w:rsidRPr="00C81D88" w:rsidRDefault="00091B58" w:rsidP="00091B58">
      <w:pPr>
        <w:rPr>
          <w:rFonts w:eastAsia="SimSun"/>
          <w:sz w:val="22"/>
          <w:szCs w:val="22"/>
          <w:lang w:eastAsia="zh-CN"/>
        </w:rPr>
      </w:pPr>
      <w:r w:rsidRPr="00C81D88">
        <w:rPr>
          <w:rFonts w:eastAsia="SimSun"/>
          <w:sz w:val="22"/>
          <w:szCs w:val="22"/>
          <w:lang w:eastAsia="zh-CN"/>
        </w:rPr>
        <w:t>Pasireiškęs 3 ar 4 laipsnio kaulų čiulpų slopinimas paprastai praeidavo trumpam nutraukus vaistinio preparato vartojimą ir (arba) sumažinus jo dozę. Visam laikui vaistinio preparato vartojimą nutraukė 5 % pacientų. Dauguma pacientų vėliau gydymą tęsė nebepasireiškiant aiškiam kaulų čiulpų slopinimui.</w:t>
      </w:r>
    </w:p>
    <w:p w14:paraId="30741D89" w14:textId="77777777" w:rsidR="00091B58" w:rsidRPr="00C81D88" w:rsidRDefault="00091B58" w:rsidP="00091B58">
      <w:pPr>
        <w:rPr>
          <w:rFonts w:eastAsia="SimSun"/>
          <w:sz w:val="22"/>
          <w:szCs w:val="22"/>
          <w:lang w:eastAsia="zh-CN"/>
        </w:rPr>
      </w:pPr>
    </w:p>
    <w:p w14:paraId="719DD2EE" w14:textId="77777777" w:rsidR="00091B58" w:rsidRPr="00C81D88" w:rsidRDefault="00091B58" w:rsidP="00091B58">
      <w:pPr>
        <w:rPr>
          <w:rFonts w:eastAsia="SimSun"/>
          <w:i/>
          <w:sz w:val="22"/>
          <w:szCs w:val="22"/>
          <w:lang w:eastAsia="zh-CN"/>
        </w:rPr>
      </w:pPr>
      <w:r w:rsidRPr="00C81D88">
        <w:rPr>
          <w:rFonts w:eastAsia="SimSun"/>
          <w:i/>
          <w:sz w:val="22"/>
          <w:szCs w:val="22"/>
          <w:lang w:eastAsia="zh-CN"/>
        </w:rPr>
        <w:t>Biocheminiai rodmenys</w:t>
      </w:r>
    </w:p>
    <w:p w14:paraId="4EB1DD36" w14:textId="77777777" w:rsidR="00091B58" w:rsidRPr="00C81D88" w:rsidRDefault="00091B58" w:rsidP="00091B58">
      <w:pPr>
        <w:rPr>
          <w:rFonts w:eastAsia="SimSun"/>
          <w:sz w:val="22"/>
          <w:szCs w:val="22"/>
          <w:lang w:eastAsia="zh-CN"/>
        </w:rPr>
      </w:pPr>
      <w:r w:rsidRPr="00C81D88">
        <w:rPr>
          <w:rFonts w:eastAsia="SimSun"/>
          <w:sz w:val="22"/>
          <w:szCs w:val="22"/>
          <w:lang w:eastAsia="zh-CN"/>
        </w:rPr>
        <w:t>Tyrimo metu per ne trumpesnį kaip 12 mėnesių stebėjimo laikotarpį gauta pranešimų apie 3 ar 4 laipsnio hipofosfatemiją, pasireiškusią 4 % dazatinibu gydytų pacientų, bei pranešimų apie 3 ar 4 laipsnio transaminazių aktyvumo bei kreatinino ir bilirubino kiekio padidėjimą ≤ 1 % pacientų. Per ne trumpesnį kaip 60 mėnesių stebėjimo laikotarpį kumuliacinis 3 ar 4 laipsnio hipofosfatemijos pasireiškimo dažnis buvo 7 %, 3 ar 4 laipsnio kreatinino ir bilirubino kiekio padidėjimo dažnis – 1 %, o 3 ar 4 laipsnio transaminazių aktyvumo padidėjimo dažnis išliko 1 %. Dėl šių biocheminių laboratorinių rodmenų pokyčių dazatinibo vartojimo nenutraukė nė vienas pacientas.</w:t>
      </w:r>
    </w:p>
    <w:p w14:paraId="18803810" w14:textId="77777777" w:rsidR="00091B58" w:rsidRPr="00C81D88" w:rsidRDefault="00091B58" w:rsidP="00091B58">
      <w:pPr>
        <w:rPr>
          <w:rFonts w:eastAsia="SimSun"/>
          <w:sz w:val="22"/>
          <w:szCs w:val="22"/>
          <w:lang w:eastAsia="zh-CN"/>
        </w:rPr>
      </w:pPr>
    </w:p>
    <w:p w14:paraId="09F37051" w14:textId="77777777" w:rsidR="00091B58" w:rsidRPr="00C81D88" w:rsidRDefault="00091B58" w:rsidP="00091B58">
      <w:pPr>
        <w:rPr>
          <w:rFonts w:eastAsia="SimSun"/>
          <w:i/>
          <w:sz w:val="22"/>
          <w:szCs w:val="22"/>
          <w:lang w:eastAsia="zh-CN"/>
        </w:rPr>
      </w:pPr>
      <w:r w:rsidRPr="00C81D88">
        <w:rPr>
          <w:rFonts w:eastAsia="SimSun"/>
          <w:i/>
          <w:sz w:val="22"/>
          <w:szCs w:val="22"/>
          <w:lang w:eastAsia="zh-CN"/>
        </w:rPr>
        <w:t>2 metų trukmės stebėjimas</w:t>
      </w:r>
    </w:p>
    <w:p w14:paraId="5B28973C" w14:textId="77777777" w:rsidR="00091B58" w:rsidRPr="00C81D88" w:rsidRDefault="00091B58" w:rsidP="00091B58">
      <w:pPr>
        <w:rPr>
          <w:rFonts w:eastAsia="SimSun"/>
          <w:sz w:val="22"/>
          <w:szCs w:val="22"/>
          <w:lang w:eastAsia="zh-CN"/>
        </w:rPr>
      </w:pPr>
      <w:r w:rsidRPr="00C81D88">
        <w:rPr>
          <w:rFonts w:eastAsia="SimSun"/>
          <w:sz w:val="22"/>
          <w:szCs w:val="22"/>
          <w:lang w:eastAsia="zh-CN"/>
        </w:rPr>
        <w:t>3 ar 4 laipsnio transaminazių aktyvumo ar bilirubino kiekio padidėjimas nustatytas 1</w:t>
      </w:r>
      <w:r w:rsidRPr="00C81D88">
        <w:rPr>
          <w:rFonts w:eastAsia="SimSun"/>
          <w:sz w:val="22"/>
          <w:szCs w:val="22"/>
          <w:lang w:eastAsia="zh-CN"/>
        </w:rPr>
        <w:noBreakHyphen/>
        <w:t>7 % Ph+ ŪLL sergančių pacientų. Toks poveikis paprastai buvo kontroliuojamas mažinant dozę arba gydymą laikinai nutraukiant III fazės dozės optimizavimo tyrimo, kuriame dalyvavo Ph+ ŪLL sergantys pacientai, metu 3 ar 4 laipsnio transaminazių aktyvumo ar bilirubino kiekio padidėjimas nustatytas 1</w:t>
      </w:r>
      <w:r w:rsidRPr="00C81D88">
        <w:rPr>
          <w:rFonts w:eastAsia="SimSun"/>
          <w:sz w:val="22"/>
          <w:szCs w:val="22"/>
          <w:lang w:eastAsia="zh-CN"/>
        </w:rPr>
        <w:noBreakHyphen/>
        <w:t>5 % visų gydymo grupių pacientų.</w:t>
      </w:r>
    </w:p>
    <w:p w14:paraId="3F3EC166" w14:textId="77777777" w:rsidR="00091B58" w:rsidRPr="00C81D88" w:rsidRDefault="00091B58" w:rsidP="00091B58">
      <w:pPr>
        <w:rPr>
          <w:rFonts w:eastAsia="SimSun"/>
          <w:sz w:val="22"/>
          <w:szCs w:val="22"/>
          <w:lang w:eastAsia="zh-CN"/>
        </w:rPr>
      </w:pPr>
    </w:p>
    <w:p w14:paraId="658E2F68" w14:textId="77777777" w:rsidR="00091B58" w:rsidRPr="00C81D88" w:rsidRDefault="00091B58" w:rsidP="00091B58">
      <w:pPr>
        <w:rPr>
          <w:rFonts w:eastAsia="SimSun"/>
          <w:sz w:val="22"/>
          <w:szCs w:val="22"/>
          <w:lang w:eastAsia="zh-CN"/>
        </w:rPr>
      </w:pPr>
      <w:r w:rsidRPr="00C81D88">
        <w:rPr>
          <w:rFonts w:eastAsia="SimSun"/>
          <w:sz w:val="22"/>
          <w:szCs w:val="22"/>
          <w:lang w:eastAsia="zh-CN"/>
        </w:rPr>
        <w:t>Maždaug 5 % dazatinibu gydytų pacientų, kurių pradinis kalcio kiekis buvo normalus, tyrimo metu kuriuo nors laiku pasireiškė 3 ar 4 laipsnio laikina hipokalcemija. Apskritai ryšio tarp sumažėjusio kalcio kiekio ir klinikinių simptomų nebuvo. 3 ar 4 laipsnio hipokalcemiją dažnai pavykdavo koreguoti geriamaisiais kalcio papildais.</w:t>
      </w:r>
    </w:p>
    <w:p w14:paraId="1ABDA251"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3 ar 4 laipsnio hipokalcemija, hipokalemija bei hipofosfatemija nustatyta Ph+ ŪLL sergantiems pacientams. </w:t>
      </w:r>
    </w:p>
    <w:p w14:paraId="7808C8BA" w14:textId="77777777" w:rsidR="00091B58" w:rsidRPr="00C81D88" w:rsidRDefault="00091B58" w:rsidP="00091B58">
      <w:pPr>
        <w:rPr>
          <w:rFonts w:eastAsia="SimSun"/>
          <w:sz w:val="22"/>
          <w:szCs w:val="22"/>
          <w:lang w:eastAsia="zh-CN"/>
        </w:rPr>
      </w:pPr>
    </w:p>
    <w:p w14:paraId="04097678"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Vaikų populiacija</w:t>
      </w:r>
    </w:p>
    <w:p w14:paraId="7A128679" w14:textId="77777777" w:rsidR="00091B58" w:rsidRPr="00C81D88" w:rsidRDefault="00091B58" w:rsidP="00091B58">
      <w:pPr>
        <w:rPr>
          <w:rFonts w:eastAsia="SimSun"/>
          <w:sz w:val="22"/>
          <w:szCs w:val="22"/>
          <w:lang w:eastAsia="zh-CN"/>
        </w:rPr>
      </w:pPr>
      <w:r w:rsidRPr="00C81D88">
        <w:rPr>
          <w:rFonts w:eastAsia="SimSun"/>
          <w:sz w:val="22"/>
          <w:szCs w:val="22"/>
          <w:lang w:eastAsia="zh-CN"/>
        </w:rPr>
        <w:lastRenderedPageBreak/>
        <w:t>Dazatinibo derinio su chemoterapija saugumo savybės Ph+ ŪLL sergantiems vaikams buvo panašios į žinomas dazatinibo saugumo savybes suaugusiesiems ir atitiko tikėtiną chemoterapijos poveikį, išskyrus tai, kad pleuros efuzija vaikams pasireiškė rečiau negu suaugusiesiems.</w:t>
      </w:r>
    </w:p>
    <w:p w14:paraId="33BDC898" w14:textId="77777777" w:rsidR="00091B58" w:rsidRPr="00C81D88" w:rsidRDefault="00091B58" w:rsidP="00091B58">
      <w:pPr>
        <w:rPr>
          <w:rFonts w:eastAsia="SimSun"/>
          <w:sz w:val="22"/>
          <w:szCs w:val="22"/>
          <w:lang w:eastAsia="zh-CN"/>
        </w:rPr>
      </w:pPr>
    </w:p>
    <w:p w14:paraId="12C533C8" w14:textId="77777777" w:rsidR="00091B58" w:rsidRPr="00C81D88" w:rsidRDefault="00091B58" w:rsidP="00091B58">
      <w:pPr>
        <w:rPr>
          <w:rFonts w:eastAsia="SimSun"/>
          <w:sz w:val="22"/>
          <w:szCs w:val="22"/>
          <w:lang w:eastAsia="zh-CN"/>
        </w:rPr>
      </w:pPr>
      <w:r w:rsidRPr="00C81D88">
        <w:rPr>
          <w:rFonts w:eastAsia="SimSun"/>
          <w:sz w:val="22"/>
          <w:szCs w:val="22"/>
          <w:lang w:eastAsia="zh-CN"/>
        </w:rPr>
        <w:t>Vaikų ŪLL tyrimų metu nenormalių laboratorinių rodmenų pokyčių dažnis buvo panašus į anksčiau nustatytą nenormalių laboratorinių rodmenų pokyčių dažnį ūmine leukemija sergantiems suaugusiesiems pacientams, kuriems buvo skiriama bazinė chemoterapija.</w:t>
      </w:r>
    </w:p>
    <w:p w14:paraId="32603ADA" w14:textId="77777777" w:rsidR="00091B58" w:rsidRPr="00C81D88" w:rsidRDefault="00091B58" w:rsidP="00091B58">
      <w:pPr>
        <w:rPr>
          <w:rFonts w:eastAsia="SimSun"/>
          <w:sz w:val="22"/>
          <w:szCs w:val="22"/>
          <w:lang w:eastAsia="zh-CN"/>
        </w:rPr>
      </w:pPr>
    </w:p>
    <w:p w14:paraId="30BE83B4"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Ypatingos populiacijos</w:t>
      </w:r>
    </w:p>
    <w:p w14:paraId="17CF674F"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Dazatinibo saugumo savybės senyviems žmonėms yra panašios į nustatytas jaunesniems asmenims, tačiau 65 metų ir vyresniems pacientams dažnų nepageidaujamų reakcijų (pvz., nuovargio, pleuros efuzijos, dusulio, kosulio, kraujavimo apatinėje virškinimo trakto dalyje ir apetito sutrikimų) bei retesnių nepageidaujamų reakcijų (pvz., pilvo tempimo, svaigulio, perikardo efuzijos, stazinio širdies nepakankamumo ir kūno svorio sumažėjimo) rizika yra didesnė, todėl jų būklę reikia atidžiai stebėti (žr. 4.4 skyrių).</w:t>
      </w:r>
    </w:p>
    <w:p w14:paraId="0ABB1027" w14:textId="77777777" w:rsidR="00091B58" w:rsidRPr="00C81D88" w:rsidRDefault="00091B58" w:rsidP="00091B58">
      <w:pPr>
        <w:rPr>
          <w:rFonts w:eastAsia="SimSun"/>
          <w:sz w:val="22"/>
          <w:szCs w:val="22"/>
          <w:lang w:eastAsia="zh-CN"/>
        </w:rPr>
      </w:pPr>
    </w:p>
    <w:p w14:paraId="45676276" w14:textId="77777777" w:rsidR="00091B58" w:rsidRPr="00C81D88" w:rsidRDefault="00091B58" w:rsidP="00091B58">
      <w:pPr>
        <w:autoSpaceDE w:val="0"/>
        <w:autoSpaceDN w:val="0"/>
        <w:adjustRightInd w:val="0"/>
        <w:rPr>
          <w:snapToGrid w:val="0"/>
          <w:sz w:val="22"/>
          <w:szCs w:val="22"/>
          <w:u w:val="single"/>
        </w:rPr>
      </w:pPr>
      <w:r w:rsidRPr="00C81D88">
        <w:rPr>
          <w:snapToGrid w:val="0"/>
          <w:sz w:val="22"/>
          <w:szCs w:val="22"/>
          <w:u w:val="single"/>
        </w:rPr>
        <w:t>Pranešimas apie įtariamas nepageidaujamas reakcijas</w:t>
      </w:r>
    </w:p>
    <w:p w14:paraId="2A392ED9" w14:textId="6C336EB5" w:rsidR="00091B58" w:rsidRPr="00C81D88" w:rsidRDefault="001B5BDF" w:rsidP="00091B58">
      <w:pPr>
        <w:autoSpaceDE w:val="0"/>
        <w:autoSpaceDN w:val="0"/>
        <w:adjustRightInd w:val="0"/>
        <w:rPr>
          <w:snapToGrid w:val="0"/>
          <w:sz w:val="22"/>
          <w:szCs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6EC6F679" w14:textId="77777777" w:rsidR="00091B58" w:rsidRPr="00C81D88" w:rsidRDefault="00091B58" w:rsidP="00091B58">
      <w:pPr>
        <w:rPr>
          <w:rFonts w:eastAsia="SimSun"/>
          <w:sz w:val="22"/>
          <w:szCs w:val="22"/>
          <w:lang w:eastAsia="zh-CN"/>
        </w:rPr>
      </w:pPr>
    </w:p>
    <w:p w14:paraId="61EA7046" w14:textId="77777777" w:rsidR="00091B58" w:rsidRPr="00C81D88" w:rsidRDefault="00091B58" w:rsidP="00091B58">
      <w:pPr>
        <w:rPr>
          <w:rFonts w:eastAsia="SimSun"/>
          <w:b/>
          <w:sz w:val="22"/>
          <w:szCs w:val="22"/>
        </w:rPr>
      </w:pPr>
      <w:r w:rsidRPr="00C81D88">
        <w:rPr>
          <w:rFonts w:eastAsia="SimSun"/>
          <w:b/>
          <w:sz w:val="22"/>
          <w:szCs w:val="22"/>
        </w:rPr>
        <w:t>4.9</w:t>
      </w:r>
      <w:r w:rsidRPr="00C81D88">
        <w:rPr>
          <w:rFonts w:eastAsia="SimSun"/>
          <w:b/>
          <w:sz w:val="22"/>
          <w:szCs w:val="22"/>
        </w:rPr>
        <w:tab/>
        <w:t>Perdozavimas</w:t>
      </w:r>
    </w:p>
    <w:p w14:paraId="79E2120E" w14:textId="77777777" w:rsidR="00091B58" w:rsidRPr="00C81D88" w:rsidRDefault="00091B58" w:rsidP="00091B58">
      <w:pPr>
        <w:widowControl w:val="0"/>
        <w:autoSpaceDE w:val="0"/>
        <w:autoSpaceDN w:val="0"/>
        <w:adjustRightInd w:val="0"/>
        <w:rPr>
          <w:rFonts w:eastAsia="SimSun"/>
          <w:sz w:val="22"/>
          <w:szCs w:val="22"/>
        </w:rPr>
      </w:pPr>
    </w:p>
    <w:p w14:paraId="70DBA11D"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Klinikinių tyrimų metu buvo tik pavienių dazatinibo perdozavimo atvejų. Du didžiausią dozę suvartoję pacientai vartojo 280 mg paros dozę vieną savaitę, jiems abiem reikšmingai sumažėjo trombocitų kiekis. Dazatinibas yra susijęs su 3 ar 4 laipsnio kaulų čiulpų slopinimu (žr. 4.4 skyrių), todėl didesnę negu rekomenduojama dozę išgėrusį pacientą reikia atidžiai stebėti dėl galimo kaulų čiulpų slopinimo ir skirti tinkamą palaikomąjį gydymą.</w:t>
      </w:r>
    </w:p>
    <w:p w14:paraId="34C0C375" w14:textId="77777777" w:rsidR="00091B58" w:rsidRPr="00C81D88" w:rsidRDefault="00091B58" w:rsidP="00091B58">
      <w:pPr>
        <w:widowControl w:val="0"/>
        <w:autoSpaceDE w:val="0"/>
        <w:autoSpaceDN w:val="0"/>
        <w:adjustRightInd w:val="0"/>
        <w:rPr>
          <w:rFonts w:eastAsia="SimSun"/>
          <w:sz w:val="22"/>
          <w:szCs w:val="22"/>
          <w:lang w:eastAsia="zh-CN"/>
        </w:rPr>
      </w:pPr>
    </w:p>
    <w:p w14:paraId="621724F6" w14:textId="77777777" w:rsidR="00091B58" w:rsidRPr="00C81D88" w:rsidRDefault="00091B58" w:rsidP="00091B58">
      <w:pPr>
        <w:widowControl w:val="0"/>
        <w:autoSpaceDE w:val="0"/>
        <w:autoSpaceDN w:val="0"/>
        <w:adjustRightInd w:val="0"/>
        <w:rPr>
          <w:rFonts w:eastAsia="SimSun"/>
          <w:sz w:val="22"/>
          <w:szCs w:val="22"/>
          <w:lang w:eastAsia="zh-CN"/>
        </w:rPr>
      </w:pPr>
    </w:p>
    <w:p w14:paraId="2CF1D9D2" w14:textId="77777777" w:rsidR="00091B58" w:rsidRPr="00C81D88" w:rsidRDefault="00091B58" w:rsidP="00091B58">
      <w:pPr>
        <w:widowControl w:val="0"/>
        <w:autoSpaceDE w:val="0"/>
        <w:autoSpaceDN w:val="0"/>
        <w:adjustRightInd w:val="0"/>
        <w:rPr>
          <w:rFonts w:eastAsia="SimSun"/>
          <w:b/>
          <w:sz w:val="22"/>
          <w:szCs w:val="22"/>
          <w:lang w:eastAsia="zh-CN"/>
        </w:rPr>
      </w:pPr>
      <w:r w:rsidRPr="00C81D88">
        <w:rPr>
          <w:rFonts w:eastAsia="SimSun"/>
          <w:b/>
          <w:sz w:val="22"/>
          <w:szCs w:val="22"/>
          <w:lang w:eastAsia="zh-CN"/>
        </w:rPr>
        <w:t>5.</w:t>
      </w:r>
      <w:r w:rsidRPr="00C81D88">
        <w:rPr>
          <w:rFonts w:eastAsia="SimSun"/>
          <w:b/>
          <w:sz w:val="22"/>
          <w:szCs w:val="22"/>
          <w:lang w:eastAsia="zh-CN"/>
        </w:rPr>
        <w:tab/>
        <w:t>FARMAKOLOGINĖS SAVYBĖS</w:t>
      </w:r>
    </w:p>
    <w:p w14:paraId="553E08B5" w14:textId="77777777" w:rsidR="00091B58" w:rsidRPr="00C81D88" w:rsidRDefault="00091B58" w:rsidP="00091B58">
      <w:pPr>
        <w:widowControl w:val="0"/>
        <w:autoSpaceDE w:val="0"/>
        <w:autoSpaceDN w:val="0"/>
        <w:adjustRightInd w:val="0"/>
        <w:rPr>
          <w:rFonts w:eastAsia="SimSun"/>
          <w:sz w:val="22"/>
          <w:szCs w:val="22"/>
          <w:lang w:eastAsia="zh-CN"/>
        </w:rPr>
      </w:pPr>
    </w:p>
    <w:p w14:paraId="47E0E32B" w14:textId="77777777" w:rsidR="00091B58" w:rsidRPr="00C81D88" w:rsidRDefault="00091B58" w:rsidP="00091B58">
      <w:pPr>
        <w:widowControl w:val="0"/>
        <w:autoSpaceDE w:val="0"/>
        <w:autoSpaceDN w:val="0"/>
        <w:adjustRightInd w:val="0"/>
        <w:rPr>
          <w:rFonts w:eastAsia="SimSun"/>
          <w:b/>
          <w:sz w:val="22"/>
          <w:szCs w:val="22"/>
          <w:lang w:eastAsia="zh-CN"/>
        </w:rPr>
      </w:pPr>
      <w:r w:rsidRPr="00C81D88">
        <w:rPr>
          <w:rFonts w:eastAsia="SimSun"/>
          <w:b/>
          <w:sz w:val="22"/>
          <w:szCs w:val="22"/>
          <w:lang w:eastAsia="zh-CN"/>
        </w:rPr>
        <w:t>5.1</w:t>
      </w:r>
      <w:r w:rsidRPr="00C81D88">
        <w:rPr>
          <w:rFonts w:eastAsia="SimSun"/>
          <w:b/>
          <w:sz w:val="22"/>
          <w:szCs w:val="22"/>
          <w:lang w:eastAsia="zh-CN"/>
        </w:rPr>
        <w:tab/>
        <w:t>Farmakodinaminės savybės</w:t>
      </w:r>
    </w:p>
    <w:p w14:paraId="1977B32D" w14:textId="77777777" w:rsidR="00091B58" w:rsidRPr="00C81D88" w:rsidRDefault="00091B58" w:rsidP="00091B58">
      <w:pPr>
        <w:widowControl w:val="0"/>
        <w:autoSpaceDE w:val="0"/>
        <w:autoSpaceDN w:val="0"/>
        <w:adjustRightInd w:val="0"/>
        <w:rPr>
          <w:rFonts w:eastAsia="SimSun"/>
          <w:sz w:val="22"/>
          <w:szCs w:val="22"/>
          <w:lang w:eastAsia="zh-CN"/>
        </w:rPr>
      </w:pPr>
    </w:p>
    <w:p w14:paraId="202194EC"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Farmakoterapinė grupė – vaistiniai preparatai nuo vėžio, proteinkinazės inhibitoriai.</w:t>
      </w:r>
    </w:p>
    <w:p w14:paraId="435AF7D4" w14:textId="029245AD"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ATC kodas –</w:t>
      </w:r>
      <w:r w:rsidR="00B3092D">
        <w:rPr>
          <w:rFonts w:eastAsia="SimSun"/>
          <w:sz w:val="22"/>
          <w:szCs w:val="22"/>
          <w:lang w:eastAsia="zh-CN"/>
        </w:rPr>
        <w:t xml:space="preserve"> L01EA02</w:t>
      </w:r>
      <w:r w:rsidRPr="00C81D88">
        <w:rPr>
          <w:rFonts w:eastAsia="SimSun"/>
          <w:sz w:val="22"/>
          <w:szCs w:val="22"/>
          <w:lang w:eastAsia="zh-CN"/>
        </w:rPr>
        <w:t>.</w:t>
      </w:r>
    </w:p>
    <w:p w14:paraId="13E24E8B" w14:textId="77777777" w:rsidR="00091B58" w:rsidRPr="00C81D88" w:rsidRDefault="00091B58" w:rsidP="00091B58">
      <w:pPr>
        <w:widowControl w:val="0"/>
        <w:autoSpaceDE w:val="0"/>
        <w:autoSpaceDN w:val="0"/>
        <w:adjustRightInd w:val="0"/>
        <w:rPr>
          <w:rFonts w:eastAsia="SimSun"/>
          <w:sz w:val="22"/>
          <w:szCs w:val="22"/>
          <w:lang w:eastAsia="zh-CN"/>
        </w:rPr>
      </w:pPr>
    </w:p>
    <w:p w14:paraId="6BEBEBC2" w14:textId="77777777" w:rsidR="00091B58" w:rsidRPr="00C81D88" w:rsidRDefault="00091B58" w:rsidP="00091B58">
      <w:pPr>
        <w:widowControl w:val="0"/>
        <w:autoSpaceDE w:val="0"/>
        <w:autoSpaceDN w:val="0"/>
        <w:adjustRightInd w:val="0"/>
        <w:rPr>
          <w:rFonts w:eastAsia="SimSun"/>
          <w:sz w:val="22"/>
          <w:szCs w:val="22"/>
          <w:u w:val="single"/>
          <w:lang w:eastAsia="zh-CN"/>
        </w:rPr>
      </w:pPr>
      <w:r w:rsidRPr="00C81D88">
        <w:rPr>
          <w:rFonts w:eastAsia="SimSun"/>
          <w:sz w:val="22"/>
          <w:szCs w:val="22"/>
          <w:u w:val="single"/>
          <w:lang w:eastAsia="zh-CN"/>
        </w:rPr>
        <w:t>Farmakodinamika</w:t>
      </w:r>
    </w:p>
    <w:p w14:paraId="54C05355"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Dazatinibas slopina BCR-ABL kinazės ir SRC šeimos kinazių aktyvumą, taip pat daugelį kitų onkogeninių kinazių, tarp jų c-KIT, efrino (EPH) receptorių kinazes ir PDGFβ receptorius. Dazatinibas yra stipriai veikiantis BCR-ABL kinazės inhibitorius, kurio poveikis pasireiškia esant subnanomolinei koncentracijai (0,6</w:t>
      </w:r>
      <w:r w:rsidRPr="00C81D88">
        <w:rPr>
          <w:rFonts w:eastAsia="SimSun"/>
          <w:sz w:val="22"/>
          <w:szCs w:val="22"/>
          <w:lang w:eastAsia="zh-CN"/>
        </w:rPr>
        <w:noBreakHyphen/>
        <w:t>0,8 nM). Dazatinibas prisijungia tiek prie neaktyvios, tiek prie aktyvios konformacijos BCR-ABL fermento.</w:t>
      </w:r>
    </w:p>
    <w:p w14:paraId="7149C668" w14:textId="77777777" w:rsidR="00091B58" w:rsidRPr="00C81D88" w:rsidRDefault="00091B58" w:rsidP="00091B58">
      <w:pPr>
        <w:widowControl w:val="0"/>
        <w:autoSpaceDE w:val="0"/>
        <w:autoSpaceDN w:val="0"/>
        <w:adjustRightInd w:val="0"/>
        <w:rPr>
          <w:rFonts w:eastAsia="SimSun"/>
          <w:sz w:val="22"/>
          <w:szCs w:val="22"/>
          <w:lang w:eastAsia="zh-CN"/>
        </w:rPr>
      </w:pPr>
    </w:p>
    <w:p w14:paraId="364D7E84" w14:textId="77777777" w:rsidR="00091B58" w:rsidRPr="00C81D88" w:rsidRDefault="00091B58" w:rsidP="00091B58">
      <w:pPr>
        <w:widowControl w:val="0"/>
        <w:autoSpaceDE w:val="0"/>
        <w:autoSpaceDN w:val="0"/>
        <w:adjustRightInd w:val="0"/>
        <w:rPr>
          <w:rFonts w:eastAsia="SimSun"/>
          <w:sz w:val="22"/>
          <w:szCs w:val="22"/>
          <w:u w:val="single"/>
          <w:lang w:eastAsia="zh-CN"/>
        </w:rPr>
      </w:pPr>
      <w:r w:rsidRPr="00C81D88">
        <w:rPr>
          <w:rFonts w:eastAsia="SimSun"/>
          <w:sz w:val="22"/>
          <w:szCs w:val="22"/>
          <w:u w:val="single"/>
          <w:lang w:eastAsia="zh-CN"/>
        </w:rPr>
        <w:t>Veikimo mechanizmas</w:t>
      </w:r>
    </w:p>
    <w:p w14:paraId="55FB55CF"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i/>
          <w:sz w:val="22"/>
          <w:szCs w:val="22"/>
          <w:lang w:eastAsia="zh-CN"/>
        </w:rPr>
        <w:t>In vitro</w:t>
      </w:r>
      <w:r w:rsidRPr="00C81D88">
        <w:rPr>
          <w:rFonts w:eastAsia="SimSun"/>
          <w:sz w:val="22"/>
          <w:szCs w:val="22"/>
          <w:lang w:eastAsia="zh-CN"/>
        </w:rPr>
        <w:t xml:space="preserve"> dazatinibas yra aktyvus prieš imatinibui jautrios ir jam atsparios ligos leukeminių ląstelių linijas. Šie ikiklinikiniai tyrimai parodė, kad dazatinibas gali veikti ir tada, kai yra atsparumas imatinibui dėl BCR-ABL hiperekspresijos, BCR-ABL kinazės domeno mutacijų, alternatyvių signalo perdavimo kelių dalyvaujant SRC šeimos kinazėms (LYN, HCK) suaktyvėjimo ir atsparumą daugeliui vaistinių preparatų lemiančių genų hiperekspresijos. Be to, subnanomolinės dazatinibo koncentracijos slopina SRC šeimos kinazes.</w:t>
      </w:r>
    </w:p>
    <w:p w14:paraId="2617C775" w14:textId="77777777" w:rsidR="00091B58" w:rsidRPr="00C81D88" w:rsidRDefault="00091B58" w:rsidP="00091B58">
      <w:pPr>
        <w:widowControl w:val="0"/>
        <w:autoSpaceDE w:val="0"/>
        <w:autoSpaceDN w:val="0"/>
        <w:adjustRightInd w:val="0"/>
        <w:rPr>
          <w:rFonts w:eastAsia="SimSun"/>
          <w:sz w:val="22"/>
          <w:szCs w:val="22"/>
          <w:lang w:eastAsia="zh-CN"/>
        </w:rPr>
      </w:pPr>
    </w:p>
    <w:p w14:paraId="794BA480" w14:textId="77777777" w:rsidR="00091B58" w:rsidRPr="00C81D88" w:rsidRDefault="00091B58" w:rsidP="00091B58">
      <w:pPr>
        <w:widowControl w:val="0"/>
        <w:autoSpaceDE w:val="0"/>
        <w:autoSpaceDN w:val="0"/>
        <w:adjustRightInd w:val="0"/>
        <w:rPr>
          <w:rFonts w:eastAsia="SimSun"/>
          <w:sz w:val="22"/>
          <w:szCs w:val="22"/>
          <w:u w:val="single"/>
          <w:lang w:eastAsia="zh-CN"/>
        </w:rPr>
      </w:pPr>
      <w:r w:rsidRPr="00C81D88">
        <w:rPr>
          <w:rFonts w:eastAsia="SimSun"/>
          <w:sz w:val="22"/>
          <w:szCs w:val="22"/>
          <w:u w:val="single"/>
          <w:lang w:eastAsia="zh-CN"/>
        </w:rPr>
        <w:t>Klinikinis veiksmingumas ir saugumas</w:t>
      </w:r>
    </w:p>
    <w:p w14:paraId="65F2A9E6"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 xml:space="preserve">I fazės tyrimo metu hematologinis ir citogenetinis atsakas pirmiesiems gydytiems pacientams, </w:t>
      </w:r>
      <w:r w:rsidRPr="00C81D88">
        <w:rPr>
          <w:rFonts w:eastAsia="SimSun"/>
          <w:sz w:val="22"/>
          <w:szCs w:val="22"/>
          <w:lang w:eastAsia="zh-CN"/>
        </w:rPr>
        <w:lastRenderedPageBreak/>
        <w:t>stebėtiems iki 27 mėnesių, nustatytas Ph+ ŪLL. Ph+ ŪLL jis buvo ilgalaikis.</w:t>
      </w:r>
    </w:p>
    <w:p w14:paraId="296CCFDF" w14:textId="77777777" w:rsidR="00091B58" w:rsidRPr="00C81D88" w:rsidRDefault="00091B58" w:rsidP="00091B58">
      <w:pPr>
        <w:widowControl w:val="0"/>
        <w:autoSpaceDE w:val="0"/>
        <w:autoSpaceDN w:val="0"/>
        <w:adjustRightInd w:val="0"/>
        <w:rPr>
          <w:rFonts w:eastAsia="SimSun"/>
          <w:sz w:val="22"/>
          <w:szCs w:val="22"/>
          <w:lang w:eastAsia="zh-CN"/>
        </w:rPr>
      </w:pPr>
    </w:p>
    <w:p w14:paraId="4E6F6664"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Dazatinibo veiksmingumo įrodymai pagrįsti hematologinio ir citogenetinio atsako dažniu.</w:t>
      </w:r>
    </w:p>
    <w:p w14:paraId="22B7F601"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Papildomi dazatinibo klinikinės naudos įrodymai yra sukeliamo atsako trukmė ir apskaičiuoti išgyvenimo parametrai.</w:t>
      </w:r>
    </w:p>
    <w:p w14:paraId="06653884" w14:textId="77777777" w:rsidR="00091B58" w:rsidRPr="00C81D88" w:rsidRDefault="00091B58" w:rsidP="00091B58">
      <w:pPr>
        <w:widowControl w:val="0"/>
        <w:autoSpaceDE w:val="0"/>
        <w:autoSpaceDN w:val="0"/>
        <w:adjustRightInd w:val="0"/>
        <w:rPr>
          <w:rFonts w:eastAsia="SimSun"/>
          <w:sz w:val="22"/>
          <w:szCs w:val="22"/>
          <w:lang w:eastAsia="zh-CN"/>
        </w:rPr>
      </w:pPr>
    </w:p>
    <w:p w14:paraId="7435E39C" w14:textId="77777777" w:rsidR="00091B58" w:rsidRPr="00C81D88" w:rsidRDefault="00091B58" w:rsidP="00091B58">
      <w:pPr>
        <w:widowControl w:val="0"/>
        <w:autoSpaceDE w:val="0"/>
        <w:autoSpaceDN w:val="0"/>
        <w:adjustRightInd w:val="0"/>
        <w:rPr>
          <w:rFonts w:eastAsia="SimSun"/>
          <w:sz w:val="22"/>
          <w:szCs w:val="22"/>
          <w:lang w:eastAsia="zh-CN"/>
        </w:rPr>
      </w:pPr>
      <w:r w:rsidRPr="00C81D88">
        <w:rPr>
          <w:rFonts w:eastAsia="SimSun"/>
          <w:sz w:val="22"/>
          <w:szCs w:val="22"/>
          <w:lang w:eastAsia="zh-CN"/>
        </w:rPr>
        <w:t>Klinikinių tyrimų metu iš viso tirta 2 712 pacientų, 23 % iš jų buvo 65 metų ar vyresni, 5 % – 75 metų ar vyresni.</w:t>
      </w:r>
    </w:p>
    <w:p w14:paraId="5269D8B3" w14:textId="77777777" w:rsidR="00091B58" w:rsidRPr="00C81D88" w:rsidRDefault="00091B58" w:rsidP="00091B58">
      <w:pPr>
        <w:widowControl w:val="0"/>
        <w:autoSpaceDE w:val="0"/>
        <w:autoSpaceDN w:val="0"/>
        <w:adjustRightInd w:val="0"/>
        <w:rPr>
          <w:rFonts w:eastAsia="SimSun"/>
          <w:sz w:val="22"/>
          <w:szCs w:val="22"/>
          <w:lang w:eastAsia="zh-CN"/>
        </w:rPr>
      </w:pPr>
    </w:p>
    <w:p w14:paraId="41AB1CC6" w14:textId="77777777" w:rsidR="00091B58" w:rsidRPr="00C81D88" w:rsidRDefault="00091B58" w:rsidP="00091B58">
      <w:pPr>
        <w:widowControl w:val="0"/>
        <w:autoSpaceDE w:val="0"/>
        <w:autoSpaceDN w:val="0"/>
        <w:adjustRightInd w:val="0"/>
        <w:rPr>
          <w:i/>
          <w:sz w:val="22"/>
          <w:szCs w:val="22"/>
          <w:u w:val="single"/>
        </w:rPr>
      </w:pPr>
      <w:r w:rsidRPr="00C81D88">
        <w:rPr>
          <w:i/>
          <w:sz w:val="22"/>
          <w:szCs w:val="22"/>
          <w:u w:val="single"/>
        </w:rPr>
        <w:t>Ph+ ŪLL</w:t>
      </w:r>
    </w:p>
    <w:p w14:paraId="5C7BB849" w14:textId="77777777" w:rsidR="00091B58" w:rsidRPr="00C81D88" w:rsidRDefault="00091B58" w:rsidP="00091B58">
      <w:pPr>
        <w:widowControl w:val="0"/>
        <w:autoSpaceDE w:val="0"/>
        <w:autoSpaceDN w:val="0"/>
        <w:adjustRightInd w:val="0"/>
        <w:rPr>
          <w:sz w:val="22"/>
          <w:szCs w:val="22"/>
        </w:rPr>
      </w:pPr>
      <w:r w:rsidRPr="00C81D88">
        <w:rPr>
          <w:sz w:val="22"/>
          <w:szCs w:val="22"/>
        </w:rPr>
        <w:t>Atliktas atviras vienos grupės daugiacentrinis tyrimas su Ph+ ŪLL sergančiais pacientais, kurie netoleravo imatinibo arba į jį nereagavo. Iš viso po 70 mg dazatinibo du kartus per parą vartojo 46 Ph+ ŪLL sirgę pacientai (44 liga į imatinibą nereagavo, 2 jo netoleravo). Laikotarpio nuo diagnozės nustatymo iki gydymo pradžios mediana buvo 18 mėnesių. Dazatinibo vartojimo trukmės mediana buvo 3 mėnesiai, 7 % pacientų iki šiol gydyti ilgiau kaip 24 mėnesius. Didžiojo molekulinio atsako dažnis po 24 mėnesių buvo 52 % (nustatytas visiems 25 gydytiems pacientams, kuriems pasireiškė CCyR). Kiti veiksmingumo duomenys pateikiami 6 lentelėje. Didysis hematologinis atsakas (MaHR) pasireikšdavo greitai (sergantiems Ph+ ŪLL – per 55 dienas po pirmojo dazatinibo pavartojimo).</w:t>
      </w:r>
    </w:p>
    <w:p w14:paraId="1159B8FD" w14:textId="77777777" w:rsidR="00091B58" w:rsidRPr="00C81D88" w:rsidRDefault="00091B58" w:rsidP="00091B58">
      <w:pPr>
        <w:widowControl w:val="0"/>
        <w:autoSpaceDE w:val="0"/>
        <w:autoSpaceDN w:val="0"/>
        <w:adjustRightInd w:val="0"/>
        <w:rPr>
          <w:rFonts w:eastAsia="SimSun"/>
          <w:iCs/>
          <w:sz w:val="22"/>
          <w:szCs w:val="22"/>
          <w:lang w:eastAsia="zh-CN"/>
        </w:rPr>
      </w:pPr>
    </w:p>
    <w:p w14:paraId="3A1A8E0A" w14:textId="77777777" w:rsidR="00091B58" w:rsidRPr="00C81D88" w:rsidRDefault="00091B58" w:rsidP="00091B58">
      <w:pPr>
        <w:widowControl w:val="0"/>
        <w:autoSpaceDE w:val="0"/>
        <w:autoSpaceDN w:val="0"/>
        <w:adjustRightInd w:val="0"/>
        <w:rPr>
          <w:rFonts w:eastAsia="SimSun"/>
          <w:b/>
          <w:bCs/>
          <w:iCs/>
          <w:sz w:val="22"/>
          <w:szCs w:val="22"/>
          <w:vertAlign w:val="superscript"/>
          <w:lang w:eastAsia="zh-CN"/>
        </w:rPr>
      </w:pPr>
      <w:r w:rsidRPr="00C81D88">
        <w:rPr>
          <w:rFonts w:eastAsia="SimSun"/>
          <w:b/>
          <w:bCs/>
          <w:iCs/>
          <w:sz w:val="22"/>
          <w:szCs w:val="22"/>
          <w:lang w:eastAsia="zh-CN"/>
        </w:rPr>
        <w:t>6 lentelė. Dazatinibo veiksmingumas II fazės vienos grupės klinikinių tyrimo metu</w:t>
      </w:r>
      <w:r w:rsidRPr="00C81D88">
        <w:rPr>
          <w:rFonts w:eastAsia="SimSun"/>
          <w:b/>
          <w:bCs/>
          <w:iCs/>
          <w:sz w:val="22"/>
          <w:szCs w:val="22"/>
          <w:vertAlign w:val="superscript"/>
          <w:lang w:eastAsia="zh-CN"/>
        </w:rPr>
        <w:t>a</w:t>
      </w:r>
    </w:p>
    <w:tbl>
      <w:tblPr>
        <w:tblW w:w="0" w:type="auto"/>
        <w:tblInd w:w="117" w:type="dxa"/>
        <w:tblLayout w:type="fixed"/>
        <w:tblCellMar>
          <w:left w:w="0" w:type="dxa"/>
          <w:right w:w="0" w:type="dxa"/>
        </w:tblCellMar>
        <w:tblLook w:val="01E0" w:firstRow="1" w:lastRow="1" w:firstColumn="1" w:lastColumn="1" w:noHBand="0" w:noVBand="0"/>
      </w:tblPr>
      <w:tblGrid>
        <w:gridCol w:w="2097"/>
        <w:gridCol w:w="23"/>
        <w:gridCol w:w="4993"/>
      </w:tblGrid>
      <w:tr w:rsidR="00091B58" w:rsidRPr="00C81D88" w14:paraId="4612F13E" w14:textId="77777777" w:rsidTr="00E41AEB">
        <w:trPr>
          <w:trHeight w:hRule="exact" w:val="543"/>
        </w:trPr>
        <w:tc>
          <w:tcPr>
            <w:tcW w:w="7113" w:type="dxa"/>
            <w:gridSpan w:val="3"/>
            <w:tcBorders>
              <w:top w:val="single" w:sz="5" w:space="0" w:color="000000"/>
              <w:left w:val="nil"/>
              <w:bottom w:val="single" w:sz="5" w:space="0" w:color="000000"/>
              <w:right w:val="nil"/>
            </w:tcBorders>
          </w:tcPr>
          <w:p w14:paraId="27C7DE17" w14:textId="77777777" w:rsidR="00091B58" w:rsidRPr="00C81D88" w:rsidRDefault="00091B58" w:rsidP="00AB3BF3">
            <w:pPr>
              <w:widowControl w:val="0"/>
              <w:autoSpaceDE w:val="0"/>
              <w:autoSpaceDN w:val="0"/>
              <w:adjustRightInd w:val="0"/>
              <w:ind w:left="3141"/>
              <w:jc w:val="center"/>
              <w:rPr>
                <w:b/>
                <w:spacing w:val="-1"/>
                <w:sz w:val="22"/>
                <w:szCs w:val="22"/>
              </w:rPr>
            </w:pPr>
            <w:r w:rsidRPr="00C81D88">
              <w:rPr>
                <w:b/>
                <w:spacing w:val="-1"/>
                <w:sz w:val="22"/>
                <w:szCs w:val="22"/>
              </w:rPr>
              <w:t>Ph+ ŪLL</w:t>
            </w:r>
          </w:p>
          <w:p w14:paraId="399FE4A2" w14:textId="77777777" w:rsidR="00091B58" w:rsidRPr="00C81D88" w:rsidRDefault="00091B58" w:rsidP="00AB3BF3">
            <w:pPr>
              <w:widowControl w:val="0"/>
              <w:autoSpaceDE w:val="0"/>
              <w:autoSpaceDN w:val="0"/>
              <w:adjustRightInd w:val="0"/>
              <w:ind w:left="3141"/>
              <w:jc w:val="center"/>
              <w:rPr>
                <w:sz w:val="22"/>
                <w:szCs w:val="22"/>
              </w:rPr>
            </w:pPr>
            <w:r w:rsidRPr="00C81D88">
              <w:rPr>
                <w:b/>
                <w:spacing w:val="-1"/>
                <w:sz w:val="22"/>
                <w:szCs w:val="22"/>
              </w:rPr>
              <w:t>(n=46)</w:t>
            </w:r>
          </w:p>
        </w:tc>
      </w:tr>
      <w:tr w:rsidR="00091B58" w:rsidRPr="00C81D88" w14:paraId="65E2E1BA" w14:textId="77777777" w:rsidTr="00AB3BF3">
        <w:trPr>
          <w:trHeight w:hRule="exact" w:val="428"/>
        </w:trPr>
        <w:tc>
          <w:tcPr>
            <w:tcW w:w="7113" w:type="dxa"/>
            <w:gridSpan w:val="3"/>
            <w:tcBorders>
              <w:top w:val="single" w:sz="5" w:space="0" w:color="000000"/>
              <w:left w:val="nil"/>
              <w:bottom w:val="single" w:sz="4" w:space="0" w:color="auto"/>
              <w:right w:val="nil"/>
            </w:tcBorders>
          </w:tcPr>
          <w:p w14:paraId="5FBDC1EC" w14:textId="77777777" w:rsidR="00091B58" w:rsidRPr="00C81D88" w:rsidRDefault="00091B58" w:rsidP="00AB3BF3">
            <w:pPr>
              <w:widowControl w:val="0"/>
              <w:autoSpaceDE w:val="0"/>
              <w:autoSpaceDN w:val="0"/>
              <w:adjustRightInd w:val="0"/>
              <w:ind w:left="108"/>
              <w:rPr>
                <w:b/>
                <w:sz w:val="22"/>
                <w:szCs w:val="22"/>
              </w:rPr>
            </w:pPr>
            <w:r w:rsidRPr="00C81D88">
              <w:rPr>
                <w:b/>
                <w:spacing w:val="1"/>
                <w:sz w:val="22"/>
                <w:szCs w:val="22"/>
              </w:rPr>
              <w:t>Hematologinio atsako dažnis</w:t>
            </w:r>
            <w:r w:rsidRPr="00C81D88">
              <w:rPr>
                <w:b/>
                <w:spacing w:val="1"/>
                <w:sz w:val="22"/>
                <w:szCs w:val="22"/>
                <w:vertAlign w:val="superscript"/>
              </w:rPr>
              <w:t>b</w:t>
            </w:r>
            <w:r w:rsidRPr="00C81D88">
              <w:rPr>
                <w:b/>
                <w:spacing w:val="1"/>
                <w:sz w:val="22"/>
                <w:szCs w:val="22"/>
              </w:rPr>
              <w:t xml:space="preserve"> (%)</w:t>
            </w:r>
          </w:p>
          <w:p w14:paraId="0DC551E1" w14:textId="77777777" w:rsidR="00091B58" w:rsidRPr="00C81D88" w:rsidRDefault="00091B58" w:rsidP="00AB3BF3">
            <w:pPr>
              <w:widowControl w:val="0"/>
              <w:autoSpaceDE w:val="0"/>
              <w:autoSpaceDN w:val="0"/>
              <w:adjustRightInd w:val="0"/>
              <w:jc w:val="right"/>
              <w:rPr>
                <w:sz w:val="22"/>
                <w:szCs w:val="22"/>
              </w:rPr>
            </w:pPr>
          </w:p>
        </w:tc>
      </w:tr>
      <w:tr w:rsidR="00091B58" w:rsidRPr="00C81D88" w14:paraId="27AFCC77" w14:textId="77777777" w:rsidTr="00AB3BF3">
        <w:trPr>
          <w:trHeight w:hRule="exact" w:val="285"/>
        </w:trPr>
        <w:tc>
          <w:tcPr>
            <w:tcW w:w="2097" w:type="dxa"/>
            <w:tcBorders>
              <w:top w:val="single" w:sz="4" w:space="0" w:color="auto"/>
              <w:left w:val="nil"/>
              <w:bottom w:val="nil"/>
              <w:right w:val="nil"/>
            </w:tcBorders>
          </w:tcPr>
          <w:p w14:paraId="4BFA973A" w14:textId="77777777" w:rsidR="00091B58" w:rsidRPr="00C81D88" w:rsidRDefault="00091B58" w:rsidP="00AB3BF3">
            <w:pPr>
              <w:widowControl w:val="0"/>
              <w:autoSpaceDE w:val="0"/>
              <w:autoSpaceDN w:val="0"/>
              <w:adjustRightInd w:val="0"/>
              <w:ind w:left="108"/>
              <w:rPr>
                <w:sz w:val="22"/>
                <w:szCs w:val="22"/>
              </w:rPr>
            </w:pPr>
            <w:r w:rsidRPr="00C81D88">
              <w:rPr>
                <w:spacing w:val="-1"/>
                <w:sz w:val="22"/>
                <w:szCs w:val="22"/>
              </w:rPr>
              <w:t>MaHR (95 % PI)</w:t>
            </w:r>
          </w:p>
        </w:tc>
        <w:tc>
          <w:tcPr>
            <w:tcW w:w="23" w:type="dxa"/>
            <w:tcBorders>
              <w:top w:val="single" w:sz="4" w:space="0" w:color="auto"/>
              <w:left w:val="nil"/>
              <w:bottom w:val="nil"/>
              <w:right w:val="nil"/>
            </w:tcBorders>
          </w:tcPr>
          <w:p w14:paraId="6788732B" w14:textId="77777777" w:rsidR="00091B58" w:rsidRPr="00C81D88" w:rsidRDefault="00091B58" w:rsidP="00AB3BF3">
            <w:pPr>
              <w:jc w:val="both"/>
              <w:rPr>
                <w:sz w:val="22"/>
                <w:szCs w:val="22"/>
                <w:lang w:eastAsia="en-GB"/>
              </w:rPr>
            </w:pPr>
          </w:p>
        </w:tc>
        <w:tc>
          <w:tcPr>
            <w:tcW w:w="4993" w:type="dxa"/>
            <w:tcBorders>
              <w:top w:val="single" w:sz="4" w:space="0" w:color="auto"/>
              <w:left w:val="nil"/>
              <w:bottom w:val="nil"/>
              <w:right w:val="nil"/>
            </w:tcBorders>
          </w:tcPr>
          <w:p w14:paraId="78B7366C" w14:textId="77777777" w:rsidR="00091B58" w:rsidRPr="00C81D88" w:rsidRDefault="00091B58" w:rsidP="00AB3BF3">
            <w:pPr>
              <w:widowControl w:val="0"/>
              <w:autoSpaceDE w:val="0"/>
              <w:autoSpaceDN w:val="0"/>
              <w:adjustRightInd w:val="0"/>
              <w:ind w:left="1029"/>
              <w:jc w:val="center"/>
              <w:rPr>
                <w:sz w:val="22"/>
                <w:szCs w:val="22"/>
              </w:rPr>
            </w:pPr>
            <w:r w:rsidRPr="00C81D88">
              <w:rPr>
                <w:b/>
                <w:sz w:val="22"/>
                <w:szCs w:val="22"/>
              </w:rPr>
              <w:t>41%</w:t>
            </w:r>
            <w:r w:rsidRPr="00C81D88">
              <w:rPr>
                <w:b/>
                <w:spacing w:val="-4"/>
                <w:sz w:val="22"/>
                <w:szCs w:val="22"/>
              </w:rPr>
              <w:t xml:space="preserve"> </w:t>
            </w:r>
            <w:r w:rsidRPr="00C81D88">
              <w:rPr>
                <w:b/>
                <w:spacing w:val="-1"/>
                <w:sz w:val="22"/>
                <w:szCs w:val="22"/>
              </w:rPr>
              <w:t>(27-57)</w:t>
            </w:r>
          </w:p>
        </w:tc>
      </w:tr>
      <w:tr w:rsidR="00091B58" w:rsidRPr="00C81D88" w14:paraId="58F0C7BE" w14:textId="77777777" w:rsidTr="00AB3BF3">
        <w:trPr>
          <w:trHeight w:hRule="exact" w:val="285"/>
        </w:trPr>
        <w:tc>
          <w:tcPr>
            <w:tcW w:w="2097" w:type="dxa"/>
            <w:tcBorders>
              <w:top w:val="nil"/>
              <w:left w:val="nil"/>
              <w:bottom w:val="nil"/>
              <w:right w:val="nil"/>
            </w:tcBorders>
          </w:tcPr>
          <w:p w14:paraId="1E43B531" w14:textId="77777777" w:rsidR="00091B58" w:rsidRPr="00C81D88" w:rsidRDefault="00091B58" w:rsidP="00AB3BF3">
            <w:pPr>
              <w:widowControl w:val="0"/>
              <w:autoSpaceDE w:val="0"/>
              <w:autoSpaceDN w:val="0"/>
              <w:adjustRightInd w:val="0"/>
              <w:ind w:left="467"/>
              <w:rPr>
                <w:sz w:val="22"/>
                <w:szCs w:val="22"/>
              </w:rPr>
            </w:pPr>
            <w:r w:rsidRPr="00C81D88">
              <w:rPr>
                <w:spacing w:val="-1"/>
                <w:sz w:val="22"/>
                <w:szCs w:val="22"/>
              </w:rPr>
              <w:t>CHR (95 % PI)</w:t>
            </w:r>
          </w:p>
        </w:tc>
        <w:tc>
          <w:tcPr>
            <w:tcW w:w="23" w:type="dxa"/>
            <w:tcBorders>
              <w:top w:val="nil"/>
              <w:left w:val="nil"/>
              <w:bottom w:val="nil"/>
              <w:right w:val="nil"/>
            </w:tcBorders>
          </w:tcPr>
          <w:p w14:paraId="268AE8FA" w14:textId="77777777" w:rsidR="00091B58" w:rsidRPr="00C81D88" w:rsidRDefault="00091B58" w:rsidP="00AB3BF3">
            <w:pPr>
              <w:jc w:val="both"/>
              <w:rPr>
                <w:sz w:val="22"/>
                <w:szCs w:val="22"/>
                <w:lang w:eastAsia="en-GB"/>
              </w:rPr>
            </w:pPr>
          </w:p>
        </w:tc>
        <w:tc>
          <w:tcPr>
            <w:tcW w:w="4993" w:type="dxa"/>
            <w:tcBorders>
              <w:top w:val="nil"/>
              <w:left w:val="nil"/>
              <w:bottom w:val="nil"/>
              <w:right w:val="nil"/>
            </w:tcBorders>
          </w:tcPr>
          <w:p w14:paraId="3A187FEF"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35%</w:t>
            </w:r>
            <w:r w:rsidRPr="00C81D88">
              <w:rPr>
                <w:sz w:val="22"/>
                <w:szCs w:val="22"/>
              </w:rPr>
              <w:t xml:space="preserve"> </w:t>
            </w:r>
            <w:r w:rsidRPr="00C81D88">
              <w:rPr>
                <w:spacing w:val="-1"/>
                <w:sz w:val="22"/>
                <w:szCs w:val="22"/>
              </w:rPr>
              <w:t>(21-50)</w:t>
            </w:r>
          </w:p>
        </w:tc>
      </w:tr>
      <w:tr w:rsidR="00091B58" w:rsidRPr="00C81D88" w14:paraId="0E492657" w14:textId="77777777" w:rsidTr="00AB3BF3">
        <w:trPr>
          <w:trHeight w:hRule="exact" w:val="241"/>
        </w:trPr>
        <w:tc>
          <w:tcPr>
            <w:tcW w:w="2097" w:type="dxa"/>
            <w:tcBorders>
              <w:top w:val="nil"/>
              <w:left w:val="nil"/>
              <w:bottom w:val="nil"/>
              <w:right w:val="nil"/>
            </w:tcBorders>
          </w:tcPr>
          <w:p w14:paraId="282BAEA6" w14:textId="77777777" w:rsidR="00091B58" w:rsidRPr="00C81D88" w:rsidRDefault="00091B58" w:rsidP="00AB3BF3">
            <w:pPr>
              <w:widowControl w:val="0"/>
              <w:autoSpaceDE w:val="0"/>
              <w:autoSpaceDN w:val="0"/>
              <w:adjustRightInd w:val="0"/>
              <w:ind w:left="468"/>
              <w:rPr>
                <w:sz w:val="22"/>
                <w:szCs w:val="22"/>
              </w:rPr>
            </w:pPr>
            <w:r w:rsidRPr="00C81D88">
              <w:rPr>
                <w:sz w:val="22"/>
                <w:szCs w:val="22"/>
              </w:rPr>
              <w:t>NEL</w:t>
            </w:r>
            <w:r w:rsidRPr="00C81D88">
              <w:rPr>
                <w:spacing w:val="-1"/>
                <w:sz w:val="22"/>
                <w:szCs w:val="22"/>
              </w:rPr>
              <w:t xml:space="preserve"> (95 % PI)</w:t>
            </w:r>
          </w:p>
        </w:tc>
        <w:tc>
          <w:tcPr>
            <w:tcW w:w="23" w:type="dxa"/>
            <w:tcBorders>
              <w:top w:val="nil"/>
              <w:left w:val="nil"/>
              <w:bottom w:val="nil"/>
              <w:right w:val="nil"/>
            </w:tcBorders>
          </w:tcPr>
          <w:p w14:paraId="2ED7DBFD" w14:textId="77777777" w:rsidR="00091B58" w:rsidRPr="00C81D88" w:rsidRDefault="00091B58" w:rsidP="00AB3BF3">
            <w:pPr>
              <w:jc w:val="both"/>
              <w:rPr>
                <w:sz w:val="22"/>
                <w:szCs w:val="22"/>
                <w:lang w:eastAsia="en-GB"/>
              </w:rPr>
            </w:pPr>
          </w:p>
        </w:tc>
        <w:tc>
          <w:tcPr>
            <w:tcW w:w="4993" w:type="dxa"/>
            <w:tcBorders>
              <w:top w:val="nil"/>
              <w:left w:val="nil"/>
              <w:bottom w:val="nil"/>
              <w:right w:val="nil"/>
            </w:tcBorders>
          </w:tcPr>
          <w:p w14:paraId="2A1F4FE7" w14:textId="77777777" w:rsidR="00091B58" w:rsidRPr="00C81D88" w:rsidRDefault="00091B58" w:rsidP="00AB3BF3">
            <w:pPr>
              <w:widowControl w:val="0"/>
              <w:autoSpaceDE w:val="0"/>
              <w:autoSpaceDN w:val="0"/>
              <w:adjustRightInd w:val="0"/>
              <w:ind w:left="1029"/>
              <w:jc w:val="center"/>
              <w:rPr>
                <w:sz w:val="22"/>
                <w:szCs w:val="22"/>
              </w:rPr>
            </w:pPr>
            <w:r w:rsidRPr="00C81D88">
              <w:rPr>
                <w:sz w:val="22"/>
                <w:szCs w:val="22"/>
              </w:rPr>
              <w:t>7%</w:t>
            </w:r>
            <w:r w:rsidRPr="00C81D88">
              <w:rPr>
                <w:spacing w:val="-1"/>
                <w:sz w:val="22"/>
                <w:szCs w:val="22"/>
              </w:rPr>
              <w:t xml:space="preserve"> (1-18)</w:t>
            </w:r>
          </w:p>
        </w:tc>
      </w:tr>
      <w:tr w:rsidR="00091B58" w:rsidRPr="00C81D88" w14:paraId="1C72A250" w14:textId="77777777" w:rsidTr="00AB3BF3">
        <w:trPr>
          <w:trHeight w:hRule="exact" w:val="270"/>
        </w:trPr>
        <w:tc>
          <w:tcPr>
            <w:tcW w:w="2097" w:type="dxa"/>
            <w:tcBorders>
              <w:top w:val="nil"/>
              <w:left w:val="nil"/>
              <w:bottom w:val="nil"/>
              <w:right w:val="nil"/>
            </w:tcBorders>
          </w:tcPr>
          <w:p w14:paraId="27508DC8" w14:textId="77777777" w:rsidR="00091B58" w:rsidRPr="00C81D88" w:rsidRDefault="00091B58" w:rsidP="00AB3BF3">
            <w:pPr>
              <w:widowControl w:val="0"/>
              <w:autoSpaceDE w:val="0"/>
              <w:autoSpaceDN w:val="0"/>
              <w:adjustRightInd w:val="0"/>
              <w:ind w:left="468"/>
              <w:rPr>
                <w:sz w:val="22"/>
                <w:szCs w:val="22"/>
              </w:rPr>
            </w:pPr>
            <w:r w:rsidRPr="00C81D88">
              <w:rPr>
                <w:sz w:val="22"/>
                <w:szCs w:val="22"/>
              </w:rPr>
              <w:t>1 metai</w:t>
            </w:r>
          </w:p>
        </w:tc>
        <w:tc>
          <w:tcPr>
            <w:tcW w:w="23" w:type="dxa"/>
            <w:tcBorders>
              <w:top w:val="nil"/>
              <w:left w:val="nil"/>
              <w:bottom w:val="nil"/>
              <w:right w:val="nil"/>
            </w:tcBorders>
          </w:tcPr>
          <w:p w14:paraId="585BF1A5" w14:textId="77777777" w:rsidR="00091B58" w:rsidRPr="00C81D88" w:rsidRDefault="00091B58" w:rsidP="00AB3BF3">
            <w:pPr>
              <w:jc w:val="both"/>
              <w:rPr>
                <w:sz w:val="22"/>
                <w:szCs w:val="22"/>
                <w:lang w:eastAsia="en-GB"/>
              </w:rPr>
            </w:pPr>
          </w:p>
        </w:tc>
        <w:tc>
          <w:tcPr>
            <w:tcW w:w="4993" w:type="dxa"/>
            <w:tcBorders>
              <w:top w:val="nil"/>
              <w:left w:val="nil"/>
              <w:bottom w:val="nil"/>
              <w:right w:val="nil"/>
            </w:tcBorders>
          </w:tcPr>
          <w:p w14:paraId="5A52256D"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32%</w:t>
            </w:r>
            <w:r w:rsidRPr="00C81D88">
              <w:rPr>
                <w:sz w:val="22"/>
                <w:szCs w:val="22"/>
              </w:rPr>
              <w:t xml:space="preserve"> </w:t>
            </w:r>
            <w:r w:rsidRPr="00C81D88">
              <w:rPr>
                <w:spacing w:val="-1"/>
                <w:sz w:val="22"/>
                <w:szCs w:val="22"/>
              </w:rPr>
              <w:t>(8-56)</w:t>
            </w:r>
          </w:p>
        </w:tc>
      </w:tr>
      <w:tr w:rsidR="00091B58" w:rsidRPr="00C81D88" w14:paraId="6431222D" w14:textId="77777777" w:rsidTr="00AB3BF3">
        <w:trPr>
          <w:trHeight w:hRule="exact" w:val="274"/>
        </w:trPr>
        <w:tc>
          <w:tcPr>
            <w:tcW w:w="2097" w:type="dxa"/>
            <w:tcBorders>
              <w:top w:val="nil"/>
              <w:left w:val="nil"/>
              <w:bottom w:val="single" w:sz="5" w:space="0" w:color="000000"/>
              <w:right w:val="nil"/>
            </w:tcBorders>
          </w:tcPr>
          <w:p w14:paraId="74C99720" w14:textId="77777777" w:rsidR="00091B58" w:rsidRPr="00C81D88" w:rsidRDefault="00091B58" w:rsidP="00AB3BF3">
            <w:pPr>
              <w:widowControl w:val="0"/>
              <w:autoSpaceDE w:val="0"/>
              <w:autoSpaceDN w:val="0"/>
              <w:adjustRightInd w:val="0"/>
              <w:ind w:left="468"/>
              <w:rPr>
                <w:sz w:val="22"/>
                <w:szCs w:val="22"/>
              </w:rPr>
            </w:pPr>
            <w:r w:rsidRPr="00C81D88">
              <w:rPr>
                <w:sz w:val="22"/>
                <w:szCs w:val="22"/>
              </w:rPr>
              <w:t>2 metai</w:t>
            </w:r>
          </w:p>
        </w:tc>
        <w:tc>
          <w:tcPr>
            <w:tcW w:w="23" w:type="dxa"/>
            <w:tcBorders>
              <w:top w:val="nil"/>
              <w:left w:val="nil"/>
              <w:bottom w:val="single" w:sz="5" w:space="0" w:color="000000"/>
              <w:right w:val="nil"/>
            </w:tcBorders>
          </w:tcPr>
          <w:p w14:paraId="74B78C13" w14:textId="77777777" w:rsidR="00091B58" w:rsidRPr="00C81D88" w:rsidRDefault="00091B58" w:rsidP="00AB3BF3">
            <w:pPr>
              <w:jc w:val="both"/>
              <w:rPr>
                <w:sz w:val="22"/>
                <w:szCs w:val="22"/>
                <w:lang w:eastAsia="en-GB"/>
              </w:rPr>
            </w:pPr>
          </w:p>
        </w:tc>
        <w:tc>
          <w:tcPr>
            <w:tcW w:w="4993" w:type="dxa"/>
            <w:tcBorders>
              <w:top w:val="nil"/>
              <w:left w:val="nil"/>
              <w:bottom w:val="single" w:sz="5" w:space="0" w:color="000000"/>
              <w:right w:val="nil"/>
            </w:tcBorders>
          </w:tcPr>
          <w:p w14:paraId="4085B302"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24%</w:t>
            </w:r>
            <w:r w:rsidRPr="00C81D88">
              <w:rPr>
                <w:sz w:val="22"/>
                <w:szCs w:val="22"/>
              </w:rPr>
              <w:t xml:space="preserve"> </w:t>
            </w:r>
            <w:r w:rsidRPr="00C81D88">
              <w:rPr>
                <w:spacing w:val="-1"/>
                <w:sz w:val="22"/>
                <w:szCs w:val="22"/>
              </w:rPr>
              <w:t>(2-47)</w:t>
            </w:r>
          </w:p>
        </w:tc>
      </w:tr>
      <w:tr w:rsidR="00091B58" w:rsidRPr="00C81D88" w14:paraId="1BEFC89D" w14:textId="77777777" w:rsidTr="00AB3BF3">
        <w:trPr>
          <w:trHeight w:hRule="exact" w:val="428"/>
        </w:trPr>
        <w:tc>
          <w:tcPr>
            <w:tcW w:w="7113" w:type="dxa"/>
            <w:gridSpan w:val="3"/>
            <w:tcBorders>
              <w:top w:val="single" w:sz="5" w:space="0" w:color="000000"/>
              <w:left w:val="nil"/>
              <w:bottom w:val="single" w:sz="5" w:space="0" w:color="000000"/>
              <w:right w:val="nil"/>
            </w:tcBorders>
          </w:tcPr>
          <w:p w14:paraId="4BF8F901" w14:textId="77777777" w:rsidR="00091B58" w:rsidRPr="00C81D88" w:rsidRDefault="00091B58" w:rsidP="00AB3BF3">
            <w:pPr>
              <w:widowControl w:val="0"/>
              <w:autoSpaceDE w:val="0"/>
              <w:autoSpaceDN w:val="0"/>
              <w:adjustRightInd w:val="0"/>
              <w:ind w:left="108"/>
              <w:rPr>
                <w:b/>
                <w:sz w:val="22"/>
                <w:szCs w:val="22"/>
              </w:rPr>
            </w:pPr>
            <w:r w:rsidRPr="00C81D88">
              <w:rPr>
                <w:b/>
                <w:sz w:val="22"/>
                <w:szCs w:val="22"/>
              </w:rPr>
              <w:t>C</w:t>
            </w:r>
            <w:r w:rsidRPr="00C81D88">
              <w:rPr>
                <w:b/>
                <w:spacing w:val="-1"/>
                <w:sz w:val="22"/>
                <w:szCs w:val="22"/>
              </w:rPr>
              <w:t>i</w:t>
            </w:r>
            <w:r w:rsidRPr="00C81D88">
              <w:rPr>
                <w:b/>
                <w:sz w:val="22"/>
                <w:szCs w:val="22"/>
              </w:rPr>
              <w:t>t</w:t>
            </w:r>
            <w:r w:rsidRPr="00C81D88">
              <w:rPr>
                <w:b/>
                <w:spacing w:val="-1"/>
                <w:sz w:val="22"/>
                <w:szCs w:val="22"/>
              </w:rPr>
              <w:t>o</w:t>
            </w:r>
            <w:r w:rsidRPr="00C81D88">
              <w:rPr>
                <w:b/>
                <w:sz w:val="22"/>
                <w:szCs w:val="22"/>
              </w:rPr>
              <w:t>ge</w:t>
            </w:r>
            <w:r w:rsidRPr="00C81D88">
              <w:rPr>
                <w:b/>
                <w:spacing w:val="-1"/>
                <w:sz w:val="22"/>
                <w:szCs w:val="22"/>
              </w:rPr>
              <w:t>n</w:t>
            </w:r>
            <w:r w:rsidRPr="00C81D88">
              <w:rPr>
                <w:b/>
                <w:sz w:val="22"/>
                <w:szCs w:val="22"/>
              </w:rPr>
              <w:t>etinis atsakas</w:t>
            </w:r>
            <w:r w:rsidRPr="00C81D88">
              <w:rPr>
                <w:b/>
                <w:sz w:val="22"/>
                <w:szCs w:val="22"/>
                <w:vertAlign w:val="superscript"/>
              </w:rPr>
              <w:t>c</w:t>
            </w:r>
            <w:r w:rsidRPr="00C81D88">
              <w:rPr>
                <w:b/>
                <w:sz w:val="22"/>
                <w:szCs w:val="22"/>
              </w:rPr>
              <w:t xml:space="preserve"> </w:t>
            </w:r>
            <w:r w:rsidRPr="00C81D88">
              <w:rPr>
                <w:b/>
                <w:spacing w:val="-1"/>
                <w:sz w:val="22"/>
                <w:szCs w:val="22"/>
              </w:rPr>
              <w:t>(%)</w:t>
            </w:r>
          </w:p>
          <w:p w14:paraId="29758158" w14:textId="77777777" w:rsidR="00091B58" w:rsidRPr="00C81D88" w:rsidRDefault="00091B58" w:rsidP="00AB3BF3">
            <w:pPr>
              <w:widowControl w:val="0"/>
              <w:autoSpaceDE w:val="0"/>
              <w:autoSpaceDN w:val="0"/>
              <w:adjustRightInd w:val="0"/>
              <w:ind w:left="196"/>
              <w:jc w:val="center"/>
              <w:rPr>
                <w:sz w:val="22"/>
                <w:szCs w:val="22"/>
              </w:rPr>
            </w:pPr>
          </w:p>
        </w:tc>
      </w:tr>
      <w:tr w:rsidR="00091B58" w:rsidRPr="00C81D88" w14:paraId="2F39FCFD" w14:textId="77777777" w:rsidTr="00AB3BF3">
        <w:trPr>
          <w:trHeight w:hRule="exact" w:val="332"/>
        </w:trPr>
        <w:tc>
          <w:tcPr>
            <w:tcW w:w="2097" w:type="dxa"/>
            <w:tcBorders>
              <w:top w:val="single" w:sz="5" w:space="0" w:color="000000"/>
              <w:left w:val="nil"/>
              <w:bottom w:val="nil"/>
              <w:right w:val="nil"/>
            </w:tcBorders>
          </w:tcPr>
          <w:p w14:paraId="58EFF8FD" w14:textId="77777777" w:rsidR="00091B58" w:rsidRPr="00C81D88" w:rsidRDefault="00091B58" w:rsidP="00AB3BF3">
            <w:pPr>
              <w:widowControl w:val="0"/>
              <w:autoSpaceDE w:val="0"/>
              <w:autoSpaceDN w:val="0"/>
              <w:adjustRightInd w:val="0"/>
              <w:ind w:left="108"/>
              <w:rPr>
                <w:sz w:val="22"/>
                <w:szCs w:val="22"/>
              </w:rPr>
            </w:pPr>
            <w:r w:rsidRPr="00C81D88">
              <w:rPr>
                <w:spacing w:val="-1"/>
                <w:sz w:val="22"/>
                <w:szCs w:val="22"/>
              </w:rPr>
              <w:t>MCyR</w:t>
            </w:r>
            <w:r w:rsidRPr="00C81D88">
              <w:rPr>
                <w:sz w:val="22"/>
                <w:szCs w:val="22"/>
              </w:rPr>
              <w:t xml:space="preserve"> </w:t>
            </w:r>
            <w:r w:rsidRPr="00C81D88">
              <w:rPr>
                <w:spacing w:val="-1"/>
                <w:sz w:val="22"/>
                <w:szCs w:val="22"/>
              </w:rPr>
              <w:t>(95 %</w:t>
            </w:r>
            <w:r w:rsidRPr="00C81D88">
              <w:rPr>
                <w:sz w:val="22"/>
                <w:szCs w:val="22"/>
              </w:rPr>
              <w:t xml:space="preserve"> </w:t>
            </w:r>
            <w:r w:rsidRPr="00C81D88">
              <w:rPr>
                <w:spacing w:val="-1"/>
                <w:sz w:val="22"/>
                <w:szCs w:val="22"/>
              </w:rPr>
              <w:t>PI)</w:t>
            </w:r>
          </w:p>
        </w:tc>
        <w:tc>
          <w:tcPr>
            <w:tcW w:w="23" w:type="dxa"/>
            <w:tcBorders>
              <w:top w:val="single" w:sz="5" w:space="0" w:color="000000"/>
              <w:left w:val="nil"/>
              <w:bottom w:val="nil"/>
              <w:right w:val="nil"/>
            </w:tcBorders>
          </w:tcPr>
          <w:p w14:paraId="092FE678" w14:textId="77777777" w:rsidR="00091B58" w:rsidRPr="00C81D88" w:rsidRDefault="00091B58" w:rsidP="00AB3BF3">
            <w:pPr>
              <w:jc w:val="both"/>
              <w:rPr>
                <w:sz w:val="22"/>
                <w:szCs w:val="22"/>
                <w:lang w:eastAsia="en-GB"/>
              </w:rPr>
            </w:pPr>
          </w:p>
        </w:tc>
        <w:tc>
          <w:tcPr>
            <w:tcW w:w="4993" w:type="dxa"/>
            <w:tcBorders>
              <w:top w:val="single" w:sz="5" w:space="0" w:color="000000"/>
              <w:left w:val="nil"/>
              <w:bottom w:val="nil"/>
              <w:right w:val="nil"/>
            </w:tcBorders>
          </w:tcPr>
          <w:p w14:paraId="0DA933EE"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57%</w:t>
            </w:r>
            <w:r w:rsidRPr="00C81D88">
              <w:rPr>
                <w:sz w:val="22"/>
                <w:szCs w:val="22"/>
              </w:rPr>
              <w:t xml:space="preserve"> </w:t>
            </w:r>
            <w:r w:rsidRPr="00C81D88">
              <w:rPr>
                <w:spacing w:val="-1"/>
                <w:sz w:val="22"/>
                <w:szCs w:val="22"/>
              </w:rPr>
              <w:t>(41-71)</w:t>
            </w:r>
          </w:p>
        </w:tc>
      </w:tr>
      <w:tr w:rsidR="00091B58" w:rsidRPr="00C81D88" w14:paraId="5F62D428" w14:textId="77777777" w:rsidTr="00AB3BF3">
        <w:trPr>
          <w:trHeight w:hRule="exact" w:val="325"/>
        </w:trPr>
        <w:tc>
          <w:tcPr>
            <w:tcW w:w="2097" w:type="dxa"/>
            <w:tcBorders>
              <w:top w:val="nil"/>
              <w:left w:val="nil"/>
              <w:bottom w:val="single" w:sz="5" w:space="0" w:color="000000"/>
              <w:right w:val="nil"/>
            </w:tcBorders>
          </w:tcPr>
          <w:p w14:paraId="5EAB5358" w14:textId="77777777" w:rsidR="00091B58" w:rsidRPr="00C81D88" w:rsidRDefault="00091B58" w:rsidP="00AB3BF3">
            <w:pPr>
              <w:widowControl w:val="0"/>
              <w:autoSpaceDE w:val="0"/>
              <w:autoSpaceDN w:val="0"/>
              <w:adjustRightInd w:val="0"/>
              <w:ind w:left="467"/>
              <w:rPr>
                <w:sz w:val="22"/>
                <w:szCs w:val="22"/>
              </w:rPr>
            </w:pPr>
            <w:r w:rsidRPr="00C81D88">
              <w:rPr>
                <w:spacing w:val="-1"/>
                <w:sz w:val="22"/>
                <w:szCs w:val="22"/>
              </w:rPr>
              <w:t>CCyR (95 % PI)</w:t>
            </w:r>
          </w:p>
        </w:tc>
        <w:tc>
          <w:tcPr>
            <w:tcW w:w="23" w:type="dxa"/>
            <w:tcBorders>
              <w:top w:val="nil"/>
              <w:left w:val="nil"/>
              <w:bottom w:val="single" w:sz="5" w:space="0" w:color="000000"/>
              <w:right w:val="nil"/>
            </w:tcBorders>
          </w:tcPr>
          <w:p w14:paraId="6DA94436" w14:textId="77777777" w:rsidR="00091B58" w:rsidRPr="00C81D88" w:rsidRDefault="00091B58" w:rsidP="00AB3BF3">
            <w:pPr>
              <w:jc w:val="both"/>
              <w:rPr>
                <w:sz w:val="22"/>
                <w:szCs w:val="22"/>
                <w:lang w:eastAsia="en-GB"/>
              </w:rPr>
            </w:pPr>
          </w:p>
        </w:tc>
        <w:tc>
          <w:tcPr>
            <w:tcW w:w="4993" w:type="dxa"/>
            <w:tcBorders>
              <w:top w:val="nil"/>
              <w:left w:val="nil"/>
              <w:bottom w:val="single" w:sz="5" w:space="0" w:color="000000"/>
              <w:right w:val="nil"/>
            </w:tcBorders>
          </w:tcPr>
          <w:p w14:paraId="11AAC561"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54% (39-69)</w:t>
            </w:r>
          </w:p>
        </w:tc>
      </w:tr>
      <w:tr w:rsidR="00091B58" w:rsidRPr="00C81D88" w14:paraId="53F5AC9A" w14:textId="77777777" w:rsidTr="00AB3BF3">
        <w:trPr>
          <w:trHeight w:hRule="exact" w:val="563"/>
        </w:trPr>
        <w:tc>
          <w:tcPr>
            <w:tcW w:w="2097" w:type="dxa"/>
            <w:tcBorders>
              <w:top w:val="single" w:sz="4" w:space="0" w:color="auto"/>
              <w:left w:val="nil"/>
              <w:bottom w:val="nil"/>
              <w:right w:val="nil"/>
            </w:tcBorders>
          </w:tcPr>
          <w:p w14:paraId="6D71EC07" w14:textId="77777777" w:rsidR="00091B58" w:rsidRPr="00C81D88" w:rsidRDefault="00091B58" w:rsidP="00AB3BF3">
            <w:pPr>
              <w:widowControl w:val="0"/>
              <w:autoSpaceDE w:val="0"/>
              <w:autoSpaceDN w:val="0"/>
              <w:adjustRightInd w:val="0"/>
              <w:ind w:left="467" w:hanging="360"/>
              <w:rPr>
                <w:spacing w:val="23"/>
                <w:sz w:val="22"/>
                <w:szCs w:val="22"/>
              </w:rPr>
            </w:pPr>
            <w:r w:rsidRPr="00C81D88">
              <w:rPr>
                <w:spacing w:val="-1"/>
                <w:sz w:val="22"/>
                <w:szCs w:val="22"/>
              </w:rPr>
              <w:t>Be ligos progresavimo</w:t>
            </w:r>
          </w:p>
          <w:p w14:paraId="4678BF28" w14:textId="77777777" w:rsidR="00091B58" w:rsidRPr="00C81D88" w:rsidRDefault="00091B58" w:rsidP="00AB3BF3">
            <w:pPr>
              <w:widowControl w:val="0"/>
              <w:autoSpaceDE w:val="0"/>
              <w:autoSpaceDN w:val="0"/>
              <w:adjustRightInd w:val="0"/>
              <w:ind w:left="467" w:hanging="360"/>
              <w:rPr>
                <w:sz w:val="22"/>
                <w:szCs w:val="22"/>
              </w:rPr>
            </w:pPr>
            <w:r w:rsidRPr="00C81D88">
              <w:rPr>
                <w:spacing w:val="23"/>
                <w:sz w:val="22"/>
                <w:szCs w:val="22"/>
              </w:rPr>
              <w:t xml:space="preserve">     </w:t>
            </w:r>
            <w:r w:rsidRPr="00C81D88">
              <w:rPr>
                <w:sz w:val="22"/>
                <w:szCs w:val="22"/>
              </w:rPr>
              <w:t>1 metai</w:t>
            </w:r>
          </w:p>
        </w:tc>
        <w:tc>
          <w:tcPr>
            <w:tcW w:w="23" w:type="dxa"/>
            <w:tcBorders>
              <w:top w:val="single" w:sz="4" w:space="0" w:color="auto"/>
              <w:left w:val="nil"/>
              <w:bottom w:val="nil"/>
              <w:right w:val="nil"/>
            </w:tcBorders>
          </w:tcPr>
          <w:p w14:paraId="214A29B0" w14:textId="77777777" w:rsidR="00091B58" w:rsidRPr="00C81D88" w:rsidRDefault="00091B58" w:rsidP="00AB3BF3">
            <w:pPr>
              <w:jc w:val="both"/>
              <w:rPr>
                <w:sz w:val="22"/>
                <w:szCs w:val="22"/>
                <w:lang w:eastAsia="en-GB"/>
              </w:rPr>
            </w:pPr>
          </w:p>
        </w:tc>
        <w:tc>
          <w:tcPr>
            <w:tcW w:w="4993" w:type="dxa"/>
            <w:tcBorders>
              <w:top w:val="single" w:sz="4" w:space="0" w:color="auto"/>
              <w:left w:val="nil"/>
              <w:bottom w:val="nil"/>
              <w:right w:val="nil"/>
            </w:tcBorders>
          </w:tcPr>
          <w:p w14:paraId="352E1BB5" w14:textId="77777777" w:rsidR="00091B58" w:rsidRPr="00C81D88" w:rsidRDefault="00091B58" w:rsidP="00AB3BF3">
            <w:pPr>
              <w:widowControl w:val="0"/>
              <w:autoSpaceDE w:val="0"/>
              <w:autoSpaceDN w:val="0"/>
              <w:adjustRightInd w:val="0"/>
              <w:ind w:left="1029"/>
              <w:jc w:val="center"/>
              <w:rPr>
                <w:b/>
                <w:bCs/>
                <w:sz w:val="22"/>
                <w:szCs w:val="22"/>
              </w:rPr>
            </w:pPr>
          </w:p>
          <w:p w14:paraId="44E9AF44"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21%</w:t>
            </w:r>
            <w:r w:rsidRPr="00C81D88">
              <w:rPr>
                <w:sz w:val="22"/>
                <w:szCs w:val="22"/>
              </w:rPr>
              <w:t xml:space="preserve"> </w:t>
            </w:r>
            <w:r w:rsidRPr="00C81D88">
              <w:rPr>
                <w:spacing w:val="-1"/>
                <w:sz w:val="22"/>
                <w:szCs w:val="22"/>
              </w:rPr>
              <w:t>(9-34)</w:t>
            </w:r>
          </w:p>
        </w:tc>
      </w:tr>
      <w:tr w:rsidR="00091B58" w:rsidRPr="00C81D88" w14:paraId="3165F36C" w14:textId="77777777" w:rsidTr="00AB3BF3">
        <w:trPr>
          <w:trHeight w:hRule="exact" w:val="328"/>
        </w:trPr>
        <w:tc>
          <w:tcPr>
            <w:tcW w:w="2097" w:type="dxa"/>
            <w:tcBorders>
              <w:top w:val="nil"/>
              <w:left w:val="nil"/>
              <w:bottom w:val="single" w:sz="4" w:space="0" w:color="auto"/>
              <w:right w:val="nil"/>
            </w:tcBorders>
          </w:tcPr>
          <w:p w14:paraId="12EB752D" w14:textId="77777777" w:rsidR="00091B58" w:rsidRPr="00C81D88" w:rsidRDefault="00091B58" w:rsidP="00AB3BF3">
            <w:pPr>
              <w:widowControl w:val="0"/>
              <w:autoSpaceDE w:val="0"/>
              <w:autoSpaceDN w:val="0"/>
              <w:adjustRightInd w:val="0"/>
              <w:ind w:left="467"/>
              <w:rPr>
                <w:sz w:val="22"/>
                <w:szCs w:val="22"/>
              </w:rPr>
            </w:pPr>
            <w:r w:rsidRPr="00C81D88">
              <w:rPr>
                <w:sz w:val="22"/>
                <w:szCs w:val="22"/>
              </w:rPr>
              <w:t>2 metai</w:t>
            </w:r>
          </w:p>
        </w:tc>
        <w:tc>
          <w:tcPr>
            <w:tcW w:w="23" w:type="dxa"/>
            <w:tcBorders>
              <w:top w:val="nil"/>
              <w:left w:val="nil"/>
              <w:bottom w:val="single" w:sz="4" w:space="0" w:color="auto"/>
              <w:right w:val="nil"/>
            </w:tcBorders>
          </w:tcPr>
          <w:p w14:paraId="6DFB0208" w14:textId="77777777" w:rsidR="00091B58" w:rsidRPr="00C81D88" w:rsidRDefault="00091B58" w:rsidP="00AB3BF3">
            <w:pPr>
              <w:jc w:val="both"/>
              <w:rPr>
                <w:sz w:val="22"/>
                <w:szCs w:val="22"/>
                <w:lang w:eastAsia="en-GB"/>
              </w:rPr>
            </w:pPr>
          </w:p>
        </w:tc>
        <w:tc>
          <w:tcPr>
            <w:tcW w:w="4993" w:type="dxa"/>
            <w:tcBorders>
              <w:top w:val="nil"/>
              <w:left w:val="nil"/>
              <w:bottom w:val="single" w:sz="4" w:space="0" w:color="auto"/>
              <w:right w:val="nil"/>
            </w:tcBorders>
          </w:tcPr>
          <w:p w14:paraId="5189E012"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12%</w:t>
            </w:r>
            <w:r w:rsidRPr="00C81D88">
              <w:rPr>
                <w:sz w:val="22"/>
                <w:szCs w:val="22"/>
              </w:rPr>
              <w:t xml:space="preserve"> </w:t>
            </w:r>
            <w:r w:rsidRPr="00C81D88">
              <w:rPr>
                <w:spacing w:val="-1"/>
                <w:sz w:val="22"/>
                <w:szCs w:val="22"/>
              </w:rPr>
              <w:t>(2-23)</w:t>
            </w:r>
          </w:p>
        </w:tc>
      </w:tr>
      <w:tr w:rsidR="00091B58" w:rsidRPr="00C81D88" w14:paraId="3A546593" w14:textId="77777777" w:rsidTr="00AB3BF3">
        <w:trPr>
          <w:trHeight w:hRule="exact" w:val="285"/>
        </w:trPr>
        <w:tc>
          <w:tcPr>
            <w:tcW w:w="2097" w:type="dxa"/>
            <w:tcBorders>
              <w:top w:val="single" w:sz="4" w:space="0" w:color="auto"/>
              <w:left w:val="nil"/>
              <w:bottom w:val="nil"/>
              <w:right w:val="nil"/>
            </w:tcBorders>
          </w:tcPr>
          <w:p w14:paraId="2F384AC1" w14:textId="77777777" w:rsidR="00091B58" w:rsidRPr="00C81D88" w:rsidRDefault="00091B58" w:rsidP="00AB3BF3">
            <w:pPr>
              <w:widowControl w:val="0"/>
              <w:autoSpaceDE w:val="0"/>
              <w:autoSpaceDN w:val="0"/>
              <w:adjustRightInd w:val="0"/>
              <w:ind w:left="108"/>
              <w:rPr>
                <w:sz w:val="22"/>
                <w:szCs w:val="22"/>
              </w:rPr>
            </w:pPr>
            <w:r w:rsidRPr="00C81D88">
              <w:rPr>
                <w:spacing w:val="-1"/>
                <w:sz w:val="22"/>
                <w:szCs w:val="22"/>
              </w:rPr>
              <w:t>Iš viso</w:t>
            </w:r>
          </w:p>
        </w:tc>
        <w:tc>
          <w:tcPr>
            <w:tcW w:w="23" w:type="dxa"/>
            <w:tcBorders>
              <w:top w:val="single" w:sz="4" w:space="0" w:color="auto"/>
              <w:left w:val="nil"/>
              <w:bottom w:val="nil"/>
              <w:right w:val="nil"/>
            </w:tcBorders>
          </w:tcPr>
          <w:p w14:paraId="1D98A3C2" w14:textId="77777777" w:rsidR="00091B58" w:rsidRPr="00C81D88" w:rsidRDefault="00091B58" w:rsidP="00AB3BF3">
            <w:pPr>
              <w:jc w:val="both"/>
              <w:rPr>
                <w:sz w:val="22"/>
                <w:szCs w:val="22"/>
                <w:lang w:eastAsia="en-GB"/>
              </w:rPr>
            </w:pPr>
          </w:p>
        </w:tc>
        <w:tc>
          <w:tcPr>
            <w:tcW w:w="4993" w:type="dxa"/>
            <w:tcBorders>
              <w:top w:val="single" w:sz="4" w:space="0" w:color="auto"/>
              <w:left w:val="nil"/>
              <w:bottom w:val="nil"/>
              <w:right w:val="nil"/>
            </w:tcBorders>
          </w:tcPr>
          <w:p w14:paraId="03CF148F" w14:textId="77777777" w:rsidR="00091B58" w:rsidRPr="00C81D88" w:rsidRDefault="00091B58" w:rsidP="00AB3BF3">
            <w:pPr>
              <w:jc w:val="both"/>
              <w:rPr>
                <w:sz w:val="22"/>
                <w:szCs w:val="22"/>
                <w:lang w:eastAsia="en-GB"/>
              </w:rPr>
            </w:pPr>
          </w:p>
        </w:tc>
      </w:tr>
      <w:tr w:rsidR="00091B58" w:rsidRPr="00C81D88" w14:paraId="5D6BA66C" w14:textId="77777777" w:rsidTr="00AB3BF3">
        <w:trPr>
          <w:trHeight w:hRule="exact" w:val="278"/>
        </w:trPr>
        <w:tc>
          <w:tcPr>
            <w:tcW w:w="2097" w:type="dxa"/>
            <w:tcBorders>
              <w:top w:val="nil"/>
              <w:left w:val="nil"/>
              <w:bottom w:val="nil"/>
              <w:right w:val="nil"/>
            </w:tcBorders>
          </w:tcPr>
          <w:p w14:paraId="52C99803" w14:textId="77777777" w:rsidR="00091B58" w:rsidRPr="00C81D88" w:rsidRDefault="00091B58" w:rsidP="00AB3BF3">
            <w:pPr>
              <w:widowControl w:val="0"/>
              <w:autoSpaceDE w:val="0"/>
              <w:autoSpaceDN w:val="0"/>
              <w:adjustRightInd w:val="0"/>
              <w:ind w:left="467"/>
              <w:rPr>
                <w:sz w:val="22"/>
                <w:szCs w:val="22"/>
              </w:rPr>
            </w:pPr>
            <w:r w:rsidRPr="00C81D88">
              <w:rPr>
                <w:sz w:val="22"/>
                <w:szCs w:val="22"/>
              </w:rPr>
              <w:t>1 metai</w:t>
            </w:r>
          </w:p>
        </w:tc>
        <w:tc>
          <w:tcPr>
            <w:tcW w:w="23" w:type="dxa"/>
            <w:tcBorders>
              <w:top w:val="nil"/>
              <w:left w:val="nil"/>
              <w:bottom w:val="nil"/>
              <w:right w:val="nil"/>
            </w:tcBorders>
          </w:tcPr>
          <w:p w14:paraId="1AD97C3D" w14:textId="77777777" w:rsidR="00091B58" w:rsidRPr="00C81D88" w:rsidRDefault="00091B58" w:rsidP="00AB3BF3">
            <w:pPr>
              <w:jc w:val="both"/>
              <w:rPr>
                <w:sz w:val="22"/>
                <w:szCs w:val="22"/>
                <w:lang w:eastAsia="en-GB"/>
              </w:rPr>
            </w:pPr>
          </w:p>
        </w:tc>
        <w:tc>
          <w:tcPr>
            <w:tcW w:w="4993" w:type="dxa"/>
            <w:tcBorders>
              <w:top w:val="nil"/>
              <w:left w:val="nil"/>
              <w:bottom w:val="nil"/>
              <w:right w:val="nil"/>
            </w:tcBorders>
          </w:tcPr>
          <w:p w14:paraId="247FFF23"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35%</w:t>
            </w:r>
            <w:r w:rsidRPr="00C81D88">
              <w:rPr>
                <w:sz w:val="22"/>
                <w:szCs w:val="22"/>
              </w:rPr>
              <w:t xml:space="preserve"> </w:t>
            </w:r>
            <w:r w:rsidRPr="00C81D88">
              <w:rPr>
                <w:spacing w:val="-1"/>
                <w:sz w:val="22"/>
                <w:szCs w:val="22"/>
              </w:rPr>
              <w:t>(20-51)</w:t>
            </w:r>
          </w:p>
        </w:tc>
      </w:tr>
      <w:tr w:rsidR="00091B58" w:rsidRPr="00C81D88" w14:paraId="795151B8" w14:textId="77777777" w:rsidTr="00AB3BF3">
        <w:trPr>
          <w:trHeight w:hRule="exact" w:val="328"/>
        </w:trPr>
        <w:tc>
          <w:tcPr>
            <w:tcW w:w="2097" w:type="dxa"/>
            <w:tcBorders>
              <w:top w:val="nil"/>
              <w:left w:val="nil"/>
              <w:bottom w:val="single" w:sz="4" w:space="0" w:color="auto"/>
              <w:right w:val="nil"/>
            </w:tcBorders>
          </w:tcPr>
          <w:p w14:paraId="05DC6CBB" w14:textId="77777777" w:rsidR="00091B58" w:rsidRPr="00C81D88" w:rsidRDefault="00091B58" w:rsidP="00AB3BF3">
            <w:pPr>
              <w:widowControl w:val="0"/>
              <w:autoSpaceDE w:val="0"/>
              <w:autoSpaceDN w:val="0"/>
              <w:adjustRightInd w:val="0"/>
              <w:ind w:left="467"/>
              <w:rPr>
                <w:sz w:val="22"/>
                <w:szCs w:val="22"/>
              </w:rPr>
            </w:pPr>
            <w:r w:rsidRPr="00C81D88">
              <w:rPr>
                <w:sz w:val="22"/>
                <w:szCs w:val="22"/>
              </w:rPr>
              <w:t>2 metai</w:t>
            </w:r>
          </w:p>
        </w:tc>
        <w:tc>
          <w:tcPr>
            <w:tcW w:w="23" w:type="dxa"/>
            <w:tcBorders>
              <w:top w:val="nil"/>
              <w:left w:val="nil"/>
              <w:bottom w:val="single" w:sz="4" w:space="0" w:color="auto"/>
              <w:right w:val="nil"/>
            </w:tcBorders>
          </w:tcPr>
          <w:p w14:paraId="74440032" w14:textId="77777777" w:rsidR="00091B58" w:rsidRPr="00C81D88" w:rsidRDefault="00091B58" w:rsidP="00AB3BF3">
            <w:pPr>
              <w:jc w:val="both"/>
              <w:rPr>
                <w:sz w:val="22"/>
                <w:szCs w:val="22"/>
                <w:lang w:eastAsia="en-GB"/>
              </w:rPr>
            </w:pPr>
          </w:p>
        </w:tc>
        <w:tc>
          <w:tcPr>
            <w:tcW w:w="4993" w:type="dxa"/>
            <w:tcBorders>
              <w:top w:val="nil"/>
              <w:left w:val="nil"/>
              <w:bottom w:val="single" w:sz="4" w:space="0" w:color="auto"/>
              <w:right w:val="nil"/>
            </w:tcBorders>
          </w:tcPr>
          <w:p w14:paraId="6FC87C31" w14:textId="77777777" w:rsidR="00091B58" w:rsidRPr="00C81D88" w:rsidRDefault="00091B58" w:rsidP="00AB3BF3">
            <w:pPr>
              <w:widowControl w:val="0"/>
              <w:autoSpaceDE w:val="0"/>
              <w:autoSpaceDN w:val="0"/>
              <w:adjustRightInd w:val="0"/>
              <w:ind w:left="1029"/>
              <w:jc w:val="center"/>
              <w:rPr>
                <w:sz w:val="22"/>
                <w:szCs w:val="22"/>
              </w:rPr>
            </w:pPr>
            <w:r w:rsidRPr="00C81D88">
              <w:rPr>
                <w:spacing w:val="-1"/>
                <w:sz w:val="22"/>
                <w:szCs w:val="22"/>
              </w:rPr>
              <w:t>31%</w:t>
            </w:r>
            <w:r w:rsidRPr="00C81D88">
              <w:rPr>
                <w:sz w:val="22"/>
                <w:szCs w:val="22"/>
              </w:rPr>
              <w:t xml:space="preserve"> </w:t>
            </w:r>
            <w:r w:rsidRPr="00C81D88">
              <w:rPr>
                <w:spacing w:val="-1"/>
                <w:sz w:val="22"/>
                <w:szCs w:val="22"/>
              </w:rPr>
              <w:t>(16-47)</w:t>
            </w:r>
          </w:p>
        </w:tc>
      </w:tr>
    </w:tbl>
    <w:p w14:paraId="3FB8EBAA" w14:textId="77777777" w:rsidR="00091B58" w:rsidRPr="00C81D88" w:rsidRDefault="00091B58" w:rsidP="00091B58">
      <w:pPr>
        <w:widowControl w:val="0"/>
        <w:autoSpaceDE w:val="0"/>
        <w:autoSpaceDN w:val="0"/>
        <w:adjustRightInd w:val="0"/>
        <w:rPr>
          <w:rFonts w:eastAsia="SimSun"/>
          <w:iCs/>
          <w:szCs w:val="22"/>
          <w:lang w:eastAsia="zh-CN"/>
        </w:rPr>
      </w:pPr>
    </w:p>
    <w:p w14:paraId="3435C149" w14:textId="77777777" w:rsidR="00091B58" w:rsidRPr="00C81D88" w:rsidRDefault="00091B58" w:rsidP="00091B58">
      <w:pPr>
        <w:widowControl w:val="0"/>
        <w:autoSpaceDE w:val="0"/>
        <w:autoSpaceDN w:val="0"/>
        <w:adjustRightInd w:val="0"/>
        <w:rPr>
          <w:rFonts w:eastAsia="SimSun"/>
          <w:iCs/>
          <w:sz w:val="20"/>
          <w:lang w:eastAsia="zh-CN"/>
        </w:rPr>
      </w:pPr>
      <w:r w:rsidRPr="00C81D88">
        <w:rPr>
          <w:rFonts w:eastAsia="SimSun"/>
          <w:iCs/>
          <w:sz w:val="20"/>
          <w:lang w:eastAsia="zh-CN"/>
        </w:rPr>
        <w:t>Šioje lentelėje pateikti tyrimų, kurių metu buvo vartojama pradinė 70 mg du kartus per parą dozė, duomenys. Žr. 4.2 skyrių dėl pradinės rekomenduojamos dozės.</w:t>
      </w:r>
    </w:p>
    <w:p w14:paraId="0D44CFE9" w14:textId="77777777" w:rsidR="00091B58" w:rsidRPr="00C81D88" w:rsidRDefault="00091B58" w:rsidP="00091B58">
      <w:pPr>
        <w:widowControl w:val="0"/>
        <w:autoSpaceDE w:val="0"/>
        <w:autoSpaceDN w:val="0"/>
        <w:adjustRightInd w:val="0"/>
        <w:rPr>
          <w:rFonts w:eastAsia="SimSun"/>
          <w:iCs/>
          <w:sz w:val="20"/>
          <w:lang w:eastAsia="zh-CN"/>
        </w:rPr>
      </w:pPr>
      <w:r w:rsidRPr="00C81D88">
        <w:rPr>
          <w:rFonts w:eastAsia="SimSun"/>
          <w:iCs/>
          <w:sz w:val="20"/>
          <w:vertAlign w:val="superscript"/>
          <w:lang w:eastAsia="zh-CN"/>
        </w:rPr>
        <w:t>a</w:t>
      </w:r>
      <w:r w:rsidRPr="00C81D88">
        <w:rPr>
          <w:rFonts w:eastAsia="SimSun"/>
          <w:iCs/>
          <w:sz w:val="20"/>
          <w:lang w:eastAsia="zh-CN"/>
        </w:rPr>
        <w:tab/>
        <w:t>Paryškinti pagrindinių veiksmingumo vertinamųjų baigčių duomenys.</w:t>
      </w:r>
    </w:p>
    <w:p w14:paraId="23E8CE93" w14:textId="77777777" w:rsidR="00091B58" w:rsidRPr="00C81D88" w:rsidRDefault="00091B58" w:rsidP="00091B58">
      <w:pPr>
        <w:widowControl w:val="0"/>
        <w:autoSpaceDE w:val="0"/>
        <w:autoSpaceDN w:val="0"/>
        <w:adjustRightInd w:val="0"/>
        <w:ind w:left="567" w:hanging="567"/>
        <w:rPr>
          <w:rFonts w:eastAsia="SimSun"/>
          <w:iCs/>
          <w:sz w:val="20"/>
          <w:lang w:eastAsia="zh-CN"/>
        </w:rPr>
      </w:pPr>
      <w:r w:rsidRPr="00C81D88">
        <w:rPr>
          <w:rFonts w:eastAsia="SimSun"/>
          <w:iCs/>
          <w:sz w:val="20"/>
          <w:vertAlign w:val="superscript"/>
          <w:lang w:eastAsia="zh-CN"/>
        </w:rPr>
        <w:t>b</w:t>
      </w:r>
      <w:r w:rsidRPr="00C81D88">
        <w:rPr>
          <w:rFonts w:eastAsia="SimSun"/>
          <w:iCs/>
          <w:sz w:val="20"/>
          <w:lang w:eastAsia="zh-CN"/>
        </w:rPr>
        <w:tab/>
        <w:t>Hematologinio atsako kriterijai (visi atsakai patvirtinti po 4 savaičių): didysis hematologinis atsakas (MaHR)=visiškas hematologinis atsakas (CHR) + nėra leukemijos įrodymų (NEL).</w:t>
      </w:r>
    </w:p>
    <w:p w14:paraId="3549A855" w14:textId="77777777" w:rsidR="00091B58" w:rsidRPr="00C81D88" w:rsidRDefault="00091B58" w:rsidP="00091B58">
      <w:pPr>
        <w:widowControl w:val="0"/>
        <w:autoSpaceDE w:val="0"/>
        <w:autoSpaceDN w:val="0"/>
        <w:adjustRightInd w:val="0"/>
        <w:ind w:left="567"/>
        <w:rPr>
          <w:rFonts w:eastAsia="SimSun"/>
          <w:iCs/>
          <w:sz w:val="20"/>
          <w:lang w:eastAsia="zh-CN"/>
        </w:rPr>
      </w:pPr>
      <w:r w:rsidRPr="00C81D88">
        <w:rPr>
          <w:rFonts w:eastAsia="SimSun"/>
          <w:iCs/>
          <w:sz w:val="20"/>
          <w:lang w:eastAsia="zh-CN"/>
        </w:rPr>
        <w:tab/>
        <w:t>CHR (Ph+ ŪLL): leukocitų ≤ nustatyta VNR, absoliutus neutrofilų skaičius ≥ 1 000/mm</w:t>
      </w:r>
      <w:r w:rsidRPr="00C81D88">
        <w:rPr>
          <w:rFonts w:eastAsia="SimSun"/>
          <w:iCs/>
          <w:sz w:val="20"/>
          <w:vertAlign w:val="superscript"/>
          <w:lang w:eastAsia="zh-CN"/>
        </w:rPr>
        <w:t>3</w:t>
      </w:r>
      <w:r w:rsidRPr="00C81D88">
        <w:rPr>
          <w:rFonts w:eastAsia="SimSun"/>
          <w:iCs/>
          <w:sz w:val="20"/>
          <w:lang w:eastAsia="zh-CN"/>
        </w:rPr>
        <w:t>, trombocitų ≥ 100 000/mm</w:t>
      </w:r>
      <w:r w:rsidRPr="00C81D88">
        <w:rPr>
          <w:rFonts w:eastAsia="SimSun"/>
          <w:iCs/>
          <w:sz w:val="20"/>
          <w:vertAlign w:val="superscript"/>
          <w:lang w:eastAsia="zh-CN"/>
        </w:rPr>
        <w:t>3</w:t>
      </w:r>
      <w:r w:rsidRPr="00C81D88">
        <w:rPr>
          <w:rFonts w:eastAsia="SimSun"/>
          <w:iCs/>
          <w:sz w:val="20"/>
          <w:lang w:eastAsia="zh-CN"/>
        </w:rPr>
        <w:t>, periferiniame kraujyje nėra blastų, blastų kaulų čiulpuose ≤ 5 % ir nėra ekstramedulinių židinių.</w:t>
      </w:r>
    </w:p>
    <w:p w14:paraId="65CB90EE" w14:textId="77777777" w:rsidR="00091B58" w:rsidRPr="00C81D88" w:rsidRDefault="00091B58" w:rsidP="00091B58">
      <w:pPr>
        <w:widowControl w:val="0"/>
        <w:autoSpaceDE w:val="0"/>
        <w:autoSpaceDN w:val="0"/>
        <w:adjustRightInd w:val="0"/>
        <w:ind w:left="567"/>
        <w:rPr>
          <w:rFonts w:eastAsia="SimSun"/>
          <w:iCs/>
          <w:sz w:val="20"/>
          <w:lang w:eastAsia="zh-CN"/>
        </w:rPr>
      </w:pPr>
      <w:r w:rsidRPr="00C81D88">
        <w:rPr>
          <w:rFonts w:eastAsia="SimSun"/>
          <w:iCs/>
          <w:sz w:val="20"/>
          <w:lang w:eastAsia="zh-CN"/>
        </w:rPr>
        <w:tab/>
        <w:t>NEL: tie patys kriterijai kaip CHR, tačiau absoliutus neutrofilų skaičius ≥ 500/mm</w:t>
      </w:r>
      <w:r w:rsidRPr="00C81D88">
        <w:rPr>
          <w:rFonts w:eastAsia="SimSun"/>
          <w:iCs/>
          <w:sz w:val="20"/>
          <w:vertAlign w:val="superscript"/>
          <w:lang w:eastAsia="zh-CN"/>
        </w:rPr>
        <w:t>3</w:t>
      </w:r>
      <w:r w:rsidRPr="00C81D88">
        <w:rPr>
          <w:rFonts w:eastAsia="SimSun"/>
          <w:iCs/>
          <w:sz w:val="20"/>
          <w:lang w:eastAsia="zh-CN"/>
        </w:rPr>
        <w:t xml:space="preserve"> ir &lt; 1 000/mm</w:t>
      </w:r>
      <w:r w:rsidRPr="00C81D88">
        <w:rPr>
          <w:rFonts w:eastAsia="SimSun"/>
          <w:iCs/>
          <w:sz w:val="20"/>
          <w:vertAlign w:val="superscript"/>
          <w:lang w:eastAsia="zh-CN"/>
        </w:rPr>
        <w:t>3</w:t>
      </w:r>
      <w:r w:rsidRPr="00C81D88">
        <w:rPr>
          <w:rFonts w:eastAsia="SimSun"/>
          <w:iCs/>
          <w:sz w:val="20"/>
          <w:lang w:eastAsia="zh-CN"/>
        </w:rPr>
        <w:t xml:space="preserve"> arba trombocitų ≥ 20 000/mm</w:t>
      </w:r>
      <w:r w:rsidRPr="00C81D88">
        <w:rPr>
          <w:rFonts w:eastAsia="SimSun"/>
          <w:iCs/>
          <w:sz w:val="20"/>
          <w:vertAlign w:val="superscript"/>
          <w:lang w:eastAsia="zh-CN"/>
        </w:rPr>
        <w:t>3</w:t>
      </w:r>
      <w:r w:rsidRPr="00C81D88">
        <w:rPr>
          <w:rFonts w:eastAsia="SimSun"/>
          <w:iCs/>
          <w:sz w:val="20"/>
          <w:lang w:eastAsia="zh-CN"/>
        </w:rPr>
        <w:t xml:space="preserve"> ir ≤ 100 000/mm</w:t>
      </w:r>
      <w:r w:rsidRPr="00C81D88">
        <w:rPr>
          <w:rFonts w:eastAsia="SimSun"/>
          <w:iCs/>
          <w:sz w:val="20"/>
          <w:vertAlign w:val="superscript"/>
          <w:lang w:eastAsia="zh-CN"/>
        </w:rPr>
        <w:t>3</w:t>
      </w:r>
      <w:r w:rsidRPr="00C81D88">
        <w:rPr>
          <w:rFonts w:eastAsia="SimSun"/>
          <w:iCs/>
          <w:sz w:val="20"/>
          <w:lang w:eastAsia="zh-CN"/>
        </w:rPr>
        <w:t>.</w:t>
      </w:r>
    </w:p>
    <w:p w14:paraId="4D83E250" w14:textId="77777777" w:rsidR="00091B58" w:rsidRPr="00C81D88" w:rsidRDefault="00091B58" w:rsidP="00091B58">
      <w:pPr>
        <w:widowControl w:val="0"/>
        <w:autoSpaceDE w:val="0"/>
        <w:autoSpaceDN w:val="0"/>
        <w:adjustRightInd w:val="0"/>
        <w:ind w:left="567" w:hanging="567"/>
        <w:rPr>
          <w:rFonts w:eastAsia="SimSun"/>
          <w:iCs/>
          <w:sz w:val="20"/>
          <w:lang w:eastAsia="zh-CN"/>
        </w:rPr>
      </w:pPr>
      <w:r w:rsidRPr="00C81D88">
        <w:rPr>
          <w:rFonts w:eastAsia="SimSun"/>
          <w:iCs/>
          <w:sz w:val="20"/>
          <w:vertAlign w:val="superscript"/>
          <w:lang w:eastAsia="zh-CN"/>
        </w:rPr>
        <w:t>c</w:t>
      </w:r>
      <w:r w:rsidRPr="00C81D88">
        <w:rPr>
          <w:rFonts w:eastAsia="SimSun"/>
          <w:iCs/>
          <w:sz w:val="20"/>
          <w:lang w:eastAsia="zh-CN"/>
        </w:rPr>
        <w:tab/>
        <w:t>Citogenetinio atsako kriterijai: visiškas (0 % Ph+ metafazių) arba dalinis (&gt; 0 %</w:t>
      </w:r>
      <w:r w:rsidRPr="00C81D88">
        <w:rPr>
          <w:rFonts w:eastAsia="SimSun"/>
          <w:iCs/>
          <w:sz w:val="20"/>
          <w:lang w:eastAsia="zh-CN"/>
        </w:rPr>
        <w:noBreakHyphen/>
        <w:t>35 %). Didysis citogenetinis atsakas (MCyR) (0 %-35 %) apima visišką ir dalinį atsaką.</w:t>
      </w:r>
    </w:p>
    <w:p w14:paraId="578DE776" w14:textId="77777777" w:rsidR="00091B58" w:rsidRPr="00C81D88" w:rsidRDefault="00091B58" w:rsidP="00091B58">
      <w:pPr>
        <w:widowControl w:val="0"/>
        <w:autoSpaceDE w:val="0"/>
        <w:autoSpaceDN w:val="0"/>
        <w:adjustRightInd w:val="0"/>
        <w:rPr>
          <w:rFonts w:eastAsia="SimSun"/>
          <w:iCs/>
          <w:sz w:val="20"/>
          <w:lang w:eastAsia="zh-CN"/>
        </w:rPr>
      </w:pPr>
      <w:r w:rsidRPr="00C81D88">
        <w:rPr>
          <w:rFonts w:eastAsia="SimSun"/>
          <w:iCs/>
          <w:sz w:val="20"/>
          <w:lang w:eastAsia="zh-CN"/>
        </w:rPr>
        <w:t>MCyR = didysis citogenetinis atsakas, PI=pasikliautinasis intervalas, VNR=viršutinė normos riba.</w:t>
      </w:r>
    </w:p>
    <w:p w14:paraId="79F56FE2" w14:textId="77777777" w:rsidR="00091B58" w:rsidRPr="00C81D88" w:rsidRDefault="00091B58" w:rsidP="00091B58">
      <w:pPr>
        <w:widowControl w:val="0"/>
        <w:autoSpaceDE w:val="0"/>
        <w:autoSpaceDN w:val="0"/>
        <w:adjustRightInd w:val="0"/>
        <w:rPr>
          <w:rFonts w:eastAsia="SimSun"/>
          <w:iCs/>
          <w:sz w:val="20"/>
          <w:lang w:eastAsia="zh-CN"/>
        </w:rPr>
      </w:pPr>
    </w:p>
    <w:p w14:paraId="57D21F05"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Pacientų, kuriems po gydymo dazatinibu persodinti kaulų čiulpai, baigtys iki galo neįvertintos.</w:t>
      </w:r>
    </w:p>
    <w:p w14:paraId="32FCEEA4" w14:textId="77777777" w:rsidR="00091B58" w:rsidRPr="00C81D88" w:rsidRDefault="00091B58" w:rsidP="00091B58">
      <w:pPr>
        <w:widowControl w:val="0"/>
        <w:autoSpaceDE w:val="0"/>
        <w:autoSpaceDN w:val="0"/>
        <w:adjustRightInd w:val="0"/>
        <w:rPr>
          <w:rFonts w:eastAsia="SimSun"/>
          <w:iCs/>
          <w:sz w:val="22"/>
          <w:szCs w:val="22"/>
          <w:lang w:eastAsia="zh-CN"/>
        </w:rPr>
      </w:pPr>
    </w:p>
    <w:p w14:paraId="2C5BCBAB" w14:textId="77777777" w:rsidR="00091B58" w:rsidRPr="00C81D88" w:rsidRDefault="00091B58" w:rsidP="00091B58">
      <w:pPr>
        <w:widowControl w:val="0"/>
        <w:autoSpaceDE w:val="0"/>
        <w:autoSpaceDN w:val="0"/>
        <w:adjustRightInd w:val="0"/>
        <w:rPr>
          <w:rFonts w:eastAsia="SimSun"/>
          <w:i/>
          <w:iCs/>
          <w:sz w:val="22"/>
          <w:szCs w:val="22"/>
          <w:u w:val="single"/>
          <w:lang w:eastAsia="zh-CN"/>
        </w:rPr>
      </w:pPr>
      <w:r w:rsidRPr="00C81D88">
        <w:rPr>
          <w:rFonts w:eastAsia="SimSun"/>
          <w:i/>
          <w:iCs/>
          <w:sz w:val="22"/>
          <w:szCs w:val="22"/>
          <w:u w:val="single"/>
          <w:lang w:eastAsia="zh-CN"/>
        </w:rPr>
        <w:t>III fazės klinikiniai tyrimai su Ph+ ŪLL sergančiais pacientais, kurie nereagavo į gydymą imatinibu arba jo netoleravo</w:t>
      </w:r>
    </w:p>
    <w:p w14:paraId="58A11A8A"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lastRenderedPageBreak/>
        <w:t>Atlikti atsitiktinių imčių atviri tyrimai kartą per parą ir du kartus per parą vartojamo dazatinibo saugumui ir veiksmingumui palyginti. Toliau pateikiami rezultatai paremti ne trumpesniais kaip 2 metų ir 7 metų stebėjimo duomenimis (skaičiuojant nuo dazatinibo vartojimo pradžios).</w:t>
      </w:r>
    </w:p>
    <w:p w14:paraId="3783FB8C" w14:textId="77777777" w:rsidR="00091B58" w:rsidRPr="00C81D88" w:rsidRDefault="00091B58" w:rsidP="00091B58">
      <w:pPr>
        <w:widowControl w:val="0"/>
        <w:autoSpaceDE w:val="0"/>
        <w:autoSpaceDN w:val="0"/>
        <w:adjustRightInd w:val="0"/>
        <w:rPr>
          <w:rFonts w:eastAsia="SimSun"/>
          <w:iCs/>
          <w:sz w:val="22"/>
          <w:szCs w:val="22"/>
          <w:lang w:eastAsia="zh-CN"/>
        </w:rPr>
      </w:pPr>
    </w:p>
    <w:p w14:paraId="5D55F469"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Ph+ŪLL tyrimo pagrindinė vertinamoji baigtis buvo MaHR. Iš viso 611 pacientų atsitiktiniu būdu buvo priskirti vartoti arba 140 mg dazatinibo kartą per parą, arba po 70 mg du kartus per parą. Gydymo trukmės mediana buvo maždaug 6 mėnesiai (ribos nuo 0,03 iki 31 mėnesio).</w:t>
      </w:r>
    </w:p>
    <w:p w14:paraId="458E5615" w14:textId="77777777" w:rsidR="00091B58" w:rsidRPr="00C81D88" w:rsidRDefault="00091B58" w:rsidP="00091B58">
      <w:pPr>
        <w:widowControl w:val="0"/>
        <w:autoSpaceDE w:val="0"/>
        <w:autoSpaceDN w:val="0"/>
        <w:adjustRightInd w:val="0"/>
        <w:rPr>
          <w:rFonts w:eastAsia="SimSun"/>
          <w:iCs/>
          <w:sz w:val="22"/>
          <w:szCs w:val="22"/>
          <w:lang w:eastAsia="zh-CN"/>
        </w:rPr>
      </w:pPr>
    </w:p>
    <w:p w14:paraId="008939BA"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Nustatyta, kad veiksmingumas pagal pagrindinę vertinamąją baigtį šį vaistinį preparatą vartojant kartą per parą buvo panašus (ne mažesnis), kaip ir vartojant du kartus per parą (MaHR skirtumas 0,8 %, 95 % PI nuo -7,1 % iki 8,7 %), vis dėlto vartojimo po 140 mg kartą per parą saugumas ir toleravimas buvo geresni. Atsako dažnis pateikiamas 7 lentelėje.</w:t>
      </w:r>
    </w:p>
    <w:p w14:paraId="2B783CBC" w14:textId="77777777" w:rsidR="00091B58" w:rsidRPr="00C81D88" w:rsidRDefault="00091B58" w:rsidP="00091B58">
      <w:pPr>
        <w:widowControl w:val="0"/>
        <w:autoSpaceDE w:val="0"/>
        <w:autoSpaceDN w:val="0"/>
        <w:adjustRightInd w:val="0"/>
        <w:rPr>
          <w:rFonts w:eastAsia="SimSun"/>
          <w:iCs/>
          <w:sz w:val="22"/>
          <w:szCs w:val="22"/>
          <w:lang w:eastAsia="zh-CN"/>
        </w:rPr>
      </w:pPr>
    </w:p>
    <w:p w14:paraId="3EBEB990" w14:textId="77777777" w:rsidR="00091B58" w:rsidRPr="00C81D88" w:rsidRDefault="00091B58" w:rsidP="00091B58">
      <w:pPr>
        <w:widowControl w:val="0"/>
        <w:autoSpaceDE w:val="0"/>
        <w:autoSpaceDN w:val="0"/>
        <w:adjustRightInd w:val="0"/>
        <w:rPr>
          <w:rFonts w:eastAsia="SimSun"/>
          <w:b/>
          <w:bCs/>
          <w:iCs/>
          <w:sz w:val="22"/>
          <w:szCs w:val="22"/>
          <w:lang w:eastAsia="zh-CN"/>
        </w:rPr>
      </w:pPr>
      <w:r w:rsidRPr="00C81D88">
        <w:rPr>
          <w:rFonts w:eastAsia="SimSun"/>
          <w:b/>
          <w:bCs/>
          <w:iCs/>
          <w:sz w:val="22"/>
          <w:szCs w:val="22"/>
          <w:lang w:eastAsia="zh-CN"/>
        </w:rPr>
        <w:t>7 lentelė. Dazatinibo veiksmingumas III fazės dozės optimizavimo tyrimo metu: Ph+ ŪLL sergantys pacientai (2 metų duomenys)</w:t>
      </w:r>
      <w:r w:rsidRPr="00C81D88">
        <w:rPr>
          <w:rFonts w:eastAsia="SimSun"/>
          <w:b/>
          <w:bCs/>
          <w:iCs/>
          <w:sz w:val="22"/>
          <w:szCs w:val="22"/>
          <w:vertAlign w:val="superscript"/>
          <w:lang w:eastAsia="zh-CN"/>
        </w:rPr>
        <w:t>a</w:t>
      </w:r>
    </w:p>
    <w:p w14:paraId="35E1904F" w14:textId="77777777" w:rsidR="00091B58" w:rsidRPr="00C81D88" w:rsidRDefault="00091B58" w:rsidP="00091B58">
      <w:pPr>
        <w:widowControl w:val="0"/>
        <w:autoSpaceDE w:val="0"/>
        <w:autoSpaceDN w:val="0"/>
        <w:adjustRightInd w:val="0"/>
        <w:rPr>
          <w:rFonts w:eastAsia="SimSun"/>
          <w:iCs/>
          <w:szCs w:val="22"/>
          <w:lang w:eastAsia="zh-CN"/>
        </w:rPr>
      </w:pPr>
    </w:p>
    <w:tbl>
      <w:tblPr>
        <w:tblW w:w="3458" w:type="dxa"/>
        <w:tblInd w:w="117" w:type="dxa"/>
        <w:tblLayout w:type="fixed"/>
        <w:tblCellMar>
          <w:left w:w="0" w:type="dxa"/>
          <w:right w:w="0" w:type="dxa"/>
        </w:tblCellMar>
        <w:tblLook w:val="01E0" w:firstRow="1" w:lastRow="1" w:firstColumn="1" w:lastColumn="1" w:noHBand="0" w:noVBand="0"/>
      </w:tblPr>
      <w:tblGrid>
        <w:gridCol w:w="1726"/>
        <w:gridCol w:w="1732"/>
      </w:tblGrid>
      <w:tr w:rsidR="00091B58" w:rsidRPr="00C81D88" w14:paraId="41E57522" w14:textId="77777777" w:rsidTr="00AB3BF3">
        <w:trPr>
          <w:trHeight w:hRule="exact" w:val="469"/>
        </w:trPr>
        <w:tc>
          <w:tcPr>
            <w:tcW w:w="1726" w:type="dxa"/>
            <w:tcBorders>
              <w:top w:val="single" w:sz="4" w:space="0" w:color="000000"/>
              <w:left w:val="nil"/>
              <w:bottom w:val="single" w:sz="4" w:space="0" w:color="000000"/>
              <w:right w:val="nil"/>
            </w:tcBorders>
          </w:tcPr>
          <w:p w14:paraId="2969F154" w14:textId="77777777" w:rsidR="00091B58" w:rsidRPr="00C81D88" w:rsidRDefault="00091B58" w:rsidP="00AB3BF3">
            <w:pPr>
              <w:widowControl w:val="0"/>
              <w:autoSpaceDE w:val="0"/>
              <w:autoSpaceDN w:val="0"/>
              <w:adjustRightInd w:val="0"/>
              <w:rPr>
                <w:rFonts w:eastAsia="SimSun"/>
                <w:sz w:val="22"/>
                <w:szCs w:val="22"/>
              </w:rPr>
            </w:pPr>
          </w:p>
        </w:tc>
        <w:tc>
          <w:tcPr>
            <w:tcW w:w="1732" w:type="dxa"/>
            <w:tcBorders>
              <w:top w:val="single" w:sz="4" w:space="0" w:color="000000"/>
              <w:left w:val="nil"/>
              <w:bottom w:val="single" w:sz="4" w:space="0" w:color="000000"/>
              <w:right w:val="nil"/>
            </w:tcBorders>
          </w:tcPr>
          <w:p w14:paraId="605BFA0E" w14:textId="77777777" w:rsidR="00091B58" w:rsidRPr="00C81D88" w:rsidRDefault="00091B58" w:rsidP="00AB3BF3">
            <w:pPr>
              <w:widowControl w:val="0"/>
              <w:ind w:left="57"/>
              <w:jc w:val="center"/>
              <w:rPr>
                <w:sz w:val="22"/>
                <w:szCs w:val="22"/>
              </w:rPr>
            </w:pPr>
            <w:r w:rsidRPr="00C81D88">
              <w:rPr>
                <w:sz w:val="22"/>
                <w:szCs w:val="22"/>
              </w:rPr>
              <w:t>Ph+ ŪLL</w:t>
            </w:r>
          </w:p>
          <w:p w14:paraId="4394E36C" w14:textId="77777777" w:rsidR="00091B58" w:rsidRPr="00C81D88" w:rsidRDefault="00091B58" w:rsidP="00AB3BF3">
            <w:pPr>
              <w:widowControl w:val="0"/>
              <w:ind w:left="57"/>
              <w:jc w:val="center"/>
              <w:rPr>
                <w:sz w:val="22"/>
                <w:szCs w:val="22"/>
              </w:rPr>
            </w:pPr>
            <w:r w:rsidRPr="00C81D88">
              <w:rPr>
                <w:sz w:val="22"/>
                <w:szCs w:val="22"/>
              </w:rPr>
              <w:t>(n= 40)</w:t>
            </w:r>
          </w:p>
        </w:tc>
      </w:tr>
      <w:tr w:rsidR="00091B58" w:rsidRPr="00C81D88" w14:paraId="7E795253" w14:textId="77777777" w:rsidTr="00AB3BF3">
        <w:trPr>
          <w:trHeight w:hRule="exact" w:val="542"/>
        </w:trPr>
        <w:tc>
          <w:tcPr>
            <w:tcW w:w="1726" w:type="dxa"/>
            <w:tcBorders>
              <w:top w:val="single" w:sz="4" w:space="0" w:color="000000"/>
              <w:left w:val="nil"/>
              <w:bottom w:val="nil"/>
              <w:right w:val="nil"/>
            </w:tcBorders>
          </w:tcPr>
          <w:p w14:paraId="1ACB7D75"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b/>
                <w:bCs/>
                <w:iCs/>
                <w:sz w:val="22"/>
                <w:szCs w:val="22"/>
                <w:lang w:eastAsia="zh-CN"/>
              </w:rPr>
              <w:t>MaHR</w:t>
            </w:r>
            <w:r w:rsidRPr="00C81D88">
              <w:rPr>
                <w:rFonts w:eastAsia="SimSun"/>
                <w:b/>
                <w:bCs/>
                <w:iCs/>
                <w:sz w:val="22"/>
                <w:szCs w:val="22"/>
                <w:vertAlign w:val="superscript"/>
                <w:lang w:eastAsia="zh-CN"/>
              </w:rPr>
              <w:t>b</w:t>
            </w:r>
          </w:p>
          <w:p w14:paraId="0B98BEC2"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(95 % PI)</w:t>
            </w:r>
          </w:p>
        </w:tc>
        <w:tc>
          <w:tcPr>
            <w:tcW w:w="1732" w:type="dxa"/>
            <w:tcBorders>
              <w:top w:val="single" w:sz="4" w:space="0" w:color="000000"/>
              <w:left w:val="nil"/>
              <w:bottom w:val="nil"/>
              <w:right w:val="nil"/>
            </w:tcBorders>
          </w:tcPr>
          <w:p w14:paraId="7DDAD65D"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38 %</w:t>
            </w:r>
          </w:p>
          <w:p w14:paraId="4F5EAF56"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(23</w:t>
            </w:r>
            <w:r w:rsidRPr="00C81D88">
              <w:rPr>
                <w:rFonts w:eastAsia="SimSun"/>
                <w:iCs/>
                <w:sz w:val="22"/>
                <w:szCs w:val="22"/>
                <w:lang w:eastAsia="zh-CN"/>
              </w:rPr>
              <w:noBreakHyphen/>
              <w:t>54)</w:t>
            </w:r>
          </w:p>
        </w:tc>
      </w:tr>
      <w:tr w:rsidR="00091B58" w:rsidRPr="00C81D88" w14:paraId="49BC5BB7" w14:textId="77777777" w:rsidTr="00AB3BF3">
        <w:trPr>
          <w:trHeight w:hRule="exact" w:val="586"/>
        </w:trPr>
        <w:tc>
          <w:tcPr>
            <w:tcW w:w="1726" w:type="dxa"/>
            <w:tcBorders>
              <w:top w:val="nil"/>
              <w:left w:val="nil"/>
              <w:bottom w:val="nil"/>
              <w:right w:val="nil"/>
            </w:tcBorders>
          </w:tcPr>
          <w:p w14:paraId="0F58436D"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CHR</w:t>
            </w:r>
            <w:r w:rsidRPr="00C81D88">
              <w:rPr>
                <w:rFonts w:eastAsia="SimSun"/>
                <w:b/>
                <w:bCs/>
                <w:iCs/>
                <w:sz w:val="22"/>
                <w:szCs w:val="22"/>
                <w:vertAlign w:val="superscript"/>
                <w:lang w:eastAsia="zh-CN"/>
              </w:rPr>
              <w:t>b</w:t>
            </w:r>
          </w:p>
          <w:p w14:paraId="481F5715"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(95 % PI)</w:t>
            </w:r>
          </w:p>
        </w:tc>
        <w:tc>
          <w:tcPr>
            <w:tcW w:w="1732" w:type="dxa"/>
            <w:tcBorders>
              <w:top w:val="nil"/>
              <w:left w:val="nil"/>
              <w:bottom w:val="nil"/>
              <w:right w:val="nil"/>
            </w:tcBorders>
          </w:tcPr>
          <w:p w14:paraId="755C9A17"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33 %</w:t>
            </w:r>
          </w:p>
          <w:p w14:paraId="7C905FE9"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(19</w:t>
            </w:r>
            <w:r w:rsidRPr="00C81D88">
              <w:rPr>
                <w:rFonts w:eastAsia="SimSun"/>
                <w:iCs/>
                <w:sz w:val="22"/>
                <w:szCs w:val="22"/>
                <w:lang w:eastAsia="zh-CN"/>
              </w:rPr>
              <w:noBreakHyphen/>
              <w:t>49)</w:t>
            </w:r>
          </w:p>
        </w:tc>
      </w:tr>
      <w:tr w:rsidR="00091B58" w:rsidRPr="00C81D88" w14:paraId="59EC9AE9" w14:textId="77777777" w:rsidTr="00AB3BF3">
        <w:trPr>
          <w:trHeight w:hRule="exact" w:val="560"/>
        </w:trPr>
        <w:tc>
          <w:tcPr>
            <w:tcW w:w="1726" w:type="dxa"/>
            <w:tcBorders>
              <w:top w:val="nil"/>
              <w:left w:val="nil"/>
              <w:bottom w:val="single" w:sz="4" w:space="0" w:color="000000"/>
              <w:right w:val="nil"/>
            </w:tcBorders>
          </w:tcPr>
          <w:p w14:paraId="5A174EE0"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NEL</w:t>
            </w:r>
            <w:r w:rsidRPr="00C81D88">
              <w:rPr>
                <w:rFonts w:eastAsia="SimSun"/>
                <w:b/>
                <w:bCs/>
                <w:iCs/>
                <w:sz w:val="22"/>
                <w:szCs w:val="22"/>
                <w:vertAlign w:val="superscript"/>
                <w:lang w:eastAsia="zh-CN"/>
              </w:rPr>
              <w:t>b</w:t>
            </w:r>
          </w:p>
          <w:p w14:paraId="4B39C795"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(95 % PI)</w:t>
            </w:r>
          </w:p>
        </w:tc>
        <w:tc>
          <w:tcPr>
            <w:tcW w:w="1732" w:type="dxa"/>
            <w:tcBorders>
              <w:top w:val="nil"/>
              <w:left w:val="nil"/>
              <w:bottom w:val="single" w:sz="4" w:space="0" w:color="000000"/>
              <w:right w:val="nil"/>
            </w:tcBorders>
          </w:tcPr>
          <w:p w14:paraId="02AA81AA"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5 %</w:t>
            </w:r>
          </w:p>
          <w:p w14:paraId="623D04C3"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(1</w:t>
            </w:r>
            <w:r w:rsidRPr="00C81D88">
              <w:rPr>
                <w:rFonts w:eastAsia="SimSun"/>
                <w:iCs/>
                <w:sz w:val="22"/>
                <w:szCs w:val="22"/>
                <w:lang w:eastAsia="zh-CN"/>
              </w:rPr>
              <w:noBreakHyphen/>
              <w:t>17)</w:t>
            </w:r>
          </w:p>
        </w:tc>
      </w:tr>
      <w:tr w:rsidR="00091B58" w:rsidRPr="00C81D88" w14:paraId="573D431C" w14:textId="77777777" w:rsidTr="00AB3BF3">
        <w:trPr>
          <w:trHeight w:hRule="exact" w:val="597"/>
        </w:trPr>
        <w:tc>
          <w:tcPr>
            <w:tcW w:w="1726" w:type="dxa"/>
            <w:tcBorders>
              <w:top w:val="single" w:sz="4" w:space="0" w:color="000000"/>
              <w:left w:val="nil"/>
              <w:bottom w:val="nil"/>
              <w:right w:val="nil"/>
            </w:tcBorders>
          </w:tcPr>
          <w:p w14:paraId="64FFC6F7"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b/>
                <w:bCs/>
                <w:iCs/>
                <w:sz w:val="22"/>
                <w:szCs w:val="22"/>
                <w:lang w:eastAsia="zh-CN"/>
              </w:rPr>
              <w:t>MCyR</w:t>
            </w:r>
            <w:r w:rsidRPr="00C81D88">
              <w:rPr>
                <w:rFonts w:eastAsia="SimSun"/>
                <w:b/>
                <w:bCs/>
                <w:iCs/>
                <w:sz w:val="22"/>
                <w:szCs w:val="22"/>
                <w:vertAlign w:val="superscript"/>
                <w:lang w:eastAsia="zh-CN"/>
              </w:rPr>
              <w:t>c</w:t>
            </w:r>
          </w:p>
          <w:p w14:paraId="4380E844"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(95 % PI)</w:t>
            </w:r>
          </w:p>
        </w:tc>
        <w:tc>
          <w:tcPr>
            <w:tcW w:w="1732" w:type="dxa"/>
            <w:tcBorders>
              <w:top w:val="single" w:sz="4" w:space="0" w:color="000000"/>
              <w:left w:val="nil"/>
              <w:bottom w:val="nil"/>
              <w:right w:val="nil"/>
            </w:tcBorders>
          </w:tcPr>
          <w:p w14:paraId="435B602E"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70 %</w:t>
            </w:r>
          </w:p>
          <w:p w14:paraId="238598A2"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(54</w:t>
            </w:r>
            <w:r w:rsidRPr="00C81D88">
              <w:rPr>
                <w:rFonts w:eastAsia="SimSun"/>
                <w:iCs/>
                <w:sz w:val="22"/>
                <w:szCs w:val="22"/>
                <w:lang w:eastAsia="zh-CN"/>
              </w:rPr>
              <w:noBreakHyphen/>
              <w:t>83)</w:t>
            </w:r>
          </w:p>
        </w:tc>
      </w:tr>
      <w:tr w:rsidR="00091B58" w:rsidRPr="00C81D88" w14:paraId="748BC7CF" w14:textId="77777777" w:rsidTr="00AB3BF3">
        <w:trPr>
          <w:trHeight w:hRule="exact" w:val="561"/>
        </w:trPr>
        <w:tc>
          <w:tcPr>
            <w:tcW w:w="1726" w:type="dxa"/>
            <w:tcBorders>
              <w:top w:val="nil"/>
              <w:left w:val="nil"/>
              <w:bottom w:val="single" w:sz="4" w:space="0" w:color="000000"/>
              <w:right w:val="nil"/>
            </w:tcBorders>
          </w:tcPr>
          <w:p w14:paraId="64447537"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 xml:space="preserve">CCyR </w:t>
            </w:r>
          </w:p>
          <w:p w14:paraId="3151BC56" w14:textId="77777777" w:rsidR="00091B58" w:rsidRPr="00C81D88" w:rsidRDefault="00091B58" w:rsidP="00AB3BF3">
            <w:pPr>
              <w:widowControl w:val="0"/>
              <w:autoSpaceDE w:val="0"/>
              <w:autoSpaceDN w:val="0"/>
              <w:adjustRightInd w:val="0"/>
              <w:rPr>
                <w:rFonts w:eastAsia="SimSun"/>
                <w:iCs/>
                <w:sz w:val="22"/>
                <w:szCs w:val="22"/>
                <w:lang w:eastAsia="zh-CN"/>
              </w:rPr>
            </w:pPr>
            <w:r w:rsidRPr="00C81D88">
              <w:rPr>
                <w:rFonts w:eastAsia="SimSun"/>
                <w:iCs/>
                <w:sz w:val="22"/>
                <w:szCs w:val="22"/>
                <w:lang w:eastAsia="zh-CN"/>
              </w:rPr>
              <w:t>(95 % PI)</w:t>
            </w:r>
          </w:p>
        </w:tc>
        <w:tc>
          <w:tcPr>
            <w:tcW w:w="1732" w:type="dxa"/>
            <w:tcBorders>
              <w:top w:val="nil"/>
              <w:left w:val="nil"/>
              <w:bottom w:val="single" w:sz="4" w:space="0" w:color="000000"/>
              <w:right w:val="nil"/>
            </w:tcBorders>
          </w:tcPr>
          <w:p w14:paraId="27B304AA"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50 %</w:t>
            </w:r>
          </w:p>
          <w:p w14:paraId="19C6A3EF" w14:textId="77777777" w:rsidR="00091B58" w:rsidRPr="00C81D88" w:rsidRDefault="00091B58" w:rsidP="00AB3BF3">
            <w:pPr>
              <w:widowControl w:val="0"/>
              <w:autoSpaceDE w:val="0"/>
              <w:autoSpaceDN w:val="0"/>
              <w:adjustRightInd w:val="0"/>
              <w:jc w:val="center"/>
              <w:rPr>
                <w:rFonts w:eastAsia="SimSun"/>
                <w:iCs/>
                <w:sz w:val="22"/>
                <w:szCs w:val="22"/>
                <w:lang w:eastAsia="zh-CN"/>
              </w:rPr>
            </w:pPr>
            <w:r w:rsidRPr="00C81D88">
              <w:rPr>
                <w:rFonts w:eastAsia="SimSun"/>
                <w:iCs/>
                <w:sz w:val="22"/>
                <w:szCs w:val="22"/>
                <w:lang w:eastAsia="zh-CN"/>
              </w:rPr>
              <w:t>(34</w:t>
            </w:r>
            <w:r w:rsidRPr="00C81D88">
              <w:rPr>
                <w:rFonts w:eastAsia="SimSun"/>
                <w:iCs/>
                <w:sz w:val="22"/>
                <w:szCs w:val="22"/>
                <w:lang w:eastAsia="zh-CN"/>
              </w:rPr>
              <w:noBreakHyphen/>
              <w:t>66)</w:t>
            </w:r>
          </w:p>
        </w:tc>
      </w:tr>
    </w:tbl>
    <w:p w14:paraId="317D550C" w14:textId="77777777" w:rsidR="00091B58" w:rsidRPr="00C81D88" w:rsidRDefault="00091B58" w:rsidP="00091B58">
      <w:pPr>
        <w:widowControl w:val="0"/>
        <w:autoSpaceDE w:val="0"/>
        <w:autoSpaceDN w:val="0"/>
        <w:adjustRightInd w:val="0"/>
        <w:rPr>
          <w:rFonts w:eastAsia="SimSun"/>
          <w:iCs/>
          <w:sz w:val="20"/>
          <w:lang w:eastAsia="zh-CN"/>
        </w:rPr>
      </w:pPr>
      <w:r w:rsidRPr="00C81D88">
        <w:rPr>
          <w:rFonts w:eastAsia="SimSun"/>
          <w:iCs/>
          <w:sz w:val="20"/>
          <w:vertAlign w:val="superscript"/>
          <w:lang w:eastAsia="zh-CN"/>
        </w:rPr>
        <w:t>a</w:t>
      </w:r>
      <w:r w:rsidRPr="00C81D88">
        <w:rPr>
          <w:rFonts w:eastAsia="SimSun"/>
          <w:iCs/>
          <w:sz w:val="20"/>
          <w:lang w:eastAsia="zh-CN"/>
        </w:rPr>
        <w:t xml:space="preserve"> Duomenys gauti vartojant rekomenduojamą pradinę 140 mg kartą per parą dozę (žr. 4.2 skyrių).</w:t>
      </w:r>
    </w:p>
    <w:p w14:paraId="30348926" w14:textId="77777777" w:rsidR="00091B58" w:rsidRPr="00C81D88" w:rsidRDefault="00091B58" w:rsidP="00091B58">
      <w:pPr>
        <w:widowControl w:val="0"/>
        <w:autoSpaceDE w:val="0"/>
        <w:autoSpaceDN w:val="0"/>
        <w:adjustRightInd w:val="0"/>
        <w:ind w:left="142" w:hanging="142"/>
        <w:rPr>
          <w:rFonts w:eastAsia="SimSun"/>
          <w:iCs/>
          <w:sz w:val="20"/>
          <w:lang w:eastAsia="zh-CN"/>
        </w:rPr>
      </w:pPr>
      <w:r w:rsidRPr="00C81D88">
        <w:rPr>
          <w:rFonts w:eastAsia="SimSun"/>
          <w:iCs/>
          <w:sz w:val="20"/>
          <w:vertAlign w:val="superscript"/>
          <w:lang w:eastAsia="zh-CN"/>
        </w:rPr>
        <w:t>b</w:t>
      </w:r>
      <w:r w:rsidRPr="00C81D88">
        <w:rPr>
          <w:rFonts w:eastAsia="SimSun"/>
          <w:iCs/>
          <w:sz w:val="20"/>
          <w:lang w:eastAsia="zh-CN"/>
        </w:rPr>
        <w:t xml:space="preserve"> Hematologinio atsako kriterijai (visais atvejais atsakas patvirtintas po 4 savaičių): didysis hematologinis atsakas (MaHR)=visiškas hematologinis atsakas (CHR) + nėra leukemiją rodančių duomenų (NEL)</w:t>
      </w:r>
    </w:p>
    <w:p w14:paraId="6A7E3DD6" w14:textId="77777777" w:rsidR="00091B58" w:rsidRPr="00C81D88" w:rsidRDefault="00091B58" w:rsidP="00091B58">
      <w:pPr>
        <w:widowControl w:val="0"/>
        <w:autoSpaceDE w:val="0"/>
        <w:autoSpaceDN w:val="0"/>
        <w:adjustRightInd w:val="0"/>
        <w:ind w:left="142"/>
        <w:rPr>
          <w:rFonts w:eastAsia="SimSun"/>
          <w:iCs/>
          <w:sz w:val="20"/>
          <w:lang w:eastAsia="zh-CN"/>
        </w:rPr>
      </w:pPr>
      <w:r w:rsidRPr="00C81D88">
        <w:rPr>
          <w:rFonts w:eastAsia="SimSun"/>
          <w:iCs/>
          <w:sz w:val="20"/>
          <w:lang w:eastAsia="zh-CN"/>
        </w:rPr>
        <w:t>CHR: leukocitų ≤ nustatyta VNR, absoliutus neutrofilų skaičius ≥ 1 000/mm</w:t>
      </w:r>
      <w:r w:rsidRPr="00C81D88">
        <w:rPr>
          <w:rFonts w:eastAsia="SimSun"/>
          <w:iCs/>
          <w:sz w:val="20"/>
          <w:vertAlign w:val="superscript"/>
          <w:lang w:eastAsia="zh-CN"/>
        </w:rPr>
        <w:t>3</w:t>
      </w:r>
      <w:r w:rsidRPr="00C81D88">
        <w:rPr>
          <w:rFonts w:eastAsia="SimSun"/>
          <w:iCs/>
          <w:sz w:val="20"/>
          <w:lang w:eastAsia="zh-CN"/>
        </w:rPr>
        <w:t>, trombocitų ≥ 100 000/mm</w:t>
      </w:r>
      <w:r w:rsidRPr="00C81D88">
        <w:rPr>
          <w:rFonts w:eastAsia="SimSun"/>
          <w:iCs/>
          <w:sz w:val="20"/>
          <w:vertAlign w:val="superscript"/>
          <w:lang w:eastAsia="zh-CN"/>
        </w:rPr>
        <w:t>3</w:t>
      </w:r>
      <w:r w:rsidRPr="00C81D88">
        <w:rPr>
          <w:rFonts w:eastAsia="SimSun"/>
          <w:iCs/>
          <w:sz w:val="20"/>
          <w:lang w:eastAsia="zh-CN"/>
        </w:rPr>
        <w:t>; periferiniame kraujyje nėra blastų, kaulų čiulpuose blastų ≤ 5 %, nėra ekstramedulinių židinių</w:t>
      </w:r>
    </w:p>
    <w:p w14:paraId="08171C14" w14:textId="77777777" w:rsidR="00091B58" w:rsidRPr="00C81D88" w:rsidRDefault="00091B58" w:rsidP="00091B58">
      <w:pPr>
        <w:widowControl w:val="0"/>
        <w:autoSpaceDE w:val="0"/>
        <w:autoSpaceDN w:val="0"/>
        <w:adjustRightInd w:val="0"/>
        <w:ind w:left="142"/>
        <w:rPr>
          <w:rFonts w:eastAsia="SimSun"/>
          <w:iCs/>
          <w:sz w:val="20"/>
          <w:lang w:eastAsia="zh-CN"/>
        </w:rPr>
      </w:pPr>
      <w:r w:rsidRPr="00C81D88">
        <w:rPr>
          <w:rFonts w:eastAsia="SimSun"/>
          <w:iCs/>
          <w:sz w:val="20"/>
          <w:lang w:eastAsia="zh-CN"/>
        </w:rPr>
        <w:t>NEL: tie patys kriterijai kaip CHR, tačiau absoliutus neutrofilų skaičius ≥ 500/mm</w:t>
      </w:r>
      <w:r w:rsidRPr="00C81D88">
        <w:rPr>
          <w:rFonts w:eastAsia="SimSun"/>
          <w:iCs/>
          <w:sz w:val="20"/>
          <w:vertAlign w:val="superscript"/>
          <w:lang w:eastAsia="zh-CN"/>
        </w:rPr>
        <w:t>3</w:t>
      </w:r>
      <w:r w:rsidRPr="00C81D88">
        <w:rPr>
          <w:rFonts w:eastAsia="SimSun"/>
          <w:iCs/>
          <w:sz w:val="20"/>
          <w:lang w:eastAsia="zh-CN"/>
        </w:rPr>
        <w:t xml:space="preserve"> ir &lt; 1 000/mm</w:t>
      </w:r>
      <w:r w:rsidRPr="00C81D88">
        <w:rPr>
          <w:rFonts w:eastAsia="SimSun"/>
          <w:iCs/>
          <w:sz w:val="20"/>
          <w:vertAlign w:val="superscript"/>
          <w:lang w:eastAsia="zh-CN"/>
        </w:rPr>
        <w:t>3</w:t>
      </w:r>
      <w:r w:rsidRPr="00C81D88">
        <w:rPr>
          <w:rFonts w:eastAsia="SimSun"/>
          <w:iCs/>
          <w:sz w:val="20"/>
          <w:lang w:eastAsia="zh-CN"/>
        </w:rPr>
        <w:t xml:space="preserve"> arba trombocitų ≥ 20 000/mm</w:t>
      </w:r>
      <w:r w:rsidRPr="00C81D88">
        <w:rPr>
          <w:rFonts w:eastAsia="SimSun"/>
          <w:iCs/>
          <w:sz w:val="20"/>
          <w:vertAlign w:val="superscript"/>
          <w:lang w:eastAsia="zh-CN"/>
        </w:rPr>
        <w:t>3</w:t>
      </w:r>
      <w:r w:rsidRPr="00C81D88">
        <w:rPr>
          <w:rFonts w:eastAsia="SimSun"/>
          <w:iCs/>
          <w:sz w:val="20"/>
          <w:lang w:eastAsia="zh-CN"/>
        </w:rPr>
        <w:t xml:space="preserve"> ir ≤ 100 000/mm</w:t>
      </w:r>
      <w:r w:rsidRPr="00C81D88">
        <w:rPr>
          <w:rFonts w:eastAsia="SimSun"/>
          <w:iCs/>
          <w:sz w:val="20"/>
          <w:vertAlign w:val="superscript"/>
          <w:lang w:eastAsia="zh-CN"/>
        </w:rPr>
        <w:t>3</w:t>
      </w:r>
      <w:r w:rsidRPr="00C81D88">
        <w:rPr>
          <w:rFonts w:eastAsia="SimSun"/>
          <w:iCs/>
          <w:sz w:val="20"/>
          <w:lang w:eastAsia="zh-CN"/>
        </w:rPr>
        <w:t>.</w:t>
      </w:r>
    </w:p>
    <w:p w14:paraId="799CDCDD" w14:textId="77777777" w:rsidR="00091B58" w:rsidRPr="00C81D88" w:rsidRDefault="00091B58" w:rsidP="00091B58">
      <w:pPr>
        <w:widowControl w:val="0"/>
        <w:autoSpaceDE w:val="0"/>
        <w:autoSpaceDN w:val="0"/>
        <w:adjustRightInd w:val="0"/>
        <w:ind w:left="142" w:hanging="142"/>
        <w:rPr>
          <w:rFonts w:eastAsia="SimSun"/>
          <w:iCs/>
          <w:sz w:val="20"/>
          <w:lang w:eastAsia="zh-CN"/>
        </w:rPr>
      </w:pPr>
      <w:r w:rsidRPr="00C81D88">
        <w:rPr>
          <w:rFonts w:eastAsia="SimSun"/>
          <w:iCs/>
          <w:sz w:val="20"/>
          <w:vertAlign w:val="superscript"/>
          <w:lang w:eastAsia="zh-CN"/>
        </w:rPr>
        <w:t>c</w:t>
      </w:r>
      <w:r w:rsidRPr="00C81D88">
        <w:rPr>
          <w:rFonts w:eastAsia="SimSun"/>
          <w:iCs/>
          <w:sz w:val="20"/>
          <w:lang w:eastAsia="zh-CN"/>
        </w:rPr>
        <w:t xml:space="preserve"> Didysis citogenetinis atsakas apima visišką (MCyR) (0 % Ph+ metafazių) ir dalinį (&gt; 0 %-35 % Ph+ metafazių) atsaką.</w:t>
      </w:r>
    </w:p>
    <w:p w14:paraId="11D213EE" w14:textId="77777777" w:rsidR="00091B58" w:rsidRPr="00C81D88" w:rsidRDefault="00091B58" w:rsidP="00091B58">
      <w:pPr>
        <w:widowControl w:val="0"/>
        <w:autoSpaceDE w:val="0"/>
        <w:autoSpaceDN w:val="0"/>
        <w:adjustRightInd w:val="0"/>
        <w:rPr>
          <w:rFonts w:eastAsia="SimSun"/>
          <w:iCs/>
          <w:sz w:val="20"/>
          <w:lang w:eastAsia="zh-CN"/>
        </w:rPr>
      </w:pPr>
      <w:r w:rsidRPr="00C81D88">
        <w:rPr>
          <w:rFonts w:eastAsia="SimSun"/>
          <w:iCs/>
          <w:sz w:val="20"/>
          <w:lang w:eastAsia="zh-CN"/>
        </w:rPr>
        <w:t>PI=pasikliautinasis intervalas, VNR=viršutinė normos riba.</w:t>
      </w:r>
    </w:p>
    <w:p w14:paraId="43535EDD" w14:textId="77777777" w:rsidR="00091B58" w:rsidRPr="00C81D88" w:rsidRDefault="00091B58" w:rsidP="00091B58">
      <w:pPr>
        <w:widowControl w:val="0"/>
        <w:autoSpaceDE w:val="0"/>
        <w:autoSpaceDN w:val="0"/>
        <w:adjustRightInd w:val="0"/>
        <w:rPr>
          <w:rFonts w:eastAsia="SimSun"/>
          <w:iCs/>
          <w:szCs w:val="22"/>
          <w:lang w:eastAsia="zh-CN"/>
        </w:rPr>
      </w:pPr>
    </w:p>
    <w:p w14:paraId="706B101C"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Ph+ ŪLL sirgusių pacientų, gydytų 140 mg doze kartą per parą, MaHR trukmės mediana buvo 5 mėnesiai, išgyvenamumo be ligos progresavimo (PFS) mediana – 4 mėnesiai, o bendro išgyvento laiko mediana – 7 mėnesiai.</w:t>
      </w:r>
    </w:p>
    <w:p w14:paraId="5655FB7B" w14:textId="77777777" w:rsidR="00091B58" w:rsidRPr="00C81D88" w:rsidRDefault="00091B58" w:rsidP="00091B58">
      <w:pPr>
        <w:widowControl w:val="0"/>
        <w:autoSpaceDE w:val="0"/>
        <w:autoSpaceDN w:val="0"/>
        <w:adjustRightInd w:val="0"/>
        <w:rPr>
          <w:rFonts w:eastAsia="SimSun"/>
          <w:iCs/>
          <w:sz w:val="22"/>
          <w:szCs w:val="22"/>
          <w:lang w:eastAsia="zh-CN"/>
        </w:rPr>
      </w:pPr>
    </w:p>
    <w:p w14:paraId="3B9D7A85" w14:textId="77777777" w:rsidR="00091B58" w:rsidRPr="00C81D88" w:rsidRDefault="00091B58" w:rsidP="00091B58">
      <w:pPr>
        <w:widowControl w:val="0"/>
        <w:autoSpaceDE w:val="0"/>
        <w:autoSpaceDN w:val="0"/>
        <w:adjustRightInd w:val="0"/>
        <w:rPr>
          <w:rFonts w:eastAsia="SimSun"/>
          <w:iCs/>
          <w:sz w:val="22"/>
          <w:szCs w:val="22"/>
          <w:u w:val="single"/>
          <w:lang w:eastAsia="zh-CN"/>
        </w:rPr>
      </w:pPr>
      <w:r w:rsidRPr="00C81D88">
        <w:rPr>
          <w:rFonts w:eastAsia="SimSun"/>
          <w:iCs/>
          <w:sz w:val="22"/>
          <w:szCs w:val="22"/>
          <w:u w:val="single"/>
          <w:lang w:eastAsia="zh-CN"/>
        </w:rPr>
        <w:t>Vaikų populiacija</w:t>
      </w:r>
    </w:p>
    <w:p w14:paraId="23721C2E" w14:textId="77777777" w:rsidR="00091B58" w:rsidRPr="00C81D88" w:rsidRDefault="00091B58" w:rsidP="00091B58">
      <w:pPr>
        <w:widowControl w:val="0"/>
        <w:autoSpaceDE w:val="0"/>
        <w:autoSpaceDN w:val="0"/>
        <w:adjustRightInd w:val="0"/>
        <w:rPr>
          <w:rFonts w:eastAsia="SimSun"/>
          <w:iCs/>
          <w:sz w:val="22"/>
          <w:szCs w:val="22"/>
          <w:lang w:eastAsia="zh-CN"/>
        </w:rPr>
      </w:pPr>
    </w:p>
    <w:p w14:paraId="6BAFDEB5" w14:textId="77777777" w:rsidR="00091B58" w:rsidRPr="00C81D88" w:rsidRDefault="00091B58" w:rsidP="00091B58">
      <w:pPr>
        <w:widowControl w:val="0"/>
        <w:autoSpaceDE w:val="0"/>
        <w:autoSpaceDN w:val="0"/>
        <w:adjustRightInd w:val="0"/>
        <w:rPr>
          <w:rFonts w:eastAsia="SimSun"/>
          <w:i/>
          <w:iCs/>
          <w:sz w:val="22"/>
          <w:szCs w:val="22"/>
          <w:u w:val="single"/>
          <w:lang w:eastAsia="zh-CN"/>
        </w:rPr>
      </w:pPr>
      <w:r w:rsidRPr="00C81D88">
        <w:rPr>
          <w:rFonts w:eastAsia="SimSun"/>
          <w:i/>
          <w:iCs/>
          <w:sz w:val="22"/>
          <w:szCs w:val="22"/>
          <w:u w:val="single"/>
          <w:lang w:eastAsia="zh-CN"/>
        </w:rPr>
        <w:t>ŪLL sergantys vaikai</w:t>
      </w:r>
    </w:p>
    <w:p w14:paraId="54FFC954"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 xml:space="preserve">Dazatinibo derinio su chemoterapija veiksmingumas vyresniems kaip vienerių metų vaikams, sergantiems naujai diagnozuota Ph+ ŪLL, tirtas pagrindinio pediatrinio tyrimo metu. </w:t>
      </w:r>
    </w:p>
    <w:p w14:paraId="73DB73DA" w14:textId="77777777" w:rsidR="00091B58" w:rsidRPr="00C81D88" w:rsidRDefault="00091B58" w:rsidP="00091B58">
      <w:pPr>
        <w:widowControl w:val="0"/>
        <w:autoSpaceDE w:val="0"/>
        <w:autoSpaceDN w:val="0"/>
        <w:adjustRightInd w:val="0"/>
        <w:rPr>
          <w:rFonts w:eastAsia="SimSun"/>
          <w:iCs/>
          <w:sz w:val="22"/>
          <w:szCs w:val="22"/>
          <w:lang w:eastAsia="zh-CN"/>
        </w:rPr>
      </w:pPr>
    </w:p>
    <w:p w14:paraId="44F87851"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Šio daugiacentrio, ankstesniais duomenimis kontroliuoto, II fazės tyrimo metu 106 vaikai, sirgę naujai diagnozuota Ph+ ŪLL (iš jų 104 Ph+ ŪLL buvo patvirtinta), iki 24 mėnesių nepertraukiamai vartojo 60 mg/m</w:t>
      </w:r>
      <w:r w:rsidRPr="00C81D88">
        <w:rPr>
          <w:rFonts w:eastAsia="SimSun"/>
          <w:iCs/>
          <w:sz w:val="22"/>
          <w:szCs w:val="22"/>
          <w:vertAlign w:val="superscript"/>
          <w:lang w:eastAsia="zh-CN"/>
        </w:rPr>
        <w:t xml:space="preserve">2 </w:t>
      </w:r>
      <w:r w:rsidRPr="00C81D88">
        <w:rPr>
          <w:rFonts w:eastAsia="SimSun"/>
          <w:iCs/>
          <w:sz w:val="22"/>
          <w:szCs w:val="22"/>
          <w:lang w:eastAsia="zh-CN"/>
        </w:rPr>
        <w:t xml:space="preserve"> dazatinibo kartu taikant chemoterapiją. 82 pacientai vartojo vien dazatinibo tabletes, o 24 pavartojo bent vieną dazatinibo miltelių geriamajai suspensijai dozę (8 iš jų vartojo tik miltelius geriamajai suspensijai). Bazinės chemoterapijos schema buvo tokia kaip AIEOP-BFM ALL 2000 tyrimo metu (taikytas standartinis sudėtinės chemoterapijos protokolas). Pirminė veiksmingumo vertinamoji baigtis buvo 3 metų išgyvenimas be nustatytų įvykių (angl. 3 </w:t>
      </w:r>
      <w:r w:rsidRPr="00C81D88">
        <w:rPr>
          <w:rFonts w:eastAsia="SimSun"/>
          <w:i/>
          <w:iCs/>
          <w:sz w:val="22"/>
          <w:szCs w:val="22"/>
          <w:lang w:eastAsia="zh-CN"/>
        </w:rPr>
        <w:t>event-free survival</w:t>
      </w:r>
      <w:r w:rsidRPr="00C81D88">
        <w:rPr>
          <w:rFonts w:eastAsia="SimSun"/>
          <w:iCs/>
          <w:sz w:val="22"/>
          <w:szCs w:val="22"/>
          <w:lang w:eastAsia="zh-CN"/>
        </w:rPr>
        <w:t>, EFS), kuris buvo 65,5 % (55,5, 73,7).</w:t>
      </w:r>
    </w:p>
    <w:p w14:paraId="0B2C9AAA" w14:textId="77777777" w:rsidR="00091B58" w:rsidRPr="00C81D88" w:rsidRDefault="00091B58" w:rsidP="00091B58">
      <w:pPr>
        <w:widowControl w:val="0"/>
        <w:autoSpaceDE w:val="0"/>
        <w:autoSpaceDN w:val="0"/>
        <w:adjustRightInd w:val="0"/>
        <w:rPr>
          <w:rFonts w:eastAsia="SimSun"/>
          <w:iCs/>
          <w:sz w:val="22"/>
          <w:szCs w:val="22"/>
          <w:lang w:eastAsia="zh-CN"/>
        </w:rPr>
      </w:pPr>
    </w:p>
    <w:p w14:paraId="49361A10"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lastRenderedPageBreak/>
        <w:t xml:space="preserve">Ištyrus Ig/TCR persitvarkymą, minimalios liekamosios ligos (angl. </w:t>
      </w:r>
      <w:r w:rsidRPr="00C81D88">
        <w:rPr>
          <w:rFonts w:eastAsia="SimSun"/>
          <w:i/>
          <w:iCs/>
          <w:sz w:val="22"/>
          <w:szCs w:val="22"/>
          <w:lang w:eastAsia="zh-CN"/>
        </w:rPr>
        <w:t>minimal residual disease</w:t>
      </w:r>
      <w:r w:rsidRPr="00C81D88">
        <w:rPr>
          <w:rFonts w:eastAsia="SimSun"/>
          <w:iCs/>
          <w:sz w:val="22"/>
          <w:szCs w:val="22"/>
          <w:lang w:eastAsia="zh-CN"/>
        </w:rPr>
        <w:t>, MRD) konsoliduojamosios chemoterapijos pabaigoje nerasta 71,7 % visų gydytų pacientų. Kai šis įvertinimas buvo paremtas 85 pacientais, kurių Ig/TCR duomenis buvo galima įvertinti, apskaičiuotasis rodmuo buvo 89,4 %. Tėkmės citometrijos būdu indukcijos ir konsoliduojamosios chemoterapijos pabaigoje MRD nerasta atitinkamai 66,0 % ir 84,0 %</w:t>
      </w:r>
    </w:p>
    <w:p w14:paraId="3B92BB65" w14:textId="77777777" w:rsidR="00091B58" w:rsidRPr="00C81D88" w:rsidRDefault="00091B58" w:rsidP="00091B58">
      <w:pPr>
        <w:widowControl w:val="0"/>
        <w:autoSpaceDE w:val="0"/>
        <w:autoSpaceDN w:val="0"/>
        <w:adjustRightInd w:val="0"/>
        <w:rPr>
          <w:rFonts w:eastAsia="SimSun"/>
          <w:iCs/>
          <w:sz w:val="22"/>
          <w:szCs w:val="22"/>
          <w:lang w:eastAsia="zh-CN"/>
        </w:rPr>
      </w:pPr>
      <w:r w:rsidRPr="00C81D88">
        <w:rPr>
          <w:rFonts w:eastAsia="SimSun"/>
          <w:iCs/>
          <w:sz w:val="22"/>
          <w:szCs w:val="22"/>
          <w:lang w:eastAsia="zh-CN"/>
        </w:rPr>
        <w:t>pacientų.</w:t>
      </w:r>
    </w:p>
    <w:p w14:paraId="072BD488" w14:textId="77777777" w:rsidR="00091B58" w:rsidRPr="00C81D88" w:rsidRDefault="00091B58" w:rsidP="00091B58">
      <w:pPr>
        <w:rPr>
          <w:rFonts w:eastAsia="SimSun"/>
          <w:sz w:val="22"/>
          <w:szCs w:val="22"/>
          <w:lang w:eastAsia="zh-CN"/>
        </w:rPr>
      </w:pPr>
    </w:p>
    <w:p w14:paraId="378519C8" w14:textId="77777777" w:rsidR="00091B58" w:rsidRPr="00C81D88" w:rsidRDefault="00091B58" w:rsidP="00091B58">
      <w:pPr>
        <w:rPr>
          <w:rFonts w:eastAsia="SimSun"/>
          <w:b/>
          <w:sz w:val="22"/>
          <w:szCs w:val="22"/>
        </w:rPr>
      </w:pPr>
      <w:r w:rsidRPr="00C81D88">
        <w:rPr>
          <w:rFonts w:eastAsia="SimSun"/>
          <w:b/>
          <w:sz w:val="22"/>
          <w:szCs w:val="22"/>
        </w:rPr>
        <w:t>5.2</w:t>
      </w:r>
      <w:r w:rsidRPr="00C81D88">
        <w:rPr>
          <w:rFonts w:eastAsia="SimSun"/>
          <w:b/>
          <w:sz w:val="22"/>
          <w:szCs w:val="22"/>
        </w:rPr>
        <w:tab/>
        <w:t>Farmakokinetinės savybės</w:t>
      </w:r>
    </w:p>
    <w:p w14:paraId="083AE63A" w14:textId="77777777" w:rsidR="00091B58" w:rsidRPr="00C81D88" w:rsidRDefault="00091B58" w:rsidP="00091B58">
      <w:pPr>
        <w:rPr>
          <w:rFonts w:eastAsia="SimSun"/>
          <w:sz w:val="22"/>
          <w:szCs w:val="22"/>
          <w:lang w:eastAsia="zh-CN"/>
        </w:rPr>
      </w:pPr>
    </w:p>
    <w:p w14:paraId="569EE702"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Dazatinibo farmakokinetika tirta 229 suaugusių sveikų asmenų ir 84 pacientų organizme.</w:t>
      </w:r>
    </w:p>
    <w:p w14:paraId="29110A73" w14:textId="77777777" w:rsidR="00091B58" w:rsidRPr="00C81D88" w:rsidRDefault="00091B58" w:rsidP="00091B58">
      <w:pPr>
        <w:rPr>
          <w:rFonts w:eastAsia="SimSun"/>
          <w:sz w:val="22"/>
          <w:szCs w:val="22"/>
          <w:lang w:eastAsia="zh-CN"/>
        </w:rPr>
      </w:pPr>
    </w:p>
    <w:p w14:paraId="0DCAA5A3"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Absorbcija</w:t>
      </w:r>
    </w:p>
    <w:p w14:paraId="3241191C" w14:textId="77777777" w:rsidR="00091B58" w:rsidRPr="00C81D88" w:rsidRDefault="00091B58" w:rsidP="00091B58">
      <w:pPr>
        <w:rPr>
          <w:rFonts w:eastAsia="SimSun"/>
          <w:sz w:val="22"/>
          <w:szCs w:val="22"/>
          <w:lang w:eastAsia="zh-CN"/>
        </w:rPr>
      </w:pPr>
      <w:r w:rsidRPr="00C81D88">
        <w:rPr>
          <w:rFonts w:eastAsia="SimSun"/>
          <w:sz w:val="22"/>
          <w:szCs w:val="22"/>
          <w:lang w:eastAsia="zh-CN"/>
        </w:rPr>
        <w:t>Paciento per burną pavartotas dazatinibas greitai absorbuojamas, didžiausia koncentracija susidaro po 0,5</w:t>
      </w:r>
      <w:r w:rsidRPr="00C81D88">
        <w:rPr>
          <w:rFonts w:eastAsia="SimSun"/>
          <w:sz w:val="22"/>
          <w:szCs w:val="22"/>
          <w:lang w:eastAsia="zh-CN"/>
        </w:rPr>
        <w:noBreakHyphen/>
        <w:t>3 valandų.</w:t>
      </w:r>
    </w:p>
    <w:p w14:paraId="066D182C" w14:textId="77777777" w:rsidR="00091B58" w:rsidRPr="00C81D88" w:rsidRDefault="00091B58" w:rsidP="00091B58">
      <w:pPr>
        <w:rPr>
          <w:rFonts w:eastAsia="SimSun"/>
          <w:sz w:val="22"/>
          <w:szCs w:val="22"/>
          <w:lang w:eastAsia="zh-CN"/>
        </w:rPr>
      </w:pPr>
      <w:r w:rsidRPr="00C81D88">
        <w:rPr>
          <w:rFonts w:eastAsia="SimSun"/>
          <w:sz w:val="22"/>
          <w:szCs w:val="22"/>
          <w:lang w:eastAsia="zh-CN"/>
        </w:rPr>
        <w:t>Vartojant per burną po 25</w:t>
      </w:r>
      <w:r w:rsidRPr="00C81D88">
        <w:rPr>
          <w:rFonts w:eastAsia="SimSun"/>
          <w:sz w:val="22"/>
          <w:szCs w:val="22"/>
          <w:lang w:eastAsia="zh-CN"/>
        </w:rPr>
        <w:noBreakHyphen/>
        <w:t>120 mg du kartus per parą, vidutinės ekspozicijos (AUC</w:t>
      </w:r>
      <w:r w:rsidRPr="00C81D88">
        <w:rPr>
          <w:sz w:val="22"/>
          <w:szCs w:val="22"/>
        </w:rPr>
        <w:t>τ</w:t>
      </w:r>
      <w:r w:rsidRPr="00C81D88">
        <w:rPr>
          <w:rFonts w:eastAsia="SimSun"/>
          <w:sz w:val="22"/>
          <w:szCs w:val="22"/>
          <w:lang w:eastAsia="zh-CN"/>
        </w:rPr>
        <w:t>) padidėjimas būna maždaug proporcingas dozės padidinimui. Bendras dazatinibo vidutinis terminalinis pusinis laikas pacientų organizme yra maždaug 5</w:t>
      </w:r>
      <w:r w:rsidRPr="00C81D88">
        <w:rPr>
          <w:rFonts w:eastAsia="SimSun"/>
          <w:sz w:val="22"/>
          <w:szCs w:val="22"/>
          <w:lang w:eastAsia="zh-CN"/>
        </w:rPr>
        <w:noBreakHyphen/>
        <w:t>6 valandos.</w:t>
      </w:r>
    </w:p>
    <w:p w14:paraId="22451106" w14:textId="77777777" w:rsidR="00091B58" w:rsidRPr="00C81D88" w:rsidRDefault="00091B58" w:rsidP="00091B58">
      <w:pPr>
        <w:rPr>
          <w:rFonts w:eastAsia="SimSun"/>
          <w:sz w:val="22"/>
          <w:szCs w:val="22"/>
          <w:lang w:eastAsia="zh-CN"/>
        </w:rPr>
      </w:pPr>
    </w:p>
    <w:p w14:paraId="4EAAE021" w14:textId="77777777" w:rsidR="00091B58" w:rsidRPr="00053893" w:rsidRDefault="00091B58" w:rsidP="00091B58">
      <w:pPr>
        <w:rPr>
          <w:rFonts w:eastAsia="TimesNewRomanPSMT"/>
          <w:sz w:val="22"/>
        </w:rPr>
      </w:pPr>
      <w:r w:rsidRPr="00C81D88">
        <w:rPr>
          <w:rFonts w:eastAsia="SimSun"/>
          <w:sz w:val="22"/>
          <w:szCs w:val="22"/>
          <w:lang w:eastAsia="zh-CN"/>
        </w:rPr>
        <w:t>Tiriant sveikus asmenis, išgėrusius vieną 100 mg dazatinibo dozę praėjus 30 minučių po riebaus valgio, nustatytas dazatinibo vidutinio AUC padidėjimas 14 %. Išgėrus dazatinibo praėjus 30 minučių po lieso valgio, vidutinis dazatinibo AUC buvo didesnis 21%. Šis maisto poveikis kliniškai reikšmingos įtakos vaistinio preparato ekspozicijai neturi.</w:t>
      </w:r>
      <w:r w:rsidRPr="00053893">
        <w:rPr>
          <w:rFonts w:ascii="TimesNewRomanPSMT" w:eastAsia="TimesNewRomanPSMT"/>
          <w:sz w:val="22"/>
        </w:rPr>
        <w:t xml:space="preserve"> </w:t>
      </w:r>
      <w:r w:rsidRPr="00053893">
        <w:rPr>
          <w:rFonts w:eastAsia="TimesNewRomanPSMT"/>
          <w:sz w:val="22"/>
        </w:rPr>
        <w:t xml:space="preserve">Dazatinibo ekspozicijos kintamumas yra didesnis nevalgius (variacijos koficientas – 47 %) nei pavalgius lengvai riebaus maisto (variacijos koficientas – 39 %) ir riebaus maisto (variacijos koficientas – 32 %). </w:t>
      </w:r>
    </w:p>
    <w:p w14:paraId="0C6540BC" w14:textId="77777777" w:rsidR="00091B58" w:rsidRPr="00C81D88" w:rsidRDefault="00091B58" w:rsidP="00091B58">
      <w:pPr>
        <w:rPr>
          <w:rFonts w:eastAsia="SimSun"/>
          <w:sz w:val="22"/>
          <w:szCs w:val="22"/>
          <w:lang w:eastAsia="zh-CN"/>
        </w:rPr>
      </w:pPr>
      <w:r w:rsidRPr="00053893">
        <w:rPr>
          <w:rFonts w:eastAsia="TimesNewRomanPSMT"/>
          <w:sz w:val="22"/>
        </w:rPr>
        <w:t>Remiantis pacientų populiacios farmakokinetine analize, buvo įvertinta , kad dazatinibo ekspozijos kintamumas daugiausia yra dėl biologinio prieinamumo tarp - atvejo kintamumo (variacijos koeficientas - 44 %) ir ma</w:t>
      </w:r>
      <w:r w:rsidRPr="00C81D88">
        <w:rPr>
          <w:rFonts w:eastAsia="TimesNewRomanPSMT"/>
          <w:sz w:val="22"/>
          <w:szCs w:val="22"/>
        </w:rPr>
        <w:t>žiau, dėl biologinio prieinamumo kintamumo tarp atskirų individų, bei klirenso kintamumo tarp atskirų individų (</w:t>
      </w:r>
      <w:r w:rsidRPr="00053893">
        <w:rPr>
          <w:rFonts w:eastAsia="TimesNewRomanPSMT"/>
          <w:sz w:val="22"/>
        </w:rPr>
        <w:t>variacijos koeficientai – atitinkamai yra 30 % ir 32 %). Nėra</w:t>
      </w:r>
      <w:r w:rsidRPr="00C81D88">
        <w:rPr>
          <w:rFonts w:eastAsia="TimesNewRomanPSMT"/>
          <w:sz w:val="22"/>
          <w:szCs w:val="22"/>
        </w:rPr>
        <w:t xml:space="preserve"> tikėtina, kad atsitiktinis tarp - atvejų ekspozicijos kintamumas daro poveikį kylančiai ekspozicijai bei veiksmingumui ar saugumui. </w:t>
      </w:r>
    </w:p>
    <w:p w14:paraId="2371319C" w14:textId="77777777" w:rsidR="00091B58" w:rsidRPr="00C81D88" w:rsidRDefault="00091B58" w:rsidP="00091B58">
      <w:pPr>
        <w:rPr>
          <w:rFonts w:eastAsia="SimSun"/>
          <w:sz w:val="22"/>
          <w:szCs w:val="22"/>
          <w:lang w:eastAsia="zh-CN"/>
        </w:rPr>
      </w:pPr>
    </w:p>
    <w:p w14:paraId="4888E1D2"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Pasiskirstymas</w:t>
      </w:r>
    </w:p>
    <w:p w14:paraId="464C1F50"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Pacientų organizme dazatinibo tariamasis pasiskirstymo tūris yra didelis (2 505 litrai, variacijos koeficientas – 93 %), todėl tikėtina, kad jis ekstensyviai pasiskirsto ekstravaskulinėje terpėje. Tyrimų </w:t>
      </w:r>
      <w:r w:rsidRPr="00C81D88">
        <w:rPr>
          <w:rFonts w:eastAsia="SimSun"/>
          <w:i/>
          <w:sz w:val="22"/>
          <w:szCs w:val="22"/>
          <w:lang w:eastAsia="zh-CN"/>
        </w:rPr>
        <w:t>in vitro</w:t>
      </w:r>
      <w:r w:rsidRPr="00C81D88">
        <w:rPr>
          <w:rFonts w:eastAsia="SimSun"/>
          <w:sz w:val="22"/>
          <w:szCs w:val="22"/>
          <w:lang w:eastAsia="zh-CN"/>
        </w:rPr>
        <w:t xml:space="preserve"> metu esant kliniškai reikšmingoms koncentracijoms, maždaug 96 % dazatinibo būdavo prisijungusio prie plazmos baltymų.</w:t>
      </w:r>
    </w:p>
    <w:p w14:paraId="715A1AB9" w14:textId="77777777" w:rsidR="00091B58" w:rsidRPr="00C81D88" w:rsidRDefault="00091B58" w:rsidP="00091B58">
      <w:pPr>
        <w:rPr>
          <w:rFonts w:eastAsia="SimSun"/>
          <w:sz w:val="22"/>
          <w:szCs w:val="22"/>
          <w:lang w:eastAsia="zh-CN"/>
        </w:rPr>
      </w:pPr>
    </w:p>
    <w:p w14:paraId="28C0232B"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Biotransformacija</w:t>
      </w:r>
    </w:p>
    <w:p w14:paraId="6E11FB1D" w14:textId="77777777" w:rsidR="00091B58" w:rsidRPr="00C81D88" w:rsidRDefault="00091B58" w:rsidP="00091B58">
      <w:pPr>
        <w:rPr>
          <w:rFonts w:eastAsia="SimSun"/>
          <w:sz w:val="22"/>
          <w:szCs w:val="22"/>
          <w:lang w:eastAsia="zh-CN"/>
        </w:rPr>
      </w:pPr>
      <w:r w:rsidRPr="00C81D88">
        <w:rPr>
          <w:rFonts w:eastAsia="SimSun"/>
          <w:sz w:val="22"/>
          <w:szCs w:val="22"/>
          <w:lang w:eastAsia="zh-CN"/>
        </w:rPr>
        <w:t>Žmogaus organizme dazatinibas yra ekstensyviai metabolizuojamas. Susidarant metabolitams dalyvauja daug fermentų. Sveikam žmogui išgėrus 100 mg [14</w:t>
      </w:r>
      <w:r w:rsidRPr="00C81D88">
        <w:rPr>
          <w:rFonts w:eastAsia="SimSun"/>
          <w:sz w:val="22"/>
          <w:szCs w:val="22"/>
          <w:vertAlign w:val="superscript"/>
          <w:lang w:eastAsia="zh-CN"/>
        </w:rPr>
        <w:t>C</w:t>
      </w:r>
      <w:r w:rsidRPr="00C81D88">
        <w:rPr>
          <w:rFonts w:eastAsia="SimSun"/>
          <w:sz w:val="22"/>
          <w:szCs w:val="22"/>
          <w:lang w:eastAsia="zh-CN"/>
        </w:rPr>
        <w:t xml:space="preserve">] žymėtojo dazatinibo, nepakitusios medžiagos molekulės lėmė 29% kraujo plazmoje cirkuliuojančio radioaktyvumo. Sprendžiant pagal koncentraciją kraujo plazmoje ir aktyvumą </w:t>
      </w:r>
      <w:r w:rsidRPr="00C81D88">
        <w:rPr>
          <w:rFonts w:eastAsia="SimSun"/>
          <w:i/>
          <w:sz w:val="22"/>
          <w:szCs w:val="22"/>
          <w:lang w:eastAsia="zh-CN"/>
        </w:rPr>
        <w:t>in vitro</w:t>
      </w:r>
      <w:r w:rsidRPr="00C81D88">
        <w:rPr>
          <w:rFonts w:eastAsia="SimSun"/>
          <w:sz w:val="22"/>
          <w:szCs w:val="22"/>
          <w:lang w:eastAsia="zh-CN"/>
        </w:rPr>
        <w:t>, dazatinibo metabolitai neturėtų daryti reikšmingos įtakos šio vaistinio preparato farmakologinėms savybėms. Pagrindinis dazatinibo metabolizmo fermentas yra CYP3A4.</w:t>
      </w:r>
    </w:p>
    <w:p w14:paraId="42DB8737" w14:textId="77777777" w:rsidR="00091B58" w:rsidRPr="00C81D88" w:rsidRDefault="00091B58" w:rsidP="00091B58">
      <w:pPr>
        <w:rPr>
          <w:rFonts w:eastAsia="SimSun"/>
          <w:sz w:val="22"/>
          <w:szCs w:val="22"/>
          <w:lang w:eastAsia="zh-CN"/>
        </w:rPr>
      </w:pPr>
    </w:p>
    <w:p w14:paraId="7ADF103C"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Eliminacija</w:t>
      </w:r>
    </w:p>
    <w:p w14:paraId="5A7EC408" w14:textId="77777777" w:rsidR="00091B58" w:rsidRPr="00C81D88" w:rsidRDefault="00091B58" w:rsidP="00091B58">
      <w:pPr>
        <w:rPr>
          <w:rFonts w:eastAsia="SimSun"/>
          <w:sz w:val="22"/>
          <w:szCs w:val="22"/>
          <w:lang w:eastAsia="zh-CN"/>
        </w:rPr>
      </w:pPr>
      <w:r w:rsidRPr="00C81D88">
        <w:rPr>
          <w:rFonts w:eastAsia="SimSun"/>
          <w:sz w:val="22"/>
          <w:szCs w:val="22"/>
          <w:lang w:eastAsia="zh-CN"/>
        </w:rPr>
        <w:t>Vidutinis terminalinis dazatinibo pusinės eliminacijos laikas yra 3</w:t>
      </w:r>
      <w:r w:rsidRPr="00C81D88">
        <w:rPr>
          <w:rFonts w:eastAsia="SimSun"/>
          <w:sz w:val="22"/>
          <w:szCs w:val="22"/>
          <w:lang w:eastAsia="zh-CN"/>
        </w:rPr>
        <w:noBreakHyphen/>
        <w:t>5 valandos, vidutinis tariamasis per burną pavartoto dazatinibo klirensas – 363,8 l/valandos (variacijos koeficientas – 81,3 %).</w:t>
      </w:r>
    </w:p>
    <w:p w14:paraId="4C335906" w14:textId="77777777" w:rsidR="00091B58" w:rsidRPr="00C81D88" w:rsidRDefault="00091B58" w:rsidP="00091B58">
      <w:pPr>
        <w:rPr>
          <w:rFonts w:eastAsia="SimSun"/>
          <w:sz w:val="22"/>
          <w:szCs w:val="22"/>
          <w:lang w:eastAsia="zh-CN"/>
        </w:rPr>
      </w:pPr>
    </w:p>
    <w:p w14:paraId="68EB0728" w14:textId="77777777" w:rsidR="00091B58" w:rsidRPr="00C81D88" w:rsidRDefault="00091B58" w:rsidP="00091B58">
      <w:pPr>
        <w:rPr>
          <w:rFonts w:eastAsia="SimSun"/>
          <w:sz w:val="22"/>
          <w:szCs w:val="22"/>
          <w:lang w:eastAsia="zh-CN"/>
        </w:rPr>
      </w:pPr>
      <w:r w:rsidRPr="00C81D88">
        <w:rPr>
          <w:rFonts w:eastAsia="SimSun"/>
          <w:sz w:val="22"/>
          <w:szCs w:val="22"/>
          <w:lang w:eastAsia="zh-CN"/>
        </w:rPr>
        <w:t>Daugiausia vaistinio preparato pašalinama su išmatomis, didžioji dalis – metabolitų pavidalo. Išgėrus vieną [14</w:t>
      </w:r>
      <w:r w:rsidRPr="00C81D88">
        <w:rPr>
          <w:rFonts w:eastAsia="SimSun"/>
          <w:sz w:val="22"/>
          <w:szCs w:val="22"/>
          <w:vertAlign w:val="superscript"/>
          <w:lang w:eastAsia="zh-CN"/>
        </w:rPr>
        <w:t>C</w:t>
      </w:r>
      <w:r w:rsidRPr="00C81D88">
        <w:rPr>
          <w:rFonts w:eastAsia="SimSun"/>
          <w:sz w:val="22"/>
          <w:szCs w:val="22"/>
          <w:lang w:eastAsia="zh-CN"/>
        </w:rPr>
        <w:t>] žymėto dazatinibo dozę, maždaug 89 % radioaktyvumo buvo pašalinta per 10 dienų (šlapime rasta 4 %, išmatose – 85 %). Nepakitęs dazatinibas šlapime sudarė 0,1 %, išmatose – 19 %. Likusioji vaistinio preparato dozės dalis buvo pašalinta metabolitų pavidalu.</w:t>
      </w:r>
    </w:p>
    <w:p w14:paraId="1B7E6A6B" w14:textId="77777777" w:rsidR="00091B58" w:rsidRPr="00C81D88" w:rsidRDefault="00091B58" w:rsidP="00091B58">
      <w:pPr>
        <w:rPr>
          <w:rFonts w:eastAsia="SimSun"/>
          <w:sz w:val="22"/>
          <w:szCs w:val="22"/>
          <w:lang w:eastAsia="zh-CN"/>
        </w:rPr>
      </w:pPr>
    </w:p>
    <w:p w14:paraId="5BC53907"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Sutrikusi kepenų ir inkstų funkcija</w:t>
      </w:r>
    </w:p>
    <w:p w14:paraId="38299730"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Kepenų funkcijos sutrikimo įtaka vienkartinės dazatinibo asmenims dozės farmakokinetikai tirta 8 vidutinio sunkumo kepenų funkcijos sutrikimu sergantiems asmenims skiriant 50 mg dozę ir 5 sunkiu kepenų funkcijos sutrikimu sergantiems asmenims skiriant 20 mg dozę (lyginant su atitinkama sveikų asmenų, vartojusių 70 mg dazatinibo dozę, grupe). Asmenų, kuriems buvo </w:t>
      </w:r>
      <w:r w:rsidRPr="00C81D88">
        <w:rPr>
          <w:rFonts w:eastAsia="SimSun"/>
          <w:sz w:val="22"/>
          <w:szCs w:val="22"/>
          <w:lang w:eastAsia="zh-CN"/>
        </w:rPr>
        <w:lastRenderedPageBreak/>
        <w:t>vidutinio sunkumo kepenų funkcijos sutrikimas, organizme dazatinibo C</w:t>
      </w:r>
      <w:r w:rsidRPr="00C81D88">
        <w:rPr>
          <w:rFonts w:eastAsia="SimSun"/>
          <w:sz w:val="22"/>
          <w:szCs w:val="22"/>
          <w:vertAlign w:val="subscript"/>
          <w:lang w:eastAsia="zh-CN"/>
        </w:rPr>
        <w:t>max</w:t>
      </w:r>
      <w:r w:rsidRPr="00C81D88">
        <w:rPr>
          <w:rFonts w:eastAsia="SimSun"/>
          <w:sz w:val="22"/>
          <w:szCs w:val="22"/>
          <w:lang w:eastAsia="zh-CN"/>
        </w:rPr>
        <w:t xml:space="preserve"> ir AUC vidurkiai, koreguoti pagal 70 mg dozę, buvo atitinkamai 47 % ir 8 % mažesni, palyginti su pacientų, kurių kepenų funkcija normali, rodmenimis. Asmenų, kuriems buvo sunkus kepenų funkcijos sutrikimas, organizme dazatinibo C</w:t>
      </w:r>
      <w:r w:rsidRPr="00C81D88">
        <w:rPr>
          <w:rFonts w:eastAsia="SimSun"/>
          <w:sz w:val="22"/>
          <w:szCs w:val="22"/>
          <w:vertAlign w:val="subscript"/>
          <w:lang w:eastAsia="zh-CN"/>
        </w:rPr>
        <w:t>max</w:t>
      </w:r>
      <w:r w:rsidRPr="00C81D88">
        <w:rPr>
          <w:rFonts w:eastAsia="SimSun"/>
          <w:sz w:val="22"/>
          <w:szCs w:val="22"/>
          <w:lang w:eastAsia="zh-CN"/>
        </w:rPr>
        <w:t xml:space="preserve"> ir AUC vidurkiai, koreguoti pagal 70 mg dozę, buvo atitinkamai 43 % ir 28 % mažesni, palyginti su pacientų, kurių kepenų funkcija normali, rodmenimis (žr. 4.2 ir 4.4 skyrius).</w:t>
      </w:r>
    </w:p>
    <w:p w14:paraId="2E99D784" w14:textId="77777777" w:rsidR="00091B58" w:rsidRPr="00C81D88" w:rsidRDefault="00091B58" w:rsidP="00091B58">
      <w:pPr>
        <w:rPr>
          <w:rFonts w:eastAsia="SimSun"/>
          <w:sz w:val="22"/>
          <w:szCs w:val="22"/>
          <w:lang w:eastAsia="zh-CN"/>
        </w:rPr>
      </w:pPr>
    </w:p>
    <w:p w14:paraId="5EEDBCF1" w14:textId="77777777" w:rsidR="00091B58" w:rsidRPr="00C81D88" w:rsidRDefault="00091B58" w:rsidP="00091B58">
      <w:pPr>
        <w:rPr>
          <w:rFonts w:eastAsia="SimSun"/>
          <w:sz w:val="22"/>
          <w:szCs w:val="22"/>
          <w:lang w:eastAsia="zh-CN"/>
        </w:rPr>
      </w:pPr>
      <w:r w:rsidRPr="00C81D88">
        <w:rPr>
          <w:rFonts w:eastAsia="SimSun"/>
          <w:sz w:val="22"/>
          <w:szCs w:val="22"/>
          <w:lang w:eastAsia="zh-CN"/>
        </w:rPr>
        <w:t>Per inkstus išskiriamas minimalus dazatinibo ir jo metabolitų kiekis.</w:t>
      </w:r>
    </w:p>
    <w:p w14:paraId="61764928" w14:textId="77777777" w:rsidR="00091B58" w:rsidRPr="00C81D88" w:rsidRDefault="00091B58" w:rsidP="00091B58">
      <w:pPr>
        <w:rPr>
          <w:rFonts w:eastAsia="SimSun"/>
          <w:sz w:val="22"/>
          <w:szCs w:val="22"/>
          <w:lang w:eastAsia="zh-CN"/>
        </w:rPr>
      </w:pPr>
    </w:p>
    <w:p w14:paraId="11E17B0C"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Vaikų populiacija</w:t>
      </w:r>
    </w:p>
    <w:p w14:paraId="123A23F9"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Dazatinibo farmakokinetika vertinta 104 vaikų, sirgusių leukemija arba solidiniais navikais, organizme (72 vartojo tablečių ir 32 – miltelių geriamajai suspensijai).</w:t>
      </w:r>
    </w:p>
    <w:p w14:paraId="5B82CC2A" w14:textId="77777777" w:rsidR="00091B58" w:rsidRPr="00C81D88" w:rsidRDefault="00091B58" w:rsidP="00091B58">
      <w:pPr>
        <w:rPr>
          <w:rFonts w:eastAsia="SimSun"/>
          <w:sz w:val="22"/>
          <w:szCs w:val="22"/>
          <w:lang w:eastAsia="zh-CN"/>
        </w:rPr>
      </w:pPr>
    </w:p>
    <w:p w14:paraId="43DF56C0" w14:textId="77777777" w:rsidR="00091B58" w:rsidRPr="00C81D88" w:rsidRDefault="00091B58" w:rsidP="00091B58">
      <w:pPr>
        <w:rPr>
          <w:rFonts w:eastAsia="SimSun"/>
          <w:sz w:val="22"/>
          <w:szCs w:val="22"/>
          <w:lang w:eastAsia="zh-CN"/>
        </w:rPr>
      </w:pPr>
      <w:r w:rsidRPr="00C81D88">
        <w:rPr>
          <w:rFonts w:eastAsia="SimSun"/>
          <w:sz w:val="22"/>
          <w:szCs w:val="22"/>
          <w:lang w:eastAsia="zh-CN"/>
        </w:rPr>
        <w:t>Dazatinibo tablečių farmakokinetika vertinta 72 vaikų, sirgusių atsinaujinusia arba atsparia leukemija arba solidiniais navikais, organizme. Jie per burną kartą per parą vartojo 60</w:t>
      </w:r>
      <w:r w:rsidRPr="00C81D88">
        <w:rPr>
          <w:rFonts w:eastAsia="SimSun"/>
          <w:sz w:val="22"/>
          <w:szCs w:val="22"/>
          <w:lang w:eastAsia="zh-CN"/>
        </w:rPr>
        <w:noBreakHyphen/>
        <w:t>120 mg/m</w:t>
      </w:r>
      <w:r w:rsidRPr="00C81D88">
        <w:rPr>
          <w:rFonts w:eastAsia="SimSun"/>
          <w:sz w:val="22"/>
          <w:szCs w:val="22"/>
          <w:vertAlign w:val="superscript"/>
          <w:lang w:eastAsia="zh-CN"/>
        </w:rPr>
        <w:t>2</w:t>
      </w:r>
      <w:r w:rsidRPr="00C81D88">
        <w:rPr>
          <w:rFonts w:eastAsia="SimSun"/>
          <w:sz w:val="22"/>
          <w:szCs w:val="22"/>
          <w:lang w:eastAsia="zh-CN"/>
        </w:rPr>
        <w:t xml:space="preserve"> arba du kartus per parą 50-110 mg/m</w:t>
      </w:r>
      <w:r w:rsidRPr="00C81D88">
        <w:rPr>
          <w:rFonts w:eastAsia="SimSun"/>
          <w:sz w:val="22"/>
          <w:szCs w:val="22"/>
          <w:vertAlign w:val="superscript"/>
          <w:lang w:eastAsia="zh-CN"/>
        </w:rPr>
        <w:t>2</w:t>
      </w:r>
      <w:r w:rsidRPr="00C81D88">
        <w:rPr>
          <w:rFonts w:eastAsia="SimSun"/>
          <w:sz w:val="22"/>
          <w:szCs w:val="22"/>
          <w:lang w:eastAsia="zh-CN"/>
        </w:rPr>
        <w:t xml:space="preserve"> dozę. Abiejų tyrimų duomenys buvo apibendrinti ir buvo nustatyta, kad dazatinibo absorbcija yra greita. Vartojant visas dozes visose amžiaus grupėse, vidutinis T</w:t>
      </w:r>
      <w:r w:rsidRPr="00C81D88">
        <w:rPr>
          <w:rFonts w:eastAsia="SimSun"/>
          <w:sz w:val="22"/>
          <w:szCs w:val="22"/>
          <w:vertAlign w:val="subscript"/>
          <w:lang w:eastAsia="zh-CN"/>
        </w:rPr>
        <w:t xml:space="preserve">max </w:t>
      </w:r>
      <w:r w:rsidRPr="00C81D88">
        <w:rPr>
          <w:rFonts w:eastAsia="SimSun"/>
          <w:sz w:val="22"/>
          <w:szCs w:val="22"/>
          <w:lang w:eastAsia="zh-CN"/>
        </w:rPr>
        <w:t>buvo 0,5</w:t>
      </w:r>
      <w:r w:rsidRPr="00C81D88">
        <w:rPr>
          <w:rFonts w:eastAsia="SimSun"/>
          <w:sz w:val="22"/>
          <w:szCs w:val="22"/>
          <w:lang w:eastAsia="zh-CN"/>
        </w:rPr>
        <w:noBreakHyphen/>
        <w:t>6 valandos, o vidutinis pusinės eliminacijos laikas – 2</w:t>
      </w:r>
      <w:r w:rsidRPr="00C81D88">
        <w:rPr>
          <w:rFonts w:eastAsia="SimSun"/>
          <w:sz w:val="22"/>
          <w:szCs w:val="22"/>
          <w:lang w:eastAsia="zh-CN"/>
        </w:rPr>
        <w:noBreakHyphen/>
        <w:t>5 valandos. Dazatinibo farmakokinetikos rodmenys buvo proporcingi dozei, ekspozicija vaikų organizme didėjo priklausomai nuo dozės. Dazatinibo farmakokinetika vaikų ir paauglių organizme reikšmingai nesiskyrė. Pagal dozę normalizuoti dazatinibo C</w:t>
      </w:r>
      <w:r w:rsidRPr="00C81D88">
        <w:rPr>
          <w:rFonts w:eastAsia="SimSun"/>
          <w:sz w:val="22"/>
          <w:szCs w:val="22"/>
          <w:vertAlign w:val="subscript"/>
          <w:lang w:eastAsia="zh-CN"/>
        </w:rPr>
        <w:t>max</w:t>
      </w:r>
      <w:r w:rsidRPr="00C81D88">
        <w:rPr>
          <w:rFonts w:eastAsia="SimSun"/>
          <w:sz w:val="22"/>
          <w:szCs w:val="22"/>
          <w:lang w:eastAsia="zh-CN"/>
        </w:rPr>
        <w:t>, AUC</w:t>
      </w:r>
      <w:r w:rsidRPr="00C81D88">
        <w:rPr>
          <w:rFonts w:eastAsia="SimSun"/>
          <w:sz w:val="22"/>
          <w:szCs w:val="22"/>
          <w:vertAlign w:val="subscript"/>
          <w:lang w:eastAsia="zh-CN"/>
        </w:rPr>
        <w:t>0-T</w:t>
      </w:r>
      <w:r w:rsidRPr="00C81D88">
        <w:rPr>
          <w:rFonts w:eastAsia="SimSun"/>
          <w:sz w:val="22"/>
          <w:szCs w:val="22"/>
          <w:lang w:eastAsia="zh-CN"/>
        </w:rPr>
        <w:t xml:space="preserve"> ir AUC</w:t>
      </w:r>
      <w:r w:rsidRPr="00C81D88">
        <w:rPr>
          <w:rFonts w:eastAsia="SimSun"/>
          <w:sz w:val="22"/>
          <w:szCs w:val="22"/>
          <w:vertAlign w:val="subscript"/>
          <w:lang w:eastAsia="zh-CN"/>
        </w:rPr>
        <w:t>INF</w:t>
      </w:r>
      <w:r w:rsidRPr="00C81D88">
        <w:rPr>
          <w:rFonts w:eastAsia="SimSun"/>
          <w:sz w:val="22"/>
          <w:szCs w:val="22"/>
          <w:lang w:eastAsia="zh-CN"/>
        </w:rPr>
        <w:t xml:space="preserve"> geometriniai vidurkiai skirtingas dozes vartojusiems vaikams ir paaugliams buvo panašūs. Naudojant populiacijos farmakokinetikos modelį atliktas modeliavimas leidžia numatyti panašią ekspoziciją dozuojant tabletes pagal kūno svorį (žr. 4.2 skyrių) ir vartojant jų 60 mg/m</w:t>
      </w:r>
      <w:r w:rsidRPr="00C81D88">
        <w:rPr>
          <w:rFonts w:eastAsia="SimSun"/>
          <w:sz w:val="22"/>
          <w:szCs w:val="22"/>
          <w:vertAlign w:val="superscript"/>
          <w:lang w:eastAsia="zh-CN"/>
        </w:rPr>
        <w:t>2</w:t>
      </w:r>
      <w:r w:rsidRPr="00C81D88">
        <w:rPr>
          <w:rFonts w:eastAsia="SimSun"/>
          <w:sz w:val="22"/>
          <w:szCs w:val="22"/>
          <w:lang w:eastAsia="zh-CN"/>
        </w:rPr>
        <w:t xml:space="preserve"> dozę. Į šiuos duomenis būtina atsižvelgti keičiant tabletes milteliais geriamajai suspensijai arba atvirkščiai.</w:t>
      </w:r>
    </w:p>
    <w:p w14:paraId="6A0FE860" w14:textId="77777777" w:rsidR="00091B58" w:rsidRPr="00C81D88" w:rsidRDefault="00091B58" w:rsidP="00091B58">
      <w:pPr>
        <w:rPr>
          <w:rFonts w:eastAsia="SimSun"/>
          <w:sz w:val="22"/>
          <w:szCs w:val="22"/>
          <w:lang w:eastAsia="zh-CN"/>
        </w:rPr>
      </w:pPr>
    </w:p>
    <w:p w14:paraId="7F52A8E7"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5.3</w:t>
      </w:r>
      <w:r w:rsidRPr="00C81D88">
        <w:rPr>
          <w:rFonts w:eastAsia="SimSun"/>
          <w:b/>
          <w:sz w:val="22"/>
          <w:szCs w:val="22"/>
          <w:lang w:eastAsia="zh-CN"/>
        </w:rPr>
        <w:tab/>
        <w:t>Ikiklinikinių saugumo tyrimų duomenys</w:t>
      </w:r>
    </w:p>
    <w:p w14:paraId="212693B1" w14:textId="77777777" w:rsidR="00091B58" w:rsidRPr="00C81D88" w:rsidRDefault="00091B58" w:rsidP="00091B58">
      <w:pPr>
        <w:rPr>
          <w:rFonts w:eastAsia="SimSun"/>
          <w:sz w:val="22"/>
          <w:szCs w:val="22"/>
          <w:lang w:eastAsia="zh-CN"/>
        </w:rPr>
      </w:pPr>
    </w:p>
    <w:p w14:paraId="5FFCA4D2"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Dazatinibo ikiklinikinis saugumas įvertintas remiantis daugelio tyrimų </w:t>
      </w:r>
      <w:r w:rsidRPr="00C81D88">
        <w:rPr>
          <w:rFonts w:eastAsia="SimSun"/>
          <w:i/>
          <w:sz w:val="22"/>
          <w:szCs w:val="22"/>
          <w:lang w:eastAsia="zh-CN"/>
        </w:rPr>
        <w:t>in vitro</w:t>
      </w:r>
      <w:r w:rsidRPr="00C81D88">
        <w:rPr>
          <w:rFonts w:eastAsia="SimSun"/>
          <w:sz w:val="22"/>
          <w:szCs w:val="22"/>
          <w:lang w:eastAsia="zh-CN"/>
        </w:rPr>
        <w:t xml:space="preserve"> ir </w:t>
      </w:r>
      <w:r w:rsidRPr="00C81D88">
        <w:rPr>
          <w:rFonts w:eastAsia="SimSun"/>
          <w:i/>
          <w:sz w:val="22"/>
          <w:szCs w:val="22"/>
          <w:lang w:eastAsia="zh-CN"/>
        </w:rPr>
        <w:t>in vivo</w:t>
      </w:r>
      <w:r w:rsidRPr="00C81D88">
        <w:rPr>
          <w:rFonts w:eastAsia="SimSun"/>
          <w:sz w:val="22"/>
          <w:szCs w:val="22"/>
          <w:lang w:eastAsia="zh-CN"/>
        </w:rPr>
        <w:t xml:space="preserve"> su pelėmis, žiurkėmis, beždžionėmis ir triušiais duomenimis.</w:t>
      </w:r>
    </w:p>
    <w:p w14:paraId="7A4BFCFA" w14:textId="77777777" w:rsidR="00091B58" w:rsidRPr="00C81D88" w:rsidRDefault="00091B58" w:rsidP="00091B58">
      <w:pPr>
        <w:rPr>
          <w:rFonts w:eastAsia="SimSun"/>
          <w:sz w:val="22"/>
          <w:szCs w:val="22"/>
          <w:lang w:eastAsia="zh-CN"/>
        </w:rPr>
      </w:pPr>
    </w:p>
    <w:p w14:paraId="50350A37" w14:textId="77777777" w:rsidR="00091B58" w:rsidRPr="00C81D88" w:rsidRDefault="00091B58" w:rsidP="00091B58">
      <w:pPr>
        <w:rPr>
          <w:rFonts w:eastAsia="SimSun"/>
          <w:sz w:val="22"/>
          <w:szCs w:val="22"/>
          <w:lang w:eastAsia="zh-CN"/>
        </w:rPr>
      </w:pPr>
      <w:r w:rsidRPr="00C81D88">
        <w:rPr>
          <w:rFonts w:eastAsia="SimSun"/>
          <w:sz w:val="22"/>
          <w:szCs w:val="22"/>
          <w:lang w:eastAsia="zh-CN"/>
        </w:rPr>
        <w:t>Pagrindinis toksinis poveikis pasireiškė virškinimo trakte, kraujodaros ir limfinėje sistemose. Dėl toksinio poveikio virškinimo traktui teko riboti dozes žiurkėms ir beždžionėms, kurių žarnynas nuolat būdavo organas taikinys. Žiurkėms nustatytą eritrocitų parametrų sumažėjimą (nuo minimalaus iki lengvo) visada lydėdavo kaulų čiulpų pokyčiai. Panašių pokyčių nustatyta ir beždžionėms, bet rečiau. Toksinis poveikis žiurkių limfiniam audiniui pasireiškė jo kiekio limfmazgiuose, blužnyje ir užkrūčio liaukoje bei limfinės sistemos organų svorio sumažėjimu. Virškinimo, trakto, kraujodaros ir limfoidinės sistemos pokyčiai išnykdavo nutraukus vaistinio preparato vartojimą.</w:t>
      </w:r>
    </w:p>
    <w:p w14:paraId="1DD5C283" w14:textId="77777777" w:rsidR="00091B58" w:rsidRPr="00C81D88" w:rsidRDefault="00091B58" w:rsidP="00091B58">
      <w:pPr>
        <w:rPr>
          <w:rFonts w:eastAsia="SimSun"/>
          <w:sz w:val="22"/>
          <w:szCs w:val="22"/>
          <w:lang w:eastAsia="zh-CN"/>
        </w:rPr>
      </w:pPr>
    </w:p>
    <w:p w14:paraId="2C93EFF6"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Beždžionių, kurioms šio vaistinio preparato skirta iki 9 mėnesių, inkstų pokyčiai apsiribojo padidėjusia inkstų mineralizacija. Su beždžionėmis atlikto ūminio vienos sugirdytos dozės toksinio poveikio tyrimo metu nustatyta odos kraujosruvų, tačiau su beždžionėmis ir žiurkėmis atliktų kartotinų dozių toksinio poveikio tyrimų metu jų neaptikta. Žiurkėms dazatinibas slopino trombocitų agregaciją </w:t>
      </w:r>
      <w:r w:rsidRPr="00C81D88">
        <w:rPr>
          <w:rFonts w:eastAsia="SimSun"/>
          <w:i/>
          <w:sz w:val="22"/>
          <w:szCs w:val="22"/>
          <w:lang w:eastAsia="zh-CN"/>
        </w:rPr>
        <w:t>in vitro</w:t>
      </w:r>
      <w:r w:rsidRPr="00C81D88">
        <w:rPr>
          <w:rFonts w:eastAsia="SimSun"/>
          <w:sz w:val="22"/>
          <w:szCs w:val="22"/>
          <w:lang w:eastAsia="zh-CN"/>
        </w:rPr>
        <w:t xml:space="preserve"> ir pailgino kraujavimo iš odos trukmę </w:t>
      </w:r>
      <w:r w:rsidRPr="00C81D88">
        <w:rPr>
          <w:rFonts w:eastAsia="SimSun"/>
          <w:i/>
          <w:sz w:val="22"/>
          <w:szCs w:val="22"/>
          <w:lang w:eastAsia="zh-CN"/>
        </w:rPr>
        <w:t>in vivo</w:t>
      </w:r>
      <w:r w:rsidRPr="00C81D88">
        <w:rPr>
          <w:rFonts w:eastAsia="SimSun"/>
          <w:sz w:val="22"/>
          <w:szCs w:val="22"/>
          <w:lang w:eastAsia="zh-CN"/>
        </w:rPr>
        <w:t>, tačiau savaiminio kraujavimo nesukėlė.</w:t>
      </w:r>
    </w:p>
    <w:p w14:paraId="42697813" w14:textId="77777777" w:rsidR="00091B58" w:rsidRPr="00C81D88" w:rsidRDefault="00091B58" w:rsidP="00091B58">
      <w:pPr>
        <w:rPr>
          <w:rFonts w:eastAsia="SimSun"/>
          <w:sz w:val="22"/>
          <w:szCs w:val="22"/>
          <w:lang w:eastAsia="zh-CN"/>
        </w:rPr>
      </w:pPr>
    </w:p>
    <w:p w14:paraId="63304439"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Dazatinibo aktyvumas, nustatytas tyrimų su hERG ir Purkinje skaidulomis </w:t>
      </w:r>
      <w:r w:rsidRPr="00C81D88">
        <w:rPr>
          <w:rFonts w:eastAsia="SimSun"/>
          <w:i/>
          <w:sz w:val="22"/>
          <w:szCs w:val="22"/>
          <w:lang w:eastAsia="zh-CN"/>
        </w:rPr>
        <w:t>in vitro</w:t>
      </w:r>
      <w:r w:rsidRPr="00C81D88">
        <w:rPr>
          <w:rFonts w:eastAsia="SimSun"/>
          <w:sz w:val="22"/>
          <w:szCs w:val="22"/>
          <w:lang w:eastAsia="zh-CN"/>
        </w:rPr>
        <w:t xml:space="preserve">, rodo širdies skilvelių repoliarizacijos (QT intervalo) pailgėjimo galimybę. Vis dėlto vienos dozės tyrimas </w:t>
      </w:r>
      <w:r w:rsidRPr="00C81D88">
        <w:rPr>
          <w:rFonts w:eastAsia="SimSun"/>
          <w:i/>
          <w:sz w:val="22"/>
          <w:szCs w:val="22"/>
          <w:lang w:eastAsia="zh-CN"/>
        </w:rPr>
        <w:t>in vivo</w:t>
      </w:r>
      <w:r w:rsidRPr="00C81D88">
        <w:rPr>
          <w:rFonts w:eastAsia="SimSun"/>
          <w:sz w:val="22"/>
          <w:szCs w:val="22"/>
          <w:lang w:eastAsia="zh-CN"/>
        </w:rPr>
        <w:t>, atliktas telemetrijos metodu su sąmoningomis beždžionėmis, QT intervalo ar EKG dantelių formos pokyčių neparodė.</w:t>
      </w:r>
    </w:p>
    <w:p w14:paraId="4DB617F2" w14:textId="77777777" w:rsidR="00091B58" w:rsidRPr="00C81D88" w:rsidRDefault="00091B58" w:rsidP="00091B58">
      <w:pPr>
        <w:rPr>
          <w:rFonts w:eastAsia="SimSun"/>
          <w:sz w:val="22"/>
          <w:szCs w:val="22"/>
          <w:lang w:eastAsia="zh-CN"/>
        </w:rPr>
      </w:pPr>
    </w:p>
    <w:p w14:paraId="5DC18590" w14:textId="77777777" w:rsidR="00091B58" w:rsidRPr="00C81D88" w:rsidRDefault="00091B58" w:rsidP="00091B58">
      <w:pPr>
        <w:rPr>
          <w:rFonts w:eastAsia="SimSun"/>
          <w:sz w:val="22"/>
          <w:szCs w:val="22"/>
          <w:lang w:eastAsia="zh-CN"/>
        </w:rPr>
      </w:pPr>
      <w:r w:rsidRPr="00C81D88">
        <w:rPr>
          <w:rFonts w:eastAsia="SimSun"/>
          <w:sz w:val="22"/>
          <w:szCs w:val="22"/>
          <w:lang w:eastAsia="zh-CN"/>
        </w:rPr>
        <w:t>Atliekant mėginius su bakterijų ląstelėmis (</w:t>
      </w:r>
      <w:r w:rsidRPr="00C81D88">
        <w:rPr>
          <w:rFonts w:eastAsia="SimSun"/>
          <w:i/>
          <w:sz w:val="22"/>
          <w:szCs w:val="22"/>
          <w:lang w:eastAsia="zh-CN"/>
        </w:rPr>
        <w:t>Ames</w:t>
      </w:r>
      <w:r w:rsidRPr="00C81D88">
        <w:rPr>
          <w:rFonts w:eastAsia="SimSun"/>
          <w:sz w:val="22"/>
          <w:szCs w:val="22"/>
          <w:lang w:eastAsia="zh-CN"/>
        </w:rPr>
        <w:t xml:space="preserve"> testą) </w:t>
      </w:r>
      <w:r w:rsidRPr="00C81D88">
        <w:rPr>
          <w:rFonts w:eastAsia="SimSun"/>
          <w:i/>
          <w:sz w:val="22"/>
          <w:szCs w:val="22"/>
          <w:lang w:eastAsia="zh-CN"/>
        </w:rPr>
        <w:t>in vitro</w:t>
      </w:r>
      <w:r w:rsidRPr="00C81D88">
        <w:rPr>
          <w:rFonts w:eastAsia="SimSun"/>
          <w:sz w:val="22"/>
          <w:szCs w:val="22"/>
          <w:lang w:eastAsia="zh-CN"/>
        </w:rPr>
        <w:t xml:space="preserve">, dazatinibo mutageninio poveikio nenustatyta. Atliekant žiurkių mikrobranduolių tyrimą </w:t>
      </w:r>
      <w:r w:rsidRPr="00C81D88">
        <w:rPr>
          <w:rFonts w:eastAsia="SimSun"/>
          <w:i/>
          <w:sz w:val="22"/>
          <w:szCs w:val="22"/>
          <w:lang w:eastAsia="zh-CN"/>
        </w:rPr>
        <w:t>in vivo</w:t>
      </w:r>
      <w:r w:rsidRPr="00C81D88">
        <w:rPr>
          <w:rFonts w:eastAsia="SimSun"/>
          <w:sz w:val="22"/>
          <w:szCs w:val="22"/>
          <w:lang w:eastAsia="zh-CN"/>
        </w:rPr>
        <w:t xml:space="preserve">, genotoksinio poveikio nenustatyta. Dazatinibas sukėlė klastogeninį poveikį besidalijančioms kininio žiurkėno kiaušidžių ląstelėms </w:t>
      </w:r>
      <w:r w:rsidRPr="00C81D88">
        <w:rPr>
          <w:rFonts w:eastAsia="SimSun"/>
          <w:i/>
          <w:sz w:val="22"/>
          <w:szCs w:val="22"/>
          <w:lang w:eastAsia="zh-CN"/>
        </w:rPr>
        <w:t>in vitro</w:t>
      </w:r>
      <w:r w:rsidRPr="00C81D88">
        <w:rPr>
          <w:rFonts w:eastAsia="SimSun"/>
          <w:sz w:val="22"/>
          <w:szCs w:val="22"/>
          <w:lang w:eastAsia="zh-CN"/>
        </w:rPr>
        <w:t>.</w:t>
      </w:r>
    </w:p>
    <w:p w14:paraId="642DDFAB" w14:textId="77777777" w:rsidR="00091B58" w:rsidRPr="00C81D88" w:rsidRDefault="00091B58" w:rsidP="00091B58">
      <w:pPr>
        <w:rPr>
          <w:rFonts w:eastAsia="SimSun"/>
          <w:sz w:val="22"/>
          <w:szCs w:val="22"/>
          <w:lang w:eastAsia="zh-CN"/>
        </w:rPr>
      </w:pPr>
    </w:p>
    <w:p w14:paraId="4EEA94B6"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Įprasto žiurkių patinų ar patelių vaisingumo ir ankstyvo embriono vystymosi tyrimo metu dazatinibo poveikio nenustatyta, tačiau jis sukėlė embrionų žuvimą vartojant dozes, maždaug atitinkančias </w:t>
      </w:r>
      <w:r w:rsidRPr="00C81D88">
        <w:rPr>
          <w:rFonts w:eastAsia="SimSun"/>
          <w:sz w:val="22"/>
          <w:szCs w:val="22"/>
          <w:lang w:eastAsia="zh-CN"/>
        </w:rPr>
        <w:lastRenderedPageBreak/>
        <w:t>žmogaus klinikinę ekspoziciją. Tiriant poveikį embriono ir vaisiaus vystymuisi nustatyta, kad dazatinibas taip pat sukelia embrionų žuvimą, žiurkių palikuonių svorio sumažėjimą ir žiurkių bei triušių vaisiaus skeleto pokyčius. Šis poveikis, kuris pasireiškė nuo dozių, nesukeliančių toksinio poveikio vaikingai patelei, rodo, kad dazatinibas yra selektyvi reprodukcijai toksinė medžiaga laikotarpiu nuo implantacijos iki organogenezės pabaigos.</w:t>
      </w:r>
    </w:p>
    <w:p w14:paraId="1857F20C" w14:textId="77777777" w:rsidR="00091B58" w:rsidRPr="00C81D88" w:rsidRDefault="00091B58" w:rsidP="00091B58">
      <w:pPr>
        <w:rPr>
          <w:rFonts w:eastAsia="SimSun"/>
          <w:sz w:val="22"/>
          <w:szCs w:val="22"/>
          <w:lang w:eastAsia="zh-CN"/>
        </w:rPr>
      </w:pPr>
    </w:p>
    <w:p w14:paraId="00ED675E"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Pelėms dazatinibas sukėlė imuninės sistemos funkcijos slopinimą, kuris buvo susijęs su doze ir buvo veiksmingai koreguojamas ją sumažinant ir (arba) keičiant dozavimo schemą. Atliekant sugertų neutralių raudonų spindulių fototoksiškumo mėginį su pelių fibroblastais </w:t>
      </w:r>
      <w:r w:rsidRPr="00C81D88">
        <w:rPr>
          <w:rFonts w:eastAsia="SimSun"/>
          <w:i/>
          <w:sz w:val="22"/>
          <w:szCs w:val="22"/>
          <w:lang w:eastAsia="zh-CN"/>
        </w:rPr>
        <w:t>in vitro</w:t>
      </w:r>
      <w:r w:rsidRPr="00C81D88">
        <w:rPr>
          <w:rFonts w:eastAsia="SimSun"/>
          <w:sz w:val="22"/>
          <w:szCs w:val="22"/>
          <w:lang w:eastAsia="zh-CN"/>
        </w:rPr>
        <w:t xml:space="preserve">, nustatyta dazatinibo fototoksinio poveikio galimybė. Nustatyta, kad sugirdyta vienkartinė dazatinibo dozė nesukelia fototoksinio poveikio beplaukėms pelių patelėms </w:t>
      </w:r>
      <w:r w:rsidRPr="00C81D88">
        <w:rPr>
          <w:rFonts w:eastAsia="SimSun"/>
          <w:i/>
          <w:sz w:val="22"/>
          <w:szCs w:val="22"/>
          <w:lang w:eastAsia="zh-CN"/>
        </w:rPr>
        <w:t>in vivo</w:t>
      </w:r>
      <w:r w:rsidRPr="00C81D88">
        <w:rPr>
          <w:rFonts w:eastAsia="SimSun"/>
          <w:sz w:val="22"/>
          <w:szCs w:val="22"/>
          <w:lang w:eastAsia="zh-CN"/>
        </w:rPr>
        <w:t>, kai pagal AUC apskaičiuota ekspozicija iki 3 kartų viršija ekspoziciją, kuri būna rekomenduojamą terapinę dozę vartojančiam žmogui.</w:t>
      </w:r>
    </w:p>
    <w:p w14:paraId="2EA32CAF" w14:textId="77777777" w:rsidR="00091B58" w:rsidRPr="00C81D88" w:rsidRDefault="00091B58" w:rsidP="00091B58">
      <w:pPr>
        <w:rPr>
          <w:rFonts w:eastAsia="SimSun"/>
          <w:sz w:val="22"/>
          <w:szCs w:val="22"/>
          <w:lang w:eastAsia="zh-CN"/>
        </w:rPr>
      </w:pPr>
    </w:p>
    <w:p w14:paraId="44F5FD82" w14:textId="77777777" w:rsidR="00091B58" w:rsidRPr="00C81D88" w:rsidRDefault="00091B58" w:rsidP="00091B58">
      <w:pPr>
        <w:rPr>
          <w:rFonts w:eastAsia="SimSun"/>
          <w:sz w:val="22"/>
          <w:szCs w:val="22"/>
          <w:lang w:eastAsia="zh-CN"/>
        </w:rPr>
      </w:pPr>
      <w:r w:rsidRPr="00C81D88">
        <w:rPr>
          <w:rFonts w:eastAsia="SimSun"/>
          <w:sz w:val="22"/>
          <w:szCs w:val="22"/>
          <w:lang w:eastAsia="zh-CN"/>
        </w:rPr>
        <w:t>Dviejų metų trukmės kancerogeninio poveikio tyrimo metu žiurkės buvo šeriamos dazatinibo 0,3 mg/kg kūno svorio, 1 mg/kg</w:t>
      </w:r>
      <w:r w:rsidRPr="00C81D88">
        <w:rPr>
          <w:sz w:val="22"/>
          <w:szCs w:val="22"/>
        </w:rPr>
        <w:t xml:space="preserve"> </w:t>
      </w:r>
      <w:r w:rsidRPr="00C81D88">
        <w:rPr>
          <w:rFonts w:eastAsia="SimSun"/>
          <w:sz w:val="22"/>
          <w:szCs w:val="22"/>
          <w:lang w:eastAsia="zh-CN"/>
        </w:rPr>
        <w:t>arba 3 mg/kg kūno svorio paros dozėmis. Didžiausios dozės sukelta ekspozicija kraujo plazmoje (AUC) iš esmės atitiko ekspoziciją, kuri būna žmogui vartojant rekomenduojamo diapazono (100–140 mg) pradinę paros dozę. Nustatytas statistiškai reikšmingas bendras plokščialąstelinės karcinomos, gimdos ir kaklelio papilomų padažnėjimas didelės dozės grupės patelėms bei prostatos adenomų – mažos dozės grupės patinams. Šių kancerogeninio poveikio žiurkėms tyrimo duomenų reikšmė žmonėms nežinoma.</w:t>
      </w:r>
    </w:p>
    <w:p w14:paraId="2C0B3197" w14:textId="77777777" w:rsidR="00091B58" w:rsidRPr="00C81D88" w:rsidRDefault="00091B58" w:rsidP="00091B58">
      <w:pPr>
        <w:rPr>
          <w:rFonts w:eastAsia="SimSun"/>
          <w:sz w:val="22"/>
          <w:szCs w:val="22"/>
          <w:lang w:eastAsia="zh-CN"/>
        </w:rPr>
      </w:pPr>
    </w:p>
    <w:p w14:paraId="447A496B" w14:textId="77777777" w:rsidR="00091B58" w:rsidRPr="00C81D88" w:rsidRDefault="00091B58" w:rsidP="00091B58">
      <w:pPr>
        <w:rPr>
          <w:rFonts w:eastAsia="SimSun"/>
          <w:sz w:val="22"/>
          <w:szCs w:val="22"/>
          <w:lang w:eastAsia="zh-CN"/>
        </w:rPr>
      </w:pPr>
    </w:p>
    <w:p w14:paraId="225F665D"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6.</w:t>
      </w:r>
      <w:r w:rsidRPr="00C81D88">
        <w:rPr>
          <w:rFonts w:eastAsia="SimSun"/>
          <w:b/>
          <w:sz w:val="22"/>
          <w:szCs w:val="22"/>
          <w:lang w:eastAsia="zh-CN"/>
        </w:rPr>
        <w:tab/>
        <w:t>FARMACINĖ INFORMACIJA</w:t>
      </w:r>
    </w:p>
    <w:p w14:paraId="40E6C51E" w14:textId="77777777" w:rsidR="00091B58" w:rsidRPr="00C81D88" w:rsidRDefault="00091B58" w:rsidP="00091B58">
      <w:pPr>
        <w:rPr>
          <w:rFonts w:eastAsia="SimSun"/>
          <w:b/>
          <w:sz w:val="22"/>
          <w:szCs w:val="22"/>
          <w:lang w:eastAsia="zh-CN"/>
        </w:rPr>
      </w:pPr>
    </w:p>
    <w:p w14:paraId="7024E6BD"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6.1</w:t>
      </w:r>
      <w:r w:rsidRPr="00C81D88">
        <w:rPr>
          <w:rFonts w:eastAsia="SimSun"/>
          <w:b/>
          <w:sz w:val="22"/>
          <w:szCs w:val="22"/>
          <w:lang w:eastAsia="zh-CN"/>
        </w:rPr>
        <w:tab/>
        <w:t>Pagalbinių medžiagų sąrašas</w:t>
      </w:r>
    </w:p>
    <w:p w14:paraId="52B4CE81" w14:textId="77777777" w:rsidR="00091B58" w:rsidRPr="00C81D88" w:rsidRDefault="00091B58" w:rsidP="00091B58">
      <w:pPr>
        <w:rPr>
          <w:rFonts w:eastAsia="SimSun"/>
          <w:b/>
          <w:sz w:val="22"/>
          <w:szCs w:val="22"/>
          <w:lang w:eastAsia="zh-CN"/>
        </w:rPr>
      </w:pPr>
    </w:p>
    <w:p w14:paraId="7D630FCA" w14:textId="77777777" w:rsidR="00091B58" w:rsidRPr="00C81D88" w:rsidRDefault="00091B58" w:rsidP="00091B58">
      <w:pPr>
        <w:rPr>
          <w:rFonts w:eastAsia="SimSun"/>
          <w:sz w:val="22"/>
          <w:szCs w:val="22"/>
          <w:u w:val="single"/>
          <w:lang w:eastAsia="zh-CN"/>
        </w:rPr>
      </w:pPr>
      <w:r w:rsidRPr="00C81D88">
        <w:rPr>
          <w:rFonts w:eastAsia="SimSun"/>
          <w:sz w:val="22"/>
          <w:szCs w:val="22"/>
          <w:u w:val="single"/>
          <w:lang w:eastAsia="zh-CN"/>
        </w:rPr>
        <w:t>Tabletės branduolys</w:t>
      </w:r>
    </w:p>
    <w:p w14:paraId="5C61ABEC" w14:textId="77777777" w:rsidR="00091B58" w:rsidRPr="00C81D88" w:rsidRDefault="00091B58" w:rsidP="00091B58">
      <w:pPr>
        <w:rPr>
          <w:rFonts w:eastAsia="SimSun"/>
          <w:sz w:val="22"/>
          <w:szCs w:val="22"/>
          <w:lang w:eastAsia="zh-CN"/>
        </w:rPr>
      </w:pPr>
      <w:r w:rsidRPr="00C81D88">
        <w:rPr>
          <w:rFonts w:eastAsia="SimSun"/>
          <w:sz w:val="22"/>
          <w:szCs w:val="22"/>
          <w:lang w:eastAsia="zh-CN"/>
        </w:rPr>
        <w:t>Laktozė monohidratas (200)</w:t>
      </w:r>
    </w:p>
    <w:p w14:paraId="2A0D5A2C" w14:textId="77777777" w:rsidR="00091B58" w:rsidRPr="00C81D88" w:rsidRDefault="00091B58" w:rsidP="00091B58">
      <w:pPr>
        <w:rPr>
          <w:rFonts w:eastAsia="SimSun"/>
          <w:sz w:val="22"/>
          <w:szCs w:val="22"/>
          <w:lang w:eastAsia="zh-CN"/>
        </w:rPr>
      </w:pPr>
      <w:r w:rsidRPr="00C81D88">
        <w:rPr>
          <w:rFonts w:eastAsia="SimSun"/>
          <w:sz w:val="22"/>
          <w:szCs w:val="22"/>
          <w:lang w:eastAsia="zh-CN"/>
        </w:rPr>
        <w:t>Mikrokristalinė celiuliozė (101 ir 102)</w:t>
      </w:r>
    </w:p>
    <w:p w14:paraId="5D4910DD" w14:textId="77777777" w:rsidR="00091B58" w:rsidRPr="00C81D88" w:rsidRDefault="00091B58" w:rsidP="00091B58">
      <w:pPr>
        <w:rPr>
          <w:rFonts w:eastAsia="SimSun"/>
          <w:sz w:val="22"/>
          <w:szCs w:val="22"/>
          <w:lang w:eastAsia="zh-CN"/>
        </w:rPr>
      </w:pPr>
      <w:r w:rsidRPr="00C81D88">
        <w:rPr>
          <w:rFonts w:eastAsia="SimSun"/>
          <w:sz w:val="22"/>
          <w:szCs w:val="22"/>
          <w:lang w:eastAsia="zh-CN"/>
        </w:rPr>
        <w:t>Kroskarmeliozės natrio druska</w:t>
      </w:r>
    </w:p>
    <w:p w14:paraId="5718E80B" w14:textId="77777777" w:rsidR="00091B58" w:rsidRPr="00C81D88" w:rsidRDefault="00091B58" w:rsidP="00091B58">
      <w:pPr>
        <w:rPr>
          <w:rFonts w:eastAsia="SimSun"/>
          <w:sz w:val="22"/>
          <w:szCs w:val="22"/>
          <w:lang w:eastAsia="zh-CN"/>
        </w:rPr>
      </w:pPr>
      <w:r w:rsidRPr="00C81D88">
        <w:rPr>
          <w:rFonts w:eastAsia="SimSun"/>
          <w:sz w:val="22"/>
          <w:szCs w:val="22"/>
          <w:lang w:eastAsia="zh-CN"/>
        </w:rPr>
        <w:t>Hidroksipropilceliuliozė (MS 80 000)</w:t>
      </w:r>
    </w:p>
    <w:p w14:paraId="718ACE34" w14:textId="77777777" w:rsidR="00091B58" w:rsidRPr="00C81D88" w:rsidRDefault="00091B58" w:rsidP="00091B58">
      <w:pPr>
        <w:rPr>
          <w:rFonts w:eastAsia="SimSun"/>
          <w:sz w:val="22"/>
          <w:szCs w:val="22"/>
          <w:lang w:eastAsia="zh-CN"/>
        </w:rPr>
      </w:pPr>
      <w:r w:rsidRPr="00C81D88">
        <w:rPr>
          <w:rFonts w:eastAsia="SimSun"/>
          <w:sz w:val="22"/>
          <w:szCs w:val="22"/>
          <w:lang w:eastAsia="zh-CN"/>
        </w:rPr>
        <w:t>Magnio stearatas</w:t>
      </w:r>
    </w:p>
    <w:p w14:paraId="7515836B" w14:textId="77777777" w:rsidR="00091B58" w:rsidRPr="00C81D88" w:rsidRDefault="00091B58" w:rsidP="00091B58">
      <w:pPr>
        <w:widowControl w:val="0"/>
        <w:autoSpaceDE w:val="0"/>
        <w:autoSpaceDN w:val="0"/>
        <w:adjustRightInd w:val="0"/>
        <w:rPr>
          <w:rFonts w:eastAsia="SimSun"/>
          <w:sz w:val="22"/>
          <w:szCs w:val="22"/>
          <w:lang w:eastAsia="zh-CN"/>
        </w:rPr>
      </w:pPr>
    </w:p>
    <w:p w14:paraId="555F9AAD" w14:textId="77777777" w:rsidR="00091B58" w:rsidRPr="00C81D88" w:rsidRDefault="00091B58" w:rsidP="00091B58">
      <w:pPr>
        <w:widowControl w:val="0"/>
        <w:autoSpaceDE w:val="0"/>
        <w:autoSpaceDN w:val="0"/>
        <w:adjustRightInd w:val="0"/>
        <w:rPr>
          <w:rFonts w:eastAsia="SimSun"/>
          <w:sz w:val="22"/>
          <w:szCs w:val="22"/>
          <w:u w:val="single"/>
          <w:lang w:eastAsia="zh-CN"/>
        </w:rPr>
      </w:pPr>
      <w:r w:rsidRPr="00C81D88">
        <w:rPr>
          <w:rFonts w:eastAsia="SimSun"/>
          <w:sz w:val="22"/>
          <w:szCs w:val="22"/>
          <w:u w:val="single"/>
          <w:lang w:eastAsia="zh-CN"/>
        </w:rPr>
        <w:t>Tabletės plėvelė</w:t>
      </w:r>
    </w:p>
    <w:p w14:paraId="4FBDD3F6" w14:textId="77777777" w:rsidR="00091B58" w:rsidRPr="00C81D88" w:rsidRDefault="00091B58" w:rsidP="00091B58">
      <w:pPr>
        <w:rPr>
          <w:rFonts w:eastAsia="SimSun"/>
          <w:sz w:val="22"/>
          <w:szCs w:val="22"/>
          <w:lang w:eastAsia="zh-CN"/>
        </w:rPr>
      </w:pPr>
      <w:r w:rsidRPr="00C81D88">
        <w:rPr>
          <w:rFonts w:eastAsia="SimSun"/>
          <w:sz w:val="22"/>
          <w:szCs w:val="22"/>
          <w:lang w:eastAsia="zh-CN"/>
        </w:rPr>
        <w:t>Laktozė monohidratas</w:t>
      </w:r>
    </w:p>
    <w:p w14:paraId="40795A89" w14:textId="77777777" w:rsidR="00091B58" w:rsidRPr="00C81D88" w:rsidRDefault="00091B58" w:rsidP="00091B58">
      <w:pPr>
        <w:widowControl w:val="0"/>
        <w:autoSpaceDE w:val="0"/>
        <w:autoSpaceDN w:val="0"/>
        <w:adjustRightInd w:val="0"/>
        <w:jc w:val="both"/>
        <w:rPr>
          <w:rFonts w:eastAsia="SimSun"/>
          <w:sz w:val="22"/>
          <w:szCs w:val="22"/>
          <w:lang w:eastAsia="zh-CN"/>
        </w:rPr>
      </w:pPr>
      <w:r w:rsidRPr="00C81D88">
        <w:rPr>
          <w:rFonts w:eastAsia="SimSun"/>
          <w:sz w:val="22"/>
          <w:szCs w:val="22"/>
          <w:lang w:eastAsia="zh-CN"/>
        </w:rPr>
        <w:t>Hipromeliozė (15 mPas)</w:t>
      </w:r>
    </w:p>
    <w:p w14:paraId="0A930F44" w14:textId="77777777" w:rsidR="00091B58" w:rsidRPr="00C81D88" w:rsidRDefault="00091B58" w:rsidP="00091B58">
      <w:pPr>
        <w:widowControl w:val="0"/>
        <w:autoSpaceDE w:val="0"/>
        <w:autoSpaceDN w:val="0"/>
        <w:adjustRightInd w:val="0"/>
        <w:jc w:val="both"/>
        <w:rPr>
          <w:rFonts w:eastAsia="SimSun"/>
          <w:sz w:val="22"/>
          <w:szCs w:val="22"/>
          <w:lang w:eastAsia="zh-CN"/>
        </w:rPr>
      </w:pPr>
      <w:r w:rsidRPr="00C81D88">
        <w:rPr>
          <w:rFonts w:eastAsia="SimSun"/>
          <w:sz w:val="22"/>
          <w:szCs w:val="22"/>
          <w:lang w:eastAsia="zh-CN"/>
        </w:rPr>
        <w:t>Titano dioksidas (E171)</w:t>
      </w:r>
    </w:p>
    <w:p w14:paraId="46BD60D8" w14:textId="77777777" w:rsidR="00091B58" w:rsidRPr="00C81D88" w:rsidRDefault="00091B58" w:rsidP="00091B58">
      <w:pPr>
        <w:widowControl w:val="0"/>
        <w:autoSpaceDE w:val="0"/>
        <w:autoSpaceDN w:val="0"/>
        <w:adjustRightInd w:val="0"/>
        <w:jc w:val="both"/>
        <w:rPr>
          <w:rFonts w:eastAsia="SimSun"/>
          <w:sz w:val="22"/>
          <w:szCs w:val="22"/>
          <w:lang w:eastAsia="zh-CN"/>
        </w:rPr>
      </w:pPr>
      <w:r w:rsidRPr="00C81D88">
        <w:rPr>
          <w:rFonts w:eastAsia="SimSun"/>
          <w:sz w:val="22"/>
          <w:szCs w:val="22"/>
          <w:lang w:eastAsia="zh-CN"/>
        </w:rPr>
        <w:t>Triacetinas</w:t>
      </w:r>
    </w:p>
    <w:p w14:paraId="6A3920B3" w14:textId="77777777" w:rsidR="00091B58" w:rsidRPr="00C81D88" w:rsidRDefault="00091B58" w:rsidP="00091B58">
      <w:pPr>
        <w:rPr>
          <w:rFonts w:eastAsia="SimSun"/>
          <w:sz w:val="22"/>
          <w:szCs w:val="22"/>
          <w:lang w:eastAsia="zh-CN"/>
        </w:rPr>
      </w:pPr>
    </w:p>
    <w:p w14:paraId="2CA851E3" w14:textId="77777777" w:rsidR="00091B58" w:rsidRPr="00C81D88" w:rsidRDefault="00091B58" w:rsidP="00091B58">
      <w:pPr>
        <w:rPr>
          <w:rFonts w:eastAsia="SimSun"/>
          <w:b/>
          <w:sz w:val="22"/>
          <w:szCs w:val="22"/>
        </w:rPr>
      </w:pPr>
      <w:r w:rsidRPr="00C81D88">
        <w:rPr>
          <w:rFonts w:eastAsia="SimSun"/>
          <w:b/>
          <w:sz w:val="22"/>
          <w:szCs w:val="22"/>
        </w:rPr>
        <w:t>6.2</w:t>
      </w:r>
      <w:r w:rsidRPr="00C81D88">
        <w:rPr>
          <w:rFonts w:eastAsia="SimSun"/>
          <w:b/>
          <w:sz w:val="22"/>
          <w:szCs w:val="22"/>
        </w:rPr>
        <w:tab/>
        <w:t>Nesuderinamumas</w:t>
      </w:r>
    </w:p>
    <w:p w14:paraId="505A49A8" w14:textId="77777777" w:rsidR="00091B58" w:rsidRPr="00C81D88" w:rsidRDefault="00091B58" w:rsidP="00091B58">
      <w:pPr>
        <w:rPr>
          <w:rFonts w:eastAsia="SimSun"/>
          <w:sz w:val="22"/>
          <w:szCs w:val="22"/>
          <w:lang w:eastAsia="zh-CN"/>
        </w:rPr>
      </w:pPr>
    </w:p>
    <w:p w14:paraId="32C883DB" w14:textId="77777777" w:rsidR="00091B58" w:rsidRPr="00C81D88" w:rsidRDefault="00091B58" w:rsidP="00091B58">
      <w:pPr>
        <w:rPr>
          <w:rFonts w:eastAsia="SimSun"/>
          <w:sz w:val="22"/>
          <w:szCs w:val="22"/>
          <w:lang w:eastAsia="zh-CN"/>
        </w:rPr>
      </w:pPr>
      <w:r w:rsidRPr="00C81D88">
        <w:rPr>
          <w:rFonts w:eastAsia="SimSun"/>
          <w:sz w:val="22"/>
          <w:szCs w:val="22"/>
          <w:lang w:eastAsia="zh-CN"/>
        </w:rPr>
        <w:t>Duomenys nebūtini.</w:t>
      </w:r>
    </w:p>
    <w:p w14:paraId="51772985" w14:textId="77777777" w:rsidR="00091B58" w:rsidRPr="00C81D88" w:rsidRDefault="00091B58" w:rsidP="00091B58">
      <w:pPr>
        <w:rPr>
          <w:rFonts w:eastAsia="SimSun"/>
          <w:sz w:val="22"/>
          <w:szCs w:val="22"/>
          <w:lang w:eastAsia="zh-CN"/>
        </w:rPr>
      </w:pPr>
    </w:p>
    <w:p w14:paraId="6380BFA9"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6.3</w:t>
      </w:r>
      <w:r w:rsidRPr="00C81D88">
        <w:rPr>
          <w:rFonts w:eastAsia="SimSun"/>
          <w:b/>
          <w:sz w:val="22"/>
          <w:szCs w:val="22"/>
        </w:rPr>
        <w:tab/>
        <w:t>Tinkamumo laikas</w:t>
      </w:r>
    </w:p>
    <w:p w14:paraId="5D45A942" w14:textId="77777777" w:rsidR="00091B58" w:rsidRPr="00C81D88" w:rsidRDefault="00091B58" w:rsidP="00091B58">
      <w:pPr>
        <w:rPr>
          <w:rFonts w:eastAsia="SimSun"/>
          <w:sz w:val="22"/>
          <w:szCs w:val="22"/>
          <w:lang w:eastAsia="zh-CN"/>
        </w:rPr>
      </w:pPr>
    </w:p>
    <w:p w14:paraId="547B3446" w14:textId="193B5777" w:rsidR="00091B58" w:rsidRPr="00C81D88" w:rsidRDefault="00FD6E58" w:rsidP="00091B58">
      <w:pPr>
        <w:rPr>
          <w:rFonts w:eastAsia="SimSun"/>
          <w:sz w:val="22"/>
          <w:szCs w:val="22"/>
          <w:lang w:eastAsia="zh-CN"/>
        </w:rPr>
      </w:pPr>
      <w:r w:rsidRPr="00C81D88">
        <w:rPr>
          <w:rFonts w:eastAsia="SimSun"/>
          <w:sz w:val="22"/>
          <w:szCs w:val="22"/>
          <w:lang w:eastAsia="zh-CN"/>
        </w:rPr>
        <w:t>3 </w:t>
      </w:r>
      <w:r w:rsidR="00091B58" w:rsidRPr="00C81D88">
        <w:rPr>
          <w:rFonts w:eastAsia="SimSun"/>
          <w:sz w:val="22"/>
          <w:szCs w:val="22"/>
          <w:lang w:eastAsia="zh-CN"/>
        </w:rPr>
        <w:t>metai.</w:t>
      </w:r>
    </w:p>
    <w:p w14:paraId="15913F78" w14:textId="77777777" w:rsidR="00091B58" w:rsidRPr="00C81D88" w:rsidRDefault="00091B58" w:rsidP="00091B58">
      <w:pPr>
        <w:rPr>
          <w:rFonts w:eastAsia="SimSun"/>
          <w:sz w:val="22"/>
          <w:szCs w:val="22"/>
          <w:lang w:eastAsia="zh-CN"/>
        </w:rPr>
      </w:pPr>
    </w:p>
    <w:p w14:paraId="003C9080" w14:textId="77777777" w:rsidR="00091B58" w:rsidRPr="00C81D88" w:rsidRDefault="00091B58" w:rsidP="00091B58">
      <w:pPr>
        <w:numPr>
          <w:ilvl w:val="1"/>
          <w:numId w:val="16"/>
        </w:numPr>
        <w:autoSpaceDE w:val="0"/>
        <w:autoSpaceDN w:val="0"/>
        <w:adjustRightInd w:val="0"/>
        <w:rPr>
          <w:b/>
          <w:bCs/>
          <w:sz w:val="22"/>
          <w:szCs w:val="22"/>
        </w:rPr>
      </w:pPr>
      <w:r w:rsidRPr="00C81D88">
        <w:rPr>
          <w:b/>
          <w:bCs/>
          <w:sz w:val="22"/>
          <w:szCs w:val="22"/>
        </w:rPr>
        <w:t xml:space="preserve">Specialios laikymo sąlygos </w:t>
      </w:r>
    </w:p>
    <w:p w14:paraId="2E8030EE" w14:textId="77777777" w:rsidR="00091B58" w:rsidRPr="00C81D88" w:rsidRDefault="00091B58" w:rsidP="00091B58">
      <w:pPr>
        <w:autoSpaceDE w:val="0"/>
        <w:autoSpaceDN w:val="0"/>
        <w:adjustRightInd w:val="0"/>
        <w:rPr>
          <w:sz w:val="22"/>
          <w:szCs w:val="22"/>
        </w:rPr>
      </w:pPr>
    </w:p>
    <w:p w14:paraId="06E1D74F" w14:textId="77777777" w:rsidR="00091B58" w:rsidRPr="00C81D88" w:rsidRDefault="00091B58" w:rsidP="00091B58">
      <w:pPr>
        <w:rPr>
          <w:rFonts w:eastAsia="SimSun"/>
          <w:sz w:val="22"/>
          <w:szCs w:val="22"/>
          <w:lang w:eastAsia="zh-CN"/>
        </w:rPr>
      </w:pPr>
      <w:r w:rsidRPr="00C81D88">
        <w:rPr>
          <w:sz w:val="22"/>
          <w:szCs w:val="22"/>
        </w:rPr>
        <w:t xml:space="preserve">Šiam vaistiniam preparatui specialių laikymo sąlygų nereikia. </w:t>
      </w:r>
    </w:p>
    <w:p w14:paraId="210DA015" w14:textId="77777777" w:rsidR="00091B58" w:rsidRPr="00C81D88" w:rsidRDefault="00091B58" w:rsidP="00091B58">
      <w:pPr>
        <w:jc w:val="both"/>
        <w:rPr>
          <w:rFonts w:eastAsia="Calibri"/>
          <w:sz w:val="22"/>
          <w:szCs w:val="22"/>
          <w:lang w:eastAsia="en-GB"/>
        </w:rPr>
      </w:pPr>
    </w:p>
    <w:p w14:paraId="22C309D1" w14:textId="77777777" w:rsidR="00091B58" w:rsidRPr="00C81D88" w:rsidRDefault="00091B58" w:rsidP="00091B58">
      <w:pPr>
        <w:autoSpaceDE w:val="0"/>
        <w:autoSpaceDN w:val="0"/>
        <w:adjustRightInd w:val="0"/>
        <w:rPr>
          <w:b/>
          <w:bCs/>
          <w:sz w:val="22"/>
          <w:szCs w:val="22"/>
        </w:rPr>
      </w:pPr>
      <w:r w:rsidRPr="00C81D88">
        <w:rPr>
          <w:b/>
          <w:bCs/>
          <w:sz w:val="22"/>
          <w:szCs w:val="22"/>
        </w:rPr>
        <w:t>6.5</w:t>
      </w:r>
      <w:r w:rsidRPr="00C81D88">
        <w:rPr>
          <w:b/>
          <w:bCs/>
          <w:sz w:val="22"/>
          <w:szCs w:val="22"/>
        </w:rPr>
        <w:tab/>
        <w:t>Talpyklės pobūdis ir jos turinys</w:t>
      </w:r>
    </w:p>
    <w:p w14:paraId="2F5C55A4" w14:textId="77777777" w:rsidR="00091B58" w:rsidRPr="00C81D88" w:rsidRDefault="00091B58" w:rsidP="00091B58">
      <w:pPr>
        <w:jc w:val="both"/>
        <w:rPr>
          <w:rFonts w:eastAsia="Calibri"/>
          <w:sz w:val="22"/>
          <w:szCs w:val="22"/>
          <w:lang w:eastAsia="en-GB"/>
        </w:rPr>
      </w:pPr>
    </w:p>
    <w:p w14:paraId="044E4FB2" w14:textId="77777777" w:rsidR="00091B58" w:rsidRPr="00C81D88" w:rsidRDefault="00091B58" w:rsidP="00091B58">
      <w:pPr>
        <w:jc w:val="both"/>
        <w:rPr>
          <w:sz w:val="22"/>
          <w:szCs w:val="22"/>
          <w:lang w:eastAsia="en-GB"/>
        </w:rPr>
      </w:pPr>
      <w:r w:rsidRPr="00C81D88">
        <w:rPr>
          <w:sz w:val="22"/>
          <w:szCs w:val="22"/>
          <w:lang w:eastAsia="en-GB"/>
        </w:rPr>
        <w:t xml:space="preserve">oPA/Aliuminio/PVC/Aliuminio lizdinės plokštelės. </w:t>
      </w:r>
    </w:p>
    <w:p w14:paraId="4B540E58" w14:textId="77777777" w:rsidR="00091B58" w:rsidRPr="00C81D88" w:rsidRDefault="00091B58" w:rsidP="00091B58">
      <w:pPr>
        <w:rPr>
          <w:sz w:val="22"/>
          <w:szCs w:val="22"/>
          <w:lang w:eastAsia="en-GB"/>
        </w:rPr>
      </w:pPr>
      <w:r w:rsidRPr="00C81D88">
        <w:rPr>
          <w:sz w:val="22"/>
          <w:szCs w:val="22"/>
          <w:lang w:eastAsia="en-GB"/>
        </w:rPr>
        <w:t>Didelio tankio polietileno (DTPE) talpyklė su vaikų sunkiai atidaromu polipropileno (PP) uždoriu.</w:t>
      </w:r>
    </w:p>
    <w:p w14:paraId="72B72606" w14:textId="77777777" w:rsidR="00091B58" w:rsidRPr="00C81D88" w:rsidRDefault="00091B58" w:rsidP="00091B58">
      <w:pPr>
        <w:autoSpaceDE w:val="0"/>
        <w:autoSpaceDN w:val="0"/>
        <w:adjustRightInd w:val="0"/>
        <w:rPr>
          <w:rFonts w:eastAsia="Calibri"/>
          <w:sz w:val="22"/>
          <w:szCs w:val="22"/>
        </w:rPr>
      </w:pPr>
    </w:p>
    <w:p w14:paraId="773AAF22" w14:textId="77777777" w:rsidR="00091B58" w:rsidRPr="00053893" w:rsidRDefault="00091B58" w:rsidP="00091B58">
      <w:pPr>
        <w:pStyle w:val="BodyText"/>
        <w:ind w:right="181"/>
        <w:rPr>
          <w:i w:val="0"/>
          <w:color w:val="auto"/>
          <w:lang w:val="lt-LT"/>
        </w:rPr>
      </w:pPr>
      <w:r w:rsidRPr="00053893">
        <w:rPr>
          <w:i w:val="0"/>
          <w:color w:val="auto"/>
          <w:w w:val="105"/>
          <w:lang w:val="lt-LT"/>
        </w:rPr>
        <w:t>Kartono dėžutėje</w:t>
      </w:r>
      <w:r w:rsidRPr="00053893">
        <w:rPr>
          <w:i w:val="0"/>
          <w:color w:val="auto"/>
          <w:spacing w:val="-12"/>
          <w:w w:val="105"/>
          <w:lang w:val="lt-LT"/>
        </w:rPr>
        <w:t xml:space="preserve"> </w:t>
      </w:r>
      <w:r w:rsidRPr="00053893">
        <w:rPr>
          <w:i w:val="0"/>
          <w:color w:val="auto"/>
          <w:w w:val="105"/>
          <w:lang w:val="lt-LT"/>
        </w:rPr>
        <w:t>yra</w:t>
      </w:r>
      <w:r w:rsidRPr="00053893">
        <w:rPr>
          <w:i w:val="0"/>
          <w:color w:val="auto"/>
          <w:spacing w:val="-13"/>
          <w:w w:val="105"/>
          <w:lang w:val="lt-LT"/>
        </w:rPr>
        <w:t xml:space="preserve"> </w:t>
      </w:r>
      <w:r w:rsidRPr="00053893">
        <w:rPr>
          <w:i w:val="0"/>
          <w:color w:val="auto"/>
          <w:w w:val="105"/>
          <w:lang w:val="lt-LT"/>
        </w:rPr>
        <w:t>56</w:t>
      </w:r>
      <w:r w:rsidRPr="00053893">
        <w:rPr>
          <w:i w:val="0"/>
          <w:color w:val="auto"/>
          <w:spacing w:val="-11"/>
          <w:w w:val="105"/>
          <w:lang w:val="lt-LT"/>
        </w:rPr>
        <w:t xml:space="preserve"> ar 60 </w:t>
      </w:r>
      <w:r w:rsidRPr="00053893">
        <w:rPr>
          <w:i w:val="0"/>
          <w:color w:val="auto"/>
          <w:w w:val="105"/>
          <w:lang w:val="lt-LT"/>
        </w:rPr>
        <w:t>plėvele</w:t>
      </w:r>
      <w:r w:rsidRPr="00053893">
        <w:rPr>
          <w:i w:val="0"/>
          <w:color w:val="auto"/>
          <w:spacing w:val="-10"/>
          <w:w w:val="105"/>
          <w:lang w:val="lt-LT"/>
        </w:rPr>
        <w:t xml:space="preserve"> </w:t>
      </w:r>
      <w:r w:rsidRPr="00053893">
        <w:rPr>
          <w:i w:val="0"/>
          <w:color w:val="auto"/>
          <w:w w:val="105"/>
          <w:lang w:val="lt-LT"/>
        </w:rPr>
        <w:t>dengtų tablečių lizdinėse</w:t>
      </w:r>
      <w:r w:rsidRPr="00053893">
        <w:rPr>
          <w:i w:val="0"/>
          <w:color w:val="auto"/>
          <w:spacing w:val="-34"/>
          <w:w w:val="105"/>
          <w:lang w:val="lt-LT"/>
        </w:rPr>
        <w:t xml:space="preserve"> </w:t>
      </w:r>
      <w:r w:rsidRPr="00053893">
        <w:rPr>
          <w:i w:val="0"/>
          <w:color w:val="auto"/>
          <w:w w:val="105"/>
          <w:lang w:val="lt-LT"/>
        </w:rPr>
        <w:t>plokštelėse arba 56</w:t>
      </w:r>
      <w:r w:rsidRPr="00053893">
        <w:rPr>
          <w:lang w:val="lt-LT"/>
        </w:rPr>
        <w:t> </w:t>
      </w:r>
      <w:r w:rsidRPr="00053893">
        <w:rPr>
          <w:i w:val="0"/>
          <w:color w:val="auto"/>
          <w:w w:val="105"/>
          <w:lang w:val="lt-LT"/>
        </w:rPr>
        <w:t>x</w:t>
      </w:r>
      <w:r w:rsidRPr="00053893">
        <w:rPr>
          <w:lang w:val="lt-LT"/>
        </w:rPr>
        <w:t> </w:t>
      </w:r>
      <w:r w:rsidRPr="00053893">
        <w:rPr>
          <w:i w:val="0"/>
          <w:color w:val="auto"/>
          <w:w w:val="105"/>
          <w:lang w:val="lt-LT"/>
        </w:rPr>
        <w:t>1 ar 60</w:t>
      </w:r>
      <w:r w:rsidRPr="00053893">
        <w:rPr>
          <w:lang w:val="lt-LT"/>
        </w:rPr>
        <w:t> </w:t>
      </w:r>
      <w:r w:rsidRPr="00053893">
        <w:rPr>
          <w:i w:val="0"/>
          <w:color w:val="auto"/>
          <w:w w:val="105"/>
          <w:lang w:val="lt-LT"/>
        </w:rPr>
        <w:t>x</w:t>
      </w:r>
      <w:r w:rsidRPr="00053893">
        <w:rPr>
          <w:lang w:val="lt-LT"/>
        </w:rPr>
        <w:t> </w:t>
      </w:r>
      <w:r w:rsidRPr="00053893">
        <w:rPr>
          <w:i w:val="0"/>
          <w:color w:val="auto"/>
          <w:w w:val="105"/>
          <w:lang w:val="lt-LT"/>
        </w:rPr>
        <w:t>1 plėvele dengtų tablečių dalomosiose lizdinėse plokštelėse.</w:t>
      </w:r>
    </w:p>
    <w:p w14:paraId="215DAE67" w14:textId="77777777" w:rsidR="00091B58" w:rsidRPr="00053893" w:rsidRDefault="00091B58" w:rsidP="00091B58">
      <w:pPr>
        <w:pStyle w:val="BodyText"/>
        <w:ind w:right="1070"/>
        <w:rPr>
          <w:i w:val="0"/>
          <w:color w:val="auto"/>
          <w:lang w:val="lt-LT"/>
        </w:rPr>
      </w:pPr>
      <w:r w:rsidRPr="00053893">
        <w:rPr>
          <w:i w:val="0"/>
          <w:color w:val="auto"/>
          <w:w w:val="105"/>
          <w:lang w:val="lt-LT"/>
        </w:rPr>
        <w:lastRenderedPageBreak/>
        <w:t>Kartono dėžutėje</w:t>
      </w:r>
      <w:r w:rsidRPr="00053893">
        <w:rPr>
          <w:i w:val="0"/>
          <w:color w:val="auto"/>
          <w:spacing w:val="-13"/>
          <w:w w:val="105"/>
          <w:lang w:val="lt-LT"/>
        </w:rPr>
        <w:t xml:space="preserve"> </w:t>
      </w:r>
      <w:r w:rsidRPr="00053893">
        <w:rPr>
          <w:i w:val="0"/>
          <w:color w:val="auto"/>
          <w:w w:val="105"/>
          <w:lang w:val="lt-LT"/>
        </w:rPr>
        <w:t>yra</w:t>
      </w:r>
      <w:r w:rsidRPr="00053893">
        <w:rPr>
          <w:i w:val="0"/>
          <w:color w:val="auto"/>
          <w:spacing w:val="-14"/>
          <w:w w:val="105"/>
          <w:lang w:val="lt-LT"/>
        </w:rPr>
        <w:t xml:space="preserve"> </w:t>
      </w:r>
      <w:r w:rsidRPr="00053893">
        <w:rPr>
          <w:i w:val="0"/>
          <w:color w:val="auto"/>
          <w:w w:val="105"/>
          <w:lang w:val="lt-LT"/>
        </w:rPr>
        <w:t>talpyklės,</w:t>
      </w:r>
      <w:r w:rsidRPr="00053893">
        <w:rPr>
          <w:i w:val="0"/>
          <w:color w:val="auto"/>
          <w:spacing w:val="-13"/>
          <w:w w:val="105"/>
          <w:lang w:val="lt-LT"/>
        </w:rPr>
        <w:t xml:space="preserve"> </w:t>
      </w:r>
      <w:r w:rsidRPr="00053893">
        <w:rPr>
          <w:i w:val="0"/>
          <w:color w:val="auto"/>
          <w:w w:val="105"/>
          <w:lang w:val="lt-LT"/>
        </w:rPr>
        <w:t>kuriose</w:t>
      </w:r>
      <w:r w:rsidRPr="00053893">
        <w:rPr>
          <w:i w:val="0"/>
          <w:color w:val="auto"/>
          <w:spacing w:val="-11"/>
          <w:w w:val="105"/>
          <w:lang w:val="lt-LT"/>
        </w:rPr>
        <w:t xml:space="preserve"> </w:t>
      </w:r>
      <w:r w:rsidRPr="00053893">
        <w:rPr>
          <w:i w:val="0"/>
          <w:color w:val="auto"/>
          <w:w w:val="105"/>
          <w:lang w:val="lt-LT"/>
        </w:rPr>
        <w:t>yra</w:t>
      </w:r>
      <w:r w:rsidRPr="00053893">
        <w:rPr>
          <w:i w:val="0"/>
          <w:color w:val="auto"/>
          <w:spacing w:val="-13"/>
          <w:w w:val="105"/>
          <w:lang w:val="lt-LT"/>
        </w:rPr>
        <w:t xml:space="preserve"> </w:t>
      </w:r>
      <w:r w:rsidRPr="00053893">
        <w:rPr>
          <w:i w:val="0"/>
          <w:color w:val="auto"/>
          <w:w w:val="105"/>
          <w:lang w:val="lt-LT"/>
        </w:rPr>
        <w:t>60</w:t>
      </w:r>
      <w:r w:rsidRPr="00053893">
        <w:rPr>
          <w:i w:val="0"/>
          <w:color w:val="auto"/>
          <w:spacing w:val="-14"/>
          <w:w w:val="105"/>
          <w:lang w:val="lt-LT"/>
        </w:rPr>
        <w:t xml:space="preserve"> </w:t>
      </w:r>
      <w:r w:rsidRPr="00053893">
        <w:rPr>
          <w:i w:val="0"/>
          <w:color w:val="auto"/>
          <w:w w:val="105"/>
          <w:lang w:val="lt-LT"/>
        </w:rPr>
        <w:t>plėvele</w:t>
      </w:r>
      <w:r w:rsidRPr="00053893">
        <w:rPr>
          <w:i w:val="0"/>
          <w:color w:val="auto"/>
          <w:spacing w:val="-13"/>
          <w:w w:val="105"/>
          <w:lang w:val="lt-LT"/>
        </w:rPr>
        <w:t xml:space="preserve"> </w:t>
      </w:r>
      <w:r w:rsidRPr="00053893">
        <w:rPr>
          <w:i w:val="0"/>
          <w:color w:val="auto"/>
          <w:w w:val="105"/>
          <w:lang w:val="lt-LT"/>
        </w:rPr>
        <w:t>dengtų tablečių.</w:t>
      </w:r>
    </w:p>
    <w:p w14:paraId="21F8736C" w14:textId="77777777" w:rsidR="00091B58" w:rsidRPr="00C81D88" w:rsidRDefault="00091B58" w:rsidP="00091B58">
      <w:pPr>
        <w:rPr>
          <w:rFonts w:eastAsia="Calibri"/>
          <w:sz w:val="22"/>
          <w:szCs w:val="22"/>
          <w:lang w:eastAsia="en-GB"/>
        </w:rPr>
      </w:pPr>
    </w:p>
    <w:p w14:paraId="5370AD15" w14:textId="77777777" w:rsidR="00091B58" w:rsidRPr="00C81D88" w:rsidRDefault="00091B58" w:rsidP="00091B58">
      <w:pPr>
        <w:rPr>
          <w:rFonts w:eastAsia="Calibri"/>
          <w:sz w:val="22"/>
          <w:szCs w:val="22"/>
          <w:lang w:eastAsia="en-GB"/>
        </w:rPr>
      </w:pPr>
      <w:r w:rsidRPr="00C81D88">
        <w:rPr>
          <w:rFonts w:eastAsia="Calibri"/>
          <w:sz w:val="22"/>
          <w:szCs w:val="22"/>
          <w:lang w:eastAsia="en-GB"/>
        </w:rPr>
        <w:t>Gali būti tiekiamos ne visų dydžių pakuotės.</w:t>
      </w:r>
    </w:p>
    <w:p w14:paraId="24ACD6F9" w14:textId="77777777" w:rsidR="00091B58" w:rsidRPr="00C81D88" w:rsidRDefault="00091B58" w:rsidP="00091B58">
      <w:pPr>
        <w:rPr>
          <w:rFonts w:eastAsia="SimSun"/>
          <w:sz w:val="22"/>
          <w:szCs w:val="22"/>
          <w:lang w:eastAsia="zh-CN"/>
        </w:rPr>
      </w:pPr>
    </w:p>
    <w:p w14:paraId="15BFC7DB" w14:textId="77777777" w:rsidR="00091B58" w:rsidRPr="00C81D88" w:rsidRDefault="00091B58" w:rsidP="00091B58">
      <w:pPr>
        <w:rPr>
          <w:rFonts w:eastAsia="SimSun"/>
          <w:b/>
          <w:sz w:val="22"/>
          <w:szCs w:val="22"/>
        </w:rPr>
      </w:pPr>
      <w:r w:rsidRPr="00C81D88">
        <w:rPr>
          <w:rFonts w:eastAsia="SimSun"/>
          <w:b/>
          <w:sz w:val="22"/>
          <w:szCs w:val="22"/>
        </w:rPr>
        <w:t>6.6</w:t>
      </w:r>
      <w:r w:rsidRPr="00C81D88">
        <w:rPr>
          <w:rFonts w:eastAsia="SimSun"/>
          <w:b/>
          <w:sz w:val="22"/>
          <w:szCs w:val="22"/>
        </w:rPr>
        <w:tab/>
        <w:t>Specialūs reikalavimai atliekoms tvarkyti ir vaistiniam preparatui ruošti</w:t>
      </w:r>
    </w:p>
    <w:p w14:paraId="7962D547" w14:textId="77777777" w:rsidR="00091B58" w:rsidRPr="00C81D88" w:rsidRDefault="00091B58" w:rsidP="00091B58">
      <w:pPr>
        <w:rPr>
          <w:rFonts w:eastAsia="SimSun"/>
          <w:sz w:val="22"/>
          <w:szCs w:val="22"/>
          <w:lang w:eastAsia="zh-CN"/>
        </w:rPr>
      </w:pPr>
    </w:p>
    <w:p w14:paraId="5F9CF1E3" w14:textId="77777777" w:rsidR="00091B58" w:rsidRPr="00C81D88" w:rsidRDefault="00091B58" w:rsidP="00091B58">
      <w:pPr>
        <w:rPr>
          <w:rFonts w:eastAsia="SimSun"/>
          <w:sz w:val="22"/>
          <w:szCs w:val="22"/>
          <w:lang w:eastAsia="zh-CN"/>
        </w:rPr>
      </w:pPr>
      <w:r w:rsidRPr="00C81D88">
        <w:rPr>
          <w:rFonts w:eastAsia="SimSun"/>
          <w:sz w:val="22"/>
          <w:szCs w:val="22"/>
          <w:lang w:eastAsia="zh-CN"/>
        </w:rPr>
        <w:t>Plėvele dengtos tabletės sudarytos iš branduolio ir jį apsupančios plėvelės, kad sveikatos priežiūros specialistai būtų apsaugoti nuo kontakto su veikliąja medžiaga. Jeigu plėvele dengtos tabletės netyčia sutraiškomos ar sulaužomos, sveikatos priežiūros specialistas turi mūvėti lateksines ar nitrilines pirštines, kad tinkamai tvarkant vaistinio preparato atliekas poveikis odai būtų sumažintas iki minimumo.</w:t>
      </w:r>
    </w:p>
    <w:p w14:paraId="22F87D4A" w14:textId="77777777" w:rsidR="00091B58" w:rsidRPr="00C81D88" w:rsidRDefault="00091B58" w:rsidP="00091B58">
      <w:pPr>
        <w:rPr>
          <w:rFonts w:eastAsia="SimSun"/>
          <w:sz w:val="22"/>
          <w:szCs w:val="22"/>
          <w:lang w:eastAsia="zh-CN"/>
        </w:rPr>
      </w:pPr>
    </w:p>
    <w:p w14:paraId="31EB41F9" w14:textId="77777777" w:rsidR="00091B58" w:rsidRPr="00C81D88" w:rsidRDefault="00091B58" w:rsidP="00091B58">
      <w:pPr>
        <w:rPr>
          <w:rFonts w:eastAsia="SimSun"/>
          <w:sz w:val="22"/>
          <w:szCs w:val="22"/>
          <w:lang w:eastAsia="zh-CN"/>
        </w:rPr>
      </w:pPr>
      <w:r w:rsidRPr="00C81D88">
        <w:rPr>
          <w:snapToGrid w:val="0"/>
          <w:sz w:val="22"/>
          <w:szCs w:val="22"/>
        </w:rPr>
        <w:t>Nesuvartotą vaistinį preparatą ar atliekas reikia tvarkyti laikantis vietinių reikalavimų</w:t>
      </w:r>
      <w:r w:rsidRPr="00C81D88">
        <w:rPr>
          <w:rFonts w:eastAsia="SimSun"/>
          <w:sz w:val="22"/>
          <w:szCs w:val="22"/>
          <w:lang w:eastAsia="zh-CN"/>
        </w:rPr>
        <w:t>.</w:t>
      </w:r>
    </w:p>
    <w:p w14:paraId="294EA8E0" w14:textId="77777777" w:rsidR="00091B58" w:rsidRPr="00C81D88" w:rsidRDefault="00091B58" w:rsidP="00091B58">
      <w:pPr>
        <w:rPr>
          <w:rFonts w:eastAsia="SimSun"/>
          <w:sz w:val="22"/>
          <w:szCs w:val="22"/>
          <w:lang w:eastAsia="zh-CN"/>
        </w:rPr>
      </w:pPr>
    </w:p>
    <w:p w14:paraId="49B174CA" w14:textId="77777777" w:rsidR="00091B58" w:rsidRPr="00C81D88" w:rsidRDefault="00091B58" w:rsidP="00091B58">
      <w:pPr>
        <w:rPr>
          <w:rFonts w:eastAsia="SimSun"/>
          <w:sz w:val="22"/>
          <w:szCs w:val="22"/>
          <w:lang w:eastAsia="zh-CN"/>
        </w:rPr>
      </w:pPr>
    </w:p>
    <w:p w14:paraId="37DA33F0"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7.</w:t>
      </w:r>
      <w:r w:rsidRPr="00C81D88">
        <w:rPr>
          <w:rFonts w:eastAsia="SimSun"/>
          <w:b/>
          <w:sz w:val="22"/>
          <w:szCs w:val="22"/>
          <w:lang w:eastAsia="zh-CN"/>
        </w:rPr>
        <w:tab/>
        <w:t>REGISTRUOTOJAS</w:t>
      </w:r>
    </w:p>
    <w:p w14:paraId="49074DC3" w14:textId="77777777" w:rsidR="00091B58" w:rsidRPr="00C81D88" w:rsidRDefault="00091B58" w:rsidP="00091B58">
      <w:pPr>
        <w:rPr>
          <w:rFonts w:eastAsia="SimSun"/>
          <w:sz w:val="22"/>
          <w:szCs w:val="22"/>
          <w:lang w:eastAsia="zh-CN"/>
        </w:rPr>
      </w:pPr>
    </w:p>
    <w:p w14:paraId="383F07EF" w14:textId="77777777" w:rsidR="00091B58" w:rsidRPr="00C81D88" w:rsidRDefault="00091B58" w:rsidP="00091B58">
      <w:pPr>
        <w:rPr>
          <w:rFonts w:eastAsia="SimSun"/>
          <w:sz w:val="22"/>
          <w:szCs w:val="22"/>
          <w:lang w:eastAsia="zh-CN"/>
        </w:rPr>
      </w:pPr>
      <w:r w:rsidRPr="00C81D88">
        <w:rPr>
          <w:rFonts w:eastAsia="SimSun"/>
          <w:sz w:val="22"/>
          <w:szCs w:val="22"/>
          <w:lang w:eastAsia="zh-CN"/>
        </w:rPr>
        <w:t>UAB Norameda</w:t>
      </w:r>
    </w:p>
    <w:p w14:paraId="65202A59" w14:textId="77777777" w:rsidR="00091B58" w:rsidRPr="00C81D88" w:rsidRDefault="00091B58" w:rsidP="00091B58">
      <w:pPr>
        <w:rPr>
          <w:rFonts w:eastAsia="SimSun"/>
          <w:sz w:val="22"/>
          <w:szCs w:val="22"/>
          <w:lang w:eastAsia="zh-CN"/>
        </w:rPr>
      </w:pPr>
      <w:r w:rsidRPr="00C81D88">
        <w:rPr>
          <w:rFonts w:eastAsia="SimSun"/>
          <w:sz w:val="22"/>
          <w:szCs w:val="22"/>
          <w:lang w:eastAsia="zh-CN"/>
        </w:rPr>
        <w:t>Meistrų g. 8a</w:t>
      </w:r>
    </w:p>
    <w:p w14:paraId="1E057FF6" w14:textId="77777777" w:rsidR="00091B58" w:rsidRPr="00C81D88" w:rsidRDefault="00091B58" w:rsidP="00091B58">
      <w:pPr>
        <w:rPr>
          <w:rFonts w:eastAsia="SimSun"/>
          <w:sz w:val="22"/>
          <w:szCs w:val="22"/>
          <w:lang w:eastAsia="zh-CN"/>
        </w:rPr>
      </w:pPr>
      <w:r w:rsidRPr="00C81D88">
        <w:rPr>
          <w:rFonts w:eastAsia="SimSun"/>
          <w:sz w:val="22"/>
          <w:szCs w:val="22"/>
          <w:lang w:eastAsia="zh-CN"/>
        </w:rPr>
        <w:t>Vilnius LT-02189</w:t>
      </w:r>
    </w:p>
    <w:p w14:paraId="540ABBDC"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Lietuva </w:t>
      </w:r>
    </w:p>
    <w:p w14:paraId="3AD5C94E" w14:textId="77777777" w:rsidR="00091B58" w:rsidRPr="00C81D88" w:rsidRDefault="00091B58" w:rsidP="00091B58">
      <w:pPr>
        <w:rPr>
          <w:rFonts w:eastAsia="SimSun"/>
          <w:sz w:val="22"/>
          <w:szCs w:val="22"/>
          <w:lang w:eastAsia="zh-CN"/>
        </w:rPr>
      </w:pPr>
    </w:p>
    <w:p w14:paraId="36987BC5" w14:textId="77777777" w:rsidR="00091B58" w:rsidRPr="00C81D88" w:rsidRDefault="00091B58" w:rsidP="00091B58">
      <w:pPr>
        <w:rPr>
          <w:rFonts w:eastAsia="SimSun"/>
          <w:sz w:val="22"/>
          <w:szCs w:val="22"/>
          <w:lang w:eastAsia="zh-CN"/>
        </w:rPr>
      </w:pPr>
    </w:p>
    <w:p w14:paraId="12D10485"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8.</w:t>
      </w:r>
      <w:r w:rsidRPr="00C81D88">
        <w:rPr>
          <w:rFonts w:eastAsia="SimSun"/>
          <w:b/>
          <w:sz w:val="22"/>
          <w:szCs w:val="22"/>
          <w:lang w:eastAsia="zh-CN"/>
        </w:rPr>
        <w:tab/>
        <w:t xml:space="preserve">REGISTRACIJOS PAŽYMĖJIMO NUMERIS (-IAI) </w:t>
      </w:r>
    </w:p>
    <w:p w14:paraId="77A70E85" w14:textId="77777777" w:rsidR="00091B58" w:rsidRPr="00C81D88" w:rsidRDefault="00091B58" w:rsidP="00091B58">
      <w:pPr>
        <w:rPr>
          <w:rFonts w:eastAsia="SimSun"/>
          <w:sz w:val="22"/>
          <w:szCs w:val="22"/>
          <w:lang w:eastAsia="zh-CN"/>
        </w:rPr>
      </w:pPr>
    </w:p>
    <w:tbl>
      <w:tblPr>
        <w:tblW w:w="0" w:type="auto"/>
        <w:tblLook w:val="04A0" w:firstRow="1" w:lastRow="0" w:firstColumn="1" w:lastColumn="0" w:noHBand="0" w:noVBand="1"/>
      </w:tblPr>
      <w:tblGrid>
        <w:gridCol w:w="2979"/>
        <w:gridCol w:w="2980"/>
        <w:gridCol w:w="2981"/>
      </w:tblGrid>
      <w:tr w:rsidR="00091B58" w:rsidRPr="00C81D88" w14:paraId="1EF76966" w14:textId="77777777" w:rsidTr="00AB3BF3">
        <w:tc>
          <w:tcPr>
            <w:tcW w:w="3020" w:type="dxa"/>
            <w:shd w:val="clear" w:color="auto" w:fill="auto"/>
          </w:tcPr>
          <w:p w14:paraId="5EE50AF6" w14:textId="77777777" w:rsidR="00091B58" w:rsidRPr="00C81D88" w:rsidRDefault="00091B58" w:rsidP="00AB3BF3">
            <w:pPr>
              <w:rPr>
                <w:sz w:val="22"/>
                <w:szCs w:val="22"/>
              </w:rPr>
            </w:pPr>
            <w:r w:rsidRPr="00C81D88">
              <w:rPr>
                <w:sz w:val="22"/>
                <w:szCs w:val="22"/>
              </w:rPr>
              <w:t>20 mg</w:t>
            </w:r>
          </w:p>
          <w:p w14:paraId="13E268F2" w14:textId="77777777" w:rsidR="00091B58" w:rsidRPr="004428B3" w:rsidRDefault="00091B58" w:rsidP="00AB3BF3">
            <w:pPr>
              <w:rPr>
                <w:sz w:val="22"/>
                <w:szCs w:val="22"/>
                <w:u w:val="single"/>
              </w:rPr>
            </w:pPr>
            <w:r w:rsidRPr="004428B3">
              <w:rPr>
                <w:bCs/>
                <w:sz w:val="22"/>
                <w:szCs w:val="22"/>
                <w:u w:val="single"/>
              </w:rPr>
              <w:t>lizdinė plokštelė</w:t>
            </w:r>
          </w:p>
          <w:p w14:paraId="6FE0BCC4" w14:textId="77777777" w:rsidR="00091B58" w:rsidRPr="00C81D88" w:rsidRDefault="00091B58" w:rsidP="00AB3BF3">
            <w:pPr>
              <w:rPr>
                <w:bCs/>
                <w:sz w:val="22"/>
                <w:szCs w:val="22"/>
              </w:rPr>
            </w:pPr>
            <w:r w:rsidRPr="00C81D88">
              <w:rPr>
                <w:sz w:val="22"/>
                <w:szCs w:val="22"/>
              </w:rPr>
              <w:t>LT/1/20/4510/001</w:t>
            </w:r>
            <w:r w:rsidRPr="00C81D88">
              <w:rPr>
                <w:bCs/>
                <w:sz w:val="22"/>
                <w:szCs w:val="22"/>
              </w:rPr>
              <w:t xml:space="preserve"> – N56</w:t>
            </w:r>
          </w:p>
          <w:p w14:paraId="1BB69587" w14:textId="77777777" w:rsidR="00091B58" w:rsidRPr="00C81D88" w:rsidRDefault="00091B58" w:rsidP="00AB3BF3">
            <w:pPr>
              <w:rPr>
                <w:bCs/>
                <w:sz w:val="22"/>
                <w:szCs w:val="22"/>
              </w:rPr>
            </w:pPr>
            <w:r w:rsidRPr="00C81D88">
              <w:rPr>
                <w:sz w:val="22"/>
                <w:szCs w:val="22"/>
              </w:rPr>
              <w:t>LT/1/20/4510/002</w:t>
            </w:r>
            <w:r w:rsidRPr="00C81D88">
              <w:rPr>
                <w:bCs/>
                <w:sz w:val="22"/>
                <w:szCs w:val="22"/>
              </w:rPr>
              <w:t xml:space="preserve"> – N60</w:t>
            </w:r>
          </w:p>
          <w:p w14:paraId="46932C4B" w14:textId="77777777" w:rsidR="00091B58" w:rsidRPr="004428B3" w:rsidRDefault="00091B58" w:rsidP="00AB3BF3">
            <w:pPr>
              <w:rPr>
                <w:bCs/>
                <w:sz w:val="22"/>
                <w:szCs w:val="22"/>
                <w:u w:val="single"/>
              </w:rPr>
            </w:pPr>
            <w:r w:rsidRPr="004428B3">
              <w:rPr>
                <w:bCs/>
                <w:sz w:val="22"/>
                <w:szCs w:val="22"/>
                <w:u w:val="single"/>
              </w:rPr>
              <w:t>dalomoji lizdinė plokštelė</w:t>
            </w:r>
          </w:p>
          <w:p w14:paraId="17170154" w14:textId="77777777" w:rsidR="00091B58" w:rsidRPr="00C81D88" w:rsidRDefault="00091B58" w:rsidP="00AB3BF3">
            <w:pPr>
              <w:rPr>
                <w:bCs/>
                <w:sz w:val="22"/>
                <w:szCs w:val="22"/>
              </w:rPr>
            </w:pPr>
            <w:r w:rsidRPr="00C81D88">
              <w:rPr>
                <w:sz w:val="22"/>
                <w:szCs w:val="22"/>
              </w:rPr>
              <w:t>LT/1/20/4510/003</w:t>
            </w:r>
            <w:r w:rsidRPr="00C81D88">
              <w:rPr>
                <w:bCs/>
                <w:sz w:val="22"/>
                <w:szCs w:val="22"/>
              </w:rPr>
              <w:t xml:space="preserve"> – N56x1</w:t>
            </w:r>
          </w:p>
          <w:p w14:paraId="689AC350" w14:textId="77777777" w:rsidR="00091B58" w:rsidRPr="00C81D88" w:rsidRDefault="00091B58" w:rsidP="00AB3BF3">
            <w:pPr>
              <w:rPr>
                <w:bCs/>
                <w:sz w:val="22"/>
                <w:szCs w:val="22"/>
              </w:rPr>
            </w:pPr>
            <w:r w:rsidRPr="00C81D88">
              <w:rPr>
                <w:sz w:val="22"/>
                <w:szCs w:val="22"/>
              </w:rPr>
              <w:t>LT/1/20/4510/004</w:t>
            </w:r>
            <w:r w:rsidRPr="00C81D88">
              <w:rPr>
                <w:bCs/>
                <w:sz w:val="22"/>
                <w:szCs w:val="22"/>
              </w:rPr>
              <w:t xml:space="preserve"> – N60x1</w:t>
            </w:r>
          </w:p>
          <w:p w14:paraId="1443BF10" w14:textId="77777777" w:rsidR="00091B58" w:rsidRPr="00C81D88" w:rsidRDefault="00091B58" w:rsidP="00AB3BF3">
            <w:pPr>
              <w:rPr>
                <w:bCs/>
                <w:sz w:val="22"/>
                <w:szCs w:val="22"/>
              </w:rPr>
            </w:pPr>
            <w:r w:rsidRPr="004428B3">
              <w:rPr>
                <w:bCs/>
                <w:sz w:val="22"/>
                <w:szCs w:val="22"/>
                <w:u w:val="single"/>
              </w:rPr>
              <w:t>talpyklė</w:t>
            </w:r>
          </w:p>
          <w:p w14:paraId="06058AFA" w14:textId="77777777" w:rsidR="00091B58" w:rsidRPr="00C81D88" w:rsidRDefault="00091B58" w:rsidP="00AB3BF3">
            <w:pPr>
              <w:rPr>
                <w:bCs/>
                <w:sz w:val="22"/>
                <w:szCs w:val="22"/>
              </w:rPr>
            </w:pPr>
            <w:r w:rsidRPr="00C81D88">
              <w:rPr>
                <w:sz w:val="22"/>
                <w:szCs w:val="22"/>
              </w:rPr>
              <w:t>LT/1/20/4510/005</w:t>
            </w:r>
            <w:r w:rsidRPr="00C81D88">
              <w:rPr>
                <w:bCs/>
                <w:sz w:val="22"/>
                <w:szCs w:val="22"/>
              </w:rPr>
              <w:t xml:space="preserve"> – N60</w:t>
            </w:r>
          </w:p>
        </w:tc>
        <w:tc>
          <w:tcPr>
            <w:tcW w:w="3020" w:type="dxa"/>
            <w:shd w:val="clear" w:color="auto" w:fill="auto"/>
          </w:tcPr>
          <w:p w14:paraId="1DB15B36" w14:textId="77777777" w:rsidR="00091B58" w:rsidRPr="00C81D88" w:rsidRDefault="00091B58" w:rsidP="00AB3BF3">
            <w:pPr>
              <w:rPr>
                <w:bCs/>
                <w:sz w:val="22"/>
                <w:szCs w:val="22"/>
              </w:rPr>
            </w:pPr>
            <w:r w:rsidRPr="00C81D88">
              <w:rPr>
                <w:bCs/>
                <w:sz w:val="22"/>
                <w:szCs w:val="22"/>
              </w:rPr>
              <w:t>50 mg</w:t>
            </w:r>
          </w:p>
          <w:p w14:paraId="3804D78C" w14:textId="77777777" w:rsidR="00091B58" w:rsidRPr="004428B3" w:rsidRDefault="00091B58" w:rsidP="00AB3BF3">
            <w:pPr>
              <w:rPr>
                <w:bCs/>
                <w:sz w:val="22"/>
                <w:szCs w:val="22"/>
                <w:u w:val="single"/>
              </w:rPr>
            </w:pPr>
            <w:r w:rsidRPr="004428B3">
              <w:rPr>
                <w:bCs/>
                <w:sz w:val="22"/>
                <w:szCs w:val="22"/>
                <w:u w:val="single"/>
              </w:rPr>
              <w:t>lizdinė plokštelė</w:t>
            </w:r>
          </w:p>
          <w:p w14:paraId="2CCDE0CA" w14:textId="77777777" w:rsidR="00091B58" w:rsidRPr="00C81D88" w:rsidRDefault="00091B58" w:rsidP="00AB3BF3">
            <w:pPr>
              <w:rPr>
                <w:bCs/>
                <w:sz w:val="22"/>
                <w:szCs w:val="22"/>
              </w:rPr>
            </w:pPr>
            <w:r w:rsidRPr="00C81D88">
              <w:rPr>
                <w:sz w:val="22"/>
                <w:szCs w:val="22"/>
              </w:rPr>
              <w:t>LT/1/20/4511/001</w:t>
            </w:r>
            <w:r w:rsidRPr="00C81D88">
              <w:rPr>
                <w:bCs/>
                <w:sz w:val="22"/>
                <w:szCs w:val="22"/>
              </w:rPr>
              <w:t xml:space="preserve"> – N56</w:t>
            </w:r>
          </w:p>
          <w:p w14:paraId="7135716F" w14:textId="77777777" w:rsidR="00091B58" w:rsidRPr="00C81D88" w:rsidRDefault="00091B58" w:rsidP="00AB3BF3">
            <w:pPr>
              <w:rPr>
                <w:bCs/>
                <w:sz w:val="22"/>
                <w:szCs w:val="22"/>
              </w:rPr>
            </w:pPr>
            <w:r w:rsidRPr="00C81D88">
              <w:rPr>
                <w:sz w:val="22"/>
                <w:szCs w:val="22"/>
              </w:rPr>
              <w:t>LT/1/20/4511/002</w:t>
            </w:r>
            <w:r w:rsidRPr="00C81D88">
              <w:rPr>
                <w:bCs/>
                <w:sz w:val="22"/>
                <w:szCs w:val="22"/>
              </w:rPr>
              <w:t xml:space="preserve"> – N60</w:t>
            </w:r>
          </w:p>
          <w:p w14:paraId="2A4D972D" w14:textId="77777777" w:rsidR="00091B58" w:rsidRPr="004428B3" w:rsidRDefault="00091B58" w:rsidP="00AB3BF3">
            <w:pPr>
              <w:rPr>
                <w:bCs/>
                <w:sz w:val="22"/>
                <w:szCs w:val="22"/>
                <w:u w:val="single"/>
              </w:rPr>
            </w:pPr>
            <w:r w:rsidRPr="004428B3">
              <w:rPr>
                <w:bCs/>
                <w:sz w:val="22"/>
                <w:szCs w:val="22"/>
                <w:u w:val="single"/>
              </w:rPr>
              <w:t>dalomoji lizdinė plokštelė</w:t>
            </w:r>
          </w:p>
          <w:p w14:paraId="7DAD69E4" w14:textId="77777777" w:rsidR="00091B58" w:rsidRPr="00C81D88" w:rsidRDefault="00091B58" w:rsidP="00AB3BF3">
            <w:pPr>
              <w:rPr>
                <w:bCs/>
                <w:sz w:val="22"/>
                <w:szCs w:val="22"/>
              </w:rPr>
            </w:pPr>
            <w:r w:rsidRPr="00C81D88">
              <w:rPr>
                <w:sz w:val="22"/>
                <w:szCs w:val="22"/>
              </w:rPr>
              <w:t>LT/1/20/4511/003</w:t>
            </w:r>
            <w:r w:rsidRPr="00C81D88">
              <w:rPr>
                <w:bCs/>
                <w:sz w:val="22"/>
                <w:szCs w:val="22"/>
              </w:rPr>
              <w:t xml:space="preserve"> – N56x1</w:t>
            </w:r>
          </w:p>
          <w:p w14:paraId="00C45A26" w14:textId="77777777" w:rsidR="00091B58" w:rsidRPr="00C81D88" w:rsidRDefault="00091B58" w:rsidP="00AB3BF3">
            <w:pPr>
              <w:rPr>
                <w:bCs/>
                <w:sz w:val="22"/>
                <w:szCs w:val="22"/>
              </w:rPr>
            </w:pPr>
            <w:r w:rsidRPr="00C81D88">
              <w:rPr>
                <w:sz w:val="22"/>
                <w:szCs w:val="22"/>
              </w:rPr>
              <w:t>LT/1/20/4511/004</w:t>
            </w:r>
            <w:r w:rsidRPr="00C81D88">
              <w:rPr>
                <w:bCs/>
                <w:sz w:val="22"/>
                <w:szCs w:val="22"/>
              </w:rPr>
              <w:t xml:space="preserve"> – N60x1</w:t>
            </w:r>
          </w:p>
          <w:p w14:paraId="07C32346" w14:textId="77777777" w:rsidR="00091B58" w:rsidRPr="00C81D88" w:rsidRDefault="00091B58" w:rsidP="00AB3BF3">
            <w:pPr>
              <w:rPr>
                <w:bCs/>
                <w:sz w:val="22"/>
                <w:szCs w:val="22"/>
              </w:rPr>
            </w:pPr>
            <w:r w:rsidRPr="004428B3">
              <w:rPr>
                <w:bCs/>
                <w:sz w:val="22"/>
                <w:szCs w:val="22"/>
                <w:u w:val="single"/>
              </w:rPr>
              <w:t>talpyklė</w:t>
            </w:r>
          </w:p>
          <w:p w14:paraId="642CE223" w14:textId="77777777" w:rsidR="00091B58" w:rsidRPr="00C81D88" w:rsidRDefault="00091B58" w:rsidP="00AB3BF3">
            <w:pPr>
              <w:rPr>
                <w:bCs/>
                <w:sz w:val="22"/>
                <w:szCs w:val="22"/>
              </w:rPr>
            </w:pPr>
            <w:r w:rsidRPr="00C81D88">
              <w:rPr>
                <w:sz w:val="22"/>
                <w:szCs w:val="22"/>
              </w:rPr>
              <w:t>LT/1/20/4511/005</w:t>
            </w:r>
            <w:r w:rsidRPr="00C81D88">
              <w:rPr>
                <w:bCs/>
                <w:sz w:val="22"/>
                <w:szCs w:val="22"/>
              </w:rPr>
              <w:t xml:space="preserve"> – N60</w:t>
            </w:r>
          </w:p>
        </w:tc>
        <w:tc>
          <w:tcPr>
            <w:tcW w:w="3021" w:type="dxa"/>
            <w:shd w:val="clear" w:color="auto" w:fill="auto"/>
          </w:tcPr>
          <w:p w14:paraId="28EC366A" w14:textId="77777777" w:rsidR="00091B58" w:rsidRPr="00C81D88" w:rsidRDefault="00091B58" w:rsidP="00AB3BF3">
            <w:pPr>
              <w:rPr>
                <w:bCs/>
                <w:sz w:val="22"/>
                <w:szCs w:val="22"/>
              </w:rPr>
            </w:pPr>
            <w:r w:rsidRPr="00C81D88">
              <w:rPr>
                <w:bCs/>
                <w:sz w:val="22"/>
                <w:szCs w:val="22"/>
              </w:rPr>
              <w:t>70 mg</w:t>
            </w:r>
          </w:p>
          <w:p w14:paraId="08F04CA3" w14:textId="77777777" w:rsidR="00091B58" w:rsidRPr="004428B3" w:rsidRDefault="00091B58" w:rsidP="00AB3BF3">
            <w:pPr>
              <w:rPr>
                <w:bCs/>
                <w:sz w:val="22"/>
                <w:szCs w:val="22"/>
                <w:u w:val="single"/>
              </w:rPr>
            </w:pPr>
            <w:r w:rsidRPr="004428B3">
              <w:rPr>
                <w:bCs/>
                <w:sz w:val="22"/>
                <w:szCs w:val="22"/>
                <w:u w:val="single"/>
              </w:rPr>
              <w:t>lizdinė plokštelė</w:t>
            </w:r>
          </w:p>
          <w:p w14:paraId="05B8D1AD" w14:textId="77777777" w:rsidR="00091B58" w:rsidRPr="00C81D88" w:rsidRDefault="00091B58" w:rsidP="00AB3BF3">
            <w:pPr>
              <w:rPr>
                <w:bCs/>
                <w:sz w:val="22"/>
                <w:szCs w:val="22"/>
              </w:rPr>
            </w:pPr>
            <w:r w:rsidRPr="00C81D88">
              <w:rPr>
                <w:sz w:val="22"/>
                <w:szCs w:val="22"/>
              </w:rPr>
              <w:t>LT/1/20/4512/001</w:t>
            </w:r>
            <w:r w:rsidRPr="00C81D88">
              <w:rPr>
                <w:bCs/>
                <w:sz w:val="22"/>
                <w:szCs w:val="22"/>
              </w:rPr>
              <w:t xml:space="preserve"> – N56</w:t>
            </w:r>
          </w:p>
          <w:p w14:paraId="1E507FC4" w14:textId="77777777" w:rsidR="00091B58" w:rsidRPr="00C81D88" w:rsidRDefault="00091B58" w:rsidP="00AB3BF3">
            <w:pPr>
              <w:rPr>
                <w:bCs/>
                <w:sz w:val="22"/>
                <w:szCs w:val="22"/>
              </w:rPr>
            </w:pPr>
            <w:r w:rsidRPr="00C81D88">
              <w:rPr>
                <w:sz w:val="22"/>
                <w:szCs w:val="22"/>
              </w:rPr>
              <w:t>LT/1/20/4512/002</w:t>
            </w:r>
            <w:r w:rsidRPr="00C81D88">
              <w:rPr>
                <w:bCs/>
                <w:sz w:val="22"/>
                <w:szCs w:val="22"/>
              </w:rPr>
              <w:t xml:space="preserve"> – N60</w:t>
            </w:r>
          </w:p>
          <w:p w14:paraId="1142323C" w14:textId="77777777" w:rsidR="00091B58" w:rsidRPr="004428B3" w:rsidRDefault="00091B58" w:rsidP="00AB3BF3">
            <w:pPr>
              <w:rPr>
                <w:bCs/>
                <w:sz w:val="22"/>
                <w:szCs w:val="22"/>
                <w:u w:val="single"/>
              </w:rPr>
            </w:pPr>
            <w:r w:rsidRPr="004428B3">
              <w:rPr>
                <w:bCs/>
                <w:sz w:val="22"/>
                <w:szCs w:val="22"/>
                <w:u w:val="single"/>
              </w:rPr>
              <w:t>dalomoji lizdinė plokštelė</w:t>
            </w:r>
          </w:p>
          <w:p w14:paraId="338DEBD5" w14:textId="77777777" w:rsidR="00091B58" w:rsidRPr="00C81D88" w:rsidRDefault="00091B58" w:rsidP="00AB3BF3">
            <w:pPr>
              <w:rPr>
                <w:bCs/>
                <w:sz w:val="22"/>
                <w:szCs w:val="22"/>
              </w:rPr>
            </w:pPr>
            <w:r w:rsidRPr="00C81D88">
              <w:rPr>
                <w:sz w:val="22"/>
                <w:szCs w:val="22"/>
              </w:rPr>
              <w:t>LT/1/20/4512/003</w:t>
            </w:r>
            <w:r w:rsidRPr="00C81D88">
              <w:rPr>
                <w:bCs/>
                <w:sz w:val="22"/>
                <w:szCs w:val="22"/>
              </w:rPr>
              <w:t xml:space="preserve"> – N56x1</w:t>
            </w:r>
          </w:p>
          <w:p w14:paraId="669D2185" w14:textId="77777777" w:rsidR="00091B58" w:rsidRPr="00C81D88" w:rsidRDefault="00091B58" w:rsidP="00AB3BF3">
            <w:pPr>
              <w:rPr>
                <w:bCs/>
                <w:sz w:val="22"/>
                <w:szCs w:val="22"/>
              </w:rPr>
            </w:pPr>
            <w:r w:rsidRPr="00C81D88">
              <w:rPr>
                <w:sz w:val="22"/>
                <w:szCs w:val="22"/>
              </w:rPr>
              <w:t>LT/1/20/4512/004</w:t>
            </w:r>
            <w:r w:rsidRPr="00C81D88">
              <w:rPr>
                <w:bCs/>
                <w:sz w:val="22"/>
                <w:szCs w:val="22"/>
              </w:rPr>
              <w:t xml:space="preserve"> – N60x1</w:t>
            </w:r>
          </w:p>
          <w:p w14:paraId="351BCEAC" w14:textId="77777777" w:rsidR="00091B58" w:rsidRPr="00C81D88" w:rsidRDefault="00091B58" w:rsidP="00AB3BF3">
            <w:pPr>
              <w:rPr>
                <w:bCs/>
                <w:sz w:val="22"/>
                <w:szCs w:val="22"/>
              </w:rPr>
            </w:pPr>
            <w:r w:rsidRPr="004428B3">
              <w:rPr>
                <w:bCs/>
                <w:sz w:val="22"/>
                <w:szCs w:val="22"/>
                <w:u w:val="single"/>
              </w:rPr>
              <w:t>talpy</w:t>
            </w:r>
            <w:bookmarkStart w:id="0" w:name="_GoBack"/>
            <w:bookmarkEnd w:id="0"/>
            <w:r w:rsidRPr="004428B3">
              <w:rPr>
                <w:bCs/>
                <w:sz w:val="22"/>
                <w:szCs w:val="22"/>
                <w:u w:val="single"/>
              </w:rPr>
              <w:t>klė</w:t>
            </w:r>
          </w:p>
          <w:p w14:paraId="06D470C8" w14:textId="77777777" w:rsidR="00091B58" w:rsidRPr="00C81D88" w:rsidRDefault="00091B58" w:rsidP="00AB3BF3">
            <w:pPr>
              <w:rPr>
                <w:bCs/>
                <w:sz w:val="22"/>
                <w:szCs w:val="22"/>
              </w:rPr>
            </w:pPr>
            <w:r w:rsidRPr="00C81D88">
              <w:rPr>
                <w:sz w:val="22"/>
                <w:szCs w:val="22"/>
              </w:rPr>
              <w:t>LT/1/20/4512/005</w:t>
            </w:r>
            <w:r w:rsidRPr="00C81D88">
              <w:rPr>
                <w:bCs/>
                <w:sz w:val="22"/>
                <w:szCs w:val="22"/>
              </w:rPr>
              <w:t xml:space="preserve"> – N60</w:t>
            </w:r>
          </w:p>
        </w:tc>
      </w:tr>
    </w:tbl>
    <w:p w14:paraId="14931F23" w14:textId="77777777" w:rsidR="00091B58" w:rsidRPr="00C81D88" w:rsidRDefault="00091B58" w:rsidP="00091B58">
      <w:pPr>
        <w:rPr>
          <w:bCs/>
          <w:sz w:val="22"/>
          <w:szCs w:val="22"/>
        </w:rPr>
      </w:pPr>
    </w:p>
    <w:p w14:paraId="6B1E3437" w14:textId="77777777" w:rsidR="00091B58" w:rsidRPr="00C81D88" w:rsidRDefault="00091B58" w:rsidP="00091B58">
      <w:pPr>
        <w:rPr>
          <w:rFonts w:eastAsia="SimSun"/>
          <w:sz w:val="22"/>
          <w:szCs w:val="22"/>
          <w:lang w:eastAsia="zh-CN"/>
        </w:rPr>
      </w:pPr>
    </w:p>
    <w:p w14:paraId="00C60C28" w14:textId="77777777" w:rsidR="00091B58" w:rsidRPr="00C81D88" w:rsidRDefault="00091B58" w:rsidP="00091B58">
      <w:pPr>
        <w:rPr>
          <w:b/>
          <w:snapToGrid w:val="0"/>
          <w:sz w:val="22"/>
          <w:szCs w:val="22"/>
        </w:rPr>
      </w:pPr>
      <w:r w:rsidRPr="00C81D88">
        <w:rPr>
          <w:rFonts w:eastAsia="SimSun"/>
          <w:b/>
          <w:sz w:val="22"/>
          <w:szCs w:val="22"/>
          <w:lang w:eastAsia="zh-CN"/>
        </w:rPr>
        <w:t>9.</w:t>
      </w:r>
      <w:r w:rsidRPr="00C81D88">
        <w:rPr>
          <w:rFonts w:eastAsia="SimSun"/>
          <w:b/>
          <w:sz w:val="22"/>
          <w:szCs w:val="22"/>
          <w:lang w:eastAsia="zh-CN"/>
        </w:rPr>
        <w:tab/>
      </w:r>
      <w:r w:rsidRPr="00C81D88">
        <w:rPr>
          <w:b/>
          <w:snapToGrid w:val="0"/>
          <w:sz w:val="22"/>
          <w:szCs w:val="22"/>
        </w:rPr>
        <w:t>REGISTRAVIMO / PERREGISTRAVIMO DATA</w:t>
      </w:r>
    </w:p>
    <w:p w14:paraId="48CD1CD8" w14:textId="77777777" w:rsidR="00091B58" w:rsidRPr="00C81D88" w:rsidRDefault="00091B58" w:rsidP="00091B58">
      <w:pPr>
        <w:rPr>
          <w:snapToGrid w:val="0"/>
          <w:sz w:val="22"/>
          <w:szCs w:val="22"/>
        </w:rPr>
      </w:pPr>
    </w:p>
    <w:p w14:paraId="7FD85ACA" w14:textId="77777777" w:rsidR="00091B58" w:rsidRDefault="00091B58" w:rsidP="00091B58">
      <w:pPr>
        <w:rPr>
          <w:snapToGrid w:val="0"/>
          <w:sz w:val="22"/>
          <w:szCs w:val="22"/>
        </w:rPr>
      </w:pPr>
      <w:r w:rsidRPr="00C81D88">
        <w:rPr>
          <w:snapToGrid w:val="0"/>
          <w:sz w:val="22"/>
          <w:szCs w:val="22"/>
        </w:rPr>
        <w:t>Registravimo data 2020 m. vasario 10 d.</w:t>
      </w:r>
    </w:p>
    <w:p w14:paraId="72953D24" w14:textId="50B404EE" w:rsidR="00D1762E" w:rsidRDefault="00D1762E" w:rsidP="00D1762E">
      <w:pPr>
        <w:rPr>
          <w:sz w:val="22"/>
          <w:szCs w:val="22"/>
          <w:lang w:val="en-US"/>
        </w:rPr>
      </w:pPr>
      <w:r>
        <w:rPr>
          <w:sz w:val="22"/>
          <w:szCs w:val="22"/>
        </w:rPr>
        <w:t>P</w:t>
      </w:r>
      <w:r w:rsidR="00E20B63">
        <w:rPr>
          <w:sz w:val="22"/>
          <w:szCs w:val="22"/>
        </w:rPr>
        <w:t>askutinio p</w:t>
      </w:r>
      <w:r>
        <w:rPr>
          <w:sz w:val="22"/>
          <w:szCs w:val="22"/>
        </w:rPr>
        <w:t>erregistravimo data</w:t>
      </w:r>
      <w:r w:rsidR="004428B3">
        <w:rPr>
          <w:sz w:val="22"/>
          <w:szCs w:val="22"/>
        </w:rPr>
        <w:t xml:space="preserve"> 2024 m. kovo 14 d.</w:t>
      </w:r>
    </w:p>
    <w:p w14:paraId="2A1FF843" w14:textId="77777777" w:rsidR="00091B58" w:rsidRPr="00C81D88" w:rsidRDefault="00091B58" w:rsidP="00091B58">
      <w:pPr>
        <w:rPr>
          <w:rFonts w:eastAsia="SimSun"/>
          <w:sz w:val="22"/>
          <w:szCs w:val="22"/>
          <w:lang w:eastAsia="zh-CN"/>
        </w:rPr>
      </w:pPr>
    </w:p>
    <w:p w14:paraId="2783E600" w14:textId="77777777" w:rsidR="00091B58" w:rsidRPr="00C81D88" w:rsidRDefault="00091B58" w:rsidP="00091B58">
      <w:pPr>
        <w:rPr>
          <w:rFonts w:eastAsia="SimSun"/>
          <w:sz w:val="22"/>
          <w:szCs w:val="22"/>
          <w:lang w:eastAsia="zh-CN"/>
        </w:rPr>
      </w:pPr>
    </w:p>
    <w:p w14:paraId="0A1B68AB"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10.</w:t>
      </w:r>
      <w:r w:rsidRPr="00C81D88">
        <w:rPr>
          <w:rFonts w:eastAsia="SimSun"/>
          <w:b/>
          <w:sz w:val="22"/>
          <w:szCs w:val="22"/>
          <w:lang w:eastAsia="zh-CN"/>
        </w:rPr>
        <w:tab/>
        <w:t>TEKSTO PERŽIŪROS DATA</w:t>
      </w:r>
    </w:p>
    <w:p w14:paraId="6D44F22F" w14:textId="6B48C67D" w:rsidR="00957DC9" w:rsidRDefault="00957DC9" w:rsidP="00091B58">
      <w:pPr>
        <w:rPr>
          <w:rFonts w:eastAsia="SimSun"/>
          <w:sz w:val="22"/>
          <w:szCs w:val="22"/>
          <w:lang w:eastAsia="zh-CN"/>
        </w:rPr>
      </w:pPr>
    </w:p>
    <w:p w14:paraId="61F3A99C" w14:textId="522338EE" w:rsidR="004428B3" w:rsidRPr="00C81D88" w:rsidRDefault="004428B3" w:rsidP="00091B58">
      <w:pPr>
        <w:rPr>
          <w:rFonts w:eastAsia="SimSun"/>
          <w:sz w:val="22"/>
          <w:szCs w:val="22"/>
          <w:lang w:eastAsia="zh-CN"/>
        </w:rPr>
      </w:pPr>
      <w:r>
        <w:rPr>
          <w:sz w:val="22"/>
          <w:szCs w:val="22"/>
        </w:rPr>
        <w:t>2024 m. kovo 14 d.</w:t>
      </w:r>
    </w:p>
    <w:p w14:paraId="4052AD08" w14:textId="77777777" w:rsidR="00091B58" w:rsidRPr="00C81D88" w:rsidRDefault="00091B58" w:rsidP="00091B58">
      <w:pPr>
        <w:rPr>
          <w:rFonts w:eastAsia="SimSun"/>
          <w:sz w:val="22"/>
          <w:szCs w:val="22"/>
          <w:lang w:eastAsia="zh-CN"/>
        </w:rPr>
      </w:pPr>
    </w:p>
    <w:p w14:paraId="3EC4D749" w14:textId="77777777" w:rsidR="00091B58" w:rsidRPr="00C81D88" w:rsidRDefault="00091B58" w:rsidP="00091B58">
      <w:pPr>
        <w:rPr>
          <w:snapToGrid w:val="0"/>
          <w:color w:val="0000FF"/>
          <w:sz w:val="22"/>
          <w:szCs w:val="22"/>
          <w:u w:val="single"/>
        </w:rPr>
      </w:pPr>
      <w:r w:rsidRPr="00C81D88">
        <w:rPr>
          <w:rFonts w:eastAsia="SimSun"/>
          <w:sz w:val="22"/>
          <w:szCs w:val="22"/>
          <w:lang w:eastAsia="zh-CN"/>
        </w:rPr>
        <w:t xml:space="preserve">Išsami informacija apie šį vaistinį preparatą pateikiama Valstybinės vaistų kontrolės tarnybos prie Lietuvos Respublikos sveikatos apsaugos ministerijos tinklalapyje </w:t>
      </w:r>
      <w:hyperlink r:id="rId10" w:history="1">
        <w:r w:rsidRPr="00C81D88">
          <w:rPr>
            <w:color w:val="0000FF"/>
            <w:sz w:val="22"/>
            <w:szCs w:val="22"/>
            <w:u w:val="single"/>
          </w:rPr>
          <w:t>http://www.vvkt.lt</w:t>
        </w:r>
      </w:hyperlink>
    </w:p>
    <w:p w14:paraId="2083DB05" w14:textId="77777777" w:rsidR="00091B58" w:rsidRPr="00C81D88" w:rsidRDefault="00091B58" w:rsidP="00091B58">
      <w:pPr>
        <w:rPr>
          <w:rFonts w:eastAsia="Calibri"/>
          <w:sz w:val="22"/>
          <w:szCs w:val="22"/>
        </w:rPr>
      </w:pPr>
    </w:p>
    <w:p w14:paraId="7D761DF0" w14:textId="77777777" w:rsidR="00091B58" w:rsidRPr="00C81D88" w:rsidRDefault="00091B58" w:rsidP="00091B58">
      <w:pPr>
        <w:rPr>
          <w:rFonts w:eastAsia="SimSun"/>
          <w:szCs w:val="22"/>
          <w:lang w:eastAsia="zh-CN"/>
        </w:rPr>
      </w:pPr>
      <w:r w:rsidRPr="00C81D88">
        <w:rPr>
          <w:rFonts w:eastAsia="SimSun"/>
          <w:szCs w:val="22"/>
          <w:lang w:eastAsia="zh-CN"/>
        </w:rPr>
        <w:br w:type="page"/>
      </w:r>
    </w:p>
    <w:p w14:paraId="37677933" w14:textId="77777777" w:rsidR="00091B58" w:rsidRPr="00C81D88" w:rsidRDefault="00091B58" w:rsidP="00091B58">
      <w:pPr>
        <w:snapToGrid w:val="0"/>
        <w:rPr>
          <w:noProof/>
        </w:rPr>
      </w:pPr>
    </w:p>
    <w:p w14:paraId="17A15A7E" w14:textId="77777777" w:rsidR="00091B58" w:rsidRPr="00C81D88" w:rsidRDefault="00091B58" w:rsidP="00091B58">
      <w:pPr>
        <w:snapToGrid w:val="0"/>
        <w:rPr>
          <w:noProof/>
        </w:rPr>
      </w:pPr>
    </w:p>
    <w:p w14:paraId="241959C2" w14:textId="77777777" w:rsidR="00091B58" w:rsidRPr="00C81D88" w:rsidRDefault="00091B58" w:rsidP="00091B58">
      <w:pPr>
        <w:snapToGrid w:val="0"/>
        <w:rPr>
          <w:noProof/>
        </w:rPr>
      </w:pPr>
    </w:p>
    <w:p w14:paraId="7B9533FA" w14:textId="77777777" w:rsidR="00091B58" w:rsidRPr="00C81D88" w:rsidRDefault="00091B58" w:rsidP="00091B58">
      <w:pPr>
        <w:snapToGrid w:val="0"/>
        <w:rPr>
          <w:noProof/>
        </w:rPr>
      </w:pPr>
    </w:p>
    <w:p w14:paraId="25F7E91F" w14:textId="77777777" w:rsidR="00091B58" w:rsidRPr="00C81D88" w:rsidRDefault="00091B58" w:rsidP="00091B58">
      <w:pPr>
        <w:snapToGrid w:val="0"/>
        <w:rPr>
          <w:noProof/>
        </w:rPr>
      </w:pPr>
    </w:p>
    <w:p w14:paraId="32B701EF" w14:textId="77777777" w:rsidR="00091B58" w:rsidRPr="00C81D88" w:rsidRDefault="00091B58" w:rsidP="00091B58">
      <w:pPr>
        <w:snapToGrid w:val="0"/>
        <w:rPr>
          <w:noProof/>
        </w:rPr>
      </w:pPr>
    </w:p>
    <w:p w14:paraId="31D20617" w14:textId="77777777" w:rsidR="00091B58" w:rsidRPr="00C81D88" w:rsidRDefault="00091B58" w:rsidP="00091B58">
      <w:pPr>
        <w:snapToGrid w:val="0"/>
        <w:rPr>
          <w:noProof/>
        </w:rPr>
      </w:pPr>
    </w:p>
    <w:p w14:paraId="61407925" w14:textId="77777777" w:rsidR="00091B58" w:rsidRPr="00C81D88" w:rsidRDefault="00091B58" w:rsidP="00091B58">
      <w:pPr>
        <w:snapToGrid w:val="0"/>
        <w:rPr>
          <w:noProof/>
        </w:rPr>
      </w:pPr>
    </w:p>
    <w:p w14:paraId="017463A7" w14:textId="77777777" w:rsidR="00091B58" w:rsidRPr="00C81D88" w:rsidRDefault="00091B58" w:rsidP="00091B58">
      <w:pPr>
        <w:snapToGrid w:val="0"/>
        <w:rPr>
          <w:noProof/>
        </w:rPr>
      </w:pPr>
    </w:p>
    <w:p w14:paraId="691F9DA9" w14:textId="77777777" w:rsidR="00091B58" w:rsidRPr="00C81D88" w:rsidRDefault="00091B58" w:rsidP="00091B58">
      <w:pPr>
        <w:snapToGrid w:val="0"/>
        <w:rPr>
          <w:noProof/>
        </w:rPr>
      </w:pPr>
    </w:p>
    <w:p w14:paraId="7CF04BBC" w14:textId="77777777" w:rsidR="00091B58" w:rsidRPr="00C81D88" w:rsidRDefault="00091B58" w:rsidP="00091B58">
      <w:pPr>
        <w:snapToGrid w:val="0"/>
        <w:rPr>
          <w:noProof/>
        </w:rPr>
      </w:pPr>
    </w:p>
    <w:p w14:paraId="299673D1" w14:textId="77777777" w:rsidR="00091B58" w:rsidRPr="00C81D88" w:rsidRDefault="00091B58" w:rsidP="00091B58">
      <w:pPr>
        <w:snapToGrid w:val="0"/>
        <w:rPr>
          <w:noProof/>
        </w:rPr>
      </w:pPr>
    </w:p>
    <w:p w14:paraId="0BE5F0F8" w14:textId="77777777" w:rsidR="00091B58" w:rsidRPr="00C81D88" w:rsidRDefault="00091B58" w:rsidP="00091B58">
      <w:pPr>
        <w:snapToGrid w:val="0"/>
        <w:rPr>
          <w:noProof/>
        </w:rPr>
      </w:pPr>
    </w:p>
    <w:p w14:paraId="0F5A1DFB" w14:textId="77777777" w:rsidR="00091B58" w:rsidRPr="00C81D88" w:rsidRDefault="00091B58" w:rsidP="00091B58">
      <w:pPr>
        <w:snapToGrid w:val="0"/>
        <w:rPr>
          <w:noProof/>
        </w:rPr>
      </w:pPr>
    </w:p>
    <w:p w14:paraId="0F3CEF64" w14:textId="77777777" w:rsidR="00091B58" w:rsidRPr="00C81D88" w:rsidRDefault="00091B58" w:rsidP="00091B58">
      <w:pPr>
        <w:snapToGrid w:val="0"/>
        <w:rPr>
          <w:noProof/>
        </w:rPr>
      </w:pPr>
    </w:p>
    <w:p w14:paraId="2FB89490" w14:textId="77777777" w:rsidR="00091B58" w:rsidRPr="00C81D88" w:rsidRDefault="00091B58" w:rsidP="00091B58">
      <w:pPr>
        <w:snapToGrid w:val="0"/>
        <w:rPr>
          <w:noProof/>
        </w:rPr>
      </w:pPr>
    </w:p>
    <w:p w14:paraId="57282BDB" w14:textId="77777777" w:rsidR="00091B58" w:rsidRPr="00C81D88" w:rsidRDefault="00091B58" w:rsidP="00091B58">
      <w:pPr>
        <w:snapToGrid w:val="0"/>
        <w:rPr>
          <w:noProof/>
        </w:rPr>
      </w:pPr>
    </w:p>
    <w:p w14:paraId="3B275EB4" w14:textId="77777777" w:rsidR="00091B58" w:rsidRPr="00C81D88" w:rsidRDefault="00091B58" w:rsidP="00091B58">
      <w:pPr>
        <w:snapToGrid w:val="0"/>
        <w:rPr>
          <w:noProof/>
        </w:rPr>
      </w:pPr>
    </w:p>
    <w:p w14:paraId="7068F9AD" w14:textId="77777777" w:rsidR="00091B58" w:rsidRPr="00C81D88" w:rsidRDefault="00091B58" w:rsidP="00091B58">
      <w:pPr>
        <w:snapToGrid w:val="0"/>
        <w:rPr>
          <w:noProof/>
        </w:rPr>
      </w:pPr>
    </w:p>
    <w:p w14:paraId="063F5D55" w14:textId="77777777" w:rsidR="00091B58" w:rsidRPr="00C81D88" w:rsidRDefault="00091B58" w:rsidP="00091B58">
      <w:pPr>
        <w:snapToGrid w:val="0"/>
        <w:rPr>
          <w:noProof/>
        </w:rPr>
      </w:pPr>
    </w:p>
    <w:p w14:paraId="47EC468B" w14:textId="77777777" w:rsidR="00091B58" w:rsidRPr="00C81D88" w:rsidRDefault="00091B58" w:rsidP="00091B58">
      <w:pPr>
        <w:snapToGrid w:val="0"/>
        <w:rPr>
          <w:noProof/>
        </w:rPr>
      </w:pPr>
    </w:p>
    <w:p w14:paraId="4E5B12F8" w14:textId="77777777" w:rsidR="00091B58" w:rsidRPr="00C81D88" w:rsidRDefault="00091B58" w:rsidP="00091B58">
      <w:pPr>
        <w:snapToGrid w:val="0"/>
        <w:rPr>
          <w:noProof/>
        </w:rPr>
      </w:pPr>
    </w:p>
    <w:p w14:paraId="16F39115" w14:textId="77777777" w:rsidR="00091B58" w:rsidRPr="00C81D88" w:rsidRDefault="00091B58" w:rsidP="00091B58">
      <w:pPr>
        <w:snapToGrid w:val="0"/>
        <w:rPr>
          <w:noProof/>
        </w:rPr>
      </w:pPr>
    </w:p>
    <w:p w14:paraId="19119611" w14:textId="77777777" w:rsidR="00091B58" w:rsidRPr="00C81D88" w:rsidRDefault="00091B58" w:rsidP="00091B58">
      <w:pPr>
        <w:snapToGrid w:val="0"/>
        <w:jc w:val="center"/>
        <w:rPr>
          <w:b/>
          <w:sz w:val="22"/>
          <w:szCs w:val="22"/>
        </w:rPr>
      </w:pPr>
      <w:r w:rsidRPr="00C81D88">
        <w:rPr>
          <w:b/>
          <w:sz w:val="22"/>
          <w:szCs w:val="22"/>
        </w:rPr>
        <w:t>II PRIEDAS</w:t>
      </w:r>
    </w:p>
    <w:p w14:paraId="52B6CFEF" w14:textId="77777777" w:rsidR="00091B58" w:rsidRPr="00C81D88" w:rsidRDefault="00091B58" w:rsidP="00091B58">
      <w:pPr>
        <w:snapToGrid w:val="0"/>
        <w:ind w:left="1701" w:right="1416" w:hanging="567"/>
        <w:rPr>
          <w:sz w:val="22"/>
          <w:szCs w:val="22"/>
        </w:rPr>
      </w:pPr>
    </w:p>
    <w:p w14:paraId="4A53E1C9" w14:textId="77777777" w:rsidR="00091B58" w:rsidRPr="00C81D88" w:rsidRDefault="00091B58" w:rsidP="00091B58">
      <w:pPr>
        <w:snapToGrid w:val="0"/>
        <w:jc w:val="center"/>
        <w:rPr>
          <w:i/>
          <w:sz w:val="22"/>
          <w:szCs w:val="22"/>
        </w:rPr>
      </w:pPr>
      <w:r w:rsidRPr="00C81D88">
        <w:rPr>
          <w:b/>
          <w:sz w:val="22"/>
          <w:szCs w:val="22"/>
        </w:rPr>
        <w:t>REGISTRACIJOS SĄLYGOS</w:t>
      </w:r>
    </w:p>
    <w:p w14:paraId="0F09AD52" w14:textId="77777777" w:rsidR="00091B58" w:rsidRPr="00C81D88" w:rsidRDefault="00091B58" w:rsidP="00091B58">
      <w:pPr>
        <w:snapToGrid w:val="0"/>
        <w:rPr>
          <w:sz w:val="22"/>
          <w:szCs w:val="22"/>
        </w:rPr>
      </w:pPr>
    </w:p>
    <w:p w14:paraId="014AD957" w14:textId="77777777" w:rsidR="00091B58" w:rsidRPr="00C81D88" w:rsidRDefault="00091B58" w:rsidP="00091B58">
      <w:pPr>
        <w:tabs>
          <w:tab w:val="left" w:pos="1701"/>
        </w:tabs>
        <w:snapToGrid w:val="0"/>
        <w:ind w:left="1701" w:right="567" w:hanging="567"/>
        <w:rPr>
          <w:b/>
          <w:noProof/>
          <w:sz w:val="22"/>
          <w:szCs w:val="22"/>
        </w:rPr>
      </w:pPr>
      <w:r w:rsidRPr="00C81D88">
        <w:rPr>
          <w:b/>
          <w:noProof/>
          <w:sz w:val="22"/>
          <w:szCs w:val="22"/>
        </w:rPr>
        <w:t>A.</w:t>
      </w:r>
      <w:r w:rsidRPr="00C81D88">
        <w:rPr>
          <w:b/>
          <w:noProof/>
          <w:sz w:val="22"/>
          <w:szCs w:val="22"/>
        </w:rPr>
        <w:tab/>
        <w:t>GAMINTOJAS (-AI), ATSAKINGAS (-I) UŽ SERIJŲ IŠLEIDIMĄ</w:t>
      </w:r>
    </w:p>
    <w:p w14:paraId="2F809B13" w14:textId="77777777" w:rsidR="00091B58" w:rsidRPr="00C81D88" w:rsidRDefault="00091B58" w:rsidP="00091B58">
      <w:pPr>
        <w:tabs>
          <w:tab w:val="left" w:pos="1701"/>
        </w:tabs>
        <w:snapToGrid w:val="0"/>
        <w:ind w:left="567" w:right="567" w:hanging="567"/>
        <w:rPr>
          <w:noProof/>
          <w:sz w:val="22"/>
          <w:szCs w:val="22"/>
        </w:rPr>
      </w:pPr>
    </w:p>
    <w:p w14:paraId="73C9F1C8" w14:textId="77777777" w:rsidR="00091B58" w:rsidRPr="00C81D88" w:rsidRDefault="00091B58" w:rsidP="00091B58">
      <w:pPr>
        <w:tabs>
          <w:tab w:val="left" w:pos="1701"/>
        </w:tabs>
        <w:snapToGrid w:val="0"/>
        <w:ind w:left="1701" w:right="567" w:hanging="567"/>
        <w:rPr>
          <w:b/>
          <w:sz w:val="22"/>
          <w:szCs w:val="22"/>
        </w:rPr>
      </w:pPr>
      <w:r w:rsidRPr="00C81D88">
        <w:rPr>
          <w:b/>
          <w:sz w:val="22"/>
          <w:szCs w:val="22"/>
        </w:rPr>
        <w:t>B.</w:t>
      </w:r>
      <w:r w:rsidRPr="00C81D88">
        <w:rPr>
          <w:b/>
          <w:sz w:val="22"/>
          <w:szCs w:val="22"/>
        </w:rPr>
        <w:tab/>
        <w:t>TIEKIMO IR VARTOJIMO SĄLYGOS AR APRIBOJIMAI</w:t>
      </w:r>
    </w:p>
    <w:p w14:paraId="254D6EBF" w14:textId="77777777" w:rsidR="00091B58" w:rsidRPr="00C81D88" w:rsidRDefault="00091B58" w:rsidP="00091B58">
      <w:pPr>
        <w:snapToGrid w:val="0"/>
        <w:ind w:left="567" w:hanging="567"/>
        <w:rPr>
          <w:b/>
          <w:sz w:val="22"/>
          <w:szCs w:val="22"/>
        </w:rPr>
      </w:pPr>
      <w:r w:rsidRPr="00C81D88">
        <w:rPr>
          <w:snapToGrid w:val="0"/>
        </w:rPr>
        <w:br w:type="page"/>
      </w:r>
      <w:r w:rsidRPr="00C81D88">
        <w:rPr>
          <w:b/>
          <w:sz w:val="22"/>
          <w:szCs w:val="22"/>
        </w:rPr>
        <w:lastRenderedPageBreak/>
        <w:t>A.</w:t>
      </w:r>
      <w:r w:rsidRPr="00C81D88">
        <w:rPr>
          <w:b/>
          <w:sz w:val="22"/>
          <w:szCs w:val="22"/>
        </w:rPr>
        <w:tab/>
        <w:t>GAMINTOJAS (-AI), ATSAKINGAS (-I) UŽ SERIJŲ IŠLEIDIMĄ</w:t>
      </w:r>
    </w:p>
    <w:p w14:paraId="269E529B" w14:textId="77777777" w:rsidR="00091B58" w:rsidRPr="00C81D88" w:rsidRDefault="00091B58" w:rsidP="00091B58">
      <w:pPr>
        <w:snapToGrid w:val="0"/>
        <w:rPr>
          <w:sz w:val="22"/>
          <w:szCs w:val="22"/>
        </w:rPr>
      </w:pPr>
    </w:p>
    <w:p w14:paraId="22D3C726" w14:textId="77777777" w:rsidR="00091B58" w:rsidRPr="00C81D88" w:rsidRDefault="00091B58" w:rsidP="00091B58">
      <w:pPr>
        <w:snapToGrid w:val="0"/>
        <w:jc w:val="both"/>
        <w:rPr>
          <w:sz w:val="22"/>
          <w:szCs w:val="22"/>
        </w:rPr>
      </w:pPr>
      <w:r w:rsidRPr="00C81D88">
        <w:rPr>
          <w:noProof/>
          <w:sz w:val="22"/>
          <w:szCs w:val="22"/>
          <w:u w:val="single"/>
        </w:rPr>
        <w:t>Gamintojo (-ų), atsakingo (-ų) už serijų išleidimą, pavadinimas (-ai) ir adresas (-ai)</w:t>
      </w:r>
    </w:p>
    <w:p w14:paraId="318BB12E" w14:textId="77777777" w:rsidR="00091B58" w:rsidRPr="00C81D88" w:rsidRDefault="00091B58" w:rsidP="00091B58">
      <w:pPr>
        <w:snapToGrid w:val="0"/>
        <w:rPr>
          <w:sz w:val="22"/>
          <w:szCs w:val="22"/>
        </w:rPr>
      </w:pPr>
    </w:p>
    <w:p w14:paraId="57190A46" w14:textId="77777777" w:rsidR="00091B58" w:rsidRPr="00053893" w:rsidRDefault="00091B58" w:rsidP="00091B58">
      <w:pPr>
        <w:rPr>
          <w:sz w:val="22"/>
        </w:rPr>
      </w:pPr>
      <w:r w:rsidRPr="00053893">
        <w:rPr>
          <w:sz w:val="22"/>
        </w:rPr>
        <w:t>Synthon Hispania, S.L.</w:t>
      </w:r>
    </w:p>
    <w:p w14:paraId="76AC1417" w14:textId="77777777" w:rsidR="00091B58" w:rsidRPr="00053893" w:rsidRDefault="00091B58" w:rsidP="00091B58">
      <w:pPr>
        <w:rPr>
          <w:sz w:val="22"/>
        </w:rPr>
      </w:pPr>
      <w:r w:rsidRPr="00053893">
        <w:rPr>
          <w:sz w:val="22"/>
        </w:rPr>
        <w:t>c/ Castelló, 1</w:t>
      </w:r>
    </w:p>
    <w:p w14:paraId="428BAF71" w14:textId="77777777" w:rsidR="00091B58" w:rsidRPr="00053893" w:rsidRDefault="00091B58" w:rsidP="00091B58">
      <w:pPr>
        <w:rPr>
          <w:sz w:val="22"/>
        </w:rPr>
      </w:pPr>
      <w:r w:rsidRPr="00053893">
        <w:rPr>
          <w:sz w:val="22"/>
        </w:rPr>
        <w:t>08830 Sant Boi de Llobregat</w:t>
      </w:r>
    </w:p>
    <w:p w14:paraId="03D649E9" w14:textId="77777777" w:rsidR="00091B58" w:rsidRPr="00053893" w:rsidRDefault="00091B58" w:rsidP="00091B58">
      <w:pPr>
        <w:rPr>
          <w:sz w:val="22"/>
        </w:rPr>
      </w:pPr>
      <w:r w:rsidRPr="00053893">
        <w:rPr>
          <w:sz w:val="22"/>
        </w:rPr>
        <w:t>Barcelona</w:t>
      </w:r>
    </w:p>
    <w:p w14:paraId="4EDE2A8A" w14:textId="77777777" w:rsidR="00091B58" w:rsidRPr="00053893" w:rsidRDefault="00091B58" w:rsidP="00091B58">
      <w:pPr>
        <w:rPr>
          <w:sz w:val="22"/>
        </w:rPr>
      </w:pPr>
      <w:r w:rsidRPr="00053893">
        <w:rPr>
          <w:sz w:val="22"/>
        </w:rPr>
        <w:t>Ispanija</w:t>
      </w:r>
    </w:p>
    <w:p w14:paraId="3C12C122" w14:textId="77777777" w:rsidR="00091B58" w:rsidRPr="00053893" w:rsidRDefault="00091B58" w:rsidP="00091B58">
      <w:pPr>
        <w:rPr>
          <w:sz w:val="22"/>
        </w:rPr>
      </w:pPr>
    </w:p>
    <w:p w14:paraId="3687F664" w14:textId="77777777" w:rsidR="00091B58" w:rsidRPr="00053893" w:rsidRDefault="00091B58" w:rsidP="00091B58">
      <w:pPr>
        <w:rPr>
          <w:sz w:val="22"/>
        </w:rPr>
      </w:pPr>
      <w:r w:rsidRPr="00053893">
        <w:rPr>
          <w:sz w:val="22"/>
        </w:rPr>
        <w:t xml:space="preserve">arba </w:t>
      </w:r>
    </w:p>
    <w:p w14:paraId="19042748" w14:textId="77777777" w:rsidR="00091B58" w:rsidRPr="00053893" w:rsidRDefault="00091B58" w:rsidP="00091B58">
      <w:pPr>
        <w:rPr>
          <w:sz w:val="22"/>
        </w:rPr>
      </w:pPr>
    </w:p>
    <w:p w14:paraId="4F63BD89" w14:textId="77777777" w:rsidR="00091B58" w:rsidRPr="00053893" w:rsidRDefault="00091B58" w:rsidP="00091B58">
      <w:pPr>
        <w:rPr>
          <w:sz w:val="22"/>
        </w:rPr>
      </w:pPr>
      <w:r w:rsidRPr="00053893">
        <w:rPr>
          <w:sz w:val="22"/>
        </w:rPr>
        <w:t>Synthon B.V.</w:t>
      </w:r>
    </w:p>
    <w:p w14:paraId="406B1C71" w14:textId="77777777" w:rsidR="00091B58" w:rsidRPr="00053893" w:rsidRDefault="00091B58" w:rsidP="00091B58">
      <w:pPr>
        <w:rPr>
          <w:sz w:val="22"/>
        </w:rPr>
      </w:pPr>
      <w:r w:rsidRPr="00053893">
        <w:rPr>
          <w:sz w:val="22"/>
        </w:rPr>
        <w:t xml:space="preserve">Microweg 22 </w:t>
      </w:r>
    </w:p>
    <w:p w14:paraId="682EF590" w14:textId="77777777" w:rsidR="00091B58" w:rsidRPr="00053893" w:rsidRDefault="00091B58" w:rsidP="00091B58">
      <w:pPr>
        <w:rPr>
          <w:sz w:val="22"/>
        </w:rPr>
      </w:pPr>
      <w:r w:rsidRPr="00053893">
        <w:rPr>
          <w:sz w:val="22"/>
        </w:rPr>
        <w:t>6545 CM Nijmegen</w:t>
      </w:r>
    </w:p>
    <w:p w14:paraId="6C8F7F55" w14:textId="77777777" w:rsidR="00091B58" w:rsidRPr="00053893" w:rsidRDefault="00091B58" w:rsidP="00091B58">
      <w:pPr>
        <w:rPr>
          <w:sz w:val="22"/>
        </w:rPr>
      </w:pPr>
      <w:r w:rsidRPr="00053893">
        <w:rPr>
          <w:sz w:val="22"/>
        </w:rPr>
        <w:t>Nyderlandai</w:t>
      </w:r>
    </w:p>
    <w:p w14:paraId="5814E0E7" w14:textId="77777777" w:rsidR="00091B58" w:rsidRPr="00C81D88" w:rsidRDefault="00091B58" w:rsidP="00091B58">
      <w:pPr>
        <w:snapToGrid w:val="0"/>
        <w:rPr>
          <w:sz w:val="22"/>
          <w:szCs w:val="22"/>
        </w:rPr>
      </w:pPr>
    </w:p>
    <w:p w14:paraId="3404F607" w14:textId="77777777" w:rsidR="00091B58" w:rsidRPr="00C81D88" w:rsidRDefault="00091B58" w:rsidP="00091B58">
      <w:pPr>
        <w:snapToGrid w:val="0"/>
        <w:jc w:val="both"/>
        <w:rPr>
          <w:sz w:val="22"/>
          <w:szCs w:val="22"/>
        </w:rPr>
      </w:pPr>
      <w:r w:rsidRPr="00C81D88">
        <w:rPr>
          <w:noProof/>
          <w:sz w:val="22"/>
          <w:szCs w:val="22"/>
        </w:rPr>
        <w:t>Su pakuote pateikiamame lapelyje nurodomas gamintojo, atsakingo už konkrečios serijos išleidimą, pavadinimas ir adresas.</w:t>
      </w:r>
    </w:p>
    <w:p w14:paraId="3D5F4AE7" w14:textId="77777777" w:rsidR="00091B58" w:rsidRPr="00C81D88" w:rsidRDefault="00091B58" w:rsidP="00091B58">
      <w:pPr>
        <w:snapToGrid w:val="0"/>
        <w:rPr>
          <w:sz w:val="22"/>
          <w:szCs w:val="22"/>
        </w:rPr>
      </w:pPr>
    </w:p>
    <w:p w14:paraId="0BC94A07" w14:textId="77777777" w:rsidR="00091B58" w:rsidRPr="00C81D88" w:rsidRDefault="00091B58" w:rsidP="00091B58">
      <w:pPr>
        <w:snapToGrid w:val="0"/>
        <w:rPr>
          <w:sz w:val="22"/>
          <w:szCs w:val="22"/>
        </w:rPr>
      </w:pPr>
    </w:p>
    <w:p w14:paraId="4429944F" w14:textId="77777777" w:rsidR="00091B58" w:rsidRPr="00C81D88" w:rsidRDefault="00091B58" w:rsidP="00091B58">
      <w:pPr>
        <w:snapToGrid w:val="0"/>
        <w:ind w:left="567" w:hanging="567"/>
        <w:rPr>
          <w:sz w:val="22"/>
          <w:szCs w:val="22"/>
        </w:rPr>
      </w:pPr>
      <w:r w:rsidRPr="00C81D88">
        <w:rPr>
          <w:b/>
          <w:noProof/>
          <w:sz w:val="22"/>
          <w:szCs w:val="22"/>
        </w:rPr>
        <w:t>B.</w:t>
      </w:r>
      <w:r w:rsidRPr="00C81D88">
        <w:rPr>
          <w:b/>
          <w:sz w:val="22"/>
          <w:szCs w:val="22"/>
        </w:rPr>
        <w:tab/>
      </w:r>
      <w:r w:rsidRPr="00C81D88">
        <w:rPr>
          <w:b/>
          <w:noProof/>
          <w:sz w:val="22"/>
          <w:szCs w:val="22"/>
        </w:rPr>
        <w:t>TIEKIMO IR VARTOJIMO SĄLYGOS AR APRIBOJIMAI</w:t>
      </w:r>
    </w:p>
    <w:p w14:paraId="0A2B6329" w14:textId="77777777" w:rsidR="00091B58" w:rsidRPr="00C81D88" w:rsidRDefault="00091B58" w:rsidP="00091B58">
      <w:pPr>
        <w:snapToGrid w:val="0"/>
        <w:rPr>
          <w:sz w:val="22"/>
          <w:szCs w:val="22"/>
        </w:rPr>
      </w:pPr>
    </w:p>
    <w:p w14:paraId="3D87C1CF" w14:textId="77777777" w:rsidR="00091B58" w:rsidRPr="00C81D88" w:rsidRDefault="00091B58" w:rsidP="00091B58">
      <w:pPr>
        <w:snapToGrid w:val="0"/>
        <w:rPr>
          <w:sz w:val="22"/>
          <w:szCs w:val="22"/>
        </w:rPr>
      </w:pPr>
      <w:r w:rsidRPr="00C81D88">
        <w:rPr>
          <w:noProof/>
          <w:sz w:val="22"/>
          <w:szCs w:val="22"/>
        </w:rPr>
        <w:t>Receptinis vaistinis preparatas.</w:t>
      </w:r>
    </w:p>
    <w:p w14:paraId="1C22F898" w14:textId="77777777" w:rsidR="00091B58" w:rsidRPr="00C81D88" w:rsidRDefault="00091B58" w:rsidP="00091B58">
      <w:pPr>
        <w:tabs>
          <w:tab w:val="left" w:pos="4962"/>
        </w:tabs>
        <w:rPr>
          <w:rFonts w:eastAsia="SimSun"/>
          <w:color w:val="000000"/>
          <w:sz w:val="22"/>
          <w:szCs w:val="22"/>
        </w:rPr>
      </w:pPr>
      <w:r w:rsidRPr="00C81D88">
        <w:rPr>
          <w:rFonts w:ascii="Courier New" w:eastAsia="SimSun" w:hAnsi="Courier New"/>
          <w:b/>
          <w:noProof/>
          <w:sz w:val="22"/>
          <w:szCs w:val="22"/>
        </w:rPr>
        <w:br w:type="page"/>
      </w:r>
    </w:p>
    <w:p w14:paraId="04A7A342" w14:textId="77777777" w:rsidR="00091B58" w:rsidRPr="00C81D88" w:rsidRDefault="00091B58" w:rsidP="00091B58">
      <w:pPr>
        <w:tabs>
          <w:tab w:val="left" w:pos="4962"/>
        </w:tabs>
        <w:rPr>
          <w:rFonts w:ascii="Courier New" w:eastAsia="SimSun" w:hAnsi="Courier New"/>
          <w:noProof/>
          <w:sz w:val="22"/>
          <w:szCs w:val="22"/>
        </w:rPr>
      </w:pPr>
    </w:p>
    <w:p w14:paraId="2E2ECBC2" w14:textId="77777777" w:rsidR="00091B58" w:rsidRPr="00C81D88" w:rsidRDefault="00091B58" w:rsidP="00091B58">
      <w:pPr>
        <w:snapToGrid w:val="0"/>
        <w:rPr>
          <w:sz w:val="22"/>
          <w:szCs w:val="22"/>
        </w:rPr>
      </w:pPr>
    </w:p>
    <w:p w14:paraId="544B8E78" w14:textId="77777777" w:rsidR="00091B58" w:rsidRPr="00C81D88" w:rsidRDefault="00091B58" w:rsidP="00091B58">
      <w:pPr>
        <w:snapToGrid w:val="0"/>
        <w:rPr>
          <w:sz w:val="22"/>
          <w:szCs w:val="22"/>
        </w:rPr>
      </w:pPr>
    </w:p>
    <w:p w14:paraId="71A565E3" w14:textId="77777777" w:rsidR="00091B58" w:rsidRPr="00C81D88" w:rsidRDefault="00091B58" w:rsidP="00091B58">
      <w:pPr>
        <w:snapToGrid w:val="0"/>
        <w:rPr>
          <w:sz w:val="22"/>
          <w:szCs w:val="22"/>
        </w:rPr>
      </w:pPr>
    </w:p>
    <w:p w14:paraId="71429C90" w14:textId="77777777" w:rsidR="00091B58" w:rsidRPr="00C81D88" w:rsidRDefault="00091B58" w:rsidP="00091B58">
      <w:pPr>
        <w:snapToGrid w:val="0"/>
        <w:rPr>
          <w:sz w:val="22"/>
          <w:szCs w:val="22"/>
        </w:rPr>
      </w:pPr>
    </w:p>
    <w:p w14:paraId="237D3E1F" w14:textId="77777777" w:rsidR="00091B58" w:rsidRPr="00C81D88" w:rsidRDefault="00091B58" w:rsidP="00091B58">
      <w:pPr>
        <w:snapToGrid w:val="0"/>
        <w:rPr>
          <w:sz w:val="22"/>
          <w:szCs w:val="22"/>
        </w:rPr>
      </w:pPr>
    </w:p>
    <w:p w14:paraId="16C4DDD7" w14:textId="77777777" w:rsidR="00091B58" w:rsidRPr="00C81D88" w:rsidRDefault="00091B58" w:rsidP="00091B58">
      <w:pPr>
        <w:snapToGrid w:val="0"/>
        <w:rPr>
          <w:sz w:val="22"/>
          <w:szCs w:val="22"/>
        </w:rPr>
      </w:pPr>
    </w:p>
    <w:p w14:paraId="197F4BE3" w14:textId="77777777" w:rsidR="00091B58" w:rsidRPr="00C81D88" w:rsidRDefault="00091B58" w:rsidP="00091B58">
      <w:pPr>
        <w:snapToGrid w:val="0"/>
        <w:rPr>
          <w:sz w:val="22"/>
          <w:szCs w:val="22"/>
        </w:rPr>
      </w:pPr>
    </w:p>
    <w:p w14:paraId="438F0195" w14:textId="77777777" w:rsidR="00091B58" w:rsidRPr="00C81D88" w:rsidRDefault="00091B58" w:rsidP="00091B58">
      <w:pPr>
        <w:snapToGrid w:val="0"/>
        <w:rPr>
          <w:sz w:val="22"/>
          <w:szCs w:val="22"/>
        </w:rPr>
      </w:pPr>
    </w:p>
    <w:p w14:paraId="603C7ADB" w14:textId="77777777" w:rsidR="00091B58" w:rsidRPr="00C81D88" w:rsidRDefault="00091B58" w:rsidP="00091B58">
      <w:pPr>
        <w:snapToGrid w:val="0"/>
        <w:rPr>
          <w:sz w:val="22"/>
          <w:szCs w:val="22"/>
        </w:rPr>
      </w:pPr>
    </w:p>
    <w:p w14:paraId="0B421993" w14:textId="77777777" w:rsidR="00091B58" w:rsidRPr="00C81D88" w:rsidRDefault="00091B58" w:rsidP="00091B58">
      <w:pPr>
        <w:snapToGrid w:val="0"/>
        <w:rPr>
          <w:sz w:val="22"/>
          <w:szCs w:val="22"/>
        </w:rPr>
      </w:pPr>
    </w:p>
    <w:p w14:paraId="01DBD31B" w14:textId="77777777" w:rsidR="00091B58" w:rsidRPr="00C81D88" w:rsidRDefault="00091B58" w:rsidP="00091B58">
      <w:pPr>
        <w:snapToGrid w:val="0"/>
        <w:rPr>
          <w:sz w:val="22"/>
          <w:szCs w:val="22"/>
        </w:rPr>
      </w:pPr>
    </w:p>
    <w:p w14:paraId="693E56D9" w14:textId="77777777" w:rsidR="00091B58" w:rsidRPr="00C81D88" w:rsidRDefault="00091B58" w:rsidP="00091B58">
      <w:pPr>
        <w:snapToGrid w:val="0"/>
        <w:rPr>
          <w:sz w:val="22"/>
          <w:szCs w:val="22"/>
        </w:rPr>
      </w:pPr>
    </w:p>
    <w:p w14:paraId="1796AAD6" w14:textId="77777777" w:rsidR="00091B58" w:rsidRPr="00C81D88" w:rsidRDefault="00091B58" w:rsidP="00091B58">
      <w:pPr>
        <w:snapToGrid w:val="0"/>
        <w:rPr>
          <w:sz w:val="22"/>
          <w:szCs w:val="22"/>
        </w:rPr>
      </w:pPr>
    </w:p>
    <w:p w14:paraId="0A24A2B8" w14:textId="77777777" w:rsidR="00091B58" w:rsidRPr="00C81D88" w:rsidRDefault="00091B58" w:rsidP="00091B58">
      <w:pPr>
        <w:snapToGrid w:val="0"/>
        <w:rPr>
          <w:sz w:val="22"/>
          <w:szCs w:val="22"/>
        </w:rPr>
      </w:pPr>
    </w:p>
    <w:p w14:paraId="3A83318E" w14:textId="77777777" w:rsidR="00091B58" w:rsidRPr="00C81D88" w:rsidRDefault="00091B58" w:rsidP="00091B58">
      <w:pPr>
        <w:snapToGrid w:val="0"/>
        <w:rPr>
          <w:sz w:val="22"/>
          <w:szCs w:val="22"/>
        </w:rPr>
      </w:pPr>
    </w:p>
    <w:p w14:paraId="5610DDB7" w14:textId="77777777" w:rsidR="00091B58" w:rsidRPr="00C81D88" w:rsidRDefault="00091B58" w:rsidP="00091B58">
      <w:pPr>
        <w:snapToGrid w:val="0"/>
        <w:rPr>
          <w:sz w:val="22"/>
          <w:szCs w:val="22"/>
        </w:rPr>
      </w:pPr>
    </w:p>
    <w:p w14:paraId="60169A1C" w14:textId="77777777" w:rsidR="00091B58" w:rsidRPr="00C81D88" w:rsidRDefault="00091B58" w:rsidP="00091B58">
      <w:pPr>
        <w:snapToGrid w:val="0"/>
        <w:outlineLvl w:val="0"/>
        <w:rPr>
          <w:b/>
          <w:sz w:val="22"/>
          <w:szCs w:val="22"/>
        </w:rPr>
      </w:pPr>
    </w:p>
    <w:p w14:paraId="5E22FBD6" w14:textId="77777777" w:rsidR="00091B58" w:rsidRPr="00C81D88" w:rsidRDefault="00091B58" w:rsidP="00091B58">
      <w:pPr>
        <w:snapToGrid w:val="0"/>
        <w:outlineLvl w:val="0"/>
        <w:rPr>
          <w:b/>
          <w:sz w:val="22"/>
          <w:szCs w:val="22"/>
        </w:rPr>
      </w:pPr>
    </w:p>
    <w:p w14:paraId="7F242E82" w14:textId="77777777" w:rsidR="00091B58" w:rsidRPr="00C81D88" w:rsidRDefault="00091B58" w:rsidP="00091B58">
      <w:pPr>
        <w:snapToGrid w:val="0"/>
        <w:outlineLvl w:val="0"/>
        <w:rPr>
          <w:b/>
          <w:sz w:val="22"/>
          <w:szCs w:val="22"/>
        </w:rPr>
      </w:pPr>
    </w:p>
    <w:p w14:paraId="2A193567" w14:textId="77777777" w:rsidR="00091B58" w:rsidRPr="00C81D88" w:rsidRDefault="00091B58" w:rsidP="00091B58">
      <w:pPr>
        <w:snapToGrid w:val="0"/>
        <w:outlineLvl w:val="0"/>
        <w:rPr>
          <w:b/>
          <w:sz w:val="22"/>
          <w:szCs w:val="22"/>
        </w:rPr>
      </w:pPr>
    </w:p>
    <w:p w14:paraId="242273C8" w14:textId="77777777" w:rsidR="00091B58" w:rsidRPr="00C81D88" w:rsidRDefault="00091B58" w:rsidP="00091B58">
      <w:pPr>
        <w:snapToGrid w:val="0"/>
        <w:outlineLvl w:val="0"/>
        <w:rPr>
          <w:b/>
          <w:sz w:val="22"/>
          <w:szCs w:val="22"/>
        </w:rPr>
      </w:pPr>
    </w:p>
    <w:p w14:paraId="58C07E72" w14:textId="77777777" w:rsidR="00091B58" w:rsidRPr="00C81D88" w:rsidRDefault="00091B58" w:rsidP="00091B58">
      <w:pPr>
        <w:snapToGrid w:val="0"/>
        <w:outlineLvl w:val="0"/>
        <w:rPr>
          <w:b/>
          <w:sz w:val="22"/>
          <w:szCs w:val="22"/>
        </w:rPr>
      </w:pPr>
    </w:p>
    <w:p w14:paraId="6BBFBD7E" w14:textId="77777777" w:rsidR="00091B58" w:rsidRPr="00C81D88" w:rsidRDefault="00091B58" w:rsidP="00091B58">
      <w:pPr>
        <w:keepNext/>
        <w:snapToGrid w:val="0"/>
        <w:jc w:val="center"/>
        <w:outlineLvl w:val="1"/>
        <w:rPr>
          <w:b/>
          <w:sz w:val="22"/>
          <w:szCs w:val="22"/>
          <w:lang w:eastAsia="x-none"/>
        </w:rPr>
      </w:pPr>
      <w:r w:rsidRPr="00C81D88">
        <w:rPr>
          <w:b/>
          <w:bCs/>
          <w:iCs/>
          <w:sz w:val="22"/>
          <w:szCs w:val="22"/>
          <w:lang w:eastAsia="x-none"/>
        </w:rPr>
        <w:t>III PRIEDAS</w:t>
      </w:r>
    </w:p>
    <w:p w14:paraId="35D5820F" w14:textId="77777777" w:rsidR="00091B58" w:rsidRPr="00C81D88" w:rsidRDefault="00091B58" w:rsidP="00091B58">
      <w:pPr>
        <w:snapToGrid w:val="0"/>
        <w:rPr>
          <w:sz w:val="22"/>
          <w:szCs w:val="22"/>
        </w:rPr>
      </w:pPr>
    </w:p>
    <w:p w14:paraId="5AEB59E1" w14:textId="77777777" w:rsidR="00091B58" w:rsidRPr="00C81D88" w:rsidRDefault="00091B58" w:rsidP="00091B58">
      <w:pPr>
        <w:keepNext/>
        <w:snapToGrid w:val="0"/>
        <w:jc w:val="center"/>
        <w:outlineLvl w:val="1"/>
        <w:rPr>
          <w:b/>
          <w:sz w:val="22"/>
          <w:szCs w:val="22"/>
          <w:lang w:eastAsia="x-none"/>
        </w:rPr>
      </w:pPr>
      <w:r w:rsidRPr="00C81D88">
        <w:rPr>
          <w:b/>
          <w:bCs/>
          <w:iCs/>
          <w:sz w:val="22"/>
          <w:szCs w:val="22"/>
          <w:lang w:eastAsia="x-none"/>
        </w:rPr>
        <w:t>ŽENKLINIMAS IR PAKUOTĖS LAPELIS</w:t>
      </w:r>
    </w:p>
    <w:p w14:paraId="11E4042D" w14:textId="77777777" w:rsidR="00091B58" w:rsidRPr="00C81D88" w:rsidRDefault="00091B58" w:rsidP="00091B58">
      <w:pPr>
        <w:snapToGrid w:val="0"/>
        <w:rPr>
          <w:sz w:val="22"/>
          <w:szCs w:val="22"/>
        </w:rPr>
      </w:pPr>
      <w:r w:rsidRPr="00C81D88">
        <w:rPr>
          <w:snapToGrid w:val="0"/>
          <w:sz w:val="22"/>
          <w:szCs w:val="22"/>
        </w:rPr>
        <w:br w:type="page"/>
      </w:r>
    </w:p>
    <w:p w14:paraId="7380FA5A" w14:textId="77777777" w:rsidR="00091B58" w:rsidRPr="00C81D88" w:rsidRDefault="00091B58" w:rsidP="00091B58">
      <w:pPr>
        <w:snapToGrid w:val="0"/>
        <w:rPr>
          <w:sz w:val="22"/>
          <w:szCs w:val="22"/>
        </w:rPr>
      </w:pPr>
    </w:p>
    <w:p w14:paraId="36113DE4" w14:textId="77777777" w:rsidR="00091B58" w:rsidRPr="00C81D88" w:rsidRDefault="00091B58" w:rsidP="00091B58">
      <w:pPr>
        <w:snapToGrid w:val="0"/>
        <w:rPr>
          <w:sz w:val="22"/>
          <w:szCs w:val="22"/>
        </w:rPr>
      </w:pPr>
    </w:p>
    <w:p w14:paraId="4E801C95" w14:textId="77777777" w:rsidR="00091B58" w:rsidRPr="00C81D88" w:rsidRDefault="00091B58" w:rsidP="00091B58">
      <w:pPr>
        <w:snapToGrid w:val="0"/>
        <w:rPr>
          <w:sz w:val="22"/>
          <w:szCs w:val="22"/>
        </w:rPr>
      </w:pPr>
    </w:p>
    <w:p w14:paraId="23D56848" w14:textId="77777777" w:rsidR="00091B58" w:rsidRPr="00C81D88" w:rsidRDefault="00091B58" w:rsidP="00091B58">
      <w:pPr>
        <w:snapToGrid w:val="0"/>
        <w:rPr>
          <w:sz w:val="22"/>
          <w:szCs w:val="22"/>
        </w:rPr>
      </w:pPr>
    </w:p>
    <w:p w14:paraId="4D0E5810" w14:textId="77777777" w:rsidR="00091B58" w:rsidRPr="00C81D88" w:rsidRDefault="00091B58" w:rsidP="00091B58">
      <w:pPr>
        <w:snapToGrid w:val="0"/>
        <w:rPr>
          <w:sz w:val="22"/>
          <w:szCs w:val="22"/>
        </w:rPr>
      </w:pPr>
    </w:p>
    <w:p w14:paraId="3A5549B6" w14:textId="77777777" w:rsidR="00091B58" w:rsidRPr="00C81D88" w:rsidRDefault="00091B58" w:rsidP="00091B58">
      <w:pPr>
        <w:snapToGrid w:val="0"/>
        <w:rPr>
          <w:sz w:val="22"/>
          <w:szCs w:val="22"/>
        </w:rPr>
      </w:pPr>
    </w:p>
    <w:p w14:paraId="74F9942B" w14:textId="77777777" w:rsidR="00091B58" w:rsidRPr="00C81D88" w:rsidRDefault="00091B58" w:rsidP="00091B58">
      <w:pPr>
        <w:snapToGrid w:val="0"/>
        <w:rPr>
          <w:sz w:val="22"/>
          <w:szCs w:val="22"/>
        </w:rPr>
      </w:pPr>
    </w:p>
    <w:p w14:paraId="25B639A6" w14:textId="77777777" w:rsidR="00091B58" w:rsidRPr="00C81D88" w:rsidRDefault="00091B58" w:rsidP="00091B58">
      <w:pPr>
        <w:snapToGrid w:val="0"/>
        <w:rPr>
          <w:sz w:val="22"/>
          <w:szCs w:val="22"/>
        </w:rPr>
      </w:pPr>
    </w:p>
    <w:p w14:paraId="5ACE4AE1" w14:textId="77777777" w:rsidR="00091B58" w:rsidRPr="00C81D88" w:rsidRDefault="00091B58" w:rsidP="00091B58">
      <w:pPr>
        <w:snapToGrid w:val="0"/>
        <w:rPr>
          <w:sz w:val="22"/>
          <w:szCs w:val="22"/>
        </w:rPr>
      </w:pPr>
    </w:p>
    <w:p w14:paraId="371B6EB5" w14:textId="77777777" w:rsidR="00091B58" w:rsidRPr="00C81D88" w:rsidRDefault="00091B58" w:rsidP="00091B58">
      <w:pPr>
        <w:snapToGrid w:val="0"/>
        <w:rPr>
          <w:sz w:val="22"/>
          <w:szCs w:val="22"/>
        </w:rPr>
      </w:pPr>
    </w:p>
    <w:p w14:paraId="3272EED8" w14:textId="77777777" w:rsidR="00091B58" w:rsidRPr="00C81D88" w:rsidRDefault="00091B58" w:rsidP="00091B58">
      <w:pPr>
        <w:snapToGrid w:val="0"/>
        <w:rPr>
          <w:sz w:val="22"/>
          <w:szCs w:val="22"/>
        </w:rPr>
      </w:pPr>
    </w:p>
    <w:p w14:paraId="7E41AD2E" w14:textId="77777777" w:rsidR="00091B58" w:rsidRPr="00C81D88" w:rsidRDefault="00091B58" w:rsidP="00091B58">
      <w:pPr>
        <w:snapToGrid w:val="0"/>
        <w:rPr>
          <w:sz w:val="22"/>
          <w:szCs w:val="22"/>
        </w:rPr>
      </w:pPr>
    </w:p>
    <w:p w14:paraId="389DC050" w14:textId="77777777" w:rsidR="00091B58" w:rsidRPr="00C81D88" w:rsidRDefault="00091B58" w:rsidP="00091B58">
      <w:pPr>
        <w:snapToGrid w:val="0"/>
        <w:rPr>
          <w:sz w:val="22"/>
          <w:szCs w:val="22"/>
        </w:rPr>
      </w:pPr>
    </w:p>
    <w:p w14:paraId="16E7879E" w14:textId="77777777" w:rsidR="00091B58" w:rsidRPr="00C81D88" w:rsidRDefault="00091B58" w:rsidP="00091B58">
      <w:pPr>
        <w:snapToGrid w:val="0"/>
        <w:rPr>
          <w:sz w:val="22"/>
          <w:szCs w:val="22"/>
        </w:rPr>
      </w:pPr>
    </w:p>
    <w:p w14:paraId="4B4A87F9" w14:textId="77777777" w:rsidR="00091B58" w:rsidRPr="00C81D88" w:rsidRDefault="00091B58" w:rsidP="00091B58">
      <w:pPr>
        <w:snapToGrid w:val="0"/>
        <w:rPr>
          <w:sz w:val="22"/>
          <w:szCs w:val="22"/>
        </w:rPr>
      </w:pPr>
    </w:p>
    <w:p w14:paraId="054F318E" w14:textId="77777777" w:rsidR="00091B58" w:rsidRPr="00C81D88" w:rsidRDefault="00091B58" w:rsidP="00091B58">
      <w:pPr>
        <w:snapToGrid w:val="0"/>
        <w:rPr>
          <w:sz w:val="22"/>
          <w:szCs w:val="22"/>
        </w:rPr>
      </w:pPr>
    </w:p>
    <w:p w14:paraId="4A2CBCBF" w14:textId="77777777" w:rsidR="00091B58" w:rsidRPr="00C81D88" w:rsidRDefault="00091B58" w:rsidP="00091B58">
      <w:pPr>
        <w:snapToGrid w:val="0"/>
        <w:rPr>
          <w:sz w:val="22"/>
          <w:szCs w:val="22"/>
        </w:rPr>
      </w:pPr>
    </w:p>
    <w:p w14:paraId="3151D304" w14:textId="77777777" w:rsidR="00091B58" w:rsidRPr="00C81D88" w:rsidRDefault="00091B58" w:rsidP="00091B58">
      <w:pPr>
        <w:snapToGrid w:val="0"/>
        <w:rPr>
          <w:sz w:val="22"/>
          <w:szCs w:val="22"/>
        </w:rPr>
      </w:pPr>
    </w:p>
    <w:p w14:paraId="2B18FBF3" w14:textId="77777777" w:rsidR="00091B58" w:rsidRPr="00C81D88" w:rsidRDefault="00091B58" w:rsidP="00091B58">
      <w:pPr>
        <w:snapToGrid w:val="0"/>
        <w:rPr>
          <w:sz w:val="22"/>
          <w:szCs w:val="22"/>
        </w:rPr>
      </w:pPr>
    </w:p>
    <w:p w14:paraId="7886554B" w14:textId="77777777" w:rsidR="00091B58" w:rsidRPr="00C81D88" w:rsidRDefault="00091B58" w:rsidP="00091B58">
      <w:pPr>
        <w:snapToGrid w:val="0"/>
        <w:rPr>
          <w:sz w:val="22"/>
          <w:szCs w:val="22"/>
        </w:rPr>
      </w:pPr>
    </w:p>
    <w:p w14:paraId="54830B0B" w14:textId="77777777" w:rsidR="00091B58" w:rsidRPr="00C81D88" w:rsidRDefault="00091B58" w:rsidP="00091B58">
      <w:pPr>
        <w:snapToGrid w:val="0"/>
        <w:rPr>
          <w:sz w:val="22"/>
          <w:szCs w:val="22"/>
        </w:rPr>
      </w:pPr>
    </w:p>
    <w:p w14:paraId="424B74F2" w14:textId="77777777" w:rsidR="00091B58" w:rsidRPr="00C81D88" w:rsidRDefault="00091B58" w:rsidP="00091B58">
      <w:pPr>
        <w:snapToGrid w:val="0"/>
        <w:rPr>
          <w:sz w:val="22"/>
          <w:szCs w:val="22"/>
        </w:rPr>
      </w:pPr>
    </w:p>
    <w:p w14:paraId="63D23A7C" w14:textId="77777777" w:rsidR="00091B58" w:rsidRPr="00C81D88" w:rsidRDefault="00091B58" w:rsidP="00091B58">
      <w:pPr>
        <w:snapToGrid w:val="0"/>
        <w:rPr>
          <w:sz w:val="22"/>
          <w:szCs w:val="22"/>
        </w:rPr>
      </w:pPr>
    </w:p>
    <w:p w14:paraId="131A8755" w14:textId="77777777" w:rsidR="00091B58" w:rsidRPr="00C81D88" w:rsidRDefault="00091B58" w:rsidP="00091B58">
      <w:pPr>
        <w:keepNext/>
        <w:snapToGrid w:val="0"/>
        <w:jc w:val="center"/>
        <w:outlineLvl w:val="1"/>
        <w:rPr>
          <w:b/>
          <w:sz w:val="22"/>
          <w:szCs w:val="22"/>
          <w:lang w:eastAsia="x-none"/>
        </w:rPr>
      </w:pPr>
      <w:r w:rsidRPr="00C81D88">
        <w:rPr>
          <w:b/>
          <w:bCs/>
          <w:iCs/>
          <w:sz w:val="22"/>
          <w:szCs w:val="22"/>
          <w:lang w:eastAsia="x-none"/>
        </w:rPr>
        <w:t>A. ŽENKLINIMAS</w:t>
      </w:r>
    </w:p>
    <w:p w14:paraId="7BC68B03" w14:textId="77777777" w:rsidR="00091B58" w:rsidRPr="00C81D88" w:rsidRDefault="00091B58" w:rsidP="00091B58">
      <w:pPr>
        <w:snapToGrid w:val="0"/>
        <w:rPr>
          <w:sz w:val="22"/>
          <w:szCs w:val="22"/>
        </w:rPr>
      </w:pPr>
      <w:r w:rsidRPr="00C81D88">
        <w:rPr>
          <w:snapToGrid w:val="0"/>
          <w:sz w:val="22"/>
          <w:szCs w:val="22"/>
        </w:rPr>
        <w:br w:type="page"/>
      </w:r>
    </w:p>
    <w:p w14:paraId="0ACFE8B4"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rPr>
          <w:b/>
          <w:sz w:val="22"/>
          <w:szCs w:val="22"/>
        </w:rPr>
      </w:pPr>
      <w:r w:rsidRPr="00C81D88">
        <w:rPr>
          <w:b/>
          <w:noProof/>
          <w:sz w:val="22"/>
          <w:szCs w:val="22"/>
        </w:rPr>
        <w:lastRenderedPageBreak/>
        <w:t>INFORMACIJA ANT IŠORINĖS IR VIDINĖS PAKUOTĖS</w:t>
      </w:r>
    </w:p>
    <w:p w14:paraId="651F098B"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rPr>
          <w:b/>
          <w:sz w:val="22"/>
          <w:szCs w:val="22"/>
        </w:rPr>
      </w:pPr>
    </w:p>
    <w:p w14:paraId="72BE16A0"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rPr>
          <w:b/>
          <w:noProof/>
          <w:sz w:val="22"/>
          <w:szCs w:val="22"/>
        </w:rPr>
      </w:pPr>
      <w:r w:rsidRPr="00C81D88">
        <w:rPr>
          <w:b/>
          <w:noProof/>
          <w:sz w:val="22"/>
          <w:szCs w:val="22"/>
        </w:rPr>
        <w:t xml:space="preserve">IŠORINĖ KARTONO DĖŽUTĖ IR ETIKETĖ TALPYKLĖS PAKUOTEI </w:t>
      </w:r>
    </w:p>
    <w:p w14:paraId="0176DF01"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rPr>
          <w:b/>
          <w:sz w:val="22"/>
          <w:szCs w:val="22"/>
        </w:rPr>
      </w:pPr>
      <w:r w:rsidRPr="00C81D88">
        <w:rPr>
          <w:b/>
          <w:sz w:val="22"/>
          <w:szCs w:val="22"/>
        </w:rPr>
        <w:t>IŠORINĖ KARTONO DĖŽUTĖ LIZDINIŲ PLOKŠTELIŲ PAKUOTEI</w:t>
      </w:r>
    </w:p>
    <w:p w14:paraId="4855EBF9" w14:textId="77777777" w:rsidR="00091B58" w:rsidRPr="00C81D88" w:rsidRDefault="00091B58" w:rsidP="00091B58">
      <w:pPr>
        <w:snapToGrid w:val="0"/>
        <w:rPr>
          <w:sz w:val="22"/>
          <w:szCs w:val="22"/>
        </w:rPr>
      </w:pPr>
    </w:p>
    <w:p w14:paraId="234A9BA8" w14:textId="77777777" w:rsidR="00091B58" w:rsidRPr="00C81D88" w:rsidRDefault="00091B58" w:rsidP="00091B58">
      <w:pPr>
        <w:snapToGrid w:val="0"/>
        <w:rPr>
          <w:sz w:val="22"/>
          <w:szCs w:val="22"/>
        </w:rPr>
      </w:pPr>
    </w:p>
    <w:p w14:paraId="00424611"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1.</w:t>
      </w:r>
      <w:r w:rsidRPr="00C81D88">
        <w:rPr>
          <w:b/>
          <w:sz w:val="22"/>
          <w:szCs w:val="22"/>
        </w:rPr>
        <w:tab/>
      </w:r>
      <w:r w:rsidRPr="00C81D88">
        <w:rPr>
          <w:b/>
          <w:caps/>
          <w:noProof/>
          <w:sz w:val="22"/>
          <w:szCs w:val="22"/>
        </w:rPr>
        <w:t>VAISTINIO</w:t>
      </w:r>
      <w:r w:rsidRPr="00C81D88">
        <w:rPr>
          <w:b/>
          <w:noProof/>
          <w:sz w:val="22"/>
          <w:szCs w:val="22"/>
        </w:rPr>
        <w:t xml:space="preserve"> PREPARATO PAVADINIMAS</w:t>
      </w:r>
    </w:p>
    <w:p w14:paraId="098698FA" w14:textId="77777777" w:rsidR="00091B58" w:rsidRPr="00C81D88" w:rsidRDefault="00091B58" w:rsidP="00091B58">
      <w:pPr>
        <w:snapToGrid w:val="0"/>
        <w:rPr>
          <w:sz w:val="22"/>
          <w:szCs w:val="22"/>
        </w:rPr>
      </w:pPr>
    </w:p>
    <w:p w14:paraId="0BA7550A"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 xml:space="preserve">Dasatinib Norameda 20 mg </w:t>
      </w:r>
      <w:bookmarkStart w:id="1" w:name="_Hlk19726887"/>
      <w:r w:rsidRPr="00C81D88">
        <w:rPr>
          <w:rFonts w:eastAsia="Calibri"/>
          <w:sz w:val="22"/>
          <w:szCs w:val="22"/>
        </w:rPr>
        <w:t>plėvele dengtos tabletė</w:t>
      </w:r>
      <w:bookmarkEnd w:id="1"/>
      <w:r w:rsidRPr="00C81D88">
        <w:rPr>
          <w:rFonts w:eastAsia="Calibri"/>
          <w:sz w:val="22"/>
          <w:szCs w:val="22"/>
        </w:rPr>
        <w:t>s</w:t>
      </w:r>
    </w:p>
    <w:p w14:paraId="2D76148D"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50 mg plėvele dengtos tabletės</w:t>
      </w:r>
    </w:p>
    <w:p w14:paraId="25FF2B16"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70 mg plėvele dengtos tabletės</w:t>
      </w:r>
    </w:p>
    <w:p w14:paraId="4924B0FA" w14:textId="77777777" w:rsidR="00091B58" w:rsidRPr="00C81D88" w:rsidRDefault="00091B58" w:rsidP="00091B58">
      <w:pPr>
        <w:autoSpaceDE w:val="0"/>
        <w:autoSpaceDN w:val="0"/>
        <w:adjustRightInd w:val="0"/>
        <w:rPr>
          <w:rFonts w:eastAsia="Calibri"/>
          <w:bCs/>
          <w:sz w:val="22"/>
          <w:szCs w:val="22"/>
        </w:rPr>
      </w:pPr>
    </w:p>
    <w:p w14:paraId="1FA63353" w14:textId="77777777" w:rsidR="00091B58" w:rsidRPr="00C81D88" w:rsidRDefault="00091B58" w:rsidP="00091B58">
      <w:pPr>
        <w:snapToGrid w:val="0"/>
        <w:rPr>
          <w:sz w:val="22"/>
          <w:szCs w:val="22"/>
        </w:rPr>
      </w:pPr>
      <w:r w:rsidRPr="00C81D88">
        <w:rPr>
          <w:sz w:val="22"/>
          <w:szCs w:val="22"/>
        </w:rPr>
        <w:t>dasatinibum</w:t>
      </w:r>
    </w:p>
    <w:p w14:paraId="460BBC16" w14:textId="77777777" w:rsidR="00091B58" w:rsidRPr="00C81D88" w:rsidRDefault="00091B58" w:rsidP="00091B58">
      <w:pPr>
        <w:snapToGrid w:val="0"/>
        <w:rPr>
          <w:sz w:val="22"/>
          <w:szCs w:val="22"/>
        </w:rPr>
      </w:pPr>
    </w:p>
    <w:p w14:paraId="4B3B7607" w14:textId="77777777" w:rsidR="00091B58" w:rsidRPr="00C81D88" w:rsidRDefault="00091B58" w:rsidP="00091B58">
      <w:pPr>
        <w:snapToGrid w:val="0"/>
        <w:rPr>
          <w:sz w:val="22"/>
          <w:szCs w:val="22"/>
        </w:rPr>
      </w:pPr>
    </w:p>
    <w:p w14:paraId="432BC2CF"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b/>
          <w:sz w:val="22"/>
          <w:szCs w:val="22"/>
        </w:rPr>
      </w:pPr>
      <w:r w:rsidRPr="00C81D88">
        <w:rPr>
          <w:b/>
          <w:sz w:val="22"/>
          <w:szCs w:val="22"/>
        </w:rPr>
        <w:t>2.</w:t>
      </w:r>
      <w:r w:rsidRPr="00C81D88">
        <w:rPr>
          <w:b/>
          <w:sz w:val="22"/>
          <w:szCs w:val="22"/>
        </w:rPr>
        <w:tab/>
      </w:r>
      <w:r w:rsidRPr="00C81D88">
        <w:rPr>
          <w:b/>
          <w:noProof/>
          <w:sz w:val="22"/>
          <w:szCs w:val="22"/>
        </w:rPr>
        <w:t>VEIKLIOJI (-IOS) MEDŽIAGA (-OS) IR JOS (-Ų) KIEKIS (-IAI)</w:t>
      </w:r>
    </w:p>
    <w:p w14:paraId="00DD57FE" w14:textId="77777777" w:rsidR="00091B58" w:rsidRPr="00C81D88" w:rsidRDefault="00091B58" w:rsidP="00091B58">
      <w:pPr>
        <w:snapToGrid w:val="0"/>
        <w:rPr>
          <w:sz w:val="22"/>
          <w:szCs w:val="22"/>
        </w:rPr>
      </w:pPr>
    </w:p>
    <w:p w14:paraId="4685681D"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 xml:space="preserve">Kiekvienoje plėvele dengtoje tabletėje yra 20 mg dazatinibo. </w:t>
      </w:r>
    </w:p>
    <w:p w14:paraId="06F80D43"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 xml:space="preserve">Kiekvienoje plėvele dengtoje tabletėje yra 50 mg dazatinibo. </w:t>
      </w:r>
    </w:p>
    <w:p w14:paraId="7521716B"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 xml:space="preserve">Kiekvienoje plėvele dengtoje tabletėje yra 70 mg dazatinibo. </w:t>
      </w:r>
    </w:p>
    <w:p w14:paraId="1F090AE9" w14:textId="77777777" w:rsidR="00091B58" w:rsidRPr="00C81D88" w:rsidRDefault="00091B58" w:rsidP="00091B58">
      <w:pPr>
        <w:snapToGrid w:val="0"/>
        <w:rPr>
          <w:sz w:val="22"/>
          <w:szCs w:val="22"/>
        </w:rPr>
      </w:pPr>
    </w:p>
    <w:p w14:paraId="38F45BFF" w14:textId="77777777" w:rsidR="00091B58" w:rsidRPr="00C81D88" w:rsidRDefault="00091B58" w:rsidP="00091B58">
      <w:pPr>
        <w:snapToGrid w:val="0"/>
        <w:rPr>
          <w:sz w:val="22"/>
          <w:szCs w:val="22"/>
        </w:rPr>
      </w:pPr>
    </w:p>
    <w:p w14:paraId="117A06D4"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3.</w:t>
      </w:r>
      <w:r w:rsidRPr="00C81D88">
        <w:rPr>
          <w:b/>
          <w:sz w:val="22"/>
          <w:szCs w:val="22"/>
        </w:rPr>
        <w:tab/>
      </w:r>
      <w:r w:rsidRPr="00C81D88">
        <w:rPr>
          <w:b/>
          <w:noProof/>
          <w:sz w:val="22"/>
          <w:szCs w:val="22"/>
        </w:rPr>
        <w:t>PAGALBINIŲ MEDŽIAGŲ SĄRAŠAS</w:t>
      </w:r>
    </w:p>
    <w:p w14:paraId="1164A78B" w14:textId="77777777" w:rsidR="00091B58" w:rsidRPr="00C81D88" w:rsidRDefault="00091B58" w:rsidP="00091B58">
      <w:pPr>
        <w:snapToGrid w:val="0"/>
        <w:rPr>
          <w:sz w:val="22"/>
          <w:szCs w:val="22"/>
        </w:rPr>
      </w:pPr>
    </w:p>
    <w:p w14:paraId="5D7C3FA2" w14:textId="77777777" w:rsidR="00091B58" w:rsidRPr="00C81D88" w:rsidRDefault="00091B58" w:rsidP="00091B58">
      <w:pPr>
        <w:snapToGrid w:val="0"/>
        <w:rPr>
          <w:sz w:val="22"/>
          <w:szCs w:val="22"/>
        </w:rPr>
      </w:pPr>
      <w:r w:rsidRPr="00C81D88">
        <w:rPr>
          <w:sz w:val="22"/>
          <w:szCs w:val="22"/>
        </w:rPr>
        <w:t>Sudėtyje yra laktozės monohidrato.</w:t>
      </w:r>
    </w:p>
    <w:p w14:paraId="02A21647"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Daugiau informacijos pateikiama pakuotės lapelyje.</w:t>
      </w:r>
    </w:p>
    <w:p w14:paraId="1F3D4EE7" w14:textId="77777777" w:rsidR="00091B58" w:rsidRPr="00C81D88" w:rsidRDefault="00091B58" w:rsidP="00091B58">
      <w:pPr>
        <w:snapToGrid w:val="0"/>
        <w:rPr>
          <w:sz w:val="22"/>
          <w:szCs w:val="22"/>
        </w:rPr>
      </w:pPr>
    </w:p>
    <w:p w14:paraId="0E08B4BD" w14:textId="77777777" w:rsidR="00091B58" w:rsidRPr="00C81D88" w:rsidRDefault="00091B58" w:rsidP="00091B58">
      <w:pPr>
        <w:snapToGrid w:val="0"/>
        <w:rPr>
          <w:sz w:val="22"/>
          <w:szCs w:val="22"/>
        </w:rPr>
      </w:pPr>
    </w:p>
    <w:p w14:paraId="7F0A5F58"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4.</w:t>
      </w:r>
      <w:r w:rsidRPr="00C81D88">
        <w:rPr>
          <w:b/>
          <w:sz w:val="22"/>
          <w:szCs w:val="22"/>
        </w:rPr>
        <w:tab/>
      </w:r>
      <w:r w:rsidRPr="00C81D88">
        <w:rPr>
          <w:b/>
          <w:noProof/>
          <w:sz w:val="22"/>
          <w:szCs w:val="22"/>
        </w:rPr>
        <w:t>FARMACINĖ FORMA IR KIEKIS PAKUOTĖJE</w:t>
      </w:r>
    </w:p>
    <w:p w14:paraId="4BF8A502" w14:textId="77777777" w:rsidR="00091B58" w:rsidRPr="00C81D88" w:rsidRDefault="00091B58" w:rsidP="00091B58">
      <w:pPr>
        <w:snapToGrid w:val="0"/>
        <w:rPr>
          <w:sz w:val="22"/>
          <w:szCs w:val="22"/>
        </w:rPr>
      </w:pPr>
    </w:p>
    <w:p w14:paraId="1CDF2940" w14:textId="77777777" w:rsidR="00091B58" w:rsidRPr="00053893" w:rsidRDefault="00091B58" w:rsidP="00091B58">
      <w:pPr>
        <w:rPr>
          <w:sz w:val="22"/>
        </w:rPr>
      </w:pPr>
      <w:r w:rsidRPr="00053893">
        <w:rPr>
          <w:sz w:val="22"/>
        </w:rPr>
        <w:t xml:space="preserve">56 </w:t>
      </w:r>
      <w:r w:rsidRPr="00C81D88">
        <w:rPr>
          <w:rFonts w:eastAsia="Calibri"/>
          <w:sz w:val="22"/>
          <w:szCs w:val="22"/>
          <w:highlight w:val="lightGray"/>
        </w:rPr>
        <w:t>plėvele dengtos</w:t>
      </w:r>
      <w:r w:rsidRPr="00C81D88">
        <w:rPr>
          <w:rFonts w:eastAsia="Calibri"/>
          <w:sz w:val="22"/>
          <w:szCs w:val="22"/>
        </w:rPr>
        <w:t xml:space="preserve"> tabletės</w:t>
      </w:r>
    </w:p>
    <w:p w14:paraId="383E48D4" w14:textId="77777777" w:rsidR="00091B58" w:rsidRPr="00C81D88" w:rsidRDefault="00091B58" w:rsidP="00091B58">
      <w:pPr>
        <w:rPr>
          <w:rFonts w:eastAsia="Calibri"/>
          <w:sz w:val="22"/>
          <w:szCs w:val="22"/>
          <w:highlight w:val="lightGray"/>
        </w:rPr>
      </w:pPr>
      <w:r w:rsidRPr="00053893">
        <w:rPr>
          <w:sz w:val="22"/>
          <w:highlight w:val="lightGray"/>
        </w:rPr>
        <w:t>56</w:t>
      </w:r>
      <w:r w:rsidRPr="00C81D88">
        <w:rPr>
          <w:noProof/>
          <w:sz w:val="22"/>
          <w:szCs w:val="22"/>
          <w:highlight w:val="lightGray"/>
        </w:rPr>
        <w:t> </w:t>
      </w:r>
      <w:r w:rsidRPr="00053893">
        <w:rPr>
          <w:sz w:val="22"/>
          <w:highlight w:val="lightGray"/>
        </w:rPr>
        <w:t>x</w:t>
      </w:r>
      <w:r w:rsidRPr="00C81D88">
        <w:rPr>
          <w:noProof/>
          <w:sz w:val="22"/>
          <w:szCs w:val="22"/>
          <w:highlight w:val="lightGray"/>
        </w:rPr>
        <w:t> </w:t>
      </w:r>
      <w:r w:rsidRPr="00053893">
        <w:rPr>
          <w:sz w:val="22"/>
          <w:highlight w:val="lightGray"/>
        </w:rPr>
        <w:t xml:space="preserve">1 </w:t>
      </w:r>
      <w:r w:rsidRPr="00C81D88">
        <w:rPr>
          <w:rFonts w:eastAsia="Calibri"/>
          <w:sz w:val="22"/>
          <w:szCs w:val="22"/>
          <w:highlight w:val="lightGray"/>
        </w:rPr>
        <w:t>plėvele dengtos tabletės</w:t>
      </w:r>
    </w:p>
    <w:p w14:paraId="487CB8EB" w14:textId="77777777" w:rsidR="00091B58" w:rsidRPr="00053893" w:rsidRDefault="00091B58" w:rsidP="00091B58">
      <w:pPr>
        <w:rPr>
          <w:sz w:val="22"/>
          <w:highlight w:val="lightGray"/>
        </w:rPr>
      </w:pPr>
      <w:r w:rsidRPr="00053893">
        <w:rPr>
          <w:sz w:val="22"/>
          <w:highlight w:val="lightGray"/>
        </w:rPr>
        <w:t xml:space="preserve">60 </w:t>
      </w:r>
      <w:r w:rsidRPr="00C81D88">
        <w:rPr>
          <w:rFonts w:eastAsia="Calibri"/>
          <w:sz w:val="22"/>
          <w:szCs w:val="22"/>
          <w:highlight w:val="lightGray"/>
        </w:rPr>
        <w:t>plėvele dengtų tablečių</w:t>
      </w:r>
    </w:p>
    <w:p w14:paraId="73CEE948" w14:textId="77777777" w:rsidR="00091B58" w:rsidRPr="00053893" w:rsidRDefault="00091B58" w:rsidP="00091B58">
      <w:pPr>
        <w:rPr>
          <w:sz w:val="22"/>
          <w:highlight w:val="lightGray"/>
        </w:rPr>
      </w:pPr>
      <w:r w:rsidRPr="00053893">
        <w:rPr>
          <w:sz w:val="22"/>
          <w:highlight w:val="lightGray"/>
        </w:rPr>
        <w:t>60</w:t>
      </w:r>
      <w:r w:rsidRPr="00C81D88">
        <w:rPr>
          <w:noProof/>
          <w:sz w:val="22"/>
          <w:szCs w:val="22"/>
          <w:highlight w:val="lightGray"/>
        </w:rPr>
        <w:t> </w:t>
      </w:r>
      <w:r w:rsidRPr="00053893">
        <w:rPr>
          <w:sz w:val="22"/>
          <w:highlight w:val="lightGray"/>
        </w:rPr>
        <w:t>x</w:t>
      </w:r>
      <w:r w:rsidRPr="00C81D88">
        <w:rPr>
          <w:noProof/>
          <w:sz w:val="22"/>
          <w:szCs w:val="22"/>
          <w:highlight w:val="lightGray"/>
        </w:rPr>
        <w:t> </w:t>
      </w:r>
      <w:r w:rsidRPr="00053893">
        <w:rPr>
          <w:sz w:val="22"/>
          <w:highlight w:val="lightGray"/>
        </w:rPr>
        <w:t xml:space="preserve">1 </w:t>
      </w:r>
      <w:r w:rsidRPr="00C81D88">
        <w:rPr>
          <w:rFonts w:eastAsia="Calibri"/>
          <w:sz w:val="22"/>
          <w:szCs w:val="22"/>
          <w:highlight w:val="lightGray"/>
        </w:rPr>
        <w:t>plėvele dengtų tablečių</w:t>
      </w:r>
    </w:p>
    <w:p w14:paraId="63D86E28" w14:textId="77777777" w:rsidR="00091B58" w:rsidRPr="00C81D88" w:rsidRDefault="00091B58" w:rsidP="00091B58">
      <w:pPr>
        <w:snapToGrid w:val="0"/>
        <w:rPr>
          <w:sz w:val="22"/>
          <w:szCs w:val="22"/>
        </w:rPr>
      </w:pPr>
    </w:p>
    <w:p w14:paraId="0106F03E" w14:textId="77777777" w:rsidR="00091B58" w:rsidRPr="00C81D88" w:rsidRDefault="00091B58" w:rsidP="00091B58">
      <w:pPr>
        <w:snapToGrid w:val="0"/>
        <w:rPr>
          <w:sz w:val="22"/>
          <w:szCs w:val="22"/>
        </w:rPr>
      </w:pPr>
    </w:p>
    <w:p w14:paraId="023B29BB"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5.</w:t>
      </w:r>
      <w:r w:rsidRPr="00C81D88">
        <w:rPr>
          <w:b/>
          <w:sz w:val="22"/>
          <w:szCs w:val="22"/>
        </w:rPr>
        <w:tab/>
      </w:r>
      <w:r w:rsidRPr="00C81D88">
        <w:rPr>
          <w:b/>
          <w:noProof/>
          <w:sz w:val="22"/>
          <w:szCs w:val="22"/>
        </w:rPr>
        <w:t>VARTOJIMO METODAS IR BŪDAS (-AI)</w:t>
      </w:r>
    </w:p>
    <w:p w14:paraId="32BCAF0C" w14:textId="77777777" w:rsidR="00091B58" w:rsidRPr="00C81D88" w:rsidRDefault="00091B58" w:rsidP="00091B58">
      <w:pPr>
        <w:snapToGrid w:val="0"/>
        <w:rPr>
          <w:sz w:val="22"/>
          <w:szCs w:val="22"/>
        </w:rPr>
      </w:pPr>
    </w:p>
    <w:p w14:paraId="0B94229C" w14:textId="77777777" w:rsidR="00091B58" w:rsidRPr="00C81D88" w:rsidRDefault="00091B58" w:rsidP="00091B58">
      <w:pPr>
        <w:snapToGrid w:val="0"/>
        <w:rPr>
          <w:sz w:val="22"/>
          <w:szCs w:val="22"/>
        </w:rPr>
      </w:pPr>
      <w:r w:rsidRPr="00C81D88">
        <w:rPr>
          <w:noProof/>
          <w:sz w:val="22"/>
          <w:szCs w:val="22"/>
        </w:rPr>
        <w:t>Prieš vartojimą perskaitykite pakuotės lapelį.</w:t>
      </w:r>
    </w:p>
    <w:p w14:paraId="4D006B30" w14:textId="77777777" w:rsidR="00091B58" w:rsidRPr="00C81D88" w:rsidRDefault="00091B58" w:rsidP="00091B58">
      <w:pPr>
        <w:snapToGrid w:val="0"/>
        <w:rPr>
          <w:sz w:val="22"/>
          <w:szCs w:val="22"/>
        </w:rPr>
      </w:pPr>
      <w:r w:rsidRPr="00C81D88">
        <w:rPr>
          <w:sz w:val="22"/>
          <w:szCs w:val="22"/>
        </w:rPr>
        <w:t>Vartoti per burną.</w:t>
      </w:r>
    </w:p>
    <w:p w14:paraId="241CEE96" w14:textId="77777777" w:rsidR="00091B58" w:rsidRPr="00C81D88" w:rsidRDefault="00091B58" w:rsidP="00091B58">
      <w:pPr>
        <w:snapToGrid w:val="0"/>
        <w:rPr>
          <w:sz w:val="22"/>
          <w:szCs w:val="22"/>
        </w:rPr>
      </w:pPr>
    </w:p>
    <w:p w14:paraId="04F9C012" w14:textId="77777777" w:rsidR="00091B58" w:rsidRPr="00C81D88" w:rsidRDefault="00091B58" w:rsidP="00091B58">
      <w:pPr>
        <w:snapToGrid w:val="0"/>
        <w:rPr>
          <w:sz w:val="22"/>
          <w:szCs w:val="22"/>
        </w:rPr>
      </w:pPr>
    </w:p>
    <w:p w14:paraId="7C4A2244"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6.</w:t>
      </w:r>
      <w:r w:rsidRPr="00C81D88">
        <w:rPr>
          <w:b/>
          <w:sz w:val="22"/>
          <w:szCs w:val="22"/>
        </w:rPr>
        <w:tab/>
      </w:r>
      <w:r w:rsidRPr="00C81D88">
        <w:rPr>
          <w:b/>
          <w:noProof/>
          <w:sz w:val="22"/>
          <w:szCs w:val="22"/>
        </w:rPr>
        <w:t>SPECIALUS ĮSPĖJIMAS, KAD VAISTINĮ PREPARATĄ BŪTINA LAIKYTI VAIKAMS NEPASTEBIMOJE IR  NEPASIEKIAMOJE VIETOJE</w:t>
      </w:r>
    </w:p>
    <w:p w14:paraId="43117F97" w14:textId="77777777" w:rsidR="00091B58" w:rsidRPr="00C81D88" w:rsidRDefault="00091B58" w:rsidP="00091B58">
      <w:pPr>
        <w:snapToGrid w:val="0"/>
        <w:rPr>
          <w:sz w:val="22"/>
          <w:szCs w:val="22"/>
        </w:rPr>
      </w:pPr>
    </w:p>
    <w:p w14:paraId="1158AB7C" w14:textId="77777777" w:rsidR="00091B58" w:rsidRPr="00C81D88" w:rsidRDefault="00091B58" w:rsidP="00091B58">
      <w:pPr>
        <w:snapToGrid w:val="0"/>
        <w:rPr>
          <w:sz w:val="22"/>
          <w:szCs w:val="22"/>
        </w:rPr>
      </w:pPr>
      <w:r w:rsidRPr="00C81D88">
        <w:rPr>
          <w:noProof/>
          <w:sz w:val="22"/>
          <w:szCs w:val="22"/>
        </w:rPr>
        <w:t>Laikyti vaikams nepastebimoje ir nepasiekiamoje vietoje.</w:t>
      </w:r>
    </w:p>
    <w:p w14:paraId="11B76F8B" w14:textId="77777777" w:rsidR="00091B58" w:rsidRPr="00C81D88" w:rsidRDefault="00091B58" w:rsidP="00091B58">
      <w:pPr>
        <w:snapToGrid w:val="0"/>
        <w:rPr>
          <w:sz w:val="22"/>
          <w:szCs w:val="22"/>
        </w:rPr>
      </w:pPr>
    </w:p>
    <w:p w14:paraId="453EE383" w14:textId="77777777" w:rsidR="00091B58" w:rsidRPr="00C81D88" w:rsidRDefault="00091B58" w:rsidP="00091B58">
      <w:pPr>
        <w:snapToGrid w:val="0"/>
        <w:rPr>
          <w:sz w:val="22"/>
          <w:szCs w:val="22"/>
        </w:rPr>
      </w:pPr>
    </w:p>
    <w:p w14:paraId="18AB0563"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7.</w:t>
      </w:r>
      <w:r w:rsidRPr="00C81D88">
        <w:rPr>
          <w:b/>
          <w:sz w:val="22"/>
          <w:szCs w:val="22"/>
        </w:rPr>
        <w:tab/>
      </w:r>
      <w:r w:rsidRPr="00C81D88">
        <w:rPr>
          <w:b/>
          <w:noProof/>
          <w:sz w:val="22"/>
          <w:szCs w:val="22"/>
        </w:rPr>
        <w:t>KITAS (-I) SPECIALUS (-ŪS) ĮSPĖJIMAS (-AI) (JEI REIKIA)</w:t>
      </w:r>
    </w:p>
    <w:p w14:paraId="73FA76E9" w14:textId="77777777" w:rsidR="00091B58" w:rsidRPr="00C81D88" w:rsidRDefault="00091B58" w:rsidP="00091B58">
      <w:pPr>
        <w:snapToGrid w:val="0"/>
        <w:rPr>
          <w:sz w:val="22"/>
          <w:szCs w:val="22"/>
        </w:rPr>
      </w:pPr>
    </w:p>
    <w:p w14:paraId="19FF2B33" w14:textId="77777777" w:rsidR="00091B58" w:rsidRPr="00C81D88" w:rsidRDefault="00091B58" w:rsidP="00091B58">
      <w:pPr>
        <w:snapToGrid w:val="0"/>
        <w:rPr>
          <w:sz w:val="22"/>
          <w:szCs w:val="22"/>
        </w:rPr>
      </w:pPr>
    </w:p>
    <w:p w14:paraId="6D291499" w14:textId="77777777" w:rsidR="00091B58" w:rsidRPr="00C81D88" w:rsidRDefault="00091B58" w:rsidP="00091B58">
      <w:pPr>
        <w:snapToGrid w:val="0"/>
        <w:rPr>
          <w:sz w:val="22"/>
          <w:szCs w:val="22"/>
        </w:rPr>
      </w:pPr>
    </w:p>
    <w:p w14:paraId="5C081FF3"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t>8.</w:t>
      </w:r>
      <w:r w:rsidRPr="00C81D88">
        <w:rPr>
          <w:b/>
          <w:sz w:val="22"/>
          <w:szCs w:val="22"/>
        </w:rPr>
        <w:tab/>
      </w:r>
      <w:r w:rsidRPr="00C81D88">
        <w:rPr>
          <w:b/>
          <w:noProof/>
          <w:sz w:val="22"/>
          <w:szCs w:val="22"/>
        </w:rPr>
        <w:t>TINKAMUMO LAIKAS</w:t>
      </w:r>
    </w:p>
    <w:p w14:paraId="3EBE9C8C" w14:textId="77777777" w:rsidR="00091B58" w:rsidRPr="00C81D88" w:rsidRDefault="00091B58" w:rsidP="00091B58">
      <w:pPr>
        <w:snapToGrid w:val="0"/>
        <w:rPr>
          <w:sz w:val="22"/>
          <w:szCs w:val="22"/>
        </w:rPr>
      </w:pPr>
    </w:p>
    <w:p w14:paraId="31887696" w14:textId="77777777" w:rsidR="00091B58" w:rsidRPr="00C81D88" w:rsidRDefault="00091B58" w:rsidP="00091B58">
      <w:pPr>
        <w:snapToGrid w:val="0"/>
        <w:rPr>
          <w:sz w:val="22"/>
          <w:szCs w:val="22"/>
        </w:rPr>
      </w:pPr>
      <w:r w:rsidRPr="00C81D88">
        <w:rPr>
          <w:sz w:val="22"/>
          <w:szCs w:val="22"/>
        </w:rPr>
        <w:t>EXP: {mm/MMMM}</w:t>
      </w:r>
    </w:p>
    <w:p w14:paraId="5B3A1628" w14:textId="77777777" w:rsidR="00091B58" w:rsidRPr="00C81D88" w:rsidRDefault="00091B58" w:rsidP="00091B58">
      <w:pPr>
        <w:snapToGrid w:val="0"/>
        <w:rPr>
          <w:sz w:val="22"/>
          <w:szCs w:val="22"/>
        </w:rPr>
      </w:pPr>
    </w:p>
    <w:p w14:paraId="5E70E92D" w14:textId="77777777" w:rsidR="00091B58" w:rsidRPr="00C81D88" w:rsidRDefault="00091B58" w:rsidP="00091B58">
      <w:pPr>
        <w:snapToGrid w:val="0"/>
        <w:rPr>
          <w:sz w:val="22"/>
          <w:szCs w:val="22"/>
        </w:rPr>
      </w:pPr>
    </w:p>
    <w:p w14:paraId="2CAE4BB9" w14:textId="77777777" w:rsidR="00091B58" w:rsidRPr="00C81D88" w:rsidRDefault="00091B58" w:rsidP="00091B58">
      <w:pPr>
        <w:keepNext/>
        <w:pBdr>
          <w:top w:val="single" w:sz="4" w:space="1" w:color="auto"/>
          <w:left w:val="single" w:sz="4" w:space="4" w:color="auto"/>
          <w:bottom w:val="single" w:sz="4" w:space="1" w:color="auto"/>
          <w:right w:val="single" w:sz="4" w:space="4" w:color="auto"/>
        </w:pBdr>
        <w:snapToGrid w:val="0"/>
        <w:ind w:left="567" w:hanging="567"/>
        <w:outlineLvl w:val="0"/>
        <w:rPr>
          <w:sz w:val="22"/>
          <w:szCs w:val="22"/>
        </w:rPr>
      </w:pPr>
      <w:r w:rsidRPr="00C81D88">
        <w:rPr>
          <w:b/>
          <w:sz w:val="22"/>
          <w:szCs w:val="22"/>
        </w:rPr>
        <w:lastRenderedPageBreak/>
        <w:t>9.</w:t>
      </w:r>
      <w:r w:rsidRPr="00C81D88">
        <w:rPr>
          <w:b/>
          <w:sz w:val="22"/>
          <w:szCs w:val="22"/>
        </w:rPr>
        <w:tab/>
      </w:r>
      <w:r w:rsidRPr="00C81D88">
        <w:rPr>
          <w:b/>
          <w:noProof/>
          <w:sz w:val="22"/>
          <w:szCs w:val="22"/>
        </w:rPr>
        <w:t>SPECIALIOS LAIKYMO SĄLYGOS</w:t>
      </w:r>
    </w:p>
    <w:p w14:paraId="359BD305" w14:textId="77777777" w:rsidR="00091B58" w:rsidRPr="00C81D88" w:rsidRDefault="00091B58" w:rsidP="00091B58">
      <w:pPr>
        <w:snapToGrid w:val="0"/>
        <w:rPr>
          <w:sz w:val="22"/>
          <w:szCs w:val="22"/>
        </w:rPr>
      </w:pPr>
    </w:p>
    <w:p w14:paraId="35FB465A" w14:textId="77777777" w:rsidR="00091B58" w:rsidRPr="00C81D88" w:rsidRDefault="00091B58" w:rsidP="00091B58">
      <w:pPr>
        <w:snapToGrid w:val="0"/>
        <w:rPr>
          <w:sz w:val="22"/>
          <w:szCs w:val="22"/>
        </w:rPr>
      </w:pPr>
    </w:p>
    <w:p w14:paraId="03C6B4E1"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b/>
          <w:sz w:val="22"/>
          <w:szCs w:val="22"/>
        </w:rPr>
      </w:pPr>
      <w:r w:rsidRPr="00C81D88">
        <w:rPr>
          <w:b/>
          <w:sz w:val="22"/>
          <w:szCs w:val="22"/>
        </w:rPr>
        <w:t>10.</w:t>
      </w:r>
      <w:r w:rsidRPr="00C81D88">
        <w:rPr>
          <w:b/>
          <w:sz w:val="22"/>
          <w:szCs w:val="22"/>
        </w:rPr>
        <w:tab/>
      </w:r>
      <w:r w:rsidRPr="00C81D88">
        <w:rPr>
          <w:b/>
          <w:noProof/>
          <w:sz w:val="22"/>
          <w:szCs w:val="22"/>
        </w:rPr>
        <w:t>SPECIALIOS ATSARGUMO PRIEMONĖS DĖL NESUVARTOTO VAISTINIO PREPARATO AR JO ATLIEKŲ TVARKYMO (JEI REIKIA)</w:t>
      </w:r>
    </w:p>
    <w:p w14:paraId="7915C878" w14:textId="77777777" w:rsidR="00091B58" w:rsidRPr="00BE6A6E" w:rsidRDefault="00091B58" w:rsidP="00091B58">
      <w:pPr>
        <w:snapToGrid w:val="0"/>
        <w:rPr>
          <w:sz w:val="16"/>
          <w:szCs w:val="16"/>
        </w:rPr>
      </w:pPr>
    </w:p>
    <w:p w14:paraId="53B88E4A" w14:textId="77777777" w:rsidR="00091B58" w:rsidRPr="00C81D88" w:rsidRDefault="00091B58" w:rsidP="00091B58">
      <w:pPr>
        <w:snapToGrid w:val="0"/>
        <w:rPr>
          <w:sz w:val="22"/>
          <w:szCs w:val="22"/>
        </w:rPr>
      </w:pPr>
    </w:p>
    <w:p w14:paraId="6A379FE5"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b/>
          <w:sz w:val="22"/>
          <w:szCs w:val="22"/>
        </w:rPr>
      </w:pPr>
      <w:r w:rsidRPr="00C81D88">
        <w:rPr>
          <w:b/>
          <w:sz w:val="22"/>
          <w:szCs w:val="22"/>
        </w:rPr>
        <w:t>11.</w:t>
      </w:r>
      <w:r w:rsidRPr="00C81D88">
        <w:rPr>
          <w:b/>
          <w:sz w:val="22"/>
          <w:szCs w:val="22"/>
        </w:rPr>
        <w:tab/>
      </w:r>
      <w:r w:rsidRPr="00C81D88">
        <w:rPr>
          <w:b/>
          <w:caps/>
          <w:noProof/>
          <w:sz w:val="22"/>
          <w:szCs w:val="22"/>
        </w:rPr>
        <w:t xml:space="preserve"> REGISTRUOTOJO PAVADINIMAS IR ADRESAS</w:t>
      </w:r>
    </w:p>
    <w:p w14:paraId="72FE0D6C" w14:textId="77777777" w:rsidR="00091B58" w:rsidRPr="00C81D88" w:rsidRDefault="00091B58" w:rsidP="00091B58">
      <w:pPr>
        <w:snapToGrid w:val="0"/>
        <w:rPr>
          <w:sz w:val="22"/>
          <w:szCs w:val="22"/>
        </w:rPr>
      </w:pPr>
    </w:p>
    <w:p w14:paraId="1755E465" w14:textId="77777777" w:rsidR="00091B58" w:rsidRPr="00C81D88" w:rsidRDefault="00091B58" w:rsidP="00091B58">
      <w:pPr>
        <w:rPr>
          <w:rFonts w:eastAsia="SimSun"/>
          <w:sz w:val="22"/>
          <w:szCs w:val="22"/>
          <w:lang w:eastAsia="zh-CN"/>
        </w:rPr>
      </w:pPr>
      <w:r w:rsidRPr="00C81D88">
        <w:rPr>
          <w:rFonts w:eastAsia="SimSun"/>
          <w:sz w:val="22"/>
          <w:szCs w:val="22"/>
          <w:lang w:eastAsia="zh-CN"/>
        </w:rPr>
        <w:t>UAB Norameda</w:t>
      </w:r>
    </w:p>
    <w:p w14:paraId="5527A96B" w14:textId="77777777" w:rsidR="00091B58" w:rsidRPr="00C81D88" w:rsidRDefault="00091B58" w:rsidP="00091B58">
      <w:pPr>
        <w:rPr>
          <w:rFonts w:eastAsia="SimSun"/>
          <w:sz w:val="22"/>
          <w:szCs w:val="22"/>
          <w:lang w:eastAsia="zh-CN"/>
        </w:rPr>
      </w:pPr>
      <w:r w:rsidRPr="00C81D88">
        <w:rPr>
          <w:rFonts w:eastAsia="SimSun"/>
          <w:sz w:val="22"/>
          <w:szCs w:val="22"/>
          <w:lang w:eastAsia="zh-CN"/>
        </w:rPr>
        <w:t>Meistrų g. 8a</w:t>
      </w:r>
    </w:p>
    <w:p w14:paraId="6D9B4695" w14:textId="77777777" w:rsidR="00091B58" w:rsidRPr="00C81D88" w:rsidRDefault="00091B58" w:rsidP="00091B58">
      <w:pPr>
        <w:rPr>
          <w:rFonts w:eastAsia="SimSun"/>
          <w:sz w:val="22"/>
          <w:szCs w:val="22"/>
          <w:lang w:eastAsia="zh-CN"/>
        </w:rPr>
      </w:pPr>
      <w:r w:rsidRPr="00C81D88">
        <w:rPr>
          <w:rFonts w:eastAsia="SimSun"/>
          <w:sz w:val="22"/>
          <w:szCs w:val="22"/>
          <w:lang w:eastAsia="zh-CN"/>
        </w:rPr>
        <w:t>Vilnius LT-02189</w:t>
      </w:r>
    </w:p>
    <w:p w14:paraId="78EFC4BA" w14:textId="77777777" w:rsidR="00091B58" w:rsidRPr="00C81D88" w:rsidRDefault="00091B58" w:rsidP="00091B58">
      <w:pPr>
        <w:snapToGrid w:val="0"/>
        <w:rPr>
          <w:rFonts w:eastAsia="SimSun"/>
          <w:sz w:val="22"/>
          <w:szCs w:val="22"/>
          <w:lang w:eastAsia="zh-CN"/>
        </w:rPr>
      </w:pPr>
      <w:r w:rsidRPr="00C81D88">
        <w:rPr>
          <w:rFonts w:eastAsia="SimSun"/>
          <w:sz w:val="22"/>
          <w:szCs w:val="22"/>
          <w:lang w:eastAsia="zh-CN"/>
        </w:rPr>
        <w:t>Lietuva</w:t>
      </w:r>
    </w:p>
    <w:p w14:paraId="215B047D" w14:textId="77777777" w:rsidR="00091B58" w:rsidRPr="00BE6A6E" w:rsidRDefault="00091B58" w:rsidP="00091B58">
      <w:pPr>
        <w:snapToGrid w:val="0"/>
        <w:rPr>
          <w:rFonts w:eastAsia="SimSun"/>
          <w:sz w:val="16"/>
          <w:szCs w:val="16"/>
          <w:lang w:eastAsia="zh-CN"/>
        </w:rPr>
      </w:pPr>
    </w:p>
    <w:p w14:paraId="3BC7FF0F" w14:textId="77777777" w:rsidR="00091B58" w:rsidRPr="00C81D88" w:rsidRDefault="00091B58" w:rsidP="00091B58">
      <w:pPr>
        <w:snapToGrid w:val="0"/>
        <w:rPr>
          <w:sz w:val="22"/>
          <w:szCs w:val="22"/>
        </w:rPr>
      </w:pPr>
    </w:p>
    <w:p w14:paraId="0290BF84"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sz w:val="22"/>
          <w:szCs w:val="22"/>
        </w:rPr>
      </w:pPr>
      <w:r w:rsidRPr="00C81D88">
        <w:rPr>
          <w:b/>
          <w:sz w:val="22"/>
          <w:szCs w:val="22"/>
        </w:rPr>
        <w:t>12.</w:t>
      </w:r>
      <w:r w:rsidRPr="00C81D88">
        <w:rPr>
          <w:b/>
          <w:sz w:val="22"/>
          <w:szCs w:val="22"/>
        </w:rPr>
        <w:tab/>
      </w:r>
      <w:r w:rsidRPr="00C81D88">
        <w:rPr>
          <w:b/>
          <w:noProof/>
          <w:sz w:val="22"/>
          <w:szCs w:val="22"/>
        </w:rPr>
        <w:t>REGISTRACIJOS PAŽYMĖJIMO NUMERIS (-IAI)</w:t>
      </w:r>
      <w:r w:rsidRPr="00C81D88">
        <w:rPr>
          <w:b/>
          <w:sz w:val="22"/>
          <w:szCs w:val="22"/>
        </w:rPr>
        <w:t xml:space="preserve"> </w:t>
      </w:r>
    </w:p>
    <w:p w14:paraId="060FCEFF" w14:textId="77777777" w:rsidR="00091B58" w:rsidRPr="00BE6A6E" w:rsidRDefault="00091B58" w:rsidP="00091B58">
      <w:pPr>
        <w:snapToGrid w:val="0"/>
        <w:rPr>
          <w:sz w:val="16"/>
          <w:szCs w:val="16"/>
        </w:rPr>
      </w:pPr>
    </w:p>
    <w:p w14:paraId="2784CE47" w14:textId="016FC816" w:rsidR="00091B58" w:rsidRPr="00C81D88" w:rsidRDefault="00C54AB1" w:rsidP="00091B58">
      <w:pPr>
        <w:rPr>
          <w:rFonts w:eastAsia="Calibri"/>
          <w:sz w:val="22"/>
          <w:szCs w:val="22"/>
          <w:highlight w:val="lightGray"/>
        </w:rPr>
      </w:pPr>
      <w:r>
        <w:rPr>
          <w:rFonts w:eastAsia="Calibri"/>
          <w:sz w:val="22"/>
          <w:szCs w:val="22"/>
          <w:highlight w:val="lightGray"/>
        </w:rPr>
        <w:t>&lt;</w:t>
      </w:r>
      <w:r w:rsidR="00091B58" w:rsidRPr="00C81D88">
        <w:rPr>
          <w:rFonts w:eastAsia="Calibri"/>
          <w:sz w:val="22"/>
          <w:szCs w:val="22"/>
          <w:highlight w:val="lightGray"/>
        </w:rPr>
        <w:t>20 mg</w:t>
      </w:r>
      <w:r>
        <w:rPr>
          <w:rFonts w:eastAsia="Calibri"/>
          <w:sz w:val="22"/>
          <w:szCs w:val="22"/>
          <w:highlight w:val="lightGray"/>
        </w:rPr>
        <w:t>&gt;</w:t>
      </w:r>
    </w:p>
    <w:p w14:paraId="2CEA48C2" w14:textId="77777777" w:rsidR="00091B58" w:rsidRPr="00C54AB1" w:rsidRDefault="00091B58" w:rsidP="00091B58">
      <w:pPr>
        <w:rPr>
          <w:rFonts w:eastAsia="Calibri"/>
          <w:sz w:val="22"/>
          <w:szCs w:val="22"/>
          <w:highlight w:val="lightGray"/>
          <w:u w:val="single"/>
        </w:rPr>
      </w:pPr>
      <w:r w:rsidRPr="00C54AB1">
        <w:rPr>
          <w:rFonts w:eastAsia="Calibri"/>
          <w:sz w:val="22"/>
          <w:szCs w:val="22"/>
          <w:highlight w:val="lightGray"/>
          <w:u w:val="single"/>
        </w:rPr>
        <w:t>lizdinė plokštelė</w:t>
      </w:r>
    </w:p>
    <w:p w14:paraId="32F6164D" w14:textId="77777777" w:rsidR="00091B58" w:rsidRPr="00C81D88" w:rsidRDefault="00091B58" w:rsidP="00091B58">
      <w:pPr>
        <w:rPr>
          <w:rFonts w:eastAsia="Calibri"/>
          <w:sz w:val="22"/>
          <w:szCs w:val="22"/>
          <w:highlight w:val="lightGray"/>
        </w:rPr>
      </w:pPr>
      <w:r w:rsidRPr="00C81D88">
        <w:rPr>
          <w:sz w:val="22"/>
          <w:szCs w:val="22"/>
        </w:rPr>
        <w:t xml:space="preserve">LT/1/20/4510/001 </w:t>
      </w:r>
      <w:r w:rsidRPr="00C81D88">
        <w:rPr>
          <w:rFonts w:eastAsia="Calibri"/>
          <w:sz w:val="22"/>
          <w:szCs w:val="22"/>
          <w:highlight w:val="lightGray"/>
        </w:rPr>
        <w:t>– N56</w:t>
      </w:r>
    </w:p>
    <w:p w14:paraId="25C265AC"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LT/1/20/4510/002 – N60</w:t>
      </w:r>
    </w:p>
    <w:p w14:paraId="2DC34393" w14:textId="77777777" w:rsidR="00091B58" w:rsidRPr="00C54AB1" w:rsidRDefault="00091B58" w:rsidP="00091B58">
      <w:pPr>
        <w:rPr>
          <w:rFonts w:eastAsia="Calibri"/>
          <w:sz w:val="22"/>
          <w:szCs w:val="22"/>
          <w:highlight w:val="lightGray"/>
          <w:u w:val="single"/>
        </w:rPr>
      </w:pPr>
      <w:r w:rsidRPr="00C54AB1">
        <w:rPr>
          <w:rFonts w:eastAsia="Calibri"/>
          <w:sz w:val="22"/>
          <w:szCs w:val="22"/>
          <w:highlight w:val="lightGray"/>
          <w:u w:val="single"/>
        </w:rPr>
        <w:t>dalomoji lizdinė plokštelė</w:t>
      </w:r>
    </w:p>
    <w:p w14:paraId="3704368E"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LT/1/20/4510/003 – N56x1</w:t>
      </w:r>
    </w:p>
    <w:p w14:paraId="37ADC71B"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LT/1/20/4510/004 – N60x1</w:t>
      </w:r>
    </w:p>
    <w:p w14:paraId="20BC2CFA" w14:textId="77777777" w:rsidR="00091B58" w:rsidRPr="00C81D88" w:rsidRDefault="00091B58" w:rsidP="00091B58">
      <w:pPr>
        <w:rPr>
          <w:rFonts w:eastAsia="Calibri"/>
          <w:sz w:val="22"/>
          <w:szCs w:val="22"/>
          <w:highlight w:val="lightGray"/>
        </w:rPr>
      </w:pPr>
      <w:r w:rsidRPr="00C54AB1">
        <w:rPr>
          <w:rFonts w:eastAsia="Calibri"/>
          <w:sz w:val="22"/>
          <w:szCs w:val="22"/>
          <w:highlight w:val="lightGray"/>
          <w:u w:val="single"/>
        </w:rPr>
        <w:t>talpyklė</w:t>
      </w:r>
    </w:p>
    <w:p w14:paraId="6E164850"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LT/1/20/4510/005 – N60</w:t>
      </w:r>
    </w:p>
    <w:p w14:paraId="35E84245" w14:textId="77777777" w:rsidR="00C54AB1" w:rsidRPr="00BE6A6E" w:rsidRDefault="00C54AB1" w:rsidP="00091B58">
      <w:pPr>
        <w:rPr>
          <w:rFonts w:eastAsia="Calibri"/>
          <w:sz w:val="16"/>
          <w:szCs w:val="16"/>
          <w:highlight w:val="lightGray"/>
        </w:rPr>
      </w:pPr>
    </w:p>
    <w:p w14:paraId="67E10891" w14:textId="1173A866" w:rsidR="00091B58" w:rsidRPr="00C81D88" w:rsidRDefault="00C54AB1" w:rsidP="00091B58">
      <w:pPr>
        <w:rPr>
          <w:rFonts w:eastAsia="Calibri"/>
          <w:sz w:val="22"/>
          <w:szCs w:val="22"/>
          <w:highlight w:val="lightGray"/>
        </w:rPr>
      </w:pPr>
      <w:r>
        <w:rPr>
          <w:rFonts w:eastAsia="Calibri"/>
          <w:sz w:val="22"/>
          <w:szCs w:val="22"/>
          <w:highlight w:val="lightGray"/>
        </w:rPr>
        <w:t>&lt;</w:t>
      </w:r>
      <w:r w:rsidR="00091B58" w:rsidRPr="00C81D88">
        <w:rPr>
          <w:rFonts w:eastAsia="Calibri"/>
          <w:sz w:val="22"/>
          <w:szCs w:val="22"/>
          <w:highlight w:val="lightGray"/>
        </w:rPr>
        <w:t>50 mg</w:t>
      </w:r>
      <w:r>
        <w:rPr>
          <w:rFonts w:eastAsia="Calibri"/>
          <w:sz w:val="22"/>
          <w:szCs w:val="22"/>
          <w:highlight w:val="lightGray"/>
        </w:rPr>
        <w:t>&gt;</w:t>
      </w:r>
    </w:p>
    <w:p w14:paraId="3F1284E8" w14:textId="77777777" w:rsidR="00091B58" w:rsidRPr="00C54AB1" w:rsidRDefault="00091B58" w:rsidP="00091B58">
      <w:pPr>
        <w:rPr>
          <w:rFonts w:eastAsia="Calibri"/>
          <w:sz w:val="22"/>
          <w:szCs w:val="22"/>
          <w:highlight w:val="lightGray"/>
          <w:u w:val="single"/>
        </w:rPr>
      </w:pPr>
      <w:r w:rsidRPr="00C54AB1">
        <w:rPr>
          <w:rFonts w:eastAsia="Calibri"/>
          <w:sz w:val="22"/>
          <w:szCs w:val="22"/>
          <w:highlight w:val="lightGray"/>
          <w:u w:val="single"/>
        </w:rPr>
        <w:t>lizdinė plokštelė</w:t>
      </w:r>
    </w:p>
    <w:p w14:paraId="44819724" w14:textId="77777777" w:rsidR="00091B58" w:rsidRPr="00C81D88" w:rsidRDefault="00091B58" w:rsidP="00091B58">
      <w:pPr>
        <w:rPr>
          <w:rFonts w:eastAsia="Calibri"/>
          <w:sz w:val="22"/>
          <w:szCs w:val="22"/>
          <w:highlight w:val="lightGray"/>
        </w:rPr>
      </w:pPr>
      <w:r w:rsidRPr="00C54AB1">
        <w:rPr>
          <w:rFonts w:eastAsia="Calibri"/>
          <w:sz w:val="22"/>
          <w:szCs w:val="22"/>
          <w:highlight w:val="lightGray"/>
        </w:rPr>
        <w:t>LT/1/20/4511/001</w:t>
      </w:r>
      <w:r w:rsidRPr="00C81D88">
        <w:rPr>
          <w:sz w:val="22"/>
          <w:szCs w:val="22"/>
        </w:rPr>
        <w:t xml:space="preserve"> </w:t>
      </w:r>
      <w:r w:rsidRPr="00C81D88">
        <w:rPr>
          <w:rFonts w:eastAsia="Calibri"/>
          <w:sz w:val="22"/>
          <w:szCs w:val="22"/>
          <w:highlight w:val="lightGray"/>
        </w:rPr>
        <w:t>– N56</w:t>
      </w:r>
    </w:p>
    <w:p w14:paraId="3A901845"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LT/1/20/4511/002 – N60</w:t>
      </w:r>
    </w:p>
    <w:p w14:paraId="44FFE0E3" w14:textId="77777777" w:rsidR="00091B58" w:rsidRPr="00C54AB1" w:rsidRDefault="00091B58" w:rsidP="00091B58">
      <w:pPr>
        <w:rPr>
          <w:rFonts w:eastAsia="Calibri"/>
          <w:sz w:val="22"/>
          <w:szCs w:val="22"/>
          <w:highlight w:val="lightGray"/>
          <w:u w:val="single"/>
        </w:rPr>
      </w:pPr>
      <w:r w:rsidRPr="00C54AB1">
        <w:rPr>
          <w:rFonts w:eastAsia="Calibri"/>
          <w:sz w:val="22"/>
          <w:szCs w:val="22"/>
          <w:highlight w:val="lightGray"/>
          <w:u w:val="single"/>
        </w:rPr>
        <w:t>dalomoji lizdinė plokštelė</w:t>
      </w:r>
    </w:p>
    <w:p w14:paraId="27634BCB"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LT/1/20/4511/003 – N56x1</w:t>
      </w:r>
    </w:p>
    <w:p w14:paraId="275F70BB"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LT/1/20/4511/004 – N60x1</w:t>
      </w:r>
    </w:p>
    <w:p w14:paraId="13748270" w14:textId="77777777" w:rsidR="00091B58" w:rsidRPr="00C81D88" w:rsidRDefault="00091B58" w:rsidP="00091B58">
      <w:pPr>
        <w:rPr>
          <w:rFonts w:eastAsia="Calibri"/>
          <w:sz w:val="22"/>
          <w:szCs w:val="22"/>
          <w:highlight w:val="lightGray"/>
        </w:rPr>
      </w:pPr>
      <w:r w:rsidRPr="00C54AB1">
        <w:rPr>
          <w:rFonts w:eastAsia="Calibri"/>
          <w:sz w:val="22"/>
          <w:szCs w:val="22"/>
          <w:highlight w:val="lightGray"/>
          <w:u w:val="single"/>
        </w:rPr>
        <w:t>talpyklė</w:t>
      </w:r>
    </w:p>
    <w:p w14:paraId="77BCC79E"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LT/1/20/4511/005 – N60</w:t>
      </w:r>
    </w:p>
    <w:p w14:paraId="48A5486B" w14:textId="77777777" w:rsidR="00C54AB1" w:rsidRPr="00BE6A6E" w:rsidRDefault="00C54AB1" w:rsidP="00091B58">
      <w:pPr>
        <w:rPr>
          <w:rFonts w:eastAsia="Calibri"/>
          <w:sz w:val="16"/>
          <w:szCs w:val="16"/>
          <w:highlight w:val="lightGray"/>
        </w:rPr>
      </w:pPr>
    </w:p>
    <w:p w14:paraId="2042FCCD" w14:textId="4FC31779" w:rsidR="00091B58" w:rsidRPr="00C81D88" w:rsidRDefault="00C54AB1" w:rsidP="00091B58">
      <w:pPr>
        <w:rPr>
          <w:rFonts w:eastAsia="Calibri"/>
          <w:sz w:val="22"/>
          <w:szCs w:val="22"/>
          <w:highlight w:val="lightGray"/>
        </w:rPr>
      </w:pPr>
      <w:r>
        <w:rPr>
          <w:rFonts w:eastAsia="Calibri"/>
          <w:sz w:val="22"/>
          <w:szCs w:val="22"/>
          <w:highlight w:val="lightGray"/>
        </w:rPr>
        <w:t>&lt;</w:t>
      </w:r>
      <w:r w:rsidR="00091B58" w:rsidRPr="00C81D88">
        <w:rPr>
          <w:rFonts w:eastAsia="Calibri"/>
          <w:sz w:val="22"/>
          <w:szCs w:val="22"/>
          <w:highlight w:val="lightGray"/>
        </w:rPr>
        <w:t>70 mg</w:t>
      </w:r>
      <w:r>
        <w:rPr>
          <w:rFonts w:eastAsia="Calibri"/>
          <w:sz w:val="22"/>
          <w:szCs w:val="22"/>
          <w:highlight w:val="lightGray"/>
        </w:rPr>
        <w:t>&gt;</w:t>
      </w:r>
    </w:p>
    <w:p w14:paraId="44E8F673" w14:textId="77777777" w:rsidR="00091B58" w:rsidRPr="00C54AB1" w:rsidRDefault="00091B58" w:rsidP="00091B58">
      <w:pPr>
        <w:rPr>
          <w:rFonts w:eastAsia="Calibri"/>
          <w:sz w:val="22"/>
          <w:szCs w:val="22"/>
          <w:highlight w:val="lightGray"/>
          <w:u w:val="single"/>
        </w:rPr>
      </w:pPr>
      <w:r w:rsidRPr="00C54AB1">
        <w:rPr>
          <w:rFonts w:eastAsia="Calibri"/>
          <w:sz w:val="22"/>
          <w:szCs w:val="22"/>
          <w:highlight w:val="lightGray"/>
          <w:u w:val="single"/>
        </w:rPr>
        <w:t>lizdinė plokštelė</w:t>
      </w:r>
    </w:p>
    <w:p w14:paraId="38437989" w14:textId="77777777" w:rsidR="00091B58" w:rsidRPr="00C81D88" w:rsidRDefault="00091B58" w:rsidP="00091B58">
      <w:pPr>
        <w:rPr>
          <w:rFonts w:eastAsia="Calibri"/>
          <w:sz w:val="22"/>
          <w:szCs w:val="22"/>
          <w:highlight w:val="lightGray"/>
        </w:rPr>
      </w:pPr>
      <w:r w:rsidRPr="00C54AB1">
        <w:rPr>
          <w:rFonts w:eastAsia="Calibri"/>
          <w:sz w:val="22"/>
          <w:szCs w:val="22"/>
          <w:highlight w:val="lightGray"/>
        </w:rPr>
        <w:t xml:space="preserve">LT/1/20/4512/001 </w:t>
      </w:r>
      <w:r w:rsidRPr="00C81D88">
        <w:rPr>
          <w:rFonts w:eastAsia="Calibri"/>
          <w:sz w:val="22"/>
          <w:szCs w:val="22"/>
          <w:highlight w:val="lightGray"/>
        </w:rPr>
        <w:t>– N56</w:t>
      </w:r>
    </w:p>
    <w:p w14:paraId="0F9A5BDB"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LT/1/20/4512/002 – N60</w:t>
      </w:r>
    </w:p>
    <w:p w14:paraId="2FC2A74B" w14:textId="77777777" w:rsidR="00091B58" w:rsidRPr="00C54AB1" w:rsidRDefault="00091B58" w:rsidP="00091B58">
      <w:pPr>
        <w:rPr>
          <w:rFonts w:eastAsia="Calibri"/>
          <w:sz w:val="22"/>
          <w:szCs w:val="22"/>
          <w:highlight w:val="lightGray"/>
          <w:u w:val="single"/>
        </w:rPr>
      </w:pPr>
      <w:r w:rsidRPr="00C54AB1">
        <w:rPr>
          <w:rFonts w:eastAsia="Calibri"/>
          <w:sz w:val="22"/>
          <w:szCs w:val="22"/>
          <w:highlight w:val="lightGray"/>
          <w:u w:val="single"/>
        </w:rPr>
        <w:t>dalomoji lizdinė plokštelė</w:t>
      </w:r>
    </w:p>
    <w:p w14:paraId="5998ADB4"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LT/1/20/4512/003 – N56x1</w:t>
      </w:r>
    </w:p>
    <w:p w14:paraId="514CBAD7"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LT/1/20/4512/004 – N60x1</w:t>
      </w:r>
    </w:p>
    <w:p w14:paraId="07A8ABE4" w14:textId="77777777" w:rsidR="00091B58" w:rsidRPr="00C81D88" w:rsidRDefault="00091B58" w:rsidP="00091B58">
      <w:pPr>
        <w:rPr>
          <w:rFonts w:eastAsia="Calibri"/>
          <w:sz w:val="22"/>
          <w:szCs w:val="22"/>
          <w:highlight w:val="lightGray"/>
        </w:rPr>
      </w:pPr>
      <w:r w:rsidRPr="00C54AB1">
        <w:rPr>
          <w:rFonts w:eastAsia="Calibri"/>
          <w:sz w:val="22"/>
          <w:szCs w:val="22"/>
          <w:highlight w:val="lightGray"/>
          <w:u w:val="single"/>
        </w:rPr>
        <w:t>talpyklė</w:t>
      </w:r>
    </w:p>
    <w:p w14:paraId="6CD6FEE0" w14:textId="77777777" w:rsidR="00091B58" w:rsidRPr="00C81D88" w:rsidRDefault="00091B58" w:rsidP="00091B58">
      <w:pPr>
        <w:rPr>
          <w:rFonts w:eastAsia="Calibri"/>
          <w:sz w:val="22"/>
          <w:szCs w:val="22"/>
          <w:highlight w:val="lightGray"/>
        </w:rPr>
      </w:pPr>
      <w:r w:rsidRPr="00C81D88">
        <w:rPr>
          <w:rFonts w:eastAsia="Calibri"/>
          <w:sz w:val="22"/>
          <w:szCs w:val="22"/>
          <w:highlight w:val="lightGray"/>
        </w:rPr>
        <w:t>LT/1/20/4512/005 – N60</w:t>
      </w:r>
    </w:p>
    <w:p w14:paraId="0EFCC84C" w14:textId="77777777" w:rsidR="00091B58" w:rsidRPr="00C81D88" w:rsidRDefault="00091B58" w:rsidP="00091B58">
      <w:pPr>
        <w:snapToGrid w:val="0"/>
        <w:rPr>
          <w:sz w:val="22"/>
          <w:szCs w:val="22"/>
        </w:rPr>
      </w:pPr>
    </w:p>
    <w:p w14:paraId="129CB4E6" w14:textId="77777777" w:rsidR="00091B58" w:rsidRPr="00BE6A6E" w:rsidRDefault="00091B58" w:rsidP="00091B58">
      <w:pPr>
        <w:snapToGrid w:val="0"/>
        <w:rPr>
          <w:sz w:val="16"/>
          <w:szCs w:val="16"/>
        </w:rPr>
      </w:pPr>
    </w:p>
    <w:p w14:paraId="20D49241"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sz w:val="22"/>
          <w:szCs w:val="22"/>
        </w:rPr>
      </w:pPr>
      <w:r w:rsidRPr="00C81D88">
        <w:rPr>
          <w:b/>
          <w:sz w:val="22"/>
          <w:szCs w:val="22"/>
        </w:rPr>
        <w:t>13.</w:t>
      </w:r>
      <w:r w:rsidRPr="00C81D88">
        <w:rPr>
          <w:b/>
          <w:sz w:val="22"/>
          <w:szCs w:val="22"/>
        </w:rPr>
        <w:tab/>
      </w:r>
      <w:r w:rsidRPr="00C81D88">
        <w:rPr>
          <w:b/>
          <w:noProof/>
          <w:sz w:val="22"/>
          <w:szCs w:val="22"/>
        </w:rPr>
        <w:t xml:space="preserve">SERIJOS NUMERIS </w:t>
      </w:r>
    </w:p>
    <w:p w14:paraId="15FB9205" w14:textId="77777777" w:rsidR="00091B58" w:rsidRPr="00BE6A6E" w:rsidRDefault="00091B58" w:rsidP="00091B58">
      <w:pPr>
        <w:snapToGrid w:val="0"/>
        <w:rPr>
          <w:sz w:val="16"/>
          <w:szCs w:val="16"/>
        </w:rPr>
      </w:pPr>
    </w:p>
    <w:p w14:paraId="6F1D8B73" w14:textId="77777777" w:rsidR="00091B58" w:rsidRPr="00C81D88" w:rsidRDefault="00091B58" w:rsidP="00091B58">
      <w:pPr>
        <w:snapToGrid w:val="0"/>
        <w:rPr>
          <w:sz w:val="22"/>
          <w:szCs w:val="22"/>
        </w:rPr>
      </w:pPr>
      <w:r w:rsidRPr="00C81D88">
        <w:rPr>
          <w:sz w:val="22"/>
          <w:szCs w:val="22"/>
        </w:rPr>
        <w:t>Lot:</w:t>
      </w:r>
    </w:p>
    <w:p w14:paraId="5B7BBF79" w14:textId="77777777" w:rsidR="00091B58" w:rsidRPr="00BE6A6E" w:rsidRDefault="00091B58" w:rsidP="00091B58">
      <w:pPr>
        <w:snapToGrid w:val="0"/>
        <w:rPr>
          <w:sz w:val="16"/>
          <w:szCs w:val="16"/>
        </w:rPr>
      </w:pPr>
    </w:p>
    <w:p w14:paraId="356D792C" w14:textId="77777777" w:rsidR="00091B58" w:rsidRPr="00C81D88" w:rsidRDefault="00091B58" w:rsidP="00091B58">
      <w:pPr>
        <w:snapToGrid w:val="0"/>
        <w:rPr>
          <w:sz w:val="22"/>
          <w:szCs w:val="22"/>
        </w:rPr>
      </w:pPr>
    </w:p>
    <w:p w14:paraId="43CE5C42"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sz w:val="22"/>
          <w:szCs w:val="22"/>
        </w:rPr>
      </w:pPr>
      <w:r w:rsidRPr="00C81D88">
        <w:rPr>
          <w:b/>
          <w:sz w:val="22"/>
          <w:szCs w:val="22"/>
        </w:rPr>
        <w:t>14.</w:t>
      </w:r>
      <w:r w:rsidRPr="00C81D88">
        <w:rPr>
          <w:b/>
          <w:sz w:val="22"/>
          <w:szCs w:val="22"/>
        </w:rPr>
        <w:tab/>
      </w:r>
      <w:r w:rsidRPr="00C81D88">
        <w:rPr>
          <w:b/>
          <w:noProof/>
          <w:sz w:val="22"/>
          <w:szCs w:val="22"/>
        </w:rPr>
        <w:t>PARDAVIMO (IŠDAVIMO) TVARKA</w:t>
      </w:r>
    </w:p>
    <w:p w14:paraId="5EB6308F" w14:textId="77777777" w:rsidR="00091B58" w:rsidRPr="00C81D88" w:rsidRDefault="00091B58" w:rsidP="00091B58">
      <w:pPr>
        <w:snapToGrid w:val="0"/>
        <w:rPr>
          <w:sz w:val="22"/>
          <w:szCs w:val="22"/>
        </w:rPr>
      </w:pPr>
    </w:p>
    <w:p w14:paraId="0E71BCF6" w14:textId="77777777" w:rsidR="00091B58" w:rsidRPr="00C81D88" w:rsidRDefault="00091B58" w:rsidP="00091B58">
      <w:pPr>
        <w:snapToGrid w:val="0"/>
        <w:rPr>
          <w:sz w:val="22"/>
          <w:szCs w:val="22"/>
        </w:rPr>
      </w:pPr>
      <w:r w:rsidRPr="00C81D88">
        <w:rPr>
          <w:sz w:val="22"/>
          <w:szCs w:val="22"/>
        </w:rPr>
        <w:t>Receptinis vaistas</w:t>
      </w:r>
    </w:p>
    <w:p w14:paraId="3C6AE922" w14:textId="77777777" w:rsidR="00091B58" w:rsidRPr="00C81D88" w:rsidRDefault="00091B58" w:rsidP="00091B58">
      <w:pPr>
        <w:snapToGrid w:val="0"/>
        <w:rPr>
          <w:sz w:val="22"/>
          <w:szCs w:val="22"/>
        </w:rPr>
      </w:pPr>
    </w:p>
    <w:p w14:paraId="6C7E86EE" w14:textId="77777777" w:rsidR="00091B58" w:rsidRPr="00C81D88" w:rsidRDefault="00091B58" w:rsidP="00091B58">
      <w:pPr>
        <w:snapToGrid w:val="0"/>
        <w:rPr>
          <w:sz w:val="22"/>
          <w:szCs w:val="22"/>
        </w:rPr>
      </w:pPr>
    </w:p>
    <w:p w14:paraId="4D0B4089" w14:textId="77777777" w:rsidR="00091B58" w:rsidRPr="00C81D88" w:rsidRDefault="00091B58" w:rsidP="00091B58">
      <w:pPr>
        <w:pBdr>
          <w:top w:val="single" w:sz="4" w:space="2" w:color="auto"/>
          <w:left w:val="single" w:sz="4" w:space="4" w:color="auto"/>
          <w:bottom w:val="single" w:sz="4" w:space="1" w:color="auto"/>
          <w:right w:val="single" w:sz="4" w:space="4" w:color="auto"/>
        </w:pBdr>
        <w:snapToGrid w:val="0"/>
        <w:outlineLvl w:val="0"/>
        <w:rPr>
          <w:sz w:val="22"/>
          <w:szCs w:val="22"/>
        </w:rPr>
      </w:pPr>
      <w:r w:rsidRPr="00C81D88">
        <w:rPr>
          <w:b/>
          <w:sz w:val="22"/>
          <w:szCs w:val="22"/>
        </w:rPr>
        <w:t>15.</w:t>
      </w:r>
      <w:r w:rsidRPr="00C81D88">
        <w:rPr>
          <w:b/>
          <w:sz w:val="22"/>
          <w:szCs w:val="22"/>
        </w:rPr>
        <w:tab/>
      </w:r>
      <w:r w:rsidRPr="00C81D88">
        <w:rPr>
          <w:b/>
          <w:noProof/>
          <w:sz w:val="22"/>
          <w:szCs w:val="22"/>
        </w:rPr>
        <w:t>VARTOJIMO INSTRUKCIJA</w:t>
      </w:r>
    </w:p>
    <w:p w14:paraId="43B7AD26" w14:textId="77777777" w:rsidR="00091B58" w:rsidRPr="00C81D88" w:rsidRDefault="00091B58" w:rsidP="00091B58">
      <w:pPr>
        <w:snapToGrid w:val="0"/>
        <w:rPr>
          <w:sz w:val="22"/>
          <w:szCs w:val="22"/>
        </w:rPr>
      </w:pPr>
    </w:p>
    <w:p w14:paraId="787A5B6D" w14:textId="77777777" w:rsidR="00091B58" w:rsidRPr="00C81D88" w:rsidRDefault="00091B58" w:rsidP="00091B58">
      <w:pPr>
        <w:snapToGrid w:val="0"/>
        <w:rPr>
          <w:sz w:val="22"/>
          <w:szCs w:val="22"/>
        </w:rPr>
      </w:pPr>
    </w:p>
    <w:p w14:paraId="09124F86" w14:textId="77777777" w:rsidR="00091B58" w:rsidRPr="00C81D88" w:rsidRDefault="00091B58" w:rsidP="00091B58">
      <w:pPr>
        <w:pBdr>
          <w:top w:val="single" w:sz="4" w:space="1" w:color="auto"/>
          <w:left w:val="single" w:sz="4" w:space="4" w:color="auto"/>
          <w:bottom w:val="single" w:sz="4" w:space="0" w:color="auto"/>
          <w:right w:val="single" w:sz="4" w:space="4" w:color="auto"/>
        </w:pBdr>
        <w:snapToGrid w:val="0"/>
        <w:rPr>
          <w:sz w:val="22"/>
          <w:szCs w:val="22"/>
        </w:rPr>
      </w:pPr>
      <w:r w:rsidRPr="00C81D88">
        <w:rPr>
          <w:b/>
          <w:sz w:val="22"/>
          <w:szCs w:val="22"/>
        </w:rPr>
        <w:t>16.</w:t>
      </w:r>
      <w:r w:rsidRPr="00C81D88">
        <w:rPr>
          <w:b/>
          <w:sz w:val="22"/>
          <w:szCs w:val="22"/>
        </w:rPr>
        <w:tab/>
      </w:r>
      <w:r w:rsidRPr="00C81D88">
        <w:rPr>
          <w:b/>
          <w:noProof/>
          <w:sz w:val="22"/>
          <w:szCs w:val="22"/>
        </w:rPr>
        <w:t>INFORMACIJA BRAILIO RAŠTU</w:t>
      </w:r>
    </w:p>
    <w:p w14:paraId="1E8182F3" w14:textId="77777777" w:rsidR="00091B58" w:rsidRPr="00C81D88" w:rsidRDefault="00091B58" w:rsidP="00091B58">
      <w:pPr>
        <w:snapToGrid w:val="0"/>
        <w:rPr>
          <w:sz w:val="22"/>
          <w:szCs w:val="22"/>
        </w:rPr>
      </w:pPr>
    </w:p>
    <w:p w14:paraId="698971C0" w14:textId="7EE00A82" w:rsidR="00091B58" w:rsidRPr="00C81D88" w:rsidRDefault="00474A02" w:rsidP="00091B58">
      <w:pPr>
        <w:autoSpaceDE w:val="0"/>
        <w:autoSpaceDN w:val="0"/>
        <w:adjustRightInd w:val="0"/>
        <w:rPr>
          <w:rFonts w:eastAsia="Calibri"/>
          <w:sz w:val="22"/>
          <w:szCs w:val="22"/>
        </w:rPr>
      </w:pPr>
      <w:r>
        <w:rPr>
          <w:rFonts w:eastAsia="Calibri"/>
          <w:sz w:val="22"/>
          <w:szCs w:val="22"/>
        </w:rPr>
        <w:t>d</w:t>
      </w:r>
      <w:r w:rsidR="00091B58" w:rsidRPr="00C81D88">
        <w:rPr>
          <w:rFonts w:eastAsia="Calibri"/>
          <w:sz w:val="22"/>
          <w:szCs w:val="22"/>
        </w:rPr>
        <w:t xml:space="preserve">asatinib </w:t>
      </w:r>
      <w:r>
        <w:rPr>
          <w:rFonts w:eastAsia="Calibri"/>
          <w:sz w:val="22"/>
          <w:szCs w:val="22"/>
        </w:rPr>
        <w:t>n</w:t>
      </w:r>
      <w:r w:rsidR="00091B58" w:rsidRPr="00C81D88">
        <w:rPr>
          <w:rFonts w:eastAsia="Calibri"/>
          <w:sz w:val="22"/>
          <w:szCs w:val="22"/>
        </w:rPr>
        <w:t>orameda 20 mg</w:t>
      </w:r>
    </w:p>
    <w:p w14:paraId="58DDCBE8" w14:textId="44F145A3" w:rsidR="00091B58" w:rsidRPr="00C81D88" w:rsidRDefault="00474A02" w:rsidP="00091B58">
      <w:pPr>
        <w:autoSpaceDE w:val="0"/>
        <w:autoSpaceDN w:val="0"/>
        <w:adjustRightInd w:val="0"/>
        <w:rPr>
          <w:rFonts w:eastAsia="Calibri"/>
          <w:sz w:val="22"/>
          <w:szCs w:val="22"/>
          <w:highlight w:val="lightGray"/>
        </w:rPr>
      </w:pPr>
      <w:r>
        <w:rPr>
          <w:rFonts w:eastAsia="Calibri"/>
          <w:sz w:val="22"/>
          <w:szCs w:val="22"/>
          <w:highlight w:val="lightGray"/>
        </w:rPr>
        <w:t>d</w:t>
      </w:r>
      <w:r w:rsidR="00091B58" w:rsidRPr="00C81D88">
        <w:rPr>
          <w:rFonts w:eastAsia="Calibri"/>
          <w:sz w:val="22"/>
          <w:szCs w:val="22"/>
          <w:highlight w:val="lightGray"/>
        </w:rPr>
        <w:t xml:space="preserve">asatinib </w:t>
      </w:r>
      <w:r>
        <w:rPr>
          <w:rFonts w:eastAsia="Calibri"/>
          <w:sz w:val="22"/>
          <w:szCs w:val="22"/>
          <w:highlight w:val="lightGray"/>
        </w:rPr>
        <w:t>n</w:t>
      </w:r>
      <w:r w:rsidR="00091B58" w:rsidRPr="00C81D88">
        <w:rPr>
          <w:rFonts w:eastAsia="Calibri"/>
          <w:sz w:val="22"/>
          <w:szCs w:val="22"/>
          <w:highlight w:val="lightGray"/>
        </w:rPr>
        <w:t>orameda 50 mg</w:t>
      </w:r>
    </w:p>
    <w:p w14:paraId="4FE47878" w14:textId="3C786347" w:rsidR="00091B58" w:rsidRPr="00C81D88" w:rsidRDefault="00474A02" w:rsidP="00091B58">
      <w:pPr>
        <w:autoSpaceDE w:val="0"/>
        <w:autoSpaceDN w:val="0"/>
        <w:adjustRightInd w:val="0"/>
        <w:rPr>
          <w:rFonts w:eastAsia="Calibri"/>
          <w:sz w:val="22"/>
          <w:szCs w:val="22"/>
          <w:highlight w:val="lightGray"/>
        </w:rPr>
      </w:pPr>
      <w:r>
        <w:rPr>
          <w:rFonts w:eastAsia="Calibri"/>
          <w:sz w:val="22"/>
          <w:szCs w:val="22"/>
          <w:highlight w:val="lightGray"/>
        </w:rPr>
        <w:t>d</w:t>
      </w:r>
      <w:r w:rsidR="00091B58" w:rsidRPr="00C81D88">
        <w:rPr>
          <w:rFonts w:eastAsia="Calibri"/>
          <w:sz w:val="22"/>
          <w:szCs w:val="22"/>
          <w:highlight w:val="lightGray"/>
        </w:rPr>
        <w:t xml:space="preserve">asatinib </w:t>
      </w:r>
      <w:r>
        <w:rPr>
          <w:rFonts w:eastAsia="Calibri"/>
          <w:sz w:val="22"/>
          <w:szCs w:val="22"/>
          <w:highlight w:val="lightGray"/>
        </w:rPr>
        <w:t>n</w:t>
      </w:r>
      <w:r w:rsidR="00091B58" w:rsidRPr="00C81D88">
        <w:rPr>
          <w:rFonts w:eastAsia="Calibri"/>
          <w:sz w:val="22"/>
          <w:szCs w:val="22"/>
          <w:highlight w:val="lightGray"/>
        </w:rPr>
        <w:t>orameda 70 mg</w:t>
      </w:r>
    </w:p>
    <w:p w14:paraId="0AEE70BC" w14:textId="77777777" w:rsidR="00091B58" w:rsidRPr="00C81D88" w:rsidRDefault="00091B58" w:rsidP="00091B58">
      <w:pPr>
        <w:snapToGrid w:val="0"/>
        <w:rPr>
          <w:sz w:val="22"/>
          <w:szCs w:val="22"/>
        </w:rPr>
      </w:pPr>
    </w:p>
    <w:p w14:paraId="7867874D" w14:textId="77777777" w:rsidR="00091B58" w:rsidRPr="00C81D88" w:rsidRDefault="00091B58" w:rsidP="00091B58">
      <w:pPr>
        <w:snapToGrid w:val="0"/>
        <w:rPr>
          <w:noProof/>
          <w:sz w:val="22"/>
          <w:szCs w:val="22"/>
          <w:shd w:val="clear" w:color="auto" w:fill="CCCCCC"/>
        </w:rPr>
      </w:pPr>
    </w:p>
    <w:p w14:paraId="36BE9F37" w14:textId="77777777" w:rsidR="00091B58" w:rsidRPr="00053893" w:rsidRDefault="00091B58" w:rsidP="00091B58">
      <w:pPr>
        <w:keepNext/>
        <w:pBdr>
          <w:top w:val="single" w:sz="4" w:space="1" w:color="auto"/>
          <w:left w:val="single" w:sz="4" w:space="4" w:color="auto"/>
          <w:bottom w:val="single" w:sz="4" w:space="1" w:color="auto"/>
          <w:right w:val="single" w:sz="4" w:space="4" w:color="auto"/>
        </w:pBdr>
        <w:tabs>
          <w:tab w:val="left" w:pos="0"/>
        </w:tabs>
        <w:snapToGrid w:val="0"/>
        <w:outlineLvl w:val="0"/>
        <w:rPr>
          <w:i/>
          <w:sz w:val="22"/>
        </w:rPr>
      </w:pPr>
      <w:r w:rsidRPr="00053893">
        <w:rPr>
          <w:b/>
          <w:sz w:val="22"/>
        </w:rPr>
        <w:t>17.</w:t>
      </w:r>
      <w:r w:rsidRPr="00053893">
        <w:rPr>
          <w:b/>
          <w:sz w:val="22"/>
        </w:rPr>
        <w:tab/>
        <w:t>UNIKALUS IDENTIFIKATORIUS – 2D BRŪKŠNINIS KODAS</w:t>
      </w:r>
    </w:p>
    <w:p w14:paraId="49EEDFC4" w14:textId="77777777" w:rsidR="00091B58" w:rsidRPr="00053893" w:rsidRDefault="00091B58" w:rsidP="00091B58">
      <w:pPr>
        <w:snapToGrid w:val="0"/>
        <w:rPr>
          <w:sz w:val="22"/>
        </w:rPr>
      </w:pPr>
    </w:p>
    <w:p w14:paraId="6C0B336C" w14:textId="77777777" w:rsidR="00091B58" w:rsidRPr="00053893" w:rsidRDefault="00091B58" w:rsidP="00091B58">
      <w:pPr>
        <w:snapToGrid w:val="0"/>
        <w:rPr>
          <w:sz w:val="22"/>
          <w:highlight w:val="lightGray"/>
        </w:rPr>
      </w:pPr>
      <w:r w:rsidRPr="00053893">
        <w:rPr>
          <w:sz w:val="22"/>
          <w:highlight w:val="lightGray"/>
        </w:rPr>
        <w:t>Tik ant išorinės kartono dėžutės</w:t>
      </w:r>
    </w:p>
    <w:p w14:paraId="04C0B28B" w14:textId="77777777" w:rsidR="00091B58" w:rsidRPr="00053893" w:rsidRDefault="00091B58" w:rsidP="00091B58">
      <w:pPr>
        <w:snapToGrid w:val="0"/>
        <w:rPr>
          <w:sz w:val="22"/>
          <w:shd w:val="clear" w:color="auto" w:fill="CCCCCC"/>
        </w:rPr>
      </w:pPr>
      <w:r w:rsidRPr="00053893">
        <w:rPr>
          <w:sz w:val="22"/>
          <w:highlight w:val="lightGray"/>
        </w:rPr>
        <w:t>2D brūkšninis kodas su nurodytu unikaliu identifikatoriumi.</w:t>
      </w:r>
    </w:p>
    <w:p w14:paraId="6F8E3F28" w14:textId="77777777" w:rsidR="00091B58" w:rsidRPr="00053893" w:rsidRDefault="00091B58" w:rsidP="00091B58">
      <w:pPr>
        <w:snapToGrid w:val="0"/>
        <w:rPr>
          <w:sz w:val="22"/>
          <w:shd w:val="clear" w:color="auto" w:fill="CCCCCC"/>
        </w:rPr>
      </w:pPr>
    </w:p>
    <w:p w14:paraId="3F19D85E" w14:textId="77777777" w:rsidR="00091B58" w:rsidRPr="00053893" w:rsidRDefault="00091B58" w:rsidP="00091B58">
      <w:pPr>
        <w:snapToGrid w:val="0"/>
        <w:rPr>
          <w:sz w:val="22"/>
        </w:rPr>
      </w:pPr>
    </w:p>
    <w:p w14:paraId="5D8E6B48" w14:textId="77777777" w:rsidR="00091B58" w:rsidRPr="00053893" w:rsidRDefault="00091B58" w:rsidP="00091B58">
      <w:pPr>
        <w:keepNext/>
        <w:pBdr>
          <w:top w:val="single" w:sz="4" w:space="1" w:color="auto"/>
          <w:left w:val="single" w:sz="4" w:space="4" w:color="auto"/>
          <w:bottom w:val="single" w:sz="4" w:space="1" w:color="auto"/>
          <w:right w:val="single" w:sz="4" w:space="4" w:color="auto"/>
        </w:pBdr>
        <w:tabs>
          <w:tab w:val="left" w:pos="0"/>
        </w:tabs>
        <w:snapToGrid w:val="0"/>
        <w:outlineLvl w:val="0"/>
        <w:rPr>
          <w:i/>
          <w:sz w:val="22"/>
        </w:rPr>
      </w:pPr>
      <w:r w:rsidRPr="00053893">
        <w:rPr>
          <w:b/>
          <w:sz w:val="22"/>
        </w:rPr>
        <w:t>18.</w:t>
      </w:r>
      <w:r w:rsidRPr="00053893">
        <w:rPr>
          <w:b/>
          <w:sz w:val="22"/>
        </w:rPr>
        <w:tab/>
        <w:t>UNIKALUS IDENTIFIKATORIUS – ŽMONĖMS SUPRANTAMI DUOMENYS</w:t>
      </w:r>
    </w:p>
    <w:p w14:paraId="3BB6A0E4" w14:textId="77777777" w:rsidR="00091B58" w:rsidRPr="00053893" w:rsidRDefault="00091B58" w:rsidP="00091B58">
      <w:pPr>
        <w:snapToGrid w:val="0"/>
        <w:rPr>
          <w:sz w:val="22"/>
        </w:rPr>
      </w:pPr>
    </w:p>
    <w:p w14:paraId="68472EB5" w14:textId="77777777" w:rsidR="00091B58" w:rsidRPr="00053893" w:rsidRDefault="00091B58" w:rsidP="00091B58">
      <w:pPr>
        <w:snapToGrid w:val="0"/>
        <w:rPr>
          <w:sz w:val="22"/>
        </w:rPr>
      </w:pPr>
      <w:r w:rsidRPr="00053893">
        <w:rPr>
          <w:sz w:val="22"/>
          <w:highlight w:val="lightGray"/>
        </w:rPr>
        <w:t>Tik ant išorinės kartono dėžutės</w:t>
      </w:r>
    </w:p>
    <w:p w14:paraId="0DD7B477" w14:textId="77777777" w:rsidR="00091B58" w:rsidRPr="00053893" w:rsidRDefault="00091B58" w:rsidP="00091B58">
      <w:pPr>
        <w:snapToGrid w:val="0"/>
        <w:rPr>
          <w:sz w:val="22"/>
        </w:rPr>
      </w:pPr>
      <w:r w:rsidRPr="00053893">
        <w:rPr>
          <w:sz w:val="22"/>
        </w:rPr>
        <w:t>PC: {numeris}</w:t>
      </w:r>
    </w:p>
    <w:p w14:paraId="2733037C" w14:textId="77777777" w:rsidR="00091B58" w:rsidRPr="00053893" w:rsidRDefault="00091B58" w:rsidP="00091B58">
      <w:pPr>
        <w:snapToGrid w:val="0"/>
        <w:rPr>
          <w:sz w:val="22"/>
        </w:rPr>
      </w:pPr>
      <w:r w:rsidRPr="00053893">
        <w:rPr>
          <w:sz w:val="22"/>
        </w:rPr>
        <w:t>SN: {numeris}</w:t>
      </w:r>
    </w:p>
    <w:p w14:paraId="6B19861C" w14:textId="77777777" w:rsidR="00091B58" w:rsidRPr="00C81D88" w:rsidRDefault="00091B58" w:rsidP="00091B58">
      <w:pPr>
        <w:snapToGrid w:val="0"/>
        <w:rPr>
          <w:sz w:val="22"/>
          <w:szCs w:val="22"/>
        </w:rPr>
      </w:pPr>
      <w:r w:rsidRPr="00053893">
        <w:rPr>
          <w:sz w:val="22"/>
          <w:highlight w:val="lightGray"/>
        </w:rPr>
        <w:t>NN: {numeris}</w:t>
      </w:r>
      <w:r w:rsidRPr="00C81D88">
        <w:rPr>
          <w:snapToGrid w:val="0"/>
          <w:sz w:val="22"/>
          <w:szCs w:val="22"/>
        </w:rPr>
        <w:br w:type="page"/>
      </w:r>
    </w:p>
    <w:p w14:paraId="4D3AC6C0" w14:textId="77777777" w:rsidR="00091B58" w:rsidRPr="00C81D88" w:rsidRDefault="00091B58" w:rsidP="00091B58">
      <w:pPr>
        <w:pBdr>
          <w:top w:val="single" w:sz="4" w:space="1" w:color="auto"/>
          <w:left w:val="single" w:sz="4" w:space="4" w:color="auto"/>
          <w:bottom w:val="single" w:sz="4" w:space="1" w:color="auto"/>
          <w:right w:val="single" w:sz="4" w:space="4" w:color="auto"/>
        </w:pBdr>
        <w:tabs>
          <w:tab w:val="left" w:pos="0"/>
        </w:tabs>
        <w:snapToGrid w:val="0"/>
        <w:rPr>
          <w:b/>
          <w:noProof/>
          <w:sz w:val="22"/>
          <w:szCs w:val="22"/>
        </w:rPr>
      </w:pPr>
      <w:r w:rsidRPr="00C81D88">
        <w:rPr>
          <w:b/>
          <w:noProof/>
          <w:sz w:val="22"/>
          <w:szCs w:val="22"/>
        </w:rPr>
        <w:lastRenderedPageBreak/>
        <w:t>MINIMALI INFORMACIJA ANT LIZDINIŲ PLOKŠTELIŲ ARBA DVISLUOKSNIŲ JUOSTELIŲ</w:t>
      </w:r>
    </w:p>
    <w:p w14:paraId="62E780D9"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rPr>
          <w:b/>
          <w:noProof/>
          <w:sz w:val="22"/>
          <w:szCs w:val="22"/>
        </w:rPr>
      </w:pPr>
    </w:p>
    <w:p w14:paraId="66470183"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ind w:left="567" w:hanging="567"/>
        <w:rPr>
          <w:b/>
          <w:sz w:val="22"/>
          <w:szCs w:val="22"/>
        </w:rPr>
      </w:pPr>
      <w:r w:rsidRPr="00C81D88">
        <w:rPr>
          <w:b/>
          <w:sz w:val="22"/>
          <w:szCs w:val="22"/>
        </w:rPr>
        <w:t>LIZDINĖ PLOKŠTELĖ</w:t>
      </w:r>
    </w:p>
    <w:p w14:paraId="4D11E205" w14:textId="77777777" w:rsidR="00091B58" w:rsidRPr="00C81D88" w:rsidRDefault="00091B58" w:rsidP="00091B58">
      <w:pPr>
        <w:snapToGrid w:val="0"/>
        <w:rPr>
          <w:sz w:val="22"/>
          <w:szCs w:val="22"/>
        </w:rPr>
      </w:pPr>
    </w:p>
    <w:p w14:paraId="4218B514" w14:textId="77777777" w:rsidR="00091B58" w:rsidRPr="00C81D88" w:rsidRDefault="00091B58" w:rsidP="00091B58">
      <w:pPr>
        <w:snapToGrid w:val="0"/>
        <w:rPr>
          <w:sz w:val="22"/>
          <w:szCs w:val="22"/>
        </w:rPr>
      </w:pPr>
    </w:p>
    <w:p w14:paraId="48E7A33F"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b/>
          <w:sz w:val="22"/>
          <w:szCs w:val="22"/>
        </w:rPr>
      </w:pPr>
      <w:r w:rsidRPr="00C81D88">
        <w:rPr>
          <w:b/>
          <w:sz w:val="22"/>
          <w:szCs w:val="22"/>
        </w:rPr>
        <w:t>1.</w:t>
      </w:r>
      <w:r w:rsidRPr="00C81D88">
        <w:rPr>
          <w:b/>
          <w:sz w:val="22"/>
          <w:szCs w:val="22"/>
        </w:rPr>
        <w:tab/>
      </w:r>
      <w:r w:rsidRPr="00C81D88">
        <w:rPr>
          <w:b/>
          <w:caps/>
          <w:noProof/>
          <w:sz w:val="22"/>
          <w:szCs w:val="22"/>
        </w:rPr>
        <w:t>VAISTINIO</w:t>
      </w:r>
      <w:r w:rsidRPr="00C81D88">
        <w:rPr>
          <w:b/>
          <w:noProof/>
          <w:sz w:val="22"/>
          <w:szCs w:val="22"/>
        </w:rPr>
        <w:t xml:space="preserve"> PREPARATO PAVADINIMAS</w:t>
      </w:r>
    </w:p>
    <w:p w14:paraId="796E7FB3" w14:textId="77777777" w:rsidR="00091B58" w:rsidRPr="00C81D88" w:rsidRDefault="00091B58" w:rsidP="00091B58">
      <w:pPr>
        <w:snapToGrid w:val="0"/>
        <w:rPr>
          <w:sz w:val="22"/>
          <w:szCs w:val="22"/>
        </w:rPr>
      </w:pPr>
    </w:p>
    <w:p w14:paraId="1F25F1BC"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 xml:space="preserve">Dasatinib Norameda 20 mg </w:t>
      </w:r>
      <w:r w:rsidRPr="00C81D88">
        <w:rPr>
          <w:rFonts w:eastAsia="Calibri"/>
          <w:sz w:val="22"/>
          <w:szCs w:val="22"/>
          <w:highlight w:val="lightGray"/>
        </w:rPr>
        <w:t>plėvele dengtos</w:t>
      </w:r>
      <w:r w:rsidRPr="00C81D88">
        <w:rPr>
          <w:rFonts w:eastAsia="Calibri"/>
          <w:sz w:val="22"/>
          <w:szCs w:val="22"/>
        </w:rPr>
        <w:t xml:space="preserve"> tabletės</w:t>
      </w:r>
    </w:p>
    <w:p w14:paraId="0DB78EF1"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50 mg plėvele dengtos tabletės</w:t>
      </w:r>
    </w:p>
    <w:p w14:paraId="55F37EA1"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70 mg plėvele dengtos tabletės</w:t>
      </w:r>
    </w:p>
    <w:p w14:paraId="794DC079" w14:textId="77777777" w:rsidR="00091B58" w:rsidRPr="00C81D88" w:rsidRDefault="00091B58" w:rsidP="00091B58">
      <w:pPr>
        <w:autoSpaceDE w:val="0"/>
        <w:autoSpaceDN w:val="0"/>
        <w:adjustRightInd w:val="0"/>
        <w:rPr>
          <w:rFonts w:eastAsia="Calibri"/>
          <w:bCs/>
          <w:sz w:val="22"/>
          <w:szCs w:val="22"/>
        </w:rPr>
      </w:pPr>
    </w:p>
    <w:p w14:paraId="36DDE7EE" w14:textId="77777777" w:rsidR="00091B58" w:rsidRPr="00C81D88" w:rsidRDefault="00091B58" w:rsidP="00091B58">
      <w:pPr>
        <w:snapToGrid w:val="0"/>
        <w:rPr>
          <w:sz w:val="22"/>
          <w:szCs w:val="22"/>
        </w:rPr>
      </w:pPr>
      <w:r w:rsidRPr="00C81D88">
        <w:rPr>
          <w:sz w:val="22"/>
          <w:szCs w:val="22"/>
        </w:rPr>
        <w:t>dasatinibum</w:t>
      </w:r>
    </w:p>
    <w:p w14:paraId="7A17669B" w14:textId="77777777" w:rsidR="00091B58" w:rsidRPr="00C81D88" w:rsidRDefault="00091B58" w:rsidP="00091B58">
      <w:pPr>
        <w:snapToGrid w:val="0"/>
        <w:rPr>
          <w:sz w:val="22"/>
          <w:szCs w:val="22"/>
        </w:rPr>
      </w:pPr>
    </w:p>
    <w:p w14:paraId="6EC83DA5" w14:textId="77777777" w:rsidR="00091B58" w:rsidRPr="00C81D88" w:rsidRDefault="00091B58" w:rsidP="00091B58">
      <w:pPr>
        <w:snapToGrid w:val="0"/>
        <w:rPr>
          <w:sz w:val="22"/>
          <w:szCs w:val="22"/>
        </w:rPr>
      </w:pPr>
    </w:p>
    <w:p w14:paraId="12F1CE2B"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b/>
          <w:sz w:val="22"/>
          <w:szCs w:val="22"/>
        </w:rPr>
      </w:pPr>
      <w:r w:rsidRPr="00C81D88">
        <w:rPr>
          <w:b/>
          <w:sz w:val="22"/>
          <w:szCs w:val="22"/>
        </w:rPr>
        <w:t>2.</w:t>
      </w:r>
      <w:r w:rsidRPr="00C81D88">
        <w:rPr>
          <w:b/>
          <w:sz w:val="22"/>
          <w:szCs w:val="22"/>
        </w:rPr>
        <w:tab/>
      </w:r>
      <w:r w:rsidRPr="00C81D88">
        <w:rPr>
          <w:b/>
          <w:caps/>
          <w:noProof/>
          <w:sz w:val="22"/>
          <w:szCs w:val="22"/>
        </w:rPr>
        <w:t>REGISTRUOTOJO pavadinimas</w:t>
      </w:r>
    </w:p>
    <w:p w14:paraId="617EF866" w14:textId="77777777" w:rsidR="00091B58" w:rsidRPr="00C81D88" w:rsidRDefault="00091B58" w:rsidP="00091B58">
      <w:pPr>
        <w:snapToGrid w:val="0"/>
        <w:rPr>
          <w:sz w:val="22"/>
          <w:szCs w:val="22"/>
        </w:rPr>
      </w:pPr>
    </w:p>
    <w:p w14:paraId="5F0C4468" w14:textId="77777777" w:rsidR="00091B58" w:rsidRPr="00C81D88" w:rsidRDefault="00091B58" w:rsidP="00091B58">
      <w:pPr>
        <w:snapToGrid w:val="0"/>
        <w:rPr>
          <w:sz w:val="22"/>
          <w:szCs w:val="22"/>
        </w:rPr>
      </w:pPr>
      <w:r w:rsidRPr="00C81D88">
        <w:rPr>
          <w:noProof/>
          <w:sz w:val="22"/>
          <w:szCs w:val="22"/>
        </w:rPr>
        <w:t>UAB Norameda</w:t>
      </w:r>
    </w:p>
    <w:p w14:paraId="74A94470" w14:textId="77777777" w:rsidR="00091B58" w:rsidRPr="00C81D88" w:rsidRDefault="00091B58" w:rsidP="00091B58">
      <w:pPr>
        <w:snapToGrid w:val="0"/>
        <w:rPr>
          <w:sz w:val="22"/>
          <w:szCs w:val="22"/>
        </w:rPr>
      </w:pPr>
      <w:r w:rsidRPr="00C81D88">
        <w:rPr>
          <w:sz w:val="22"/>
          <w:szCs w:val="22"/>
        </w:rPr>
        <w:t xml:space="preserve"> </w:t>
      </w:r>
    </w:p>
    <w:p w14:paraId="1CB363CB" w14:textId="77777777" w:rsidR="00091B58" w:rsidRPr="00C81D88" w:rsidRDefault="00091B58" w:rsidP="00091B58">
      <w:pPr>
        <w:snapToGrid w:val="0"/>
        <w:rPr>
          <w:sz w:val="22"/>
          <w:szCs w:val="22"/>
        </w:rPr>
      </w:pPr>
    </w:p>
    <w:p w14:paraId="290813D3" w14:textId="77777777" w:rsidR="00091B58" w:rsidRPr="00C81D88" w:rsidRDefault="00091B58" w:rsidP="00091B58">
      <w:pPr>
        <w:pBdr>
          <w:top w:val="single" w:sz="4" w:space="1" w:color="auto"/>
          <w:left w:val="single" w:sz="4" w:space="4" w:color="auto"/>
          <w:bottom w:val="single" w:sz="4" w:space="2" w:color="auto"/>
          <w:right w:val="single" w:sz="4" w:space="4" w:color="auto"/>
        </w:pBdr>
        <w:snapToGrid w:val="0"/>
        <w:outlineLvl w:val="0"/>
        <w:rPr>
          <w:b/>
          <w:sz w:val="22"/>
          <w:szCs w:val="22"/>
        </w:rPr>
      </w:pPr>
      <w:r w:rsidRPr="00C81D88">
        <w:rPr>
          <w:b/>
          <w:sz w:val="22"/>
          <w:szCs w:val="22"/>
        </w:rPr>
        <w:t>3.</w:t>
      </w:r>
      <w:r w:rsidRPr="00C81D88">
        <w:rPr>
          <w:b/>
          <w:sz w:val="22"/>
          <w:szCs w:val="22"/>
        </w:rPr>
        <w:tab/>
      </w:r>
      <w:r w:rsidRPr="00C81D88">
        <w:rPr>
          <w:b/>
          <w:noProof/>
          <w:sz w:val="22"/>
          <w:szCs w:val="22"/>
        </w:rPr>
        <w:t>TINKAMUMO LAIKAS</w:t>
      </w:r>
    </w:p>
    <w:p w14:paraId="35ED5E85" w14:textId="77777777" w:rsidR="00091B58" w:rsidRPr="00C81D88" w:rsidRDefault="00091B58" w:rsidP="00091B58">
      <w:pPr>
        <w:snapToGrid w:val="0"/>
        <w:rPr>
          <w:sz w:val="22"/>
          <w:szCs w:val="22"/>
        </w:rPr>
      </w:pPr>
    </w:p>
    <w:p w14:paraId="6E4FD820" w14:textId="77777777" w:rsidR="00091B58" w:rsidRPr="00C81D88" w:rsidRDefault="00091B58" w:rsidP="00091B58">
      <w:pPr>
        <w:snapToGrid w:val="0"/>
        <w:rPr>
          <w:sz w:val="22"/>
          <w:szCs w:val="22"/>
        </w:rPr>
      </w:pPr>
      <w:r w:rsidRPr="00C81D88">
        <w:rPr>
          <w:sz w:val="22"/>
          <w:szCs w:val="22"/>
        </w:rPr>
        <w:t>EXP {mm/MMMM}</w:t>
      </w:r>
    </w:p>
    <w:p w14:paraId="08232C3B" w14:textId="77777777" w:rsidR="00091B58" w:rsidRPr="00C81D88" w:rsidRDefault="00091B58" w:rsidP="00091B58">
      <w:pPr>
        <w:snapToGrid w:val="0"/>
        <w:rPr>
          <w:sz w:val="22"/>
          <w:szCs w:val="22"/>
        </w:rPr>
      </w:pPr>
    </w:p>
    <w:p w14:paraId="4864766D" w14:textId="77777777" w:rsidR="00091B58" w:rsidRPr="00C81D88" w:rsidRDefault="00091B58" w:rsidP="00091B58">
      <w:pPr>
        <w:snapToGrid w:val="0"/>
        <w:rPr>
          <w:sz w:val="22"/>
          <w:szCs w:val="22"/>
        </w:rPr>
      </w:pPr>
    </w:p>
    <w:p w14:paraId="512006C4" w14:textId="77777777" w:rsidR="00091B58" w:rsidRPr="00C81D88" w:rsidRDefault="00091B58" w:rsidP="00091B58">
      <w:pPr>
        <w:suppressLineNumbers/>
        <w:pBdr>
          <w:top w:val="single" w:sz="4" w:space="1" w:color="auto"/>
          <w:left w:val="single" w:sz="4" w:space="4" w:color="auto"/>
          <w:bottom w:val="single" w:sz="4" w:space="1" w:color="auto"/>
          <w:right w:val="single" w:sz="4" w:space="4" w:color="auto"/>
        </w:pBdr>
        <w:snapToGrid w:val="0"/>
        <w:outlineLvl w:val="0"/>
        <w:rPr>
          <w:b/>
          <w:sz w:val="22"/>
          <w:szCs w:val="22"/>
        </w:rPr>
      </w:pPr>
      <w:r w:rsidRPr="00C81D88">
        <w:rPr>
          <w:b/>
          <w:sz w:val="22"/>
          <w:szCs w:val="22"/>
        </w:rPr>
        <w:t>4.</w:t>
      </w:r>
      <w:r w:rsidRPr="00C81D88">
        <w:rPr>
          <w:b/>
          <w:sz w:val="22"/>
          <w:szCs w:val="22"/>
        </w:rPr>
        <w:tab/>
      </w:r>
      <w:r w:rsidRPr="00C81D88">
        <w:rPr>
          <w:b/>
          <w:noProof/>
          <w:sz w:val="22"/>
          <w:szCs w:val="22"/>
        </w:rPr>
        <w:t>SERIJOS NUMERIS</w:t>
      </w:r>
    </w:p>
    <w:p w14:paraId="54B07EDE" w14:textId="77777777" w:rsidR="00091B58" w:rsidRPr="00C81D88" w:rsidRDefault="00091B58" w:rsidP="00091B58">
      <w:pPr>
        <w:snapToGrid w:val="0"/>
        <w:rPr>
          <w:sz w:val="22"/>
          <w:szCs w:val="22"/>
        </w:rPr>
      </w:pPr>
    </w:p>
    <w:p w14:paraId="11FFF98C" w14:textId="77777777" w:rsidR="00091B58" w:rsidRPr="00C81D88" w:rsidRDefault="00091B58" w:rsidP="00091B58">
      <w:pPr>
        <w:snapToGrid w:val="0"/>
        <w:outlineLvl w:val="0"/>
        <w:rPr>
          <w:b/>
          <w:sz w:val="22"/>
          <w:szCs w:val="22"/>
        </w:rPr>
      </w:pPr>
      <w:r w:rsidRPr="00C81D88">
        <w:rPr>
          <w:sz w:val="22"/>
          <w:szCs w:val="22"/>
        </w:rPr>
        <w:t>Lot</w:t>
      </w:r>
    </w:p>
    <w:p w14:paraId="24151CBE" w14:textId="77777777" w:rsidR="00091B58" w:rsidRPr="00C81D88" w:rsidRDefault="00091B58" w:rsidP="00091B58">
      <w:pPr>
        <w:snapToGrid w:val="0"/>
        <w:rPr>
          <w:sz w:val="22"/>
          <w:szCs w:val="22"/>
        </w:rPr>
      </w:pPr>
    </w:p>
    <w:p w14:paraId="58FC774B" w14:textId="77777777" w:rsidR="00091B58" w:rsidRPr="00C81D88" w:rsidRDefault="00091B58" w:rsidP="00091B58">
      <w:pPr>
        <w:snapToGrid w:val="0"/>
        <w:rPr>
          <w:sz w:val="22"/>
          <w:szCs w:val="22"/>
        </w:rPr>
      </w:pPr>
    </w:p>
    <w:p w14:paraId="68796304" w14:textId="77777777" w:rsidR="00091B58" w:rsidRPr="00C81D88" w:rsidRDefault="00091B58" w:rsidP="00091B58">
      <w:pPr>
        <w:pBdr>
          <w:top w:val="single" w:sz="4" w:space="1" w:color="auto"/>
          <w:left w:val="single" w:sz="4" w:space="4" w:color="auto"/>
          <w:bottom w:val="single" w:sz="4" w:space="1" w:color="auto"/>
          <w:right w:val="single" w:sz="4" w:space="4" w:color="auto"/>
        </w:pBdr>
        <w:snapToGrid w:val="0"/>
        <w:outlineLvl w:val="0"/>
        <w:rPr>
          <w:b/>
          <w:sz w:val="22"/>
          <w:szCs w:val="22"/>
        </w:rPr>
      </w:pPr>
      <w:r w:rsidRPr="00C81D88">
        <w:rPr>
          <w:b/>
          <w:sz w:val="22"/>
          <w:szCs w:val="22"/>
        </w:rPr>
        <w:t>5.</w:t>
      </w:r>
      <w:r w:rsidRPr="00C81D88">
        <w:rPr>
          <w:b/>
          <w:sz w:val="22"/>
          <w:szCs w:val="22"/>
        </w:rPr>
        <w:tab/>
      </w:r>
      <w:r w:rsidRPr="00C81D88">
        <w:rPr>
          <w:b/>
          <w:noProof/>
          <w:sz w:val="22"/>
          <w:szCs w:val="22"/>
        </w:rPr>
        <w:t>KITA</w:t>
      </w:r>
    </w:p>
    <w:p w14:paraId="13D88A70" w14:textId="77777777" w:rsidR="00091B58" w:rsidRPr="00C81D88" w:rsidRDefault="00091B58" w:rsidP="00091B58">
      <w:pPr>
        <w:snapToGrid w:val="0"/>
        <w:rPr>
          <w:sz w:val="22"/>
          <w:szCs w:val="22"/>
        </w:rPr>
      </w:pPr>
    </w:p>
    <w:p w14:paraId="7543B96F" w14:textId="77777777" w:rsidR="00091B58" w:rsidRPr="00C81D88" w:rsidRDefault="00091B58" w:rsidP="00091B58">
      <w:pPr>
        <w:snapToGrid w:val="0"/>
        <w:rPr>
          <w:sz w:val="22"/>
          <w:szCs w:val="22"/>
        </w:rPr>
      </w:pPr>
    </w:p>
    <w:p w14:paraId="422DD3DB" w14:textId="77777777" w:rsidR="00091B58" w:rsidRPr="00C81D88" w:rsidRDefault="00091B58" w:rsidP="00091B58">
      <w:pPr>
        <w:rPr>
          <w:rFonts w:eastAsia="SimSun"/>
          <w:sz w:val="22"/>
          <w:szCs w:val="22"/>
          <w:lang w:eastAsia="zh-CN"/>
        </w:rPr>
      </w:pPr>
      <w:r w:rsidRPr="00C81D88">
        <w:rPr>
          <w:snapToGrid w:val="0"/>
          <w:sz w:val="22"/>
          <w:szCs w:val="22"/>
        </w:rPr>
        <w:br w:type="page"/>
      </w:r>
    </w:p>
    <w:p w14:paraId="73254E33" w14:textId="77777777" w:rsidR="00091B58" w:rsidRPr="00C81D88" w:rsidRDefault="00091B58" w:rsidP="00091B58">
      <w:pPr>
        <w:rPr>
          <w:rFonts w:eastAsia="SimSun"/>
          <w:sz w:val="22"/>
          <w:szCs w:val="22"/>
          <w:lang w:eastAsia="zh-CN"/>
        </w:rPr>
      </w:pPr>
    </w:p>
    <w:p w14:paraId="7935EBF7" w14:textId="77777777" w:rsidR="00091B58" w:rsidRPr="00C81D88" w:rsidRDefault="00091B58" w:rsidP="00091B58">
      <w:pPr>
        <w:rPr>
          <w:rFonts w:eastAsia="SimSun"/>
          <w:sz w:val="22"/>
          <w:szCs w:val="22"/>
          <w:lang w:eastAsia="zh-CN"/>
        </w:rPr>
      </w:pPr>
    </w:p>
    <w:p w14:paraId="24AA633C" w14:textId="77777777" w:rsidR="00091B58" w:rsidRPr="00C81D88" w:rsidRDefault="00091B58" w:rsidP="00091B58">
      <w:pPr>
        <w:rPr>
          <w:rFonts w:eastAsia="SimSun"/>
          <w:sz w:val="22"/>
          <w:szCs w:val="22"/>
          <w:lang w:eastAsia="zh-CN"/>
        </w:rPr>
      </w:pPr>
    </w:p>
    <w:p w14:paraId="37ADBC0E" w14:textId="77777777" w:rsidR="00091B58" w:rsidRPr="00C81D88" w:rsidRDefault="00091B58" w:rsidP="00091B58">
      <w:pPr>
        <w:rPr>
          <w:rFonts w:eastAsia="SimSun"/>
          <w:sz w:val="22"/>
          <w:szCs w:val="22"/>
          <w:lang w:eastAsia="zh-CN"/>
        </w:rPr>
      </w:pPr>
    </w:p>
    <w:p w14:paraId="1F1434F6" w14:textId="77777777" w:rsidR="00091B58" w:rsidRPr="00C81D88" w:rsidRDefault="00091B58" w:rsidP="00091B58">
      <w:pPr>
        <w:rPr>
          <w:rFonts w:eastAsia="SimSun"/>
          <w:sz w:val="22"/>
          <w:szCs w:val="22"/>
          <w:lang w:eastAsia="zh-CN"/>
        </w:rPr>
      </w:pPr>
    </w:p>
    <w:p w14:paraId="65408CF8" w14:textId="77777777" w:rsidR="00091B58" w:rsidRPr="00C81D88" w:rsidRDefault="00091B58" w:rsidP="00091B58">
      <w:pPr>
        <w:rPr>
          <w:rFonts w:eastAsia="SimSun"/>
          <w:sz w:val="22"/>
          <w:szCs w:val="22"/>
          <w:lang w:eastAsia="zh-CN"/>
        </w:rPr>
      </w:pPr>
    </w:p>
    <w:p w14:paraId="786CEA7F" w14:textId="77777777" w:rsidR="00091B58" w:rsidRPr="00C81D88" w:rsidRDefault="00091B58" w:rsidP="00091B58">
      <w:pPr>
        <w:rPr>
          <w:rFonts w:eastAsia="SimSun"/>
          <w:sz w:val="22"/>
          <w:szCs w:val="22"/>
          <w:lang w:eastAsia="zh-CN"/>
        </w:rPr>
      </w:pPr>
    </w:p>
    <w:p w14:paraId="056CF344" w14:textId="77777777" w:rsidR="00091B58" w:rsidRPr="00C81D88" w:rsidRDefault="00091B58" w:rsidP="00091B58">
      <w:pPr>
        <w:rPr>
          <w:rFonts w:eastAsia="SimSun"/>
          <w:sz w:val="22"/>
          <w:szCs w:val="22"/>
          <w:lang w:eastAsia="zh-CN"/>
        </w:rPr>
      </w:pPr>
    </w:p>
    <w:p w14:paraId="3FBD252F" w14:textId="77777777" w:rsidR="00091B58" w:rsidRPr="00C81D88" w:rsidRDefault="00091B58" w:rsidP="00091B58">
      <w:pPr>
        <w:rPr>
          <w:rFonts w:eastAsia="SimSun"/>
          <w:sz w:val="22"/>
          <w:szCs w:val="22"/>
          <w:lang w:eastAsia="zh-CN"/>
        </w:rPr>
      </w:pPr>
    </w:p>
    <w:p w14:paraId="56485FBA" w14:textId="77777777" w:rsidR="00091B58" w:rsidRPr="00C81D88" w:rsidRDefault="00091B58" w:rsidP="00091B58">
      <w:pPr>
        <w:rPr>
          <w:rFonts w:eastAsia="SimSun"/>
          <w:sz w:val="22"/>
          <w:szCs w:val="22"/>
          <w:lang w:eastAsia="zh-CN"/>
        </w:rPr>
      </w:pPr>
    </w:p>
    <w:p w14:paraId="318D52BD" w14:textId="77777777" w:rsidR="00091B58" w:rsidRPr="00C81D88" w:rsidRDefault="00091B58" w:rsidP="00091B58">
      <w:pPr>
        <w:rPr>
          <w:rFonts w:eastAsia="SimSun"/>
          <w:sz w:val="22"/>
          <w:szCs w:val="22"/>
          <w:lang w:eastAsia="zh-CN"/>
        </w:rPr>
      </w:pPr>
    </w:p>
    <w:p w14:paraId="15ABF348" w14:textId="77777777" w:rsidR="00091B58" w:rsidRPr="00C81D88" w:rsidRDefault="00091B58" w:rsidP="00091B58">
      <w:pPr>
        <w:rPr>
          <w:rFonts w:eastAsia="SimSun"/>
          <w:sz w:val="22"/>
          <w:szCs w:val="22"/>
          <w:lang w:eastAsia="zh-CN"/>
        </w:rPr>
      </w:pPr>
    </w:p>
    <w:p w14:paraId="00A0C3BD" w14:textId="77777777" w:rsidR="00091B58" w:rsidRPr="00C81D88" w:rsidRDefault="00091B58" w:rsidP="00091B58">
      <w:pPr>
        <w:rPr>
          <w:rFonts w:eastAsia="SimSun"/>
          <w:sz w:val="22"/>
          <w:szCs w:val="22"/>
          <w:lang w:eastAsia="zh-CN"/>
        </w:rPr>
      </w:pPr>
    </w:p>
    <w:p w14:paraId="3281CE14" w14:textId="77777777" w:rsidR="00091B58" w:rsidRPr="00C81D88" w:rsidRDefault="00091B58" w:rsidP="00091B58">
      <w:pPr>
        <w:rPr>
          <w:rFonts w:eastAsia="SimSun"/>
          <w:sz w:val="22"/>
          <w:szCs w:val="22"/>
          <w:lang w:eastAsia="zh-CN"/>
        </w:rPr>
      </w:pPr>
    </w:p>
    <w:p w14:paraId="38CB9362" w14:textId="77777777" w:rsidR="00091B58" w:rsidRPr="00C81D88" w:rsidRDefault="00091B58" w:rsidP="00091B58">
      <w:pPr>
        <w:rPr>
          <w:rFonts w:eastAsia="SimSun"/>
          <w:sz w:val="22"/>
          <w:szCs w:val="22"/>
          <w:lang w:eastAsia="zh-CN"/>
        </w:rPr>
      </w:pPr>
    </w:p>
    <w:p w14:paraId="74E1EBD4" w14:textId="77777777" w:rsidR="00091B58" w:rsidRPr="00C81D88" w:rsidRDefault="00091B58" w:rsidP="00091B58">
      <w:pPr>
        <w:rPr>
          <w:rFonts w:eastAsia="SimSun"/>
          <w:sz w:val="22"/>
          <w:szCs w:val="22"/>
          <w:lang w:eastAsia="zh-CN"/>
        </w:rPr>
      </w:pPr>
    </w:p>
    <w:p w14:paraId="1A2128A4" w14:textId="77777777" w:rsidR="00091B58" w:rsidRPr="00C81D88" w:rsidRDefault="00091B58" w:rsidP="00091B58">
      <w:pPr>
        <w:rPr>
          <w:rFonts w:eastAsia="SimSun"/>
          <w:sz w:val="22"/>
          <w:szCs w:val="22"/>
          <w:lang w:eastAsia="zh-CN"/>
        </w:rPr>
      </w:pPr>
    </w:p>
    <w:p w14:paraId="0520E28A" w14:textId="77777777" w:rsidR="00091B58" w:rsidRPr="00C81D88" w:rsidRDefault="00091B58" w:rsidP="00091B58">
      <w:pPr>
        <w:rPr>
          <w:rFonts w:eastAsia="SimSun"/>
          <w:sz w:val="22"/>
          <w:szCs w:val="22"/>
          <w:lang w:eastAsia="zh-CN"/>
        </w:rPr>
      </w:pPr>
    </w:p>
    <w:p w14:paraId="599F7C22" w14:textId="77777777" w:rsidR="00091B58" w:rsidRPr="00C81D88" w:rsidRDefault="00091B58" w:rsidP="00091B58">
      <w:pPr>
        <w:rPr>
          <w:rFonts w:eastAsia="SimSun"/>
          <w:sz w:val="22"/>
          <w:szCs w:val="22"/>
          <w:lang w:eastAsia="zh-CN"/>
        </w:rPr>
      </w:pPr>
    </w:p>
    <w:p w14:paraId="566A0070" w14:textId="77777777" w:rsidR="00091B58" w:rsidRPr="00C81D88" w:rsidRDefault="00091B58" w:rsidP="00091B58">
      <w:pPr>
        <w:rPr>
          <w:rFonts w:eastAsia="SimSun"/>
          <w:sz w:val="22"/>
          <w:szCs w:val="22"/>
          <w:lang w:eastAsia="zh-CN"/>
        </w:rPr>
      </w:pPr>
    </w:p>
    <w:p w14:paraId="3B9FAB98" w14:textId="77777777" w:rsidR="00091B58" w:rsidRPr="00C81D88" w:rsidRDefault="00091B58" w:rsidP="00091B58">
      <w:pPr>
        <w:rPr>
          <w:rFonts w:eastAsia="SimSun"/>
          <w:sz w:val="22"/>
          <w:szCs w:val="22"/>
          <w:lang w:eastAsia="zh-CN"/>
        </w:rPr>
      </w:pPr>
    </w:p>
    <w:p w14:paraId="7786B710" w14:textId="77777777" w:rsidR="00091B58" w:rsidRPr="00C81D88" w:rsidRDefault="00091B58" w:rsidP="00091B58">
      <w:pPr>
        <w:rPr>
          <w:rFonts w:eastAsia="SimSun"/>
          <w:sz w:val="22"/>
          <w:szCs w:val="22"/>
          <w:lang w:eastAsia="zh-CN"/>
        </w:rPr>
      </w:pPr>
    </w:p>
    <w:p w14:paraId="0629E0A5" w14:textId="77777777" w:rsidR="00091B58" w:rsidRPr="00C81D88" w:rsidRDefault="00091B58" w:rsidP="00091B58">
      <w:pPr>
        <w:rPr>
          <w:rFonts w:eastAsia="SimSun"/>
          <w:sz w:val="22"/>
          <w:szCs w:val="22"/>
          <w:lang w:eastAsia="zh-CN"/>
        </w:rPr>
      </w:pPr>
    </w:p>
    <w:p w14:paraId="0F9BC8ED" w14:textId="77777777" w:rsidR="00091B58" w:rsidRPr="00C81D88" w:rsidRDefault="00091B58" w:rsidP="00091B58">
      <w:pPr>
        <w:keepNext/>
        <w:jc w:val="center"/>
        <w:outlineLvl w:val="1"/>
        <w:rPr>
          <w:rFonts w:eastAsia="SimSun"/>
          <w:b/>
          <w:iCs/>
          <w:sz w:val="22"/>
          <w:szCs w:val="22"/>
        </w:rPr>
      </w:pPr>
      <w:r w:rsidRPr="00C81D88">
        <w:rPr>
          <w:rFonts w:eastAsia="SimSun"/>
          <w:b/>
          <w:iCs/>
          <w:sz w:val="22"/>
          <w:szCs w:val="22"/>
        </w:rPr>
        <w:t>B. PAKUOTĖS LAPELIS</w:t>
      </w:r>
    </w:p>
    <w:p w14:paraId="6677DB4D" w14:textId="77777777" w:rsidR="00091B58" w:rsidRPr="00C81D88" w:rsidRDefault="00091B58" w:rsidP="00091B58">
      <w:pPr>
        <w:keepNext/>
        <w:jc w:val="center"/>
        <w:outlineLvl w:val="1"/>
        <w:rPr>
          <w:rFonts w:eastAsia="SimSun"/>
          <w:b/>
          <w:iCs/>
          <w:sz w:val="22"/>
          <w:szCs w:val="22"/>
        </w:rPr>
      </w:pPr>
      <w:r w:rsidRPr="00C81D88">
        <w:rPr>
          <w:rFonts w:eastAsia="SimSun"/>
          <w:i/>
          <w:sz w:val="22"/>
          <w:szCs w:val="22"/>
        </w:rPr>
        <w:br w:type="page"/>
      </w:r>
      <w:r w:rsidRPr="00C81D88">
        <w:rPr>
          <w:rFonts w:eastAsia="SimSun"/>
          <w:b/>
          <w:iCs/>
          <w:sz w:val="22"/>
          <w:szCs w:val="22"/>
        </w:rPr>
        <w:lastRenderedPageBreak/>
        <w:t>Pakuotės lapelis: informacija vartotojui</w:t>
      </w:r>
    </w:p>
    <w:p w14:paraId="1F250373" w14:textId="77777777" w:rsidR="00091B58" w:rsidRPr="00C81D88" w:rsidRDefault="00091B58" w:rsidP="00091B58">
      <w:pPr>
        <w:numPr>
          <w:ilvl w:val="12"/>
          <w:numId w:val="0"/>
        </w:numPr>
        <w:shd w:val="clear" w:color="auto" w:fill="FFFFFF"/>
        <w:jc w:val="center"/>
        <w:rPr>
          <w:rFonts w:eastAsia="SimSun"/>
          <w:sz w:val="22"/>
          <w:szCs w:val="22"/>
          <w:lang w:eastAsia="zh-CN"/>
        </w:rPr>
      </w:pPr>
    </w:p>
    <w:p w14:paraId="6A020A86" w14:textId="77777777" w:rsidR="00091B58" w:rsidRPr="00C81D88" w:rsidRDefault="00091B58" w:rsidP="00091B58">
      <w:pPr>
        <w:autoSpaceDE w:val="0"/>
        <w:autoSpaceDN w:val="0"/>
        <w:adjustRightInd w:val="0"/>
        <w:jc w:val="center"/>
        <w:rPr>
          <w:rFonts w:eastAsia="Calibri"/>
          <w:b/>
          <w:sz w:val="22"/>
          <w:szCs w:val="22"/>
        </w:rPr>
      </w:pPr>
      <w:r w:rsidRPr="00C81D88">
        <w:rPr>
          <w:rFonts w:eastAsia="Calibri"/>
          <w:b/>
          <w:sz w:val="22"/>
          <w:szCs w:val="22"/>
        </w:rPr>
        <w:t>Dasatinib Norameda 20 mg plėvele dengtos tabletės</w:t>
      </w:r>
    </w:p>
    <w:p w14:paraId="6B5A95E9" w14:textId="77777777" w:rsidR="00091B58" w:rsidRPr="00C81D88" w:rsidRDefault="00091B58" w:rsidP="00091B58">
      <w:pPr>
        <w:autoSpaceDE w:val="0"/>
        <w:autoSpaceDN w:val="0"/>
        <w:adjustRightInd w:val="0"/>
        <w:jc w:val="center"/>
        <w:rPr>
          <w:rFonts w:eastAsia="Calibri"/>
          <w:b/>
          <w:sz w:val="22"/>
          <w:szCs w:val="22"/>
          <w:highlight w:val="lightGray"/>
        </w:rPr>
      </w:pPr>
      <w:r w:rsidRPr="00C81D88">
        <w:rPr>
          <w:rFonts w:eastAsia="Calibri"/>
          <w:b/>
          <w:sz w:val="22"/>
          <w:szCs w:val="22"/>
          <w:highlight w:val="lightGray"/>
        </w:rPr>
        <w:t>Dasatinib Norameda 50 mg plėvele dengtos tabletės</w:t>
      </w:r>
    </w:p>
    <w:p w14:paraId="0D3606AE" w14:textId="77777777" w:rsidR="00091B58" w:rsidRPr="00C81D88" w:rsidRDefault="00091B58" w:rsidP="00091B58">
      <w:pPr>
        <w:autoSpaceDE w:val="0"/>
        <w:autoSpaceDN w:val="0"/>
        <w:adjustRightInd w:val="0"/>
        <w:jc w:val="center"/>
        <w:rPr>
          <w:rFonts w:eastAsia="Calibri"/>
          <w:b/>
          <w:sz w:val="22"/>
          <w:szCs w:val="22"/>
          <w:highlight w:val="lightGray"/>
        </w:rPr>
      </w:pPr>
      <w:r w:rsidRPr="00C81D88">
        <w:rPr>
          <w:rFonts w:eastAsia="Calibri"/>
          <w:b/>
          <w:sz w:val="22"/>
          <w:szCs w:val="22"/>
          <w:highlight w:val="lightGray"/>
        </w:rPr>
        <w:t>Dasatinib Norameda 70 mg plėvele dengtos tabletės</w:t>
      </w:r>
    </w:p>
    <w:p w14:paraId="6CAAFE93" w14:textId="77777777" w:rsidR="00091B58" w:rsidRPr="00C81D88" w:rsidRDefault="00091B58" w:rsidP="00091B58">
      <w:pPr>
        <w:autoSpaceDE w:val="0"/>
        <w:autoSpaceDN w:val="0"/>
        <w:adjustRightInd w:val="0"/>
        <w:rPr>
          <w:rFonts w:eastAsia="Calibri"/>
          <w:b/>
          <w:bCs/>
          <w:sz w:val="22"/>
          <w:szCs w:val="22"/>
        </w:rPr>
      </w:pPr>
    </w:p>
    <w:p w14:paraId="76F54489" w14:textId="77777777" w:rsidR="00091B58" w:rsidRPr="00C81D88" w:rsidRDefault="00091B58" w:rsidP="00091B58">
      <w:pPr>
        <w:numPr>
          <w:ilvl w:val="12"/>
          <w:numId w:val="0"/>
        </w:numPr>
        <w:jc w:val="center"/>
        <w:rPr>
          <w:rFonts w:eastAsia="SimSun"/>
          <w:sz w:val="22"/>
          <w:szCs w:val="22"/>
          <w:lang w:eastAsia="zh-CN"/>
        </w:rPr>
      </w:pPr>
      <w:r w:rsidRPr="00C81D88">
        <w:rPr>
          <w:rFonts w:eastAsia="SimSun"/>
          <w:sz w:val="22"/>
          <w:szCs w:val="22"/>
          <w:lang w:eastAsia="zh-CN"/>
        </w:rPr>
        <w:t>dazatinibas</w:t>
      </w:r>
    </w:p>
    <w:p w14:paraId="3A5334C8" w14:textId="77777777" w:rsidR="00091B58" w:rsidRPr="00C81D88" w:rsidRDefault="00091B58" w:rsidP="00091B58">
      <w:pPr>
        <w:rPr>
          <w:rFonts w:eastAsia="SimSun"/>
          <w:sz w:val="22"/>
          <w:szCs w:val="22"/>
          <w:lang w:eastAsia="zh-CN"/>
        </w:rPr>
      </w:pPr>
    </w:p>
    <w:p w14:paraId="251C9D9F" w14:textId="77777777" w:rsidR="00091B58" w:rsidRPr="00C81D88" w:rsidRDefault="00091B58" w:rsidP="00091B58">
      <w:pPr>
        <w:suppressAutoHyphens/>
        <w:rPr>
          <w:rFonts w:eastAsia="SimSun"/>
          <w:sz w:val="22"/>
          <w:szCs w:val="22"/>
          <w:lang w:eastAsia="zh-CN"/>
        </w:rPr>
      </w:pPr>
      <w:r w:rsidRPr="00C81D88">
        <w:rPr>
          <w:rFonts w:eastAsia="SimSun"/>
          <w:b/>
          <w:sz w:val="22"/>
          <w:szCs w:val="22"/>
          <w:lang w:eastAsia="zh-CN"/>
        </w:rPr>
        <w:t>Atidžiai perskaitykite visą šį lapelį, prieš pradėdami vartoti vaistą, nes jame pateikiama Jums svarbi informacija.</w:t>
      </w:r>
    </w:p>
    <w:p w14:paraId="55D7A2B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Neišmeskite šio lapelio, nes vėl gali prireikti jį perskaityti. </w:t>
      </w:r>
    </w:p>
    <w:p w14:paraId="4C8B45E3"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Jeigu kiltų daugiau klausimų, kreipkitės į gydytoją arba vaistininką.</w:t>
      </w:r>
    </w:p>
    <w:p w14:paraId="160500C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Šis vaistas skirtas tik Jums, todėl kitiems žmonėms jo duoti negalima. Vaistas gali jiems pakenkti (net tiems, kurių ligos požymiai yra tokie patys kaip Jūsų). </w:t>
      </w:r>
    </w:p>
    <w:p w14:paraId="58FB16E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Jeigu pasireiškė šalutinis poveikis (net jeigu jis šiame lapelyje nenurodytas), kreipkitės į gydytoją arba vaistininką. Žr. 4 skyrių.</w:t>
      </w:r>
    </w:p>
    <w:p w14:paraId="33A967A4" w14:textId="77777777" w:rsidR="00091B58" w:rsidRPr="00C81D88" w:rsidRDefault="00091B58" w:rsidP="00091B58">
      <w:pPr>
        <w:rPr>
          <w:rFonts w:eastAsia="SimSun"/>
          <w:sz w:val="22"/>
          <w:szCs w:val="22"/>
          <w:lang w:eastAsia="zh-CN"/>
        </w:rPr>
      </w:pPr>
    </w:p>
    <w:p w14:paraId="04F9D75F" w14:textId="77777777" w:rsidR="00091B58" w:rsidRPr="00C81D88" w:rsidRDefault="00091B58" w:rsidP="00091B58">
      <w:pPr>
        <w:rPr>
          <w:rFonts w:eastAsia="SimSun"/>
          <w:b/>
          <w:sz w:val="22"/>
          <w:szCs w:val="22"/>
        </w:rPr>
      </w:pPr>
      <w:r w:rsidRPr="00C81D88">
        <w:rPr>
          <w:rFonts w:eastAsia="SimSun"/>
          <w:b/>
          <w:sz w:val="22"/>
          <w:szCs w:val="22"/>
        </w:rPr>
        <w:t>Apie ką rašoma šiame lapelyje?</w:t>
      </w:r>
    </w:p>
    <w:p w14:paraId="7FC8145A" w14:textId="77777777" w:rsidR="00091B58" w:rsidRPr="00C81D88" w:rsidRDefault="00091B58" w:rsidP="00091B58">
      <w:pPr>
        <w:rPr>
          <w:rFonts w:eastAsia="SimSun"/>
          <w:sz w:val="22"/>
          <w:szCs w:val="22"/>
        </w:rPr>
      </w:pPr>
    </w:p>
    <w:p w14:paraId="39C1AD6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1.</w:t>
      </w:r>
      <w:r w:rsidRPr="00C81D88">
        <w:rPr>
          <w:rFonts w:eastAsia="SimSun"/>
          <w:sz w:val="22"/>
          <w:szCs w:val="22"/>
          <w:lang w:eastAsia="zh-CN"/>
        </w:rPr>
        <w:tab/>
        <w:t xml:space="preserve">Kas yra Dasatinib Norameda ir kam jis vartojamas </w:t>
      </w:r>
    </w:p>
    <w:p w14:paraId="5626AAE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2.</w:t>
      </w:r>
      <w:r w:rsidRPr="00C81D88">
        <w:rPr>
          <w:rFonts w:eastAsia="SimSun"/>
          <w:sz w:val="22"/>
          <w:szCs w:val="22"/>
          <w:lang w:eastAsia="zh-CN"/>
        </w:rPr>
        <w:tab/>
        <w:t xml:space="preserve">Kas žinotina prieš vartojant Dasatinib Norameda </w:t>
      </w:r>
    </w:p>
    <w:p w14:paraId="247823C3"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3.</w:t>
      </w:r>
      <w:r w:rsidRPr="00C81D88">
        <w:rPr>
          <w:rFonts w:eastAsia="SimSun"/>
          <w:sz w:val="22"/>
          <w:szCs w:val="22"/>
          <w:lang w:eastAsia="zh-CN"/>
        </w:rPr>
        <w:tab/>
        <w:t xml:space="preserve">Kaip vartoti Dasatinib Norameda </w:t>
      </w:r>
    </w:p>
    <w:p w14:paraId="3000A544"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4.</w:t>
      </w:r>
      <w:r w:rsidRPr="00C81D88">
        <w:rPr>
          <w:rFonts w:eastAsia="SimSun"/>
          <w:sz w:val="22"/>
          <w:szCs w:val="22"/>
          <w:lang w:eastAsia="zh-CN"/>
        </w:rPr>
        <w:tab/>
        <w:t xml:space="preserve">Galimas šalutinis poveikis </w:t>
      </w:r>
    </w:p>
    <w:p w14:paraId="23D0E8B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5.</w:t>
      </w:r>
      <w:r w:rsidRPr="00C81D88">
        <w:rPr>
          <w:rFonts w:eastAsia="SimSun"/>
          <w:sz w:val="22"/>
          <w:szCs w:val="22"/>
          <w:lang w:eastAsia="zh-CN"/>
        </w:rPr>
        <w:tab/>
        <w:t xml:space="preserve">Kaip laikyti Dasatinib Norameda </w:t>
      </w:r>
    </w:p>
    <w:p w14:paraId="207D55A2"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6.</w:t>
      </w:r>
      <w:r w:rsidRPr="00C81D88">
        <w:rPr>
          <w:rFonts w:eastAsia="SimSun"/>
          <w:sz w:val="22"/>
          <w:szCs w:val="22"/>
          <w:lang w:eastAsia="zh-CN"/>
        </w:rPr>
        <w:tab/>
        <w:t>Pakuotės turinys ir kita informacija</w:t>
      </w:r>
    </w:p>
    <w:p w14:paraId="034AD975" w14:textId="77777777" w:rsidR="00091B58" w:rsidRPr="00C81D88" w:rsidRDefault="00091B58" w:rsidP="00091B58">
      <w:pPr>
        <w:numPr>
          <w:ilvl w:val="12"/>
          <w:numId w:val="0"/>
        </w:numPr>
        <w:rPr>
          <w:rFonts w:eastAsia="SimSun"/>
          <w:sz w:val="22"/>
          <w:szCs w:val="22"/>
          <w:lang w:eastAsia="zh-CN"/>
        </w:rPr>
      </w:pPr>
    </w:p>
    <w:p w14:paraId="69851A6B" w14:textId="77777777" w:rsidR="00091B58" w:rsidRPr="00C81D88" w:rsidRDefault="00091B58" w:rsidP="00091B58">
      <w:pPr>
        <w:numPr>
          <w:ilvl w:val="12"/>
          <w:numId w:val="0"/>
        </w:numPr>
        <w:rPr>
          <w:rFonts w:eastAsia="SimSun"/>
          <w:sz w:val="22"/>
          <w:szCs w:val="22"/>
          <w:lang w:eastAsia="zh-CN"/>
        </w:rPr>
      </w:pPr>
    </w:p>
    <w:p w14:paraId="32536E90"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1.</w:t>
      </w:r>
      <w:r w:rsidRPr="00C81D88">
        <w:rPr>
          <w:rFonts w:eastAsia="SimSun"/>
          <w:b/>
          <w:sz w:val="22"/>
          <w:szCs w:val="22"/>
        </w:rPr>
        <w:tab/>
        <w:t>Kas yra Dasatinib Norameda ir kam jis vartojamas</w:t>
      </w:r>
    </w:p>
    <w:p w14:paraId="45C5662D" w14:textId="77777777" w:rsidR="00091B58" w:rsidRPr="00C81D88" w:rsidRDefault="00091B58" w:rsidP="00091B58">
      <w:pPr>
        <w:numPr>
          <w:ilvl w:val="12"/>
          <w:numId w:val="0"/>
        </w:numPr>
        <w:rPr>
          <w:rFonts w:eastAsia="SimSun"/>
          <w:sz w:val="22"/>
          <w:szCs w:val="22"/>
          <w:lang w:eastAsia="zh-CN"/>
        </w:rPr>
      </w:pPr>
    </w:p>
    <w:p w14:paraId="40ED9A59"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sudėtyje yra veikliosios medžiagos dazatinibo. Šis vaistas vartojamas suaugusiųjų, paauglių ir ne jaunesnių kaip 1 metų vaikų Filadelfijos chromosomai teigiamai (Ph+) ūminei limfoblastinei leukemijai (ŪLL) gydyti. Leukemija yra baltųjų kraujo ląstelių vėžys. Šios baltosios ląstelės paprastai padeda organizmui kovoti su infekcijomis. Sergant ŪLL, baltosios kraujo ląstelės, kurios vadinamos limfocitais, dauginasi per greitai ir gyvuoja per ilgai. Dasatinib Norameda slopina šių leukeminių ląstelių augimą.</w:t>
      </w:r>
    </w:p>
    <w:p w14:paraId="7647258A" w14:textId="77777777" w:rsidR="00091B58" w:rsidRPr="00C81D88" w:rsidRDefault="00091B58" w:rsidP="00091B58">
      <w:pPr>
        <w:numPr>
          <w:ilvl w:val="12"/>
          <w:numId w:val="0"/>
        </w:numPr>
        <w:rPr>
          <w:rFonts w:eastAsia="SimSun"/>
          <w:sz w:val="22"/>
          <w:szCs w:val="22"/>
          <w:lang w:eastAsia="zh-CN"/>
        </w:rPr>
      </w:pPr>
    </w:p>
    <w:p w14:paraId="22781DD7"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kiltų bet kokių klausimų dėl Dasatinib Norameda veikimo arba kodėl šis vaistas skirtas Jums, klauskite gydytojo.</w:t>
      </w:r>
    </w:p>
    <w:p w14:paraId="751D7A93" w14:textId="77777777" w:rsidR="00091B58" w:rsidRPr="00C81D88" w:rsidRDefault="00091B58" w:rsidP="00091B58">
      <w:pPr>
        <w:numPr>
          <w:ilvl w:val="12"/>
          <w:numId w:val="0"/>
        </w:numPr>
        <w:rPr>
          <w:rFonts w:eastAsia="SimSun"/>
          <w:sz w:val="22"/>
          <w:szCs w:val="22"/>
          <w:lang w:eastAsia="zh-CN"/>
        </w:rPr>
      </w:pPr>
    </w:p>
    <w:p w14:paraId="06F43F75" w14:textId="77777777" w:rsidR="00091B58" w:rsidRPr="00C81D88" w:rsidRDefault="00091B58" w:rsidP="00091B58">
      <w:pPr>
        <w:numPr>
          <w:ilvl w:val="12"/>
          <w:numId w:val="0"/>
        </w:numPr>
        <w:rPr>
          <w:rFonts w:eastAsia="SimSun"/>
          <w:sz w:val="22"/>
          <w:szCs w:val="22"/>
          <w:lang w:eastAsia="zh-CN"/>
        </w:rPr>
      </w:pPr>
    </w:p>
    <w:p w14:paraId="63332E43"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2.</w:t>
      </w:r>
      <w:r w:rsidRPr="00C81D88">
        <w:rPr>
          <w:rFonts w:eastAsia="SimSun"/>
          <w:b/>
          <w:sz w:val="22"/>
          <w:szCs w:val="22"/>
        </w:rPr>
        <w:tab/>
        <w:t xml:space="preserve">Kas žinotina prieš vartojant Dasatinib Norameda </w:t>
      </w:r>
    </w:p>
    <w:p w14:paraId="3D82BA79" w14:textId="77777777" w:rsidR="00091B58" w:rsidRPr="00C81D88" w:rsidRDefault="00091B58" w:rsidP="00091B58">
      <w:pPr>
        <w:numPr>
          <w:ilvl w:val="12"/>
          <w:numId w:val="0"/>
        </w:numPr>
        <w:rPr>
          <w:rFonts w:eastAsia="SimSun"/>
          <w:sz w:val="22"/>
          <w:szCs w:val="22"/>
          <w:lang w:eastAsia="zh-CN"/>
        </w:rPr>
      </w:pPr>
    </w:p>
    <w:p w14:paraId="5B3890A4" w14:textId="6980B189" w:rsidR="00091B58" w:rsidRPr="00C81D88" w:rsidRDefault="00091B58" w:rsidP="00091B58">
      <w:pPr>
        <w:rPr>
          <w:rFonts w:eastAsia="SimSun"/>
          <w:b/>
          <w:sz w:val="22"/>
          <w:szCs w:val="22"/>
        </w:rPr>
      </w:pPr>
      <w:r w:rsidRPr="00C81D88">
        <w:rPr>
          <w:rFonts w:eastAsia="SimSun"/>
          <w:b/>
          <w:sz w:val="22"/>
          <w:szCs w:val="22"/>
        </w:rPr>
        <w:t xml:space="preserve">Dasatinib Norameda vartoti </w:t>
      </w:r>
      <w:r w:rsidR="00763B09">
        <w:rPr>
          <w:rFonts w:eastAsia="SimSun"/>
          <w:b/>
          <w:sz w:val="22"/>
          <w:szCs w:val="22"/>
        </w:rPr>
        <w:t>draudžiama</w:t>
      </w:r>
      <w:r w:rsidRPr="00C81D88">
        <w:rPr>
          <w:rFonts w:eastAsia="SimSun"/>
          <w:b/>
          <w:sz w:val="22"/>
          <w:szCs w:val="22"/>
        </w:rPr>
        <w:t>:</w:t>
      </w:r>
    </w:p>
    <w:p w14:paraId="2411D7D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jeigu yra alergija dazatinibui arba bet kuriai pagalbinei šio vaisto medžiagai (jos išvardytos 6 skyriuje).</w:t>
      </w:r>
    </w:p>
    <w:p w14:paraId="5B9335E4" w14:textId="77777777" w:rsidR="00091B58" w:rsidRPr="00C81D88" w:rsidRDefault="00091B58" w:rsidP="00091B58">
      <w:pPr>
        <w:numPr>
          <w:ilvl w:val="12"/>
          <w:numId w:val="0"/>
        </w:numPr>
        <w:ind w:left="540" w:hanging="540"/>
        <w:rPr>
          <w:rFonts w:eastAsia="SimSun"/>
          <w:sz w:val="22"/>
          <w:szCs w:val="22"/>
          <w:lang w:eastAsia="zh-CN"/>
        </w:rPr>
      </w:pPr>
      <w:r w:rsidRPr="00C81D88">
        <w:rPr>
          <w:rFonts w:eastAsia="SimSun"/>
          <w:sz w:val="22"/>
          <w:szCs w:val="22"/>
          <w:lang w:eastAsia="zh-CN"/>
        </w:rPr>
        <w:t xml:space="preserve">Jeigu galite būti alergiški, pasitarkite su gydytoju. </w:t>
      </w:r>
    </w:p>
    <w:p w14:paraId="3987484A" w14:textId="77777777" w:rsidR="00091B58" w:rsidRPr="00C81D88" w:rsidRDefault="00091B58" w:rsidP="00091B58">
      <w:pPr>
        <w:numPr>
          <w:ilvl w:val="12"/>
          <w:numId w:val="0"/>
        </w:numPr>
        <w:rPr>
          <w:rFonts w:eastAsia="SimSun"/>
          <w:sz w:val="22"/>
          <w:szCs w:val="22"/>
          <w:lang w:eastAsia="zh-CN"/>
        </w:rPr>
      </w:pPr>
    </w:p>
    <w:p w14:paraId="15ED1E45" w14:textId="77777777" w:rsidR="00091B58" w:rsidRPr="00C81D88" w:rsidRDefault="00091B58" w:rsidP="00091B58">
      <w:pPr>
        <w:rPr>
          <w:rFonts w:eastAsia="SimSun"/>
          <w:b/>
          <w:sz w:val="22"/>
          <w:szCs w:val="22"/>
        </w:rPr>
      </w:pPr>
      <w:r w:rsidRPr="00C81D88">
        <w:rPr>
          <w:rFonts w:eastAsia="SimSun"/>
          <w:b/>
          <w:sz w:val="22"/>
          <w:szCs w:val="22"/>
        </w:rPr>
        <w:t xml:space="preserve">Įspėjimai ir atsargumo priemonės </w:t>
      </w:r>
    </w:p>
    <w:p w14:paraId="44AEF94F"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Pasitarkite su gydytoju ar vaistininku, prieš pradėdami vartoti Dasatinib Norameda, jeigu:</w:t>
      </w:r>
    </w:p>
    <w:p w14:paraId="079F270A"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vartojate vaistų kraujui skystinti ar krešulių atsiradimui sutrukdyti (žr. „Kiti vaistai ir Dasatinib Norameda“);</w:t>
      </w:r>
    </w:p>
    <w:p w14:paraId="7FA96E3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yra arba anksčiau buvo kepenų ar širdies sutrikimų;</w:t>
      </w:r>
    </w:p>
    <w:p w14:paraId="21F62E0A"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vartojant Dasatinib Norameda, pasunkėja kvėpavimas, ima skaudėti krūtinę arba prasideda kosulys: tai gali būti skysčių kaupimosi plaučiuose ar krūtinės ląstoje požymiai (65 metų ir vyresniems pacientams toks poveikis gali pasireikšti dažniau) arba atsirasti dėl kraujagyslių, kuriomis kraujas teka į plaučius, pokyčių;</w:t>
      </w:r>
    </w:p>
    <w:p w14:paraId="7C510B6C"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kada nors buvo diagnozuota hepatito B infekcija arba šiuo metu galite būti užsikrėtę šiuo virusu. Tai būtina, nes Dasatinib Norameda gali vėl suaktyvinti hepatito B virusą, o kai kuriais </w:t>
      </w:r>
      <w:r w:rsidRPr="00C81D88">
        <w:rPr>
          <w:rFonts w:eastAsia="SimSun"/>
          <w:sz w:val="22"/>
          <w:szCs w:val="22"/>
          <w:lang w:eastAsia="zh-CN"/>
        </w:rPr>
        <w:lastRenderedPageBreak/>
        <w:t>atvejais tai gali būti mirtina. Prieš pradėdamas gydymą, gydytojas atidžiai patikrins, ar pacientas neturi šios infekcijos požymių;</w:t>
      </w:r>
    </w:p>
    <w:p w14:paraId="4C302D9D" w14:textId="3EF168A0"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vartojant Dasatinib Norameda atsiranda kraujosr</w:t>
      </w:r>
      <w:r w:rsidR="002F6E47">
        <w:rPr>
          <w:rFonts w:eastAsia="SimSun"/>
          <w:sz w:val="22"/>
          <w:szCs w:val="22"/>
          <w:lang w:eastAsia="zh-CN"/>
        </w:rPr>
        <w:t>u</w:t>
      </w:r>
      <w:r w:rsidRPr="00C81D88">
        <w:rPr>
          <w:rFonts w:eastAsia="SimSun"/>
          <w:sz w:val="22"/>
          <w:szCs w:val="22"/>
          <w:lang w:eastAsia="zh-CN"/>
        </w:rPr>
        <w:t>vų, kraujavimas, karščiavimas, nuovargis ir sumišimas. Tokiu atveju kreipkitės į gydytoją. Tai gali būti kraujagyslių pažeidimo, vadinamo trombine mikroangiopatija (TMA), požymis.</w:t>
      </w:r>
    </w:p>
    <w:p w14:paraId="6F52B1C8" w14:textId="77777777" w:rsidR="00091B58" w:rsidRPr="00C81D88" w:rsidRDefault="00091B58" w:rsidP="00091B58">
      <w:pPr>
        <w:rPr>
          <w:rFonts w:eastAsia="SimSun"/>
          <w:sz w:val="22"/>
          <w:szCs w:val="22"/>
          <w:lang w:eastAsia="zh-CN"/>
        </w:rPr>
      </w:pPr>
    </w:p>
    <w:p w14:paraId="527B2603" w14:textId="77777777" w:rsidR="00091B58" w:rsidRPr="00C81D88" w:rsidRDefault="00091B58" w:rsidP="00091B58">
      <w:pPr>
        <w:rPr>
          <w:rFonts w:eastAsia="SimSun"/>
          <w:sz w:val="22"/>
          <w:szCs w:val="22"/>
          <w:lang w:eastAsia="zh-CN"/>
        </w:rPr>
      </w:pPr>
      <w:r w:rsidRPr="00C81D88">
        <w:rPr>
          <w:rFonts w:eastAsia="SimSun"/>
          <w:sz w:val="22"/>
          <w:szCs w:val="22"/>
          <w:lang w:eastAsia="zh-CN"/>
        </w:rPr>
        <w:t xml:space="preserve">Gydytojas reguliariai stebės Jūsų sveikatos būklę, kad galėtų įsitikinti, ar Dasatinib Norameda sukelia norimą poveikį. Be to, vartojant Dasatinib Norameda, Jums bus reguliariai atliekami kraujo tyrimai. </w:t>
      </w:r>
    </w:p>
    <w:p w14:paraId="596E31B5" w14:textId="77777777" w:rsidR="00091B58" w:rsidRPr="00C81D88" w:rsidRDefault="00091B58" w:rsidP="00091B58">
      <w:pPr>
        <w:numPr>
          <w:ilvl w:val="12"/>
          <w:numId w:val="0"/>
        </w:numPr>
        <w:rPr>
          <w:rFonts w:eastAsia="SimSun"/>
          <w:b/>
          <w:bCs/>
          <w:sz w:val="22"/>
          <w:szCs w:val="22"/>
          <w:lang w:eastAsia="zh-CN"/>
        </w:rPr>
      </w:pPr>
    </w:p>
    <w:p w14:paraId="7375C6D1"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Vaikams ir paaugliams</w:t>
      </w:r>
    </w:p>
    <w:p w14:paraId="08592682"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Neduokite šio vaisto jaunesniems kaip 1 metų vaikams. Dasatinib Norameda vartojimo šios amžiaus grupės pacientams patirties yra mažai. Bus atidžiai stebimas Dasatinib Norameda vartojančių vaikų kaulų augimas ir vystymasis.</w:t>
      </w:r>
    </w:p>
    <w:p w14:paraId="5F26EFF7" w14:textId="77777777" w:rsidR="00091B58" w:rsidRPr="00C81D88" w:rsidRDefault="00091B58" w:rsidP="00091B58">
      <w:pPr>
        <w:numPr>
          <w:ilvl w:val="12"/>
          <w:numId w:val="0"/>
        </w:numPr>
        <w:rPr>
          <w:rFonts w:eastAsia="SimSun"/>
          <w:sz w:val="22"/>
          <w:szCs w:val="22"/>
          <w:lang w:eastAsia="zh-CN"/>
        </w:rPr>
      </w:pPr>
    </w:p>
    <w:p w14:paraId="73D0AD0C" w14:textId="77777777" w:rsidR="00091B58" w:rsidRPr="00C81D88" w:rsidRDefault="00091B58" w:rsidP="00091B58">
      <w:pPr>
        <w:rPr>
          <w:rFonts w:eastAsia="SimSun"/>
          <w:b/>
          <w:sz w:val="22"/>
          <w:szCs w:val="22"/>
        </w:rPr>
      </w:pPr>
      <w:r w:rsidRPr="00C81D88">
        <w:rPr>
          <w:rFonts w:eastAsia="SimSun"/>
          <w:b/>
          <w:sz w:val="22"/>
          <w:szCs w:val="22"/>
        </w:rPr>
        <w:t>Kiti vaistai ir Dasatinib Norameda</w:t>
      </w:r>
    </w:p>
    <w:p w14:paraId="278B88C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vartojate ar neseniai vartojote kit</w:t>
      </w:r>
      <w:r w:rsidRPr="00C81D88">
        <w:rPr>
          <w:rFonts w:eastAsia="MS Mincho"/>
          <w:sz w:val="22"/>
          <w:szCs w:val="22"/>
          <w:lang w:eastAsia="zh-CN"/>
        </w:rPr>
        <w:t>ų</w:t>
      </w:r>
      <w:r w:rsidRPr="00C81D88">
        <w:rPr>
          <w:rFonts w:eastAsia="SimSun"/>
          <w:sz w:val="22"/>
          <w:szCs w:val="22"/>
          <w:lang w:eastAsia="zh-CN"/>
        </w:rPr>
        <w:t xml:space="preserve"> vaist</w:t>
      </w:r>
      <w:r w:rsidRPr="00C81D88">
        <w:rPr>
          <w:rFonts w:eastAsia="MS Mincho"/>
          <w:sz w:val="22"/>
          <w:szCs w:val="22"/>
          <w:lang w:eastAsia="zh-CN"/>
        </w:rPr>
        <w:t>ų</w:t>
      </w:r>
      <w:r w:rsidRPr="00C81D88">
        <w:rPr>
          <w:rFonts w:eastAsia="SimSun"/>
          <w:sz w:val="22"/>
          <w:szCs w:val="22"/>
          <w:lang w:eastAsia="zh-CN"/>
        </w:rPr>
        <w:t xml:space="preserve"> arba d</w:t>
      </w:r>
      <w:r w:rsidRPr="00C81D88">
        <w:rPr>
          <w:rFonts w:eastAsia="MS Mincho"/>
          <w:sz w:val="22"/>
          <w:szCs w:val="22"/>
          <w:lang w:eastAsia="zh-CN"/>
        </w:rPr>
        <w:t>ė</w:t>
      </w:r>
      <w:r w:rsidRPr="00C81D88">
        <w:rPr>
          <w:rFonts w:eastAsia="SimSun"/>
          <w:sz w:val="22"/>
          <w:szCs w:val="22"/>
          <w:lang w:eastAsia="zh-CN"/>
        </w:rPr>
        <w:t xml:space="preserve">l to nesate tikri, apie tai </w:t>
      </w:r>
      <w:r w:rsidRPr="00C81D88">
        <w:rPr>
          <w:rFonts w:eastAsia="SimSun"/>
          <w:bCs/>
          <w:sz w:val="22"/>
          <w:szCs w:val="22"/>
          <w:lang w:eastAsia="zh-CN"/>
        </w:rPr>
        <w:t>pasakykite savo gydytojui</w:t>
      </w:r>
      <w:r w:rsidRPr="00C81D88">
        <w:rPr>
          <w:rFonts w:eastAsia="SimSun"/>
          <w:sz w:val="22"/>
          <w:szCs w:val="22"/>
          <w:lang w:eastAsia="zh-CN"/>
        </w:rPr>
        <w:t>.</w:t>
      </w:r>
    </w:p>
    <w:p w14:paraId="2F0B88B9" w14:textId="77777777" w:rsidR="00091B58" w:rsidRPr="00C81D88" w:rsidRDefault="00091B58" w:rsidP="00091B58">
      <w:pPr>
        <w:numPr>
          <w:ilvl w:val="12"/>
          <w:numId w:val="0"/>
        </w:numPr>
        <w:rPr>
          <w:rFonts w:eastAsia="SimSun"/>
          <w:sz w:val="22"/>
          <w:szCs w:val="22"/>
          <w:lang w:eastAsia="zh-CN"/>
        </w:rPr>
      </w:pPr>
    </w:p>
    <w:p w14:paraId="6888E4CA"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Dazatinibą daugiausia skaido kepenys. Tam tikri vaistai, vartojami kartu, gali trikdyti dazatinibo veikim</w:t>
      </w:r>
      <w:r w:rsidRPr="00C81D88">
        <w:rPr>
          <w:rFonts w:eastAsia="MS Mincho"/>
          <w:sz w:val="22"/>
          <w:szCs w:val="22"/>
          <w:lang w:eastAsia="zh-CN"/>
        </w:rPr>
        <w:t>ą</w:t>
      </w:r>
      <w:r w:rsidRPr="00C81D88">
        <w:rPr>
          <w:rFonts w:eastAsia="SimSun"/>
          <w:sz w:val="22"/>
          <w:szCs w:val="22"/>
          <w:lang w:eastAsia="zh-CN"/>
        </w:rPr>
        <w:t>.</w:t>
      </w:r>
    </w:p>
    <w:p w14:paraId="66BE1370"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Kartu su dazatinibu negalima vartoti šių vaistų:</w:t>
      </w:r>
    </w:p>
    <w:p w14:paraId="24FCABC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ketokonazolo, itrakonazolo (vaistų nuo grybelių sukeltos infekcijos);</w:t>
      </w:r>
    </w:p>
    <w:p w14:paraId="0C56769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eritromicino, klaritromicino, telitromicino (antibiotikų);</w:t>
      </w:r>
    </w:p>
    <w:p w14:paraId="6C113AE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ritonaviro (antivirusinio vaisto);</w:t>
      </w:r>
    </w:p>
    <w:p w14:paraId="6C0D8FE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fenitoino, karbamazepino, fenobarbitalio (vaistų nuo epilepsijos);</w:t>
      </w:r>
    </w:p>
    <w:p w14:paraId="5F565E9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rifampicino (vaisto nuo tuberkuliozės);</w:t>
      </w:r>
    </w:p>
    <w:p w14:paraId="0F78BB2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famotidino, omeprazolo (skrandžio rūgšties išskyrimą slopinančių vaistų);</w:t>
      </w:r>
    </w:p>
    <w:p w14:paraId="25B176C8"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paprastųjų jonažolių (taip pat ji vadinama </w:t>
      </w:r>
      <w:r w:rsidRPr="00C81D88">
        <w:rPr>
          <w:rFonts w:eastAsia="SimSun"/>
          <w:i/>
          <w:sz w:val="22"/>
          <w:szCs w:val="22"/>
          <w:lang w:eastAsia="zh-CN"/>
        </w:rPr>
        <w:t>Hypericum perforatum</w:t>
      </w:r>
      <w:r w:rsidRPr="00C81D88">
        <w:rPr>
          <w:rFonts w:eastAsia="SimSun"/>
          <w:sz w:val="22"/>
          <w:szCs w:val="22"/>
          <w:lang w:eastAsia="zh-CN"/>
        </w:rPr>
        <w:t xml:space="preserve">) preparatų, t. y. augalinių nereceptinių preparatų nuo depresijos ir kitų sutrikimų. </w:t>
      </w:r>
    </w:p>
    <w:p w14:paraId="24268A6F" w14:textId="77777777" w:rsidR="00091B58" w:rsidRPr="00C81D88" w:rsidRDefault="00091B58" w:rsidP="00091B58">
      <w:pPr>
        <w:rPr>
          <w:rFonts w:eastAsia="SimSun"/>
          <w:b/>
          <w:bCs/>
          <w:sz w:val="22"/>
          <w:szCs w:val="22"/>
          <w:lang w:eastAsia="zh-CN"/>
        </w:rPr>
      </w:pPr>
    </w:p>
    <w:p w14:paraId="75998B81" w14:textId="77777777" w:rsidR="00091B58" w:rsidRPr="00C81D88" w:rsidRDefault="00091B58" w:rsidP="00091B58">
      <w:pPr>
        <w:rPr>
          <w:rFonts w:eastAsia="SimSun"/>
          <w:sz w:val="22"/>
          <w:szCs w:val="22"/>
          <w:lang w:eastAsia="zh-CN"/>
        </w:rPr>
      </w:pPr>
      <w:r w:rsidRPr="00C81D88">
        <w:rPr>
          <w:rFonts w:eastAsia="SimSun"/>
          <w:bCs/>
          <w:sz w:val="22"/>
          <w:szCs w:val="22"/>
          <w:lang w:eastAsia="zh-CN"/>
        </w:rPr>
        <w:t xml:space="preserve">Nevartokite skrandžio rūgštį neutralizuojančių vaistų </w:t>
      </w:r>
      <w:r w:rsidRPr="00C81D88">
        <w:rPr>
          <w:rFonts w:eastAsia="SimSun"/>
          <w:sz w:val="22"/>
          <w:szCs w:val="22"/>
          <w:lang w:eastAsia="zh-CN"/>
        </w:rPr>
        <w:t xml:space="preserve">(antacidinių preparatų, pvz., aliuminio hidroksido ar magnio hidroksido) </w:t>
      </w:r>
      <w:r w:rsidRPr="00C81D88">
        <w:rPr>
          <w:rFonts w:eastAsia="SimSun"/>
          <w:bCs/>
          <w:sz w:val="22"/>
          <w:szCs w:val="22"/>
          <w:lang w:eastAsia="zh-CN"/>
        </w:rPr>
        <w:t>likus mažiau kaip 2 valandoms iki Dasatinib Norameda vartojimo ir nepraėjus 2 valandoms po jo</w:t>
      </w:r>
      <w:r w:rsidRPr="00C81D88">
        <w:rPr>
          <w:rFonts w:eastAsia="SimSun"/>
          <w:sz w:val="22"/>
          <w:szCs w:val="22"/>
          <w:lang w:eastAsia="zh-CN"/>
        </w:rPr>
        <w:t>.</w:t>
      </w:r>
    </w:p>
    <w:p w14:paraId="1E89C322" w14:textId="77777777" w:rsidR="00091B58" w:rsidRPr="00C81D88" w:rsidRDefault="00091B58" w:rsidP="00091B58">
      <w:pPr>
        <w:numPr>
          <w:ilvl w:val="12"/>
          <w:numId w:val="0"/>
        </w:numPr>
        <w:rPr>
          <w:rFonts w:eastAsia="SimSun"/>
          <w:sz w:val="22"/>
          <w:szCs w:val="22"/>
          <w:lang w:eastAsia="zh-CN"/>
        </w:rPr>
      </w:pPr>
    </w:p>
    <w:p w14:paraId="260FBF27" w14:textId="77777777" w:rsidR="00091B58" w:rsidRPr="00C81D88" w:rsidRDefault="00091B58" w:rsidP="00091B58">
      <w:pPr>
        <w:numPr>
          <w:ilvl w:val="12"/>
          <w:numId w:val="0"/>
        </w:numPr>
        <w:rPr>
          <w:rFonts w:eastAsia="SimSun"/>
          <w:bCs/>
          <w:sz w:val="22"/>
          <w:szCs w:val="22"/>
          <w:lang w:eastAsia="zh-CN"/>
        </w:rPr>
      </w:pPr>
      <w:r w:rsidRPr="00C81D88">
        <w:rPr>
          <w:rFonts w:eastAsia="SimSun"/>
          <w:bCs/>
          <w:sz w:val="22"/>
          <w:szCs w:val="22"/>
          <w:lang w:eastAsia="zh-CN"/>
        </w:rPr>
        <w:t>Pasakykite savo gydytojui, j</w:t>
      </w:r>
      <w:r w:rsidRPr="00C81D88">
        <w:rPr>
          <w:rFonts w:eastAsia="SimSun"/>
          <w:sz w:val="22"/>
          <w:szCs w:val="22"/>
          <w:lang w:eastAsia="zh-CN"/>
        </w:rPr>
        <w:t>eigu vartojate vaist</w:t>
      </w:r>
      <w:r w:rsidRPr="00C81D88">
        <w:rPr>
          <w:rFonts w:eastAsia="MS Mincho"/>
          <w:sz w:val="22"/>
          <w:szCs w:val="22"/>
          <w:lang w:eastAsia="zh-CN"/>
        </w:rPr>
        <w:t>ų</w:t>
      </w:r>
      <w:r w:rsidRPr="00C81D88">
        <w:rPr>
          <w:rFonts w:eastAsia="SimSun"/>
          <w:sz w:val="22"/>
          <w:szCs w:val="22"/>
          <w:lang w:eastAsia="zh-CN"/>
        </w:rPr>
        <w:t xml:space="preserve"> </w:t>
      </w:r>
      <w:r w:rsidRPr="00C81D88">
        <w:rPr>
          <w:rFonts w:eastAsia="SimSun"/>
          <w:bCs/>
          <w:sz w:val="22"/>
          <w:szCs w:val="22"/>
          <w:lang w:eastAsia="zh-CN"/>
        </w:rPr>
        <w:t xml:space="preserve">kraujui skystinti </w:t>
      </w:r>
      <w:r w:rsidRPr="00C81D88">
        <w:rPr>
          <w:rFonts w:eastAsia="SimSun"/>
          <w:sz w:val="22"/>
          <w:szCs w:val="22"/>
          <w:lang w:eastAsia="zh-CN"/>
        </w:rPr>
        <w:t>ar krešulių atsiradimui sutrukdyti</w:t>
      </w:r>
      <w:r w:rsidRPr="00C81D88">
        <w:rPr>
          <w:rFonts w:eastAsia="SimSun"/>
          <w:bCs/>
          <w:sz w:val="22"/>
          <w:szCs w:val="22"/>
          <w:lang w:eastAsia="zh-CN"/>
        </w:rPr>
        <w:t>.</w:t>
      </w:r>
    </w:p>
    <w:p w14:paraId="4524FFCD" w14:textId="77777777" w:rsidR="00091B58" w:rsidRPr="00C81D88" w:rsidRDefault="00091B58" w:rsidP="00091B58">
      <w:pPr>
        <w:numPr>
          <w:ilvl w:val="12"/>
          <w:numId w:val="0"/>
        </w:numPr>
        <w:rPr>
          <w:rFonts w:eastAsia="SimSun"/>
          <w:b/>
          <w:bCs/>
          <w:sz w:val="22"/>
          <w:szCs w:val="22"/>
          <w:lang w:eastAsia="zh-CN"/>
        </w:rPr>
      </w:pPr>
    </w:p>
    <w:p w14:paraId="37764400"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Dasatinib Norameda vartojimas su maistu ir gėrimais</w:t>
      </w:r>
    </w:p>
    <w:p w14:paraId="4F1B7663"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Nevartokite Dasatinib Norameda kartu su greipfrutais ar j</w:t>
      </w:r>
      <w:r w:rsidRPr="00C81D88">
        <w:rPr>
          <w:rFonts w:eastAsia="MS Mincho"/>
          <w:sz w:val="22"/>
          <w:szCs w:val="22"/>
          <w:lang w:eastAsia="zh-CN"/>
        </w:rPr>
        <w:t>ų</w:t>
      </w:r>
      <w:r w:rsidRPr="00C81D88">
        <w:rPr>
          <w:rFonts w:eastAsia="SimSun"/>
          <w:sz w:val="22"/>
          <w:szCs w:val="22"/>
          <w:lang w:eastAsia="zh-CN"/>
        </w:rPr>
        <w:t xml:space="preserve"> sultimis.</w:t>
      </w:r>
    </w:p>
    <w:p w14:paraId="6B998B41" w14:textId="77777777" w:rsidR="00091B58" w:rsidRPr="00C81D88" w:rsidRDefault="00091B58" w:rsidP="00091B58">
      <w:pPr>
        <w:numPr>
          <w:ilvl w:val="12"/>
          <w:numId w:val="0"/>
        </w:numPr>
        <w:rPr>
          <w:rFonts w:eastAsia="SimSun"/>
          <w:b/>
          <w:bCs/>
          <w:sz w:val="22"/>
          <w:szCs w:val="22"/>
          <w:lang w:eastAsia="zh-CN"/>
        </w:rPr>
      </w:pPr>
    </w:p>
    <w:p w14:paraId="7C802DE7"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Nėštumas ir žindymo laikotarpis</w:t>
      </w:r>
    </w:p>
    <w:p w14:paraId="5C6DE955" w14:textId="77777777" w:rsidR="00091B58" w:rsidRPr="00C81D88" w:rsidRDefault="00091B58" w:rsidP="00091B58">
      <w:pPr>
        <w:numPr>
          <w:ilvl w:val="12"/>
          <w:numId w:val="0"/>
        </w:numPr>
        <w:rPr>
          <w:rFonts w:eastAsia="SimSun"/>
          <w:sz w:val="22"/>
          <w:szCs w:val="22"/>
          <w:lang w:eastAsia="zh-CN"/>
        </w:rPr>
      </w:pPr>
      <w:r w:rsidRPr="00C81D88">
        <w:rPr>
          <w:rFonts w:eastAsia="SimSun"/>
          <w:bCs/>
          <w:sz w:val="22"/>
          <w:szCs w:val="22"/>
          <w:lang w:eastAsia="zh-CN"/>
        </w:rPr>
        <w:t xml:space="preserve">Jeigu esate nėščia </w:t>
      </w:r>
      <w:r w:rsidRPr="00C81D88">
        <w:rPr>
          <w:rFonts w:eastAsia="SimSun"/>
          <w:sz w:val="22"/>
          <w:szCs w:val="22"/>
          <w:lang w:eastAsia="zh-CN"/>
        </w:rPr>
        <w:t>arba manote, kad galbūt esate n</w:t>
      </w:r>
      <w:r w:rsidRPr="00C81D88">
        <w:rPr>
          <w:rFonts w:eastAsia="MS Mincho"/>
          <w:sz w:val="22"/>
          <w:szCs w:val="22"/>
          <w:lang w:eastAsia="zh-CN"/>
        </w:rPr>
        <w:t>ė</w:t>
      </w:r>
      <w:r w:rsidRPr="00C81D88">
        <w:rPr>
          <w:rFonts w:eastAsia="SimSun"/>
          <w:sz w:val="22"/>
          <w:szCs w:val="22"/>
          <w:lang w:eastAsia="zh-CN"/>
        </w:rPr>
        <w:t>š</w:t>
      </w:r>
      <w:r w:rsidRPr="00C81D88">
        <w:rPr>
          <w:rFonts w:eastAsia="MS Mincho"/>
          <w:sz w:val="22"/>
          <w:szCs w:val="22"/>
          <w:lang w:eastAsia="zh-CN"/>
        </w:rPr>
        <w:t>č</w:t>
      </w:r>
      <w:r w:rsidRPr="00C81D88">
        <w:rPr>
          <w:rFonts w:eastAsia="SimSun"/>
          <w:sz w:val="22"/>
          <w:szCs w:val="22"/>
          <w:lang w:eastAsia="zh-CN"/>
        </w:rPr>
        <w:t>ia</w:t>
      </w:r>
      <w:r w:rsidRPr="00C81D88">
        <w:rPr>
          <w:rFonts w:eastAsia="SimSun"/>
          <w:bCs/>
          <w:sz w:val="22"/>
          <w:szCs w:val="22"/>
          <w:lang w:eastAsia="zh-CN"/>
        </w:rPr>
        <w:t>, apie tai nedelsdama pasakykite gydytojui</w:t>
      </w:r>
      <w:r w:rsidRPr="00C81D88">
        <w:rPr>
          <w:rFonts w:eastAsia="SimSun"/>
          <w:sz w:val="22"/>
          <w:szCs w:val="22"/>
          <w:lang w:eastAsia="zh-CN"/>
        </w:rPr>
        <w:t xml:space="preserve">. </w:t>
      </w:r>
      <w:r w:rsidRPr="00C81D88">
        <w:rPr>
          <w:rFonts w:eastAsia="SimSun"/>
          <w:bCs/>
          <w:sz w:val="22"/>
          <w:szCs w:val="22"/>
          <w:lang w:eastAsia="zh-CN"/>
        </w:rPr>
        <w:t xml:space="preserve">Nėštumo laikotarpiu </w:t>
      </w:r>
      <w:r w:rsidRPr="00C81D88">
        <w:rPr>
          <w:rFonts w:eastAsia="SimSun"/>
          <w:sz w:val="22"/>
          <w:szCs w:val="22"/>
          <w:lang w:eastAsia="zh-CN"/>
        </w:rPr>
        <w:t xml:space="preserve">Dasatinib Norameda </w:t>
      </w:r>
      <w:r w:rsidRPr="00C81D88">
        <w:rPr>
          <w:rFonts w:eastAsia="SimSun"/>
          <w:bCs/>
          <w:sz w:val="22"/>
          <w:szCs w:val="22"/>
          <w:lang w:eastAsia="zh-CN"/>
        </w:rPr>
        <w:t xml:space="preserve">turi būti nevartojama, </w:t>
      </w:r>
      <w:r w:rsidRPr="00C81D88">
        <w:rPr>
          <w:rFonts w:eastAsia="SimSun"/>
          <w:sz w:val="22"/>
          <w:szCs w:val="22"/>
          <w:lang w:eastAsia="zh-CN"/>
        </w:rPr>
        <w:t>išskyrus neabejotinai būtinus atvejus. Gydytojas su Jumis aptars galimą riziką, susijusių su Dasatinib Norameda vartojimu nėštumo metu.</w:t>
      </w:r>
    </w:p>
    <w:p w14:paraId="7F9D49C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Dazatinibo vartojantiems vyrams ir moterims patariama gydymo metu taikyti veiksming</w:t>
      </w:r>
      <w:r w:rsidRPr="00C81D88">
        <w:rPr>
          <w:rFonts w:eastAsia="MS Mincho"/>
          <w:sz w:val="22"/>
          <w:szCs w:val="22"/>
          <w:lang w:eastAsia="zh-CN"/>
        </w:rPr>
        <w:t>ą</w:t>
      </w:r>
      <w:r w:rsidRPr="00C81D88">
        <w:rPr>
          <w:rFonts w:eastAsia="SimSun"/>
          <w:sz w:val="22"/>
          <w:szCs w:val="22"/>
          <w:lang w:eastAsia="zh-CN"/>
        </w:rPr>
        <w:t xml:space="preserve"> kontracepciją.</w:t>
      </w:r>
    </w:p>
    <w:p w14:paraId="50253B34" w14:textId="77777777" w:rsidR="00091B58" w:rsidRPr="00C81D88" w:rsidRDefault="00091B58" w:rsidP="00091B58">
      <w:pPr>
        <w:numPr>
          <w:ilvl w:val="12"/>
          <w:numId w:val="0"/>
        </w:numPr>
        <w:rPr>
          <w:rFonts w:eastAsia="SimSun"/>
          <w:bCs/>
          <w:sz w:val="22"/>
          <w:szCs w:val="22"/>
          <w:lang w:eastAsia="zh-CN"/>
        </w:rPr>
      </w:pPr>
    </w:p>
    <w:p w14:paraId="3F5D0BF0" w14:textId="77777777" w:rsidR="00091B58" w:rsidRPr="00C81D88" w:rsidRDefault="00091B58" w:rsidP="00091B58">
      <w:pPr>
        <w:numPr>
          <w:ilvl w:val="12"/>
          <w:numId w:val="0"/>
        </w:numPr>
        <w:rPr>
          <w:rFonts w:eastAsia="SimSun"/>
          <w:sz w:val="22"/>
          <w:szCs w:val="22"/>
          <w:lang w:eastAsia="zh-CN"/>
        </w:rPr>
      </w:pPr>
      <w:r w:rsidRPr="00C81D88">
        <w:rPr>
          <w:rFonts w:eastAsia="SimSun"/>
          <w:bCs/>
          <w:sz w:val="22"/>
          <w:szCs w:val="22"/>
          <w:lang w:eastAsia="zh-CN"/>
        </w:rPr>
        <w:t xml:space="preserve">Jeigu žindote kūdikį, apie tai pasakykite gydytojui. </w:t>
      </w:r>
      <w:r w:rsidRPr="00C81D88">
        <w:rPr>
          <w:rFonts w:eastAsia="SimSun"/>
          <w:sz w:val="22"/>
          <w:szCs w:val="22"/>
          <w:lang w:eastAsia="zh-CN"/>
        </w:rPr>
        <w:t>Dasatinib Norameda vartojimo laikotarpiu žindymą turite nutraukti.</w:t>
      </w:r>
    </w:p>
    <w:p w14:paraId="6F9FCC0E" w14:textId="77777777" w:rsidR="00091B58" w:rsidRPr="00C81D88" w:rsidRDefault="00091B58" w:rsidP="00091B58">
      <w:pPr>
        <w:numPr>
          <w:ilvl w:val="12"/>
          <w:numId w:val="0"/>
        </w:numPr>
        <w:rPr>
          <w:rFonts w:eastAsia="SimSun"/>
          <w:sz w:val="22"/>
          <w:szCs w:val="22"/>
          <w:lang w:eastAsia="zh-CN"/>
        </w:rPr>
      </w:pPr>
    </w:p>
    <w:p w14:paraId="60641511"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Vairavimas ir mechanizmų valdymas</w:t>
      </w:r>
    </w:p>
    <w:p w14:paraId="7A89213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pasireiškia šalutinis poveikis, toks kaip svaigulys ar matomo vaizdo neryškumas, vairuoti ar valdyti mechanizmus reikia ypa</w:t>
      </w:r>
      <w:r w:rsidRPr="00C81D88">
        <w:rPr>
          <w:rFonts w:eastAsia="MS Mincho"/>
          <w:sz w:val="22"/>
          <w:szCs w:val="22"/>
          <w:lang w:eastAsia="zh-CN"/>
        </w:rPr>
        <w:t>č</w:t>
      </w:r>
      <w:r w:rsidRPr="00C81D88">
        <w:rPr>
          <w:rFonts w:eastAsia="SimSun"/>
          <w:sz w:val="22"/>
          <w:szCs w:val="22"/>
          <w:lang w:eastAsia="zh-CN"/>
        </w:rPr>
        <w:t xml:space="preserve"> atsargiai.</w:t>
      </w:r>
    </w:p>
    <w:p w14:paraId="79CD08DC" w14:textId="77777777" w:rsidR="00091B58" w:rsidRPr="00C81D88" w:rsidRDefault="00091B58" w:rsidP="00091B58">
      <w:pPr>
        <w:numPr>
          <w:ilvl w:val="12"/>
          <w:numId w:val="0"/>
        </w:numPr>
        <w:rPr>
          <w:rFonts w:eastAsia="SimSun"/>
          <w:b/>
          <w:bCs/>
          <w:sz w:val="22"/>
          <w:szCs w:val="22"/>
          <w:lang w:eastAsia="zh-CN"/>
        </w:rPr>
      </w:pPr>
    </w:p>
    <w:p w14:paraId="49D9C8BF"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Dasatinib Norameda sudėtyje yra laktozės ir natrio</w:t>
      </w:r>
    </w:p>
    <w:p w14:paraId="42F725B9"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Jeigu gydytojas Jums yra sak</w:t>
      </w:r>
      <w:r w:rsidRPr="00C81D88">
        <w:rPr>
          <w:rFonts w:eastAsia="MS Mincho"/>
          <w:sz w:val="22"/>
          <w:szCs w:val="22"/>
          <w:lang w:eastAsia="zh-CN"/>
        </w:rPr>
        <w:t>ę</w:t>
      </w:r>
      <w:r w:rsidRPr="00C81D88">
        <w:rPr>
          <w:rFonts w:eastAsia="SimSun"/>
          <w:sz w:val="22"/>
          <w:szCs w:val="22"/>
          <w:lang w:eastAsia="zh-CN"/>
        </w:rPr>
        <w:t>s, kad netoleruojate koki</w:t>
      </w:r>
      <w:r w:rsidRPr="00C81D88">
        <w:rPr>
          <w:rFonts w:eastAsia="MS Mincho"/>
          <w:sz w:val="22"/>
          <w:szCs w:val="22"/>
          <w:lang w:eastAsia="zh-CN"/>
        </w:rPr>
        <w:t>ų</w:t>
      </w:r>
      <w:r w:rsidRPr="00C81D88">
        <w:rPr>
          <w:rFonts w:eastAsia="SimSun"/>
          <w:sz w:val="22"/>
          <w:szCs w:val="22"/>
          <w:lang w:eastAsia="zh-CN"/>
        </w:rPr>
        <w:t xml:space="preserve"> nors angliavandeni</w:t>
      </w:r>
      <w:r w:rsidRPr="00C81D88">
        <w:rPr>
          <w:rFonts w:eastAsia="MS Mincho"/>
          <w:sz w:val="22"/>
          <w:szCs w:val="22"/>
          <w:lang w:eastAsia="zh-CN"/>
        </w:rPr>
        <w:t>ų</w:t>
      </w:r>
      <w:r w:rsidRPr="00C81D88">
        <w:rPr>
          <w:rFonts w:eastAsia="SimSun"/>
          <w:sz w:val="22"/>
          <w:szCs w:val="22"/>
          <w:lang w:eastAsia="zh-CN"/>
        </w:rPr>
        <w:t>, kreipkit</w:t>
      </w:r>
      <w:r w:rsidRPr="00C81D88">
        <w:rPr>
          <w:rFonts w:eastAsia="MS Mincho"/>
          <w:sz w:val="22"/>
          <w:szCs w:val="22"/>
          <w:lang w:eastAsia="zh-CN"/>
        </w:rPr>
        <w:t>ė</w:t>
      </w:r>
      <w:r w:rsidRPr="00C81D88">
        <w:rPr>
          <w:rFonts w:eastAsia="SimSun"/>
          <w:sz w:val="22"/>
          <w:szCs w:val="22"/>
          <w:lang w:eastAsia="zh-CN"/>
        </w:rPr>
        <w:t xml:space="preserve">s </w:t>
      </w:r>
      <w:r w:rsidRPr="00C81D88">
        <w:rPr>
          <w:rFonts w:eastAsia="MS Mincho"/>
          <w:sz w:val="22"/>
          <w:szCs w:val="22"/>
          <w:lang w:eastAsia="zh-CN"/>
        </w:rPr>
        <w:t>į</w:t>
      </w:r>
      <w:r w:rsidRPr="00C81D88">
        <w:rPr>
          <w:rFonts w:eastAsia="SimSun"/>
          <w:sz w:val="22"/>
          <w:szCs w:val="22"/>
          <w:lang w:eastAsia="zh-CN"/>
        </w:rPr>
        <w:t xml:space="preserve"> j</w:t>
      </w:r>
      <w:r w:rsidRPr="00C81D88">
        <w:rPr>
          <w:rFonts w:eastAsia="MS Mincho"/>
          <w:sz w:val="22"/>
          <w:szCs w:val="22"/>
          <w:lang w:eastAsia="zh-CN"/>
        </w:rPr>
        <w:t>į</w:t>
      </w:r>
      <w:r w:rsidRPr="00C81D88">
        <w:rPr>
          <w:rFonts w:eastAsia="SimSun"/>
          <w:sz w:val="22"/>
          <w:szCs w:val="22"/>
          <w:lang w:eastAsia="zh-CN"/>
        </w:rPr>
        <w:t xml:space="preserve"> prieš prad</w:t>
      </w:r>
      <w:r w:rsidRPr="00C81D88">
        <w:rPr>
          <w:rFonts w:eastAsia="MS Mincho"/>
          <w:sz w:val="22"/>
          <w:szCs w:val="22"/>
          <w:lang w:eastAsia="zh-CN"/>
        </w:rPr>
        <w:t>ė</w:t>
      </w:r>
      <w:r w:rsidRPr="00C81D88">
        <w:rPr>
          <w:rFonts w:eastAsia="SimSun"/>
          <w:sz w:val="22"/>
          <w:szCs w:val="22"/>
          <w:lang w:eastAsia="zh-CN"/>
        </w:rPr>
        <w:t>dami vartoti š</w:t>
      </w:r>
      <w:r w:rsidRPr="00C81D88">
        <w:rPr>
          <w:rFonts w:eastAsia="MS Mincho"/>
          <w:sz w:val="22"/>
          <w:szCs w:val="22"/>
          <w:lang w:eastAsia="zh-CN"/>
        </w:rPr>
        <w:t>į</w:t>
      </w:r>
      <w:r w:rsidRPr="00C81D88">
        <w:rPr>
          <w:rFonts w:eastAsia="SimSun"/>
          <w:sz w:val="22"/>
          <w:szCs w:val="22"/>
          <w:lang w:eastAsia="zh-CN"/>
        </w:rPr>
        <w:t xml:space="preserve"> vaist</w:t>
      </w:r>
      <w:r w:rsidRPr="00C81D88">
        <w:rPr>
          <w:rFonts w:eastAsia="MS Mincho"/>
          <w:sz w:val="22"/>
          <w:szCs w:val="22"/>
          <w:lang w:eastAsia="zh-CN"/>
        </w:rPr>
        <w:t>ą</w:t>
      </w:r>
      <w:r w:rsidRPr="00C81D88">
        <w:rPr>
          <w:rFonts w:eastAsia="SimSun"/>
          <w:sz w:val="22"/>
          <w:szCs w:val="22"/>
          <w:lang w:eastAsia="zh-CN"/>
        </w:rPr>
        <w:t>.</w:t>
      </w:r>
    </w:p>
    <w:p w14:paraId="1E6EF7FC" w14:textId="77777777" w:rsidR="00091B58" w:rsidRPr="00C81D88" w:rsidRDefault="00091B58" w:rsidP="00091B58">
      <w:pPr>
        <w:numPr>
          <w:ilvl w:val="12"/>
          <w:numId w:val="0"/>
        </w:numPr>
        <w:rPr>
          <w:rFonts w:eastAsia="SimSun"/>
          <w:b/>
          <w:sz w:val="22"/>
          <w:szCs w:val="22"/>
          <w:lang w:eastAsia="zh-CN"/>
        </w:rPr>
      </w:pPr>
    </w:p>
    <w:p w14:paraId="222C46D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lastRenderedPageBreak/>
        <w:t>Kiekvienoje šio vaisto tabletėje yra mažiau kaip 1 mmol (23 mg) natrio, t. y. jis beveik neturi reikšmės.</w:t>
      </w:r>
    </w:p>
    <w:p w14:paraId="17A6FDE7" w14:textId="77777777" w:rsidR="00091B58" w:rsidRPr="00C81D88" w:rsidRDefault="00091B58" w:rsidP="00091B58">
      <w:pPr>
        <w:numPr>
          <w:ilvl w:val="12"/>
          <w:numId w:val="0"/>
        </w:numPr>
        <w:rPr>
          <w:rFonts w:eastAsia="SimSun"/>
          <w:sz w:val="22"/>
          <w:szCs w:val="22"/>
          <w:lang w:eastAsia="zh-CN"/>
        </w:rPr>
      </w:pPr>
    </w:p>
    <w:p w14:paraId="7C673F30" w14:textId="77777777" w:rsidR="00091B58" w:rsidRPr="00C81D88" w:rsidRDefault="00091B58" w:rsidP="00091B58">
      <w:pPr>
        <w:numPr>
          <w:ilvl w:val="12"/>
          <w:numId w:val="0"/>
        </w:numPr>
        <w:rPr>
          <w:rFonts w:eastAsia="SimSun"/>
          <w:sz w:val="22"/>
          <w:szCs w:val="22"/>
          <w:lang w:eastAsia="zh-CN"/>
        </w:rPr>
      </w:pPr>
    </w:p>
    <w:p w14:paraId="1FEFFE17"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3.</w:t>
      </w:r>
      <w:r w:rsidRPr="00C81D88">
        <w:rPr>
          <w:rFonts w:eastAsia="SimSun"/>
          <w:b/>
          <w:bCs/>
          <w:sz w:val="22"/>
          <w:szCs w:val="22"/>
          <w:lang w:eastAsia="zh-CN"/>
        </w:rPr>
        <w:tab/>
        <w:t>Kaip vartoti Dasatinib Norameda</w:t>
      </w:r>
    </w:p>
    <w:p w14:paraId="54F37053" w14:textId="77777777" w:rsidR="00091B58" w:rsidRPr="00C81D88" w:rsidRDefault="00091B58" w:rsidP="00091B58">
      <w:pPr>
        <w:numPr>
          <w:ilvl w:val="12"/>
          <w:numId w:val="0"/>
        </w:numPr>
        <w:rPr>
          <w:rFonts w:eastAsia="SimSun"/>
          <w:sz w:val="22"/>
          <w:szCs w:val="22"/>
          <w:lang w:eastAsia="zh-CN"/>
        </w:rPr>
      </w:pPr>
    </w:p>
    <w:p w14:paraId="1A29144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gali skirti tik gydytojas, turintis leukemijos gydymo patirties. Visada vartokite šį vaistą tiksliai kaip nurodė gydytojas. Jeigu abejojate, kreipkitės į gydytoją arba vaistininką. Dasatinib Norameda yra skirtas suaugusiems pacientams ir ne jaunesniems kaip 1 metų vaikams.</w:t>
      </w:r>
    </w:p>
    <w:p w14:paraId="34FC498E" w14:textId="77777777" w:rsidR="00091B58" w:rsidRPr="00C81D88" w:rsidRDefault="00091B58" w:rsidP="00091B58">
      <w:pPr>
        <w:numPr>
          <w:ilvl w:val="12"/>
          <w:numId w:val="0"/>
        </w:numPr>
        <w:rPr>
          <w:rFonts w:eastAsia="SimSun"/>
          <w:sz w:val="22"/>
          <w:szCs w:val="22"/>
          <w:lang w:eastAsia="zh-CN"/>
        </w:rPr>
      </w:pPr>
    </w:p>
    <w:p w14:paraId="4D9E8AED"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Rekomenduojama pradinė dozė suaugusiems pacientams, sergantiems Ph+ ŪLL, yra 140 mg kartą per parą.</w:t>
      </w:r>
    </w:p>
    <w:p w14:paraId="564484BB" w14:textId="77777777" w:rsidR="00091B58" w:rsidRPr="00C81D88" w:rsidRDefault="00091B58" w:rsidP="00091B58">
      <w:pPr>
        <w:numPr>
          <w:ilvl w:val="12"/>
          <w:numId w:val="0"/>
        </w:numPr>
        <w:rPr>
          <w:rFonts w:eastAsia="SimSun"/>
          <w:sz w:val="22"/>
          <w:szCs w:val="22"/>
          <w:lang w:eastAsia="zh-CN"/>
        </w:rPr>
      </w:pPr>
    </w:p>
    <w:p w14:paraId="1DA4E396"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Vaikams, sergantiems Ph+ ŪLL, dozuojama pagal kūno svorį. Dazatinibas (tablečių arba miltelių geriamajai suspensijai forma) vartojamas per burną kartą per parą. Mažiau kaip 10 kg sveriantiems pacientams dazatinibo tabletės nerekomenduojamos. Mažiau kaip 10 kg sveriantiems arba tablečių praryti negalintiems pacientams turi būti skiriami milteliai geriamai suspensijai. Dozė gali kisti, kai pereinama nuo vienos farmacinės formos į kitą (t. y. vietoj tablečių pradedama vartoti miltelių geriamai suspensijai arba atvirkščiai), tokiu atveju Jūs patys negalite keisti vieno vaisto kitu. Tinkamą formą ir dozę parinks gydytojas, atsižvelgdamas į kūno svorį, šalutinį poveikį ir atsaką į gydymą. Dasatinib Norameda pradinė dozė vaikams nustatoma pagal kūno svorį, kaip nurodyta toliau.</w:t>
      </w:r>
    </w:p>
    <w:p w14:paraId="59BBA950" w14:textId="77777777" w:rsidR="00091B58" w:rsidRPr="00C81D88" w:rsidRDefault="00091B58" w:rsidP="00091B58">
      <w:pPr>
        <w:rPr>
          <w:bCs/>
          <w:sz w:val="22"/>
          <w:szCs w:val="22"/>
        </w:rPr>
      </w:pPr>
    </w:p>
    <w:tbl>
      <w:tblPr>
        <w:tblW w:w="0" w:type="auto"/>
        <w:tblBorders>
          <w:bottom w:val="single" w:sz="4" w:space="0" w:color="000000"/>
        </w:tblBorders>
        <w:tblLook w:val="04A0" w:firstRow="1" w:lastRow="0" w:firstColumn="1" w:lastColumn="0" w:noHBand="0" w:noVBand="1"/>
      </w:tblPr>
      <w:tblGrid>
        <w:gridCol w:w="4468"/>
        <w:gridCol w:w="4472"/>
      </w:tblGrid>
      <w:tr w:rsidR="00091B58" w:rsidRPr="00C81D88" w14:paraId="076B6035" w14:textId="77777777" w:rsidTr="00AB3BF3">
        <w:tc>
          <w:tcPr>
            <w:tcW w:w="5069" w:type="dxa"/>
            <w:tcBorders>
              <w:top w:val="single" w:sz="4" w:space="0" w:color="000000"/>
              <w:left w:val="nil"/>
              <w:bottom w:val="single" w:sz="4" w:space="0" w:color="000000"/>
              <w:right w:val="nil"/>
            </w:tcBorders>
            <w:shd w:val="clear" w:color="auto" w:fill="auto"/>
            <w:hideMark/>
          </w:tcPr>
          <w:p w14:paraId="0F5B4845" w14:textId="77777777" w:rsidR="00091B58" w:rsidRPr="00C81D88" w:rsidRDefault="00091B58" w:rsidP="00AB3BF3">
            <w:pPr>
              <w:rPr>
                <w:b/>
                <w:bCs/>
                <w:i/>
                <w:sz w:val="22"/>
                <w:szCs w:val="22"/>
              </w:rPr>
            </w:pPr>
            <w:r w:rsidRPr="00C81D88">
              <w:rPr>
                <w:b/>
                <w:bCs/>
                <w:i/>
                <w:sz w:val="22"/>
                <w:szCs w:val="22"/>
              </w:rPr>
              <w:t>Kūno svoris (kg)</w:t>
            </w:r>
            <w:r w:rsidRPr="00C81D88">
              <w:rPr>
                <w:b/>
                <w:bCs/>
                <w:i/>
                <w:sz w:val="22"/>
                <w:szCs w:val="22"/>
                <w:vertAlign w:val="superscript"/>
              </w:rPr>
              <w:t>a</w:t>
            </w:r>
          </w:p>
        </w:tc>
        <w:tc>
          <w:tcPr>
            <w:tcW w:w="5069" w:type="dxa"/>
            <w:tcBorders>
              <w:top w:val="single" w:sz="4" w:space="0" w:color="000000"/>
              <w:left w:val="nil"/>
              <w:bottom w:val="single" w:sz="4" w:space="0" w:color="000000"/>
              <w:right w:val="nil"/>
            </w:tcBorders>
            <w:shd w:val="clear" w:color="auto" w:fill="auto"/>
            <w:hideMark/>
          </w:tcPr>
          <w:p w14:paraId="3BF02940" w14:textId="77777777" w:rsidR="00091B58" w:rsidRPr="00C81D88" w:rsidRDefault="00091B58" w:rsidP="00AB3BF3">
            <w:pPr>
              <w:rPr>
                <w:b/>
                <w:bCs/>
                <w:i/>
                <w:sz w:val="22"/>
                <w:szCs w:val="22"/>
              </w:rPr>
            </w:pPr>
            <w:r w:rsidRPr="00C81D88">
              <w:rPr>
                <w:b/>
                <w:bCs/>
                <w:i/>
                <w:sz w:val="22"/>
                <w:szCs w:val="22"/>
              </w:rPr>
              <w:t>Paros dozės (mg)</w:t>
            </w:r>
          </w:p>
        </w:tc>
      </w:tr>
      <w:tr w:rsidR="00091B58" w:rsidRPr="00C81D88" w14:paraId="1CBB2D6D" w14:textId="77777777" w:rsidTr="00AB3BF3">
        <w:tc>
          <w:tcPr>
            <w:tcW w:w="5069" w:type="dxa"/>
            <w:tcBorders>
              <w:top w:val="nil"/>
              <w:left w:val="nil"/>
              <w:bottom w:val="nil"/>
              <w:right w:val="nil"/>
            </w:tcBorders>
            <w:shd w:val="clear" w:color="auto" w:fill="auto"/>
            <w:hideMark/>
          </w:tcPr>
          <w:p w14:paraId="3D569092" w14:textId="77777777" w:rsidR="00091B58" w:rsidRPr="00C81D88" w:rsidRDefault="00091B58" w:rsidP="00AB3BF3">
            <w:pPr>
              <w:rPr>
                <w:bCs/>
                <w:sz w:val="22"/>
                <w:szCs w:val="22"/>
              </w:rPr>
            </w:pPr>
            <w:r w:rsidRPr="00C81D88">
              <w:rPr>
                <w:bCs/>
                <w:sz w:val="22"/>
                <w:szCs w:val="22"/>
              </w:rPr>
              <w:t>Nuo 10 kg iki mažiau kaip 20 kg</w:t>
            </w:r>
          </w:p>
        </w:tc>
        <w:tc>
          <w:tcPr>
            <w:tcW w:w="5069" w:type="dxa"/>
            <w:tcBorders>
              <w:top w:val="nil"/>
              <w:left w:val="nil"/>
              <w:bottom w:val="nil"/>
              <w:right w:val="nil"/>
            </w:tcBorders>
            <w:shd w:val="clear" w:color="auto" w:fill="auto"/>
            <w:hideMark/>
          </w:tcPr>
          <w:p w14:paraId="3CF4F72C" w14:textId="77777777" w:rsidR="00091B58" w:rsidRPr="00C81D88" w:rsidRDefault="00091B58" w:rsidP="00AB3BF3">
            <w:pPr>
              <w:rPr>
                <w:bCs/>
                <w:sz w:val="22"/>
                <w:szCs w:val="22"/>
              </w:rPr>
            </w:pPr>
            <w:r w:rsidRPr="00C81D88">
              <w:rPr>
                <w:bCs/>
                <w:sz w:val="22"/>
                <w:szCs w:val="22"/>
              </w:rPr>
              <w:t>40 mg</w:t>
            </w:r>
          </w:p>
        </w:tc>
      </w:tr>
      <w:tr w:rsidR="00091B58" w:rsidRPr="00C81D88" w14:paraId="11257559" w14:textId="77777777" w:rsidTr="00AB3BF3">
        <w:tc>
          <w:tcPr>
            <w:tcW w:w="5069" w:type="dxa"/>
            <w:tcBorders>
              <w:top w:val="nil"/>
              <w:left w:val="nil"/>
              <w:bottom w:val="nil"/>
              <w:right w:val="nil"/>
            </w:tcBorders>
            <w:shd w:val="clear" w:color="auto" w:fill="auto"/>
            <w:hideMark/>
          </w:tcPr>
          <w:p w14:paraId="53CA6B4A" w14:textId="77777777" w:rsidR="00091B58" w:rsidRPr="00C81D88" w:rsidRDefault="00091B58" w:rsidP="00AB3BF3">
            <w:pPr>
              <w:rPr>
                <w:bCs/>
                <w:sz w:val="22"/>
                <w:szCs w:val="22"/>
              </w:rPr>
            </w:pPr>
            <w:r w:rsidRPr="00C81D88">
              <w:rPr>
                <w:bCs/>
                <w:sz w:val="22"/>
                <w:szCs w:val="22"/>
              </w:rPr>
              <w:t>Nuo 20 kg iki mažiau kaip 30 kg</w:t>
            </w:r>
          </w:p>
        </w:tc>
        <w:tc>
          <w:tcPr>
            <w:tcW w:w="5069" w:type="dxa"/>
            <w:tcBorders>
              <w:top w:val="nil"/>
              <w:left w:val="nil"/>
              <w:bottom w:val="nil"/>
              <w:right w:val="nil"/>
            </w:tcBorders>
            <w:shd w:val="clear" w:color="auto" w:fill="auto"/>
            <w:hideMark/>
          </w:tcPr>
          <w:p w14:paraId="1782D4AB" w14:textId="77777777" w:rsidR="00091B58" w:rsidRPr="00C81D88" w:rsidRDefault="00091B58" w:rsidP="00AB3BF3">
            <w:pPr>
              <w:rPr>
                <w:bCs/>
                <w:sz w:val="22"/>
                <w:szCs w:val="22"/>
              </w:rPr>
            </w:pPr>
            <w:r w:rsidRPr="00C81D88">
              <w:rPr>
                <w:bCs/>
                <w:sz w:val="22"/>
                <w:szCs w:val="22"/>
              </w:rPr>
              <w:t>60 mg</w:t>
            </w:r>
          </w:p>
        </w:tc>
      </w:tr>
      <w:tr w:rsidR="00091B58" w:rsidRPr="00C81D88" w14:paraId="54CADA16" w14:textId="77777777" w:rsidTr="00AB3BF3">
        <w:tc>
          <w:tcPr>
            <w:tcW w:w="5069" w:type="dxa"/>
            <w:tcBorders>
              <w:top w:val="nil"/>
              <w:left w:val="nil"/>
              <w:bottom w:val="nil"/>
              <w:right w:val="nil"/>
            </w:tcBorders>
            <w:shd w:val="clear" w:color="auto" w:fill="auto"/>
            <w:hideMark/>
          </w:tcPr>
          <w:p w14:paraId="651386E9" w14:textId="77777777" w:rsidR="00091B58" w:rsidRPr="00C81D88" w:rsidRDefault="00091B58" w:rsidP="00AB3BF3">
            <w:pPr>
              <w:rPr>
                <w:bCs/>
                <w:sz w:val="22"/>
                <w:szCs w:val="22"/>
              </w:rPr>
            </w:pPr>
            <w:r w:rsidRPr="00C81D88">
              <w:rPr>
                <w:bCs/>
                <w:sz w:val="22"/>
                <w:szCs w:val="22"/>
              </w:rPr>
              <w:t>Nuo 30 kg iki mažiau kaip 45 kg</w:t>
            </w:r>
          </w:p>
        </w:tc>
        <w:tc>
          <w:tcPr>
            <w:tcW w:w="5069" w:type="dxa"/>
            <w:tcBorders>
              <w:top w:val="nil"/>
              <w:left w:val="nil"/>
              <w:bottom w:val="nil"/>
              <w:right w:val="nil"/>
            </w:tcBorders>
            <w:shd w:val="clear" w:color="auto" w:fill="auto"/>
            <w:hideMark/>
          </w:tcPr>
          <w:p w14:paraId="392B7F99" w14:textId="77777777" w:rsidR="00091B58" w:rsidRPr="00C81D88" w:rsidRDefault="00091B58" w:rsidP="00AB3BF3">
            <w:pPr>
              <w:rPr>
                <w:bCs/>
                <w:sz w:val="22"/>
                <w:szCs w:val="22"/>
              </w:rPr>
            </w:pPr>
            <w:r w:rsidRPr="00C81D88">
              <w:rPr>
                <w:bCs/>
                <w:sz w:val="22"/>
                <w:szCs w:val="22"/>
              </w:rPr>
              <w:t>70 mg</w:t>
            </w:r>
          </w:p>
        </w:tc>
      </w:tr>
      <w:tr w:rsidR="00091B58" w:rsidRPr="00C81D88" w14:paraId="7D4FE381" w14:textId="77777777" w:rsidTr="00AB3BF3">
        <w:tc>
          <w:tcPr>
            <w:tcW w:w="5069" w:type="dxa"/>
            <w:tcBorders>
              <w:top w:val="nil"/>
              <w:left w:val="nil"/>
              <w:bottom w:val="single" w:sz="4" w:space="0" w:color="000000"/>
              <w:right w:val="nil"/>
            </w:tcBorders>
            <w:shd w:val="clear" w:color="auto" w:fill="auto"/>
            <w:hideMark/>
          </w:tcPr>
          <w:p w14:paraId="051D5F1A" w14:textId="77777777" w:rsidR="00091B58" w:rsidRPr="00C81D88" w:rsidRDefault="00091B58" w:rsidP="00AB3BF3">
            <w:pPr>
              <w:rPr>
                <w:bCs/>
                <w:sz w:val="22"/>
                <w:szCs w:val="22"/>
              </w:rPr>
            </w:pPr>
            <w:r w:rsidRPr="00C81D88">
              <w:rPr>
                <w:bCs/>
                <w:sz w:val="22"/>
                <w:szCs w:val="22"/>
              </w:rPr>
              <w:t>Ne mažiau kaip 45 kg</w:t>
            </w:r>
          </w:p>
        </w:tc>
        <w:tc>
          <w:tcPr>
            <w:tcW w:w="5069" w:type="dxa"/>
            <w:tcBorders>
              <w:top w:val="nil"/>
              <w:left w:val="nil"/>
              <w:bottom w:val="single" w:sz="4" w:space="0" w:color="000000"/>
              <w:right w:val="nil"/>
            </w:tcBorders>
            <w:shd w:val="clear" w:color="auto" w:fill="auto"/>
            <w:hideMark/>
          </w:tcPr>
          <w:p w14:paraId="52D62B81" w14:textId="77777777" w:rsidR="00091B58" w:rsidRPr="00C81D88" w:rsidRDefault="00091B58" w:rsidP="00AB3BF3">
            <w:pPr>
              <w:rPr>
                <w:bCs/>
                <w:sz w:val="22"/>
                <w:szCs w:val="22"/>
              </w:rPr>
            </w:pPr>
            <w:r w:rsidRPr="00C81D88">
              <w:rPr>
                <w:bCs/>
                <w:sz w:val="22"/>
                <w:szCs w:val="22"/>
              </w:rPr>
              <w:t>100 mg</w:t>
            </w:r>
          </w:p>
        </w:tc>
      </w:tr>
    </w:tbl>
    <w:p w14:paraId="7CD7BE6D" w14:textId="77777777" w:rsidR="00091B58" w:rsidRPr="00C81D88" w:rsidRDefault="00091B58" w:rsidP="00091B58">
      <w:pPr>
        <w:rPr>
          <w:bCs/>
          <w:sz w:val="22"/>
          <w:szCs w:val="22"/>
        </w:rPr>
      </w:pPr>
      <w:r w:rsidRPr="00C81D88">
        <w:rPr>
          <w:bCs/>
          <w:sz w:val="22"/>
          <w:szCs w:val="22"/>
          <w:vertAlign w:val="superscript"/>
        </w:rPr>
        <w:t>a</w:t>
      </w:r>
      <w:r w:rsidRPr="00C81D88">
        <w:rPr>
          <w:bCs/>
          <w:sz w:val="22"/>
          <w:szCs w:val="22"/>
        </w:rPr>
        <w:t xml:space="preserve"> Tabletės nerekomenduojamos pacientams, sveriantiems mažiau kaip 10 kg (jiems reikia vartoti miltelių geriamai suspensijai)</w:t>
      </w:r>
    </w:p>
    <w:p w14:paraId="7BB15175" w14:textId="77777777" w:rsidR="00091B58" w:rsidRPr="00C81D88" w:rsidRDefault="00091B58" w:rsidP="00091B58">
      <w:pPr>
        <w:numPr>
          <w:ilvl w:val="12"/>
          <w:numId w:val="0"/>
        </w:numPr>
        <w:rPr>
          <w:rFonts w:eastAsia="SimSun"/>
          <w:sz w:val="22"/>
          <w:szCs w:val="22"/>
          <w:lang w:eastAsia="zh-CN"/>
        </w:rPr>
      </w:pPr>
    </w:p>
    <w:p w14:paraId="5C8EEB11"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dozavimo jaunesniems kaip 1 metų vaikams rekomendacijų nėra.</w:t>
      </w:r>
    </w:p>
    <w:p w14:paraId="71DCC4DD" w14:textId="77777777" w:rsidR="00091B58" w:rsidRPr="00C81D88" w:rsidRDefault="00091B58" w:rsidP="00091B58">
      <w:pPr>
        <w:numPr>
          <w:ilvl w:val="12"/>
          <w:numId w:val="0"/>
        </w:numPr>
        <w:rPr>
          <w:rFonts w:eastAsia="SimSun"/>
          <w:sz w:val="22"/>
          <w:szCs w:val="22"/>
          <w:lang w:eastAsia="zh-CN"/>
        </w:rPr>
      </w:pPr>
    </w:p>
    <w:p w14:paraId="3D793C62"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Priklausomai nuo to, kaip Jūs reaguosite į gydymą, gydytojas gali rekomenduoti vartoti didesnę dozę, mažesnę dozę ar net trumpam sustabdyti gydymą. Didesnėms ar mažesnėms dozėms sudaryti gali tekti vartoti kelių skirtingų stiprumų tabletes.</w:t>
      </w:r>
    </w:p>
    <w:p w14:paraId="6F0E5D3B" w14:textId="77777777" w:rsidR="00091B58" w:rsidRPr="00C81D88" w:rsidRDefault="00091B58" w:rsidP="00091B58">
      <w:pPr>
        <w:numPr>
          <w:ilvl w:val="12"/>
          <w:numId w:val="0"/>
        </w:numPr>
        <w:rPr>
          <w:rFonts w:eastAsia="SimSun"/>
          <w:sz w:val="22"/>
          <w:szCs w:val="22"/>
          <w:lang w:eastAsia="zh-CN"/>
        </w:rPr>
      </w:pPr>
    </w:p>
    <w:p w14:paraId="151B9447" w14:textId="77777777" w:rsidR="00091B58" w:rsidRPr="00C81D88" w:rsidRDefault="00091B58" w:rsidP="00091B58">
      <w:pPr>
        <w:numPr>
          <w:ilvl w:val="12"/>
          <w:numId w:val="0"/>
        </w:numPr>
        <w:rPr>
          <w:rFonts w:eastAsia="SimSun"/>
          <w:b/>
          <w:sz w:val="22"/>
          <w:szCs w:val="22"/>
          <w:lang w:eastAsia="zh-CN"/>
        </w:rPr>
      </w:pPr>
      <w:r w:rsidRPr="00C81D88">
        <w:rPr>
          <w:rFonts w:eastAsia="SimSun"/>
          <w:b/>
          <w:sz w:val="22"/>
          <w:szCs w:val="22"/>
          <w:lang w:eastAsia="zh-CN"/>
        </w:rPr>
        <w:t>Kaip vartoti Dasatinib Norameda</w:t>
      </w:r>
    </w:p>
    <w:p w14:paraId="5E141460"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Tabletes gerkite kasdien tuo pačiu laiku. Tabletes nurykite sveikas. Jų negalima traiškyti, pjaustyti ar kramtyti. Negerkite susmulkintų tablečių. Jūs negalite būti tikri, kad suvartosite reikiamą dozę, jei tabletę traiškysite, pjaustysite ar kramtysite. Dasatinib Norameda tabletes galima gerti valgant arba kitu laiku.</w:t>
      </w:r>
    </w:p>
    <w:p w14:paraId="435E83A3" w14:textId="77777777" w:rsidR="00091B58" w:rsidRPr="00C81D88" w:rsidRDefault="00091B58" w:rsidP="00091B58">
      <w:pPr>
        <w:numPr>
          <w:ilvl w:val="12"/>
          <w:numId w:val="0"/>
        </w:numPr>
        <w:rPr>
          <w:rFonts w:eastAsia="SimSun"/>
          <w:sz w:val="22"/>
          <w:szCs w:val="22"/>
          <w:lang w:eastAsia="zh-CN"/>
        </w:rPr>
      </w:pPr>
    </w:p>
    <w:p w14:paraId="1BECD91C" w14:textId="77777777" w:rsidR="00091B58" w:rsidRPr="00C81D88" w:rsidRDefault="00091B58" w:rsidP="00091B58">
      <w:pPr>
        <w:numPr>
          <w:ilvl w:val="12"/>
          <w:numId w:val="0"/>
        </w:numPr>
        <w:rPr>
          <w:rFonts w:eastAsia="SimSun"/>
          <w:b/>
          <w:sz w:val="22"/>
          <w:szCs w:val="22"/>
          <w:lang w:eastAsia="zh-CN"/>
        </w:rPr>
      </w:pPr>
      <w:r w:rsidRPr="00C81D88">
        <w:rPr>
          <w:rFonts w:eastAsia="SimSun"/>
          <w:b/>
          <w:sz w:val="22"/>
          <w:szCs w:val="22"/>
          <w:lang w:eastAsia="zh-CN"/>
        </w:rPr>
        <w:t>Specialios atsargumo priemonės dirbant su Dasatinib Norameda</w:t>
      </w:r>
    </w:p>
    <w:p w14:paraId="6851D94B"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tabletė neturėtų subyrėti, tačiau jei taip atsitiktų, tai su Dasatinib Norameda dirbantiems žmonėms (išskyrus pacientą) reikia mūvėti pirštines.</w:t>
      </w:r>
    </w:p>
    <w:p w14:paraId="2709EF16" w14:textId="77777777" w:rsidR="00091B58" w:rsidRPr="00C81D88" w:rsidRDefault="00091B58" w:rsidP="00091B58">
      <w:pPr>
        <w:numPr>
          <w:ilvl w:val="12"/>
          <w:numId w:val="0"/>
        </w:numPr>
        <w:rPr>
          <w:rFonts w:eastAsia="SimSun"/>
          <w:sz w:val="22"/>
          <w:szCs w:val="22"/>
          <w:lang w:eastAsia="zh-CN"/>
        </w:rPr>
      </w:pPr>
    </w:p>
    <w:p w14:paraId="4325D47E" w14:textId="77777777" w:rsidR="00091B58" w:rsidRPr="00C81D88" w:rsidRDefault="00091B58" w:rsidP="00091B58">
      <w:pPr>
        <w:numPr>
          <w:ilvl w:val="12"/>
          <w:numId w:val="0"/>
        </w:numPr>
        <w:rPr>
          <w:rFonts w:eastAsia="SimSun"/>
          <w:b/>
          <w:sz w:val="22"/>
          <w:szCs w:val="22"/>
          <w:lang w:eastAsia="zh-CN"/>
        </w:rPr>
      </w:pPr>
      <w:r w:rsidRPr="00C81D88">
        <w:rPr>
          <w:rFonts w:eastAsia="SimSun"/>
          <w:b/>
          <w:sz w:val="22"/>
          <w:szCs w:val="22"/>
          <w:lang w:eastAsia="zh-CN"/>
        </w:rPr>
        <w:t>Kiek laiko vartoti Dasatinib Norameda</w:t>
      </w:r>
    </w:p>
    <w:p w14:paraId="1D55B3C7"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Dasatinib Norameda gerkite kasdien tol, kol gydytojas nurodys baigti šio vaisto vartojimą. Dasatinib Norameda būtinai vartokite tiek laiko, kiek nurodė gydytojas.</w:t>
      </w:r>
    </w:p>
    <w:p w14:paraId="7BDE9023" w14:textId="77777777" w:rsidR="00091B58" w:rsidRPr="00C81D88" w:rsidRDefault="00091B58" w:rsidP="00091B58">
      <w:pPr>
        <w:numPr>
          <w:ilvl w:val="12"/>
          <w:numId w:val="0"/>
        </w:numPr>
        <w:rPr>
          <w:rFonts w:eastAsia="SimSun"/>
          <w:b/>
          <w:bCs/>
          <w:sz w:val="22"/>
          <w:szCs w:val="22"/>
          <w:lang w:eastAsia="zh-CN"/>
        </w:rPr>
      </w:pPr>
    </w:p>
    <w:p w14:paraId="244C8D6C"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Ką daryti pavartojus per didelę Dasatinib Norameda dozę?</w:t>
      </w:r>
    </w:p>
    <w:p w14:paraId="27DA21B5"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Nety</w:t>
      </w:r>
      <w:r w:rsidRPr="00C81D88">
        <w:rPr>
          <w:rFonts w:eastAsia="MS Mincho"/>
          <w:sz w:val="22"/>
          <w:szCs w:val="22"/>
          <w:lang w:eastAsia="zh-CN"/>
        </w:rPr>
        <w:t>č</w:t>
      </w:r>
      <w:r w:rsidRPr="00C81D88">
        <w:rPr>
          <w:rFonts w:eastAsia="SimSun"/>
          <w:sz w:val="22"/>
          <w:szCs w:val="22"/>
          <w:lang w:eastAsia="zh-CN"/>
        </w:rPr>
        <w:t>ia išg</w:t>
      </w:r>
      <w:r w:rsidRPr="00C81D88">
        <w:rPr>
          <w:rFonts w:eastAsia="MS Mincho"/>
          <w:sz w:val="22"/>
          <w:szCs w:val="22"/>
          <w:lang w:eastAsia="zh-CN"/>
        </w:rPr>
        <w:t>ė</w:t>
      </w:r>
      <w:r w:rsidRPr="00C81D88">
        <w:rPr>
          <w:rFonts w:eastAsia="SimSun"/>
          <w:sz w:val="22"/>
          <w:szCs w:val="22"/>
          <w:lang w:eastAsia="zh-CN"/>
        </w:rPr>
        <w:t>r</w:t>
      </w:r>
      <w:r w:rsidRPr="00C81D88">
        <w:rPr>
          <w:rFonts w:eastAsia="MS Mincho"/>
          <w:sz w:val="22"/>
          <w:szCs w:val="22"/>
          <w:lang w:eastAsia="zh-CN"/>
        </w:rPr>
        <w:t>ę</w:t>
      </w:r>
      <w:r w:rsidRPr="00C81D88">
        <w:rPr>
          <w:rFonts w:eastAsia="SimSun"/>
          <w:sz w:val="22"/>
          <w:szCs w:val="22"/>
          <w:lang w:eastAsia="zh-CN"/>
        </w:rPr>
        <w:t xml:space="preserve"> per daug table</w:t>
      </w:r>
      <w:r w:rsidRPr="00C81D88">
        <w:rPr>
          <w:rFonts w:eastAsia="MS Mincho"/>
          <w:sz w:val="22"/>
          <w:szCs w:val="22"/>
          <w:lang w:eastAsia="zh-CN"/>
        </w:rPr>
        <w:t>č</w:t>
      </w:r>
      <w:r w:rsidRPr="00C81D88">
        <w:rPr>
          <w:rFonts w:eastAsia="SimSun"/>
          <w:sz w:val="22"/>
          <w:szCs w:val="22"/>
          <w:lang w:eastAsia="zh-CN"/>
        </w:rPr>
        <w:t>i</w:t>
      </w:r>
      <w:r w:rsidRPr="00C81D88">
        <w:rPr>
          <w:rFonts w:eastAsia="MS Mincho"/>
          <w:sz w:val="22"/>
          <w:szCs w:val="22"/>
          <w:lang w:eastAsia="zh-CN"/>
        </w:rPr>
        <w:t>ų</w:t>
      </w:r>
      <w:r w:rsidRPr="00C81D88">
        <w:rPr>
          <w:rFonts w:eastAsia="SimSun"/>
          <w:sz w:val="22"/>
          <w:szCs w:val="22"/>
          <w:lang w:eastAsia="zh-CN"/>
        </w:rPr>
        <w:t xml:space="preserve">, apie tai </w:t>
      </w:r>
      <w:r w:rsidRPr="00C81D88">
        <w:rPr>
          <w:rFonts w:eastAsia="SimSun"/>
          <w:bCs/>
          <w:sz w:val="22"/>
          <w:szCs w:val="22"/>
          <w:lang w:eastAsia="zh-CN"/>
        </w:rPr>
        <w:t>nedelsdami</w:t>
      </w:r>
      <w:r w:rsidRPr="00C81D88">
        <w:rPr>
          <w:rFonts w:eastAsia="SimSun"/>
          <w:b/>
          <w:bCs/>
          <w:sz w:val="22"/>
          <w:szCs w:val="22"/>
          <w:lang w:eastAsia="zh-CN"/>
        </w:rPr>
        <w:t xml:space="preserve"> </w:t>
      </w:r>
      <w:r w:rsidRPr="00C81D88">
        <w:rPr>
          <w:rFonts w:eastAsia="SimSun"/>
          <w:sz w:val="22"/>
          <w:szCs w:val="22"/>
          <w:lang w:eastAsia="zh-CN"/>
        </w:rPr>
        <w:t>pasakykite savo gydytojui. Jums gali prireikti medicininės pagalbos.</w:t>
      </w:r>
    </w:p>
    <w:p w14:paraId="764BDC71" w14:textId="77777777" w:rsidR="00091B58" w:rsidRPr="00C81D88" w:rsidRDefault="00091B58" w:rsidP="00091B58">
      <w:pPr>
        <w:numPr>
          <w:ilvl w:val="12"/>
          <w:numId w:val="0"/>
        </w:numPr>
        <w:rPr>
          <w:rFonts w:eastAsia="SimSun"/>
          <w:b/>
          <w:bCs/>
          <w:sz w:val="22"/>
          <w:szCs w:val="22"/>
          <w:lang w:eastAsia="zh-CN"/>
        </w:rPr>
      </w:pPr>
    </w:p>
    <w:p w14:paraId="5754C406"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Pamiršus pavartoti Dasatinib Norameda</w:t>
      </w:r>
    </w:p>
    <w:p w14:paraId="69F10673"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Negalima vartoti dvigubos doz</w:t>
      </w:r>
      <w:r w:rsidRPr="00C81D88">
        <w:rPr>
          <w:rFonts w:eastAsia="MS Mincho"/>
          <w:sz w:val="22"/>
          <w:szCs w:val="22"/>
          <w:lang w:eastAsia="zh-CN"/>
        </w:rPr>
        <w:t>ė</w:t>
      </w:r>
      <w:r w:rsidRPr="00C81D88">
        <w:rPr>
          <w:rFonts w:eastAsia="SimSun"/>
          <w:sz w:val="22"/>
          <w:szCs w:val="22"/>
          <w:lang w:eastAsia="zh-CN"/>
        </w:rPr>
        <w:t>s norint kompensuoti praleist</w:t>
      </w:r>
      <w:r w:rsidRPr="00C81D88">
        <w:rPr>
          <w:rFonts w:eastAsia="MS Mincho"/>
          <w:sz w:val="22"/>
          <w:szCs w:val="22"/>
          <w:lang w:eastAsia="zh-CN"/>
        </w:rPr>
        <w:t>ą</w:t>
      </w:r>
      <w:r w:rsidRPr="00C81D88">
        <w:rPr>
          <w:rFonts w:eastAsia="SimSun"/>
          <w:sz w:val="22"/>
          <w:szCs w:val="22"/>
          <w:lang w:eastAsia="zh-CN"/>
        </w:rPr>
        <w:t xml:space="preserve"> tabletę. Kit</w:t>
      </w:r>
      <w:r w:rsidRPr="00C81D88">
        <w:rPr>
          <w:rFonts w:eastAsia="MS Mincho"/>
          <w:sz w:val="22"/>
          <w:szCs w:val="22"/>
          <w:lang w:eastAsia="zh-CN"/>
        </w:rPr>
        <w:t>ą</w:t>
      </w:r>
      <w:r w:rsidRPr="00C81D88">
        <w:rPr>
          <w:rFonts w:eastAsia="SimSun"/>
          <w:sz w:val="22"/>
          <w:szCs w:val="22"/>
          <w:lang w:eastAsia="zh-CN"/>
        </w:rPr>
        <w:t xml:space="preserve"> numatytą doz</w:t>
      </w:r>
      <w:r w:rsidRPr="00C81D88">
        <w:rPr>
          <w:rFonts w:eastAsia="MS Mincho"/>
          <w:sz w:val="22"/>
          <w:szCs w:val="22"/>
          <w:lang w:eastAsia="zh-CN"/>
        </w:rPr>
        <w:t>ę</w:t>
      </w:r>
      <w:r w:rsidRPr="00C81D88">
        <w:rPr>
          <w:rFonts w:eastAsia="SimSun"/>
          <w:sz w:val="22"/>
          <w:szCs w:val="22"/>
          <w:lang w:eastAsia="zh-CN"/>
        </w:rPr>
        <w:t xml:space="preserve"> gerkite įprastu laiku.</w:t>
      </w:r>
    </w:p>
    <w:p w14:paraId="5E9155AC" w14:textId="77777777" w:rsidR="00091B58" w:rsidRPr="00C81D88" w:rsidRDefault="00091B58" w:rsidP="00091B58">
      <w:pPr>
        <w:numPr>
          <w:ilvl w:val="12"/>
          <w:numId w:val="0"/>
        </w:numPr>
        <w:rPr>
          <w:rFonts w:eastAsia="SimSun"/>
          <w:sz w:val="22"/>
          <w:szCs w:val="22"/>
          <w:lang w:eastAsia="zh-CN"/>
        </w:rPr>
      </w:pPr>
    </w:p>
    <w:p w14:paraId="089096E8"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lastRenderedPageBreak/>
        <w:t>Jeigu kilt</w:t>
      </w:r>
      <w:r w:rsidRPr="00C81D88">
        <w:rPr>
          <w:rFonts w:eastAsia="MS Mincho"/>
          <w:sz w:val="22"/>
          <w:szCs w:val="22"/>
          <w:lang w:eastAsia="zh-CN"/>
        </w:rPr>
        <w:t>ų</w:t>
      </w:r>
      <w:r w:rsidRPr="00C81D88">
        <w:rPr>
          <w:rFonts w:eastAsia="SimSun"/>
          <w:sz w:val="22"/>
          <w:szCs w:val="22"/>
          <w:lang w:eastAsia="zh-CN"/>
        </w:rPr>
        <w:t xml:space="preserve"> daugiau klausim</w:t>
      </w:r>
      <w:r w:rsidRPr="00C81D88">
        <w:rPr>
          <w:rFonts w:eastAsia="MS Mincho"/>
          <w:sz w:val="22"/>
          <w:szCs w:val="22"/>
          <w:lang w:eastAsia="zh-CN"/>
        </w:rPr>
        <w:t>ų</w:t>
      </w:r>
      <w:r w:rsidRPr="00C81D88">
        <w:rPr>
          <w:rFonts w:eastAsia="SimSun"/>
          <w:sz w:val="22"/>
          <w:szCs w:val="22"/>
          <w:lang w:eastAsia="zh-CN"/>
        </w:rPr>
        <w:t xml:space="preserve"> d</w:t>
      </w:r>
      <w:r w:rsidRPr="00C81D88">
        <w:rPr>
          <w:rFonts w:eastAsia="MS Mincho"/>
          <w:sz w:val="22"/>
          <w:szCs w:val="22"/>
          <w:lang w:eastAsia="zh-CN"/>
        </w:rPr>
        <w:t>ė</w:t>
      </w:r>
      <w:r w:rsidRPr="00C81D88">
        <w:rPr>
          <w:rFonts w:eastAsia="SimSun"/>
          <w:sz w:val="22"/>
          <w:szCs w:val="22"/>
          <w:lang w:eastAsia="zh-CN"/>
        </w:rPr>
        <w:t>l šio vaisto vartojimo, kreipkit</w:t>
      </w:r>
      <w:r w:rsidRPr="00C81D88">
        <w:rPr>
          <w:rFonts w:eastAsia="MS Mincho"/>
          <w:sz w:val="22"/>
          <w:szCs w:val="22"/>
          <w:lang w:eastAsia="zh-CN"/>
        </w:rPr>
        <w:t>ė</w:t>
      </w:r>
      <w:r w:rsidRPr="00C81D88">
        <w:rPr>
          <w:rFonts w:eastAsia="SimSun"/>
          <w:sz w:val="22"/>
          <w:szCs w:val="22"/>
          <w:lang w:eastAsia="zh-CN"/>
        </w:rPr>
        <w:t xml:space="preserve">s </w:t>
      </w:r>
      <w:r w:rsidRPr="00C81D88">
        <w:rPr>
          <w:rFonts w:eastAsia="MS Mincho"/>
          <w:sz w:val="22"/>
          <w:szCs w:val="22"/>
          <w:lang w:eastAsia="zh-CN"/>
        </w:rPr>
        <w:t>į</w:t>
      </w:r>
      <w:r w:rsidRPr="00C81D88">
        <w:rPr>
          <w:rFonts w:eastAsia="SimSun"/>
          <w:sz w:val="22"/>
          <w:szCs w:val="22"/>
          <w:lang w:eastAsia="zh-CN"/>
        </w:rPr>
        <w:t xml:space="preserve"> gydytoj</w:t>
      </w:r>
      <w:r w:rsidRPr="00C81D88">
        <w:rPr>
          <w:rFonts w:eastAsia="MS Mincho"/>
          <w:sz w:val="22"/>
          <w:szCs w:val="22"/>
          <w:lang w:eastAsia="zh-CN"/>
        </w:rPr>
        <w:t>ą</w:t>
      </w:r>
      <w:r w:rsidRPr="00C81D88">
        <w:rPr>
          <w:rFonts w:eastAsia="SimSun"/>
          <w:sz w:val="22"/>
          <w:szCs w:val="22"/>
          <w:lang w:eastAsia="zh-CN"/>
        </w:rPr>
        <w:t xml:space="preserve"> arba vaistinink</w:t>
      </w:r>
      <w:r w:rsidRPr="00C81D88">
        <w:rPr>
          <w:rFonts w:eastAsia="MS Mincho"/>
          <w:sz w:val="22"/>
          <w:szCs w:val="22"/>
          <w:lang w:eastAsia="zh-CN"/>
        </w:rPr>
        <w:t>ą</w:t>
      </w:r>
      <w:r w:rsidRPr="00C81D88">
        <w:rPr>
          <w:rFonts w:eastAsia="SimSun"/>
          <w:sz w:val="22"/>
          <w:szCs w:val="22"/>
          <w:lang w:eastAsia="zh-CN"/>
        </w:rPr>
        <w:t>.</w:t>
      </w:r>
    </w:p>
    <w:p w14:paraId="2DF9F994" w14:textId="77777777" w:rsidR="00091B58" w:rsidRPr="00C81D88" w:rsidRDefault="00091B58" w:rsidP="00091B58">
      <w:pPr>
        <w:numPr>
          <w:ilvl w:val="12"/>
          <w:numId w:val="0"/>
        </w:numPr>
        <w:rPr>
          <w:rFonts w:eastAsia="SimSun"/>
          <w:sz w:val="22"/>
          <w:szCs w:val="22"/>
          <w:lang w:eastAsia="zh-CN"/>
        </w:rPr>
      </w:pPr>
    </w:p>
    <w:p w14:paraId="69E87E8D" w14:textId="77777777" w:rsidR="00091B58" w:rsidRPr="00C81D88" w:rsidRDefault="00091B58" w:rsidP="00091B58">
      <w:pPr>
        <w:numPr>
          <w:ilvl w:val="12"/>
          <w:numId w:val="0"/>
        </w:numPr>
        <w:rPr>
          <w:rFonts w:eastAsia="SimSun"/>
          <w:sz w:val="22"/>
          <w:szCs w:val="22"/>
          <w:lang w:eastAsia="zh-CN"/>
        </w:rPr>
      </w:pPr>
    </w:p>
    <w:p w14:paraId="174BD49F" w14:textId="77777777" w:rsidR="00091B58" w:rsidRPr="00C81D88" w:rsidRDefault="00091B58" w:rsidP="00091B58">
      <w:pPr>
        <w:rPr>
          <w:rFonts w:eastAsia="SimSun"/>
          <w:b/>
          <w:sz w:val="22"/>
          <w:szCs w:val="22"/>
          <w:lang w:eastAsia="zh-CN"/>
        </w:rPr>
      </w:pPr>
      <w:r w:rsidRPr="00C81D88">
        <w:rPr>
          <w:rFonts w:eastAsia="SimSun"/>
          <w:b/>
          <w:sz w:val="22"/>
          <w:szCs w:val="22"/>
          <w:lang w:eastAsia="zh-CN"/>
        </w:rPr>
        <w:t>4.</w:t>
      </w:r>
      <w:r w:rsidRPr="00C81D88">
        <w:rPr>
          <w:rFonts w:eastAsia="SimSun"/>
          <w:b/>
          <w:sz w:val="22"/>
          <w:szCs w:val="22"/>
          <w:lang w:eastAsia="zh-CN"/>
        </w:rPr>
        <w:tab/>
        <w:t>Galimas šalutinis poveikis</w:t>
      </w:r>
    </w:p>
    <w:p w14:paraId="532892BB" w14:textId="77777777" w:rsidR="00091B58" w:rsidRPr="00C81D88" w:rsidRDefault="00091B58" w:rsidP="00091B58">
      <w:pPr>
        <w:numPr>
          <w:ilvl w:val="12"/>
          <w:numId w:val="0"/>
        </w:numPr>
        <w:rPr>
          <w:rFonts w:eastAsia="SimSun"/>
          <w:sz w:val="22"/>
          <w:szCs w:val="22"/>
          <w:lang w:eastAsia="zh-CN"/>
        </w:rPr>
      </w:pPr>
    </w:p>
    <w:p w14:paraId="5691E7E6" w14:textId="77777777" w:rsidR="00091B58" w:rsidRPr="00C81D88" w:rsidRDefault="00091B58" w:rsidP="00091B58">
      <w:pPr>
        <w:numPr>
          <w:ilvl w:val="12"/>
          <w:numId w:val="0"/>
        </w:numPr>
        <w:rPr>
          <w:rFonts w:eastAsia="SimSun"/>
          <w:sz w:val="22"/>
          <w:szCs w:val="22"/>
          <w:lang w:eastAsia="zh-CN"/>
        </w:rPr>
      </w:pPr>
      <w:r w:rsidRPr="00C81D88">
        <w:rPr>
          <w:rFonts w:eastAsia="SimSun"/>
          <w:sz w:val="22"/>
          <w:szCs w:val="22"/>
          <w:lang w:eastAsia="zh-CN"/>
        </w:rPr>
        <w:t xml:space="preserve">Šis vaistas, kaip ir visi kiti, gali sukelti šalutinį poveikį, nors jis pasireiškia ne visiems žmonėms. </w:t>
      </w:r>
    </w:p>
    <w:p w14:paraId="367A45D6" w14:textId="77777777" w:rsidR="00091B58" w:rsidRPr="00C81D88" w:rsidRDefault="00091B58" w:rsidP="00091B58">
      <w:pPr>
        <w:numPr>
          <w:ilvl w:val="12"/>
          <w:numId w:val="0"/>
        </w:numPr>
        <w:rPr>
          <w:rFonts w:eastAsia="SimSun"/>
          <w:sz w:val="22"/>
          <w:szCs w:val="22"/>
          <w:lang w:eastAsia="zh-CN"/>
        </w:rPr>
      </w:pPr>
    </w:p>
    <w:p w14:paraId="0BD5F012" w14:textId="77777777" w:rsidR="00091B58" w:rsidRPr="00C81D8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Sunkų šalutinį poveikį gali rodyti:</w:t>
      </w:r>
    </w:p>
    <w:p w14:paraId="2967A76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krūtinės skausmas, kvėpavimo pasunkėjimas, kosulys, alpimas;</w:t>
      </w:r>
    </w:p>
    <w:p w14:paraId="088DCB2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kraujavimas dėl neaiškios priežasties ar kraujosruvos nesusižeidus;</w:t>
      </w:r>
    </w:p>
    <w:p w14:paraId="42B640A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kraujas vėmaluose, išmatose ar šlapime arba juodos išmatos;</w:t>
      </w:r>
    </w:p>
    <w:p w14:paraId="64DAF8B8"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infekcijos požymiai, pvz., karščiavimas arba didelis šaltkrėtis;</w:t>
      </w:r>
    </w:p>
    <w:p w14:paraId="3F84919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karščiavimas, burnos ertmės arba gerklės skausmas, odos ir (arba) gleivinės pūslės arba lupimasis.</w:t>
      </w:r>
    </w:p>
    <w:p w14:paraId="5BD16900" w14:textId="77777777" w:rsidR="00091B58" w:rsidRPr="00C81D88" w:rsidRDefault="00091B58" w:rsidP="00091B58">
      <w:pPr>
        <w:numPr>
          <w:ilvl w:val="12"/>
          <w:numId w:val="0"/>
        </w:numPr>
        <w:rPr>
          <w:rFonts w:eastAsia="SimSun"/>
          <w:bCs/>
          <w:sz w:val="22"/>
          <w:szCs w:val="22"/>
          <w:lang w:eastAsia="zh-CN"/>
        </w:rPr>
      </w:pPr>
      <w:r w:rsidRPr="00C81D88">
        <w:rPr>
          <w:rFonts w:eastAsia="SimSun"/>
          <w:b/>
          <w:bCs/>
          <w:sz w:val="22"/>
          <w:szCs w:val="22"/>
          <w:lang w:eastAsia="zh-CN"/>
        </w:rPr>
        <w:t>Nedelsdami kreipkitės į gydytoją</w:t>
      </w:r>
      <w:r w:rsidRPr="00C81D88">
        <w:rPr>
          <w:rFonts w:eastAsia="SimSun"/>
          <w:bCs/>
          <w:sz w:val="22"/>
          <w:szCs w:val="22"/>
          <w:lang w:eastAsia="zh-CN"/>
        </w:rPr>
        <w:t>, jeigu pastebėsite bet kurį iš paminėtų sutrikimų.</w:t>
      </w:r>
    </w:p>
    <w:p w14:paraId="0BB61279" w14:textId="77777777" w:rsidR="00091B58" w:rsidRPr="00C81D88" w:rsidRDefault="00091B58" w:rsidP="00091B58">
      <w:pPr>
        <w:numPr>
          <w:ilvl w:val="12"/>
          <w:numId w:val="0"/>
        </w:numPr>
        <w:rPr>
          <w:rFonts w:eastAsia="SimSun"/>
          <w:bCs/>
          <w:sz w:val="22"/>
          <w:szCs w:val="22"/>
          <w:lang w:eastAsia="zh-CN"/>
        </w:rPr>
      </w:pPr>
    </w:p>
    <w:p w14:paraId="62EF6DE4" w14:textId="30D23F22" w:rsidR="00091B58" w:rsidRPr="008526A8" w:rsidRDefault="00091B58" w:rsidP="00091B58">
      <w:pPr>
        <w:numPr>
          <w:ilvl w:val="12"/>
          <w:numId w:val="0"/>
        </w:numPr>
        <w:rPr>
          <w:rFonts w:eastAsia="SimSun"/>
          <w:b/>
          <w:bCs/>
          <w:sz w:val="22"/>
          <w:szCs w:val="22"/>
          <w:lang w:eastAsia="zh-CN"/>
        </w:rPr>
      </w:pPr>
      <w:r w:rsidRPr="003C7273">
        <w:rPr>
          <w:rFonts w:eastAsia="SimSun"/>
          <w:b/>
          <w:bCs/>
          <w:sz w:val="22"/>
          <w:szCs w:val="22"/>
          <w:lang w:eastAsia="zh-CN"/>
        </w:rPr>
        <w:t>Labai dažn</w:t>
      </w:r>
      <w:r w:rsidR="00C80B31" w:rsidRPr="003C7273">
        <w:rPr>
          <w:rFonts w:eastAsia="SimSun"/>
          <w:b/>
          <w:bCs/>
          <w:sz w:val="22"/>
          <w:szCs w:val="22"/>
          <w:lang w:eastAsia="zh-CN"/>
        </w:rPr>
        <w:t>i</w:t>
      </w:r>
      <w:r w:rsidRPr="008526A8">
        <w:rPr>
          <w:rFonts w:eastAsia="SimSun"/>
          <w:b/>
          <w:bCs/>
          <w:sz w:val="22"/>
          <w:szCs w:val="22"/>
          <w:lang w:eastAsia="zh-CN"/>
        </w:rPr>
        <w:t xml:space="preserve"> šalutini</w:t>
      </w:r>
      <w:r w:rsidR="00C80B31" w:rsidRPr="008526A8">
        <w:rPr>
          <w:rFonts w:eastAsia="SimSun"/>
          <w:b/>
          <w:bCs/>
          <w:sz w:val="22"/>
          <w:szCs w:val="22"/>
          <w:lang w:eastAsia="zh-CN"/>
        </w:rPr>
        <w:t>o</w:t>
      </w:r>
      <w:r w:rsidRPr="008526A8">
        <w:rPr>
          <w:rFonts w:eastAsia="SimSun"/>
          <w:b/>
          <w:bCs/>
          <w:sz w:val="22"/>
          <w:szCs w:val="22"/>
          <w:lang w:eastAsia="zh-CN"/>
        </w:rPr>
        <w:t xml:space="preserve"> poveiki</w:t>
      </w:r>
      <w:r w:rsidR="00C80B31" w:rsidRPr="008526A8">
        <w:rPr>
          <w:rFonts w:eastAsia="SimSun"/>
          <w:b/>
          <w:bCs/>
          <w:sz w:val="22"/>
          <w:szCs w:val="22"/>
          <w:lang w:eastAsia="zh-CN"/>
        </w:rPr>
        <w:t>o reiškiniai</w:t>
      </w:r>
      <w:r w:rsidRPr="008526A8">
        <w:rPr>
          <w:rFonts w:eastAsia="SimSun"/>
          <w:b/>
          <w:bCs/>
          <w:sz w:val="22"/>
          <w:szCs w:val="22"/>
          <w:lang w:eastAsia="zh-CN"/>
        </w:rPr>
        <w:t xml:space="preserve"> (gali pasireikšti </w:t>
      </w:r>
      <w:r w:rsidR="008607B6" w:rsidRPr="008526A8">
        <w:rPr>
          <w:rFonts w:eastAsia="SimSun"/>
          <w:b/>
          <w:bCs/>
          <w:sz w:val="22"/>
          <w:szCs w:val="22"/>
          <w:lang w:eastAsia="zh-CN"/>
        </w:rPr>
        <w:t xml:space="preserve">ne rečiau </w:t>
      </w:r>
      <w:r w:rsidRPr="008526A8">
        <w:rPr>
          <w:rFonts w:eastAsia="SimSun"/>
          <w:b/>
          <w:bCs/>
          <w:sz w:val="22"/>
          <w:szCs w:val="22"/>
          <w:lang w:eastAsia="zh-CN"/>
        </w:rPr>
        <w:t>kaip 1 iš 10</w:t>
      </w:r>
      <w:r w:rsidR="008607B6" w:rsidRPr="008526A8">
        <w:rPr>
          <w:rFonts w:eastAsia="SimSun"/>
          <w:b/>
          <w:bCs/>
          <w:sz w:val="22"/>
          <w:szCs w:val="22"/>
          <w:lang w:eastAsia="zh-CN"/>
        </w:rPr>
        <w:t xml:space="preserve"> asmenų</w:t>
      </w:r>
      <w:r w:rsidRPr="008526A8">
        <w:rPr>
          <w:rFonts w:eastAsia="SimSun"/>
          <w:b/>
          <w:bCs/>
          <w:sz w:val="22"/>
          <w:szCs w:val="22"/>
          <w:lang w:eastAsia="zh-CN"/>
        </w:rPr>
        <w:t>)</w:t>
      </w:r>
      <w:r w:rsidR="003C7273" w:rsidRPr="008526A8">
        <w:rPr>
          <w:rFonts w:eastAsia="SimSun"/>
          <w:b/>
          <w:bCs/>
          <w:sz w:val="22"/>
          <w:szCs w:val="22"/>
          <w:lang w:eastAsia="zh-CN"/>
        </w:rPr>
        <w:t>:</w:t>
      </w:r>
    </w:p>
    <w:p w14:paraId="1657BE0A"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Infekcijos (įskaitant sukeltas bakterijų, virusų arba grybelių).</w:t>
      </w:r>
    </w:p>
    <w:p w14:paraId="3F2242E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dusulys.</w:t>
      </w:r>
    </w:p>
    <w:p w14:paraId="206E47E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viduriavimas, pykinimas ar vėmimas.</w:t>
      </w:r>
    </w:p>
    <w:p w14:paraId="41C93F89"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Odos, plaukų, akių ir bendrieji organizmo sutrikimai: odos išbėrimas, karščiavimas, patinimai veido, plaštakų ir pėdų srityje, galvos skausmas, nuovargis ar silpnumas, kraujavimas.</w:t>
      </w:r>
    </w:p>
    <w:p w14:paraId="609743B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Skausmas: raumenų skausmas (gydymo metu arba jį nutraukus), pilvo skausmas.</w:t>
      </w:r>
    </w:p>
    <w:p w14:paraId="260D67E6"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Tyrimai gali rodyti mažą trombocitų skaičių (trombopeniją), mažą baltųjų kraujo ląstelių skaičių (neutropeniją), mažakraujystę, skysčių susikaupimą aplink plaučius.</w:t>
      </w:r>
    </w:p>
    <w:p w14:paraId="6B57A0AB" w14:textId="77777777" w:rsidR="00091B58" w:rsidRPr="00C81D88" w:rsidRDefault="00091B58" w:rsidP="00091B58">
      <w:pPr>
        <w:numPr>
          <w:ilvl w:val="12"/>
          <w:numId w:val="0"/>
        </w:numPr>
        <w:rPr>
          <w:rFonts w:eastAsia="SimSun"/>
          <w:bCs/>
          <w:sz w:val="22"/>
          <w:szCs w:val="22"/>
          <w:lang w:eastAsia="zh-CN"/>
        </w:rPr>
      </w:pPr>
    </w:p>
    <w:p w14:paraId="1BBBB037" w14:textId="48A9193A" w:rsidR="00091B58" w:rsidRPr="008526A8" w:rsidRDefault="00091B58" w:rsidP="00091B58">
      <w:pPr>
        <w:numPr>
          <w:ilvl w:val="12"/>
          <w:numId w:val="0"/>
        </w:numPr>
        <w:rPr>
          <w:rFonts w:eastAsia="SimSun"/>
          <w:b/>
          <w:bCs/>
          <w:sz w:val="22"/>
          <w:szCs w:val="22"/>
          <w:lang w:eastAsia="zh-CN"/>
        </w:rPr>
      </w:pPr>
      <w:r w:rsidRPr="00C81D88">
        <w:rPr>
          <w:rFonts w:eastAsia="SimSun"/>
          <w:b/>
          <w:bCs/>
          <w:sz w:val="22"/>
          <w:szCs w:val="22"/>
          <w:lang w:eastAsia="zh-CN"/>
        </w:rPr>
        <w:t>Dažn</w:t>
      </w:r>
      <w:r w:rsidR="003C7273">
        <w:rPr>
          <w:rFonts w:eastAsia="SimSun"/>
          <w:b/>
          <w:bCs/>
          <w:sz w:val="22"/>
          <w:szCs w:val="22"/>
          <w:lang w:eastAsia="zh-CN"/>
        </w:rPr>
        <w:t>i</w:t>
      </w:r>
      <w:r w:rsidRPr="00C81D88">
        <w:rPr>
          <w:rFonts w:eastAsia="SimSun"/>
          <w:b/>
          <w:bCs/>
          <w:sz w:val="22"/>
          <w:szCs w:val="22"/>
          <w:lang w:eastAsia="zh-CN"/>
        </w:rPr>
        <w:t xml:space="preserve"> šalutini</w:t>
      </w:r>
      <w:r w:rsidR="003C7273">
        <w:rPr>
          <w:rFonts w:eastAsia="SimSun"/>
          <w:b/>
          <w:bCs/>
          <w:sz w:val="22"/>
          <w:szCs w:val="22"/>
          <w:lang w:eastAsia="zh-CN"/>
        </w:rPr>
        <w:t>o</w:t>
      </w:r>
      <w:r w:rsidRPr="00C81D88">
        <w:rPr>
          <w:rFonts w:eastAsia="SimSun"/>
          <w:b/>
          <w:bCs/>
          <w:sz w:val="22"/>
          <w:szCs w:val="22"/>
          <w:lang w:eastAsia="zh-CN"/>
        </w:rPr>
        <w:t xml:space="preserve"> poveiki</w:t>
      </w:r>
      <w:r w:rsidR="003C7273">
        <w:rPr>
          <w:rFonts w:eastAsia="SimSun"/>
          <w:b/>
          <w:bCs/>
          <w:sz w:val="22"/>
          <w:szCs w:val="22"/>
          <w:lang w:eastAsia="zh-CN"/>
        </w:rPr>
        <w:t xml:space="preserve">o </w:t>
      </w:r>
      <w:r w:rsidR="003C7273" w:rsidRPr="00E9328E">
        <w:rPr>
          <w:rFonts w:eastAsia="SimSun"/>
          <w:b/>
          <w:bCs/>
          <w:sz w:val="22"/>
          <w:szCs w:val="22"/>
          <w:lang w:eastAsia="zh-CN"/>
        </w:rPr>
        <w:t>reiškiniai</w:t>
      </w:r>
      <w:r w:rsidRPr="008526A8">
        <w:rPr>
          <w:rFonts w:eastAsia="SimSun"/>
          <w:b/>
          <w:bCs/>
          <w:sz w:val="22"/>
          <w:szCs w:val="22"/>
          <w:lang w:eastAsia="zh-CN"/>
        </w:rPr>
        <w:t xml:space="preserve"> (gali pasireikšti rečiau kaip 1 iš 10</w:t>
      </w:r>
      <w:r w:rsidR="00E9328E" w:rsidRPr="008526A8">
        <w:rPr>
          <w:rFonts w:eastAsia="SimSun"/>
          <w:b/>
          <w:bCs/>
          <w:sz w:val="22"/>
          <w:szCs w:val="22"/>
          <w:lang w:eastAsia="zh-CN"/>
        </w:rPr>
        <w:t xml:space="preserve"> asmenų</w:t>
      </w:r>
      <w:r w:rsidRPr="008526A8">
        <w:rPr>
          <w:rFonts w:eastAsia="SimSun"/>
          <w:b/>
          <w:bCs/>
          <w:sz w:val="22"/>
          <w:szCs w:val="22"/>
          <w:lang w:eastAsia="zh-CN"/>
        </w:rPr>
        <w:t>)</w:t>
      </w:r>
      <w:r w:rsidR="00E9328E" w:rsidRPr="008526A8">
        <w:rPr>
          <w:rFonts w:eastAsia="SimSun"/>
          <w:b/>
          <w:bCs/>
          <w:sz w:val="22"/>
          <w:szCs w:val="22"/>
          <w:lang w:eastAsia="zh-CN"/>
        </w:rPr>
        <w:t>:</w:t>
      </w:r>
    </w:p>
    <w:p w14:paraId="0A63FDA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Infekcijos: plaučių uždegimas, pūslelinės viruso infekcija (įskaitant citomegalo viruso (CMV) infekciją), viršutinių kvėpavimo takų infekcija, sunki kraujo ir audinių infekcija (buvo nedažnų mirties atvejų).</w:t>
      </w:r>
    </w:p>
    <w:p w14:paraId="3905E68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juntamas širdies plakimas, nereguliarus širdies plakimas, stazinis širdies nepakankamumas, širdies raumens susilpnėjimas, didelis kraujospūdis, padidėjęs kraujospūdis plaučiuose, kosulys.</w:t>
      </w:r>
    </w:p>
    <w:p w14:paraId="326A79A1"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apetito sutrikimai, skonio pojūčio sutrikimai, pilvo pūtimas ar tempimas, gaubtinės žarnos uždegimas, vidurių užkietėjimas, rėmuo, opelės burnoje, kūno svorio padidėjimas, kūno svorio sumažėjimas, skrandžio uždegimas.</w:t>
      </w:r>
    </w:p>
    <w:p w14:paraId="39C8D72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Odos, plaukų, akių ir bendrieji organizmo sutrikimai: odos dilgčiojimas, niežulys, sausa oda, spuogai, odos uždegimas, nuolatinis triukšmas ausyse, plaukų slinkimas, padidėjęs prakaitavimas, regėjimo sutrikimai (įskaitant neryškų matomą vaizdą ir sutrikusį regėjimą), sausos akys, kraujosruvos, depresija, nemiga, paraudimas, svaigulys, poodinės kraujosruvos („mėlynės“), apetito stoka, mieguistumas, išplitęs patinimas. </w:t>
      </w:r>
    </w:p>
    <w:p w14:paraId="68F1C4F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Skausmas: sąnarių skausmas, raumenų silpnumas, krūtinės skausmas, skausmas plaštakų ir pėdų srityje, šaltkrėtis, raumenų ir sąnarių sustingimas, raumenų spazmas.</w:t>
      </w:r>
    </w:p>
    <w:p w14:paraId="1E1DDF2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Tyrimai gali rodyti aplink širdį ir (arba) plaučiuose susikaupusį skystį, sutrikusį širdies ritmą, su baltųjų kraujo ląstelių (neutrofilų) skaičiaus sumažėjimu susijusį karščiavimą (febrilinę neutropeniją), kraujavimą virškinimo trakte, didelį šlapimo rūgšties kiekį kraujyje.</w:t>
      </w:r>
    </w:p>
    <w:p w14:paraId="7B0656BE" w14:textId="77777777" w:rsidR="00091B58" w:rsidRPr="00C81D88" w:rsidRDefault="00091B58" w:rsidP="00091B58">
      <w:pPr>
        <w:numPr>
          <w:ilvl w:val="12"/>
          <w:numId w:val="0"/>
        </w:numPr>
        <w:rPr>
          <w:rFonts w:eastAsia="SimSun"/>
          <w:sz w:val="22"/>
          <w:szCs w:val="22"/>
          <w:lang w:eastAsia="zh-CN"/>
        </w:rPr>
      </w:pPr>
    </w:p>
    <w:p w14:paraId="3D3AC217" w14:textId="41B1768B" w:rsidR="00091B58" w:rsidRPr="008526A8" w:rsidRDefault="00091B58" w:rsidP="00091B58">
      <w:pPr>
        <w:numPr>
          <w:ilvl w:val="12"/>
          <w:numId w:val="0"/>
        </w:numPr>
        <w:rPr>
          <w:rFonts w:eastAsia="SimSun"/>
          <w:b/>
          <w:sz w:val="22"/>
          <w:szCs w:val="22"/>
          <w:lang w:eastAsia="zh-CN"/>
        </w:rPr>
      </w:pPr>
      <w:r w:rsidRPr="00C81D88">
        <w:rPr>
          <w:rFonts w:eastAsia="SimSun"/>
          <w:b/>
          <w:bCs/>
          <w:sz w:val="22"/>
          <w:szCs w:val="22"/>
          <w:lang w:eastAsia="zh-CN"/>
        </w:rPr>
        <w:t>Nedažn</w:t>
      </w:r>
      <w:r w:rsidR="004370EB">
        <w:rPr>
          <w:rFonts w:eastAsia="SimSun"/>
          <w:b/>
          <w:bCs/>
          <w:sz w:val="22"/>
          <w:szCs w:val="22"/>
          <w:lang w:eastAsia="zh-CN"/>
        </w:rPr>
        <w:t>i</w:t>
      </w:r>
      <w:r w:rsidRPr="00C81D88">
        <w:rPr>
          <w:rFonts w:eastAsia="SimSun"/>
          <w:b/>
          <w:bCs/>
          <w:sz w:val="22"/>
          <w:szCs w:val="22"/>
          <w:lang w:eastAsia="zh-CN"/>
        </w:rPr>
        <w:t xml:space="preserve"> šalutini</w:t>
      </w:r>
      <w:r w:rsidR="004370EB">
        <w:rPr>
          <w:rFonts w:eastAsia="SimSun"/>
          <w:b/>
          <w:bCs/>
          <w:sz w:val="22"/>
          <w:szCs w:val="22"/>
          <w:lang w:eastAsia="zh-CN"/>
        </w:rPr>
        <w:t>o</w:t>
      </w:r>
      <w:r w:rsidRPr="00C81D88">
        <w:rPr>
          <w:rFonts w:eastAsia="SimSun"/>
          <w:b/>
          <w:bCs/>
          <w:sz w:val="22"/>
          <w:szCs w:val="22"/>
          <w:lang w:eastAsia="zh-CN"/>
        </w:rPr>
        <w:t xml:space="preserve"> poveiki</w:t>
      </w:r>
      <w:r w:rsidR="004370EB">
        <w:rPr>
          <w:rFonts w:eastAsia="SimSun"/>
          <w:b/>
          <w:bCs/>
          <w:sz w:val="22"/>
          <w:szCs w:val="22"/>
          <w:lang w:eastAsia="zh-CN"/>
        </w:rPr>
        <w:t>o reiškiniai</w:t>
      </w:r>
      <w:r w:rsidRPr="008526A8">
        <w:rPr>
          <w:rFonts w:eastAsia="SimSun"/>
          <w:b/>
          <w:sz w:val="22"/>
          <w:szCs w:val="22"/>
          <w:lang w:eastAsia="zh-CN"/>
        </w:rPr>
        <w:t xml:space="preserve"> (gali pasireikšti rečiau kaip 1 iš 100</w:t>
      </w:r>
      <w:r w:rsidR="00251F07" w:rsidRPr="008526A8">
        <w:rPr>
          <w:rFonts w:eastAsia="SimSun"/>
          <w:b/>
          <w:sz w:val="22"/>
          <w:szCs w:val="22"/>
          <w:lang w:eastAsia="zh-CN"/>
        </w:rPr>
        <w:t xml:space="preserve"> asmenų</w:t>
      </w:r>
      <w:r w:rsidRPr="008526A8">
        <w:rPr>
          <w:rFonts w:eastAsia="SimSun"/>
          <w:b/>
          <w:sz w:val="22"/>
          <w:szCs w:val="22"/>
          <w:lang w:eastAsia="zh-CN"/>
        </w:rPr>
        <w:t>)</w:t>
      </w:r>
      <w:r w:rsidR="00251F07" w:rsidRPr="008526A8">
        <w:rPr>
          <w:rFonts w:eastAsia="SimSun"/>
          <w:b/>
          <w:sz w:val="22"/>
          <w:szCs w:val="22"/>
          <w:lang w:eastAsia="zh-CN"/>
        </w:rPr>
        <w:t>:</w:t>
      </w:r>
    </w:p>
    <w:p w14:paraId="1234CAFE"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širdies smūgis (buvo mirties atvejų), širdies dangalo uždegimas (perikarditas), nereguliarus širdies plakimas, krūtinės skausmas dėl širdies aprūpinimo krauju (krūtinės angina), mažas kraujospūdis, kvėpavimo takų susiaurėjimas, dėl kurio gali pasunkėti kvėpavimas, astma, padidėjęs kraujospūdis plaučių arterijose (kraujagyslėse).</w:t>
      </w:r>
    </w:p>
    <w:p w14:paraId="0E5C359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kasos uždegimas, peptinė opa, stemplės uždegimas, pilvo patinimas, išangės odos įplyšimas, pasunkėjęs rijimas, tulžies pūslės uždegimas, tulžies latakų užsikimšimas, refliuksas iš skrandžio į stemplę (kai skrandžio rūgštis ir kitoks turinys kyla į ryklę).</w:t>
      </w:r>
    </w:p>
    <w:p w14:paraId="027F8D23"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Odos, plaukų, akių ir bendrieji organizmo sutrikimai: alerginė reakcija, įskaitant skausmingų paraudusių mazgų odoje atsiradimą (mazginė eritema), nerimas, sumišimas, nuotaikos svyravimai, sumažėjęs lytinis potraukis, alpimas, drebulys, akies uždegimas, dėl kurio </w:t>
      </w:r>
      <w:r w:rsidRPr="00C81D88">
        <w:rPr>
          <w:rFonts w:eastAsia="SimSun"/>
          <w:sz w:val="22"/>
          <w:szCs w:val="22"/>
          <w:lang w:eastAsia="zh-CN"/>
        </w:rPr>
        <w:lastRenderedPageBreak/>
        <w:t>atsiranda paraudimas ar skausmas, odos liga, pasireiškianti skausmingomis raudonomis dėmėmis su aiškiomis ribomis, staiga prasidedančiu karščiavimu ir padidėjusiu baltųjų kraujo ląstelių kiekiu (neutrofilinė dermatozė), klausos netekimas, padidėjęs jautrumas šviesai, sutrikusi rega, padidėjęs ašarojimas, pakitusi odos spalva, poodinio riebalinio audinio uždegimas, odos opa, odos pūslės, nagų sutrikimai, plaukų sutrikimai, plaštakų ir pėdų sutrikimai, inkstų nepakankamumas, dažnas šlapinimasis, vyrų krūtų padidėjimas, sutrikusios mėnesinės, bendras silpnumas ir diskomfortas, susilpnėjusi skydliaukės funkcija, sutrikusi pusiausvyra einant, osteonekrozė (sumažėjusios kaulų kraujotakos liga, dėl kurios gali sumažėti kaulinio audinio kiekis ir kaulas gali žūti), sąnarių uždegimas (artritas) ir bet kurios kūno dalies odos patinimas.</w:t>
      </w:r>
    </w:p>
    <w:p w14:paraId="7256378D"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Skausmas: venos uždegimas, dėl kurio gali atsirasti paraudimas, jautrumas ir patinimas, sausgyslės uždegimas.</w:t>
      </w:r>
    </w:p>
    <w:p w14:paraId="709E132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Galvos smegenys: atminties praradimas.</w:t>
      </w:r>
    </w:p>
    <w:p w14:paraId="7B50FA4E" w14:textId="0B95E9D6"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Tyrimai gali rodyti nenormalių kraujo pokyčių ir galimą inkstų funkcijos sutrikimą dėl iš žūvančio naviko atsipalaidavusių medžiagų (naviko irimo sindromą), mažą albumino kiekį kraujyje, mažą limfocitų (tam tikrų baltųjų kraujo ląstelių) kiekį kraujyje, padidėjusį cholesterolio kiekį kraujyje, padidėjusius limfmazgius, kraujavimą į galvos smegenis, nereguliarų širdies elektrinį aktyvumą, padidėjusią širdį, kepenų uždegimą, baltymą šlapime, padidėjusį kreatino fosfokinazės (fermento, kurio daugiausia randama širdyje, galvos smegenyse ir skeleto raumenyse) kiekį, padidėjusį troponino (fermento, kurio daugiausia randama širdies ir skeleto raumenyse) kiekį ir padidėjusį gama glutamiltransferazės (fermento, kurio daugiausia randama kepenyse) kiekį</w:t>
      </w:r>
      <w:r w:rsidR="007521D9">
        <w:rPr>
          <w:rFonts w:eastAsia="SimSun"/>
          <w:sz w:val="22"/>
          <w:szCs w:val="22"/>
          <w:lang w:eastAsia="zh-CN"/>
        </w:rPr>
        <w:t xml:space="preserve">, </w:t>
      </w:r>
      <w:r w:rsidR="007521D9" w:rsidRPr="00D17165">
        <w:rPr>
          <w:rFonts w:eastAsia="SimSun"/>
          <w:sz w:val="22"/>
          <w:szCs w:val="22"/>
          <w:lang w:eastAsia="zh-CN"/>
        </w:rPr>
        <w:t>atsiradusį pieno išvaizdos skystį aplink plaučius (chilotoraksas)</w:t>
      </w:r>
      <w:r w:rsidRPr="00C81D88">
        <w:rPr>
          <w:rFonts w:eastAsia="SimSun"/>
          <w:sz w:val="22"/>
          <w:szCs w:val="22"/>
          <w:lang w:eastAsia="zh-CN"/>
        </w:rPr>
        <w:t>.</w:t>
      </w:r>
    </w:p>
    <w:p w14:paraId="6C9F8562" w14:textId="77777777" w:rsidR="00091B58" w:rsidRPr="00C81D88" w:rsidRDefault="00091B58" w:rsidP="00091B58">
      <w:pPr>
        <w:numPr>
          <w:ilvl w:val="12"/>
          <w:numId w:val="0"/>
        </w:numPr>
        <w:rPr>
          <w:rFonts w:eastAsia="SimSun"/>
          <w:bCs/>
          <w:sz w:val="22"/>
          <w:szCs w:val="22"/>
          <w:lang w:eastAsia="zh-CN"/>
        </w:rPr>
      </w:pPr>
    </w:p>
    <w:p w14:paraId="3ECCF4F7" w14:textId="6A60726F" w:rsidR="00091B58" w:rsidRPr="00C81D88" w:rsidRDefault="00091B58" w:rsidP="00091B58">
      <w:pPr>
        <w:numPr>
          <w:ilvl w:val="12"/>
          <w:numId w:val="0"/>
        </w:numPr>
        <w:rPr>
          <w:rFonts w:eastAsia="SimSun"/>
          <w:bCs/>
          <w:sz w:val="22"/>
          <w:szCs w:val="22"/>
          <w:lang w:eastAsia="zh-CN"/>
        </w:rPr>
      </w:pPr>
      <w:r w:rsidRPr="00C81D88">
        <w:rPr>
          <w:rFonts w:eastAsia="SimSun"/>
          <w:b/>
          <w:bCs/>
          <w:sz w:val="22"/>
          <w:szCs w:val="22"/>
          <w:lang w:eastAsia="zh-CN"/>
        </w:rPr>
        <w:t>Ret</w:t>
      </w:r>
      <w:r w:rsidR="00A373CF">
        <w:rPr>
          <w:rFonts w:eastAsia="SimSun"/>
          <w:b/>
          <w:bCs/>
          <w:sz w:val="22"/>
          <w:szCs w:val="22"/>
          <w:lang w:eastAsia="zh-CN"/>
        </w:rPr>
        <w:t>i</w:t>
      </w:r>
      <w:r w:rsidRPr="00C81D88">
        <w:rPr>
          <w:rFonts w:eastAsia="SimSun"/>
          <w:b/>
          <w:bCs/>
          <w:sz w:val="22"/>
          <w:szCs w:val="22"/>
          <w:lang w:eastAsia="zh-CN"/>
        </w:rPr>
        <w:t xml:space="preserve"> šalutini</w:t>
      </w:r>
      <w:r w:rsidR="00A373CF">
        <w:rPr>
          <w:rFonts w:eastAsia="SimSun"/>
          <w:b/>
          <w:bCs/>
          <w:sz w:val="22"/>
          <w:szCs w:val="22"/>
          <w:lang w:eastAsia="zh-CN"/>
        </w:rPr>
        <w:t>o</w:t>
      </w:r>
      <w:r w:rsidRPr="00C81D88">
        <w:rPr>
          <w:rFonts w:eastAsia="SimSun"/>
          <w:b/>
          <w:bCs/>
          <w:sz w:val="22"/>
          <w:szCs w:val="22"/>
          <w:lang w:eastAsia="zh-CN"/>
        </w:rPr>
        <w:t xml:space="preserve"> poveiki</w:t>
      </w:r>
      <w:r w:rsidR="00A373CF">
        <w:rPr>
          <w:rFonts w:eastAsia="SimSun"/>
          <w:b/>
          <w:bCs/>
          <w:sz w:val="22"/>
          <w:szCs w:val="22"/>
          <w:lang w:eastAsia="zh-CN"/>
        </w:rPr>
        <w:t>o reiškiniai</w:t>
      </w:r>
      <w:r w:rsidRPr="008526A8">
        <w:rPr>
          <w:rFonts w:eastAsia="SimSun"/>
          <w:b/>
          <w:sz w:val="22"/>
          <w:szCs w:val="22"/>
          <w:lang w:eastAsia="zh-CN"/>
        </w:rPr>
        <w:t xml:space="preserve"> (gali pasireikšti rečiau kaip 1 iš 1</w:t>
      </w:r>
      <w:r w:rsidR="00A373CF" w:rsidRPr="008526A8">
        <w:rPr>
          <w:rFonts w:eastAsia="SimSun"/>
          <w:b/>
          <w:sz w:val="22"/>
          <w:szCs w:val="22"/>
          <w:lang w:eastAsia="zh-CN"/>
        </w:rPr>
        <w:t> </w:t>
      </w:r>
      <w:r w:rsidRPr="008526A8">
        <w:rPr>
          <w:rFonts w:eastAsia="SimSun"/>
          <w:b/>
          <w:sz w:val="22"/>
          <w:szCs w:val="22"/>
          <w:lang w:eastAsia="zh-CN"/>
        </w:rPr>
        <w:t>000</w:t>
      </w:r>
      <w:r w:rsidR="00A373CF" w:rsidRPr="008526A8">
        <w:rPr>
          <w:rFonts w:eastAsia="SimSun"/>
          <w:b/>
          <w:sz w:val="22"/>
          <w:szCs w:val="22"/>
          <w:lang w:eastAsia="zh-CN"/>
        </w:rPr>
        <w:t xml:space="preserve"> asmenų</w:t>
      </w:r>
      <w:r w:rsidRPr="008526A8">
        <w:rPr>
          <w:rFonts w:eastAsia="SimSun"/>
          <w:b/>
          <w:sz w:val="22"/>
          <w:szCs w:val="22"/>
          <w:lang w:eastAsia="zh-CN"/>
        </w:rPr>
        <w:t>)</w:t>
      </w:r>
      <w:r w:rsidR="00A373CF" w:rsidRPr="008526A8">
        <w:rPr>
          <w:rFonts w:eastAsia="SimSun"/>
          <w:b/>
          <w:sz w:val="22"/>
          <w:szCs w:val="22"/>
          <w:lang w:eastAsia="zh-CN"/>
        </w:rPr>
        <w:t>:</w:t>
      </w:r>
    </w:p>
    <w:p w14:paraId="57DE850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Širdies ir plaučių sutrikimai: padidėjęs širdies dešinysis skilvelis, širdies raumens uždegimas ir būklės dėl sutrikusios širdies raumens kraujotakos (ūminis vainikinis sindromas), širdies sustojimas (ji nustoja pumpuoti kraują), vainikinių (širdies) arterijų liga, širdies ir plaučių dangalų uždegimas, kraujo krešuliai, kraujo krešuliai plaučiuose.</w:t>
      </w:r>
    </w:p>
    <w:p w14:paraId="0EA1C9C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Virškinimo sutrikimai: gyvybiškai svarbių maisto medžiagų (pvz., baltymų) netekimas iš virškinimo trakto, žarnų užsikimšimas, išangės fistulė (nenormalus kanalas, kuris jungia išangę su greta jos esančia oda), sutrikusi inkstų funkcija, cukrinis diabetas.</w:t>
      </w:r>
    </w:p>
    <w:p w14:paraId="6FC61979"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Odos, plaukų, akių ir bendrieji organizmo sutrikimai: traukuliai, regos nervo uždegimas, dėl kurio galima visiškai ar iš dalies apakti, mėlynos-purpurinės dėmės odoje, nenormaliai stipri skydliaukės funkcija, skydliaukės uždegimas, ataksija (sutrikusi judesių koordinacija), pasunkėjęs ėjimas, persileidimas, odos kraujagyslių uždegimas, odos fibrozė (randėjimas).</w:t>
      </w:r>
    </w:p>
    <w:p w14:paraId="1DCC3CC8"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Galvos smegenys: insultas, laikinas neurologinių sutrikimų epizodas dėl sutrikusios smegenų kraujotakos, veido nervo paralyžius, demencija (silpnaprotystė).</w:t>
      </w:r>
    </w:p>
    <w:p w14:paraId="3F448804"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Imuninė sistema: sunki alerginė reakcija. </w:t>
      </w:r>
    </w:p>
    <w:p w14:paraId="4322E69B"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Skeleto, raumenų ir jungiamojo audinio sutrikimai: sąnarius sudarančių apvalių kaulų galų (epifizių) vėlyvas susiliejimas; sulėtėjęs arba vėlyvas augimas.</w:t>
      </w:r>
    </w:p>
    <w:p w14:paraId="2CF5AA64" w14:textId="77777777" w:rsidR="00091B58" w:rsidRPr="00C81D88" w:rsidRDefault="00091B58" w:rsidP="00091B58">
      <w:pPr>
        <w:rPr>
          <w:rFonts w:eastAsia="SimSun"/>
          <w:sz w:val="22"/>
          <w:szCs w:val="22"/>
          <w:lang w:eastAsia="zh-CN"/>
        </w:rPr>
      </w:pPr>
    </w:p>
    <w:p w14:paraId="67968F40" w14:textId="12FF984E" w:rsidR="00091B58" w:rsidRPr="008526A8" w:rsidRDefault="003E00E3" w:rsidP="00091B58">
      <w:pPr>
        <w:rPr>
          <w:rFonts w:eastAsia="SimSun"/>
          <w:b/>
          <w:bCs/>
          <w:sz w:val="22"/>
          <w:szCs w:val="22"/>
          <w:lang w:eastAsia="zh-CN"/>
        </w:rPr>
      </w:pPr>
      <w:r w:rsidRPr="008526A8">
        <w:rPr>
          <w:rFonts w:eastAsia="SimSun"/>
          <w:b/>
          <w:bCs/>
          <w:sz w:val="22"/>
          <w:szCs w:val="22"/>
          <w:lang w:eastAsia="zh-CN"/>
        </w:rPr>
        <w:t xml:space="preserve">Šalutinio </w:t>
      </w:r>
      <w:r w:rsidR="009D5704" w:rsidRPr="008526A8">
        <w:rPr>
          <w:rFonts w:eastAsia="SimSun"/>
          <w:b/>
          <w:bCs/>
          <w:sz w:val="22"/>
          <w:szCs w:val="22"/>
          <w:lang w:eastAsia="zh-CN"/>
        </w:rPr>
        <w:t xml:space="preserve">poveikio reiškiniai, kurių </w:t>
      </w:r>
      <w:r w:rsidR="00091B58" w:rsidRPr="008526A8">
        <w:rPr>
          <w:rFonts w:eastAsia="SimSun"/>
          <w:b/>
          <w:bCs/>
          <w:sz w:val="22"/>
          <w:szCs w:val="22"/>
          <w:lang w:eastAsia="zh-CN"/>
        </w:rPr>
        <w:t xml:space="preserve">dažnis </w:t>
      </w:r>
      <w:r w:rsidR="00091B58" w:rsidRPr="004816AC">
        <w:rPr>
          <w:rFonts w:eastAsia="SimSun"/>
          <w:b/>
          <w:bCs/>
          <w:sz w:val="22"/>
          <w:szCs w:val="22"/>
          <w:lang w:eastAsia="zh-CN"/>
        </w:rPr>
        <w:t>nežinomas</w:t>
      </w:r>
      <w:r w:rsidR="00091B58" w:rsidRPr="008526A8">
        <w:rPr>
          <w:rFonts w:eastAsia="SimSun"/>
          <w:b/>
          <w:bCs/>
          <w:sz w:val="22"/>
          <w:szCs w:val="22"/>
          <w:lang w:eastAsia="zh-CN"/>
        </w:rPr>
        <w:t xml:space="preserve"> (negali </w:t>
      </w:r>
      <w:r w:rsidR="009D5704" w:rsidRPr="008526A8">
        <w:rPr>
          <w:rFonts w:eastAsia="SimSun"/>
          <w:b/>
          <w:bCs/>
          <w:sz w:val="22"/>
          <w:szCs w:val="22"/>
          <w:lang w:eastAsia="zh-CN"/>
        </w:rPr>
        <w:t>būti</w:t>
      </w:r>
      <w:r w:rsidR="004816AC" w:rsidRPr="008526A8">
        <w:rPr>
          <w:rFonts w:eastAsia="SimSun"/>
          <w:b/>
          <w:bCs/>
          <w:sz w:val="22"/>
          <w:szCs w:val="22"/>
          <w:lang w:eastAsia="zh-CN"/>
        </w:rPr>
        <w:t xml:space="preserve"> </w:t>
      </w:r>
      <w:r w:rsidR="00091B58" w:rsidRPr="008526A8">
        <w:rPr>
          <w:rFonts w:eastAsia="SimSun"/>
          <w:b/>
          <w:bCs/>
          <w:sz w:val="22"/>
          <w:szCs w:val="22"/>
          <w:lang w:eastAsia="zh-CN"/>
        </w:rPr>
        <w:t>apskaičiuot</w:t>
      </w:r>
      <w:r w:rsidR="004816AC" w:rsidRPr="008526A8">
        <w:rPr>
          <w:rFonts w:eastAsia="SimSun"/>
          <w:b/>
          <w:bCs/>
          <w:sz w:val="22"/>
          <w:szCs w:val="22"/>
          <w:lang w:eastAsia="zh-CN"/>
        </w:rPr>
        <w:t>as</w:t>
      </w:r>
      <w:r w:rsidR="00091B58" w:rsidRPr="008526A8">
        <w:rPr>
          <w:rFonts w:eastAsia="SimSun"/>
          <w:b/>
          <w:bCs/>
          <w:sz w:val="22"/>
          <w:szCs w:val="22"/>
          <w:lang w:eastAsia="zh-CN"/>
        </w:rPr>
        <w:t xml:space="preserve"> pagal turimus duomenis)</w:t>
      </w:r>
      <w:r w:rsidR="004816AC" w:rsidRPr="008526A8">
        <w:rPr>
          <w:rFonts w:eastAsia="SimSun"/>
          <w:b/>
          <w:bCs/>
          <w:sz w:val="22"/>
          <w:szCs w:val="22"/>
          <w:lang w:eastAsia="zh-CN"/>
        </w:rPr>
        <w:t>:</w:t>
      </w:r>
    </w:p>
    <w:p w14:paraId="16026AB0"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Plaučių uždegimas.</w:t>
      </w:r>
    </w:p>
    <w:p w14:paraId="75C38CA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Kraujavimas iš skrandžio ar žarnų (jis gali būti mirtinas).</w:t>
      </w:r>
    </w:p>
    <w:p w14:paraId="69F7844F"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Hepatito B infekcijos atsinaujinimas (reaktyvacija), jeigu praeityje Jums buvo diagnozuotas hepatitas B (kepenų infekcija).</w:t>
      </w:r>
    </w:p>
    <w:p w14:paraId="579BB9F7"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Reakcija, pasireiškianti karščiavimu, odos pūslėmis ir gleivinės išopėjimu.</w:t>
      </w:r>
    </w:p>
    <w:p w14:paraId="0C3A2ED2"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Inkstų liga pasireiškianti simptomais, įskaitant patinimą, ir nenormaliais laboratoriniai tyrimų rezultatais, tokiais kaip baltymas šlapime ir mažas baltymų kiekis kraujyje.</w:t>
      </w:r>
    </w:p>
    <w:p w14:paraId="2F22EBF5"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Kraujagyslių pažeidimas, vadinamas trombine mikroangiopatija (TMA), įskaitant sumažėjusi raudonųjų kraujo ląstelių skaičių, sumažėjusį trombocitų kiekį ir krešulių susidarymą.</w:t>
      </w:r>
    </w:p>
    <w:p w14:paraId="69C2DC49" w14:textId="77777777" w:rsidR="00091B58" w:rsidRPr="00C81D88" w:rsidRDefault="00091B58" w:rsidP="00091B58">
      <w:pPr>
        <w:numPr>
          <w:ilvl w:val="12"/>
          <w:numId w:val="0"/>
        </w:numPr>
        <w:rPr>
          <w:rFonts w:eastAsia="SimSun"/>
          <w:bCs/>
          <w:sz w:val="22"/>
          <w:szCs w:val="22"/>
          <w:lang w:eastAsia="zh-CN"/>
        </w:rPr>
      </w:pPr>
    </w:p>
    <w:p w14:paraId="7389C4E4" w14:textId="77777777" w:rsidR="00091B58" w:rsidRPr="00C81D88" w:rsidRDefault="00091B58" w:rsidP="00091B58">
      <w:pPr>
        <w:numPr>
          <w:ilvl w:val="12"/>
          <w:numId w:val="0"/>
        </w:numPr>
        <w:rPr>
          <w:rFonts w:eastAsia="SimSun"/>
          <w:bCs/>
          <w:sz w:val="22"/>
          <w:szCs w:val="22"/>
          <w:lang w:eastAsia="zh-CN"/>
        </w:rPr>
      </w:pPr>
      <w:r w:rsidRPr="00C81D88">
        <w:rPr>
          <w:rFonts w:eastAsia="SimSun"/>
          <w:bCs/>
          <w:sz w:val="22"/>
          <w:szCs w:val="22"/>
          <w:lang w:eastAsia="zh-CN"/>
        </w:rPr>
        <w:t>Gydymo metu gydytojas stebės, ar nepasireiškia tam tikras paminėtas šalutinis poveikis.</w:t>
      </w:r>
    </w:p>
    <w:p w14:paraId="07536002" w14:textId="77777777" w:rsidR="00091B58" w:rsidRPr="00C81D88" w:rsidRDefault="00091B58" w:rsidP="00091B58">
      <w:pPr>
        <w:numPr>
          <w:ilvl w:val="12"/>
          <w:numId w:val="0"/>
        </w:numPr>
        <w:rPr>
          <w:rFonts w:eastAsia="SimSun"/>
          <w:sz w:val="22"/>
          <w:szCs w:val="22"/>
        </w:rPr>
      </w:pPr>
    </w:p>
    <w:p w14:paraId="2496E5E6" w14:textId="77777777" w:rsidR="00091B58" w:rsidRPr="00C81D88" w:rsidRDefault="00091B58" w:rsidP="00091B58">
      <w:pPr>
        <w:rPr>
          <w:b/>
          <w:snapToGrid w:val="0"/>
          <w:sz w:val="22"/>
          <w:szCs w:val="22"/>
        </w:rPr>
      </w:pPr>
      <w:r w:rsidRPr="00C81D88">
        <w:rPr>
          <w:b/>
          <w:snapToGrid w:val="0"/>
          <w:sz w:val="22"/>
          <w:szCs w:val="22"/>
        </w:rPr>
        <w:t>Pranešimas apie šalutinį poveikį</w:t>
      </w:r>
    </w:p>
    <w:p w14:paraId="7D134961" w14:textId="67F2FABB" w:rsidR="00B550AB" w:rsidRPr="00B550AB" w:rsidRDefault="00091B58" w:rsidP="00B550AB">
      <w:pPr>
        <w:tabs>
          <w:tab w:val="left" w:pos="567"/>
        </w:tabs>
        <w:spacing w:line="260" w:lineRule="exact"/>
        <w:ind w:right="-1"/>
        <w:rPr>
          <w:snapToGrid w:val="0"/>
          <w:sz w:val="22"/>
          <w:szCs w:val="20"/>
        </w:rPr>
      </w:pPr>
      <w:r w:rsidRPr="00C81D88">
        <w:rPr>
          <w:snapToGrid w:val="0"/>
          <w:sz w:val="22"/>
          <w:szCs w:val="22"/>
        </w:rPr>
        <w:t>Jeigu pasireiškė šalutinis poveikis, įskaitant šiame lapelyje nenurodytą, pasakykite gydytojui arba vaistininkui.</w:t>
      </w:r>
      <w:r w:rsidR="00B550AB" w:rsidRPr="00B550AB">
        <w:rPr>
          <w:snapToGrid w:val="0"/>
          <w:sz w:val="22"/>
          <w:szCs w:val="20"/>
        </w:rPr>
        <w:t xml:space="preserve"> Pranešimą apie šalutinį poveikį galite pateikti šiais būdais: tiesiogiai užpildant formą </w:t>
      </w:r>
      <w:r w:rsidR="00B550AB" w:rsidRPr="00B550AB">
        <w:rPr>
          <w:snapToGrid w:val="0"/>
          <w:sz w:val="22"/>
          <w:szCs w:val="20"/>
        </w:rPr>
        <w:lastRenderedPageBreak/>
        <w:t xml:space="preserve">internetu Valstybinės vaistų kontrolės tarnybos prie Lietuvos Respublikos sveikatos apsaugos ministerijos Vaistinių preparatų informacinėje sistemoje </w:t>
      </w:r>
      <w:hyperlink r:id="rId11" w:history="1">
        <w:r w:rsidR="00B550AB" w:rsidRPr="00B550AB">
          <w:rPr>
            <w:snapToGrid w:val="0"/>
            <w:color w:val="0000FF"/>
            <w:sz w:val="22"/>
            <w:szCs w:val="20"/>
            <w:u w:val="single"/>
          </w:rPr>
          <w:t>https://vapris.vvkt.lt/vvkt-web/public/nrv</w:t>
        </w:r>
      </w:hyperlink>
      <w:r w:rsidR="00B550AB" w:rsidRPr="00B550AB">
        <w:rPr>
          <w:snapToGrid w:val="0"/>
          <w:sz w:val="22"/>
          <w:szCs w:val="20"/>
        </w:rPr>
        <w:t xml:space="preserve"> arba užpildant Paciento pranešimo apie įtariamą nepageidaujamą reakciją (ĮNR) formą, kuri skelbiama </w:t>
      </w:r>
      <w:hyperlink r:id="rId12" w:history="1">
        <w:r w:rsidR="00B550AB" w:rsidRPr="00B550AB">
          <w:rPr>
            <w:snapToGrid w:val="0"/>
            <w:color w:val="0000FF"/>
            <w:sz w:val="22"/>
            <w:szCs w:val="20"/>
            <w:u w:val="single"/>
          </w:rPr>
          <w:t>https://www.vvkt.lt/index.php?4004286486</w:t>
        </w:r>
      </w:hyperlink>
      <w:r w:rsidR="00B550AB" w:rsidRPr="00B550AB">
        <w:rPr>
          <w:snapToGrid w:val="0"/>
          <w:sz w:val="22"/>
          <w:szCs w:val="20"/>
        </w:rPr>
        <w:t xml:space="preserve">, ir atsiunčiant elektroniniu paštu (adresu </w:t>
      </w:r>
      <w:hyperlink r:id="rId13" w:history="1">
        <w:r w:rsidR="00B550AB" w:rsidRPr="00B550AB">
          <w:rPr>
            <w:snapToGrid w:val="0"/>
            <w:color w:val="0000FF"/>
            <w:sz w:val="22"/>
            <w:szCs w:val="20"/>
            <w:u w:val="single"/>
          </w:rPr>
          <w:t>NepageidaujamaR@vvkt.lt</w:t>
        </w:r>
      </w:hyperlink>
      <w:r w:rsidR="00B550AB" w:rsidRPr="00B550AB">
        <w:rPr>
          <w:snapToGrid w:val="0"/>
          <w:sz w:val="22"/>
          <w:szCs w:val="20"/>
        </w:rPr>
        <w:t>) arba nemokamu telefonu 8 800 73 568. Pranešdami apie šalutinį poveikį galite mums padėti gauti daugiau informacijos apie šio vaisto saugumą.</w:t>
      </w:r>
    </w:p>
    <w:p w14:paraId="7B846964" w14:textId="5FB5248F" w:rsidR="00091B58" w:rsidRPr="00C81D88" w:rsidRDefault="00091B58" w:rsidP="008526A8">
      <w:pPr>
        <w:ind w:right="-449"/>
        <w:rPr>
          <w:rFonts w:eastAsia="SimSun"/>
          <w:sz w:val="22"/>
          <w:szCs w:val="22"/>
        </w:rPr>
      </w:pPr>
      <w:r w:rsidRPr="00C81D88">
        <w:rPr>
          <w:snapToGrid w:val="0"/>
          <w:sz w:val="22"/>
          <w:szCs w:val="22"/>
        </w:rPr>
        <w:t xml:space="preserve"> </w:t>
      </w:r>
    </w:p>
    <w:p w14:paraId="21CC0C07" w14:textId="77777777" w:rsidR="00091B58" w:rsidRPr="00C81D88" w:rsidRDefault="00091B58" w:rsidP="00091B58">
      <w:pPr>
        <w:numPr>
          <w:ilvl w:val="12"/>
          <w:numId w:val="0"/>
        </w:numPr>
        <w:rPr>
          <w:rFonts w:eastAsia="SimSun"/>
          <w:sz w:val="22"/>
          <w:szCs w:val="22"/>
        </w:rPr>
      </w:pPr>
    </w:p>
    <w:p w14:paraId="2BF63532" w14:textId="77777777" w:rsidR="00091B58" w:rsidRPr="00C81D88" w:rsidRDefault="00091B58" w:rsidP="00091B58">
      <w:pPr>
        <w:keepNext/>
        <w:keepLines/>
        <w:outlineLvl w:val="2"/>
        <w:rPr>
          <w:rFonts w:eastAsia="SimSun"/>
          <w:b/>
          <w:bCs/>
          <w:sz w:val="22"/>
          <w:szCs w:val="22"/>
          <w:lang w:eastAsia="zh-CN"/>
        </w:rPr>
      </w:pPr>
      <w:r w:rsidRPr="00C81D88">
        <w:rPr>
          <w:rFonts w:eastAsia="SimSun"/>
          <w:b/>
          <w:bCs/>
          <w:sz w:val="22"/>
          <w:szCs w:val="22"/>
          <w:lang w:eastAsia="zh-CN"/>
        </w:rPr>
        <w:t>5.</w:t>
      </w:r>
      <w:r w:rsidRPr="00C81D88">
        <w:rPr>
          <w:rFonts w:eastAsia="SimSun"/>
          <w:b/>
          <w:bCs/>
          <w:sz w:val="22"/>
          <w:szCs w:val="22"/>
          <w:lang w:eastAsia="zh-CN"/>
        </w:rPr>
        <w:tab/>
        <w:t>Kaip laikyti Dasatinib Norameda</w:t>
      </w:r>
    </w:p>
    <w:p w14:paraId="1F639209" w14:textId="77777777" w:rsidR="00091B58" w:rsidRPr="00C81D88" w:rsidRDefault="00091B58" w:rsidP="00091B58">
      <w:pPr>
        <w:numPr>
          <w:ilvl w:val="12"/>
          <w:numId w:val="0"/>
        </w:numPr>
        <w:rPr>
          <w:rFonts w:eastAsia="SimSun"/>
          <w:szCs w:val="22"/>
          <w:lang w:eastAsia="zh-CN"/>
        </w:rPr>
      </w:pPr>
    </w:p>
    <w:p w14:paraId="49E63910" w14:textId="77777777" w:rsidR="00091B58" w:rsidRPr="00C81D88" w:rsidRDefault="00091B58" w:rsidP="00091B58">
      <w:pPr>
        <w:rPr>
          <w:rFonts w:eastAsia="SimSun"/>
          <w:sz w:val="22"/>
          <w:szCs w:val="22"/>
          <w:lang w:eastAsia="zh-CN"/>
        </w:rPr>
      </w:pPr>
      <w:r w:rsidRPr="00C81D88">
        <w:rPr>
          <w:rFonts w:eastAsia="SimSun"/>
          <w:sz w:val="22"/>
          <w:szCs w:val="22"/>
          <w:lang w:eastAsia="zh-CN"/>
        </w:rPr>
        <w:t>Šį vaistą laikykite vaikams nepastebimoje ir nepasiekiamoje vietoje.</w:t>
      </w:r>
    </w:p>
    <w:p w14:paraId="2027F3D4" w14:textId="77777777" w:rsidR="00091B58" w:rsidRPr="00C81D88" w:rsidRDefault="00091B58" w:rsidP="00091B58">
      <w:pPr>
        <w:rPr>
          <w:rFonts w:eastAsia="SimSun"/>
          <w:sz w:val="22"/>
          <w:szCs w:val="22"/>
          <w:lang w:eastAsia="zh-CN"/>
        </w:rPr>
      </w:pPr>
    </w:p>
    <w:p w14:paraId="37C1DDC3" w14:textId="77777777" w:rsidR="00091B58" w:rsidRPr="00C81D88" w:rsidRDefault="00091B58" w:rsidP="00091B58">
      <w:pPr>
        <w:rPr>
          <w:rFonts w:eastAsia="SimSun"/>
          <w:sz w:val="22"/>
          <w:szCs w:val="22"/>
          <w:lang w:eastAsia="zh-CN"/>
        </w:rPr>
      </w:pPr>
      <w:r w:rsidRPr="00C81D88">
        <w:rPr>
          <w:rFonts w:eastAsia="SimSun"/>
          <w:sz w:val="22"/>
          <w:szCs w:val="22"/>
          <w:lang w:eastAsia="zh-CN"/>
        </w:rPr>
        <w:t>Ant dėžutės, talpyklės etiketės ar lizdinės plokštelės po „EXP” nurodytam tinkamumo laikui pasibaigus, šio vaisto vartoti negalima. Vaistas tinkamas vartoti iki paskutinės nurodyto mėnesio dienos.</w:t>
      </w:r>
    </w:p>
    <w:p w14:paraId="23656233" w14:textId="77777777" w:rsidR="00091B58" w:rsidRPr="00C81D88" w:rsidRDefault="00091B58" w:rsidP="00091B58">
      <w:pPr>
        <w:rPr>
          <w:rFonts w:eastAsia="SimSun"/>
          <w:sz w:val="22"/>
          <w:szCs w:val="22"/>
          <w:lang w:eastAsia="zh-CN"/>
        </w:rPr>
      </w:pPr>
    </w:p>
    <w:p w14:paraId="037508A3" w14:textId="77777777" w:rsidR="00091B58" w:rsidRPr="00C81D88" w:rsidRDefault="00091B58" w:rsidP="00091B58">
      <w:pPr>
        <w:rPr>
          <w:rFonts w:eastAsia="SimSun"/>
          <w:sz w:val="22"/>
          <w:szCs w:val="22"/>
          <w:lang w:eastAsia="zh-CN"/>
        </w:rPr>
      </w:pPr>
      <w:r w:rsidRPr="00C81D88">
        <w:rPr>
          <w:rFonts w:eastAsia="SimSun"/>
          <w:sz w:val="22"/>
          <w:szCs w:val="22"/>
          <w:lang w:eastAsia="zh-CN"/>
        </w:rPr>
        <w:t>Šiam vaistui specialių laikymo sąlygų nereikia.</w:t>
      </w:r>
    </w:p>
    <w:p w14:paraId="3BD8FAFB" w14:textId="77777777" w:rsidR="00091B58" w:rsidRPr="00C81D88" w:rsidRDefault="00091B58" w:rsidP="00091B58">
      <w:pPr>
        <w:rPr>
          <w:rFonts w:eastAsia="SimSun"/>
          <w:sz w:val="22"/>
          <w:szCs w:val="22"/>
          <w:lang w:eastAsia="zh-CN"/>
        </w:rPr>
      </w:pPr>
    </w:p>
    <w:p w14:paraId="0E2137A5" w14:textId="77777777" w:rsidR="00091B58" w:rsidRPr="00C81D88" w:rsidRDefault="00091B58" w:rsidP="00091B58">
      <w:pPr>
        <w:rPr>
          <w:rFonts w:eastAsia="SimSun"/>
          <w:sz w:val="22"/>
          <w:szCs w:val="22"/>
          <w:lang w:eastAsia="zh-CN"/>
        </w:rPr>
      </w:pPr>
      <w:r w:rsidRPr="00C81D88">
        <w:rPr>
          <w:rFonts w:eastAsia="SimSun"/>
          <w:sz w:val="22"/>
          <w:szCs w:val="22"/>
          <w:lang w:eastAsia="zh-CN"/>
        </w:rPr>
        <w:t>Vaistų negalima išmesti į kanalizaciją arba su buitinėmis atliekomis. Kaip išmesti nereikalingus vaistus, klauskite vaistininko. Šios priemonės padės apsaugoti aplinką.</w:t>
      </w:r>
    </w:p>
    <w:p w14:paraId="2B605ADB" w14:textId="77777777" w:rsidR="00091B58" w:rsidRPr="00C81D88" w:rsidRDefault="00091B58" w:rsidP="00091B58">
      <w:pPr>
        <w:numPr>
          <w:ilvl w:val="12"/>
          <w:numId w:val="0"/>
        </w:numPr>
        <w:rPr>
          <w:rFonts w:eastAsia="SimSun"/>
          <w:sz w:val="22"/>
          <w:szCs w:val="22"/>
          <w:lang w:eastAsia="zh-CN"/>
        </w:rPr>
      </w:pPr>
    </w:p>
    <w:p w14:paraId="2A8A59F4" w14:textId="77777777" w:rsidR="00091B58" w:rsidRPr="00C81D88" w:rsidRDefault="00091B58" w:rsidP="00091B58">
      <w:pPr>
        <w:numPr>
          <w:ilvl w:val="12"/>
          <w:numId w:val="0"/>
        </w:numPr>
        <w:rPr>
          <w:rFonts w:eastAsia="SimSun"/>
          <w:sz w:val="22"/>
          <w:szCs w:val="22"/>
          <w:lang w:eastAsia="zh-CN"/>
        </w:rPr>
      </w:pPr>
    </w:p>
    <w:p w14:paraId="18A9A9AE" w14:textId="77777777" w:rsidR="00091B58" w:rsidRPr="00C81D88" w:rsidRDefault="00091B58" w:rsidP="00091B58">
      <w:pPr>
        <w:keepNext/>
        <w:keepLines/>
        <w:outlineLvl w:val="2"/>
        <w:rPr>
          <w:rFonts w:eastAsia="SimSun"/>
          <w:b/>
          <w:bCs/>
          <w:sz w:val="22"/>
          <w:szCs w:val="22"/>
          <w:lang w:eastAsia="zh-CN"/>
        </w:rPr>
      </w:pPr>
      <w:r w:rsidRPr="00C81D88">
        <w:rPr>
          <w:rFonts w:eastAsia="SimSun"/>
          <w:b/>
          <w:bCs/>
          <w:sz w:val="22"/>
          <w:szCs w:val="22"/>
          <w:lang w:eastAsia="zh-CN"/>
        </w:rPr>
        <w:t>6.</w:t>
      </w:r>
      <w:r w:rsidRPr="00C81D88">
        <w:rPr>
          <w:rFonts w:eastAsia="SimSun"/>
          <w:b/>
          <w:bCs/>
          <w:sz w:val="22"/>
          <w:szCs w:val="22"/>
          <w:lang w:eastAsia="zh-CN"/>
        </w:rPr>
        <w:tab/>
        <w:t>Pakuotės turinys ir kita informacija</w:t>
      </w:r>
    </w:p>
    <w:p w14:paraId="3FDF28FD" w14:textId="77777777" w:rsidR="00091B58" w:rsidRPr="00C81D88" w:rsidRDefault="00091B58" w:rsidP="00091B58">
      <w:pPr>
        <w:numPr>
          <w:ilvl w:val="12"/>
          <w:numId w:val="0"/>
        </w:numPr>
        <w:rPr>
          <w:rFonts w:eastAsia="SimSun"/>
          <w:sz w:val="22"/>
          <w:szCs w:val="22"/>
          <w:lang w:eastAsia="zh-CN"/>
        </w:rPr>
      </w:pPr>
    </w:p>
    <w:p w14:paraId="6F345543" w14:textId="77777777" w:rsidR="00091B58" w:rsidRPr="00C81D88" w:rsidRDefault="00091B58" w:rsidP="00091B58">
      <w:pPr>
        <w:keepNext/>
        <w:jc w:val="both"/>
        <w:outlineLvl w:val="3"/>
        <w:rPr>
          <w:rFonts w:eastAsia="SimSun"/>
          <w:b/>
          <w:sz w:val="22"/>
          <w:szCs w:val="22"/>
        </w:rPr>
      </w:pPr>
      <w:r w:rsidRPr="00C81D88">
        <w:rPr>
          <w:rFonts w:eastAsia="SimSun"/>
          <w:b/>
          <w:sz w:val="22"/>
          <w:szCs w:val="22"/>
        </w:rPr>
        <w:t xml:space="preserve">Dasatinib Norameda sudėtis </w:t>
      </w:r>
    </w:p>
    <w:p w14:paraId="45B7E5FF" w14:textId="77777777" w:rsidR="00091B58" w:rsidRPr="00C81D88" w:rsidRDefault="00091B58" w:rsidP="00091B58">
      <w:pPr>
        <w:numPr>
          <w:ilvl w:val="0"/>
          <w:numId w:val="20"/>
        </w:numPr>
        <w:ind w:left="567" w:hanging="567"/>
        <w:rPr>
          <w:rFonts w:eastAsia="SimSun"/>
          <w:sz w:val="22"/>
          <w:szCs w:val="22"/>
          <w:lang w:eastAsia="zh-CN"/>
        </w:rPr>
      </w:pPr>
      <w:r w:rsidRPr="00C81D88">
        <w:rPr>
          <w:rFonts w:eastAsia="SimSun"/>
          <w:sz w:val="22"/>
          <w:szCs w:val="22"/>
          <w:lang w:eastAsia="zh-CN"/>
        </w:rPr>
        <w:t xml:space="preserve">Veiklioji medžiaga yra dazatinibas. Kiekvienoje plėvele dengtoje tabletėje yra 20 mg, 50 mg arba 70 mg dazatinibo. </w:t>
      </w:r>
    </w:p>
    <w:p w14:paraId="3AFF4ED0" w14:textId="77777777" w:rsidR="00091B58" w:rsidRPr="00053893" w:rsidRDefault="00091B58" w:rsidP="00091B58">
      <w:pPr>
        <w:pStyle w:val="ListParagraph"/>
        <w:numPr>
          <w:ilvl w:val="0"/>
          <w:numId w:val="20"/>
        </w:numPr>
        <w:tabs>
          <w:tab w:val="left" w:pos="567"/>
        </w:tabs>
        <w:ind w:left="567" w:hanging="567"/>
        <w:contextualSpacing/>
        <w:rPr>
          <w:rFonts w:eastAsia="SimSun"/>
          <w:sz w:val="22"/>
          <w:lang w:val="lt-LT"/>
        </w:rPr>
      </w:pPr>
      <w:r w:rsidRPr="00053893">
        <w:rPr>
          <w:rFonts w:eastAsia="SimSun"/>
          <w:sz w:val="22"/>
          <w:lang w:val="lt-LT"/>
        </w:rPr>
        <w:t xml:space="preserve">Pagalbinės medžiagos </w:t>
      </w:r>
      <w:r w:rsidRPr="00053893">
        <w:rPr>
          <w:rFonts w:eastAsia="SimSun"/>
          <w:sz w:val="22"/>
          <w:lang w:val="lt-LT"/>
        </w:rPr>
        <w:br/>
      </w:r>
      <w:r w:rsidRPr="00053893">
        <w:rPr>
          <w:rFonts w:eastAsia="SimSun"/>
          <w:i/>
          <w:sz w:val="22"/>
          <w:lang w:val="lt-LT"/>
        </w:rPr>
        <w:t>Tabletės branduolys</w:t>
      </w:r>
      <w:r w:rsidRPr="00053893">
        <w:rPr>
          <w:rFonts w:eastAsia="SimSun"/>
          <w:sz w:val="22"/>
          <w:lang w:val="lt-LT"/>
        </w:rPr>
        <w:t>: laktozė monohidratas (200), mikrokristalinė celiuliozė (101 ir 102), kroskarmeliozės natrio druska, hidroksipropilceliuliozė (MS 80 000), magnio stearatas.</w:t>
      </w:r>
    </w:p>
    <w:p w14:paraId="6F7F5FF8" w14:textId="77777777" w:rsidR="00091B58" w:rsidRPr="00C81D88" w:rsidRDefault="00091B58" w:rsidP="00091B58">
      <w:pPr>
        <w:ind w:left="567"/>
        <w:rPr>
          <w:rFonts w:eastAsia="SimSun"/>
          <w:sz w:val="22"/>
          <w:szCs w:val="22"/>
          <w:lang w:eastAsia="zh-CN"/>
        </w:rPr>
      </w:pPr>
      <w:r w:rsidRPr="00C81D88">
        <w:rPr>
          <w:rFonts w:eastAsia="SimSun"/>
          <w:i/>
          <w:sz w:val="22"/>
          <w:szCs w:val="22"/>
          <w:lang w:eastAsia="zh-CN"/>
        </w:rPr>
        <w:t>Tabletės plėvelė</w:t>
      </w:r>
      <w:r w:rsidRPr="00C81D88">
        <w:rPr>
          <w:rFonts w:eastAsia="SimSun"/>
          <w:sz w:val="22"/>
          <w:szCs w:val="22"/>
          <w:lang w:eastAsia="zh-CN"/>
        </w:rPr>
        <w:t>: laktozė monohidratas, hipromeliozė (15 mPas), titano dioksidas (E171), triacetinas (žr. 2 skyriaus poskyrį „Dasatinib Norameda sudėtyje yra laktozės ir natrio“).</w:t>
      </w:r>
    </w:p>
    <w:p w14:paraId="0491A834" w14:textId="77777777" w:rsidR="00091B58" w:rsidRPr="00C81D88" w:rsidRDefault="00091B58" w:rsidP="00091B58">
      <w:pPr>
        <w:rPr>
          <w:rFonts w:eastAsia="SimSun"/>
          <w:sz w:val="22"/>
          <w:szCs w:val="22"/>
          <w:lang w:eastAsia="zh-CN"/>
        </w:rPr>
      </w:pPr>
    </w:p>
    <w:p w14:paraId="62EE9726" w14:textId="77777777" w:rsidR="00091B58" w:rsidRPr="00C81D88" w:rsidRDefault="00091B58" w:rsidP="00091B58">
      <w:pPr>
        <w:rPr>
          <w:rFonts w:eastAsia="SimSun"/>
          <w:b/>
          <w:sz w:val="22"/>
          <w:szCs w:val="22"/>
        </w:rPr>
      </w:pPr>
      <w:r w:rsidRPr="00C81D88">
        <w:rPr>
          <w:rFonts w:eastAsia="SimSun"/>
          <w:b/>
          <w:sz w:val="22"/>
          <w:szCs w:val="22"/>
        </w:rPr>
        <w:t>Dasatinib Norameda išvaizda ir kiekis pakuotėje</w:t>
      </w:r>
    </w:p>
    <w:p w14:paraId="762978D9" w14:textId="77777777" w:rsidR="00091B58" w:rsidRPr="00C81D88" w:rsidRDefault="00091B58" w:rsidP="00091B58">
      <w:pPr>
        <w:jc w:val="both"/>
        <w:rPr>
          <w:rFonts w:eastAsia="Calibri"/>
          <w:sz w:val="22"/>
          <w:szCs w:val="22"/>
          <w:lang w:eastAsia="en-GB"/>
        </w:rPr>
      </w:pPr>
    </w:p>
    <w:p w14:paraId="300E1A30" w14:textId="77777777" w:rsidR="00091B58" w:rsidRPr="00C81D88" w:rsidRDefault="00091B58" w:rsidP="00091B58">
      <w:pPr>
        <w:autoSpaceDE w:val="0"/>
        <w:autoSpaceDN w:val="0"/>
        <w:adjustRightInd w:val="0"/>
        <w:rPr>
          <w:rFonts w:eastAsia="Calibri"/>
          <w:sz w:val="22"/>
          <w:szCs w:val="22"/>
        </w:rPr>
      </w:pPr>
      <w:r w:rsidRPr="00C81D88">
        <w:rPr>
          <w:rFonts w:eastAsia="Calibri"/>
          <w:sz w:val="22"/>
          <w:szCs w:val="22"/>
        </w:rPr>
        <w:t>Dasatinib Norameda 20 mg: balta arba balkšva, abipus išgaubta, apvali, apytiksliai 5,6 mm skersmens plėvele dengta tabletė, kurios vienoje pusėje įspausta „D7SB“, o kitoje pusėje  –„20“.</w:t>
      </w:r>
    </w:p>
    <w:p w14:paraId="280F78EF" w14:textId="77777777" w:rsidR="00091B58" w:rsidRPr="00C81D88" w:rsidRDefault="00091B58" w:rsidP="00091B58">
      <w:pPr>
        <w:autoSpaceDE w:val="0"/>
        <w:autoSpaceDN w:val="0"/>
        <w:adjustRightInd w:val="0"/>
        <w:rPr>
          <w:rFonts w:eastAsia="Calibri"/>
          <w:sz w:val="22"/>
          <w:szCs w:val="22"/>
        </w:rPr>
      </w:pPr>
    </w:p>
    <w:p w14:paraId="749F25F6"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50 mg: balta arba balkšva, abipus išgaubta, ovali, apytiksliai 11,0 mm ilgio ir 6,0 mm pločio plėvele dengta tabletė, kurios vienoje pusėje įspausta „D7SB“, o kitoje pusėje –„50“.</w:t>
      </w:r>
    </w:p>
    <w:p w14:paraId="188056F7" w14:textId="77777777" w:rsidR="00091B58" w:rsidRPr="00C81D88" w:rsidRDefault="00091B58" w:rsidP="00091B58">
      <w:pPr>
        <w:autoSpaceDE w:val="0"/>
        <w:autoSpaceDN w:val="0"/>
        <w:adjustRightInd w:val="0"/>
        <w:rPr>
          <w:rFonts w:eastAsia="Calibri"/>
          <w:sz w:val="22"/>
          <w:szCs w:val="22"/>
          <w:highlight w:val="lightGray"/>
        </w:rPr>
      </w:pPr>
    </w:p>
    <w:p w14:paraId="0E94FA4E" w14:textId="77777777" w:rsidR="00091B58" w:rsidRPr="00C81D88" w:rsidRDefault="00091B58" w:rsidP="00091B58">
      <w:pPr>
        <w:autoSpaceDE w:val="0"/>
        <w:autoSpaceDN w:val="0"/>
        <w:adjustRightInd w:val="0"/>
        <w:rPr>
          <w:rFonts w:eastAsia="Calibri"/>
          <w:sz w:val="22"/>
          <w:szCs w:val="22"/>
          <w:highlight w:val="lightGray"/>
        </w:rPr>
      </w:pPr>
      <w:r w:rsidRPr="00C81D88">
        <w:rPr>
          <w:rFonts w:eastAsia="Calibri"/>
          <w:sz w:val="22"/>
          <w:szCs w:val="22"/>
          <w:highlight w:val="lightGray"/>
        </w:rPr>
        <w:t>Dasatinib Norameda 70 mg: balta arba balkšva, abipus išgaubta, apvali, apytiksliai 9,1 mm skersmens plėvele dengta tabletė, kurios vienoje pusėje įspausta „D7SB“, o kitoje pusėje –„70“.</w:t>
      </w:r>
    </w:p>
    <w:p w14:paraId="04533B23" w14:textId="77777777" w:rsidR="00091B58" w:rsidRPr="00C81D88" w:rsidRDefault="00091B58" w:rsidP="00091B58">
      <w:pPr>
        <w:rPr>
          <w:rFonts w:eastAsia="Calibri"/>
          <w:sz w:val="22"/>
          <w:szCs w:val="22"/>
          <w:highlight w:val="lightGray"/>
        </w:rPr>
      </w:pPr>
    </w:p>
    <w:p w14:paraId="0810550E" w14:textId="77777777" w:rsidR="00091B58" w:rsidRPr="00C81D88" w:rsidRDefault="00091B58" w:rsidP="00091B58">
      <w:pPr>
        <w:autoSpaceDE w:val="0"/>
        <w:autoSpaceDN w:val="0"/>
        <w:adjustRightInd w:val="0"/>
        <w:rPr>
          <w:iCs/>
          <w:sz w:val="22"/>
          <w:szCs w:val="22"/>
        </w:rPr>
      </w:pPr>
      <w:r w:rsidRPr="00C81D88">
        <w:rPr>
          <w:rFonts w:eastAsia="Calibri"/>
          <w:sz w:val="22"/>
          <w:szCs w:val="22"/>
        </w:rPr>
        <w:t xml:space="preserve">Dasatinib Norameda 20 mg, 50 mg ir 70 mg plėvele dengtos tabletės tiekiamos </w:t>
      </w:r>
      <w:r w:rsidRPr="00C81D88">
        <w:rPr>
          <w:w w:val="105"/>
          <w:sz w:val="22"/>
          <w:szCs w:val="22"/>
        </w:rPr>
        <w:t>dėžutėse, kuriose</w:t>
      </w:r>
      <w:r w:rsidRPr="00C81D88">
        <w:rPr>
          <w:spacing w:val="-12"/>
          <w:w w:val="105"/>
          <w:sz w:val="22"/>
          <w:szCs w:val="22"/>
        </w:rPr>
        <w:t xml:space="preserve"> </w:t>
      </w:r>
      <w:r w:rsidRPr="00C81D88">
        <w:rPr>
          <w:w w:val="105"/>
          <w:sz w:val="22"/>
          <w:szCs w:val="22"/>
        </w:rPr>
        <w:t>yra</w:t>
      </w:r>
      <w:r w:rsidRPr="00C81D88">
        <w:rPr>
          <w:spacing w:val="-13"/>
          <w:w w:val="105"/>
          <w:sz w:val="22"/>
          <w:szCs w:val="22"/>
        </w:rPr>
        <w:t xml:space="preserve"> </w:t>
      </w:r>
      <w:r w:rsidRPr="00C81D88">
        <w:rPr>
          <w:w w:val="105"/>
          <w:sz w:val="22"/>
          <w:szCs w:val="22"/>
        </w:rPr>
        <w:t>56</w:t>
      </w:r>
      <w:r w:rsidRPr="00C81D88">
        <w:rPr>
          <w:spacing w:val="-11"/>
          <w:w w:val="105"/>
          <w:sz w:val="22"/>
          <w:szCs w:val="22"/>
        </w:rPr>
        <w:t xml:space="preserve"> ar 60 </w:t>
      </w:r>
      <w:r w:rsidRPr="00C81D88">
        <w:rPr>
          <w:w w:val="105"/>
          <w:sz w:val="22"/>
          <w:szCs w:val="22"/>
        </w:rPr>
        <w:t>plėvele</w:t>
      </w:r>
      <w:r w:rsidRPr="00C81D88">
        <w:rPr>
          <w:spacing w:val="-10"/>
          <w:w w:val="105"/>
          <w:sz w:val="22"/>
          <w:szCs w:val="22"/>
        </w:rPr>
        <w:t xml:space="preserve"> </w:t>
      </w:r>
      <w:r w:rsidRPr="00C81D88">
        <w:rPr>
          <w:w w:val="105"/>
          <w:sz w:val="22"/>
          <w:szCs w:val="22"/>
        </w:rPr>
        <w:t>dengtų tablečių lizdinėse</w:t>
      </w:r>
      <w:r w:rsidRPr="00C81D88">
        <w:rPr>
          <w:spacing w:val="-34"/>
          <w:w w:val="105"/>
          <w:sz w:val="22"/>
          <w:szCs w:val="22"/>
        </w:rPr>
        <w:t xml:space="preserve"> </w:t>
      </w:r>
      <w:r w:rsidRPr="00C81D88">
        <w:rPr>
          <w:w w:val="105"/>
          <w:sz w:val="22"/>
          <w:szCs w:val="22"/>
        </w:rPr>
        <w:t xml:space="preserve">plokštelėse arba 56 x 1 ar 60 x 1 plėvele dengtų tablečių dalomosiose lizdinėse plokštelėse. </w:t>
      </w:r>
      <w:r w:rsidRPr="00C81D88">
        <w:rPr>
          <w:iCs/>
          <w:w w:val="105"/>
          <w:sz w:val="22"/>
          <w:szCs w:val="22"/>
        </w:rPr>
        <w:t>Jos taip pat tiekiamos talpyklėmis,</w:t>
      </w:r>
      <w:r w:rsidRPr="00C81D88">
        <w:rPr>
          <w:iCs/>
          <w:spacing w:val="-13"/>
          <w:w w:val="105"/>
          <w:sz w:val="22"/>
          <w:szCs w:val="22"/>
        </w:rPr>
        <w:t xml:space="preserve"> </w:t>
      </w:r>
      <w:r w:rsidRPr="00C81D88">
        <w:rPr>
          <w:iCs/>
          <w:w w:val="105"/>
          <w:sz w:val="22"/>
          <w:szCs w:val="22"/>
        </w:rPr>
        <w:t>kuriose</w:t>
      </w:r>
      <w:r w:rsidRPr="00C81D88">
        <w:rPr>
          <w:iCs/>
          <w:spacing w:val="-11"/>
          <w:w w:val="105"/>
          <w:sz w:val="22"/>
          <w:szCs w:val="22"/>
        </w:rPr>
        <w:t xml:space="preserve"> </w:t>
      </w:r>
      <w:r w:rsidRPr="00C81D88">
        <w:rPr>
          <w:iCs/>
          <w:w w:val="105"/>
          <w:sz w:val="22"/>
          <w:szCs w:val="22"/>
        </w:rPr>
        <w:t>yra</w:t>
      </w:r>
      <w:r w:rsidRPr="00C81D88">
        <w:rPr>
          <w:iCs/>
          <w:spacing w:val="-13"/>
          <w:w w:val="105"/>
          <w:sz w:val="22"/>
          <w:szCs w:val="22"/>
        </w:rPr>
        <w:t xml:space="preserve"> </w:t>
      </w:r>
      <w:r w:rsidRPr="00C81D88">
        <w:rPr>
          <w:iCs/>
          <w:w w:val="105"/>
          <w:sz w:val="22"/>
          <w:szCs w:val="22"/>
        </w:rPr>
        <w:t>60</w:t>
      </w:r>
      <w:r w:rsidRPr="00C81D88">
        <w:rPr>
          <w:iCs/>
          <w:spacing w:val="-14"/>
          <w:w w:val="105"/>
          <w:sz w:val="22"/>
          <w:szCs w:val="22"/>
        </w:rPr>
        <w:t xml:space="preserve"> </w:t>
      </w:r>
      <w:r w:rsidRPr="00C81D88">
        <w:rPr>
          <w:iCs/>
          <w:w w:val="105"/>
          <w:sz w:val="22"/>
          <w:szCs w:val="22"/>
        </w:rPr>
        <w:t>plėvele</w:t>
      </w:r>
      <w:r w:rsidRPr="00C81D88">
        <w:rPr>
          <w:iCs/>
          <w:spacing w:val="-13"/>
          <w:w w:val="105"/>
          <w:sz w:val="22"/>
          <w:szCs w:val="22"/>
        </w:rPr>
        <w:t xml:space="preserve"> </w:t>
      </w:r>
      <w:r w:rsidRPr="00C81D88">
        <w:rPr>
          <w:iCs/>
          <w:w w:val="105"/>
          <w:sz w:val="22"/>
          <w:szCs w:val="22"/>
        </w:rPr>
        <w:t>dengtų</w:t>
      </w:r>
      <w:r w:rsidRPr="00C81D88">
        <w:rPr>
          <w:iCs/>
          <w:spacing w:val="-13"/>
          <w:w w:val="105"/>
          <w:sz w:val="22"/>
          <w:szCs w:val="22"/>
        </w:rPr>
        <w:t xml:space="preserve"> </w:t>
      </w:r>
      <w:r w:rsidRPr="00C81D88">
        <w:rPr>
          <w:iCs/>
          <w:w w:val="105"/>
          <w:sz w:val="22"/>
          <w:szCs w:val="22"/>
        </w:rPr>
        <w:t>tablečių.</w:t>
      </w:r>
    </w:p>
    <w:p w14:paraId="759BBB6C" w14:textId="77777777" w:rsidR="00091B58" w:rsidRPr="00C81D88" w:rsidRDefault="00091B58" w:rsidP="00091B58">
      <w:pPr>
        <w:rPr>
          <w:rFonts w:eastAsia="Calibri"/>
          <w:sz w:val="22"/>
          <w:szCs w:val="22"/>
          <w:lang w:eastAsia="en-GB"/>
        </w:rPr>
      </w:pPr>
    </w:p>
    <w:p w14:paraId="7272070E" w14:textId="77777777" w:rsidR="00091B58" w:rsidRPr="00C81D88" w:rsidRDefault="00091B58" w:rsidP="00091B58">
      <w:pPr>
        <w:rPr>
          <w:rFonts w:eastAsia="Calibri"/>
          <w:sz w:val="22"/>
          <w:szCs w:val="22"/>
          <w:lang w:eastAsia="en-GB"/>
        </w:rPr>
      </w:pPr>
      <w:r w:rsidRPr="00C81D88">
        <w:rPr>
          <w:rFonts w:eastAsia="Calibri"/>
          <w:sz w:val="22"/>
          <w:szCs w:val="22"/>
          <w:lang w:eastAsia="en-GB"/>
        </w:rPr>
        <w:t>Gali būti tiekiamos ne visų dydžių pakuotės.</w:t>
      </w:r>
    </w:p>
    <w:p w14:paraId="1B85A8C9" w14:textId="77777777" w:rsidR="00091B58" w:rsidRPr="00C81D88" w:rsidRDefault="00091B58" w:rsidP="00091B58">
      <w:pPr>
        <w:rPr>
          <w:rFonts w:eastAsia="SimSun"/>
          <w:sz w:val="22"/>
          <w:szCs w:val="22"/>
          <w:lang w:eastAsia="zh-CN"/>
        </w:rPr>
      </w:pPr>
    </w:p>
    <w:p w14:paraId="71A8F4DE" w14:textId="77777777" w:rsidR="00091B58" w:rsidRPr="00C81D88" w:rsidRDefault="00091B58" w:rsidP="00091B58">
      <w:pPr>
        <w:rPr>
          <w:rFonts w:eastAsia="SimSun"/>
          <w:b/>
          <w:sz w:val="22"/>
          <w:szCs w:val="22"/>
        </w:rPr>
      </w:pPr>
      <w:r w:rsidRPr="00C81D88">
        <w:rPr>
          <w:rFonts w:eastAsia="SimSun"/>
          <w:b/>
          <w:sz w:val="22"/>
          <w:szCs w:val="22"/>
        </w:rPr>
        <w:t>Registruotojas ir gamintojas</w:t>
      </w:r>
    </w:p>
    <w:p w14:paraId="79C6DE48" w14:textId="77777777" w:rsidR="00091B58" w:rsidRPr="00C81D88" w:rsidRDefault="00091B58" w:rsidP="00091B58">
      <w:pPr>
        <w:tabs>
          <w:tab w:val="left" w:pos="425"/>
        </w:tabs>
        <w:rPr>
          <w:sz w:val="22"/>
          <w:szCs w:val="22"/>
        </w:rPr>
      </w:pPr>
    </w:p>
    <w:p w14:paraId="5D4A7740" w14:textId="77777777" w:rsidR="00091B58" w:rsidRPr="00C81D88" w:rsidRDefault="00091B58" w:rsidP="00091B58">
      <w:pPr>
        <w:tabs>
          <w:tab w:val="left" w:pos="425"/>
        </w:tabs>
        <w:rPr>
          <w:i/>
          <w:sz w:val="22"/>
          <w:szCs w:val="22"/>
        </w:rPr>
      </w:pPr>
      <w:r w:rsidRPr="00C81D88">
        <w:rPr>
          <w:i/>
          <w:sz w:val="22"/>
          <w:szCs w:val="22"/>
        </w:rPr>
        <w:t>Registruotojas</w:t>
      </w:r>
    </w:p>
    <w:p w14:paraId="0CCDBF46" w14:textId="77777777" w:rsidR="00091B58" w:rsidRPr="00C81D88" w:rsidRDefault="00091B58" w:rsidP="00091B58">
      <w:pPr>
        <w:rPr>
          <w:rFonts w:eastAsia="SimSun"/>
          <w:sz w:val="22"/>
          <w:szCs w:val="22"/>
          <w:lang w:eastAsia="zh-CN"/>
        </w:rPr>
      </w:pPr>
      <w:r w:rsidRPr="00C81D88">
        <w:rPr>
          <w:rFonts w:eastAsia="SimSun"/>
          <w:sz w:val="22"/>
          <w:szCs w:val="22"/>
          <w:lang w:eastAsia="zh-CN"/>
        </w:rPr>
        <w:t>UAB Norameda</w:t>
      </w:r>
    </w:p>
    <w:p w14:paraId="4C2F9EEB" w14:textId="77777777" w:rsidR="00091B58" w:rsidRPr="00C81D88" w:rsidRDefault="00091B58" w:rsidP="00091B58">
      <w:pPr>
        <w:rPr>
          <w:rFonts w:eastAsia="SimSun"/>
          <w:sz w:val="22"/>
          <w:szCs w:val="22"/>
          <w:lang w:eastAsia="zh-CN"/>
        </w:rPr>
      </w:pPr>
      <w:r w:rsidRPr="00C81D88">
        <w:rPr>
          <w:rFonts w:eastAsia="SimSun"/>
          <w:sz w:val="22"/>
          <w:szCs w:val="22"/>
          <w:lang w:eastAsia="zh-CN"/>
        </w:rPr>
        <w:t>Meistrų g. 8a</w:t>
      </w:r>
    </w:p>
    <w:p w14:paraId="59F089F1" w14:textId="77777777" w:rsidR="00091B58" w:rsidRPr="00C81D88" w:rsidRDefault="00091B58" w:rsidP="00091B58">
      <w:pPr>
        <w:rPr>
          <w:rFonts w:eastAsia="SimSun"/>
          <w:sz w:val="22"/>
          <w:szCs w:val="22"/>
          <w:lang w:eastAsia="zh-CN"/>
        </w:rPr>
      </w:pPr>
      <w:r w:rsidRPr="00C81D88">
        <w:rPr>
          <w:rFonts w:eastAsia="SimSun"/>
          <w:sz w:val="22"/>
          <w:szCs w:val="22"/>
          <w:lang w:eastAsia="zh-CN"/>
        </w:rPr>
        <w:t>Vilnius LT-02189</w:t>
      </w:r>
    </w:p>
    <w:p w14:paraId="7BE8C3F4" w14:textId="77777777" w:rsidR="00091B58" w:rsidRPr="00C81D88" w:rsidRDefault="00091B58" w:rsidP="00091B58">
      <w:pPr>
        <w:widowControl w:val="0"/>
        <w:ind w:right="7956"/>
        <w:rPr>
          <w:rFonts w:eastAsia="Calibri"/>
          <w:b/>
          <w:sz w:val="22"/>
          <w:szCs w:val="22"/>
          <w:highlight w:val="yellow"/>
        </w:rPr>
      </w:pPr>
      <w:r w:rsidRPr="00C81D88">
        <w:rPr>
          <w:rFonts w:eastAsia="SimSun"/>
          <w:sz w:val="22"/>
          <w:szCs w:val="22"/>
          <w:lang w:eastAsia="zh-CN"/>
        </w:rPr>
        <w:t>Lietuva</w:t>
      </w:r>
    </w:p>
    <w:p w14:paraId="2BB26CF1" w14:textId="77777777" w:rsidR="00091B58" w:rsidRPr="00C81D88" w:rsidRDefault="00091B58" w:rsidP="00091B58">
      <w:pPr>
        <w:numPr>
          <w:ilvl w:val="12"/>
          <w:numId w:val="0"/>
        </w:numPr>
        <w:rPr>
          <w:rFonts w:eastAsia="SimSun"/>
          <w:bCs/>
          <w:i/>
          <w:sz w:val="22"/>
          <w:szCs w:val="22"/>
          <w:highlight w:val="yellow"/>
          <w:lang w:eastAsia="zh-CN"/>
        </w:rPr>
      </w:pPr>
    </w:p>
    <w:p w14:paraId="770A126B" w14:textId="77777777" w:rsidR="00091B58" w:rsidRPr="00C81D88" w:rsidRDefault="00091B58" w:rsidP="00091B58">
      <w:pPr>
        <w:numPr>
          <w:ilvl w:val="12"/>
          <w:numId w:val="0"/>
        </w:numPr>
        <w:rPr>
          <w:rFonts w:eastAsia="SimSun"/>
          <w:i/>
          <w:sz w:val="22"/>
          <w:szCs w:val="22"/>
          <w:lang w:eastAsia="zh-CN"/>
        </w:rPr>
      </w:pPr>
      <w:r w:rsidRPr="00C81D88">
        <w:rPr>
          <w:rFonts w:eastAsia="SimSun"/>
          <w:bCs/>
          <w:i/>
          <w:sz w:val="22"/>
          <w:szCs w:val="22"/>
          <w:lang w:eastAsia="zh-CN"/>
        </w:rPr>
        <w:lastRenderedPageBreak/>
        <w:t>Gamintojas</w:t>
      </w:r>
    </w:p>
    <w:p w14:paraId="58718DE7" w14:textId="77777777" w:rsidR="00091B58" w:rsidRPr="00053893" w:rsidRDefault="00091B58" w:rsidP="00091B58">
      <w:pPr>
        <w:rPr>
          <w:sz w:val="22"/>
        </w:rPr>
      </w:pPr>
      <w:r w:rsidRPr="00053893">
        <w:rPr>
          <w:sz w:val="22"/>
        </w:rPr>
        <w:t>Synthon Hispania, S.L.</w:t>
      </w:r>
    </w:p>
    <w:p w14:paraId="175DBAA6" w14:textId="77777777" w:rsidR="00091B58" w:rsidRPr="00053893" w:rsidRDefault="00091B58" w:rsidP="00091B58">
      <w:pPr>
        <w:rPr>
          <w:sz w:val="22"/>
        </w:rPr>
      </w:pPr>
      <w:r w:rsidRPr="00053893">
        <w:rPr>
          <w:sz w:val="22"/>
        </w:rPr>
        <w:t>c/ Castelló, 1</w:t>
      </w:r>
    </w:p>
    <w:p w14:paraId="01CE4315" w14:textId="77777777" w:rsidR="00091B58" w:rsidRPr="00053893" w:rsidRDefault="00091B58" w:rsidP="00091B58">
      <w:pPr>
        <w:rPr>
          <w:sz w:val="22"/>
        </w:rPr>
      </w:pPr>
      <w:r w:rsidRPr="00053893">
        <w:rPr>
          <w:sz w:val="22"/>
        </w:rPr>
        <w:t>08830 Sant Boi de Llobregat</w:t>
      </w:r>
    </w:p>
    <w:p w14:paraId="60F028C3" w14:textId="77777777" w:rsidR="00091B58" w:rsidRPr="00053893" w:rsidRDefault="00091B58" w:rsidP="00091B58">
      <w:pPr>
        <w:rPr>
          <w:sz w:val="22"/>
        </w:rPr>
      </w:pPr>
      <w:r w:rsidRPr="00053893">
        <w:rPr>
          <w:sz w:val="22"/>
        </w:rPr>
        <w:t>Barcelona</w:t>
      </w:r>
    </w:p>
    <w:p w14:paraId="78589A27" w14:textId="77777777" w:rsidR="00091B58" w:rsidRPr="00053893" w:rsidRDefault="00091B58" w:rsidP="00091B58">
      <w:pPr>
        <w:rPr>
          <w:sz w:val="22"/>
        </w:rPr>
      </w:pPr>
      <w:r w:rsidRPr="00053893">
        <w:rPr>
          <w:sz w:val="22"/>
        </w:rPr>
        <w:t>Ispanija</w:t>
      </w:r>
    </w:p>
    <w:p w14:paraId="7A1ECECA" w14:textId="77777777" w:rsidR="00091B58" w:rsidRPr="00053893" w:rsidRDefault="00091B58" w:rsidP="00091B58">
      <w:pPr>
        <w:rPr>
          <w:sz w:val="22"/>
        </w:rPr>
      </w:pPr>
    </w:p>
    <w:p w14:paraId="0AF008B5" w14:textId="77777777" w:rsidR="00091B58" w:rsidRPr="00053893" w:rsidRDefault="00091B58" w:rsidP="00091B58">
      <w:pPr>
        <w:rPr>
          <w:sz w:val="22"/>
        </w:rPr>
      </w:pPr>
      <w:r w:rsidRPr="00053893">
        <w:rPr>
          <w:sz w:val="22"/>
        </w:rPr>
        <w:t xml:space="preserve">arba </w:t>
      </w:r>
    </w:p>
    <w:p w14:paraId="358ABBD4" w14:textId="77777777" w:rsidR="00091B58" w:rsidRPr="00053893" w:rsidRDefault="00091B58" w:rsidP="00091B58">
      <w:pPr>
        <w:rPr>
          <w:sz w:val="22"/>
        </w:rPr>
      </w:pPr>
    </w:p>
    <w:p w14:paraId="26549713" w14:textId="77777777" w:rsidR="00091B58" w:rsidRPr="00053893" w:rsidRDefault="00091B58" w:rsidP="00091B58">
      <w:pPr>
        <w:rPr>
          <w:sz w:val="22"/>
        </w:rPr>
      </w:pPr>
      <w:r w:rsidRPr="00053893">
        <w:rPr>
          <w:sz w:val="22"/>
        </w:rPr>
        <w:t>Synthon B.V.</w:t>
      </w:r>
    </w:p>
    <w:p w14:paraId="16346C54" w14:textId="77777777" w:rsidR="00091B58" w:rsidRPr="00053893" w:rsidRDefault="00091B58" w:rsidP="00091B58">
      <w:pPr>
        <w:rPr>
          <w:sz w:val="22"/>
        </w:rPr>
      </w:pPr>
      <w:r w:rsidRPr="00053893">
        <w:rPr>
          <w:sz w:val="22"/>
        </w:rPr>
        <w:t xml:space="preserve">Microweg 22 </w:t>
      </w:r>
    </w:p>
    <w:p w14:paraId="742C7D5F" w14:textId="77777777" w:rsidR="00091B58" w:rsidRPr="00053893" w:rsidRDefault="00091B58" w:rsidP="00091B58">
      <w:pPr>
        <w:rPr>
          <w:sz w:val="22"/>
        </w:rPr>
      </w:pPr>
      <w:r w:rsidRPr="00053893">
        <w:rPr>
          <w:sz w:val="22"/>
        </w:rPr>
        <w:t>6545 CM Nijmegen</w:t>
      </w:r>
    </w:p>
    <w:p w14:paraId="69D2A1D1" w14:textId="77777777" w:rsidR="00091B58" w:rsidRPr="00053893" w:rsidRDefault="00091B58" w:rsidP="00091B58">
      <w:pPr>
        <w:rPr>
          <w:sz w:val="22"/>
        </w:rPr>
      </w:pPr>
      <w:r w:rsidRPr="00053893">
        <w:rPr>
          <w:sz w:val="22"/>
        </w:rPr>
        <w:t xml:space="preserve">Nyderlandai </w:t>
      </w:r>
    </w:p>
    <w:p w14:paraId="5096B5F4" w14:textId="77777777" w:rsidR="00091B58" w:rsidRPr="00C81D88" w:rsidRDefault="00091B58" w:rsidP="00091B58">
      <w:pPr>
        <w:numPr>
          <w:ilvl w:val="12"/>
          <w:numId w:val="0"/>
        </w:numPr>
        <w:rPr>
          <w:rFonts w:eastAsia="SimSun"/>
          <w:sz w:val="22"/>
          <w:szCs w:val="22"/>
          <w:lang w:eastAsia="zh-CN"/>
        </w:rPr>
      </w:pPr>
    </w:p>
    <w:p w14:paraId="40CF221D" w14:textId="77777777" w:rsidR="00091B58" w:rsidRPr="00C81D88" w:rsidRDefault="00091B58" w:rsidP="00091B58">
      <w:pPr>
        <w:autoSpaceDE w:val="0"/>
        <w:autoSpaceDN w:val="0"/>
        <w:adjustRightInd w:val="0"/>
        <w:rPr>
          <w:bCs/>
          <w:snapToGrid w:val="0"/>
          <w:sz w:val="22"/>
          <w:szCs w:val="22"/>
        </w:rPr>
      </w:pPr>
      <w:r w:rsidRPr="00C81D88">
        <w:rPr>
          <w:bCs/>
          <w:snapToGrid w:val="0"/>
          <w:sz w:val="22"/>
          <w:szCs w:val="22"/>
        </w:rPr>
        <w:t>Jeigu apie šį vaistą norite sužinoti daugiau, kreipkitės į registruotoją.</w:t>
      </w:r>
    </w:p>
    <w:p w14:paraId="655C8F85" w14:textId="77777777" w:rsidR="00091B58" w:rsidRPr="00C81D88" w:rsidRDefault="00091B58" w:rsidP="00091B58">
      <w:pPr>
        <w:rPr>
          <w:rFonts w:eastAsia="SimSun"/>
          <w:sz w:val="22"/>
          <w:szCs w:val="22"/>
          <w:lang w:eastAsia="zh-CN"/>
        </w:rPr>
      </w:pPr>
      <w:r w:rsidRPr="00C81D88">
        <w:rPr>
          <w:rFonts w:eastAsia="SimSun"/>
          <w:sz w:val="22"/>
          <w:szCs w:val="22"/>
          <w:lang w:eastAsia="zh-CN"/>
        </w:rPr>
        <w:t>UAB Norameda</w:t>
      </w:r>
    </w:p>
    <w:p w14:paraId="2AFACB1E" w14:textId="77777777" w:rsidR="00091B58" w:rsidRPr="00C81D88" w:rsidRDefault="00091B58" w:rsidP="00091B58">
      <w:pPr>
        <w:rPr>
          <w:rFonts w:eastAsia="SimSun"/>
          <w:sz w:val="22"/>
          <w:szCs w:val="22"/>
          <w:lang w:eastAsia="zh-CN"/>
        </w:rPr>
      </w:pPr>
      <w:r w:rsidRPr="00C81D88">
        <w:rPr>
          <w:rFonts w:eastAsia="SimSun"/>
          <w:sz w:val="22"/>
          <w:szCs w:val="22"/>
          <w:lang w:eastAsia="zh-CN"/>
        </w:rPr>
        <w:t>Meistrų g. 8a, Vilnius LT-02189</w:t>
      </w:r>
    </w:p>
    <w:p w14:paraId="724F03A7" w14:textId="77777777" w:rsidR="00091B58" w:rsidRPr="00C81D88" w:rsidRDefault="00091B58" w:rsidP="00091B58">
      <w:pPr>
        <w:autoSpaceDE w:val="0"/>
        <w:autoSpaceDN w:val="0"/>
        <w:adjustRightInd w:val="0"/>
        <w:rPr>
          <w:b/>
          <w:bCs/>
          <w:snapToGrid w:val="0"/>
          <w:sz w:val="22"/>
          <w:szCs w:val="22"/>
        </w:rPr>
      </w:pPr>
      <w:r w:rsidRPr="00C81D88">
        <w:rPr>
          <w:rFonts w:eastAsia="SimSun"/>
          <w:sz w:val="22"/>
          <w:szCs w:val="22"/>
          <w:lang w:eastAsia="zh-CN"/>
        </w:rPr>
        <w:t>Lietuva</w:t>
      </w:r>
    </w:p>
    <w:p w14:paraId="5C4C21FD" w14:textId="77777777" w:rsidR="00091B58" w:rsidRPr="00C81D88" w:rsidRDefault="00091B58" w:rsidP="00091B58">
      <w:pPr>
        <w:numPr>
          <w:ilvl w:val="12"/>
          <w:numId w:val="0"/>
        </w:numPr>
        <w:rPr>
          <w:rFonts w:eastAsia="SimSun"/>
          <w:b/>
          <w:sz w:val="22"/>
          <w:szCs w:val="22"/>
          <w:lang w:eastAsia="zh-CN"/>
        </w:rPr>
      </w:pPr>
    </w:p>
    <w:p w14:paraId="6FC0DEB8" w14:textId="359DB592" w:rsidR="00091B58" w:rsidRPr="00C81D88" w:rsidRDefault="00091B58" w:rsidP="00091B58">
      <w:pPr>
        <w:numPr>
          <w:ilvl w:val="12"/>
          <w:numId w:val="0"/>
        </w:numPr>
        <w:rPr>
          <w:rFonts w:eastAsia="SimSun"/>
          <w:sz w:val="22"/>
          <w:szCs w:val="22"/>
          <w:lang w:eastAsia="zh-CN"/>
        </w:rPr>
      </w:pPr>
      <w:r w:rsidRPr="00C81D88">
        <w:rPr>
          <w:rFonts w:eastAsia="SimSun"/>
          <w:b/>
          <w:sz w:val="22"/>
          <w:szCs w:val="22"/>
          <w:lang w:eastAsia="zh-CN"/>
        </w:rPr>
        <w:t>Šis vaistas E</w:t>
      </w:r>
      <w:r w:rsidR="002902C0">
        <w:rPr>
          <w:rFonts w:eastAsia="SimSun"/>
          <w:b/>
          <w:sz w:val="22"/>
          <w:szCs w:val="22"/>
          <w:lang w:eastAsia="zh-CN"/>
        </w:rPr>
        <w:t xml:space="preserve">uropos </w:t>
      </w:r>
      <w:r w:rsidR="00B87E26">
        <w:rPr>
          <w:rFonts w:eastAsia="SimSun"/>
          <w:b/>
          <w:sz w:val="22"/>
          <w:szCs w:val="22"/>
          <w:lang w:eastAsia="zh-CN"/>
        </w:rPr>
        <w:t>ekonominės erdvės</w:t>
      </w:r>
      <w:r w:rsidRPr="00C81D88">
        <w:rPr>
          <w:rFonts w:eastAsia="SimSun"/>
          <w:b/>
          <w:sz w:val="22"/>
          <w:szCs w:val="22"/>
          <w:lang w:eastAsia="zh-CN"/>
        </w:rPr>
        <w:t xml:space="preserve"> valstybėse narėse </w:t>
      </w:r>
      <w:r w:rsidR="008F0969">
        <w:rPr>
          <w:b/>
          <w:snapToGrid w:val="0"/>
          <w:sz w:val="22"/>
        </w:rPr>
        <w:t xml:space="preserve">ir Jungtinėje Karalystėje (Šiaurės Airijoje) </w:t>
      </w:r>
      <w:r w:rsidRPr="00C81D88">
        <w:rPr>
          <w:rFonts w:eastAsia="SimSun"/>
          <w:b/>
          <w:sz w:val="22"/>
          <w:szCs w:val="22"/>
          <w:lang w:eastAsia="zh-CN"/>
        </w:rPr>
        <w:t>registruotas tokiais pavadinimais</w:t>
      </w:r>
      <w:r w:rsidRPr="00C81D88">
        <w:rPr>
          <w:rFonts w:eastAsia="SimSun"/>
          <w:sz w:val="22"/>
          <w:szCs w:val="22"/>
          <w:lang w:eastAsia="zh-CN"/>
        </w:rPr>
        <w:t>:</w:t>
      </w:r>
    </w:p>
    <w:p w14:paraId="552D23B1" w14:textId="77777777" w:rsidR="00091B58" w:rsidRPr="00C81D88" w:rsidRDefault="00091B58" w:rsidP="00091B58">
      <w:pPr>
        <w:numPr>
          <w:ilvl w:val="12"/>
          <w:numId w:val="0"/>
        </w:numPr>
        <w:rPr>
          <w:rFonts w:eastAsia="SimSun"/>
          <w:sz w:val="22"/>
          <w:szCs w:val="22"/>
          <w:lang w:eastAsia="zh-CN"/>
        </w:rPr>
      </w:pPr>
    </w:p>
    <w:p w14:paraId="3FBF180A" w14:textId="1929C9AD" w:rsidR="00091B58" w:rsidRPr="00C81D88" w:rsidRDefault="00091B58" w:rsidP="00091B58">
      <w:pPr>
        <w:numPr>
          <w:ilvl w:val="12"/>
          <w:numId w:val="0"/>
        </w:numPr>
        <w:ind w:right="-2"/>
        <w:rPr>
          <w:sz w:val="22"/>
          <w:szCs w:val="22"/>
        </w:rPr>
      </w:pPr>
      <w:r w:rsidRPr="00C81D88">
        <w:rPr>
          <w:sz w:val="22"/>
          <w:szCs w:val="22"/>
        </w:rPr>
        <w:t>Estija</w:t>
      </w:r>
      <w:r w:rsidRPr="00C81D88">
        <w:rPr>
          <w:sz w:val="22"/>
          <w:szCs w:val="22"/>
        </w:rPr>
        <w:tab/>
      </w:r>
      <w:r w:rsidR="007C1AE1">
        <w:rPr>
          <w:sz w:val="22"/>
          <w:szCs w:val="22"/>
        </w:rPr>
        <w:tab/>
      </w:r>
      <w:r w:rsidRPr="00C81D88">
        <w:rPr>
          <w:sz w:val="22"/>
          <w:szCs w:val="22"/>
        </w:rPr>
        <w:t>Dasatinib Norameda</w:t>
      </w:r>
    </w:p>
    <w:p w14:paraId="210A1033" w14:textId="77777777" w:rsidR="00091B58" w:rsidRPr="00C81D88" w:rsidRDefault="00091B58" w:rsidP="00091B58">
      <w:pPr>
        <w:numPr>
          <w:ilvl w:val="12"/>
          <w:numId w:val="0"/>
        </w:numPr>
        <w:ind w:right="-2"/>
        <w:rPr>
          <w:sz w:val="22"/>
          <w:szCs w:val="22"/>
        </w:rPr>
      </w:pPr>
      <w:r w:rsidRPr="00C81D88">
        <w:rPr>
          <w:sz w:val="22"/>
          <w:szCs w:val="22"/>
        </w:rPr>
        <w:t>Graikija</w:t>
      </w:r>
      <w:r w:rsidRPr="00C81D88">
        <w:rPr>
          <w:sz w:val="22"/>
          <w:szCs w:val="22"/>
        </w:rPr>
        <w:tab/>
        <w:t>DASATINIB/ FARAN</w:t>
      </w:r>
    </w:p>
    <w:p w14:paraId="21B2E665" w14:textId="10AEEAA2" w:rsidR="00A66A22" w:rsidRPr="00AD6BBA" w:rsidRDefault="00065B59" w:rsidP="00091B58">
      <w:pPr>
        <w:numPr>
          <w:ilvl w:val="12"/>
          <w:numId w:val="0"/>
        </w:numPr>
        <w:ind w:right="-2"/>
        <w:rPr>
          <w:szCs w:val="22"/>
        </w:rPr>
      </w:pPr>
      <w:r>
        <w:rPr>
          <w:szCs w:val="22"/>
        </w:rPr>
        <w:t>Ispanija</w:t>
      </w:r>
      <w:r>
        <w:rPr>
          <w:szCs w:val="22"/>
        </w:rPr>
        <w:tab/>
      </w:r>
      <w:r w:rsidRPr="009343A2">
        <w:rPr>
          <w:szCs w:val="22"/>
        </w:rPr>
        <w:t>Dasatinib STADA 50</w:t>
      </w:r>
      <w:r w:rsidR="00E93F80">
        <w:rPr>
          <w:szCs w:val="22"/>
        </w:rPr>
        <w:t xml:space="preserve"> mg</w:t>
      </w:r>
      <w:r w:rsidRPr="009343A2">
        <w:rPr>
          <w:szCs w:val="22"/>
        </w:rPr>
        <w:t>/70 mg comprimidos recubiertos con película EFG</w:t>
      </w:r>
    </w:p>
    <w:p w14:paraId="1A1C42D4" w14:textId="29826392" w:rsidR="00091B58" w:rsidRPr="00C81D88" w:rsidRDefault="00091B58" w:rsidP="00091B58">
      <w:pPr>
        <w:numPr>
          <w:ilvl w:val="12"/>
          <w:numId w:val="0"/>
        </w:numPr>
        <w:ind w:right="-2"/>
        <w:rPr>
          <w:sz w:val="22"/>
          <w:szCs w:val="22"/>
        </w:rPr>
      </w:pPr>
      <w:r w:rsidRPr="00C81D88">
        <w:rPr>
          <w:sz w:val="22"/>
          <w:szCs w:val="22"/>
        </w:rPr>
        <w:t>Kroatija</w:t>
      </w:r>
      <w:r w:rsidRPr="00C81D88">
        <w:rPr>
          <w:sz w:val="22"/>
          <w:szCs w:val="22"/>
        </w:rPr>
        <w:tab/>
        <w:t>Dasatinib Alpha</w:t>
      </w:r>
      <w:r w:rsidR="00CD6D39">
        <w:rPr>
          <w:sz w:val="22"/>
          <w:szCs w:val="22"/>
        </w:rPr>
        <w:t>-</w:t>
      </w:r>
      <w:r w:rsidRPr="00C81D88">
        <w:rPr>
          <w:sz w:val="22"/>
          <w:szCs w:val="22"/>
        </w:rPr>
        <w:t xml:space="preserve">Medica 20 mg filmom obložene tablete </w:t>
      </w:r>
    </w:p>
    <w:p w14:paraId="493C91BC" w14:textId="0A32AD29" w:rsidR="00091B58" w:rsidRPr="00C81D88" w:rsidRDefault="00091B58" w:rsidP="00091B58">
      <w:pPr>
        <w:numPr>
          <w:ilvl w:val="12"/>
          <w:numId w:val="0"/>
        </w:numPr>
        <w:ind w:right="-2"/>
        <w:rPr>
          <w:sz w:val="22"/>
          <w:szCs w:val="22"/>
        </w:rPr>
      </w:pPr>
      <w:r w:rsidRPr="00C81D88">
        <w:rPr>
          <w:sz w:val="22"/>
          <w:szCs w:val="22"/>
        </w:rPr>
        <w:t>Latvija</w:t>
      </w:r>
      <w:r w:rsidR="00CA0B8E">
        <w:rPr>
          <w:sz w:val="22"/>
          <w:szCs w:val="22"/>
        </w:rPr>
        <w:tab/>
      </w:r>
      <w:r w:rsidRPr="00C81D88">
        <w:rPr>
          <w:sz w:val="22"/>
          <w:szCs w:val="22"/>
        </w:rPr>
        <w:tab/>
        <w:t>Dasatinib Norameda 20 mg/50 mg/70 mg apvalkotās taletes</w:t>
      </w:r>
    </w:p>
    <w:p w14:paraId="33AFC784" w14:textId="3FAF6733" w:rsidR="00091B58" w:rsidRPr="00C81D88" w:rsidRDefault="00091B58" w:rsidP="00091B58">
      <w:pPr>
        <w:numPr>
          <w:ilvl w:val="12"/>
          <w:numId w:val="0"/>
        </w:numPr>
        <w:ind w:right="-2"/>
        <w:rPr>
          <w:sz w:val="22"/>
          <w:szCs w:val="22"/>
        </w:rPr>
      </w:pPr>
      <w:bookmarkStart w:id="2" w:name="_Hlk19728210"/>
      <w:r w:rsidRPr="00C81D88">
        <w:rPr>
          <w:sz w:val="22"/>
          <w:szCs w:val="22"/>
        </w:rPr>
        <w:t>Lietuva</w:t>
      </w:r>
      <w:r w:rsidR="00CA0B8E">
        <w:rPr>
          <w:sz w:val="22"/>
          <w:szCs w:val="22"/>
        </w:rPr>
        <w:tab/>
      </w:r>
      <w:r w:rsidRPr="00C81D88">
        <w:rPr>
          <w:sz w:val="22"/>
          <w:szCs w:val="22"/>
        </w:rPr>
        <w:tab/>
        <w:t>Dasatinib Norameda 20 mg/50 mg/70 mg</w:t>
      </w:r>
      <w:bookmarkEnd w:id="2"/>
      <w:r w:rsidRPr="00C81D88">
        <w:rPr>
          <w:sz w:val="22"/>
          <w:szCs w:val="22"/>
        </w:rPr>
        <w:t xml:space="preserve"> plėvele dengtos tabletės</w:t>
      </w:r>
    </w:p>
    <w:p w14:paraId="7985F435" w14:textId="0ABD00B6" w:rsidR="00091B58" w:rsidRDefault="00091B58" w:rsidP="00091B58">
      <w:pPr>
        <w:numPr>
          <w:ilvl w:val="12"/>
          <w:numId w:val="0"/>
        </w:numPr>
        <w:ind w:right="-2"/>
        <w:rPr>
          <w:sz w:val="22"/>
          <w:szCs w:val="22"/>
        </w:rPr>
      </w:pPr>
      <w:r w:rsidRPr="00C81D88">
        <w:rPr>
          <w:sz w:val="22"/>
          <w:szCs w:val="22"/>
        </w:rPr>
        <w:t>Nyderlandai</w:t>
      </w:r>
      <w:r w:rsidRPr="00C81D88">
        <w:rPr>
          <w:sz w:val="22"/>
          <w:szCs w:val="22"/>
        </w:rPr>
        <w:tab/>
        <w:t>Dasatinib Norameda 20 mg/50 mg/70 mg filmomhulde tabletten</w:t>
      </w:r>
    </w:p>
    <w:p w14:paraId="0FD1061C" w14:textId="3AEA95C5" w:rsidR="00800178" w:rsidRDefault="00800178" w:rsidP="00091B58">
      <w:pPr>
        <w:numPr>
          <w:ilvl w:val="12"/>
          <w:numId w:val="0"/>
        </w:numPr>
        <w:ind w:right="-2"/>
        <w:rPr>
          <w:color w:val="000000"/>
          <w:sz w:val="23"/>
          <w:szCs w:val="23"/>
          <w:lang w:val="de-DE" w:eastAsia="en-GB"/>
        </w:rPr>
      </w:pPr>
      <w:r>
        <w:rPr>
          <w:sz w:val="22"/>
          <w:szCs w:val="22"/>
        </w:rPr>
        <w:t>Suomija</w:t>
      </w:r>
      <w:r>
        <w:rPr>
          <w:sz w:val="22"/>
          <w:szCs w:val="22"/>
        </w:rPr>
        <w:tab/>
      </w:r>
      <w:r w:rsidR="00034F8F" w:rsidRPr="00CD2253">
        <w:rPr>
          <w:color w:val="000000"/>
          <w:sz w:val="23"/>
          <w:szCs w:val="23"/>
          <w:lang w:val="de-DE" w:eastAsia="en-GB"/>
        </w:rPr>
        <w:t>Dasatinib Avansor 50 mg tabletti, kalvopäällysteinen / tablett, filmdragerad</w:t>
      </w:r>
    </w:p>
    <w:p w14:paraId="54808AF8" w14:textId="53599748" w:rsidR="00FA1794" w:rsidRPr="00C81D88" w:rsidRDefault="00FA1794" w:rsidP="00091B58">
      <w:pPr>
        <w:numPr>
          <w:ilvl w:val="12"/>
          <w:numId w:val="0"/>
        </w:numPr>
        <w:ind w:right="-2"/>
        <w:rPr>
          <w:sz w:val="22"/>
          <w:szCs w:val="22"/>
        </w:rPr>
      </w:pPr>
      <w:r>
        <w:rPr>
          <w:color w:val="000000"/>
          <w:sz w:val="23"/>
          <w:szCs w:val="23"/>
          <w:lang w:val="de-DE" w:eastAsia="en-GB"/>
        </w:rPr>
        <w:t>Švedija</w:t>
      </w:r>
      <w:r>
        <w:rPr>
          <w:color w:val="000000"/>
          <w:sz w:val="23"/>
          <w:szCs w:val="23"/>
          <w:lang w:val="de-DE" w:eastAsia="en-GB"/>
        </w:rPr>
        <w:tab/>
      </w:r>
      <w:r>
        <w:rPr>
          <w:color w:val="000000"/>
          <w:sz w:val="23"/>
          <w:szCs w:val="23"/>
          <w:lang w:val="de-DE" w:eastAsia="en-GB"/>
        </w:rPr>
        <w:tab/>
      </w:r>
      <w:r w:rsidR="00814809" w:rsidRPr="00CD2253">
        <w:rPr>
          <w:color w:val="000000"/>
          <w:sz w:val="23"/>
          <w:szCs w:val="23"/>
          <w:lang w:val="en-GB" w:eastAsia="en-GB"/>
        </w:rPr>
        <w:t>Dasatinib Avansor 50 mg tablett, filmdragerad</w:t>
      </w:r>
    </w:p>
    <w:p w14:paraId="1CF77792" w14:textId="77777777" w:rsidR="00CA0B8E" w:rsidRDefault="00CA0B8E" w:rsidP="00CA0B8E">
      <w:pPr>
        <w:numPr>
          <w:ilvl w:val="12"/>
          <w:numId w:val="0"/>
        </w:numPr>
        <w:ind w:right="-2"/>
        <w:rPr>
          <w:szCs w:val="22"/>
        </w:rPr>
      </w:pPr>
      <w:r>
        <w:rPr>
          <w:szCs w:val="22"/>
        </w:rPr>
        <w:t>Vengrija</w:t>
      </w:r>
      <w:r>
        <w:rPr>
          <w:szCs w:val="22"/>
        </w:rPr>
        <w:tab/>
      </w:r>
      <w:r w:rsidRPr="00041537">
        <w:rPr>
          <w:szCs w:val="22"/>
        </w:rPr>
        <w:t>Dasatinib Onkogen</w:t>
      </w:r>
    </w:p>
    <w:p w14:paraId="5CB2E072" w14:textId="2AE0D6C5" w:rsidR="00CA0B8E" w:rsidRDefault="00CA0B8E" w:rsidP="00CA0B8E">
      <w:pPr>
        <w:numPr>
          <w:ilvl w:val="12"/>
          <w:numId w:val="0"/>
        </w:numPr>
        <w:ind w:right="-2"/>
        <w:rPr>
          <w:szCs w:val="22"/>
        </w:rPr>
      </w:pPr>
      <w:r>
        <w:rPr>
          <w:szCs w:val="22"/>
        </w:rPr>
        <w:t>Vokietija</w:t>
      </w:r>
      <w:r>
        <w:rPr>
          <w:szCs w:val="22"/>
        </w:rPr>
        <w:tab/>
      </w:r>
      <w:r w:rsidRPr="00475DD3">
        <w:rPr>
          <w:szCs w:val="22"/>
        </w:rPr>
        <w:t xml:space="preserve">Dasatinib </w:t>
      </w:r>
      <w:r w:rsidR="00794BA9">
        <w:rPr>
          <w:szCs w:val="22"/>
        </w:rPr>
        <w:t>Heumann</w:t>
      </w:r>
      <w:r w:rsidR="006765EB">
        <w:rPr>
          <w:szCs w:val="22"/>
        </w:rPr>
        <w:t xml:space="preserve"> </w:t>
      </w:r>
      <w:r w:rsidRPr="00475DD3">
        <w:rPr>
          <w:szCs w:val="22"/>
        </w:rPr>
        <w:t>20</w:t>
      </w:r>
      <w:r w:rsidR="0060566C">
        <w:rPr>
          <w:szCs w:val="22"/>
        </w:rPr>
        <w:t xml:space="preserve"> mg</w:t>
      </w:r>
      <w:r w:rsidRPr="00475DD3">
        <w:rPr>
          <w:szCs w:val="22"/>
        </w:rPr>
        <w:t>/50</w:t>
      </w:r>
      <w:r w:rsidR="0060566C">
        <w:rPr>
          <w:szCs w:val="22"/>
        </w:rPr>
        <w:t xml:space="preserve"> mg</w:t>
      </w:r>
      <w:r w:rsidRPr="00475DD3">
        <w:rPr>
          <w:szCs w:val="22"/>
        </w:rPr>
        <w:t>/70 mg Filmtabletten</w:t>
      </w:r>
    </w:p>
    <w:p w14:paraId="22F68C9E" w14:textId="77777777" w:rsidR="00091B58" w:rsidRPr="00C81D88" w:rsidRDefault="00091B58" w:rsidP="00091B58">
      <w:pPr>
        <w:numPr>
          <w:ilvl w:val="12"/>
          <w:numId w:val="0"/>
        </w:numPr>
        <w:ind w:right="-2"/>
        <w:rPr>
          <w:snapToGrid w:val="0"/>
          <w:sz w:val="22"/>
          <w:szCs w:val="22"/>
        </w:rPr>
      </w:pPr>
    </w:p>
    <w:p w14:paraId="677D4A82" w14:textId="77777777" w:rsidR="00091B58" w:rsidRPr="00C81D88" w:rsidRDefault="00091B58" w:rsidP="00091B58">
      <w:pPr>
        <w:tabs>
          <w:tab w:val="center" w:pos="2089"/>
        </w:tabs>
        <w:rPr>
          <w:rFonts w:eastAsia="SimSun"/>
          <w:snapToGrid w:val="0"/>
          <w:sz w:val="22"/>
          <w:szCs w:val="22"/>
        </w:rPr>
      </w:pPr>
    </w:p>
    <w:p w14:paraId="4CA05782" w14:textId="13CB6AE0" w:rsidR="00091B58" w:rsidRPr="00C81D88" w:rsidRDefault="00091B58" w:rsidP="00091B58">
      <w:pPr>
        <w:numPr>
          <w:ilvl w:val="12"/>
          <w:numId w:val="0"/>
        </w:numPr>
        <w:outlineLvl w:val="0"/>
        <w:rPr>
          <w:rFonts w:eastAsia="SimSun"/>
          <w:sz w:val="22"/>
          <w:szCs w:val="22"/>
          <w:lang w:eastAsia="zh-CN"/>
        </w:rPr>
      </w:pPr>
      <w:r w:rsidRPr="00C81D88">
        <w:rPr>
          <w:rFonts w:eastAsia="SimSun"/>
          <w:b/>
          <w:bCs/>
          <w:sz w:val="22"/>
          <w:szCs w:val="22"/>
          <w:lang w:eastAsia="zh-CN"/>
        </w:rPr>
        <w:t xml:space="preserve">Šis pakuotės </w:t>
      </w:r>
      <w:r w:rsidRPr="00C81D88">
        <w:rPr>
          <w:rFonts w:eastAsia="SimSun"/>
          <w:b/>
          <w:sz w:val="22"/>
          <w:szCs w:val="22"/>
          <w:lang w:eastAsia="zh-CN"/>
        </w:rPr>
        <w:t>lapelis paskutinį kartą peržiūrėtas</w:t>
      </w:r>
      <w:r w:rsidR="003F2AA2">
        <w:rPr>
          <w:rFonts w:eastAsia="SimSun"/>
          <w:b/>
          <w:sz w:val="22"/>
          <w:szCs w:val="22"/>
          <w:lang w:eastAsia="zh-CN"/>
        </w:rPr>
        <w:t xml:space="preserve"> 2024-03-14</w:t>
      </w:r>
      <w:r w:rsidRPr="00C81D88">
        <w:rPr>
          <w:rFonts w:eastAsia="SimSun"/>
          <w:b/>
          <w:sz w:val="22"/>
          <w:szCs w:val="22"/>
          <w:lang w:eastAsia="zh-CN"/>
        </w:rPr>
        <w:t>.</w:t>
      </w:r>
    </w:p>
    <w:p w14:paraId="3E4A00DA" w14:textId="77777777" w:rsidR="00091B58" w:rsidRPr="00C81D88" w:rsidRDefault="00091B58" w:rsidP="00091B58">
      <w:pPr>
        <w:numPr>
          <w:ilvl w:val="12"/>
          <w:numId w:val="0"/>
        </w:numPr>
        <w:rPr>
          <w:rFonts w:eastAsia="SimSun"/>
          <w:iCs/>
          <w:sz w:val="22"/>
          <w:szCs w:val="22"/>
          <w:highlight w:val="yellow"/>
          <w:lang w:eastAsia="zh-CN"/>
        </w:rPr>
      </w:pPr>
    </w:p>
    <w:p w14:paraId="380F70E1" w14:textId="77777777" w:rsidR="00091B58" w:rsidRPr="00C81D88" w:rsidRDefault="00091B58" w:rsidP="00091B58">
      <w:pPr>
        <w:numPr>
          <w:ilvl w:val="12"/>
          <w:numId w:val="0"/>
        </w:numPr>
        <w:rPr>
          <w:rFonts w:eastAsia="SimSun"/>
          <w:iCs/>
          <w:sz w:val="22"/>
          <w:szCs w:val="22"/>
          <w:highlight w:val="yellow"/>
          <w:lang w:eastAsia="zh-CN"/>
        </w:rPr>
      </w:pPr>
    </w:p>
    <w:p w14:paraId="436A3EBB" w14:textId="77777777" w:rsidR="00091B58" w:rsidRPr="00C81D88" w:rsidRDefault="00091B58" w:rsidP="00091B58">
      <w:pPr>
        <w:numPr>
          <w:ilvl w:val="12"/>
          <w:numId w:val="0"/>
        </w:numPr>
        <w:ind w:right="-2"/>
        <w:rPr>
          <w:snapToGrid w:val="0"/>
          <w:sz w:val="22"/>
          <w:szCs w:val="22"/>
        </w:rPr>
      </w:pPr>
      <w:r w:rsidRPr="00C81D88">
        <w:rPr>
          <w:snapToGrid w:val="0"/>
          <w:sz w:val="22"/>
          <w:szCs w:val="22"/>
        </w:rPr>
        <w:t>Išsami informacija apie šį vaistą pateikiama Valstybinės vaistų kontrolės tarnybos prie Lietuvos Respublikos sveikatos apsaugos ministerijos tinklalapyje</w:t>
      </w:r>
      <w:r w:rsidRPr="00C81D88">
        <w:rPr>
          <w:i/>
          <w:snapToGrid w:val="0"/>
          <w:sz w:val="22"/>
          <w:szCs w:val="22"/>
        </w:rPr>
        <w:t xml:space="preserve"> </w:t>
      </w:r>
      <w:hyperlink r:id="rId14" w:history="1">
        <w:r w:rsidRPr="00C81D88">
          <w:rPr>
            <w:snapToGrid w:val="0"/>
            <w:sz w:val="22"/>
            <w:szCs w:val="22"/>
            <w:u w:val="single"/>
          </w:rPr>
          <w:t>http://www.vvkt.lt</w:t>
        </w:r>
      </w:hyperlink>
      <w:r w:rsidRPr="00C81D88">
        <w:rPr>
          <w:snapToGrid w:val="0"/>
          <w:sz w:val="22"/>
          <w:szCs w:val="22"/>
        </w:rPr>
        <w:t>.</w:t>
      </w:r>
    </w:p>
    <w:p w14:paraId="5DF5615A" w14:textId="77777777" w:rsidR="00091B58" w:rsidRPr="00C81D88" w:rsidRDefault="00091B58" w:rsidP="00091B58">
      <w:pPr>
        <w:rPr>
          <w:snapToGrid w:val="0"/>
          <w:sz w:val="22"/>
          <w:szCs w:val="22"/>
        </w:rPr>
      </w:pPr>
    </w:p>
    <w:p w14:paraId="0409A11B" w14:textId="2054AEFB" w:rsidR="00F64B26" w:rsidRPr="00C81D88" w:rsidRDefault="00F64B26" w:rsidP="00091B58"/>
    <w:sectPr w:rsidR="00F64B26" w:rsidRPr="00C81D88" w:rsidSect="004428B3">
      <w:headerReference w:type="default" r:id="rId15"/>
      <w:footerReference w:type="default" r:id="rId16"/>
      <w:pgSz w:w="11920" w:h="16840"/>
      <w:pgMar w:top="993" w:right="1147" w:bottom="851"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622B" w14:textId="77777777" w:rsidR="00E20B63" w:rsidRDefault="00E20B63">
      <w:r>
        <w:separator/>
      </w:r>
    </w:p>
  </w:endnote>
  <w:endnote w:type="continuationSeparator" w:id="0">
    <w:p w14:paraId="67C00E0D" w14:textId="77777777" w:rsidR="00E20B63" w:rsidRDefault="00E20B63">
      <w:r>
        <w:continuationSeparator/>
      </w:r>
    </w:p>
  </w:endnote>
  <w:endnote w:type="continuationNotice" w:id="1">
    <w:p w14:paraId="54E8749A" w14:textId="77777777" w:rsidR="00E20B63" w:rsidRDefault="00E20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52320AC1" w:rsidR="00D42F5D" w:rsidRPr="00EA082B" w:rsidRDefault="00383273" w:rsidP="000F156F">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2B4EDA81" w:rsidR="00D42F5D" w:rsidRDefault="0038327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428B3">
                            <w:rPr>
                              <w:rFonts w:ascii="Arial" w:hAnsi="Arial" w:cs="Arial"/>
                              <w:noProof/>
                              <w:sz w:val="16"/>
                              <w:szCs w:val="16"/>
                            </w:rPr>
                            <w:t>16</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2F86BD45" w14:textId="2B4EDA81" w:rsidR="00D42F5D" w:rsidRDefault="0038327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428B3">
                      <w:rPr>
                        <w:rFonts w:ascii="Arial" w:hAnsi="Arial" w:cs="Arial"/>
                        <w:noProof/>
                        <w:sz w:val="16"/>
                        <w:szCs w:val="16"/>
                      </w:rPr>
                      <w:t>16</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0789E" w14:textId="77777777" w:rsidR="00E20B63" w:rsidRDefault="00E20B63">
      <w:r>
        <w:separator/>
      </w:r>
    </w:p>
  </w:footnote>
  <w:footnote w:type="continuationSeparator" w:id="0">
    <w:p w14:paraId="4F76483D" w14:textId="77777777" w:rsidR="00E20B63" w:rsidRDefault="00E20B63">
      <w:r>
        <w:continuationSeparator/>
      </w:r>
    </w:p>
  </w:footnote>
  <w:footnote w:type="continuationNotice" w:id="1">
    <w:p w14:paraId="27E69B97" w14:textId="77777777" w:rsidR="00E20B63" w:rsidRDefault="00E20B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C8B5" w14:textId="77777777" w:rsidR="002D5151" w:rsidRDefault="002D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D00"/>
    <w:multiLevelType w:val="hybridMultilevel"/>
    <w:tmpl w:val="5EB6C9FE"/>
    <w:lvl w:ilvl="0" w:tplc="6944C6A0">
      <w:start w:val="1"/>
      <w:numFmt w:val="bullet"/>
      <w:lvlRestart w:val="0"/>
      <w:pStyle w:val="ListBullet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515B7C"/>
    <w:multiLevelType w:val="hybridMultilevel"/>
    <w:tmpl w:val="B7D4D3B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021A6C"/>
    <w:multiLevelType w:val="hybridMultilevel"/>
    <w:tmpl w:val="968C1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E22F0C"/>
    <w:multiLevelType w:val="hybridMultilevel"/>
    <w:tmpl w:val="D2A20748"/>
    <w:lvl w:ilvl="0" w:tplc="8C3433B6">
      <w:numFmt w:val="bullet"/>
      <w:lvlText w:val=""/>
      <w:lvlJc w:val="left"/>
      <w:pPr>
        <w:ind w:left="720" w:hanging="360"/>
      </w:pPr>
      <w:rPr>
        <w:rFonts w:ascii="Symbol" w:hAnsi="Symbol" w:cs="Times New Roman" w:hint="default"/>
        <w:sz w:val="22"/>
      </w:rPr>
    </w:lvl>
    <w:lvl w:ilvl="1" w:tplc="B85404C8">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200894"/>
    <w:multiLevelType w:val="hybridMultilevel"/>
    <w:tmpl w:val="77BA8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20"/>
  </w:num>
  <w:num w:numId="4">
    <w:abstractNumId w:val="14"/>
  </w:num>
  <w:num w:numId="5">
    <w:abstractNumId w:val="11"/>
  </w:num>
  <w:num w:numId="6">
    <w:abstractNumId w:val="4"/>
  </w:num>
  <w:num w:numId="7">
    <w:abstractNumId w:val="15"/>
  </w:num>
  <w:num w:numId="8">
    <w:abstractNumId w:val="19"/>
  </w:num>
  <w:num w:numId="9">
    <w:abstractNumId w:val="12"/>
  </w:num>
  <w:num w:numId="10">
    <w:abstractNumId w:val="8"/>
  </w:num>
  <w:num w:numId="11">
    <w:abstractNumId w:val="21"/>
  </w:num>
  <w:num w:numId="12">
    <w:abstractNumId w:val="17"/>
  </w:num>
  <w:num w:numId="13">
    <w:abstractNumId w:val="22"/>
  </w:num>
  <w:num w:numId="14">
    <w:abstractNumId w:val="16"/>
  </w:num>
  <w:num w:numId="15">
    <w:abstractNumId w:val="5"/>
  </w:num>
  <w:num w:numId="16">
    <w:abstractNumId w:val="6"/>
  </w:num>
  <w:num w:numId="17">
    <w:abstractNumId w:val="10"/>
  </w:num>
  <w:num w:numId="18">
    <w:abstractNumId w:val="18"/>
  </w:num>
  <w:num w:numId="19">
    <w:abstractNumId w:val="7"/>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15989"/>
    <w:rsid w:val="00032FE8"/>
    <w:rsid w:val="00034F8F"/>
    <w:rsid w:val="00047BDF"/>
    <w:rsid w:val="00053893"/>
    <w:rsid w:val="00065B59"/>
    <w:rsid w:val="00070F8C"/>
    <w:rsid w:val="00071660"/>
    <w:rsid w:val="00091B58"/>
    <w:rsid w:val="000975C6"/>
    <w:rsid w:val="000A1CBA"/>
    <w:rsid w:val="000C54EA"/>
    <w:rsid w:val="000E1C78"/>
    <w:rsid w:val="000F156F"/>
    <w:rsid w:val="00110977"/>
    <w:rsid w:val="00120B05"/>
    <w:rsid w:val="001B0BF2"/>
    <w:rsid w:val="001B5BDF"/>
    <w:rsid w:val="001C7272"/>
    <w:rsid w:val="001E61E2"/>
    <w:rsid w:val="001E65B9"/>
    <w:rsid w:val="002024B2"/>
    <w:rsid w:val="00203268"/>
    <w:rsid w:val="00217ADF"/>
    <w:rsid w:val="002227CE"/>
    <w:rsid w:val="002323A1"/>
    <w:rsid w:val="00232CB7"/>
    <w:rsid w:val="00234DBC"/>
    <w:rsid w:val="0024400F"/>
    <w:rsid w:val="00246719"/>
    <w:rsid w:val="00251F07"/>
    <w:rsid w:val="002902C0"/>
    <w:rsid w:val="002928CB"/>
    <w:rsid w:val="002B123C"/>
    <w:rsid w:val="002C3467"/>
    <w:rsid w:val="002D4808"/>
    <w:rsid w:val="002D5151"/>
    <w:rsid w:val="002E7C95"/>
    <w:rsid w:val="002F0361"/>
    <w:rsid w:val="002F669C"/>
    <w:rsid w:val="002F6E47"/>
    <w:rsid w:val="0030261B"/>
    <w:rsid w:val="00334721"/>
    <w:rsid w:val="003641D2"/>
    <w:rsid w:val="00372A39"/>
    <w:rsid w:val="00383273"/>
    <w:rsid w:val="003C6370"/>
    <w:rsid w:val="003C7273"/>
    <w:rsid w:val="003D0890"/>
    <w:rsid w:val="003D3D37"/>
    <w:rsid w:val="003E00E3"/>
    <w:rsid w:val="003E6F6A"/>
    <w:rsid w:val="003F051C"/>
    <w:rsid w:val="003F2AA2"/>
    <w:rsid w:val="003F7DCA"/>
    <w:rsid w:val="00406ECA"/>
    <w:rsid w:val="00422808"/>
    <w:rsid w:val="00425D89"/>
    <w:rsid w:val="0043685E"/>
    <w:rsid w:val="004370EB"/>
    <w:rsid w:val="00440175"/>
    <w:rsid w:val="004428B3"/>
    <w:rsid w:val="00474A02"/>
    <w:rsid w:val="00480D83"/>
    <w:rsid w:val="004816AC"/>
    <w:rsid w:val="004E320B"/>
    <w:rsid w:val="004E3FBD"/>
    <w:rsid w:val="00511956"/>
    <w:rsid w:val="0051430B"/>
    <w:rsid w:val="00524299"/>
    <w:rsid w:val="005876C6"/>
    <w:rsid w:val="005E1459"/>
    <w:rsid w:val="0060247B"/>
    <w:rsid w:val="0060566C"/>
    <w:rsid w:val="0062414B"/>
    <w:rsid w:val="00640A02"/>
    <w:rsid w:val="00642689"/>
    <w:rsid w:val="006472B8"/>
    <w:rsid w:val="00665137"/>
    <w:rsid w:val="0066686D"/>
    <w:rsid w:val="006765EB"/>
    <w:rsid w:val="006D3217"/>
    <w:rsid w:val="006F028E"/>
    <w:rsid w:val="006F0AF4"/>
    <w:rsid w:val="006F7FE0"/>
    <w:rsid w:val="00705692"/>
    <w:rsid w:val="007521D9"/>
    <w:rsid w:val="00760B30"/>
    <w:rsid w:val="00763B09"/>
    <w:rsid w:val="00770EF5"/>
    <w:rsid w:val="007715F9"/>
    <w:rsid w:val="00785B0C"/>
    <w:rsid w:val="00786E98"/>
    <w:rsid w:val="00794BA9"/>
    <w:rsid w:val="007A7C15"/>
    <w:rsid w:val="007C1AE1"/>
    <w:rsid w:val="007F19C0"/>
    <w:rsid w:val="007F62AD"/>
    <w:rsid w:val="00800178"/>
    <w:rsid w:val="008036E2"/>
    <w:rsid w:val="00814809"/>
    <w:rsid w:val="00836AE2"/>
    <w:rsid w:val="00840280"/>
    <w:rsid w:val="008526A8"/>
    <w:rsid w:val="008607B6"/>
    <w:rsid w:val="0087039E"/>
    <w:rsid w:val="00896367"/>
    <w:rsid w:val="008A158A"/>
    <w:rsid w:val="008A36B9"/>
    <w:rsid w:val="008E6D0E"/>
    <w:rsid w:val="008F0969"/>
    <w:rsid w:val="00957DC9"/>
    <w:rsid w:val="009763C5"/>
    <w:rsid w:val="009D5704"/>
    <w:rsid w:val="009E053D"/>
    <w:rsid w:val="009E5C0E"/>
    <w:rsid w:val="00A01FD3"/>
    <w:rsid w:val="00A079EB"/>
    <w:rsid w:val="00A11CF6"/>
    <w:rsid w:val="00A373CF"/>
    <w:rsid w:val="00A373EB"/>
    <w:rsid w:val="00A66A22"/>
    <w:rsid w:val="00A747C3"/>
    <w:rsid w:val="00AA5FF2"/>
    <w:rsid w:val="00AA65FA"/>
    <w:rsid w:val="00AD06EF"/>
    <w:rsid w:val="00AD6BBA"/>
    <w:rsid w:val="00AF69FB"/>
    <w:rsid w:val="00B3092D"/>
    <w:rsid w:val="00B550AB"/>
    <w:rsid w:val="00B87E26"/>
    <w:rsid w:val="00BC2AE9"/>
    <w:rsid w:val="00BC51DA"/>
    <w:rsid w:val="00BE6A6E"/>
    <w:rsid w:val="00C03D0F"/>
    <w:rsid w:val="00C34D9A"/>
    <w:rsid w:val="00C54AB1"/>
    <w:rsid w:val="00C80B31"/>
    <w:rsid w:val="00C81D88"/>
    <w:rsid w:val="00C904E4"/>
    <w:rsid w:val="00CA0B8E"/>
    <w:rsid w:val="00CD6D39"/>
    <w:rsid w:val="00CE0086"/>
    <w:rsid w:val="00CF4A81"/>
    <w:rsid w:val="00D1762E"/>
    <w:rsid w:val="00D42F5D"/>
    <w:rsid w:val="00D532A4"/>
    <w:rsid w:val="00D91513"/>
    <w:rsid w:val="00DA1B78"/>
    <w:rsid w:val="00DA2B27"/>
    <w:rsid w:val="00DC5BCD"/>
    <w:rsid w:val="00DE37A8"/>
    <w:rsid w:val="00E14A68"/>
    <w:rsid w:val="00E20B63"/>
    <w:rsid w:val="00E41AEB"/>
    <w:rsid w:val="00E61D3C"/>
    <w:rsid w:val="00E9328E"/>
    <w:rsid w:val="00E93F80"/>
    <w:rsid w:val="00EB3ABE"/>
    <w:rsid w:val="00EC6BA4"/>
    <w:rsid w:val="00EF0A92"/>
    <w:rsid w:val="00F00E1F"/>
    <w:rsid w:val="00F02DB4"/>
    <w:rsid w:val="00F25C43"/>
    <w:rsid w:val="00F45002"/>
    <w:rsid w:val="00F64B26"/>
    <w:rsid w:val="00F77A83"/>
    <w:rsid w:val="00F8354C"/>
    <w:rsid w:val="00F950DD"/>
    <w:rsid w:val="00F97374"/>
    <w:rsid w:val="00FA1716"/>
    <w:rsid w:val="00FA1794"/>
    <w:rsid w:val="00FA5B5A"/>
    <w:rsid w:val="00FC2798"/>
    <w:rsid w:val="00FC2B13"/>
    <w:rsid w:val="00FD6E58"/>
    <w:rsid w:val="00FF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3C"/>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9"/>
    <w:qFormat/>
    <w:rsid w:val="003832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832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832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83273"/>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091B58"/>
    <w:pPr>
      <w:keepNext/>
      <w:tabs>
        <w:tab w:val="left" w:pos="567"/>
        <w:tab w:val="num" w:pos="1008"/>
      </w:tabs>
      <w:spacing w:line="260" w:lineRule="exact"/>
      <w:ind w:left="1008" w:hanging="432"/>
      <w:jc w:val="both"/>
      <w:outlineLvl w:val="4"/>
    </w:pPr>
    <w:rPr>
      <w:noProof/>
      <w:sz w:val="22"/>
      <w:szCs w:val="20"/>
      <w:lang w:val="en-GB"/>
    </w:rPr>
  </w:style>
  <w:style w:type="paragraph" w:styleId="Heading6">
    <w:name w:val="heading 6"/>
    <w:basedOn w:val="Normal"/>
    <w:next w:val="Normal"/>
    <w:link w:val="Heading6Char1"/>
    <w:uiPriority w:val="99"/>
    <w:qFormat/>
    <w:rsid w:val="00091B58"/>
    <w:pPr>
      <w:keepNext/>
      <w:tabs>
        <w:tab w:val="left" w:pos="-720"/>
        <w:tab w:val="left" w:pos="567"/>
        <w:tab w:val="num" w:pos="1152"/>
        <w:tab w:val="left" w:pos="4536"/>
      </w:tabs>
      <w:suppressAutoHyphens/>
      <w:spacing w:line="260" w:lineRule="exact"/>
      <w:ind w:left="1152" w:hanging="432"/>
      <w:outlineLvl w:val="5"/>
    </w:pPr>
    <w:rPr>
      <w:i/>
      <w:sz w:val="22"/>
      <w:szCs w:val="20"/>
      <w:lang w:val="en-GB"/>
    </w:rPr>
  </w:style>
  <w:style w:type="paragraph" w:styleId="Heading7">
    <w:name w:val="heading 7"/>
    <w:basedOn w:val="Normal"/>
    <w:next w:val="Normal"/>
    <w:link w:val="Heading7Char1"/>
    <w:uiPriority w:val="99"/>
    <w:qFormat/>
    <w:rsid w:val="00091B58"/>
    <w:pPr>
      <w:keepNext/>
      <w:tabs>
        <w:tab w:val="left" w:pos="-720"/>
        <w:tab w:val="left" w:pos="567"/>
        <w:tab w:val="num" w:pos="1296"/>
        <w:tab w:val="left" w:pos="4536"/>
      </w:tabs>
      <w:suppressAutoHyphens/>
      <w:spacing w:line="260" w:lineRule="exact"/>
      <w:ind w:left="1296" w:hanging="288"/>
      <w:jc w:val="both"/>
      <w:outlineLvl w:val="6"/>
    </w:pPr>
    <w:rPr>
      <w:i/>
      <w:sz w:val="22"/>
      <w:szCs w:val="20"/>
      <w:lang w:val="en-GB"/>
    </w:rPr>
  </w:style>
  <w:style w:type="paragraph" w:styleId="Heading8">
    <w:name w:val="heading 8"/>
    <w:basedOn w:val="Normal"/>
    <w:next w:val="Normal"/>
    <w:link w:val="Heading8Char1"/>
    <w:uiPriority w:val="99"/>
    <w:unhideWhenUsed/>
    <w:qFormat/>
    <w:rsid w:val="00091B58"/>
    <w:pPr>
      <w:keepNext/>
      <w:keepLines/>
      <w:spacing w:before="200"/>
      <w:outlineLvl w:val="7"/>
    </w:pPr>
    <w:rPr>
      <w:rFonts w:ascii="Cambria" w:hAnsi="Cambria"/>
      <w:color w:val="404040"/>
      <w:sz w:val="20"/>
      <w:szCs w:val="20"/>
      <w:lang w:val="en-AU" w:eastAsia="en-AU"/>
    </w:rPr>
  </w:style>
  <w:style w:type="paragraph" w:styleId="Heading9">
    <w:name w:val="heading 9"/>
    <w:basedOn w:val="Normal"/>
    <w:next w:val="Normal"/>
    <w:link w:val="Heading9Char1"/>
    <w:uiPriority w:val="99"/>
    <w:qFormat/>
    <w:rsid w:val="00091B58"/>
    <w:pPr>
      <w:keepNext/>
      <w:tabs>
        <w:tab w:val="left" w:pos="567"/>
        <w:tab w:val="num" w:pos="1584"/>
      </w:tabs>
      <w:spacing w:line="260" w:lineRule="exact"/>
      <w:ind w:left="1584" w:hanging="144"/>
      <w:jc w:val="both"/>
      <w:outlineLvl w:val="8"/>
    </w:pPr>
    <w:rPr>
      <w:b/>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23C"/>
    <w:rPr>
      <w:color w:val="0000FF"/>
      <w:u w:val="single"/>
    </w:rPr>
  </w:style>
  <w:style w:type="character" w:customStyle="1" w:styleId="Heading1Char">
    <w:name w:val="Heading 1 Char"/>
    <w:basedOn w:val="DefaultParagraphFont"/>
    <w:link w:val="Heading1"/>
    <w:uiPriority w:val="99"/>
    <w:rsid w:val="00383273"/>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uiPriority w:val="99"/>
    <w:rsid w:val="00383273"/>
    <w:rPr>
      <w:rFonts w:ascii="Arial" w:eastAsia="Times New Roman" w:hAnsi="Arial" w:cs="Arial"/>
      <w:b/>
      <w:bCs/>
      <w:i/>
      <w:iCs/>
      <w:sz w:val="28"/>
      <w:szCs w:val="28"/>
      <w:lang w:val="lt-LT"/>
    </w:rPr>
  </w:style>
  <w:style w:type="character" w:customStyle="1" w:styleId="Heading3Char">
    <w:name w:val="Heading 3 Char"/>
    <w:basedOn w:val="DefaultParagraphFont"/>
    <w:link w:val="Heading3"/>
    <w:uiPriority w:val="99"/>
    <w:rsid w:val="00383273"/>
    <w:rPr>
      <w:rFonts w:ascii="Arial" w:eastAsia="Times New Roman" w:hAnsi="Arial" w:cs="Arial"/>
      <w:b/>
      <w:bCs/>
      <w:sz w:val="26"/>
      <w:szCs w:val="26"/>
      <w:lang w:val="lt-LT"/>
    </w:rPr>
  </w:style>
  <w:style w:type="character" w:customStyle="1" w:styleId="Heading4Char">
    <w:name w:val="Heading 4 Char"/>
    <w:basedOn w:val="DefaultParagraphFont"/>
    <w:link w:val="Heading4"/>
    <w:uiPriority w:val="99"/>
    <w:rsid w:val="00383273"/>
    <w:rPr>
      <w:rFonts w:ascii="Calibri" w:eastAsia="Times New Roman" w:hAnsi="Calibri" w:cs="Times New Roman"/>
      <w:b/>
      <w:bCs/>
      <w:sz w:val="28"/>
      <w:szCs w:val="28"/>
      <w:lang w:val="x-none"/>
    </w:rPr>
  </w:style>
  <w:style w:type="paragraph" w:styleId="Header">
    <w:name w:val="header"/>
    <w:basedOn w:val="Normal"/>
    <w:link w:val="HeaderChar"/>
    <w:uiPriority w:val="99"/>
    <w:rsid w:val="00383273"/>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383273"/>
    <w:rPr>
      <w:rFonts w:ascii="Times New Roman" w:eastAsia="Times New Roman" w:hAnsi="Times New Roman" w:cs="Times New Roman"/>
      <w:sz w:val="20"/>
      <w:szCs w:val="20"/>
    </w:rPr>
  </w:style>
  <w:style w:type="paragraph" w:customStyle="1" w:styleId="Paragraph">
    <w:name w:val="Paragraph"/>
    <w:rsid w:val="002B123C"/>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rsid w:val="00383273"/>
    <w:pPr>
      <w:spacing w:before="100" w:beforeAutospacing="1" w:after="100" w:afterAutospacing="1"/>
    </w:pPr>
    <w:rPr>
      <w:lang w:val="en-US"/>
    </w:rPr>
  </w:style>
  <w:style w:type="paragraph" w:customStyle="1" w:styleId="PI-1labEMEASMCA">
    <w:name w:val="PI-1_lab EMEA_SMCA"/>
    <w:basedOn w:val="Normal"/>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Footer">
    <w:name w:val="footer"/>
    <w:basedOn w:val="Normal"/>
    <w:link w:val="FooterChar"/>
    <w:uiPriority w:val="99"/>
    <w:rsid w:val="00383273"/>
    <w:pPr>
      <w:tabs>
        <w:tab w:val="center" w:pos="4819"/>
        <w:tab w:val="right" w:pos="9071"/>
      </w:tabs>
    </w:pPr>
    <w:rPr>
      <w:szCs w:val="20"/>
      <w:lang w:val="de-DE" w:eastAsia="de-DE"/>
    </w:rPr>
  </w:style>
  <w:style w:type="character" w:customStyle="1" w:styleId="FooterChar">
    <w:name w:val="Footer Char"/>
    <w:basedOn w:val="DefaultParagraphFont"/>
    <w:link w:val="Footer"/>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uiPriority w:val="99"/>
    <w:semiHidden/>
    <w:rsid w:val="002B123C"/>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Heading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Normal"/>
    <w:autoRedefine/>
    <w:rsid w:val="00383273"/>
    <w:pPr>
      <w:numPr>
        <w:numId w:val="1"/>
      </w:numPr>
      <w:tabs>
        <w:tab w:val="clear" w:pos="720"/>
        <w:tab w:val="num" w:pos="360"/>
      </w:tabs>
      <w:ind w:left="0" w:firstLine="0"/>
    </w:pPr>
  </w:style>
  <w:style w:type="paragraph" w:customStyle="1" w:styleId="PI-3EMEASMCA">
    <w:name w:val="PI-3 EMEA_SMCA"/>
    <w:basedOn w:val="Normal"/>
    <w:autoRedefine/>
    <w:rsid w:val="00383273"/>
    <w:pPr>
      <w:spacing w:line="220" w:lineRule="exact"/>
    </w:pPr>
    <w:rPr>
      <w:b/>
      <w:bCs/>
      <w:sz w:val="22"/>
      <w:szCs w:val="22"/>
    </w:rPr>
  </w:style>
  <w:style w:type="paragraph" w:customStyle="1" w:styleId="BTbEMEASMCA">
    <w:name w:val="BT(b) EMEA_SMCA"/>
    <w:basedOn w:val="Normal"/>
    <w:autoRedefine/>
    <w:rsid w:val="00383273"/>
    <w:rPr>
      <w:b/>
    </w:rPr>
  </w:style>
  <w:style w:type="paragraph" w:customStyle="1" w:styleId="BTbeEMEASMCA">
    <w:name w:val="BT(be) EMEA_SMCA"/>
    <w:basedOn w:val="Normal"/>
    <w:autoRedefine/>
    <w:rsid w:val="00383273"/>
    <w:pPr>
      <w:jc w:val="center"/>
    </w:pPr>
    <w:rPr>
      <w:b/>
    </w:rPr>
  </w:style>
  <w:style w:type="paragraph" w:customStyle="1" w:styleId="BTeEMEASMCA">
    <w:name w:val="BT(e) EMEA_SMCA"/>
    <w:basedOn w:val="Normal"/>
    <w:autoRedefine/>
    <w:rsid w:val="00383273"/>
    <w:pPr>
      <w:jc w:val="center"/>
    </w:pPr>
  </w:style>
  <w:style w:type="paragraph" w:customStyle="1" w:styleId="BTgEMEASMCA">
    <w:name w:val="BT(g) EMEA_SMCA"/>
    <w:basedOn w:val="Normal"/>
    <w:link w:val="BTgEMEASMCAChar"/>
    <w:autoRedefine/>
    <w:rsid w:val="00383273"/>
    <w:rPr>
      <w:i/>
      <w:color w:val="008000"/>
      <w:lang w:val="x-none"/>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Normal"/>
    <w:autoRedefine/>
    <w:rsid w:val="00383273"/>
    <w:rPr>
      <w:u w:val="single"/>
    </w:rPr>
  </w:style>
  <w:style w:type="paragraph" w:styleId="BalloonText">
    <w:name w:val="Balloon Text"/>
    <w:basedOn w:val="Normal"/>
    <w:link w:val="BalloonTextChar"/>
    <w:uiPriority w:val="99"/>
    <w:rsid w:val="00383273"/>
    <w:rPr>
      <w:rFonts w:ascii="Tahoma" w:hAnsi="Tahoma" w:cs="Tahoma"/>
      <w:sz w:val="16"/>
      <w:szCs w:val="16"/>
    </w:rPr>
  </w:style>
  <w:style w:type="character" w:customStyle="1" w:styleId="BalloonTextChar">
    <w:name w:val="Balloon Text Char"/>
    <w:basedOn w:val="DefaultParagraphFont"/>
    <w:link w:val="BalloonText"/>
    <w:uiPriority w:val="99"/>
    <w:rsid w:val="00383273"/>
    <w:rPr>
      <w:rFonts w:ascii="Tahoma" w:eastAsia="Times New Roman" w:hAnsi="Tahoma" w:cs="Tahoma"/>
      <w:sz w:val="16"/>
      <w:szCs w:val="16"/>
      <w:lang w:val="lt-LT"/>
    </w:rPr>
  </w:style>
  <w:style w:type="paragraph" w:styleId="DocumentMap">
    <w:name w:val="Document Map"/>
    <w:basedOn w:val="Normal"/>
    <w:link w:val="DocumentMapChar"/>
    <w:uiPriority w:val="99"/>
    <w:rsid w:val="003832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383273"/>
    <w:rPr>
      <w:rFonts w:ascii="Tahoma" w:eastAsia="Times New Roman" w:hAnsi="Tahoma" w:cs="Tahoma"/>
      <w:sz w:val="20"/>
      <w:szCs w:val="20"/>
      <w:shd w:val="clear" w:color="auto" w:fill="000080"/>
      <w:lang w:val="lt-LT"/>
    </w:rPr>
  </w:style>
  <w:style w:type="character" w:customStyle="1" w:styleId="shorttext">
    <w:name w:val="short_text"/>
    <w:uiPriority w:val="99"/>
    <w:rsid w:val="00383273"/>
  </w:style>
  <w:style w:type="character" w:customStyle="1" w:styleId="hps">
    <w:name w:val="hps"/>
    <w:uiPriority w:val="99"/>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TableGrid">
    <w:name w:val="Table Grid"/>
    <w:basedOn w:val="TableNormal"/>
    <w:uiPriority w:val="59"/>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23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rsid w:val="00383273"/>
    <w:rPr>
      <w:sz w:val="16"/>
      <w:szCs w:val="16"/>
    </w:rPr>
  </w:style>
  <w:style w:type="paragraph" w:styleId="CommentText">
    <w:name w:val="annotation text"/>
    <w:basedOn w:val="Normal"/>
    <w:link w:val="CommentTextChar"/>
    <w:uiPriority w:val="99"/>
    <w:rsid w:val="00383273"/>
    <w:rPr>
      <w:sz w:val="20"/>
      <w:szCs w:val="20"/>
      <w:lang w:val="x-none"/>
    </w:rPr>
  </w:style>
  <w:style w:type="character" w:customStyle="1" w:styleId="CommentTextChar">
    <w:name w:val="Comment Text Char"/>
    <w:basedOn w:val="DefaultParagraphFont"/>
    <w:link w:val="CommentText"/>
    <w:rsid w:val="00383273"/>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383273"/>
    <w:rPr>
      <w:b/>
      <w:bCs/>
    </w:rPr>
  </w:style>
  <w:style w:type="character" w:customStyle="1" w:styleId="CommentSubjectChar">
    <w:name w:val="Comment Subject Char"/>
    <w:basedOn w:val="CommentTextChar"/>
    <w:link w:val="CommentSubject"/>
    <w:uiPriority w:val="99"/>
    <w:rsid w:val="00383273"/>
    <w:rPr>
      <w:rFonts w:ascii="Times New Roman" w:eastAsia="Times New Roman" w:hAnsi="Times New Roman" w:cs="Times New Roman"/>
      <w:b/>
      <w:bCs/>
      <w:sz w:val="20"/>
      <w:szCs w:val="20"/>
      <w:lang w:val="x-none"/>
    </w:rPr>
  </w:style>
  <w:style w:type="paragraph" w:styleId="PlainText">
    <w:name w:val="Plain Text"/>
    <w:basedOn w:val="Normal"/>
    <w:link w:val="PlainTextChar"/>
    <w:uiPriority w:val="99"/>
    <w:unhideWhenUsed/>
    <w:rsid w:val="00383273"/>
    <w:rPr>
      <w:rFonts w:ascii="Calibri" w:eastAsia="Calibri" w:hAnsi="Calibri"/>
      <w:sz w:val="22"/>
      <w:szCs w:val="21"/>
      <w:lang w:val="x-none"/>
    </w:rPr>
  </w:style>
  <w:style w:type="character" w:customStyle="1" w:styleId="PlainTextChar">
    <w:name w:val="Plain Text Char"/>
    <w:basedOn w:val="DefaultParagraphFont"/>
    <w:link w:val="PlainText"/>
    <w:uiPriority w:val="99"/>
    <w:rsid w:val="00383273"/>
    <w:rPr>
      <w:rFonts w:ascii="Calibri" w:eastAsia="Calibri" w:hAnsi="Calibri" w:cs="Times New Roman"/>
      <w:szCs w:val="21"/>
      <w:lang w:val="x-none"/>
    </w:rPr>
  </w:style>
  <w:style w:type="character" w:styleId="Emphasis">
    <w:name w:val="Emphasis"/>
    <w:uiPriority w:val="99"/>
    <w:qFormat/>
    <w:rsid w:val="00383273"/>
    <w:rPr>
      <w:i/>
      <w:iCs/>
    </w:rPr>
  </w:style>
  <w:style w:type="paragraph" w:customStyle="1" w:styleId="CM21">
    <w:name w:val="CM21"/>
    <w:basedOn w:val="Normal"/>
    <w:next w:val="Normal"/>
    <w:uiPriority w:val="99"/>
    <w:rsid w:val="00383273"/>
    <w:pPr>
      <w:widowControl w:val="0"/>
      <w:autoSpaceDE w:val="0"/>
      <w:autoSpaceDN w:val="0"/>
      <w:adjustRightInd w:val="0"/>
    </w:pPr>
    <w:rPr>
      <w:lang w:val="de-DE" w:eastAsia="de-DE"/>
    </w:rPr>
  </w:style>
  <w:style w:type="paragraph" w:customStyle="1" w:styleId="EMEAEnBodyText">
    <w:name w:val="EMEA En Body Text"/>
    <w:basedOn w:val="Normal"/>
    <w:uiPriority w:val="99"/>
    <w:rsid w:val="00383273"/>
    <w:pPr>
      <w:spacing w:before="120" w:after="120"/>
      <w:jc w:val="both"/>
    </w:pPr>
    <w:rPr>
      <w:sz w:val="22"/>
      <w:szCs w:val="20"/>
      <w:lang w:val="en-US"/>
    </w:rPr>
  </w:style>
  <w:style w:type="paragraph" w:styleId="BodyText2">
    <w:name w:val="Body Text 2"/>
    <w:basedOn w:val="Normal"/>
    <w:link w:val="BodyText2Char"/>
    <w:uiPriority w:val="99"/>
    <w:rsid w:val="00383273"/>
    <w:pPr>
      <w:numPr>
        <w:ilvl w:val="12"/>
      </w:numPr>
      <w:ind w:right="-2"/>
    </w:pPr>
    <w:rPr>
      <w:b/>
      <w:bCs/>
      <w:sz w:val="22"/>
      <w:szCs w:val="20"/>
    </w:rPr>
  </w:style>
  <w:style w:type="character" w:customStyle="1" w:styleId="BodyText2Char">
    <w:name w:val="Body Text 2 Char"/>
    <w:basedOn w:val="DefaultParagraphFont"/>
    <w:link w:val="BodyText2"/>
    <w:uiPriority w:val="99"/>
    <w:rsid w:val="00383273"/>
    <w:rPr>
      <w:rFonts w:ascii="Times New Roman" w:eastAsia="Times New Roman" w:hAnsi="Times New Roman" w:cs="Times New Roman"/>
      <w:b/>
      <w:bCs/>
      <w:szCs w:val="20"/>
      <w:lang w:val="lt-LT"/>
    </w:rPr>
  </w:style>
  <w:style w:type="paragraph" w:styleId="BodyText">
    <w:name w:val="Body Text"/>
    <w:basedOn w:val="Normal"/>
    <w:link w:val="BodyTextChar"/>
    <w:uiPriority w:val="99"/>
    <w:rsid w:val="00383273"/>
    <w:rPr>
      <w:i/>
      <w:color w:val="008000"/>
      <w:sz w:val="22"/>
      <w:szCs w:val="20"/>
      <w:lang w:val="en-GB"/>
    </w:rPr>
  </w:style>
  <w:style w:type="character" w:customStyle="1" w:styleId="BodyTextChar">
    <w:name w:val="Body Text Char"/>
    <w:basedOn w:val="DefaultParagraphFont"/>
    <w:link w:val="BodyText"/>
    <w:uiPriority w:val="99"/>
    <w:rsid w:val="00383273"/>
    <w:rPr>
      <w:rFonts w:ascii="Times New Roman" w:eastAsia="Times New Roman" w:hAnsi="Times New Roman" w:cs="Times New Roman"/>
      <w:i/>
      <w:color w:val="008000"/>
      <w:szCs w:val="20"/>
      <w:lang w:val="en-GB"/>
    </w:rPr>
  </w:style>
  <w:style w:type="paragraph" w:styleId="Subtitle">
    <w:name w:val="Subtitle"/>
    <w:basedOn w:val="Normal"/>
    <w:link w:val="SubtitleChar"/>
    <w:qFormat/>
    <w:rsid w:val="00383273"/>
    <w:pPr>
      <w:shd w:val="clear" w:color="auto" w:fill="FFFFFF"/>
      <w:spacing w:before="10"/>
      <w:ind w:left="5"/>
      <w:jc w:val="center"/>
    </w:pPr>
    <w:rPr>
      <w:b/>
      <w:bCs/>
      <w:color w:val="000000"/>
      <w:spacing w:val="-3"/>
      <w:szCs w:val="16"/>
      <w:lang w:val="en-US"/>
    </w:rPr>
  </w:style>
  <w:style w:type="character" w:customStyle="1" w:styleId="SubtitleChar">
    <w:name w:val="Subtitle Char"/>
    <w:basedOn w:val="DefaultParagraphFont"/>
    <w:link w:val="Subtitle"/>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Normal"/>
    <w:link w:val="BTEMEASMCAChar"/>
    <w:autoRedefine/>
    <w:uiPriority w:val="99"/>
    <w:rsid w:val="002B123C"/>
    <w:rPr>
      <w:rFonts w:asciiTheme="minorHAnsi" w:eastAsiaTheme="minorHAnsi" w:hAnsiTheme="minorHAnsi" w:cstheme="minorBidi"/>
      <w:noProof/>
      <w:sz w:val="22"/>
      <w:szCs w:val="22"/>
      <w:lang w:val="en-US"/>
    </w:rPr>
  </w:style>
  <w:style w:type="paragraph" w:customStyle="1" w:styleId="WW-Default">
    <w:name w:val="WW-Default"/>
    <w:rsid w:val="002B12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Heading2"/>
    <w:link w:val="PI-1EMEASMCAChar"/>
    <w:autoRedefine/>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2B123C"/>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Normal"/>
    <w:qFormat/>
    <w:rsid w:val="00383273"/>
    <w:pPr>
      <w:suppressAutoHyphens/>
      <w:ind w:left="720"/>
      <w:contextualSpacing/>
    </w:pPr>
    <w:rPr>
      <w:rFonts w:eastAsia="Calibri"/>
      <w:kern w:val="1"/>
    </w:rPr>
  </w:style>
  <w:style w:type="paragraph" w:customStyle="1" w:styleId="PI-2EMEASMCA">
    <w:name w:val="PI-2 EMEA_SMCA"/>
    <w:basedOn w:val="Heading3"/>
    <w:autoRedefine/>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NormalIndent">
    <w:name w:val="Normal Indent"/>
    <w:basedOn w:val="Normal"/>
    <w:uiPriority w:val="99"/>
    <w:rsid w:val="00383273"/>
    <w:pPr>
      <w:spacing w:after="120"/>
      <w:ind w:left="720"/>
    </w:pPr>
    <w:rPr>
      <w:sz w:val="22"/>
      <w:szCs w:val="20"/>
      <w:lang w:val="en-GB" w:eastAsia="en-GB"/>
    </w:rPr>
  </w:style>
  <w:style w:type="paragraph" w:customStyle="1" w:styleId="ListParagraph1">
    <w:name w:val="List Paragraph1"/>
    <w:basedOn w:val="Normal"/>
    <w:uiPriority w:val="99"/>
    <w:rsid w:val="00383273"/>
    <w:pPr>
      <w:ind w:left="720"/>
    </w:pPr>
  </w:style>
  <w:style w:type="paragraph" w:styleId="BodyTextIndent">
    <w:name w:val="Body Text Indent"/>
    <w:basedOn w:val="Normal"/>
    <w:link w:val="BodyTextIndentChar"/>
    <w:uiPriority w:val="99"/>
    <w:rsid w:val="00383273"/>
    <w:pPr>
      <w:spacing w:after="120"/>
      <w:ind w:left="283"/>
    </w:pPr>
  </w:style>
  <w:style w:type="character" w:customStyle="1" w:styleId="BodyTextIndentChar">
    <w:name w:val="Body Text Indent Char"/>
    <w:basedOn w:val="DefaultParagraphFont"/>
    <w:link w:val="BodyTextIndent"/>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BodyText3">
    <w:name w:val="Body Text 3"/>
    <w:basedOn w:val="Normal"/>
    <w:link w:val="BodyText3Char"/>
    <w:uiPriority w:val="99"/>
    <w:rsid w:val="00383273"/>
    <w:pPr>
      <w:spacing w:after="120"/>
    </w:pPr>
    <w:rPr>
      <w:sz w:val="16"/>
      <w:szCs w:val="16"/>
    </w:rPr>
  </w:style>
  <w:style w:type="character" w:customStyle="1" w:styleId="BodyText3Char">
    <w:name w:val="Body Text 3 Char"/>
    <w:basedOn w:val="DefaultParagraphFont"/>
    <w:link w:val="BodyText3"/>
    <w:uiPriority w:val="99"/>
    <w:rsid w:val="00383273"/>
    <w:rPr>
      <w:rFonts w:ascii="Times New Roman" w:eastAsia="Times New Roman" w:hAnsi="Times New Roman" w:cs="Times New Roman"/>
      <w:sz w:val="16"/>
      <w:szCs w:val="16"/>
      <w:lang w:val="lt-LT"/>
    </w:rPr>
  </w:style>
  <w:style w:type="paragraph" w:styleId="Revision">
    <w:name w:val="Revision"/>
    <w:hidden/>
    <w:uiPriority w:val="99"/>
    <w:semiHidden/>
    <w:rsid w:val="002B123C"/>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ListParagraph">
    <w:name w:val="List Paragraph"/>
    <w:basedOn w:val="Normal"/>
    <w:uiPriority w:val="34"/>
    <w:qFormat/>
    <w:rsid w:val="00383273"/>
    <w:pPr>
      <w:ind w:left="720"/>
    </w:pPr>
    <w:rPr>
      <w:lang w:val="et-EE" w:eastAsia="et-EE"/>
    </w:rPr>
  </w:style>
  <w:style w:type="character" w:styleId="PageNumber">
    <w:name w:val="page number"/>
    <w:uiPriority w:val="99"/>
    <w:rsid w:val="00BC51DA"/>
  </w:style>
  <w:style w:type="paragraph" w:customStyle="1" w:styleId="Text">
    <w:name w:val="Text"/>
    <w:basedOn w:val="Normal"/>
    <w:rsid w:val="002B123C"/>
    <w:pPr>
      <w:spacing w:line="360" w:lineRule="atLeast"/>
      <w:jc w:val="both"/>
    </w:pPr>
    <w:rPr>
      <w:rFonts w:ascii="Arial" w:hAnsi="Arial"/>
      <w:szCs w:val="20"/>
      <w:lang w:val="en-GB"/>
    </w:rPr>
  </w:style>
  <w:style w:type="paragraph" w:customStyle="1" w:styleId="BTAnIIEMEASMCA">
    <w:name w:val="BT(AnII) EMEA_SMCA"/>
    <w:basedOn w:val="BalloonText"/>
    <w:autoRedefine/>
    <w:rsid w:val="002B123C"/>
    <w:pPr>
      <w:tabs>
        <w:tab w:val="left" w:pos="1701"/>
      </w:tabs>
      <w:ind w:left="1701" w:hanging="567"/>
    </w:pPr>
    <w:rPr>
      <w:rFonts w:ascii="Times New Roman" w:hAnsi="Times New Roman"/>
      <w:b/>
      <w:sz w:val="22"/>
      <w:szCs w:val="22"/>
      <w:lang w:val="en-GB"/>
    </w:rPr>
  </w:style>
  <w:style w:type="paragraph" w:customStyle="1" w:styleId="Index">
    <w:name w:val="Index"/>
    <w:basedOn w:val="Normal"/>
    <w:rsid w:val="00BC51DA"/>
    <w:pPr>
      <w:suppressLineNumbers/>
      <w:suppressAutoHyphens/>
    </w:pPr>
    <w:rPr>
      <w:rFonts w:cs="Tahoma"/>
      <w:lang w:val="en-US" w:eastAsia="ar-SA"/>
    </w:rPr>
  </w:style>
  <w:style w:type="character" w:customStyle="1" w:styleId="Heading5Char">
    <w:name w:val="Heading 5 Char"/>
    <w:basedOn w:val="DefaultParagraphFont"/>
    <w:uiPriority w:val="99"/>
    <w:rsid w:val="002B123C"/>
    <w:rPr>
      <w:rFonts w:asciiTheme="majorHAnsi" w:eastAsiaTheme="majorEastAsia" w:hAnsiTheme="majorHAnsi" w:cstheme="majorBidi"/>
      <w:color w:val="2F5496" w:themeColor="accent1" w:themeShade="BF"/>
      <w:sz w:val="24"/>
      <w:szCs w:val="24"/>
      <w:lang w:val="lt-LT"/>
    </w:rPr>
  </w:style>
  <w:style w:type="character" w:customStyle="1" w:styleId="Heading6Char">
    <w:name w:val="Heading 6 Char"/>
    <w:basedOn w:val="DefaultParagraphFont"/>
    <w:uiPriority w:val="99"/>
    <w:rsid w:val="002B123C"/>
    <w:rPr>
      <w:rFonts w:asciiTheme="majorHAnsi" w:eastAsiaTheme="majorEastAsia" w:hAnsiTheme="majorHAnsi" w:cstheme="majorBidi"/>
      <w:color w:val="1F3763" w:themeColor="accent1" w:themeShade="7F"/>
      <w:sz w:val="24"/>
      <w:szCs w:val="24"/>
      <w:lang w:val="lt-LT"/>
    </w:rPr>
  </w:style>
  <w:style w:type="character" w:customStyle="1" w:styleId="Heading7Char">
    <w:name w:val="Heading 7 Char"/>
    <w:basedOn w:val="DefaultParagraphFont"/>
    <w:uiPriority w:val="99"/>
    <w:rsid w:val="002B123C"/>
    <w:rPr>
      <w:rFonts w:asciiTheme="majorHAnsi" w:eastAsiaTheme="majorEastAsia" w:hAnsiTheme="majorHAnsi" w:cstheme="majorBidi"/>
      <w:i/>
      <w:iCs/>
      <w:color w:val="1F3763" w:themeColor="accent1" w:themeShade="7F"/>
      <w:sz w:val="24"/>
      <w:szCs w:val="24"/>
      <w:lang w:val="lt-LT"/>
    </w:rPr>
  </w:style>
  <w:style w:type="character" w:customStyle="1" w:styleId="Heading8Char">
    <w:name w:val="Heading 8 Char"/>
    <w:basedOn w:val="DefaultParagraphFont"/>
    <w:uiPriority w:val="99"/>
    <w:rsid w:val="002B123C"/>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uiPriority w:val="99"/>
    <w:rsid w:val="002B123C"/>
    <w:rPr>
      <w:rFonts w:asciiTheme="majorHAnsi" w:eastAsiaTheme="majorEastAsia" w:hAnsiTheme="majorHAnsi" w:cstheme="majorBidi"/>
      <w:i/>
      <w:iCs/>
      <w:color w:val="272727" w:themeColor="text1" w:themeTint="D8"/>
      <w:sz w:val="21"/>
      <w:szCs w:val="21"/>
      <w:lang w:val="lt-LT"/>
    </w:rPr>
  </w:style>
  <w:style w:type="paragraph" w:customStyle="1" w:styleId="MemoHeaderStyle">
    <w:name w:val="MemoHeaderStyle"/>
    <w:basedOn w:val="Normal"/>
    <w:next w:val="Normal"/>
    <w:rsid w:val="00091B58"/>
    <w:pPr>
      <w:tabs>
        <w:tab w:val="left" w:pos="567"/>
      </w:tabs>
      <w:spacing w:line="120" w:lineRule="atLeast"/>
      <w:ind w:left="1418"/>
      <w:jc w:val="both"/>
    </w:pPr>
    <w:rPr>
      <w:rFonts w:ascii="Arial" w:hAnsi="Arial"/>
      <w:b/>
      <w:smallCaps/>
      <w:sz w:val="22"/>
      <w:szCs w:val="20"/>
      <w:lang w:eastAsia="lt-LT" w:bidi="lt-LT"/>
    </w:rPr>
  </w:style>
  <w:style w:type="paragraph" w:customStyle="1" w:styleId="BodytextAgency">
    <w:name w:val="Body text (Agency)"/>
    <w:basedOn w:val="Normal"/>
    <w:link w:val="BodytextAgencyChar"/>
    <w:uiPriority w:val="99"/>
    <w:rsid w:val="00091B58"/>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uiPriority w:val="99"/>
    <w:rsid w:val="00091B58"/>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091B58"/>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091B5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uiPriority w:val="99"/>
    <w:rsid w:val="002B123C"/>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sid w:val="00091B5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091B58"/>
    <w:pPr>
      <w:keepNext/>
    </w:pPr>
    <w:rPr>
      <w:rFonts w:eastAsia="Times New Roman"/>
      <w:b/>
    </w:rPr>
  </w:style>
  <w:style w:type="paragraph" w:customStyle="1" w:styleId="TabletextrowsAgency">
    <w:name w:val="Table text rows (Agency)"/>
    <w:basedOn w:val="Normal"/>
    <w:uiPriority w:val="99"/>
    <w:rsid w:val="00091B58"/>
    <w:pPr>
      <w:spacing w:line="280" w:lineRule="exact"/>
    </w:pPr>
    <w:rPr>
      <w:rFonts w:ascii="Verdana" w:hAnsi="Verdana" w:cs="Verdana"/>
      <w:sz w:val="18"/>
      <w:szCs w:val="18"/>
      <w:lang w:eastAsia="lt-LT" w:bidi="lt-LT"/>
    </w:rPr>
  </w:style>
  <w:style w:type="character" w:customStyle="1" w:styleId="NormalAgencyChar">
    <w:name w:val="Normal (Agency) Char"/>
    <w:link w:val="NormalAgency"/>
    <w:uiPriority w:val="99"/>
    <w:rsid w:val="00091B58"/>
    <w:rPr>
      <w:rFonts w:ascii="Verdana" w:eastAsia="Verdana" w:hAnsi="Verdana" w:cs="Verdana"/>
      <w:sz w:val="18"/>
      <w:szCs w:val="18"/>
      <w:lang w:val="lt-LT" w:eastAsia="lt-LT" w:bidi="lt-LT"/>
    </w:rPr>
  </w:style>
  <w:style w:type="character" w:customStyle="1" w:styleId="CommentTextChar1">
    <w:name w:val="Comment Text Char1"/>
    <w:uiPriority w:val="99"/>
    <w:rsid w:val="00091B58"/>
    <w:rPr>
      <w:rFonts w:eastAsia="Times New Roman"/>
      <w:lang w:eastAsia="lt-LT"/>
    </w:rPr>
  </w:style>
  <w:style w:type="character" w:customStyle="1" w:styleId="CommentSubjectChar1">
    <w:name w:val="Comment Subject Char1"/>
    <w:uiPriority w:val="99"/>
    <w:rsid w:val="00091B58"/>
    <w:rPr>
      <w:rFonts w:eastAsia="Times New Roman"/>
      <w:b/>
      <w:bCs/>
      <w:lang w:eastAsia="lt-LT"/>
    </w:rPr>
  </w:style>
  <w:style w:type="character" w:customStyle="1" w:styleId="DoNotTranslateExternal1">
    <w:name w:val="DoNotTranslateExternal1"/>
    <w:qFormat/>
    <w:rsid w:val="00091B58"/>
    <w:rPr>
      <w:b/>
      <w:noProof/>
      <w:szCs w:val="22"/>
    </w:rPr>
  </w:style>
  <w:style w:type="character" w:customStyle="1" w:styleId="Heading1Char2">
    <w:name w:val="Heading 1 Char2"/>
    <w:uiPriority w:val="99"/>
    <w:rsid w:val="00091B58"/>
    <w:rPr>
      <w:rFonts w:ascii="Arial" w:eastAsia="Times New Roman" w:hAnsi="Arial"/>
      <w:b/>
      <w:sz w:val="28"/>
      <w:lang w:val="en-AU" w:eastAsia="en-AU" w:bidi="ar-SA"/>
    </w:rPr>
  </w:style>
  <w:style w:type="character" w:customStyle="1" w:styleId="Heading3Char1">
    <w:name w:val="Heading 3 Char1"/>
    <w:uiPriority w:val="99"/>
    <w:rsid w:val="00091B58"/>
    <w:rPr>
      <w:rFonts w:eastAsia="Times New Roman"/>
      <w:b/>
      <w:kern w:val="28"/>
      <w:sz w:val="24"/>
      <w:lang w:val="en-US" w:eastAsia="en-US" w:bidi="ar-SA"/>
    </w:rPr>
  </w:style>
  <w:style w:type="character" w:customStyle="1" w:styleId="Heading4Char1">
    <w:name w:val="Heading 4 Char1"/>
    <w:uiPriority w:val="99"/>
    <w:rsid w:val="00091B58"/>
    <w:rPr>
      <w:rFonts w:eastAsia="Times New Roman"/>
      <w:b/>
      <w:noProof/>
      <w:sz w:val="22"/>
      <w:lang w:val="en-GB" w:eastAsia="en-US" w:bidi="ar-SA"/>
    </w:rPr>
  </w:style>
  <w:style w:type="character" w:customStyle="1" w:styleId="Heading5Char1">
    <w:name w:val="Heading 5 Char1"/>
    <w:link w:val="Heading5"/>
    <w:uiPriority w:val="99"/>
    <w:rsid w:val="00091B58"/>
    <w:rPr>
      <w:rFonts w:ascii="Times New Roman" w:eastAsia="Times New Roman" w:hAnsi="Times New Roman" w:cs="Times New Roman"/>
      <w:noProof/>
      <w:szCs w:val="20"/>
      <w:lang w:val="en-GB"/>
    </w:rPr>
  </w:style>
  <w:style w:type="character" w:customStyle="1" w:styleId="Heading6Char1">
    <w:name w:val="Heading 6 Char1"/>
    <w:link w:val="Heading6"/>
    <w:uiPriority w:val="99"/>
    <w:rsid w:val="00091B58"/>
    <w:rPr>
      <w:rFonts w:ascii="Times New Roman" w:eastAsia="Times New Roman" w:hAnsi="Times New Roman" w:cs="Times New Roman"/>
      <w:i/>
      <w:szCs w:val="20"/>
      <w:lang w:val="en-GB"/>
    </w:rPr>
  </w:style>
  <w:style w:type="character" w:customStyle="1" w:styleId="Heading7Char1">
    <w:name w:val="Heading 7 Char1"/>
    <w:link w:val="Heading7"/>
    <w:uiPriority w:val="99"/>
    <w:rsid w:val="00091B58"/>
    <w:rPr>
      <w:rFonts w:ascii="Times New Roman" w:eastAsia="Times New Roman" w:hAnsi="Times New Roman" w:cs="Times New Roman"/>
      <w:i/>
      <w:szCs w:val="20"/>
      <w:lang w:val="en-GB"/>
    </w:rPr>
  </w:style>
  <w:style w:type="character" w:customStyle="1" w:styleId="Heading8Char1">
    <w:name w:val="Heading 8 Char1"/>
    <w:link w:val="Heading8"/>
    <w:uiPriority w:val="99"/>
    <w:rsid w:val="00091B58"/>
    <w:rPr>
      <w:rFonts w:ascii="Cambria" w:eastAsia="Times New Roman" w:hAnsi="Cambria" w:cs="Times New Roman"/>
      <w:color w:val="404040"/>
      <w:sz w:val="20"/>
      <w:szCs w:val="20"/>
      <w:lang w:val="en-AU" w:eastAsia="en-AU"/>
    </w:rPr>
  </w:style>
  <w:style w:type="character" w:customStyle="1" w:styleId="Heading9Char1">
    <w:name w:val="Heading 9 Char1"/>
    <w:link w:val="Heading9"/>
    <w:uiPriority w:val="99"/>
    <w:rsid w:val="00091B58"/>
    <w:rPr>
      <w:rFonts w:ascii="Times New Roman" w:eastAsia="Times New Roman" w:hAnsi="Times New Roman" w:cs="Times New Roman"/>
      <w:b/>
      <w:i/>
      <w:szCs w:val="20"/>
      <w:lang w:val="en-GB"/>
    </w:rPr>
  </w:style>
  <w:style w:type="numbering" w:customStyle="1" w:styleId="Sraonra1">
    <w:name w:val="Sąrašo nėra1"/>
    <w:next w:val="NoList"/>
    <w:uiPriority w:val="99"/>
    <w:semiHidden/>
    <w:unhideWhenUsed/>
    <w:rsid w:val="00091B58"/>
  </w:style>
  <w:style w:type="numbering" w:customStyle="1" w:styleId="NoList1">
    <w:name w:val="No List1"/>
    <w:next w:val="NoList"/>
    <w:uiPriority w:val="99"/>
    <w:semiHidden/>
    <w:unhideWhenUsed/>
    <w:rsid w:val="00091B58"/>
  </w:style>
  <w:style w:type="character" w:styleId="Strong">
    <w:name w:val="Strong"/>
    <w:uiPriority w:val="99"/>
    <w:qFormat/>
    <w:rsid w:val="00091B58"/>
    <w:rPr>
      <w:b/>
      <w:bCs/>
    </w:rPr>
  </w:style>
  <w:style w:type="paragraph" w:customStyle="1" w:styleId="spacednormal">
    <w:name w:val="spaced normal"/>
    <w:basedOn w:val="Normal"/>
    <w:link w:val="spacednormalChar"/>
    <w:qFormat/>
    <w:rsid w:val="00091B58"/>
    <w:pPr>
      <w:spacing w:before="60" w:after="60"/>
      <w:ind w:left="567" w:right="567"/>
      <w:jc w:val="both"/>
    </w:pPr>
    <w:rPr>
      <w:rFonts w:ascii="Arial" w:hAnsi="Arial"/>
      <w:bCs/>
      <w:sz w:val="20"/>
      <w:szCs w:val="20"/>
      <w:lang w:val="en-AU" w:eastAsia="en-AU"/>
    </w:rPr>
  </w:style>
  <w:style w:type="character" w:customStyle="1" w:styleId="spacednormalChar">
    <w:name w:val="spaced normal Char"/>
    <w:link w:val="spacednormal"/>
    <w:rsid w:val="00091B58"/>
    <w:rPr>
      <w:rFonts w:ascii="Arial" w:eastAsia="Times New Roman" w:hAnsi="Arial" w:cs="Times New Roman"/>
      <w:bCs/>
      <w:sz w:val="20"/>
      <w:szCs w:val="20"/>
      <w:lang w:val="en-AU" w:eastAsia="en-AU"/>
    </w:rPr>
  </w:style>
  <w:style w:type="character" w:customStyle="1" w:styleId="Heading1NumberedChar">
    <w:name w:val="Heading 1 Numbered Char"/>
    <w:qFormat/>
    <w:rsid w:val="00091B58"/>
    <w:rPr>
      <w:rFonts w:ascii="Arial" w:hAnsi="Arial"/>
      <w:b/>
      <w:noProof w:val="0"/>
      <w:sz w:val="28"/>
      <w:lang w:val="en-AU" w:eastAsia="en-AU" w:bidi="ar-SA"/>
    </w:rPr>
  </w:style>
  <w:style w:type="paragraph" w:customStyle="1" w:styleId="Heading2Numbered">
    <w:name w:val="Heading 2 Numbered"/>
    <w:basedOn w:val="Normal"/>
    <w:next w:val="Normal"/>
    <w:link w:val="Heading2NumberedChar2"/>
    <w:qFormat/>
    <w:rsid w:val="00091B58"/>
    <w:pPr>
      <w:numPr>
        <w:ilvl w:val="1"/>
        <w:numId w:val="14"/>
      </w:numPr>
      <w:tabs>
        <w:tab w:val="clear" w:pos="6663"/>
        <w:tab w:val="num" w:pos="1440"/>
      </w:tabs>
      <w:spacing w:before="240" w:after="120"/>
      <w:ind w:left="1440" w:hanging="360"/>
      <w:outlineLvl w:val="1"/>
    </w:pPr>
    <w:rPr>
      <w:rFonts w:ascii="Arial" w:hAnsi="Arial"/>
      <w:b/>
      <w:sz w:val="28"/>
      <w:szCs w:val="20"/>
      <w:lang w:val="en-AU" w:eastAsia="en-AU"/>
    </w:rPr>
  </w:style>
  <w:style w:type="character" w:customStyle="1" w:styleId="Heading2NumberedChar2">
    <w:name w:val="Heading 2 Numbered Char2"/>
    <w:link w:val="Heading2Numbered"/>
    <w:rsid w:val="00091B58"/>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091B58"/>
    <w:pPr>
      <w:numPr>
        <w:ilvl w:val="2"/>
      </w:numPr>
      <w:tabs>
        <w:tab w:val="clear" w:pos="1146"/>
        <w:tab w:val="num" w:pos="360"/>
        <w:tab w:val="left" w:pos="578"/>
        <w:tab w:val="num" w:pos="1080"/>
        <w:tab w:val="num" w:pos="2160"/>
      </w:tabs>
      <w:ind w:left="360" w:hanging="360"/>
    </w:pPr>
  </w:style>
  <w:style w:type="numbering" w:customStyle="1" w:styleId="NoList11">
    <w:name w:val="No List11"/>
    <w:next w:val="NoList"/>
    <w:uiPriority w:val="99"/>
    <w:semiHidden/>
    <w:unhideWhenUsed/>
    <w:rsid w:val="00091B58"/>
  </w:style>
  <w:style w:type="character" w:customStyle="1" w:styleId="HeaderChar2">
    <w:name w:val="Header Char2"/>
    <w:uiPriority w:val="99"/>
    <w:rsid w:val="00091B58"/>
    <w:rPr>
      <w:rFonts w:ascii="Arial" w:eastAsia="Times New Roman" w:hAnsi="Arial"/>
    </w:rPr>
  </w:style>
  <w:style w:type="character" w:customStyle="1" w:styleId="FooterChar1">
    <w:name w:val="Footer Char1"/>
    <w:uiPriority w:val="99"/>
    <w:rsid w:val="00091B58"/>
    <w:rPr>
      <w:rFonts w:ascii="Arial" w:eastAsia="Times New Roman" w:hAnsi="Arial"/>
      <w:noProof/>
      <w:sz w:val="16"/>
    </w:rPr>
  </w:style>
  <w:style w:type="character" w:customStyle="1" w:styleId="BodyTextChar1">
    <w:name w:val="Body Text Char1"/>
    <w:uiPriority w:val="99"/>
    <w:rsid w:val="00091B58"/>
    <w:rPr>
      <w:rFonts w:eastAsia="Times New Roman"/>
      <w:i/>
      <w:color w:val="008000"/>
      <w:sz w:val="22"/>
    </w:rPr>
  </w:style>
  <w:style w:type="paragraph" w:customStyle="1" w:styleId="AHeader2abc">
    <w:name w:val="AHeader 2 abc"/>
    <w:basedOn w:val="AHeader3"/>
    <w:uiPriority w:val="99"/>
    <w:rsid w:val="00091B58"/>
    <w:pPr>
      <w:jc w:val="both"/>
    </w:pPr>
    <w:rPr>
      <w:b w:val="0"/>
      <w:bCs w:val="0"/>
    </w:rPr>
  </w:style>
  <w:style w:type="paragraph" w:customStyle="1" w:styleId="AHeader3">
    <w:name w:val="AHeader 3"/>
    <w:basedOn w:val="AHeader2"/>
    <w:uiPriority w:val="99"/>
    <w:rsid w:val="00091B58"/>
    <w:pPr>
      <w:ind w:left="1276" w:hanging="567"/>
    </w:pPr>
  </w:style>
  <w:style w:type="paragraph" w:customStyle="1" w:styleId="AHeader2">
    <w:name w:val="AHeader 2"/>
    <w:basedOn w:val="AHeader1"/>
    <w:uiPriority w:val="99"/>
    <w:rsid w:val="00091B58"/>
    <w:pPr>
      <w:tabs>
        <w:tab w:val="clear" w:pos="720"/>
        <w:tab w:val="num" w:pos="360"/>
      </w:tabs>
      <w:ind w:left="709" w:hanging="425"/>
    </w:pPr>
    <w:rPr>
      <w:sz w:val="22"/>
    </w:rPr>
  </w:style>
  <w:style w:type="paragraph" w:customStyle="1" w:styleId="AHeader1">
    <w:name w:val="AHeader 1"/>
    <w:basedOn w:val="Normal"/>
    <w:uiPriority w:val="99"/>
    <w:rsid w:val="00091B58"/>
    <w:pPr>
      <w:tabs>
        <w:tab w:val="num" w:pos="720"/>
      </w:tabs>
      <w:spacing w:after="120"/>
      <w:ind w:left="284" w:hanging="284"/>
    </w:pPr>
    <w:rPr>
      <w:rFonts w:ascii="Arial" w:hAnsi="Arial" w:cs="Arial"/>
      <w:b/>
      <w:bCs/>
      <w:szCs w:val="20"/>
      <w:lang w:val="en-GB"/>
    </w:rPr>
  </w:style>
  <w:style w:type="paragraph" w:customStyle="1" w:styleId="AHeader3abc">
    <w:name w:val="AHeader 3 abc"/>
    <w:basedOn w:val="AHeader2abc"/>
    <w:uiPriority w:val="99"/>
    <w:rsid w:val="00091B58"/>
    <w:pPr>
      <w:numPr>
        <w:ilvl w:val="1"/>
      </w:numPr>
      <w:tabs>
        <w:tab w:val="num" w:pos="360"/>
      </w:tabs>
      <w:ind w:left="1701" w:hanging="567"/>
    </w:pPr>
  </w:style>
  <w:style w:type="paragraph" w:styleId="BodyTextIndent3">
    <w:name w:val="Body Text Indent 3"/>
    <w:basedOn w:val="Normal"/>
    <w:link w:val="BodyTextIndent3Char"/>
    <w:uiPriority w:val="99"/>
    <w:rsid w:val="00091B58"/>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BodyTextIndent3Char">
    <w:name w:val="Body Text Indent 3 Char"/>
    <w:basedOn w:val="DefaultParagraphFont"/>
    <w:link w:val="BodyTextIndent3"/>
    <w:uiPriority w:val="99"/>
    <w:rsid w:val="00091B58"/>
    <w:rPr>
      <w:rFonts w:ascii="Times New Roman" w:eastAsia="Times New Roman" w:hAnsi="Times New Roman" w:cs="Times New Roman"/>
      <w:szCs w:val="21"/>
      <w:lang w:val="en-GB"/>
    </w:rPr>
  </w:style>
  <w:style w:type="character" w:styleId="FollowedHyperlink">
    <w:name w:val="FollowedHyperlink"/>
    <w:uiPriority w:val="99"/>
    <w:rsid w:val="00091B58"/>
    <w:rPr>
      <w:color w:val="800080"/>
      <w:u w:val="single"/>
    </w:rPr>
  </w:style>
  <w:style w:type="character" w:customStyle="1" w:styleId="BalloonTextChar1">
    <w:name w:val="Balloon Text Char1"/>
    <w:uiPriority w:val="99"/>
    <w:rsid w:val="00091B58"/>
    <w:rPr>
      <w:rFonts w:ascii="Tahoma" w:eastAsia="Times New Roman" w:hAnsi="Tahoma" w:cs="Tahoma"/>
      <w:sz w:val="16"/>
      <w:szCs w:val="16"/>
    </w:rPr>
  </w:style>
  <w:style w:type="paragraph" w:customStyle="1" w:styleId="listbull">
    <w:name w:val="list:bull"/>
    <w:basedOn w:val="Normal"/>
    <w:link w:val="listbullChar"/>
    <w:rsid w:val="00091B58"/>
    <w:pPr>
      <w:tabs>
        <w:tab w:val="num" w:pos="432"/>
      </w:tabs>
      <w:spacing w:after="120"/>
      <w:ind w:left="432" w:hanging="432"/>
    </w:pPr>
    <w:rPr>
      <w:lang w:val="en-GB" w:eastAsia="x-none"/>
    </w:rPr>
  </w:style>
  <w:style w:type="character" w:customStyle="1" w:styleId="listbullChar">
    <w:name w:val="list:bull Char"/>
    <w:link w:val="listbull"/>
    <w:rsid w:val="00091B58"/>
    <w:rPr>
      <w:rFonts w:ascii="Times New Roman" w:eastAsia="Times New Roman" w:hAnsi="Times New Roman" w:cs="Times New Roman"/>
      <w:sz w:val="24"/>
      <w:szCs w:val="24"/>
      <w:lang w:val="en-GB" w:eastAsia="x-none"/>
    </w:rPr>
  </w:style>
  <w:style w:type="paragraph" w:customStyle="1" w:styleId="listssp">
    <w:name w:val="list:ssp"/>
    <w:basedOn w:val="Normal"/>
    <w:rsid w:val="00091B58"/>
    <w:rPr>
      <w:szCs w:val="20"/>
      <w:lang w:val="en-GB"/>
    </w:rPr>
  </w:style>
  <w:style w:type="character" w:customStyle="1" w:styleId="CharChar2">
    <w:name w:val="Char Char2"/>
    <w:rsid w:val="00091B58"/>
    <w:rPr>
      <w:i/>
      <w:color w:val="008000"/>
      <w:sz w:val="22"/>
      <w:lang w:val="en-GB" w:eastAsia="en-US" w:bidi="ar-SA"/>
    </w:rPr>
  </w:style>
  <w:style w:type="numbering" w:customStyle="1" w:styleId="Sraonra2">
    <w:name w:val="Sąrašo nėra2"/>
    <w:next w:val="NoList"/>
    <w:uiPriority w:val="99"/>
    <w:semiHidden/>
    <w:unhideWhenUsed/>
    <w:rsid w:val="00091B58"/>
  </w:style>
  <w:style w:type="paragraph" w:styleId="Title">
    <w:name w:val="Title"/>
    <w:basedOn w:val="Normal"/>
    <w:link w:val="TitleChar1"/>
    <w:autoRedefine/>
    <w:uiPriority w:val="99"/>
    <w:qFormat/>
    <w:rsid w:val="00091B58"/>
    <w:pPr>
      <w:jc w:val="center"/>
      <w:outlineLvl w:val="0"/>
    </w:pPr>
    <w:rPr>
      <w:b/>
      <w:kern w:val="28"/>
      <w:sz w:val="22"/>
      <w:szCs w:val="20"/>
      <w:lang w:eastAsia="lt-LT"/>
    </w:rPr>
  </w:style>
  <w:style w:type="character" w:customStyle="1" w:styleId="TitleChar">
    <w:name w:val="Title Char"/>
    <w:basedOn w:val="DefaultParagraphFont"/>
    <w:uiPriority w:val="99"/>
    <w:rsid w:val="002B123C"/>
    <w:rPr>
      <w:rFonts w:asciiTheme="majorHAnsi" w:eastAsiaTheme="majorEastAsia" w:hAnsiTheme="majorHAnsi" w:cstheme="majorBidi"/>
      <w:spacing w:val="-10"/>
      <w:kern w:val="28"/>
      <w:sz w:val="56"/>
      <w:szCs w:val="56"/>
      <w:lang w:val="lt-LT"/>
    </w:rPr>
  </w:style>
  <w:style w:type="character" w:customStyle="1" w:styleId="TitleChar1">
    <w:name w:val="Title Char1"/>
    <w:link w:val="Title"/>
    <w:uiPriority w:val="99"/>
    <w:rsid w:val="00091B58"/>
    <w:rPr>
      <w:rFonts w:ascii="Times New Roman" w:eastAsia="Times New Roman" w:hAnsi="Times New Roman" w:cs="Times New Roman"/>
      <w:b/>
      <w:kern w:val="28"/>
      <w:szCs w:val="20"/>
      <w:lang w:val="lt-LT" w:eastAsia="lt-LT"/>
    </w:rPr>
  </w:style>
  <w:style w:type="character" w:customStyle="1" w:styleId="CharChar22">
    <w:name w:val="Char Char22"/>
    <w:locked/>
    <w:rsid w:val="00091B58"/>
    <w:rPr>
      <w:b/>
      <w:sz w:val="22"/>
      <w:lang w:val="lt-LT" w:eastAsia="lt-LT"/>
    </w:rPr>
  </w:style>
  <w:style w:type="character" w:customStyle="1" w:styleId="BodyText2Char1">
    <w:name w:val="Body Text 2 Char1"/>
    <w:uiPriority w:val="99"/>
    <w:rsid w:val="00091B58"/>
    <w:rPr>
      <w:rFonts w:eastAsia="Times New Roman"/>
      <w:sz w:val="22"/>
      <w:lang w:bidi="ar-SA"/>
    </w:rPr>
  </w:style>
  <w:style w:type="paragraph" w:styleId="BodyTextIndent2">
    <w:name w:val="Body Text Indent 2"/>
    <w:basedOn w:val="Normal"/>
    <w:link w:val="BodyTextIndent2Char1"/>
    <w:uiPriority w:val="99"/>
    <w:rsid w:val="00091B58"/>
    <w:pPr>
      <w:spacing w:after="120" w:line="480" w:lineRule="auto"/>
      <w:ind w:left="283"/>
    </w:pPr>
    <w:rPr>
      <w:sz w:val="22"/>
      <w:szCs w:val="20"/>
      <w:lang w:eastAsia="lt-LT"/>
    </w:rPr>
  </w:style>
  <w:style w:type="character" w:customStyle="1" w:styleId="BodyTextIndent2Char">
    <w:name w:val="Body Text Indent 2 Char"/>
    <w:basedOn w:val="DefaultParagraphFont"/>
    <w:uiPriority w:val="99"/>
    <w:rsid w:val="00091B58"/>
    <w:rPr>
      <w:rFonts w:ascii="Times New Roman" w:eastAsia="Times New Roman" w:hAnsi="Times New Roman" w:cs="Times New Roman"/>
      <w:sz w:val="24"/>
      <w:szCs w:val="24"/>
      <w:lang w:val="lt-LT"/>
    </w:rPr>
  </w:style>
  <w:style w:type="character" w:customStyle="1" w:styleId="BodyTextIndent2Char1">
    <w:name w:val="Body Text Indent 2 Char1"/>
    <w:link w:val="BodyTextIndent2"/>
    <w:uiPriority w:val="99"/>
    <w:rsid w:val="00091B58"/>
    <w:rPr>
      <w:rFonts w:ascii="Times New Roman" w:eastAsia="Times New Roman" w:hAnsi="Times New Roman" w:cs="Times New Roman"/>
      <w:szCs w:val="20"/>
      <w:lang w:val="lt-LT" w:eastAsia="lt-LT"/>
    </w:rPr>
  </w:style>
  <w:style w:type="character" w:customStyle="1" w:styleId="BodyText3Char1">
    <w:name w:val="Body Text 3 Char1"/>
    <w:uiPriority w:val="99"/>
    <w:rsid w:val="00091B58"/>
    <w:rPr>
      <w:rFonts w:eastAsia="Times New Roman"/>
      <w:sz w:val="16"/>
      <w:szCs w:val="16"/>
      <w:lang w:eastAsia="x-none" w:bidi="ar-SA"/>
    </w:rPr>
  </w:style>
  <w:style w:type="paragraph" w:customStyle="1" w:styleId="TableText">
    <w:name w:val="Table Text"/>
    <w:basedOn w:val="Normal"/>
    <w:uiPriority w:val="99"/>
    <w:rsid w:val="00091B58"/>
    <w:rPr>
      <w:rFonts w:ascii="CG Times (W1)" w:hAnsi="CG Times (W1)"/>
      <w:sz w:val="20"/>
      <w:szCs w:val="20"/>
      <w:lang w:val="en-GB"/>
    </w:rPr>
  </w:style>
  <w:style w:type="paragraph" w:customStyle="1" w:styleId="Normal11pt">
    <w:name w:val="Normal + 11pt"/>
    <w:basedOn w:val="Normal"/>
    <w:link w:val="Normal11ptCar"/>
    <w:uiPriority w:val="99"/>
    <w:rsid w:val="00091B58"/>
    <w:rPr>
      <w:sz w:val="22"/>
      <w:szCs w:val="22"/>
      <w:lang w:val="en-GB"/>
    </w:rPr>
  </w:style>
  <w:style w:type="character" w:customStyle="1" w:styleId="Normal11ptCar">
    <w:name w:val="Normal + 11pt Car"/>
    <w:link w:val="Normal11pt"/>
    <w:uiPriority w:val="99"/>
    <w:rsid w:val="00091B58"/>
    <w:rPr>
      <w:rFonts w:ascii="Times New Roman" w:eastAsia="Times New Roman" w:hAnsi="Times New Roman" w:cs="Times New Roman"/>
      <w:lang w:val="en-GB"/>
    </w:rPr>
  </w:style>
  <w:style w:type="paragraph" w:customStyle="1" w:styleId="NormaLT">
    <w:name w:val="NormaLT"/>
    <w:basedOn w:val="Normal"/>
    <w:rsid w:val="00091B58"/>
    <w:pPr>
      <w:tabs>
        <w:tab w:val="left" w:pos="425"/>
      </w:tabs>
      <w:jc w:val="both"/>
    </w:pPr>
    <w:rPr>
      <w:rFonts w:ascii="Arial" w:hAnsi="Arial"/>
      <w:szCs w:val="20"/>
    </w:rPr>
  </w:style>
  <w:style w:type="character" w:customStyle="1" w:styleId="Normal1">
    <w:name w:val="Normal1"/>
    <w:rsid w:val="00091B58"/>
    <w:rPr>
      <w:rFonts w:ascii="Arial" w:hAnsi="Arial"/>
      <w:sz w:val="24"/>
    </w:rPr>
  </w:style>
  <w:style w:type="character" w:customStyle="1" w:styleId="CharChar7">
    <w:name w:val="Char Char7"/>
    <w:uiPriority w:val="99"/>
    <w:locked/>
    <w:rsid w:val="00091B58"/>
    <w:rPr>
      <w:rFonts w:cs="Times New Roman"/>
      <w:sz w:val="22"/>
      <w:lang w:val="lt-LT" w:eastAsia="en-US"/>
    </w:rPr>
  </w:style>
  <w:style w:type="numbering" w:customStyle="1" w:styleId="NoList12">
    <w:name w:val="No List12"/>
    <w:next w:val="NoList"/>
    <w:semiHidden/>
    <w:rsid w:val="00091B58"/>
  </w:style>
  <w:style w:type="paragraph" w:customStyle="1" w:styleId="Normal11pt0">
    <w:name w:val="Normal + 11 pt"/>
    <w:basedOn w:val="BodyText"/>
    <w:rsid w:val="00091B58"/>
    <w:pPr>
      <w:widowControl w:val="0"/>
      <w:overflowPunct w:val="0"/>
      <w:autoSpaceDE w:val="0"/>
      <w:autoSpaceDN w:val="0"/>
      <w:adjustRightInd w:val="0"/>
      <w:spacing w:line="312" w:lineRule="auto"/>
    </w:pPr>
    <w:rPr>
      <w:rFonts w:ascii="TimesLT" w:hAnsi="TimesLT"/>
      <w:i w:val="0"/>
      <w:noProof/>
      <w:color w:val="auto"/>
      <w:szCs w:val="22"/>
      <w:lang w:val="en-US" w:eastAsia="ar-SA"/>
    </w:rPr>
  </w:style>
  <w:style w:type="character" w:customStyle="1" w:styleId="CharChar">
    <w:name w:val="Char Char"/>
    <w:rsid w:val="00091B58"/>
    <w:rPr>
      <w:sz w:val="22"/>
      <w:lang w:val="lt-LT" w:eastAsia="lt-LT" w:bidi="ar-SA"/>
    </w:rPr>
  </w:style>
  <w:style w:type="paragraph" w:customStyle="1" w:styleId="A-TableText">
    <w:name w:val="A-TableText"/>
    <w:basedOn w:val="Normal"/>
    <w:rsid w:val="00091B58"/>
    <w:pPr>
      <w:spacing w:before="60" w:after="60"/>
    </w:pPr>
    <w:rPr>
      <w:rFonts w:eastAsia="Calibri"/>
      <w:sz w:val="20"/>
      <w:szCs w:val="20"/>
      <w:lang w:val="en-GB"/>
    </w:rPr>
  </w:style>
  <w:style w:type="character" w:customStyle="1" w:styleId="CharChar11">
    <w:name w:val="Char Char11"/>
    <w:locked/>
    <w:rsid w:val="00091B58"/>
    <w:rPr>
      <w:rFonts w:ascii="Arial" w:hAnsi="Arial"/>
      <w:b/>
      <w:kern w:val="28"/>
      <w:sz w:val="28"/>
      <w:lang w:val="lt-LT" w:eastAsia="en-US" w:bidi="ar-SA"/>
    </w:rPr>
  </w:style>
  <w:style w:type="character" w:customStyle="1" w:styleId="CharChar10">
    <w:name w:val="Char Char10"/>
    <w:semiHidden/>
    <w:locked/>
    <w:rsid w:val="00091B58"/>
    <w:rPr>
      <w:rFonts w:ascii="Arial" w:hAnsi="Arial"/>
      <w:b/>
      <w:i/>
      <w:sz w:val="22"/>
      <w:lang w:val="lt-LT" w:eastAsia="en-US" w:bidi="ar-SA"/>
    </w:rPr>
  </w:style>
  <w:style w:type="character" w:customStyle="1" w:styleId="tw4winError">
    <w:name w:val="tw4winError"/>
    <w:uiPriority w:val="99"/>
    <w:rsid w:val="00091B58"/>
    <w:rPr>
      <w:rFonts w:ascii="Courier New" w:hAnsi="Courier New"/>
      <w:color w:val="00FF00"/>
      <w:sz w:val="40"/>
    </w:rPr>
  </w:style>
  <w:style w:type="character" w:customStyle="1" w:styleId="tw4winTerm">
    <w:name w:val="tw4winTerm"/>
    <w:uiPriority w:val="99"/>
    <w:rsid w:val="00091B58"/>
    <w:rPr>
      <w:color w:val="0000FF"/>
    </w:rPr>
  </w:style>
  <w:style w:type="character" w:customStyle="1" w:styleId="tw4winPopup">
    <w:name w:val="tw4winPopup"/>
    <w:uiPriority w:val="99"/>
    <w:rsid w:val="00091B58"/>
    <w:rPr>
      <w:rFonts w:ascii="Courier New" w:hAnsi="Courier New"/>
      <w:noProof/>
      <w:color w:val="008000"/>
    </w:rPr>
  </w:style>
  <w:style w:type="character" w:customStyle="1" w:styleId="tw4winJump">
    <w:name w:val="tw4winJump"/>
    <w:uiPriority w:val="99"/>
    <w:rsid w:val="00091B58"/>
    <w:rPr>
      <w:rFonts w:ascii="Courier New" w:hAnsi="Courier New"/>
      <w:noProof/>
      <w:color w:val="008080"/>
    </w:rPr>
  </w:style>
  <w:style w:type="character" w:customStyle="1" w:styleId="tw4winExternal">
    <w:name w:val="tw4winExternal"/>
    <w:uiPriority w:val="99"/>
    <w:rsid w:val="00091B58"/>
    <w:rPr>
      <w:rFonts w:ascii="Courier New" w:hAnsi="Courier New"/>
      <w:noProof/>
      <w:color w:val="808080"/>
    </w:rPr>
  </w:style>
  <w:style w:type="character" w:customStyle="1" w:styleId="tw4winInternal">
    <w:name w:val="tw4winInternal"/>
    <w:uiPriority w:val="99"/>
    <w:rsid w:val="00091B58"/>
    <w:rPr>
      <w:rFonts w:ascii="Courier New" w:hAnsi="Courier New"/>
      <w:noProof/>
      <w:color w:val="FF0000"/>
    </w:rPr>
  </w:style>
  <w:style w:type="character" w:customStyle="1" w:styleId="DONOTTRANSLATE">
    <w:name w:val="DO_NOT_TRANSLATE"/>
    <w:uiPriority w:val="99"/>
    <w:rsid w:val="00091B58"/>
    <w:rPr>
      <w:rFonts w:ascii="Courier New" w:hAnsi="Courier New"/>
      <w:noProof/>
      <w:color w:val="800000"/>
    </w:rPr>
  </w:style>
  <w:style w:type="character" w:customStyle="1" w:styleId="tw4winMark">
    <w:name w:val="tw4winMark"/>
    <w:uiPriority w:val="99"/>
    <w:rsid w:val="00091B58"/>
    <w:rPr>
      <w:rFonts w:ascii="Courier New" w:hAnsi="Courier New"/>
      <w:vanish/>
      <w:color w:val="800080"/>
      <w:sz w:val="24"/>
      <w:vertAlign w:val="subscript"/>
    </w:rPr>
  </w:style>
  <w:style w:type="character" w:customStyle="1" w:styleId="HeaderChar1">
    <w:name w:val="Header Char1"/>
    <w:uiPriority w:val="99"/>
    <w:locked/>
    <w:rsid w:val="00091B58"/>
    <w:rPr>
      <w:rFonts w:ascii="Times New Roman" w:eastAsia="SimSun" w:hAnsi="Times New Roman"/>
      <w:sz w:val="20"/>
      <w:lang w:val="en-GB" w:eastAsia="zh-CN"/>
    </w:rPr>
  </w:style>
  <w:style w:type="table" w:customStyle="1" w:styleId="TablegridAgencyblack1">
    <w:name w:val="Table grid (Agency) black1"/>
    <w:uiPriority w:val="99"/>
    <w:semiHidden/>
    <w:rsid w:val="00091B5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PlainTextChar1">
    <w:name w:val="Plain Text Char1"/>
    <w:uiPriority w:val="99"/>
    <w:rsid w:val="00091B58"/>
    <w:rPr>
      <w:rFonts w:ascii="Courier New" w:hAnsi="Courier New"/>
      <w:lang w:val="en-US" w:bidi="ar-SA"/>
    </w:rPr>
  </w:style>
  <w:style w:type="paragraph" w:styleId="EndnoteText">
    <w:name w:val="endnote text"/>
    <w:basedOn w:val="Normal"/>
    <w:link w:val="EndnoteTextChar1"/>
    <w:uiPriority w:val="99"/>
    <w:rsid w:val="00091B58"/>
    <w:pPr>
      <w:tabs>
        <w:tab w:val="left" w:pos="567"/>
      </w:tabs>
    </w:pPr>
    <w:rPr>
      <w:rFonts w:eastAsia="SimSun"/>
      <w:sz w:val="20"/>
      <w:szCs w:val="20"/>
      <w:lang w:val="en-GB" w:eastAsia="lt-LT"/>
    </w:rPr>
  </w:style>
  <w:style w:type="character" w:customStyle="1" w:styleId="EndnoteTextChar">
    <w:name w:val="Endnote Text Char"/>
    <w:basedOn w:val="DefaultParagraphFont"/>
    <w:uiPriority w:val="99"/>
    <w:rsid w:val="00091B58"/>
    <w:rPr>
      <w:rFonts w:ascii="Times New Roman" w:eastAsia="Times New Roman" w:hAnsi="Times New Roman" w:cs="Times New Roman"/>
      <w:sz w:val="20"/>
      <w:szCs w:val="20"/>
      <w:lang w:val="lt-LT"/>
    </w:rPr>
  </w:style>
  <w:style w:type="character" w:customStyle="1" w:styleId="EndnoteTextChar1">
    <w:name w:val="Endnote Text Char1"/>
    <w:link w:val="EndnoteText"/>
    <w:uiPriority w:val="99"/>
    <w:rsid w:val="00091B58"/>
    <w:rPr>
      <w:rFonts w:ascii="Times New Roman" w:eastAsia="SimSun" w:hAnsi="Times New Roman" w:cs="Times New Roman"/>
      <w:sz w:val="20"/>
      <w:szCs w:val="20"/>
      <w:lang w:val="en-GB" w:eastAsia="lt-LT"/>
    </w:rPr>
  </w:style>
  <w:style w:type="character" w:customStyle="1" w:styleId="CharChar12">
    <w:name w:val="Char Char12"/>
    <w:locked/>
    <w:rsid w:val="00091B58"/>
    <w:rPr>
      <w:snapToGrid w:val="0"/>
      <w:lang w:val="en-GB" w:eastAsia="en-US"/>
    </w:rPr>
  </w:style>
  <w:style w:type="numbering" w:customStyle="1" w:styleId="NoList2">
    <w:name w:val="No List2"/>
    <w:next w:val="NoList"/>
    <w:semiHidden/>
    <w:rsid w:val="00091B58"/>
  </w:style>
  <w:style w:type="table" w:customStyle="1" w:styleId="TableGrid1">
    <w:name w:val="Table Grid1"/>
    <w:basedOn w:val="TableNormal"/>
    <w:next w:val="TableGrid"/>
    <w:rsid w:val="00091B58"/>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091B58"/>
    <w:pPr>
      <w:tabs>
        <w:tab w:val="left" w:pos="567"/>
      </w:tabs>
      <w:spacing w:line="260" w:lineRule="exact"/>
      <w:ind w:left="1296"/>
    </w:pPr>
    <w:rPr>
      <w:sz w:val="22"/>
      <w:szCs w:val="20"/>
      <w:lang w:val="en-GB"/>
    </w:rPr>
  </w:style>
  <w:style w:type="character" w:customStyle="1" w:styleId="resultoftext">
    <w:name w:val="resultoftext"/>
    <w:rsid w:val="00091B58"/>
  </w:style>
  <w:style w:type="paragraph" w:customStyle="1" w:styleId="CM14">
    <w:name w:val="CM14"/>
    <w:basedOn w:val="Default"/>
    <w:next w:val="Default"/>
    <w:uiPriority w:val="99"/>
    <w:rsid w:val="00091B58"/>
    <w:pPr>
      <w:widowControl w:val="0"/>
      <w:spacing w:after="268"/>
    </w:pPr>
    <w:rPr>
      <w:color w:val="auto"/>
      <w:lang w:val="el-GR" w:eastAsia="el-GR"/>
    </w:rPr>
  </w:style>
  <w:style w:type="paragraph" w:customStyle="1" w:styleId="CM4">
    <w:name w:val="CM4"/>
    <w:basedOn w:val="Default"/>
    <w:next w:val="Default"/>
    <w:uiPriority w:val="99"/>
    <w:rsid w:val="00091B58"/>
    <w:pPr>
      <w:widowControl w:val="0"/>
      <w:spacing w:line="276" w:lineRule="atLeast"/>
    </w:pPr>
    <w:rPr>
      <w:color w:val="auto"/>
      <w:lang w:val="el-GR" w:eastAsia="el-GR"/>
    </w:rPr>
  </w:style>
  <w:style w:type="paragraph" w:styleId="TOC1">
    <w:name w:val="toc 1"/>
    <w:basedOn w:val="Normal"/>
    <w:next w:val="Normal"/>
    <w:autoRedefine/>
    <w:uiPriority w:val="99"/>
    <w:rsid w:val="00091B58"/>
    <w:rPr>
      <w:lang w:val="en-GB" w:eastAsia="en-GB"/>
    </w:rPr>
  </w:style>
  <w:style w:type="paragraph" w:customStyle="1" w:styleId="leipa">
    <w:name w:val="leipa"/>
    <w:basedOn w:val="Normal"/>
    <w:uiPriority w:val="99"/>
    <w:rsid w:val="00091B58"/>
    <w:pPr>
      <w:spacing w:before="100" w:beforeAutospacing="1" w:after="100" w:afterAutospacing="1"/>
    </w:pPr>
    <w:rPr>
      <w:rFonts w:ascii="Arial Unicode MS" w:eastAsia="Arial Unicode MS" w:hAnsi="Arial Unicode MS" w:cs="Arial Unicode MS"/>
      <w:lang w:val="de-DE" w:eastAsia="de-DE"/>
    </w:rPr>
  </w:style>
  <w:style w:type="paragraph" w:customStyle="1" w:styleId="CM1">
    <w:name w:val="CM1"/>
    <w:basedOn w:val="Default"/>
    <w:next w:val="Default"/>
    <w:uiPriority w:val="99"/>
    <w:rsid w:val="00091B58"/>
    <w:pPr>
      <w:widowControl w:val="0"/>
    </w:pPr>
    <w:rPr>
      <w:rFonts w:ascii="Courier" w:hAnsi="Courier" w:cs="Courier"/>
      <w:color w:val="auto"/>
      <w:lang w:val="el-GR" w:eastAsia="el-GR"/>
    </w:rPr>
  </w:style>
  <w:style w:type="paragraph" w:customStyle="1" w:styleId="CM50">
    <w:name w:val="CM50"/>
    <w:basedOn w:val="Default"/>
    <w:next w:val="Default"/>
    <w:uiPriority w:val="99"/>
    <w:rsid w:val="00091B58"/>
    <w:pPr>
      <w:widowControl w:val="0"/>
      <w:spacing w:after="350"/>
    </w:pPr>
    <w:rPr>
      <w:color w:val="auto"/>
      <w:lang w:val="en-US" w:eastAsia="en-US"/>
    </w:rPr>
  </w:style>
  <w:style w:type="paragraph" w:customStyle="1" w:styleId="CM48">
    <w:name w:val="CM48"/>
    <w:basedOn w:val="Default"/>
    <w:next w:val="Default"/>
    <w:uiPriority w:val="99"/>
    <w:rsid w:val="00091B58"/>
    <w:pPr>
      <w:widowControl w:val="0"/>
      <w:spacing w:after="258"/>
    </w:pPr>
    <w:rPr>
      <w:color w:val="auto"/>
      <w:lang w:val="en-US" w:eastAsia="en-US"/>
    </w:rPr>
  </w:style>
  <w:style w:type="paragraph" w:customStyle="1" w:styleId="Authors">
    <w:name w:val="Authors"/>
    <w:basedOn w:val="Normal"/>
    <w:rsid w:val="00091B58"/>
    <w:pPr>
      <w:keepNext/>
      <w:tabs>
        <w:tab w:val="left" w:pos="2268"/>
      </w:tabs>
      <w:spacing w:before="240"/>
    </w:pPr>
    <w:rPr>
      <w:rFonts w:ascii="Arial" w:hAnsi="Arial"/>
      <w:sz w:val="22"/>
      <w:szCs w:val="20"/>
      <w:lang w:val="en-US"/>
    </w:rPr>
  </w:style>
  <w:style w:type="paragraph" w:customStyle="1" w:styleId="Listlevel1">
    <w:name w:val="List level 1"/>
    <w:basedOn w:val="Normal"/>
    <w:rsid w:val="00091B58"/>
    <w:pPr>
      <w:spacing w:before="40" w:after="20"/>
      <w:ind w:left="425" w:hanging="425"/>
    </w:pPr>
    <w:rPr>
      <w:szCs w:val="20"/>
      <w:lang w:val="en-US"/>
    </w:rPr>
  </w:style>
  <w:style w:type="paragraph" w:styleId="TOC6">
    <w:name w:val="toc 6"/>
    <w:basedOn w:val="Normal"/>
    <w:rsid w:val="00091B58"/>
    <w:pPr>
      <w:tabs>
        <w:tab w:val="right" w:leader="dot" w:pos="9061"/>
      </w:tabs>
      <w:spacing w:after="72"/>
      <w:ind w:left="992" w:right="227" w:hanging="992"/>
    </w:pPr>
    <w:rPr>
      <w:szCs w:val="20"/>
      <w:lang w:val="en-US"/>
    </w:rPr>
  </w:style>
  <w:style w:type="paragraph" w:styleId="TOC7">
    <w:name w:val="toc 7"/>
    <w:basedOn w:val="Normal"/>
    <w:rsid w:val="00091B58"/>
    <w:pPr>
      <w:tabs>
        <w:tab w:val="right" w:leader="dot" w:pos="9061"/>
      </w:tabs>
      <w:spacing w:after="72"/>
      <w:ind w:left="992" w:right="227" w:hanging="992"/>
    </w:pPr>
    <w:rPr>
      <w:szCs w:val="20"/>
      <w:lang w:val="en-US"/>
    </w:rPr>
  </w:style>
  <w:style w:type="paragraph" w:customStyle="1" w:styleId="Comment">
    <w:name w:val="Comment"/>
    <w:basedOn w:val="Normal"/>
    <w:link w:val="CommentChar"/>
    <w:rsid w:val="00091B58"/>
    <w:pPr>
      <w:keepLines/>
      <w:spacing w:before="120"/>
      <w:jc w:val="both"/>
    </w:pPr>
    <w:rPr>
      <w:i/>
      <w:color w:val="0000FF"/>
      <w:szCs w:val="20"/>
      <w:lang w:val="en-US"/>
    </w:rPr>
  </w:style>
  <w:style w:type="paragraph" w:customStyle="1" w:styleId="Compound">
    <w:name w:val="Compound"/>
    <w:basedOn w:val="Normal"/>
    <w:rsid w:val="00091B58"/>
    <w:pPr>
      <w:keepNext/>
      <w:spacing w:before="720"/>
      <w:jc w:val="center"/>
    </w:pPr>
    <w:rPr>
      <w:rFonts w:ascii="Arial" w:hAnsi="Arial"/>
      <w:sz w:val="32"/>
      <w:szCs w:val="20"/>
      <w:lang w:val="en-US"/>
    </w:rPr>
  </w:style>
  <w:style w:type="paragraph" w:customStyle="1" w:styleId="Dedicatednumber">
    <w:name w:val="Dedicatednumber"/>
    <w:basedOn w:val="Normal"/>
    <w:rsid w:val="00091B58"/>
    <w:pPr>
      <w:keepNext/>
      <w:spacing w:before="720"/>
      <w:jc w:val="center"/>
    </w:pPr>
    <w:rPr>
      <w:rFonts w:ascii="Arial" w:hAnsi="Arial"/>
      <w:sz w:val="28"/>
      <w:szCs w:val="20"/>
      <w:lang w:val="en-US"/>
    </w:rPr>
  </w:style>
  <w:style w:type="paragraph" w:customStyle="1" w:styleId="Department">
    <w:name w:val="Department"/>
    <w:basedOn w:val="Normal"/>
    <w:rsid w:val="00091B58"/>
    <w:pPr>
      <w:keepNext/>
      <w:spacing w:before="360"/>
      <w:jc w:val="center"/>
    </w:pPr>
    <w:rPr>
      <w:rFonts w:ascii="Arial" w:hAnsi="Arial"/>
      <w:sz w:val="28"/>
      <w:szCs w:val="20"/>
      <w:lang w:val="en-US"/>
    </w:rPr>
  </w:style>
  <w:style w:type="paragraph" w:customStyle="1" w:styleId="Docstatus">
    <w:name w:val="Docstatus"/>
    <w:basedOn w:val="Normal"/>
    <w:rsid w:val="00091B58"/>
    <w:pPr>
      <w:keepNext/>
      <w:tabs>
        <w:tab w:val="left" w:pos="2268"/>
      </w:tabs>
      <w:spacing w:before="240"/>
    </w:pPr>
    <w:rPr>
      <w:rFonts w:ascii="Arial" w:hAnsi="Arial"/>
      <w:sz w:val="22"/>
      <w:szCs w:val="20"/>
      <w:lang w:val="en-US"/>
    </w:rPr>
  </w:style>
  <w:style w:type="paragraph" w:customStyle="1" w:styleId="Doctype">
    <w:name w:val="Doctype"/>
    <w:basedOn w:val="Dedicatednumber"/>
    <w:rsid w:val="00091B58"/>
    <w:pPr>
      <w:tabs>
        <w:tab w:val="left" w:pos="2268"/>
      </w:tabs>
      <w:spacing w:before="240"/>
      <w:jc w:val="left"/>
    </w:pPr>
    <w:rPr>
      <w:sz w:val="22"/>
    </w:rPr>
  </w:style>
  <w:style w:type="character" w:styleId="EndnoteReference">
    <w:name w:val="endnote reference"/>
    <w:rsid w:val="00091B58"/>
    <w:rPr>
      <w:vertAlign w:val="baseline"/>
    </w:rPr>
  </w:style>
  <w:style w:type="paragraph" w:customStyle="1" w:styleId="Non-proportional">
    <w:name w:val="Non-proportional"/>
    <w:basedOn w:val="Normal"/>
    <w:rsid w:val="00091B58"/>
    <w:pPr>
      <w:spacing w:line="240" w:lineRule="atLeast"/>
      <w:jc w:val="both"/>
    </w:pPr>
    <w:rPr>
      <w:rFonts w:ascii="Courier New" w:hAnsi="Courier New"/>
      <w:spacing w:val="-10"/>
      <w:sz w:val="18"/>
      <w:szCs w:val="20"/>
      <w:lang w:val="en-US"/>
    </w:rPr>
  </w:style>
  <w:style w:type="paragraph" w:customStyle="1" w:styleId="Nottoc-headings">
    <w:name w:val="Not toc-headings"/>
    <w:basedOn w:val="Normal"/>
    <w:next w:val="Text"/>
    <w:rsid w:val="00091B58"/>
    <w:pPr>
      <w:keepNext/>
      <w:keepLines/>
      <w:spacing w:before="240" w:after="60"/>
      <w:ind w:left="1701" w:hanging="1701"/>
    </w:pPr>
    <w:rPr>
      <w:rFonts w:ascii="Arial" w:hAnsi="Arial"/>
      <w:b/>
      <w:sz w:val="22"/>
      <w:szCs w:val="20"/>
      <w:lang w:val="en-US"/>
    </w:rPr>
  </w:style>
  <w:style w:type="paragraph" w:customStyle="1" w:styleId="Numberofpages">
    <w:name w:val="Numberofpages"/>
    <w:basedOn w:val="Normal"/>
    <w:rsid w:val="00091B58"/>
    <w:pPr>
      <w:keepNext/>
      <w:tabs>
        <w:tab w:val="left" w:pos="2268"/>
      </w:tabs>
      <w:spacing w:before="240"/>
    </w:pPr>
    <w:rPr>
      <w:rFonts w:ascii="Arial" w:hAnsi="Arial"/>
      <w:sz w:val="22"/>
      <w:szCs w:val="20"/>
      <w:lang w:val="en-US"/>
    </w:rPr>
  </w:style>
  <w:style w:type="paragraph" w:customStyle="1" w:styleId="Propertystatement">
    <w:name w:val="Propertystatement"/>
    <w:basedOn w:val="Numberofpages"/>
    <w:rsid w:val="00091B58"/>
    <w:pPr>
      <w:keepNext w:val="0"/>
      <w:spacing w:before="1200"/>
      <w:jc w:val="center"/>
    </w:pPr>
    <w:rPr>
      <w:sz w:val="20"/>
    </w:rPr>
  </w:style>
  <w:style w:type="paragraph" w:customStyle="1" w:styleId="Reference">
    <w:name w:val="Reference"/>
    <w:basedOn w:val="Normal"/>
    <w:rsid w:val="00091B58"/>
    <w:pPr>
      <w:spacing w:before="80" w:after="60"/>
      <w:ind w:left="425" w:hanging="425"/>
    </w:pPr>
    <w:rPr>
      <w:szCs w:val="20"/>
      <w:lang w:val="en-US"/>
    </w:rPr>
  </w:style>
  <w:style w:type="paragraph" w:customStyle="1" w:styleId="Releasedate">
    <w:name w:val="Releasedate"/>
    <w:basedOn w:val="Docstatus"/>
    <w:rsid w:val="00091B58"/>
  </w:style>
  <w:style w:type="paragraph" w:customStyle="1" w:styleId="Table">
    <w:name w:val="Table"/>
    <w:basedOn w:val="Nottoc-headings"/>
    <w:rsid w:val="00091B58"/>
    <w:pPr>
      <w:tabs>
        <w:tab w:val="left" w:pos="284"/>
      </w:tabs>
      <w:spacing w:before="40" w:after="20"/>
      <w:ind w:left="0" w:firstLine="0"/>
    </w:pPr>
    <w:rPr>
      <w:b w:val="0"/>
      <w:sz w:val="20"/>
    </w:rPr>
  </w:style>
  <w:style w:type="paragraph" w:styleId="TOC2">
    <w:name w:val="toc 2"/>
    <w:basedOn w:val="TOC1"/>
    <w:rsid w:val="00091B58"/>
    <w:pPr>
      <w:tabs>
        <w:tab w:val="right" w:leader="dot" w:pos="9061"/>
      </w:tabs>
      <w:spacing w:after="72"/>
      <w:ind w:left="1134" w:right="227" w:hanging="709"/>
    </w:pPr>
    <w:rPr>
      <w:szCs w:val="20"/>
      <w:lang w:val="en-US" w:eastAsia="en-US"/>
    </w:rPr>
  </w:style>
  <w:style w:type="paragraph" w:styleId="TOC3">
    <w:name w:val="toc 3"/>
    <w:basedOn w:val="TOC2"/>
    <w:rsid w:val="00091B58"/>
    <w:pPr>
      <w:ind w:left="2127" w:hanging="993"/>
    </w:pPr>
  </w:style>
  <w:style w:type="paragraph" w:customStyle="1" w:styleId="Listlevel2">
    <w:name w:val="List level 2"/>
    <w:basedOn w:val="Listlevel1"/>
    <w:rsid w:val="00091B58"/>
    <w:pPr>
      <w:ind w:left="850"/>
    </w:pPr>
  </w:style>
  <w:style w:type="paragraph" w:customStyle="1" w:styleId="Firstpageinfo">
    <w:name w:val="Firstpageinfo"/>
    <w:basedOn w:val="Heading5"/>
    <w:rsid w:val="00091B58"/>
    <w:pPr>
      <w:keepLines/>
      <w:tabs>
        <w:tab w:val="clear" w:pos="567"/>
        <w:tab w:val="clear" w:pos="1008"/>
      </w:tabs>
      <w:spacing w:before="240" w:line="240" w:lineRule="auto"/>
      <w:ind w:left="0" w:firstLine="0"/>
      <w:jc w:val="left"/>
      <w:outlineLvl w:val="9"/>
    </w:pPr>
    <w:rPr>
      <w:rFonts w:ascii="Arial" w:hAnsi="Arial"/>
      <w:noProof w:val="0"/>
      <w:lang w:val="en-US"/>
    </w:rPr>
  </w:style>
  <w:style w:type="paragraph" w:customStyle="1" w:styleId="StrengthDosageForm">
    <w:name w:val="StrengthDosageForm"/>
    <w:basedOn w:val="Compound"/>
    <w:rsid w:val="00091B58"/>
    <w:pPr>
      <w:spacing w:before="0"/>
    </w:pPr>
  </w:style>
  <w:style w:type="paragraph" w:styleId="Caption">
    <w:name w:val="caption"/>
    <w:basedOn w:val="Normal"/>
    <w:next w:val="Text"/>
    <w:qFormat/>
    <w:rsid w:val="00091B58"/>
    <w:pPr>
      <w:spacing w:before="120" w:after="120"/>
    </w:pPr>
    <w:rPr>
      <w:b/>
      <w:szCs w:val="20"/>
      <w:lang w:val="en-US"/>
    </w:rPr>
  </w:style>
  <w:style w:type="paragraph" w:customStyle="1" w:styleId="TextIndent">
    <w:name w:val="Text Indent"/>
    <w:basedOn w:val="Normal"/>
    <w:rsid w:val="00091B58"/>
    <w:pPr>
      <w:ind w:left="851"/>
    </w:pPr>
    <w:rPr>
      <w:szCs w:val="20"/>
      <w:lang w:val="en-US"/>
    </w:rPr>
  </w:style>
  <w:style w:type="paragraph" w:customStyle="1" w:styleId="ParagraphIndent">
    <w:name w:val="Paragraph Indent"/>
    <w:basedOn w:val="Normal"/>
    <w:rsid w:val="00091B58"/>
    <w:pPr>
      <w:spacing w:before="120" w:after="120"/>
      <w:ind w:left="851"/>
    </w:pPr>
    <w:rPr>
      <w:szCs w:val="20"/>
      <w:lang w:val="en-US"/>
    </w:rPr>
  </w:style>
  <w:style w:type="character" w:customStyle="1" w:styleId="CommentChar">
    <w:name w:val="Comment Char"/>
    <w:link w:val="Comment"/>
    <w:locked/>
    <w:rsid w:val="00091B58"/>
    <w:rPr>
      <w:rFonts w:ascii="Times New Roman" w:eastAsia="Times New Roman" w:hAnsi="Times New Roman" w:cs="Times New Roman"/>
      <w:i/>
      <w:color w:val="0000FF"/>
      <w:sz w:val="24"/>
      <w:szCs w:val="20"/>
    </w:rPr>
  </w:style>
  <w:style w:type="paragraph" w:customStyle="1" w:styleId="Heading11">
    <w:name w:val="Heading 11"/>
    <w:basedOn w:val="Normal"/>
    <w:next w:val="Normal"/>
    <w:rsid w:val="00091B58"/>
    <w:pPr>
      <w:keepNext/>
      <w:keepLines/>
      <w:widowControl w:val="0"/>
      <w:spacing w:before="480" w:line="276" w:lineRule="auto"/>
      <w:outlineLvl w:val="0"/>
    </w:pPr>
    <w:rPr>
      <w:rFonts w:ascii="Cambria" w:hAnsi="Cambria"/>
      <w:b/>
      <w:bCs/>
      <w:color w:val="365F91"/>
      <w:sz w:val="28"/>
      <w:szCs w:val="28"/>
      <w:lang w:val="en-US"/>
    </w:rPr>
  </w:style>
  <w:style w:type="character" w:customStyle="1" w:styleId="Heading1Char1">
    <w:name w:val="Heading 1 Char1"/>
    <w:rsid w:val="00091B58"/>
    <w:rPr>
      <w:rFonts w:ascii="Cambria" w:hAnsi="Cambria"/>
      <w:b/>
      <w:color w:val="365F91"/>
      <w:sz w:val="28"/>
    </w:rPr>
  </w:style>
  <w:style w:type="paragraph" w:styleId="BlockText">
    <w:name w:val="Block Text"/>
    <w:basedOn w:val="Default"/>
    <w:next w:val="Default"/>
    <w:rsid w:val="00091B58"/>
    <w:rPr>
      <w:color w:val="auto"/>
      <w:lang w:val="en-US" w:eastAsia="en-US"/>
    </w:rPr>
  </w:style>
  <w:style w:type="numbering" w:customStyle="1" w:styleId="NoList3">
    <w:name w:val="No List3"/>
    <w:next w:val="NoList"/>
    <w:uiPriority w:val="99"/>
    <w:semiHidden/>
    <w:unhideWhenUsed/>
    <w:rsid w:val="00091B58"/>
  </w:style>
  <w:style w:type="paragraph" w:customStyle="1" w:styleId="ammlistepuces1">
    <w:name w:val="ammlistepuces1"/>
    <w:basedOn w:val="Normal"/>
    <w:rsid w:val="00091B58"/>
    <w:pPr>
      <w:spacing w:before="100" w:beforeAutospacing="1" w:after="100" w:afterAutospacing="1"/>
    </w:pPr>
    <w:rPr>
      <w:rFonts w:ascii="Arial" w:hAnsi="Arial" w:cs="Arial"/>
      <w:lang w:eastAsia="lt-LT"/>
    </w:rPr>
  </w:style>
  <w:style w:type="numbering" w:customStyle="1" w:styleId="NoList4">
    <w:name w:val="No List4"/>
    <w:next w:val="NoList"/>
    <w:uiPriority w:val="99"/>
    <w:semiHidden/>
    <w:unhideWhenUsed/>
    <w:rsid w:val="00091B58"/>
  </w:style>
  <w:style w:type="paragraph" w:customStyle="1" w:styleId="Naslov1">
    <w:name w:val="Naslov1"/>
    <w:basedOn w:val="Heading1"/>
    <w:rsid w:val="00091B58"/>
    <w:pPr>
      <w:spacing w:before="0" w:after="0"/>
    </w:pPr>
    <w:rPr>
      <w:rFonts w:ascii="Times New Roman" w:hAnsi="Times New Roman" w:cs="Times New Roman"/>
      <w:bCs w:val="0"/>
      <w:kern w:val="0"/>
      <w:sz w:val="22"/>
      <w:szCs w:val="20"/>
      <w:u w:val="single"/>
      <w:lang w:val="sl-SI" w:eastAsia="sl-SI"/>
    </w:rPr>
  </w:style>
  <w:style w:type="numbering" w:customStyle="1" w:styleId="Brezseznama1">
    <w:name w:val="Brez seznama1"/>
    <w:next w:val="NoList"/>
    <w:uiPriority w:val="99"/>
    <w:semiHidden/>
    <w:unhideWhenUsed/>
    <w:rsid w:val="00091B58"/>
  </w:style>
  <w:style w:type="paragraph" w:styleId="NoSpacing">
    <w:name w:val="No Spacing"/>
    <w:uiPriority w:val="1"/>
    <w:qFormat/>
    <w:rsid w:val="002B123C"/>
    <w:pPr>
      <w:spacing w:after="0" w:line="240" w:lineRule="auto"/>
    </w:pPr>
    <w:rPr>
      <w:rFonts w:ascii="Times New Roman" w:eastAsia="Times New Roman" w:hAnsi="Times New Roman" w:cs="Times New Roman"/>
      <w:szCs w:val="20"/>
      <w:lang w:val="lt-LT" w:eastAsia="lt-LT"/>
    </w:rPr>
  </w:style>
  <w:style w:type="table" w:customStyle="1" w:styleId="TableGrid2">
    <w:name w:val="Table Grid2"/>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91B58"/>
  </w:style>
  <w:style w:type="numbering" w:customStyle="1" w:styleId="NoList111">
    <w:name w:val="No List111"/>
    <w:next w:val="NoList"/>
    <w:uiPriority w:val="99"/>
    <w:semiHidden/>
    <w:unhideWhenUsed/>
    <w:rsid w:val="00091B58"/>
  </w:style>
  <w:style w:type="paragraph" w:customStyle="1" w:styleId="Revision1">
    <w:name w:val="Revision1"/>
    <w:hidden/>
    <w:uiPriority w:val="99"/>
    <w:semiHidden/>
    <w:rsid w:val="002B123C"/>
    <w:pPr>
      <w:spacing w:after="0" w:line="240" w:lineRule="auto"/>
    </w:pPr>
    <w:rPr>
      <w:rFonts w:ascii="Times New Roman" w:eastAsia="SimSun" w:hAnsi="Times New Roman" w:cs="Times New Roman"/>
      <w:szCs w:val="20"/>
      <w:lang w:val="en-GB" w:eastAsia="zh-CN"/>
    </w:rPr>
  </w:style>
  <w:style w:type="character" w:customStyle="1" w:styleId="st">
    <w:name w:val="st"/>
    <w:uiPriority w:val="99"/>
    <w:rsid w:val="00091B58"/>
  </w:style>
  <w:style w:type="character" w:customStyle="1" w:styleId="st1">
    <w:name w:val="st1"/>
    <w:uiPriority w:val="99"/>
    <w:rsid w:val="00091B58"/>
  </w:style>
  <w:style w:type="paragraph" w:customStyle="1" w:styleId="Sraopastraipa10">
    <w:name w:val="Sąrao pastraipa1"/>
    <w:basedOn w:val="Normal"/>
    <w:uiPriority w:val="99"/>
    <w:rsid w:val="00091B58"/>
    <w:pPr>
      <w:ind w:left="720"/>
      <w:contextualSpacing/>
    </w:pPr>
    <w:rPr>
      <w:rFonts w:eastAsia="SimSun"/>
      <w:lang w:val="en-GB" w:eastAsia="el-GR"/>
    </w:rPr>
  </w:style>
  <w:style w:type="table" w:customStyle="1" w:styleId="TableGrid4">
    <w:name w:val="Table Grid4"/>
    <w:basedOn w:val="TableNormal"/>
    <w:next w:val="TableGrid"/>
    <w:uiPriority w:val="99"/>
    <w:rsid w:val="00091B58"/>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rsid w:val="00091B58"/>
    <w:pPr>
      <w:numPr>
        <w:numId w:val="15"/>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ListBullet">
    <w:name w:val="List Bullet"/>
    <w:basedOn w:val="Normal"/>
    <w:uiPriority w:val="99"/>
    <w:unhideWhenUsed/>
    <w:rsid w:val="00091B58"/>
    <w:pPr>
      <w:tabs>
        <w:tab w:val="num" w:pos="360"/>
      </w:tabs>
      <w:spacing w:after="200" w:line="276" w:lineRule="auto"/>
      <w:contextualSpacing/>
    </w:pPr>
    <w:rPr>
      <w:rFonts w:ascii="Calibri" w:eastAsia="Calibri" w:hAnsi="Calibri"/>
      <w:sz w:val="22"/>
      <w:szCs w:val="22"/>
    </w:rPr>
  </w:style>
  <w:style w:type="table" w:customStyle="1" w:styleId="TableGrid5">
    <w:name w:val="Table Grid5"/>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91B58"/>
    <w:pPr>
      <w:widowControl w:val="0"/>
      <w:spacing w:after="0" w:line="240" w:lineRule="auto"/>
    </w:pPr>
    <w:rPr>
      <w:rFonts w:ascii="Calibri" w:eastAsia="Calibri"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nthon2">
    <w:name w:val="Synthon 2"/>
    <w:basedOn w:val="TableNormal"/>
    <w:uiPriority w:val="99"/>
    <w:qFormat/>
    <w:rsid w:val="00091B58"/>
    <w:pPr>
      <w:spacing w:after="0" w:line="240" w:lineRule="auto"/>
    </w:pPr>
    <w:rPr>
      <w:rFonts w:ascii="Times New Roman" w:eastAsia="Times New Roman" w:hAnsi="Times New Roman" w:cs="Times New Roman"/>
      <w:sz w:val="20"/>
      <w:szCs w:val="20"/>
      <w:lang w:val="lt-LT" w:eastAsia="lt-LT"/>
    </w:rPr>
    <w:tblPr>
      <w:tblInd w:w="0" w:type="nil"/>
      <w:tblBorders>
        <w:bottom w:val="single" w:sz="4" w:space="0" w:color="000000"/>
      </w:tblBorders>
    </w:tblPr>
    <w:tblStylePr w:type="firstRow">
      <w:rPr>
        <w:b/>
        <w:i/>
      </w:rPr>
      <w:tblPr/>
      <w:tcPr>
        <w:tcBorders>
          <w:top w:val="single" w:sz="4" w:space="0" w:color="000000"/>
          <w:bottom w:val="single" w:sz="4" w:space="0" w:color="000000"/>
        </w:tcBorders>
      </w:tcPr>
    </w:tblStylePr>
  </w:style>
  <w:style w:type="paragraph" w:customStyle="1" w:styleId="TableParagraph">
    <w:name w:val="Table Paragraph"/>
    <w:basedOn w:val="Normal"/>
    <w:uiPriority w:val="1"/>
    <w:qFormat/>
    <w:rsid w:val="00091B58"/>
    <w:pPr>
      <w:widowControl w:val="0"/>
      <w:autoSpaceDE w:val="0"/>
      <w:autoSpaceDN w:val="0"/>
      <w:adjustRightInd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782455788">
      <w:bodyDiv w:val="1"/>
      <w:marLeft w:val="0"/>
      <w:marRight w:val="0"/>
      <w:marTop w:val="0"/>
      <w:marBottom w:val="0"/>
      <w:divBdr>
        <w:top w:val="none" w:sz="0" w:space="0" w:color="auto"/>
        <w:left w:val="none" w:sz="0" w:space="0" w:color="auto"/>
        <w:bottom w:val="none" w:sz="0" w:space="0" w:color="auto"/>
        <w:right w:val="none" w:sz="0" w:space="0" w:color="auto"/>
      </w:divBdr>
      <w:divsChild>
        <w:div w:id="111937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909714">
          <w:marLeft w:val="0"/>
          <w:marRight w:val="0"/>
          <w:marTop w:val="100"/>
          <w:marBottom w:val="100"/>
          <w:divBdr>
            <w:top w:val="none" w:sz="0" w:space="0" w:color="auto"/>
            <w:left w:val="none" w:sz="0" w:space="0" w:color="auto"/>
            <w:bottom w:val="none" w:sz="0" w:space="0" w:color="auto"/>
            <w:right w:val="none" w:sz="0" w:space="0" w:color="auto"/>
          </w:divBdr>
          <w:divsChild>
            <w:div w:id="1523209092">
              <w:marLeft w:val="0"/>
              <w:marRight w:val="0"/>
              <w:marTop w:val="0"/>
              <w:marBottom w:val="0"/>
              <w:divBdr>
                <w:top w:val="single" w:sz="48" w:space="0" w:color="FFFFFF"/>
                <w:left w:val="none" w:sz="0" w:space="0" w:color="auto"/>
                <w:bottom w:val="none" w:sz="0" w:space="0" w:color="auto"/>
                <w:right w:val="none" w:sz="0" w:space="0" w:color="auto"/>
              </w:divBdr>
            </w:div>
          </w:divsChild>
        </w:div>
      </w:divsChild>
    </w:div>
    <w:div w:id="1114862854">
      <w:bodyDiv w:val="1"/>
      <w:marLeft w:val="0"/>
      <w:marRight w:val="0"/>
      <w:marTop w:val="0"/>
      <w:marBottom w:val="0"/>
      <w:divBdr>
        <w:top w:val="none" w:sz="0" w:space="0" w:color="auto"/>
        <w:left w:val="none" w:sz="0" w:space="0" w:color="auto"/>
        <w:bottom w:val="none" w:sz="0" w:space="0" w:color="auto"/>
        <w:right w:val="none" w:sz="0" w:space="0" w:color="auto"/>
      </w:divBdr>
    </w:div>
    <w:div w:id="1265111809">
      <w:bodyDiv w:val="1"/>
      <w:marLeft w:val="0"/>
      <w:marRight w:val="0"/>
      <w:marTop w:val="0"/>
      <w:marBottom w:val="0"/>
      <w:divBdr>
        <w:top w:val="none" w:sz="0" w:space="0" w:color="auto"/>
        <w:left w:val="none" w:sz="0" w:space="0" w:color="auto"/>
        <w:bottom w:val="none" w:sz="0" w:space="0" w:color="auto"/>
        <w:right w:val="none" w:sz="0" w:space="0" w:color="auto"/>
      </w:divBdr>
      <w:divsChild>
        <w:div w:id="1407264242">
          <w:marLeft w:val="0"/>
          <w:marRight w:val="0"/>
          <w:marTop w:val="0"/>
          <w:marBottom w:val="0"/>
          <w:divBdr>
            <w:top w:val="none" w:sz="0" w:space="0" w:color="auto"/>
            <w:left w:val="none" w:sz="0" w:space="0" w:color="auto"/>
            <w:bottom w:val="none" w:sz="0" w:space="0" w:color="auto"/>
            <w:right w:val="none" w:sz="0" w:space="0" w:color="auto"/>
          </w:divBdr>
          <w:divsChild>
            <w:div w:id="1867939247">
              <w:marLeft w:val="0"/>
              <w:marRight w:val="0"/>
              <w:marTop w:val="0"/>
              <w:marBottom w:val="0"/>
              <w:divBdr>
                <w:top w:val="none" w:sz="0" w:space="0" w:color="auto"/>
                <w:left w:val="none" w:sz="0" w:space="0" w:color="auto"/>
                <w:bottom w:val="none" w:sz="0" w:space="0" w:color="auto"/>
                <w:right w:val="none" w:sz="0" w:space="0" w:color="auto"/>
              </w:divBdr>
              <w:divsChild>
                <w:div w:id="1209952533">
                  <w:marLeft w:val="0"/>
                  <w:marRight w:val="0"/>
                  <w:marTop w:val="0"/>
                  <w:marBottom w:val="0"/>
                  <w:divBdr>
                    <w:top w:val="none" w:sz="0" w:space="0" w:color="auto"/>
                    <w:left w:val="none" w:sz="0" w:space="0" w:color="auto"/>
                    <w:bottom w:val="none" w:sz="0" w:space="0" w:color="auto"/>
                    <w:right w:val="none" w:sz="0" w:space="0" w:color="auto"/>
                  </w:divBdr>
                  <w:divsChild>
                    <w:div w:id="1060983415">
                      <w:marLeft w:val="0"/>
                      <w:marRight w:val="0"/>
                      <w:marTop w:val="0"/>
                      <w:marBottom w:val="0"/>
                      <w:divBdr>
                        <w:top w:val="none" w:sz="0" w:space="0" w:color="auto"/>
                        <w:left w:val="none" w:sz="0" w:space="0" w:color="auto"/>
                        <w:bottom w:val="none" w:sz="0" w:space="0" w:color="auto"/>
                        <w:right w:val="none" w:sz="0" w:space="0" w:color="auto"/>
                      </w:divBdr>
                      <w:divsChild>
                        <w:div w:id="1677614745">
                          <w:marLeft w:val="0"/>
                          <w:marRight w:val="0"/>
                          <w:marTop w:val="0"/>
                          <w:marBottom w:val="0"/>
                          <w:divBdr>
                            <w:top w:val="none" w:sz="0" w:space="0" w:color="auto"/>
                            <w:left w:val="none" w:sz="0" w:space="0" w:color="auto"/>
                            <w:bottom w:val="none" w:sz="0" w:space="0" w:color="auto"/>
                            <w:right w:val="none" w:sz="0" w:space="0" w:color="auto"/>
                          </w:divBdr>
                          <w:divsChild>
                            <w:div w:id="173763784">
                              <w:marLeft w:val="0"/>
                              <w:marRight w:val="0"/>
                              <w:marTop w:val="0"/>
                              <w:marBottom w:val="0"/>
                              <w:divBdr>
                                <w:top w:val="none" w:sz="0" w:space="0" w:color="auto"/>
                                <w:left w:val="none" w:sz="0" w:space="0" w:color="auto"/>
                                <w:bottom w:val="none" w:sz="0" w:space="0" w:color="auto"/>
                                <w:right w:val="none" w:sz="0" w:space="0" w:color="auto"/>
                              </w:divBdr>
                              <w:divsChild>
                                <w:div w:id="915748061">
                                  <w:marLeft w:val="0"/>
                                  <w:marRight w:val="0"/>
                                  <w:marTop w:val="0"/>
                                  <w:marBottom w:val="0"/>
                                  <w:divBdr>
                                    <w:top w:val="none" w:sz="0" w:space="0" w:color="auto"/>
                                    <w:left w:val="none" w:sz="0" w:space="0" w:color="auto"/>
                                    <w:bottom w:val="none" w:sz="0" w:space="0" w:color="auto"/>
                                    <w:right w:val="none" w:sz="0" w:space="0" w:color="auto"/>
                                  </w:divBdr>
                                  <w:divsChild>
                                    <w:div w:id="597176908">
                                      <w:marLeft w:val="60"/>
                                      <w:marRight w:val="0"/>
                                      <w:marTop w:val="0"/>
                                      <w:marBottom w:val="0"/>
                                      <w:divBdr>
                                        <w:top w:val="none" w:sz="0" w:space="0" w:color="auto"/>
                                        <w:left w:val="none" w:sz="0" w:space="0" w:color="auto"/>
                                        <w:bottom w:val="none" w:sz="0" w:space="0" w:color="auto"/>
                                        <w:right w:val="none" w:sz="0" w:space="0" w:color="auto"/>
                                      </w:divBdr>
                                      <w:divsChild>
                                        <w:div w:id="2121102368">
                                          <w:marLeft w:val="0"/>
                                          <w:marRight w:val="0"/>
                                          <w:marTop w:val="0"/>
                                          <w:marBottom w:val="0"/>
                                          <w:divBdr>
                                            <w:top w:val="none" w:sz="0" w:space="0" w:color="auto"/>
                                            <w:left w:val="none" w:sz="0" w:space="0" w:color="auto"/>
                                            <w:bottom w:val="none" w:sz="0" w:space="0" w:color="auto"/>
                                            <w:right w:val="none" w:sz="0" w:space="0" w:color="auto"/>
                                          </w:divBdr>
                                          <w:divsChild>
                                            <w:div w:id="1778210241">
                                              <w:marLeft w:val="0"/>
                                              <w:marRight w:val="0"/>
                                              <w:marTop w:val="0"/>
                                              <w:marBottom w:val="120"/>
                                              <w:divBdr>
                                                <w:top w:val="single" w:sz="6" w:space="0" w:color="F5F5F5"/>
                                                <w:left w:val="single" w:sz="6" w:space="0" w:color="F5F5F5"/>
                                                <w:bottom w:val="single" w:sz="6" w:space="0" w:color="F5F5F5"/>
                                                <w:right w:val="single" w:sz="6" w:space="0" w:color="F5F5F5"/>
                                              </w:divBdr>
                                              <w:divsChild>
                                                <w:div w:id="1538929463">
                                                  <w:marLeft w:val="0"/>
                                                  <w:marRight w:val="0"/>
                                                  <w:marTop w:val="0"/>
                                                  <w:marBottom w:val="0"/>
                                                  <w:divBdr>
                                                    <w:top w:val="none" w:sz="0" w:space="0" w:color="auto"/>
                                                    <w:left w:val="none" w:sz="0" w:space="0" w:color="auto"/>
                                                    <w:bottom w:val="none" w:sz="0" w:space="0" w:color="auto"/>
                                                    <w:right w:val="none" w:sz="0" w:space="0" w:color="auto"/>
                                                  </w:divBdr>
                                                  <w:divsChild>
                                                    <w:div w:id="142629116">
                                                      <w:marLeft w:val="0"/>
                                                      <w:marRight w:val="0"/>
                                                      <w:marTop w:val="0"/>
                                                      <w:marBottom w:val="0"/>
                                                      <w:divBdr>
                                                        <w:top w:val="none" w:sz="0" w:space="0" w:color="auto"/>
                                                        <w:left w:val="none" w:sz="0" w:space="0" w:color="auto"/>
                                                        <w:bottom w:val="none" w:sz="0" w:space="0" w:color="auto"/>
                                                        <w:right w:val="none" w:sz="0" w:space="0" w:color="auto"/>
                                                      </w:divBdr>
                                                    </w:div>
                                                  </w:divsChild>
                                                </w:div>
                                                <w:div w:id="1374043644">
                                                  <w:marLeft w:val="0"/>
                                                  <w:marRight w:val="0"/>
                                                  <w:marTop w:val="0"/>
                                                  <w:marBottom w:val="0"/>
                                                  <w:divBdr>
                                                    <w:top w:val="none" w:sz="0" w:space="0" w:color="auto"/>
                                                    <w:left w:val="none" w:sz="0" w:space="0" w:color="auto"/>
                                                    <w:bottom w:val="none" w:sz="0" w:space="0" w:color="auto"/>
                                                    <w:right w:val="none" w:sz="0" w:space="0" w:color="auto"/>
                                                  </w:divBdr>
                                                  <w:divsChild>
                                                    <w:div w:id="13075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568205">
      <w:bodyDiv w:val="1"/>
      <w:marLeft w:val="0"/>
      <w:marRight w:val="0"/>
      <w:marTop w:val="0"/>
      <w:marBottom w:val="0"/>
      <w:divBdr>
        <w:top w:val="none" w:sz="0" w:space="0" w:color="auto"/>
        <w:left w:val="none" w:sz="0" w:space="0" w:color="auto"/>
        <w:bottom w:val="none" w:sz="0" w:space="0" w:color="auto"/>
        <w:right w:val="none" w:sz="0" w:space="0" w:color="auto"/>
      </w:divBdr>
      <w:divsChild>
        <w:div w:id="2089840570">
          <w:marLeft w:val="0"/>
          <w:marRight w:val="0"/>
          <w:marTop w:val="0"/>
          <w:marBottom w:val="0"/>
          <w:divBdr>
            <w:top w:val="none" w:sz="0" w:space="0" w:color="auto"/>
            <w:left w:val="none" w:sz="0" w:space="0" w:color="auto"/>
            <w:bottom w:val="none" w:sz="0" w:space="0" w:color="auto"/>
            <w:right w:val="none" w:sz="0" w:space="0" w:color="auto"/>
          </w:divBdr>
        </w:div>
      </w:divsChild>
    </w:div>
    <w:div w:id="2002658277">
      <w:bodyDiv w:val="1"/>
      <w:marLeft w:val="0"/>
      <w:marRight w:val="0"/>
      <w:marTop w:val="0"/>
      <w:marBottom w:val="0"/>
      <w:divBdr>
        <w:top w:val="none" w:sz="0" w:space="0" w:color="auto"/>
        <w:left w:val="none" w:sz="0" w:space="0" w:color="auto"/>
        <w:bottom w:val="none" w:sz="0" w:space="0" w:color="auto"/>
        <w:right w:val="none" w:sz="0" w:space="0" w:color="auto"/>
      </w:divBdr>
      <w:divsChild>
        <w:div w:id="1259145129">
          <w:marLeft w:val="0"/>
          <w:marRight w:val="0"/>
          <w:marTop w:val="0"/>
          <w:marBottom w:val="0"/>
          <w:divBdr>
            <w:top w:val="none" w:sz="0" w:space="0" w:color="auto"/>
            <w:left w:val="none" w:sz="0" w:space="0" w:color="auto"/>
            <w:bottom w:val="none" w:sz="0" w:space="0" w:color="auto"/>
            <w:right w:val="none" w:sz="0" w:space="0" w:color="auto"/>
          </w:divBdr>
          <w:divsChild>
            <w:div w:id="328681582">
              <w:marLeft w:val="0"/>
              <w:marRight w:val="0"/>
              <w:marTop w:val="0"/>
              <w:marBottom w:val="0"/>
              <w:divBdr>
                <w:top w:val="none" w:sz="0" w:space="0" w:color="auto"/>
                <w:left w:val="none" w:sz="0" w:space="0" w:color="auto"/>
                <w:bottom w:val="none" w:sz="0" w:space="0" w:color="auto"/>
                <w:right w:val="none" w:sz="0" w:space="0" w:color="auto"/>
              </w:divBdr>
              <w:divsChild>
                <w:div w:id="990520023">
                  <w:marLeft w:val="0"/>
                  <w:marRight w:val="0"/>
                  <w:marTop w:val="0"/>
                  <w:marBottom w:val="0"/>
                  <w:divBdr>
                    <w:top w:val="single" w:sz="6" w:space="0" w:color="A79C50"/>
                    <w:left w:val="none" w:sz="0" w:space="0" w:color="auto"/>
                    <w:bottom w:val="none" w:sz="0" w:space="0" w:color="auto"/>
                    <w:right w:val="none" w:sz="0" w:space="0" w:color="auto"/>
                  </w:divBdr>
                  <w:divsChild>
                    <w:div w:id="1979532798">
                      <w:marLeft w:val="0"/>
                      <w:marRight w:val="0"/>
                      <w:marTop w:val="0"/>
                      <w:marBottom w:val="0"/>
                      <w:divBdr>
                        <w:top w:val="none" w:sz="0" w:space="0" w:color="auto"/>
                        <w:left w:val="none" w:sz="0" w:space="0" w:color="auto"/>
                        <w:bottom w:val="none" w:sz="0" w:space="0" w:color="auto"/>
                        <w:right w:val="none" w:sz="0" w:space="0" w:color="auto"/>
                      </w:divBdr>
                      <w:divsChild>
                        <w:div w:id="41754004">
                          <w:marLeft w:val="0"/>
                          <w:marRight w:val="0"/>
                          <w:marTop w:val="0"/>
                          <w:marBottom w:val="0"/>
                          <w:divBdr>
                            <w:top w:val="none" w:sz="0" w:space="0" w:color="auto"/>
                            <w:left w:val="none" w:sz="0" w:space="0" w:color="auto"/>
                            <w:bottom w:val="none" w:sz="0" w:space="0" w:color="auto"/>
                            <w:right w:val="none" w:sz="0" w:space="0" w:color="auto"/>
                          </w:divBdr>
                        </w:div>
                        <w:div w:id="593824634">
                          <w:marLeft w:val="0"/>
                          <w:marRight w:val="0"/>
                          <w:marTop w:val="0"/>
                          <w:marBottom w:val="0"/>
                          <w:divBdr>
                            <w:top w:val="none" w:sz="0" w:space="0" w:color="auto"/>
                            <w:left w:val="none" w:sz="0" w:space="0" w:color="auto"/>
                            <w:bottom w:val="none" w:sz="0" w:space="0" w:color="auto"/>
                            <w:right w:val="none" w:sz="0" w:space="0" w:color="auto"/>
                          </w:divBdr>
                        </w:div>
                        <w:div w:id="707410426">
                          <w:marLeft w:val="0"/>
                          <w:marRight w:val="0"/>
                          <w:marTop w:val="0"/>
                          <w:marBottom w:val="0"/>
                          <w:divBdr>
                            <w:top w:val="none" w:sz="0" w:space="0" w:color="auto"/>
                            <w:left w:val="none" w:sz="0" w:space="0" w:color="auto"/>
                            <w:bottom w:val="none" w:sz="0" w:space="0" w:color="auto"/>
                            <w:right w:val="none" w:sz="0" w:space="0" w:color="auto"/>
                          </w:divBdr>
                        </w:div>
                        <w:div w:id="933173671">
                          <w:marLeft w:val="0"/>
                          <w:marRight w:val="0"/>
                          <w:marTop w:val="0"/>
                          <w:marBottom w:val="0"/>
                          <w:divBdr>
                            <w:top w:val="none" w:sz="0" w:space="0" w:color="auto"/>
                            <w:left w:val="none" w:sz="0" w:space="0" w:color="auto"/>
                            <w:bottom w:val="none" w:sz="0" w:space="0" w:color="auto"/>
                            <w:right w:val="none" w:sz="0" w:space="0" w:color="auto"/>
                          </w:divBdr>
                        </w:div>
                        <w:div w:id="994382135">
                          <w:marLeft w:val="0"/>
                          <w:marRight w:val="0"/>
                          <w:marTop w:val="0"/>
                          <w:marBottom w:val="0"/>
                          <w:divBdr>
                            <w:top w:val="none" w:sz="0" w:space="0" w:color="auto"/>
                            <w:left w:val="none" w:sz="0" w:space="0" w:color="auto"/>
                            <w:bottom w:val="none" w:sz="0" w:space="0" w:color="auto"/>
                            <w:right w:val="none" w:sz="0" w:space="0" w:color="auto"/>
                          </w:divBdr>
                        </w:div>
                        <w:div w:id="1292444772">
                          <w:marLeft w:val="0"/>
                          <w:marRight w:val="0"/>
                          <w:marTop w:val="0"/>
                          <w:marBottom w:val="0"/>
                          <w:divBdr>
                            <w:top w:val="none" w:sz="0" w:space="0" w:color="auto"/>
                            <w:left w:val="none" w:sz="0" w:space="0" w:color="auto"/>
                            <w:bottom w:val="none" w:sz="0" w:space="0" w:color="auto"/>
                            <w:right w:val="none" w:sz="0" w:space="0" w:color="auto"/>
                          </w:divBdr>
                        </w:div>
                        <w:div w:id="13857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 w:id="2044134032">
      <w:bodyDiv w:val="1"/>
      <w:marLeft w:val="0"/>
      <w:marRight w:val="0"/>
      <w:marTop w:val="0"/>
      <w:marBottom w:val="0"/>
      <w:divBdr>
        <w:top w:val="none" w:sz="0" w:space="0" w:color="auto"/>
        <w:left w:val="none" w:sz="0" w:space="0" w:color="auto"/>
        <w:bottom w:val="none" w:sz="0" w:space="0" w:color="auto"/>
        <w:right w:val="none" w:sz="0" w:space="0" w:color="auto"/>
      </w:divBdr>
    </w:div>
    <w:div w:id="2070227078">
      <w:bodyDiv w:val="1"/>
      <w:marLeft w:val="0"/>
      <w:marRight w:val="0"/>
      <w:marTop w:val="0"/>
      <w:marBottom w:val="0"/>
      <w:divBdr>
        <w:top w:val="none" w:sz="0" w:space="0" w:color="auto"/>
        <w:left w:val="none" w:sz="0" w:space="0" w:color="auto"/>
        <w:bottom w:val="none" w:sz="0" w:space="0" w:color="auto"/>
        <w:right w:val="none" w:sz="0" w:space="0" w:color="auto"/>
      </w:divBdr>
      <w:divsChild>
        <w:div w:id="688869788">
          <w:marLeft w:val="0"/>
          <w:marRight w:val="0"/>
          <w:marTop w:val="0"/>
          <w:marBottom w:val="0"/>
          <w:divBdr>
            <w:top w:val="none" w:sz="0" w:space="0" w:color="auto"/>
            <w:left w:val="none" w:sz="0" w:space="0" w:color="auto"/>
            <w:bottom w:val="none" w:sz="0" w:space="0" w:color="auto"/>
            <w:right w:val="none" w:sz="0" w:space="0" w:color="auto"/>
          </w:divBdr>
          <w:divsChild>
            <w:div w:id="1245914195">
              <w:marLeft w:val="-225"/>
              <w:marRight w:val="-225"/>
              <w:marTop w:val="0"/>
              <w:marBottom w:val="0"/>
              <w:divBdr>
                <w:top w:val="none" w:sz="0" w:space="0" w:color="auto"/>
                <w:left w:val="none" w:sz="0" w:space="0" w:color="auto"/>
                <w:bottom w:val="none" w:sz="0" w:space="0" w:color="auto"/>
                <w:right w:val="none" w:sz="0" w:space="0" w:color="auto"/>
              </w:divBdr>
              <w:divsChild>
                <w:div w:id="1124158748">
                  <w:marLeft w:val="0"/>
                  <w:marRight w:val="0"/>
                  <w:marTop w:val="0"/>
                  <w:marBottom w:val="0"/>
                  <w:divBdr>
                    <w:top w:val="none" w:sz="0" w:space="0" w:color="auto"/>
                    <w:left w:val="none" w:sz="0" w:space="0" w:color="auto"/>
                    <w:bottom w:val="none" w:sz="0" w:space="0" w:color="auto"/>
                    <w:right w:val="none" w:sz="0" w:space="0" w:color="auto"/>
                  </w:divBdr>
                  <w:divsChild>
                    <w:div w:id="12959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7589715">
          <w:marLeft w:val="0"/>
          <w:marRight w:val="0"/>
          <w:marTop w:val="0"/>
          <w:marBottom w:val="0"/>
          <w:divBdr>
            <w:top w:val="none" w:sz="0" w:space="0" w:color="auto"/>
            <w:left w:val="none" w:sz="0" w:space="0" w:color="auto"/>
            <w:bottom w:val="none" w:sz="0" w:space="0" w:color="auto"/>
            <w:right w:val="none" w:sz="0" w:space="0" w:color="auto"/>
          </w:divBdr>
          <w:divsChild>
            <w:div w:id="951282789">
              <w:marLeft w:val="0"/>
              <w:marRight w:val="0"/>
              <w:marTop w:val="0"/>
              <w:marBottom w:val="0"/>
              <w:divBdr>
                <w:top w:val="none" w:sz="0" w:space="0" w:color="auto"/>
                <w:left w:val="none" w:sz="0" w:space="0" w:color="auto"/>
                <w:bottom w:val="none" w:sz="0" w:space="0" w:color="auto"/>
                <w:right w:val="none" w:sz="0" w:space="0" w:color="auto"/>
              </w:divBdr>
              <w:divsChild>
                <w:div w:id="583614176">
                  <w:marLeft w:val="0"/>
                  <w:marRight w:val="0"/>
                  <w:marTop w:val="0"/>
                  <w:marBottom w:val="0"/>
                  <w:divBdr>
                    <w:top w:val="none" w:sz="0" w:space="0" w:color="auto"/>
                    <w:left w:val="none" w:sz="0" w:space="0" w:color="auto"/>
                    <w:bottom w:val="none" w:sz="0" w:space="0" w:color="auto"/>
                    <w:right w:val="none" w:sz="0" w:space="0" w:color="auto"/>
                  </w:divBdr>
                  <w:divsChild>
                    <w:div w:id="148713536">
                      <w:marLeft w:val="0"/>
                      <w:marRight w:val="0"/>
                      <w:marTop w:val="0"/>
                      <w:marBottom w:val="0"/>
                      <w:divBdr>
                        <w:top w:val="none" w:sz="0" w:space="0" w:color="auto"/>
                        <w:left w:val="none" w:sz="0" w:space="0" w:color="auto"/>
                        <w:bottom w:val="none" w:sz="0" w:space="0" w:color="auto"/>
                        <w:right w:val="none" w:sz="0" w:space="0" w:color="auto"/>
                      </w:divBdr>
                      <w:divsChild>
                        <w:div w:id="848519205">
                          <w:marLeft w:val="0"/>
                          <w:marRight w:val="0"/>
                          <w:marTop w:val="0"/>
                          <w:marBottom w:val="0"/>
                          <w:divBdr>
                            <w:top w:val="none" w:sz="0" w:space="0" w:color="auto"/>
                            <w:left w:val="none" w:sz="0" w:space="0" w:color="auto"/>
                            <w:bottom w:val="none" w:sz="0" w:space="0" w:color="auto"/>
                            <w:right w:val="none" w:sz="0" w:space="0" w:color="auto"/>
                          </w:divBdr>
                          <w:divsChild>
                            <w:div w:id="527642038">
                              <w:marLeft w:val="0"/>
                              <w:marRight w:val="0"/>
                              <w:marTop w:val="0"/>
                              <w:marBottom w:val="0"/>
                              <w:divBdr>
                                <w:top w:val="none" w:sz="0" w:space="0" w:color="auto"/>
                                <w:left w:val="none" w:sz="0" w:space="0" w:color="auto"/>
                                <w:bottom w:val="none" w:sz="0" w:space="0" w:color="auto"/>
                                <w:right w:val="none" w:sz="0" w:space="0" w:color="auto"/>
                              </w:divBdr>
                              <w:divsChild>
                                <w:div w:id="1535118458">
                                  <w:marLeft w:val="0"/>
                                  <w:marRight w:val="0"/>
                                  <w:marTop w:val="0"/>
                                  <w:marBottom w:val="0"/>
                                  <w:divBdr>
                                    <w:top w:val="none" w:sz="0" w:space="0" w:color="auto"/>
                                    <w:left w:val="none" w:sz="0" w:space="0" w:color="auto"/>
                                    <w:bottom w:val="none" w:sz="0" w:space="0" w:color="auto"/>
                                    <w:right w:val="none" w:sz="0" w:space="0" w:color="auto"/>
                                  </w:divBdr>
                                  <w:divsChild>
                                    <w:div w:id="1121343116">
                                      <w:marLeft w:val="60"/>
                                      <w:marRight w:val="0"/>
                                      <w:marTop w:val="0"/>
                                      <w:marBottom w:val="0"/>
                                      <w:divBdr>
                                        <w:top w:val="none" w:sz="0" w:space="0" w:color="auto"/>
                                        <w:left w:val="none" w:sz="0" w:space="0" w:color="auto"/>
                                        <w:bottom w:val="none" w:sz="0" w:space="0" w:color="auto"/>
                                        <w:right w:val="none" w:sz="0" w:space="0" w:color="auto"/>
                                      </w:divBdr>
                                      <w:divsChild>
                                        <w:div w:id="559292120">
                                          <w:marLeft w:val="0"/>
                                          <w:marRight w:val="0"/>
                                          <w:marTop w:val="0"/>
                                          <w:marBottom w:val="0"/>
                                          <w:divBdr>
                                            <w:top w:val="none" w:sz="0" w:space="0" w:color="auto"/>
                                            <w:left w:val="none" w:sz="0" w:space="0" w:color="auto"/>
                                            <w:bottom w:val="none" w:sz="0" w:space="0" w:color="auto"/>
                                            <w:right w:val="none" w:sz="0" w:space="0" w:color="auto"/>
                                          </w:divBdr>
                                          <w:divsChild>
                                            <w:div w:id="697897836">
                                              <w:marLeft w:val="0"/>
                                              <w:marRight w:val="0"/>
                                              <w:marTop w:val="0"/>
                                              <w:marBottom w:val="120"/>
                                              <w:divBdr>
                                                <w:top w:val="single" w:sz="6" w:space="0" w:color="F5F5F5"/>
                                                <w:left w:val="single" w:sz="6" w:space="0" w:color="F5F5F5"/>
                                                <w:bottom w:val="single" w:sz="6" w:space="0" w:color="F5F5F5"/>
                                                <w:right w:val="single" w:sz="6" w:space="0" w:color="F5F5F5"/>
                                              </w:divBdr>
                                              <w:divsChild>
                                                <w:div w:id="1006397281">
                                                  <w:marLeft w:val="0"/>
                                                  <w:marRight w:val="0"/>
                                                  <w:marTop w:val="0"/>
                                                  <w:marBottom w:val="0"/>
                                                  <w:divBdr>
                                                    <w:top w:val="none" w:sz="0" w:space="0" w:color="auto"/>
                                                    <w:left w:val="none" w:sz="0" w:space="0" w:color="auto"/>
                                                    <w:bottom w:val="none" w:sz="0" w:space="0" w:color="auto"/>
                                                    <w:right w:val="none" w:sz="0" w:space="0" w:color="auto"/>
                                                  </w:divBdr>
                                                  <w:divsChild>
                                                    <w:div w:id="77602216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20041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7AD0-E219-4685-BA46-77D2931D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62256</Words>
  <Characters>35486</Characters>
  <Application>Microsoft Office Word</Application>
  <DocSecurity>0</DocSecurity>
  <Lines>295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Birutė Valkauskaitė</cp:lastModifiedBy>
  <cp:revision>6</cp:revision>
  <dcterms:created xsi:type="dcterms:W3CDTF">2024-03-20T07:26:00Z</dcterms:created>
  <dcterms:modified xsi:type="dcterms:W3CDTF">2024-03-20T07:42:00Z</dcterms:modified>
</cp:coreProperties>
</file>