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A7D7BC" w14:textId="77777777" w:rsidR="00602606" w:rsidRDefault="00602606">
      <w:pPr>
        <w:widowControl w:val="0"/>
        <w:contextualSpacing/>
        <w:outlineLvl w:val="0"/>
        <w:rPr>
          <w:rFonts w:eastAsia="Calibri"/>
          <w:sz w:val="22"/>
          <w:szCs w:val="22"/>
        </w:rPr>
      </w:pPr>
    </w:p>
    <w:p w14:paraId="4E0C2F5F" w14:textId="77777777" w:rsidR="00602606" w:rsidRDefault="00602606">
      <w:pPr>
        <w:widowControl w:val="0"/>
        <w:contextualSpacing/>
        <w:outlineLvl w:val="0"/>
        <w:rPr>
          <w:rFonts w:eastAsia="Calibri"/>
          <w:sz w:val="22"/>
          <w:szCs w:val="22"/>
        </w:rPr>
      </w:pPr>
    </w:p>
    <w:p w14:paraId="448234E4" w14:textId="77777777" w:rsidR="00602606" w:rsidRDefault="00602606">
      <w:pPr>
        <w:widowControl w:val="0"/>
        <w:contextualSpacing/>
        <w:outlineLvl w:val="0"/>
        <w:rPr>
          <w:rFonts w:eastAsia="Calibri"/>
          <w:sz w:val="22"/>
          <w:szCs w:val="22"/>
        </w:rPr>
      </w:pPr>
    </w:p>
    <w:p w14:paraId="5233DF73" w14:textId="77777777" w:rsidR="00602606" w:rsidRDefault="00602606">
      <w:pPr>
        <w:widowControl w:val="0"/>
        <w:contextualSpacing/>
        <w:outlineLvl w:val="0"/>
        <w:rPr>
          <w:rFonts w:eastAsia="Calibri"/>
          <w:sz w:val="22"/>
          <w:szCs w:val="22"/>
        </w:rPr>
      </w:pPr>
    </w:p>
    <w:p w14:paraId="2B1029B4" w14:textId="77777777" w:rsidR="00602606" w:rsidRDefault="00602606">
      <w:pPr>
        <w:widowControl w:val="0"/>
        <w:contextualSpacing/>
        <w:outlineLvl w:val="0"/>
        <w:rPr>
          <w:rFonts w:eastAsia="Calibri"/>
          <w:sz w:val="22"/>
          <w:szCs w:val="22"/>
        </w:rPr>
      </w:pPr>
    </w:p>
    <w:p w14:paraId="261C9996" w14:textId="77777777" w:rsidR="00602606" w:rsidRDefault="00602606">
      <w:pPr>
        <w:widowControl w:val="0"/>
        <w:contextualSpacing/>
        <w:outlineLvl w:val="0"/>
        <w:rPr>
          <w:rFonts w:eastAsia="Calibri"/>
          <w:sz w:val="22"/>
          <w:szCs w:val="22"/>
        </w:rPr>
      </w:pPr>
    </w:p>
    <w:p w14:paraId="323CD600" w14:textId="77777777" w:rsidR="00602606" w:rsidRDefault="00602606">
      <w:pPr>
        <w:widowControl w:val="0"/>
        <w:contextualSpacing/>
        <w:outlineLvl w:val="0"/>
        <w:rPr>
          <w:rFonts w:eastAsia="Calibri"/>
          <w:sz w:val="22"/>
          <w:szCs w:val="22"/>
        </w:rPr>
      </w:pPr>
    </w:p>
    <w:p w14:paraId="62EA94EA" w14:textId="77777777" w:rsidR="00602606" w:rsidRDefault="00602606">
      <w:pPr>
        <w:widowControl w:val="0"/>
        <w:contextualSpacing/>
        <w:outlineLvl w:val="0"/>
        <w:rPr>
          <w:rFonts w:eastAsia="Calibri"/>
          <w:sz w:val="22"/>
          <w:szCs w:val="22"/>
        </w:rPr>
      </w:pPr>
    </w:p>
    <w:p w14:paraId="5C5FC9D2" w14:textId="77777777" w:rsidR="00602606" w:rsidRDefault="00602606">
      <w:pPr>
        <w:widowControl w:val="0"/>
        <w:contextualSpacing/>
        <w:outlineLvl w:val="0"/>
        <w:rPr>
          <w:rFonts w:eastAsia="Calibri"/>
          <w:sz w:val="22"/>
          <w:szCs w:val="22"/>
        </w:rPr>
      </w:pPr>
    </w:p>
    <w:p w14:paraId="61CE5DF2" w14:textId="77777777" w:rsidR="00602606" w:rsidRDefault="00602606">
      <w:pPr>
        <w:widowControl w:val="0"/>
        <w:contextualSpacing/>
        <w:outlineLvl w:val="0"/>
        <w:rPr>
          <w:rFonts w:eastAsia="Calibri"/>
          <w:sz w:val="22"/>
          <w:szCs w:val="22"/>
        </w:rPr>
      </w:pPr>
    </w:p>
    <w:p w14:paraId="44F6F2E4" w14:textId="77777777" w:rsidR="00602606" w:rsidRDefault="00602606">
      <w:pPr>
        <w:widowControl w:val="0"/>
        <w:contextualSpacing/>
        <w:outlineLvl w:val="0"/>
        <w:rPr>
          <w:rFonts w:eastAsia="Calibri"/>
          <w:sz w:val="22"/>
          <w:szCs w:val="22"/>
        </w:rPr>
      </w:pPr>
    </w:p>
    <w:p w14:paraId="50D0F6D5" w14:textId="77777777" w:rsidR="00602606" w:rsidRDefault="00602606">
      <w:pPr>
        <w:widowControl w:val="0"/>
        <w:contextualSpacing/>
        <w:outlineLvl w:val="0"/>
        <w:rPr>
          <w:rFonts w:eastAsia="Calibri"/>
          <w:sz w:val="22"/>
          <w:szCs w:val="22"/>
        </w:rPr>
      </w:pPr>
    </w:p>
    <w:p w14:paraId="7B9A39B1" w14:textId="77777777" w:rsidR="00602606" w:rsidRDefault="00602606">
      <w:pPr>
        <w:widowControl w:val="0"/>
        <w:contextualSpacing/>
        <w:outlineLvl w:val="0"/>
        <w:rPr>
          <w:rFonts w:eastAsia="Calibri"/>
          <w:sz w:val="22"/>
          <w:szCs w:val="22"/>
        </w:rPr>
      </w:pPr>
    </w:p>
    <w:p w14:paraId="66A44637" w14:textId="77777777" w:rsidR="00602606" w:rsidRDefault="00602606">
      <w:pPr>
        <w:widowControl w:val="0"/>
        <w:contextualSpacing/>
        <w:outlineLvl w:val="0"/>
        <w:rPr>
          <w:rFonts w:eastAsia="Calibri"/>
          <w:sz w:val="22"/>
          <w:szCs w:val="22"/>
        </w:rPr>
      </w:pPr>
    </w:p>
    <w:p w14:paraId="4726A331" w14:textId="77777777" w:rsidR="00602606" w:rsidRDefault="00602606">
      <w:pPr>
        <w:widowControl w:val="0"/>
        <w:contextualSpacing/>
        <w:outlineLvl w:val="0"/>
        <w:rPr>
          <w:rFonts w:eastAsia="Calibri"/>
          <w:sz w:val="22"/>
          <w:szCs w:val="22"/>
        </w:rPr>
      </w:pPr>
    </w:p>
    <w:p w14:paraId="304F6844" w14:textId="77777777" w:rsidR="00602606" w:rsidRDefault="00602606">
      <w:pPr>
        <w:widowControl w:val="0"/>
        <w:contextualSpacing/>
        <w:outlineLvl w:val="0"/>
        <w:rPr>
          <w:rFonts w:eastAsia="Calibri"/>
          <w:sz w:val="22"/>
          <w:szCs w:val="22"/>
        </w:rPr>
      </w:pPr>
    </w:p>
    <w:p w14:paraId="715FCDE5" w14:textId="77777777" w:rsidR="00602606" w:rsidRDefault="00602606">
      <w:pPr>
        <w:widowControl w:val="0"/>
        <w:contextualSpacing/>
        <w:outlineLvl w:val="0"/>
        <w:rPr>
          <w:rFonts w:eastAsia="Calibri"/>
          <w:sz w:val="22"/>
          <w:szCs w:val="22"/>
        </w:rPr>
      </w:pPr>
    </w:p>
    <w:p w14:paraId="036AB831" w14:textId="77777777" w:rsidR="00602606" w:rsidRDefault="00602606">
      <w:pPr>
        <w:widowControl w:val="0"/>
        <w:contextualSpacing/>
        <w:outlineLvl w:val="0"/>
        <w:rPr>
          <w:rFonts w:eastAsia="Calibri"/>
          <w:sz w:val="22"/>
          <w:szCs w:val="22"/>
        </w:rPr>
      </w:pPr>
    </w:p>
    <w:p w14:paraId="3028D5CA" w14:textId="77777777" w:rsidR="00602606" w:rsidRDefault="00602606">
      <w:pPr>
        <w:widowControl w:val="0"/>
        <w:contextualSpacing/>
        <w:outlineLvl w:val="0"/>
        <w:rPr>
          <w:rFonts w:eastAsia="Calibri"/>
          <w:sz w:val="22"/>
          <w:szCs w:val="22"/>
        </w:rPr>
      </w:pPr>
    </w:p>
    <w:p w14:paraId="299E83BF" w14:textId="77777777" w:rsidR="00602606" w:rsidRDefault="00602606">
      <w:pPr>
        <w:widowControl w:val="0"/>
        <w:contextualSpacing/>
        <w:outlineLvl w:val="0"/>
        <w:rPr>
          <w:rFonts w:eastAsia="Calibri"/>
          <w:b/>
          <w:sz w:val="22"/>
          <w:szCs w:val="22"/>
        </w:rPr>
      </w:pPr>
    </w:p>
    <w:p w14:paraId="4130F64D" w14:textId="77777777" w:rsidR="00602606" w:rsidRDefault="00602606">
      <w:pPr>
        <w:widowControl w:val="0"/>
        <w:contextualSpacing/>
        <w:outlineLvl w:val="0"/>
        <w:rPr>
          <w:rFonts w:eastAsia="Calibri"/>
          <w:b/>
          <w:sz w:val="22"/>
          <w:szCs w:val="22"/>
        </w:rPr>
      </w:pPr>
    </w:p>
    <w:p w14:paraId="0E65BF7E" w14:textId="77777777" w:rsidR="00602606" w:rsidRDefault="00602606">
      <w:pPr>
        <w:widowControl w:val="0"/>
        <w:contextualSpacing/>
        <w:jc w:val="center"/>
        <w:outlineLvl w:val="0"/>
        <w:rPr>
          <w:rFonts w:eastAsia="Calibri"/>
          <w:b/>
          <w:sz w:val="22"/>
          <w:szCs w:val="22"/>
        </w:rPr>
      </w:pPr>
    </w:p>
    <w:p w14:paraId="706FFE3E" w14:textId="77777777" w:rsidR="00602606" w:rsidRDefault="00602606">
      <w:pPr>
        <w:widowControl w:val="0"/>
        <w:contextualSpacing/>
        <w:jc w:val="center"/>
        <w:outlineLvl w:val="0"/>
        <w:rPr>
          <w:rFonts w:eastAsia="Calibri"/>
          <w:b/>
          <w:sz w:val="22"/>
          <w:szCs w:val="22"/>
        </w:rPr>
      </w:pPr>
    </w:p>
    <w:p w14:paraId="13797694" w14:textId="77777777" w:rsidR="00602606" w:rsidRDefault="00604AEE">
      <w:pPr>
        <w:widowControl w:val="0"/>
        <w:contextualSpacing/>
        <w:jc w:val="center"/>
        <w:outlineLvl w:val="0"/>
        <w:rPr>
          <w:rFonts w:asciiTheme="minorHAnsi" w:eastAsia="Calibri" w:hAnsiTheme="minorHAnsi" w:cstheme="minorBidi"/>
          <w:sz w:val="22"/>
          <w:szCs w:val="22"/>
          <w:lang w:val="lt-LT" w:eastAsia="en-US"/>
        </w:rPr>
      </w:pPr>
      <w:r>
        <w:rPr>
          <w:rFonts w:eastAsia="Calibri"/>
          <w:b/>
          <w:sz w:val="22"/>
          <w:szCs w:val="22"/>
        </w:rPr>
        <w:t>I PRIEDAS</w:t>
      </w:r>
    </w:p>
    <w:p w14:paraId="35C6CE87" w14:textId="77777777" w:rsidR="00602606" w:rsidRDefault="00602606">
      <w:pPr>
        <w:widowControl w:val="0"/>
        <w:contextualSpacing/>
        <w:jc w:val="center"/>
        <w:outlineLvl w:val="0"/>
        <w:rPr>
          <w:rFonts w:eastAsia="Calibri"/>
          <w:b/>
          <w:sz w:val="22"/>
          <w:szCs w:val="22"/>
        </w:rPr>
      </w:pPr>
    </w:p>
    <w:p w14:paraId="26EDE4D1" w14:textId="77777777" w:rsidR="00602606" w:rsidRDefault="00604AEE">
      <w:pPr>
        <w:widowControl w:val="0"/>
        <w:contextualSpacing/>
        <w:jc w:val="center"/>
        <w:outlineLvl w:val="0"/>
        <w:rPr>
          <w:rFonts w:asciiTheme="minorHAnsi" w:eastAsia="Calibri" w:hAnsiTheme="minorHAnsi" w:cstheme="minorBidi"/>
          <w:b/>
          <w:sz w:val="22"/>
          <w:szCs w:val="22"/>
          <w:lang w:val="lt-LT" w:eastAsia="en-US"/>
        </w:rPr>
      </w:pPr>
      <w:r>
        <w:rPr>
          <w:rFonts w:eastAsia="Calibri"/>
          <w:b/>
          <w:sz w:val="22"/>
          <w:szCs w:val="22"/>
        </w:rPr>
        <w:t>PREPARATO CHARAKTERISTIKŲ SANTRAUKA</w:t>
      </w:r>
    </w:p>
    <w:p w14:paraId="0F6FDC41" w14:textId="77777777" w:rsidR="00602606" w:rsidRDefault="00602606">
      <w:pPr>
        <w:widowControl w:val="0"/>
        <w:contextualSpacing/>
        <w:outlineLvl w:val="0"/>
        <w:rPr>
          <w:rFonts w:eastAsia="Calibri"/>
          <w:sz w:val="22"/>
          <w:szCs w:val="22"/>
        </w:rPr>
      </w:pPr>
    </w:p>
    <w:p w14:paraId="5161512D" w14:textId="77777777" w:rsidR="00602606" w:rsidRDefault="00604AEE">
      <w:pPr>
        <w:widowControl w:val="0"/>
        <w:ind w:left="567" w:hanging="567"/>
        <w:rPr>
          <w:rFonts w:eastAsia="Calibri"/>
          <w:b/>
          <w:sz w:val="22"/>
          <w:szCs w:val="22"/>
        </w:rPr>
      </w:pPr>
      <w:r>
        <w:rPr>
          <w:rFonts w:eastAsia="Calibri"/>
          <w:sz w:val="22"/>
          <w:szCs w:val="22"/>
        </w:rPr>
        <w:br w:type="page"/>
      </w:r>
      <w:r>
        <w:rPr>
          <w:rFonts w:eastAsia="Calibri"/>
          <w:b/>
          <w:sz w:val="22"/>
          <w:szCs w:val="22"/>
        </w:rPr>
        <w:lastRenderedPageBreak/>
        <w:t>1.</w:t>
      </w:r>
      <w:r w:rsidRPr="001F276A">
        <w:rPr>
          <w:rFonts w:eastAsia="Calibri"/>
          <w:b/>
          <w:sz w:val="22"/>
        </w:rPr>
        <w:tab/>
        <w:t>VAISTINIO PREPARATO PAVADINIMAS</w:t>
      </w:r>
    </w:p>
    <w:p w14:paraId="1D740198" w14:textId="77777777" w:rsidR="00602606" w:rsidRDefault="00602606">
      <w:pPr>
        <w:widowControl w:val="0"/>
        <w:contextualSpacing/>
        <w:outlineLvl w:val="0"/>
        <w:rPr>
          <w:rFonts w:eastAsia="Calibri"/>
          <w:sz w:val="22"/>
          <w:szCs w:val="22"/>
        </w:rPr>
      </w:pPr>
    </w:p>
    <w:p w14:paraId="066DDA52"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Dutasteride/Tamsulosin Krka 0,5 mg/0,4 mg kietosios kapsulės</w:t>
      </w:r>
    </w:p>
    <w:p w14:paraId="3F5D34CF" w14:textId="77777777" w:rsidR="00602606" w:rsidRDefault="00602606">
      <w:pPr>
        <w:widowControl w:val="0"/>
        <w:contextualSpacing/>
        <w:outlineLvl w:val="0"/>
        <w:rPr>
          <w:rFonts w:eastAsia="Calibri"/>
          <w:b/>
          <w:sz w:val="22"/>
          <w:szCs w:val="22"/>
        </w:rPr>
      </w:pPr>
    </w:p>
    <w:p w14:paraId="75BFCBCD" w14:textId="77777777" w:rsidR="00602606" w:rsidRDefault="00602606">
      <w:pPr>
        <w:widowControl w:val="0"/>
        <w:contextualSpacing/>
        <w:outlineLvl w:val="0"/>
        <w:rPr>
          <w:rFonts w:eastAsia="Calibri"/>
          <w:sz w:val="22"/>
          <w:szCs w:val="22"/>
        </w:rPr>
      </w:pPr>
    </w:p>
    <w:p w14:paraId="59FA792C" w14:textId="77777777" w:rsidR="00602606" w:rsidRDefault="00604AEE">
      <w:pPr>
        <w:widowControl w:val="0"/>
        <w:ind w:left="567" w:hanging="567"/>
        <w:rPr>
          <w:rFonts w:asciiTheme="minorHAnsi" w:eastAsia="Calibri" w:hAnsiTheme="minorHAnsi" w:cstheme="minorBidi"/>
          <w:sz w:val="22"/>
          <w:szCs w:val="22"/>
          <w:lang w:val="lt-LT" w:eastAsia="en-US"/>
        </w:rPr>
      </w:pPr>
      <w:r>
        <w:rPr>
          <w:rFonts w:eastAsia="Calibri"/>
          <w:b/>
          <w:sz w:val="22"/>
          <w:szCs w:val="22"/>
        </w:rPr>
        <w:t>2.</w:t>
      </w:r>
      <w:r>
        <w:rPr>
          <w:rFonts w:eastAsia="Calibri"/>
          <w:b/>
          <w:sz w:val="22"/>
          <w:szCs w:val="22"/>
        </w:rPr>
        <w:tab/>
        <w:t>KOKYBINĖ IR KIEKYBINĖ SUDĖTIS</w:t>
      </w:r>
    </w:p>
    <w:p w14:paraId="79077701" w14:textId="77777777" w:rsidR="00602606" w:rsidRDefault="00602606">
      <w:pPr>
        <w:widowControl w:val="0"/>
        <w:contextualSpacing/>
        <w:outlineLvl w:val="0"/>
        <w:rPr>
          <w:rFonts w:eastAsia="Calibri"/>
          <w:sz w:val="22"/>
          <w:szCs w:val="22"/>
        </w:rPr>
      </w:pPr>
    </w:p>
    <w:p w14:paraId="2E6D6264"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Kiekvienoje kietojoje kapsulėje yra 0,5 mg dutasterido ir 0,4 mg tamsulozino hidrochlorido (atitinka</w:t>
      </w:r>
      <w:r w:rsidRPr="001F276A">
        <w:rPr>
          <w:rFonts w:eastAsia="Calibri"/>
          <w:sz w:val="22"/>
        </w:rPr>
        <w:t>nčio 0,367 mg tamsulozino).</w:t>
      </w:r>
    </w:p>
    <w:p w14:paraId="35646813" w14:textId="77777777" w:rsidR="00602606" w:rsidRDefault="00602606">
      <w:pPr>
        <w:widowControl w:val="0"/>
        <w:contextualSpacing/>
        <w:outlineLvl w:val="0"/>
        <w:rPr>
          <w:rFonts w:eastAsia="Calibri"/>
          <w:sz w:val="22"/>
          <w:szCs w:val="22"/>
        </w:rPr>
      </w:pPr>
    </w:p>
    <w:p w14:paraId="67F98142" w14:textId="77777777" w:rsidR="00602606" w:rsidRDefault="00604AEE">
      <w:pPr>
        <w:widowControl w:val="0"/>
        <w:contextualSpacing/>
        <w:outlineLvl w:val="0"/>
        <w:rPr>
          <w:rFonts w:asciiTheme="minorHAnsi" w:eastAsia="Calibri" w:hAnsiTheme="minorHAnsi" w:cstheme="minorBidi"/>
          <w:sz w:val="22"/>
          <w:szCs w:val="22"/>
          <w:u w:val="single"/>
          <w:lang w:val="lt-LT" w:eastAsia="en-US"/>
        </w:rPr>
      </w:pPr>
      <w:r>
        <w:rPr>
          <w:rFonts w:eastAsia="Calibri"/>
          <w:sz w:val="22"/>
          <w:szCs w:val="22"/>
          <w:u w:val="single"/>
        </w:rPr>
        <w:t>Pagalbinė (-</w:t>
      </w:r>
      <w:r w:rsidRPr="001F276A">
        <w:rPr>
          <w:rFonts w:eastAsia="Calibri"/>
          <w:sz w:val="22"/>
          <w:u w:val="single"/>
        </w:rPr>
        <w:t>s</w:t>
      </w:r>
      <w:r>
        <w:rPr>
          <w:rFonts w:eastAsia="Calibri"/>
          <w:sz w:val="22"/>
          <w:szCs w:val="22"/>
          <w:u w:val="single"/>
        </w:rPr>
        <w:t>) medžiag</w:t>
      </w:r>
      <w:r w:rsidRPr="001F276A">
        <w:rPr>
          <w:rFonts w:eastAsia="Calibri"/>
          <w:sz w:val="22"/>
          <w:u w:val="single"/>
        </w:rPr>
        <w:t>a (-os)</w:t>
      </w:r>
      <w:r>
        <w:rPr>
          <w:rFonts w:eastAsia="Calibri"/>
          <w:sz w:val="22"/>
          <w:szCs w:val="22"/>
          <w:u w:val="single"/>
        </w:rPr>
        <w:t>, kuri</w:t>
      </w:r>
      <w:r w:rsidRPr="001F276A">
        <w:rPr>
          <w:rFonts w:eastAsia="Calibri"/>
          <w:sz w:val="22"/>
          <w:u w:val="single"/>
        </w:rPr>
        <w:t>os (-ių</w:t>
      </w:r>
      <w:r>
        <w:rPr>
          <w:rFonts w:eastAsia="Calibri"/>
          <w:sz w:val="22"/>
          <w:szCs w:val="22"/>
          <w:u w:val="single"/>
        </w:rPr>
        <w:t>) poveikis žinomas</w:t>
      </w:r>
    </w:p>
    <w:p w14:paraId="69E0B171"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Kiekvienoje kapsulėje yra sojų lecitino ir propilenglikolio.</w:t>
      </w:r>
    </w:p>
    <w:p w14:paraId="6C042E8A" w14:textId="77777777" w:rsidR="00602606" w:rsidRDefault="00602606">
      <w:pPr>
        <w:widowControl w:val="0"/>
        <w:contextualSpacing/>
        <w:outlineLvl w:val="0"/>
        <w:rPr>
          <w:rFonts w:eastAsia="Calibri"/>
          <w:sz w:val="22"/>
          <w:szCs w:val="22"/>
        </w:rPr>
      </w:pPr>
    </w:p>
    <w:p w14:paraId="777A52F3"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Kiekvienoje šio vaistini</w:t>
      </w:r>
      <w:r w:rsidRPr="001F276A">
        <w:rPr>
          <w:rFonts w:eastAsia="Calibri"/>
          <w:sz w:val="22"/>
        </w:rPr>
        <w:t>o</w:t>
      </w:r>
      <w:r>
        <w:rPr>
          <w:rFonts w:eastAsia="Calibri"/>
          <w:sz w:val="22"/>
          <w:szCs w:val="22"/>
        </w:rPr>
        <w:t xml:space="preserve"> preparato</w:t>
      </w:r>
      <w:r w:rsidRPr="001F276A">
        <w:rPr>
          <w:rFonts w:eastAsia="Calibri"/>
          <w:sz w:val="22"/>
        </w:rPr>
        <w:t xml:space="preserve"> kietojoje kapsulėje yra 299,46 mg propilenglikolio, tai atitinka 4,27 mg/kg.</w:t>
      </w:r>
    </w:p>
    <w:p w14:paraId="2ACD26FF" w14:textId="77777777" w:rsidR="00602606" w:rsidRDefault="00602606">
      <w:pPr>
        <w:widowControl w:val="0"/>
        <w:contextualSpacing/>
        <w:outlineLvl w:val="0"/>
        <w:rPr>
          <w:rFonts w:eastAsia="Calibri"/>
          <w:sz w:val="22"/>
          <w:szCs w:val="22"/>
        </w:rPr>
      </w:pPr>
    </w:p>
    <w:p w14:paraId="1B5DBBB6"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Visos pagalbinės medžiagos išvardytos 6.1 skyriuje.</w:t>
      </w:r>
    </w:p>
    <w:p w14:paraId="75F6FBFF" w14:textId="77777777" w:rsidR="00602606" w:rsidRDefault="00602606">
      <w:pPr>
        <w:widowControl w:val="0"/>
        <w:contextualSpacing/>
        <w:outlineLvl w:val="0"/>
        <w:rPr>
          <w:rFonts w:eastAsia="Calibri"/>
          <w:sz w:val="22"/>
          <w:szCs w:val="22"/>
        </w:rPr>
      </w:pPr>
    </w:p>
    <w:p w14:paraId="1F2E5F66" w14:textId="77777777" w:rsidR="00602606" w:rsidRDefault="00602606">
      <w:pPr>
        <w:widowControl w:val="0"/>
        <w:contextualSpacing/>
        <w:outlineLvl w:val="0"/>
        <w:rPr>
          <w:rFonts w:eastAsia="Calibri"/>
          <w:sz w:val="22"/>
          <w:szCs w:val="22"/>
        </w:rPr>
      </w:pPr>
    </w:p>
    <w:p w14:paraId="510E85F9" w14:textId="77777777" w:rsidR="00602606" w:rsidRDefault="00604AEE">
      <w:pPr>
        <w:widowControl w:val="0"/>
        <w:ind w:left="567" w:hanging="567"/>
        <w:rPr>
          <w:rFonts w:asciiTheme="minorHAnsi" w:eastAsia="Calibri" w:hAnsiTheme="minorHAnsi" w:cstheme="minorBidi"/>
          <w:sz w:val="22"/>
          <w:szCs w:val="22"/>
          <w:lang w:val="lt-LT" w:eastAsia="en-US"/>
        </w:rPr>
      </w:pPr>
      <w:r>
        <w:rPr>
          <w:rFonts w:eastAsia="Calibri"/>
          <w:b/>
          <w:sz w:val="22"/>
          <w:szCs w:val="22"/>
        </w:rPr>
        <w:t>3.</w:t>
      </w:r>
      <w:r>
        <w:rPr>
          <w:rFonts w:eastAsia="Calibri"/>
          <w:b/>
          <w:sz w:val="22"/>
          <w:szCs w:val="22"/>
        </w:rPr>
        <w:tab/>
        <w:t>FARMACINĖ FORMA</w:t>
      </w:r>
    </w:p>
    <w:p w14:paraId="35368AF5" w14:textId="77777777" w:rsidR="00602606" w:rsidRDefault="00602606">
      <w:pPr>
        <w:widowControl w:val="0"/>
        <w:contextualSpacing/>
        <w:outlineLvl w:val="0"/>
        <w:rPr>
          <w:rFonts w:eastAsia="Calibri"/>
          <w:sz w:val="22"/>
          <w:szCs w:val="22"/>
        </w:rPr>
      </w:pPr>
    </w:p>
    <w:p w14:paraId="087DA941"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Kietoji kapsulė</w:t>
      </w:r>
    </w:p>
    <w:p w14:paraId="57D2EAB1" w14:textId="77777777" w:rsidR="00602606" w:rsidRDefault="00602606">
      <w:pPr>
        <w:widowControl w:val="0"/>
        <w:contextualSpacing/>
        <w:outlineLvl w:val="0"/>
        <w:rPr>
          <w:rFonts w:eastAsia="Calibri"/>
          <w:sz w:val="22"/>
          <w:szCs w:val="22"/>
        </w:rPr>
      </w:pPr>
    </w:p>
    <w:p w14:paraId="51827E76"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Dutasteride/Tamsulosin Krka yra pailgos</w:t>
      </w:r>
      <w:r w:rsidRPr="001F276A">
        <w:rPr>
          <w:rFonts w:eastAsia="Calibri"/>
          <w:sz w:val="22"/>
        </w:rPr>
        <w:t>,</w:t>
      </w:r>
      <w:r>
        <w:rPr>
          <w:rFonts w:eastAsia="Calibri"/>
          <w:sz w:val="22"/>
          <w:szCs w:val="22"/>
        </w:rPr>
        <w:t xml:space="preserve"> kietosios želatinos kapsulės, maždaug </w:t>
      </w:r>
      <w:r w:rsidRPr="001F276A">
        <w:rPr>
          <w:rFonts w:eastAsia="Calibri"/>
          <w:sz w:val="22"/>
        </w:rPr>
        <w:t>24,2 mm x</w:t>
      </w:r>
      <w:r>
        <w:rPr>
          <w:rFonts w:eastAsia="Calibri"/>
          <w:sz w:val="22"/>
          <w:szCs w:val="22"/>
        </w:rPr>
        <w:t> 7,</w:t>
      </w:r>
      <w:r w:rsidRPr="001F276A">
        <w:rPr>
          <w:rFonts w:eastAsia="Calibri"/>
          <w:sz w:val="22"/>
        </w:rPr>
        <w:t>7 mm, kurių korpusas yra ruda</w:t>
      </w:r>
      <w:r>
        <w:rPr>
          <w:rFonts w:eastAsia="Calibri"/>
          <w:sz w:val="22"/>
          <w:szCs w:val="22"/>
        </w:rPr>
        <w:t xml:space="preserve">s, o dangtelis </w:t>
      </w:r>
      <w:r w:rsidRPr="001F276A">
        <w:rPr>
          <w:rFonts w:eastAsia="Calibri"/>
          <w:sz w:val="22"/>
        </w:rPr>
        <w:t>smėlio spalvos. Ant dangtelio juodu rašalu užrašyta ,,C001“.</w:t>
      </w:r>
    </w:p>
    <w:p w14:paraId="163A5FDE" w14:textId="77777777" w:rsidR="00602606" w:rsidRDefault="00602606">
      <w:pPr>
        <w:widowControl w:val="0"/>
        <w:contextualSpacing/>
        <w:outlineLvl w:val="0"/>
        <w:rPr>
          <w:rFonts w:eastAsia="Calibri"/>
          <w:sz w:val="22"/>
          <w:szCs w:val="22"/>
        </w:rPr>
      </w:pPr>
    </w:p>
    <w:p w14:paraId="587C89CF"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Kiekvienoje kietojoje kapsulėje yra tamsulozino hidrochlorido modifikuoto atpalaidavimo granulių ir viena dutasterido minkštoji želatinos kapsulė.</w:t>
      </w:r>
    </w:p>
    <w:p w14:paraId="3CBFB2F3" w14:textId="77777777" w:rsidR="00602606" w:rsidRDefault="00602606">
      <w:pPr>
        <w:widowControl w:val="0"/>
        <w:contextualSpacing/>
        <w:outlineLvl w:val="0"/>
        <w:rPr>
          <w:rFonts w:eastAsia="Calibri"/>
          <w:sz w:val="22"/>
          <w:szCs w:val="22"/>
        </w:rPr>
      </w:pPr>
    </w:p>
    <w:p w14:paraId="2140EB92" w14:textId="77777777" w:rsidR="00602606" w:rsidRDefault="00602606">
      <w:pPr>
        <w:widowControl w:val="0"/>
        <w:contextualSpacing/>
        <w:outlineLvl w:val="0"/>
        <w:rPr>
          <w:rFonts w:eastAsia="Calibri"/>
          <w:sz w:val="22"/>
          <w:szCs w:val="22"/>
        </w:rPr>
      </w:pPr>
    </w:p>
    <w:p w14:paraId="529A0AF7" w14:textId="77777777" w:rsidR="00602606" w:rsidRDefault="00604AEE">
      <w:pPr>
        <w:widowControl w:val="0"/>
        <w:ind w:left="567" w:hanging="567"/>
        <w:rPr>
          <w:rFonts w:asciiTheme="minorHAnsi" w:eastAsia="Calibri" w:hAnsiTheme="minorHAnsi" w:cstheme="minorBidi"/>
          <w:b/>
          <w:sz w:val="22"/>
          <w:szCs w:val="22"/>
          <w:lang w:val="lt-LT" w:eastAsia="en-US"/>
        </w:rPr>
      </w:pPr>
      <w:r>
        <w:rPr>
          <w:rFonts w:eastAsia="Calibri"/>
          <w:b/>
          <w:sz w:val="22"/>
          <w:szCs w:val="22"/>
        </w:rPr>
        <w:t>4.</w:t>
      </w:r>
      <w:r>
        <w:rPr>
          <w:rFonts w:eastAsia="Calibri"/>
          <w:b/>
          <w:sz w:val="22"/>
          <w:szCs w:val="22"/>
        </w:rPr>
        <w:tab/>
        <w:t>KLINIKINĖ INFORMACIJA</w:t>
      </w:r>
    </w:p>
    <w:p w14:paraId="7AA39825" w14:textId="77777777" w:rsidR="00602606" w:rsidRDefault="00602606">
      <w:pPr>
        <w:widowControl w:val="0"/>
        <w:ind w:left="540" w:hanging="540"/>
        <w:rPr>
          <w:rFonts w:eastAsia="Calibri"/>
          <w:b/>
          <w:sz w:val="22"/>
          <w:szCs w:val="22"/>
        </w:rPr>
      </w:pPr>
    </w:p>
    <w:p w14:paraId="7110AB4A" w14:textId="77777777" w:rsidR="00602606" w:rsidRDefault="00604AEE">
      <w:pPr>
        <w:widowControl w:val="0"/>
        <w:ind w:left="567" w:hanging="567"/>
        <w:rPr>
          <w:rFonts w:asciiTheme="minorHAnsi" w:eastAsia="Calibri" w:hAnsiTheme="minorHAnsi" w:cstheme="minorBidi"/>
          <w:b/>
          <w:sz w:val="22"/>
          <w:szCs w:val="22"/>
          <w:lang w:val="lt-LT" w:eastAsia="en-US"/>
        </w:rPr>
      </w:pPr>
      <w:r>
        <w:rPr>
          <w:rFonts w:eastAsia="Calibri"/>
          <w:b/>
          <w:sz w:val="22"/>
          <w:szCs w:val="22"/>
        </w:rPr>
        <w:t>4.1</w:t>
      </w:r>
      <w:r>
        <w:rPr>
          <w:rFonts w:eastAsia="Calibri"/>
          <w:b/>
          <w:sz w:val="22"/>
          <w:szCs w:val="22"/>
        </w:rPr>
        <w:tab/>
        <w:t>Terapinės indikacijos</w:t>
      </w:r>
    </w:p>
    <w:p w14:paraId="27882CCC" w14:textId="77777777" w:rsidR="00602606" w:rsidRDefault="00602606">
      <w:pPr>
        <w:widowControl w:val="0"/>
        <w:contextualSpacing/>
        <w:outlineLvl w:val="0"/>
        <w:rPr>
          <w:rFonts w:eastAsia="Calibri"/>
          <w:sz w:val="22"/>
          <w:szCs w:val="22"/>
        </w:rPr>
      </w:pPr>
    </w:p>
    <w:p w14:paraId="2E2B4BC7" w14:textId="77777777" w:rsidR="00602606" w:rsidRDefault="00604AEE">
      <w:pPr>
        <w:widowControl w:val="0"/>
        <w:outlineLvl w:val="0"/>
        <w:rPr>
          <w:rFonts w:asciiTheme="minorHAnsi" w:eastAsia="Calibri" w:hAnsiTheme="minorHAnsi" w:cstheme="minorBidi"/>
          <w:sz w:val="22"/>
          <w:szCs w:val="22"/>
          <w:lang w:val="lt-LT" w:eastAsia="en-US"/>
        </w:rPr>
      </w:pPr>
      <w:r>
        <w:rPr>
          <w:rFonts w:eastAsia="Calibri"/>
          <w:sz w:val="22"/>
          <w:szCs w:val="22"/>
        </w:rPr>
        <w:t>Vidutinio sunkumo ir sunkių gerybinės prostatos hiperplazijos (GPH) simptomų gydymas.</w:t>
      </w:r>
    </w:p>
    <w:p w14:paraId="4E06D793" w14:textId="77777777" w:rsidR="00602606" w:rsidRDefault="00602606">
      <w:pPr>
        <w:widowControl w:val="0"/>
        <w:outlineLvl w:val="0"/>
        <w:rPr>
          <w:rFonts w:eastAsia="Calibri"/>
          <w:sz w:val="22"/>
          <w:szCs w:val="22"/>
        </w:rPr>
      </w:pPr>
    </w:p>
    <w:p w14:paraId="77890AC6" w14:textId="77777777" w:rsidR="00602606" w:rsidRDefault="00604AEE">
      <w:pPr>
        <w:widowControl w:val="0"/>
        <w:outlineLvl w:val="0"/>
        <w:rPr>
          <w:rFonts w:asciiTheme="minorHAnsi" w:eastAsia="Calibri" w:hAnsiTheme="minorHAnsi" w:cstheme="minorBidi"/>
          <w:sz w:val="22"/>
          <w:szCs w:val="22"/>
          <w:lang w:val="lt-LT" w:eastAsia="en-US"/>
        </w:rPr>
      </w:pPr>
      <w:r>
        <w:rPr>
          <w:rFonts w:eastAsia="Calibri"/>
          <w:sz w:val="22"/>
          <w:szCs w:val="22"/>
        </w:rPr>
        <w:t>Ūminio šlapimo susilaikymo (ŪŠS) rizikos ir chirurginio gydymo poreikio mažinimas pacientams, kuriems pasireiškia vidutinio sunkumo ir sunkūs GPH simptomai.</w:t>
      </w:r>
    </w:p>
    <w:p w14:paraId="5F6F4F1B" w14:textId="77777777" w:rsidR="00602606" w:rsidRDefault="00602606">
      <w:pPr>
        <w:widowControl w:val="0"/>
        <w:contextualSpacing/>
        <w:outlineLvl w:val="0"/>
        <w:rPr>
          <w:rFonts w:eastAsia="Calibri"/>
          <w:sz w:val="22"/>
          <w:szCs w:val="22"/>
        </w:rPr>
      </w:pPr>
    </w:p>
    <w:p w14:paraId="4C3A9E57"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Informacijos apie gydymo poveikį ir pacientų populiacijas, tirtas klinikinių tyrimų metu, žr. 5.1 </w:t>
      </w:r>
      <w:r w:rsidRPr="001F276A">
        <w:rPr>
          <w:rFonts w:eastAsia="Calibri"/>
          <w:sz w:val="22"/>
        </w:rPr>
        <w:t>skyriuje.</w:t>
      </w:r>
    </w:p>
    <w:p w14:paraId="7FD96025" w14:textId="77777777" w:rsidR="00602606" w:rsidRDefault="00602606">
      <w:pPr>
        <w:widowControl w:val="0"/>
        <w:contextualSpacing/>
        <w:outlineLvl w:val="0"/>
        <w:rPr>
          <w:rFonts w:eastAsia="Calibri"/>
          <w:sz w:val="22"/>
          <w:szCs w:val="22"/>
        </w:rPr>
      </w:pPr>
    </w:p>
    <w:p w14:paraId="514A64E6" w14:textId="77777777" w:rsidR="00602606" w:rsidRDefault="00604AEE">
      <w:pPr>
        <w:widowControl w:val="0"/>
        <w:ind w:left="567" w:hanging="567"/>
        <w:rPr>
          <w:rFonts w:asciiTheme="minorHAnsi" w:eastAsia="Calibri" w:hAnsiTheme="minorHAnsi" w:cstheme="minorBidi"/>
          <w:b/>
          <w:sz w:val="22"/>
          <w:szCs w:val="22"/>
          <w:lang w:val="lt-LT" w:eastAsia="en-US"/>
        </w:rPr>
      </w:pPr>
      <w:r>
        <w:rPr>
          <w:rFonts w:eastAsia="Calibri"/>
          <w:b/>
          <w:sz w:val="22"/>
          <w:szCs w:val="22"/>
        </w:rPr>
        <w:t>4.2</w:t>
      </w:r>
      <w:r>
        <w:rPr>
          <w:rFonts w:eastAsia="Calibri"/>
          <w:b/>
          <w:sz w:val="22"/>
          <w:szCs w:val="22"/>
        </w:rPr>
        <w:tab/>
        <w:t>Dozavimas ir vartojimo metodas</w:t>
      </w:r>
    </w:p>
    <w:p w14:paraId="2E0DB654" w14:textId="77777777" w:rsidR="00602606" w:rsidRDefault="00602606">
      <w:pPr>
        <w:widowControl w:val="0"/>
        <w:contextualSpacing/>
        <w:outlineLvl w:val="0"/>
        <w:rPr>
          <w:rFonts w:eastAsia="Calibri"/>
          <w:sz w:val="22"/>
          <w:szCs w:val="22"/>
        </w:rPr>
      </w:pPr>
    </w:p>
    <w:p w14:paraId="5F188822" w14:textId="77777777" w:rsidR="00602606" w:rsidRDefault="00604AEE">
      <w:pPr>
        <w:widowControl w:val="0"/>
        <w:contextualSpacing/>
        <w:outlineLvl w:val="0"/>
        <w:rPr>
          <w:rFonts w:asciiTheme="minorHAnsi" w:eastAsia="Calibri" w:hAnsiTheme="minorHAnsi" w:cstheme="minorBidi"/>
          <w:sz w:val="22"/>
          <w:szCs w:val="22"/>
          <w:u w:val="single"/>
          <w:lang w:val="lt-LT" w:eastAsia="en-US"/>
        </w:rPr>
      </w:pPr>
      <w:r>
        <w:rPr>
          <w:rFonts w:eastAsia="Calibri"/>
          <w:sz w:val="22"/>
          <w:szCs w:val="22"/>
          <w:u w:val="single"/>
        </w:rPr>
        <w:t>Dozavimas</w:t>
      </w:r>
    </w:p>
    <w:p w14:paraId="4B2B7577" w14:textId="77777777" w:rsidR="00602606" w:rsidRDefault="00602606">
      <w:pPr>
        <w:widowControl w:val="0"/>
        <w:contextualSpacing/>
        <w:outlineLvl w:val="0"/>
        <w:rPr>
          <w:rFonts w:eastAsia="Calibri"/>
          <w:sz w:val="22"/>
          <w:szCs w:val="22"/>
        </w:rPr>
      </w:pPr>
    </w:p>
    <w:p w14:paraId="5D462C66" w14:textId="77777777" w:rsidR="00602606" w:rsidRDefault="00604AEE">
      <w:pPr>
        <w:widowControl w:val="0"/>
        <w:contextualSpacing/>
        <w:outlineLvl w:val="0"/>
        <w:rPr>
          <w:rFonts w:asciiTheme="minorHAnsi" w:eastAsia="Calibri" w:hAnsiTheme="minorHAnsi" w:cstheme="minorBidi"/>
          <w:i/>
          <w:sz w:val="22"/>
          <w:szCs w:val="22"/>
          <w:lang w:val="lt-LT" w:eastAsia="en-US"/>
        </w:rPr>
      </w:pPr>
      <w:r>
        <w:rPr>
          <w:rFonts w:eastAsia="Calibri"/>
          <w:i/>
          <w:sz w:val="22"/>
          <w:szCs w:val="22"/>
        </w:rPr>
        <w:t>Suaugusieji (įskaitant senyvus)</w:t>
      </w:r>
    </w:p>
    <w:p w14:paraId="68221A8C" w14:textId="77777777" w:rsidR="00602606" w:rsidRDefault="00602606">
      <w:pPr>
        <w:widowControl w:val="0"/>
        <w:contextualSpacing/>
        <w:outlineLvl w:val="0"/>
        <w:rPr>
          <w:rFonts w:eastAsia="Calibri"/>
          <w:sz w:val="22"/>
          <w:szCs w:val="22"/>
        </w:rPr>
      </w:pPr>
    </w:p>
    <w:p w14:paraId="7F61505C"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 xml:space="preserve">Rekomenduojama dozė yra viena </w:t>
      </w:r>
      <w:r w:rsidRPr="001F276A">
        <w:rPr>
          <w:rFonts w:eastAsia="Calibri"/>
          <w:sz w:val="22"/>
        </w:rPr>
        <w:t>Dutasteride/Tamsulosin Krka kapsulė (0,5 mg/0,4 mg) per parą.</w:t>
      </w:r>
    </w:p>
    <w:p w14:paraId="5354E204" w14:textId="77777777" w:rsidR="00602606" w:rsidRDefault="00602606">
      <w:pPr>
        <w:widowControl w:val="0"/>
        <w:contextualSpacing/>
        <w:outlineLvl w:val="0"/>
        <w:rPr>
          <w:rFonts w:eastAsia="Calibri"/>
          <w:sz w:val="22"/>
          <w:szCs w:val="22"/>
        </w:rPr>
      </w:pPr>
    </w:p>
    <w:p w14:paraId="7A6F9262"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lang w:val="lt-LT"/>
        </w:rPr>
        <w:t xml:space="preserve">Jei vartojamas dviejų atskirų vaistinių preparatų derinys, kad būtų paprasčiau, jei tinka, </w:t>
      </w:r>
      <w:r>
        <w:rPr>
          <w:rFonts w:eastAsia="Calibri"/>
          <w:sz w:val="22"/>
          <w:szCs w:val="22"/>
        </w:rPr>
        <w:t>Dutasteride/Tamsulosin Krka</w:t>
      </w:r>
      <w:r w:rsidRPr="001F276A">
        <w:rPr>
          <w:rFonts w:eastAsia="Calibri"/>
          <w:sz w:val="22"/>
        </w:rPr>
        <w:t xml:space="preserve"> </w:t>
      </w:r>
      <w:r>
        <w:rPr>
          <w:rFonts w:eastAsia="Calibri"/>
          <w:sz w:val="22"/>
          <w:szCs w:val="22"/>
          <w:lang w:val="lt-LT"/>
        </w:rPr>
        <w:t>galima vartoti vietoj kartu vartojamų dutasterido ir ta</w:t>
      </w:r>
      <w:r w:rsidRPr="001F276A">
        <w:rPr>
          <w:rFonts w:eastAsia="Calibri"/>
          <w:sz w:val="22"/>
        </w:rPr>
        <w:t>msulozino hidrochlorido vaistinių preparatų.</w:t>
      </w:r>
    </w:p>
    <w:p w14:paraId="254FBF20" w14:textId="77777777" w:rsidR="00602606" w:rsidRDefault="00602606">
      <w:pPr>
        <w:widowControl w:val="0"/>
        <w:contextualSpacing/>
        <w:outlineLvl w:val="0"/>
        <w:rPr>
          <w:rFonts w:eastAsia="Calibri"/>
          <w:sz w:val="22"/>
          <w:szCs w:val="22"/>
        </w:rPr>
      </w:pPr>
    </w:p>
    <w:p w14:paraId="7F63FC79"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Jeigu klinikiniu požiūriu priimtina, galima apsvarstyti tiesioginį monoterapijos dutasteridu ar tamsulozino hidrochloridu pakeitimą Dutasteride/Tamsulosin Krka</w:t>
      </w:r>
      <w:r w:rsidRPr="001F276A">
        <w:rPr>
          <w:rFonts w:eastAsia="Calibri"/>
          <w:sz w:val="22"/>
        </w:rPr>
        <w:t>.</w:t>
      </w:r>
    </w:p>
    <w:p w14:paraId="39D9A398" w14:textId="77777777" w:rsidR="00602606" w:rsidRDefault="00602606">
      <w:pPr>
        <w:widowControl w:val="0"/>
        <w:contextualSpacing/>
        <w:outlineLvl w:val="0"/>
        <w:rPr>
          <w:rFonts w:eastAsia="Calibri"/>
          <w:i/>
          <w:sz w:val="22"/>
          <w:szCs w:val="22"/>
        </w:rPr>
      </w:pPr>
    </w:p>
    <w:p w14:paraId="6D65DEF3" w14:textId="77777777" w:rsidR="00602606" w:rsidRDefault="00604AEE">
      <w:pPr>
        <w:widowControl w:val="0"/>
        <w:contextualSpacing/>
        <w:outlineLvl w:val="0"/>
        <w:rPr>
          <w:rFonts w:asciiTheme="minorHAnsi" w:eastAsia="Calibri" w:hAnsiTheme="minorHAnsi" w:cstheme="minorBidi"/>
          <w:i/>
          <w:sz w:val="22"/>
          <w:szCs w:val="22"/>
          <w:lang w:val="lt-LT" w:eastAsia="en-US"/>
        </w:rPr>
      </w:pPr>
      <w:r>
        <w:rPr>
          <w:rFonts w:eastAsia="Calibri"/>
          <w:i/>
          <w:sz w:val="22"/>
          <w:szCs w:val="22"/>
          <w:lang w:val="lt-LT"/>
        </w:rPr>
        <w:t xml:space="preserve">Sutrikusi inkstų funkcija </w:t>
      </w:r>
    </w:p>
    <w:p w14:paraId="7826FD38" w14:textId="77777777" w:rsidR="00602606" w:rsidRDefault="00602606">
      <w:pPr>
        <w:widowControl w:val="0"/>
        <w:rPr>
          <w:rFonts w:eastAsia="Calibri"/>
          <w:i/>
          <w:sz w:val="22"/>
          <w:szCs w:val="22"/>
        </w:rPr>
      </w:pPr>
    </w:p>
    <w:p w14:paraId="0ACD51BF"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Inkstų funkcijos sutrikimo įtaka dutasterido ir tamsulozino derinio farmakokinetikai netirta. Dozės keitimas pacientams, kurių inkstų funkcija sutrikusi, nenumatytas (žr. 4.4 ir 5.2 skyrius).</w:t>
      </w:r>
    </w:p>
    <w:p w14:paraId="01C5BE5E" w14:textId="77777777" w:rsidR="00602606" w:rsidRDefault="00602606">
      <w:pPr>
        <w:widowControl w:val="0"/>
        <w:contextualSpacing/>
        <w:outlineLvl w:val="0"/>
        <w:rPr>
          <w:rFonts w:eastAsia="Calibri"/>
          <w:sz w:val="22"/>
          <w:szCs w:val="22"/>
        </w:rPr>
      </w:pPr>
    </w:p>
    <w:p w14:paraId="1A24D58C" w14:textId="77777777" w:rsidR="00602606" w:rsidRDefault="00604AEE">
      <w:pPr>
        <w:widowControl w:val="0"/>
        <w:contextualSpacing/>
        <w:outlineLvl w:val="0"/>
        <w:rPr>
          <w:rFonts w:asciiTheme="minorHAnsi" w:eastAsia="Calibri" w:hAnsiTheme="minorHAnsi" w:cstheme="minorBidi"/>
          <w:i/>
          <w:sz w:val="22"/>
          <w:szCs w:val="22"/>
          <w:lang w:val="lt-LT" w:eastAsia="en-US"/>
        </w:rPr>
      </w:pPr>
      <w:r>
        <w:rPr>
          <w:rFonts w:eastAsia="Calibri"/>
          <w:i/>
          <w:sz w:val="22"/>
          <w:szCs w:val="22"/>
          <w:lang w:val="lt-LT"/>
        </w:rPr>
        <w:t>Sutrikusi kepenų funkcija</w:t>
      </w:r>
    </w:p>
    <w:p w14:paraId="12211496" w14:textId="77777777" w:rsidR="00602606" w:rsidRDefault="00602606">
      <w:pPr>
        <w:widowControl w:val="0"/>
        <w:contextualSpacing/>
        <w:outlineLvl w:val="0"/>
        <w:rPr>
          <w:rFonts w:eastAsia="Calibri"/>
          <w:i/>
          <w:sz w:val="22"/>
          <w:szCs w:val="22"/>
        </w:rPr>
      </w:pPr>
    </w:p>
    <w:p w14:paraId="1A1F75DE"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 xml:space="preserve">Kepenų funkcijos sutrikimo įtaka dutasterido ir tamsulozino derinio farmakokinetikai netirta, todėl pacientus, kuriems yra lengvas ar vidutinio sunkumo kepenų funkcijos sutrikimas, gydyti reikia atsargiai (žr. 4.4 ir 5.2 skyrius). Pacientams, kuriems yra sunkus kepenų funkcijos sutrikimas, </w:t>
      </w:r>
      <w:r w:rsidRPr="001F276A">
        <w:rPr>
          <w:rFonts w:eastAsia="Calibri"/>
          <w:sz w:val="22"/>
        </w:rPr>
        <w:t>Dutasteride/Tamsulosin Krka vartoti negalima (žr. 4.3 skyrių).</w:t>
      </w:r>
    </w:p>
    <w:p w14:paraId="43F9820A" w14:textId="77777777" w:rsidR="00602606" w:rsidRDefault="00602606">
      <w:pPr>
        <w:widowControl w:val="0"/>
        <w:contextualSpacing/>
        <w:outlineLvl w:val="0"/>
        <w:rPr>
          <w:rFonts w:eastAsia="Calibri"/>
          <w:sz w:val="22"/>
          <w:szCs w:val="22"/>
        </w:rPr>
      </w:pPr>
    </w:p>
    <w:p w14:paraId="55FEA2E8" w14:textId="77777777" w:rsidR="00602606" w:rsidRDefault="00604AEE">
      <w:pPr>
        <w:widowControl w:val="0"/>
        <w:contextualSpacing/>
        <w:outlineLvl w:val="0"/>
        <w:rPr>
          <w:rFonts w:asciiTheme="minorHAnsi" w:eastAsia="Calibri" w:hAnsiTheme="minorHAnsi" w:cstheme="minorBidi"/>
          <w:i/>
          <w:sz w:val="22"/>
          <w:szCs w:val="22"/>
          <w:lang w:val="lt-LT" w:eastAsia="en-US"/>
        </w:rPr>
      </w:pPr>
      <w:r>
        <w:rPr>
          <w:rFonts w:eastAsia="Calibri"/>
          <w:i/>
          <w:sz w:val="22"/>
          <w:szCs w:val="22"/>
        </w:rPr>
        <w:t>Vaikų populiacija</w:t>
      </w:r>
    </w:p>
    <w:p w14:paraId="24BC7FFD" w14:textId="77777777" w:rsidR="00602606" w:rsidRDefault="00602606">
      <w:pPr>
        <w:widowControl w:val="0"/>
        <w:contextualSpacing/>
        <w:outlineLvl w:val="0"/>
        <w:rPr>
          <w:rFonts w:eastAsia="Calibri"/>
          <w:i/>
          <w:sz w:val="22"/>
          <w:szCs w:val="22"/>
        </w:rPr>
      </w:pPr>
    </w:p>
    <w:p w14:paraId="6E86E15A"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Dutasterido ir tamsulozino derinio negalima vartoti vaikų populiacijos pacientams (jaunesniems kaip 18 metų) (žr. 4.3 skyrių).</w:t>
      </w:r>
    </w:p>
    <w:p w14:paraId="47802EBC" w14:textId="77777777" w:rsidR="00602606" w:rsidRDefault="00602606">
      <w:pPr>
        <w:widowControl w:val="0"/>
        <w:contextualSpacing/>
        <w:outlineLvl w:val="0"/>
        <w:rPr>
          <w:rFonts w:eastAsia="Calibri"/>
          <w:sz w:val="22"/>
          <w:szCs w:val="22"/>
        </w:rPr>
      </w:pPr>
    </w:p>
    <w:p w14:paraId="1B8DB1A6" w14:textId="77777777" w:rsidR="00602606" w:rsidRDefault="00604AEE">
      <w:pPr>
        <w:widowControl w:val="0"/>
        <w:contextualSpacing/>
        <w:outlineLvl w:val="0"/>
        <w:rPr>
          <w:rFonts w:asciiTheme="minorHAnsi" w:eastAsia="Calibri" w:hAnsiTheme="minorHAnsi" w:cstheme="minorBidi"/>
          <w:sz w:val="22"/>
          <w:szCs w:val="22"/>
          <w:u w:val="single"/>
          <w:lang w:val="lt-LT" w:eastAsia="en-US"/>
        </w:rPr>
      </w:pPr>
      <w:r>
        <w:rPr>
          <w:rFonts w:eastAsia="Calibri"/>
          <w:sz w:val="22"/>
          <w:szCs w:val="22"/>
          <w:u w:val="single"/>
        </w:rPr>
        <w:t>Vartojimo metodas</w:t>
      </w:r>
    </w:p>
    <w:p w14:paraId="25E4EE7F" w14:textId="77777777" w:rsidR="00602606" w:rsidRDefault="00602606">
      <w:pPr>
        <w:widowControl w:val="0"/>
        <w:contextualSpacing/>
        <w:outlineLvl w:val="0"/>
        <w:rPr>
          <w:rFonts w:eastAsia="Calibri"/>
          <w:sz w:val="22"/>
          <w:szCs w:val="22"/>
        </w:rPr>
      </w:pPr>
    </w:p>
    <w:p w14:paraId="5A9E32A9"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Vartoti per burną.</w:t>
      </w:r>
    </w:p>
    <w:p w14:paraId="020A63E7" w14:textId="77777777" w:rsidR="00602606" w:rsidRDefault="00602606">
      <w:pPr>
        <w:widowControl w:val="0"/>
        <w:contextualSpacing/>
        <w:outlineLvl w:val="0"/>
        <w:rPr>
          <w:rFonts w:eastAsia="Calibri"/>
          <w:sz w:val="22"/>
          <w:szCs w:val="22"/>
        </w:rPr>
      </w:pPr>
    </w:p>
    <w:p w14:paraId="63A7349C"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Pacientams reikia nurodyti, kad nurytų visą kapsulę praėjus maždaug 30 minučių po to paties valgio kiekvieną dieną. Kapsulių negalima kramtyti arba atidaryti. Sąlytis su dutasterido kapsulės, kuri yra kietojoje kapsulėje, turiniu gali sukelti burnos ir ryklės gleivinės dirginimą.</w:t>
      </w:r>
    </w:p>
    <w:p w14:paraId="209A3E83" w14:textId="77777777" w:rsidR="00602606" w:rsidRDefault="00602606">
      <w:pPr>
        <w:widowControl w:val="0"/>
        <w:contextualSpacing/>
        <w:outlineLvl w:val="0"/>
        <w:rPr>
          <w:rFonts w:eastAsia="Calibri"/>
          <w:sz w:val="22"/>
          <w:szCs w:val="22"/>
        </w:rPr>
      </w:pPr>
    </w:p>
    <w:p w14:paraId="585CD90B" w14:textId="77777777" w:rsidR="00602606" w:rsidRDefault="00604AEE">
      <w:pPr>
        <w:widowControl w:val="0"/>
        <w:ind w:left="567" w:hanging="567"/>
        <w:rPr>
          <w:rFonts w:asciiTheme="minorHAnsi" w:eastAsia="Calibri" w:hAnsiTheme="minorHAnsi" w:cstheme="minorBidi"/>
          <w:sz w:val="22"/>
          <w:szCs w:val="22"/>
          <w:lang w:val="lt-LT" w:eastAsia="en-US"/>
        </w:rPr>
      </w:pPr>
      <w:r>
        <w:rPr>
          <w:rFonts w:eastAsia="Calibri"/>
          <w:b/>
          <w:sz w:val="22"/>
          <w:szCs w:val="22"/>
        </w:rPr>
        <w:t>4.3</w:t>
      </w:r>
      <w:r>
        <w:rPr>
          <w:rFonts w:eastAsia="Calibri"/>
          <w:b/>
          <w:sz w:val="22"/>
          <w:szCs w:val="22"/>
        </w:rPr>
        <w:tab/>
        <w:t>Kontraindikac</w:t>
      </w:r>
      <w:r w:rsidRPr="001F276A">
        <w:rPr>
          <w:rFonts w:eastAsia="Calibri"/>
          <w:b/>
          <w:sz w:val="22"/>
        </w:rPr>
        <w:t>ijos</w:t>
      </w:r>
    </w:p>
    <w:p w14:paraId="7CFF5056" w14:textId="77777777" w:rsidR="00602606" w:rsidRDefault="00602606">
      <w:pPr>
        <w:widowControl w:val="0"/>
        <w:contextualSpacing/>
        <w:outlineLvl w:val="0"/>
        <w:rPr>
          <w:rFonts w:eastAsia="Calibri"/>
          <w:sz w:val="22"/>
          <w:szCs w:val="22"/>
        </w:rPr>
      </w:pPr>
    </w:p>
    <w:p w14:paraId="69B9EF2C"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Dutasteride/Tamsulosin Krka vartoti negalima:</w:t>
      </w:r>
    </w:p>
    <w:p w14:paraId="1D19559C" w14:textId="77777777" w:rsidR="00602606" w:rsidRDefault="00604AEE">
      <w:pPr>
        <w:widowControl w:val="0"/>
        <w:ind w:left="567" w:hanging="567"/>
        <w:rPr>
          <w:rFonts w:eastAsia="Calibri"/>
          <w:sz w:val="22"/>
          <w:szCs w:val="22"/>
        </w:rPr>
      </w:pPr>
      <w:r>
        <w:rPr>
          <w:rFonts w:eastAsia="Calibri"/>
          <w:sz w:val="22"/>
          <w:szCs w:val="22"/>
        </w:rPr>
        <w:t>-</w:t>
      </w:r>
      <w:r>
        <w:rPr>
          <w:rFonts w:eastAsia="Calibri"/>
          <w:sz w:val="22"/>
          <w:szCs w:val="22"/>
        </w:rPr>
        <w:tab/>
        <w:t>moterims, vaikams ir paaugliams (žr. 4.6 skyrių);</w:t>
      </w:r>
    </w:p>
    <w:p w14:paraId="6FF6075A" w14:textId="77777777" w:rsidR="00602606" w:rsidRDefault="00604AEE">
      <w:pPr>
        <w:widowControl w:val="0"/>
        <w:ind w:left="567" w:hanging="567"/>
        <w:rPr>
          <w:rFonts w:eastAsia="Calibri"/>
          <w:sz w:val="22"/>
          <w:szCs w:val="22"/>
        </w:rPr>
      </w:pPr>
      <w:r>
        <w:rPr>
          <w:rFonts w:eastAsia="Calibri"/>
          <w:sz w:val="22"/>
          <w:szCs w:val="22"/>
        </w:rPr>
        <w:t>-</w:t>
      </w:r>
      <w:r>
        <w:rPr>
          <w:rFonts w:eastAsia="Calibri"/>
          <w:sz w:val="22"/>
          <w:szCs w:val="22"/>
        </w:rPr>
        <w:tab/>
        <w:t xml:space="preserve">pacientams, kurių jautrumas </w:t>
      </w:r>
      <w:r w:rsidRPr="001F276A">
        <w:rPr>
          <w:rFonts w:eastAsia="Calibri"/>
          <w:sz w:val="22"/>
        </w:rPr>
        <w:t>veikliajai medžiagai, kitiems 5</w:t>
      </w:r>
      <w:r w:rsidRPr="001F276A">
        <w:rPr>
          <w:rFonts w:eastAsia="Calibri"/>
          <w:sz w:val="22"/>
        </w:rPr>
        <w:noBreakHyphen/>
        <w:t>alfa reduktazės inhibitoriams, sojai, žemės riešutams arba bet kuriai kitai 6.1 skyriuje nurodytai pagalbinei medžiagai yra padidėjęs;</w:t>
      </w:r>
    </w:p>
    <w:p w14:paraId="4C85050D" w14:textId="77777777" w:rsidR="00602606" w:rsidRDefault="00604AEE">
      <w:pPr>
        <w:widowControl w:val="0"/>
        <w:ind w:left="567" w:hanging="567"/>
        <w:rPr>
          <w:rFonts w:eastAsia="Calibri"/>
          <w:sz w:val="22"/>
          <w:szCs w:val="22"/>
        </w:rPr>
      </w:pPr>
      <w:r>
        <w:rPr>
          <w:rFonts w:eastAsia="Calibri"/>
          <w:sz w:val="22"/>
          <w:szCs w:val="22"/>
        </w:rPr>
        <w:t>-</w:t>
      </w:r>
      <w:r>
        <w:rPr>
          <w:rFonts w:eastAsia="Calibri"/>
          <w:sz w:val="22"/>
          <w:szCs w:val="22"/>
        </w:rPr>
        <w:tab/>
        <w:t>pacientams, kuriems buvo pasireiškusi ortostatinė hipotenzija;</w:t>
      </w:r>
    </w:p>
    <w:p w14:paraId="261F9938" w14:textId="77777777" w:rsidR="00602606" w:rsidRDefault="00604AEE">
      <w:pPr>
        <w:widowControl w:val="0"/>
        <w:ind w:left="567" w:hanging="567"/>
        <w:rPr>
          <w:rFonts w:eastAsia="Calibri"/>
          <w:sz w:val="22"/>
          <w:szCs w:val="22"/>
        </w:rPr>
      </w:pPr>
      <w:r>
        <w:rPr>
          <w:rFonts w:eastAsia="Calibri"/>
          <w:sz w:val="22"/>
          <w:szCs w:val="22"/>
        </w:rPr>
        <w:t>-</w:t>
      </w:r>
      <w:r>
        <w:rPr>
          <w:rFonts w:eastAsia="Calibri"/>
          <w:sz w:val="22"/>
          <w:szCs w:val="22"/>
        </w:rPr>
        <w:tab/>
        <w:t>pacientams, kuriems yra sunkus kepenų funkcijos sutrikimas.</w:t>
      </w:r>
    </w:p>
    <w:p w14:paraId="2545B67D" w14:textId="77777777" w:rsidR="00602606" w:rsidRDefault="00602606">
      <w:pPr>
        <w:widowControl w:val="0"/>
        <w:contextualSpacing/>
        <w:outlineLvl w:val="0"/>
        <w:rPr>
          <w:rFonts w:eastAsia="Calibri"/>
          <w:sz w:val="22"/>
          <w:szCs w:val="22"/>
        </w:rPr>
      </w:pPr>
    </w:p>
    <w:p w14:paraId="7E769546" w14:textId="77777777" w:rsidR="00602606" w:rsidRDefault="00604AEE">
      <w:pPr>
        <w:widowControl w:val="0"/>
        <w:ind w:left="567" w:hanging="567"/>
        <w:rPr>
          <w:rFonts w:asciiTheme="minorHAnsi" w:eastAsia="Calibri" w:hAnsiTheme="minorHAnsi" w:cstheme="minorBidi"/>
          <w:b/>
          <w:sz w:val="22"/>
          <w:szCs w:val="22"/>
          <w:lang w:val="lt-LT" w:eastAsia="en-US"/>
        </w:rPr>
      </w:pPr>
      <w:r>
        <w:rPr>
          <w:rFonts w:eastAsia="Calibri"/>
          <w:b/>
          <w:sz w:val="22"/>
          <w:szCs w:val="22"/>
        </w:rPr>
        <w:t>4.4</w:t>
      </w:r>
      <w:r>
        <w:rPr>
          <w:rFonts w:eastAsia="Calibri"/>
          <w:b/>
          <w:sz w:val="22"/>
          <w:szCs w:val="22"/>
        </w:rPr>
        <w:tab/>
        <w:t>Specialūs įspėjimai ir atsargumo priemonės</w:t>
      </w:r>
    </w:p>
    <w:p w14:paraId="2649A3A7" w14:textId="77777777" w:rsidR="00602606" w:rsidRDefault="00602606">
      <w:pPr>
        <w:widowControl w:val="0"/>
        <w:contextualSpacing/>
        <w:outlineLvl w:val="0"/>
        <w:rPr>
          <w:rFonts w:eastAsia="Calibri"/>
          <w:b/>
          <w:sz w:val="22"/>
          <w:szCs w:val="22"/>
        </w:rPr>
      </w:pPr>
    </w:p>
    <w:p w14:paraId="72181601"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Kombinuotas gydymas turi būti skiriamas tik atidžiai įvertinus naudos ir rizikos santykį dėl galimo nepageidaujamų reiškinių (įskaitant širdies nepakankamumą) rizikos padidėjimo bei įvertinus kitokio gydymo, įskaitant monoterapiją, galimybes.</w:t>
      </w:r>
    </w:p>
    <w:p w14:paraId="21112A7D" w14:textId="77777777" w:rsidR="00602606" w:rsidRDefault="00602606">
      <w:pPr>
        <w:widowControl w:val="0"/>
        <w:contextualSpacing/>
        <w:outlineLvl w:val="0"/>
        <w:rPr>
          <w:rFonts w:eastAsia="Calibri"/>
          <w:sz w:val="22"/>
          <w:szCs w:val="22"/>
        </w:rPr>
      </w:pPr>
    </w:p>
    <w:p w14:paraId="2A97B648" w14:textId="77777777" w:rsidR="00602606" w:rsidRDefault="00604AEE">
      <w:pPr>
        <w:widowControl w:val="0"/>
        <w:contextualSpacing/>
        <w:outlineLvl w:val="0"/>
        <w:rPr>
          <w:rFonts w:asciiTheme="minorHAnsi" w:eastAsia="Calibri" w:hAnsiTheme="minorHAnsi" w:cstheme="minorBidi"/>
          <w:i/>
          <w:sz w:val="22"/>
          <w:szCs w:val="22"/>
          <w:lang w:val="lt-LT" w:eastAsia="en-US"/>
        </w:rPr>
      </w:pPr>
      <w:r>
        <w:rPr>
          <w:rFonts w:eastAsia="Calibri"/>
          <w:i/>
          <w:sz w:val="22"/>
          <w:szCs w:val="22"/>
        </w:rPr>
        <w:t>Prostatos vėžys ir didelio laipsnio navikai</w:t>
      </w:r>
    </w:p>
    <w:p w14:paraId="1938BCD4" w14:textId="77777777" w:rsidR="00602606" w:rsidRDefault="00602606">
      <w:pPr>
        <w:widowControl w:val="0"/>
        <w:contextualSpacing/>
        <w:outlineLvl w:val="0"/>
        <w:rPr>
          <w:rFonts w:eastAsia="Calibri"/>
          <w:sz w:val="22"/>
          <w:szCs w:val="22"/>
        </w:rPr>
      </w:pPr>
    </w:p>
    <w:p w14:paraId="30B0CE3C"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4 metų trukmės, daugiacentrio, atsitiktinių imčių, dvigubai koduoto, placebu kontroliuoto REDUCE tyrimo metu buvo tirtas 0,5 mg dutasterido paros dozės poveikis pacientams, turintiems didelę prostatos vėžio riziką (įskaitant 50</w:t>
      </w:r>
      <w:r w:rsidRPr="001F276A">
        <w:rPr>
          <w:rFonts w:eastAsia="Calibri"/>
          <w:sz w:val="22"/>
        </w:rPr>
        <w:noBreakHyphen/>
        <w:t>75 metų vyrus, kurių PSA kiekis buvo nuo 2,5 iki 10 ng/ml ir buvo neigiami prostatos biopsijos duomenys likus 6 mėnesiams iki įtraukimo į tyrimą), palyginti su placebu. Šio tyrimo duomenys atskleidė 8</w:t>
      </w:r>
      <w:r w:rsidRPr="001F276A">
        <w:rPr>
          <w:rFonts w:eastAsia="Calibri"/>
          <w:sz w:val="22"/>
        </w:rPr>
        <w:noBreakHyphen/>
        <w:t xml:space="preserve">10 laipsnio pagal </w:t>
      </w:r>
      <w:r w:rsidRPr="001F276A">
        <w:rPr>
          <w:rFonts w:eastAsia="Calibri"/>
          <w:i/>
          <w:sz w:val="22"/>
        </w:rPr>
        <w:t>Gleason</w:t>
      </w:r>
      <w:r w:rsidRPr="001F276A">
        <w:rPr>
          <w:rFonts w:eastAsia="Calibri"/>
          <w:sz w:val="22"/>
        </w:rPr>
        <w:t xml:space="preserve"> prostatos vėžio padažnėjimą dutasteridu gydytiems vyrams (n=29, </w:t>
      </w:r>
      <w:r>
        <w:rPr>
          <w:rFonts w:eastAsia="Calibri"/>
          <w:sz w:val="22"/>
          <w:szCs w:val="22"/>
        </w:rPr>
        <w:t>0,9 %), palyginti su placebu (n=19,</w:t>
      </w:r>
      <w:r w:rsidRPr="001F276A">
        <w:rPr>
          <w:rFonts w:eastAsia="Calibri"/>
          <w:sz w:val="22"/>
        </w:rPr>
        <w:t> </w:t>
      </w:r>
      <w:r>
        <w:rPr>
          <w:rFonts w:eastAsia="Calibri"/>
          <w:sz w:val="22"/>
          <w:szCs w:val="22"/>
        </w:rPr>
        <w:t>0,6 %). Dutasterido ryšys su 8</w:t>
      </w:r>
      <w:r w:rsidRPr="001F276A">
        <w:rPr>
          <w:rFonts w:eastAsia="Calibri"/>
          <w:sz w:val="22"/>
        </w:rPr>
        <w:noBreakHyphen/>
        <w:t xml:space="preserve">10 laipsnio pagal </w:t>
      </w:r>
      <w:r w:rsidRPr="001F276A">
        <w:rPr>
          <w:rFonts w:eastAsia="Calibri"/>
          <w:i/>
          <w:sz w:val="22"/>
        </w:rPr>
        <w:t>Gleason</w:t>
      </w:r>
      <w:r w:rsidRPr="001F276A">
        <w:rPr>
          <w:rFonts w:eastAsia="Calibri"/>
          <w:sz w:val="22"/>
        </w:rPr>
        <w:t xml:space="preserve"> prostatos vėžiu nėra aiškus. Taigi Dutasteride/Tamsulosin Krka vartojančius vyrus reikia reguliariai tirti dėl prostatos vėžio (žr. 5.1 skyrių).</w:t>
      </w:r>
    </w:p>
    <w:p w14:paraId="09E496A3" w14:textId="77777777" w:rsidR="00602606" w:rsidRDefault="00602606">
      <w:pPr>
        <w:widowControl w:val="0"/>
        <w:contextualSpacing/>
        <w:outlineLvl w:val="0"/>
        <w:rPr>
          <w:rFonts w:eastAsia="Calibri"/>
          <w:sz w:val="22"/>
          <w:szCs w:val="22"/>
        </w:rPr>
      </w:pPr>
    </w:p>
    <w:p w14:paraId="21739F98" w14:textId="77777777" w:rsidR="00602606" w:rsidRDefault="00604AEE">
      <w:pPr>
        <w:widowControl w:val="0"/>
        <w:contextualSpacing/>
        <w:outlineLvl w:val="0"/>
        <w:rPr>
          <w:rFonts w:asciiTheme="minorHAnsi" w:eastAsia="Calibri" w:hAnsiTheme="minorHAnsi" w:cstheme="minorBidi"/>
          <w:i/>
          <w:sz w:val="22"/>
          <w:szCs w:val="22"/>
          <w:lang w:val="lt-LT" w:eastAsia="en-US"/>
        </w:rPr>
      </w:pPr>
      <w:r>
        <w:rPr>
          <w:rFonts w:eastAsia="Calibri"/>
          <w:i/>
          <w:sz w:val="22"/>
          <w:szCs w:val="22"/>
        </w:rPr>
        <w:t>Prostatos specifinis antigenas (PSA)</w:t>
      </w:r>
    </w:p>
    <w:p w14:paraId="6BBE3C6B" w14:textId="77777777" w:rsidR="00602606" w:rsidRDefault="00602606">
      <w:pPr>
        <w:widowControl w:val="0"/>
        <w:contextualSpacing/>
        <w:outlineLvl w:val="0"/>
        <w:rPr>
          <w:rFonts w:eastAsia="Calibri"/>
          <w:sz w:val="22"/>
          <w:szCs w:val="22"/>
          <w:u w:val="single"/>
        </w:rPr>
      </w:pPr>
    </w:p>
    <w:p w14:paraId="7C20C988"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Diagnozuojant prostatos vėžį, labai svarbus yra prostatos specifinio antigeno (PSA) koncentracijos kraujo serume matavimas. Vartojant Dutasteride/Tamsulosin Krka</w:t>
      </w:r>
      <w:r w:rsidRPr="001F276A">
        <w:rPr>
          <w:rFonts w:eastAsia="Calibri"/>
          <w:sz w:val="22"/>
        </w:rPr>
        <w:t>, vidutinė PSA koncentracija kraujo serume po 6 gydymo mėnesių sumažėja maždaug 50 %.</w:t>
      </w:r>
    </w:p>
    <w:p w14:paraId="10E05F92" w14:textId="77777777" w:rsidR="00602606" w:rsidRDefault="00602606">
      <w:pPr>
        <w:widowControl w:val="0"/>
        <w:contextualSpacing/>
        <w:outlineLvl w:val="0"/>
        <w:rPr>
          <w:rFonts w:eastAsia="Calibri"/>
          <w:sz w:val="22"/>
          <w:szCs w:val="22"/>
        </w:rPr>
      </w:pPr>
    </w:p>
    <w:p w14:paraId="0ABF0C94"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Dutasteride/Tamsulosin Krka vartojantiems pacientams po 6 gydymo dutasterido ir tamsulozino deriniu mėnesių reikia išmatuoti naują pradinį PSA</w:t>
      </w:r>
      <w:r w:rsidRPr="001F276A">
        <w:rPr>
          <w:rFonts w:eastAsia="Calibri"/>
          <w:sz w:val="22"/>
        </w:rPr>
        <w:t>. Vėliau rekomenduojama reguliariai matuoti PSA koncentraciją. Bet koks patvirtintas PSA koncentracijos padidėjimas nuo mažiausio rodmens vartojant Dutasteride/Tamsulosin Krka gali rodyti prostatos vėžį arba gydytojo nurodymų gydantis Dutasteride/Tamsulosin Krka nesilaikymą ir turi būti atidžiai įvertintas net tuo atveju, jeigu koncentracija yra normos ribose vyrams, nevartojantiems 5</w:t>
      </w:r>
      <w:r w:rsidRPr="001F276A">
        <w:rPr>
          <w:rFonts w:eastAsia="Calibri"/>
          <w:sz w:val="22"/>
        </w:rPr>
        <w:noBreakHyphen/>
        <w:t>alfa reduktazės inhibitorių (žr. 5.1 skyrių). Interpretuojant paciento, vartojančio dutasteridą, PSA rodmenis, juos reikia palyginti su ankstesniais PSA rodmenimis.</w:t>
      </w:r>
    </w:p>
    <w:p w14:paraId="5E524781" w14:textId="77777777" w:rsidR="00602606" w:rsidRDefault="00602606">
      <w:pPr>
        <w:widowControl w:val="0"/>
        <w:contextualSpacing/>
        <w:outlineLvl w:val="0"/>
        <w:rPr>
          <w:rFonts w:eastAsia="Calibri"/>
          <w:sz w:val="22"/>
          <w:szCs w:val="22"/>
        </w:rPr>
      </w:pPr>
    </w:p>
    <w:p w14:paraId="158E137B"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Gydymas Dutasteride/Tamsulosin Krka</w:t>
      </w:r>
      <w:r w:rsidRPr="001F276A">
        <w:rPr>
          <w:rFonts w:eastAsia="Calibri"/>
          <w:sz w:val="22"/>
        </w:rPr>
        <w:t xml:space="preserve"> netrukdo naudoti PSA kaip prostatos vėžį diagnozuoti padedančios priemonės po to, kai išmatuojamas naujas pradinis rodmuo.</w:t>
      </w:r>
    </w:p>
    <w:p w14:paraId="068E1394" w14:textId="77777777" w:rsidR="00602606" w:rsidRDefault="00602606">
      <w:pPr>
        <w:widowControl w:val="0"/>
        <w:contextualSpacing/>
        <w:outlineLvl w:val="0"/>
        <w:rPr>
          <w:rFonts w:eastAsia="Calibri"/>
          <w:sz w:val="22"/>
          <w:szCs w:val="22"/>
        </w:rPr>
      </w:pPr>
    </w:p>
    <w:p w14:paraId="1391C998"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 xml:space="preserve">Nutraukus gydymą, bendroji PSA koncentracija kraujo serume per 6 mėnesius vėl tampa pradinio dydžio. Laisvojo ir bendrojo PSA santykis yra pastovus net veikiant </w:t>
      </w:r>
      <w:r w:rsidRPr="001F276A">
        <w:rPr>
          <w:rFonts w:eastAsia="Calibri"/>
          <w:sz w:val="22"/>
        </w:rPr>
        <w:t>Dutasteride/Tamsulosin Krka. Jeigu gydytojas nusprendžia apskaičiuoti laisvojo PSA procentinę dalį, kad būtų lengviau diagnozuoti prostatos vėžį vyrui, gydomam Dutasteride/Tamsulosin Krka, tokio rodmens koreguoti nebūtina.</w:t>
      </w:r>
    </w:p>
    <w:p w14:paraId="5AEF81DE" w14:textId="77777777" w:rsidR="00602606" w:rsidRDefault="00602606">
      <w:pPr>
        <w:widowControl w:val="0"/>
        <w:contextualSpacing/>
        <w:outlineLvl w:val="0"/>
        <w:rPr>
          <w:rFonts w:eastAsia="Calibri"/>
          <w:sz w:val="22"/>
          <w:szCs w:val="22"/>
        </w:rPr>
      </w:pPr>
    </w:p>
    <w:p w14:paraId="3155FD96"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 xml:space="preserve">Prieš pradedant gydymą </w:t>
      </w:r>
      <w:r w:rsidRPr="001F276A">
        <w:rPr>
          <w:rFonts w:eastAsia="Calibri"/>
          <w:sz w:val="22"/>
        </w:rPr>
        <w:t>Dutasteride/Tamsulosin Krka, pacientams reikia atlikti digitalinį tiesiosios žarnos tyrimą, o taip pat kitais būdais ištirti, ar pacientas neserga prostatos vėžiu ir ar jam nėra kitokių būklių, kurios gali sukelti tokius pat simptomus, kaip GPH, ir vėliau tokius tyrimus periodiškai kartoti.</w:t>
      </w:r>
    </w:p>
    <w:p w14:paraId="4AEE3876" w14:textId="77777777" w:rsidR="00602606" w:rsidRDefault="00602606">
      <w:pPr>
        <w:widowControl w:val="0"/>
        <w:contextualSpacing/>
        <w:outlineLvl w:val="0"/>
        <w:rPr>
          <w:rFonts w:eastAsia="Calibri"/>
          <w:sz w:val="22"/>
          <w:szCs w:val="22"/>
        </w:rPr>
      </w:pPr>
    </w:p>
    <w:p w14:paraId="2FF8DFF5" w14:textId="77777777" w:rsidR="00602606" w:rsidRDefault="00604AEE">
      <w:pPr>
        <w:widowControl w:val="0"/>
        <w:contextualSpacing/>
        <w:outlineLvl w:val="0"/>
        <w:rPr>
          <w:rFonts w:asciiTheme="minorHAnsi" w:eastAsia="Calibri" w:hAnsiTheme="minorHAnsi" w:cstheme="minorBidi"/>
          <w:i/>
          <w:sz w:val="22"/>
          <w:szCs w:val="22"/>
          <w:lang w:val="lt-LT" w:eastAsia="en-US"/>
        </w:rPr>
      </w:pPr>
      <w:r>
        <w:rPr>
          <w:rFonts w:eastAsia="Calibri"/>
          <w:i/>
          <w:sz w:val="22"/>
          <w:szCs w:val="22"/>
        </w:rPr>
        <w:t>Nepageidaujami širdies ir kraujagyslių reiškiniai</w:t>
      </w:r>
    </w:p>
    <w:p w14:paraId="79B492B7" w14:textId="77777777" w:rsidR="00602606" w:rsidRDefault="00602606">
      <w:pPr>
        <w:widowControl w:val="0"/>
        <w:contextualSpacing/>
        <w:outlineLvl w:val="0"/>
        <w:rPr>
          <w:rFonts w:eastAsia="Calibri"/>
          <w:sz w:val="22"/>
          <w:szCs w:val="22"/>
          <w:u w:val="single"/>
        </w:rPr>
      </w:pPr>
    </w:p>
    <w:p w14:paraId="1F6D7915"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Dviejų 4 metus trukusių klinikinių tyrimų duomenimis, širdies nepakankamumas (bendras praneštų reiškinių, dažniausiai širdies nepakankamumo ir stazinio širdies nepakankamumo, apibūdinimas) nežymiai dažniau pasireiškė tiriamiesiems, kurie dutasteridą vartojo kartu su alfa</w:t>
      </w:r>
      <w:r w:rsidRPr="001F276A">
        <w:rPr>
          <w:rFonts w:eastAsia="Calibri"/>
          <w:sz w:val="22"/>
          <w:vertAlign w:val="subscript"/>
        </w:rPr>
        <w:t>1</w:t>
      </w:r>
      <w:r>
        <w:rPr>
          <w:rFonts w:eastAsia="Calibri"/>
          <w:sz w:val="22"/>
          <w:szCs w:val="22"/>
        </w:rPr>
        <w:t xml:space="preserve"> adrenoreceptorių antagonistu, visų pirma tamsulozinu,</w:t>
      </w:r>
      <w:r w:rsidRPr="001F276A">
        <w:rPr>
          <w:rFonts w:eastAsia="Calibri"/>
          <w:sz w:val="22"/>
        </w:rPr>
        <w:t xml:space="preserve"> nei tiriamiesiems, kurie vaistinių preparatų derinio nevartojo. Vis dėlto šių tyrimų duomenimis, širdies nepakankamumas pasireiškė rečiau visose gydymo aktyviu vaistiniu preparatu grupėse, palyginti su placebo grupe, o kiti turimi dutasterido ar alfa</w:t>
      </w:r>
      <w:r w:rsidRPr="001F276A">
        <w:rPr>
          <w:rFonts w:eastAsia="Calibri"/>
          <w:sz w:val="22"/>
          <w:vertAlign w:val="subscript"/>
        </w:rPr>
        <w:t xml:space="preserve">1 </w:t>
      </w:r>
      <w:r w:rsidRPr="001F276A">
        <w:rPr>
          <w:rFonts w:eastAsia="Calibri"/>
          <w:sz w:val="22"/>
        </w:rPr>
        <w:t>adrenoreceptorių antagonistų vartojimo duomenys nepatvirtina išvados, kad širdies ir kraujagyslių reiškinių rizika padidėja (žr. 5.1 skyrių).</w:t>
      </w:r>
    </w:p>
    <w:p w14:paraId="45CAE52F" w14:textId="77777777" w:rsidR="00602606" w:rsidRDefault="00602606">
      <w:pPr>
        <w:widowControl w:val="0"/>
        <w:contextualSpacing/>
        <w:outlineLvl w:val="0"/>
        <w:rPr>
          <w:rFonts w:eastAsia="Calibri"/>
          <w:sz w:val="22"/>
          <w:szCs w:val="22"/>
        </w:rPr>
      </w:pPr>
    </w:p>
    <w:p w14:paraId="13C70BA7" w14:textId="77777777" w:rsidR="00602606" w:rsidRDefault="00604AEE">
      <w:pPr>
        <w:widowControl w:val="0"/>
        <w:contextualSpacing/>
        <w:outlineLvl w:val="0"/>
        <w:rPr>
          <w:rFonts w:asciiTheme="minorHAnsi" w:eastAsia="Calibri" w:hAnsiTheme="minorHAnsi" w:cstheme="minorBidi"/>
          <w:i/>
          <w:sz w:val="22"/>
          <w:szCs w:val="22"/>
          <w:lang w:val="lt-LT" w:eastAsia="en-US"/>
        </w:rPr>
      </w:pPr>
      <w:r>
        <w:rPr>
          <w:rFonts w:eastAsia="Calibri"/>
          <w:i/>
          <w:sz w:val="22"/>
          <w:szCs w:val="22"/>
        </w:rPr>
        <w:t>Krūties navikai</w:t>
      </w:r>
    </w:p>
    <w:p w14:paraId="5616B565" w14:textId="77777777" w:rsidR="00602606" w:rsidRDefault="00602606">
      <w:pPr>
        <w:widowControl w:val="0"/>
        <w:contextualSpacing/>
        <w:outlineLvl w:val="0"/>
        <w:rPr>
          <w:rFonts w:eastAsia="Calibri"/>
          <w:sz w:val="22"/>
          <w:szCs w:val="22"/>
          <w:u w:val="single"/>
        </w:rPr>
      </w:pPr>
    </w:p>
    <w:p w14:paraId="4039D894"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Gauta retų pranešimų apie krūties vėžį vyrams, kurie dutasteridą vartojo klinikinių tyrimų metu ir po vaistinio preparato pateikimo į rinką. Vis dėlto epidemiologiniai tyrimai atskleidė, kad krūties vėžio atsiradimo rizika 5</w:t>
      </w:r>
      <w:r w:rsidRPr="001F276A">
        <w:rPr>
          <w:rFonts w:eastAsia="Calibri"/>
          <w:sz w:val="22"/>
        </w:rPr>
        <w:noBreakHyphen/>
        <w:t>alfa reduktazės inhibitorių vartojantiems vyrams nepadidėja (žr. 5.1 skyrių). Gydytojai turi nurodyti savo pacientams, kad jie nedelsdami praneštų apie bet kokius krūtų audinio pokyčius, pvz., gumbelius arba išskyras iš spenelių.</w:t>
      </w:r>
    </w:p>
    <w:p w14:paraId="06368D65" w14:textId="77777777" w:rsidR="00602606" w:rsidRDefault="00602606">
      <w:pPr>
        <w:widowControl w:val="0"/>
        <w:contextualSpacing/>
        <w:outlineLvl w:val="0"/>
        <w:rPr>
          <w:rFonts w:eastAsia="Calibri"/>
          <w:sz w:val="22"/>
          <w:szCs w:val="22"/>
          <w:u w:val="single"/>
        </w:rPr>
      </w:pPr>
    </w:p>
    <w:p w14:paraId="75DB172E" w14:textId="77777777" w:rsidR="00602606" w:rsidRDefault="00604AEE">
      <w:pPr>
        <w:widowControl w:val="0"/>
        <w:contextualSpacing/>
        <w:outlineLvl w:val="0"/>
        <w:rPr>
          <w:rFonts w:asciiTheme="minorHAnsi" w:eastAsia="Calibri" w:hAnsiTheme="minorHAnsi" w:cstheme="minorBidi"/>
          <w:i/>
          <w:sz w:val="22"/>
          <w:szCs w:val="22"/>
          <w:lang w:val="lt-LT" w:eastAsia="en-US"/>
        </w:rPr>
      </w:pPr>
      <w:r>
        <w:rPr>
          <w:rFonts w:eastAsia="Calibri"/>
          <w:i/>
          <w:sz w:val="22"/>
          <w:szCs w:val="22"/>
          <w:lang w:val="lt-LT"/>
        </w:rPr>
        <w:t>Sutrikusi inkstų funkcija</w:t>
      </w:r>
    </w:p>
    <w:p w14:paraId="71154874" w14:textId="77777777" w:rsidR="00602606" w:rsidRDefault="00602606">
      <w:pPr>
        <w:widowControl w:val="0"/>
        <w:contextualSpacing/>
        <w:outlineLvl w:val="0"/>
        <w:rPr>
          <w:rFonts w:eastAsia="Calibri"/>
          <w:sz w:val="22"/>
          <w:szCs w:val="22"/>
          <w:u w:val="single"/>
        </w:rPr>
      </w:pPr>
    </w:p>
    <w:p w14:paraId="58897703"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Pacientus, kuriems yra sunkus inkstų funkcijos sutrikimas (kreatinino klirensas mažesnis kaip 10 ml/min.), gydyti reikia atsargiai, nes tyrimų su tokiais pacientais neatlikta.</w:t>
      </w:r>
    </w:p>
    <w:p w14:paraId="2CA78515" w14:textId="77777777" w:rsidR="00602606" w:rsidRDefault="00602606">
      <w:pPr>
        <w:widowControl w:val="0"/>
        <w:contextualSpacing/>
        <w:outlineLvl w:val="0"/>
        <w:rPr>
          <w:rFonts w:eastAsia="Calibri"/>
          <w:sz w:val="22"/>
          <w:szCs w:val="22"/>
        </w:rPr>
      </w:pPr>
    </w:p>
    <w:p w14:paraId="31A94C0C" w14:textId="77777777" w:rsidR="00602606" w:rsidRDefault="00604AEE">
      <w:pPr>
        <w:widowControl w:val="0"/>
        <w:contextualSpacing/>
        <w:outlineLvl w:val="0"/>
        <w:rPr>
          <w:rFonts w:asciiTheme="minorHAnsi" w:eastAsia="Calibri" w:hAnsiTheme="minorHAnsi" w:cstheme="minorBidi"/>
          <w:i/>
          <w:sz w:val="22"/>
          <w:szCs w:val="22"/>
          <w:lang w:val="lt-LT" w:eastAsia="en-US"/>
        </w:rPr>
      </w:pPr>
      <w:r>
        <w:rPr>
          <w:rFonts w:eastAsia="Calibri"/>
          <w:i/>
          <w:sz w:val="22"/>
          <w:szCs w:val="22"/>
        </w:rPr>
        <w:t>Hipotenzija</w:t>
      </w:r>
    </w:p>
    <w:p w14:paraId="46D744E5" w14:textId="77777777" w:rsidR="00602606" w:rsidRDefault="00602606">
      <w:pPr>
        <w:widowControl w:val="0"/>
        <w:contextualSpacing/>
        <w:outlineLvl w:val="0"/>
        <w:rPr>
          <w:rFonts w:eastAsia="Calibri"/>
          <w:sz w:val="22"/>
          <w:szCs w:val="22"/>
          <w:u w:val="single"/>
        </w:rPr>
      </w:pPr>
    </w:p>
    <w:p w14:paraId="4B7AEB8B"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Ortostatinė. Vartojant tamsuloziną, kaip ir kitokių alfa</w:t>
      </w:r>
      <w:r w:rsidRPr="001F276A">
        <w:rPr>
          <w:rFonts w:eastAsia="Calibri"/>
          <w:sz w:val="22"/>
          <w:vertAlign w:val="subscript"/>
        </w:rPr>
        <w:t>1</w:t>
      </w:r>
      <w:r>
        <w:rPr>
          <w:rFonts w:eastAsia="Calibri"/>
          <w:sz w:val="22"/>
          <w:szCs w:val="22"/>
        </w:rPr>
        <w:t xml:space="preserve"> adrenoreceptorių antagonistų, gali sumažėti kraujospūdis ir dėl to retais atvejais pasireikšti apalpimas. Pacientams, kurie pradedami gydyti </w:t>
      </w:r>
      <w:r w:rsidRPr="001F276A">
        <w:rPr>
          <w:rFonts w:eastAsia="Calibri"/>
          <w:sz w:val="22"/>
        </w:rPr>
        <w:t>Dutasteride/Tamsulosin Krka, reikia pasakyti, kad pasireiškus pirmiesiems ortostatinės hipotenzijos požymiams (svaiguliui, silpnumui), pasėdėtų arba pagulėtų, kol simptomai išnyks.</w:t>
      </w:r>
    </w:p>
    <w:p w14:paraId="45AB11FB" w14:textId="77777777" w:rsidR="00602606" w:rsidRDefault="00602606">
      <w:pPr>
        <w:widowControl w:val="0"/>
        <w:contextualSpacing/>
        <w:outlineLvl w:val="0"/>
        <w:rPr>
          <w:rFonts w:eastAsia="Calibri"/>
          <w:sz w:val="22"/>
          <w:szCs w:val="22"/>
        </w:rPr>
      </w:pPr>
    </w:p>
    <w:p w14:paraId="4EDDA5E5"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Norint sumažinti ortostatinės hipotenzijos atsiradimo tikimybę, prieš padedant vartoti FDE5 inhibitorius, paciento, vartojančio alfa</w:t>
      </w:r>
      <w:r>
        <w:rPr>
          <w:rFonts w:eastAsia="Calibri"/>
          <w:sz w:val="22"/>
          <w:szCs w:val="22"/>
          <w:vertAlign w:val="subscript"/>
        </w:rPr>
        <w:t>1</w:t>
      </w:r>
      <w:r>
        <w:rPr>
          <w:rFonts w:eastAsia="Calibri"/>
          <w:sz w:val="22"/>
          <w:szCs w:val="22"/>
        </w:rPr>
        <w:t xml:space="preserve"> adrenoreceptorių antagonisto, h</w:t>
      </w:r>
      <w:r w:rsidRPr="001F276A">
        <w:rPr>
          <w:rFonts w:eastAsia="Calibri"/>
          <w:sz w:val="22"/>
        </w:rPr>
        <w:t>emodinamika turi būti stabili. Simptominė. Gydyti reikia atsargiai, jeigu alfa adrenoreceptorių blokatoriai, įskaitant tamsuloziną, skiriami vartoti kartu su FDE5 inhibitoriais (pvz., sildenafiliu, tadalafiliu, vardenafiliu). Ir alfa</w:t>
      </w:r>
      <w:r w:rsidRPr="001F276A">
        <w:rPr>
          <w:rFonts w:eastAsia="Calibri"/>
          <w:sz w:val="22"/>
          <w:vertAlign w:val="subscript"/>
        </w:rPr>
        <w:t>1</w:t>
      </w:r>
      <w:r>
        <w:rPr>
          <w:rFonts w:eastAsia="Calibri"/>
          <w:sz w:val="22"/>
          <w:szCs w:val="22"/>
        </w:rPr>
        <w:t xml:space="preserve"> adrenoreceptorių anta</w:t>
      </w:r>
      <w:r w:rsidRPr="001F276A">
        <w:rPr>
          <w:rFonts w:eastAsia="Calibri"/>
          <w:sz w:val="22"/>
        </w:rPr>
        <w:t>gonistai, ir FDE5 inhibitoriai plečia kraujagysles, todėl gali mažinti kraujospūdį. Šių dviejų grupių vaistinių preparatų vartojimas kartu gali sukelti simptominę hipotenziją (žr. 4.5 skyrių).</w:t>
      </w:r>
    </w:p>
    <w:p w14:paraId="2832289F" w14:textId="77777777" w:rsidR="00602606" w:rsidRDefault="00602606">
      <w:pPr>
        <w:widowControl w:val="0"/>
        <w:contextualSpacing/>
        <w:outlineLvl w:val="0"/>
        <w:rPr>
          <w:rFonts w:eastAsia="Calibri"/>
          <w:sz w:val="22"/>
          <w:szCs w:val="22"/>
        </w:rPr>
      </w:pPr>
    </w:p>
    <w:p w14:paraId="274D1ADA" w14:textId="77777777" w:rsidR="00602606" w:rsidRDefault="00604AEE">
      <w:pPr>
        <w:widowControl w:val="0"/>
        <w:contextualSpacing/>
        <w:outlineLvl w:val="0"/>
        <w:rPr>
          <w:rFonts w:asciiTheme="minorHAnsi" w:eastAsia="Calibri" w:hAnsiTheme="minorHAnsi" w:cstheme="minorBidi"/>
          <w:i/>
          <w:sz w:val="22"/>
          <w:szCs w:val="22"/>
          <w:lang w:val="lt-LT" w:eastAsia="en-US"/>
        </w:rPr>
      </w:pPr>
      <w:r>
        <w:rPr>
          <w:rFonts w:eastAsia="Calibri"/>
          <w:i/>
          <w:sz w:val="22"/>
          <w:szCs w:val="22"/>
        </w:rPr>
        <w:t>Suglebusios rainelės sindromas operacijos metu</w:t>
      </w:r>
    </w:p>
    <w:p w14:paraId="540BF4C9" w14:textId="77777777" w:rsidR="00602606" w:rsidRDefault="00602606">
      <w:pPr>
        <w:widowControl w:val="0"/>
        <w:contextualSpacing/>
        <w:outlineLvl w:val="0"/>
        <w:rPr>
          <w:rFonts w:eastAsia="Calibri"/>
          <w:sz w:val="22"/>
          <w:szCs w:val="22"/>
        </w:rPr>
      </w:pPr>
    </w:p>
    <w:p w14:paraId="69BAA9D2"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 xml:space="preserve">Kataraktos operacijos metu kai kuriems pacientams, kurie gydomi arba anksčiau buvo gydyti tamsulozinu, pasireiškė operacinis suglebusios rainelės sindromas (angl. </w:t>
      </w:r>
      <w:r w:rsidRPr="001F276A">
        <w:rPr>
          <w:rFonts w:eastAsia="Calibri"/>
          <w:i/>
          <w:sz w:val="22"/>
        </w:rPr>
        <w:t>Intraoperative Floppy Iris sindrome, IFIS</w:t>
      </w:r>
      <w:r w:rsidRPr="001F276A">
        <w:rPr>
          <w:rFonts w:eastAsia="Calibri"/>
          <w:sz w:val="22"/>
        </w:rPr>
        <w:t xml:space="preserve"> – vienas iš mažo vyzdžio sindromo variantų). </w:t>
      </w:r>
      <w:r w:rsidRPr="001F276A">
        <w:rPr>
          <w:rFonts w:eastAsia="Calibri"/>
          <w:i/>
          <w:sz w:val="22"/>
        </w:rPr>
        <w:t>IFIS</w:t>
      </w:r>
      <w:r w:rsidRPr="001F276A">
        <w:rPr>
          <w:rFonts w:eastAsia="Calibri"/>
          <w:sz w:val="22"/>
        </w:rPr>
        <w:t xml:space="preserve"> gali didinti akių komplikacijų riziką operacijos metu ir po operacijos. Todėl pacientams, kuriems numatytas kataraktos chirurginis gydymas, pradėti gydymo Dutasteride/Tamsulosin Krka nerekomenduojama.</w:t>
      </w:r>
    </w:p>
    <w:p w14:paraId="3911BF39" w14:textId="77777777" w:rsidR="00602606" w:rsidRDefault="00602606">
      <w:pPr>
        <w:widowControl w:val="0"/>
        <w:contextualSpacing/>
        <w:outlineLvl w:val="0"/>
        <w:rPr>
          <w:rFonts w:eastAsia="Calibri"/>
          <w:sz w:val="22"/>
          <w:szCs w:val="22"/>
        </w:rPr>
      </w:pPr>
    </w:p>
    <w:p w14:paraId="78E1B0B1"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 xml:space="preserve">Tiriant prieš operaciją, kataraktą operuosiantis chirurgas ir oftalmologų komanda turi įvertinti, ar pacientai, kuriems numatytas kataraktos chirurginis gydymas, anksčiau buvo gydyti arba šiuo metu vartoja </w:t>
      </w:r>
      <w:r w:rsidRPr="001F276A">
        <w:rPr>
          <w:rFonts w:eastAsia="Calibri"/>
          <w:sz w:val="22"/>
        </w:rPr>
        <w:t xml:space="preserve">Dutasteride/Tamsulosin Krka, ir užtikrinti, kad būtų paruoštos reikiamos priemonės, kurios padėtų pašalinti </w:t>
      </w:r>
      <w:r w:rsidRPr="001F276A">
        <w:rPr>
          <w:rFonts w:eastAsia="Calibri"/>
          <w:i/>
          <w:sz w:val="22"/>
        </w:rPr>
        <w:t xml:space="preserve">IFIS </w:t>
      </w:r>
      <w:r w:rsidRPr="001F276A">
        <w:rPr>
          <w:rFonts w:eastAsia="Calibri"/>
          <w:sz w:val="22"/>
        </w:rPr>
        <w:t>operacijos metu.</w:t>
      </w:r>
    </w:p>
    <w:p w14:paraId="05445EFB" w14:textId="77777777" w:rsidR="00602606" w:rsidRDefault="00602606">
      <w:pPr>
        <w:widowControl w:val="0"/>
        <w:contextualSpacing/>
        <w:outlineLvl w:val="0"/>
        <w:rPr>
          <w:rFonts w:eastAsia="Calibri"/>
          <w:sz w:val="22"/>
          <w:szCs w:val="22"/>
        </w:rPr>
      </w:pPr>
    </w:p>
    <w:p w14:paraId="2AFC6D38"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Teoriškai laikoma naudinga nutraukti tamsulozino vartojimą likus 1</w:t>
      </w:r>
      <w:r w:rsidRPr="001F276A">
        <w:rPr>
          <w:rFonts w:eastAsia="Calibri"/>
          <w:sz w:val="22"/>
        </w:rPr>
        <w:noBreakHyphen/>
        <w:t>2 savaitėms iki kataraktos chirurginio gydymo, bet gydymo nutraukimo nauda ir trukmė prieš kataraktos chirurginį gydymą dar nenustatyta.</w:t>
      </w:r>
    </w:p>
    <w:p w14:paraId="30F6D35D" w14:textId="77777777" w:rsidR="00602606" w:rsidRDefault="00602606">
      <w:pPr>
        <w:widowControl w:val="0"/>
        <w:contextualSpacing/>
        <w:outlineLvl w:val="0"/>
        <w:rPr>
          <w:rFonts w:eastAsia="Calibri"/>
          <w:sz w:val="22"/>
          <w:szCs w:val="22"/>
        </w:rPr>
      </w:pPr>
    </w:p>
    <w:p w14:paraId="08175E58" w14:textId="77777777" w:rsidR="00602606" w:rsidRDefault="00604AEE">
      <w:pPr>
        <w:widowControl w:val="0"/>
        <w:contextualSpacing/>
        <w:outlineLvl w:val="0"/>
        <w:rPr>
          <w:rFonts w:asciiTheme="minorHAnsi" w:eastAsia="Calibri" w:hAnsiTheme="minorHAnsi" w:cstheme="minorBidi"/>
          <w:i/>
          <w:sz w:val="22"/>
          <w:szCs w:val="22"/>
          <w:lang w:val="lt-LT" w:eastAsia="en-US"/>
        </w:rPr>
      </w:pPr>
      <w:r>
        <w:rPr>
          <w:rFonts w:eastAsia="Calibri"/>
          <w:i/>
          <w:sz w:val="22"/>
          <w:szCs w:val="22"/>
        </w:rPr>
        <w:t>Nesandarios kapsulės</w:t>
      </w:r>
    </w:p>
    <w:p w14:paraId="038B1B5B" w14:textId="77777777" w:rsidR="00602606" w:rsidRDefault="00602606">
      <w:pPr>
        <w:widowControl w:val="0"/>
        <w:contextualSpacing/>
        <w:outlineLvl w:val="0"/>
        <w:rPr>
          <w:rFonts w:eastAsia="Calibri"/>
          <w:sz w:val="22"/>
          <w:szCs w:val="22"/>
          <w:u w:val="single"/>
        </w:rPr>
      </w:pPr>
    </w:p>
    <w:p w14:paraId="0AA52D2E"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Dutasteridas absorbuojamas per odą, todėl moterys, vaikai ir paaugliai turi vengti kontakto su nesandaria kapsule (žr. 4.6 skyrių). Jeigu įvyksta kontaktas su nesandaria kapsule, sąlyčio vietą reikia nedelsiant plauti muilu ir vandeniu.</w:t>
      </w:r>
    </w:p>
    <w:p w14:paraId="7DC2FD3F" w14:textId="77777777" w:rsidR="00602606" w:rsidRDefault="00602606">
      <w:pPr>
        <w:widowControl w:val="0"/>
        <w:contextualSpacing/>
        <w:outlineLvl w:val="0"/>
        <w:rPr>
          <w:rFonts w:eastAsia="Calibri"/>
          <w:sz w:val="22"/>
          <w:szCs w:val="22"/>
        </w:rPr>
      </w:pPr>
    </w:p>
    <w:p w14:paraId="3C7A5B4A" w14:textId="77777777" w:rsidR="00602606" w:rsidRDefault="00604AEE">
      <w:pPr>
        <w:widowControl w:val="0"/>
        <w:contextualSpacing/>
        <w:outlineLvl w:val="0"/>
        <w:rPr>
          <w:rFonts w:asciiTheme="minorHAnsi" w:eastAsia="Calibri" w:hAnsiTheme="minorHAnsi" w:cstheme="minorBidi"/>
          <w:i/>
          <w:sz w:val="22"/>
          <w:szCs w:val="22"/>
          <w:lang w:val="lt-LT" w:eastAsia="en-US"/>
        </w:rPr>
      </w:pPr>
      <w:r>
        <w:rPr>
          <w:rFonts w:eastAsia="Calibri"/>
          <w:i/>
          <w:sz w:val="22"/>
          <w:szCs w:val="22"/>
        </w:rPr>
        <w:t>CYP3A4 ir CYP2D6 inhibitoriai</w:t>
      </w:r>
    </w:p>
    <w:p w14:paraId="3D0CF409" w14:textId="77777777" w:rsidR="00602606" w:rsidRDefault="00602606">
      <w:pPr>
        <w:widowControl w:val="0"/>
        <w:contextualSpacing/>
        <w:outlineLvl w:val="0"/>
        <w:rPr>
          <w:rFonts w:eastAsia="Calibri"/>
          <w:sz w:val="22"/>
          <w:szCs w:val="22"/>
          <w:u w:val="single"/>
        </w:rPr>
      </w:pPr>
    </w:p>
    <w:p w14:paraId="34FAC20E"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Tamsulozino hidrochloridą vartojant kartu su stipriais CYP3A4 inhibitoriais (pvz., ketokonazolu) arba (mažesniu mastu) su stipriais CYP2D6 inhibitoriais (pvz., paroksetinu), gali padidėti tamsulozino ekspozicija (žr. 4.5 skyrių). Todėl tamsulozino hidrochlorid</w:t>
      </w:r>
      <w:r w:rsidRPr="001F276A">
        <w:rPr>
          <w:rFonts w:eastAsia="Calibri"/>
          <w:sz w:val="22"/>
        </w:rPr>
        <w:t>u nerekomenduojama gydyti pacientų, kurie vartoja stiprių CYP3A4 inhibitorių, ir reikia atsargiai gydyti pacientus, kurie vartoja vidutinio stiprumo CYP3A4 inhibitorių, stiprių ar vidutinio stiprumo CYP2D6 inhibitorių, CYP3A4 ir CYP2D6 inhibitorių derinį, arba pacientus, kuriems yra diagnozuota silpnai CYP2D6 veikiamo metabolizmo būklė.</w:t>
      </w:r>
    </w:p>
    <w:p w14:paraId="12F36330" w14:textId="77777777" w:rsidR="00602606" w:rsidRDefault="00602606">
      <w:pPr>
        <w:widowControl w:val="0"/>
        <w:contextualSpacing/>
        <w:outlineLvl w:val="0"/>
        <w:rPr>
          <w:rFonts w:eastAsia="Calibri"/>
          <w:sz w:val="22"/>
          <w:szCs w:val="22"/>
        </w:rPr>
      </w:pPr>
    </w:p>
    <w:p w14:paraId="1E30E296" w14:textId="77777777" w:rsidR="00602606" w:rsidRDefault="00604AEE">
      <w:pPr>
        <w:widowControl w:val="0"/>
        <w:contextualSpacing/>
        <w:outlineLvl w:val="0"/>
        <w:rPr>
          <w:rFonts w:asciiTheme="minorHAnsi" w:eastAsia="Calibri" w:hAnsiTheme="minorHAnsi" w:cstheme="minorBidi"/>
          <w:i/>
          <w:sz w:val="22"/>
          <w:szCs w:val="22"/>
          <w:lang w:val="lt-LT" w:eastAsia="en-US"/>
        </w:rPr>
      </w:pPr>
      <w:r>
        <w:rPr>
          <w:rFonts w:eastAsia="Calibri"/>
          <w:i/>
          <w:sz w:val="22"/>
          <w:szCs w:val="22"/>
          <w:lang w:val="lt-LT"/>
        </w:rPr>
        <w:t>Sutrikusi kepenų funkcija</w:t>
      </w:r>
    </w:p>
    <w:p w14:paraId="5471462B" w14:textId="77777777" w:rsidR="00602606" w:rsidRDefault="00602606">
      <w:pPr>
        <w:widowControl w:val="0"/>
        <w:contextualSpacing/>
        <w:outlineLvl w:val="0"/>
        <w:rPr>
          <w:rFonts w:eastAsia="Calibri"/>
          <w:sz w:val="22"/>
          <w:szCs w:val="22"/>
          <w:u w:val="single"/>
        </w:rPr>
      </w:pPr>
    </w:p>
    <w:p w14:paraId="189DC9DF"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Dutasterido ir tamsulozino derinio tyrimų su kepenų liga sergančiais pacientais neatlikta. Dutasteride/Tamsulosin Krka</w:t>
      </w:r>
      <w:r w:rsidRPr="001F276A">
        <w:rPr>
          <w:rFonts w:eastAsia="Calibri"/>
          <w:sz w:val="22"/>
        </w:rPr>
        <w:t xml:space="preserve"> vartoti pacientams, kuriems yra lengvas ar vidutinio sunkumo kepenų funkcijos sutrikimas, reikia atsargiai (žr. 4.2, 4.3 ir 5.2 skyrius).</w:t>
      </w:r>
    </w:p>
    <w:p w14:paraId="78563937" w14:textId="77777777" w:rsidR="00602606" w:rsidRDefault="00602606">
      <w:pPr>
        <w:widowControl w:val="0"/>
        <w:contextualSpacing/>
        <w:outlineLvl w:val="0"/>
        <w:rPr>
          <w:rFonts w:eastAsia="Calibri"/>
          <w:sz w:val="22"/>
          <w:szCs w:val="22"/>
        </w:rPr>
      </w:pPr>
    </w:p>
    <w:p w14:paraId="1EDDDE94" w14:textId="77777777" w:rsidR="00602606" w:rsidRDefault="00604AEE">
      <w:pPr>
        <w:widowControl w:val="0"/>
        <w:contextualSpacing/>
        <w:outlineLvl w:val="0"/>
        <w:rPr>
          <w:rFonts w:asciiTheme="minorHAnsi" w:eastAsia="Calibri" w:hAnsiTheme="minorHAnsi" w:cstheme="minorBidi"/>
          <w:i/>
          <w:sz w:val="22"/>
          <w:szCs w:val="22"/>
          <w:lang w:val="lt-LT" w:eastAsia="en-US"/>
        </w:rPr>
      </w:pPr>
      <w:r>
        <w:rPr>
          <w:rFonts w:eastAsia="Calibri"/>
          <w:i/>
          <w:sz w:val="22"/>
          <w:szCs w:val="22"/>
        </w:rPr>
        <w:t>Natris</w:t>
      </w:r>
    </w:p>
    <w:p w14:paraId="40B0A750"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Šio vaistinio preparato</w:t>
      </w:r>
      <w:r w:rsidRPr="001F276A">
        <w:rPr>
          <w:rFonts w:eastAsia="Calibri"/>
          <w:sz w:val="22"/>
        </w:rPr>
        <w:t xml:space="preserve"> </w:t>
      </w:r>
      <w:r>
        <w:rPr>
          <w:rFonts w:eastAsia="Calibri"/>
          <w:sz w:val="22"/>
          <w:szCs w:val="22"/>
        </w:rPr>
        <w:t xml:space="preserve">vienoje </w:t>
      </w:r>
      <w:r w:rsidRPr="001F276A">
        <w:rPr>
          <w:rFonts w:eastAsia="Calibri"/>
          <w:sz w:val="22"/>
        </w:rPr>
        <w:t>kapsulėje yra mažiau kaip 1 mmol (23 mg) natrio, t.y. jis beveik neturi reikšmės.</w:t>
      </w:r>
    </w:p>
    <w:p w14:paraId="540F6FD8" w14:textId="77777777" w:rsidR="00602606" w:rsidRDefault="00602606">
      <w:pPr>
        <w:widowControl w:val="0"/>
        <w:contextualSpacing/>
        <w:outlineLvl w:val="0"/>
        <w:rPr>
          <w:rFonts w:eastAsia="Calibri"/>
          <w:sz w:val="22"/>
          <w:szCs w:val="22"/>
        </w:rPr>
      </w:pPr>
    </w:p>
    <w:p w14:paraId="6F428BC1" w14:textId="77777777" w:rsidR="00602606" w:rsidRDefault="00604AEE">
      <w:pPr>
        <w:widowControl w:val="0"/>
        <w:ind w:left="567" w:hanging="567"/>
        <w:rPr>
          <w:rFonts w:asciiTheme="minorHAnsi" w:eastAsia="Calibri" w:hAnsiTheme="minorHAnsi" w:cstheme="minorBidi"/>
          <w:sz w:val="22"/>
          <w:szCs w:val="22"/>
          <w:lang w:val="lt-LT" w:eastAsia="en-US"/>
        </w:rPr>
      </w:pPr>
      <w:r>
        <w:rPr>
          <w:rFonts w:eastAsia="Calibri"/>
          <w:b/>
          <w:sz w:val="22"/>
          <w:szCs w:val="22"/>
        </w:rPr>
        <w:t>4.5</w:t>
      </w:r>
      <w:r>
        <w:rPr>
          <w:rFonts w:eastAsia="Calibri"/>
          <w:b/>
          <w:sz w:val="22"/>
          <w:szCs w:val="22"/>
        </w:rPr>
        <w:tab/>
        <w:t>Sąveika su kitais</w:t>
      </w:r>
      <w:r w:rsidRPr="001F276A">
        <w:rPr>
          <w:rFonts w:eastAsia="Calibri"/>
          <w:b/>
          <w:sz w:val="22"/>
        </w:rPr>
        <w:t xml:space="preserve"> vaistiniais preparatais ir kitokia sąveika</w:t>
      </w:r>
    </w:p>
    <w:p w14:paraId="66F86698" w14:textId="77777777" w:rsidR="00602606" w:rsidRDefault="00602606">
      <w:pPr>
        <w:widowControl w:val="0"/>
        <w:contextualSpacing/>
        <w:outlineLvl w:val="0"/>
        <w:rPr>
          <w:rFonts w:eastAsia="Calibri"/>
          <w:sz w:val="22"/>
          <w:szCs w:val="22"/>
        </w:rPr>
      </w:pPr>
    </w:p>
    <w:p w14:paraId="6284BC3E"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Dutasterido ir tamsulozino derinio sąveikos tyrimų neatlikta. Toliau pateikta informacija atspinti tyrimų, atliktų su vaistinio preparato sudėtyje esančiomis atskiromis veikliosiomis medžiagomis, duomenis.</w:t>
      </w:r>
    </w:p>
    <w:p w14:paraId="19368D5D" w14:textId="77777777" w:rsidR="00602606" w:rsidRDefault="00602606">
      <w:pPr>
        <w:widowControl w:val="0"/>
        <w:contextualSpacing/>
        <w:outlineLvl w:val="0"/>
        <w:rPr>
          <w:rFonts w:eastAsia="Calibri"/>
          <w:sz w:val="22"/>
          <w:szCs w:val="22"/>
        </w:rPr>
      </w:pPr>
    </w:p>
    <w:p w14:paraId="5CD9DF68" w14:textId="77777777" w:rsidR="00602606" w:rsidRDefault="00604AEE">
      <w:pPr>
        <w:widowControl w:val="0"/>
        <w:contextualSpacing/>
        <w:outlineLvl w:val="0"/>
        <w:rPr>
          <w:rFonts w:asciiTheme="minorHAnsi" w:eastAsia="Calibri" w:hAnsiTheme="minorHAnsi" w:cstheme="minorBidi"/>
          <w:i/>
          <w:sz w:val="22"/>
          <w:szCs w:val="22"/>
          <w:lang w:val="lt-LT" w:eastAsia="en-US"/>
        </w:rPr>
      </w:pPr>
      <w:r>
        <w:rPr>
          <w:rFonts w:eastAsia="Calibri"/>
          <w:i/>
          <w:sz w:val="22"/>
          <w:szCs w:val="22"/>
        </w:rPr>
        <w:t>Dutasteridas</w:t>
      </w:r>
    </w:p>
    <w:p w14:paraId="2D5C8295" w14:textId="77777777" w:rsidR="00602606" w:rsidRDefault="00602606">
      <w:pPr>
        <w:widowControl w:val="0"/>
        <w:contextualSpacing/>
        <w:outlineLvl w:val="0"/>
        <w:rPr>
          <w:rFonts w:eastAsia="Calibri"/>
          <w:i/>
          <w:sz w:val="22"/>
          <w:szCs w:val="22"/>
        </w:rPr>
      </w:pPr>
    </w:p>
    <w:p w14:paraId="510A53E3"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Informaciją apie PSA koncentracijos kraujo serume sumažėjimą gydymo dutasteridu metu ir prostatos vėžio nustatymo rekomendacijas žr. 4.4 </w:t>
      </w:r>
      <w:r w:rsidRPr="001F276A">
        <w:rPr>
          <w:rFonts w:eastAsia="Calibri"/>
          <w:sz w:val="22"/>
        </w:rPr>
        <w:t>skyriuje.</w:t>
      </w:r>
    </w:p>
    <w:p w14:paraId="1441096E" w14:textId="77777777" w:rsidR="00602606" w:rsidRDefault="00602606">
      <w:pPr>
        <w:widowControl w:val="0"/>
        <w:contextualSpacing/>
        <w:outlineLvl w:val="0"/>
        <w:rPr>
          <w:rFonts w:eastAsia="Calibri"/>
          <w:sz w:val="22"/>
          <w:szCs w:val="22"/>
        </w:rPr>
      </w:pPr>
    </w:p>
    <w:p w14:paraId="1E136BE6" w14:textId="77777777" w:rsidR="00602606" w:rsidRDefault="00604AEE">
      <w:pPr>
        <w:widowControl w:val="0"/>
        <w:contextualSpacing/>
        <w:outlineLvl w:val="0"/>
        <w:rPr>
          <w:rFonts w:asciiTheme="minorHAnsi" w:eastAsia="Calibri" w:hAnsiTheme="minorHAnsi" w:cstheme="minorBidi"/>
          <w:i/>
          <w:sz w:val="22"/>
          <w:szCs w:val="22"/>
          <w:lang w:val="lt-LT" w:eastAsia="en-US"/>
        </w:rPr>
      </w:pPr>
      <w:r>
        <w:rPr>
          <w:rFonts w:eastAsia="Calibri"/>
          <w:i/>
          <w:sz w:val="22"/>
          <w:szCs w:val="22"/>
        </w:rPr>
        <w:t>Kitų vaistinių preparatų poveikis dutasterido farmakokinetikai</w:t>
      </w:r>
    </w:p>
    <w:p w14:paraId="6A1F0D1A" w14:textId="77777777" w:rsidR="00602606" w:rsidRDefault="00602606">
      <w:pPr>
        <w:widowControl w:val="0"/>
        <w:contextualSpacing/>
        <w:outlineLvl w:val="0"/>
        <w:rPr>
          <w:rFonts w:eastAsia="Calibri"/>
          <w:i/>
          <w:sz w:val="22"/>
          <w:szCs w:val="22"/>
        </w:rPr>
      </w:pPr>
    </w:p>
    <w:p w14:paraId="44468147"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 xml:space="preserve">Didžioji dalis dutasterido eliminuojama metabolizmo būdu. Tyrimai </w:t>
      </w:r>
      <w:r w:rsidRPr="001F276A">
        <w:rPr>
          <w:rFonts w:eastAsia="Calibri"/>
          <w:i/>
          <w:sz w:val="22"/>
        </w:rPr>
        <w:t>in vitro</w:t>
      </w:r>
      <w:r w:rsidRPr="001F276A">
        <w:rPr>
          <w:rFonts w:eastAsia="Calibri"/>
          <w:sz w:val="22"/>
        </w:rPr>
        <w:t xml:space="preserve"> rodo, kad dutasterido metabolizmą katalizuoja CYP3A4 ir CYP3A5. Formalių sąveikos tyrimų su stipriais CYP3A4 inhibitoriais neatlikta. Vis dėlto populiacijos farmakokinetikos tyrimo duomenimis, mažam skaičiui pacientų kartu vartojant verapamilį ar diltiazemą (vidutinio stiprumo CYP3A4 inhibitoriai ir P</w:t>
      </w:r>
      <w:r w:rsidRPr="001F276A">
        <w:rPr>
          <w:rFonts w:eastAsia="Calibri"/>
          <w:sz w:val="22"/>
        </w:rPr>
        <w:noBreakHyphen/>
        <w:t>glikoproteino inhibitoriai), dutasterido koncentracija kraujo serume buvo atitinkamai vidutiniškai nuo 1,6 iki 1,8 karto didesnė nei kitų pacientų kraujo serume.</w:t>
      </w:r>
    </w:p>
    <w:p w14:paraId="5FDA4AAC" w14:textId="77777777" w:rsidR="00602606" w:rsidRDefault="00602606">
      <w:pPr>
        <w:widowControl w:val="0"/>
        <w:contextualSpacing/>
        <w:outlineLvl w:val="0"/>
        <w:rPr>
          <w:rFonts w:eastAsia="Calibri"/>
          <w:sz w:val="22"/>
          <w:szCs w:val="22"/>
        </w:rPr>
      </w:pPr>
    </w:p>
    <w:p w14:paraId="546F8612"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Ilgą laiką vartojant dutasteridą kartu su vaistiniais preparatais, kurie yra stiprūs CYP3A4 izofermentų inhibitoriai (pvz., ritonaviru, indinaviru, nefazodonu, itrakonazolu, ketokonazolu per burną), dutasterido koncentracija kraujo serume gali padidėti. Papildo</w:t>
      </w:r>
      <w:r w:rsidRPr="001F276A">
        <w:rPr>
          <w:rFonts w:eastAsia="Calibri"/>
          <w:sz w:val="22"/>
        </w:rPr>
        <w:t>mas 5</w:t>
      </w:r>
      <w:r w:rsidRPr="001F276A">
        <w:rPr>
          <w:rFonts w:eastAsia="Calibri"/>
          <w:sz w:val="22"/>
        </w:rPr>
        <w:noBreakHyphen/>
        <w:t>alfa reduktazės slopinimas padidėjus dutasterido ekspozicijai nėra tikėtinas. Vis dėlto jeigu pasireiškia nepageidaujamas poveikis, reikia apsvarstyti dutasterido vartojimo dažnumo sumažinimo galimybę. Reikia turėti omenyje, kad dėl izofermentų slopinimo gali papildomai pailgėti ilgas pusinės eliminacijos laikas ir gali prireikti ilgesnio kaip 6 mėnesių kombinuotojo gydymo, kol vėl bus pasiekta pusiausvyrinė apykaita.</w:t>
      </w:r>
    </w:p>
    <w:p w14:paraId="5577355B" w14:textId="77777777" w:rsidR="00602606" w:rsidRDefault="00602606">
      <w:pPr>
        <w:widowControl w:val="0"/>
        <w:contextualSpacing/>
        <w:outlineLvl w:val="0"/>
        <w:rPr>
          <w:rFonts w:eastAsia="Calibri"/>
          <w:sz w:val="22"/>
          <w:szCs w:val="22"/>
        </w:rPr>
      </w:pPr>
    </w:p>
    <w:p w14:paraId="5946D593"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Pavartojus 12 g kolestiramino praėjus vienai valandai po vienkartinės 5 mg dutasterido dozės pavartojimo, dutasterido farmakokinetika nepakito.</w:t>
      </w:r>
    </w:p>
    <w:p w14:paraId="0D7C495D" w14:textId="77777777" w:rsidR="00602606" w:rsidRDefault="00602606">
      <w:pPr>
        <w:widowControl w:val="0"/>
        <w:contextualSpacing/>
        <w:outlineLvl w:val="0"/>
        <w:rPr>
          <w:rFonts w:eastAsia="Calibri"/>
          <w:sz w:val="22"/>
          <w:szCs w:val="22"/>
        </w:rPr>
      </w:pPr>
    </w:p>
    <w:p w14:paraId="741729E8" w14:textId="77777777" w:rsidR="00602606" w:rsidRDefault="00604AEE">
      <w:pPr>
        <w:widowControl w:val="0"/>
        <w:contextualSpacing/>
        <w:outlineLvl w:val="0"/>
        <w:rPr>
          <w:rFonts w:asciiTheme="minorHAnsi" w:eastAsia="Calibri" w:hAnsiTheme="minorHAnsi" w:cstheme="minorBidi"/>
          <w:i/>
          <w:sz w:val="22"/>
          <w:szCs w:val="22"/>
          <w:lang w:val="lt-LT" w:eastAsia="en-US"/>
        </w:rPr>
      </w:pPr>
      <w:r>
        <w:rPr>
          <w:rFonts w:eastAsia="Calibri"/>
          <w:i/>
          <w:sz w:val="22"/>
          <w:szCs w:val="22"/>
        </w:rPr>
        <w:t>Dutasterido poveikis kitų vaistinių preparatų farmakokinetikai</w:t>
      </w:r>
    </w:p>
    <w:p w14:paraId="37AFA12B" w14:textId="77777777" w:rsidR="00602606" w:rsidRDefault="00602606">
      <w:pPr>
        <w:widowControl w:val="0"/>
        <w:contextualSpacing/>
        <w:outlineLvl w:val="0"/>
        <w:rPr>
          <w:rFonts w:eastAsia="Calibri"/>
          <w:i/>
          <w:sz w:val="22"/>
          <w:szCs w:val="22"/>
        </w:rPr>
      </w:pPr>
    </w:p>
    <w:p w14:paraId="67C6BA12"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Nedidelio (n=24) dvi savaites trukusio tyrimo su sveikais vyrais duomenimis, dutasteridas (0,5 mg per parą) neveikė tamsulozino ar terazozino farmakokinetikos. Farmakodinaminės sąveikos požymių šio tyrimo metu taip pat nebuvo.</w:t>
      </w:r>
    </w:p>
    <w:p w14:paraId="4DDD415E" w14:textId="77777777" w:rsidR="00602606" w:rsidRDefault="00602606">
      <w:pPr>
        <w:widowControl w:val="0"/>
        <w:contextualSpacing/>
        <w:outlineLvl w:val="0"/>
        <w:rPr>
          <w:rFonts w:eastAsia="Calibri"/>
          <w:sz w:val="22"/>
          <w:szCs w:val="22"/>
        </w:rPr>
      </w:pPr>
    </w:p>
    <w:p w14:paraId="3C21A484"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Dutasteridas neveikia varfarino ar digoksino farmakokinetikos. Tai rodo, kad dutasteridas neslopina ir nesužadina CYP2C9 izofermentų ar nešiklio P-glikoproteino</w:t>
      </w:r>
      <w:r w:rsidRPr="001F276A">
        <w:rPr>
          <w:rFonts w:eastAsia="Calibri"/>
          <w:i/>
          <w:sz w:val="22"/>
        </w:rPr>
        <w:t xml:space="preserve">. </w:t>
      </w:r>
      <w:r w:rsidRPr="001F276A">
        <w:rPr>
          <w:rFonts w:eastAsia="Calibri"/>
          <w:sz w:val="22"/>
        </w:rPr>
        <w:t xml:space="preserve">Sąveikos tyrimai </w:t>
      </w:r>
      <w:r w:rsidRPr="001F276A">
        <w:rPr>
          <w:rFonts w:eastAsia="Calibri"/>
          <w:i/>
          <w:sz w:val="22"/>
        </w:rPr>
        <w:t>in vitro</w:t>
      </w:r>
      <w:r w:rsidRPr="001F276A">
        <w:rPr>
          <w:rFonts w:eastAsia="Calibri"/>
          <w:sz w:val="22"/>
        </w:rPr>
        <w:t xml:space="preserve"> rodo, kad dutasteridas neslopina CYP1A2, CYP2D6, CYP2C9, CYP2C19 ar CYP3A4 fermentų.</w:t>
      </w:r>
    </w:p>
    <w:p w14:paraId="71B12EF9" w14:textId="77777777" w:rsidR="00602606" w:rsidRDefault="00602606">
      <w:pPr>
        <w:widowControl w:val="0"/>
        <w:contextualSpacing/>
        <w:outlineLvl w:val="0"/>
        <w:rPr>
          <w:rFonts w:eastAsia="Calibri"/>
          <w:i/>
          <w:sz w:val="22"/>
          <w:szCs w:val="22"/>
        </w:rPr>
      </w:pPr>
    </w:p>
    <w:p w14:paraId="3563EA30" w14:textId="77777777" w:rsidR="00602606" w:rsidRDefault="00604AEE">
      <w:pPr>
        <w:widowControl w:val="0"/>
        <w:contextualSpacing/>
        <w:outlineLvl w:val="0"/>
        <w:rPr>
          <w:rFonts w:asciiTheme="minorHAnsi" w:eastAsia="Calibri" w:hAnsiTheme="minorHAnsi" w:cstheme="minorBidi"/>
          <w:i/>
          <w:sz w:val="22"/>
          <w:szCs w:val="22"/>
          <w:lang w:val="lt-LT" w:eastAsia="en-US"/>
        </w:rPr>
      </w:pPr>
      <w:r>
        <w:rPr>
          <w:rFonts w:eastAsia="Calibri"/>
          <w:i/>
          <w:sz w:val="22"/>
          <w:szCs w:val="22"/>
        </w:rPr>
        <w:t>Tamsulozinas</w:t>
      </w:r>
    </w:p>
    <w:p w14:paraId="551C0449" w14:textId="77777777" w:rsidR="00602606" w:rsidRDefault="00602606">
      <w:pPr>
        <w:widowControl w:val="0"/>
        <w:contextualSpacing/>
        <w:outlineLvl w:val="0"/>
        <w:rPr>
          <w:rFonts w:eastAsia="Calibri"/>
          <w:i/>
          <w:sz w:val="22"/>
          <w:szCs w:val="22"/>
        </w:rPr>
      </w:pPr>
    </w:p>
    <w:p w14:paraId="2EDD3DFC"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Tamsulozino hidrochlorido vartojimas kartu su kraujospūdį mažinti galinčiais vaistiniais preparatais, įskaitant anestetikus, FDE5 inhibitorius ir kitokius alfa</w:t>
      </w:r>
      <w:r w:rsidRPr="001F276A">
        <w:rPr>
          <w:rFonts w:eastAsia="Calibri"/>
          <w:sz w:val="22"/>
          <w:vertAlign w:val="subscript"/>
        </w:rPr>
        <w:t>1</w:t>
      </w:r>
      <w:r>
        <w:rPr>
          <w:rFonts w:eastAsia="Calibri"/>
          <w:sz w:val="22"/>
          <w:szCs w:val="22"/>
        </w:rPr>
        <w:t xml:space="preserve"> adrenoreceptorių antagonistus, gali lemti hipotenzinio poveikio sustiprėjimą. Dutasterido ir tamsulozino derinio negalima vartoti kartu su kitokiais alfa</w:t>
      </w:r>
      <w:r w:rsidRPr="001F276A">
        <w:rPr>
          <w:rFonts w:eastAsia="Calibri"/>
          <w:sz w:val="22"/>
          <w:vertAlign w:val="subscript"/>
        </w:rPr>
        <w:t>1</w:t>
      </w:r>
      <w:r>
        <w:rPr>
          <w:rFonts w:eastAsia="Calibri"/>
          <w:sz w:val="22"/>
          <w:szCs w:val="22"/>
        </w:rPr>
        <w:t xml:space="preserve"> adrenoreceptorių antagonistais.</w:t>
      </w:r>
    </w:p>
    <w:p w14:paraId="789FC1BD" w14:textId="77777777" w:rsidR="00602606" w:rsidRDefault="00602606">
      <w:pPr>
        <w:widowControl w:val="0"/>
        <w:contextualSpacing/>
        <w:outlineLvl w:val="0"/>
        <w:rPr>
          <w:rFonts w:eastAsia="Calibri"/>
          <w:sz w:val="22"/>
          <w:szCs w:val="22"/>
        </w:rPr>
      </w:pPr>
    </w:p>
    <w:p w14:paraId="23D85DA8"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Tamsulozino hidrochloridą vartojant kartu su ketokonazolu (stipriu CYP3A4 inhibitoriumi), tamsulozino hidrochlorido C</w:t>
      </w:r>
      <w:r w:rsidRPr="001F276A">
        <w:rPr>
          <w:rFonts w:eastAsia="Calibri"/>
          <w:sz w:val="22"/>
          <w:vertAlign w:val="subscript"/>
        </w:rPr>
        <w:t>max</w:t>
      </w:r>
      <w:r w:rsidRPr="001F276A">
        <w:rPr>
          <w:rFonts w:eastAsia="Calibri"/>
          <w:sz w:val="22"/>
        </w:rPr>
        <w:t xml:space="preserve"> ir AUC padidėjo atitinkamai 2,2 ir 2,8 karto. Tamsulozino hidrochloridą vartojant kartu su paroksetinu (stipriu CYP2D6 inhibitoriumi), tamsulozino hidrochlorido C</w:t>
      </w:r>
      <w:r w:rsidRPr="001F276A">
        <w:rPr>
          <w:rFonts w:eastAsia="Calibri"/>
          <w:sz w:val="22"/>
          <w:vertAlign w:val="subscript"/>
        </w:rPr>
        <w:t>max</w:t>
      </w:r>
      <w:r w:rsidRPr="001F276A">
        <w:rPr>
          <w:rFonts w:eastAsia="Calibri"/>
          <w:sz w:val="22"/>
        </w:rPr>
        <w:t xml:space="preserve"> ir AU</w:t>
      </w:r>
      <w:r w:rsidRPr="001F276A">
        <w:rPr>
          <w:rFonts w:eastAsia="Calibri"/>
          <w:i/>
          <w:sz w:val="22"/>
        </w:rPr>
        <w:t>C</w:t>
      </w:r>
      <w:r>
        <w:rPr>
          <w:rFonts w:eastAsia="Calibri"/>
          <w:sz w:val="22"/>
          <w:szCs w:val="22"/>
        </w:rPr>
        <w:t xml:space="preserve"> padidėjo atitinkamai 1,3 ir 1,6 karto. Panašaus ekspozicijos padidėjimo tikimasi ir organizme pacientų, kurių organizme CYP2D6 veikiamas metabolizmas yra silpnas, palyginti su tų, kurių organizme metabolizmas yra stiprus, kai vartojama kartu su stipri</w:t>
      </w:r>
      <w:r w:rsidRPr="001F276A">
        <w:rPr>
          <w:rFonts w:eastAsia="Calibri"/>
          <w:sz w:val="22"/>
        </w:rPr>
        <w:t>u CYP3A4 inhibitoriumi. CYP3A4 ir CYP2D6 inhibitorių vartojimo kartu su tamsulozino hidrochloridu klinikinių tyrimų neatlikta, vis dėlto tamsulozino ekspozicijos padidėjimas gali būti reikšmingas (žr. 4.4 skyrių).</w:t>
      </w:r>
    </w:p>
    <w:p w14:paraId="3E8DC262" w14:textId="77777777" w:rsidR="00602606" w:rsidRDefault="00602606">
      <w:pPr>
        <w:widowControl w:val="0"/>
        <w:contextualSpacing/>
        <w:outlineLvl w:val="0"/>
        <w:rPr>
          <w:rFonts w:eastAsia="Calibri"/>
          <w:sz w:val="22"/>
          <w:szCs w:val="22"/>
        </w:rPr>
      </w:pPr>
    </w:p>
    <w:p w14:paraId="5F6706F6"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Tamsulozino hidrochloridą (0,4 mg) vartojant kartu su cimetidinu (400 mg kas šešias valandas šešias dienas), sumažėjo tamsulozino hidrochlorido klirensas (26 %) ir padidėjo AUC (44 %). Dutasterido ir tamsulozino derinį vartoti kartu su cimetidinu reikia atsargiai.</w:t>
      </w:r>
    </w:p>
    <w:p w14:paraId="0E82F1A6" w14:textId="77777777" w:rsidR="00602606" w:rsidRDefault="00602606">
      <w:pPr>
        <w:widowControl w:val="0"/>
        <w:contextualSpacing/>
        <w:outlineLvl w:val="0"/>
        <w:rPr>
          <w:rFonts w:eastAsia="Calibri"/>
          <w:sz w:val="22"/>
          <w:szCs w:val="22"/>
        </w:rPr>
      </w:pPr>
    </w:p>
    <w:p w14:paraId="507D1E75"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 xml:space="preserve">Išsamių tamsulozino hidrochlorido sąveikos su varfarinu tyrimų neatlikta. Remiantis ribotais tyrimų </w:t>
      </w:r>
      <w:r w:rsidRPr="001F276A">
        <w:rPr>
          <w:rFonts w:eastAsia="Calibri"/>
          <w:i/>
          <w:sz w:val="22"/>
        </w:rPr>
        <w:t>in vitro</w:t>
      </w:r>
      <w:r w:rsidRPr="001F276A">
        <w:rPr>
          <w:rFonts w:eastAsia="Calibri"/>
          <w:sz w:val="22"/>
        </w:rPr>
        <w:t xml:space="preserve"> ir </w:t>
      </w:r>
      <w:r w:rsidRPr="001F276A">
        <w:rPr>
          <w:rFonts w:eastAsia="Calibri"/>
          <w:i/>
          <w:sz w:val="22"/>
        </w:rPr>
        <w:t>in vivo</w:t>
      </w:r>
      <w:r w:rsidRPr="001F276A">
        <w:rPr>
          <w:rFonts w:eastAsia="Calibri"/>
          <w:sz w:val="22"/>
        </w:rPr>
        <w:t xml:space="preserve"> duomenimis, galutinių išvadų daryti negalima. Vis dėlto diklofenakas ir varfarinas gali greitinti tamsulozino eliminaciją. Tamsulozino hidrochloridą vartoti kartu su varfarinu reikia atsargiai.</w:t>
      </w:r>
    </w:p>
    <w:p w14:paraId="6B064E56" w14:textId="77777777" w:rsidR="00602606" w:rsidRDefault="00602606">
      <w:pPr>
        <w:widowControl w:val="0"/>
        <w:contextualSpacing/>
        <w:outlineLvl w:val="0"/>
        <w:rPr>
          <w:rFonts w:eastAsia="Calibri"/>
          <w:sz w:val="22"/>
          <w:szCs w:val="22"/>
        </w:rPr>
      </w:pPr>
    </w:p>
    <w:p w14:paraId="6BF81F4B"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Tamsulozino hidrochlorido sąveikos su kartu vartojam</w:t>
      </w:r>
      <w:r w:rsidRPr="001F276A">
        <w:rPr>
          <w:rFonts w:eastAsia="Calibri"/>
          <w:sz w:val="22"/>
        </w:rPr>
        <w:t>ais atenololiu, enalapriliu, nifedipinu ar teofilinu nepastebėta. Vartojant kartu furozemidą, tamsulozino kiekis kraujo plazmoje sumažėja, bet lieka normos ribose ir dozės dėl to keisti nebūtina.</w:t>
      </w:r>
    </w:p>
    <w:p w14:paraId="28D5695F" w14:textId="77777777" w:rsidR="00602606" w:rsidRDefault="00602606">
      <w:pPr>
        <w:widowControl w:val="0"/>
        <w:contextualSpacing/>
        <w:outlineLvl w:val="0"/>
        <w:rPr>
          <w:rFonts w:eastAsia="Calibri"/>
          <w:sz w:val="22"/>
          <w:szCs w:val="22"/>
        </w:rPr>
      </w:pPr>
    </w:p>
    <w:p w14:paraId="1E38355C"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 xml:space="preserve">Tyrimų </w:t>
      </w:r>
      <w:r>
        <w:rPr>
          <w:rFonts w:eastAsia="Calibri"/>
          <w:i/>
          <w:sz w:val="22"/>
          <w:szCs w:val="22"/>
        </w:rPr>
        <w:t>in vitro</w:t>
      </w:r>
      <w:r w:rsidRPr="001F276A">
        <w:rPr>
          <w:rFonts w:eastAsia="Calibri"/>
          <w:sz w:val="22"/>
        </w:rPr>
        <w:t xml:space="preserve"> duomenimis, diazepamas, propranololis, trichlormeti</w:t>
      </w:r>
      <w:r>
        <w:rPr>
          <w:rFonts w:eastAsia="Calibri"/>
          <w:sz w:val="22"/>
          <w:szCs w:val="22"/>
        </w:rPr>
        <w:t>azidas, chlormadinonas, amitriptilinas, diklofenakas, glibenklamidas ar simvastatinas neveikė laisvos tamsulozino frakcijos koncentracijos žmogaus kraujo plazmoje. Tams</w:t>
      </w:r>
      <w:r w:rsidRPr="001F276A">
        <w:rPr>
          <w:rFonts w:eastAsia="Calibri"/>
          <w:sz w:val="22"/>
        </w:rPr>
        <w:t>ulozinas taip pat neveikė laisvos diazepamo, propranololio, trichlormetiazido ar chlormadinono frakcijos koncentracijos kraujo plazmoje.</w:t>
      </w:r>
    </w:p>
    <w:p w14:paraId="6D63C7B6" w14:textId="77777777" w:rsidR="00602606" w:rsidRDefault="00602606">
      <w:pPr>
        <w:widowControl w:val="0"/>
        <w:contextualSpacing/>
        <w:outlineLvl w:val="0"/>
        <w:rPr>
          <w:rFonts w:eastAsia="Calibri"/>
          <w:sz w:val="22"/>
          <w:szCs w:val="22"/>
        </w:rPr>
      </w:pPr>
    </w:p>
    <w:p w14:paraId="27F18149" w14:textId="77777777" w:rsidR="00602606" w:rsidRDefault="00604AEE">
      <w:pPr>
        <w:widowControl w:val="0"/>
        <w:ind w:left="567" w:hanging="567"/>
        <w:rPr>
          <w:rFonts w:asciiTheme="minorHAnsi" w:eastAsia="Calibri" w:hAnsiTheme="minorHAnsi" w:cstheme="minorBidi"/>
          <w:b/>
          <w:sz w:val="22"/>
          <w:szCs w:val="22"/>
          <w:lang w:val="lt-LT" w:eastAsia="en-US"/>
        </w:rPr>
      </w:pPr>
      <w:r>
        <w:rPr>
          <w:rFonts w:eastAsia="Calibri"/>
          <w:b/>
          <w:sz w:val="22"/>
          <w:szCs w:val="22"/>
        </w:rPr>
        <w:t>4.6</w:t>
      </w:r>
      <w:r>
        <w:rPr>
          <w:rFonts w:eastAsia="Calibri"/>
          <w:b/>
          <w:sz w:val="22"/>
          <w:szCs w:val="22"/>
        </w:rPr>
        <w:tab/>
        <w:t>Vaisingumas, nėštumo ir žindymo laikotarpis</w:t>
      </w:r>
    </w:p>
    <w:p w14:paraId="76F9A435" w14:textId="77777777" w:rsidR="00602606" w:rsidRDefault="00602606">
      <w:pPr>
        <w:widowControl w:val="0"/>
        <w:contextualSpacing/>
        <w:outlineLvl w:val="0"/>
        <w:rPr>
          <w:rFonts w:eastAsia="Calibri"/>
          <w:sz w:val="22"/>
          <w:szCs w:val="22"/>
        </w:rPr>
      </w:pPr>
    </w:p>
    <w:p w14:paraId="621D8B86"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 xml:space="preserve">Dutasteride/Tamsulosin Krka </w:t>
      </w:r>
      <w:r>
        <w:rPr>
          <w:rFonts w:eastAsia="Calibri"/>
          <w:sz w:val="22"/>
          <w:szCs w:val="22"/>
          <w:lang w:val="lt-LT"/>
        </w:rPr>
        <w:t>negalima vartoti moterims</w:t>
      </w:r>
      <w:r w:rsidRPr="001F276A">
        <w:rPr>
          <w:rFonts w:eastAsia="Calibri"/>
          <w:sz w:val="22"/>
        </w:rPr>
        <w:t>. Dutasterido ir tamsulozino derinio poveikio nėštumui, žindymui ar vaisingumui tyrimų neatlikta. Toliau pateikta informacija atspindi tyrimų, atliktų su vaistinio preparato sudėtyje esančiomis atskiromis veikliosiomis medžiagomis, duomenis (žr. 5.3 skyrių).</w:t>
      </w:r>
    </w:p>
    <w:p w14:paraId="227E80B4" w14:textId="77777777" w:rsidR="00602606" w:rsidRDefault="00602606">
      <w:pPr>
        <w:widowControl w:val="0"/>
        <w:contextualSpacing/>
        <w:outlineLvl w:val="0"/>
        <w:rPr>
          <w:rFonts w:eastAsia="Calibri"/>
          <w:sz w:val="22"/>
          <w:szCs w:val="22"/>
        </w:rPr>
      </w:pPr>
    </w:p>
    <w:p w14:paraId="6A1C37E1" w14:textId="77777777" w:rsidR="00602606" w:rsidRDefault="00604AEE">
      <w:pPr>
        <w:widowControl w:val="0"/>
        <w:contextualSpacing/>
        <w:outlineLvl w:val="0"/>
        <w:rPr>
          <w:rFonts w:asciiTheme="minorHAnsi" w:eastAsia="Calibri" w:hAnsiTheme="minorHAnsi" w:cstheme="minorBidi"/>
          <w:sz w:val="22"/>
          <w:szCs w:val="22"/>
          <w:u w:val="single"/>
          <w:lang w:val="lt-LT" w:eastAsia="en-US"/>
        </w:rPr>
      </w:pPr>
      <w:r>
        <w:rPr>
          <w:rFonts w:eastAsia="Calibri"/>
          <w:sz w:val="22"/>
          <w:szCs w:val="22"/>
          <w:u w:val="single"/>
        </w:rPr>
        <w:t>Nėštumas</w:t>
      </w:r>
    </w:p>
    <w:p w14:paraId="57989F4F" w14:textId="77777777" w:rsidR="00602606" w:rsidRDefault="00602606">
      <w:pPr>
        <w:widowControl w:val="0"/>
        <w:contextualSpacing/>
        <w:outlineLvl w:val="0"/>
        <w:rPr>
          <w:rFonts w:eastAsia="Calibri"/>
          <w:sz w:val="22"/>
          <w:szCs w:val="22"/>
          <w:u w:val="single"/>
        </w:rPr>
      </w:pPr>
    </w:p>
    <w:p w14:paraId="15247B1C"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Dutasteridas, kaip ir kitokie 5</w:t>
      </w:r>
      <w:r w:rsidRPr="001F276A">
        <w:rPr>
          <w:rFonts w:eastAsia="Calibri"/>
          <w:sz w:val="22"/>
        </w:rPr>
        <w:noBreakHyphen/>
        <w:t>alfa reduktazės inhibitoriai, slopina testosterono virtimą dihidrotestosteronu ir, jeigu būtų skiriamas moteriai, kuri nešioja vyriškos lyties vaisių, gali slopinti vaisiaus išorinių lytinių organų vystymąsi (žr. 4.4 skyrių). Dutasteridą vartojančių tiriamųjų spermoje aptiktas mažas kiekis dutasterido. Nežinoma, ar gali būti nepageidaujamai paveiktas vyriškos lyties vaisius į nėščios moters organizmą patekus paciento, vartojančio dutasteridą, spermai (didžiausia rizika yra per pirmąsias 16 nėštumo savaičių).</w:t>
      </w:r>
    </w:p>
    <w:p w14:paraId="339399BE" w14:textId="77777777" w:rsidR="00602606" w:rsidRDefault="00602606">
      <w:pPr>
        <w:widowControl w:val="0"/>
        <w:contextualSpacing/>
        <w:outlineLvl w:val="0"/>
        <w:rPr>
          <w:rFonts w:eastAsia="Calibri"/>
          <w:sz w:val="22"/>
          <w:szCs w:val="22"/>
        </w:rPr>
      </w:pPr>
    </w:p>
    <w:p w14:paraId="407DED2F"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Kaip ir vartojant visus 5</w:t>
      </w:r>
      <w:r>
        <w:rPr>
          <w:rFonts w:eastAsia="Calibri"/>
          <w:sz w:val="22"/>
          <w:szCs w:val="22"/>
        </w:rPr>
        <w:noBreakHyphen/>
        <w:t>alfa reduktazės inhibitorius, jeigu paciento partnerė yra arba gali būti nėščia, pacientui rekomenduojama apsaugoti partnerę nuo spermos patekimo į jos organizmą, naudojant prezervatyvą.</w:t>
      </w:r>
    </w:p>
    <w:p w14:paraId="3A00F1C7" w14:textId="77777777" w:rsidR="00602606" w:rsidRDefault="00602606">
      <w:pPr>
        <w:widowControl w:val="0"/>
        <w:contextualSpacing/>
        <w:outlineLvl w:val="0"/>
        <w:rPr>
          <w:rFonts w:eastAsia="Calibri"/>
          <w:sz w:val="22"/>
          <w:szCs w:val="22"/>
        </w:rPr>
      </w:pPr>
    </w:p>
    <w:p w14:paraId="514820A1"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Tamsulozino hidrochlorido vartojimas vaikingoms žiurkių ir triušių patelėms kenksmingo poveikio vaisiui neparodė.</w:t>
      </w:r>
    </w:p>
    <w:p w14:paraId="5718A950" w14:textId="77777777" w:rsidR="00602606" w:rsidRDefault="00602606">
      <w:pPr>
        <w:widowControl w:val="0"/>
        <w:contextualSpacing/>
        <w:outlineLvl w:val="0"/>
        <w:rPr>
          <w:rFonts w:eastAsia="Calibri"/>
          <w:sz w:val="22"/>
          <w:szCs w:val="22"/>
        </w:rPr>
      </w:pPr>
    </w:p>
    <w:p w14:paraId="68244052"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Informaciją apie ikiklinikinių tyrimų duomenis žr. 5.3 </w:t>
      </w:r>
      <w:r w:rsidRPr="001F276A">
        <w:rPr>
          <w:rFonts w:eastAsia="Calibri"/>
          <w:sz w:val="22"/>
        </w:rPr>
        <w:t>skyriuje.</w:t>
      </w:r>
    </w:p>
    <w:p w14:paraId="51C476F5" w14:textId="77777777" w:rsidR="00602606" w:rsidRDefault="00602606">
      <w:pPr>
        <w:widowControl w:val="0"/>
        <w:contextualSpacing/>
        <w:outlineLvl w:val="0"/>
        <w:rPr>
          <w:rFonts w:eastAsia="Calibri"/>
          <w:i/>
          <w:sz w:val="22"/>
          <w:szCs w:val="22"/>
        </w:rPr>
      </w:pPr>
    </w:p>
    <w:p w14:paraId="791487CA" w14:textId="77777777" w:rsidR="00602606" w:rsidRDefault="00604AEE">
      <w:pPr>
        <w:widowControl w:val="0"/>
        <w:contextualSpacing/>
        <w:outlineLvl w:val="0"/>
        <w:rPr>
          <w:rFonts w:asciiTheme="minorHAnsi" w:eastAsia="Calibri" w:hAnsiTheme="minorHAnsi" w:cstheme="minorBidi"/>
          <w:sz w:val="22"/>
          <w:szCs w:val="22"/>
          <w:u w:val="single"/>
          <w:lang w:val="lt-LT" w:eastAsia="en-US"/>
        </w:rPr>
      </w:pPr>
      <w:r>
        <w:rPr>
          <w:rFonts w:eastAsia="Calibri"/>
          <w:sz w:val="22"/>
          <w:szCs w:val="22"/>
          <w:u w:val="single"/>
        </w:rPr>
        <w:t>Žindymas</w:t>
      </w:r>
    </w:p>
    <w:p w14:paraId="23AA5B14" w14:textId="77777777" w:rsidR="00602606" w:rsidRDefault="00602606">
      <w:pPr>
        <w:widowControl w:val="0"/>
        <w:contextualSpacing/>
        <w:outlineLvl w:val="0"/>
        <w:rPr>
          <w:rFonts w:eastAsia="Calibri"/>
          <w:sz w:val="22"/>
          <w:szCs w:val="22"/>
        </w:rPr>
      </w:pPr>
    </w:p>
    <w:p w14:paraId="5974CA22"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Nežinoma, ar dutasterido arba tamsulozino išsiskiria į motinos pieną.</w:t>
      </w:r>
    </w:p>
    <w:p w14:paraId="707B5935" w14:textId="77777777" w:rsidR="00602606" w:rsidRDefault="00602606">
      <w:pPr>
        <w:widowControl w:val="0"/>
        <w:contextualSpacing/>
        <w:outlineLvl w:val="0"/>
        <w:rPr>
          <w:rFonts w:eastAsia="Calibri"/>
          <w:sz w:val="22"/>
          <w:szCs w:val="22"/>
        </w:rPr>
      </w:pPr>
    </w:p>
    <w:p w14:paraId="471A44CF" w14:textId="77777777" w:rsidR="00602606" w:rsidRDefault="00604AEE">
      <w:pPr>
        <w:widowControl w:val="0"/>
        <w:contextualSpacing/>
        <w:outlineLvl w:val="0"/>
        <w:rPr>
          <w:rFonts w:asciiTheme="minorHAnsi" w:eastAsia="Calibri" w:hAnsiTheme="minorHAnsi" w:cstheme="minorBidi"/>
          <w:sz w:val="22"/>
          <w:szCs w:val="22"/>
          <w:u w:val="single"/>
          <w:lang w:val="lt-LT" w:eastAsia="en-US"/>
        </w:rPr>
      </w:pPr>
      <w:r>
        <w:rPr>
          <w:rFonts w:eastAsia="Calibri"/>
          <w:sz w:val="22"/>
          <w:szCs w:val="22"/>
          <w:u w:val="single"/>
        </w:rPr>
        <w:t>Vaisingumas</w:t>
      </w:r>
    </w:p>
    <w:p w14:paraId="55CE8B18" w14:textId="77777777" w:rsidR="00602606" w:rsidRDefault="00602606">
      <w:pPr>
        <w:widowControl w:val="0"/>
        <w:contextualSpacing/>
        <w:outlineLvl w:val="0"/>
        <w:rPr>
          <w:rFonts w:eastAsia="Calibri"/>
          <w:sz w:val="22"/>
          <w:szCs w:val="22"/>
        </w:rPr>
      </w:pPr>
    </w:p>
    <w:p w14:paraId="6FBB0603"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Nustatyta, kad dutasteridas veikia sveikų vyrų spermos savybes (sumažėja spermatozoidų kiekis, spermos tūris ir spermatozoidų judrumas) (žr. 5.1 </w:t>
      </w:r>
      <w:r w:rsidRPr="001F276A">
        <w:rPr>
          <w:rFonts w:eastAsia="Calibri"/>
          <w:sz w:val="22"/>
        </w:rPr>
        <w:t>skyrių). Galimo vyrų vaisingumo sumažėjimo paneigti negalima.</w:t>
      </w:r>
    </w:p>
    <w:p w14:paraId="74E28950" w14:textId="77777777" w:rsidR="00602606" w:rsidRDefault="00602606">
      <w:pPr>
        <w:widowControl w:val="0"/>
        <w:contextualSpacing/>
        <w:outlineLvl w:val="0"/>
        <w:rPr>
          <w:rFonts w:eastAsia="Calibri"/>
          <w:sz w:val="22"/>
          <w:szCs w:val="22"/>
        </w:rPr>
      </w:pPr>
    </w:p>
    <w:p w14:paraId="31BAB561"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Tamsulozino hidrochlorido poveikis spermatozoidų kiekiui ar spermatozoidų funkcijai netirtas.</w:t>
      </w:r>
    </w:p>
    <w:p w14:paraId="62CD12B1" w14:textId="77777777" w:rsidR="00602606" w:rsidRDefault="00602606">
      <w:pPr>
        <w:widowControl w:val="0"/>
        <w:contextualSpacing/>
        <w:outlineLvl w:val="0"/>
        <w:rPr>
          <w:rFonts w:eastAsia="Calibri"/>
          <w:b/>
          <w:sz w:val="22"/>
          <w:szCs w:val="22"/>
        </w:rPr>
      </w:pPr>
    </w:p>
    <w:p w14:paraId="705302F0" w14:textId="77777777" w:rsidR="00602606" w:rsidRDefault="00604AEE">
      <w:pPr>
        <w:widowControl w:val="0"/>
        <w:ind w:left="567" w:hanging="567"/>
        <w:rPr>
          <w:rFonts w:asciiTheme="minorHAnsi" w:eastAsia="Calibri" w:hAnsiTheme="minorHAnsi" w:cstheme="minorBidi"/>
          <w:sz w:val="22"/>
          <w:szCs w:val="22"/>
          <w:lang w:val="lt-LT" w:eastAsia="en-US"/>
        </w:rPr>
      </w:pPr>
      <w:r>
        <w:rPr>
          <w:rFonts w:eastAsia="Calibri"/>
          <w:b/>
          <w:sz w:val="22"/>
          <w:szCs w:val="22"/>
        </w:rPr>
        <w:t>4.7</w:t>
      </w:r>
      <w:r>
        <w:rPr>
          <w:rFonts w:eastAsia="Calibri"/>
          <w:b/>
          <w:sz w:val="22"/>
          <w:szCs w:val="22"/>
        </w:rPr>
        <w:tab/>
        <w:t>Poveikis gebėjimui vairuoti ir valdyti mechanizmus</w:t>
      </w:r>
    </w:p>
    <w:p w14:paraId="3BA4ADF2" w14:textId="77777777" w:rsidR="00602606" w:rsidRDefault="00602606">
      <w:pPr>
        <w:widowControl w:val="0"/>
        <w:contextualSpacing/>
        <w:outlineLvl w:val="0"/>
        <w:rPr>
          <w:rFonts w:eastAsia="Calibri"/>
          <w:sz w:val="22"/>
          <w:szCs w:val="22"/>
        </w:rPr>
      </w:pPr>
    </w:p>
    <w:p w14:paraId="37B1E106"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 xml:space="preserve">Dutasterido ir tamsulozino derinio poveikio gebėjimui vairuoti ar valdyti mechanizmus tyrimų neatlikta. Vis dėlto pacientams reikia pasakyti, kad vartojant </w:t>
      </w:r>
      <w:r w:rsidRPr="001F276A">
        <w:rPr>
          <w:rFonts w:eastAsia="Calibri"/>
          <w:sz w:val="22"/>
        </w:rPr>
        <w:t>Dutasteride/Tamsulosin Krka, gali atsirasti simptomų, susijusių su ortostatine hipotenzija, pvz., svaigulys.</w:t>
      </w:r>
    </w:p>
    <w:p w14:paraId="3E12814A" w14:textId="77777777" w:rsidR="00602606" w:rsidRDefault="00602606">
      <w:pPr>
        <w:widowControl w:val="0"/>
        <w:contextualSpacing/>
        <w:outlineLvl w:val="0"/>
        <w:rPr>
          <w:rFonts w:eastAsia="Calibri"/>
          <w:sz w:val="22"/>
          <w:szCs w:val="22"/>
        </w:rPr>
      </w:pPr>
    </w:p>
    <w:p w14:paraId="66F6D31D" w14:textId="77777777" w:rsidR="00602606" w:rsidRDefault="00604AEE">
      <w:pPr>
        <w:widowControl w:val="0"/>
        <w:numPr>
          <w:ilvl w:val="1"/>
          <w:numId w:val="6"/>
        </w:numPr>
        <w:tabs>
          <w:tab w:val="clear" w:pos="570"/>
        </w:tabs>
        <w:contextualSpacing/>
        <w:outlineLvl w:val="0"/>
        <w:rPr>
          <w:rFonts w:asciiTheme="minorHAnsi" w:eastAsia="Calibri" w:hAnsiTheme="minorHAnsi" w:cstheme="minorBidi"/>
          <w:b/>
          <w:sz w:val="22"/>
          <w:szCs w:val="22"/>
          <w:lang w:val="lt-LT" w:eastAsia="en-US"/>
        </w:rPr>
      </w:pPr>
      <w:r>
        <w:rPr>
          <w:rFonts w:eastAsia="Calibri"/>
          <w:b/>
          <w:sz w:val="22"/>
          <w:szCs w:val="22"/>
        </w:rPr>
        <w:t>Nepageidaujamas poveikis</w:t>
      </w:r>
    </w:p>
    <w:p w14:paraId="260DFA92" w14:textId="77777777" w:rsidR="00602606" w:rsidRDefault="00602606">
      <w:pPr>
        <w:widowControl w:val="0"/>
        <w:contextualSpacing/>
        <w:outlineLvl w:val="0"/>
        <w:rPr>
          <w:rFonts w:eastAsia="Calibri"/>
          <w:sz w:val="22"/>
          <w:szCs w:val="22"/>
        </w:rPr>
      </w:pPr>
    </w:p>
    <w:p w14:paraId="01527042"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 xml:space="preserve">Čia pateikti dutasterido vartojimo kartu su tamsulozinu duomenys gauti atlikus 4 metų trukmės CombAT (dutasterido ir tamsulozino derinio) tyrimo, kurio metu buvo palygintas 0,5 mg </w:t>
      </w:r>
      <w:r w:rsidRPr="001F276A">
        <w:rPr>
          <w:rFonts w:eastAsia="Calibri"/>
          <w:sz w:val="22"/>
        </w:rPr>
        <w:t>dutasterido ir 0,4 mg tamsulozino dozės vartojimas kartą per parą kartu ir monoterapijai, duomenų analizę. Nustatyta, kad dutasteridas ir tamsulosinas yra bioekvivalentiškas kartu vartojamiems dutasteridui ir tamsulozinui (žr. 5.2 skyrių). Taip pat pateikta informacija apie atskirų veikliųjų medžiagų (dutasterido ir tamsulozino) sukeltus nepageidaujamus reiškinius. Reikia žinoti, kad ne apie visus nepageidaujamus reiškinius, apie kuriuos buvo pranešta vartojant atskiras veikliąsias medžiagas, buvo pranešta ir vartojant dutasterido ir tamsulozino derinį. Jie irgi įtraukti į informaciją vaistinį preparatą skiriančiam gydytojui.</w:t>
      </w:r>
    </w:p>
    <w:p w14:paraId="52A956D0"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4 metų trukmės CombAT tyrimo duomenys rodo, kad bet kurių nepageidaujamų reiškinių, kurie tyrėjo nuomone buvo susiję su vaistiniu preparatu, dažnis pirmaisiais, antraisiais, trečiaisiais ir ketvirtaisiais gydymo metais buvo atitinkamai 22 %, 6 %, 4 % ir 2 % vartojant dutasterido ir tamsulo</w:t>
      </w:r>
      <w:r w:rsidRPr="001F276A">
        <w:rPr>
          <w:rFonts w:eastAsia="Calibri"/>
          <w:sz w:val="22"/>
        </w:rPr>
        <w:t>zino derinį, 15 %, 6 %, 3 % ir 2 % taikant monoterapiją dutasteridu, ir 13 %, 5 %, 2 % ir 2 % taikant monoterapiją tamsulozinu. Didesnis nepageidaujamų reiškinių dažnis gydymo abiem vaistiniais preparatais kartu grupėje pirmaisiais gydymo metais buvo dėl dažniau pasireiškusių reprodukcijos sutrikimų, ypač ejakuliacijos sutrikimų šioje grupėje.</w:t>
      </w:r>
    </w:p>
    <w:p w14:paraId="4574444D" w14:textId="77777777" w:rsidR="00602606" w:rsidRDefault="00602606">
      <w:pPr>
        <w:widowControl w:val="0"/>
        <w:contextualSpacing/>
        <w:outlineLvl w:val="0"/>
        <w:rPr>
          <w:rFonts w:eastAsia="Calibri"/>
          <w:sz w:val="22"/>
          <w:szCs w:val="22"/>
        </w:rPr>
      </w:pPr>
    </w:p>
    <w:p w14:paraId="186D2201"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Nepageidaujami reiškiniai, kurie tyrėjo nuomone buvo susiję su vaistiniu preparatu ir pasireiškė 1 % gydytų pacientų arba dažniau pirmaisiais gydymo metais CombAT tyrimo, GPH monoterapijos klinikinio tyrimo ir REDUCE tyrimo duomenimis, pateikti toliau esančioje lentelėje.</w:t>
      </w:r>
    </w:p>
    <w:p w14:paraId="2DBE46A6"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Be to, toliau nurodytas tamsulozino nepageidaujamas poveikis yra pagrįstas turima vieša informacija. Skiriant kombinuotąjį gydymą, nepageidaujamų reiškinių dažnis gali padidėti.</w:t>
      </w:r>
    </w:p>
    <w:p w14:paraId="77A91050" w14:textId="77777777" w:rsidR="00602606" w:rsidRDefault="00602606">
      <w:pPr>
        <w:widowControl w:val="0"/>
        <w:contextualSpacing/>
        <w:outlineLvl w:val="0"/>
        <w:rPr>
          <w:rFonts w:eastAsia="Calibri"/>
          <w:sz w:val="22"/>
          <w:szCs w:val="22"/>
        </w:rPr>
      </w:pPr>
    </w:p>
    <w:p w14:paraId="2BE3CE3E"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 xml:space="preserve">Nepageidaujamų reakcijų dažnis apibūdinamas taip: </w:t>
      </w:r>
      <w:r>
        <w:rPr>
          <w:sz w:val="22"/>
          <w:szCs w:val="22"/>
        </w:rPr>
        <w:t>labai dažnas (≥ 1/10), dažnas (nuo ≥ 1/100 iki &lt; 1/10), nedažnas (nuo ≥ 1/1</w:t>
      </w:r>
      <w:r w:rsidRPr="001F276A">
        <w:rPr>
          <w:sz w:val="22"/>
        </w:rPr>
        <w:t> 000 iki &lt; 1/100), retas (nuo ≥ 1/10 000 iki &lt; 1/1 000), labai retas (&lt; 1/10 000) ir nežinomas (negali būti apskaičiuotas pagal turimus duomenis).</w:t>
      </w:r>
      <w:r w:rsidRPr="001F276A">
        <w:rPr>
          <w:rFonts w:eastAsia="Calibri"/>
          <w:sz w:val="22"/>
        </w:rPr>
        <w:t xml:space="preserve"> Kiekvienos organų sistemų klasės grupėje nepageidaujamas poveikis išvardytas mažėjančio sunkumo tvarka.</w:t>
      </w:r>
    </w:p>
    <w:p w14:paraId="5D6BD9B1" w14:textId="77777777" w:rsidR="00602606" w:rsidRDefault="00602606">
      <w:pPr>
        <w:widowControl w:val="0"/>
        <w:contextualSpacing/>
        <w:outlineLvl w:val="0"/>
        <w:rPr>
          <w:rFonts w:eastAsia="Calibri"/>
          <w:sz w:val="22"/>
          <w:szCs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2268"/>
        <w:gridCol w:w="1559"/>
        <w:gridCol w:w="1418"/>
        <w:gridCol w:w="1701"/>
      </w:tblGrid>
      <w:tr w:rsidR="00602606" w14:paraId="15C3C7FD" w14:textId="77777777">
        <w:tc>
          <w:tcPr>
            <w:tcW w:w="2093" w:type="dxa"/>
            <w:tcBorders>
              <w:top w:val="single" w:sz="4" w:space="0" w:color="auto"/>
              <w:left w:val="single" w:sz="4" w:space="0" w:color="auto"/>
              <w:bottom w:val="single" w:sz="4" w:space="0" w:color="auto"/>
              <w:right w:val="single" w:sz="4" w:space="0" w:color="auto"/>
            </w:tcBorders>
          </w:tcPr>
          <w:p w14:paraId="0D8B4BD9" w14:textId="77777777" w:rsidR="00602606" w:rsidRDefault="00604AEE">
            <w:pPr>
              <w:widowControl w:val="0"/>
              <w:contextualSpacing/>
              <w:outlineLvl w:val="0"/>
              <w:rPr>
                <w:rFonts w:eastAsia="Calibri"/>
                <w:b/>
                <w:sz w:val="22"/>
                <w:szCs w:val="22"/>
              </w:rPr>
            </w:pPr>
            <w:r>
              <w:rPr>
                <w:rFonts w:eastAsia="Calibri"/>
                <w:b/>
                <w:sz w:val="22"/>
                <w:szCs w:val="22"/>
              </w:rPr>
              <w:t>Organų sistemos klasės</w:t>
            </w:r>
          </w:p>
        </w:tc>
        <w:tc>
          <w:tcPr>
            <w:tcW w:w="2268" w:type="dxa"/>
            <w:tcBorders>
              <w:top w:val="single" w:sz="4" w:space="0" w:color="auto"/>
              <w:left w:val="single" w:sz="4" w:space="0" w:color="auto"/>
              <w:bottom w:val="single" w:sz="4" w:space="0" w:color="auto"/>
              <w:right w:val="single" w:sz="4" w:space="0" w:color="auto"/>
            </w:tcBorders>
          </w:tcPr>
          <w:p w14:paraId="33E97091" w14:textId="77777777" w:rsidR="00602606" w:rsidRDefault="00604AEE">
            <w:pPr>
              <w:widowControl w:val="0"/>
              <w:contextualSpacing/>
              <w:outlineLvl w:val="0"/>
              <w:rPr>
                <w:rFonts w:asciiTheme="minorHAnsi" w:eastAsia="Calibri" w:hAnsiTheme="minorHAnsi" w:cstheme="minorBidi"/>
                <w:b/>
                <w:sz w:val="22"/>
                <w:szCs w:val="22"/>
                <w:lang w:val="lt-LT" w:eastAsia="en-US"/>
              </w:rPr>
            </w:pPr>
            <w:r>
              <w:rPr>
                <w:rFonts w:eastAsia="Calibri"/>
                <w:b/>
                <w:sz w:val="22"/>
                <w:szCs w:val="22"/>
              </w:rPr>
              <w:t>Nepageidaujamos reakcijos</w:t>
            </w:r>
          </w:p>
        </w:tc>
        <w:tc>
          <w:tcPr>
            <w:tcW w:w="1559" w:type="dxa"/>
            <w:tcBorders>
              <w:top w:val="single" w:sz="4" w:space="0" w:color="auto"/>
              <w:left w:val="single" w:sz="4" w:space="0" w:color="auto"/>
              <w:bottom w:val="single" w:sz="4" w:space="0" w:color="auto"/>
              <w:right w:val="single" w:sz="4" w:space="0" w:color="auto"/>
            </w:tcBorders>
          </w:tcPr>
          <w:p w14:paraId="1D902F03" w14:textId="77777777" w:rsidR="00602606" w:rsidRDefault="00604AEE">
            <w:pPr>
              <w:widowControl w:val="0"/>
              <w:contextualSpacing/>
              <w:outlineLvl w:val="0"/>
              <w:rPr>
                <w:rFonts w:asciiTheme="minorHAnsi" w:eastAsia="Calibri" w:hAnsiTheme="minorHAnsi" w:cstheme="minorBidi"/>
                <w:b/>
                <w:sz w:val="22"/>
                <w:szCs w:val="22"/>
                <w:lang w:val="lt-LT" w:eastAsia="en-US"/>
              </w:rPr>
            </w:pPr>
            <w:r>
              <w:rPr>
                <w:rFonts w:eastAsia="Calibri"/>
                <w:b/>
                <w:sz w:val="22"/>
                <w:szCs w:val="22"/>
              </w:rPr>
              <w:t>Dutasteridas+tamsulozinas</w:t>
            </w:r>
            <w:r>
              <w:rPr>
                <w:rFonts w:eastAsia="Calibri"/>
                <w:b/>
                <w:sz w:val="22"/>
                <w:szCs w:val="22"/>
                <w:vertAlign w:val="superscript"/>
              </w:rPr>
              <w:t>a</w:t>
            </w:r>
          </w:p>
        </w:tc>
        <w:tc>
          <w:tcPr>
            <w:tcW w:w="1418" w:type="dxa"/>
            <w:tcBorders>
              <w:top w:val="single" w:sz="4" w:space="0" w:color="auto"/>
              <w:left w:val="single" w:sz="4" w:space="0" w:color="auto"/>
              <w:bottom w:val="single" w:sz="4" w:space="0" w:color="auto"/>
              <w:right w:val="single" w:sz="4" w:space="0" w:color="auto"/>
            </w:tcBorders>
          </w:tcPr>
          <w:p w14:paraId="3F6852BE" w14:textId="77777777" w:rsidR="00602606" w:rsidRDefault="00604AEE">
            <w:pPr>
              <w:widowControl w:val="0"/>
              <w:contextualSpacing/>
              <w:outlineLvl w:val="0"/>
              <w:rPr>
                <w:rFonts w:asciiTheme="minorHAnsi" w:eastAsia="Calibri" w:hAnsiTheme="minorHAnsi" w:cstheme="minorBidi"/>
                <w:b/>
                <w:sz w:val="22"/>
                <w:szCs w:val="22"/>
                <w:lang w:val="lt-LT" w:eastAsia="en-US"/>
              </w:rPr>
            </w:pPr>
            <w:r>
              <w:rPr>
                <w:rFonts w:eastAsia="Calibri"/>
                <w:b/>
                <w:sz w:val="22"/>
                <w:szCs w:val="22"/>
              </w:rPr>
              <w:t>Dutasteridas</w:t>
            </w:r>
          </w:p>
        </w:tc>
        <w:tc>
          <w:tcPr>
            <w:tcW w:w="1701" w:type="dxa"/>
            <w:tcBorders>
              <w:top w:val="single" w:sz="4" w:space="0" w:color="auto"/>
              <w:left w:val="single" w:sz="4" w:space="0" w:color="auto"/>
              <w:bottom w:val="single" w:sz="4" w:space="0" w:color="auto"/>
              <w:right w:val="single" w:sz="4" w:space="0" w:color="auto"/>
            </w:tcBorders>
          </w:tcPr>
          <w:p w14:paraId="203B15E5" w14:textId="77777777" w:rsidR="00602606" w:rsidRDefault="00604AEE">
            <w:pPr>
              <w:widowControl w:val="0"/>
              <w:contextualSpacing/>
              <w:outlineLvl w:val="0"/>
              <w:rPr>
                <w:rFonts w:asciiTheme="minorHAnsi" w:eastAsia="Calibri" w:hAnsiTheme="minorHAnsi" w:cstheme="minorBidi"/>
                <w:b/>
                <w:sz w:val="22"/>
                <w:szCs w:val="22"/>
                <w:lang w:val="lt-LT" w:eastAsia="en-US"/>
              </w:rPr>
            </w:pPr>
            <w:r>
              <w:rPr>
                <w:rFonts w:eastAsia="Calibri"/>
                <w:b/>
                <w:sz w:val="22"/>
                <w:szCs w:val="22"/>
              </w:rPr>
              <w:t>Tamsulozinas</w:t>
            </w:r>
            <w:r>
              <w:rPr>
                <w:rFonts w:eastAsia="Calibri"/>
                <w:b/>
                <w:sz w:val="22"/>
                <w:szCs w:val="22"/>
                <w:vertAlign w:val="superscript"/>
              </w:rPr>
              <w:t>c</w:t>
            </w:r>
          </w:p>
        </w:tc>
      </w:tr>
      <w:tr w:rsidR="00602606" w14:paraId="4B7FECB0" w14:textId="77777777">
        <w:trPr>
          <w:trHeight w:val="208"/>
        </w:trPr>
        <w:tc>
          <w:tcPr>
            <w:tcW w:w="2093" w:type="dxa"/>
            <w:tcBorders>
              <w:top w:val="single" w:sz="4" w:space="0" w:color="auto"/>
              <w:left w:val="single" w:sz="4" w:space="0" w:color="auto"/>
              <w:bottom w:val="nil"/>
              <w:right w:val="single" w:sz="4" w:space="0" w:color="auto"/>
            </w:tcBorders>
          </w:tcPr>
          <w:p w14:paraId="12DBE791" w14:textId="77777777" w:rsidR="00602606" w:rsidRDefault="00604AEE">
            <w:pPr>
              <w:widowControl w:val="0"/>
              <w:contextualSpacing/>
              <w:outlineLvl w:val="0"/>
              <w:rPr>
                <w:rFonts w:eastAsia="Calibri"/>
                <w:sz w:val="22"/>
                <w:szCs w:val="22"/>
              </w:rPr>
            </w:pPr>
            <w:r>
              <w:rPr>
                <w:rFonts w:eastAsia="Calibri"/>
                <w:sz w:val="22"/>
                <w:szCs w:val="22"/>
              </w:rPr>
              <w:t>Nervų sistemos sutrikimai</w:t>
            </w:r>
          </w:p>
        </w:tc>
        <w:tc>
          <w:tcPr>
            <w:tcW w:w="2268" w:type="dxa"/>
            <w:tcBorders>
              <w:top w:val="single" w:sz="4" w:space="0" w:color="auto"/>
              <w:left w:val="single" w:sz="4" w:space="0" w:color="auto"/>
              <w:bottom w:val="nil"/>
              <w:right w:val="single" w:sz="4" w:space="0" w:color="auto"/>
            </w:tcBorders>
          </w:tcPr>
          <w:p w14:paraId="194F5110"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Apalpimas</w:t>
            </w:r>
          </w:p>
        </w:tc>
        <w:tc>
          <w:tcPr>
            <w:tcW w:w="1559" w:type="dxa"/>
            <w:tcBorders>
              <w:top w:val="single" w:sz="4" w:space="0" w:color="auto"/>
              <w:left w:val="single" w:sz="4" w:space="0" w:color="auto"/>
              <w:bottom w:val="nil"/>
              <w:right w:val="single" w:sz="4" w:space="0" w:color="auto"/>
            </w:tcBorders>
            <w:vAlign w:val="bottom"/>
          </w:tcPr>
          <w:p w14:paraId="12E58CCF" w14:textId="77777777" w:rsidR="00602606" w:rsidRDefault="00604AEE">
            <w:pPr>
              <w:widowControl w:val="0"/>
              <w:contextualSpacing/>
              <w:jc w:val="center"/>
              <w:outlineLvl w:val="0"/>
              <w:rPr>
                <w:rFonts w:eastAsia="Calibri"/>
                <w:sz w:val="22"/>
                <w:szCs w:val="22"/>
              </w:rPr>
            </w:pPr>
            <w:r>
              <w:rPr>
                <w:rFonts w:eastAsia="Calibri"/>
                <w:sz w:val="22"/>
                <w:szCs w:val="22"/>
              </w:rPr>
              <w:t>-</w:t>
            </w:r>
          </w:p>
        </w:tc>
        <w:tc>
          <w:tcPr>
            <w:tcW w:w="1418" w:type="dxa"/>
            <w:tcBorders>
              <w:top w:val="single" w:sz="4" w:space="0" w:color="auto"/>
              <w:left w:val="single" w:sz="4" w:space="0" w:color="auto"/>
              <w:bottom w:val="nil"/>
              <w:right w:val="single" w:sz="4" w:space="0" w:color="auto"/>
            </w:tcBorders>
            <w:vAlign w:val="bottom"/>
          </w:tcPr>
          <w:p w14:paraId="0B57AB4F" w14:textId="77777777" w:rsidR="00602606" w:rsidRDefault="00604AEE">
            <w:pPr>
              <w:widowControl w:val="0"/>
              <w:contextualSpacing/>
              <w:jc w:val="center"/>
              <w:outlineLvl w:val="0"/>
              <w:rPr>
                <w:rFonts w:eastAsia="Calibri"/>
                <w:sz w:val="22"/>
                <w:szCs w:val="22"/>
              </w:rPr>
            </w:pPr>
            <w:r>
              <w:rPr>
                <w:rFonts w:eastAsia="Calibri"/>
                <w:sz w:val="22"/>
                <w:szCs w:val="22"/>
              </w:rPr>
              <w:t>-</w:t>
            </w:r>
          </w:p>
        </w:tc>
        <w:tc>
          <w:tcPr>
            <w:tcW w:w="1701" w:type="dxa"/>
            <w:tcBorders>
              <w:top w:val="single" w:sz="4" w:space="0" w:color="auto"/>
              <w:left w:val="single" w:sz="4" w:space="0" w:color="auto"/>
              <w:bottom w:val="nil"/>
              <w:right w:val="single" w:sz="4" w:space="0" w:color="auto"/>
            </w:tcBorders>
            <w:vAlign w:val="bottom"/>
          </w:tcPr>
          <w:p w14:paraId="3D539B77" w14:textId="77777777" w:rsidR="00602606" w:rsidRDefault="00604AEE">
            <w:pPr>
              <w:widowControl w:val="0"/>
              <w:contextualSpacing/>
              <w:jc w:val="center"/>
              <w:outlineLvl w:val="0"/>
              <w:rPr>
                <w:rFonts w:asciiTheme="minorHAnsi" w:eastAsia="Calibri" w:hAnsiTheme="minorHAnsi" w:cstheme="minorBidi"/>
                <w:sz w:val="22"/>
                <w:szCs w:val="22"/>
                <w:lang w:val="lt-LT" w:eastAsia="en-US"/>
              </w:rPr>
            </w:pPr>
            <w:r>
              <w:rPr>
                <w:rFonts w:eastAsia="Calibri"/>
                <w:sz w:val="22"/>
                <w:szCs w:val="22"/>
              </w:rPr>
              <w:t>Reti</w:t>
            </w:r>
          </w:p>
        </w:tc>
      </w:tr>
      <w:tr w:rsidR="00602606" w14:paraId="564D542B" w14:textId="77777777">
        <w:trPr>
          <w:trHeight w:val="216"/>
        </w:trPr>
        <w:tc>
          <w:tcPr>
            <w:tcW w:w="2093" w:type="dxa"/>
            <w:tcBorders>
              <w:top w:val="nil"/>
              <w:left w:val="single" w:sz="4" w:space="0" w:color="auto"/>
              <w:bottom w:val="nil"/>
              <w:right w:val="single" w:sz="4" w:space="0" w:color="auto"/>
            </w:tcBorders>
          </w:tcPr>
          <w:p w14:paraId="05A7E838" w14:textId="77777777" w:rsidR="00602606" w:rsidRDefault="00602606">
            <w:pPr>
              <w:widowControl w:val="0"/>
              <w:contextualSpacing/>
              <w:outlineLvl w:val="0"/>
              <w:rPr>
                <w:rFonts w:eastAsia="Calibri"/>
                <w:sz w:val="22"/>
                <w:szCs w:val="22"/>
              </w:rPr>
            </w:pPr>
          </w:p>
        </w:tc>
        <w:tc>
          <w:tcPr>
            <w:tcW w:w="2268" w:type="dxa"/>
            <w:tcBorders>
              <w:top w:val="single" w:sz="4" w:space="0" w:color="auto"/>
              <w:left w:val="single" w:sz="4" w:space="0" w:color="auto"/>
              <w:bottom w:val="nil"/>
              <w:right w:val="single" w:sz="4" w:space="0" w:color="auto"/>
            </w:tcBorders>
          </w:tcPr>
          <w:p w14:paraId="15845C60"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Svaigulys</w:t>
            </w:r>
          </w:p>
        </w:tc>
        <w:tc>
          <w:tcPr>
            <w:tcW w:w="1559" w:type="dxa"/>
            <w:tcBorders>
              <w:top w:val="single" w:sz="4" w:space="0" w:color="auto"/>
              <w:left w:val="single" w:sz="4" w:space="0" w:color="auto"/>
              <w:bottom w:val="nil"/>
              <w:right w:val="single" w:sz="4" w:space="0" w:color="auto"/>
            </w:tcBorders>
            <w:vAlign w:val="bottom"/>
          </w:tcPr>
          <w:p w14:paraId="11D892EA" w14:textId="77777777" w:rsidR="00602606" w:rsidRDefault="00604AEE">
            <w:pPr>
              <w:widowControl w:val="0"/>
              <w:contextualSpacing/>
              <w:jc w:val="center"/>
              <w:outlineLvl w:val="0"/>
              <w:rPr>
                <w:rFonts w:asciiTheme="minorHAnsi" w:eastAsia="Calibri" w:hAnsiTheme="minorHAnsi" w:cstheme="minorBidi"/>
                <w:sz w:val="22"/>
                <w:szCs w:val="22"/>
                <w:lang w:val="lt-LT" w:eastAsia="en-US"/>
              </w:rPr>
            </w:pPr>
            <w:r>
              <w:rPr>
                <w:rFonts w:eastAsia="Calibri"/>
                <w:sz w:val="22"/>
                <w:szCs w:val="22"/>
              </w:rPr>
              <w:t>Dažni</w:t>
            </w:r>
          </w:p>
        </w:tc>
        <w:tc>
          <w:tcPr>
            <w:tcW w:w="1418" w:type="dxa"/>
            <w:tcBorders>
              <w:top w:val="single" w:sz="4" w:space="0" w:color="auto"/>
              <w:left w:val="single" w:sz="4" w:space="0" w:color="auto"/>
              <w:bottom w:val="nil"/>
              <w:right w:val="single" w:sz="4" w:space="0" w:color="auto"/>
            </w:tcBorders>
            <w:vAlign w:val="bottom"/>
          </w:tcPr>
          <w:p w14:paraId="3C88CBC9" w14:textId="77777777" w:rsidR="00602606" w:rsidRDefault="00604AEE">
            <w:pPr>
              <w:widowControl w:val="0"/>
              <w:contextualSpacing/>
              <w:jc w:val="center"/>
              <w:outlineLvl w:val="0"/>
              <w:rPr>
                <w:rFonts w:eastAsia="Calibri"/>
                <w:sz w:val="22"/>
                <w:szCs w:val="22"/>
              </w:rPr>
            </w:pPr>
            <w:r>
              <w:rPr>
                <w:rFonts w:eastAsia="Calibri"/>
                <w:sz w:val="22"/>
                <w:szCs w:val="22"/>
              </w:rPr>
              <w:t>-</w:t>
            </w:r>
          </w:p>
        </w:tc>
        <w:tc>
          <w:tcPr>
            <w:tcW w:w="1701" w:type="dxa"/>
            <w:tcBorders>
              <w:top w:val="single" w:sz="4" w:space="0" w:color="auto"/>
              <w:left w:val="single" w:sz="4" w:space="0" w:color="auto"/>
              <w:bottom w:val="nil"/>
              <w:right w:val="single" w:sz="4" w:space="0" w:color="auto"/>
            </w:tcBorders>
            <w:vAlign w:val="bottom"/>
          </w:tcPr>
          <w:p w14:paraId="66FEC15F" w14:textId="77777777" w:rsidR="00602606" w:rsidRDefault="00604AEE">
            <w:pPr>
              <w:widowControl w:val="0"/>
              <w:contextualSpacing/>
              <w:jc w:val="center"/>
              <w:outlineLvl w:val="0"/>
              <w:rPr>
                <w:rFonts w:asciiTheme="minorHAnsi" w:eastAsia="Calibri" w:hAnsiTheme="minorHAnsi" w:cstheme="minorBidi"/>
                <w:sz w:val="22"/>
                <w:szCs w:val="22"/>
                <w:lang w:val="lt-LT" w:eastAsia="en-US"/>
              </w:rPr>
            </w:pPr>
            <w:r>
              <w:rPr>
                <w:rFonts w:eastAsia="Calibri"/>
                <w:sz w:val="22"/>
                <w:szCs w:val="22"/>
              </w:rPr>
              <w:t>Dažni</w:t>
            </w:r>
          </w:p>
        </w:tc>
      </w:tr>
      <w:tr w:rsidR="00602606" w14:paraId="51A53FE4" w14:textId="77777777">
        <w:tc>
          <w:tcPr>
            <w:tcW w:w="2093" w:type="dxa"/>
            <w:tcBorders>
              <w:top w:val="nil"/>
              <w:left w:val="single" w:sz="4" w:space="0" w:color="auto"/>
              <w:bottom w:val="nil"/>
              <w:right w:val="single" w:sz="4" w:space="0" w:color="auto"/>
            </w:tcBorders>
          </w:tcPr>
          <w:p w14:paraId="6FA2DCB8" w14:textId="77777777" w:rsidR="00602606" w:rsidRDefault="00602606">
            <w:pPr>
              <w:widowControl w:val="0"/>
              <w:contextualSpacing/>
              <w:outlineLvl w:val="0"/>
              <w:rPr>
                <w:rFonts w:eastAsia="Calibri"/>
                <w:sz w:val="22"/>
                <w:szCs w:val="22"/>
              </w:rPr>
            </w:pPr>
          </w:p>
        </w:tc>
        <w:tc>
          <w:tcPr>
            <w:tcW w:w="2268" w:type="dxa"/>
            <w:tcBorders>
              <w:top w:val="single" w:sz="4" w:space="0" w:color="auto"/>
              <w:left w:val="single" w:sz="4" w:space="0" w:color="auto"/>
              <w:bottom w:val="nil"/>
              <w:right w:val="single" w:sz="4" w:space="0" w:color="auto"/>
            </w:tcBorders>
          </w:tcPr>
          <w:p w14:paraId="55FA7CA6"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Galvos skausmas</w:t>
            </w:r>
          </w:p>
        </w:tc>
        <w:tc>
          <w:tcPr>
            <w:tcW w:w="1559" w:type="dxa"/>
            <w:tcBorders>
              <w:top w:val="single" w:sz="4" w:space="0" w:color="auto"/>
              <w:left w:val="single" w:sz="4" w:space="0" w:color="auto"/>
              <w:bottom w:val="nil"/>
              <w:right w:val="single" w:sz="4" w:space="0" w:color="auto"/>
            </w:tcBorders>
            <w:vAlign w:val="bottom"/>
          </w:tcPr>
          <w:p w14:paraId="058CC540" w14:textId="77777777" w:rsidR="00602606" w:rsidRDefault="00604AEE">
            <w:pPr>
              <w:widowControl w:val="0"/>
              <w:contextualSpacing/>
              <w:jc w:val="center"/>
              <w:outlineLvl w:val="0"/>
              <w:rPr>
                <w:rFonts w:eastAsia="Calibri"/>
                <w:sz w:val="22"/>
                <w:szCs w:val="22"/>
              </w:rPr>
            </w:pPr>
            <w:r>
              <w:rPr>
                <w:rFonts w:eastAsia="Calibri"/>
                <w:sz w:val="22"/>
                <w:szCs w:val="22"/>
              </w:rPr>
              <w:t>-</w:t>
            </w:r>
          </w:p>
        </w:tc>
        <w:tc>
          <w:tcPr>
            <w:tcW w:w="1418" w:type="dxa"/>
            <w:tcBorders>
              <w:top w:val="single" w:sz="4" w:space="0" w:color="auto"/>
              <w:left w:val="single" w:sz="4" w:space="0" w:color="auto"/>
              <w:bottom w:val="nil"/>
              <w:right w:val="single" w:sz="4" w:space="0" w:color="auto"/>
            </w:tcBorders>
            <w:vAlign w:val="bottom"/>
          </w:tcPr>
          <w:p w14:paraId="0477CCAB" w14:textId="77777777" w:rsidR="00602606" w:rsidRDefault="00604AEE">
            <w:pPr>
              <w:widowControl w:val="0"/>
              <w:contextualSpacing/>
              <w:jc w:val="center"/>
              <w:outlineLvl w:val="0"/>
              <w:rPr>
                <w:rFonts w:eastAsia="Calibri"/>
                <w:sz w:val="22"/>
                <w:szCs w:val="22"/>
              </w:rPr>
            </w:pPr>
            <w:r>
              <w:rPr>
                <w:rFonts w:eastAsia="Calibri"/>
                <w:sz w:val="22"/>
                <w:szCs w:val="22"/>
              </w:rPr>
              <w:t>-</w:t>
            </w:r>
          </w:p>
        </w:tc>
        <w:tc>
          <w:tcPr>
            <w:tcW w:w="1701" w:type="dxa"/>
            <w:tcBorders>
              <w:top w:val="single" w:sz="4" w:space="0" w:color="auto"/>
              <w:left w:val="single" w:sz="4" w:space="0" w:color="auto"/>
              <w:bottom w:val="nil"/>
              <w:right w:val="single" w:sz="4" w:space="0" w:color="auto"/>
            </w:tcBorders>
            <w:vAlign w:val="bottom"/>
          </w:tcPr>
          <w:p w14:paraId="02F37A3E" w14:textId="77777777" w:rsidR="00602606" w:rsidRDefault="00604AEE">
            <w:pPr>
              <w:widowControl w:val="0"/>
              <w:contextualSpacing/>
              <w:jc w:val="center"/>
              <w:outlineLvl w:val="0"/>
              <w:rPr>
                <w:rFonts w:asciiTheme="minorHAnsi" w:eastAsia="Calibri" w:hAnsiTheme="minorHAnsi" w:cstheme="minorBidi"/>
                <w:sz w:val="22"/>
                <w:szCs w:val="22"/>
                <w:lang w:val="lt-LT" w:eastAsia="en-US"/>
              </w:rPr>
            </w:pPr>
            <w:r>
              <w:rPr>
                <w:rFonts w:eastAsia="Calibri"/>
                <w:sz w:val="22"/>
                <w:szCs w:val="22"/>
              </w:rPr>
              <w:t>Nedažni</w:t>
            </w:r>
          </w:p>
        </w:tc>
      </w:tr>
      <w:tr w:rsidR="00602606" w14:paraId="1A6CBD79" w14:textId="77777777">
        <w:trPr>
          <w:trHeight w:val="722"/>
        </w:trPr>
        <w:tc>
          <w:tcPr>
            <w:tcW w:w="2093" w:type="dxa"/>
            <w:tcBorders>
              <w:top w:val="single" w:sz="4" w:space="0" w:color="auto"/>
              <w:left w:val="single" w:sz="4" w:space="0" w:color="auto"/>
              <w:bottom w:val="nil"/>
              <w:right w:val="single" w:sz="4" w:space="0" w:color="auto"/>
            </w:tcBorders>
          </w:tcPr>
          <w:p w14:paraId="4B90DD7B" w14:textId="77777777" w:rsidR="00602606" w:rsidRDefault="00604AEE">
            <w:pPr>
              <w:widowControl w:val="0"/>
              <w:contextualSpacing/>
              <w:outlineLvl w:val="0"/>
              <w:rPr>
                <w:rFonts w:eastAsia="Calibri"/>
                <w:sz w:val="22"/>
                <w:szCs w:val="22"/>
              </w:rPr>
            </w:pPr>
            <w:r>
              <w:rPr>
                <w:rFonts w:eastAsia="Calibri"/>
                <w:sz w:val="22"/>
                <w:szCs w:val="22"/>
              </w:rPr>
              <w:t>Širdies sutrikimai</w:t>
            </w:r>
          </w:p>
        </w:tc>
        <w:tc>
          <w:tcPr>
            <w:tcW w:w="2268" w:type="dxa"/>
            <w:tcBorders>
              <w:top w:val="single" w:sz="4" w:space="0" w:color="auto"/>
              <w:left w:val="single" w:sz="4" w:space="0" w:color="auto"/>
              <w:bottom w:val="single" w:sz="4" w:space="0" w:color="auto"/>
              <w:right w:val="single" w:sz="4" w:space="0" w:color="auto"/>
            </w:tcBorders>
          </w:tcPr>
          <w:p w14:paraId="0F8D8563"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Širdies nepakankamumas (bendra sąvoka</w:t>
            </w:r>
            <w:r>
              <w:rPr>
                <w:rFonts w:eastAsia="Calibri"/>
                <w:sz w:val="22"/>
                <w:szCs w:val="22"/>
                <w:vertAlign w:val="superscript"/>
              </w:rPr>
              <w:t>1</w:t>
            </w:r>
            <w:r>
              <w:rPr>
                <w:rFonts w:eastAsia="Calibri"/>
                <w:sz w:val="22"/>
                <w:szCs w:val="22"/>
              </w:rPr>
              <w:t>)</w:t>
            </w:r>
          </w:p>
        </w:tc>
        <w:tc>
          <w:tcPr>
            <w:tcW w:w="1559" w:type="dxa"/>
            <w:tcBorders>
              <w:top w:val="single" w:sz="4" w:space="0" w:color="auto"/>
              <w:left w:val="single" w:sz="4" w:space="0" w:color="auto"/>
              <w:bottom w:val="single" w:sz="4" w:space="0" w:color="auto"/>
              <w:right w:val="single" w:sz="4" w:space="0" w:color="auto"/>
            </w:tcBorders>
          </w:tcPr>
          <w:p w14:paraId="4342E84D" w14:textId="77777777" w:rsidR="00602606" w:rsidRDefault="00604AEE">
            <w:pPr>
              <w:widowControl w:val="0"/>
              <w:contextualSpacing/>
              <w:jc w:val="center"/>
              <w:outlineLvl w:val="0"/>
              <w:rPr>
                <w:rFonts w:asciiTheme="minorHAnsi" w:eastAsia="Calibri" w:hAnsiTheme="minorHAnsi" w:cstheme="minorBidi"/>
                <w:sz w:val="22"/>
                <w:szCs w:val="22"/>
                <w:lang w:val="lt-LT" w:eastAsia="en-US"/>
              </w:rPr>
            </w:pPr>
            <w:r>
              <w:rPr>
                <w:rFonts w:eastAsia="Calibri"/>
                <w:sz w:val="22"/>
                <w:szCs w:val="22"/>
              </w:rPr>
              <w:t>Nedažni</w:t>
            </w:r>
          </w:p>
        </w:tc>
        <w:tc>
          <w:tcPr>
            <w:tcW w:w="1418" w:type="dxa"/>
            <w:tcBorders>
              <w:top w:val="single" w:sz="4" w:space="0" w:color="auto"/>
              <w:left w:val="single" w:sz="4" w:space="0" w:color="auto"/>
              <w:bottom w:val="single" w:sz="4" w:space="0" w:color="auto"/>
              <w:right w:val="single" w:sz="4" w:space="0" w:color="auto"/>
            </w:tcBorders>
          </w:tcPr>
          <w:p w14:paraId="78D6BACB" w14:textId="77777777" w:rsidR="00602606" w:rsidRDefault="00604AEE">
            <w:pPr>
              <w:widowControl w:val="0"/>
              <w:contextualSpacing/>
              <w:jc w:val="center"/>
              <w:outlineLvl w:val="0"/>
              <w:rPr>
                <w:rFonts w:asciiTheme="minorHAnsi" w:eastAsia="Calibri" w:hAnsiTheme="minorHAnsi" w:cstheme="minorBidi"/>
                <w:sz w:val="22"/>
                <w:szCs w:val="22"/>
                <w:lang w:val="lt-LT" w:eastAsia="en-US"/>
              </w:rPr>
            </w:pPr>
            <w:r>
              <w:rPr>
                <w:rFonts w:eastAsia="Calibri"/>
                <w:sz w:val="22"/>
                <w:szCs w:val="22"/>
              </w:rPr>
              <w:t>Nedažni</w:t>
            </w:r>
            <w:r>
              <w:rPr>
                <w:rFonts w:eastAsia="Calibri"/>
                <w:sz w:val="22"/>
                <w:szCs w:val="22"/>
                <w:vertAlign w:val="superscript"/>
              </w:rPr>
              <w:t>d</w:t>
            </w:r>
          </w:p>
        </w:tc>
        <w:tc>
          <w:tcPr>
            <w:tcW w:w="1701" w:type="dxa"/>
            <w:tcBorders>
              <w:top w:val="single" w:sz="4" w:space="0" w:color="auto"/>
              <w:left w:val="single" w:sz="4" w:space="0" w:color="auto"/>
              <w:bottom w:val="single" w:sz="4" w:space="0" w:color="auto"/>
              <w:right w:val="single" w:sz="4" w:space="0" w:color="auto"/>
            </w:tcBorders>
          </w:tcPr>
          <w:p w14:paraId="60C9025E" w14:textId="77777777" w:rsidR="00602606" w:rsidRDefault="00604AEE">
            <w:pPr>
              <w:widowControl w:val="0"/>
              <w:contextualSpacing/>
              <w:jc w:val="center"/>
              <w:outlineLvl w:val="0"/>
              <w:rPr>
                <w:rFonts w:eastAsia="Calibri"/>
                <w:sz w:val="22"/>
                <w:szCs w:val="22"/>
              </w:rPr>
            </w:pPr>
            <w:r>
              <w:rPr>
                <w:rFonts w:eastAsia="Calibri"/>
                <w:sz w:val="22"/>
                <w:szCs w:val="22"/>
              </w:rPr>
              <w:t>-</w:t>
            </w:r>
          </w:p>
        </w:tc>
      </w:tr>
      <w:tr w:rsidR="00602606" w14:paraId="78115A1C" w14:textId="77777777">
        <w:trPr>
          <w:trHeight w:val="495"/>
        </w:trPr>
        <w:tc>
          <w:tcPr>
            <w:tcW w:w="2093" w:type="dxa"/>
            <w:tcBorders>
              <w:top w:val="nil"/>
              <w:left w:val="single" w:sz="4" w:space="0" w:color="auto"/>
              <w:bottom w:val="single" w:sz="4" w:space="0" w:color="auto"/>
              <w:right w:val="single" w:sz="4" w:space="0" w:color="auto"/>
            </w:tcBorders>
          </w:tcPr>
          <w:p w14:paraId="58AD7EF5" w14:textId="77777777" w:rsidR="00602606" w:rsidRDefault="00602606">
            <w:pPr>
              <w:widowControl w:val="0"/>
              <w:contextualSpacing/>
              <w:outlineLvl w:val="0"/>
              <w:rPr>
                <w:rFonts w:eastAsia="Calibr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12EC5918"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Palpitacijos</w:t>
            </w:r>
          </w:p>
        </w:tc>
        <w:tc>
          <w:tcPr>
            <w:tcW w:w="1559" w:type="dxa"/>
            <w:tcBorders>
              <w:top w:val="single" w:sz="4" w:space="0" w:color="auto"/>
              <w:left w:val="single" w:sz="4" w:space="0" w:color="auto"/>
              <w:bottom w:val="single" w:sz="4" w:space="0" w:color="auto"/>
              <w:right w:val="single" w:sz="4" w:space="0" w:color="auto"/>
            </w:tcBorders>
          </w:tcPr>
          <w:p w14:paraId="1022AA44" w14:textId="77777777" w:rsidR="00602606" w:rsidRDefault="00604AEE">
            <w:pPr>
              <w:widowControl w:val="0"/>
              <w:contextualSpacing/>
              <w:jc w:val="center"/>
              <w:outlineLvl w:val="0"/>
              <w:rPr>
                <w:rFonts w:eastAsia="Calibri"/>
                <w:sz w:val="22"/>
                <w:szCs w:val="22"/>
              </w:rPr>
            </w:pPr>
            <w:r>
              <w:rPr>
                <w:rFonts w:eastAsia="Calibri"/>
                <w:sz w:val="22"/>
                <w:szCs w:val="22"/>
              </w:rPr>
              <w:t>-</w:t>
            </w:r>
          </w:p>
        </w:tc>
        <w:tc>
          <w:tcPr>
            <w:tcW w:w="1418" w:type="dxa"/>
            <w:tcBorders>
              <w:top w:val="single" w:sz="4" w:space="0" w:color="auto"/>
              <w:left w:val="single" w:sz="4" w:space="0" w:color="auto"/>
              <w:bottom w:val="single" w:sz="4" w:space="0" w:color="auto"/>
              <w:right w:val="single" w:sz="4" w:space="0" w:color="auto"/>
            </w:tcBorders>
          </w:tcPr>
          <w:p w14:paraId="1CEA9D31" w14:textId="77777777" w:rsidR="00602606" w:rsidRDefault="00604AEE">
            <w:pPr>
              <w:widowControl w:val="0"/>
              <w:contextualSpacing/>
              <w:jc w:val="center"/>
              <w:outlineLvl w:val="0"/>
              <w:rPr>
                <w:rFonts w:eastAsia="Calibri"/>
                <w:sz w:val="22"/>
                <w:szCs w:val="22"/>
              </w:rPr>
            </w:pPr>
            <w:r>
              <w:rPr>
                <w:rFonts w:eastAsia="Calibri"/>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6F9D13E6" w14:textId="77777777" w:rsidR="00602606" w:rsidRDefault="00604AEE">
            <w:pPr>
              <w:widowControl w:val="0"/>
              <w:contextualSpacing/>
              <w:jc w:val="center"/>
              <w:outlineLvl w:val="0"/>
              <w:rPr>
                <w:rFonts w:asciiTheme="minorHAnsi" w:eastAsia="Calibri" w:hAnsiTheme="minorHAnsi" w:cstheme="minorBidi"/>
                <w:sz w:val="22"/>
                <w:szCs w:val="22"/>
                <w:lang w:val="lt-LT" w:eastAsia="en-US"/>
              </w:rPr>
            </w:pPr>
            <w:r>
              <w:rPr>
                <w:rFonts w:eastAsia="Calibri"/>
                <w:sz w:val="22"/>
                <w:szCs w:val="22"/>
              </w:rPr>
              <w:t>Nedažni</w:t>
            </w:r>
          </w:p>
        </w:tc>
      </w:tr>
      <w:tr w:rsidR="00602606" w14:paraId="554D79E4" w14:textId="77777777">
        <w:tc>
          <w:tcPr>
            <w:tcW w:w="2093" w:type="dxa"/>
            <w:tcBorders>
              <w:top w:val="single" w:sz="4" w:space="0" w:color="auto"/>
              <w:left w:val="single" w:sz="4" w:space="0" w:color="auto"/>
              <w:bottom w:val="single" w:sz="4" w:space="0" w:color="auto"/>
              <w:right w:val="single" w:sz="4" w:space="0" w:color="auto"/>
            </w:tcBorders>
          </w:tcPr>
          <w:p w14:paraId="4CBAD23E" w14:textId="77777777" w:rsidR="00602606" w:rsidRDefault="00604AEE">
            <w:pPr>
              <w:widowControl w:val="0"/>
              <w:contextualSpacing/>
              <w:outlineLvl w:val="0"/>
              <w:rPr>
                <w:rFonts w:eastAsia="Calibri"/>
                <w:sz w:val="22"/>
                <w:szCs w:val="22"/>
              </w:rPr>
            </w:pPr>
            <w:r>
              <w:rPr>
                <w:rFonts w:eastAsia="Calibri"/>
                <w:sz w:val="22"/>
                <w:szCs w:val="22"/>
              </w:rPr>
              <w:t>Kraujagyslių sutrikimai</w:t>
            </w:r>
          </w:p>
        </w:tc>
        <w:tc>
          <w:tcPr>
            <w:tcW w:w="2268" w:type="dxa"/>
            <w:tcBorders>
              <w:top w:val="single" w:sz="4" w:space="0" w:color="auto"/>
              <w:left w:val="single" w:sz="4" w:space="0" w:color="auto"/>
              <w:bottom w:val="single" w:sz="4" w:space="0" w:color="auto"/>
              <w:right w:val="single" w:sz="4" w:space="0" w:color="auto"/>
            </w:tcBorders>
          </w:tcPr>
          <w:p w14:paraId="362067EB"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Ortostatinė hipotenzija</w:t>
            </w:r>
          </w:p>
        </w:tc>
        <w:tc>
          <w:tcPr>
            <w:tcW w:w="1559" w:type="dxa"/>
            <w:tcBorders>
              <w:top w:val="single" w:sz="4" w:space="0" w:color="auto"/>
              <w:left w:val="single" w:sz="4" w:space="0" w:color="auto"/>
              <w:bottom w:val="single" w:sz="4" w:space="0" w:color="auto"/>
              <w:right w:val="single" w:sz="4" w:space="0" w:color="auto"/>
            </w:tcBorders>
          </w:tcPr>
          <w:p w14:paraId="143F8295" w14:textId="77777777" w:rsidR="00602606" w:rsidRDefault="00604AEE">
            <w:pPr>
              <w:widowControl w:val="0"/>
              <w:contextualSpacing/>
              <w:jc w:val="center"/>
              <w:outlineLvl w:val="0"/>
              <w:rPr>
                <w:rFonts w:eastAsia="Calibri"/>
                <w:sz w:val="22"/>
                <w:szCs w:val="22"/>
              </w:rPr>
            </w:pPr>
            <w:r>
              <w:rPr>
                <w:rFonts w:eastAsia="Calibri"/>
                <w:sz w:val="22"/>
                <w:szCs w:val="22"/>
              </w:rPr>
              <w:t>-</w:t>
            </w:r>
          </w:p>
        </w:tc>
        <w:tc>
          <w:tcPr>
            <w:tcW w:w="1418" w:type="dxa"/>
            <w:tcBorders>
              <w:top w:val="single" w:sz="4" w:space="0" w:color="auto"/>
              <w:left w:val="single" w:sz="4" w:space="0" w:color="auto"/>
              <w:bottom w:val="single" w:sz="4" w:space="0" w:color="auto"/>
              <w:right w:val="single" w:sz="4" w:space="0" w:color="auto"/>
            </w:tcBorders>
          </w:tcPr>
          <w:p w14:paraId="63814A4B" w14:textId="77777777" w:rsidR="00602606" w:rsidRDefault="00604AEE">
            <w:pPr>
              <w:widowControl w:val="0"/>
              <w:contextualSpacing/>
              <w:jc w:val="center"/>
              <w:outlineLvl w:val="0"/>
              <w:rPr>
                <w:rFonts w:eastAsia="Calibri"/>
                <w:sz w:val="22"/>
                <w:szCs w:val="22"/>
              </w:rPr>
            </w:pPr>
            <w:r>
              <w:rPr>
                <w:rFonts w:eastAsia="Calibri"/>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720C19FA" w14:textId="77777777" w:rsidR="00602606" w:rsidRDefault="00604AEE">
            <w:pPr>
              <w:widowControl w:val="0"/>
              <w:contextualSpacing/>
              <w:jc w:val="center"/>
              <w:outlineLvl w:val="0"/>
              <w:rPr>
                <w:rFonts w:asciiTheme="minorHAnsi" w:eastAsia="Calibri" w:hAnsiTheme="minorHAnsi" w:cstheme="minorBidi"/>
                <w:sz w:val="22"/>
                <w:szCs w:val="22"/>
                <w:lang w:val="lt-LT" w:eastAsia="en-US"/>
              </w:rPr>
            </w:pPr>
            <w:r>
              <w:rPr>
                <w:rFonts w:eastAsia="Calibri"/>
                <w:sz w:val="22"/>
                <w:szCs w:val="22"/>
              </w:rPr>
              <w:t>Nedažni</w:t>
            </w:r>
          </w:p>
        </w:tc>
      </w:tr>
      <w:tr w:rsidR="00602606" w14:paraId="7811325B" w14:textId="77777777">
        <w:tc>
          <w:tcPr>
            <w:tcW w:w="2093" w:type="dxa"/>
            <w:tcBorders>
              <w:top w:val="single" w:sz="4" w:space="0" w:color="auto"/>
              <w:left w:val="single" w:sz="4" w:space="0" w:color="auto"/>
              <w:bottom w:val="single" w:sz="4" w:space="0" w:color="auto"/>
              <w:right w:val="single" w:sz="4" w:space="0" w:color="auto"/>
            </w:tcBorders>
          </w:tcPr>
          <w:p w14:paraId="1849F33A" w14:textId="77777777" w:rsidR="00602606" w:rsidRDefault="00604AEE">
            <w:pPr>
              <w:widowControl w:val="0"/>
              <w:contextualSpacing/>
              <w:outlineLvl w:val="0"/>
              <w:rPr>
                <w:rFonts w:eastAsia="Calibri"/>
                <w:sz w:val="22"/>
                <w:szCs w:val="22"/>
              </w:rPr>
            </w:pPr>
            <w:r>
              <w:rPr>
                <w:rFonts w:eastAsia="Calibri"/>
                <w:sz w:val="22"/>
                <w:szCs w:val="22"/>
              </w:rPr>
              <w:t>Kvėpavimo sistemos, krūtinės ląstos ir tarpuplaučio sutrikimai</w:t>
            </w:r>
          </w:p>
        </w:tc>
        <w:tc>
          <w:tcPr>
            <w:tcW w:w="2268" w:type="dxa"/>
            <w:tcBorders>
              <w:top w:val="single" w:sz="4" w:space="0" w:color="auto"/>
              <w:left w:val="single" w:sz="4" w:space="0" w:color="auto"/>
              <w:bottom w:val="single" w:sz="4" w:space="0" w:color="auto"/>
              <w:right w:val="single" w:sz="4" w:space="0" w:color="auto"/>
            </w:tcBorders>
          </w:tcPr>
          <w:p w14:paraId="6804B1EA"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Rinitas</w:t>
            </w:r>
          </w:p>
        </w:tc>
        <w:tc>
          <w:tcPr>
            <w:tcW w:w="1559" w:type="dxa"/>
            <w:tcBorders>
              <w:top w:val="single" w:sz="4" w:space="0" w:color="auto"/>
              <w:left w:val="single" w:sz="4" w:space="0" w:color="auto"/>
              <w:bottom w:val="single" w:sz="4" w:space="0" w:color="auto"/>
              <w:right w:val="single" w:sz="4" w:space="0" w:color="auto"/>
            </w:tcBorders>
          </w:tcPr>
          <w:p w14:paraId="172A408B" w14:textId="77777777" w:rsidR="00602606" w:rsidRDefault="00604AEE">
            <w:pPr>
              <w:widowControl w:val="0"/>
              <w:contextualSpacing/>
              <w:jc w:val="center"/>
              <w:outlineLvl w:val="0"/>
              <w:rPr>
                <w:rFonts w:eastAsia="Calibri"/>
                <w:sz w:val="22"/>
                <w:szCs w:val="22"/>
              </w:rPr>
            </w:pPr>
            <w:r>
              <w:rPr>
                <w:rFonts w:eastAsia="Calibri"/>
                <w:sz w:val="22"/>
                <w:szCs w:val="22"/>
              </w:rPr>
              <w:t>-</w:t>
            </w:r>
          </w:p>
        </w:tc>
        <w:tc>
          <w:tcPr>
            <w:tcW w:w="1418" w:type="dxa"/>
            <w:tcBorders>
              <w:top w:val="single" w:sz="4" w:space="0" w:color="auto"/>
              <w:left w:val="single" w:sz="4" w:space="0" w:color="auto"/>
              <w:bottom w:val="single" w:sz="4" w:space="0" w:color="auto"/>
              <w:right w:val="single" w:sz="4" w:space="0" w:color="auto"/>
            </w:tcBorders>
          </w:tcPr>
          <w:p w14:paraId="4AFAC280" w14:textId="77777777" w:rsidR="00602606" w:rsidRDefault="00604AEE">
            <w:pPr>
              <w:widowControl w:val="0"/>
              <w:contextualSpacing/>
              <w:jc w:val="center"/>
              <w:outlineLvl w:val="0"/>
              <w:rPr>
                <w:rFonts w:eastAsia="Calibri"/>
                <w:sz w:val="22"/>
                <w:szCs w:val="22"/>
              </w:rPr>
            </w:pPr>
            <w:r>
              <w:rPr>
                <w:rFonts w:eastAsia="Calibri"/>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11049693" w14:textId="77777777" w:rsidR="00602606" w:rsidRDefault="00604AEE">
            <w:pPr>
              <w:widowControl w:val="0"/>
              <w:contextualSpacing/>
              <w:jc w:val="center"/>
              <w:outlineLvl w:val="0"/>
              <w:rPr>
                <w:rFonts w:asciiTheme="minorHAnsi" w:eastAsia="Calibri" w:hAnsiTheme="minorHAnsi" w:cstheme="minorBidi"/>
                <w:sz w:val="22"/>
                <w:szCs w:val="22"/>
                <w:lang w:val="lt-LT" w:eastAsia="en-US"/>
              </w:rPr>
            </w:pPr>
            <w:r>
              <w:rPr>
                <w:rFonts w:eastAsia="Calibri"/>
                <w:sz w:val="22"/>
                <w:szCs w:val="22"/>
              </w:rPr>
              <w:t>Nedažni</w:t>
            </w:r>
          </w:p>
        </w:tc>
      </w:tr>
      <w:tr w:rsidR="00602606" w14:paraId="6F33D00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93" w:type="dxa"/>
            <w:vMerge w:val="restart"/>
            <w:tcBorders>
              <w:top w:val="single" w:sz="4" w:space="0" w:color="auto"/>
              <w:left w:val="single" w:sz="4" w:space="0" w:color="auto"/>
              <w:right w:val="single" w:sz="4" w:space="0" w:color="auto"/>
            </w:tcBorders>
          </w:tcPr>
          <w:p w14:paraId="46C5CCA9" w14:textId="77777777" w:rsidR="00602606" w:rsidRDefault="00604AEE">
            <w:pPr>
              <w:widowControl w:val="0"/>
              <w:contextualSpacing/>
              <w:outlineLvl w:val="0"/>
              <w:rPr>
                <w:rFonts w:eastAsia="Calibri"/>
                <w:sz w:val="22"/>
                <w:szCs w:val="22"/>
              </w:rPr>
            </w:pPr>
            <w:r>
              <w:rPr>
                <w:rFonts w:eastAsia="Calibri"/>
                <w:sz w:val="22"/>
                <w:szCs w:val="22"/>
              </w:rPr>
              <w:t>Virškinimo trakto sutrikimai</w:t>
            </w:r>
          </w:p>
        </w:tc>
        <w:tc>
          <w:tcPr>
            <w:tcW w:w="2268" w:type="dxa"/>
            <w:tcBorders>
              <w:top w:val="single" w:sz="4" w:space="0" w:color="auto"/>
              <w:left w:val="single" w:sz="4" w:space="0" w:color="auto"/>
              <w:bottom w:val="single" w:sz="4" w:space="0" w:color="auto"/>
              <w:right w:val="single" w:sz="4" w:space="0" w:color="auto"/>
            </w:tcBorders>
          </w:tcPr>
          <w:p w14:paraId="2D49561F"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Vidurių užkietėjimas</w:t>
            </w:r>
          </w:p>
        </w:tc>
        <w:tc>
          <w:tcPr>
            <w:tcW w:w="1559" w:type="dxa"/>
            <w:tcBorders>
              <w:top w:val="single" w:sz="4" w:space="0" w:color="auto"/>
              <w:left w:val="single" w:sz="4" w:space="0" w:color="auto"/>
              <w:bottom w:val="single" w:sz="4" w:space="0" w:color="auto"/>
              <w:right w:val="single" w:sz="4" w:space="0" w:color="auto"/>
            </w:tcBorders>
          </w:tcPr>
          <w:p w14:paraId="7179BE39" w14:textId="77777777" w:rsidR="00602606" w:rsidRDefault="00604AEE">
            <w:pPr>
              <w:widowControl w:val="0"/>
              <w:contextualSpacing/>
              <w:jc w:val="center"/>
              <w:outlineLvl w:val="0"/>
              <w:rPr>
                <w:rFonts w:eastAsia="Calibri"/>
                <w:sz w:val="22"/>
                <w:szCs w:val="22"/>
              </w:rPr>
            </w:pPr>
            <w:r>
              <w:rPr>
                <w:rFonts w:eastAsia="Calibri"/>
                <w:sz w:val="22"/>
                <w:szCs w:val="22"/>
              </w:rPr>
              <w:t>-</w:t>
            </w:r>
          </w:p>
        </w:tc>
        <w:tc>
          <w:tcPr>
            <w:tcW w:w="1418" w:type="dxa"/>
            <w:tcBorders>
              <w:top w:val="single" w:sz="4" w:space="0" w:color="auto"/>
              <w:left w:val="single" w:sz="4" w:space="0" w:color="auto"/>
              <w:bottom w:val="single" w:sz="4" w:space="0" w:color="auto"/>
              <w:right w:val="single" w:sz="4" w:space="0" w:color="auto"/>
            </w:tcBorders>
          </w:tcPr>
          <w:p w14:paraId="66837E2D" w14:textId="77777777" w:rsidR="00602606" w:rsidRDefault="00604AEE">
            <w:pPr>
              <w:widowControl w:val="0"/>
              <w:contextualSpacing/>
              <w:jc w:val="center"/>
              <w:outlineLvl w:val="0"/>
              <w:rPr>
                <w:rFonts w:eastAsia="Calibri"/>
                <w:sz w:val="22"/>
                <w:szCs w:val="22"/>
              </w:rPr>
            </w:pPr>
            <w:r>
              <w:rPr>
                <w:rFonts w:eastAsia="Calibri"/>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5D8C6CB9" w14:textId="77777777" w:rsidR="00602606" w:rsidRDefault="00604AEE">
            <w:pPr>
              <w:widowControl w:val="0"/>
              <w:contextualSpacing/>
              <w:jc w:val="center"/>
              <w:outlineLvl w:val="0"/>
              <w:rPr>
                <w:rFonts w:asciiTheme="minorHAnsi" w:eastAsia="Calibri" w:hAnsiTheme="minorHAnsi" w:cstheme="minorBidi"/>
                <w:sz w:val="22"/>
                <w:szCs w:val="22"/>
                <w:lang w:val="lt-LT" w:eastAsia="en-US"/>
              </w:rPr>
            </w:pPr>
            <w:r>
              <w:rPr>
                <w:rFonts w:eastAsia="Calibri"/>
                <w:sz w:val="22"/>
                <w:szCs w:val="22"/>
              </w:rPr>
              <w:t>Nedažni</w:t>
            </w:r>
          </w:p>
        </w:tc>
      </w:tr>
      <w:tr w:rsidR="00602606" w14:paraId="080699C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93" w:type="dxa"/>
            <w:vMerge/>
            <w:tcBorders>
              <w:left w:val="single" w:sz="4" w:space="0" w:color="auto"/>
              <w:right w:val="single" w:sz="4" w:space="0" w:color="auto"/>
            </w:tcBorders>
          </w:tcPr>
          <w:p w14:paraId="31C02F5A" w14:textId="77777777" w:rsidR="00602606" w:rsidRDefault="00602606">
            <w:pPr>
              <w:widowControl w:val="0"/>
              <w:contextualSpacing/>
              <w:outlineLvl w:val="0"/>
              <w:rPr>
                <w:rFonts w:eastAsia="Calibr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4E559F3"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Viduriavimas</w:t>
            </w:r>
          </w:p>
        </w:tc>
        <w:tc>
          <w:tcPr>
            <w:tcW w:w="1559" w:type="dxa"/>
            <w:tcBorders>
              <w:top w:val="single" w:sz="4" w:space="0" w:color="auto"/>
              <w:left w:val="single" w:sz="4" w:space="0" w:color="auto"/>
              <w:bottom w:val="single" w:sz="4" w:space="0" w:color="auto"/>
              <w:right w:val="single" w:sz="4" w:space="0" w:color="auto"/>
            </w:tcBorders>
          </w:tcPr>
          <w:p w14:paraId="5DB89957" w14:textId="77777777" w:rsidR="00602606" w:rsidRDefault="00604AEE">
            <w:pPr>
              <w:widowControl w:val="0"/>
              <w:contextualSpacing/>
              <w:jc w:val="center"/>
              <w:outlineLvl w:val="0"/>
              <w:rPr>
                <w:rFonts w:eastAsia="Calibri"/>
                <w:sz w:val="22"/>
                <w:szCs w:val="22"/>
              </w:rPr>
            </w:pPr>
            <w:r>
              <w:rPr>
                <w:rFonts w:eastAsia="Calibri"/>
                <w:sz w:val="22"/>
                <w:szCs w:val="22"/>
              </w:rPr>
              <w:t>-</w:t>
            </w:r>
          </w:p>
        </w:tc>
        <w:tc>
          <w:tcPr>
            <w:tcW w:w="1418" w:type="dxa"/>
            <w:tcBorders>
              <w:top w:val="single" w:sz="4" w:space="0" w:color="auto"/>
              <w:left w:val="single" w:sz="4" w:space="0" w:color="auto"/>
              <w:bottom w:val="single" w:sz="4" w:space="0" w:color="auto"/>
              <w:right w:val="single" w:sz="4" w:space="0" w:color="auto"/>
            </w:tcBorders>
          </w:tcPr>
          <w:p w14:paraId="0DDF8530" w14:textId="77777777" w:rsidR="00602606" w:rsidRDefault="00604AEE">
            <w:pPr>
              <w:widowControl w:val="0"/>
              <w:contextualSpacing/>
              <w:jc w:val="center"/>
              <w:outlineLvl w:val="0"/>
              <w:rPr>
                <w:rFonts w:eastAsia="Calibri"/>
                <w:sz w:val="22"/>
                <w:szCs w:val="22"/>
              </w:rPr>
            </w:pPr>
            <w:r>
              <w:rPr>
                <w:rFonts w:eastAsia="Calibri"/>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5305291A" w14:textId="77777777" w:rsidR="00602606" w:rsidRDefault="00604AEE">
            <w:pPr>
              <w:widowControl w:val="0"/>
              <w:contextualSpacing/>
              <w:jc w:val="center"/>
              <w:outlineLvl w:val="0"/>
              <w:rPr>
                <w:rFonts w:asciiTheme="minorHAnsi" w:eastAsia="Calibri" w:hAnsiTheme="minorHAnsi" w:cstheme="minorBidi"/>
                <w:sz w:val="22"/>
                <w:szCs w:val="22"/>
                <w:lang w:val="lt-LT" w:eastAsia="en-US"/>
              </w:rPr>
            </w:pPr>
            <w:r>
              <w:rPr>
                <w:rFonts w:eastAsia="Calibri"/>
                <w:sz w:val="22"/>
                <w:szCs w:val="22"/>
              </w:rPr>
              <w:t>Nedažni</w:t>
            </w:r>
          </w:p>
        </w:tc>
      </w:tr>
      <w:tr w:rsidR="00602606" w14:paraId="4557B8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93" w:type="dxa"/>
            <w:vMerge/>
            <w:tcBorders>
              <w:left w:val="single" w:sz="4" w:space="0" w:color="auto"/>
              <w:right w:val="single" w:sz="4" w:space="0" w:color="auto"/>
            </w:tcBorders>
          </w:tcPr>
          <w:p w14:paraId="0046E84D" w14:textId="77777777" w:rsidR="00602606" w:rsidRDefault="00602606">
            <w:pPr>
              <w:widowControl w:val="0"/>
              <w:contextualSpacing/>
              <w:outlineLvl w:val="0"/>
              <w:rPr>
                <w:rFonts w:eastAsia="Calibr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B4A867F"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Pykinimas</w:t>
            </w:r>
          </w:p>
        </w:tc>
        <w:tc>
          <w:tcPr>
            <w:tcW w:w="1559" w:type="dxa"/>
            <w:tcBorders>
              <w:top w:val="single" w:sz="4" w:space="0" w:color="auto"/>
              <w:left w:val="single" w:sz="4" w:space="0" w:color="auto"/>
              <w:bottom w:val="single" w:sz="4" w:space="0" w:color="auto"/>
              <w:right w:val="single" w:sz="4" w:space="0" w:color="auto"/>
            </w:tcBorders>
          </w:tcPr>
          <w:p w14:paraId="35169CA4" w14:textId="77777777" w:rsidR="00602606" w:rsidRDefault="00604AEE">
            <w:pPr>
              <w:widowControl w:val="0"/>
              <w:contextualSpacing/>
              <w:jc w:val="center"/>
              <w:outlineLvl w:val="0"/>
              <w:rPr>
                <w:rFonts w:eastAsia="Calibri"/>
                <w:sz w:val="22"/>
                <w:szCs w:val="22"/>
              </w:rPr>
            </w:pPr>
            <w:r>
              <w:rPr>
                <w:rFonts w:eastAsia="Calibri"/>
                <w:sz w:val="22"/>
                <w:szCs w:val="22"/>
              </w:rPr>
              <w:t>-</w:t>
            </w:r>
          </w:p>
        </w:tc>
        <w:tc>
          <w:tcPr>
            <w:tcW w:w="1418" w:type="dxa"/>
            <w:tcBorders>
              <w:top w:val="single" w:sz="4" w:space="0" w:color="auto"/>
              <w:left w:val="single" w:sz="4" w:space="0" w:color="auto"/>
              <w:bottom w:val="single" w:sz="4" w:space="0" w:color="auto"/>
              <w:right w:val="single" w:sz="4" w:space="0" w:color="auto"/>
            </w:tcBorders>
          </w:tcPr>
          <w:p w14:paraId="3F841406" w14:textId="77777777" w:rsidR="00602606" w:rsidRDefault="00604AEE">
            <w:pPr>
              <w:widowControl w:val="0"/>
              <w:contextualSpacing/>
              <w:jc w:val="center"/>
              <w:outlineLvl w:val="0"/>
              <w:rPr>
                <w:rFonts w:eastAsia="Calibri"/>
                <w:sz w:val="22"/>
                <w:szCs w:val="22"/>
              </w:rPr>
            </w:pPr>
            <w:r>
              <w:rPr>
                <w:rFonts w:eastAsia="Calibri"/>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4900F8DB" w14:textId="77777777" w:rsidR="00602606" w:rsidRDefault="00604AEE">
            <w:pPr>
              <w:widowControl w:val="0"/>
              <w:contextualSpacing/>
              <w:jc w:val="center"/>
              <w:outlineLvl w:val="0"/>
              <w:rPr>
                <w:rFonts w:asciiTheme="minorHAnsi" w:eastAsia="Calibri" w:hAnsiTheme="minorHAnsi" w:cstheme="minorBidi"/>
                <w:sz w:val="22"/>
                <w:szCs w:val="22"/>
                <w:lang w:val="lt-LT" w:eastAsia="en-US"/>
              </w:rPr>
            </w:pPr>
            <w:r>
              <w:rPr>
                <w:rFonts w:eastAsia="Calibri"/>
                <w:sz w:val="22"/>
                <w:szCs w:val="22"/>
              </w:rPr>
              <w:t>Nedažni</w:t>
            </w:r>
          </w:p>
        </w:tc>
      </w:tr>
      <w:tr w:rsidR="00602606" w14:paraId="46A3674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93" w:type="dxa"/>
            <w:vMerge/>
            <w:tcBorders>
              <w:left w:val="single" w:sz="4" w:space="0" w:color="auto"/>
              <w:bottom w:val="single" w:sz="4" w:space="0" w:color="auto"/>
              <w:right w:val="single" w:sz="4" w:space="0" w:color="auto"/>
            </w:tcBorders>
          </w:tcPr>
          <w:p w14:paraId="5157C417" w14:textId="77777777" w:rsidR="00602606" w:rsidRDefault="00602606">
            <w:pPr>
              <w:widowControl w:val="0"/>
              <w:contextualSpacing/>
              <w:outlineLvl w:val="0"/>
              <w:rPr>
                <w:rFonts w:eastAsia="Calibr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F0A897D"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Vėmimas</w:t>
            </w:r>
          </w:p>
        </w:tc>
        <w:tc>
          <w:tcPr>
            <w:tcW w:w="1559" w:type="dxa"/>
            <w:tcBorders>
              <w:top w:val="single" w:sz="4" w:space="0" w:color="auto"/>
              <w:left w:val="single" w:sz="4" w:space="0" w:color="auto"/>
              <w:bottom w:val="single" w:sz="4" w:space="0" w:color="auto"/>
              <w:right w:val="single" w:sz="4" w:space="0" w:color="auto"/>
            </w:tcBorders>
          </w:tcPr>
          <w:p w14:paraId="42493FCD" w14:textId="77777777" w:rsidR="00602606" w:rsidRDefault="00604AEE">
            <w:pPr>
              <w:widowControl w:val="0"/>
              <w:contextualSpacing/>
              <w:jc w:val="center"/>
              <w:outlineLvl w:val="0"/>
              <w:rPr>
                <w:rFonts w:eastAsia="Calibri"/>
                <w:sz w:val="22"/>
                <w:szCs w:val="22"/>
              </w:rPr>
            </w:pPr>
            <w:r>
              <w:rPr>
                <w:rFonts w:eastAsia="Calibri"/>
                <w:sz w:val="22"/>
                <w:szCs w:val="22"/>
              </w:rPr>
              <w:t>-</w:t>
            </w:r>
          </w:p>
        </w:tc>
        <w:tc>
          <w:tcPr>
            <w:tcW w:w="1418" w:type="dxa"/>
            <w:tcBorders>
              <w:top w:val="single" w:sz="4" w:space="0" w:color="auto"/>
              <w:left w:val="single" w:sz="4" w:space="0" w:color="auto"/>
              <w:bottom w:val="single" w:sz="4" w:space="0" w:color="auto"/>
              <w:right w:val="single" w:sz="4" w:space="0" w:color="auto"/>
            </w:tcBorders>
          </w:tcPr>
          <w:p w14:paraId="0F216894" w14:textId="77777777" w:rsidR="00602606" w:rsidRDefault="00604AEE">
            <w:pPr>
              <w:widowControl w:val="0"/>
              <w:contextualSpacing/>
              <w:jc w:val="center"/>
              <w:outlineLvl w:val="0"/>
              <w:rPr>
                <w:rFonts w:eastAsia="Calibri"/>
                <w:sz w:val="22"/>
                <w:szCs w:val="22"/>
              </w:rPr>
            </w:pPr>
            <w:r>
              <w:rPr>
                <w:rFonts w:eastAsia="Calibri"/>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0FB5A5B9" w14:textId="77777777" w:rsidR="00602606" w:rsidRDefault="00604AEE">
            <w:pPr>
              <w:widowControl w:val="0"/>
              <w:contextualSpacing/>
              <w:jc w:val="center"/>
              <w:outlineLvl w:val="0"/>
              <w:rPr>
                <w:rFonts w:asciiTheme="minorHAnsi" w:eastAsia="Calibri" w:hAnsiTheme="minorHAnsi" w:cstheme="minorBidi"/>
                <w:sz w:val="22"/>
                <w:szCs w:val="22"/>
                <w:lang w:val="lt-LT" w:eastAsia="en-US"/>
              </w:rPr>
            </w:pPr>
            <w:r>
              <w:rPr>
                <w:rFonts w:eastAsia="Calibri"/>
                <w:sz w:val="22"/>
                <w:szCs w:val="22"/>
              </w:rPr>
              <w:t>Nedažni</w:t>
            </w:r>
          </w:p>
        </w:tc>
      </w:tr>
      <w:tr w:rsidR="00602606" w14:paraId="7830721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93" w:type="dxa"/>
            <w:vMerge w:val="restart"/>
            <w:tcBorders>
              <w:top w:val="single" w:sz="4" w:space="0" w:color="auto"/>
              <w:left w:val="single" w:sz="4" w:space="0" w:color="auto"/>
              <w:right w:val="single" w:sz="4" w:space="0" w:color="auto"/>
            </w:tcBorders>
          </w:tcPr>
          <w:p w14:paraId="05BDC3B2" w14:textId="77777777" w:rsidR="00602606" w:rsidRDefault="00604AEE">
            <w:pPr>
              <w:widowControl w:val="0"/>
              <w:contextualSpacing/>
              <w:outlineLvl w:val="0"/>
              <w:rPr>
                <w:rFonts w:eastAsia="Calibri"/>
                <w:sz w:val="22"/>
                <w:szCs w:val="22"/>
              </w:rPr>
            </w:pPr>
            <w:r>
              <w:rPr>
                <w:rFonts w:eastAsia="Calibri"/>
                <w:sz w:val="22"/>
                <w:szCs w:val="22"/>
              </w:rPr>
              <w:t>Odos ir poodinio audinio sutrikimai</w:t>
            </w:r>
          </w:p>
        </w:tc>
        <w:tc>
          <w:tcPr>
            <w:tcW w:w="2268" w:type="dxa"/>
            <w:tcBorders>
              <w:top w:val="single" w:sz="4" w:space="0" w:color="auto"/>
              <w:left w:val="single" w:sz="4" w:space="0" w:color="auto"/>
              <w:bottom w:val="single" w:sz="4" w:space="0" w:color="auto"/>
              <w:right w:val="single" w:sz="4" w:space="0" w:color="auto"/>
            </w:tcBorders>
          </w:tcPr>
          <w:p w14:paraId="5C094048"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Angioneurozinė edema</w:t>
            </w:r>
          </w:p>
        </w:tc>
        <w:tc>
          <w:tcPr>
            <w:tcW w:w="1559" w:type="dxa"/>
            <w:tcBorders>
              <w:top w:val="single" w:sz="4" w:space="0" w:color="auto"/>
              <w:left w:val="single" w:sz="4" w:space="0" w:color="auto"/>
              <w:bottom w:val="single" w:sz="4" w:space="0" w:color="auto"/>
              <w:right w:val="single" w:sz="4" w:space="0" w:color="auto"/>
            </w:tcBorders>
          </w:tcPr>
          <w:p w14:paraId="69F3E1F8" w14:textId="77777777" w:rsidR="00602606" w:rsidRDefault="00604AEE">
            <w:pPr>
              <w:widowControl w:val="0"/>
              <w:contextualSpacing/>
              <w:jc w:val="center"/>
              <w:outlineLvl w:val="0"/>
              <w:rPr>
                <w:rFonts w:eastAsia="Calibri"/>
                <w:sz w:val="22"/>
                <w:szCs w:val="22"/>
              </w:rPr>
            </w:pPr>
            <w:r>
              <w:rPr>
                <w:rFonts w:eastAsia="Calibri"/>
                <w:sz w:val="22"/>
                <w:szCs w:val="22"/>
              </w:rPr>
              <w:t>-</w:t>
            </w:r>
          </w:p>
        </w:tc>
        <w:tc>
          <w:tcPr>
            <w:tcW w:w="1418" w:type="dxa"/>
            <w:tcBorders>
              <w:top w:val="single" w:sz="4" w:space="0" w:color="auto"/>
              <w:left w:val="single" w:sz="4" w:space="0" w:color="auto"/>
              <w:bottom w:val="single" w:sz="4" w:space="0" w:color="auto"/>
              <w:right w:val="single" w:sz="4" w:space="0" w:color="auto"/>
            </w:tcBorders>
          </w:tcPr>
          <w:p w14:paraId="4C30E2CD" w14:textId="77777777" w:rsidR="00602606" w:rsidRDefault="00604AEE">
            <w:pPr>
              <w:widowControl w:val="0"/>
              <w:contextualSpacing/>
              <w:jc w:val="center"/>
              <w:outlineLvl w:val="0"/>
              <w:rPr>
                <w:rFonts w:eastAsia="Calibri"/>
                <w:sz w:val="22"/>
                <w:szCs w:val="22"/>
              </w:rPr>
            </w:pPr>
            <w:r>
              <w:rPr>
                <w:rFonts w:eastAsia="Calibri"/>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0A79A80B" w14:textId="77777777" w:rsidR="00602606" w:rsidRDefault="00604AEE">
            <w:pPr>
              <w:widowControl w:val="0"/>
              <w:contextualSpacing/>
              <w:jc w:val="center"/>
              <w:outlineLvl w:val="0"/>
              <w:rPr>
                <w:rFonts w:asciiTheme="minorHAnsi" w:eastAsia="Calibri" w:hAnsiTheme="minorHAnsi" w:cstheme="minorBidi"/>
                <w:sz w:val="22"/>
                <w:szCs w:val="22"/>
                <w:lang w:val="lt-LT" w:eastAsia="en-US"/>
              </w:rPr>
            </w:pPr>
            <w:r>
              <w:rPr>
                <w:rFonts w:eastAsia="Calibri"/>
                <w:sz w:val="22"/>
                <w:szCs w:val="22"/>
              </w:rPr>
              <w:t>Reti</w:t>
            </w:r>
          </w:p>
        </w:tc>
      </w:tr>
      <w:tr w:rsidR="00602606" w14:paraId="06E6CF8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93" w:type="dxa"/>
            <w:vMerge/>
            <w:tcBorders>
              <w:left w:val="single" w:sz="4" w:space="0" w:color="auto"/>
              <w:right w:val="single" w:sz="4" w:space="0" w:color="auto"/>
            </w:tcBorders>
          </w:tcPr>
          <w:p w14:paraId="759653EA" w14:textId="77777777" w:rsidR="00602606" w:rsidRDefault="00602606">
            <w:pPr>
              <w:widowControl w:val="0"/>
              <w:contextualSpacing/>
              <w:outlineLvl w:val="0"/>
              <w:rPr>
                <w:rFonts w:eastAsia="Calibr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31E3D9B"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Stivenso-Džonsono (</w:t>
            </w:r>
            <w:r>
              <w:rPr>
                <w:rFonts w:eastAsia="Calibri"/>
                <w:i/>
                <w:sz w:val="22"/>
                <w:szCs w:val="22"/>
              </w:rPr>
              <w:t>Stevens-Johnson</w:t>
            </w:r>
            <w:r w:rsidRPr="001F276A">
              <w:rPr>
                <w:rFonts w:eastAsia="Calibri"/>
                <w:sz w:val="22"/>
              </w:rPr>
              <w:t>) sindromas</w:t>
            </w:r>
          </w:p>
        </w:tc>
        <w:tc>
          <w:tcPr>
            <w:tcW w:w="1559" w:type="dxa"/>
            <w:tcBorders>
              <w:top w:val="single" w:sz="4" w:space="0" w:color="auto"/>
              <w:left w:val="single" w:sz="4" w:space="0" w:color="auto"/>
              <w:bottom w:val="single" w:sz="4" w:space="0" w:color="auto"/>
              <w:right w:val="single" w:sz="4" w:space="0" w:color="auto"/>
            </w:tcBorders>
          </w:tcPr>
          <w:p w14:paraId="5A2E380D" w14:textId="77777777" w:rsidR="00602606" w:rsidRDefault="00604AEE">
            <w:pPr>
              <w:widowControl w:val="0"/>
              <w:contextualSpacing/>
              <w:jc w:val="center"/>
              <w:outlineLvl w:val="0"/>
              <w:rPr>
                <w:rFonts w:eastAsia="Calibri"/>
                <w:sz w:val="22"/>
                <w:szCs w:val="22"/>
              </w:rPr>
            </w:pPr>
            <w:r>
              <w:rPr>
                <w:rFonts w:eastAsia="Calibri"/>
                <w:sz w:val="22"/>
                <w:szCs w:val="22"/>
              </w:rPr>
              <w:t>-</w:t>
            </w:r>
          </w:p>
        </w:tc>
        <w:tc>
          <w:tcPr>
            <w:tcW w:w="1418" w:type="dxa"/>
            <w:tcBorders>
              <w:top w:val="single" w:sz="4" w:space="0" w:color="auto"/>
              <w:left w:val="single" w:sz="4" w:space="0" w:color="auto"/>
              <w:bottom w:val="single" w:sz="4" w:space="0" w:color="auto"/>
              <w:right w:val="single" w:sz="4" w:space="0" w:color="auto"/>
            </w:tcBorders>
          </w:tcPr>
          <w:p w14:paraId="3A293545" w14:textId="77777777" w:rsidR="00602606" w:rsidRDefault="00604AEE">
            <w:pPr>
              <w:widowControl w:val="0"/>
              <w:contextualSpacing/>
              <w:jc w:val="center"/>
              <w:outlineLvl w:val="0"/>
              <w:rPr>
                <w:rFonts w:eastAsia="Calibri"/>
                <w:sz w:val="22"/>
                <w:szCs w:val="22"/>
              </w:rPr>
            </w:pPr>
            <w:r>
              <w:rPr>
                <w:rFonts w:eastAsia="Calibri"/>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59ED7D25" w14:textId="77777777" w:rsidR="00602606" w:rsidRDefault="00604AEE">
            <w:pPr>
              <w:widowControl w:val="0"/>
              <w:contextualSpacing/>
              <w:jc w:val="center"/>
              <w:outlineLvl w:val="0"/>
              <w:rPr>
                <w:rFonts w:asciiTheme="minorHAnsi" w:eastAsia="Calibri" w:hAnsiTheme="minorHAnsi" w:cstheme="minorBidi"/>
                <w:sz w:val="22"/>
                <w:szCs w:val="22"/>
                <w:lang w:val="lt-LT" w:eastAsia="en-US"/>
              </w:rPr>
            </w:pPr>
            <w:r>
              <w:rPr>
                <w:rFonts w:eastAsia="Calibri"/>
                <w:sz w:val="22"/>
                <w:szCs w:val="22"/>
              </w:rPr>
              <w:t>Labai reti</w:t>
            </w:r>
          </w:p>
        </w:tc>
      </w:tr>
      <w:tr w:rsidR="00602606" w14:paraId="17C06FE8" w14:textId="77777777">
        <w:tc>
          <w:tcPr>
            <w:tcW w:w="2093" w:type="dxa"/>
            <w:vMerge/>
            <w:tcBorders>
              <w:left w:val="single" w:sz="4" w:space="0" w:color="auto"/>
              <w:right w:val="single" w:sz="4" w:space="0" w:color="auto"/>
            </w:tcBorders>
          </w:tcPr>
          <w:p w14:paraId="5FB54FA1" w14:textId="77777777" w:rsidR="00602606" w:rsidRDefault="00602606">
            <w:pPr>
              <w:widowControl w:val="0"/>
              <w:contextualSpacing/>
              <w:outlineLvl w:val="0"/>
              <w:rPr>
                <w:rFonts w:eastAsia="Calibr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9BCB38C"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Dilgėlinė</w:t>
            </w:r>
          </w:p>
        </w:tc>
        <w:tc>
          <w:tcPr>
            <w:tcW w:w="1559" w:type="dxa"/>
            <w:tcBorders>
              <w:top w:val="single" w:sz="4" w:space="0" w:color="auto"/>
              <w:left w:val="single" w:sz="4" w:space="0" w:color="auto"/>
              <w:bottom w:val="single" w:sz="4" w:space="0" w:color="auto"/>
              <w:right w:val="single" w:sz="4" w:space="0" w:color="auto"/>
            </w:tcBorders>
          </w:tcPr>
          <w:p w14:paraId="6740D674" w14:textId="77777777" w:rsidR="00602606" w:rsidRDefault="00604AEE">
            <w:pPr>
              <w:widowControl w:val="0"/>
              <w:contextualSpacing/>
              <w:jc w:val="center"/>
              <w:outlineLvl w:val="0"/>
              <w:rPr>
                <w:rFonts w:eastAsia="Calibri"/>
                <w:sz w:val="22"/>
                <w:szCs w:val="22"/>
              </w:rPr>
            </w:pPr>
            <w:r>
              <w:rPr>
                <w:rFonts w:eastAsia="Calibri"/>
                <w:sz w:val="22"/>
                <w:szCs w:val="22"/>
              </w:rPr>
              <w:t>-</w:t>
            </w:r>
          </w:p>
        </w:tc>
        <w:tc>
          <w:tcPr>
            <w:tcW w:w="1418" w:type="dxa"/>
            <w:tcBorders>
              <w:top w:val="single" w:sz="4" w:space="0" w:color="auto"/>
              <w:left w:val="single" w:sz="4" w:space="0" w:color="auto"/>
              <w:bottom w:val="single" w:sz="4" w:space="0" w:color="auto"/>
              <w:right w:val="single" w:sz="4" w:space="0" w:color="auto"/>
            </w:tcBorders>
          </w:tcPr>
          <w:p w14:paraId="3D6FFCC1" w14:textId="77777777" w:rsidR="00602606" w:rsidRDefault="00604AEE">
            <w:pPr>
              <w:widowControl w:val="0"/>
              <w:contextualSpacing/>
              <w:jc w:val="center"/>
              <w:outlineLvl w:val="0"/>
              <w:rPr>
                <w:rFonts w:eastAsia="Calibri"/>
                <w:sz w:val="22"/>
                <w:szCs w:val="22"/>
              </w:rPr>
            </w:pPr>
            <w:r>
              <w:rPr>
                <w:rFonts w:eastAsia="Calibri"/>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0C403F13" w14:textId="77777777" w:rsidR="00602606" w:rsidRDefault="00604AEE">
            <w:pPr>
              <w:widowControl w:val="0"/>
              <w:contextualSpacing/>
              <w:jc w:val="center"/>
              <w:outlineLvl w:val="0"/>
              <w:rPr>
                <w:rFonts w:asciiTheme="minorHAnsi" w:eastAsia="Calibri" w:hAnsiTheme="minorHAnsi" w:cstheme="minorBidi"/>
                <w:sz w:val="22"/>
                <w:szCs w:val="22"/>
                <w:lang w:val="lt-LT" w:eastAsia="en-US"/>
              </w:rPr>
            </w:pPr>
            <w:r>
              <w:rPr>
                <w:rFonts w:eastAsia="Calibri"/>
                <w:sz w:val="22"/>
                <w:szCs w:val="22"/>
              </w:rPr>
              <w:t>Nedažni</w:t>
            </w:r>
          </w:p>
        </w:tc>
      </w:tr>
      <w:tr w:rsidR="00602606" w14:paraId="5F12F9CC" w14:textId="77777777">
        <w:tc>
          <w:tcPr>
            <w:tcW w:w="2093" w:type="dxa"/>
            <w:vMerge/>
            <w:tcBorders>
              <w:left w:val="single" w:sz="4" w:space="0" w:color="auto"/>
              <w:right w:val="single" w:sz="4" w:space="0" w:color="auto"/>
            </w:tcBorders>
          </w:tcPr>
          <w:p w14:paraId="4C91CD01" w14:textId="77777777" w:rsidR="00602606" w:rsidRDefault="00602606">
            <w:pPr>
              <w:widowControl w:val="0"/>
              <w:contextualSpacing/>
              <w:outlineLvl w:val="0"/>
              <w:rPr>
                <w:rFonts w:eastAsia="Calibr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10728246"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Išbėrimas</w:t>
            </w:r>
          </w:p>
        </w:tc>
        <w:tc>
          <w:tcPr>
            <w:tcW w:w="1559" w:type="dxa"/>
            <w:tcBorders>
              <w:top w:val="single" w:sz="4" w:space="0" w:color="auto"/>
              <w:left w:val="single" w:sz="4" w:space="0" w:color="auto"/>
              <w:bottom w:val="single" w:sz="4" w:space="0" w:color="auto"/>
              <w:right w:val="single" w:sz="4" w:space="0" w:color="auto"/>
            </w:tcBorders>
          </w:tcPr>
          <w:p w14:paraId="13FC61EB" w14:textId="77777777" w:rsidR="00602606" w:rsidRDefault="00604AEE">
            <w:pPr>
              <w:widowControl w:val="0"/>
              <w:contextualSpacing/>
              <w:jc w:val="center"/>
              <w:outlineLvl w:val="0"/>
              <w:rPr>
                <w:rFonts w:eastAsia="Calibri"/>
                <w:sz w:val="22"/>
                <w:szCs w:val="22"/>
              </w:rPr>
            </w:pPr>
            <w:r>
              <w:rPr>
                <w:rFonts w:eastAsia="Calibri"/>
                <w:sz w:val="22"/>
                <w:szCs w:val="22"/>
              </w:rPr>
              <w:t>-</w:t>
            </w:r>
          </w:p>
        </w:tc>
        <w:tc>
          <w:tcPr>
            <w:tcW w:w="1418" w:type="dxa"/>
            <w:tcBorders>
              <w:top w:val="single" w:sz="4" w:space="0" w:color="auto"/>
              <w:left w:val="single" w:sz="4" w:space="0" w:color="auto"/>
              <w:bottom w:val="single" w:sz="4" w:space="0" w:color="auto"/>
              <w:right w:val="single" w:sz="4" w:space="0" w:color="auto"/>
            </w:tcBorders>
          </w:tcPr>
          <w:p w14:paraId="54452779" w14:textId="77777777" w:rsidR="00602606" w:rsidRDefault="00604AEE">
            <w:pPr>
              <w:widowControl w:val="0"/>
              <w:contextualSpacing/>
              <w:jc w:val="center"/>
              <w:outlineLvl w:val="0"/>
              <w:rPr>
                <w:rFonts w:eastAsia="Calibri"/>
                <w:sz w:val="22"/>
                <w:szCs w:val="22"/>
              </w:rPr>
            </w:pPr>
            <w:r>
              <w:rPr>
                <w:rFonts w:eastAsia="Calibri"/>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7C082226" w14:textId="77777777" w:rsidR="00602606" w:rsidRDefault="00604AEE">
            <w:pPr>
              <w:widowControl w:val="0"/>
              <w:contextualSpacing/>
              <w:jc w:val="center"/>
              <w:outlineLvl w:val="0"/>
              <w:rPr>
                <w:rFonts w:asciiTheme="minorHAnsi" w:eastAsia="Calibri" w:hAnsiTheme="minorHAnsi" w:cstheme="minorBidi"/>
                <w:sz w:val="22"/>
                <w:szCs w:val="22"/>
                <w:lang w:val="lt-LT" w:eastAsia="en-US"/>
              </w:rPr>
            </w:pPr>
            <w:r>
              <w:rPr>
                <w:rFonts w:eastAsia="Calibri"/>
                <w:sz w:val="22"/>
                <w:szCs w:val="22"/>
              </w:rPr>
              <w:t>Nedažni</w:t>
            </w:r>
          </w:p>
        </w:tc>
      </w:tr>
      <w:tr w:rsidR="00602606" w14:paraId="7566CF0D" w14:textId="77777777">
        <w:tc>
          <w:tcPr>
            <w:tcW w:w="2093" w:type="dxa"/>
            <w:vMerge/>
            <w:tcBorders>
              <w:left w:val="single" w:sz="4" w:space="0" w:color="auto"/>
              <w:bottom w:val="single" w:sz="4" w:space="0" w:color="auto"/>
              <w:right w:val="single" w:sz="4" w:space="0" w:color="auto"/>
            </w:tcBorders>
          </w:tcPr>
          <w:p w14:paraId="7605F9D2" w14:textId="77777777" w:rsidR="00602606" w:rsidRDefault="00602606">
            <w:pPr>
              <w:widowControl w:val="0"/>
              <w:contextualSpacing/>
              <w:outlineLvl w:val="0"/>
              <w:rPr>
                <w:rFonts w:eastAsia="Calibr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E4DF103"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Niežėjimas</w:t>
            </w:r>
          </w:p>
        </w:tc>
        <w:tc>
          <w:tcPr>
            <w:tcW w:w="1559" w:type="dxa"/>
            <w:tcBorders>
              <w:top w:val="single" w:sz="4" w:space="0" w:color="auto"/>
              <w:left w:val="single" w:sz="4" w:space="0" w:color="auto"/>
              <w:bottom w:val="single" w:sz="4" w:space="0" w:color="auto"/>
              <w:right w:val="single" w:sz="4" w:space="0" w:color="auto"/>
            </w:tcBorders>
          </w:tcPr>
          <w:p w14:paraId="6F23E684" w14:textId="77777777" w:rsidR="00602606" w:rsidRDefault="00604AEE">
            <w:pPr>
              <w:widowControl w:val="0"/>
              <w:contextualSpacing/>
              <w:jc w:val="center"/>
              <w:outlineLvl w:val="0"/>
              <w:rPr>
                <w:rFonts w:eastAsia="Calibri"/>
                <w:sz w:val="22"/>
                <w:szCs w:val="22"/>
              </w:rPr>
            </w:pPr>
            <w:r>
              <w:rPr>
                <w:rFonts w:eastAsia="Calibri"/>
                <w:sz w:val="22"/>
                <w:szCs w:val="22"/>
              </w:rPr>
              <w:t>-</w:t>
            </w:r>
          </w:p>
        </w:tc>
        <w:tc>
          <w:tcPr>
            <w:tcW w:w="1418" w:type="dxa"/>
            <w:tcBorders>
              <w:top w:val="single" w:sz="4" w:space="0" w:color="auto"/>
              <w:left w:val="single" w:sz="4" w:space="0" w:color="auto"/>
              <w:bottom w:val="single" w:sz="4" w:space="0" w:color="auto"/>
              <w:right w:val="single" w:sz="4" w:space="0" w:color="auto"/>
            </w:tcBorders>
          </w:tcPr>
          <w:p w14:paraId="4F4F3B68" w14:textId="77777777" w:rsidR="00602606" w:rsidRDefault="00604AEE">
            <w:pPr>
              <w:widowControl w:val="0"/>
              <w:contextualSpacing/>
              <w:jc w:val="center"/>
              <w:outlineLvl w:val="0"/>
              <w:rPr>
                <w:rFonts w:eastAsia="Calibri"/>
                <w:sz w:val="22"/>
                <w:szCs w:val="22"/>
              </w:rPr>
            </w:pPr>
            <w:r>
              <w:rPr>
                <w:rFonts w:eastAsia="Calibri"/>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2DA6DC86" w14:textId="77777777" w:rsidR="00602606" w:rsidRDefault="00604AEE">
            <w:pPr>
              <w:widowControl w:val="0"/>
              <w:contextualSpacing/>
              <w:jc w:val="center"/>
              <w:outlineLvl w:val="0"/>
              <w:rPr>
                <w:rFonts w:asciiTheme="minorHAnsi" w:eastAsia="Calibri" w:hAnsiTheme="minorHAnsi" w:cstheme="minorBidi"/>
                <w:sz w:val="22"/>
                <w:szCs w:val="22"/>
                <w:lang w:val="lt-LT" w:eastAsia="en-US"/>
              </w:rPr>
            </w:pPr>
            <w:r>
              <w:rPr>
                <w:rFonts w:eastAsia="Calibri"/>
                <w:sz w:val="22"/>
                <w:szCs w:val="22"/>
              </w:rPr>
              <w:t>Nedažni</w:t>
            </w:r>
          </w:p>
        </w:tc>
      </w:tr>
      <w:tr w:rsidR="00602606" w14:paraId="2EBD6EF9" w14:textId="77777777">
        <w:trPr>
          <w:trHeight w:val="231"/>
        </w:trPr>
        <w:tc>
          <w:tcPr>
            <w:tcW w:w="2093" w:type="dxa"/>
            <w:vMerge w:val="restart"/>
            <w:tcBorders>
              <w:top w:val="single" w:sz="4" w:space="0" w:color="auto"/>
              <w:left w:val="single" w:sz="4" w:space="0" w:color="auto"/>
              <w:right w:val="single" w:sz="4" w:space="0" w:color="auto"/>
            </w:tcBorders>
          </w:tcPr>
          <w:p w14:paraId="042225C7" w14:textId="77777777" w:rsidR="00602606" w:rsidRDefault="00604AEE">
            <w:pPr>
              <w:widowControl w:val="0"/>
              <w:contextualSpacing/>
              <w:outlineLvl w:val="0"/>
              <w:rPr>
                <w:rFonts w:eastAsia="Calibri"/>
                <w:sz w:val="22"/>
                <w:szCs w:val="22"/>
              </w:rPr>
            </w:pPr>
            <w:r>
              <w:rPr>
                <w:rFonts w:eastAsia="Calibri"/>
                <w:sz w:val="22"/>
                <w:szCs w:val="22"/>
              </w:rPr>
              <w:t>Lytinės sistemos ir krūties sutrikimai</w:t>
            </w:r>
          </w:p>
        </w:tc>
        <w:tc>
          <w:tcPr>
            <w:tcW w:w="2268" w:type="dxa"/>
            <w:tcBorders>
              <w:top w:val="single" w:sz="4" w:space="0" w:color="auto"/>
              <w:left w:val="single" w:sz="4" w:space="0" w:color="auto"/>
              <w:bottom w:val="single" w:sz="4" w:space="0" w:color="auto"/>
              <w:right w:val="single" w:sz="4" w:space="0" w:color="auto"/>
            </w:tcBorders>
          </w:tcPr>
          <w:p w14:paraId="2D10071B"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Priapizmas</w:t>
            </w:r>
          </w:p>
        </w:tc>
        <w:tc>
          <w:tcPr>
            <w:tcW w:w="1559" w:type="dxa"/>
            <w:tcBorders>
              <w:top w:val="single" w:sz="4" w:space="0" w:color="auto"/>
              <w:left w:val="single" w:sz="4" w:space="0" w:color="auto"/>
              <w:bottom w:val="single" w:sz="4" w:space="0" w:color="auto"/>
              <w:right w:val="single" w:sz="4" w:space="0" w:color="auto"/>
            </w:tcBorders>
          </w:tcPr>
          <w:p w14:paraId="5AED590B" w14:textId="77777777" w:rsidR="00602606" w:rsidRDefault="00604AEE">
            <w:pPr>
              <w:widowControl w:val="0"/>
              <w:contextualSpacing/>
              <w:jc w:val="center"/>
              <w:outlineLvl w:val="0"/>
              <w:rPr>
                <w:rFonts w:eastAsia="Calibri"/>
                <w:sz w:val="22"/>
                <w:szCs w:val="22"/>
              </w:rPr>
            </w:pPr>
            <w:r>
              <w:rPr>
                <w:rFonts w:eastAsia="Calibri"/>
                <w:sz w:val="22"/>
                <w:szCs w:val="22"/>
              </w:rPr>
              <w:t>-</w:t>
            </w:r>
          </w:p>
        </w:tc>
        <w:tc>
          <w:tcPr>
            <w:tcW w:w="1418" w:type="dxa"/>
            <w:tcBorders>
              <w:top w:val="single" w:sz="4" w:space="0" w:color="auto"/>
              <w:left w:val="single" w:sz="4" w:space="0" w:color="auto"/>
              <w:bottom w:val="single" w:sz="4" w:space="0" w:color="auto"/>
              <w:right w:val="single" w:sz="4" w:space="0" w:color="auto"/>
            </w:tcBorders>
          </w:tcPr>
          <w:p w14:paraId="5E7DEAB6" w14:textId="77777777" w:rsidR="00602606" w:rsidRDefault="00604AEE">
            <w:pPr>
              <w:widowControl w:val="0"/>
              <w:contextualSpacing/>
              <w:jc w:val="center"/>
              <w:outlineLvl w:val="0"/>
              <w:rPr>
                <w:rFonts w:eastAsia="Calibri"/>
                <w:sz w:val="22"/>
                <w:szCs w:val="22"/>
              </w:rPr>
            </w:pPr>
            <w:r>
              <w:rPr>
                <w:rFonts w:eastAsia="Calibri"/>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1FA241A7" w14:textId="77777777" w:rsidR="00602606" w:rsidRDefault="00604AEE">
            <w:pPr>
              <w:widowControl w:val="0"/>
              <w:contextualSpacing/>
              <w:jc w:val="center"/>
              <w:outlineLvl w:val="0"/>
              <w:rPr>
                <w:rFonts w:asciiTheme="minorHAnsi" w:eastAsia="Calibri" w:hAnsiTheme="minorHAnsi" w:cstheme="minorBidi"/>
                <w:sz w:val="22"/>
                <w:szCs w:val="22"/>
                <w:lang w:val="lt-LT" w:eastAsia="en-US"/>
              </w:rPr>
            </w:pPr>
            <w:r>
              <w:rPr>
                <w:rFonts w:eastAsia="Calibri"/>
                <w:sz w:val="22"/>
                <w:szCs w:val="22"/>
              </w:rPr>
              <w:t>Labai reti</w:t>
            </w:r>
          </w:p>
        </w:tc>
      </w:tr>
      <w:tr w:rsidR="00602606" w14:paraId="391E4BFA" w14:textId="77777777">
        <w:tc>
          <w:tcPr>
            <w:tcW w:w="2093" w:type="dxa"/>
            <w:vMerge/>
            <w:tcBorders>
              <w:left w:val="single" w:sz="4" w:space="0" w:color="auto"/>
              <w:right w:val="single" w:sz="4" w:space="0" w:color="auto"/>
            </w:tcBorders>
          </w:tcPr>
          <w:p w14:paraId="34570EFD" w14:textId="77777777" w:rsidR="00602606" w:rsidRDefault="00602606">
            <w:pPr>
              <w:widowControl w:val="0"/>
              <w:contextualSpacing/>
              <w:outlineLvl w:val="0"/>
              <w:rPr>
                <w:rFonts w:eastAsia="Calibr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0AE6D329"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Impotencija</w:t>
            </w:r>
            <w:r w:rsidRPr="001F276A">
              <w:rPr>
                <w:rFonts w:eastAsia="Calibri"/>
                <w:sz w:val="22"/>
                <w:vertAlign w:val="superscript"/>
              </w:rPr>
              <w:t>3</w:t>
            </w:r>
          </w:p>
        </w:tc>
        <w:tc>
          <w:tcPr>
            <w:tcW w:w="1559" w:type="dxa"/>
            <w:tcBorders>
              <w:top w:val="single" w:sz="4" w:space="0" w:color="auto"/>
              <w:left w:val="single" w:sz="4" w:space="0" w:color="auto"/>
              <w:bottom w:val="single" w:sz="4" w:space="0" w:color="auto"/>
              <w:right w:val="single" w:sz="4" w:space="0" w:color="auto"/>
            </w:tcBorders>
          </w:tcPr>
          <w:p w14:paraId="543F77CD" w14:textId="77777777" w:rsidR="00602606" w:rsidRDefault="00604AEE">
            <w:pPr>
              <w:widowControl w:val="0"/>
              <w:contextualSpacing/>
              <w:jc w:val="center"/>
              <w:outlineLvl w:val="0"/>
              <w:rPr>
                <w:rFonts w:asciiTheme="minorHAnsi" w:eastAsia="Calibri" w:hAnsiTheme="minorHAnsi" w:cstheme="minorBidi"/>
                <w:sz w:val="22"/>
                <w:szCs w:val="22"/>
                <w:lang w:val="lt-LT" w:eastAsia="en-US"/>
              </w:rPr>
            </w:pPr>
            <w:r>
              <w:rPr>
                <w:rFonts w:eastAsia="Calibri"/>
                <w:sz w:val="22"/>
                <w:szCs w:val="22"/>
              </w:rPr>
              <w:t>Dažni</w:t>
            </w:r>
          </w:p>
        </w:tc>
        <w:tc>
          <w:tcPr>
            <w:tcW w:w="1418" w:type="dxa"/>
            <w:tcBorders>
              <w:top w:val="single" w:sz="4" w:space="0" w:color="auto"/>
              <w:left w:val="single" w:sz="4" w:space="0" w:color="auto"/>
              <w:bottom w:val="single" w:sz="4" w:space="0" w:color="auto"/>
              <w:right w:val="single" w:sz="4" w:space="0" w:color="auto"/>
            </w:tcBorders>
          </w:tcPr>
          <w:p w14:paraId="21E3DE3F" w14:textId="77777777" w:rsidR="00602606" w:rsidRDefault="00604AEE">
            <w:pPr>
              <w:widowControl w:val="0"/>
              <w:contextualSpacing/>
              <w:jc w:val="center"/>
              <w:outlineLvl w:val="0"/>
              <w:rPr>
                <w:rFonts w:asciiTheme="minorHAnsi" w:eastAsia="Calibri" w:hAnsiTheme="minorHAnsi" w:cstheme="minorBidi"/>
                <w:sz w:val="22"/>
                <w:szCs w:val="22"/>
                <w:lang w:val="lt-LT" w:eastAsia="en-US"/>
              </w:rPr>
            </w:pPr>
            <w:r>
              <w:rPr>
                <w:rFonts w:eastAsia="Calibri"/>
                <w:sz w:val="22"/>
                <w:szCs w:val="22"/>
              </w:rPr>
              <w:t>Dažni</w:t>
            </w:r>
            <w:r>
              <w:rPr>
                <w:rFonts w:eastAsia="Calibri"/>
                <w:sz w:val="22"/>
                <w:szCs w:val="22"/>
                <w:vertAlign w:val="superscript"/>
              </w:rPr>
              <w:t>b</w:t>
            </w:r>
          </w:p>
        </w:tc>
        <w:tc>
          <w:tcPr>
            <w:tcW w:w="1701" w:type="dxa"/>
            <w:tcBorders>
              <w:top w:val="single" w:sz="4" w:space="0" w:color="auto"/>
              <w:left w:val="single" w:sz="4" w:space="0" w:color="auto"/>
              <w:bottom w:val="single" w:sz="4" w:space="0" w:color="auto"/>
              <w:right w:val="single" w:sz="4" w:space="0" w:color="auto"/>
            </w:tcBorders>
          </w:tcPr>
          <w:p w14:paraId="3DD1EA82" w14:textId="77777777" w:rsidR="00602606" w:rsidRDefault="00604AEE">
            <w:pPr>
              <w:widowControl w:val="0"/>
              <w:contextualSpacing/>
              <w:jc w:val="center"/>
              <w:outlineLvl w:val="0"/>
              <w:rPr>
                <w:rFonts w:eastAsia="Calibri"/>
                <w:sz w:val="22"/>
                <w:szCs w:val="22"/>
              </w:rPr>
            </w:pPr>
            <w:r>
              <w:rPr>
                <w:rFonts w:eastAsia="Calibri"/>
                <w:sz w:val="22"/>
                <w:szCs w:val="22"/>
              </w:rPr>
              <w:t>-</w:t>
            </w:r>
          </w:p>
        </w:tc>
      </w:tr>
      <w:tr w:rsidR="00602606" w14:paraId="065D420D" w14:textId="77777777">
        <w:tc>
          <w:tcPr>
            <w:tcW w:w="2093" w:type="dxa"/>
            <w:vMerge/>
            <w:tcBorders>
              <w:left w:val="single" w:sz="4" w:space="0" w:color="auto"/>
              <w:right w:val="single" w:sz="4" w:space="0" w:color="auto"/>
            </w:tcBorders>
          </w:tcPr>
          <w:p w14:paraId="5A558BFD" w14:textId="77777777" w:rsidR="00602606" w:rsidRDefault="00602606">
            <w:pPr>
              <w:widowControl w:val="0"/>
              <w:contextualSpacing/>
              <w:outlineLvl w:val="0"/>
              <w:rPr>
                <w:rFonts w:eastAsia="Calibr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1EE83E68"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Lytinio potraukio pokytis (susilpnėjimas)</w:t>
            </w:r>
            <w:r>
              <w:rPr>
                <w:rFonts w:eastAsia="Calibri"/>
                <w:sz w:val="22"/>
                <w:szCs w:val="22"/>
                <w:vertAlign w:val="superscript"/>
              </w:rPr>
              <w:t>3</w:t>
            </w:r>
          </w:p>
        </w:tc>
        <w:tc>
          <w:tcPr>
            <w:tcW w:w="1559" w:type="dxa"/>
            <w:tcBorders>
              <w:top w:val="single" w:sz="4" w:space="0" w:color="auto"/>
              <w:left w:val="single" w:sz="4" w:space="0" w:color="auto"/>
              <w:bottom w:val="single" w:sz="4" w:space="0" w:color="auto"/>
              <w:right w:val="single" w:sz="4" w:space="0" w:color="auto"/>
            </w:tcBorders>
          </w:tcPr>
          <w:p w14:paraId="4EAED8EC" w14:textId="77777777" w:rsidR="00602606" w:rsidRDefault="00604AEE">
            <w:pPr>
              <w:widowControl w:val="0"/>
              <w:contextualSpacing/>
              <w:jc w:val="center"/>
              <w:outlineLvl w:val="0"/>
              <w:rPr>
                <w:rFonts w:asciiTheme="minorHAnsi" w:eastAsia="Calibri" w:hAnsiTheme="minorHAnsi" w:cstheme="minorBidi"/>
                <w:sz w:val="22"/>
                <w:szCs w:val="22"/>
                <w:lang w:val="lt-LT" w:eastAsia="en-US"/>
              </w:rPr>
            </w:pPr>
            <w:r>
              <w:rPr>
                <w:rFonts w:eastAsia="Calibri"/>
                <w:sz w:val="22"/>
                <w:szCs w:val="22"/>
              </w:rPr>
              <w:t>Dažni</w:t>
            </w:r>
          </w:p>
        </w:tc>
        <w:tc>
          <w:tcPr>
            <w:tcW w:w="1418" w:type="dxa"/>
            <w:tcBorders>
              <w:top w:val="single" w:sz="4" w:space="0" w:color="auto"/>
              <w:left w:val="single" w:sz="4" w:space="0" w:color="auto"/>
              <w:bottom w:val="single" w:sz="4" w:space="0" w:color="auto"/>
              <w:right w:val="single" w:sz="4" w:space="0" w:color="auto"/>
            </w:tcBorders>
          </w:tcPr>
          <w:p w14:paraId="24C4B7F8" w14:textId="77777777" w:rsidR="00602606" w:rsidRDefault="00604AEE">
            <w:pPr>
              <w:widowControl w:val="0"/>
              <w:contextualSpacing/>
              <w:jc w:val="center"/>
              <w:outlineLvl w:val="0"/>
              <w:rPr>
                <w:rFonts w:asciiTheme="minorHAnsi" w:eastAsia="Calibri" w:hAnsiTheme="minorHAnsi" w:cstheme="minorBidi"/>
                <w:sz w:val="22"/>
                <w:szCs w:val="22"/>
                <w:lang w:val="lt-LT" w:eastAsia="en-US"/>
              </w:rPr>
            </w:pPr>
            <w:r>
              <w:rPr>
                <w:rFonts w:eastAsia="Calibri"/>
                <w:sz w:val="22"/>
                <w:szCs w:val="22"/>
              </w:rPr>
              <w:t>Dažni</w:t>
            </w:r>
            <w:r>
              <w:rPr>
                <w:rFonts w:eastAsia="Calibri"/>
                <w:sz w:val="22"/>
                <w:szCs w:val="22"/>
                <w:vertAlign w:val="superscript"/>
              </w:rPr>
              <w:t>b</w:t>
            </w:r>
          </w:p>
        </w:tc>
        <w:tc>
          <w:tcPr>
            <w:tcW w:w="1701" w:type="dxa"/>
            <w:tcBorders>
              <w:top w:val="single" w:sz="4" w:space="0" w:color="auto"/>
              <w:left w:val="single" w:sz="4" w:space="0" w:color="auto"/>
              <w:bottom w:val="single" w:sz="4" w:space="0" w:color="auto"/>
              <w:right w:val="single" w:sz="4" w:space="0" w:color="auto"/>
            </w:tcBorders>
          </w:tcPr>
          <w:p w14:paraId="29D25D97" w14:textId="77777777" w:rsidR="00602606" w:rsidRDefault="00604AEE">
            <w:pPr>
              <w:widowControl w:val="0"/>
              <w:contextualSpacing/>
              <w:jc w:val="center"/>
              <w:outlineLvl w:val="0"/>
              <w:rPr>
                <w:rFonts w:eastAsia="Calibri"/>
                <w:sz w:val="22"/>
                <w:szCs w:val="22"/>
              </w:rPr>
            </w:pPr>
            <w:r>
              <w:rPr>
                <w:rFonts w:eastAsia="Calibri"/>
                <w:sz w:val="22"/>
                <w:szCs w:val="22"/>
              </w:rPr>
              <w:t>-</w:t>
            </w:r>
          </w:p>
        </w:tc>
      </w:tr>
      <w:tr w:rsidR="00602606" w14:paraId="01A0C13C" w14:textId="77777777">
        <w:tc>
          <w:tcPr>
            <w:tcW w:w="2093" w:type="dxa"/>
            <w:vMerge/>
            <w:tcBorders>
              <w:left w:val="single" w:sz="4" w:space="0" w:color="auto"/>
              <w:right w:val="single" w:sz="4" w:space="0" w:color="auto"/>
            </w:tcBorders>
          </w:tcPr>
          <w:p w14:paraId="42BB982E" w14:textId="77777777" w:rsidR="00602606" w:rsidRDefault="00602606">
            <w:pPr>
              <w:widowControl w:val="0"/>
              <w:contextualSpacing/>
              <w:outlineLvl w:val="0"/>
              <w:rPr>
                <w:rFonts w:eastAsia="Calibr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1CA040A"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Ejakuliacijos sutrikimai</w:t>
            </w:r>
            <w:r>
              <w:rPr>
                <w:rFonts w:eastAsia="Calibri"/>
                <w:sz w:val="22"/>
                <w:szCs w:val="22"/>
                <w:vertAlign w:val="superscript"/>
              </w:rPr>
              <w:t>3^</w:t>
            </w:r>
          </w:p>
        </w:tc>
        <w:tc>
          <w:tcPr>
            <w:tcW w:w="1559" w:type="dxa"/>
            <w:tcBorders>
              <w:top w:val="single" w:sz="4" w:space="0" w:color="auto"/>
              <w:left w:val="single" w:sz="4" w:space="0" w:color="auto"/>
              <w:bottom w:val="single" w:sz="4" w:space="0" w:color="auto"/>
              <w:right w:val="single" w:sz="4" w:space="0" w:color="auto"/>
            </w:tcBorders>
          </w:tcPr>
          <w:p w14:paraId="2E09B99E" w14:textId="77777777" w:rsidR="00602606" w:rsidRDefault="00604AEE">
            <w:pPr>
              <w:widowControl w:val="0"/>
              <w:contextualSpacing/>
              <w:jc w:val="center"/>
              <w:outlineLvl w:val="0"/>
              <w:rPr>
                <w:rFonts w:asciiTheme="minorHAnsi" w:eastAsia="Calibri" w:hAnsiTheme="minorHAnsi" w:cstheme="minorBidi"/>
                <w:sz w:val="22"/>
                <w:szCs w:val="22"/>
                <w:lang w:val="lt-LT" w:eastAsia="en-US"/>
              </w:rPr>
            </w:pPr>
            <w:r>
              <w:rPr>
                <w:rFonts w:eastAsia="Calibri"/>
                <w:sz w:val="22"/>
                <w:szCs w:val="22"/>
              </w:rPr>
              <w:t>Dažni</w:t>
            </w:r>
          </w:p>
        </w:tc>
        <w:tc>
          <w:tcPr>
            <w:tcW w:w="1418" w:type="dxa"/>
            <w:tcBorders>
              <w:top w:val="single" w:sz="4" w:space="0" w:color="auto"/>
              <w:left w:val="single" w:sz="4" w:space="0" w:color="auto"/>
              <w:bottom w:val="single" w:sz="4" w:space="0" w:color="auto"/>
              <w:right w:val="single" w:sz="4" w:space="0" w:color="auto"/>
            </w:tcBorders>
          </w:tcPr>
          <w:p w14:paraId="4622AEE6" w14:textId="77777777" w:rsidR="00602606" w:rsidRDefault="00604AEE">
            <w:pPr>
              <w:widowControl w:val="0"/>
              <w:contextualSpacing/>
              <w:jc w:val="center"/>
              <w:outlineLvl w:val="0"/>
              <w:rPr>
                <w:rFonts w:asciiTheme="minorHAnsi" w:eastAsia="Calibri" w:hAnsiTheme="minorHAnsi" w:cstheme="minorBidi"/>
                <w:sz w:val="22"/>
                <w:szCs w:val="22"/>
                <w:lang w:val="lt-LT" w:eastAsia="en-US"/>
              </w:rPr>
            </w:pPr>
            <w:r>
              <w:rPr>
                <w:rFonts w:eastAsia="Calibri"/>
                <w:sz w:val="22"/>
                <w:szCs w:val="22"/>
              </w:rPr>
              <w:t>Dažni</w:t>
            </w:r>
            <w:r>
              <w:rPr>
                <w:rFonts w:eastAsia="Calibri"/>
                <w:sz w:val="22"/>
                <w:szCs w:val="22"/>
                <w:vertAlign w:val="superscript"/>
              </w:rPr>
              <w:t>b</w:t>
            </w:r>
          </w:p>
        </w:tc>
        <w:tc>
          <w:tcPr>
            <w:tcW w:w="1701" w:type="dxa"/>
            <w:tcBorders>
              <w:top w:val="single" w:sz="4" w:space="0" w:color="auto"/>
              <w:left w:val="single" w:sz="4" w:space="0" w:color="auto"/>
              <w:bottom w:val="single" w:sz="4" w:space="0" w:color="auto"/>
              <w:right w:val="single" w:sz="4" w:space="0" w:color="auto"/>
            </w:tcBorders>
          </w:tcPr>
          <w:p w14:paraId="3B9C98DA" w14:textId="77777777" w:rsidR="00602606" w:rsidRDefault="00604AEE">
            <w:pPr>
              <w:widowControl w:val="0"/>
              <w:contextualSpacing/>
              <w:jc w:val="center"/>
              <w:outlineLvl w:val="0"/>
              <w:rPr>
                <w:rFonts w:asciiTheme="minorHAnsi" w:eastAsia="Calibri" w:hAnsiTheme="minorHAnsi" w:cstheme="minorBidi"/>
                <w:sz w:val="22"/>
                <w:szCs w:val="22"/>
                <w:lang w:val="lt-LT" w:eastAsia="en-US"/>
              </w:rPr>
            </w:pPr>
            <w:r>
              <w:rPr>
                <w:rFonts w:eastAsia="Calibri"/>
                <w:sz w:val="22"/>
                <w:szCs w:val="22"/>
              </w:rPr>
              <w:t>Dažni</w:t>
            </w:r>
          </w:p>
        </w:tc>
      </w:tr>
      <w:tr w:rsidR="00602606" w14:paraId="76975DD5" w14:textId="77777777">
        <w:tc>
          <w:tcPr>
            <w:tcW w:w="2093" w:type="dxa"/>
            <w:vMerge/>
            <w:tcBorders>
              <w:left w:val="single" w:sz="4" w:space="0" w:color="auto"/>
              <w:bottom w:val="single" w:sz="4" w:space="0" w:color="auto"/>
              <w:right w:val="single" w:sz="4" w:space="0" w:color="auto"/>
            </w:tcBorders>
          </w:tcPr>
          <w:p w14:paraId="0F21CCB4" w14:textId="77777777" w:rsidR="00602606" w:rsidRDefault="00602606">
            <w:pPr>
              <w:widowControl w:val="0"/>
              <w:contextualSpacing/>
              <w:outlineLvl w:val="0"/>
              <w:rPr>
                <w:rFonts w:eastAsia="Calibr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1EB6C7D2"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Krūtų sutrikimai</w:t>
            </w:r>
            <w:r>
              <w:rPr>
                <w:rFonts w:eastAsia="Calibri"/>
                <w:sz w:val="22"/>
                <w:szCs w:val="22"/>
                <w:vertAlign w:val="superscript"/>
              </w:rPr>
              <w:t>2</w:t>
            </w:r>
          </w:p>
        </w:tc>
        <w:tc>
          <w:tcPr>
            <w:tcW w:w="1559" w:type="dxa"/>
            <w:tcBorders>
              <w:top w:val="single" w:sz="4" w:space="0" w:color="auto"/>
              <w:left w:val="single" w:sz="4" w:space="0" w:color="auto"/>
              <w:bottom w:val="single" w:sz="4" w:space="0" w:color="auto"/>
              <w:right w:val="single" w:sz="4" w:space="0" w:color="auto"/>
            </w:tcBorders>
          </w:tcPr>
          <w:p w14:paraId="651C8BA1" w14:textId="77777777" w:rsidR="00602606" w:rsidRDefault="00604AEE">
            <w:pPr>
              <w:widowControl w:val="0"/>
              <w:contextualSpacing/>
              <w:jc w:val="center"/>
              <w:outlineLvl w:val="0"/>
              <w:rPr>
                <w:rFonts w:asciiTheme="minorHAnsi" w:eastAsia="Calibri" w:hAnsiTheme="minorHAnsi" w:cstheme="minorBidi"/>
                <w:sz w:val="22"/>
                <w:szCs w:val="22"/>
                <w:lang w:val="lt-LT" w:eastAsia="en-US"/>
              </w:rPr>
            </w:pPr>
            <w:r>
              <w:rPr>
                <w:rFonts w:eastAsia="Calibri"/>
                <w:sz w:val="22"/>
                <w:szCs w:val="22"/>
              </w:rPr>
              <w:t>Dažni</w:t>
            </w:r>
          </w:p>
        </w:tc>
        <w:tc>
          <w:tcPr>
            <w:tcW w:w="1418" w:type="dxa"/>
            <w:tcBorders>
              <w:top w:val="single" w:sz="4" w:space="0" w:color="auto"/>
              <w:left w:val="single" w:sz="4" w:space="0" w:color="auto"/>
              <w:bottom w:val="single" w:sz="4" w:space="0" w:color="auto"/>
              <w:right w:val="single" w:sz="4" w:space="0" w:color="auto"/>
            </w:tcBorders>
          </w:tcPr>
          <w:p w14:paraId="13259ADC" w14:textId="77777777" w:rsidR="00602606" w:rsidRDefault="00604AEE">
            <w:pPr>
              <w:widowControl w:val="0"/>
              <w:contextualSpacing/>
              <w:jc w:val="center"/>
              <w:outlineLvl w:val="0"/>
              <w:rPr>
                <w:rFonts w:asciiTheme="minorHAnsi" w:eastAsia="Calibri" w:hAnsiTheme="minorHAnsi" w:cstheme="minorBidi"/>
                <w:sz w:val="22"/>
                <w:szCs w:val="22"/>
                <w:lang w:val="lt-LT" w:eastAsia="en-US"/>
              </w:rPr>
            </w:pPr>
            <w:r>
              <w:rPr>
                <w:rFonts w:eastAsia="Calibri"/>
                <w:sz w:val="22"/>
                <w:szCs w:val="22"/>
              </w:rPr>
              <w:t>Dažni</w:t>
            </w:r>
            <w:r>
              <w:rPr>
                <w:rFonts w:eastAsia="Calibri"/>
                <w:sz w:val="22"/>
                <w:szCs w:val="22"/>
                <w:vertAlign w:val="superscript"/>
              </w:rPr>
              <w:t>b</w:t>
            </w:r>
          </w:p>
        </w:tc>
        <w:tc>
          <w:tcPr>
            <w:tcW w:w="1701" w:type="dxa"/>
            <w:tcBorders>
              <w:top w:val="single" w:sz="4" w:space="0" w:color="auto"/>
              <w:left w:val="single" w:sz="4" w:space="0" w:color="auto"/>
              <w:bottom w:val="single" w:sz="4" w:space="0" w:color="auto"/>
              <w:right w:val="single" w:sz="4" w:space="0" w:color="auto"/>
            </w:tcBorders>
          </w:tcPr>
          <w:p w14:paraId="24B2B35B" w14:textId="77777777" w:rsidR="00602606" w:rsidRDefault="00604AEE">
            <w:pPr>
              <w:widowControl w:val="0"/>
              <w:contextualSpacing/>
              <w:jc w:val="center"/>
              <w:outlineLvl w:val="0"/>
              <w:rPr>
                <w:rFonts w:eastAsia="Calibri"/>
                <w:sz w:val="22"/>
                <w:szCs w:val="22"/>
              </w:rPr>
            </w:pPr>
            <w:r>
              <w:rPr>
                <w:rFonts w:eastAsia="Calibri"/>
                <w:sz w:val="22"/>
                <w:szCs w:val="22"/>
              </w:rPr>
              <w:t>-</w:t>
            </w:r>
          </w:p>
        </w:tc>
      </w:tr>
      <w:tr w:rsidR="00602606" w14:paraId="7A5F09D9" w14:textId="77777777">
        <w:tc>
          <w:tcPr>
            <w:tcW w:w="2093" w:type="dxa"/>
            <w:tcBorders>
              <w:top w:val="single" w:sz="4" w:space="0" w:color="auto"/>
              <w:left w:val="single" w:sz="4" w:space="0" w:color="auto"/>
              <w:bottom w:val="single" w:sz="4" w:space="0" w:color="auto"/>
              <w:right w:val="single" w:sz="4" w:space="0" w:color="auto"/>
            </w:tcBorders>
          </w:tcPr>
          <w:p w14:paraId="27F7A1ED" w14:textId="77777777" w:rsidR="00602606" w:rsidRDefault="00604AEE">
            <w:pPr>
              <w:widowControl w:val="0"/>
              <w:contextualSpacing/>
              <w:outlineLvl w:val="0"/>
              <w:rPr>
                <w:rFonts w:eastAsia="Calibri"/>
                <w:sz w:val="22"/>
                <w:szCs w:val="22"/>
              </w:rPr>
            </w:pPr>
            <w:r>
              <w:rPr>
                <w:rFonts w:eastAsia="Calibri"/>
                <w:sz w:val="22"/>
                <w:szCs w:val="22"/>
              </w:rPr>
              <w:t>Bendrieji sutrikimai ir vartojimo vietos pažeidimai</w:t>
            </w:r>
          </w:p>
        </w:tc>
        <w:tc>
          <w:tcPr>
            <w:tcW w:w="2268" w:type="dxa"/>
            <w:tcBorders>
              <w:top w:val="single" w:sz="4" w:space="0" w:color="auto"/>
              <w:left w:val="single" w:sz="4" w:space="0" w:color="auto"/>
              <w:bottom w:val="single" w:sz="4" w:space="0" w:color="auto"/>
              <w:right w:val="single" w:sz="4" w:space="0" w:color="auto"/>
            </w:tcBorders>
          </w:tcPr>
          <w:p w14:paraId="620BCA27"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Astenija</w:t>
            </w:r>
          </w:p>
        </w:tc>
        <w:tc>
          <w:tcPr>
            <w:tcW w:w="1559" w:type="dxa"/>
            <w:tcBorders>
              <w:top w:val="single" w:sz="4" w:space="0" w:color="auto"/>
              <w:left w:val="single" w:sz="4" w:space="0" w:color="auto"/>
              <w:bottom w:val="single" w:sz="4" w:space="0" w:color="auto"/>
              <w:right w:val="single" w:sz="4" w:space="0" w:color="auto"/>
            </w:tcBorders>
          </w:tcPr>
          <w:p w14:paraId="795717D3" w14:textId="77777777" w:rsidR="00602606" w:rsidRDefault="00604AEE">
            <w:pPr>
              <w:widowControl w:val="0"/>
              <w:contextualSpacing/>
              <w:jc w:val="center"/>
              <w:outlineLvl w:val="0"/>
              <w:rPr>
                <w:rFonts w:eastAsia="Calibri"/>
                <w:sz w:val="22"/>
                <w:szCs w:val="22"/>
              </w:rPr>
            </w:pPr>
            <w:r>
              <w:rPr>
                <w:rFonts w:eastAsia="Calibri"/>
                <w:sz w:val="22"/>
                <w:szCs w:val="22"/>
              </w:rPr>
              <w:t>-</w:t>
            </w:r>
          </w:p>
        </w:tc>
        <w:tc>
          <w:tcPr>
            <w:tcW w:w="1418" w:type="dxa"/>
            <w:tcBorders>
              <w:top w:val="single" w:sz="4" w:space="0" w:color="auto"/>
              <w:left w:val="single" w:sz="4" w:space="0" w:color="auto"/>
              <w:bottom w:val="single" w:sz="4" w:space="0" w:color="auto"/>
              <w:right w:val="single" w:sz="4" w:space="0" w:color="auto"/>
            </w:tcBorders>
          </w:tcPr>
          <w:p w14:paraId="1D39FBCE" w14:textId="77777777" w:rsidR="00602606" w:rsidRDefault="00604AEE">
            <w:pPr>
              <w:widowControl w:val="0"/>
              <w:contextualSpacing/>
              <w:jc w:val="center"/>
              <w:outlineLvl w:val="0"/>
              <w:rPr>
                <w:rFonts w:eastAsia="Calibri"/>
                <w:sz w:val="22"/>
                <w:szCs w:val="22"/>
              </w:rPr>
            </w:pPr>
            <w:r>
              <w:rPr>
                <w:rFonts w:eastAsia="Calibri"/>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547DD4F1" w14:textId="77777777" w:rsidR="00602606" w:rsidRDefault="00604AEE">
            <w:pPr>
              <w:widowControl w:val="0"/>
              <w:contextualSpacing/>
              <w:jc w:val="center"/>
              <w:outlineLvl w:val="0"/>
              <w:rPr>
                <w:rFonts w:asciiTheme="minorHAnsi" w:eastAsia="Calibri" w:hAnsiTheme="minorHAnsi" w:cstheme="minorBidi"/>
                <w:sz w:val="22"/>
                <w:szCs w:val="22"/>
                <w:lang w:val="lt-LT" w:eastAsia="en-US"/>
              </w:rPr>
            </w:pPr>
            <w:r>
              <w:rPr>
                <w:rFonts w:eastAsia="Calibri"/>
                <w:sz w:val="22"/>
                <w:szCs w:val="22"/>
              </w:rPr>
              <w:t>Nedažni</w:t>
            </w:r>
          </w:p>
        </w:tc>
      </w:tr>
    </w:tbl>
    <w:p w14:paraId="2B09C40B" w14:textId="77777777" w:rsidR="00602606" w:rsidRDefault="00604AEE">
      <w:pPr>
        <w:widowControl w:val="0"/>
        <w:ind w:left="284" w:hanging="284"/>
        <w:contextualSpacing/>
        <w:outlineLvl w:val="0"/>
        <w:rPr>
          <w:rFonts w:eastAsia="Calibri"/>
          <w:sz w:val="22"/>
          <w:szCs w:val="22"/>
        </w:rPr>
      </w:pPr>
      <w:r>
        <w:rPr>
          <w:rFonts w:eastAsia="Calibri"/>
          <w:sz w:val="22"/>
          <w:szCs w:val="22"/>
          <w:vertAlign w:val="superscript"/>
        </w:rPr>
        <w:t>a</w:t>
      </w:r>
      <w:r>
        <w:rPr>
          <w:rFonts w:eastAsia="Calibri"/>
          <w:sz w:val="22"/>
          <w:szCs w:val="22"/>
        </w:rPr>
        <w:tab/>
        <w:t>Dutasteridas + ta</w:t>
      </w:r>
      <w:r w:rsidRPr="001F276A">
        <w:rPr>
          <w:rFonts w:eastAsia="Calibri"/>
          <w:sz w:val="22"/>
        </w:rPr>
        <w:t>msulozinas. Remiantis CombAT tyrimo duomenimis: šių nepageidaujamų reiškinių dažnis mažėja gydymo metu (nuo pirmųjų iki ketvirtųjų gydymo metų).</w:t>
      </w:r>
    </w:p>
    <w:p w14:paraId="30B2975D" w14:textId="77777777" w:rsidR="00602606" w:rsidRDefault="00604AEE">
      <w:pPr>
        <w:widowControl w:val="0"/>
        <w:ind w:left="284" w:hanging="284"/>
        <w:contextualSpacing/>
        <w:outlineLvl w:val="0"/>
        <w:rPr>
          <w:rFonts w:eastAsia="Calibri"/>
          <w:sz w:val="22"/>
          <w:szCs w:val="22"/>
        </w:rPr>
      </w:pPr>
      <w:r>
        <w:rPr>
          <w:rFonts w:eastAsia="Calibri"/>
          <w:sz w:val="22"/>
          <w:szCs w:val="22"/>
          <w:vertAlign w:val="superscript"/>
        </w:rPr>
        <w:t>b</w:t>
      </w:r>
      <w:r>
        <w:rPr>
          <w:rFonts w:eastAsia="Calibri"/>
          <w:sz w:val="22"/>
          <w:szCs w:val="22"/>
        </w:rPr>
        <w:tab/>
        <w:t>Dutasteridas. Remiantis GPH monoterapijos klinikinių tyrimų duomenimis.</w:t>
      </w:r>
    </w:p>
    <w:p w14:paraId="4E659B8F" w14:textId="77777777" w:rsidR="00602606" w:rsidRDefault="00604AEE">
      <w:pPr>
        <w:widowControl w:val="0"/>
        <w:ind w:left="284" w:hanging="284"/>
        <w:contextualSpacing/>
        <w:outlineLvl w:val="0"/>
        <w:rPr>
          <w:rFonts w:eastAsia="Calibri"/>
          <w:sz w:val="22"/>
          <w:szCs w:val="22"/>
        </w:rPr>
      </w:pPr>
      <w:r>
        <w:rPr>
          <w:rFonts w:eastAsia="Calibri"/>
          <w:sz w:val="22"/>
          <w:szCs w:val="22"/>
          <w:vertAlign w:val="superscript"/>
        </w:rPr>
        <w:t>c</w:t>
      </w:r>
      <w:r>
        <w:rPr>
          <w:rFonts w:eastAsia="Calibri"/>
          <w:sz w:val="22"/>
          <w:szCs w:val="22"/>
        </w:rPr>
        <w:tab/>
        <w:t>Tamsulozinas. Remiantis tamsulozino</w:t>
      </w:r>
      <w:r w:rsidRPr="001F276A">
        <w:rPr>
          <w:rFonts w:eastAsia="Calibri"/>
          <w:sz w:val="22"/>
        </w:rPr>
        <w:t xml:space="preserve"> ES pagrindiniais saugumo duomenimis.</w:t>
      </w:r>
    </w:p>
    <w:p w14:paraId="2B0D8F72" w14:textId="77777777" w:rsidR="00602606" w:rsidRDefault="00604AEE">
      <w:pPr>
        <w:widowControl w:val="0"/>
        <w:ind w:left="284" w:hanging="284"/>
        <w:contextualSpacing/>
        <w:outlineLvl w:val="0"/>
        <w:rPr>
          <w:rFonts w:eastAsia="Calibri"/>
          <w:sz w:val="22"/>
          <w:szCs w:val="22"/>
        </w:rPr>
      </w:pPr>
      <w:r>
        <w:rPr>
          <w:rFonts w:eastAsia="Calibri"/>
          <w:sz w:val="22"/>
          <w:szCs w:val="22"/>
          <w:vertAlign w:val="superscript"/>
        </w:rPr>
        <w:t>d</w:t>
      </w:r>
      <w:r>
        <w:rPr>
          <w:rFonts w:eastAsia="Calibri"/>
          <w:sz w:val="22"/>
          <w:szCs w:val="22"/>
        </w:rPr>
        <w:tab/>
        <w:t>REDUCE tyrimas (žr. 5.1 skyrių).</w:t>
      </w:r>
    </w:p>
    <w:p w14:paraId="4244E1BB" w14:textId="77777777" w:rsidR="00602606" w:rsidRDefault="00604AEE">
      <w:pPr>
        <w:widowControl w:val="0"/>
        <w:ind w:left="284" w:hanging="284"/>
        <w:contextualSpacing/>
        <w:outlineLvl w:val="0"/>
        <w:rPr>
          <w:rFonts w:eastAsia="Calibri"/>
          <w:sz w:val="22"/>
          <w:szCs w:val="22"/>
        </w:rPr>
      </w:pPr>
      <w:r>
        <w:rPr>
          <w:rFonts w:eastAsia="Calibri"/>
          <w:sz w:val="22"/>
          <w:szCs w:val="22"/>
          <w:vertAlign w:val="superscript"/>
        </w:rPr>
        <w:t>1</w:t>
      </w:r>
      <w:r>
        <w:rPr>
          <w:rFonts w:eastAsia="Calibri"/>
          <w:sz w:val="22"/>
          <w:szCs w:val="22"/>
        </w:rPr>
        <w:tab/>
        <w:t>Bendra širdies nepakankamumo sąvoka apima stazinį širdies nepakankamumą, širdies nepakankamumą, kairiojo skilvelio nepakankamumą, ūminį širdies nepakankamumą, kardiogeninį šoką, ūmi</w:t>
      </w:r>
      <w:r w:rsidRPr="001F276A">
        <w:rPr>
          <w:rFonts w:eastAsia="Calibri"/>
          <w:sz w:val="22"/>
        </w:rPr>
        <w:t>nį kairiojo skilvelio nepakankamumą, dešiniojo skilvelio nepakankamumą, ūminį dešiniojo skilvelio nepakankamumą, skilvelių nepakankamumą, širdies ir plaučių nepakankamumą, kongestinę (stazinę)</w:t>
      </w:r>
      <w:r>
        <w:rPr>
          <w:rFonts w:eastAsia="Calibri"/>
          <w:sz w:val="22"/>
          <w:szCs w:val="22"/>
        </w:rPr>
        <w:t xml:space="preserve"> kardiomiopatiją.</w:t>
      </w:r>
    </w:p>
    <w:p w14:paraId="67948A30" w14:textId="77777777" w:rsidR="00602606" w:rsidRDefault="00604AEE">
      <w:pPr>
        <w:widowControl w:val="0"/>
        <w:ind w:left="284" w:hanging="284"/>
        <w:contextualSpacing/>
        <w:outlineLvl w:val="0"/>
        <w:rPr>
          <w:rFonts w:eastAsia="Calibri"/>
          <w:sz w:val="22"/>
          <w:szCs w:val="22"/>
        </w:rPr>
      </w:pPr>
      <w:r>
        <w:rPr>
          <w:rFonts w:eastAsia="Calibri"/>
          <w:sz w:val="22"/>
          <w:szCs w:val="22"/>
          <w:vertAlign w:val="superscript"/>
        </w:rPr>
        <w:t>2</w:t>
      </w:r>
      <w:r>
        <w:rPr>
          <w:rFonts w:eastAsia="Calibri"/>
          <w:sz w:val="22"/>
          <w:szCs w:val="22"/>
        </w:rPr>
        <w:tab/>
        <w:t xml:space="preserve">Apima krūtų </w:t>
      </w:r>
      <w:r w:rsidRPr="001F276A">
        <w:rPr>
          <w:rFonts w:eastAsia="Calibri"/>
          <w:sz w:val="22"/>
        </w:rPr>
        <w:t>jautrumą ir krūtų padidėjimą.</w:t>
      </w:r>
    </w:p>
    <w:p w14:paraId="488649AD" w14:textId="77777777" w:rsidR="00602606" w:rsidRDefault="00604AEE">
      <w:pPr>
        <w:widowControl w:val="0"/>
        <w:ind w:left="284" w:hanging="284"/>
        <w:contextualSpacing/>
        <w:outlineLvl w:val="0"/>
        <w:rPr>
          <w:rFonts w:eastAsia="Calibri"/>
          <w:sz w:val="22"/>
          <w:szCs w:val="22"/>
        </w:rPr>
      </w:pPr>
      <w:r>
        <w:rPr>
          <w:rFonts w:eastAsia="Calibri"/>
          <w:sz w:val="22"/>
          <w:szCs w:val="22"/>
          <w:vertAlign w:val="superscript"/>
        </w:rPr>
        <w:t>3</w:t>
      </w:r>
      <w:r>
        <w:rPr>
          <w:rFonts w:eastAsia="Calibri"/>
          <w:sz w:val="22"/>
          <w:szCs w:val="22"/>
        </w:rPr>
        <w:tab/>
        <w:t xml:space="preserve">Šie lytinės funkcijos nepageidaujami reiškiniai yra susiję su gydymu dutasteridu (įskaitant monoterapiją ir gydymą, vartojant kartu su tamsulozinu). Šie nepageidaujami reiškiniai gali išlikti ir užbaigus gydymą. Dutasterido įtaka tokiam poveikio išlikimui </w:t>
      </w:r>
      <w:r w:rsidRPr="001F276A">
        <w:rPr>
          <w:rFonts w:eastAsia="Calibri"/>
          <w:sz w:val="22"/>
        </w:rPr>
        <w:t>nežinoma.</w:t>
      </w:r>
    </w:p>
    <w:p w14:paraId="62C53D73" w14:textId="77777777" w:rsidR="00602606" w:rsidRDefault="00604AEE">
      <w:pPr>
        <w:widowControl w:val="0"/>
        <w:ind w:left="284" w:hanging="284"/>
        <w:contextualSpacing/>
        <w:outlineLvl w:val="0"/>
        <w:rPr>
          <w:rFonts w:eastAsia="Calibri"/>
          <w:sz w:val="22"/>
          <w:szCs w:val="22"/>
        </w:rPr>
      </w:pPr>
      <w:r>
        <w:rPr>
          <w:rFonts w:eastAsia="Calibri"/>
          <w:sz w:val="22"/>
          <w:szCs w:val="22"/>
          <w:vertAlign w:val="superscript"/>
        </w:rPr>
        <w:t>^</w:t>
      </w:r>
      <w:r>
        <w:rPr>
          <w:rFonts w:eastAsia="Calibri"/>
          <w:sz w:val="22"/>
          <w:szCs w:val="22"/>
        </w:rPr>
        <w:tab/>
        <w:t>Apima spermos kiekio sumažėjimą.</w:t>
      </w:r>
    </w:p>
    <w:p w14:paraId="43D3492E" w14:textId="77777777" w:rsidR="00602606" w:rsidRDefault="00602606">
      <w:pPr>
        <w:widowControl w:val="0"/>
        <w:contextualSpacing/>
        <w:outlineLvl w:val="0"/>
        <w:rPr>
          <w:rFonts w:eastAsia="Calibri"/>
          <w:sz w:val="22"/>
          <w:szCs w:val="22"/>
        </w:rPr>
      </w:pPr>
    </w:p>
    <w:p w14:paraId="1BAB52D6"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KITI DUOMENYS</w:t>
      </w:r>
    </w:p>
    <w:p w14:paraId="1695AF84" w14:textId="77777777" w:rsidR="00602606" w:rsidRDefault="00602606">
      <w:pPr>
        <w:widowControl w:val="0"/>
        <w:contextualSpacing/>
        <w:outlineLvl w:val="0"/>
        <w:rPr>
          <w:rFonts w:eastAsia="Calibri"/>
          <w:sz w:val="22"/>
          <w:szCs w:val="22"/>
          <w:u w:val="single"/>
        </w:rPr>
      </w:pPr>
    </w:p>
    <w:p w14:paraId="077B1148"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REDUCE</w:t>
      </w:r>
      <w:r>
        <w:rPr>
          <w:rFonts w:eastAsia="Calibri"/>
          <w:i/>
          <w:sz w:val="22"/>
          <w:szCs w:val="22"/>
        </w:rPr>
        <w:t xml:space="preserve"> </w:t>
      </w:r>
      <w:r>
        <w:rPr>
          <w:rFonts w:eastAsia="Calibri"/>
          <w:sz w:val="22"/>
          <w:szCs w:val="22"/>
        </w:rPr>
        <w:t>tyrimas parodė didesnį 8</w:t>
      </w:r>
      <w:r w:rsidRPr="001F276A">
        <w:rPr>
          <w:rFonts w:eastAsia="Calibri"/>
          <w:sz w:val="22"/>
        </w:rPr>
        <w:noBreakHyphen/>
        <w:t xml:space="preserve">10 laipsnio pagal </w:t>
      </w:r>
      <w:r w:rsidRPr="001F276A">
        <w:rPr>
          <w:rFonts w:eastAsia="Calibri"/>
          <w:i/>
          <w:sz w:val="22"/>
        </w:rPr>
        <w:t>Gleason</w:t>
      </w:r>
      <w:r w:rsidRPr="001F276A">
        <w:rPr>
          <w:rFonts w:eastAsia="Calibri"/>
          <w:sz w:val="22"/>
        </w:rPr>
        <w:t xml:space="preserve"> prostatos vėžio dažnį dutasteridu gydytiems vyrams, palyginti su vartojusiais placebą (žr. 4.4 ir 5.1 skyrius). Ar šio tyrimo rezultatams turėjo įtakos prostatos tūrį mažinantis dutasterido poveikis, ar su tyrimu susiję veiksniai, nenustatyta.</w:t>
      </w:r>
    </w:p>
    <w:p w14:paraId="17529EB9" w14:textId="77777777" w:rsidR="00602606" w:rsidRDefault="00602606">
      <w:pPr>
        <w:widowControl w:val="0"/>
        <w:contextualSpacing/>
        <w:outlineLvl w:val="0"/>
        <w:rPr>
          <w:rFonts w:eastAsia="Calibri"/>
          <w:sz w:val="22"/>
          <w:szCs w:val="22"/>
        </w:rPr>
      </w:pPr>
    </w:p>
    <w:p w14:paraId="579FCF16"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Klinikinių tyrimų metu ir vartojant vaistinį preparatą po pateikimo į rinką buvo pranešta apie krūties vėžį vyrams (žr. 4.4 skyrių).</w:t>
      </w:r>
    </w:p>
    <w:p w14:paraId="28D85B75" w14:textId="77777777" w:rsidR="00602606" w:rsidRDefault="00602606">
      <w:pPr>
        <w:widowControl w:val="0"/>
        <w:contextualSpacing/>
        <w:outlineLvl w:val="0"/>
        <w:rPr>
          <w:rFonts w:eastAsia="Calibri"/>
          <w:sz w:val="22"/>
          <w:szCs w:val="22"/>
        </w:rPr>
      </w:pPr>
    </w:p>
    <w:p w14:paraId="0F395087" w14:textId="77777777" w:rsidR="00602606" w:rsidRDefault="00604AEE">
      <w:pPr>
        <w:widowControl w:val="0"/>
        <w:contextualSpacing/>
        <w:outlineLvl w:val="0"/>
        <w:rPr>
          <w:rFonts w:asciiTheme="minorHAnsi" w:eastAsia="Calibri" w:hAnsiTheme="minorHAnsi" w:cstheme="minorBidi"/>
          <w:sz w:val="22"/>
          <w:szCs w:val="22"/>
          <w:u w:val="single"/>
          <w:lang w:val="lt-LT" w:eastAsia="en-US"/>
        </w:rPr>
      </w:pPr>
      <w:r>
        <w:rPr>
          <w:rFonts w:eastAsia="Calibri"/>
          <w:sz w:val="22"/>
          <w:szCs w:val="22"/>
          <w:u w:val="single"/>
        </w:rPr>
        <w:t>Duomenys, gauti po vaistinio preparato pateikimo į rinką</w:t>
      </w:r>
    </w:p>
    <w:p w14:paraId="24D3074A" w14:textId="77777777" w:rsidR="00602606" w:rsidRDefault="00602606">
      <w:pPr>
        <w:widowControl w:val="0"/>
        <w:contextualSpacing/>
        <w:outlineLvl w:val="0"/>
        <w:rPr>
          <w:rFonts w:eastAsia="Calibri"/>
          <w:sz w:val="22"/>
          <w:szCs w:val="22"/>
        </w:rPr>
      </w:pPr>
    </w:p>
    <w:p w14:paraId="4ECB56DB"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Po vaistinio preparato pateikimo į rinką visame pasaulyje nepageidaujami reiškiniai buvo išaiškinti remiantis savanoriškais pranešimais, todėl tikslus jų dažnis nežinomas.</w:t>
      </w:r>
    </w:p>
    <w:p w14:paraId="69CFF981" w14:textId="77777777" w:rsidR="00602606" w:rsidRDefault="00602606">
      <w:pPr>
        <w:widowControl w:val="0"/>
        <w:contextualSpacing/>
        <w:outlineLvl w:val="0"/>
        <w:rPr>
          <w:rFonts w:eastAsia="Calibri"/>
          <w:sz w:val="22"/>
          <w:szCs w:val="22"/>
        </w:rPr>
      </w:pPr>
    </w:p>
    <w:p w14:paraId="6AA3C3EB" w14:textId="77777777" w:rsidR="00602606" w:rsidRDefault="00604AEE">
      <w:pPr>
        <w:widowControl w:val="0"/>
        <w:contextualSpacing/>
        <w:outlineLvl w:val="0"/>
        <w:rPr>
          <w:rFonts w:asciiTheme="minorHAnsi" w:eastAsia="Calibri" w:hAnsiTheme="minorHAnsi" w:cstheme="minorBidi"/>
          <w:i/>
          <w:sz w:val="22"/>
          <w:szCs w:val="22"/>
          <w:lang w:val="lt-LT" w:eastAsia="en-US"/>
        </w:rPr>
      </w:pPr>
      <w:r>
        <w:rPr>
          <w:rFonts w:eastAsia="Calibri"/>
          <w:i/>
          <w:sz w:val="22"/>
          <w:szCs w:val="22"/>
        </w:rPr>
        <w:t>Dutasteridas</w:t>
      </w:r>
    </w:p>
    <w:p w14:paraId="27A00A74" w14:textId="77777777" w:rsidR="00602606" w:rsidRDefault="00602606">
      <w:pPr>
        <w:widowControl w:val="0"/>
        <w:contextualSpacing/>
        <w:outlineLvl w:val="0"/>
        <w:rPr>
          <w:rFonts w:eastAsia="Calibri"/>
          <w:i/>
          <w:sz w:val="22"/>
          <w:szCs w:val="22"/>
        </w:rPr>
      </w:pPr>
    </w:p>
    <w:p w14:paraId="41BDD630"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Imuninės sistemos sutrikimai</w:t>
      </w:r>
    </w:p>
    <w:p w14:paraId="2ACEC54F"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Dažnis nežinomas: alerginės reakcijos, įskaitant išbėrimą, niežėjimą</w:t>
      </w:r>
      <w:r w:rsidRPr="001F276A">
        <w:rPr>
          <w:rFonts w:eastAsia="Calibri"/>
          <w:sz w:val="22"/>
        </w:rPr>
        <w:t>, dilgėlinę, lokalią edemą ir angioneurozinę edemą.</w:t>
      </w:r>
    </w:p>
    <w:p w14:paraId="59742151" w14:textId="77777777" w:rsidR="00602606" w:rsidRDefault="00602606">
      <w:pPr>
        <w:widowControl w:val="0"/>
        <w:contextualSpacing/>
        <w:outlineLvl w:val="0"/>
        <w:rPr>
          <w:rFonts w:eastAsia="Calibri"/>
          <w:sz w:val="22"/>
          <w:szCs w:val="22"/>
        </w:rPr>
      </w:pPr>
    </w:p>
    <w:p w14:paraId="572F146A"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Psichikos sutrikimai</w:t>
      </w:r>
    </w:p>
    <w:p w14:paraId="442F073E"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Dažnis nežinomas: depresija.</w:t>
      </w:r>
    </w:p>
    <w:p w14:paraId="5B359C1B" w14:textId="77777777" w:rsidR="00602606" w:rsidRDefault="00602606">
      <w:pPr>
        <w:widowControl w:val="0"/>
        <w:contextualSpacing/>
        <w:outlineLvl w:val="0"/>
        <w:rPr>
          <w:rFonts w:eastAsia="Calibri"/>
          <w:sz w:val="22"/>
          <w:szCs w:val="22"/>
        </w:rPr>
      </w:pPr>
    </w:p>
    <w:p w14:paraId="32B295B2"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Odos ir poodinio audinio sutrikimai</w:t>
      </w:r>
    </w:p>
    <w:p w14:paraId="082597FF"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Nedažni: alopecija (visų pirma kūno plaukų slinkimas), hipertrichozė.</w:t>
      </w:r>
    </w:p>
    <w:p w14:paraId="2544CC4F" w14:textId="77777777" w:rsidR="00602606" w:rsidRDefault="00602606">
      <w:pPr>
        <w:widowControl w:val="0"/>
        <w:contextualSpacing/>
        <w:outlineLvl w:val="0"/>
        <w:rPr>
          <w:rFonts w:eastAsia="Calibri"/>
          <w:sz w:val="22"/>
          <w:szCs w:val="22"/>
        </w:rPr>
      </w:pPr>
    </w:p>
    <w:p w14:paraId="5B5EAECA"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Lytinės sistemos ir krūties sutrikimai</w:t>
      </w:r>
    </w:p>
    <w:p w14:paraId="5A646F25"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Dažnis nežinomas: sėklidžių skausmas ir sėklidžių patinimas.</w:t>
      </w:r>
    </w:p>
    <w:p w14:paraId="5A08D0A1" w14:textId="77777777" w:rsidR="00602606" w:rsidRDefault="00602606">
      <w:pPr>
        <w:widowControl w:val="0"/>
        <w:contextualSpacing/>
        <w:outlineLvl w:val="0"/>
        <w:rPr>
          <w:rFonts w:eastAsia="Calibri"/>
          <w:sz w:val="22"/>
          <w:szCs w:val="22"/>
        </w:rPr>
      </w:pPr>
    </w:p>
    <w:p w14:paraId="1F38A9CD" w14:textId="77777777" w:rsidR="00602606" w:rsidRDefault="00604AEE">
      <w:pPr>
        <w:widowControl w:val="0"/>
        <w:contextualSpacing/>
        <w:outlineLvl w:val="0"/>
        <w:rPr>
          <w:rFonts w:asciiTheme="minorHAnsi" w:eastAsia="Calibri" w:hAnsiTheme="minorHAnsi" w:cstheme="minorBidi"/>
          <w:i/>
          <w:sz w:val="22"/>
          <w:szCs w:val="22"/>
          <w:lang w:val="lt-LT" w:eastAsia="en-US"/>
        </w:rPr>
      </w:pPr>
      <w:r>
        <w:rPr>
          <w:rFonts w:eastAsia="Calibri"/>
          <w:i/>
          <w:sz w:val="22"/>
          <w:szCs w:val="22"/>
        </w:rPr>
        <w:t>Tamsulozinas</w:t>
      </w:r>
    </w:p>
    <w:p w14:paraId="5BD6D3DF" w14:textId="77777777" w:rsidR="00602606" w:rsidRDefault="00602606">
      <w:pPr>
        <w:widowControl w:val="0"/>
        <w:contextualSpacing/>
        <w:outlineLvl w:val="0"/>
        <w:rPr>
          <w:rFonts w:eastAsia="Calibri"/>
          <w:i/>
          <w:sz w:val="22"/>
          <w:szCs w:val="22"/>
        </w:rPr>
      </w:pPr>
    </w:p>
    <w:p w14:paraId="5B8AE6E7"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Po vaistinio preparato pateikimo į rinką pranešta apie su alfa</w:t>
      </w:r>
      <w:r>
        <w:rPr>
          <w:rFonts w:eastAsia="Calibri"/>
          <w:sz w:val="22"/>
          <w:szCs w:val="22"/>
          <w:vertAlign w:val="subscript"/>
        </w:rPr>
        <w:t>1</w:t>
      </w:r>
      <w:r>
        <w:rPr>
          <w:rFonts w:eastAsia="Calibri"/>
          <w:sz w:val="22"/>
          <w:szCs w:val="22"/>
        </w:rPr>
        <w:t xml:space="preserve"> adrenoreceptorių antagonistais, įskaitant tamsuloz</w:t>
      </w:r>
      <w:r w:rsidRPr="001F276A">
        <w:rPr>
          <w:rFonts w:eastAsia="Calibri"/>
          <w:sz w:val="22"/>
        </w:rPr>
        <w:t>iną, susijusį operacinį suglebusios rainelės sindromą (</w:t>
      </w:r>
      <w:r w:rsidRPr="001F276A">
        <w:rPr>
          <w:rFonts w:eastAsia="Calibri"/>
          <w:i/>
          <w:sz w:val="22"/>
        </w:rPr>
        <w:t>IFIS,</w:t>
      </w:r>
      <w:r w:rsidRPr="001F276A">
        <w:rPr>
          <w:rFonts w:eastAsia="Calibri"/>
          <w:sz w:val="22"/>
        </w:rPr>
        <w:t xml:space="preserve"> kuris yra vienas iš mažo vyzdžio sindromo variantų), pasireiškusį kataraktos chirurginio gydymo metu (žr. 4.4 skyrių).</w:t>
      </w:r>
    </w:p>
    <w:p w14:paraId="7AC92466" w14:textId="77777777" w:rsidR="00602606" w:rsidRDefault="00602606">
      <w:pPr>
        <w:widowControl w:val="0"/>
        <w:contextualSpacing/>
        <w:outlineLvl w:val="0"/>
        <w:rPr>
          <w:rFonts w:eastAsia="Calibri"/>
          <w:sz w:val="22"/>
          <w:szCs w:val="22"/>
        </w:rPr>
      </w:pPr>
    </w:p>
    <w:p w14:paraId="11866042"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Be to, buvo pranešta apie su tamsulozino vartojimu susijusius prieširdžių virpėjimą, aritmiją, tachikardiją, dusulį, kraujavimą iš nosies, matomo vaizdo neryškumą, regėjimo sutrikimą, daugiaformę eritemą, eksfoliacinį dermatitą, ejakuliacijos sutrikimą, retrogradinę ejakuliaciją, ejakuliacijos nepakankamumą ir burnos džiūvimą. Ši</w:t>
      </w:r>
      <w:r w:rsidRPr="001F276A">
        <w:rPr>
          <w:rFonts w:eastAsia="Calibri"/>
          <w:sz w:val="22"/>
        </w:rPr>
        <w:t>ų reiškinių dažnio ir tamsulozino įtakos jų atsiradimui patikimai įvertinti negalima.</w:t>
      </w:r>
    </w:p>
    <w:p w14:paraId="6B27798C" w14:textId="77777777" w:rsidR="00602606" w:rsidRDefault="00602606">
      <w:pPr>
        <w:widowControl w:val="0"/>
        <w:contextualSpacing/>
        <w:outlineLvl w:val="0"/>
        <w:rPr>
          <w:rFonts w:eastAsia="Calibri"/>
          <w:sz w:val="22"/>
          <w:szCs w:val="22"/>
        </w:rPr>
      </w:pPr>
    </w:p>
    <w:p w14:paraId="646EEB31" w14:textId="77777777" w:rsidR="00602606" w:rsidRDefault="00604AEE">
      <w:pPr>
        <w:widowControl w:val="0"/>
        <w:contextualSpacing/>
        <w:outlineLvl w:val="0"/>
        <w:rPr>
          <w:rFonts w:asciiTheme="minorHAnsi" w:eastAsia="Calibri" w:hAnsiTheme="minorHAnsi" w:cstheme="minorBidi"/>
          <w:sz w:val="22"/>
          <w:szCs w:val="22"/>
          <w:u w:val="single"/>
          <w:lang w:val="lt-LT" w:eastAsia="en-US"/>
        </w:rPr>
      </w:pPr>
      <w:r>
        <w:rPr>
          <w:rFonts w:eastAsia="Calibri"/>
          <w:sz w:val="22"/>
          <w:szCs w:val="22"/>
          <w:u w:val="single"/>
        </w:rPr>
        <w:t>Pranešimas apie įtariamas nepageidaujamas reakcijas</w:t>
      </w:r>
    </w:p>
    <w:p w14:paraId="0E41900B" w14:textId="3F591173" w:rsidR="00602606" w:rsidRDefault="00604AEE">
      <w:pPr>
        <w:widowControl w:val="0"/>
        <w:autoSpaceDE w:val="0"/>
        <w:autoSpaceDN w:val="0"/>
        <w:adjustRightInd w:val="0"/>
        <w:rPr>
          <w:rFonts w:asciiTheme="minorHAnsi" w:eastAsiaTheme="minorHAnsi" w:hAnsiTheme="minorHAnsi" w:cstheme="minorBidi"/>
          <w:sz w:val="22"/>
          <w:szCs w:val="22"/>
          <w:lang w:val="lt-LT" w:eastAsia="en-US"/>
        </w:rPr>
      </w:pPr>
      <w:r>
        <w:rPr>
          <w:sz w:val="22"/>
          <w:szCs w:val="22"/>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Pr>
            <w:rFonts w:eastAsia="SimSun"/>
            <w:color w:val="0000FF"/>
            <w:sz w:val="22"/>
            <w:szCs w:val="22"/>
            <w:u w:val="single"/>
          </w:rPr>
          <w:t>www.vvkt.lt</w:t>
        </w:r>
      </w:hyperlink>
      <w:r w:rsidRPr="001F276A">
        <w:rPr>
          <w:sz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Pr>
            <w:rFonts w:eastAsia="SimSun"/>
            <w:color w:val="0000FF"/>
            <w:sz w:val="22"/>
            <w:szCs w:val="22"/>
            <w:u w:val="single"/>
          </w:rPr>
          <w:t>NepageidaujamaR@vvkt.lt</w:t>
        </w:r>
      </w:hyperlink>
      <w:r w:rsidRPr="001F276A">
        <w:rPr>
          <w:sz w:val="22"/>
        </w:rPr>
        <w:t xml:space="preserve">), per interneto svetainę (adresu </w:t>
      </w:r>
      <w:r w:rsidRPr="00A878C7">
        <w:rPr>
          <w:sz w:val="22"/>
          <w:szCs w:val="22"/>
        </w:rPr>
        <w:fldChar w:fldCharType="begin"/>
      </w:r>
      <w:r w:rsidRPr="00A878C7">
        <w:rPr>
          <w:sz w:val="22"/>
          <w:szCs w:val="22"/>
        </w:rPr>
        <w:instrText xml:space="preserve"> LINK Word.Document.12 "C:\\Users\\misiunaite\\AppData\\Local\\Microsoft\\Windows\\INetCache\\Content.Outlook\\1IFFT2AP\\Diflazon inf.docx" "OLE_LINK2" \a \h </w:instrText>
      </w:r>
      <w:r>
        <w:rPr>
          <w:sz w:val="22"/>
          <w:szCs w:val="22"/>
        </w:rPr>
        <w:instrText xml:space="preserve"> \* MERGEFORMAT </w:instrText>
      </w:r>
      <w:r w:rsidRPr="00A878C7">
        <w:rPr>
          <w:sz w:val="22"/>
          <w:szCs w:val="22"/>
        </w:rPr>
        <w:fldChar w:fldCharType="separate"/>
      </w:r>
      <w:bookmarkStart w:id="0" w:name="OLE_LINK2"/>
      <w:r w:rsidRPr="00A878C7">
        <w:rPr>
          <w:sz w:val="22"/>
          <w:szCs w:val="22"/>
          <w:lang w:eastAsia="lt-LT"/>
        </w:rPr>
        <w:fldChar w:fldCharType="begin"/>
      </w:r>
      <w:r w:rsidRPr="00A878C7">
        <w:rPr>
          <w:sz w:val="22"/>
          <w:szCs w:val="22"/>
          <w:lang w:eastAsia="lt-LT"/>
        </w:rPr>
        <w:instrText xml:space="preserve"> HYPERLINK "http://www.vvkt.lt" </w:instrText>
      </w:r>
      <w:r w:rsidRPr="00A878C7">
        <w:rPr>
          <w:sz w:val="22"/>
          <w:szCs w:val="22"/>
          <w:lang w:eastAsia="lt-LT"/>
        </w:rPr>
        <w:fldChar w:fldCharType="separate"/>
      </w:r>
      <w:r>
        <w:rPr>
          <w:rStyle w:val="Hipersaitas"/>
          <w:iCs/>
          <w:noProof/>
          <w:color w:val="0000FF"/>
          <w:sz w:val="22"/>
          <w:szCs w:val="22"/>
          <w:lang w:val="lt-LT" w:eastAsia="en-GB"/>
        </w:rPr>
        <w:t>http://www.vvkt.lt</w:t>
      </w:r>
      <w:bookmarkEnd w:id="0"/>
      <w:r w:rsidRPr="00A878C7">
        <w:rPr>
          <w:sz w:val="22"/>
          <w:szCs w:val="22"/>
          <w:lang w:eastAsia="lt-LT"/>
        </w:rPr>
        <w:fldChar w:fldCharType="end"/>
      </w:r>
      <w:r w:rsidRPr="00A878C7">
        <w:rPr>
          <w:sz w:val="22"/>
          <w:szCs w:val="22"/>
        </w:rPr>
        <w:fldChar w:fldCharType="end"/>
      </w:r>
      <w:r w:rsidRPr="001F276A">
        <w:rPr>
          <w:sz w:val="22"/>
        </w:rPr>
        <w:t>).</w:t>
      </w:r>
    </w:p>
    <w:p w14:paraId="043FB64A" w14:textId="77777777" w:rsidR="00602606" w:rsidRDefault="00602606">
      <w:pPr>
        <w:widowControl w:val="0"/>
        <w:contextualSpacing/>
        <w:outlineLvl w:val="0"/>
        <w:rPr>
          <w:rFonts w:eastAsia="Calibri"/>
          <w:sz w:val="22"/>
          <w:szCs w:val="22"/>
        </w:rPr>
      </w:pPr>
    </w:p>
    <w:p w14:paraId="1B40E284" w14:textId="77777777" w:rsidR="00602606" w:rsidRDefault="00604AEE">
      <w:pPr>
        <w:widowControl w:val="0"/>
        <w:numPr>
          <w:ilvl w:val="1"/>
          <w:numId w:val="6"/>
        </w:numPr>
        <w:tabs>
          <w:tab w:val="clear" w:pos="570"/>
        </w:tabs>
        <w:contextualSpacing/>
        <w:outlineLvl w:val="0"/>
        <w:rPr>
          <w:rFonts w:asciiTheme="minorHAnsi" w:eastAsia="Calibri" w:hAnsiTheme="minorHAnsi" w:cstheme="minorBidi"/>
          <w:b/>
          <w:sz w:val="22"/>
          <w:szCs w:val="22"/>
          <w:lang w:val="lt-LT" w:eastAsia="en-US"/>
        </w:rPr>
      </w:pPr>
      <w:r>
        <w:rPr>
          <w:rFonts w:eastAsia="Calibri"/>
          <w:b/>
          <w:sz w:val="22"/>
          <w:szCs w:val="22"/>
        </w:rPr>
        <w:t>Perdozavimas</w:t>
      </w:r>
    </w:p>
    <w:p w14:paraId="233EAD2F" w14:textId="77777777" w:rsidR="00602606" w:rsidRDefault="00602606">
      <w:pPr>
        <w:widowControl w:val="0"/>
        <w:contextualSpacing/>
        <w:outlineLvl w:val="0"/>
        <w:rPr>
          <w:rFonts w:eastAsia="Calibri"/>
          <w:sz w:val="22"/>
          <w:szCs w:val="22"/>
        </w:rPr>
      </w:pPr>
    </w:p>
    <w:p w14:paraId="3686A5A3"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Pranešimų apie dutasterido ir tamsulozino derinio perdozavimo atvejus negauta. Toliau pateikiama informacija atitinka duomenis, gautus apie atskiras vaistinio preparato sudėtyje esančias veikliąsias medžiagas.</w:t>
      </w:r>
    </w:p>
    <w:p w14:paraId="668D3594" w14:textId="77777777" w:rsidR="00602606" w:rsidRDefault="00602606">
      <w:pPr>
        <w:widowControl w:val="0"/>
        <w:contextualSpacing/>
        <w:outlineLvl w:val="0"/>
        <w:rPr>
          <w:rFonts w:eastAsia="Calibri"/>
          <w:sz w:val="22"/>
          <w:szCs w:val="22"/>
        </w:rPr>
      </w:pPr>
    </w:p>
    <w:p w14:paraId="524D6706" w14:textId="77777777" w:rsidR="00602606" w:rsidRDefault="00604AEE">
      <w:pPr>
        <w:widowControl w:val="0"/>
        <w:contextualSpacing/>
        <w:outlineLvl w:val="0"/>
        <w:rPr>
          <w:rFonts w:asciiTheme="minorHAnsi" w:eastAsia="Calibri" w:hAnsiTheme="minorHAnsi" w:cstheme="minorBidi"/>
          <w:i/>
          <w:sz w:val="22"/>
          <w:szCs w:val="22"/>
          <w:lang w:val="lt-LT" w:eastAsia="en-US"/>
        </w:rPr>
      </w:pPr>
      <w:r>
        <w:rPr>
          <w:rFonts w:eastAsia="Calibri"/>
          <w:i/>
          <w:sz w:val="22"/>
          <w:szCs w:val="22"/>
        </w:rPr>
        <w:t>Dutasteridas</w:t>
      </w:r>
    </w:p>
    <w:p w14:paraId="7E763F78" w14:textId="77777777" w:rsidR="00602606" w:rsidRDefault="00602606">
      <w:pPr>
        <w:widowControl w:val="0"/>
        <w:contextualSpacing/>
        <w:outlineLvl w:val="0"/>
        <w:rPr>
          <w:rFonts w:eastAsia="Calibri"/>
          <w:i/>
          <w:sz w:val="22"/>
          <w:szCs w:val="22"/>
        </w:rPr>
      </w:pPr>
    </w:p>
    <w:p w14:paraId="196DED2F"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 xml:space="preserve">Tyrimų su savanoriais duomenimis, 7 dienas kartą per parą vartotos iki 40 mg dutasterido (80 kartų didesnės už gydomąją) dozės reikšmingų abejonių dėl saugumo nesukėlė. Klinikinių tyrimų metu 5 mg paros dozes tiriamieji vartojo 6 mėnesius ir papildomo (kitokio nei vartojant gydomąsias 0,5 mg dozes) nepageidaujamo poveikio nepasireiškė. Specifinio dutasterido priešnuodžio nėra, todėl įtarus perdozavimą turi būti taikomas tinkamas </w:t>
      </w:r>
      <w:r w:rsidRPr="001F276A">
        <w:rPr>
          <w:rFonts w:eastAsia="Calibri"/>
          <w:sz w:val="22"/>
        </w:rPr>
        <w:t>simptominis ir palaikomasis gydymas.</w:t>
      </w:r>
    </w:p>
    <w:p w14:paraId="2930F107" w14:textId="77777777" w:rsidR="00602606" w:rsidRDefault="00602606">
      <w:pPr>
        <w:widowControl w:val="0"/>
        <w:contextualSpacing/>
        <w:outlineLvl w:val="0"/>
        <w:rPr>
          <w:rFonts w:eastAsia="Calibri"/>
          <w:sz w:val="22"/>
          <w:szCs w:val="22"/>
        </w:rPr>
      </w:pPr>
    </w:p>
    <w:p w14:paraId="559B61EC" w14:textId="77777777" w:rsidR="00602606" w:rsidRDefault="00604AEE">
      <w:pPr>
        <w:widowControl w:val="0"/>
        <w:contextualSpacing/>
        <w:outlineLvl w:val="0"/>
        <w:rPr>
          <w:rFonts w:asciiTheme="minorHAnsi" w:eastAsia="Calibri" w:hAnsiTheme="minorHAnsi" w:cstheme="minorBidi"/>
          <w:i/>
          <w:sz w:val="22"/>
          <w:szCs w:val="22"/>
          <w:lang w:val="lt-LT" w:eastAsia="en-US"/>
        </w:rPr>
      </w:pPr>
      <w:r>
        <w:rPr>
          <w:rFonts w:eastAsia="Calibri"/>
          <w:i/>
          <w:sz w:val="22"/>
          <w:szCs w:val="22"/>
        </w:rPr>
        <w:t>Tamsulozinas</w:t>
      </w:r>
    </w:p>
    <w:p w14:paraId="45088668" w14:textId="77777777" w:rsidR="00602606" w:rsidRDefault="00602606">
      <w:pPr>
        <w:widowControl w:val="0"/>
        <w:contextualSpacing/>
        <w:outlineLvl w:val="0"/>
        <w:rPr>
          <w:rFonts w:eastAsia="Calibri"/>
          <w:i/>
          <w:sz w:val="22"/>
          <w:szCs w:val="22"/>
        </w:rPr>
      </w:pPr>
    </w:p>
    <w:p w14:paraId="73191E4B"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Pranešta apie ūminį apsinuodijimą 5 mg tamsulozino hidrochlorido doze. Pasireiškė ūminė hipotenzija (sistolinis kraujospūdis 70 mm Hg), vėmimas ir viduriavimas, pacientui buvo atstatytas netekto skysčio kiekis ir jį buvo galima tą pačią dieną išleisti iš ligoninės. Jeigu po perdozavimo pasireiškia ūminė hipotenzija, reikia palaikyti kardiovaskulinę funkciją. Kraujospūdį ir širdies susitraukimų dažnį galima normalizuoti pacientą paguldžius. Jeigu tai nepade</w:t>
      </w:r>
      <w:r w:rsidRPr="001F276A">
        <w:rPr>
          <w:rFonts w:eastAsia="Calibri"/>
          <w:sz w:val="22"/>
        </w:rPr>
        <w:t>da, reikia padidinti skysčių kiekį organizme ir, jeigu būtina, skirti kraujagysles sutraukiančių preparatų. Reikia stebėti inkstų funkciją ir taikyti bendrąsias palaikomąsias priemones. Dializės nauda nėra tikėtina, nes labai didelė dalis tamsulozino prisijungia prie plazmos baltymų.</w:t>
      </w:r>
    </w:p>
    <w:p w14:paraId="25AC0D46" w14:textId="77777777" w:rsidR="00602606" w:rsidRDefault="00602606">
      <w:pPr>
        <w:widowControl w:val="0"/>
        <w:contextualSpacing/>
        <w:outlineLvl w:val="0"/>
        <w:rPr>
          <w:rFonts w:eastAsia="Calibri"/>
          <w:sz w:val="22"/>
          <w:szCs w:val="22"/>
        </w:rPr>
      </w:pPr>
    </w:p>
    <w:p w14:paraId="5485EACE"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Galima taikyti absorbciją mažinančias priemones, pavyzdžiui, sužadinti vėmimą. Jeigu buvo išgertas didelis vaistinio preparato kiekis, galima plauti skrandį, skirti aktyvintosios anglies ir osmozinių vidurių laisvinamųjų vaistinių preparatų, pavyzdžiui, natrio sulfato.</w:t>
      </w:r>
    </w:p>
    <w:p w14:paraId="308DB967" w14:textId="77777777" w:rsidR="00602606" w:rsidRDefault="00602606">
      <w:pPr>
        <w:widowControl w:val="0"/>
        <w:contextualSpacing/>
        <w:outlineLvl w:val="0"/>
        <w:rPr>
          <w:rFonts w:eastAsia="Calibri"/>
          <w:sz w:val="22"/>
          <w:szCs w:val="22"/>
        </w:rPr>
      </w:pPr>
    </w:p>
    <w:p w14:paraId="480E72B8" w14:textId="77777777" w:rsidR="00602606" w:rsidRDefault="00602606">
      <w:pPr>
        <w:widowControl w:val="0"/>
        <w:contextualSpacing/>
        <w:outlineLvl w:val="0"/>
        <w:rPr>
          <w:rFonts w:eastAsia="Calibri"/>
          <w:sz w:val="22"/>
          <w:szCs w:val="22"/>
        </w:rPr>
      </w:pPr>
    </w:p>
    <w:p w14:paraId="6D53CF90" w14:textId="77777777" w:rsidR="00602606" w:rsidRDefault="00604AEE">
      <w:pPr>
        <w:widowControl w:val="0"/>
        <w:ind w:left="567" w:hanging="567"/>
        <w:rPr>
          <w:rFonts w:asciiTheme="minorHAnsi" w:eastAsia="Calibri" w:hAnsiTheme="minorHAnsi" w:cstheme="minorBidi"/>
          <w:b/>
          <w:sz w:val="22"/>
          <w:szCs w:val="22"/>
          <w:lang w:val="lt-LT" w:eastAsia="en-US"/>
        </w:rPr>
      </w:pPr>
      <w:r>
        <w:rPr>
          <w:rFonts w:eastAsia="Calibri"/>
          <w:b/>
          <w:sz w:val="22"/>
          <w:szCs w:val="22"/>
        </w:rPr>
        <w:t>5.</w:t>
      </w:r>
      <w:r>
        <w:rPr>
          <w:rFonts w:eastAsia="Calibri"/>
          <w:b/>
          <w:sz w:val="22"/>
          <w:szCs w:val="22"/>
        </w:rPr>
        <w:tab/>
        <w:t>FARMAKOLOGINĖS SAVYBĖS</w:t>
      </w:r>
    </w:p>
    <w:p w14:paraId="434EB588" w14:textId="77777777" w:rsidR="00602606" w:rsidRDefault="00602606">
      <w:pPr>
        <w:widowControl w:val="0"/>
        <w:contextualSpacing/>
        <w:outlineLvl w:val="0"/>
        <w:rPr>
          <w:rFonts w:eastAsia="Calibri"/>
          <w:sz w:val="22"/>
          <w:szCs w:val="22"/>
        </w:rPr>
      </w:pPr>
    </w:p>
    <w:p w14:paraId="3D9703BD" w14:textId="77777777" w:rsidR="00602606" w:rsidRDefault="00604AEE">
      <w:pPr>
        <w:widowControl w:val="0"/>
        <w:ind w:left="567" w:hanging="567"/>
        <w:rPr>
          <w:rFonts w:asciiTheme="minorHAnsi" w:eastAsia="Calibri" w:hAnsiTheme="minorHAnsi" w:cstheme="minorBidi"/>
          <w:b/>
          <w:sz w:val="22"/>
          <w:szCs w:val="22"/>
          <w:lang w:val="lt-LT" w:eastAsia="en-US"/>
        </w:rPr>
      </w:pPr>
      <w:r>
        <w:rPr>
          <w:rFonts w:eastAsia="Calibri"/>
          <w:b/>
          <w:sz w:val="22"/>
          <w:szCs w:val="22"/>
        </w:rPr>
        <w:t>5.1</w:t>
      </w:r>
      <w:r>
        <w:rPr>
          <w:rFonts w:eastAsia="Calibri"/>
          <w:b/>
          <w:sz w:val="22"/>
          <w:szCs w:val="22"/>
        </w:rPr>
        <w:tab/>
        <w:t>Farmakodinaminės savybės</w:t>
      </w:r>
    </w:p>
    <w:p w14:paraId="657741A0" w14:textId="77777777" w:rsidR="00602606" w:rsidRDefault="00602606">
      <w:pPr>
        <w:widowControl w:val="0"/>
        <w:contextualSpacing/>
        <w:outlineLvl w:val="0"/>
        <w:rPr>
          <w:rFonts w:eastAsia="Calibri"/>
          <w:sz w:val="22"/>
          <w:szCs w:val="22"/>
        </w:rPr>
      </w:pPr>
    </w:p>
    <w:p w14:paraId="2B1D7A68"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 xml:space="preserve">Farmakoterapinė grupė –urologiniai </w:t>
      </w:r>
      <w:r w:rsidRPr="001F276A">
        <w:rPr>
          <w:rFonts w:eastAsia="Calibri"/>
          <w:sz w:val="22"/>
        </w:rPr>
        <w:t xml:space="preserve">vaistiniai preparatai, </w:t>
      </w:r>
      <w:hyperlink r:id="rId10" w:history="1">
        <w:r>
          <w:rPr>
            <w:rFonts w:eastAsia="Calibri"/>
            <w:sz w:val="22"/>
            <w:szCs w:val="22"/>
          </w:rPr>
          <w:t>alfa adrenorecept</w:t>
        </w:r>
        <w:r w:rsidRPr="001F276A">
          <w:rPr>
            <w:rFonts w:eastAsia="Calibri"/>
            <w:sz w:val="22"/>
          </w:rPr>
          <w:t>orių antagonistai</w:t>
        </w:r>
      </w:hyperlink>
      <w:r>
        <w:rPr>
          <w:rFonts w:eastAsia="Calibri"/>
          <w:sz w:val="22"/>
          <w:szCs w:val="22"/>
        </w:rPr>
        <w:t>, ATC kodas – G04CA52.</w:t>
      </w:r>
    </w:p>
    <w:p w14:paraId="24EDB51C" w14:textId="77777777" w:rsidR="00602606" w:rsidRDefault="00602606">
      <w:pPr>
        <w:widowControl w:val="0"/>
        <w:contextualSpacing/>
        <w:outlineLvl w:val="0"/>
        <w:rPr>
          <w:rFonts w:eastAsia="Calibri"/>
          <w:sz w:val="22"/>
          <w:szCs w:val="22"/>
        </w:rPr>
      </w:pPr>
    </w:p>
    <w:p w14:paraId="4E49B808"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Dutasterido ir tamsulozino derinyje yra du vaistiniai preparatai: dutasteridas (dvejopas 5</w:t>
      </w:r>
      <w:r>
        <w:rPr>
          <w:rFonts w:eastAsia="Calibri"/>
          <w:sz w:val="22"/>
          <w:szCs w:val="22"/>
        </w:rPr>
        <w:noBreakHyphen/>
        <w:t>alfa reduktazės inhibitorius, 5 ARI) ir tamsulozino hidrochloridas (alfa</w:t>
      </w:r>
      <w:r w:rsidRPr="001F276A">
        <w:rPr>
          <w:rFonts w:eastAsia="Calibri"/>
          <w:sz w:val="22"/>
          <w:vertAlign w:val="subscript"/>
        </w:rPr>
        <w:t>1a</w:t>
      </w:r>
      <w:r w:rsidRPr="001F276A">
        <w:rPr>
          <w:rFonts w:eastAsia="Calibri"/>
          <w:sz w:val="22"/>
        </w:rPr>
        <w:t xml:space="preserve"> ir alfa</w:t>
      </w:r>
      <w:r w:rsidRPr="001F276A">
        <w:rPr>
          <w:rFonts w:eastAsia="Calibri"/>
          <w:sz w:val="22"/>
          <w:vertAlign w:val="subscript"/>
        </w:rPr>
        <w:t>1d</w:t>
      </w:r>
      <w:r w:rsidRPr="001F276A">
        <w:rPr>
          <w:rFonts w:eastAsia="Calibri"/>
          <w:sz w:val="22"/>
        </w:rPr>
        <w:t xml:space="preserve"> adrenoreceptorių antagonistas). Šių vaistinių preparatų veikimo mechanizmai papildo vienas kitą, dėl to simptomai greitai palengvėja, pagerėja šlapimo srovė ir sumažėja ūminio šlapimo susilaikymo (ŪŠS) ir su GPH susijusios chirurginio gydymo būtinybės rizika.</w:t>
      </w:r>
    </w:p>
    <w:p w14:paraId="7D25E1F8" w14:textId="77777777" w:rsidR="00602606" w:rsidRDefault="00602606">
      <w:pPr>
        <w:widowControl w:val="0"/>
        <w:contextualSpacing/>
        <w:outlineLvl w:val="0"/>
        <w:rPr>
          <w:rFonts w:eastAsia="Calibri"/>
          <w:sz w:val="22"/>
          <w:szCs w:val="22"/>
        </w:rPr>
      </w:pPr>
    </w:p>
    <w:p w14:paraId="315AE9D8"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Dutasteridas slopina ir 1, ir 2 tipo izofermentus 5</w:t>
      </w:r>
      <w:r w:rsidRPr="001F276A">
        <w:rPr>
          <w:rFonts w:eastAsia="Calibri"/>
          <w:sz w:val="22"/>
        </w:rPr>
        <w:noBreakHyphen/>
        <w:t xml:space="preserve">alfa reduktazes, kurios veikia testosterono virtimą į dihidrotestosteroną (DHT). DHT yra androgenas, kuris daugiausiai skatina prostatos vešėjimą ir GPH atsiradimą. Tamsulozinas </w:t>
      </w:r>
      <w:r>
        <w:rPr>
          <w:rFonts w:eastAsia="Calibri"/>
          <w:sz w:val="22"/>
          <w:szCs w:val="22"/>
        </w:rPr>
        <w:t>slopina prostatos stromos lygiųjų raumenų ir šlapimo pūslės</w:t>
      </w:r>
      <w:r w:rsidRPr="001F276A">
        <w:rPr>
          <w:rFonts w:eastAsia="Calibri"/>
          <w:sz w:val="22"/>
        </w:rPr>
        <w:t xml:space="preserve"> kaklo alfa</w:t>
      </w:r>
      <w:r w:rsidRPr="001F276A">
        <w:rPr>
          <w:rFonts w:eastAsia="Calibri"/>
          <w:sz w:val="22"/>
          <w:vertAlign w:val="subscript"/>
        </w:rPr>
        <w:t>1a</w:t>
      </w:r>
      <w:r w:rsidRPr="001F276A">
        <w:rPr>
          <w:rFonts w:eastAsia="Calibri"/>
          <w:sz w:val="22"/>
        </w:rPr>
        <w:t xml:space="preserve"> ir alfa</w:t>
      </w:r>
      <w:r w:rsidRPr="001F276A">
        <w:rPr>
          <w:rFonts w:eastAsia="Calibri"/>
          <w:sz w:val="22"/>
          <w:vertAlign w:val="subscript"/>
        </w:rPr>
        <w:t>1d</w:t>
      </w:r>
      <w:r w:rsidRPr="001F276A">
        <w:rPr>
          <w:rFonts w:eastAsia="Calibri"/>
          <w:sz w:val="22"/>
        </w:rPr>
        <w:t xml:space="preserve"> adrenoreceptorius. Maždaug 75 % prostatos alfa</w:t>
      </w:r>
      <w:r w:rsidRPr="001F276A">
        <w:rPr>
          <w:rFonts w:eastAsia="Calibri"/>
          <w:sz w:val="22"/>
          <w:vertAlign w:val="subscript"/>
        </w:rPr>
        <w:t>1</w:t>
      </w:r>
      <w:r>
        <w:rPr>
          <w:rFonts w:eastAsia="Calibri"/>
          <w:sz w:val="22"/>
          <w:szCs w:val="22"/>
        </w:rPr>
        <w:t xml:space="preserve"> receptorių yra alfa</w:t>
      </w:r>
      <w:r w:rsidRPr="001F276A">
        <w:rPr>
          <w:rFonts w:eastAsia="Calibri"/>
          <w:sz w:val="22"/>
          <w:vertAlign w:val="subscript"/>
        </w:rPr>
        <w:t>1a</w:t>
      </w:r>
      <w:r w:rsidRPr="001F276A">
        <w:rPr>
          <w:rFonts w:eastAsia="Calibri"/>
          <w:sz w:val="22"/>
        </w:rPr>
        <w:t xml:space="preserve"> porūšio.</w:t>
      </w:r>
    </w:p>
    <w:p w14:paraId="07C9DBF6" w14:textId="77777777" w:rsidR="00602606" w:rsidRDefault="00602606">
      <w:pPr>
        <w:widowControl w:val="0"/>
        <w:contextualSpacing/>
        <w:outlineLvl w:val="0"/>
        <w:rPr>
          <w:rFonts w:eastAsia="Calibri"/>
          <w:sz w:val="22"/>
          <w:szCs w:val="22"/>
        </w:rPr>
      </w:pPr>
    </w:p>
    <w:p w14:paraId="660833B2" w14:textId="77777777" w:rsidR="00602606" w:rsidRDefault="00604AEE">
      <w:pPr>
        <w:widowControl w:val="0"/>
        <w:contextualSpacing/>
        <w:outlineLvl w:val="0"/>
        <w:rPr>
          <w:rFonts w:asciiTheme="minorHAnsi" w:eastAsia="Calibri" w:hAnsiTheme="minorHAnsi" w:cstheme="minorBidi"/>
          <w:i/>
          <w:sz w:val="22"/>
          <w:szCs w:val="22"/>
          <w:lang w:val="lt-LT" w:eastAsia="en-US"/>
        </w:rPr>
      </w:pPr>
      <w:r>
        <w:rPr>
          <w:rFonts w:eastAsia="Calibri"/>
          <w:i/>
          <w:sz w:val="22"/>
          <w:szCs w:val="22"/>
        </w:rPr>
        <w:t>Dutasterido vartojimas kartu su tamsulozinu</w:t>
      </w:r>
    </w:p>
    <w:p w14:paraId="63B430DE" w14:textId="77777777" w:rsidR="00602606" w:rsidRDefault="00602606">
      <w:pPr>
        <w:widowControl w:val="0"/>
        <w:contextualSpacing/>
        <w:outlineLvl w:val="0"/>
        <w:rPr>
          <w:rFonts w:eastAsia="Calibri"/>
          <w:sz w:val="22"/>
          <w:szCs w:val="22"/>
        </w:rPr>
      </w:pPr>
    </w:p>
    <w:p w14:paraId="12C3A27F"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Toliau esanti informacija atspindi turimus duomenis apie gydymą dutasteridu kartu su tamsulozinu.</w:t>
      </w:r>
    </w:p>
    <w:p w14:paraId="763DA08D" w14:textId="77777777" w:rsidR="00602606" w:rsidRDefault="00602606">
      <w:pPr>
        <w:widowControl w:val="0"/>
        <w:contextualSpacing/>
        <w:outlineLvl w:val="0"/>
        <w:rPr>
          <w:rFonts w:eastAsia="Calibri"/>
          <w:sz w:val="22"/>
          <w:szCs w:val="22"/>
        </w:rPr>
      </w:pPr>
    </w:p>
    <w:p w14:paraId="354526D4"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4 metus trukusio daugiacentrio, tarptautinio, atsitiktinių imčių, dvigubai koduoto, paralelinių grupių klinikinių tyrimo metu buvo įvertintas 0,5 mg dutasterido paros dozės (n=1 623), 0,4 mg tamsulozino paros dozės (n=1 611) ir 0,5 mg dutasterido kartu su 0,4 mg t</w:t>
      </w:r>
      <w:r w:rsidRPr="001F276A">
        <w:rPr>
          <w:rFonts w:eastAsia="Calibri"/>
          <w:sz w:val="22"/>
        </w:rPr>
        <w:t xml:space="preserve">amsulozino (n=1 610) vartojimas vyrams, kuriems diagnozuota vidutinio sunkumo ar sunkių GPH simptomų ir nustatytas prostatos tūris </w:t>
      </w:r>
      <w:r w:rsidRPr="001F276A">
        <w:rPr>
          <w:rFonts w:eastAsia="Calibri"/>
          <w:sz w:val="22"/>
        </w:rPr>
        <w:sym w:font="Symbol" w:char="F0B3"/>
      </w:r>
      <w:r>
        <w:rPr>
          <w:rFonts w:eastAsia="Calibri"/>
          <w:sz w:val="22"/>
          <w:szCs w:val="22"/>
        </w:rPr>
        <w:t> 30 ml bei PSA 1,5</w:t>
      </w:r>
      <w:r w:rsidRPr="001F276A">
        <w:rPr>
          <w:rFonts w:eastAsia="Calibri"/>
          <w:sz w:val="22"/>
        </w:rPr>
        <w:noBreakHyphen/>
        <w:t>10 ng/ml ribose. Maždaug 53 % tiriamųjų anksčiau vartojo 5</w:t>
      </w:r>
      <w:r w:rsidRPr="001F276A">
        <w:rPr>
          <w:rFonts w:eastAsia="Calibri"/>
          <w:sz w:val="22"/>
        </w:rPr>
        <w:noBreakHyphen/>
        <w:t>alfa reduktazės inhibitorių arba alfa</w:t>
      </w:r>
      <w:r w:rsidRPr="001F276A">
        <w:rPr>
          <w:rFonts w:eastAsia="Calibri"/>
          <w:sz w:val="22"/>
          <w:vertAlign w:val="subscript"/>
        </w:rPr>
        <w:t>1</w:t>
      </w:r>
      <w:r>
        <w:rPr>
          <w:rFonts w:eastAsia="Calibri"/>
          <w:sz w:val="22"/>
          <w:szCs w:val="22"/>
        </w:rPr>
        <w:t xml:space="preserve"> adrenor</w:t>
      </w:r>
      <w:r w:rsidRPr="001F276A">
        <w:rPr>
          <w:rFonts w:eastAsia="Calibri"/>
          <w:sz w:val="22"/>
        </w:rPr>
        <w:t xml:space="preserve">eceptorių antagonistų. Pagrindinė vertinamoji baigtis per pirmuosius 2 gydymo metus buvo pokytis pagal tarptautinę prostatos simptomų vertinimo skalę (angl. </w:t>
      </w:r>
      <w:r w:rsidRPr="001F276A">
        <w:rPr>
          <w:rFonts w:eastAsia="Calibri"/>
          <w:i/>
          <w:sz w:val="22"/>
        </w:rPr>
        <w:t>International Prostate Symptom Score, IPSS</w:t>
      </w:r>
      <w:r w:rsidRPr="001F276A">
        <w:rPr>
          <w:rFonts w:eastAsia="Calibri"/>
          <w:sz w:val="22"/>
        </w:rPr>
        <w:t xml:space="preserve">). </w:t>
      </w:r>
      <w:r w:rsidRPr="001F276A">
        <w:rPr>
          <w:rFonts w:eastAsia="Calibri"/>
          <w:i/>
          <w:sz w:val="22"/>
        </w:rPr>
        <w:t>IPSS</w:t>
      </w:r>
      <w:r w:rsidRPr="001F276A">
        <w:rPr>
          <w:rFonts w:eastAsia="Calibri"/>
          <w:sz w:val="22"/>
        </w:rPr>
        <w:t xml:space="preserve"> yra 8 dalių klausimynas, paremtas </w:t>
      </w:r>
      <w:r w:rsidRPr="001F276A">
        <w:rPr>
          <w:rFonts w:eastAsia="Calibri"/>
          <w:i/>
          <w:sz w:val="22"/>
        </w:rPr>
        <w:t>AUA-SI</w:t>
      </w:r>
      <w:r w:rsidRPr="001F276A">
        <w:rPr>
          <w:rFonts w:eastAsia="Calibri"/>
          <w:sz w:val="22"/>
        </w:rPr>
        <w:t xml:space="preserve"> instrumentiniais tyrimais, su papildomu klausimu apie gyvenimo kokybę. Antrinę vertinamąją baigtį po 2 metų sudarė maksimali šlapimo srovė (</w:t>
      </w:r>
      <w:r w:rsidRPr="001F276A">
        <w:rPr>
          <w:rFonts w:eastAsia="Calibri"/>
          <w:i/>
          <w:sz w:val="22"/>
        </w:rPr>
        <w:t>Q</w:t>
      </w:r>
      <w:r>
        <w:rPr>
          <w:rFonts w:eastAsia="Calibri"/>
          <w:i/>
          <w:sz w:val="22"/>
          <w:szCs w:val="22"/>
          <w:vertAlign w:val="subscript"/>
        </w:rPr>
        <w:t>max</w:t>
      </w:r>
      <w:r w:rsidRPr="001F276A">
        <w:rPr>
          <w:rFonts w:eastAsia="Calibri"/>
          <w:sz w:val="22"/>
        </w:rPr>
        <w:t xml:space="preserve">) ir prostatos tūris. Taikant kombinuotąjį gydymą, </w:t>
      </w:r>
      <w:r w:rsidRPr="001F276A">
        <w:rPr>
          <w:rFonts w:eastAsia="Calibri"/>
          <w:i/>
          <w:sz w:val="22"/>
        </w:rPr>
        <w:t>IPSS</w:t>
      </w:r>
      <w:r w:rsidRPr="001F276A">
        <w:rPr>
          <w:rFonts w:eastAsia="Calibri"/>
          <w:sz w:val="22"/>
        </w:rPr>
        <w:t xml:space="preserve"> pokytis tapo reikšmingas nuo 3 mėnesio, palyginti su dutasterido vartojimu, ir nuo 9 mėnesio, palyginti su tamsulozino vartojimu. Taikant kombinuotąjį gydymą, </w:t>
      </w:r>
      <w:r w:rsidRPr="001F276A">
        <w:rPr>
          <w:rFonts w:eastAsia="Calibri"/>
          <w:i/>
          <w:sz w:val="22"/>
        </w:rPr>
        <w:t>Q</w:t>
      </w:r>
      <w:r>
        <w:rPr>
          <w:rFonts w:eastAsia="Calibri"/>
          <w:i/>
          <w:sz w:val="22"/>
          <w:szCs w:val="22"/>
          <w:vertAlign w:val="subscript"/>
        </w:rPr>
        <w:t>max</w:t>
      </w:r>
      <w:r w:rsidRPr="001F276A">
        <w:rPr>
          <w:rFonts w:eastAsia="Calibri"/>
          <w:sz w:val="22"/>
        </w:rPr>
        <w:t xml:space="preserve"> pokytis tapo reikšmingas nuo 6 mėnesio, palyginti su dutasterido ar tamsulozino vartojimu.</w:t>
      </w:r>
    </w:p>
    <w:p w14:paraId="38EF522E" w14:textId="77777777" w:rsidR="00602606" w:rsidRDefault="00602606">
      <w:pPr>
        <w:widowControl w:val="0"/>
        <w:contextualSpacing/>
        <w:outlineLvl w:val="0"/>
        <w:rPr>
          <w:rFonts w:eastAsia="Calibri"/>
          <w:sz w:val="22"/>
          <w:szCs w:val="22"/>
        </w:rPr>
      </w:pPr>
    </w:p>
    <w:p w14:paraId="50308D45"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Vartojant dutasteridą kartu su tamsulozinu, simptomai palengvėja labiau nei vartojant bet kurią veikliąją medžiagą atskirai. Po 2 metų kombinuotasis gydymas sukėlė statistiškai reikšmingai didesnį vidutinį simptomų įvertinimo pagerėjimą, palyginti su pradiniu rodmeniu (-6,2 vieneto).</w:t>
      </w:r>
    </w:p>
    <w:p w14:paraId="71A872BF" w14:textId="77777777" w:rsidR="00602606" w:rsidRDefault="00602606">
      <w:pPr>
        <w:widowControl w:val="0"/>
        <w:contextualSpacing/>
        <w:outlineLvl w:val="0"/>
        <w:rPr>
          <w:rFonts w:eastAsia="Calibri"/>
          <w:sz w:val="22"/>
          <w:szCs w:val="22"/>
        </w:rPr>
      </w:pPr>
    </w:p>
    <w:p w14:paraId="6646EBB1"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 xml:space="preserve">Koreguotasis vidutinis šlapimo srovės greičio pagerėjimas, palyginti su pradiniu rodmeniu, buvo 2,4 ml per sekundę taikant kombinuotąjį gydymą, 1,9 ml per sekundę vartojant dutasteridą ir 0,9 ml per sekundę vartojant tamsuloziną. Koreguotojo vidutinio GPH įtakos indekso (angl. </w:t>
      </w:r>
      <w:r w:rsidRPr="001F276A">
        <w:rPr>
          <w:rFonts w:eastAsia="Calibri"/>
          <w:i/>
          <w:sz w:val="22"/>
        </w:rPr>
        <w:t>BPH Impact Index, BII</w:t>
      </w:r>
      <w:r w:rsidRPr="001F276A">
        <w:rPr>
          <w:rFonts w:eastAsia="Calibri"/>
          <w:sz w:val="22"/>
        </w:rPr>
        <w:t xml:space="preserve">) pagerėjimas, palyginti su pradiniu rodmeniu, buvo -2,1 vieneto taikant kombinuotąjį gydymą, -1,7 vartojant dutasteridą ir -1,5 vartojant tamsuloziną. </w:t>
      </w:r>
      <w:r>
        <w:rPr>
          <w:rFonts w:eastAsia="Calibri"/>
          <w:sz w:val="22"/>
          <w:szCs w:val="22"/>
        </w:rPr>
        <w:t xml:space="preserve">Toks šlapimo srovės greičio ir </w:t>
      </w:r>
      <w:r w:rsidRPr="001F276A">
        <w:rPr>
          <w:rFonts w:eastAsia="Calibri"/>
          <w:i/>
          <w:sz w:val="22"/>
        </w:rPr>
        <w:t>BII</w:t>
      </w:r>
      <w:r w:rsidRPr="001F276A">
        <w:rPr>
          <w:rFonts w:eastAsia="Calibri"/>
          <w:sz w:val="22"/>
        </w:rPr>
        <w:t xml:space="preserve"> pagerėjimas taikant kombinuotąjį gydymą buvo statistiškai reikšmingai didesnis, palyginti su monoterapija kiekvienu vaistiniu preparatu atskirai.</w:t>
      </w:r>
    </w:p>
    <w:p w14:paraId="49CCCB21" w14:textId="77777777" w:rsidR="00602606" w:rsidRDefault="00602606">
      <w:pPr>
        <w:widowControl w:val="0"/>
        <w:contextualSpacing/>
        <w:outlineLvl w:val="0"/>
        <w:rPr>
          <w:rFonts w:eastAsia="Calibri"/>
          <w:sz w:val="22"/>
          <w:szCs w:val="22"/>
        </w:rPr>
      </w:pPr>
    </w:p>
    <w:p w14:paraId="5099850F"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Bendro prostatos tūrio ir pereinamosios zonos tūrio sumažėjimas taikant kombinuotąjį gydymą po 2 gydymo metų buvo statistiškai reikšmingai didesnis, palyginti su monoterapija tamsulozinu.</w:t>
      </w:r>
    </w:p>
    <w:p w14:paraId="2C9262A6" w14:textId="77777777" w:rsidR="00602606" w:rsidRDefault="00602606">
      <w:pPr>
        <w:widowControl w:val="0"/>
        <w:contextualSpacing/>
        <w:outlineLvl w:val="0"/>
        <w:rPr>
          <w:rFonts w:eastAsia="Calibri"/>
          <w:sz w:val="22"/>
          <w:szCs w:val="22"/>
        </w:rPr>
      </w:pPr>
    </w:p>
    <w:p w14:paraId="06DF37C0"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Pagrindinė vertinamoji baigtis po 4 gydymo metų buvo laikotarpis, per kurį pasireiškė pirmieji ŪŠS reiškiniai arba buvo atlikta su GPH susijusi chirurginė operacija. Taikant kombinuotąjį gydymą, po ketverių gydymo metų ŪŠS arba su GPH susijusios chirurginės operacijos rizika statistiškai reikšmingai sumažėjo (rizikos sumažėjimas 65,8 %, p &lt; 0,001 [95 % PI nuo 54,7 % iki 74,1 %]), palyginti su tamsulozino monoterapija. ŪŠS arba su GPH susijusios chirurginės operacijos dažnis ketvirtaisiai</w:t>
      </w:r>
      <w:r w:rsidRPr="001F276A">
        <w:rPr>
          <w:rFonts w:eastAsia="Calibri"/>
          <w:sz w:val="22"/>
        </w:rPr>
        <w:t>s metais buvo 4,2 %, taikant kombinuotąjį gydymą, ir 11,9 %, vartojant tamsuloziną (p &lt; 0,001). Taikant kombinuotąjį gydymą, palyginti su monoterapija dutasteridu, ŪŠS arba su GPH susijusios chirurginės operacijos rizika sumažėjo 19,6 % (p=0,18 [95 % PI nuo -10,9 % iki 41,7 %]). ŪŠS arba su GPH susijusios chirurginės operacijos dažnis 4 metais buvo 5,2 % vartojant dutasteridą.</w:t>
      </w:r>
    </w:p>
    <w:p w14:paraId="3C6A7221" w14:textId="77777777" w:rsidR="00602606" w:rsidRDefault="00602606">
      <w:pPr>
        <w:widowControl w:val="0"/>
        <w:contextualSpacing/>
        <w:outlineLvl w:val="0"/>
        <w:rPr>
          <w:rFonts w:eastAsia="Calibri"/>
          <w:sz w:val="22"/>
          <w:szCs w:val="22"/>
        </w:rPr>
      </w:pPr>
    </w:p>
    <w:p w14:paraId="5AA92A5D"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 xml:space="preserve">Antrinę vertinamąją baigtį ketvirtaisiais gydymo metais sudarė laikotarpis, po kurio klinikinė būklė pradėjo progresuoti (apibūdinama kaip sudedamoji vertinamoji baigtis: IPSS pablogėjimas </w:t>
      </w:r>
      <w:r w:rsidRPr="001F276A">
        <w:rPr>
          <w:rFonts w:eastAsia="Calibri"/>
          <w:sz w:val="22"/>
        </w:rPr>
        <w:sym w:font="Symbol" w:char="F0B3"/>
      </w:r>
      <w:r>
        <w:rPr>
          <w:rFonts w:eastAsia="Calibri"/>
          <w:sz w:val="22"/>
          <w:szCs w:val="22"/>
        </w:rPr>
        <w:t xml:space="preserve"> 4 balais, su GPH susiję ŪŠS reiškiniai, šlapimo nelaikymas, šlapimo takų infekcija (ŠTI) ir inkstų nepakankamumas), įvertinimo pagal Tarptautinę prostatos simptomų vertinimo skalę (angl. </w:t>
      </w:r>
      <w:r w:rsidRPr="001F276A">
        <w:rPr>
          <w:rFonts w:eastAsia="Calibri"/>
          <w:i/>
          <w:sz w:val="22"/>
        </w:rPr>
        <w:t>IPSS</w:t>
      </w:r>
      <w:r w:rsidRPr="001F276A">
        <w:rPr>
          <w:rFonts w:eastAsia="Calibri"/>
          <w:sz w:val="22"/>
        </w:rPr>
        <w:t>), maksimalios šlapimo srovės (Q</w:t>
      </w:r>
      <w:r w:rsidRPr="001F276A">
        <w:rPr>
          <w:rFonts w:eastAsia="Calibri"/>
          <w:sz w:val="22"/>
          <w:vertAlign w:val="subscript"/>
        </w:rPr>
        <w:t>max</w:t>
      </w:r>
      <w:r w:rsidRPr="001F276A">
        <w:rPr>
          <w:rFonts w:eastAsia="Calibri"/>
          <w:sz w:val="22"/>
        </w:rPr>
        <w:t>) ir prostatos tūrio pokytis. IPSS yra 8 dalių klausimynas, paremtas AUA-SI instrumentiniais tyrimais, su papildomu klausimu apie gyvenimo kokybę. Rezultatai po 4 gydymo metų pateikti toliau:</w:t>
      </w:r>
    </w:p>
    <w:p w14:paraId="26CB0B7A" w14:textId="77777777" w:rsidR="00602606" w:rsidRDefault="00602606">
      <w:pPr>
        <w:widowControl w:val="0"/>
        <w:contextualSpacing/>
        <w:outlineLvl w:val="0"/>
        <w:rPr>
          <w:rFonts w:eastAsia="Calibri"/>
          <w:sz w:val="22"/>
          <w:szCs w:val="22"/>
        </w:rPr>
      </w:pPr>
    </w:p>
    <w:tbl>
      <w:tblPr>
        <w:tblW w:w="4996" w:type="pct"/>
        <w:tblInd w:w="8" w:type="dxa"/>
        <w:tblBorders>
          <w:top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1939"/>
        <w:gridCol w:w="3143"/>
        <w:gridCol w:w="1366"/>
        <w:gridCol w:w="1301"/>
        <w:gridCol w:w="1299"/>
      </w:tblGrid>
      <w:tr w:rsidR="00602606" w14:paraId="030FAA91" w14:textId="77777777">
        <w:trPr>
          <w:trHeight w:val="501"/>
        </w:trPr>
        <w:tc>
          <w:tcPr>
            <w:tcW w:w="1071" w:type="pct"/>
            <w:tcBorders>
              <w:left w:val="single" w:sz="6" w:space="0" w:color="000000"/>
              <w:bottom w:val="single" w:sz="6" w:space="0" w:color="000000"/>
            </w:tcBorders>
          </w:tcPr>
          <w:p w14:paraId="56840B0E" w14:textId="77777777" w:rsidR="00602606" w:rsidRDefault="00604AEE">
            <w:pPr>
              <w:widowControl w:val="0"/>
              <w:contextualSpacing/>
              <w:outlineLvl w:val="0"/>
              <w:rPr>
                <w:rFonts w:eastAsia="Calibri"/>
                <w:sz w:val="22"/>
                <w:szCs w:val="22"/>
              </w:rPr>
            </w:pPr>
            <w:r>
              <w:rPr>
                <w:rFonts w:eastAsia="Calibri"/>
                <w:sz w:val="22"/>
                <w:szCs w:val="22"/>
              </w:rPr>
              <w:t>Rodmuo</w:t>
            </w:r>
          </w:p>
        </w:tc>
        <w:tc>
          <w:tcPr>
            <w:tcW w:w="1737" w:type="pct"/>
            <w:tcBorders>
              <w:bottom w:val="single" w:sz="6" w:space="0" w:color="000000"/>
            </w:tcBorders>
          </w:tcPr>
          <w:p w14:paraId="22A8F9B8"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Laikas</w:t>
            </w:r>
          </w:p>
        </w:tc>
        <w:tc>
          <w:tcPr>
            <w:tcW w:w="755" w:type="pct"/>
            <w:tcBorders>
              <w:bottom w:val="single" w:sz="6" w:space="0" w:color="000000"/>
            </w:tcBorders>
          </w:tcPr>
          <w:p w14:paraId="4780D552"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Kombinuotasis gydymas</w:t>
            </w:r>
          </w:p>
        </w:tc>
        <w:tc>
          <w:tcPr>
            <w:tcW w:w="719" w:type="pct"/>
            <w:tcBorders>
              <w:bottom w:val="single" w:sz="6" w:space="0" w:color="000000"/>
            </w:tcBorders>
          </w:tcPr>
          <w:p w14:paraId="34847D96"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Dutasteridas</w:t>
            </w:r>
          </w:p>
        </w:tc>
        <w:tc>
          <w:tcPr>
            <w:tcW w:w="718" w:type="pct"/>
            <w:tcBorders>
              <w:bottom w:val="single" w:sz="6" w:space="0" w:color="000000"/>
              <w:right w:val="single" w:sz="6" w:space="0" w:color="000000"/>
            </w:tcBorders>
          </w:tcPr>
          <w:p w14:paraId="59D2B251"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Tamsulozinas</w:t>
            </w:r>
          </w:p>
        </w:tc>
      </w:tr>
      <w:tr w:rsidR="00602606" w14:paraId="7C5D07C1" w14:textId="77777777">
        <w:trPr>
          <w:trHeight w:val="764"/>
        </w:trPr>
        <w:tc>
          <w:tcPr>
            <w:tcW w:w="1071" w:type="pct"/>
            <w:tcBorders>
              <w:left w:val="single" w:sz="6" w:space="0" w:color="000000"/>
              <w:bottom w:val="single" w:sz="6" w:space="0" w:color="000000"/>
            </w:tcBorders>
          </w:tcPr>
          <w:p w14:paraId="0B0F27B0" w14:textId="77777777" w:rsidR="00602606" w:rsidRDefault="00604AEE">
            <w:pPr>
              <w:widowControl w:val="0"/>
              <w:contextualSpacing/>
              <w:outlineLvl w:val="0"/>
              <w:rPr>
                <w:rFonts w:eastAsia="Calibri"/>
                <w:sz w:val="22"/>
                <w:szCs w:val="22"/>
              </w:rPr>
            </w:pPr>
            <w:r>
              <w:rPr>
                <w:rFonts w:eastAsia="Calibri"/>
                <w:sz w:val="22"/>
                <w:szCs w:val="22"/>
              </w:rPr>
              <w:t>ŪŠS arba su GPH susijusi chirurginė operacija (%)</w:t>
            </w:r>
          </w:p>
        </w:tc>
        <w:tc>
          <w:tcPr>
            <w:tcW w:w="1737" w:type="pct"/>
            <w:tcBorders>
              <w:bottom w:val="single" w:sz="6" w:space="0" w:color="000000"/>
            </w:tcBorders>
          </w:tcPr>
          <w:p w14:paraId="5F724874" w14:textId="77777777" w:rsidR="00602606" w:rsidRDefault="00602606">
            <w:pPr>
              <w:widowControl w:val="0"/>
              <w:contextualSpacing/>
              <w:outlineLvl w:val="0"/>
              <w:rPr>
                <w:rFonts w:eastAsia="Calibri"/>
                <w:sz w:val="22"/>
                <w:szCs w:val="22"/>
              </w:rPr>
            </w:pPr>
          </w:p>
          <w:p w14:paraId="3E527FD8"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Dažnis 48 mėnesį</w:t>
            </w:r>
          </w:p>
        </w:tc>
        <w:tc>
          <w:tcPr>
            <w:tcW w:w="755" w:type="pct"/>
            <w:tcBorders>
              <w:bottom w:val="single" w:sz="6" w:space="0" w:color="000000"/>
            </w:tcBorders>
          </w:tcPr>
          <w:p w14:paraId="7DFF59BB" w14:textId="77777777" w:rsidR="00602606" w:rsidRDefault="00604AEE">
            <w:pPr>
              <w:widowControl w:val="0"/>
              <w:contextualSpacing/>
              <w:jc w:val="center"/>
              <w:outlineLvl w:val="0"/>
              <w:rPr>
                <w:rFonts w:asciiTheme="minorHAnsi" w:eastAsia="Calibri" w:hAnsiTheme="minorHAnsi" w:cstheme="minorBidi"/>
                <w:sz w:val="22"/>
                <w:szCs w:val="22"/>
                <w:lang w:val="lt-LT" w:eastAsia="en-US"/>
              </w:rPr>
            </w:pPr>
            <w:r>
              <w:rPr>
                <w:rFonts w:eastAsia="Calibri"/>
                <w:sz w:val="22"/>
                <w:szCs w:val="22"/>
              </w:rPr>
              <w:t>4,2</w:t>
            </w:r>
          </w:p>
        </w:tc>
        <w:tc>
          <w:tcPr>
            <w:tcW w:w="719" w:type="pct"/>
            <w:tcBorders>
              <w:bottom w:val="single" w:sz="6" w:space="0" w:color="000000"/>
            </w:tcBorders>
          </w:tcPr>
          <w:p w14:paraId="48225A16" w14:textId="77777777" w:rsidR="00602606" w:rsidRDefault="00604AEE">
            <w:pPr>
              <w:widowControl w:val="0"/>
              <w:contextualSpacing/>
              <w:jc w:val="center"/>
              <w:outlineLvl w:val="0"/>
              <w:rPr>
                <w:rFonts w:asciiTheme="minorHAnsi" w:eastAsia="Calibri" w:hAnsiTheme="minorHAnsi" w:cstheme="minorBidi"/>
                <w:sz w:val="22"/>
                <w:szCs w:val="22"/>
                <w:lang w:val="lt-LT" w:eastAsia="en-US"/>
              </w:rPr>
            </w:pPr>
            <w:r>
              <w:rPr>
                <w:rFonts w:eastAsia="Calibri"/>
                <w:sz w:val="22"/>
                <w:szCs w:val="22"/>
              </w:rPr>
              <w:t>5,2</w:t>
            </w:r>
          </w:p>
        </w:tc>
        <w:tc>
          <w:tcPr>
            <w:tcW w:w="718" w:type="pct"/>
            <w:tcBorders>
              <w:bottom w:val="single" w:sz="6" w:space="0" w:color="000000"/>
              <w:right w:val="single" w:sz="6" w:space="0" w:color="000000"/>
            </w:tcBorders>
          </w:tcPr>
          <w:p w14:paraId="68E6E145" w14:textId="77777777" w:rsidR="00602606" w:rsidRDefault="00604AEE">
            <w:pPr>
              <w:widowControl w:val="0"/>
              <w:contextualSpacing/>
              <w:jc w:val="center"/>
              <w:outlineLvl w:val="0"/>
              <w:rPr>
                <w:rFonts w:asciiTheme="minorHAnsi" w:eastAsia="Calibri" w:hAnsiTheme="minorHAnsi" w:cstheme="minorBidi"/>
                <w:sz w:val="22"/>
                <w:szCs w:val="22"/>
                <w:lang w:val="lt-LT" w:eastAsia="en-US"/>
              </w:rPr>
            </w:pPr>
            <w:r>
              <w:rPr>
                <w:rFonts w:eastAsia="Calibri"/>
                <w:sz w:val="22"/>
                <w:szCs w:val="22"/>
              </w:rPr>
              <w:t>11,9</w:t>
            </w:r>
            <w:r>
              <w:rPr>
                <w:rFonts w:eastAsia="Calibri"/>
                <w:sz w:val="22"/>
                <w:szCs w:val="22"/>
                <w:vertAlign w:val="superscript"/>
              </w:rPr>
              <w:t>a</w:t>
            </w:r>
          </w:p>
        </w:tc>
      </w:tr>
      <w:tr w:rsidR="00602606" w14:paraId="478096E4" w14:textId="77777777">
        <w:trPr>
          <w:trHeight w:val="866"/>
        </w:trPr>
        <w:tc>
          <w:tcPr>
            <w:tcW w:w="1071" w:type="pct"/>
            <w:tcBorders>
              <w:left w:val="single" w:sz="6" w:space="0" w:color="000000"/>
              <w:bottom w:val="single" w:sz="6" w:space="0" w:color="000000"/>
            </w:tcBorders>
          </w:tcPr>
          <w:p w14:paraId="17FF6257" w14:textId="77777777" w:rsidR="00602606" w:rsidRDefault="00604AEE">
            <w:pPr>
              <w:widowControl w:val="0"/>
              <w:contextualSpacing/>
              <w:outlineLvl w:val="0"/>
              <w:rPr>
                <w:rFonts w:eastAsia="Calibri"/>
                <w:sz w:val="22"/>
                <w:szCs w:val="22"/>
              </w:rPr>
            </w:pPr>
            <w:r>
              <w:rPr>
                <w:rFonts w:eastAsia="Calibri"/>
                <w:sz w:val="22"/>
                <w:szCs w:val="22"/>
              </w:rPr>
              <w:t>Klinikinis progresavimas* (%)</w:t>
            </w:r>
          </w:p>
        </w:tc>
        <w:tc>
          <w:tcPr>
            <w:tcW w:w="1737" w:type="pct"/>
            <w:tcBorders>
              <w:bottom w:val="single" w:sz="6" w:space="0" w:color="000000"/>
            </w:tcBorders>
          </w:tcPr>
          <w:p w14:paraId="3B6C5462" w14:textId="77777777" w:rsidR="00602606" w:rsidRDefault="00602606">
            <w:pPr>
              <w:widowControl w:val="0"/>
              <w:contextualSpacing/>
              <w:outlineLvl w:val="0"/>
              <w:rPr>
                <w:rFonts w:eastAsia="Calibri"/>
                <w:sz w:val="22"/>
                <w:szCs w:val="22"/>
              </w:rPr>
            </w:pPr>
          </w:p>
          <w:p w14:paraId="45EE16F5"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 xml:space="preserve"> 48 mėnuo</w:t>
            </w:r>
          </w:p>
        </w:tc>
        <w:tc>
          <w:tcPr>
            <w:tcW w:w="755" w:type="pct"/>
            <w:tcBorders>
              <w:bottom w:val="single" w:sz="6" w:space="0" w:color="000000"/>
            </w:tcBorders>
          </w:tcPr>
          <w:p w14:paraId="59F3894C" w14:textId="77777777" w:rsidR="00602606" w:rsidRDefault="00604AEE">
            <w:pPr>
              <w:widowControl w:val="0"/>
              <w:contextualSpacing/>
              <w:jc w:val="center"/>
              <w:outlineLvl w:val="0"/>
              <w:rPr>
                <w:rFonts w:asciiTheme="minorHAnsi" w:eastAsia="Calibri" w:hAnsiTheme="minorHAnsi" w:cstheme="minorBidi"/>
                <w:sz w:val="22"/>
                <w:szCs w:val="22"/>
                <w:lang w:val="lt-LT" w:eastAsia="en-US"/>
              </w:rPr>
            </w:pPr>
            <w:r>
              <w:rPr>
                <w:rFonts w:eastAsia="Calibri"/>
                <w:sz w:val="22"/>
                <w:szCs w:val="22"/>
              </w:rPr>
              <w:t>12,6</w:t>
            </w:r>
          </w:p>
        </w:tc>
        <w:tc>
          <w:tcPr>
            <w:tcW w:w="719" w:type="pct"/>
            <w:tcBorders>
              <w:bottom w:val="single" w:sz="6" w:space="0" w:color="000000"/>
            </w:tcBorders>
          </w:tcPr>
          <w:p w14:paraId="6EE70FB5" w14:textId="77777777" w:rsidR="00602606" w:rsidRDefault="00604AEE">
            <w:pPr>
              <w:widowControl w:val="0"/>
              <w:contextualSpacing/>
              <w:jc w:val="center"/>
              <w:outlineLvl w:val="0"/>
              <w:rPr>
                <w:rFonts w:asciiTheme="minorHAnsi" w:eastAsia="Calibri" w:hAnsiTheme="minorHAnsi" w:cstheme="minorBidi"/>
                <w:sz w:val="22"/>
                <w:szCs w:val="22"/>
                <w:lang w:val="lt-LT" w:eastAsia="en-US"/>
              </w:rPr>
            </w:pPr>
            <w:r>
              <w:rPr>
                <w:rFonts w:eastAsia="Calibri"/>
                <w:sz w:val="22"/>
                <w:szCs w:val="22"/>
              </w:rPr>
              <w:t>17,8</w:t>
            </w:r>
            <w:r>
              <w:rPr>
                <w:rFonts w:eastAsia="Calibri"/>
                <w:sz w:val="22"/>
                <w:szCs w:val="22"/>
                <w:vertAlign w:val="superscript"/>
              </w:rPr>
              <w:t>b</w:t>
            </w:r>
          </w:p>
        </w:tc>
        <w:tc>
          <w:tcPr>
            <w:tcW w:w="718" w:type="pct"/>
            <w:tcBorders>
              <w:bottom w:val="single" w:sz="6" w:space="0" w:color="000000"/>
              <w:right w:val="single" w:sz="6" w:space="0" w:color="000000"/>
            </w:tcBorders>
          </w:tcPr>
          <w:p w14:paraId="3152908F" w14:textId="77777777" w:rsidR="00602606" w:rsidRDefault="00604AEE">
            <w:pPr>
              <w:widowControl w:val="0"/>
              <w:contextualSpacing/>
              <w:jc w:val="center"/>
              <w:outlineLvl w:val="0"/>
              <w:rPr>
                <w:rFonts w:asciiTheme="minorHAnsi" w:eastAsia="Calibri" w:hAnsiTheme="minorHAnsi" w:cstheme="minorBidi"/>
                <w:sz w:val="22"/>
                <w:szCs w:val="22"/>
                <w:lang w:val="lt-LT" w:eastAsia="en-US"/>
              </w:rPr>
            </w:pPr>
            <w:r>
              <w:rPr>
                <w:rFonts w:eastAsia="Calibri"/>
                <w:sz w:val="22"/>
                <w:szCs w:val="22"/>
              </w:rPr>
              <w:t>21,5</w:t>
            </w:r>
            <w:r>
              <w:rPr>
                <w:rFonts w:eastAsia="Calibri"/>
                <w:sz w:val="22"/>
                <w:szCs w:val="22"/>
                <w:vertAlign w:val="superscript"/>
              </w:rPr>
              <w:t>a</w:t>
            </w:r>
          </w:p>
        </w:tc>
      </w:tr>
      <w:tr w:rsidR="00602606" w14:paraId="02EF117C" w14:textId="77777777">
        <w:trPr>
          <w:trHeight w:val="1014"/>
        </w:trPr>
        <w:tc>
          <w:tcPr>
            <w:tcW w:w="1071" w:type="pct"/>
            <w:tcBorders>
              <w:left w:val="single" w:sz="6" w:space="0" w:color="000000"/>
              <w:bottom w:val="single" w:sz="6" w:space="0" w:color="000000"/>
            </w:tcBorders>
          </w:tcPr>
          <w:p w14:paraId="2B29739C" w14:textId="77777777" w:rsidR="00602606" w:rsidRDefault="00604AEE">
            <w:pPr>
              <w:widowControl w:val="0"/>
              <w:contextualSpacing/>
              <w:outlineLvl w:val="0"/>
              <w:rPr>
                <w:rFonts w:eastAsia="Calibri"/>
                <w:sz w:val="22"/>
                <w:szCs w:val="22"/>
              </w:rPr>
            </w:pPr>
            <w:r>
              <w:rPr>
                <w:rFonts w:eastAsia="Calibri"/>
                <w:i/>
                <w:sz w:val="22"/>
                <w:szCs w:val="22"/>
              </w:rPr>
              <w:t>IPSS</w:t>
            </w:r>
            <w:r>
              <w:rPr>
                <w:rFonts w:eastAsia="Calibri"/>
                <w:sz w:val="22"/>
                <w:szCs w:val="22"/>
              </w:rPr>
              <w:t xml:space="preserve"> (vienetai)</w:t>
            </w:r>
          </w:p>
        </w:tc>
        <w:tc>
          <w:tcPr>
            <w:tcW w:w="1737" w:type="pct"/>
            <w:tcBorders>
              <w:bottom w:val="single" w:sz="6" w:space="0" w:color="000000"/>
            </w:tcBorders>
          </w:tcPr>
          <w:p w14:paraId="7044E5C9"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 xml:space="preserve">[Pradinis rodmuo] </w:t>
            </w:r>
          </w:p>
          <w:p w14:paraId="1E30401D"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48-as mėnuo (pokytis nuo pradinio rodmens)</w:t>
            </w:r>
          </w:p>
          <w:p w14:paraId="3C18682F" w14:textId="77777777" w:rsidR="00602606" w:rsidRDefault="00602606">
            <w:pPr>
              <w:widowControl w:val="0"/>
              <w:contextualSpacing/>
              <w:outlineLvl w:val="0"/>
              <w:rPr>
                <w:rFonts w:eastAsia="Calibri"/>
                <w:sz w:val="22"/>
                <w:szCs w:val="22"/>
              </w:rPr>
            </w:pPr>
          </w:p>
        </w:tc>
        <w:tc>
          <w:tcPr>
            <w:tcW w:w="755" w:type="pct"/>
            <w:tcBorders>
              <w:bottom w:val="single" w:sz="6" w:space="0" w:color="000000"/>
            </w:tcBorders>
          </w:tcPr>
          <w:p w14:paraId="0F61B023" w14:textId="77777777" w:rsidR="00602606" w:rsidRDefault="00604AEE">
            <w:pPr>
              <w:widowControl w:val="0"/>
              <w:contextualSpacing/>
              <w:jc w:val="center"/>
              <w:outlineLvl w:val="0"/>
              <w:rPr>
                <w:rFonts w:asciiTheme="minorHAnsi" w:eastAsia="Calibri" w:hAnsiTheme="minorHAnsi" w:cstheme="minorBidi"/>
                <w:sz w:val="22"/>
                <w:szCs w:val="22"/>
                <w:lang w:val="lt-LT" w:eastAsia="en-US"/>
              </w:rPr>
            </w:pPr>
            <w:r>
              <w:rPr>
                <w:rFonts w:eastAsia="Calibri"/>
                <w:sz w:val="22"/>
                <w:szCs w:val="22"/>
              </w:rPr>
              <w:t>[16,6]</w:t>
            </w:r>
          </w:p>
          <w:p w14:paraId="31AEF91F" w14:textId="77777777" w:rsidR="00602606" w:rsidRDefault="00604AEE">
            <w:pPr>
              <w:widowControl w:val="0"/>
              <w:contextualSpacing/>
              <w:jc w:val="center"/>
              <w:outlineLvl w:val="0"/>
              <w:rPr>
                <w:rFonts w:asciiTheme="minorHAnsi" w:eastAsia="Calibri" w:hAnsiTheme="minorHAnsi" w:cstheme="minorBidi"/>
                <w:sz w:val="22"/>
                <w:szCs w:val="22"/>
                <w:lang w:val="lt-LT" w:eastAsia="en-US"/>
              </w:rPr>
            </w:pPr>
            <w:r>
              <w:rPr>
                <w:rFonts w:eastAsia="Calibri"/>
                <w:sz w:val="22"/>
                <w:szCs w:val="22"/>
              </w:rPr>
              <w:t>-6,3</w:t>
            </w:r>
          </w:p>
        </w:tc>
        <w:tc>
          <w:tcPr>
            <w:tcW w:w="719" w:type="pct"/>
            <w:tcBorders>
              <w:bottom w:val="single" w:sz="6" w:space="0" w:color="000000"/>
            </w:tcBorders>
          </w:tcPr>
          <w:p w14:paraId="2097DBE7" w14:textId="77777777" w:rsidR="00602606" w:rsidRDefault="00604AEE">
            <w:pPr>
              <w:widowControl w:val="0"/>
              <w:contextualSpacing/>
              <w:jc w:val="center"/>
              <w:outlineLvl w:val="0"/>
              <w:rPr>
                <w:rFonts w:asciiTheme="minorHAnsi" w:eastAsia="Calibri" w:hAnsiTheme="minorHAnsi" w:cstheme="minorBidi"/>
                <w:sz w:val="22"/>
                <w:szCs w:val="22"/>
                <w:lang w:val="lt-LT" w:eastAsia="en-US"/>
              </w:rPr>
            </w:pPr>
            <w:r>
              <w:rPr>
                <w:rFonts w:eastAsia="Calibri"/>
                <w:sz w:val="22"/>
                <w:szCs w:val="22"/>
              </w:rPr>
              <w:t>[16,4]</w:t>
            </w:r>
          </w:p>
          <w:p w14:paraId="7CDBE4E3" w14:textId="77777777" w:rsidR="00602606" w:rsidRDefault="00604AEE">
            <w:pPr>
              <w:widowControl w:val="0"/>
              <w:contextualSpacing/>
              <w:jc w:val="center"/>
              <w:outlineLvl w:val="0"/>
              <w:rPr>
                <w:rFonts w:asciiTheme="minorHAnsi" w:eastAsia="Calibri" w:hAnsiTheme="minorHAnsi" w:cstheme="minorBidi"/>
                <w:sz w:val="22"/>
                <w:szCs w:val="22"/>
                <w:lang w:val="lt-LT" w:eastAsia="en-US"/>
              </w:rPr>
            </w:pPr>
            <w:r>
              <w:rPr>
                <w:rFonts w:eastAsia="Calibri"/>
                <w:sz w:val="22"/>
                <w:szCs w:val="22"/>
              </w:rPr>
              <w:t>-5,3</w:t>
            </w:r>
            <w:r>
              <w:rPr>
                <w:rFonts w:eastAsia="Calibri"/>
                <w:sz w:val="22"/>
                <w:szCs w:val="22"/>
                <w:vertAlign w:val="superscript"/>
              </w:rPr>
              <w:t>b</w:t>
            </w:r>
          </w:p>
        </w:tc>
        <w:tc>
          <w:tcPr>
            <w:tcW w:w="718" w:type="pct"/>
            <w:tcBorders>
              <w:bottom w:val="single" w:sz="6" w:space="0" w:color="000000"/>
              <w:right w:val="single" w:sz="6" w:space="0" w:color="000000"/>
            </w:tcBorders>
          </w:tcPr>
          <w:p w14:paraId="1AE8CC9B" w14:textId="77777777" w:rsidR="00602606" w:rsidRDefault="00604AEE">
            <w:pPr>
              <w:widowControl w:val="0"/>
              <w:contextualSpacing/>
              <w:jc w:val="center"/>
              <w:outlineLvl w:val="0"/>
              <w:rPr>
                <w:rFonts w:asciiTheme="minorHAnsi" w:eastAsia="Calibri" w:hAnsiTheme="minorHAnsi" w:cstheme="minorBidi"/>
                <w:sz w:val="22"/>
                <w:szCs w:val="22"/>
                <w:lang w:val="lt-LT" w:eastAsia="en-US"/>
              </w:rPr>
            </w:pPr>
            <w:r>
              <w:rPr>
                <w:rFonts w:eastAsia="Calibri"/>
                <w:sz w:val="22"/>
                <w:szCs w:val="22"/>
              </w:rPr>
              <w:t>[16,4]</w:t>
            </w:r>
          </w:p>
          <w:p w14:paraId="6FFE1EC3" w14:textId="77777777" w:rsidR="00602606" w:rsidRDefault="00604AEE">
            <w:pPr>
              <w:widowControl w:val="0"/>
              <w:contextualSpacing/>
              <w:jc w:val="center"/>
              <w:outlineLvl w:val="0"/>
              <w:rPr>
                <w:rFonts w:asciiTheme="minorHAnsi" w:eastAsia="Calibri" w:hAnsiTheme="minorHAnsi" w:cstheme="minorBidi"/>
                <w:sz w:val="22"/>
                <w:szCs w:val="22"/>
                <w:lang w:val="lt-LT" w:eastAsia="en-US"/>
              </w:rPr>
            </w:pPr>
            <w:r>
              <w:rPr>
                <w:rFonts w:eastAsia="Calibri"/>
                <w:sz w:val="22"/>
                <w:szCs w:val="22"/>
              </w:rPr>
              <w:t>-3,8</w:t>
            </w:r>
            <w:r>
              <w:rPr>
                <w:rFonts w:eastAsia="Calibri"/>
                <w:sz w:val="22"/>
                <w:szCs w:val="22"/>
                <w:vertAlign w:val="superscript"/>
              </w:rPr>
              <w:t>a</w:t>
            </w:r>
          </w:p>
        </w:tc>
      </w:tr>
      <w:tr w:rsidR="00602606" w14:paraId="6AEC8D0B" w14:textId="77777777">
        <w:trPr>
          <w:trHeight w:val="751"/>
        </w:trPr>
        <w:tc>
          <w:tcPr>
            <w:tcW w:w="1071" w:type="pct"/>
            <w:tcBorders>
              <w:left w:val="single" w:sz="6" w:space="0" w:color="000000"/>
              <w:bottom w:val="single" w:sz="6" w:space="0" w:color="000000"/>
            </w:tcBorders>
          </w:tcPr>
          <w:p w14:paraId="287E723A" w14:textId="77777777" w:rsidR="00602606" w:rsidRDefault="00604AEE">
            <w:pPr>
              <w:widowControl w:val="0"/>
              <w:contextualSpacing/>
              <w:outlineLvl w:val="0"/>
              <w:rPr>
                <w:rFonts w:eastAsia="Calibri"/>
                <w:sz w:val="22"/>
                <w:szCs w:val="22"/>
              </w:rPr>
            </w:pPr>
            <w:r>
              <w:rPr>
                <w:rFonts w:eastAsia="Calibri"/>
                <w:i/>
                <w:sz w:val="22"/>
                <w:szCs w:val="22"/>
              </w:rPr>
              <w:t>Q</w:t>
            </w:r>
            <w:r>
              <w:rPr>
                <w:rFonts w:eastAsia="Calibri"/>
                <w:i/>
                <w:sz w:val="22"/>
                <w:szCs w:val="22"/>
                <w:vertAlign w:val="subscript"/>
              </w:rPr>
              <w:t>max</w:t>
            </w:r>
            <w:r w:rsidRPr="001F276A">
              <w:rPr>
                <w:rFonts w:eastAsia="Calibri"/>
                <w:sz w:val="22"/>
              </w:rPr>
              <w:t xml:space="preserve"> (ml/s)</w:t>
            </w:r>
          </w:p>
        </w:tc>
        <w:tc>
          <w:tcPr>
            <w:tcW w:w="1737" w:type="pct"/>
            <w:tcBorders>
              <w:bottom w:val="single" w:sz="6" w:space="0" w:color="000000"/>
            </w:tcBorders>
          </w:tcPr>
          <w:p w14:paraId="15F0ED0C"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 xml:space="preserve">[Pradinis rodmuo] </w:t>
            </w:r>
          </w:p>
          <w:p w14:paraId="56C2A4E6"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48  mėnuo (pokytis nuo pradinio rodmens)</w:t>
            </w:r>
          </w:p>
        </w:tc>
        <w:tc>
          <w:tcPr>
            <w:tcW w:w="755" w:type="pct"/>
            <w:tcBorders>
              <w:bottom w:val="single" w:sz="6" w:space="0" w:color="000000"/>
            </w:tcBorders>
          </w:tcPr>
          <w:p w14:paraId="043CE699" w14:textId="77777777" w:rsidR="00602606" w:rsidRDefault="00604AEE">
            <w:pPr>
              <w:widowControl w:val="0"/>
              <w:contextualSpacing/>
              <w:jc w:val="center"/>
              <w:outlineLvl w:val="0"/>
              <w:rPr>
                <w:rFonts w:asciiTheme="minorHAnsi" w:eastAsia="Calibri" w:hAnsiTheme="minorHAnsi" w:cstheme="minorBidi"/>
                <w:sz w:val="22"/>
                <w:szCs w:val="22"/>
                <w:lang w:val="lt-LT" w:eastAsia="en-US"/>
              </w:rPr>
            </w:pPr>
            <w:r>
              <w:rPr>
                <w:rFonts w:eastAsia="Calibri"/>
                <w:sz w:val="22"/>
                <w:szCs w:val="22"/>
              </w:rPr>
              <w:t>[10,9]</w:t>
            </w:r>
          </w:p>
          <w:p w14:paraId="2F67234C" w14:textId="77777777" w:rsidR="00602606" w:rsidRDefault="00604AEE">
            <w:pPr>
              <w:widowControl w:val="0"/>
              <w:contextualSpacing/>
              <w:jc w:val="center"/>
              <w:outlineLvl w:val="0"/>
              <w:rPr>
                <w:rFonts w:asciiTheme="minorHAnsi" w:eastAsia="Calibri" w:hAnsiTheme="minorHAnsi" w:cstheme="minorBidi"/>
                <w:sz w:val="22"/>
                <w:szCs w:val="22"/>
                <w:lang w:val="lt-LT" w:eastAsia="en-US"/>
              </w:rPr>
            </w:pPr>
            <w:r>
              <w:rPr>
                <w:rFonts w:eastAsia="Calibri"/>
                <w:sz w:val="22"/>
                <w:szCs w:val="22"/>
              </w:rPr>
              <w:t>2,4</w:t>
            </w:r>
          </w:p>
        </w:tc>
        <w:tc>
          <w:tcPr>
            <w:tcW w:w="719" w:type="pct"/>
            <w:tcBorders>
              <w:bottom w:val="single" w:sz="6" w:space="0" w:color="000000"/>
            </w:tcBorders>
          </w:tcPr>
          <w:p w14:paraId="22C1D86D" w14:textId="77777777" w:rsidR="00602606" w:rsidRDefault="00604AEE">
            <w:pPr>
              <w:widowControl w:val="0"/>
              <w:contextualSpacing/>
              <w:jc w:val="center"/>
              <w:outlineLvl w:val="0"/>
              <w:rPr>
                <w:rFonts w:asciiTheme="minorHAnsi" w:eastAsia="Calibri" w:hAnsiTheme="minorHAnsi" w:cstheme="minorBidi"/>
                <w:sz w:val="22"/>
                <w:szCs w:val="22"/>
                <w:lang w:val="lt-LT" w:eastAsia="en-US"/>
              </w:rPr>
            </w:pPr>
            <w:r>
              <w:rPr>
                <w:rFonts w:eastAsia="Calibri"/>
                <w:sz w:val="22"/>
                <w:szCs w:val="22"/>
              </w:rPr>
              <w:t>[10,6]</w:t>
            </w:r>
          </w:p>
          <w:p w14:paraId="0198A1D2" w14:textId="77777777" w:rsidR="00602606" w:rsidRDefault="00604AEE">
            <w:pPr>
              <w:widowControl w:val="0"/>
              <w:contextualSpacing/>
              <w:jc w:val="center"/>
              <w:outlineLvl w:val="0"/>
              <w:rPr>
                <w:rFonts w:asciiTheme="minorHAnsi" w:eastAsia="Calibri" w:hAnsiTheme="minorHAnsi" w:cstheme="minorBidi"/>
                <w:sz w:val="22"/>
                <w:szCs w:val="22"/>
                <w:lang w:val="lt-LT" w:eastAsia="en-US"/>
              </w:rPr>
            </w:pPr>
            <w:r>
              <w:rPr>
                <w:rFonts w:eastAsia="Calibri"/>
                <w:sz w:val="22"/>
                <w:szCs w:val="22"/>
              </w:rPr>
              <w:t>2,0</w:t>
            </w:r>
          </w:p>
        </w:tc>
        <w:tc>
          <w:tcPr>
            <w:tcW w:w="718" w:type="pct"/>
            <w:tcBorders>
              <w:bottom w:val="single" w:sz="6" w:space="0" w:color="000000"/>
              <w:right w:val="single" w:sz="6" w:space="0" w:color="000000"/>
            </w:tcBorders>
          </w:tcPr>
          <w:p w14:paraId="5784AF0F" w14:textId="77777777" w:rsidR="00602606" w:rsidRDefault="00604AEE">
            <w:pPr>
              <w:widowControl w:val="0"/>
              <w:contextualSpacing/>
              <w:jc w:val="center"/>
              <w:outlineLvl w:val="0"/>
              <w:rPr>
                <w:rFonts w:asciiTheme="minorHAnsi" w:eastAsia="Calibri" w:hAnsiTheme="minorHAnsi" w:cstheme="minorBidi"/>
                <w:sz w:val="22"/>
                <w:szCs w:val="22"/>
                <w:lang w:val="lt-LT" w:eastAsia="en-US"/>
              </w:rPr>
            </w:pPr>
            <w:r>
              <w:rPr>
                <w:rFonts w:eastAsia="Calibri"/>
                <w:sz w:val="22"/>
                <w:szCs w:val="22"/>
              </w:rPr>
              <w:t>[10,7]</w:t>
            </w:r>
          </w:p>
          <w:p w14:paraId="183CAE04" w14:textId="77777777" w:rsidR="00602606" w:rsidRDefault="00604AEE">
            <w:pPr>
              <w:widowControl w:val="0"/>
              <w:contextualSpacing/>
              <w:jc w:val="center"/>
              <w:outlineLvl w:val="0"/>
              <w:rPr>
                <w:rFonts w:asciiTheme="minorHAnsi" w:eastAsia="Calibri" w:hAnsiTheme="minorHAnsi" w:cstheme="minorBidi"/>
                <w:sz w:val="22"/>
                <w:szCs w:val="22"/>
                <w:lang w:val="lt-LT" w:eastAsia="en-US"/>
              </w:rPr>
            </w:pPr>
            <w:r>
              <w:rPr>
                <w:rFonts w:eastAsia="Calibri"/>
                <w:sz w:val="22"/>
                <w:szCs w:val="22"/>
              </w:rPr>
              <w:t>0,7</w:t>
            </w:r>
            <w:r>
              <w:rPr>
                <w:rFonts w:eastAsia="Calibri"/>
                <w:sz w:val="22"/>
                <w:szCs w:val="22"/>
                <w:vertAlign w:val="superscript"/>
              </w:rPr>
              <w:t>a</w:t>
            </w:r>
          </w:p>
        </w:tc>
      </w:tr>
      <w:tr w:rsidR="00602606" w14:paraId="06043456" w14:textId="77777777">
        <w:trPr>
          <w:trHeight w:val="1014"/>
        </w:trPr>
        <w:tc>
          <w:tcPr>
            <w:tcW w:w="1071" w:type="pct"/>
            <w:tcBorders>
              <w:left w:val="single" w:sz="6" w:space="0" w:color="000000"/>
              <w:bottom w:val="single" w:sz="6" w:space="0" w:color="000000"/>
            </w:tcBorders>
          </w:tcPr>
          <w:p w14:paraId="0FEBC4AD" w14:textId="77777777" w:rsidR="00602606" w:rsidRDefault="00604AEE">
            <w:pPr>
              <w:widowControl w:val="0"/>
              <w:contextualSpacing/>
              <w:outlineLvl w:val="0"/>
              <w:rPr>
                <w:rFonts w:eastAsia="Calibri"/>
                <w:sz w:val="22"/>
                <w:szCs w:val="22"/>
              </w:rPr>
            </w:pPr>
            <w:r>
              <w:rPr>
                <w:rFonts w:eastAsia="Calibri"/>
                <w:sz w:val="22"/>
                <w:szCs w:val="22"/>
              </w:rPr>
              <w:t>Prostatos tūris (ml)</w:t>
            </w:r>
          </w:p>
        </w:tc>
        <w:tc>
          <w:tcPr>
            <w:tcW w:w="1737" w:type="pct"/>
            <w:tcBorders>
              <w:bottom w:val="single" w:sz="6" w:space="0" w:color="000000"/>
            </w:tcBorders>
          </w:tcPr>
          <w:p w14:paraId="62E4E70E"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[Pradinis rodmuo]</w:t>
            </w:r>
          </w:p>
          <w:p w14:paraId="0280E57F"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48 mėnuo (procentinis nuo pradinio rodmens)</w:t>
            </w:r>
          </w:p>
          <w:p w14:paraId="25F0F1B6" w14:textId="77777777" w:rsidR="00602606" w:rsidRDefault="00602606">
            <w:pPr>
              <w:widowControl w:val="0"/>
              <w:contextualSpacing/>
              <w:outlineLvl w:val="0"/>
              <w:rPr>
                <w:rFonts w:eastAsia="Calibri"/>
                <w:sz w:val="22"/>
                <w:szCs w:val="22"/>
              </w:rPr>
            </w:pPr>
          </w:p>
        </w:tc>
        <w:tc>
          <w:tcPr>
            <w:tcW w:w="755" w:type="pct"/>
            <w:tcBorders>
              <w:bottom w:val="single" w:sz="6" w:space="0" w:color="000000"/>
            </w:tcBorders>
          </w:tcPr>
          <w:p w14:paraId="27758BEB" w14:textId="77777777" w:rsidR="00602606" w:rsidRDefault="00604AEE">
            <w:pPr>
              <w:widowControl w:val="0"/>
              <w:contextualSpacing/>
              <w:jc w:val="center"/>
              <w:outlineLvl w:val="0"/>
              <w:rPr>
                <w:rFonts w:asciiTheme="minorHAnsi" w:eastAsia="Calibri" w:hAnsiTheme="minorHAnsi" w:cstheme="minorBidi"/>
                <w:sz w:val="22"/>
                <w:szCs w:val="22"/>
                <w:lang w:val="lt-LT" w:eastAsia="en-US"/>
              </w:rPr>
            </w:pPr>
            <w:r>
              <w:rPr>
                <w:rFonts w:eastAsia="Calibri"/>
                <w:sz w:val="22"/>
                <w:szCs w:val="22"/>
              </w:rPr>
              <w:t>[54,7]</w:t>
            </w:r>
          </w:p>
          <w:p w14:paraId="638574B6" w14:textId="77777777" w:rsidR="00602606" w:rsidRDefault="00604AEE">
            <w:pPr>
              <w:widowControl w:val="0"/>
              <w:contextualSpacing/>
              <w:jc w:val="center"/>
              <w:outlineLvl w:val="0"/>
              <w:rPr>
                <w:rFonts w:eastAsia="Calibri"/>
                <w:sz w:val="22"/>
                <w:szCs w:val="22"/>
              </w:rPr>
            </w:pPr>
            <w:r>
              <w:rPr>
                <w:rFonts w:eastAsia="Calibri"/>
                <w:sz w:val="22"/>
                <w:szCs w:val="22"/>
              </w:rPr>
              <w:t>-27,3</w:t>
            </w:r>
          </w:p>
        </w:tc>
        <w:tc>
          <w:tcPr>
            <w:tcW w:w="719" w:type="pct"/>
            <w:tcBorders>
              <w:bottom w:val="single" w:sz="6" w:space="0" w:color="000000"/>
            </w:tcBorders>
          </w:tcPr>
          <w:p w14:paraId="11DB48C1" w14:textId="77777777" w:rsidR="00602606" w:rsidRDefault="00604AEE">
            <w:pPr>
              <w:widowControl w:val="0"/>
              <w:contextualSpacing/>
              <w:jc w:val="center"/>
              <w:outlineLvl w:val="0"/>
              <w:rPr>
                <w:rFonts w:asciiTheme="minorHAnsi" w:eastAsia="Calibri" w:hAnsiTheme="minorHAnsi" w:cstheme="minorBidi"/>
                <w:sz w:val="22"/>
                <w:szCs w:val="22"/>
                <w:lang w:val="lt-LT" w:eastAsia="en-US"/>
              </w:rPr>
            </w:pPr>
            <w:r>
              <w:rPr>
                <w:rFonts w:eastAsia="Calibri"/>
                <w:sz w:val="22"/>
                <w:szCs w:val="22"/>
              </w:rPr>
              <w:t>[54,6]</w:t>
            </w:r>
          </w:p>
          <w:p w14:paraId="2482D767" w14:textId="77777777" w:rsidR="00602606" w:rsidRDefault="00604AEE">
            <w:pPr>
              <w:widowControl w:val="0"/>
              <w:contextualSpacing/>
              <w:jc w:val="center"/>
              <w:outlineLvl w:val="0"/>
              <w:rPr>
                <w:rFonts w:asciiTheme="minorHAnsi" w:eastAsia="Calibri" w:hAnsiTheme="minorHAnsi" w:cstheme="minorBidi"/>
                <w:sz w:val="22"/>
                <w:szCs w:val="22"/>
                <w:lang w:val="lt-LT" w:eastAsia="en-US"/>
              </w:rPr>
            </w:pPr>
            <w:r>
              <w:rPr>
                <w:rFonts w:eastAsia="Calibri"/>
                <w:sz w:val="22"/>
                <w:szCs w:val="22"/>
              </w:rPr>
              <w:t>-28,0</w:t>
            </w:r>
          </w:p>
        </w:tc>
        <w:tc>
          <w:tcPr>
            <w:tcW w:w="718" w:type="pct"/>
            <w:tcBorders>
              <w:bottom w:val="single" w:sz="6" w:space="0" w:color="000000"/>
              <w:right w:val="single" w:sz="6" w:space="0" w:color="000000"/>
            </w:tcBorders>
          </w:tcPr>
          <w:p w14:paraId="4A8E423D" w14:textId="77777777" w:rsidR="00602606" w:rsidRDefault="00604AEE">
            <w:pPr>
              <w:widowControl w:val="0"/>
              <w:contextualSpacing/>
              <w:jc w:val="center"/>
              <w:outlineLvl w:val="0"/>
              <w:rPr>
                <w:rFonts w:asciiTheme="minorHAnsi" w:eastAsia="Calibri" w:hAnsiTheme="minorHAnsi" w:cstheme="minorBidi"/>
                <w:sz w:val="22"/>
                <w:szCs w:val="22"/>
                <w:lang w:val="lt-LT" w:eastAsia="en-US"/>
              </w:rPr>
            </w:pPr>
            <w:r>
              <w:rPr>
                <w:rFonts w:eastAsia="Calibri"/>
                <w:sz w:val="22"/>
                <w:szCs w:val="22"/>
              </w:rPr>
              <w:t>[55,8]</w:t>
            </w:r>
          </w:p>
          <w:p w14:paraId="4E90045D" w14:textId="77777777" w:rsidR="00602606" w:rsidRDefault="00604AEE">
            <w:pPr>
              <w:widowControl w:val="0"/>
              <w:contextualSpacing/>
              <w:jc w:val="center"/>
              <w:outlineLvl w:val="0"/>
              <w:rPr>
                <w:rFonts w:asciiTheme="minorHAnsi" w:eastAsia="Calibri" w:hAnsiTheme="minorHAnsi" w:cstheme="minorBidi"/>
                <w:sz w:val="22"/>
                <w:szCs w:val="22"/>
                <w:lang w:val="lt-LT" w:eastAsia="en-US"/>
              </w:rPr>
            </w:pPr>
            <w:r>
              <w:rPr>
                <w:rFonts w:eastAsia="Calibri"/>
                <w:sz w:val="22"/>
                <w:szCs w:val="22"/>
              </w:rPr>
              <w:t>+4,6</w:t>
            </w:r>
            <w:r>
              <w:rPr>
                <w:rFonts w:eastAsia="Calibri"/>
                <w:sz w:val="22"/>
                <w:szCs w:val="22"/>
                <w:vertAlign w:val="superscript"/>
              </w:rPr>
              <w:t>a</w:t>
            </w:r>
          </w:p>
        </w:tc>
      </w:tr>
      <w:tr w:rsidR="00602606" w14:paraId="60588C83" w14:textId="77777777">
        <w:trPr>
          <w:trHeight w:val="1027"/>
        </w:trPr>
        <w:tc>
          <w:tcPr>
            <w:tcW w:w="1071" w:type="pct"/>
            <w:tcBorders>
              <w:left w:val="single" w:sz="6" w:space="0" w:color="000000"/>
              <w:bottom w:val="single" w:sz="6" w:space="0" w:color="000000"/>
            </w:tcBorders>
          </w:tcPr>
          <w:p w14:paraId="6A5884D5" w14:textId="77777777" w:rsidR="00602606" w:rsidRDefault="00604AEE">
            <w:pPr>
              <w:widowControl w:val="0"/>
              <w:contextualSpacing/>
              <w:outlineLvl w:val="0"/>
              <w:rPr>
                <w:rFonts w:eastAsia="Calibri"/>
                <w:sz w:val="22"/>
                <w:szCs w:val="22"/>
              </w:rPr>
            </w:pPr>
            <w:r>
              <w:rPr>
                <w:rFonts w:eastAsia="Calibri"/>
                <w:sz w:val="22"/>
                <w:szCs w:val="22"/>
              </w:rPr>
              <w:t>Prostatos pereinamosios zonos tūris (ml)</w:t>
            </w:r>
            <w:r>
              <w:rPr>
                <w:rFonts w:eastAsia="Calibri"/>
                <w:sz w:val="22"/>
                <w:szCs w:val="22"/>
                <w:vertAlign w:val="superscript"/>
              </w:rPr>
              <w:t>#</w:t>
            </w:r>
          </w:p>
          <w:p w14:paraId="60ECC50E" w14:textId="77777777" w:rsidR="00602606" w:rsidRDefault="00602606">
            <w:pPr>
              <w:widowControl w:val="0"/>
              <w:contextualSpacing/>
              <w:outlineLvl w:val="0"/>
              <w:rPr>
                <w:rFonts w:eastAsia="Calibri"/>
                <w:sz w:val="22"/>
                <w:szCs w:val="22"/>
              </w:rPr>
            </w:pPr>
          </w:p>
        </w:tc>
        <w:tc>
          <w:tcPr>
            <w:tcW w:w="1737" w:type="pct"/>
            <w:tcBorders>
              <w:bottom w:val="single" w:sz="6" w:space="0" w:color="000000"/>
            </w:tcBorders>
          </w:tcPr>
          <w:p w14:paraId="76509694"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[Pradinis rodmuo]</w:t>
            </w:r>
          </w:p>
          <w:p w14:paraId="0CADAC92"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48 mėnuo (procentinis pokytis nuo pradinio rodmens)</w:t>
            </w:r>
          </w:p>
          <w:p w14:paraId="7DC219CD" w14:textId="77777777" w:rsidR="00602606" w:rsidRDefault="00602606">
            <w:pPr>
              <w:widowControl w:val="0"/>
              <w:contextualSpacing/>
              <w:outlineLvl w:val="0"/>
              <w:rPr>
                <w:rFonts w:eastAsia="Calibri"/>
                <w:sz w:val="22"/>
                <w:szCs w:val="22"/>
              </w:rPr>
            </w:pPr>
          </w:p>
        </w:tc>
        <w:tc>
          <w:tcPr>
            <w:tcW w:w="755" w:type="pct"/>
            <w:tcBorders>
              <w:bottom w:val="single" w:sz="6" w:space="0" w:color="000000"/>
            </w:tcBorders>
          </w:tcPr>
          <w:p w14:paraId="1A64D997" w14:textId="77777777" w:rsidR="00602606" w:rsidRDefault="00604AEE">
            <w:pPr>
              <w:widowControl w:val="0"/>
              <w:contextualSpacing/>
              <w:jc w:val="center"/>
              <w:outlineLvl w:val="0"/>
              <w:rPr>
                <w:rFonts w:asciiTheme="minorHAnsi" w:eastAsia="Calibri" w:hAnsiTheme="minorHAnsi" w:cstheme="minorBidi"/>
                <w:sz w:val="22"/>
                <w:szCs w:val="22"/>
                <w:lang w:val="lt-LT" w:eastAsia="en-US"/>
              </w:rPr>
            </w:pPr>
            <w:r>
              <w:rPr>
                <w:rFonts w:eastAsia="Calibri"/>
                <w:sz w:val="22"/>
                <w:szCs w:val="22"/>
              </w:rPr>
              <w:t>[27,7]</w:t>
            </w:r>
          </w:p>
          <w:p w14:paraId="29FC431C" w14:textId="77777777" w:rsidR="00602606" w:rsidRDefault="00604AEE">
            <w:pPr>
              <w:widowControl w:val="0"/>
              <w:contextualSpacing/>
              <w:jc w:val="center"/>
              <w:outlineLvl w:val="0"/>
              <w:rPr>
                <w:rFonts w:asciiTheme="minorHAnsi" w:eastAsia="Calibri" w:hAnsiTheme="minorHAnsi" w:cstheme="minorBidi"/>
                <w:sz w:val="22"/>
                <w:szCs w:val="22"/>
                <w:lang w:val="lt-LT" w:eastAsia="en-US"/>
              </w:rPr>
            </w:pPr>
            <w:r>
              <w:rPr>
                <w:rFonts w:eastAsia="Calibri"/>
                <w:sz w:val="22"/>
                <w:szCs w:val="22"/>
              </w:rPr>
              <w:t>-17,9</w:t>
            </w:r>
          </w:p>
        </w:tc>
        <w:tc>
          <w:tcPr>
            <w:tcW w:w="719" w:type="pct"/>
            <w:tcBorders>
              <w:bottom w:val="single" w:sz="6" w:space="0" w:color="000000"/>
            </w:tcBorders>
          </w:tcPr>
          <w:p w14:paraId="4DA74710" w14:textId="77777777" w:rsidR="00602606" w:rsidRDefault="00604AEE">
            <w:pPr>
              <w:widowControl w:val="0"/>
              <w:contextualSpacing/>
              <w:jc w:val="center"/>
              <w:outlineLvl w:val="0"/>
              <w:rPr>
                <w:rFonts w:asciiTheme="minorHAnsi" w:eastAsia="Calibri" w:hAnsiTheme="minorHAnsi" w:cstheme="minorBidi"/>
                <w:sz w:val="22"/>
                <w:szCs w:val="22"/>
                <w:lang w:val="lt-LT" w:eastAsia="en-US"/>
              </w:rPr>
            </w:pPr>
            <w:r>
              <w:rPr>
                <w:rFonts w:eastAsia="Calibri"/>
                <w:sz w:val="22"/>
                <w:szCs w:val="22"/>
              </w:rPr>
              <w:t>[30,3]</w:t>
            </w:r>
          </w:p>
          <w:p w14:paraId="255E0C01" w14:textId="77777777" w:rsidR="00602606" w:rsidRDefault="00604AEE">
            <w:pPr>
              <w:widowControl w:val="0"/>
              <w:contextualSpacing/>
              <w:jc w:val="center"/>
              <w:outlineLvl w:val="0"/>
              <w:rPr>
                <w:rFonts w:eastAsia="Calibri"/>
                <w:sz w:val="22"/>
                <w:szCs w:val="22"/>
              </w:rPr>
            </w:pPr>
            <w:r>
              <w:rPr>
                <w:rFonts w:eastAsia="Calibri"/>
                <w:sz w:val="22"/>
                <w:szCs w:val="22"/>
              </w:rPr>
              <w:t>-26,5</w:t>
            </w:r>
          </w:p>
        </w:tc>
        <w:tc>
          <w:tcPr>
            <w:tcW w:w="718" w:type="pct"/>
            <w:tcBorders>
              <w:bottom w:val="single" w:sz="6" w:space="0" w:color="000000"/>
              <w:right w:val="single" w:sz="6" w:space="0" w:color="000000"/>
            </w:tcBorders>
          </w:tcPr>
          <w:p w14:paraId="23FF3804" w14:textId="77777777" w:rsidR="00602606" w:rsidRDefault="00604AEE">
            <w:pPr>
              <w:widowControl w:val="0"/>
              <w:contextualSpacing/>
              <w:jc w:val="center"/>
              <w:outlineLvl w:val="0"/>
              <w:rPr>
                <w:rFonts w:asciiTheme="minorHAnsi" w:eastAsia="Calibri" w:hAnsiTheme="minorHAnsi" w:cstheme="minorBidi"/>
                <w:sz w:val="22"/>
                <w:szCs w:val="22"/>
                <w:lang w:val="lt-LT" w:eastAsia="en-US"/>
              </w:rPr>
            </w:pPr>
            <w:r>
              <w:rPr>
                <w:rFonts w:eastAsia="Calibri"/>
                <w:sz w:val="22"/>
                <w:szCs w:val="22"/>
              </w:rPr>
              <w:t>[30,5]</w:t>
            </w:r>
          </w:p>
          <w:p w14:paraId="1114A708" w14:textId="77777777" w:rsidR="00602606" w:rsidRDefault="00604AEE">
            <w:pPr>
              <w:widowControl w:val="0"/>
              <w:contextualSpacing/>
              <w:jc w:val="center"/>
              <w:outlineLvl w:val="0"/>
              <w:rPr>
                <w:rFonts w:asciiTheme="minorHAnsi" w:eastAsia="Calibri" w:hAnsiTheme="minorHAnsi" w:cstheme="minorBidi"/>
                <w:sz w:val="22"/>
                <w:szCs w:val="22"/>
                <w:lang w:val="lt-LT" w:eastAsia="en-US"/>
              </w:rPr>
            </w:pPr>
            <w:r>
              <w:rPr>
                <w:rFonts w:eastAsia="Calibri"/>
                <w:sz w:val="22"/>
                <w:szCs w:val="22"/>
              </w:rPr>
              <w:t>18,2</w:t>
            </w:r>
            <w:r>
              <w:rPr>
                <w:rFonts w:eastAsia="Calibri"/>
                <w:sz w:val="22"/>
                <w:szCs w:val="22"/>
                <w:vertAlign w:val="superscript"/>
              </w:rPr>
              <w:t>a</w:t>
            </w:r>
          </w:p>
        </w:tc>
      </w:tr>
      <w:tr w:rsidR="00602606" w14:paraId="6FE9DE72" w14:textId="77777777">
        <w:trPr>
          <w:trHeight w:val="751"/>
        </w:trPr>
        <w:tc>
          <w:tcPr>
            <w:tcW w:w="1071" w:type="pct"/>
            <w:tcBorders>
              <w:left w:val="single" w:sz="6" w:space="0" w:color="000000"/>
              <w:bottom w:val="single" w:sz="6" w:space="0" w:color="000000"/>
            </w:tcBorders>
          </w:tcPr>
          <w:p w14:paraId="401356AE" w14:textId="77777777" w:rsidR="00602606" w:rsidRDefault="00604AEE">
            <w:pPr>
              <w:widowControl w:val="0"/>
              <w:contextualSpacing/>
              <w:outlineLvl w:val="0"/>
              <w:rPr>
                <w:rFonts w:eastAsia="Calibri"/>
                <w:sz w:val="22"/>
                <w:szCs w:val="22"/>
              </w:rPr>
            </w:pPr>
            <w:r>
              <w:rPr>
                <w:rFonts w:eastAsia="Calibri"/>
                <w:sz w:val="22"/>
                <w:szCs w:val="22"/>
              </w:rPr>
              <w:t>GPH įtakos indeksas (</w:t>
            </w:r>
            <w:r>
              <w:rPr>
                <w:rFonts w:eastAsia="Calibri"/>
                <w:i/>
                <w:sz w:val="22"/>
                <w:szCs w:val="22"/>
              </w:rPr>
              <w:t>BII</w:t>
            </w:r>
            <w:r w:rsidRPr="001F276A">
              <w:rPr>
                <w:rFonts w:eastAsia="Calibri"/>
                <w:sz w:val="22"/>
              </w:rPr>
              <w:t>) (vienetai)</w:t>
            </w:r>
          </w:p>
        </w:tc>
        <w:tc>
          <w:tcPr>
            <w:tcW w:w="1737" w:type="pct"/>
            <w:tcBorders>
              <w:bottom w:val="single" w:sz="6" w:space="0" w:color="000000"/>
            </w:tcBorders>
          </w:tcPr>
          <w:p w14:paraId="40F129ED"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[Pradinis rodmuo]</w:t>
            </w:r>
          </w:p>
          <w:p w14:paraId="7EE24555"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48 mėnuo (pokytis nuo pradinio rodmens)</w:t>
            </w:r>
          </w:p>
        </w:tc>
        <w:tc>
          <w:tcPr>
            <w:tcW w:w="755" w:type="pct"/>
            <w:tcBorders>
              <w:top w:val="single" w:sz="4" w:space="0" w:color="auto"/>
              <w:left w:val="single" w:sz="4" w:space="0" w:color="auto"/>
              <w:bottom w:val="single" w:sz="4" w:space="0" w:color="auto"/>
              <w:right w:val="single" w:sz="4" w:space="0" w:color="auto"/>
            </w:tcBorders>
            <w:shd w:val="clear" w:color="auto" w:fill="FFFFFF"/>
          </w:tcPr>
          <w:p w14:paraId="498ABEB8" w14:textId="77777777" w:rsidR="00602606" w:rsidRDefault="00604AEE">
            <w:pPr>
              <w:widowControl w:val="0"/>
              <w:jc w:val="center"/>
              <w:rPr>
                <w:rFonts w:asciiTheme="minorHAnsi" w:eastAsiaTheme="minorHAnsi" w:hAnsiTheme="minorHAnsi" w:cstheme="minorBidi"/>
                <w:color w:val="000000"/>
                <w:sz w:val="22"/>
                <w:szCs w:val="22"/>
                <w:lang w:val="en-GB" w:eastAsia="en-US"/>
              </w:rPr>
            </w:pPr>
            <w:r>
              <w:rPr>
                <w:color w:val="000000"/>
                <w:sz w:val="22"/>
                <w:szCs w:val="22"/>
                <w:lang w:val="en-GB"/>
              </w:rPr>
              <w:t>[5,3]</w:t>
            </w:r>
          </w:p>
          <w:p w14:paraId="6AC387F6" w14:textId="77777777" w:rsidR="00602606" w:rsidRDefault="00604AEE">
            <w:pPr>
              <w:widowControl w:val="0"/>
              <w:jc w:val="center"/>
              <w:rPr>
                <w:rFonts w:asciiTheme="minorHAnsi" w:eastAsiaTheme="minorHAnsi" w:hAnsiTheme="minorHAnsi" w:cstheme="minorBidi"/>
                <w:color w:val="000000"/>
                <w:sz w:val="22"/>
                <w:szCs w:val="22"/>
                <w:lang w:val="en-GB" w:eastAsia="en-US"/>
              </w:rPr>
            </w:pPr>
            <w:r>
              <w:rPr>
                <w:color w:val="000000"/>
                <w:sz w:val="22"/>
                <w:szCs w:val="22"/>
                <w:lang w:val="en-GB"/>
              </w:rPr>
              <w:t>-2,2</w:t>
            </w:r>
          </w:p>
        </w:tc>
        <w:tc>
          <w:tcPr>
            <w:tcW w:w="719" w:type="pct"/>
            <w:tcBorders>
              <w:top w:val="single" w:sz="4" w:space="0" w:color="auto"/>
              <w:left w:val="single" w:sz="4" w:space="0" w:color="auto"/>
              <w:bottom w:val="single" w:sz="4" w:space="0" w:color="auto"/>
              <w:right w:val="single" w:sz="4" w:space="0" w:color="auto"/>
            </w:tcBorders>
            <w:shd w:val="clear" w:color="auto" w:fill="FFFFFF"/>
          </w:tcPr>
          <w:p w14:paraId="6A43D084" w14:textId="77777777" w:rsidR="00602606" w:rsidRDefault="00604AEE">
            <w:pPr>
              <w:widowControl w:val="0"/>
              <w:jc w:val="center"/>
              <w:rPr>
                <w:rFonts w:asciiTheme="minorHAnsi" w:eastAsiaTheme="minorHAnsi" w:hAnsiTheme="minorHAnsi" w:cstheme="minorBidi"/>
                <w:color w:val="000000"/>
                <w:sz w:val="22"/>
                <w:szCs w:val="22"/>
                <w:lang w:val="en-GB" w:eastAsia="en-US"/>
              </w:rPr>
            </w:pPr>
            <w:r>
              <w:rPr>
                <w:color w:val="000000"/>
                <w:sz w:val="22"/>
                <w:szCs w:val="22"/>
                <w:lang w:val="en-GB"/>
              </w:rPr>
              <w:t>[5,3]</w:t>
            </w:r>
          </w:p>
          <w:p w14:paraId="46A34439" w14:textId="77777777" w:rsidR="00602606" w:rsidRDefault="00604AEE">
            <w:pPr>
              <w:widowControl w:val="0"/>
              <w:jc w:val="center"/>
              <w:rPr>
                <w:rFonts w:asciiTheme="minorHAnsi" w:eastAsiaTheme="minorHAnsi" w:hAnsiTheme="minorHAnsi" w:cstheme="minorBidi"/>
                <w:color w:val="000000"/>
                <w:sz w:val="22"/>
                <w:szCs w:val="22"/>
                <w:lang w:val="en-GB" w:eastAsia="en-US"/>
              </w:rPr>
            </w:pPr>
            <w:r>
              <w:rPr>
                <w:color w:val="000000"/>
                <w:sz w:val="22"/>
                <w:szCs w:val="22"/>
                <w:lang w:val="en-GB"/>
              </w:rPr>
              <w:t>-1,8</w:t>
            </w:r>
            <w:r>
              <w:rPr>
                <w:color w:val="000000"/>
                <w:sz w:val="22"/>
                <w:szCs w:val="22"/>
                <w:vertAlign w:val="superscript"/>
                <w:lang w:val="en-GB"/>
              </w:rPr>
              <w:t>b</w:t>
            </w:r>
          </w:p>
        </w:tc>
        <w:tc>
          <w:tcPr>
            <w:tcW w:w="718" w:type="pct"/>
            <w:tcBorders>
              <w:top w:val="single" w:sz="4" w:space="0" w:color="auto"/>
              <w:left w:val="single" w:sz="4" w:space="0" w:color="auto"/>
              <w:bottom w:val="single" w:sz="4" w:space="0" w:color="auto"/>
              <w:right w:val="single" w:sz="4" w:space="0" w:color="auto"/>
            </w:tcBorders>
            <w:shd w:val="clear" w:color="auto" w:fill="FFFFFF"/>
          </w:tcPr>
          <w:p w14:paraId="007D2A9C" w14:textId="77777777" w:rsidR="00602606" w:rsidRDefault="00604AEE">
            <w:pPr>
              <w:widowControl w:val="0"/>
              <w:jc w:val="center"/>
              <w:rPr>
                <w:rFonts w:asciiTheme="minorHAnsi" w:eastAsiaTheme="minorHAnsi" w:hAnsiTheme="minorHAnsi" w:cstheme="minorBidi"/>
                <w:color w:val="000000"/>
                <w:sz w:val="22"/>
                <w:szCs w:val="22"/>
                <w:lang w:val="en-GB" w:eastAsia="en-US"/>
              </w:rPr>
            </w:pPr>
            <w:r>
              <w:rPr>
                <w:color w:val="000000"/>
                <w:sz w:val="22"/>
                <w:szCs w:val="22"/>
                <w:lang w:val="en-GB"/>
              </w:rPr>
              <w:t>[5,3]</w:t>
            </w:r>
          </w:p>
          <w:p w14:paraId="5CD8455D" w14:textId="77777777" w:rsidR="00602606" w:rsidRDefault="00604AEE">
            <w:pPr>
              <w:widowControl w:val="0"/>
              <w:jc w:val="center"/>
              <w:rPr>
                <w:rFonts w:asciiTheme="minorHAnsi" w:eastAsiaTheme="minorHAnsi" w:hAnsiTheme="minorHAnsi" w:cstheme="minorBidi"/>
                <w:color w:val="000000"/>
                <w:sz w:val="22"/>
                <w:szCs w:val="22"/>
                <w:lang w:val="en-GB" w:eastAsia="en-US"/>
              </w:rPr>
            </w:pPr>
            <w:r>
              <w:rPr>
                <w:color w:val="000000"/>
                <w:sz w:val="22"/>
                <w:szCs w:val="22"/>
                <w:lang w:val="en-GB"/>
              </w:rPr>
              <w:t>-1,2</w:t>
            </w:r>
            <w:r>
              <w:rPr>
                <w:color w:val="000000"/>
                <w:sz w:val="22"/>
                <w:szCs w:val="22"/>
                <w:vertAlign w:val="superscript"/>
                <w:lang w:val="en-GB"/>
              </w:rPr>
              <w:t>a</w:t>
            </w:r>
          </w:p>
        </w:tc>
      </w:tr>
      <w:tr w:rsidR="00602606" w14:paraId="712C5099" w14:textId="77777777">
        <w:trPr>
          <w:trHeight w:val="1014"/>
        </w:trPr>
        <w:tc>
          <w:tcPr>
            <w:tcW w:w="1071" w:type="pct"/>
            <w:tcBorders>
              <w:left w:val="single" w:sz="6" w:space="0" w:color="000000"/>
              <w:bottom w:val="single" w:sz="6" w:space="0" w:color="000000"/>
            </w:tcBorders>
          </w:tcPr>
          <w:p w14:paraId="7A07A2A9" w14:textId="77777777" w:rsidR="00602606" w:rsidRDefault="00604AEE">
            <w:pPr>
              <w:widowControl w:val="0"/>
              <w:contextualSpacing/>
              <w:outlineLvl w:val="0"/>
              <w:rPr>
                <w:rFonts w:eastAsia="Calibri"/>
                <w:sz w:val="22"/>
                <w:szCs w:val="22"/>
              </w:rPr>
            </w:pPr>
            <w:r>
              <w:rPr>
                <w:rFonts w:eastAsia="Calibri"/>
                <w:i/>
                <w:sz w:val="22"/>
                <w:szCs w:val="22"/>
              </w:rPr>
              <w:t>IPSS</w:t>
            </w:r>
            <w:r>
              <w:rPr>
                <w:rFonts w:eastAsia="Calibri"/>
                <w:sz w:val="22"/>
                <w:szCs w:val="22"/>
              </w:rPr>
              <w:t xml:space="preserve"> 8 klausimas (su GPH susijusi gyvenimo kokybė)</w:t>
            </w:r>
          </w:p>
          <w:p w14:paraId="11F8394A" w14:textId="77777777" w:rsidR="00602606" w:rsidRDefault="00602606">
            <w:pPr>
              <w:widowControl w:val="0"/>
              <w:contextualSpacing/>
              <w:outlineLvl w:val="0"/>
              <w:rPr>
                <w:rFonts w:eastAsia="Calibri"/>
                <w:sz w:val="22"/>
                <w:szCs w:val="22"/>
              </w:rPr>
            </w:pPr>
          </w:p>
        </w:tc>
        <w:tc>
          <w:tcPr>
            <w:tcW w:w="1737" w:type="pct"/>
            <w:tcBorders>
              <w:bottom w:val="single" w:sz="6" w:space="0" w:color="000000"/>
            </w:tcBorders>
          </w:tcPr>
          <w:p w14:paraId="7ABA8427"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[Pradinis rodmuo]</w:t>
            </w:r>
          </w:p>
          <w:p w14:paraId="606CB5D1"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48 mėnuo (pokytis nuo pradinio rodmens)</w:t>
            </w:r>
          </w:p>
        </w:tc>
        <w:tc>
          <w:tcPr>
            <w:tcW w:w="755" w:type="pct"/>
            <w:tcBorders>
              <w:bottom w:val="single" w:sz="6" w:space="0" w:color="000000"/>
            </w:tcBorders>
          </w:tcPr>
          <w:p w14:paraId="4587F143" w14:textId="77777777" w:rsidR="00602606" w:rsidRDefault="00604AEE">
            <w:pPr>
              <w:widowControl w:val="0"/>
              <w:contextualSpacing/>
              <w:jc w:val="center"/>
              <w:outlineLvl w:val="0"/>
              <w:rPr>
                <w:rFonts w:asciiTheme="minorHAnsi" w:eastAsia="Calibri" w:hAnsiTheme="minorHAnsi" w:cstheme="minorBidi"/>
                <w:sz w:val="22"/>
                <w:szCs w:val="22"/>
                <w:lang w:val="lt-LT" w:eastAsia="en-US"/>
              </w:rPr>
            </w:pPr>
            <w:r>
              <w:rPr>
                <w:rFonts w:eastAsia="Calibri"/>
                <w:sz w:val="22"/>
                <w:szCs w:val="22"/>
              </w:rPr>
              <w:t>[3,6]</w:t>
            </w:r>
          </w:p>
          <w:p w14:paraId="0B3F651E" w14:textId="77777777" w:rsidR="00602606" w:rsidRDefault="00604AEE">
            <w:pPr>
              <w:widowControl w:val="0"/>
              <w:contextualSpacing/>
              <w:jc w:val="center"/>
              <w:outlineLvl w:val="0"/>
              <w:rPr>
                <w:rFonts w:asciiTheme="minorHAnsi" w:eastAsia="Calibri" w:hAnsiTheme="minorHAnsi" w:cstheme="minorBidi"/>
                <w:sz w:val="22"/>
                <w:szCs w:val="22"/>
                <w:lang w:val="lt-LT" w:eastAsia="en-US"/>
              </w:rPr>
            </w:pPr>
            <w:r>
              <w:rPr>
                <w:rFonts w:eastAsia="Calibri"/>
                <w:sz w:val="22"/>
                <w:szCs w:val="22"/>
              </w:rPr>
              <w:t>–1,5</w:t>
            </w:r>
          </w:p>
        </w:tc>
        <w:tc>
          <w:tcPr>
            <w:tcW w:w="719" w:type="pct"/>
            <w:tcBorders>
              <w:bottom w:val="single" w:sz="6" w:space="0" w:color="000000"/>
            </w:tcBorders>
          </w:tcPr>
          <w:p w14:paraId="1A16F835" w14:textId="77777777" w:rsidR="00602606" w:rsidRDefault="00604AEE">
            <w:pPr>
              <w:widowControl w:val="0"/>
              <w:contextualSpacing/>
              <w:jc w:val="center"/>
              <w:outlineLvl w:val="0"/>
              <w:rPr>
                <w:rFonts w:asciiTheme="minorHAnsi" w:eastAsia="Calibri" w:hAnsiTheme="minorHAnsi" w:cstheme="minorBidi"/>
                <w:sz w:val="22"/>
                <w:szCs w:val="22"/>
                <w:lang w:val="lt-LT" w:eastAsia="en-US"/>
              </w:rPr>
            </w:pPr>
            <w:r>
              <w:rPr>
                <w:rFonts w:eastAsia="Calibri"/>
                <w:sz w:val="22"/>
                <w:szCs w:val="22"/>
              </w:rPr>
              <w:t>[3,6]</w:t>
            </w:r>
          </w:p>
          <w:p w14:paraId="7E3CC797" w14:textId="77777777" w:rsidR="00602606" w:rsidRDefault="00604AEE">
            <w:pPr>
              <w:widowControl w:val="0"/>
              <w:contextualSpacing/>
              <w:jc w:val="center"/>
              <w:outlineLvl w:val="0"/>
              <w:rPr>
                <w:rFonts w:asciiTheme="minorHAnsi" w:eastAsia="Calibri" w:hAnsiTheme="minorHAnsi" w:cstheme="minorBidi"/>
                <w:sz w:val="22"/>
                <w:szCs w:val="22"/>
                <w:lang w:val="lt-LT" w:eastAsia="en-US"/>
              </w:rPr>
            </w:pPr>
            <w:r>
              <w:rPr>
                <w:rFonts w:eastAsia="Calibri"/>
                <w:sz w:val="22"/>
                <w:szCs w:val="22"/>
              </w:rPr>
              <w:t>–1,3</w:t>
            </w:r>
            <w:r>
              <w:rPr>
                <w:rFonts w:eastAsia="Calibri"/>
                <w:sz w:val="22"/>
                <w:szCs w:val="22"/>
                <w:vertAlign w:val="superscript"/>
              </w:rPr>
              <w:t>b</w:t>
            </w:r>
          </w:p>
        </w:tc>
        <w:tc>
          <w:tcPr>
            <w:tcW w:w="718" w:type="pct"/>
            <w:tcBorders>
              <w:bottom w:val="single" w:sz="6" w:space="0" w:color="000000"/>
              <w:right w:val="single" w:sz="6" w:space="0" w:color="000000"/>
            </w:tcBorders>
          </w:tcPr>
          <w:p w14:paraId="7CC1F0DA" w14:textId="77777777" w:rsidR="00602606" w:rsidRDefault="00604AEE">
            <w:pPr>
              <w:widowControl w:val="0"/>
              <w:contextualSpacing/>
              <w:jc w:val="center"/>
              <w:outlineLvl w:val="0"/>
              <w:rPr>
                <w:rFonts w:asciiTheme="minorHAnsi" w:eastAsia="Calibri" w:hAnsiTheme="minorHAnsi" w:cstheme="minorBidi"/>
                <w:sz w:val="22"/>
                <w:szCs w:val="22"/>
                <w:lang w:val="lt-LT" w:eastAsia="en-US"/>
              </w:rPr>
            </w:pPr>
            <w:r>
              <w:rPr>
                <w:rFonts w:eastAsia="Calibri"/>
                <w:sz w:val="22"/>
                <w:szCs w:val="22"/>
              </w:rPr>
              <w:t>[3,6]</w:t>
            </w:r>
          </w:p>
          <w:p w14:paraId="3741C4EC" w14:textId="77777777" w:rsidR="00602606" w:rsidRDefault="00604AEE">
            <w:pPr>
              <w:widowControl w:val="0"/>
              <w:contextualSpacing/>
              <w:jc w:val="center"/>
              <w:outlineLvl w:val="0"/>
              <w:rPr>
                <w:rFonts w:asciiTheme="minorHAnsi" w:eastAsia="Calibri" w:hAnsiTheme="minorHAnsi" w:cstheme="minorBidi"/>
                <w:sz w:val="22"/>
                <w:szCs w:val="22"/>
                <w:lang w:val="lt-LT" w:eastAsia="en-US"/>
              </w:rPr>
            </w:pPr>
            <w:r>
              <w:rPr>
                <w:rFonts w:eastAsia="Calibri"/>
                <w:sz w:val="22"/>
                <w:szCs w:val="22"/>
              </w:rPr>
              <w:t>–1,1</w:t>
            </w:r>
            <w:r>
              <w:rPr>
                <w:rFonts w:eastAsia="Calibri"/>
                <w:sz w:val="22"/>
                <w:szCs w:val="22"/>
                <w:vertAlign w:val="superscript"/>
              </w:rPr>
              <w:t>a</w:t>
            </w:r>
          </w:p>
        </w:tc>
      </w:tr>
    </w:tbl>
    <w:p w14:paraId="4C1CE6A2"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Pradiniai rodmenys yra vidutiniai rodmenys, o pokyčiai, palyginti su pradiniais rodmenimis, yra koreguoti vidutiniai pokyčiai.</w:t>
      </w:r>
    </w:p>
    <w:p w14:paraId="0BC8A1CE" w14:textId="77777777" w:rsidR="00602606" w:rsidRDefault="00604AEE">
      <w:pPr>
        <w:widowControl w:val="0"/>
        <w:ind w:left="284" w:hanging="284"/>
        <w:contextualSpacing/>
        <w:outlineLvl w:val="0"/>
        <w:rPr>
          <w:rFonts w:eastAsia="Calibri"/>
          <w:sz w:val="22"/>
          <w:szCs w:val="22"/>
        </w:rPr>
      </w:pPr>
      <w:r>
        <w:rPr>
          <w:rFonts w:eastAsia="Calibri"/>
          <w:sz w:val="22"/>
          <w:szCs w:val="22"/>
        </w:rPr>
        <w:t>*</w:t>
      </w:r>
      <w:r>
        <w:rPr>
          <w:rFonts w:eastAsia="Calibri"/>
          <w:sz w:val="22"/>
          <w:szCs w:val="22"/>
        </w:rPr>
        <w:tab/>
        <w:t xml:space="preserve">Klinikinis progresavimas apibūdinamas kaip sudedamoji vertinamoji baigtis: IPSS pablogėjimas </w:t>
      </w:r>
      <w:r w:rsidRPr="001F276A">
        <w:rPr>
          <w:rFonts w:eastAsia="Calibri"/>
          <w:sz w:val="22"/>
        </w:rPr>
        <w:sym w:font="Symbol" w:char="00B3"/>
      </w:r>
      <w:r>
        <w:rPr>
          <w:rFonts w:eastAsia="Calibri"/>
          <w:sz w:val="22"/>
          <w:szCs w:val="22"/>
        </w:rPr>
        <w:t> 4 balų, su GPH susiję ŪŠS reiškiniai, šlapimo nelaikymas, ŠTI ir inkstų nepakankamumas.</w:t>
      </w:r>
    </w:p>
    <w:p w14:paraId="2AF42438" w14:textId="77777777" w:rsidR="00602606" w:rsidRDefault="00604AEE">
      <w:pPr>
        <w:widowControl w:val="0"/>
        <w:ind w:left="284" w:hanging="284"/>
        <w:contextualSpacing/>
        <w:outlineLvl w:val="0"/>
        <w:rPr>
          <w:rFonts w:eastAsia="Calibri"/>
          <w:sz w:val="22"/>
          <w:szCs w:val="22"/>
        </w:rPr>
      </w:pPr>
      <w:r>
        <w:rPr>
          <w:rFonts w:eastAsia="Calibri"/>
          <w:sz w:val="22"/>
          <w:szCs w:val="22"/>
          <w:vertAlign w:val="superscript"/>
        </w:rPr>
        <w:t>#</w:t>
      </w:r>
      <w:r>
        <w:rPr>
          <w:rFonts w:eastAsia="Calibri"/>
          <w:sz w:val="22"/>
          <w:szCs w:val="22"/>
        </w:rPr>
        <w:tab/>
        <w:t>Išmatuotas pas</w:t>
      </w:r>
      <w:r w:rsidRPr="001F276A">
        <w:rPr>
          <w:rFonts w:eastAsia="Calibri"/>
          <w:sz w:val="22"/>
        </w:rPr>
        <w:t>irinktose vietose (13 % atsitiktinėms imtims priskirtų pacientų).</w:t>
      </w:r>
    </w:p>
    <w:p w14:paraId="731E3DA6" w14:textId="77777777" w:rsidR="00602606" w:rsidRDefault="00604AEE">
      <w:pPr>
        <w:widowControl w:val="0"/>
        <w:ind w:left="284" w:hanging="284"/>
        <w:contextualSpacing/>
        <w:outlineLvl w:val="0"/>
        <w:rPr>
          <w:rFonts w:eastAsia="Calibri"/>
          <w:sz w:val="22"/>
          <w:szCs w:val="22"/>
        </w:rPr>
      </w:pPr>
      <w:r>
        <w:rPr>
          <w:rFonts w:eastAsia="Calibri"/>
          <w:sz w:val="22"/>
          <w:szCs w:val="22"/>
          <w:vertAlign w:val="superscript"/>
        </w:rPr>
        <w:t>a</w:t>
      </w:r>
      <w:r>
        <w:rPr>
          <w:rFonts w:eastAsia="Calibri"/>
          <w:sz w:val="22"/>
          <w:szCs w:val="22"/>
        </w:rPr>
        <w:tab/>
        <w:t>Pasiektas reikšmingas pokytis 48 mėnesį taikant kombinuotąjį gydymą (p &lt; 0,001), palyginti su tamsulozino vartojimu.</w:t>
      </w:r>
    </w:p>
    <w:p w14:paraId="6A300A2E" w14:textId="77777777" w:rsidR="00602606" w:rsidRDefault="00604AEE">
      <w:pPr>
        <w:widowControl w:val="0"/>
        <w:ind w:left="284" w:hanging="284"/>
        <w:contextualSpacing/>
        <w:outlineLvl w:val="0"/>
        <w:rPr>
          <w:rFonts w:eastAsia="Calibri"/>
          <w:sz w:val="22"/>
          <w:szCs w:val="22"/>
        </w:rPr>
      </w:pPr>
      <w:r>
        <w:rPr>
          <w:rFonts w:eastAsia="Calibri"/>
          <w:sz w:val="22"/>
          <w:szCs w:val="22"/>
          <w:vertAlign w:val="superscript"/>
        </w:rPr>
        <w:t>b</w:t>
      </w:r>
      <w:r>
        <w:rPr>
          <w:rFonts w:eastAsia="Calibri"/>
          <w:sz w:val="22"/>
          <w:szCs w:val="22"/>
        </w:rPr>
        <w:tab/>
        <w:t>Pasiektas reikšmingas pokytis 48 mėnesį taikant kombinuotąjį gydymą (</w:t>
      </w:r>
      <w:r w:rsidRPr="001F276A">
        <w:rPr>
          <w:rFonts w:eastAsia="Calibri"/>
          <w:sz w:val="22"/>
        </w:rPr>
        <w:t>p &lt; 0,001), palyginti su dutasterido vartojimu.</w:t>
      </w:r>
    </w:p>
    <w:p w14:paraId="500370BC" w14:textId="77777777" w:rsidR="00602606" w:rsidRDefault="00602606">
      <w:pPr>
        <w:widowControl w:val="0"/>
        <w:contextualSpacing/>
        <w:outlineLvl w:val="0"/>
        <w:rPr>
          <w:rFonts w:eastAsia="Calibri"/>
          <w:sz w:val="22"/>
          <w:szCs w:val="22"/>
        </w:rPr>
      </w:pPr>
    </w:p>
    <w:p w14:paraId="2F08B6F6" w14:textId="77777777" w:rsidR="00602606" w:rsidRDefault="00604AEE">
      <w:pPr>
        <w:widowControl w:val="0"/>
        <w:contextualSpacing/>
        <w:outlineLvl w:val="0"/>
        <w:rPr>
          <w:rFonts w:asciiTheme="minorHAnsi" w:eastAsia="Calibri" w:hAnsiTheme="minorHAnsi" w:cstheme="minorBidi"/>
          <w:i/>
          <w:sz w:val="22"/>
          <w:szCs w:val="22"/>
          <w:lang w:val="lt-LT" w:eastAsia="en-US"/>
        </w:rPr>
      </w:pPr>
      <w:r>
        <w:rPr>
          <w:rFonts w:eastAsia="Calibri"/>
          <w:i/>
          <w:sz w:val="22"/>
          <w:szCs w:val="22"/>
        </w:rPr>
        <w:t>Dutasteridas</w:t>
      </w:r>
    </w:p>
    <w:p w14:paraId="7C5FCCF6" w14:textId="77777777" w:rsidR="00602606" w:rsidRDefault="00602606">
      <w:pPr>
        <w:widowControl w:val="0"/>
        <w:contextualSpacing/>
        <w:outlineLvl w:val="0"/>
        <w:rPr>
          <w:rFonts w:eastAsia="Calibri"/>
          <w:sz w:val="22"/>
          <w:szCs w:val="22"/>
          <w:u w:val="single"/>
        </w:rPr>
      </w:pPr>
    </w:p>
    <w:p w14:paraId="0246F228"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 xml:space="preserve">Trijų 2 metus trukusių pirminio veiksmingumo daugiacentrių, tarptautinių, placebu kontroliuojamųjų, dvigubai koduotų klinikinių tyrimų metu 0,5 mg dutasterido paros dozės ar placebo vartojimas įvertintas 4 325 vyrams, kuriems diagnozuota vidutinio sunkumo ar sunkių GPH simptomų ir nustatytas prostatos tūris </w:t>
      </w:r>
      <w:r w:rsidRPr="001F276A">
        <w:rPr>
          <w:rFonts w:eastAsia="Calibri"/>
          <w:sz w:val="22"/>
        </w:rPr>
        <w:sym w:font="Symbol" w:char="F0B3"/>
      </w:r>
      <w:r>
        <w:rPr>
          <w:rFonts w:eastAsia="Calibri"/>
          <w:sz w:val="22"/>
          <w:szCs w:val="22"/>
        </w:rPr>
        <w:t> 30 ml bei PSA 1,5</w:t>
      </w:r>
      <w:r w:rsidRPr="001F276A">
        <w:rPr>
          <w:rFonts w:eastAsia="Calibri"/>
          <w:sz w:val="22"/>
        </w:rPr>
        <w:noBreakHyphen/>
        <w:t>10 ng/ml ribose. Vėliau tyrimai buvo pratęsti atviru būdu iki 4 metų su visais tyrime pasilikusiais pacientais, kurie vartojo tą pačią 0,5 mg dutasterido dozę. 37 % pacientų, iš pradžių vartojusių atsitiktiniu būdu paskirtą placebą, ir 40 % pacientų, iš pradžių vartojusių atsitiktiniu būdu paskirtą dutasteridą, dalyvavo tyrime 4 metus. Dauguma (71 %) iš 2 340 tiriamųjų baigė dvejus metus trukusią atviru būdu atliktą tyrimo tęstinę fazę, kurios metu vartojo nekoduoto vaistinio preparato.</w:t>
      </w:r>
    </w:p>
    <w:p w14:paraId="76C49483" w14:textId="77777777" w:rsidR="00602606" w:rsidRDefault="00602606">
      <w:pPr>
        <w:widowControl w:val="0"/>
        <w:contextualSpacing/>
        <w:outlineLvl w:val="0"/>
        <w:rPr>
          <w:rFonts w:eastAsia="Calibri"/>
          <w:sz w:val="22"/>
          <w:szCs w:val="22"/>
        </w:rPr>
      </w:pPr>
    </w:p>
    <w:p w14:paraId="6E825755"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 xml:space="preserve">Svarbiausi klinikinio veiksmingumo parametrai buvo Amerikos urologų asociacijos simptomų indeksas (angl. </w:t>
      </w:r>
      <w:r>
        <w:rPr>
          <w:rFonts w:eastAsia="Calibri"/>
          <w:i/>
          <w:sz w:val="22"/>
          <w:szCs w:val="22"/>
        </w:rPr>
        <w:t>American Urological Association Sy</w:t>
      </w:r>
      <w:r w:rsidRPr="001F276A">
        <w:rPr>
          <w:rFonts w:eastAsia="Calibri"/>
          <w:i/>
          <w:sz w:val="22"/>
        </w:rPr>
        <w:t>mptom Index, AUA-SI</w:t>
      </w:r>
      <w:r w:rsidRPr="001F276A">
        <w:rPr>
          <w:rFonts w:eastAsia="Calibri"/>
          <w:sz w:val="22"/>
        </w:rPr>
        <w:t>), didžiausia šlapimo srovė (Q</w:t>
      </w:r>
      <w:r w:rsidRPr="001F276A">
        <w:rPr>
          <w:rFonts w:eastAsia="Calibri"/>
          <w:sz w:val="22"/>
          <w:vertAlign w:val="subscript"/>
        </w:rPr>
        <w:t>max</w:t>
      </w:r>
      <w:r w:rsidRPr="001F276A">
        <w:rPr>
          <w:rFonts w:eastAsia="Calibri"/>
          <w:sz w:val="22"/>
        </w:rPr>
        <w:t>), ūminio šlapimo susilaikymo ir su GPH susijusios chirurginės operacijos dažnis.</w:t>
      </w:r>
    </w:p>
    <w:p w14:paraId="195D3E75" w14:textId="77777777" w:rsidR="00602606" w:rsidRDefault="00602606">
      <w:pPr>
        <w:widowControl w:val="0"/>
        <w:contextualSpacing/>
        <w:outlineLvl w:val="0"/>
        <w:rPr>
          <w:rFonts w:eastAsia="Calibri"/>
          <w:sz w:val="22"/>
          <w:szCs w:val="22"/>
        </w:rPr>
      </w:pPr>
    </w:p>
    <w:p w14:paraId="2931DB9B"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i/>
          <w:sz w:val="22"/>
          <w:szCs w:val="22"/>
        </w:rPr>
        <w:t>AUA-SI</w:t>
      </w:r>
      <w:r>
        <w:rPr>
          <w:rFonts w:eastAsia="Calibri"/>
          <w:sz w:val="22"/>
          <w:szCs w:val="22"/>
        </w:rPr>
        <w:t xml:space="preserve"> yra septynių dalių klausimynas apie su GPH susijusius simptomus, didžiausias balų skaičius yra 35. Prieš pradedant</w:t>
      </w:r>
      <w:r w:rsidRPr="001F276A">
        <w:rPr>
          <w:rFonts w:eastAsia="Calibri"/>
          <w:sz w:val="22"/>
        </w:rPr>
        <w:t xml:space="preserve"> gydymą, vidutinis balų skaičius buvo maždaug 17. Po šešių mėnesių, vienerių ir dvejų gydymo metų placebo grupėje vidutinis pagerėjimas buvo atitinkamai 2,5, 2,5 ir 2,3 balo, o dutasterido grupėje atitinkamai 3,2, 3,8 ir 4,5 balo. Skirtumai tarp grupių buvo statistiškai reikšmingi. </w:t>
      </w:r>
      <w:r w:rsidRPr="001F276A">
        <w:rPr>
          <w:rFonts w:eastAsia="Calibri"/>
          <w:i/>
          <w:sz w:val="22"/>
        </w:rPr>
        <w:t>AUC-SI</w:t>
      </w:r>
      <w:r w:rsidRPr="001F276A">
        <w:rPr>
          <w:rFonts w:eastAsia="Calibri"/>
          <w:sz w:val="22"/>
        </w:rPr>
        <w:t xml:space="preserve"> pagerėjimas, stebėtas per pirmuosius dvejus dvigubai koduoto gydymo metus, ir toliau išliko, atliekant papildomą 2 metų trukmės tęstinį atvirą tyrimą.</w:t>
      </w:r>
    </w:p>
    <w:p w14:paraId="78C29F9F" w14:textId="77777777" w:rsidR="00602606" w:rsidRDefault="00602606">
      <w:pPr>
        <w:widowControl w:val="0"/>
        <w:contextualSpacing/>
        <w:outlineLvl w:val="0"/>
        <w:rPr>
          <w:rFonts w:eastAsia="Calibri"/>
          <w:sz w:val="22"/>
          <w:szCs w:val="22"/>
        </w:rPr>
      </w:pPr>
    </w:p>
    <w:p w14:paraId="5D72A08E" w14:textId="77777777" w:rsidR="00602606" w:rsidRDefault="00604AEE">
      <w:pPr>
        <w:widowControl w:val="0"/>
        <w:contextualSpacing/>
        <w:outlineLvl w:val="0"/>
        <w:rPr>
          <w:rFonts w:eastAsia="Calibri"/>
          <w:i/>
          <w:sz w:val="22"/>
          <w:szCs w:val="22"/>
        </w:rPr>
      </w:pPr>
      <w:r>
        <w:rPr>
          <w:rFonts w:eastAsia="Calibri"/>
          <w:i/>
          <w:sz w:val="22"/>
          <w:szCs w:val="22"/>
        </w:rPr>
        <w:t>Q</w:t>
      </w:r>
      <w:r>
        <w:rPr>
          <w:rFonts w:eastAsia="Calibri"/>
          <w:i/>
          <w:sz w:val="22"/>
          <w:szCs w:val="22"/>
          <w:vertAlign w:val="subscript"/>
        </w:rPr>
        <w:t>max</w:t>
      </w:r>
      <w:r w:rsidRPr="001F276A">
        <w:rPr>
          <w:rFonts w:eastAsia="Calibri"/>
          <w:i/>
          <w:sz w:val="22"/>
        </w:rPr>
        <w:t xml:space="preserve"> (didžiausia šlapimo srovė)</w:t>
      </w:r>
    </w:p>
    <w:p w14:paraId="118642ED" w14:textId="77777777" w:rsidR="00602606" w:rsidRDefault="00602606">
      <w:pPr>
        <w:widowControl w:val="0"/>
        <w:contextualSpacing/>
        <w:outlineLvl w:val="0"/>
        <w:rPr>
          <w:rFonts w:eastAsia="Calibri"/>
          <w:i/>
          <w:sz w:val="22"/>
          <w:szCs w:val="22"/>
        </w:rPr>
      </w:pPr>
    </w:p>
    <w:p w14:paraId="66C241AE"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Tyrimų duomenimis, vidutinė pradinė Q</w:t>
      </w:r>
      <w:r>
        <w:rPr>
          <w:rFonts w:eastAsia="Calibri"/>
          <w:sz w:val="22"/>
          <w:szCs w:val="22"/>
          <w:vertAlign w:val="subscript"/>
        </w:rPr>
        <w:t>max</w:t>
      </w:r>
      <w:r w:rsidRPr="001F276A">
        <w:rPr>
          <w:rFonts w:eastAsia="Calibri"/>
          <w:sz w:val="22"/>
        </w:rPr>
        <w:t xml:space="preserve"> buvo maždaug 10 ml/s (normali Q</w:t>
      </w:r>
      <w:r w:rsidRPr="001F276A">
        <w:rPr>
          <w:rFonts w:eastAsia="Calibri"/>
          <w:sz w:val="22"/>
          <w:vertAlign w:val="subscript"/>
        </w:rPr>
        <w:t>max</w:t>
      </w:r>
      <w:r w:rsidRPr="001F276A">
        <w:rPr>
          <w:rFonts w:eastAsia="Calibri"/>
          <w:sz w:val="22"/>
        </w:rPr>
        <w:t xml:space="preserve"> yra </w:t>
      </w:r>
      <w:r w:rsidRPr="001F276A">
        <w:rPr>
          <w:rFonts w:eastAsia="Calibri"/>
          <w:sz w:val="22"/>
          <w:u w:val="single"/>
        </w:rPr>
        <w:t>&gt;</w:t>
      </w:r>
      <w:r>
        <w:rPr>
          <w:rFonts w:eastAsia="Calibri"/>
          <w:sz w:val="22"/>
          <w:szCs w:val="22"/>
        </w:rPr>
        <w:t xml:space="preserve"> 15 ml/s). Po vienerių ir dvejų gydymo metų placebo grupėje srovė padidėjo atitinkamai 0,8 ml/s ir 0,9 ml/s, o </w:t>
      </w:r>
      <w:r w:rsidRPr="001F276A">
        <w:rPr>
          <w:rFonts w:eastAsia="Calibri"/>
          <w:sz w:val="22"/>
        </w:rPr>
        <w:t>dutasterido grupėje atitinkamai 1,7 ml/s ir 2 ml/s. Skirtumas tarp grupių buvo statistiškai reikšmingas nuo 1 mėnesio iki 24 mėnesio. Didžiausias šlapimo srovės greičio padidėjimas stebėtas per pirmuosius dvejus dvigubai koduoto gydymo metus ir toliau išliko per 2 papildomus tęstinio atviro tyrimo metus.</w:t>
      </w:r>
    </w:p>
    <w:p w14:paraId="455EAA45" w14:textId="77777777" w:rsidR="00602606" w:rsidRDefault="00602606">
      <w:pPr>
        <w:widowControl w:val="0"/>
        <w:contextualSpacing/>
        <w:outlineLvl w:val="0"/>
        <w:rPr>
          <w:rFonts w:eastAsia="Calibri"/>
          <w:sz w:val="22"/>
          <w:szCs w:val="22"/>
        </w:rPr>
      </w:pPr>
    </w:p>
    <w:p w14:paraId="5BB6EEC8" w14:textId="77777777" w:rsidR="00602606" w:rsidRDefault="00604AEE">
      <w:pPr>
        <w:widowControl w:val="0"/>
        <w:contextualSpacing/>
        <w:outlineLvl w:val="0"/>
        <w:rPr>
          <w:rFonts w:asciiTheme="minorHAnsi" w:eastAsia="Calibri" w:hAnsiTheme="minorHAnsi" w:cstheme="minorBidi"/>
          <w:i/>
          <w:sz w:val="22"/>
          <w:szCs w:val="22"/>
          <w:lang w:val="lt-LT" w:eastAsia="en-US"/>
        </w:rPr>
      </w:pPr>
      <w:r>
        <w:rPr>
          <w:rFonts w:eastAsia="Calibri"/>
          <w:i/>
          <w:sz w:val="22"/>
          <w:szCs w:val="22"/>
        </w:rPr>
        <w:t>Ūminis šlapimo susilaikymas ir chirurginis gydymas</w:t>
      </w:r>
    </w:p>
    <w:p w14:paraId="13F36712" w14:textId="77777777" w:rsidR="00602606" w:rsidRDefault="00602606">
      <w:pPr>
        <w:widowControl w:val="0"/>
        <w:contextualSpacing/>
        <w:outlineLvl w:val="0"/>
        <w:rPr>
          <w:rFonts w:eastAsia="Calibri"/>
          <w:i/>
          <w:sz w:val="22"/>
          <w:szCs w:val="22"/>
        </w:rPr>
      </w:pPr>
    </w:p>
    <w:p w14:paraId="7BC5CD0A"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Po dvejų gydymo metų ŪŠS dažnis placebo grupėje buvo 4,2 %, palyginti su 1,8 % dutasterido</w:t>
      </w:r>
      <w:r w:rsidRPr="001F276A">
        <w:rPr>
          <w:rFonts w:eastAsia="Calibri"/>
          <w:sz w:val="22"/>
        </w:rPr>
        <w:t xml:space="preserve"> grupėje (rizikos sumažėjimas 57 %). Šis skirtumas yra statistiškai reikšmingas ir rodo, kad 42 pacientai turi būti gydomi 2 metus, kad būtų išvengta 1 ŪŠS atvejo (95 % PI 30–73).</w:t>
      </w:r>
    </w:p>
    <w:p w14:paraId="6E57FEFA" w14:textId="77777777" w:rsidR="00602606" w:rsidRDefault="00602606">
      <w:pPr>
        <w:widowControl w:val="0"/>
        <w:contextualSpacing/>
        <w:outlineLvl w:val="0"/>
        <w:rPr>
          <w:rFonts w:eastAsia="Calibri"/>
          <w:sz w:val="22"/>
          <w:szCs w:val="22"/>
        </w:rPr>
      </w:pPr>
    </w:p>
    <w:p w14:paraId="40DDB0E2"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Po 2 gydymo metų su GPH susijusios chirurginės operacijos dažnis placebo grupėje buvo 4,1 %, dutasterido</w:t>
      </w:r>
      <w:r w:rsidRPr="001F276A">
        <w:rPr>
          <w:rFonts w:eastAsia="Calibri"/>
          <w:sz w:val="22"/>
        </w:rPr>
        <w:t xml:space="preserve"> grupėje − ir 2,2 % (rizikos sumažėjimas 48 %). Šis skirtumas yra statistiškai reikšmingas ir rodo, kad 51 pacientas turi būti gydomas dvejus metus, kad būtų išvengta vieno ŪŠS atvejo (95 % PI 33–109).</w:t>
      </w:r>
    </w:p>
    <w:p w14:paraId="13D7B5E1" w14:textId="77777777" w:rsidR="00602606" w:rsidRDefault="00602606">
      <w:pPr>
        <w:widowControl w:val="0"/>
        <w:contextualSpacing/>
        <w:outlineLvl w:val="0"/>
        <w:rPr>
          <w:rFonts w:eastAsia="Calibri"/>
          <w:sz w:val="22"/>
          <w:szCs w:val="22"/>
        </w:rPr>
      </w:pPr>
    </w:p>
    <w:p w14:paraId="5569422B" w14:textId="77777777" w:rsidR="00602606" w:rsidRDefault="00604AEE">
      <w:pPr>
        <w:widowControl w:val="0"/>
        <w:rPr>
          <w:rFonts w:asciiTheme="minorHAnsi" w:eastAsia="Calibri" w:hAnsiTheme="minorHAnsi" w:cstheme="minorBidi"/>
          <w:i/>
          <w:sz w:val="22"/>
          <w:szCs w:val="22"/>
          <w:lang w:val="lt-LT" w:eastAsia="en-US"/>
        </w:rPr>
      </w:pPr>
      <w:r>
        <w:rPr>
          <w:rFonts w:eastAsia="Calibri"/>
          <w:i/>
          <w:sz w:val="22"/>
          <w:szCs w:val="22"/>
        </w:rPr>
        <w:t>Plaukų pasiskirstymas</w:t>
      </w:r>
    </w:p>
    <w:p w14:paraId="421C45C3" w14:textId="77777777" w:rsidR="00602606" w:rsidRDefault="00602606">
      <w:pPr>
        <w:widowControl w:val="0"/>
        <w:rPr>
          <w:rFonts w:eastAsia="Calibri"/>
          <w:i/>
          <w:sz w:val="22"/>
          <w:szCs w:val="22"/>
        </w:rPr>
      </w:pPr>
    </w:p>
    <w:p w14:paraId="51AD1105"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Formalių dutasterido poveikio plaukų pasiskirstymui tyrimų III fazės klinikinių tyrimų programos metu neatlikta, vis dėlto 5</w:t>
      </w:r>
      <w:r>
        <w:rPr>
          <w:rFonts w:eastAsia="Calibri"/>
          <w:sz w:val="22"/>
          <w:szCs w:val="22"/>
        </w:rPr>
        <w:noBreakHyphen/>
        <w:t>alfa reduktazės inhibitoriai ga</w:t>
      </w:r>
      <w:r w:rsidRPr="001F276A">
        <w:rPr>
          <w:rFonts w:eastAsia="Calibri"/>
          <w:sz w:val="22"/>
        </w:rPr>
        <w:t>li mažinti plaukų slinkimą ir skatinti jų augimą asmenims, kuriems pasireiškia vyriško tipo plaukų slinkimas (vyrų androgeninė alopecija).</w:t>
      </w:r>
    </w:p>
    <w:p w14:paraId="7772DC15" w14:textId="77777777" w:rsidR="00602606" w:rsidRDefault="00602606">
      <w:pPr>
        <w:widowControl w:val="0"/>
        <w:contextualSpacing/>
        <w:outlineLvl w:val="0"/>
        <w:rPr>
          <w:rFonts w:eastAsia="Calibri"/>
          <w:sz w:val="22"/>
          <w:szCs w:val="22"/>
        </w:rPr>
      </w:pPr>
    </w:p>
    <w:p w14:paraId="0C7207B8" w14:textId="77777777" w:rsidR="00602606" w:rsidRDefault="00604AEE">
      <w:pPr>
        <w:widowControl w:val="0"/>
        <w:contextualSpacing/>
        <w:outlineLvl w:val="0"/>
        <w:rPr>
          <w:rFonts w:asciiTheme="minorHAnsi" w:eastAsia="Calibri" w:hAnsiTheme="minorHAnsi" w:cstheme="minorBidi"/>
          <w:i/>
          <w:sz w:val="22"/>
          <w:szCs w:val="22"/>
          <w:lang w:val="lt-LT" w:eastAsia="en-US"/>
        </w:rPr>
      </w:pPr>
      <w:r>
        <w:rPr>
          <w:rFonts w:eastAsia="Calibri"/>
          <w:i/>
          <w:sz w:val="22"/>
          <w:szCs w:val="22"/>
        </w:rPr>
        <w:t>Skydliaukės funkcija</w:t>
      </w:r>
    </w:p>
    <w:p w14:paraId="0D9EDB83" w14:textId="77777777" w:rsidR="00602606" w:rsidRDefault="00602606">
      <w:pPr>
        <w:widowControl w:val="0"/>
        <w:contextualSpacing/>
        <w:outlineLvl w:val="0"/>
        <w:rPr>
          <w:rFonts w:eastAsia="Calibri"/>
          <w:i/>
          <w:sz w:val="22"/>
          <w:szCs w:val="22"/>
        </w:rPr>
      </w:pPr>
    </w:p>
    <w:p w14:paraId="2257F6E0"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Atliktas vienerius metus trukęs poveikio skydliaukės funkcijai tyrimas, kuriame dalyvavo sveiki vyrai. Vartojant dutasteridą, vienerių gydymo metų pabaigoje laisvo tiroksino kiekis nepakito, bet TTH kiekis šiek tiek padidėjo (0,4 </w:t>
      </w:r>
      <w:r w:rsidRPr="001F276A">
        <w:rPr>
          <w:rFonts w:eastAsia="Calibri"/>
          <w:i/>
          <w:sz w:val="22"/>
        </w:rPr>
        <w:t>MCIU</w:t>
      </w:r>
      <w:r w:rsidRPr="001F276A">
        <w:rPr>
          <w:rFonts w:eastAsia="Calibri"/>
          <w:sz w:val="22"/>
        </w:rPr>
        <w:t>/ml), palyginti su placebo poveikiu. Vis dėlto nors TTH kiekis kito, TTH medianos ribos (1,4</w:t>
      </w:r>
      <w:r w:rsidRPr="001F276A">
        <w:rPr>
          <w:rFonts w:eastAsia="Calibri"/>
          <w:sz w:val="22"/>
        </w:rPr>
        <w:noBreakHyphen/>
        <w:t>1,9 </w:t>
      </w:r>
      <w:r w:rsidRPr="001F276A">
        <w:rPr>
          <w:rFonts w:eastAsia="Calibri"/>
          <w:i/>
          <w:sz w:val="22"/>
        </w:rPr>
        <w:t>MCIU</w:t>
      </w:r>
      <w:r w:rsidRPr="001F276A">
        <w:rPr>
          <w:rFonts w:eastAsia="Calibri"/>
          <w:sz w:val="22"/>
        </w:rPr>
        <w:t>/ml) išliko normos ribose (0,5</w:t>
      </w:r>
      <w:r w:rsidRPr="001F276A">
        <w:rPr>
          <w:rFonts w:eastAsia="Calibri"/>
          <w:sz w:val="22"/>
        </w:rPr>
        <w:noBreakHyphen/>
        <w:t>5/6 </w:t>
      </w:r>
      <w:r w:rsidRPr="001F276A">
        <w:rPr>
          <w:rFonts w:eastAsia="Calibri"/>
          <w:i/>
          <w:sz w:val="22"/>
        </w:rPr>
        <w:t>MCIU</w:t>
      </w:r>
      <w:r w:rsidRPr="001F276A">
        <w:rPr>
          <w:rFonts w:eastAsia="Calibri"/>
          <w:sz w:val="22"/>
        </w:rPr>
        <w:t>/ml), laisvo tiroksino kiekis nepakito ir išliko normos ribose bei placebo ir dutasterido vartojimo grupėse buvo panašus, TTH pokyčiai nelaikyti kliniškai reikšmingais. Nė vienas atliktas klinikinis tyrimas neparodė, kad dutasteridas nepalankiai veiktų skydliaukės funkciją.</w:t>
      </w:r>
    </w:p>
    <w:p w14:paraId="23A6B164" w14:textId="77777777" w:rsidR="00602606" w:rsidRDefault="00602606">
      <w:pPr>
        <w:widowControl w:val="0"/>
        <w:contextualSpacing/>
        <w:outlineLvl w:val="0"/>
        <w:rPr>
          <w:rFonts w:eastAsia="Calibri"/>
          <w:sz w:val="22"/>
          <w:szCs w:val="22"/>
        </w:rPr>
      </w:pPr>
    </w:p>
    <w:p w14:paraId="4CEFFDC7" w14:textId="77777777" w:rsidR="00602606" w:rsidRDefault="00604AEE">
      <w:pPr>
        <w:widowControl w:val="0"/>
        <w:contextualSpacing/>
        <w:outlineLvl w:val="0"/>
        <w:rPr>
          <w:rFonts w:asciiTheme="minorHAnsi" w:eastAsia="Calibri" w:hAnsiTheme="minorHAnsi" w:cstheme="minorBidi"/>
          <w:i/>
          <w:sz w:val="22"/>
          <w:szCs w:val="22"/>
          <w:lang w:val="lt-LT" w:eastAsia="en-US"/>
        </w:rPr>
      </w:pPr>
      <w:r>
        <w:rPr>
          <w:rFonts w:eastAsia="Calibri"/>
          <w:i/>
          <w:sz w:val="22"/>
          <w:szCs w:val="22"/>
        </w:rPr>
        <w:t>Krūties navikai</w:t>
      </w:r>
    </w:p>
    <w:p w14:paraId="2DE79AD4" w14:textId="77777777" w:rsidR="00602606" w:rsidRDefault="00602606">
      <w:pPr>
        <w:widowControl w:val="0"/>
        <w:contextualSpacing/>
        <w:outlineLvl w:val="0"/>
        <w:rPr>
          <w:rFonts w:eastAsia="Calibri"/>
          <w:i/>
          <w:sz w:val="22"/>
          <w:szCs w:val="22"/>
        </w:rPr>
      </w:pPr>
    </w:p>
    <w:p w14:paraId="292B8132"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2 metus trukusių klinikinių tyrimų metu dutasterido ekspozicija truko 3 374 paciento metus ir, regist</w:t>
      </w:r>
      <w:r w:rsidRPr="001F276A">
        <w:rPr>
          <w:rFonts w:eastAsia="Calibri"/>
          <w:sz w:val="22"/>
        </w:rPr>
        <w:t xml:space="preserve">ruojant 2 metų atviram tyrimo pratęsimui, nustatyti 2 pranešti krūties vėžio atvejai dutasteridu gydytiems pacientams ir 1 atvejis placebą vartojusiam pacientui. 4 metus trukusių </w:t>
      </w:r>
      <w:r w:rsidRPr="001F276A">
        <w:rPr>
          <w:rFonts w:eastAsia="Calibri"/>
          <w:i/>
          <w:sz w:val="22"/>
        </w:rPr>
        <w:t xml:space="preserve">CombAT </w:t>
      </w:r>
      <w:r w:rsidRPr="001F276A">
        <w:rPr>
          <w:rFonts w:eastAsia="Calibri"/>
          <w:sz w:val="22"/>
        </w:rPr>
        <w:t xml:space="preserve">ir </w:t>
      </w:r>
      <w:r w:rsidRPr="001F276A">
        <w:rPr>
          <w:rFonts w:eastAsia="Calibri"/>
          <w:i/>
          <w:sz w:val="22"/>
        </w:rPr>
        <w:t xml:space="preserve">REDUCE </w:t>
      </w:r>
      <w:r w:rsidRPr="001F276A">
        <w:rPr>
          <w:rFonts w:eastAsia="Calibri"/>
          <w:sz w:val="22"/>
        </w:rPr>
        <w:t>klinikinių tyrimų, kurių metu dutasterido ekspozicija sudarė 17 489 paciento metus, o dutasterido ir tamsulozino derinio ekspozicija – 5 027 paciento metus, duomenimis, apie krūties vėžio atvejus nebuvo pranešta nei vienoje gydymo grupėje.</w:t>
      </w:r>
    </w:p>
    <w:p w14:paraId="05082E43" w14:textId="77777777" w:rsidR="00602606" w:rsidRDefault="00602606">
      <w:pPr>
        <w:widowControl w:val="0"/>
        <w:contextualSpacing/>
        <w:outlineLvl w:val="0"/>
        <w:rPr>
          <w:rFonts w:eastAsia="Calibri"/>
          <w:sz w:val="22"/>
          <w:szCs w:val="22"/>
        </w:rPr>
      </w:pPr>
    </w:p>
    <w:p w14:paraId="25E384AD"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Du atvejo kontrolės epidemiologijos tyrimai, vienas kurių buvo atliktas naudojant JAV (n=339 krūties vėžio atvejai ir n=6 780 kontrolinėje grupėje), o kitas – Jungtinės Karalystės (n=398 krūties vėžio atvejai ir n=3 930 kontrolinėje grupėje) sveikatos priežiūros duomenų bazes, atskleidė, kad vyrams, vartojantiems 5 ARI, krūties v</w:t>
      </w:r>
      <w:r w:rsidRPr="001F276A">
        <w:rPr>
          <w:rFonts w:eastAsia="Calibri"/>
          <w:sz w:val="22"/>
        </w:rPr>
        <w:t>ėžio pasireiškimo rizika nepadidėja (žr. 4.4 skyrių).</w:t>
      </w:r>
    </w:p>
    <w:p w14:paraId="2465AD80"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Pirmojo tyrimo duomenys neatskleidė teigiamo ryšio su vyrų krūties vėžiu (santykinė rizika vartojant 1 metus ir ilgiau prieš diagnozuojant krūties vėžį, palyginti su trumpesniu kaip 1 metų vartojimu: 0,70: 95 % PI 0,34, 1,45). Antrojo tyrimo duomenimis, apskaičiuotasis krūties vėžio, susijusio su 5 ARI v</w:t>
      </w:r>
      <w:r w:rsidRPr="001F276A">
        <w:rPr>
          <w:rFonts w:eastAsia="Calibri"/>
          <w:sz w:val="22"/>
        </w:rPr>
        <w:t>artojimu, šansų santykis, palyginti su nevartojimu, buvo 1,08: 95 % PI 0,62, 1,87.</w:t>
      </w:r>
    </w:p>
    <w:p w14:paraId="6BBDDA5E" w14:textId="77777777" w:rsidR="00602606" w:rsidRDefault="00602606">
      <w:pPr>
        <w:widowControl w:val="0"/>
        <w:contextualSpacing/>
        <w:outlineLvl w:val="0"/>
        <w:rPr>
          <w:rFonts w:eastAsia="Calibri"/>
          <w:sz w:val="22"/>
          <w:szCs w:val="22"/>
        </w:rPr>
      </w:pPr>
    </w:p>
    <w:p w14:paraId="6D6F444D"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Ar krūties vėžio atsiradimas vyrams yra priežastiniu ryšiu susijęs su ilgalaikiu dutasterido vartojimu, nenustatyta.</w:t>
      </w:r>
    </w:p>
    <w:p w14:paraId="609C3D6D" w14:textId="77777777" w:rsidR="00602606" w:rsidRDefault="00602606">
      <w:pPr>
        <w:widowControl w:val="0"/>
        <w:contextualSpacing/>
        <w:outlineLvl w:val="0"/>
        <w:rPr>
          <w:rFonts w:eastAsia="Calibri"/>
          <w:sz w:val="22"/>
          <w:szCs w:val="22"/>
        </w:rPr>
      </w:pPr>
    </w:p>
    <w:p w14:paraId="64ED5763" w14:textId="77777777" w:rsidR="00602606" w:rsidRDefault="00604AEE">
      <w:pPr>
        <w:widowControl w:val="0"/>
        <w:contextualSpacing/>
        <w:outlineLvl w:val="0"/>
        <w:rPr>
          <w:rFonts w:asciiTheme="minorHAnsi" w:eastAsia="Calibri" w:hAnsiTheme="minorHAnsi" w:cstheme="minorBidi"/>
          <w:i/>
          <w:sz w:val="22"/>
          <w:szCs w:val="22"/>
          <w:lang w:val="lt-LT" w:eastAsia="en-US"/>
        </w:rPr>
      </w:pPr>
      <w:r>
        <w:rPr>
          <w:rFonts w:eastAsia="Calibri"/>
          <w:i/>
          <w:sz w:val="22"/>
          <w:szCs w:val="22"/>
        </w:rPr>
        <w:t>Poveikis vyrų vaisingumui</w:t>
      </w:r>
    </w:p>
    <w:p w14:paraId="003E542D" w14:textId="77777777" w:rsidR="00602606" w:rsidRDefault="00602606">
      <w:pPr>
        <w:widowControl w:val="0"/>
        <w:contextualSpacing/>
        <w:outlineLvl w:val="0"/>
        <w:rPr>
          <w:rFonts w:eastAsia="Calibri"/>
          <w:i/>
          <w:sz w:val="22"/>
          <w:szCs w:val="22"/>
        </w:rPr>
      </w:pPr>
    </w:p>
    <w:p w14:paraId="722FE257"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Buvo tirta 0,5 mg dutasterido paros dozės įtaka 18</w:t>
      </w:r>
      <w:r w:rsidRPr="001F276A">
        <w:rPr>
          <w:rFonts w:eastAsia="Calibri"/>
          <w:sz w:val="22"/>
        </w:rPr>
        <w:noBreakHyphen/>
        <w:t>52 metų sveikų savanorių vyrų (n=27 dutasterido, n=23 placebo grupėje) spermos savybėms per 52 gydymo ir 24 stebėjimo po gydymo savaites. 52 gydymo savaitę dutasteridu gydytų vyrų vidutinis spermatozoidų kiekio, spermos tūrio ir spermatozoidų judrumo procentinis sumažėjimas, palyginti su pradiniu, buvo atitinkamai 23 </w:t>
      </w:r>
      <w:r w:rsidRPr="001F276A">
        <w:rPr>
          <w:rFonts w:eastAsia="Calibri"/>
          <w:sz w:val="22"/>
        </w:rPr>
        <w:sym w:font="Symbol" w:char="F025"/>
      </w:r>
      <w:r>
        <w:rPr>
          <w:rFonts w:eastAsia="Calibri"/>
          <w:sz w:val="22"/>
          <w:szCs w:val="22"/>
        </w:rPr>
        <w:t>, 26 </w:t>
      </w:r>
      <w:r w:rsidRPr="001F276A">
        <w:rPr>
          <w:rFonts w:eastAsia="Calibri"/>
          <w:sz w:val="22"/>
        </w:rPr>
        <w:sym w:font="Symbol" w:char="F025"/>
      </w:r>
      <w:r>
        <w:rPr>
          <w:rFonts w:eastAsia="Calibri"/>
          <w:sz w:val="22"/>
          <w:szCs w:val="22"/>
        </w:rPr>
        <w:t xml:space="preserve"> ir 18 </w:t>
      </w:r>
      <w:r w:rsidRPr="001F276A">
        <w:rPr>
          <w:rFonts w:eastAsia="Calibri"/>
          <w:sz w:val="22"/>
        </w:rPr>
        <w:sym w:font="Symbol" w:char="F025"/>
      </w:r>
      <w:r>
        <w:rPr>
          <w:rFonts w:eastAsia="Calibri"/>
          <w:sz w:val="22"/>
          <w:szCs w:val="22"/>
        </w:rPr>
        <w:t xml:space="preserve">, koregavus atsižvelgiant į pokyčius, atsiradusius </w:t>
      </w:r>
      <w:r w:rsidRPr="001F276A">
        <w:rPr>
          <w:rFonts w:eastAsia="Calibri"/>
          <w:sz w:val="22"/>
        </w:rPr>
        <w:t>placebo grupėje. Spermatozoidų koncentracija ir morfologija nepakito. Po 24 stebėjimo savaičių vidutinis spermatozoidų kiekio procentinis pokytis dutasterido grupėje vis dar buvo 23 </w:t>
      </w:r>
      <w:r w:rsidRPr="001F276A">
        <w:rPr>
          <w:rFonts w:eastAsia="Calibri"/>
          <w:sz w:val="22"/>
        </w:rPr>
        <w:sym w:font="Symbol" w:char="F025"/>
      </w:r>
      <w:r>
        <w:rPr>
          <w:rFonts w:eastAsia="Calibri"/>
          <w:sz w:val="22"/>
          <w:szCs w:val="22"/>
        </w:rPr>
        <w:t xml:space="preserve"> mažesnis, palyginti su pradiniu rodmeniu. Vidutinės visų rodmenų reikšmė</w:t>
      </w:r>
      <w:r w:rsidRPr="001F276A">
        <w:rPr>
          <w:rFonts w:eastAsia="Calibri"/>
          <w:sz w:val="22"/>
        </w:rPr>
        <w:t>s bet kuriuo laiku buvo normos ribose ir nepasiekė prieš tyrimą numatytų kliniškai reikšmingo pokyčio (30 </w:t>
      </w:r>
      <w:r w:rsidRPr="001F276A">
        <w:rPr>
          <w:rFonts w:eastAsia="Calibri"/>
          <w:sz w:val="22"/>
        </w:rPr>
        <w:sym w:font="Symbol" w:char="F025"/>
      </w:r>
      <w:r>
        <w:rPr>
          <w:rFonts w:eastAsia="Calibri"/>
          <w:sz w:val="22"/>
          <w:szCs w:val="22"/>
        </w:rPr>
        <w:t>) kriterijų, vis dėlto dviejų dutasterido grupės tiriamųjų spermatozoidų kiekis 52 gydymo savaitę sumažėjo nuo pradinio rodmens daugiau kaip 90 </w:t>
      </w:r>
      <w:r w:rsidRPr="001F276A">
        <w:rPr>
          <w:rFonts w:eastAsia="Calibri"/>
          <w:sz w:val="22"/>
        </w:rPr>
        <w:sym w:font="Symbol" w:char="F025"/>
      </w:r>
      <w:r>
        <w:rPr>
          <w:rFonts w:eastAsia="Calibri"/>
          <w:sz w:val="22"/>
          <w:szCs w:val="22"/>
        </w:rPr>
        <w:t xml:space="preserve"> ir </w:t>
      </w:r>
      <w:r w:rsidRPr="001F276A">
        <w:rPr>
          <w:rFonts w:eastAsia="Calibri"/>
          <w:sz w:val="22"/>
        </w:rPr>
        <w:t>per 24 stebėjimo savaites atsistatė tik iš dalies. Vyrų vaisingumo sumažėjimo galimybės paneigti negalima.</w:t>
      </w:r>
    </w:p>
    <w:p w14:paraId="320B12F4" w14:textId="77777777" w:rsidR="00602606" w:rsidRDefault="00602606">
      <w:pPr>
        <w:widowControl w:val="0"/>
        <w:contextualSpacing/>
        <w:outlineLvl w:val="0"/>
        <w:rPr>
          <w:rFonts w:eastAsia="Calibri"/>
          <w:sz w:val="22"/>
          <w:szCs w:val="22"/>
        </w:rPr>
      </w:pPr>
    </w:p>
    <w:p w14:paraId="6DE2D95A" w14:textId="77777777" w:rsidR="00602606" w:rsidRDefault="00604AEE">
      <w:pPr>
        <w:widowControl w:val="0"/>
        <w:contextualSpacing/>
        <w:outlineLvl w:val="0"/>
        <w:rPr>
          <w:rFonts w:asciiTheme="minorHAnsi" w:eastAsia="Calibri" w:hAnsiTheme="minorHAnsi" w:cstheme="minorBidi"/>
          <w:i/>
          <w:sz w:val="22"/>
          <w:szCs w:val="22"/>
          <w:lang w:val="lt-LT" w:eastAsia="en-US"/>
        </w:rPr>
      </w:pPr>
      <w:r>
        <w:rPr>
          <w:rFonts w:eastAsia="Calibri"/>
          <w:i/>
          <w:sz w:val="22"/>
          <w:szCs w:val="22"/>
        </w:rPr>
        <w:t>Širdies ir kraujagyslių nepageidaujami reiškiniai</w:t>
      </w:r>
    </w:p>
    <w:p w14:paraId="32B9532C" w14:textId="77777777" w:rsidR="00602606" w:rsidRDefault="00602606">
      <w:pPr>
        <w:widowControl w:val="0"/>
        <w:contextualSpacing/>
        <w:outlineLvl w:val="0"/>
        <w:rPr>
          <w:rFonts w:eastAsia="Calibri"/>
          <w:i/>
          <w:sz w:val="22"/>
          <w:szCs w:val="22"/>
        </w:rPr>
      </w:pPr>
    </w:p>
    <w:p w14:paraId="0AB89408"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4 metus trukusio GPH tyrimo, per kurį dutasteridą kartu su tamsulozinu vartojo 4 844 vyrai (</w:t>
      </w:r>
      <w:r>
        <w:rPr>
          <w:rFonts w:eastAsia="Calibri"/>
          <w:i/>
          <w:sz w:val="22"/>
          <w:szCs w:val="22"/>
        </w:rPr>
        <w:t>CombA</w:t>
      </w:r>
      <w:r w:rsidRPr="001F276A">
        <w:rPr>
          <w:rFonts w:eastAsia="Calibri"/>
          <w:i/>
          <w:sz w:val="22"/>
        </w:rPr>
        <w:t>T</w:t>
      </w:r>
      <w:r w:rsidRPr="001F276A">
        <w:rPr>
          <w:rFonts w:eastAsia="Calibri"/>
          <w:sz w:val="22"/>
        </w:rPr>
        <w:t xml:space="preserve"> tyrimas), metu širdies nepakankamumas (vartojamas bendras apibūdinimas) vaistinių preparatų derinio vartojimo grupėje (14/1610, 0,9 %) pasireiškė dažniau nei bet kurioje monoterapijos grupėje: dutasterido (4/1623, 0,2 %) ir tamsulozino (10/1611, 0,6 %) (žr. 4.4 skyrių).</w:t>
      </w:r>
    </w:p>
    <w:p w14:paraId="6613B099" w14:textId="77777777" w:rsidR="00602606" w:rsidRDefault="00602606">
      <w:pPr>
        <w:widowControl w:val="0"/>
        <w:contextualSpacing/>
        <w:outlineLvl w:val="0"/>
        <w:rPr>
          <w:rFonts w:eastAsia="Calibri"/>
          <w:sz w:val="22"/>
          <w:szCs w:val="22"/>
        </w:rPr>
      </w:pPr>
    </w:p>
    <w:p w14:paraId="1C6AD88B"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Atskiro 4 metus trukusio tyrimo, kuriame dalyvavo 8 231 50</w:t>
      </w:r>
      <w:r>
        <w:rPr>
          <w:rFonts w:eastAsia="Calibri"/>
          <w:sz w:val="22"/>
          <w:szCs w:val="22"/>
        </w:rPr>
        <w:noBreakHyphen/>
        <w:t>75 metų vyras, kuriam anks</w:t>
      </w:r>
      <w:r w:rsidRPr="001F276A">
        <w:rPr>
          <w:rFonts w:eastAsia="Calibri"/>
          <w:sz w:val="22"/>
        </w:rPr>
        <w:t>čiau atliktos biopsijos prostatos vėžiui diagnozuoti duomenys buvo neigiami ir pradinė PSA koncentracija buvo nuo 2,5 ng/ml iki 10,0 ng/ml 50</w:t>
      </w:r>
      <w:r w:rsidRPr="001F276A">
        <w:rPr>
          <w:rFonts w:eastAsia="Calibri"/>
          <w:sz w:val="22"/>
        </w:rPr>
        <w:noBreakHyphen/>
        <w:t>60 metų vyrams arba nuo 3 ng/ml iki 10,0 ng/ml vyresniems kaip 60 metų vyrams (</w:t>
      </w:r>
      <w:r w:rsidRPr="001F276A">
        <w:rPr>
          <w:rFonts w:eastAsia="Calibri"/>
          <w:i/>
          <w:sz w:val="22"/>
        </w:rPr>
        <w:t>REDUCE</w:t>
      </w:r>
      <w:r w:rsidRPr="001F276A">
        <w:rPr>
          <w:rFonts w:eastAsia="Calibri"/>
          <w:sz w:val="22"/>
        </w:rPr>
        <w:t xml:space="preserve"> tyrimas), duomenimis, širdies nepakankamumas (vartojamas bendras apibūdinimas) tiriamiesiems, vartojantiems 0,5 mg dutasterido dozę kartą per parą (30/4105, 0,7 %), buvo dažnesnis, palyginti su tiriamaisiais, vartojusiais placebą (16/4126, 0,4 %). Vėlesnė (angl. </w:t>
      </w:r>
      <w:r w:rsidRPr="001F276A">
        <w:rPr>
          <w:rFonts w:eastAsia="Calibri"/>
          <w:i/>
          <w:sz w:val="22"/>
        </w:rPr>
        <w:t>post-hoc</w:t>
      </w:r>
      <w:r w:rsidRPr="001F276A">
        <w:rPr>
          <w:rFonts w:eastAsia="Calibri"/>
          <w:sz w:val="22"/>
        </w:rPr>
        <w:t>) šio tyrimo duomenų analizė parodė, kad širdies nepakankamumas (vartojamas bendras apibūdinimas) buvo dažnesnis tiriamiesiems, vartojantiems dutasteridą kartu su alfa</w:t>
      </w:r>
      <w:r w:rsidRPr="001F276A">
        <w:rPr>
          <w:rFonts w:eastAsia="Calibri"/>
          <w:sz w:val="22"/>
          <w:vertAlign w:val="subscript"/>
        </w:rPr>
        <w:t>1</w:t>
      </w:r>
      <w:r>
        <w:rPr>
          <w:rFonts w:eastAsia="Calibri"/>
          <w:sz w:val="22"/>
          <w:szCs w:val="22"/>
        </w:rPr>
        <w:t xml:space="preserve"> adrenoreceptorių blokatoriumi (12/1152, 1,0 %), palyginti su tiriamaisiais, vartojusiai</w:t>
      </w:r>
      <w:r w:rsidRPr="001F276A">
        <w:rPr>
          <w:rFonts w:eastAsia="Calibri"/>
          <w:sz w:val="22"/>
        </w:rPr>
        <w:t>s dutasteridą be alfa</w:t>
      </w:r>
      <w:r w:rsidRPr="001F276A">
        <w:rPr>
          <w:rFonts w:eastAsia="Calibri"/>
          <w:sz w:val="22"/>
          <w:vertAlign w:val="subscript"/>
        </w:rPr>
        <w:t>1</w:t>
      </w:r>
      <w:r>
        <w:rPr>
          <w:rFonts w:eastAsia="Calibri"/>
          <w:sz w:val="22"/>
          <w:szCs w:val="22"/>
        </w:rPr>
        <w:t xml:space="preserve"> adrenoreceptorių antagonisto (18/2953, 0,6 %), placebą kartu su alfa</w:t>
      </w:r>
      <w:r w:rsidRPr="001F276A">
        <w:rPr>
          <w:rFonts w:eastAsia="Calibri"/>
          <w:sz w:val="22"/>
          <w:vertAlign w:val="subscript"/>
        </w:rPr>
        <w:t>1</w:t>
      </w:r>
      <w:r>
        <w:rPr>
          <w:rFonts w:eastAsia="Calibri"/>
          <w:sz w:val="22"/>
          <w:szCs w:val="22"/>
        </w:rPr>
        <w:t xml:space="preserve"> adrenoreceptorių antagonistu (1/1399, &lt; 0,1 %) arba placebą be alfa</w:t>
      </w:r>
      <w:r w:rsidRPr="001F276A">
        <w:rPr>
          <w:rFonts w:eastAsia="Calibri"/>
          <w:sz w:val="22"/>
          <w:vertAlign w:val="subscript"/>
        </w:rPr>
        <w:t>1</w:t>
      </w:r>
      <w:r>
        <w:rPr>
          <w:rFonts w:eastAsia="Calibri"/>
          <w:sz w:val="22"/>
          <w:szCs w:val="22"/>
        </w:rPr>
        <w:t xml:space="preserve"> adre</w:t>
      </w:r>
      <w:r w:rsidRPr="001F276A">
        <w:rPr>
          <w:rFonts w:eastAsia="Calibri"/>
          <w:sz w:val="22"/>
        </w:rPr>
        <w:t>noreceptorių antagonisto (15/2727, 0,6 %).</w:t>
      </w:r>
    </w:p>
    <w:p w14:paraId="4A0202BE" w14:textId="77777777" w:rsidR="00602606" w:rsidRDefault="00602606">
      <w:pPr>
        <w:widowControl w:val="0"/>
        <w:contextualSpacing/>
        <w:outlineLvl w:val="0"/>
        <w:rPr>
          <w:rFonts w:eastAsia="Calibri"/>
          <w:sz w:val="22"/>
          <w:szCs w:val="22"/>
        </w:rPr>
      </w:pPr>
    </w:p>
    <w:p w14:paraId="4A302058"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Remiantis 12 atsitiktinių imčių placebu ar palyginamuoju vaistiniu preparatu kontroliuojamųjų tyrimų (n=18 802), kurių metu buvo įvertinta širdies ir kraujagyslių nepageidaujamų reiškinių atsiradimo vartojant dutasteridą (palyginti su kontroliniu preparatu) rizika, metaanalizės duomenimis, pastovaus s</w:t>
      </w:r>
      <w:r w:rsidRPr="001F276A">
        <w:rPr>
          <w:rFonts w:eastAsia="Calibri"/>
          <w:sz w:val="22"/>
        </w:rPr>
        <w:t>tatistiškai reikšmingo širdies nepakankamumo (SR 1,05; 95 % PI 0,71, 1,57), ūminio miokardo infarkto (SR 1,00; 95 % PI 0,77, 1,30) ar insulto (SR 1,20; 95 % PI 0,88, 1,64) rizikos padidėjimo nepastebėta.</w:t>
      </w:r>
    </w:p>
    <w:p w14:paraId="3355AA55" w14:textId="77777777" w:rsidR="00602606" w:rsidRDefault="00602606">
      <w:pPr>
        <w:widowControl w:val="0"/>
        <w:contextualSpacing/>
        <w:outlineLvl w:val="0"/>
        <w:rPr>
          <w:rFonts w:eastAsia="Calibri"/>
          <w:sz w:val="22"/>
          <w:szCs w:val="22"/>
        </w:rPr>
      </w:pPr>
    </w:p>
    <w:p w14:paraId="78745AF6" w14:textId="77777777" w:rsidR="00602606" w:rsidRDefault="00604AEE">
      <w:pPr>
        <w:widowControl w:val="0"/>
        <w:contextualSpacing/>
        <w:outlineLvl w:val="0"/>
        <w:rPr>
          <w:rFonts w:asciiTheme="minorHAnsi" w:eastAsia="Calibri" w:hAnsiTheme="minorHAnsi" w:cstheme="minorBidi"/>
          <w:i/>
          <w:sz w:val="22"/>
          <w:szCs w:val="22"/>
          <w:lang w:val="lt-LT" w:eastAsia="en-US"/>
        </w:rPr>
      </w:pPr>
      <w:r>
        <w:rPr>
          <w:rFonts w:eastAsia="Calibri"/>
          <w:i/>
          <w:sz w:val="22"/>
          <w:szCs w:val="22"/>
        </w:rPr>
        <w:t>Prostatos vėžys ir didelio laipsnio navikai</w:t>
      </w:r>
    </w:p>
    <w:p w14:paraId="22D298A3" w14:textId="77777777" w:rsidR="00602606" w:rsidRDefault="00602606">
      <w:pPr>
        <w:widowControl w:val="0"/>
        <w:contextualSpacing/>
        <w:outlineLvl w:val="0"/>
        <w:rPr>
          <w:rFonts w:eastAsia="Calibri"/>
          <w:i/>
          <w:sz w:val="22"/>
          <w:szCs w:val="22"/>
        </w:rPr>
      </w:pPr>
    </w:p>
    <w:p w14:paraId="04367611"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4 metus trukusio dutasterido palyginimo su placebu tyrimo, kuriame dalyvavo 8 231 50</w:t>
      </w:r>
      <w:r w:rsidRPr="001F276A">
        <w:rPr>
          <w:rFonts w:eastAsia="Calibri"/>
          <w:sz w:val="22"/>
        </w:rPr>
        <w:noBreakHyphen/>
        <w:t>75 metų vyras, kuriam anksčiau atliktos biopsijos prostatos vėžiui diagnozuoti duomenys buvo neigiami ir pradinė PSA koncentracija buvo nuo 2,5 ng/ml iki 10,0 ng/ml 50</w:t>
      </w:r>
      <w:r w:rsidRPr="001F276A">
        <w:rPr>
          <w:rFonts w:eastAsia="Calibri"/>
          <w:sz w:val="22"/>
        </w:rPr>
        <w:noBreakHyphen/>
        <w:t>60 metų vyrams arba nuo 3 ng/ml iki 10,0 ng/ml vyresniems kaip 60 metų vyrams (</w:t>
      </w:r>
      <w:r w:rsidRPr="001F276A">
        <w:rPr>
          <w:rFonts w:eastAsia="Calibri"/>
          <w:i/>
          <w:sz w:val="22"/>
        </w:rPr>
        <w:t>REDUCE</w:t>
      </w:r>
      <w:r w:rsidRPr="001F276A">
        <w:rPr>
          <w:rFonts w:eastAsia="Calibri"/>
          <w:sz w:val="22"/>
        </w:rPr>
        <w:t xml:space="preserve"> tyrimas), duomenimis, </w:t>
      </w:r>
      <w:r w:rsidRPr="001F276A">
        <w:rPr>
          <w:rFonts w:eastAsia="Calibri"/>
          <w:i/>
          <w:sz w:val="22"/>
        </w:rPr>
        <w:t>Gleason</w:t>
      </w:r>
      <w:r w:rsidRPr="001F276A">
        <w:rPr>
          <w:rFonts w:eastAsia="Calibri"/>
          <w:sz w:val="22"/>
        </w:rPr>
        <w:t xml:space="preserve"> balų analizei buvo pateikti 6 706 tiriamųjų prostatos biopsijos adata (privaloma atlikti pagal protokolą) duomenys. Tyrimo metu prostatos vėžys buvo diagnozuotas 1 517 tiriamųjų. Dauguma pagal biopsijos duomenis diagnozuotų prostatos vėžio atvejų abiejose gydymo grupėse buvo mažo laipsnio (5</w:t>
      </w:r>
      <w:r w:rsidRPr="001F276A">
        <w:rPr>
          <w:rFonts w:eastAsia="Calibri"/>
          <w:sz w:val="22"/>
        </w:rPr>
        <w:noBreakHyphen/>
        <w:t xml:space="preserve">6 laipsnio pagal </w:t>
      </w:r>
      <w:r w:rsidRPr="001F276A">
        <w:rPr>
          <w:rFonts w:eastAsia="Calibri"/>
          <w:i/>
          <w:sz w:val="22"/>
        </w:rPr>
        <w:t>Gleason</w:t>
      </w:r>
      <w:r w:rsidRPr="001F276A">
        <w:rPr>
          <w:rFonts w:eastAsia="Calibri"/>
          <w:sz w:val="22"/>
        </w:rPr>
        <w:t>, 70 %).</w:t>
      </w:r>
    </w:p>
    <w:p w14:paraId="385C1D47" w14:textId="77777777" w:rsidR="00602606" w:rsidRDefault="00602606">
      <w:pPr>
        <w:widowControl w:val="0"/>
        <w:contextualSpacing/>
        <w:outlineLvl w:val="0"/>
        <w:rPr>
          <w:rFonts w:eastAsia="Calibri"/>
          <w:sz w:val="22"/>
          <w:szCs w:val="22"/>
        </w:rPr>
      </w:pPr>
    </w:p>
    <w:p w14:paraId="40DC01FD" w14:textId="77777777" w:rsidR="00602606" w:rsidRDefault="00604AEE">
      <w:pPr>
        <w:widowControl w:val="0"/>
        <w:contextualSpacing/>
        <w:outlineLvl w:val="0"/>
        <w:rPr>
          <w:rFonts w:eastAsia="Calibri"/>
          <w:sz w:val="22"/>
          <w:szCs w:val="22"/>
        </w:rPr>
      </w:pPr>
      <w:r>
        <w:rPr>
          <w:rFonts w:eastAsia="Calibri"/>
          <w:sz w:val="22"/>
          <w:szCs w:val="22"/>
        </w:rPr>
        <w:t>8</w:t>
      </w:r>
      <w:r>
        <w:rPr>
          <w:rFonts w:eastAsia="Calibri"/>
          <w:sz w:val="22"/>
          <w:szCs w:val="22"/>
        </w:rPr>
        <w:noBreakHyphen/>
        <w:t xml:space="preserve">10 laipsnio pagal </w:t>
      </w:r>
      <w:r w:rsidRPr="001F276A">
        <w:rPr>
          <w:rFonts w:eastAsia="Calibri"/>
          <w:i/>
          <w:sz w:val="22"/>
        </w:rPr>
        <w:t>Gleason</w:t>
      </w:r>
      <w:r w:rsidRPr="001F276A">
        <w:rPr>
          <w:rFonts w:eastAsia="Calibri"/>
          <w:sz w:val="22"/>
        </w:rPr>
        <w:t xml:space="preserve"> prostatos vėžys dutasterido grupėje (n=29, 0,9 %) buvo dažnesnis, palyginti su placebo grupe (n=19, 0,6 %) (p=0,15). Pirmųjų ir antrųjų metų duomenimis, tiriamųjų, kuriems buvo diagnozuotas 8</w:t>
      </w:r>
      <w:r w:rsidRPr="001F276A">
        <w:rPr>
          <w:rFonts w:eastAsia="Calibri"/>
          <w:sz w:val="22"/>
        </w:rPr>
        <w:noBreakHyphen/>
        <w:t xml:space="preserve">10 laipsnio pagal </w:t>
      </w:r>
      <w:r w:rsidRPr="001F276A">
        <w:rPr>
          <w:rFonts w:eastAsia="Calibri"/>
          <w:i/>
          <w:sz w:val="22"/>
        </w:rPr>
        <w:t>Gleason</w:t>
      </w:r>
      <w:r w:rsidRPr="001F276A">
        <w:rPr>
          <w:rFonts w:eastAsia="Calibri"/>
          <w:sz w:val="22"/>
        </w:rPr>
        <w:t xml:space="preserve"> prostatos vėžys, skaičius dutasterido (n=17, 0,5 %) ir placebo grupėse (n=18, 0,5 %) buvo panašus. Trečiųjų ir ketvirtųjų metų duomenimis, 8</w:t>
      </w:r>
      <w:r w:rsidRPr="001F276A">
        <w:rPr>
          <w:rFonts w:eastAsia="Calibri"/>
          <w:sz w:val="22"/>
        </w:rPr>
        <w:noBreakHyphen/>
        <w:t xml:space="preserve">10 laipsnio pagal </w:t>
      </w:r>
      <w:r w:rsidRPr="001F276A">
        <w:rPr>
          <w:rFonts w:eastAsia="Calibri"/>
          <w:i/>
          <w:sz w:val="22"/>
        </w:rPr>
        <w:t>Gleason</w:t>
      </w:r>
      <w:r w:rsidRPr="001F276A">
        <w:rPr>
          <w:rFonts w:eastAsia="Calibri"/>
          <w:sz w:val="22"/>
        </w:rPr>
        <w:t xml:space="preserve"> prostatos vėžio atvejų dutasterido grupėje buvo diagnozuota daugiau (n=12, 0,5 %), palyginti su placebo grupe (n=1, &lt; 0,1 %) (p=0,0035). Nėra duomenų apie dutasterido poveikį po ketvirtųjų metų vyrams, kuriems yra prostatos vėžio rizika. Tiriamųjų, kuriems diagnozuotas 8</w:t>
      </w:r>
      <w:r w:rsidRPr="001F276A">
        <w:rPr>
          <w:rFonts w:eastAsia="Calibri"/>
          <w:sz w:val="22"/>
        </w:rPr>
        <w:noBreakHyphen/>
        <w:t xml:space="preserve">10 laipsnio pagal </w:t>
      </w:r>
      <w:r w:rsidRPr="001F276A">
        <w:rPr>
          <w:rFonts w:eastAsia="Calibri"/>
          <w:i/>
          <w:sz w:val="22"/>
        </w:rPr>
        <w:t>Gleason</w:t>
      </w:r>
      <w:r w:rsidRPr="001F276A">
        <w:rPr>
          <w:rFonts w:eastAsia="Calibri"/>
          <w:sz w:val="22"/>
        </w:rPr>
        <w:t xml:space="preserve"> prostatos vėžys, procentinė dalis tiriamaisiais laikotarpiais (1</w:t>
      </w:r>
      <w:r w:rsidRPr="001F276A">
        <w:rPr>
          <w:rFonts w:eastAsia="Calibri"/>
          <w:sz w:val="22"/>
        </w:rPr>
        <w:noBreakHyphen/>
        <w:t>2 arba 3</w:t>
      </w:r>
      <w:r w:rsidRPr="001F276A">
        <w:rPr>
          <w:rFonts w:eastAsia="Calibri"/>
          <w:sz w:val="22"/>
        </w:rPr>
        <w:noBreakHyphen/>
        <w:t>4 metais) dutasterido grupėje nekito (0,5 % kiekvienu laikotarpiu), o placebo grupėje tiriamųjų, kuriems buvo diagnozuotas 8</w:t>
      </w:r>
      <w:r w:rsidRPr="001F276A">
        <w:rPr>
          <w:rFonts w:eastAsia="Calibri"/>
          <w:sz w:val="22"/>
        </w:rPr>
        <w:noBreakHyphen/>
        <w:t xml:space="preserve">10 laipsnio pagal </w:t>
      </w:r>
      <w:r w:rsidRPr="001F276A">
        <w:rPr>
          <w:rFonts w:eastAsia="Calibri"/>
          <w:i/>
          <w:sz w:val="22"/>
        </w:rPr>
        <w:t>Gleason</w:t>
      </w:r>
      <w:r w:rsidRPr="001F276A">
        <w:rPr>
          <w:rFonts w:eastAsia="Calibri"/>
          <w:sz w:val="22"/>
        </w:rPr>
        <w:t xml:space="preserve"> prostatos vėžys, procentinė dalis 3</w:t>
      </w:r>
      <w:r w:rsidRPr="001F276A">
        <w:rPr>
          <w:rFonts w:eastAsia="Calibri"/>
          <w:sz w:val="22"/>
        </w:rPr>
        <w:noBreakHyphen/>
        <w:t>4 metais buvo mažesnė nei 1</w:t>
      </w:r>
      <w:r w:rsidRPr="001F276A">
        <w:rPr>
          <w:rFonts w:eastAsia="Calibri"/>
          <w:sz w:val="22"/>
        </w:rPr>
        <w:noBreakHyphen/>
        <w:t>2 metais (atitinkamai &lt; 0,1 %, palyginti su 0,5 %) (žr. 4.4 skyrių). 7</w:t>
      </w:r>
      <w:r w:rsidRPr="001F276A">
        <w:rPr>
          <w:rFonts w:eastAsia="Calibri"/>
          <w:sz w:val="22"/>
        </w:rPr>
        <w:noBreakHyphen/>
        <w:t xml:space="preserve">10 laipsnio pagal </w:t>
      </w:r>
      <w:r w:rsidRPr="001F276A">
        <w:rPr>
          <w:rFonts w:eastAsia="Calibri"/>
          <w:i/>
          <w:sz w:val="22"/>
        </w:rPr>
        <w:t>Gleason</w:t>
      </w:r>
      <w:r w:rsidRPr="001F276A">
        <w:rPr>
          <w:rFonts w:eastAsia="Calibri"/>
          <w:sz w:val="22"/>
        </w:rPr>
        <w:t xml:space="preserve"> prostatos vėžio dažnio skirtumo nebuvo (p=0,81).</w:t>
      </w:r>
    </w:p>
    <w:p w14:paraId="53450E8A" w14:textId="77777777" w:rsidR="00602606" w:rsidRDefault="00602606">
      <w:pPr>
        <w:widowControl w:val="0"/>
        <w:contextualSpacing/>
        <w:outlineLvl w:val="0"/>
        <w:rPr>
          <w:rFonts w:eastAsia="Calibri"/>
          <w:sz w:val="22"/>
          <w:szCs w:val="22"/>
        </w:rPr>
      </w:pPr>
    </w:p>
    <w:p w14:paraId="1B4BB6DA"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i/>
          <w:sz w:val="22"/>
          <w:szCs w:val="22"/>
        </w:rPr>
        <w:t>REDUCE</w:t>
      </w:r>
      <w:r>
        <w:rPr>
          <w:rFonts w:eastAsia="Calibri"/>
          <w:sz w:val="22"/>
          <w:szCs w:val="22"/>
        </w:rPr>
        <w:t xml:space="preserve"> tyrime dalyvavusių tiriamų</w:t>
      </w:r>
      <w:r w:rsidRPr="001F276A">
        <w:rPr>
          <w:rFonts w:eastAsia="Calibri"/>
          <w:sz w:val="22"/>
        </w:rPr>
        <w:t>jų 2 metų trukmės papildomo stebėjimo tyrimo metu naujų 8</w:t>
      </w:r>
      <w:r w:rsidRPr="001F276A">
        <w:rPr>
          <w:rFonts w:eastAsia="Calibri"/>
          <w:sz w:val="22"/>
        </w:rPr>
        <w:noBreakHyphen/>
        <w:t xml:space="preserve">10 laipsnio pagal </w:t>
      </w:r>
      <w:r w:rsidRPr="001F276A">
        <w:rPr>
          <w:rFonts w:eastAsia="Calibri"/>
          <w:i/>
          <w:sz w:val="22"/>
        </w:rPr>
        <w:t>Gleason</w:t>
      </w:r>
      <w:r w:rsidRPr="001F276A">
        <w:rPr>
          <w:rFonts w:eastAsia="Calibri"/>
          <w:sz w:val="22"/>
        </w:rPr>
        <w:t xml:space="preserve"> prostatos vėžio atvejų nepastebėta.</w:t>
      </w:r>
    </w:p>
    <w:p w14:paraId="42B28031"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4 metus trukusio GPH (</w:t>
      </w:r>
      <w:r>
        <w:rPr>
          <w:rFonts w:eastAsia="Calibri"/>
          <w:i/>
          <w:sz w:val="22"/>
          <w:szCs w:val="22"/>
        </w:rPr>
        <w:t>CombAT</w:t>
      </w:r>
      <w:r w:rsidRPr="001F276A">
        <w:rPr>
          <w:rFonts w:eastAsia="Calibri"/>
          <w:sz w:val="22"/>
        </w:rPr>
        <w:t>) tyrimo, kurio metu pagal protokolą nebuvo privaloma atlikti biopsijas ir prostatos vėžio diagnozė visais atvejais buvo pagrįsta, atlikus priežastinę biopsiją, duomenimis, 8</w:t>
      </w:r>
      <w:r w:rsidRPr="001F276A">
        <w:rPr>
          <w:rFonts w:eastAsia="Calibri"/>
          <w:sz w:val="22"/>
        </w:rPr>
        <w:noBreakHyphen/>
        <w:t xml:space="preserve">10 laipsnio pagal </w:t>
      </w:r>
      <w:r w:rsidRPr="001F276A">
        <w:rPr>
          <w:rFonts w:eastAsia="Calibri"/>
          <w:i/>
          <w:sz w:val="22"/>
        </w:rPr>
        <w:t>Gleason</w:t>
      </w:r>
      <w:r w:rsidRPr="001F276A">
        <w:rPr>
          <w:rFonts w:eastAsia="Calibri"/>
          <w:sz w:val="22"/>
        </w:rPr>
        <w:t xml:space="preserve"> prostatos vėžio dažnis dutasterido grupėje buvo 0,5 % (n=8), tamsulozino grupėje – 0,7 % (n=11) ir kombinuotojo gydymo grupėje – 0,3 % (n=5).</w:t>
      </w:r>
    </w:p>
    <w:p w14:paraId="54ECBE14" w14:textId="77777777" w:rsidR="00602606" w:rsidRDefault="00602606">
      <w:pPr>
        <w:widowControl w:val="0"/>
        <w:contextualSpacing/>
        <w:outlineLvl w:val="0"/>
        <w:rPr>
          <w:rFonts w:eastAsia="Calibri"/>
          <w:sz w:val="22"/>
          <w:szCs w:val="22"/>
        </w:rPr>
      </w:pPr>
    </w:p>
    <w:p w14:paraId="1944DCC9"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Keturi skirtingi epidemiologiniai tyrimai, pagrįsti populiacijos duomenimis (iš kurių du buvo paremti bendra 174 895 tiriamųjų populiacija, vienas – 13 892 tiriamųjų populiacija ir vienas – 38 058 tiriamųjų populiacija), atskleidė, kad 5</w:t>
      </w:r>
      <w:r w:rsidRPr="001F276A">
        <w:rPr>
          <w:rFonts w:eastAsia="Calibri"/>
          <w:sz w:val="22"/>
        </w:rPr>
        <w:t>-</w:t>
      </w:r>
      <w:r>
        <w:rPr>
          <w:rFonts w:eastAsia="Calibri"/>
          <w:sz w:val="22"/>
          <w:szCs w:val="22"/>
        </w:rPr>
        <w:t>alfa reduktazės inhibitorių vartojimas</w:t>
      </w:r>
      <w:r w:rsidRPr="001F276A">
        <w:rPr>
          <w:rFonts w:eastAsia="Calibri"/>
          <w:sz w:val="22"/>
        </w:rPr>
        <w:t xml:space="preserve"> nėra susijęs nei su didelio laipsnio prostatos vėžio atsiradimu, nei su mirštamumu nuo prostatos vėžio, nei su bendruoju mirtingumu.</w:t>
      </w:r>
    </w:p>
    <w:p w14:paraId="01D6C47E" w14:textId="77777777" w:rsidR="00602606" w:rsidRDefault="00602606">
      <w:pPr>
        <w:widowControl w:val="0"/>
        <w:contextualSpacing/>
        <w:outlineLvl w:val="0"/>
        <w:rPr>
          <w:rFonts w:eastAsia="Calibri"/>
          <w:sz w:val="22"/>
          <w:szCs w:val="22"/>
        </w:rPr>
      </w:pPr>
    </w:p>
    <w:p w14:paraId="273CD577"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Priežastinis ryšys tarp dutasterido ir didelio laipsnio prostatos vėžio nėra aiškus.</w:t>
      </w:r>
    </w:p>
    <w:p w14:paraId="63D5F8D8" w14:textId="77777777" w:rsidR="00602606" w:rsidRDefault="00602606">
      <w:pPr>
        <w:widowControl w:val="0"/>
        <w:contextualSpacing/>
        <w:outlineLvl w:val="0"/>
        <w:rPr>
          <w:rFonts w:eastAsia="Calibri"/>
          <w:sz w:val="22"/>
          <w:szCs w:val="22"/>
        </w:rPr>
      </w:pPr>
    </w:p>
    <w:p w14:paraId="22B8534F" w14:textId="77777777" w:rsidR="00602606" w:rsidRDefault="00604AEE">
      <w:pPr>
        <w:widowControl w:val="0"/>
        <w:contextualSpacing/>
        <w:outlineLvl w:val="0"/>
        <w:rPr>
          <w:rFonts w:asciiTheme="minorHAnsi" w:eastAsia="Calibri" w:hAnsiTheme="minorHAnsi" w:cstheme="minorBidi"/>
          <w:i/>
          <w:sz w:val="22"/>
          <w:szCs w:val="22"/>
          <w:lang w:val="lt-LT" w:eastAsia="en-US"/>
        </w:rPr>
      </w:pPr>
      <w:r>
        <w:rPr>
          <w:rFonts w:eastAsia="Calibri"/>
          <w:i/>
          <w:sz w:val="22"/>
          <w:szCs w:val="22"/>
        </w:rPr>
        <w:t>Poveikis lytinei funkcijai</w:t>
      </w:r>
    </w:p>
    <w:p w14:paraId="1460B333" w14:textId="77777777" w:rsidR="00602606" w:rsidRDefault="00602606">
      <w:pPr>
        <w:widowControl w:val="0"/>
        <w:contextualSpacing/>
        <w:outlineLvl w:val="0"/>
        <w:rPr>
          <w:rFonts w:eastAsia="Calibri"/>
          <w:i/>
          <w:sz w:val="22"/>
          <w:szCs w:val="22"/>
        </w:rPr>
      </w:pPr>
    </w:p>
    <w:p w14:paraId="5CC77987"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Dutasterido ir tamsulozino derinio poveikis lytinei funkcijai buvo įvertintas dvigubai koduoto placebu kontroliuojamojo tyrimo, kuriame dalyvavo lytiškai aktyvūs vyrai, kuriems diagnozuota GPH (n=243 dutasterido ir tamsulozino derinio grupėje, n=246 placebo grupė</w:t>
      </w:r>
      <w:r w:rsidRPr="001F276A">
        <w:rPr>
          <w:rFonts w:eastAsia="Calibri"/>
          <w:sz w:val="22"/>
        </w:rPr>
        <w:t>je), metu. Kombinuotojo gydymo grupėje 12 mėnesį buvo pastebėtas statistiškai reikšmingai (p &lt; 0,001) didesnis įvertinimo pagal vyrų lytinės sveikatos klausimyną (angl.</w:t>
      </w:r>
      <w:r w:rsidRPr="001F276A">
        <w:rPr>
          <w:rFonts w:eastAsia="Calibri"/>
          <w:i/>
          <w:sz w:val="22"/>
        </w:rPr>
        <w:t xml:space="preserve"> the Men’s Sexual Health Questionnaire</w:t>
      </w:r>
      <w:r w:rsidRPr="001F276A">
        <w:rPr>
          <w:rFonts w:eastAsia="Calibri"/>
          <w:sz w:val="22"/>
        </w:rPr>
        <w:t>,</w:t>
      </w:r>
      <w:r>
        <w:rPr>
          <w:rFonts w:eastAsia="Calibri"/>
          <w:i/>
          <w:sz w:val="22"/>
          <w:szCs w:val="22"/>
        </w:rPr>
        <w:t xml:space="preserve"> MSHQ</w:t>
      </w:r>
      <w:r w:rsidRPr="001F276A">
        <w:rPr>
          <w:rFonts w:eastAsia="Calibri"/>
          <w:sz w:val="22"/>
        </w:rPr>
        <w:t>) sumažėjimas (pasunkėjimas). Sumažėjimas daugiausia buvo susijęs su blogesne ejakuliacija ir bendruoju pasitenkinimu, nei su erekcija. Toks poveikis nepaveikė tiriamųjų požiūrio į dutasterido ir tamsulozino derinio vartojimą, kuris per 12 mėnesių buvo vertinamas statistiškai reikšmingai didesniu pasitenkinimo lygiu, palyginti su placebu (p &lt; 0,05). Šio tyrimo metu lytinės funkcijos nepageidaujami reiškiniai pasireiškė per 12 gydymo mėnesių ir maždaug pusė jų išnyko per 6 mėnesius po gydymo pabaigos.</w:t>
      </w:r>
    </w:p>
    <w:p w14:paraId="6B8E0D40" w14:textId="77777777" w:rsidR="00602606" w:rsidRDefault="00602606">
      <w:pPr>
        <w:widowControl w:val="0"/>
        <w:contextualSpacing/>
        <w:outlineLvl w:val="0"/>
        <w:rPr>
          <w:rFonts w:eastAsia="Calibri"/>
          <w:sz w:val="22"/>
          <w:szCs w:val="22"/>
        </w:rPr>
      </w:pPr>
    </w:p>
    <w:p w14:paraId="439F4EF4"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Žinoma, kad dutasterido ir tamsulozino derinys bei monoterapija dutasteridu sukelia nepageidaujamą poveikį lytinei funkcijai (žr. 4.8 skyrių).</w:t>
      </w:r>
    </w:p>
    <w:p w14:paraId="51A4C679" w14:textId="77777777" w:rsidR="00602606" w:rsidRDefault="00602606">
      <w:pPr>
        <w:widowControl w:val="0"/>
        <w:contextualSpacing/>
        <w:outlineLvl w:val="0"/>
        <w:rPr>
          <w:rFonts w:eastAsia="Calibri"/>
          <w:sz w:val="22"/>
          <w:szCs w:val="22"/>
        </w:rPr>
      </w:pPr>
    </w:p>
    <w:p w14:paraId="395EF603"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 xml:space="preserve">Kaip buvo stebėta kituose klinikiniuose tyrimuose, įskaitant </w:t>
      </w:r>
      <w:r>
        <w:rPr>
          <w:rFonts w:eastAsia="Calibri"/>
          <w:i/>
          <w:sz w:val="22"/>
          <w:szCs w:val="22"/>
        </w:rPr>
        <w:t>CombAT</w:t>
      </w:r>
      <w:r w:rsidRPr="001F276A">
        <w:rPr>
          <w:rFonts w:eastAsia="Calibri"/>
          <w:sz w:val="22"/>
        </w:rPr>
        <w:t xml:space="preserve"> ir </w:t>
      </w:r>
      <w:r w:rsidRPr="001F276A">
        <w:rPr>
          <w:rFonts w:eastAsia="Calibri"/>
          <w:i/>
          <w:sz w:val="22"/>
        </w:rPr>
        <w:t>REDUCE</w:t>
      </w:r>
      <w:r w:rsidRPr="001F276A">
        <w:rPr>
          <w:rFonts w:eastAsia="Calibri"/>
          <w:sz w:val="22"/>
        </w:rPr>
        <w:t xml:space="preserve"> tyrimus, tęsiant gydymą, bėgant laikui su lytine funkcija susijusių nepageidaujamų reiškinių mažėjo.</w:t>
      </w:r>
    </w:p>
    <w:p w14:paraId="0B1093B4" w14:textId="77777777" w:rsidR="00602606" w:rsidRDefault="00602606">
      <w:pPr>
        <w:widowControl w:val="0"/>
        <w:contextualSpacing/>
        <w:outlineLvl w:val="0"/>
        <w:rPr>
          <w:rFonts w:eastAsia="Calibri"/>
          <w:sz w:val="22"/>
          <w:szCs w:val="22"/>
        </w:rPr>
      </w:pPr>
    </w:p>
    <w:p w14:paraId="15FF263A" w14:textId="77777777" w:rsidR="00602606" w:rsidRDefault="00604AEE">
      <w:pPr>
        <w:widowControl w:val="0"/>
        <w:contextualSpacing/>
        <w:outlineLvl w:val="0"/>
        <w:rPr>
          <w:rFonts w:asciiTheme="minorHAnsi" w:eastAsia="Calibri" w:hAnsiTheme="minorHAnsi" w:cstheme="minorBidi"/>
          <w:i/>
          <w:sz w:val="22"/>
          <w:szCs w:val="22"/>
          <w:lang w:val="lt-LT" w:eastAsia="en-US"/>
        </w:rPr>
      </w:pPr>
      <w:r>
        <w:rPr>
          <w:rFonts w:eastAsia="Calibri"/>
          <w:i/>
          <w:sz w:val="22"/>
          <w:szCs w:val="22"/>
        </w:rPr>
        <w:t>Tamsulozinas</w:t>
      </w:r>
    </w:p>
    <w:p w14:paraId="786A3DA2" w14:textId="77777777" w:rsidR="00602606" w:rsidRDefault="00602606">
      <w:pPr>
        <w:widowControl w:val="0"/>
        <w:contextualSpacing/>
        <w:outlineLvl w:val="0"/>
        <w:rPr>
          <w:rFonts w:eastAsia="Calibri"/>
          <w:i/>
          <w:sz w:val="22"/>
          <w:szCs w:val="22"/>
        </w:rPr>
      </w:pPr>
    </w:p>
    <w:p w14:paraId="1ECB6365"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Tamsulozinas didina didžiausią šlapimo srovės greitį. Atpalaiduodamas prostatos ir šlaplės lygiuosius raumenis, tamsulozinas palengvina obstrukciją ir dėl to palengvina šlapinimosi simptomus. Be to, tamsulozinas palengvina šlapimo susilaikymo simptomus, kurių atsiradimui svarbus šlapimo pūslės nestabilumas. Toks poveikis šlapimo susilaikymo ir šlapinimosi simptomams išlieka taikant ilgalaikį gydymą</w:t>
      </w:r>
      <w:r w:rsidRPr="001F276A">
        <w:rPr>
          <w:rFonts w:eastAsia="Calibri"/>
          <w:sz w:val="22"/>
        </w:rPr>
        <w:t>. Pacientą operuoti ar kateterizuoti prireikia žymiai vėliau.</w:t>
      </w:r>
    </w:p>
    <w:p w14:paraId="7BB0D0C3" w14:textId="77777777" w:rsidR="00602606" w:rsidRDefault="00602606">
      <w:pPr>
        <w:widowControl w:val="0"/>
        <w:contextualSpacing/>
        <w:outlineLvl w:val="0"/>
        <w:rPr>
          <w:rFonts w:eastAsia="Calibri"/>
          <w:sz w:val="22"/>
          <w:szCs w:val="22"/>
        </w:rPr>
      </w:pPr>
    </w:p>
    <w:p w14:paraId="4945B616"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Αlfa</w:t>
      </w:r>
      <w:r>
        <w:rPr>
          <w:rFonts w:eastAsia="Calibri"/>
          <w:sz w:val="22"/>
          <w:szCs w:val="22"/>
          <w:vertAlign w:val="subscript"/>
        </w:rPr>
        <w:t>1</w:t>
      </w:r>
      <w:r>
        <w:rPr>
          <w:rFonts w:eastAsia="Calibri"/>
          <w:sz w:val="22"/>
          <w:szCs w:val="22"/>
        </w:rPr>
        <w:t xml:space="preserve"> adrenorec</w:t>
      </w:r>
      <w:r w:rsidRPr="001F276A">
        <w:rPr>
          <w:rFonts w:eastAsia="Calibri"/>
          <w:sz w:val="22"/>
        </w:rPr>
        <w:t>eptorių antagonistai gali mažinti kraujospūdį mažindami periferinį pasipriešinimą. Tamsulozino tyrimų metu kliniškai reikšmingo kraujospūdžio sumažėjimo nepasireiškė.</w:t>
      </w:r>
    </w:p>
    <w:p w14:paraId="12673D8A" w14:textId="77777777" w:rsidR="00602606" w:rsidRDefault="00602606">
      <w:pPr>
        <w:widowControl w:val="0"/>
        <w:contextualSpacing/>
        <w:outlineLvl w:val="0"/>
        <w:rPr>
          <w:rFonts w:eastAsia="Calibri"/>
          <w:b/>
          <w:sz w:val="22"/>
          <w:szCs w:val="22"/>
        </w:rPr>
      </w:pPr>
    </w:p>
    <w:p w14:paraId="1DB09EEB" w14:textId="77777777" w:rsidR="00602606" w:rsidRDefault="00604AEE">
      <w:pPr>
        <w:widowControl w:val="0"/>
        <w:ind w:left="567" w:hanging="567"/>
        <w:rPr>
          <w:rFonts w:asciiTheme="minorHAnsi" w:eastAsia="Calibri" w:hAnsiTheme="minorHAnsi" w:cstheme="minorBidi"/>
          <w:b/>
          <w:sz w:val="22"/>
          <w:szCs w:val="22"/>
          <w:lang w:val="lt-LT" w:eastAsia="en-US"/>
        </w:rPr>
      </w:pPr>
      <w:r>
        <w:rPr>
          <w:rFonts w:eastAsia="Calibri"/>
          <w:b/>
          <w:sz w:val="22"/>
          <w:szCs w:val="22"/>
        </w:rPr>
        <w:t>5.2</w:t>
      </w:r>
      <w:r>
        <w:rPr>
          <w:rFonts w:eastAsia="Calibri"/>
          <w:b/>
          <w:sz w:val="22"/>
          <w:szCs w:val="22"/>
        </w:rPr>
        <w:tab/>
        <w:t>Farmak</w:t>
      </w:r>
      <w:r w:rsidRPr="001F276A">
        <w:rPr>
          <w:rFonts w:eastAsia="Calibri"/>
          <w:b/>
          <w:sz w:val="22"/>
        </w:rPr>
        <w:t>okinetinės savybės</w:t>
      </w:r>
    </w:p>
    <w:p w14:paraId="1BCD514D" w14:textId="77777777" w:rsidR="00602606" w:rsidRDefault="00602606">
      <w:pPr>
        <w:widowControl w:val="0"/>
        <w:contextualSpacing/>
        <w:outlineLvl w:val="0"/>
        <w:rPr>
          <w:rFonts w:eastAsia="Calibri"/>
          <w:sz w:val="22"/>
          <w:szCs w:val="22"/>
        </w:rPr>
      </w:pPr>
    </w:p>
    <w:p w14:paraId="2EB4A5BB"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Nustatyta, kad dutasterido ir tamsulozino derinys ir atskiros dutasterido ir tamsulozino kapsulės, vartojamos kartu, yra bioekvivalentiškos.</w:t>
      </w:r>
    </w:p>
    <w:p w14:paraId="6346B798" w14:textId="77777777" w:rsidR="00602606" w:rsidRDefault="00602606">
      <w:pPr>
        <w:widowControl w:val="0"/>
        <w:contextualSpacing/>
        <w:outlineLvl w:val="0"/>
        <w:rPr>
          <w:rFonts w:eastAsia="Calibri"/>
          <w:sz w:val="22"/>
          <w:szCs w:val="22"/>
        </w:rPr>
      </w:pPr>
    </w:p>
    <w:p w14:paraId="2AFE390E"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 xml:space="preserve">Vienkartinės dozės bioekvivalentiškumo tyrimas atliktas su nevalgiusiais ir pavalgiusiais tiriamaisiais. Dutasterido ir tamsulozino derinį vartojant po valgio, dutasterido ir tamsulozino derinio veikliosios medžiagos tamsulozino </w:t>
      </w:r>
      <w:r w:rsidRPr="001F276A">
        <w:rPr>
          <w:rFonts w:eastAsia="Calibri"/>
          <w:i/>
          <w:sz w:val="22"/>
        </w:rPr>
        <w:t>C</w:t>
      </w:r>
      <w:r>
        <w:rPr>
          <w:rFonts w:eastAsia="Calibri"/>
          <w:i/>
          <w:sz w:val="22"/>
          <w:szCs w:val="22"/>
          <w:vertAlign w:val="subscript"/>
        </w:rPr>
        <w:t>max</w:t>
      </w:r>
      <w:r w:rsidRPr="001F276A">
        <w:rPr>
          <w:rFonts w:eastAsia="Calibri"/>
          <w:sz w:val="22"/>
        </w:rPr>
        <w:t xml:space="preserve"> sumažėjo 30 %, palyginti su vartojimu nevalgius. Maistas tamsulozino </w:t>
      </w:r>
      <w:r w:rsidRPr="001F276A">
        <w:rPr>
          <w:rFonts w:eastAsia="Calibri"/>
          <w:i/>
          <w:sz w:val="22"/>
        </w:rPr>
        <w:t>AUC</w:t>
      </w:r>
      <w:r w:rsidRPr="001F276A">
        <w:rPr>
          <w:rFonts w:eastAsia="Calibri"/>
          <w:sz w:val="22"/>
        </w:rPr>
        <w:t xml:space="preserve"> neveikė.</w:t>
      </w:r>
    </w:p>
    <w:p w14:paraId="75DFAB12" w14:textId="77777777" w:rsidR="00602606" w:rsidRDefault="00602606">
      <w:pPr>
        <w:widowControl w:val="0"/>
        <w:contextualSpacing/>
        <w:outlineLvl w:val="0"/>
        <w:rPr>
          <w:rFonts w:eastAsia="Calibri"/>
          <w:b/>
          <w:sz w:val="22"/>
          <w:szCs w:val="22"/>
          <w:u w:val="single"/>
        </w:rPr>
      </w:pPr>
    </w:p>
    <w:p w14:paraId="20B2BB57" w14:textId="77777777" w:rsidR="00602606" w:rsidRDefault="00604AEE">
      <w:pPr>
        <w:widowControl w:val="0"/>
        <w:rPr>
          <w:rFonts w:asciiTheme="minorHAnsi" w:eastAsia="Calibri" w:hAnsiTheme="minorHAnsi" w:cstheme="minorBidi"/>
          <w:sz w:val="22"/>
          <w:szCs w:val="22"/>
          <w:u w:val="single"/>
          <w:lang w:val="lt-LT" w:eastAsia="en-US"/>
        </w:rPr>
      </w:pPr>
      <w:r>
        <w:rPr>
          <w:rFonts w:eastAsia="Calibri"/>
          <w:sz w:val="22"/>
          <w:szCs w:val="22"/>
          <w:u w:val="single"/>
        </w:rPr>
        <w:t>Absorbcija</w:t>
      </w:r>
    </w:p>
    <w:p w14:paraId="03C9BE5E" w14:textId="77777777" w:rsidR="00602606" w:rsidRDefault="00602606">
      <w:pPr>
        <w:widowControl w:val="0"/>
        <w:rPr>
          <w:rFonts w:eastAsia="Calibri"/>
          <w:sz w:val="22"/>
          <w:szCs w:val="22"/>
          <w:u w:val="single"/>
        </w:rPr>
      </w:pPr>
    </w:p>
    <w:p w14:paraId="6D98D3BE" w14:textId="77777777" w:rsidR="00602606" w:rsidRDefault="00604AEE">
      <w:pPr>
        <w:widowControl w:val="0"/>
        <w:contextualSpacing/>
        <w:outlineLvl w:val="0"/>
        <w:rPr>
          <w:rFonts w:asciiTheme="minorHAnsi" w:eastAsia="Calibri" w:hAnsiTheme="minorHAnsi" w:cstheme="minorBidi"/>
          <w:i/>
          <w:sz w:val="22"/>
          <w:szCs w:val="22"/>
          <w:lang w:val="lt-LT" w:eastAsia="en-US"/>
        </w:rPr>
      </w:pPr>
      <w:r>
        <w:rPr>
          <w:rFonts w:eastAsia="Calibri"/>
          <w:i/>
          <w:sz w:val="22"/>
          <w:szCs w:val="22"/>
        </w:rPr>
        <w:t>Dutasteridas</w:t>
      </w:r>
    </w:p>
    <w:p w14:paraId="1B0017B0"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Išgėrus vienkartinę 0,5 mg dutasterido dozę, dutasterido didžiausia koncentracija kraujo serume atsiranda po 1–3 valandų. Absoliutus biologinis prieinamumas yra maždaug 60 %. Maistas įtakos dutasterido biologiniam prieinamumui neturi.</w:t>
      </w:r>
    </w:p>
    <w:p w14:paraId="6D99718F" w14:textId="77777777" w:rsidR="00602606" w:rsidRDefault="00602606">
      <w:pPr>
        <w:widowControl w:val="0"/>
        <w:contextualSpacing/>
        <w:outlineLvl w:val="0"/>
        <w:rPr>
          <w:rFonts w:eastAsia="Calibri"/>
          <w:sz w:val="22"/>
          <w:szCs w:val="22"/>
        </w:rPr>
      </w:pPr>
    </w:p>
    <w:p w14:paraId="32A664C0" w14:textId="77777777" w:rsidR="00602606" w:rsidRDefault="00604AEE">
      <w:pPr>
        <w:widowControl w:val="0"/>
        <w:contextualSpacing/>
        <w:outlineLvl w:val="0"/>
        <w:rPr>
          <w:rFonts w:asciiTheme="minorHAnsi" w:eastAsia="Calibri" w:hAnsiTheme="minorHAnsi" w:cstheme="minorBidi"/>
          <w:i/>
          <w:sz w:val="22"/>
          <w:szCs w:val="22"/>
          <w:lang w:val="lt-LT" w:eastAsia="en-US"/>
        </w:rPr>
      </w:pPr>
      <w:r>
        <w:rPr>
          <w:rFonts w:eastAsia="Calibri"/>
          <w:i/>
          <w:sz w:val="22"/>
          <w:szCs w:val="22"/>
        </w:rPr>
        <w:t>Tamsulozinas</w:t>
      </w:r>
    </w:p>
    <w:p w14:paraId="3473DF82"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 xml:space="preserve">Tamsulozinas absorbuojamas iš žarnyno ir beveik visas patenka į sisteminę kraujotaką. Pavartojus tamsuloziną per 30 minučių po valgio, sumažėja ir absorbcijos greitis, ir apimtis. Kad absorbcija būtų vienodesnė, galima rekomenduoti pacientui, kad </w:t>
      </w:r>
      <w:r w:rsidRPr="001F276A">
        <w:rPr>
          <w:rFonts w:eastAsia="Calibri"/>
          <w:sz w:val="22"/>
        </w:rPr>
        <w:t>Dutasteride/Tamsulosin Krka vartotų visada po to paties valgio. Tamsulozino ekspozicija plazmoje proporcinga dozei.</w:t>
      </w:r>
    </w:p>
    <w:p w14:paraId="5C525C2F" w14:textId="77777777" w:rsidR="00602606" w:rsidRDefault="00602606">
      <w:pPr>
        <w:widowControl w:val="0"/>
        <w:contextualSpacing/>
        <w:outlineLvl w:val="0"/>
        <w:rPr>
          <w:rFonts w:eastAsia="Calibri"/>
          <w:sz w:val="22"/>
          <w:szCs w:val="22"/>
        </w:rPr>
      </w:pPr>
    </w:p>
    <w:p w14:paraId="5EA76EBC"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 xml:space="preserve">Išgėrus vienkartinę tamsulozino dozę nevalgius, tamsulozino didžiausia koncentracija kraujo plazmoje atsiranda maždaug po 6 valandų, o pusiausvyros apykaitos, kuri vartojant kartotines dozes, pasiekiama per 5 dienas, sąlygomis vidutinė pusiausvyros apykaitos </w:t>
      </w:r>
      <w:r w:rsidRPr="001F276A">
        <w:rPr>
          <w:rFonts w:eastAsia="Calibri"/>
          <w:i/>
          <w:sz w:val="22"/>
        </w:rPr>
        <w:t>C</w:t>
      </w:r>
      <w:r>
        <w:rPr>
          <w:rFonts w:eastAsia="Calibri"/>
          <w:i/>
          <w:sz w:val="22"/>
          <w:szCs w:val="22"/>
          <w:vertAlign w:val="subscript"/>
        </w:rPr>
        <w:t>max</w:t>
      </w:r>
      <w:r w:rsidRPr="001F276A">
        <w:rPr>
          <w:rFonts w:eastAsia="Calibri"/>
          <w:sz w:val="22"/>
        </w:rPr>
        <w:t xml:space="preserve"> paciento organizme būna maždaug dviem trečdaliais didesnė nei po vienkartinės dozės pavartojimo. Šie duomenys nustatyti senyviems pacientams, visgi galima tikėtis, kad jaunesnių pacientų duomenys bus panašūs.</w:t>
      </w:r>
    </w:p>
    <w:p w14:paraId="584FFF35" w14:textId="77777777" w:rsidR="00602606" w:rsidRDefault="00602606">
      <w:pPr>
        <w:widowControl w:val="0"/>
        <w:contextualSpacing/>
        <w:outlineLvl w:val="0"/>
        <w:rPr>
          <w:rFonts w:eastAsia="Calibri"/>
          <w:sz w:val="22"/>
          <w:szCs w:val="22"/>
        </w:rPr>
      </w:pPr>
    </w:p>
    <w:p w14:paraId="0FFE7716" w14:textId="77777777" w:rsidR="00602606" w:rsidRDefault="00604AEE">
      <w:pPr>
        <w:widowControl w:val="0"/>
        <w:contextualSpacing/>
        <w:outlineLvl w:val="0"/>
        <w:rPr>
          <w:rFonts w:asciiTheme="minorHAnsi" w:eastAsia="Calibri" w:hAnsiTheme="minorHAnsi" w:cstheme="minorBidi"/>
          <w:sz w:val="22"/>
          <w:szCs w:val="22"/>
          <w:u w:val="single"/>
          <w:lang w:val="lt-LT" w:eastAsia="en-US"/>
        </w:rPr>
      </w:pPr>
      <w:r>
        <w:rPr>
          <w:rFonts w:eastAsia="Calibri"/>
          <w:sz w:val="22"/>
          <w:szCs w:val="22"/>
          <w:u w:val="single"/>
        </w:rPr>
        <w:t>Pasiskirstymas</w:t>
      </w:r>
    </w:p>
    <w:p w14:paraId="302B50DF" w14:textId="77777777" w:rsidR="00602606" w:rsidRDefault="00602606">
      <w:pPr>
        <w:widowControl w:val="0"/>
        <w:contextualSpacing/>
        <w:outlineLvl w:val="0"/>
        <w:rPr>
          <w:rFonts w:eastAsia="Calibri"/>
          <w:sz w:val="22"/>
          <w:szCs w:val="22"/>
          <w:u w:val="single"/>
        </w:rPr>
      </w:pPr>
    </w:p>
    <w:p w14:paraId="08CA589A" w14:textId="77777777" w:rsidR="00602606" w:rsidRDefault="00604AEE">
      <w:pPr>
        <w:widowControl w:val="0"/>
        <w:contextualSpacing/>
        <w:outlineLvl w:val="0"/>
        <w:rPr>
          <w:rFonts w:asciiTheme="minorHAnsi" w:eastAsia="Calibri" w:hAnsiTheme="minorHAnsi" w:cstheme="minorBidi"/>
          <w:i/>
          <w:sz w:val="22"/>
          <w:szCs w:val="22"/>
          <w:lang w:val="lt-LT" w:eastAsia="en-US"/>
        </w:rPr>
      </w:pPr>
      <w:r>
        <w:rPr>
          <w:rFonts w:eastAsia="Calibri"/>
          <w:i/>
          <w:sz w:val="22"/>
          <w:szCs w:val="22"/>
        </w:rPr>
        <w:t>Dutasteridas</w:t>
      </w:r>
    </w:p>
    <w:p w14:paraId="55B5BA66"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Dutasterido pasiskirstymo tūris yra didelis (300–500 l), didelė jo dalis prisijungia prie plazmos baltymų (&gt; 99,5 %). Kasdien vartojant dutasteridą, po 1 mėnesio dutasterido koncentracija kraujo serume pasiekia 65 % pusiausvyros apykaitos koncentracijos, o po 3 mėnesių − maždaug 90 %.</w:t>
      </w:r>
    </w:p>
    <w:p w14:paraId="37BCCC92"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40 ng/ml pusiausvyros apykaitos koncentracija kraujo serume (C</w:t>
      </w:r>
      <w:r>
        <w:rPr>
          <w:rFonts w:eastAsia="Calibri"/>
          <w:sz w:val="22"/>
          <w:szCs w:val="22"/>
          <w:vertAlign w:val="subscript"/>
        </w:rPr>
        <w:t>ss</w:t>
      </w:r>
      <w:r w:rsidRPr="001F276A">
        <w:rPr>
          <w:rFonts w:eastAsia="Calibri"/>
          <w:sz w:val="22"/>
        </w:rPr>
        <w:t>) pasiekiama po 6 mėnesių 0,5 mg dutasterido dozės kartą per parą vartojimo. Iš kraujo serumo į spermą patenka maždaug 11,5 % dutasterido.</w:t>
      </w:r>
    </w:p>
    <w:p w14:paraId="6100DDFF" w14:textId="77777777" w:rsidR="00602606" w:rsidRDefault="00602606">
      <w:pPr>
        <w:widowControl w:val="0"/>
        <w:contextualSpacing/>
        <w:outlineLvl w:val="0"/>
        <w:rPr>
          <w:rFonts w:eastAsia="Calibri"/>
          <w:sz w:val="22"/>
          <w:szCs w:val="22"/>
        </w:rPr>
      </w:pPr>
    </w:p>
    <w:p w14:paraId="79515B1F" w14:textId="77777777" w:rsidR="00602606" w:rsidRDefault="00604AEE">
      <w:pPr>
        <w:widowControl w:val="0"/>
        <w:contextualSpacing/>
        <w:outlineLvl w:val="0"/>
        <w:rPr>
          <w:rFonts w:asciiTheme="minorHAnsi" w:eastAsia="Calibri" w:hAnsiTheme="minorHAnsi" w:cstheme="minorBidi"/>
          <w:i/>
          <w:sz w:val="22"/>
          <w:szCs w:val="22"/>
          <w:lang w:val="lt-LT" w:eastAsia="en-US"/>
        </w:rPr>
      </w:pPr>
      <w:r>
        <w:rPr>
          <w:rFonts w:eastAsia="Calibri"/>
          <w:i/>
          <w:sz w:val="22"/>
          <w:szCs w:val="22"/>
        </w:rPr>
        <w:t>Tamsulozinas</w:t>
      </w:r>
    </w:p>
    <w:p w14:paraId="4121AC26"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Maždaug 99 % tamsulozino žmogaus organizme būna prisijungusio prie plazmos baltymų. Pasiskirstymo tūris yra mažas (maždaug 0,2 l/kg).</w:t>
      </w:r>
    </w:p>
    <w:p w14:paraId="43D5F942" w14:textId="77777777" w:rsidR="00602606" w:rsidRDefault="00602606">
      <w:pPr>
        <w:widowControl w:val="0"/>
        <w:contextualSpacing/>
        <w:outlineLvl w:val="0"/>
        <w:rPr>
          <w:rFonts w:eastAsia="Calibri"/>
          <w:sz w:val="22"/>
          <w:szCs w:val="22"/>
        </w:rPr>
      </w:pPr>
    </w:p>
    <w:p w14:paraId="02C82F73" w14:textId="77777777" w:rsidR="00602606" w:rsidRDefault="00604AEE">
      <w:pPr>
        <w:widowControl w:val="0"/>
        <w:contextualSpacing/>
        <w:outlineLvl w:val="0"/>
        <w:rPr>
          <w:rFonts w:asciiTheme="minorHAnsi" w:eastAsia="Calibri" w:hAnsiTheme="minorHAnsi" w:cstheme="minorBidi"/>
          <w:sz w:val="22"/>
          <w:szCs w:val="22"/>
          <w:u w:val="single"/>
          <w:lang w:val="lt-LT" w:eastAsia="en-US"/>
        </w:rPr>
      </w:pPr>
      <w:r>
        <w:rPr>
          <w:rFonts w:eastAsia="Calibri"/>
          <w:sz w:val="22"/>
          <w:szCs w:val="22"/>
          <w:u w:val="single"/>
        </w:rPr>
        <w:t>Biotransformacija</w:t>
      </w:r>
    </w:p>
    <w:p w14:paraId="54D0F36B" w14:textId="77777777" w:rsidR="00602606" w:rsidRDefault="00602606">
      <w:pPr>
        <w:widowControl w:val="0"/>
        <w:contextualSpacing/>
        <w:outlineLvl w:val="0"/>
        <w:rPr>
          <w:rFonts w:eastAsia="Calibri"/>
          <w:sz w:val="22"/>
          <w:szCs w:val="22"/>
          <w:u w:val="single"/>
        </w:rPr>
      </w:pPr>
    </w:p>
    <w:p w14:paraId="6F1722E4" w14:textId="77777777" w:rsidR="00602606" w:rsidRDefault="00604AEE">
      <w:pPr>
        <w:widowControl w:val="0"/>
        <w:contextualSpacing/>
        <w:outlineLvl w:val="0"/>
        <w:rPr>
          <w:rFonts w:asciiTheme="minorHAnsi" w:eastAsia="Calibri" w:hAnsiTheme="minorHAnsi" w:cstheme="minorBidi"/>
          <w:i/>
          <w:sz w:val="22"/>
          <w:szCs w:val="22"/>
          <w:lang w:val="lt-LT" w:eastAsia="en-US"/>
        </w:rPr>
      </w:pPr>
      <w:r>
        <w:rPr>
          <w:rFonts w:eastAsia="Calibri"/>
          <w:i/>
          <w:sz w:val="22"/>
          <w:szCs w:val="22"/>
        </w:rPr>
        <w:t>Dutasteridas</w:t>
      </w:r>
    </w:p>
    <w:p w14:paraId="65A27F8F"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 xml:space="preserve">Dutasteridas ekstensyviai metabolizuojamas </w:t>
      </w:r>
      <w:r w:rsidRPr="001F276A">
        <w:rPr>
          <w:rFonts w:eastAsia="Calibri"/>
          <w:i/>
          <w:sz w:val="22"/>
        </w:rPr>
        <w:t>in vivo</w:t>
      </w:r>
      <w:r w:rsidRPr="001F276A">
        <w:rPr>
          <w:rFonts w:eastAsia="Calibri"/>
          <w:sz w:val="22"/>
        </w:rPr>
        <w:t xml:space="preserve">. </w:t>
      </w:r>
      <w:r w:rsidRPr="001F276A">
        <w:rPr>
          <w:rFonts w:eastAsia="Calibri"/>
          <w:i/>
          <w:sz w:val="22"/>
        </w:rPr>
        <w:t>In vitro</w:t>
      </w:r>
      <w:r w:rsidRPr="001F276A">
        <w:rPr>
          <w:rFonts w:eastAsia="Calibri"/>
          <w:sz w:val="22"/>
        </w:rPr>
        <w:t xml:space="preserve"> dutasteridas metabolizuojamas veikiant citochromo P450 3A4 ir 3A5 izofermentams į tris monohidroksilintus metabolitus ir 1 dihidroksilintą metabolitą.</w:t>
      </w:r>
    </w:p>
    <w:p w14:paraId="26047F2C" w14:textId="77777777" w:rsidR="00602606" w:rsidRDefault="00602606">
      <w:pPr>
        <w:widowControl w:val="0"/>
        <w:contextualSpacing/>
        <w:outlineLvl w:val="0"/>
        <w:rPr>
          <w:rFonts w:eastAsia="Calibri"/>
          <w:sz w:val="22"/>
          <w:szCs w:val="22"/>
        </w:rPr>
      </w:pPr>
    </w:p>
    <w:p w14:paraId="158F75E2"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Kai vartojant per burną 0,5 mg dutasterido paros dozę pasiekiama pusiausvyros apykaita, nuo 1 % iki 15,4 % (vidutiniškai 5,4 %) išgertos dozės šalinama nepakitusio dutasterido pavidalu su išmatomis. Kita dalis pasišalina su išmatomis 4 pagrindinių metabolitų, kurie sudaro 39 %, 21 %, 7 % ir 7 % vaistinio prepara</w:t>
      </w:r>
      <w:r w:rsidRPr="001F276A">
        <w:rPr>
          <w:rFonts w:eastAsia="Calibri"/>
          <w:sz w:val="22"/>
        </w:rPr>
        <w:t>to dozės, pavidalu ir 6 metabolitų, kurių kiekis yra mažas (kiekvieno mažiau kaip 5 %), pavidalu. Nepakitusio dutasterido žmogaus šlapime aptikti tik pėdsakai (mažiau kaip 0,1 % dozės).</w:t>
      </w:r>
    </w:p>
    <w:p w14:paraId="3BAA09BD" w14:textId="77777777" w:rsidR="00602606" w:rsidRDefault="00602606">
      <w:pPr>
        <w:widowControl w:val="0"/>
        <w:contextualSpacing/>
        <w:outlineLvl w:val="0"/>
        <w:rPr>
          <w:rFonts w:eastAsia="Calibri"/>
          <w:sz w:val="22"/>
          <w:szCs w:val="22"/>
        </w:rPr>
      </w:pPr>
    </w:p>
    <w:p w14:paraId="054458B4" w14:textId="77777777" w:rsidR="00602606" w:rsidRDefault="00604AEE">
      <w:pPr>
        <w:widowControl w:val="0"/>
        <w:contextualSpacing/>
        <w:outlineLvl w:val="0"/>
        <w:rPr>
          <w:rFonts w:asciiTheme="minorHAnsi" w:eastAsia="Calibri" w:hAnsiTheme="minorHAnsi" w:cstheme="minorBidi"/>
          <w:i/>
          <w:sz w:val="22"/>
          <w:szCs w:val="22"/>
          <w:lang w:val="lt-LT" w:eastAsia="en-US"/>
        </w:rPr>
      </w:pPr>
      <w:r>
        <w:rPr>
          <w:rFonts w:eastAsia="Calibri"/>
          <w:i/>
          <w:sz w:val="22"/>
          <w:szCs w:val="22"/>
        </w:rPr>
        <w:t>Tamsulozinas</w:t>
      </w:r>
    </w:p>
    <w:p w14:paraId="2A0B97FB"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Tamsulozino hidrochlorido [R(-) izomero] enantiomerinės konversijos į S(+) izomerą žmogaus organizme nevyksta. Tamsulozino hidrochloridas ekstensyviai metabolizuojamas veikiant citochromo P450 fermentams kepenyse ir mažiau kaip 10 % dozės šalinama su šlapimu nepakitusio vaistinio preparato pavidalu. Vis dėlto m</w:t>
      </w:r>
      <w:r w:rsidRPr="001F276A">
        <w:rPr>
          <w:rFonts w:eastAsia="Calibri"/>
          <w:sz w:val="22"/>
        </w:rPr>
        <w:t xml:space="preserve">etabolitų farmakokinetikos savybės žmogaus organizme nenustatytos. Tyrimų </w:t>
      </w:r>
      <w:r w:rsidRPr="001F276A">
        <w:rPr>
          <w:rFonts w:eastAsia="Calibri"/>
          <w:i/>
          <w:sz w:val="22"/>
        </w:rPr>
        <w:t>in vitro</w:t>
      </w:r>
      <w:r w:rsidRPr="001F276A">
        <w:rPr>
          <w:rFonts w:eastAsia="Calibri"/>
          <w:sz w:val="22"/>
        </w:rPr>
        <w:t xml:space="preserve"> duomenys rodo, kad tamsulozino metabolizmą veikia CYP3A4, CYP2D6 ir mažiau kai kurie kiti CYP izofermentai. Dėl vaistinių preparatų metabolizmą veikiančių fermentų slopinimo tamsulozino ekspozicija gali padidėti (žr. 4.4 ir 4.5 skyrius). Vyksta ekstensyvi tamsulozino hidrochlorido metabolito konjugacija į gliukuronidą ar sulfatą prieš pasišalinant per inkstus.</w:t>
      </w:r>
    </w:p>
    <w:p w14:paraId="19D24091" w14:textId="77777777" w:rsidR="00602606" w:rsidRDefault="00602606">
      <w:pPr>
        <w:widowControl w:val="0"/>
        <w:contextualSpacing/>
        <w:outlineLvl w:val="0"/>
        <w:rPr>
          <w:rFonts w:eastAsia="Calibri"/>
          <w:sz w:val="22"/>
          <w:szCs w:val="22"/>
        </w:rPr>
      </w:pPr>
    </w:p>
    <w:p w14:paraId="3203BFFC" w14:textId="77777777" w:rsidR="00602606" w:rsidRDefault="00604AEE">
      <w:pPr>
        <w:widowControl w:val="0"/>
        <w:contextualSpacing/>
        <w:outlineLvl w:val="0"/>
        <w:rPr>
          <w:rFonts w:asciiTheme="minorHAnsi" w:eastAsia="Calibri" w:hAnsiTheme="minorHAnsi" w:cstheme="minorBidi"/>
          <w:sz w:val="22"/>
          <w:szCs w:val="22"/>
          <w:u w:val="single"/>
          <w:lang w:val="lt-LT" w:eastAsia="en-US"/>
        </w:rPr>
      </w:pPr>
      <w:r>
        <w:rPr>
          <w:rFonts w:eastAsia="Calibri"/>
          <w:sz w:val="22"/>
          <w:szCs w:val="22"/>
          <w:u w:val="single"/>
        </w:rPr>
        <w:t>Eliminacija</w:t>
      </w:r>
    </w:p>
    <w:p w14:paraId="54E9010F" w14:textId="77777777" w:rsidR="00602606" w:rsidRDefault="00602606">
      <w:pPr>
        <w:widowControl w:val="0"/>
        <w:contextualSpacing/>
        <w:outlineLvl w:val="0"/>
        <w:rPr>
          <w:rFonts w:eastAsia="Calibri"/>
          <w:sz w:val="22"/>
          <w:szCs w:val="22"/>
          <w:u w:val="single"/>
        </w:rPr>
      </w:pPr>
    </w:p>
    <w:p w14:paraId="09DA867A" w14:textId="77777777" w:rsidR="00602606" w:rsidRDefault="00604AEE">
      <w:pPr>
        <w:widowControl w:val="0"/>
        <w:contextualSpacing/>
        <w:outlineLvl w:val="0"/>
        <w:rPr>
          <w:rFonts w:asciiTheme="minorHAnsi" w:eastAsia="Calibri" w:hAnsiTheme="minorHAnsi" w:cstheme="minorBidi"/>
          <w:i/>
          <w:sz w:val="22"/>
          <w:szCs w:val="22"/>
          <w:lang w:val="lt-LT" w:eastAsia="en-US"/>
        </w:rPr>
      </w:pPr>
      <w:r>
        <w:rPr>
          <w:rFonts w:eastAsia="Calibri"/>
          <w:i/>
          <w:sz w:val="22"/>
          <w:szCs w:val="22"/>
        </w:rPr>
        <w:t>Dutasteridas</w:t>
      </w:r>
    </w:p>
    <w:p w14:paraId="1F65AA9F"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Dutasterido eliminacija priklauso nuo dozės, ji vyksta lygiagrečiai dviem būdais: vienas jų yra įsotinamas esant kliniškai reikšmingoms koncentracijoms, o kitas neįsotinamas. Jeigu koncentracija kraujo serume yra maža (mažesnė kaip 3 ng/ml), dutasteridas greitai pašalinamas ir nuo koncentracijo</w:t>
      </w:r>
      <w:r w:rsidRPr="001F276A">
        <w:rPr>
          <w:rFonts w:eastAsia="Calibri"/>
          <w:sz w:val="22"/>
        </w:rPr>
        <w:t>s priklausomos, ir nepriklausomos eliminacijos būdu. Nustatyta, kad 5 mg ar mažesnės vienkartinės dozės klirensas yra greitas, o pusinės eliminacijos laikas trunka 3–9 dienas.</w:t>
      </w:r>
    </w:p>
    <w:p w14:paraId="1A4F675C" w14:textId="77777777" w:rsidR="00602606" w:rsidRDefault="00602606">
      <w:pPr>
        <w:widowControl w:val="0"/>
        <w:contextualSpacing/>
        <w:outlineLvl w:val="0"/>
        <w:rPr>
          <w:rFonts w:eastAsia="Calibri"/>
          <w:sz w:val="22"/>
          <w:szCs w:val="22"/>
        </w:rPr>
      </w:pPr>
    </w:p>
    <w:p w14:paraId="733D06D7"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Kai vartojant kartotines 0,5 mg dutasterido paros dozes atsiranda gydomoji koncentracija, vyrauja lėtesnis, linijinis eliminacijos būdas, todėl pusinės eliminacijos laikas trunka 3–5 savaites.</w:t>
      </w:r>
    </w:p>
    <w:p w14:paraId="073C5ED2" w14:textId="77777777" w:rsidR="00602606" w:rsidRDefault="00602606">
      <w:pPr>
        <w:widowControl w:val="0"/>
        <w:contextualSpacing/>
        <w:outlineLvl w:val="0"/>
        <w:rPr>
          <w:rFonts w:eastAsia="Calibri"/>
          <w:sz w:val="22"/>
          <w:szCs w:val="22"/>
        </w:rPr>
      </w:pPr>
    </w:p>
    <w:p w14:paraId="320E4361" w14:textId="77777777" w:rsidR="00602606" w:rsidRDefault="00604AEE">
      <w:pPr>
        <w:widowControl w:val="0"/>
        <w:contextualSpacing/>
        <w:outlineLvl w:val="0"/>
        <w:rPr>
          <w:rFonts w:asciiTheme="minorHAnsi" w:eastAsia="Calibri" w:hAnsiTheme="minorHAnsi" w:cstheme="minorBidi"/>
          <w:i/>
          <w:sz w:val="22"/>
          <w:szCs w:val="22"/>
          <w:lang w:val="lt-LT" w:eastAsia="en-US"/>
        </w:rPr>
      </w:pPr>
      <w:r>
        <w:rPr>
          <w:rFonts w:eastAsia="Calibri"/>
          <w:i/>
          <w:sz w:val="22"/>
          <w:szCs w:val="22"/>
        </w:rPr>
        <w:t>Tamsulozinas</w:t>
      </w:r>
    </w:p>
    <w:p w14:paraId="683BB6B4"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Tamsulozinas ir jo metabolitai šalinami daugiausiai su šlapimu, maždaug 9 % dozės šalinama nepakitusios veikliosios medžiagos pavidalu.</w:t>
      </w:r>
    </w:p>
    <w:p w14:paraId="55DD08C2" w14:textId="77777777" w:rsidR="00602606" w:rsidRDefault="00602606">
      <w:pPr>
        <w:widowControl w:val="0"/>
        <w:contextualSpacing/>
        <w:outlineLvl w:val="0"/>
        <w:rPr>
          <w:rFonts w:eastAsia="Calibri"/>
          <w:sz w:val="22"/>
          <w:szCs w:val="22"/>
        </w:rPr>
      </w:pPr>
    </w:p>
    <w:p w14:paraId="1BA5CD80"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Pavartojus į veną arba per burną greito atpalaidavimo formos vaistinį preparatą, tamsulozino pusinės eliminacijos iš plazmos laikas trunka 5</w:t>
      </w:r>
      <w:r>
        <w:rPr>
          <w:rFonts w:eastAsia="Calibri"/>
          <w:sz w:val="22"/>
          <w:szCs w:val="22"/>
        </w:rPr>
        <w:noBreakHyphen/>
        <w:t>7 valandas. Vartojant tamsulozino modifikuoto atpalaidavimo kapsules, farmakokinetika priklauso nuo absorb</w:t>
      </w:r>
      <w:r w:rsidRPr="001F276A">
        <w:rPr>
          <w:rFonts w:eastAsia="Calibri"/>
          <w:sz w:val="22"/>
        </w:rPr>
        <w:t>cijos greičio, todėl pavalgius pavartoto tamsulozino tariamasis pusinės eliminacijos iš plazmos laikas trunka maždaug 10 valandų, o pusiausvyros apykaitos sąlygomis − maždaug 13 valandų.</w:t>
      </w:r>
    </w:p>
    <w:p w14:paraId="42C964DE" w14:textId="77777777" w:rsidR="00602606" w:rsidRDefault="00602606">
      <w:pPr>
        <w:widowControl w:val="0"/>
        <w:contextualSpacing/>
        <w:outlineLvl w:val="0"/>
        <w:rPr>
          <w:rFonts w:eastAsia="Calibri"/>
          <w:sz w:val="22"/>
          <w:szCs w:val="22"/>
        </w:rPr>
      </w:pPr>
    </w:p>
    <w:p w14:paraId="432F696C" w14:textId="77777777" w:rsidR="00602606" w:rsidRDefault="00604AEE">
      <w:pPr>
        <w:widowControl w:val="0"/>
        <w:rPr>
          <w:rFonts w:asciiTheme="minorHAnsi" w:eastAsia="Calibri" w:hAnsiTheme="minorHAnsi" w:cstheme="minorBidi"/>
          <w:sz w:val="22"/>
          <w:szCs w:val="22"/>
          <w:u w:val="single"/>
          <w:lang w:val="lt-LT" w:eastAsia="en-US"/>
        </w:rPr>
      </w:pPr>
      <w:r>
        <w:rPr>
          <w:rFonts w:eastAsia="Calibri"/>
          <w:sz w:val="22"/>
          <w:szCs w:val="22"/>
          <w:u w:val="single"/>
        </w:rPr>
        <w:t>Senyvi pacientai</w:t>
      </w:r>
    </w:p>
    <w:p w14:paraId="0CEC26BC" w14:textId="77777777" w:rsidR="00602606" w:rsidRDefault="00602606">
      <w:pPr>
        <w:widowControl w:val="0"/>
        <w:rPr>
          <w:rFonts w:eastAsia="Calibri"/>
          <w:sz w:val="22"/>
          <w:szCs w:val="22"/>
          <w:u w:val="single"/>
        </w:rPr>
      </w:pPr>
    </w:p>
    <w:p w14:paraId="5A96AD3F" w14:textId="77777777" w:rsidR="00602606" w:rsidRDefault="00604AEE">
      <w:pPr>
        <w:widowControl w:val="0"/>
        <w:rPr>
          <w:rFonts w:asciiTheme="minorHAnsi" w:eastAsia="Calibri" w:hAnsiTheme="minorHAnsi" w:cstheme="minorBidi"/>
          <w:i/>
          <w:sz w:val="22"/>
          <w:szCs w:val="22"/>
          <w:lang w:val="lt-LT" w:eastAsia="en-US"/>
        </w:rPr>
      </w:pPr>
      <w:r>
        <w:rPr>
          <w:rFonts w:eastAsia="Calibri"/>
          <w:i/>
          <w:sz w:val="22"/>
          <w:szCs w:val="22"/>
        </w:rPr>
        <w:t>Dutasteridas</w:t>
      </w:r>
    </w:p>
    <w:p w14:paraId="61813781"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 xml:space="preserve">Dutasterido farmakokinetika įvertinta 36 sveikų 24–87 metų vyrų, išgėrusių vienkartinę 5 mg dutasterido dozę, organizme. Amžius reikšmingos įtakos dutasterido ekspozicijai neturėjo, bet pusinės eliminacijos laikas jaunesnių kaip 50 metų vyrų organizme buvo trumpesnis. Palyginus 50–69 metų ir </w:t>
      </w:r>
      <w:r w:rsidRPr="001F276A">
        <w:rPr>
          <w:rFonts w:eastAsia="Calibri"/>
          <w:sz w:val="22"/>
        </w:rPr>
        <w:t>vyresnių kaip 70 metų pacientų grupes, pusinės eliminacijos laikas statistiškai reikšmingai nesiskyrė.</w:t>
      </w:r>
    </w:p>
    <w:p w14:paraId="353B461A" w14:textId="77777777" w:rsidR="00602606" w:rsidRDefault="00602606">
      <w:pPr>
        <w:widowControl w:val="0"/>
        <w:contextualSpacing/>
        <w:outlineLvl w:val="0"/>
        <w:rPr>
          <w:rFonts w:eastAsia="Calibri"/>
          <w:sz w:val="22"/>
          <w:szCs w:val="22"/>
        </w:rPr>
      </w:pPr>
    </w:p>
    <w:p w14:paraId="3DFD1F0C" w14:textId="77777777" w:rsidR="00602606" w:rsidRDefault="00604AEE">
      <w:pPr>
        <w:widowControl w:val="0"/>
        <w:contextualSpacing/>
        <w:outlineLvl w:val="0"/>
        <w:rPr>
          <w:rFonts w:asciiTheme="minorHAnsi" w:eastAsia="Calibri" w:hAnsiTheme="minorHAnsi" w:cstheme="minorBidi"/>
          <w:i/>
          <w:sz w:val="22"/>
          <w:szCs w:val="22"/>
          <w:lang w:val="lt-LT" w:eastAsia="en-US"/>
        </w:rPr>
      </w:pPr>
      <w:r>
        <w:rPr>
          <w:rFonts w:eastAsia="Calibri"/>
          <w:i/>
          <w:sz w:val="22"/>
          <w:szCs w:val="22"/>
        </w:rPr>
        <w:t>Tamsulozinas</w:t>
      </w:r>
    </w:p>
    <w:p w14:paraId="329CF3C4"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Kryžminio bendrosios tamsulozino hidrochlorido ekspozicijos (</w:t>
      </w:r>
      <w:r>
        <w:rPr>
          <w:rFonts w:eastAsia="Calibri"/>
          <w:i/>
          <w:sz w:val="22"/>
          <w:szCs w:val="22"/>
        </w:rPr>
        <w:t>AUC</w:t>
      </w:r>
      <w:r w:rsidRPr="001F276A">
        <w:rPr>
          <w:rFonts w:eastAsia="Calibri"/>
          <w:sz w:val="22"/>
        </w:rPr>
        <w:t>) ir pusinės eliminacijos laiko palyginimo tyrimų duomenys rodo, kad tamsulozino hidrochlorido farmakokinetikos rodmenys senyvų vyrų organizme gali šiek tiek padidėti, palyginti su jaunų sveikų vyrų savanorių rodmenimis. Vidinis klirensas nepriklauso nuo tamsulozino hidrochlorido prisijungimo prie AAG, bet mažėja senstant, dėl to 55</w:t>
      </w:r>
      <w:r w:rsidRPr="001F276A">
        <w:rPr>
          <w:rFonts w:eastAsia="Calibri"/>
          <w:sz w:val="22"/>
        </w:rPr>
        <w:noBreakHyphen/>
        <w:t>75 metų tiriamųjų organizme bendroji ekspozicija (</w:t>
      </w:r>
      <w:r w:rsidRPr="001F276A">
        <w:rPr>
          <w:rFonts w:eastAsia="Calibri"/>
          <w:i/>
          <w:sz w:val="22"/>
        </w:rPr>
        <w:t>AUC</w:t>
      </w:r>
      <w:r w:rsidRPr="001F276A">
        <w:rPr>
          <w:rFonts w:eastAsia="Calibri"/>
          <w:sz w:val="22"/>
        </w:rPr>
        <w:t>) buvo 40 % didesnė, palyginti su 20</w:t>
      </w:r>
      <w:r w:rsidRPr="001F276A">
        <w:rPr>
          <w:rFonts w:eastAsia="Calibri"/>
          <w:sz w:val="22"/>
        </w:rPr>
        <w:noBreakHyphen/>
        <w:t>32 metų tiriamųjų rodmenimis.</w:t>
      </w:r>
    </w:p>
    <w:p w14:paraId="4A4068F7" w14:textId="77777777" w:rsidR="00602606" w:rsidRDefault="00602606">
      <w:pPr>
        <w:widowControl w:val="0"/>
        <w:contextualSpacing/>
        <w:outlineLvl w:val="0"/>
        <w:rPr>
          <w:rFonts w:eastAsia="Calibri"/>
          <w:sz w:val="22"/>
          <w:szCs w:val="22"/>
        </w:rPr>
      </w:pPr>
    </w:p>
    <w:p w14:paraId="24079F81" w14:textId="77777777" w:rsidR="00602606" w:rsidRDefault="00604AEE">
      <w:pPr>
        <w:widowControl w:val="0"/>
        <w:contextualSpacing/>
        <w:outlineLvl w:val="0"/>
        <w:rPr>
          <w:rFonts w:asciiTheme="minorHAnsi" w:eastAsia="Calibri" w:hAnsiTheme="minorHAnsi" w:cstheme="minorBidi"/>
          <w:sz w:val="22"/>
          <w:szCs w:val="22"/>
          <w:u w:val="single"/>
          <w:lang w:val="lt-LT" w:eastAsia="en-US"/>
        </w:rPr>
      </w:pPr>
      <w:r>
        <w:rPr>
          <w:rFonts w:eastAsia="Calibri"/>
          <w:sz w:val="22"/>
          <w:szCs w:val="22"/>
          <w:u w:val="single"/>
        </w:rPr>
        <w:t>Sutrikusi inkstų funkcija</w:t>
      </w:r>
    </w:p>
    <w:p w14:paraId="537ECE2F" w14:textId="77777777" w:rsidR="00602606" w:rsidRDefault="00602606">
      <w:pPr>
        <w:widowControl w:val="0"/>
        <w:contextualSpacing/>
        <w:outlineLvl w:val="0"/>
        <w:rPr>
          <w:rFonts w:eastAsia="Calibri"/>
          <w:sz w:val="22"/>
          <w:szCs w:val="22"/>
          <w:u w:val="single"/>
        </w:rPr>
      </w:pPr>
    </w:p>
    <w:p w14:paraId="42B8D55D" w14:textId="77777777" w:rsidR="00602606" w:rsidRDefault="00604AEE">
      <w:pPr>
        <w:widowControl w:val="0"/>
        <w:contextualSpacing/>
        <w:outlineLvl w:val="0"/>
        <w:rPr>
          <w:rFonts w:asciiTheme="minorHAnsi" w:eastAsia="Calibri" w:hAnsiTheme="minorHAnsi" w:cstheme="minorBidi"/>
          <w:i/>
          <w:sz w:val="22"/>
          <w:szCs w:val="22"/>
          <w:lang w:val="lt-LT" w:eastAsia="en-US"/>
        </w:rPr>
      </w:pPr>
      <w:r>
        <w:rPr>
          <w:rFonts w:eastAsia="Calibri"/>
          <w:i/>
          <w:sz w:val="22"/>
          <w:szCs w:val="22"/>
        </w:rPr>
        <w:t>Dutasteridas</w:t>
      </w:r>
    </w:p>
    <w:p w14:paraId="47DE2707"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Inkstų funkcijos sutrikimo įtaka dutasterido farmakokinetikai netirta. Vis dėlto mažiau kaip 0,1 % pusiausvyros apykaitos sąlygomis pavartotos 0,5 mg dutasterido dozės šalinama iš žmogaus organizmo su šlapimu, todėl kliniškai reikšmingo dutasterido koncentracijos padidėjimo pacientų, kurie serga inkstų funkcijos sutrikimu, krau</w:t>
      </w:r>
      <w:r w:rsidRPr="001F276A">
        <w:rPr>
          <w:rFonts w:eastAsia="Calibri"/>
          <w:sz w:val="22"/>
        </w:rPr>
        <w:t>jo plazmoje nesitikima (žr. 4.2 skyrių).</w:t>
      </w:r>
    </w:p>
    <w:p w14:paraId="308C1401" w14:textId="77777777" w:rsidR="00602606" w:rsidRDefault="00602606">
      <w:pPr>
        <w:widowControl w:val="0"/>
        <w:contextualSpacing/>
        <w:outlineLvl w:val="0"/>
        <w:rPr>
          <w:rFonts w:eastAsia="Calibri"/>
          <w:sz w:val="22"/>
          <w:szCs w:val="22"/>
        </w:rPr>
      </w:pPr>
    </w:p>
    <w:p w14:paraId="08E849C0" w14:textId="77777777" w:rsidR="00602606" w:rsidRDefault="00604AEE">
      <w:pPr>
        <w:widowControl w:val="0"/>
        <w:contextualSpacing/>
        <w:outlineLvl w:val="0"/>
        <w:rPr>
          <w:rFonts w:asciiTheme="minorHAnsi" w:eastAsia="Calibri" w:hAnsiTheme="minorHAnsi" w:cstheme="minorBidi"/>
          <w:i/>
          <w:sz w:val="22"/>
          <w:szCs w:val="22"/>
          <w:lang w:val="lt-LT" w:eastAsia="en-US"/>
        </w:rPr>
      </w:pPr>
      <w:r>
        <w:rPr>
          <w:rFonts w:eastAsia="Calibri"/>
          <w:i/>
          <w:sz w:val="22"/>
          <w:szCs w:val="22"/>
        </w:rPr>
        <w:t>Tamsulozinas</w:t>
      </w:r>
    </w:p>
    <w:p w14:paraId="526206FE"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Buvo palyginta tamsulozino hidrochlorido farmakokinetika 6 tiriamųjų, kuriems diagnozuotas lengvas ar vidutinio sunkumo (30 ≤ </w:t>
      </w:r>
      <w:r>
        <w:rPr>
          <w:rFonts w:eastAsia="Calibri"/>
          <w:i/>
          <w:sz w:val="22"/>
          <w:szCs w:val="22"/>
        </w:rPr>
        <w:t>CL</w:t>
      </w:r>
      <w:r w:rsidRPr="001F276A">
        <w:rPr>
          <w:rFonts w:eastAsia="Calibri"/>
          <w:i/>
          <w:sz w:val="22"/>
          <w:vertAlign w:val="subscript"/>
        </w:rPr>
        <w:t>cr</w:t>
      </w:r>
      <w:r w:rsidRPr="001F276A">
        <w:rPr>
          <w:rFonts w:eastAsia="Calibri"/>
          <w:sz w:val="22"/>
        </w:rPr>
        <w:t> &lt; 70 ml/min./1,73 m</w:t>
      </w:r>
      <w:r w:rsidRPr="001F276A">
        <w:rPr>
          <w:rFonts w:eastAsia="Calibri"/>
          <w:sz w:val="22"/>
          <w:vertAlign w:val="superscript"/>
        </w:rPr>
        <w:t>2</w:t>
      </w:r>
      <w:r>
        <w:rPr>
          <w:rFonts w:eastAsia="Calibri"/>
          <w:sz w:val="22"/>
          <w:szCs w:val="22"/>
        </w:rPr>
        <w:t xml:space="preserve"> kūno paviršiaus ploto) arba vidutinio sunkumo ar sunkus (10 ≤ </w:t>
      </w:r>
      <w:r w:rsidRPr="001F276A">
        <w:rPr>
          <w:rFonts w:eastAsia="Calibri"/>
          <w:i/>
          <w:sz w:val="22"/>
        </w:rPr>
        <w:t>CL</w:t>
      </w:r>
      <w:r w:rsidRPr="001F276A">
        <w:rPr>
          <w:rFonts w:eastAsia="Calibri"/>
          <w:i/>
          <w:sz w:val="22"/>
          <w:vertAlign w:val="subscript"/>
        </w:rPr>
        <w:t>cr</w:t>
      </w:r>
      <w:r w:rsidRPr="001F276A">
        <w:rPr>
          <w:rFonts w:eastAsia="Calibri"/>
          <w:sz w:val="22"/>
        </w:rPr>
        <w:t> </w:t>
      </w:r>
      <w:r>
        <w:rPr>
          <w:rFonts w:eastAsia="Calibri"/>
          <w:sz w:val="22"/>
          <w:szCs w:val="22"/>
        </w:rPr>
        <w:t>&lt; 30 ml/min./1,73 m</w:t>
      </w:r>
      <w:r w:rsidRPr="001F276A">
        <w:rPr>
          <w:rFonts w:eastAsia="Calibri"/>
          <w:sz w:val="22"/>
          <w:vertAlign w:val="superscript"/>
        </w:rPr>
        <w:t>2</w:t>
      </w:r>
      <w:r>
        <w:rPr>
          <w:rFonts w:eastAsia="Calibri"/>
          <w:sz w:val="22"/>
          <w:szCs w:val="22"/>
        </w:rPr>
        <w:t xml:space="preserve"> kūno paviršiaus ploto) inkstų funkcijos sutrikimas, ir 6 tiriamųjų, kurių inkstų funkcija normali (</w:t>
      </w:r>
      <w:r w:rsidRPr="001F276A">
        <w:rPr>
          <w:rFonts w:eastAsia="Calibri"/>
          <w:i/>
          <w:sz w:val="22"/>
        </w:rPr>
        <w:t>CL</w:t>
      </w:r>
      <w:r w:rsidRPr="001F276A">
        <w:rPr>
          <w:rFonts w:eastAsia="Calibri"/>
          <w:i/>
          <w:sz w:val="22"/>
          <w:vertAlign w:val="subscript"/>
        </w:rPr>
        <w:t>cr</w:t>
      </w:r>
      <w:r w:rsidRPr="001F276A">
        <w:rPr>
          <w:rFonts w:eastAsia="Calibri"/>
          <w:sz w:val="22"/>
        </w:rPr>
        <w:t> &gt; 90 ml/min./1,73 m</w:t>
      </w:r>
      <w:r w:rsidRPr="001F276A">
        <w:rPr>
          <w:rFonts w:eastAsia="Calibri"/>
          <w:sz w:val="22"/>
          <w:vertAlign w:val="superscript"/>
        </w:rPr>
        <w:t>2</w:t>
      </w:r>
      <w:r>
        <w:rPr>
          <w:rFonts w:eastAsia="Calibri"/>
          <w:sz w:val="22"/>
          <w:szCs w:val="22"/>
        </w:rPr>
        <w:t xml:space="preserve"> kūno paviršiaus ploto), organizme. Nustatytas tamsulozino hidrochlorido bendrosios koncentracijos kraujo plazm</w:t>
      </w:r>
      <w:r w:rsidRPr="001F276A">
        <w:rPr>
          <w:rFonts w:eastAsia="Calibri"/>
          <w:sz w:val="22"/>
        </w:rPr>
        <w:t>oje pokytis dėl pakitusio prisijungimo prie AAG, o neprisijungusio (aktyvaus) tamsulozino hidrochlorido koncentracija ir vidinis klirensas buvo reliatyviai stabilūs. Todėl pacientams, kurių inkstų funkcija sutrikusi, tamsulozino hidrochlorido kapsulių dozavimo keisti nebūtina. Vis dėlto tyrimų su pacientais, kurie serga galutinės stadijos inkstų liga (</w:t>
      </w:r>
      <w:r w:rsidRPr="001F276A">
        <w:rPr>
          <w:rFonts w:eastAsia="Calibri"/>
          <w:i/>
          <w:sz w:val="22"/>
        </w:rPr>
        <w:t>CL</w:t>
      </w:r>
      <w:r w:rsidRPr="001F276A">
        <w:rPr>
          <w:rFonts w:eastAsia="Calibri"/>
          <w:i/>
          <w:sz w:val="22"/>
          <w:vertAlign w:val="subscript"/>
        </w:rPr>
        <w:t>cr</w:t>
      </w:r>
      <w:r w:rsidRPr="001F276A">
        <w:rPr>
          <w:rFonts w:eastAsia="Calibri"/>
          <w:sz w:val="22"/>
        </w:rPr>
        <w:t> &lt; 10 ml/min./1,73 m</w:t>
      </w:r>
      <w:r w:rsidRPr="001F276A">
        <w:rPr>
          <w:rFonts w:eastAsia="Calibri"/>
          <w:sz w:val="22"/>
          <w:vertAlign w:val="superscript"/>
        </w:rPr>
        <w:t>2</w:t>
      </w:r>
      <w:r>
        <w:rPr>
          <w:rFonts w:eastAsia="Calibri"/>
          <w:sz w:val="22"/>
          <w:szCs w:val="22"/>
        </w:rPr>
        <w:t xml:space="preserve"> kūno paviršiaus ploto), neatlikta.</w:t>
      </w:r>
    </w:p>
    <w:p w14:paraId="15B3199D" w14:textId="77777777" w:rsidR="00602606" w:rsidRDefault="00602606">
      <w:pPr>
        <w:widowControl w:val="0"/>
        <w:contextualSpacing/>
        <w:outlineLvl w:val="0"/>
        <w:rPr>
          <w:rFonts w:eastAsia="Calibri"/>
          <w:sz w:val="22"/>
          <w:szCs w:val="22"/>
        </w:rPr>
      </w:pPr>
    </w:p>
    <w:p w14:paraId="12EA5FA0" w14:textId="77777777" w:rsidR="00602606" w:rsidRDefault="00604AEE">
      <w:pPr>
        <w:widowControl w:val="0"/>
        <w:contextualSpacing/>
        <w:outlineLvl w:val="0"/>
        <w:rPr>
          <w:rFonts w:asciiTheme="minorHAnsi" w:eastAsia="Calibri" w:hAnsiTheme="minorHAnsi" w:cstheme="minorBidi"/>
          <w:sz w:val="22"/>
          <w:szCs w:val="22"/>
          <w:u w:val="single"/>
          <w:lang w:val="lt-LT" w:eastAsia="en-US"/>
        </w:rPr>
      </w:pPr>
      <w:r>
        <w:rPr>
          <w:rFonts w:eastAsia="Calibri"/>
          <w:sz w:val="22"/>
          <w:szCs w:val="22"/>
          <w:u w:val="single"/>
        </w:rPr>
        <w:t>Sutrikusi kepenų funkcija</w:t>
      </w:r>
    </w:p>
    <w:p w14:paraId="44632A75" w14:textId="77777777" w:rsidR="00602606" w:rsidRDefault="00602606">
      <w:pPr>
        <w:widowControl w:val="0"/>
        <w:contextualSpacing/>
        <w:outlineLvl w:val="0"/>
        <w:rPr>
          <w:rFonts w:eastAsia="Calibri"/>
          <w:sz w:val="22"/>
          <w:szCs w:val="22"/>
          <w:u w:val="single"/>
        </w:rPr>
      </w:pPr>
    </w:p>
    <w:p w14:paraId="2B60A039" w14:textId="77777777" w:rsidR="00602606" w:rsidRDefault="00604AEE">
      <w:pPr>
        <w:widowControl w:val="0"/>
        <w:contextualSpacing/>
        <w:outlineLvl w:val="0"/>
        <w:rPr>
          <w:rFonts w:asciiTheme="minorHAnsi" w:eastAsia="Calibri" w:hAnsiTheme="minorHAnsi" w:cstheme="minorBidi"/>
          <w:i/>
          <w:sz w:val="22"/>
          <w:szCs w:val="22"/>
          <w:lang w:val="lt-LT" w:eastAsia="en-US"/>
        </w:rPr>
      </w:pPr>
      <w:r>
        <w:rPr>
          <w:rFonts w:eastAsia="Calibri"/>
          <w:i/>
          <w:sz w:val="22"/>
          <w:szCs w:val="22"/>
        </w:rPr>
        <w:t>Dutasteridas</w:t>
      </w:r>
    </w:p>
    <w:p w14:paraId="34EF7CC1"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Kepenų funkcijos sutrikimo įtaka dutasterido farmakokine</w:t>
      </w:r>
      <w:r w:rsidRPr="001F276A">
        <w:rPr>
          <w:rFonts w:eastAsia="Calibri"/>
          <w:sz w:val="22"/>
        </w:rPr>
        <w:t>tikai netirta (žr. 4.3 skyrių). Dutasteridas eliminuojamas daugiausiai metabolizmo būdu, todėl tikėtina, kad tokių pacientų kraujo plazmoje dutasterido koncentracija bus didesnė, o dutasterido pusinės eliminacijos laikas ilgesnis (žr. 4.2 ir 4.4 skyrius).</w:t>
      </w:r>
    </w:p>
    <w:p w14:paraId="6291CDFB" w14:textId="77777777" w:rsidR="00602606" w:rsidRDefault="00602606">
      <w:pPr>
        <w:widowControl w:val="0"/>
        <w:contextualSpacing/>
        <w:outlineLvl w:val="0"/>
        <w:rPr>
          <w:rFonts w:eastAsia="Calibri"/>
          <w:sz w:val="22"/>
          <w:szCs w:val="22"/>
        </w:rPr>
      </w:pPr>
    </w:p>
    <w:p w14:paraId="0E97F62C" w14:textId="77777777" w:rsidR="00602606" w:rsidRDefault="00604AEE">
      <w:pPr>
        <w:widowControl w:val="0"/>
        <w:contextualSpacing/>
        <w:outlineLvl w:val="0"/>
        <w:rPr>
          <w:rFonts w:asciiTheme="minorHAnsi" w:eastAsia="Calibri" w:hAnsiTheme="minorHAnsi" w:cstheme="minorBidi"/>
          <w:i/>
          <w:sz w:val="22"/>
          <w:szCs w:val="22"/>
          <w:lang w:val="lt-LT" w:eastAsia="en-US"/>
        </w:rPr>
      </w:pPr>
      <w:r>
        <w:rPr>
          <w:rFonts w:eastAsia="Calibri"/>
          <w:i/>
          <w:sz w:val="22"/>
          <w:szCs w:val="22"/>
        </w:rPr>
        <w:t>Tamsulozinas</w:t>
      </w:r>
    </w:p>
    <w:p w14:paraId="76CB9D3E"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 xml:space="preserve">Tamsulozino hidrochlorido farmakokinetika buvo palyginta 8 tiriamųjų, kuriems diagnozuotas vidutinio sunkumo kepenų funkcijos sutrikimas (A ir B laipsnio pagal </w:t>
      </w:r>
      <w:r>
        <w:rPr>
          <w:rFonts w:eastAsia="Calibri"/>
          <w:i/>
          <w:sz w:val="22"/>
          <w:szCs w:val="22"/>
        </w:rPr>
        <w:t>Child-Pugh</w:t>
      </w:r>
      <w:r w:rsidRPr="001F276A">
        <w:rPr>
          <w:rFonts w:eastAsia="Calibri"/>
          <w:sz w:val="22"/>
        </w:rPr>
        <w:t>), ir 8 tiriamųjų, kurių kepenų funkcija normali, organizme. Nustatytas tamsulozino hidrochlorido bendrosios koncentracijos kraujo plazmoje pokytis dėl pakitusio prisijungimo prie AAG, o neprisijungusio (aktyvaus) tamsulozino hidrochlorido koncentracija ir vidinis klirensas reikšmingai nepakito, tik vidutiniškai (32 %) pakito neprisijungusio tamsulozino hidrochlorido vidinis klirensas. Todėl pacientams, kuriems yra vidutinio sunkumo kepenų funkcijos sutrikimas, tamsulozino hidrochlorido dozavimo keisti nereikia. Tamsulozino hidrochlorido tyrimų su pacientais, kuriems yra sunkus kepenų funkcijos sutrikimas, neatlikta.</w:t>
      </w:r>
    </w:p>
    <w:p w14:paraId="7C5C5A9E" w14:textId="77777777" w:rsidR="00602606" w:rsidRDefault="00602606">
      <w:pPr>
        <w:widowControl w:val="0"/>
        <w:contextualSpacing/>
        <w:outlineLvl w:val="0"/>
        <w:rPr>
          <w:rFonts w:eastAsia="Calibri"/>
          <w:sz w:val="22"/>
          <w:szCs w:val="22"/>
        </w:rPr>
      </w:pPr>
    </w:p>
    <w:p w14:paraId="7E0D4C6A" w14:textId="77777777" w:rsidR="00602606" w:rsidRDefault="00604AEE">
      <w:pPr>
        <w:widowControl w:val="0"/>
        <w:ind w:left="567" w:hanging="567"/>
        <w:rPr>
          <w:rFonts w:asciiTheme="minorHAnsi" w:eastAsia="Calibri" w:hAnsiTheme="minorHAnsi" w:cstheme="minorBidi"/>
          <w:sz w:val="22"/>
          <w:szCs w:val="22"/>
          <w:lang w:val="lt-LT" w:eastAsia="en-US"/>
        </w:rPr>
      </w:pPr>
      <w:r>
        <w:rPr>
          <w:rFonts w:eastAsia="Calibri"/>
          <w:b/>
          <w:sz w:val="22"/>
          <w:szCs w:val="22"/>
        </w:rPr>
        <w:t>5.3</w:t>
      </w:r>
      <w:r>
        <w:rPr>
          <w:rFonts w:eastAsia="Calibri"/>
          <w:b/>
          <w:sz w:val="22"/>
          <w:szCs w:val="22"/>
        </w:rPr>
        <w:tab/>
        <w:t>Ikiklinikinių saugumo tyrimų duomenys</w:t>
      </w:r>
    </w:p>
    <w:p w14:paraId="5F3989CC" w14:textId="77777777" w:rsidR="00602606" w:rsidRDefault="00602606">
      <w:pPr>
        <w:widowControl w:val="0"/>
        <w:rPr>
          <w:rFonts w:eastAsia="Calibri"/>
          <w:sz w:val="22"/>
          <w:szCs w:val="22"/>
        </w:rPr>
      </w:pPr>
    </w:p>
    <w:p w14:paraId="3D684AB9"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Dutasterido ir tamsulozino derinio ikiklinikinių tyrimų neatlikta. Dutasteridas ir tamsulozino hidrochloridas atskirai buvo ekstensyviai tiriami toksinio poveikio tyrimų su gyvūnais metu ir jų duomenys atitiko žinomą 5</w:t>
      </w:r>
      <w:r w:rsidRPr="001F276A">
        <w:rPr>
          <w:rFonts w:eastAsia="Calibri"/>
          <w:sz w:val="22"/>
        </w:rPr>
        <w:noBreakHyphen/>
        <w:t>alfa reduktazės inhibitorių ir alfa</w:t>
      </w:r>
      <w:r w:rsidRPr="001F276A">
        <w:rPr>
          <w:rFonts w:eastAsia="Calibri"/>
          <w:sz w:val="22"/>
          <w:vertAlign w:val="subscript"/>
        </w:rPr>
        <w:t>1</w:t>
      </w:r>
      <w:r>
        <w:rPr>
          <w:rFonts w:eastAsia="Calibri"/>
          <w:sz w:val="22"/>
          <w:szCs w:val="22"/>
        </w:rPr>
        <w:t xml:space="preserve"> adrenoreceptorių antagonistų farmakologinį poveikį. Toliau esanti informacija atspindi turimus duomenis apie kiekvieną sudėtyje esančią veikliąją medžiagą.</w:t>
      </w:r>
    </w:p>
    <w:p w14:paraId="65077F76" w14:textId="77777777" w:rsidR="00602606" w:rsidRDefault="00602606">
      <w:pPr>
        <w:widowControl w:val="0"/>
        <w:contextualSpacing/>
        <w:outlineLvl w:val="0"/>
        <w:rPr>
          <w:rFonts w:eastAsia="Calibri"/>
          <w:sz w:val="22"/>
          <w:szCs w:val="22"/>
        </w:rPr>
      </w:pPr>
    </w:p>
    <w:p w14:paraId="6BB1AD0D" w14:textId="77777777" w:rsidR="00602606" w:rsidRDefault="00604AEE">
      <w:pPr>
        <w:widowControl w:val="0"/>
        <w:contextualSpacing/>
        <w:outlineLvl w:val="0"/>
        <w:rPr>
          <w:rFonts w:asciiTheme="minorHAnsi" w:eastAsia="Calibri" w:hAnsiTheme="minorHAnsi" w:cstheme="minorBidi"/>
          <w:i/>
          <w:sz w:val="22"/>
          <w:szCs w:val="22"/>
          <w:lang w:val="lt-LT" w:eastAsia="en-US"/>
        </w:rPr>
      </w:pPr>
      <w:r>
        <w:rPr>
          <w:rFonts w:eastAsia="Calibri"/>
          <w:i/>
          <w:sz w:val="22"/>
          <w:szCs w:val="22"/>
        </w:rPr>
        <w:t>Dutasteridas</w:t>
      </w:r>
    </w:p>
    <w:p w14:paraId="1A48CE1A" w14:textId="77777777" w:rsidR="00602606" w:rsidRDefault="00602606">
      <w:pPr>
        <w:widowControl w:val="0"/>
        <w:contextualSpacing/>
        <w:outlineLvl w:val="0"/>
        <w:rPr>
          <w:rFonts w:eastAsia="Calibri"/>
          <w:i/>
          <w:sz w:val="22"/>
          <w:szCs w:val="22"/>
        </w:rPr>
      </w:pPr>
    </w:p>
    <w:p w14:paraId="76177104"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sz w:val="22"/>
          <w:szCs w:val="22"/>
        </w:rPr>
        <w:t>Toksiškumo, genotoksiškumo ir kancerogeniškumo</w:t>
      </w:r>
      <w:r>
        <w:rPr>
          <w:rFonts w:eastAsia="Calibri"/>
          <w:sz w:val="22"/>
          <w:szCs w:val="22"/>
        </w:rPr>
        <w:t xml:space="preserve"> tyrimų </w:t>
      </w:r>
      <w:r w:rsidRPr="001F276A">
        <w:rPr>
          <w:sz w:val="22"/>
        </w:rPr>
        <w:t>duomenys specifinio pavojaus žmogui nerodo</w:t>
      </w:r>
      <w:r w:rsidRPr="001F276A">
        <w:rPr>
          <w:rFonts w:eastAsia="Calibri"/>
          <w:sz w:val="22"/>
        </w:rPr>
        <w:t>.</w:t>
      </w:r>
    </w:p>
    <w:p w14:paraId="7C57A1C8" w14:textId="77777777" w:rsidR="00602606" w:rsidRDefault="00602606">
      <w:pPr>
        <w:widowControl w:val="0"/>
        <w:contextualSpacing/>
        <w:outlineLvl w:val="0"/>
        <w:rPr>
          <w:rFonts w:eastAsia="Calibri"/>
          <w:sz w:val="22"/>
          <w:szCs w:val="22"/>
        </w:rPr>
      </w:pPr>
    </w:p>
    <w:p w14:paraId="48E67542"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Toksinio poveikio reprodukcijai tyrimai su žiurkių patinais parodė prostatos ir sėklinių pūslelių svorio sumažėjimą, pridėtinių lytinių liaukų sekrecijos sumažėjimą ir vislumo indekso sumažėjimą (dėl farmakologinio dutasterido poveikio). Šių duomenų klinikinė reikšmė nežinoma.</w:t>
      </w:r>
    </w:p>
    <w:p w14:paraId="4C2D4BB4" w14:textId="77777777" w:rsidR="00602606" w:rsidRDefault="00602606">
      <w:pPr>
        <w:widowControl w:val="0"/>
        <w:contextualSpacing/>
        <w:outlineLvl w:val="0"/>
        <w:rPr>
          <w:rFonts w:eastAsia="Calibri"/>
          <w:sz w:val="22"/>
          <w:szCs w:val="22"/>
        </w:rPr>
      </w:pPr>
    </w:p>
    <w:p w14:paraId="00BE135C"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Vaikingumo laikotarpiu vartojant dutasteridą, kaip ir kitokius 5</w:t>
      </w:r>
      <w:r>
        <w:rPr>
          <w:rFonts w:eastAsia="Calibri"/>
          <w:sz w:val="22"/>
          <w:szCs w:val="22"/>
        </w:rPr>
        <w:noBreakHyphen/>
        <w:t>alfa reduktazės inhibitorius, pastebėta vyriškos lyties žiurkių ir tr</w:t>
      </w:r>
      <w:r w:rsidRPr="001F276A">
        <w:rPr>
          <w:rFonts w:eastAsia="Calibri"/>
          <w:sz w:val="22"/>
        </w:rPr>
        <w:t>iušių vaisių feminizacija. Dutasterido buvo aptikta žiurkių patelių kraujyje po to, kai jos susiporavo su dutasterido vartojusiais patinais. Vartojant dutasteridą vaikingumo laikotarpiu primatams, vyriškos lyties vaisiui feminizacija nepasireiškė net kai vaistinio preparato ekspozicija kraujyje buvo daug didesnė nei galėtų būti vaistiniam preparatui patekus į moters organizmą su sperma. Nėra tikėtina, kad su sperma į moters organizmą patekęs dutasteridas sukeltų nepageidaujamą poveikį vyriškos lyties vaisiui.</w:t>
      </w:r>
    </w:p>
    <w:p w14:paraId="16F9512B" w14:textId="77777777" w:rsidR="00602606" w:rsidRDefault="00602606">
      <w:pPr>
        <w:widowControl w:val="0"/>
        <w:contextualSpacing/>
        <w:outlineLvl w:val="0"/>
        <w:rPr>
          <w:rFonts w:eastAsia="Calibri"/>
          <w:sz w:val="22"/>
          <w:szCs w:val="22"/>
        </w:rPr>
      </w:pPr>
    </w:p>
    <w:p w14:paraId="75ABA08E" w14:textId="77777777" w:rsidR="00602606" w:rsidRDefault="00604AEE">
      <w:pPr>
        <w:widowControl w:val="0"/>
        <w:contextualSpacing/>
        <w:outlineLvl w:val="0"/>
        <w:rPr>
          <w:rFonts w:asciiTheme="minorHAnsi" w:eastAsia="Calibri" w:hAnsiTheme="minorHAnsi" w:cstheme="minorBidi"/>
          <w:i/>
          <w:sz w:val="22"/>
          <w:szCs w:val="22"/>
          <w:lang w:val="lt-LT" w:eastAsia="en-US"/>
        </w:rPr>
      </w:pPr>
      <w:r>
        <w:rPr>
          <w:rFonts w:eastAsia="Calibri"/>
          <w:i/>
          <w:sz w:val="22"/>
          <w:szCs w:val="22"/>
        </w:rPr>
        <w:t>Tamsulozinas</w:t>
      </w:r>
    </w:p>
    <w:p w14:paraId="543B6D4B" w14:textId="77777777" w:rsidR="00602606" w:rsidRDefault="00602606">
      <w:pPr>
        <w:widowControl w:val="0"/>
        <w:contextualSpacing/>
        <w:outlineLvl w:val="0"/>
        <w:rPr>
          <w:rFonts w:eastAsia="Calibri"/>
          <w:i/>
          <w:sz w:val="22"/>
          <w:szCs w:val="22"/>
        </w:rPr>
      </w:pPr>
    </w:p>
    <w:p w14:paraId="06DCC8AA"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 xml:space="preserve">Bendrojo toksiškumo ir genotoksiškumo tyrimų </w:t>
      </w:r>
      <w:r>
        <w:rPr>
          <w:sz w:val="22"/>
          <w:szCs w:val="22"/>
        </w:rPr>
        <w:t>duomenys specifinio pavojaus</w:t>
      </w:r>
      <w:r w:rsidRPr="001F276A">
        <w:rPr>
          <w:rFonts w:eastAsia="Calibri"/>
          <w:sz w:val="22"/>
        </w:rPr>
        <w:t>, kitokio nei susijęs su farmakologiniu tamsulozino poveikiu,</w:t>
      </w:r>
      <w:r w:rsidRPr="001F276A">
        <w:rPr>
          <w:sz w:val="22"/>
        </w:rPr>
        <w:t xml:space="preserve"> žmogui nerodo</w:t>
      </w:r>
      <w:r w:rsidRPr="001F276A">
        <w:rPr>
          <w:rFonts w:eastAsia="Calibri"/>
          <w:sz w:val="22"/>
        </w:rPr>
        <w:t>.</w:t>
      </w:r>
    </w:p>
    <w:p w14:paraId="5F0AE33E" w14:textId="77777777" w:rsidR="00602606" w:rsidRDefault="00602606">
      <w:pPr>
        <w:widowControl w:val="0"/>
        <w:contextualSpacing/>
        <w:outlineLvl w:val="0"/>
        <w:rPr>
          <w:rFonts w:eastAsia="Calibri"/>
          <w:sz w:val="22"/>
          <w:szCs w:val="22"/>
        </w:rPr>
      </w:pPr>
    </w:p>
    <w:p w14:paraId="3FBCB849"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Kancerogeninio poveikio tyrimų su žiurkėmis ir pelėmis duomenimis, vartojant tamsulozino hidrochloridą, padažnėjo proliferacinių krūties liaukos pokyčių patelėms. Šiuos reiškinius greičiausiai skatina hiperprolaktinemija, jų atsirado tik vartojant dideles dozes, kurios kliniškai nėra svarbios.</w:t>
      </w:r>
    </w:p>
    <w:p w14:paraId="45F69E8A" w14:textId="77777777" w:rsidR="00602606" w:rsidRDefault="00602606">
      <w:pPr>
        <w:widowControl w:val="0"/>
        <w:contextualSpacing/>
        <w:outlineLvl w:val="0"/>
        <w:rPr>
          <w:rFonts w:eastAsia="Calibri"/>
          <w:sz w:val="22"/>
          <w:szCs w:val="22"/>
        </w:rPr>
      </w:pPr>
    </w:p>
    <w:p w14:paraId="212CDBB1"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Didelės tamsulozino hidrochlorido dozės sukėlė grįžtamą vislumo sumažėjimą žiurkių patinams, kaip manoma dėl spermos sudėties pokyčių ar ejakuliacijos sutrikimo. Tamsulozino poveikis spermatozoidų kiekiui ar funkcijai nebuvo tirtas.</w:t>
      </w:r>
    </w:p>
    <w:p w14:paraId="50F4DAAF" w14:textId="77777777" w:rsidR="00602606" w:rsidRDefault="00602606">
      <w:pPr>
        <w:widowControl w:val="0"/>
        <w:contextualSpacing/>
        <w:outlineLvl w:val="0"/>
        <w:rPr>
          <w:rFonts w:eastAsia="Calibri"/>
          <w:sz w:val="22"/>
          <w:szCs w:val="22"/>
        </w:rPr>
      </w:pPr>
    </w:p>
    <w:p w14:paraId="5C764D0E"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Vaikingumo laikotarpiu žiurkių ir triušių patelėms vartojant didesnes už gydomąją tamsulozino hidrochlorido dozes, žalingo poveikio vaisiui nepasireiškė.</w:t>
      </w:r>
    </w:p>
    <w:p w14:paraId="4176F7FD" w14:textId="77777777" w:rsidR="00602606" w:rsidRDefault="00602606">
      <w:pPr>
        <w:widowControl w:val="0"/>
        <w:contextualSpacing/>
        <w:outlineLvl w:val="0"/>
        <w:rPr>
          <w:rFonts w:eastAsia="Calibri"/>
          <w:sz w:val="22"/>
          <w:szCs w:val="22"/>
        </w:rPr>
      </w:pPr>
    </w:p>
    <w:p w14:paraId="0C147FF4" w14:textId="77777777" w:rsidR="00602606" w:rsidRDefault="00602606">
      <w:pPr>
        <w:widowControl w:val="0"/>
        <w:contextualSpacing/>
        <w:outlineLvl w:val="0"/>
        <w:rPr>
          <w:rFonts w:eastAsia="Calibri"/>
          <w:sz w:val="22"/>
          <w:szCs w:val="22"/>
        </w:rPr>
      </w:pPr>
    </w:p>
    <w:p w14:paraId="097D5B5B" w14:textId="77777777" w:rsidR="00602606" w:rsidRDefault="00604AEE">
      <w:pPr>
        <w:widowControl w:val="0"/>
        <w:ind w:left="567" w:hanging="567"/>
        <w:rPr>
          <w:rFonts w:asciiTheme="minorHAnsi" w:eastAsia="Calibri" w:hAnsiTheme="minorHAnsi" w:cstheme="minorBidi"/>
          <w:b/>
          <w:sz w:val="22"/>
          <w:szCs w:val="22"/>
          <w:lang w:val="lt-LT" w:eastAsia="en-US"/>
        </w:rPr>
      </w:pPr>
      <w:r>
        <w:rPr>
          <w:rFonts w:eastAsia="Calibri"/>
          <w:b/>
          <w:sz w:val="22"/>
          <w:szCs w:val="22"/>
        </w:rPr>
        <w:t>6.</w:t>
      </w:r>
      <w:r>
        <w:rPr>
          <w:rFonts w:eastAsia="Calibri"/>
          <w:b/>
          <w:sz w:val="22"/>
          <w:szCs w:val="22"/>
        </w:rPr>
        <w:tab/>
        <w:t>FARMACINĖ INFORMACIJA</w:t>
      </w:r>
    </w:p>
    <w:p w14:paraId="29266FE0" w14:textId="77777777" w:rsidR="00602606" w:rsidRDefault="00602606">
      <w:pPr>
        <w:widowControl w:val="0"/>
        <w:contextualSpacing/>
        <w:outlineLvl w:val="0"/>
        <w:rPr>
          <w:rFonts w:eastAsia="Calibri"/>
          <w:sz w:val="22"/>
          <w:szCs w:val="22"/>
        </w:rPr>
      </w:pPr>
    </w:p>
    <w:p w14:paraId="429EB898" w14:textId="77777777" w:rsidR="00602606" w:rsidRDefault="00604AEE">
      <w:pPr>
        <w:widowControl w:val="0"/>
        <w:ind w:left="567" w:hanging="567"/>
        <w:rPr>
          <w:rFonts w:asciiTheme="minorHAnsi" w:eastAsia="Calibri" w:hAnsiTheme="minorHAnsi" w:cstheme="minorBidi"/>
          <w:b/>
          <w:sz w:val="22"/>
          <w:szCs w:val="22"/>
          <w:lang w:val="lt-LT" w:eastAsia="en-US"/>
        </w:rPr>
      </w:pPr>
      <w:r>
        <w:rPr>
          <w:rFonts w:eastAsia="Calibri"/>
          <w:b/>
          <w:sz w:val="22"/>
          <w:szCs w:val="22"/>
        </w:rPr>
        <w:t>6.1</w:t>
      </w:r>
      <w:r>
        <w:rPr>
          <w:rFonts w:eastAsia="Calibri"/>
          <w:b/>
          <w:sz w:val="22"/>
          <w:szCs w:val="22"/>
        </w:rPr>
        <w:tab/>
        <w:t>Pagalbinių medžiagų sąrašas</w:t>
      </w:r>
    </w:p>
    <w:p w14:paraId="5E1C7F5A" w14:textId="77777777" w:rsidR="00602606" w:rsidRDefault="00602606">
      <w:pPr>
        <w:widowControl w:val="0"/>
        <w:contextualSpacing/>
        <w:outlineLvl w:val="0"/>
        <w:rPr>
          <w:rFonts w:eastAsia="Calibri"/>
          <w:sz w:val="22"/>
          <w:szCs w:val="22"/>
        </w:rPr>
      </w:pPr>
    </w:p>
    <w:p w14:paraId="064E7B43" w14:textId="77777777" w:rsidR="00602606" w:rsidRDefault="00604AEE">
      <w:pPr>
        <w:widowControl w:val="0"/>
        <w:contextualSpacing/>
        <w:outlineLvl w:val="0"/>
        <w:rPr>
          <w:rFonts w:asciiTheme="minorHAnsi" w:eastAsia="Calibri" w:hAnsiTheme="minorHAnsi" w:cstheme="minorBidi"/>
          <w:sz w:val="22"/>
          <w:szCs w:val="22"/>
          <w:u w:val="single"/>
          <w:lang w:val="lt-LT" w:eastAsia="en-US"/>
        </w:rPr>
      </w:pPr>
      <w:r>
        <w:rPr>
          <w:rFonts w:eastAsia="Calibri"/>
          <w:sz w:val="22"/>
          <w:szCs w:val="22"/>
          <w:u w:val="single"/>
        </w:rPr>
        <w:t>Kietosios kapsulės apvalkalas</w:t>
      </w:r>
    </w:p>
    <w:p w14:paraId="0BDB6B78"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Juodasis geležies oksidas (E172)</w:t>
      </w:r>
    </w:p>
    <w:p w14:paraId="7BB6A1EC"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Raudonasis geležies oksidas (E172)</w:t>
      </w:r>
    </w:p>
    <w:p w14:paraId="286ED7F1"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Titano dioksidas (E171)</w:t>
      </w:r>
    </w:p>
    <w:p w14:paraId="3F5F001C"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Geltonasis geležies oksidas (E172)</w:t>
      </w:r>
    </w:p>
    <w:p w14:paraId="3A93F78E"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Želatina</w:t>
      </w:r>
    </w:p>
    <w:p w14:paraId="598CE411" w14:textId="77777777" w:rsidR="00602606" w:rsidRDefault="00602606">
      <w:pPr>
        <w:widowControl w:val="0"/>
        <w:contextualSpacing/>
        <w:outlineLvl w:val="0"/>
        <w:rPr>
          <w:rFonts w:eastAsia="Calibri"/>
          <w:sz w:val="22"/>
          <w:szCs w:val="22"/>
        </w:rPr>
      </w:pPr>
    </w:p>
    <w:p w14:paraId="0D164615" w14:textId="77777777" w:rsidR="00602606" w:rsidRDefault="00604AEE">
      <w:pPr>
        <w:widowControl w:val="0"/>
        <w:contextualSpacing/>
        <w:outlineLvl w:val="0"/>
        <w:rPr>
          <w:rFonts w:asciiTheme="minorHAnsi" w:eastAsia="Calibri" w:hAnsiTheme="minorHAnsi" w:cstheme="minorBidi"/>
          <w:sz w:val="22"/>
          <w:szCs w:val="22"/>
          <w:u w:val="single"/>
          <w:lang w:val="lt-LT" w:eastAsia="en-US"/>
        </w:rPr>
      </w:pPr>
      <w:r>
        <w:rPr>
          <w:rFonts w:eastAsia="Calibri"/>
          <w:sz w:val="22"/>
          <w:szCs w:val="22"/>
          <w:u w:val="single"/>
        </w:rPr>
        <w:t>Dutasterido minkštosios kapsulės turinys</w:t>
      </w:r>
    </w:p>
    <w:p w14:paraId="2A8B484E"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Propilenglikolio monokaprilatas, II tipo</w:t>
      </w:r>
    </w:p>
    <w:p w14:paraId="3C61A669"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sz w:val="22"/>
          <w:szCs w:val="22"/>
        </w:rPr>
        <w:t>Butilhidroksitoluenas</w:t>
      </w:r>
      <w:r>
        <w:rPr>
          <w:rFonts w:eastAsia="Calibri"/>
          <w:sz w:val="22"/>
          <w:szCs w:val="22"/>
        </w:rPr>
        <w:t xml:space="preserve"> (E321)</w:t>
      </w:r>
    </w:p>
    <w:p w14:paraId="0939EE54" w14:textId="77777777" w:rsidR="00602606" w:rsidRDefault="00602606">
      <w:pPr>
        <w:widowControl w:val="0"/>
        <w:contextualSpacing/>
        <w:outlineLvl w:val="0"/>
        <w:rPr>
          <w:rFonts w:eastAsia="Calibri"/>
          <w:sz w:val="22"/>
          <w:szCs w:val="22"/>
        </w:rPr>
      </w:pPr>
    </w:p>
    <w:p w14:paraId="0E78BA60" w14:textId="77777777" w:rsidR="00602606" w:rsidRDefault="00604AEE">
      <w:pPr>
        <w:widowControl w:val="0"/>
        <w:contextualSpacing/>
        <w:outlineLvl w:val="0"/>
        <w:rPr>
          <w:rFonts w:asciiTheme="minorHAnsi" w:eastAsia="Calibri" w:hAnsiTheme="minorHAnsi" w:cstheme="minorBidi"/>
          <w:sz w:val="22"/>
          <w:szCs w:val="22"/>
          <w:u w:val="single"/>
          <w:lang w:val="lt-LT" w:eastAsia="en-US"/>
        </w:rPr>
      </w:pPr>
      <w:r>
        <w:rPr>
          <w:rFonts w:eastAsia="Calibri"/>
          <w:sz w:val="22"/>
          <w:szCs w:val="22"/>
          <w:u w:val="single"/>
        </w:rPr>
        <w:t>Minkštosios kapsulės apvalkalas</w:t>
      </w:r>
    </w:p>
    <w:p w14:paraId="4892AEA5"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Želatina</w:t>
      </w:r>
    </w:p>
    <w:p w14:paraId="3E42CB81"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Glicerolis</w:t>
      </w:r>
    </w:p>
    <w:p w14:paraId="2385EC5B"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Titano dioksidas (E171)</w:t>
      </w:r>
    </w:p>
    <w:p w14:paraId="63C92663"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Vidutinės g</w:t>
      </w:r>
      <w:r w:rsidRPr="001F276A">
        <w:rPr>
          <w:rFonts w:eastAsia="Calibri"/>
          <w:sz w:val="22"/>
        </w:rPr>
        <w:t>randinės trigliceridai</w:t>
      </w:r>
    </w:p>
    <w:p w14:paraId="36D2A12C" w14:textId="77777777" w:rsidR="00602606" w:rsidRDefault="00604AEE">
      <w:pPr>
        <w:widowControl w:val="0"/>
        <w:contextualSpacing/>
        <w:outlineLvl w:val="0"/>
        <w:rPr>
          <w:rFonts w:eastAsia="Calibri"/>
          <w:sz w:val="22"/>
          <w:szCs w:val="22"/>
        </w:rPr>
      </w:pPr>
      <w:r>
        <w:rPr>
          <w:rFonts w:eastAsia="Calibri"/>
          <w:sz w:val="22"/>
          <w:szCs w:val="22"/>
        </w:rPr>
        <w:t>Lecitinas (sudėtyje gali būti sojų aliejaus)</w:t>
      </w:r>
    </w:p>
    <w:p w14:paraId="497DDC77" w14:textId="77777777" w:rsidR="00602606" w:rsidRDefault="00602606">
      <w:pPr>
        <w:widowControl w:val="0"/>
        <w:contextualSpacing/>
        <w:outlineLvl w:val="0"/>
        <w:rPr>
          <w:rFonts w:eastAsia="Calibri"/>
          <w:sz w:val="22"/>
          <w:szCs w:val="22"/>
        </w:rPr>
      </w:pPr>
    </w:p>
    <w:p w14:paraId="7C7FA601" w14:textId="77777777" w:rsidR="00602606" w:rsidRDefault="00604AEE">
      <w:pPr>
        <w:widowControl w:val="0"/>
        <w:contextualSpacing/>
        <w:outlineLvl w:val="0"/>
        <w:rPr>
          <w:rFonts w:asciiTheme="minorHAnsi" w:eastAsia="Calibri" w:hAnsiTheme="minorHAnsi" w:cstheme="minorBidi"/>
          <w:sz w:val="22"/>
          <w:szCs w:val="22"/>
          <w:u w:val="single"/>
          <w:lang w:val="lt-LT" w:eastAsia="en-US"/>
        </w:rPr>
      </w:pPr>
      <w:r>
        <w:rPr>
          <w:rFonts w:eastAsia="Calibri"/>
          <w:sz w:val="22"/>
          <w:szCs w:val="22"/>
          <w:u w:val="single"/>
        </w:rPr>
        <w:t>Tamsulozino granulės</w:t>
      </w:r>
    </w:p>
    <w:p w14:paraId="48108054"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Metakrilo rūgšties ir etilakrilato 1:1 kopolimero 30 % dispersija (sudėtyje yra natrio laurilsulfato, polisorbato 80)</w:t>
      </w:r>
    </w:p>
    <w:p w14:paraId="3C17FC0B"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Mikrokristalinė celiuliozė</w:t>
      </w:r>
    </w:p>
    <w:p w14:paraId="7F2D108D"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 xml:space="preserve">Dibutilo </w:t>
      </w:r>
      <w:r w:rsidRPr="001F276A">
        <w:rPr>
          <w:rFonts w:eastAsia="Calibri"/>
          <w:sz w:val="22"/>
        </w:rPr>
        <w:t>sebakatas</w:t>
      </w:r>
    </w:p>
    <w:p w14:paraId="7EE0FA43"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Polisorbatas 80</w:t>
      </w:r>
    </w:p>
    <w:p w14:paraId="17EDE516"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Hidratuotas koloidinis silicio dioksidas</w:t>
      </w:r>
    </w:p>
    <w:p w14:paraId="1C7A4381"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Kalcio stearatas</w:t>
      </w:r>
    </w:p>
    <w:p w14:paraId="197C5C6B" w14:textId="77777777" w:rsidR="00602606" w:rsidRDefault="00602606">
      <w:pPr>
        <w:widowControl w:val="0"/>
        <w:contextualSpacing/>
        <w:outlineLvl w:val="0"/>
        <w:rPr>
          <w:rFonts w:eastAsia="Calibri"/>
          <w:sz w:val="22"/>
          <w:szCs w:val="22"/>
        </w:rPr>
      </w:pPr>
    </w:p>
    <w:p w14:paraId="52F24352" w14:textId="77777777" w:rsidR="00602606" w:rsidRDefault="00604AEE">
      <w:pPr>
        <w:widowControl w:val="0"/>
        <w:contextualSpacing/>
        <w:outlineLvl w:val="0"/>
        <w:rPr>
          <w:rFonts w:asciiTheme="minorHAnsi" w:eastAsia="Calibri" w:hAnsiTheme="minorHAnsi" w:cstheme="minorBidi"/>
          <w:sz w:val="22"/>
          <w:szCs w:val="22"/>
          <w:u w:val="single"/>
          <w:lang w:val="lt-LT" w:eastAsia="en-US"/>
        </w:rPr>
      </w:pPr>
      <w:r>
        <w:rPr>
          <w:rFonts w:eastAsia="Calibri"/>
          <w:sz w:val="22"/>
          <w:szCs w:val="22"/>
          <w:u w:val="single"/>
        </w:rPr>
        <w:t>Juodas rašalas</w:t>
      </w:r>
    </w:p>
    <w:p w14:paraId="330D8173"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Šelakas (E904)</w:t>
      </w:r>
    </w:p>
    <w:p w14:paraId="282BD865"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Juodasis geležies oksidas (E172)</w:t>
      </w:r>
    </w:p>
    <w:p w14:paraId="35195656"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Propilenglikolis (E1520)</w:t>
      </w:r>
    </w:p>
    <w:p w14:paraId="2811EB33"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Koncentruotas amoniako tirpalas (E527)</w:t>
      </w:r>
    </w:p>
    <w:p w14:paraId="5278C1B8"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Kalio hidroksidas (E525)</w:t>
      </w:r>
    </w:p>
    <w:p w14:paraId="7DAC808A" w14:textId="77777777" w:rsidR="00602606" w:rsidRDefault="00602606">
      <w:pPr>
        <w:widowControl w:val="0"/>
        <w:contextualSpacing/>
        <w:outlineLvl w:val="0"/>
        <w:rPr>
          <w:rFonts w:eastAsia="Calibri"/>
          <w:sz w:val="22"/>
          <w:szCs w:val="22"/>
        </w:rPr>
      </w:pPr>
    </w:p>
    <w:p w14:paraId="5DCC2006" w14:textId="77777777" w:rsidR="00602606" w:rsidRDefault="00604AEE">
      <w:pPr>
        <w:widowControl w:val="0"/>
        <w:ind w:left="567" w:hanging="567"/>
        <w:rPr>
          <w:rFonts w:asciiTheme="minorHAnsi" w:eastAsia="Calibri" w:hAnsiTheme="minorHAnsi" w:cstheme="minorBidi"/>
          <w:b/>
          <w:sz w:val="22"/>
          <w:szCs w:val="22"/>
          <w:lang w:val="lt-LT" w:eastAsia="en-US"/>
        </w:rPr>
      </w:pPr>
      <w:r>
        <w:rPr>
          <w:rFonts w:eastAsia="Calibri"/>
          <w:b/>
          <w:sz w:val="22"/>
          <w:szCs w:val="22"/>
        </w:rPr>
        <w:t>6.2</w:t>
      </w:r>
      <w:r>
        <w:rPr>
          <w:rFonts w:eastAsia="Calibri"/>
          <w:b/>
          <w:sz w:val="22"/>
          <w:szCs w:val="22"/>
        </w:rPr>
        <w:tab/>
        <w:t>Nesuderinamumas</w:t>
      </w:r>
    </w:p>
    <w:p w14:paraId="7AF5639D" w14:textId="77777777" w:rsidR="00602606" w:rsidRDefault="00602606">
      <w:pPr>
        <w:widowControl w:val="0"/>
        <w:contextualSpacing/>
        <w:outlineLvl w:val="0"/>
        <w:rPr>
          <w:rFonts w:eastAsia="Calibri"/>
          <w:sz w:val="22"/>
          <w:szCs w:val="22"/>
        </w:rPr>
      </w:pPr>
    </w:p>
    <w:p w14:paraId="32FB6B48"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Duomenys nebūtini.</w:t>
      </w:r>
    </w:p>
    <w:p w14:paraId="724F7CB3" w14:textId="77777777" w:rsidR="00602606" w:rsidRDefault="00602606">
      <w:pPr>
        <w:widowControl w:val="0"/>
        <w:contextualSpacing/>
        <w:outlineLvl w:val="0"/>
        <w:rPr>
          <w:rFonts w:eastAsia="Calibri"/>
          <w:sz w:val="22"/>
          <w:szCs w:val="22"/>
        </w:rPr>
      </w:pPr>
    </w:p>
    <w:p w14:paraId="6E6FCD2B" w14:textId="77777777" w:rsidR="00602606" w:rsidRDefault="00604AEE">
      <w:pPr>
        <w:widowControl w:val="0"/>
        <w:ind w:left="567" w:hanging="567"/>
        <w:rPr>
          <w:rFonts w:asciiTheme="minorHAnsi" w:eastAsia="Calibri" w:hAnsiTheme="minorHAnsi" w:cstheme="minorBidi"/>
          <w:b/>
          <w:sz w:val="22"/>
          <w:szCs w:val="22"/>
          <w:lang w:val="lt-LT" w:eastAsia="en-US"/>
        </w:rPr>
      </w:pPr>
      <w:r>
        <w:rPr>
          <w:rFonts w:eastAsia="Calibri"/>
          <w:b/>
          <w:sz w:val="22"/>
          <w:szCs w:val="22"/>
        </w:rPr>
        <w:t>6.3</w:t>
      </w:r>
      <w:r>
        <w:rPr>
          <w:rFonts w:eastAsia="Calibri"/>
          <w:b/>
          <w:sz w:val="22"/>
          <w:szCs w:val="22"/>
        </w:rPr>
        <w:tab/>
        <w:t>Tinkamumo laikas</w:t>
      </w:r>
    </w:p>
    <w:p w14:paraId="521EEB6C" w14:textId="77777777" w:rsidR="00602606" w:rsidRDefault="00602606">
      <w:pPr>
        <w:widowControl w:val="0"/>
        <w:contextualSpacing/>
        <w:outlineLvl w:val="0"/>
        <w:rPr>
          <w:rFonts w:eastAsia="Calibri"/>
          <w:sz w:val="22"/>
          <w:szCs w:val="22"/>
        </w:rPr>
      </w:pPr>
    </w:p>
    <w:p w14:paraId="073A715E"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2 metai.</w:t>
      </w:r>
    </w:p>
    <w:p w14:paraId="681BE289" w14:textId="77777777" w:rsidR="00602606" w:rsidRDefault="00602606">
      <w:pPr>
        <w:widowControl w:val="0"/>
        <w:contextualSpacing/>
        <w:outlineLvl w:val="0"/>
        <w:rPr>
          <w:rFonts w:eastAsia="Calibri"/>
          <w:b/>
          <w:sz w:val="22"/>
          <w:szCs w:val="22"/>
        </w:rPr>
      </w:pPr>
    </w:p>
    <w:p w14:paraId="10CE953D" w14:textId="77777777" w:rsidR="00602606" w:rsidRDefault="00604AEE">
      <w:pPr>
        <w:widowControl w:val="0"/>
        <w:ind w:left="567" w:hanging="567"/>
        <w:rPr>
          <w:rFonts w:asciiTheme="minorHAnsi" w:eastAsia="Calibri" w:hAnsiTheme="minorHAnsi" w:cstheme="minorBidi"/>
          <w:b/>
          <w:sz w:val="22"/>
          <w:szCs w:val="22"/>
          <w:lang w:val="lt-LT" w:eastAsia="en-US"/>
        </w:rPr>
      </w:pPr>
      <w:r>
        <w:rPr>
          <w:rFonts w:eastAsia="Calibri"/>
          <w:b/>
          <w:sz w:val="22"/>
          <w:szCs w:val="22"/>
        </w:rPr>
        <w:t>6.4</w:t>
      </w:r>
      <w:r>
        <w:rPr>
          <w:rFonts w:eastAsia="Calibri"/>
          <w:b/>
          <w:sz w:val="22"/>
          <w:szCs w:val="22"/>
        </w:rPr>
        <w:tab/>
        <w:t>Specialios laikymo sąlygos</w:t>
      </w:r>
    </w:p>
    <w:p w14:paraId="603FF51D" w14:textId="77777777" w:rsidR="00602606" w:rsidRDefault="00602606">
      <w:pPr>
        <w:widowControl w:val="0"/>
        <w:contextualSpacing/>
        <w:outlineLvl w:val="0"/>
        <w:rPr>
          <w:rFonts w:eastAsia="Calibri"/>
          <w:sz w:val="22"/>
          <w:szCs w:val="22"/>
        </w:rPr>
      </w:pPr>
    </w:p>
    <w:p w14:paraId="10AB3CF8"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Šiam vaistiniam preparatui specialių laikymo sąlygų nereikia.</w:t>
      </w:r>
    </w:p>
    <w:p w14:paraId="144EAAFF" w14:textId="77777777" w:rsidR="00602606" w:rsidRDefault="00602606">
      <w:pPr>
        <w:widowControl w:val="0"/>
        <w:contextualSpacing/>
        <w:outlineLvl w:val="0"/>
        <w:rPr>
          <w:rFonts w:eastAsia="Calibri"/>
          <w:sz w:val="22"/>
          <w:szCs w:val="22"/>
        </w:rPr>
      </w:pPr>
    </w:p>
    <w:p w14:paraId="2902B541" w14:textId="77777777" w:rsidR="00602606" w:rsidRDefault="00604AEE">
      <w:pPr>
        <w:widowControl w:val="0"/>
        <w:ind w:left="567" w:hanging="567"/>
        <w:rPr>
          <w:rFonts w:asciiTheme="minorHAnsi" w:eastAsia="Calibri" w:hAnsiTheme="minorHAnsi" w:cstheme="minorBidi"/>
          <w:b/>
          <w:sz w:val="22"/>
          <w:szCs w:val="22"/>
          <w:lang w:val="lt-LT" w:eastAsia="en-US"/>
        </w:rPr>
      </w:pPr>
      <w:r>
        <w:rPr>
          <w:rFonts w:eastAsia="Calibri"/>
          <w:b/>
          <w:sz w:val="22"/>
          <w:szCs w:val="22"/>
        </w:rPr>
        <w:t>6.5</w:t>
      </w:r>
      <w:r>
        <w:rPr>
          <w:rFonts w:eastAsia="Calibri"/>
          <w:b/>
          <w:sz w:val="22"/>
          <w:szCs w:val="22"/>
        </w:rPr>
        <w:tab/>
        <w:t>Talpyklės pobūdis ir jos</w:t>
      </w:r>
      <w:r w:rsidRPr="001F276A">
        <w:rPr>
          <w:rFonts w:eastAsia="Calibri"/>
          <w:sz w:val="22"/>
        </w:rPr>
        <w:t xml:space="preserve"> </w:t>
      </w:r>
      <w:r>
        <w:rPr>
          <w:rFonts w:eastAsia="Calibri"/>
          <w:b/>
          <w:sz w:val="22"/>
          <w:szCs w:val="22"/>
        </w:rPr>
        <w:t>turinys</w:t>
      </w:r>
    </w:p>
    <w:p w14:paraId="67F0566D" w14:textId="77777777" w:rsidR="00602606" w:rsidRDefault="00602606">
      <w:pPr>
        <w:widowControl w:val="0"/>
        <w:rPr>
          <w:rFonts w:eastAsia="Calibri"/>
          <w:sz w:val="22"/>
          <w:szCs w:val="22"/>
        </w:rPr>
      </w:pPr>
    </w:p>
    <w:p w14:paraId="0A308F4F"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 xml:space="preserve">DTPE buteliukas su silikagelio </w:t>
      </w:r>
      <w:r w:rsidRPr="001F276A">
        <w:rPr>
          <w:rFonts w:eastAsia="Calibri"/>
          <w:sz w:val="22"/>
        </w:rPr>
        <w:t>sausikliu, esančiu polipropileno dangtelyje.</w:t>
      </w:r>
    </w:p>
    <w:p w14:paraId="03F678E8" w14:textId="77777777" w:rsidR="00602606" w:rsidRDefault="00602606">
      <w:pPr>
        <w:widowControl w:val="0"/>
        <w:contextualSpacing/>
        <w:outlineLvl w:val="0"/>
        <w:rPr>
          <w:rFonts w:eastAsia="Calibri"/>
          <w:sz w:val="22"/>
          <w:szCs w:val="22"/>
        </w:rPr>
      </w:pPr>
    </w:p>
    <w:p w14:paraId="21892065"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7 kietosios kapsulės 35 ml buteliuke.</w:t>
      </w:r>
    </w:p>
    <w:p w14:paraId="24AC7A71"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30 kietųjų kapsulių 100 ml buteliuke.</w:t>
      </w:r>
    </w:p>
    <w:p w14:paraId="07E1F9ED"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90 kietųjų kapsulių 250 ml buteliuke.</w:t>
      </w:r>
    </w:p>
    <w:p w14:paraId="033DA768" w14:textId="77777777" w:rsidR="00602606" w:rsidRDefault="00602606">
      <w:pPr>
        <w:widowControl w:val="0"/>
        <w:contextualSpacing/>
        <w:outlineLvl w:val="0"/>
        <w:rPr>
          <w:rFonts w:eastAsia="Calibri"/>
          <w:sz w:val="22"/>
          <w:szCs w:val="22"/>
        </w:rPr>
      </w:pPr>
    </w:p>
    <w:p w14:paraId="6F4BFDFF"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Gali būti tiekiamos ne visų dydžių pakuotės.</w:t>
      </w:r>
    </w:p>
    <w:p w14:paraId="515C08D6" w14:textId="77777777" w:rsidR="00602606" w:rsidRDefault="00602606">
      <w:pPr>
        <w:widowControl w:val="0"/>
        <w:contextualSpacing/>
        <w:outlineLvl w:val="0"/>
        <w:rPr>
          <w:rFonts w:eastAsia="Calibri"/>
          <w:sz w:val="22"/>
          <w:szCs w:val="22"/>
        </w:rPr>
      </w:pPr>
    </w:p>
    <w:p w14:paraId="52CBEB8F" w14:textId="77777777" w:rsidR="00602606" w:rsidRDefault="00604AEE">
      <w:pPr>
        <w:widowControl w:val="0"/>
        <w:ind w:left="567" w:hanging="567"/>
        <w:rPr>
          <w:rFonts w:asciiTheme="minorHAnsi" w:eastAsia="Calibri" w:hAnsiTheme="minorHAnsi" w:cstheme="minorBidi"/>
          <w:sz w:val="22"/>
          <w:szCs w:val="22"/>
          <w:lang w:val="lt-LT" w:eastAsia="en-US"/>
        </w:rPr>
      </w:pPr>
      <w:r>
        <w:rPr>
          <w:rFonts w:eastAsia="Calibri"/>
          <w:b/>
          <w:sz w:val="22"/>
          <w:szCs w:val="22"/>
        </w:rPr>
        <w:t>6.6</w:t>
      </w:r>
      <w:r>
        <w:rPr>
          <w:rFonts w:eastAsia="Calibri"/>
          <w:b/>
          <w:sz w:val="22"/>
          <w:szCs w:val="22"/>
        </w:rPr>
        <w:tab/>
        <w:t>Specialūs reikalavimai atliekoms tvarkyti ir vaistiniam preparatui ruošti</w:t>
      </w:r>
    </w:p>
    <w:p w14:paraId="7418A36A" w14:textId="77777777" w:rsidR="00602606" w:rsidRDefault="00602606">
      <w:pPr>
        <w:widowControl w:val="0"/>
        <w:contextualSpacing/>
        <w:outlineLvl w:val="0"/>
        <w:rPr>
          <w:rFonts w:eastAsia="Calibri"/>
          <w:sz w:val="22"/>
          <w:szCs w:val="22"/>
        </w:rPr>
      </w:pPr>
    </w:p>
    <w:p w14:paraId="70420ADF"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 xml:space="preserve">Dutasteridas absorbuojamas per odą, todėl reikia </w:t>
      </w:r>
      <w:r w:rsidRPr="001F276A">
        <w:rPr>
          <w:rFonts w:eastAsia="Calibri"/>
          <w:sz w:val="22"/>
        </w:rPr>
        <w:t>vengti sąlyčio su pažeistomis kapsulėmis. Prisilietus prie pažeistų kapsulių, lietimosi vietą reikia nedelsiant nuplauti muilu ir vandeniu (žr. 4.4 skyrių).</w:t>
      </w:r>
    </w:p>
    <w:p w14:paraId="30A80679" w14:textId="77777777" w:rsidR="00602606" w:rsidRDefault="00602606">
      <w:pPr>
        <w:widowControl w:val="0"/>
        <w:contextualSpacing/>
        <w:outlineLvl w:val="0"/>
        <w:rPr>
          <w:rFonts w:eastAsia="Calibri"/>
          <w:sz w:val="22"/>
          <w:szCs w:val="22"/>
        </w:rPr>
      </w:pPr>
    </w:p>
    <w:p w14:paraId="390D145E"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Nesuvartotą vaistinį preparatą ar atliekas reikia tvarkyti laikantis vietinių reikalavimų.</w:t>
      </w:r>
    </w:p>
    <w:p w14:paraId="45D32DC5" w14:textId="77777777" w:rsidR="00602606" w:rsidRDefault="00602606">
      <w:pPr>
        <w:widowControl w:val="0"/>
        <w:contextualSpacing/>
        <w:outlineLvl w:val="0"/>
        <w:rPr>
          <w:rFonts w:eastAsia="Calibri"/>
          <w:sz w:val="22"/>
          <w:szCs w:val="22"/>
        </w:rPr>
      </w:pPr>
    </w:p>
    <w:p w14:paraId="518FAD51" w14:textId="77777777" w:rsidR="00602606" w:rsidRDefault="00602606">
      <w:pPr>
        <w:widowControl w:val="0"/>
        <w:contextualSpacing/>
        <w:outlineLvl w:val="0"/>
        <w:rPr>
          <w:rFonts w:eastAsia="Calibri"/>
          <w:sz w:val="22"/>
          <w:szCs w:val="22"/>
        </w:rPr>
      </w:pPr>
    </w:p>
    <w:p w14:paraId="0FF8D299" w14:textId="77777777" w:rsidR="00602606" w:rsidRDefault="00604AEE">
      <w:pPr>
        <w:widowControl w:val="0"/>
        <w:ind w:left="567" w:hanging="567"/>
        <w:rPr>
          <w:rFonts w:asciiTheme="minorHAnsi" w:eastAsia="Calibri" w:hAnsiTheme="minorHAnsi" w:cstheme="minorBidi"/>
          <w:b/>
          <w:sz w:val="22"/>
          <w:szCs w:val="22"/>
          <w:lang w:val="lt-LT" w:eastAsia="en-US"/>
        </w:rPr>
      </w:pPr>
      <w:r>
        <w:rPr>
          <w:rFonts w:eastAsia="Calibri"/>
          <w:b/>
          <w:sz w:val="22"/>
          <w:szCs w:val="22"/>
        </w:rPr>
        <w:t>7.</w:t>
      </w:r>
      <w:r>
        <w:rPr>
          <w:rFonts w:eastAsia="Calibri"/>
          <w:b/>
          <w:sz w:val="22"/>
          <w:szCs w:val="22"/>
        </w:rPr>
        <w:tab/>
        <w:t>REGISTRUOTOJAS</w:t>
      </w:r>
    </w:p>
    <w:p w14:paraId="57B3E6B6" w14:textId="77777777" w:rsidR="00602606" w:rsidRDefault="00602606">
      <w:pPr>
        <w:widowControl w:val="0"/>
        <w:contextualSpacing/>
        <w:outlineLvl w:val="0"/>
        <w:rPr>
          <w:rFonts w:eastAsia="Calibri"/>
          <w:sz w:val="22"/>
          <w:szCs w:val="22"/>
        </w:rPr>
      </w:pPr>
    </w:p>
    <w:p w14:paraId="2BA6B7A0" w14:textId="77777777" w:rsidR="00602606" w:rsidRDefault="00604AEE">
      <w:pPr>
        <w:widowControl w:val="0"/>
        <w:contextualSpacing/>
        <w:outlineLvl w:val="0"/>
        <w:rPr>
          <w:rFonts w:eastAsia="Calibri"/>
          <w:sz w:val="22"/>
          <w:szCs w:val="22"/>
        </w:rPr>
      </w:pPr>
      <w:r>
        <w:rPr>
          <w:rFonts w:eastAsia="Calibri"/>
          <w:sz w:val="22"/>
          <w:szCs w:val="22"/>
        </w:rPr>
        <w:t>KRKA, d.d., Novo mesto</w:t>
      </w:r>
    </w:p>
    <w:p w14:paraId="35DF30FE"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Šmarješka cesta 6</w:t>
      </w:r>
    </w:p>
    <w:p w14:paraId="4E675F22"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8501 Novo mesto</w:t>
      </w:r>
    </w:p>
    <w:p w14:paraId="6EB9738A"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Slovėnija</w:t>
      </w:r>
    </w:p>
    <w:p w14:paraId="5B926D51" w14:textId="77777777" w:rsidR="00602606" w:rsidRDefault="00602606">
      <w:pPr>
        <w:widowControl w:val="0"/>
        <w:contextualSpacing/>
        <w:outlineLvl w:val="0"/>
        <w:rPr>
          <w:rFonts w:eastAsia="Calibri"/>
          <w:sz w:val="22"/>
          <w:szCs w:val="22"/>
        </w:rPr>
      </w:pPr>
    </w:p>
    <w:p w14:paraId="1B78A3C1" w14:textId="77777777" w:rsidR="00602606" w:rsidRDefault="00602606">
      <w:pPr>
        <w:widowControl w:val="0"/>
        <w:contextualSpacing/>
        <w:outlineLvl w:val="0"/>
        <w:rPr>
          <w:rFonts w:eastAsia="Calibri"/>
          <w:sz w:val="22"/>
          <w:szCs w:val="22"/>
        </w:rPr>
      </w:pPr>
    </w:p>
    <w:p w14:paraId="7E2EE918" w14:textId="77777777" w:rsidR="00602606" w:rsidRDefault="00604AEE">
      <w:pPr>
        <w:widowControl w:val="0"/>
        <w:ind w:left="567" w:hanging="567"/>
        <w:rPr>
          <w:rFonts w:asciiTheme="minorHAnsi" w:eastAsia="Calibri" w:hAnsiTheme="minorHAnsi" w:cstheme="minorBidi"/>
          <w:b/>
          <w:sz w:val="22"/>
          <w:szCs w:val="22"/>
          <w:lang w:val="lt-LT" w:eastAsia="en-US"/>
        </w:rPr>
      </w:pPr>
      <w:r>
        <w:rPr>
          <w:rFonts w:eastAsia="Calibri"/>
          <w:b/>
          <w:sz w:val="22"/>
          <w:szCs w:val="22"/>
        </w:rPr>
        <w:t>8.</w:t>
      </w:r>
      <w:r>
        <w:rPr>
          <w:rFonts w:eastAsia="Calibri"/>
          <w:b/>
          <w:sz w:val="22"/>
          <w:szCs w:val="22"/>
        </w:rPr>
        <w:tab/>
        <w:t>REGISTRACIJOS PAŽYMĖJIMO NUMERIS (-IAI)</w:t>
      </w:r>
    </w:p>
    <w:p w14:paraId="68B13095" w14:textId="77777777" w:rsidR="00602606" w:rsidRDefault="00602606">
      <w:pPr>
        <w:widowControl w:val="0"/>
        <w:contextualSpacing/>
        <w:outlineLvl w:val="0"/>
        <w:rPr>
          <w:rFonts w:eastAsia="Calibri"/>
          <w:i/>
          <w:sz w:val="22"/>
          <w:szCs w:val="22"/>
        </w:rPr>
      </w:pPr>
    </w:p>
    <w:p w14:paraId="70A1AF80" w14:textId="77777777" w:rsidR="00602606" w:rsidRDefault="00604AEE">
      <w:pPr>
        <w:rPr>
          <w:rFonts w:asciiTheme="minorHAnsi" w:eastAsiaTheme="minorHAnsi" w:hAnsiTheme="minorHAnsi" w:cstheme="minorBidi"/>
          <w:sz w:val="22"/>
          <w:szCs w:val="22"/>
          <w:lang w:val="lt-LT" w:eastAsia="en-US"/>
        </w:rPr>
      </w:pPr>
      <w:r>
        <w:rPr>
          <w:sz w:val="22"/>
          <w:szCs w:val="22"/>
          <w:lang w:val="lt-LT"/>
        </w:rPr>
        <w:t>LT/1/19/4469/001 – N7</w:t>
      </w:r>
    </w:p>
    <w:p w14:paraId="05D6A682" w14:textId="77777777" w:rsidR="00602606" w:rsidRDefault="00604AEE">
      <w:pPr>
        <w:rPr>
          <w:rFonts w:asciiTheme="minorHAnsi" w:eastAsiaTheme="minorHAnsi" w:hAnsiTheme="minorHAnsi" w:cstheme="minorBidi"/>
          <w:sz w:val="22"/>
          <w:szCs w:val="22"/>
          <w:lang w:val="lt-LT" w:eastAsia="en-US"/>
        </w:rPr>
      </w:pPr>
      <w:r>
        <w:rPr>
          <w:sz w:val="22"/>
          <w:szCs w:val="22"/>
          <w:lang w:val="lt-LT"/>
        </w:rPr>
        <w:t>LT/1/19/4469/002 – N30</w:t>
      </w:r>
    </w:p>
    <w:p w14:paraId="16BE7703" w14:textId="77777777" w:rsidR="00602606" w:rsidRDefault="00604AEE">
      <w:pPr>
        <w:widowControl w:val="0"/>
        <w:contextualSpacing/>
        <w:outlineLvl w:val="0"/>
        <w:rPr>
          <w:rFonts w:asciiTheme="minorHAnsi" w:eastAsiaTheme="minorHAnsi" w:hAnsiTheme="minorHAnsi" w:cstheme="minorBidi"/>
          <w:sz w:val="22"/>
          <w:szCs w:val="22"/>
          <w:lang w:val="lt-LT" w:eastAsia="en-US"/>
        </w:rPr>
      </w:pPr>
      <w:r>
        <w:rPr>
          <w:sz w:val="22"/>
          <w:szCs w:val="22"/>
          <w:lang w:val="lt-LT"/>
        </w:rPr>
        <w:t>LT/1/19/4469/003 – N90</w:t>
      </w:r>
    </w:p>
    <w:p w14:paraId="23E860E5" w14:textId="77777777" w:rsidR="00602606" w:rsidRDefault="00602606">
      <w:pPr>
        <w:widowControl w:val="0"/>
        <w:contextualSpacing/>
        <w:outlineLvl w:val="0"/>
        <w:rPr>
          <w:sz w:val="22"/>
          <w:szCs w:val="22"/>
          <w:lang w:val="lt-LT"/>
        </w:rPr>
      </w:pPr>
    </w:p>
    <w:p w14:paraId="24D9EA83" w14:textId="77777777" w:rsidR="00602606" w:rsidRDefault="00602606">
      <w:pPr>
        <w:widowControl w:val="0"/>
        <w:contextualSpacing/>
        <w:outlineLvl w:val="0"/>
        <w:rPr>
          <w:rFonts w:eastAsia="Calibri"/>
          <w:sz w:val="22"/>
          <w:szCs w:val="22"/>
        </w:rPr>
      </w:pPr>
    </w:p>
    <w:p w14:paraId="57067BB4" w14:textId="77777777" w:rsidR="00602606" w:rsidRDefault="00604AEE">
      <w:pPr>
        <w:widowControl w:val="0"/>
        <w:ind w:left="567" w:hanging="567"/>
        <w:rPr>
          <w:rFonts w:asciiTheme="minorHAnsi" w:eastAsia="Calibri" w:hAnsiTheme="minorHAnsi" w:cstheme="minorBidi"/>
          <w:b/>
          <w:sz w:val="22"/>
          <w:szCs w:val="22"/>
          <w:lang w:val="lt-LT" w:eastAsia="en-US"/>
        </w:rPr>
      </w:pPr>
      <w:r>
        <w:rPr>
          <w:rFonts w:eastAsia="Calibri"/>
          <w:b/>
          <w:sz w:val="22"/>
          <w:szCs w:val="22"/>
        </w:rPr>
        <w:t>9.</w:t>
      </w:r>
      <w:r>
        <w:rPr>
          <w:rFonts w:eastAsia="Calibri"/>
          <w:b/>
          <w:sz w:val="22"/>
          <w:szCs w:val="22"/>
        </w:rPr>
        <w:tab/>
        <w:t>REGISTRAVIMO / PERREGISTRA</w:t>
      </w:r>
      <w:r w:rsidRPr="001F276A">
        <w:rPr>
          <w:rFonts w:eastAsia="Calibri"/>
          <w:b/>
          <w:sz w:val="22"/>
        </w:rPr>
        <w:t>VIMO DATA</w:t>
      </w:r>
    </w:p>
    <w:p w14:paraId="2EC4999C" w14:textId="77777777" w:rsidR="00602606" w:rsidRDefault="00602606">
      <w:pPr>
        <w:widowControl w:val="0"/>
        <w:contextualSpacing/>
        <w:outlineLvl w:val="0"/>
        <w:rPr>
          <w:rFonts w:eastAsia="Calibri"/>
          <w:b/>
          <w:sz w:val="22"/>
          <w:szCs w:val="22"/>
        </w:rPr>
      </w:pPr>
    </w:p>
    <w:p w14:paraId="4745BAC1" w14:textId="77777777" w:rsidR="00602606" w:rsidRDefault="00604AEE">
      <w:pPr>
        <w:widowControl w:val="0"/>
        <w:contextualSpacing/>
        <w:outlineLvl w:val="0"/>
        <w:rPr>
          <w:rFonts w:eastAsia="Calibri"/>
          <w:sz w:val="22"/>
          <w:szCs w:val="22"/>
        </w:rPr>
      </w:pPr>
      <w:r>
        <w:rPr>
          <w:rFonts w:eastAsia="Calibri"/>
          <w:sz w:val="22"/>
          <w:szCs w:val="22"/>
        </w:rPr>
        <w:t>Registravimo data 2019 m. spalio 25 d.</w:t>
      </w:r>
    </w:p>
    <w:p w14:paraId="591A6A15"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Perregistravimo data 2024 m. liepos 5 d.</w:t>
      </w:r>
    </w:p>
    <w:p w14:paraId="65649E03" w14:textId="77777777" w:rsidR="00602606" w:rsidRDefault="00602606">
      <w:pPr>
        <w:widowControl w:val="0"/>
        <w:contextualSpacing/>
        <w:outlineLvl w:val="0"/>
        <w:rPr>
          <w:rFonts w:eastAsia="Calibri"/>
          <w:sz w:val="22"/>
          <w:szCs w:val="22"/>
        </w:rPr>
      </w:pPr>
    </w:p>
    <w:p w14:paraId="600ED8FE" w14:textId="77777777" w:rsidR="00602606" w:rsidRDefault="00602606">
      <w:pPr>
        <w:widowControl w:val="0"/>
        <w:contextualSpacing/>
        <w:outlineLvl w:val="0"/>
        <w:rPr>
          <w:rFonts w:eastAsia="Calibri"/>
          <w:sz w:val="22"/>
          <w:szCs w:val="22"/>
        </w:rPr>
      </w:pPr>
    </w:p>
    <w:p w14:paraId="34A76470" w14:textId="77777777" w:rsidR="00602606" w:rsidRDefault="00604AEE">
      <w:pPr>
        <w:widowControl w:val="0"/>
        <w:ind w:left="567" w:hanging="567"/>
        <w:rPr>
          <w:rFonts w:asciiTheme="minorHAnsi" w:eastAsia="Calibri" w:hAnsiTheme="minorHAnsi" w:cstheme="minorBidi"/>
          <w:b/>
          <w:sz w:val="22"/>
          <w:szCs w:val="22"/>
          <w:lang w:val="lt-LT" w:eastAsia="en-US"/>
        </w:rPr>
      </w:pPr>
      <w:r>
        <w:rPr>
          <w:rFonts w:eastAsia="Calibri"/>
          <w:b/>
          <w:sz w:val="22"/>
          <w:szCs w:val="22"/>
        </w:rPr>
        <w:t>10.</w:t>
      </w:r>
      <w:r>
        <w:rPr>
          <w:rFonts w:eastAsia="Calibri"/>
          <w:b/>
          <w:sz w:val="22"/>
          <w:szCs w:val="22"/>
        </w:rPr>
        <w:tab/>
        <w:t>TEKSTO PERŽIŪROS DATA</w:t>
      </w:r>
    </w:p>
    <w:p w14:paraId="14C4E033" w14:textId="77777777" w:rsidR="00602606" w:rsidRDefault="00602606">
      <w:pPr>
        <w:widowControl w:val="0"/>
        <w:contextualSpacing/>
        <w:outlineLvl w:val="0"/>
        <w:rPr>
          <w:rFonts w:eastAsia="Calibri"/>
          <w:sz w:val="22"/>
          <w:szCs w:val="22"/>
        </w:rPr>
      </w:pPr>
    </w:p>
    <w:p w14:paraId="5FD9D141" w14:textId="77777777" w:rsidR="00602606" w:rsidRDefault="00604AEE">
      <w:pPr>
        <w:widowControl w:val="0"/>
        <w:contextualSpacing/>
        <w:outlineLvl w:val="0"/>
        <w:rPr>
          <w:rFonts w:eastAsia="Calibri"/>
          <w:sz w:val="22"/>
          <w:szCs w:val="22"/>
        </w:rPr>
      </w:pPr>
      <w:r>
        <w:rPr>
          <w:rFonts w:eastAsia="Calibri"/>
          <w:sz w:val="22"/>
          <w:szCs w:val="22"/>
        </w:rPr>
        <w:t>2024 m. liepos 5 d.</w:t>
      </w:r>
    </w:p>
    <w:p w14:paraId="423D8474" w14:textId="77777777" w:rsidR="00602606" w:rsidRDefault="00602606">
      <w:pPr>
        <w:widowControl w:val="0"/>
        <w:contextualSpacing/>
        <w:outlineLvl w:val="0"/>
        <w:rPr>
          <w:rFonts w:eastAsia="Calibri"/>
          <w:b/>
          <w:sz w:val="22"/>
          <w:szCs w:val="22"/>
        </w:rPr>
      </w:pPr>
    </w:p>
    <w:p w14:paraId="4D0F27D0" w14:textId="77777777" w:rsidR="00602606" w:rsidRDefault="00602606">
      <w:pPr>
        <w:widowControl w:val="0"/>
        <w:contextualSpacing/>
        <w:outlineLvl w:val="0"/>
        <w:rPr>
          <w:rFonts w:eastAsia="Calibri"/>
          <w:sz w:val="22"/>
          <w:szCs w:val="22"/>
        </w:rPr>
      </w:pPr>
    </w:p>
    <w:p w14:paraId="59772FF3" w14:textId="56FF2DA3" w:rsidR="00602606" w:rsidRDefault="00604AEE">
      <w:pPr>
        <w:widowControl w:val="0"/>
        <w:contextualSpacing/>
        <w:outlineLvl w:val="0"/>
        <w:rPr>
          <w:rFonts w:asciiTheme="minorHAnsi" w:eastAsia="Calibri" w:hAnsiTheme="minorHAnsi" w:cstheme="minorBidi"/>
          <w:b/>
          <w:sz w:val="22"/>
          <w:szCs w:val="22"/>
          <w:lang w:val="lt-LT" w:eastAsia="en-US"/>
        </w:rPr>
      </w:pPr>
      <w:r>
        <w:rPr>
          <w:rFonts w:eastAsia="Calibri"/>
          <w:sz w:val="22"/>
          <w:szCs w:val="22"/>
        </w:rPr>
        <w:t xml:space="preserve">Išsami informacija apie šį vaistinį preparatą pateikiama Valstybinės vaistų kontrolės tarnybos prie Lietuvos Respublikos sveikatos apsaugos ministerijos tinklalapyje </w:t>
      </w:r>
      <w:hyperlink r:id="rId11" w:history="1">
        <w:r>
          <w:rPr>
            <w:rFonts w:eastAsia="Calibri"/>
            <w:color w:val="0000FF"/>
            <w:sz w:val="22"/>
            <w:szCs w:val="22"/>
            <w:u w:val="single"/>
          </w:rPr>
          <w:t>http://www.vvkt.lt/</w:t>
        </w:r>
      </w:hyperlink>
      <w:r w:rsidRPr="001F276A">
        <w:rPr>
          <w:rFonts w:eastAsia="Calibri"/>
          <w:sz w:val="22"/>
        </w:rPr>
        <w:t xml:space="preserve"> </w:t>
      </w:r>
    </w:p>
    <w:p w14:paraId="4C7771DE" w14:textId="77777777" w:rsidR="00602606" w:rsidRDefault="00602606">
      <w:pPr>
        <w:widowControl w:val="0"/>
        <w:contextualSpacing/>
        <w:outlineLvl w:val="0"/>
        <w:rPr>
          <w:rFonts w:eastAsia="Calibri"/>
          <w:b/>
          <w:sz w:val="22"/>
          <w:szCs w:val="22"/>
        </w:rPr>
      </w:pPr>
    </w:p>
    <w:p w14:paraId="586CC465" w14:textId="77777777" w:rsidR="00602606" w:rsidRDefault="00602606">
      <w:pPr>
        <w:widowControl w:val="0"/>
        <w:rPr>
          <w:sz w:val="22"/>
          <w:szCs w:val="22"/>
        </w:rPr>
      </w:pPr>
      <w:bookmarkStart w:id="1" w:name="_Toc129243128"/>
      <w:bookmarkStart w:id="2" w:name="_Toc129243253"/>
    </w:p>
    <w:p w14:paraId="5FB73792" w14:textId="77777777" w:rsidR="00602606" w:rsidRDefault="00602606">
      <w:pPr>
        <w:widowControl w:val="0"/>
        <w:rPr>
          <w:sz w:val="22"/>
          <w:szCs w:val="22"/>
        </w:rPr>
      </w:pPr>
    </w:p>
    <w:p w14:paraId="12DBD6ED" w14:textId="77777777" w:rsidR="00602606" w:rsidRDefault="00602606">
      <w:pPr>
        <w:widowControl w:val="0"/>
        <w:rPr>
          <w:sz w:val="22"/>
          <w:szCs w:val="22"/>
        </w:rPr>
      </w:pPr>
    </w:p>
    <w:p w14:paraId="16D0F161" w14:textId="77777777" w:rsidR="00602606" w:rsidRDefault="00602606">
      <w:pPr>
        <w:widowControl w:val="0"/>
        <w:rPr>
          <w:sz w:val="22"/>
          <w:szCs w:val="22"/>
        </w:rPr>
      </w:pPr>
    </w:p>
    <w:p w14:paraId="68C8E150" w14:textId="77777777" w:rsidR="00602606" w:rsidRDefault="00602606">
      <w:pPr>
        <w:widowControl w:val="0"/>
        <w:rPr>
          <w:sz w:val="22"/>
          <w:szCs w:val="22"/>
        </w:rPr>
      </w:pPr>
    </w:p>
    <w:p w14:paraId="7D78BA69" w14:textId="77777777" w:rsidR="00602606" w:rsidRDefault="00602606">
      <w:pPr>
        <w:widowControl w:val="0"/>
        <w:rPr>
          <w:sz w:val="22"/>
          <w:szCs w:val="22"/>
        </w:rPr>
      </w:pPr>
    </w:p>
    <w:p w14:paraId="1B94541E" w14:textId="77777777" w:rsidR="00602606" w:rsidRDefault="00602606">
      <w:pPr>
        <w:widowControl w:val="0"/>
        <w:rPr>
          <w:sz w:val="22"/>
          <w:szCs w:val="22"/>
        </w:rPr>
      </w:pPr>
    </w:p>
    <w:p w14:paraId="246BD40C" w14:textId="77777777" w:rsidR="00602606" w:rsidRDefault="00602606">
      <w:pPr>
        <w:widowControl w:val="0"/>
        <w:rPr>
          <w:sz w:val="22"/>
          <w:szCs w:val="22"/>
        </w:rPr>
      </w:pPr>
    </w:p>
    <w:p w14:paraId="57B29F55" w14:textId="77777777" w:rsidR="00602606" w:rsidRDefault="00602606">
      <w:pPr>
        <w:widowControl w:val="0"/>
        <w:rPr>
          <w:sz w:val="22"/>
          <w:szCs w:val="22"/>
        </w:rPr>
      </w:pPr>
    </w:p>
    <w:p w14:paraId="7A976AF3" w14:textId="77777777" w:rsidR="00602606" w:rsidRDefault="00602606">
      <w:pPr>
        <w:widowControl w:val="0"/>
        <w:rPr>
          <w:sz w:val="22"/>
          <w:szCs w:val="22"/>
        </w:rPr>
      </w:pPr>
    </w:p>
    <w:p w14:paraId="1DEEDBC6" w14:textId="77777777" w:rsidR="00602606" w:rsidRDefault="00602606">
      <w:pPr>
        <w:widowControl w:val="0"/>
        <w:rPr>
          <w:sz w:val="22"/>
          <w:szCs w:val="22"/>
        </w:rPr>
      </w:pPr>
    </w:p>
    <w:p w14:paraId="6F71F931" w14:textId="77777777" w:rsidR="00602606" w:rsidRDefault="00602606">
      <w:pPr>
        <w:widowControl w:val="0"/>
        <w:rPr>
          <w:sz w:val="22"/>
          <w:szCs w:val="22"/>
        </w:rPr>
      </w:pPr>
    </w:p>
    <w:p w14:paraId="0271CAD6" w14:textId="77777777" w:rsidR="00602606" w:rsidRDefault="00602606">
      <w:pPr>
        <w:widowControl w:val="0"/>
        <w:rPr>
          <w:sz w:val="22"/>
          <w:szCs w:val="22"/>
        </w:rPr>
      </w:pPr>
    </w:p>
    <w:p w14:paraId="627F14EF" w14:textId="77777777" w:rsidR="00602606" w:rsidRDefault="00602606">
      <w:pPr>
        <w:widowControl w:val="0"/>
        <w:rPr>
          <w:sz w:val="22"/>
          <w:szCs w:val="22"/>
        </w:rPr>
      </w:pPr>
    </w:p>
    <w:p w14:paraId="40530093" w14:textId="77777777" w:rsidR="00602606" w:rsidRDefault="00602606">
      <w:pPr>
        <w:widowControl w:val="0"/>
        <w:rPr>
          <w:sz w:val="22"/>
          <w:szCs w:val="22"/>
        </w:rPr>
      </w:pPr>
    </w:p>
    <w:p w14:paraId="4B49D986" w14:textId="77777777" w:rsidR="00602606" w:rsidRDefault="00602606">
      <w:pPr>
        <w:widowControl w:val="0"/>
        <w:rPr>
          <w:sz w:val="22"/>
          <w:szCs w:val="22"/>
        </w:rPr>
      </w:pPr>
    </w:p>
    <w:p w14:paraId="6B2AC683" w14:textId="77777777" w:rsidR="00602606" w:rsidRDefault="00602606">
      <w:pPr>
        <w:widowControl w:val="0"/>
        <w:rPr>
          <w:sz w:val="22"/>
          <w:szCs w:val="22"/>
        </w:rPr>
      </w:pPr>
    </w:p>
    <w:p w14:paraId="630E91D0" w14:textId="77777777" w:rsidR="00602606" w:rsidRDefault="00602606">
      <w:pPr>
        <w:widowControl w:val="0"/>
        <w:rPr>
          <w:sz w:val="22"/>
          <w:szCs w:val="22"/>
        </w:rPr>
      </w:pPr>
    </w:p>
    <w:p w14:paraId="40FCCD14" w14:textId="77777777" w:rsidR="00602606" w:rsidRDefault="00602606">
      <w:pPr>
        <w:widowControl w:val="0"/>
        <w:rPr>
          <w:sz w:val="22"/>
          <w:szCs w:val="22"/>
        </w:rPr>
      </w:pPr>
    </w:p>
    <w:p w14:paraId="3D543D0D" w14:textId="77777777" w:rsidR="00602606" w:rsidRDefault="00602606">
      <w:pPr>
        <w:widowControl w:val="0"/>
        <w:rPr>
          <w:sz w:val="22"/>
          <w:szCs w:val="22"/>
        </w:rPr>
      </w:pPr>
    </w:p>
    <w:p w14:paraId="63B6EBD2" w14:textId="77777777" w:rsidR="00602606" w:rsidRDefault="00602606">
      <w:pPr>
        <w:widowControl w:val="0"/>
        <w:rPr>
          <w:sz w:val="22"/>
          <w:szCs w:val="22"/>
        </w:rPr>
      </w:pPr>
    </w:p>
    <w:p w14:paraId="7B81B7CB" w14:textId="77777777" w:rsidR="00602606" w:rsidRDefault="00602606">
      <w:pPr>
        <w:widowControl w:val="0"/>
        <w:rPr>
          <w:sz w:val="22"/>
          <w:szCs w:val="22"/>
        </w:rPr>
      </w:pPr>
    </w:p>
    <w:p w14:paraId="3A74E527" w14:textId="77777777" w:rsidR="00602606" w:rsidRDefault="00602606">
      <w:pPr>
        <w:widowControl w:val="0"/>
        <w:rPr>
          <w:sz w:val="22"/>
          <w:szCs w:val="22"/>
        </w:rPr>
      </w:pPr>
    </w:p>
    <w:p w14:paraId="3187CD21" w14:textId="77777777" w:rsidR="00602606" w:rsidRDefault="00604AEE">
      <w:pPr>
        <w:widowControl w:val="0"/>
        <w:jc w:val="center"/>
        <w:outlineLvl w:val="0"/>
        <w:rPr>
          <w:rFonts w:asciiTheme="minorHAnsi" w:eastAsiaTheme="minorHAnsi" w:hAnsiTheme="minorHAnsi" w:cstheme="minorBidi"/>
          <w:b/>
          <w:kern w:val="28"/>
          <w:sz w:val="22"/>
          <w:szCs w:val="22"/>
          <w:lang w:val="lt-LT" w:eastAsia="en-US"/>
        </w:rPr>
      </w:pPr>
      <w:r>
        <w:rPr>
          <w:b/>
          <w:kern w:val="28"/>
          <w:sz w:val="22"/>
          <w:szCs w:val="22"/>
        </w:rPr>
        <w:t>II PRIEDAS</w:t>
      </w:r>
    </w:p>
    <w:p w14:paraId="41D53B29" w14:textId="77777777" w:rsidR="00602606" w:rsidRDefault="00602606">
      <w:pPr>
        <w:widowControl w:val="0"/>
        <w:jc w:val="center"/>
        <w:outlineLvl w:val="0"/>
        <w:rPr>
          <w:b/>
          <w:kern w:val="28"/>
          <w:sz w:val="22"/>
          <w:szCs w:val="22"/>
        </w:rPr>
      </w:pPr>
    </w:p>
    <w:p w14:paraId="2C4B7B5F" w14:textId="77777777" w:rsidR="00602606" w:rsidRDefault="00604AEE">
      <w:pPr>
        <w:widowControl w:val="0"/>
        <w:jc w:val="center"/>
        <w:outlineLvl w:val="0"/>
        <w:rPr>
          <w:rFonts w:asciiTheme="minorHAnsi" w:eastAsiaTheme="minorHAnsi" w:hAnsiTheme="minorHAnsi" w:cstheme="minorBidi"/>
          <w:b/>
          <w:caps/>
          <w:sz w:val="22"/>
          <w:szCs w:val="22"/>
          <w:lang w:val="lt-LT" w:eastAsia="en-US"/>
        </w:rPr>
      </w:pPr>
      <w:r>
        <w:rPr>
          <w:b/>
          <w:sz w:val="22"/>
          <w:szCs w:val="22"/>
        </w:rPr>
        <w:t>REGISTRACIJOS</w:t>
      </w:r>
      <w:r>
        <w:rPr>
          <w:b/>
          <w:caps/>
          <w:sz w:val="22"/>
          <w:szCs w:val="22"/>
        </w:rPr>
        <w:t xml:space="preserve"> SĄLYGOS</w:t>
      </w:r>
    </w:p>
    <w:p w14:paraId="66C8BF6E" w14:textId="77777777" w:rsidR="00602606" w:rsidRDefault="00602606">
      <w:pPr>
        <w:widowControl w:val="0"/>
        <w:rPr>
          <w:sz w:val="22"/>
          <w:szCs w:val="22"/>
        </w:rPr>
      </w:pPr>
    </w:p>
    <w:p w14:paraId="3E64C996" w14:textId="77777777" w:rsidR="00602606" w:rsidRDefault="00604AEE">
      <w:pPr>
        <w:widowControl w:val="0"/>
        <w:outlineLvl w:val="0"/>
        <w:rPr>
          <w:rFonts w:asciiTheme="minorHAnsi" w:eastAsiaTheme="minorHAnsi" w:hAnsiTheme="minorHAnsi" w:cstheme="minorBidi"/>
          <w:b/>
          <w:sz w:val="22"/>
          <w:szCs w:val="22"/>
          <w:lang w:val="lt-LT" w:eastAsia="en-US"/>
        </w:rPr>
      </w:pPr>
      <w:r>
        <w:rPr>
          <w:b/>
          <w:sz w:val="22"/>
          <w:szCs w:val="22"/>
        </w:rPr>
        <w:t>A.</w:t>
      </w:r>
      <w:r>
        <w:rPr>
          <w:b/>
          <w:sz w:val="22"/>
          <w:szCs w:val="22"/>
        </w:rPr>
        <w:tab/>
        <w:t>GAMINTOJAS (-AI), ATSAKINGAS (-I) UŽ SERIJŲ IŠLEIDIMĄ</w:t>
      </w:r>
    </w:p>
    <w:p w14:paraId="3B96452D" w14:textId="77777777" w:rsidR="00602606" w:rsidRDefault="00602606">
      <w:pPr>
        <w:widowControl w:val="0"/>
        <w:rPr>
          <w:sz w:val="22"/>
          <w:szCs w:val="22"/>
        </w:rPr>
      </w:pPr>
    </w:p>
    <w:p w14:paraId="0EE8A658" w14:textId="77777777" w:rsidR="00602606" w:rsidRDefault="00604AEE">
      <w:pPr>
        <w:widowControl w:val="0"/>
        <w:outlineLvl w:val="0"/>
        <w:rPr>
          <w:rFonts w:asciiTheme="minorHAnsi" w:eastAsiaTheme="minorHAnsi" w:hAnsiTheme="minorHAnsi" w:cstheme="minorBidi"/>
          <w:b/>
          <w:sz w:val="22"/>
          <w:szCs w:val="22"/>
          <w:lang w:val="lt-LT" w:eastAsia="en-US"/>
        </w:rPr>
      </w:pPr>
      <w:r>
        <w:rPr>
          <w:b/>
          <w:sz w:val="22"/>
          <w:szCs w:val="22"/>
        </w:rPr>
        <w:t>B.</w:t>
      </w:r>
      <w:r>
        <w:rPr>
          <w:b/>
          <w:sz w:val="22"/>
          <w:szCs w:val="22"/>
        </w:rPr>
        <w:tab/>
        <w:t>TIEKIMO IR VARTOJIMO SĄLYGOS AR APRIBOJIMAI</w:t>
      </w:r>
    </w:p>
    <w:p w14:paraId="0E422D07" w14:textId="77777777" w:rsidR="00602606" w:rsidRDefault="00602606">
      <w:pPr>
        <w:widowControl w:val="0"/>
        <w:rPr>
          <w:sz w:val="22"/>
          <w:szCs w:val="22"/>
        </w:rPr>
      </w:pPr>
    </w:p>
    <w:p w14:paraId="1BC61BB8" w14:textId="77777777" w:rsidR="00602606" w:rsidRDefault="00604AEE">
      <w:pPr>
        <w:widowControl w:val="0"/>
        <w:rPr>
          <w:b/>
          <w:sz w:val="22"/>
          <w:szCs w:val="22"/>
        </w:rPr>
      </w:pPr>
      <w:r>
        <w:rPr>
          <w:sz w:val="22"/>
          <w:szCs w:val="22"/>
        </w:rPr>
        <w:br w:type="page"/>
      </w:r>
      <w:r>
        <w:rPr>
          <w:b/>
          <w:sz w:val="22"/>
          <w:szCs w:val="22"/>
        </w:rPr>
        <w:t>A.</w:t>
      </w:r>
      <w:r w:rsidRPr="001F276A">
        <w:rPr>
          <w:b/>
          <w:sz w:val="22"/>
        </w:rPr>
        <w:tab/>
        <w:t>GAMINTOJAS (-AI), ATSAKINGAS (-I) UŽ SERIJŲ IŠLEIDIMĄ</w:t>
      </w:r>
    </w:p>
    <w:p w14:paraId="1A2221D6" w14:textId="77777777" w:rsidR="00602606" w:rsidRDefault="00602606">
      <w:pPr>
        <w:widowControl w:val="0"/>
        <w:tabs>
          <w:tab w:val="left" w:pos="3629"/>
        </w:tabs>
        <w:rPr>
          <w:sz w:val="22"/>
          <w:szCs w:val="22"/>
        </w:rPr>
      </w:pPr>
    </w:p>
    <w:p w14:paraId="2A78C6DD" w14:textId="77777777" w:rsidR="00602606" w:rsidRDefault="00604AEE">
      <w:pPr>
        <w:widowControl w:val="0"/>
        <w:rPr>
          <w:rFonts w:asciiTheme="minorHAnsi" w:eastAsiaTheme="minorHAnsi" w:hAnsiTheme="minorHAnsi" w:cstheme="minorBidi"/>
          <w:sz w:val="22"/>
          <w:szCs w:val="22"/>
          <w:u w:val="single"/>
          <w:lang w:val="lt-LT" w:eastAsia="en-US"/>
        </w:rPr>
      </w:pPr>
      <w:r>
        <w:rPr>
          <w:sz w:val="22"/>
          <w:szCs w:val="22"/>
          <w:u w:val="single"/>
        </w:rPr>
        <w:t>Gamintojo (-ų)</w:t>
      </w:r>
      <w:r w:rsidRPr="001F276A">
        <w:rPr>
          <w:sz w:val="22"/>
          <w:u w:val="single"/>
        </w:rPr>
        <w:t>, atsakingo (-ų) už serijų išleidimą, pavadinimas (-ai) ir adresas (-ai)</w:t>
      </w:r>
    </w:p>
    <w:p w14:paraId="7671E7FF" w14:textId="77777777" w:rsidR="00602606" w:rsidRDefault="00602606">
      <w:pPr>
        <w:widowControl w:val="0"/>
        <w:rPr>
          <w:sz w:val="22"/>
          <w:szCs w:val="22"/>
        </w:rPr>
      </w:pPr>
    </w:p>
    <w:p w14:paraId="0ADE0811"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Laboratorios Leon Farma, SA</w:t>
      </w:r>
    </w:p>
    <w:p w14:paraId="02E83358"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Calle La Vallina, s/n</w:t>
      </w:r>
    </w:p>
    <w:p w14:paraId="21066F2B"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Polígono Industrial Navatejera</w:t>
      </w:r>
    </w:p>
    <w:p w14:paraId="0EE380F2" w14:textId="1686AAEC"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24193 Navatejera, León</w:t>
      </w:r>
    </w:p>
    <w:p w14:paraId="48D6707F"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Ispanija</w:t>
      </w:r>
    </w:p>
    <w:p w14:paraId="65A694E5" w14:textId="77777777" w:rsidR="00602606" w:rsidRDefault="00602606">
      <w:pPr>
        <w:widowControl w:val="0"/>
        <w:rPr>
          <w:sz w:val="22"/>
          <w:szCs w:val="22"/>
        </w:rPr>
      </w:pPr>
    </w:p>
    <w:p w14:paraId="42AB1073" w14:textId="77777777" w:rsidR="00602606" w:rsidRDefault="00602606">
      <w:pPr>
        <w:widowControl w:val="0"/>
        <w:rPr>
          <w:sz w:val="22"/>
          <w:szCs w:val="22"/>
        </w:rPr>
      </w:pPr>
    </w:p>
    <w:p w14:paraId="37A2DDE6" w14:textId="77777777" w:rsidR="00602606" w:rsidRDefault="00604AEE">
      <w:pPr>
        <w:widowControl w:val="0"/>
        <w:rPr>
          <w:b/>
          <w:sz w:val="22"/>
          <w:szCs w:val="22"/>
        </w:rPr>
      </w:pPr>
      <w:r>
        <w:rPr>
          <w:b/>
          <w:sz w:val="22"/>
          <w:szCs w:val="22"/>
        </w:rPr>
        <w:t>B.</w:t>
      </w:r>
      <w:bookmarkStart w:id="3" w:name="_Toc129243130"/>
      <w:bookmarkStart w:id="4" w:name="_Toc129243255"/>
      <w:r>
        <w:rPr>
          <w:b/>
          <w:kern w:val="28"/>
          <w:sz w:val="22"/>
          <w:szCs w:val="22"/>
        </w:rPr>
        <w:tab/>
        <w:t xml:space="preserve">TIEKIMO IR </w:t>
      </w:r>
      <w:r w:rsidRPr="001F276A">
        <w:rPr>
          <w:b/>
          <w:kern w:val="28"/>
          <w:sz w:val="22"/>
        </w:rPr>
        <w:t>VARTOJIMO SĄLYGOS AR APRIBOJIMAI</w:t>
      </w:r>
      <w:bookmarkEnd w:id="3"/>
      <w:bookmarkEnd w:id="4"/>
    </w:p>
    <w:p w14:paraId="7E279D63" w14:textId="77777777" w:rsidR="00602606" w:rsidRDefault="00602606">
      <w:pPr>
        <w:widowControl w:val="0"/>
        <w:rPr>
          <w:sz w:val="22"/>
          <w:szCs w:val="22"/>
        </w:rPr>
      </w:pPr>
    </w:p>
    <w:p w14:paraId="50CDE131" w14:textId="77777777" w:rsidR="00602606" w:rsidRDefault="00604AEE">
      <w:pPr>
        <w:widowControl w:val="0"/>
        <w:rPr>
          <w:rFonts w:asciiTheme="minorHAnsi" w:eastAsiaTheme="minorHAnsi" w:hAnsiTheme="minorHAnsi" w:cstheme="minorBidi"/>
          <w:sz w:val="22"/>
          <w:szCs w:val="22"/>
          <w:lang w:val="lt-LT" w:eastAsia="en-US"/>
        </w:rPr>
      </w:pPr>
      <w:r>
        <w:rPr>
          <w:sz w:val="22"/>
          <w:szCs w:val="22"/>
        </w:rPr>
        <w:t>Receptinis vaistinis preparatas.</w:t>
      </w:r>
    </w:p>
    <w:p w14:paraId="0544E2F4" w14:textId="77777777" w:rsidR="00602606" w:rsidRDefault="00604AEE">
      <w:pPr>
        <w:widowControl w:val="0"/>
        <w:rPr>
          <w:sz w:val="22"/>
          <w:szCs w:val="22"/>
        </w:rPr>
      </w:pPr>
      <w:r>
        <w:rPr>
          <w:sz w:val="22"/>
          <w:szCs w:val="22"/>
        </w:rPr>
        <w:br w:type="page"/>
      </w:r>
    </w:p>
    <w:p w14:paraId="3EC36F6D" w14:textId="77777777" w:rsidR="00602606" w:rsidRDefault="00602606">
      <w:pPr>
        <w:widowControl w:val="0"/>
        <w:rPr>
          <w:sz w:val="22"/>
          <w:szCs w:val="22"/>
        </w:rPr>
      </w:pPr>
    </w:p>
    <w:p w14:paraId="6A9678B2" w14:textId="77777777" w:rsidR="00602606" w:rsidRDefault="00602606">
      <w:pPr>
        <w:widowControl w:val="0"/>
        <w:rPr>
          <w:sz w:val="22"/>
          <w:szCs w:val="22"/>
        </w:rPr>
      </w:pPr>
    </w:p>
    <w:p w14:paraId="29A1252C" w14:textId="77777777" w:rsidR="00602606" w:rsidRDefault="00602606">
      <w:pPr>
        <w:widowControl w:val="0"/>
        <w:rPr>
          <w:sz w:val="22"/>
          <w:szCs w:val="22"/>
        </w:rPr>
      </w:pPr>
    </w:p>
    <w:p w14:paraId="261BE107" w14:textId="77777777" w:rsidR="00602606" w:rsidRDefault="00602606">
      <w:pPr>
        <w:widowControl w:val="0"/>
        <w:rPr>
          <w:sz w:val="22"/>
          <w:szCs w:val="22"/>
        </w:rPr>
      </w:pPr>
    </w:p>
    <w:p w14:paraId="16948D6E" w14:textId="77777777" w:rsidR="00602606" w:rsidRDefault="00602606">
      <w:pPr>
        <w:widowControl w:val="0"/>
        <w:rPr>
          <w:sz w:val="22"/>
          <w:szCs w:val="22"/>
        </w:rPr>
      </w:pPr>
    </w:p>
    <w:p w14:paraId="5C027E2A" w14:textId="77777777" w:rsidR="00602606" w:rsidRDefault="00602606">
      <w:pPr>
        <w:widowControl w:val="0"/>
        <w:rPr>
          <w:sz w:val="22"/>
          <w:szCs w:val="22"/>
        </w:rPr>
      </w:pPr>
    </w:p>
    <w:p w14:paraId="66AEFCDA" w14:textId="77777777" w:rsidR="00602606" w:rsidRDefault="00602606">
      <w:pPr>
        <w:widowControl w:val="0"/>
        <w:rPr>
          <w:sz w:val="22"/>
          <w:szCs w:val="22"/>
        </w:rPr>
      </w:pPr>
    </w:p>
    <w:p w14:paraId="6227311A" w14:textId="77777777" w:rsidR="00602606" w:rsidRDefault="00602606">
      <w:pPr>
        <w:widowControl w:val="0"/>
        <w:rPr>
          <w:sz w:val="22"/>
          <w:szCs w:val="22"/>
        </w:rPr>
      </w:pPr>
    </w:p>
    <w:p w14:paraId="1493A098" w14:textId="77777777" w:rsidR="00602606" w:rsidRDefault="00602606">
      <w:pPr>
        <w:widowControl w:val="0"/>
        <w:rPr>
          <w:sz w:val="22"/>
          <w:szCs w:val="22"/>
        </w:rPr>
      </w:pPr>
    </w:p>
    <w:p w14:paraId="7E849B24" w14:textId="77777777" w:rsidR="00602606" w:rsidRDefault="00602606">
      <w:pPr>
        <w:widowControl w:val="0"/>
        <w:rPr>
          <w:sz w:val="22"/>
          <w:szCs w:val="22"/>
        </w:rPr>
      </w:pPr>
    </w:p>
    <w:p w14:paraId="4040AF8F" w14:textId="77777777" w:rsidR="00602606" w:rsidRDefault="00602606">
      <w:pPr>
        <w:widowControl w:val="0"/>
        <w:rPr>
          <w:sz w:val="22"/>
          <w:szCs w:val="22"/>
        </w:rPr>
      </w:pPr>
    </w:p>
    <w:p w14:paraId="0C9BE7FB" w14:textId="77777777" w:rsidR="00602606" w:rsidRDefault="00602606">
      <w:pPr>
        <w:widowControl w:val="0"/>
        <w:rPr>
          <w:sz w:val="22"/>
          <w:szCs w:val="22"/>
        </w:rPr>
      </w:pPr>
    </w:p>
    <w:p w14:paraId="541F324B" w14:textId="77777777" w:rsidR="00602606" w:rsidRDefault="00602606">
      <w:pPr>
        <w:widowControl w:val="0"/>
        <w:rPr>
          <w:sz w:val="22"/>
          <w:szCs w:val="22"/>
        </w:rPr>
      </w:pPr>
    </w:p>
    <w:p w14:paraId="4BD9443B" w14:textId="77777777" w:rsidR="00602606" w:rsidRDefault="00602606">
      <w:pPr>
        <w:widowControl w:val="0"/>
        <w:rPr>
          <w:sz w:val="22"/>
          <w:szCs w:val="22"/>
        </w:rPr>
      </w:pPr>
    </w:p>
    <w:p w14:paraId="691B753B" w14:textId="77777777" w:rsidR="00602606" w:rsidRDefault="00602606">
      <w:pPr>
        <w:widowControl w:val="0"/>
        <w:rPr>
          <w:sz w:val="22"/>
          <w:szCs w:val="22"/>
        </w:rPr>
      </w:pPr>
    </w:p>
    <w:p w14:paraId="5D6D448E" w14:textId="77777777" w:rsidR="00602606" w:rsidRDefault="00602606">
      <w:pPr>
        <w:widowControl w:val="0"/>
        <w:rPr>
          <w:sz w:val="22"/>
          <w:szCs w:val="22"/>
        </w:rPr>
      </w:pPr>
    </w:p>
    <w:p w14:paraId="43EBD98C" w14:textId="77777777" w:rsidR="00602606" w:rsidRDefault="00602606">
      <w:pPr>
        <w:widowControl w:val="0"/>
        <w:rPr>
          <w:sz w:val="22"/>
          <w:szCs w:val="22"/>
        </w:rPr>
      </w:pPr>
    </w:p>
    <w:p w14:paraId="4A05A128" w14:textId="77777777" w:rsidR="00602606" w:rsidRDefault="00602606">
      <w:pPr>
        <w:widowControl w:val="0"/>
        <w:rPr>
          <w:sz w:val="22"/>
          <w:szCs w:val="22"/>
        </w:rPr>
      </w:pPr>
    </w:p>
    <w:p w14:paraId="55045871" w14:textId="77777777" w:rsidR="00602606" w:rsidRDefault="00602606">
      <w:pPr>
        <w:widowControl w:val="0"/>
        <w:rPr>
          <w:sz w:val="22"/>
          <w:szCs w:val="22"/>
        </w:rPr>
      </w:pPr>
    </w:p>
    <w:p w14:paraId="22C1C9E2" w14:textId="77777777" w:rsidR="00602606" w:rsidRDefault="00602606">
      <w:pPr>
        <w:widowControl w:val="0"/>
        <w:rPr>
          <w:sz w:val="22"/>
          <w:szCs w:val="22"/>
        </w:rPr>
      </w:pPr>
    </w:p>
    <w:p w14:paraId="7F6AACFA" w14:textId="77777777" w:rsidR="00602606" w:rsidRDefault="00602606">
      <w:pPr>
        <w:widowControl w:val="0"/>
        <w:rPr>
          <w:sz w:val="22"/>
          <w:szCs w:val="22"/>
        </w:rPr>
      </w:pPr>
    </w:p>
    <w:p w14:paraId="3A7AF6C5" w14:textId="77777777" w:rsidR="00602606" w:rsidRDefault="00602606">
      <w:pPr>
        <w:widowControl w:val="0"/>
        <w:rPr>
          <w:sz w:val="22"/>
          <w:szCs w:val="22"/>
        </w:rPr>
      </w:pPr>
    </w:p>
    <w:p w14:paraId="1A59B876" w14:textId="77777777" w:rsidR="00602606" w:rsidRDefault="00604AEE">
      <w:pPr>
        <w:widowControl w:val="0"/>
        <w:jc w:val="center"/>
        <w:outlineLvl w:val="0"/>
        <w:rPr>
          <w:rFonts w:asciiTheme="minorHAnsi" w:eastAsiaTheme="minorHAnsi" w:hAnsiTheme="minorHAnsi" w:cstheme="minorBidi"/>
          <w:b/>
          <w:kern w:val="28"/>
          <w:sz w:val="22"/>
          <w:szCs w:val="22"/>
          <w:lang w:val="lt-LT" w:eastAsia="en-US"/>
        </w:rPr>
      </w:pPr>
      <w:r>
        <w:rPr>
          <w:b/>
          <w:kern w:val="28"/>
          <w:sz w:val="22"/>
          <w:szCs w:val="22"/>
        </w:rPr>
        <w:t>III PRIEDAS</w:t>
      </w:r>
    </w:p>
    <w:p w14:paraId="7F0658FC" w14:textId="77777777" w:rsidR="00602606" w:rsidRDefault="00602606">
      <w:pPr>
        <w:widowControl w:val="0"/>
        <w:rPr>
          <w:sz w:val="22"/>
          <w:szCs w:val="22"/>
        </w:rPr>
      </w:pPr>
    </w:p>
    <w:p w14:paraId="3190BEBF" w14:textId="77777777" w:rsidR="00602606" w:rsidRDefault="00604AEE">
      <w:pPr>
        <w:widowControl w:val="0"/>
        <w:jc w:val="center"/>
        <w:rPr>
          <w:rFonts w:asciiTheme="minorHAnsi" w:eastAsiaTheme="minorHAnsi" w:hAnsiTheme="minorHAnsi" w:cstheme="minorBidi"/>
          <w:b/>
          <w:sz w:val="22"/>
          <w:szCs w:val="22"/>
          <w:lang w:val="lt-LT" w:eastAsia="en-US"/>
        </w:rPr>
      </w:pPr>
      <w:r>
        <w:rPr>
          <w:b/>
          <w:sz w:val="22"/>
          <w:szCs w:val="22"/>
        </w:rPr>
        <w:t>ŽENKLINIMAS IR PAKUOTĖS LAPELIS</w:t>
      </w:r>
    </w:p>
    <w:p w14:paraId="18F28154" w14:textId="77777777" w:rsidR="00602606" w:rsidRDefault="00604AEE">
      <w:pPr>
        <w:widowControl w:val="0"/>
        <w:jc w:val="center"/>
        <w:rPr>
          <w:b/>
          <w:sz w:val="22"/>
          <w:szCs w:val="22"/>
        </w:rPr>
      </w:pPr>
      <w:r>
        <w:rPr>
          <w:b/>
          <w:sz w:val="22"/>
          <w:szCs w:val="22"/>
        </w:rPr>
        <w:br w:type="page"/>
      </w:r>
    </w:p>
    <w:p w14:paraId="2A58221F" w14:textId="77777777" w:rsidR="00602606" w:rsidRDefault="00602606">
      <w:pPr>
        <w:widowControl w:val="0"/>
        <w:jc w:val="center"/>
        <w:rPr>
          <w:b/>
          <w:sz w:val="22"/>
          <w:szCs w:val="22"/>
        </w:rPr>
      </w:pPr>
    </w:p>
    <w:p w14:paraId="1221D85B" w14:textId="77777777" w:rsidR="00602606" w:rsidRDefault="00602606">
      <w:pPr>
        <w:widowControl w:val="0"/>
        <w:jc w:val="center"/>
        <w:rPr>
          <w:b/>
          <w:sz w:val="22"/>
          <w:szCs w:val="22"/>
        </w:rPr>
      </w:pPr>
    </w:p>
    <w:p w14:paraId="3775CD69" w14:textId="77777777" w:rsidR="00602606" w:rsidRDefault="00602606">
      <w:pPr>
        <w:widowControl w:val="0"/>
        <w:jc w:val="center"/>
        <w:rPr>
          <w:b/>
          <w:sz w:val="22"/>
          <w:szCs w:val="22"/>
        </w:rPr>
      </w:pPr>
    </w:p>
    <w:p w14:paraId="3D561162" w14:textId="77777777" w:rsidR="00602606" w:rsidRDefault="00602606">
      <w:pPr>
        <w:widowControl w:val="0"/>
        <w:jc w:val="center"/>
        <w:rPr>
          <w:b/>
          <w:sz w:val="22"/>
          <w:szCs w:val="22"/>
        </w:rPr>
      </w:pPr>
    </w:p>
    <w:p w14:paraId="29E5A715" w14:textId="77777777" w:rsidR="00602606" w:rsidRDefault="00602606">
      <w:pPr>
        <w:widowControl w:val="0"/>
        <w:jc w:val="center"/>
        <w:rPr>
          <w:b/>
          <w:sz w:val="22"/>
          <w:szCs w:val="22"/>
        </w:rPr>
      </w:pPr>
    </w:p>
    <w:p w14:paraId="6A47993B" w14:textId="77777777" w:rsidR="00602606" w:rsidRDefault="00602606">
      <w:pPr>
        <w:widowControl w:val="0"/>
        <w:jc w:val="center"/>
        <w:rPr>
          <w:b/>
          <w:sz w:val="22"/>
          <w:szCs w:val="22"/>
        </w:rPr>
      </w:pPr>
    </w:p>
    <w:p w14:paraId="57CE6D02" w14:textId="77777777" w:rsidR="00602606" w:rsidRDefault="00602606">
      <w:pPr>
        <w:widowControl w:val="0"/>
        <w:jc w:val="center"/>
        <w:rPr>
          <w:b/>
          <w:sz w:val="22"/>
          <w:szCs w:val="22"/>
        </w:rPr>
      </w:pPr>
    </w:p>
    <w:p w14:paraId="2538DA3E" w14:textId="77777777" w:rsidR="00602606" w:rsidRDefault="00602606">
      <w:pPr>
        <w:widowControl w:val="0"/>
        <w:jc w:val="center"/>
        <w:rPr>
          <w:b/>
          <w:sz w:val="22"/>
          <w:szCs w:val="22"/>
        </w:rPr>
      </w:pPr>
    </w:p>
    <w:p w14:paraId="11194150" w14:textId="77777777" w:rsidR="00602606" w:rsidRDefault="00602606">
      <w:pPr>
        <w:widowControl w:val="0"/>
        <w:jc w:val="center"/>
        <w:rPr>
          <w:b/>
          <w:sz w:val="22"/>
          <w:szCs w:val="22"/>
        </w:rPr>
      </w:pPr>
    </w:p>
    <w:p w14:paraId="10EB43CD" w14:textId="77777777" w:rsidR="00602606" w:rsidRDefault="00602606">
      <w:pPr>
        <w:widowControl w:val="0"/>
        <w:jc w:val="center"/>
        <w:rPr>
          <w:b/>
          <w:sz w:val="22"/>
          <w:szCs w:val="22"/>
        </w:rPr>
      </w:pPr>
    </w:p>
    <w:p w14:paraId="2C94C99E" w14:textId="77777777" w:rsidR="00602606" w:rsidRDefault="00602606">
      <w:pPr>
        <w:widowControl w:val="0"/>
        <w:jc w:val="center"/>
        <w:rPr>
          <w:b/>
          <w:sz w:val="22"/>
          <w:szCs w:val="22"/>
        </w:rPr>
      </w:pPr>
    </w:p>
    <w:p w14:paraId="63078A70" w14:textId="77777777" w:rsidR="00602606" w:rsidRDefault="00602606">
      <w:pPr>
        <w:widowControl w:val="0"/>
        <w:jc w:val="center"/>
        <w:rPr>
          <w:b/>
          <w:sz w:val="22"/>
          <w:szCs w:val="22"/>
        </w:rPr>
      </w:pPr>
    </w:p>
    <w:p w14:paraId="3356D4F0" w14:textId="77777777" w:rsidR="00602606" w:rsidRDefault="00602606">
      <w:pPr>
        <w:widowControl w:val="0"/>
        <w:jc w:val="center"/>
        <w:rPr>
          <w:b/>
          <w:sz w:val="22"/>
          <w:szCs w:val="22"/>
        </w:rPr>
      </w:pPr>
    </w:p>
    <w:p w14:paraId="2533C465" w14:textId="77777777" w:rsidR="00602606" w:rsidRDefault="00602606">
      <w:pPr>
        <w:widowControl w:val="0"/>
        <w:jc w:val="center"/>
        <w:rPr>
          <w:b/>
          <w:sz w:val="22"/>
          <w:szCs w:val="22"/>
        </w:rPr>
      </w:pPr>
    </w:p>
    <w:p w14:paraId="4E021BED" w14:textId="77777777" w:rsidR="00602606" w:rsidRDefault="00602606">
      <w:pPr>
        <w:widowControl w:val="0"/>
        <w:jc w:val="center"/>
        <w:rPr>
          <w:b/>
          <w:sz w:val="22"/>
          <w:szCs w:val="22"/>
        </w:rPr>
      </w:pPr>
    </w:p>
    <w:p w14:paraId="41F626A5" w14:textId="77777777" w:rsidR="00602606" w:rsidRDefault="00602606">
      <w:pPr>
        <w:widowControl w:val="0"/>
        <w:jc w:val="center"/>
        <w:rPr>
          <w:b/>
          <w:sz w:val="22"/>
          <w:szCs w:val="22"/>
        </w:rPr>
      </w:pPr>
    </w:p>
    <w:p w14:paraId="1B354FBA" w14:textId="77777777" w:rsidR="00602606" w:rsidRDefault="00602606">
      <w:pPr>
        <w:widowControl w:val="0"/>
        <w:jc w:val="center"/>
        <w:rPr>
          <w:b/>
          <w:sz w:val="22"/>
          <w:szCs w:val="22"/>
        </w:rPr>
      </w:pPr>
    </w:p>
    <w:p w14:paraId="6740467E" w14:textId="77777777" w:rsidR="00602606" w:rsidRDefault="00602606">
      <w:pPr>
        <w:widowControl w:val="0"/>
        <w:jc w:val="center"/>
        <w:rPr>
          <w:b/>
          <w:sz w:val="22"/>
          <w:szCs w:val="22"/>
        </w:rPr>
      </w:pPr>
    </w:p>
    <w:p w14:paraId="27DD4B42" w14:textId="77777777" w:rsidR="00602606" w:rsidRDefault="00602606">
      <w:pPr>
        <w:widowControl w:val="0"/>
        <w:jc w:val="center"/>
        <w:rPr>
          <w:b/>
          <w:sz w:val="22"/>
          <w:szCs w:val="22"/>
        </w:rPr>
      </w:pPr>
    </w:p>
    <w:p w14:paraId="6F9CE3A3" w14:textId="77777777" w:rsidR="00602606" w:rsidRDefault="00602606">
      <w:pPr>
        <w:widowControl w:val="0"/>
        <w:jc w:val="center"/>
        <w:rPr>
          <w:b/>
          <w:sz w:val="22"/>
          <w:szCs w:val="22"/>
        </w:rPr>
      </w:pPr>
    </w:p>
    <w:p w14:paraId="70D5DB0C" w14:textId="77777777" w:rsidR="00602606" w:rsidRDefault="00602606">
      <w:pPr>
        <w:widowControl w:val="0"/>
        <w:jc w:val="center"/>
        <w:rPr>
          <w:b/>
          <w:sz w:val="22"/>
          <w:szCs w:val="22"/>
        </w:rPr>
      </w:pPr>
    </w:p>
    <w:p w14:paraId="57415EDC" w14:textId="77777777" w:rsidR="00602606" w:rsidRDefault="00602606">
      <w:pPr>
        <w:widowControl w:val="0"/>
        <w:jc w:val="center"/>
        <w:rPr>
          <w:b/>
          <w:sz w:val="22"/>
          <w:szCs w:val="22"/>
        </w:rPr>
      </w:pPr>
    </w:p>
    <w:p w14:paraId="01E0EF5F" w14:textId="77777777" w:rsidR="00602606" w:rsidRPr="001F276A" w:rsidRDefault="00604AEE">
      <w:pPr>
        <w:contextualSpacing/>
        <w:jc w:val="center"/>
        <w:outlineLvl w:val="0"/>
        <w:rPr>
          <w:rFonts w:eastAsia="Calibri"/>
          <w:b/>
          <w:sz w:val="22"/>
        </w:rPr>
      </w:pPr>
      <w:bookmarkStart w:id="5" w:name="_Toc129243136"/>
      <w:bookmarkStart w:id="6" w:name="_Toc129243261"/>
      <w:r w:rsidRPr="001F276A">
        <w:rPr>
          <w:rFonts w:eastAsia="Calibri"/>
          <w:b/>
          <w:sz w:val="22"/>
        </w:rPr>
        <w:t>A. ŽENKLINIMAS</w:t>
      </w:r>
      <w:bookmarkEnd w:id="5"/>
      <w:bookmarkEnd w:id="6"/>
    </w:p>
    <w:p w14:paraId="2D4BD3FF" w14:textId="77777777" w:rsidR="00602606" w:rsidRDefault="00602606">
      <w:pPr>
        <w:widowControl w:val="0"/>
        <w:jc w:val="center"/>
        <w:rPr>
          <w:b/>
          <w:sz w:val="22"/>
          <w:szCs w:val="22"/>
        </w:rPr>
      </w:pPr>
    </w:p>
    <w:p w14:paraId="5110B83A" w14:textId="77777777" w:rsidR="00602606" w:rsidRDefault="00604AEE">
      <w:pPr>
        <w:widowControl w:val="0"/>
        <w:contextualSpacing/>
        <w:outlineLvl w:val="0"/>
        <w:rPr>
          <w:rFonts w:eastAsia="Calibri"/>
          <w:b/>
          <w:sz w:val="22"/>
          <w:szCs w:val="22"/>
        </w:rPr>
      </w:pPr>
      <w:r>
        <w:rPr>
          <w:sz w:val="22"/>
          <w:szCs w:val="22"/>
        </w:rPr>
        <w:br w:type="page"/>
      </w:r>
    </w:p>
    <w:p w14:paraId="09786AB5" w14:textId="77777777" w:rsidR="00602606" w:rsidRDefault="00604AEE">
      <w:pPr>
        <w:widowControl w:val="0"/>
        <w:pBdr>
          <w:top w:val="single" w:sz="4" w:space="1" w:color="auto"/>
          <w:left w:val="single" w:sz="4" w:space="4" w:color="auto"/>
          <w:bottom w:val="single" w:sz="4" w:space="1" w:color="auto"/>
          <w:right w:val="single" w:sz="4" w:space="4" w:color="auto"/>
        </w:pBdr>
        <w:rPr>
          <w:rFonts w:asciiTheme="minorHAnsi" w:eastAsia="SimSun" w:hAnsiTheme="minorHAnsi" w:cstheme="minorBidi"/>
          <w:b/>
          <w:sz w:val="22"/>
          <w:szCs w:val="22"/>
          <w:lang w:val="lt-LT" w:eastAsia="en-US"/>
        </w:rPr>
      </w:pPr>
      <w:r>
        <w:rPr>
          <w:rFonts w:eastAsia="SimSun"/>
          <w:b/>
          <w:sz w:val="22"/>
          <w:szCs w:val="22"/>
        </w:rPr>
        <w:t>INFORMACIJA ANT IŠORINĖ</w:t>
      </w:r>
      <w:r w:rsidRPr="001F276A">
        <w:rPr>
          <w:rFonts w:eastAsia="SimSun"/>
          <w:b/>
          <w:sz w:val="22"/>
        </w:rPr>
        <w:t>S</w:t>
      </w:r>
      <w:r>
        <w:rPr>
          <w:rFonts w:eastAsia="SimSun"/>
          <w:b/>
          <w:sz w:val="22"/>
          <w:szCs w:val="22"/>
        </w:rPr>
        <w:t xml:space="preserve"> PAKUOTĖ</w:t>
      </w:r>
      <w:r w:rsidRPr="001F276A">
        <w:rPr>
          <w:rFonts w:eastAsia="SimSun"/>
          <w:b/>
          <w:sz w:val="22"/>
        </w:rPr>
        <w:t>S</w:t>
      </w:r>
    </w:p>
    <w:p w14:paraId="6BA248DD" w14:textId="77777777" w:rsidR="00602606" w:rsidRDefault="00602606">
      <w:pPr>
        <w:widowControl w:val="0"/>
        <w:pBdr>
          <w:top w:val="single" w:sz="4" w:space="1" w:color="auto"/>
          <w:left w:val="single" w:sz="4" w:space="4" w:color="auto"/>
          <w:bottom w:val="single" w:sz="4" w:space="1" w:color="auto"/>
          <w:right w:val="single" w:sz="4" w:space="4" w:color="auto"/>
        </w:pBdr>
        <w:rPr>
          <w:rFonts w:eastAsia="SimSun"/>
          <w:b/>
          <w:sz w:val="22"/>
          <w:szCs w:val="22"/>
        </w:rPr>
      </w:pPr>
    </w:p>
    <w:p w14:paraId="4BD23F72" w14:textId="77777777" w:rsidR="00602606" w:rsidRDefault="00604AEE">
      <w:pPr>
        <w:widowControl w:val="0"/>
        <w:pBdr>
          <w:top w:val="single" w:sz="4" w:space="1" w:color="auto"/>
          <w:left w:val="single" w:sz="4" w:space="4" w:color="auto"/>
          <w:bottom w:val="single" w:sz="4" w:space="1" w:color="auto"/>
          <w:right w:val="single" w:sz="4" w:space="4" w:color="auto"/>
        </w:pBdr>
        <w:rPr>
          <w:rFonts w:asciiTheme="minorHAnsi" w:eastAsia="SimSun" w:hAnsiTheme="minorHAnsi" w:cstheme="minorBidi"/>
          <w:b/>
          <w:sz w:val="22"/>
          <w:szCs w:val="22"/>
          <w:lang w:val="lt-LT" w:eastAsia="en-US"/>
        </w:rPr>
      </w:pPr>
      <w:r>
        <w:rPr>
          <w:rFonts w:eastAsia="SimSun"/>
          <w:b/>
          <w:sz w:val="22"/>
          <w:szCs w:val="22"/>
        </w:rPr>
        <w:t>KARTONO DĖŽUTĖ</w:t>
      </w:r>
    </w:p>
    <w:p w14:paraId="5BD8C750" w14:textId="77777777" w:rsidR="00602606" w:rsidRDefault="00602606">
      <w:pPr>
        <w:widowControl w:val="0"/>
        <w:rPr>
          <w:sz w:val="22"/>
          <w:szCs w:val="22"/>
        </w:rPr>
      </w:pPr>
    </w:p>
    <w:p w14:paraId="26632C2B" w14:textId="77777777" w:rsidR="00602606" w:rsidRDefault="00602606">
      <w:pPr>
        <w:widowControl w:val="0"/>
        <w:rPr>
          <w:sz w:val="22"/>
          <w:szCs w:val="22"/>
        </w:rPr>
      </w:pPr>
    </w:p>
    <w:p w14:paraId="45A23ADF" w14:textId="77777777" w:rsidR="00602606" w:rsidRDefault="00604AEE">
      <w:pPr>
        <w:widowControl w:val="0"/>
        <w:pBdr>
          <w:top w:val="single" w:sz="4" w:space="1" w:color="auto"/>
          <w:left w:val="single" w:sz="4" w:space="4" w:color="auto"/>
          <w:bottom w:val="single" w:sz="4" w:space="1" w:color="auto"/>
          <w:right w:val="single" w:sz="4" w:space="4" w:color="auto"/>
        </w:pBdr>
        <w:ind w:left="567" w:hanging="567"/>
        <w:outlineLvl w:val="0"/>
        <w:rPr>
          <w:rFonts w:asciiTheme="minorHAnsi" w:eastAsiaTheme="minorHAnsi" w:hAnsiTheme="minorHAnsi" w:cstheme="minorBidi"/>
          <w:sz w:val="22"/>
          <w:szCs w:val="22"/>
          <w:lang w:val="lt-LT" w:eastAsia="en-US"/>
        </w:rPr>
      </w:pPr>
      <w:r>
        <w:rPr>
          <w:b/>
          <w:sz w:val="22"/>
          <w:szCs w:val="22"/>
        </w:rPr>
        <w:t>1.</w:t>
      </w:r>
      <w:r>
        <w:rPr>
          <w:b/>
          <w:sz w:val="22"/>
          <w:szCs w:val="22"/>
        </w:rPr>
        <w:tab/>
      </w:r>
      <w:r>
        <w:rPr>
          <w:b/>
          <w:caps/>
          <w:sz w:val="22"/>
          <w:szCs w:val="22"/>
        </w:rPr>
        <w:t>VAISTINIO</w:t>
      </w:r>
      <w:r w:rsidRPr="001F276A">
        <w:rPr>
          <w:b/>
          <w:sz w:val="22"/>
        </w:rPr>
        <w:t xml:space="preserve"> PREPARATO PAVADINIMAS</w:t>
      </w:r>
    </w:p>
    <w:p w14:paraId="7BB96143" w14:textId="77777777" w:rsidR="00602606" w:rsidRDefault="00602606">
      <w:pPr>
        <w:widowControl w:val="0"/>
        <w:rPr>
          <w:sz w:val="22"/>
          <w:szCs w:val="22"/>
        </w:rPr>
      </w:pPr>
    </w:p>
    <w:p w14:paraId="11D548E5"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Dutasteride/Tamsulosin Krka 0,5 mg/0,4 mg kietosios kapsulės</w:t>
      </w:r>
    </w:p>
    <w:p w14:paraId="3E5A2EEA" w14:textId="77777777" w:rsidR="00602606" w:rsidRDefault="00602606">
      <w:pPr>
        <w:widowControl w:val="0"/>
        <w:contextualSpacing/>
        <w:outlineLvl w:val="0"/>
        <w:rPr>
          <w:rFonts w:eastAsia="Calibri"/>
          <w:sz w:val="22"/>
          <w:szCs w:val="22"/>
        </w:rPr>
      </w:pPr>
    </w:p>
    <w:p w14:paraId="24C6A9EA" w14:textId="77777777" w:rsidR="00602606" w:rsidRDefault="00604AEE">
      <w:pPr>
        <w:widowControl w:val="0"/>
        <w:rPr>
          <w:rFonts w:asciiTheme="minorHAnsi" w:eastAsiaTheme="minorHAnsi" w:hAnsiTheme="minorHAnsi" w:cstheme="minorBidi"/>
          <w:sz w:val="22"/>
          <w:szCs w:val="22"/>
          <w:lang w:val="lt-LT" w:eastAsia="en-US"/>
        </w:rPr>
      </w:pPr>
      <w:r>
        <w:rPr>
          <w:sz w:val="22"/>
          <w:szCs w:val="22"/>
        </w:rPr>
        <w:t>dutasteridas/tamsulozino hidrochloridas</w:t>
      </w:r>
    </w:p>
    <w:p w14:paraId="747146DA" w14:textId="77777777" w:rsidR="00602606" w:rsidRDefault="00602606">
      <w:pPr>
        <w:widowControl w:val="0"/>
        <w:rPr>
          <w:sz w:val="22"/>
          <w:szCs w:val="22"/>
        </w:rPr>
      </w:pPr>
    </w:p>
    <w:p w14:paraId="38B81906" w14:textId="77777777" w:rsidR="00602606" w:rsidRDefault="00602606">
      <w:pPr>
        <w:widowControl w:val="0"/>
        <w:rPr>
          <w:sz w:val="22"/>
          <w:szCs w:val="22"/>
        </w:rPr>
      </w:pPr>
    </w:p>
    <w:p w14:paraId="09A4D087" w14:textId="77777777" w:rsidR="00602606" w:rsidRDefault="00604AEE">
      <w:pPr>
        <w:widowControl w:val="0"/>
        <w:pBdr>
          <w:top w:val="single" w:sz="4" w:space="1" w:color="auto"/>
          <w:left w:val="single" w:sz="4" w:space="4" w:color="auto"/>
          <w:bottom w:val="single" w:sz="4" w:space="1" w:color="auto"/>
          <w:right w:val="single" w:sz="4" w:space="4" w:color="auto"/>
        </w:pBdr>
        <w:ind w:left="567" w:hanging="567"/>
        <w:outlineLvl w:val="0"/>
        <w:rPr>
          <w:rFonts w:asciiTheme="minorHAnsi" w:eastAsiaTheme="minorHAnsi" w:hAnsiTheme="minorHAnsi" w:cstheme="minorBidi"/>
          <w:b/>
          <w:sz w:val="22"/>
          <w:szCs w:val="22"/>
          <w:lang w:val="lt-LT" w:eastAsia="en-US"/>
        </w:rPr>
      </w:pPr>
      <w:r>
        <w:rPr>
          <w:b/>
          <w:sz w:val="22"/>
          <w:szCs w:val="22"/>
        </w:rPr>
        <w:t>2.</w:t>
      </w:r>
      <w:r>
        <w:rPr>
          <w:b/>
          <w:sz w:val="22"/>
          <w:szCs w:val="22"/>
        </w:rPr>
        <w:tab/>
        <w:t>VEIKLIOJI (-IOS) MEDŽIAGA (-OS) IR JOS (-Ų) KIEKIS (-IAI)</w:t>
      </w:r>
    </w:p>
    <w:p w14:paraId="12E07A40" w14:textId="77777777" w:rsidR="00602606" w:rsidRDefault="00602606">
      <w:pPr>
        <w:widowControl w:val="0"/>
        <w:rPr>
          <w:sz w:val="22"/>
          <w:szCs w:val="22"/>
        </w:rPr>
      </w:pPr>
    </w:p>
    <w:p w14:paraId="48BEAD5C"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Kiekvienoje kietojoje</w:t>
      </w:r>
      <w:r w:rsidRPr="001F276A">
        <w:rPr>
          <w:rFonts w:eastAsia="Calibri"/>
          <w:sz w:val="22"/>
        </w:rPr>
        <w:t xml:space="preserve"> kapsulėje yra 0,5 mg dutasterido ir 0,4 mg tamsulozino hidrochlorido (atitinkančio 0,367 mg tamsulozino).</w:t>
      </w:r>
    </w:p>
    <w:p w14:paraId="560D8088" w14:textId="77777777" w:rsidR="00602606" w:rsidRDefault="00602606">
      <w:pPr>
        <w:widowControl w:val="0"/>
        <w:rPr>
          <w:sz w:val="22"/>
          <w:szCs w:val="22"/>
        </w:rPr>
      </w:pPr>
    </w:p>
    <w:p w14:paraId="5F08C0A3" w14:textId="77777777" w:rsidR="00602606" w:rsidRDefault="00602606">
      <w:pPr>
        <w:widowControl w:val="0"/>
        <w:rPr>
          <w:sz w:val="22"/>
          <w:szCs w:val="22"/>
        </w:rPr>
      </w:pPr>
    </w:p>
    <w:p w14:paraId="6DD3283F" w14:textId="77777777" w:rsidR="00602606" w:rsidRDefault="00604AEE">
      <w:pPr>
        <w:widowControl w:val="0"/>
        <w:pBdr>
          <w:top w:val="single" w:sz="4" w:space="1" w:color="auto"/>
          <w:left w:val="single" w:sz="4" w:space="4" w:color="auto"/>
          <w:bottom w:val="single" w:sz="4" w:space="1" w:color="auto"/>
          <w:right w:val="single" w:sz="4" w:space="4" w:color="auto"/>
        </w:pBdr>
        <w:ind w:left="567" w:hanging="567"/>
        <w:outlineLvl w:val="0"/>
        <w:rPr>
          <w:rFonts w:asciiTheme="minorHAnsi" w:eastAsiaTheme="minorHAnsi" w:hAnsiTheme="minorHAnsi" w:cstheme="minorBidi"/>
          <w:sz w:val="22"/>
          <w:szCs w:val="22"/>
          <w:lang w:val="lt-LT" w:eastAsia="en-US"/>
        </w:rPr>
      </w:pPr>
      <w:r>
        <w:rPr>
          <w:b/>
          <w:sz w:val="22"/>
          <w:szCs w:val="22"/>
        </w:rPr>
        <w:t>3.</w:t>
      </w:r>
      <w:r>
        <w:rPr>
          <w:b/>
          <w:sz w:val="22"/>
          <w:szCs w:val="22"/>
        </w:rPr>
        <w:tab/>
        <w:t>PAGALBINIŲ MEDŽIAGŲ SĄRAŠAS</w:t>
      </w:r>
    </w:p>
    <w:p w14:paraId="58BBDC77" w14:textId="77777777" w:rsidR="00602606" w:rsidRDefault="00602606">
      <w:pPr>
        <w:widowControl w:val="0"/>
        <w:rPr>
          <w:sz w:val="22"/>
          <w:szCs w:val="22"/>
        </w:rPr>
      </w:pPr>
    </w:p>
    <w:p w14:paraId="3A05AA81" w14:textId="77777777" w:rsidR="00602606" w:rsidRDefault="00604AEE">
      <w:pPr>
        <w:widowControl w:val="0"/>
        <w:rPr>
          <w:rFonts w:asciiTheme="minorHAnsi" w:eastAsiaTheme="minorHAnsi" w:hAnsiTheme="minorHAnsi" w:cstheme="minorBidi"/>
          <w:sz w:val="22"/>
          <w:szCs w:val="22"/>
          <w:lang w:val="lt-LT" w:eastAsia="en-US"/>
        </w:rPr>
      </w:pPr>
      <w:r>
        <w:rPr>
          <w:sz w:val="22"/>
          <w:szCs w:val="22"/>
        </w:rPr>
        <w:t>Sudėtyje yra sojų lecitino ir propilenglikolio.</w:t>
      </w:r>
    </w:p>
    <w:p w14:paraId="066AF893" w14:textId="77777777" w:rsidR="00602606" w:rsidRDefault="00604AEE">
      <w:pPr>
        <w:widowControl w:val="0"/>
        <w:rPr>
          <w:rFonts w:asciiTheme="minorHAnsi" w:eastAsiaTheme="minorHAnsi" w:hAnsiTheme="minorHAnsi" w:cstheme="minorBidi"/>
          <w:sz w:val="22"/>
          <w:szCs w:val="22"/>
          <w:lang w:val="lt-LT" w:eastAsia="en-US"/>
        </w:rPr>
      </w:pPr>
      <w:r>
        <w:rPr>
          <w:sz w:val="22"/>
          <w:szCs w:val="22"/>
        </w:rPr>
        <w:t>Daugiau informacijos pateikta pakuotės lapelyje.</w:t>
      </w:r>
    </w:p>
    <w:p w14:paraId="50CECD7C" w14:textId="77777777" w:rsidR="00602606" w:rsidRDefault="00602606">
      <w:pPr>
        <w:widowControl w:val="0"/>
        <w:rPr>
          <w:sz w:val="22"/>
          <w:szCs w:val="22"/>
        </w:rPr>
      </w:pPr>
    </w:p>
    <w:p w14:paraId="28ADDCB9" w14:textId="77777777" w:rsidR="00602606" w:rsidRDefault="00602606">
      <w:pPr>
        <w:widowControl w:val="0"/>
        <w:rPr>
          <w:sz w:val="22"/>
          <w:szCs w:val="22"/>
        </w:rPr>
      </w:pPr>
    </w:p>
    <w:p w14:paraId="30F97468" w14:textId="77777777" w:rsidR="00602606" w:rsidRDefault="00604AEE">
      <w:pPr>
        <w:widowControl w:val="0"/>
        <w:pBdr>
          <w:top w:val="single" w:sz="4" w:space="1" w:color="auto"/>
          <w:left w:val="single" w:sz="4" w:space="4" w:color="auto"/>
          <w:bottom w:val="single" w:sz="4" w:space="1" w:color="auto"/>
          <w:right w:val="single" w:sz="4" w:space="4" w:color="auto"/>
        </w:pBdr>
        <w:ind w:left="567" w:hanging="567"/>
        <w:outlineLvl w:val="0"/>
        <w:rPr>
          <w:rFonts w:asciiTheme="minorHAnsi" w:eastAsiaTheme="minorHAnsi" w:hAnsiTheme="minorHAnsi" w:cstheme="minorBidi"/>
          <w:sz w:val="22"/>
          <w:szCs w:val="22"/>
          <w:lang w:val="lt-LT" w:eastAsia="en-US"/>
        </w:rPr>
      </w:pPr>
      <w:r>
        <w:rPr>
          <w:b/>
          <w:sz w:val="22"/>
          <w:szCs w:val="22"/>
        </w:rPr>
        <w:t>4.</w:t>
      </w:r>
      <w:r>
        <w:rPr>
          <w:b/>
          <w:sz w:val="22"/>
          <w:szCs w:val="22"/>
        </w:rPr>
        <w:tab/>
        <w:t>FARMACINĖ FORMA IR KIEKIS PAKUOTĖJE</w:t>
      </w:r>
    </w:p>
    <w:p w14:paraId="6CF39365" w14:textId="77777777" w:rsidR="00602606" w:rsidRDefault="00602606">
      <w:pPr>
        <w:widowControl w:val="0"/>
        <w:rPr>
          <w:sz w:val="22"/>
          <w:szCs w:val="22"/>
        </w:rPr>
      </w:pPr>
    </w:p>
    <w:p w14:paraId="576A6CD2" w14:textId="77777777" w:rsidR="00602606" w:rsidRDefault="00604AEE">
      <w:pPr>
        <w:widowControl w:val="0"/>
        <w:rPr>
          <w:rFonts w:asciiTheme="minorHAnsi" w:eastAsiaTheme="minorHAnsi" w:hAnsiTheme="minorHAnsi" w:cstheme="minorBidi"/>
          <w:sz w:val="22"/>
          <w:szCs w:val="22"/>
          <w:lang w:val="lt-LT" w:eastAsia="en-US"/>
        </w:rPr>
      </w:pPr>
      <w:r>
        <w:rPr>
          <w:sz w:val="22"/>
          <w:szCs w:val="22"/>
          <w:highlight w:val="lightGray"/>
        </w:rPr>
        <w:t>Kietoji</w:t>
      </w:r>
      <w:r w:rsidRPr="001F276A">
        <w:rPr>
          <w:sz w:val="22"/>
          <w:highlight w:val="lightGray"/>
        </w:rPr>
        <w:t xml:space="preserve"> kapsulė</w:t>
      </w:r>
    </w:p>
    <w:p w14:paraId="28DD9A1E" w14:textId="77777777" w:rsidR="00602606" w:rsidRDefault="00602606">
      <w:pPr>
        <w:widowControl w:val="0"/>
        <w:rPr>
          <w:sz w:val="22"/>
          <w:szCs w:val="22"/>
        </w:rPr>
      </w:pPr>
    </w:p>
    <w:p w14:paraId="586E44F8"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7 kietosios kapsul</w:t>
      </w:r>
      <w:r w:rsidRPr="001F276A">
        <w:rPr>
          <w:rFonts w:eastAsia="Calibri"/>
          <w:sz w:val="22"/>
        </w:rPr>
        <w:t>ės</w:t>
      </w:r>
    </w:p>
    <w:p w14:paraId="1958B04B" w14:textId="77777777" w:rsidR="00602606" w:rsidRDefault="00604AEE">
      <w:pPr>
        <w:widowControl w:val="0"/>
        <w:contextualSpacing/>
        <w:outlineLvl w:val="0"/>
        <w:rPr>
          <w:rFonts w:asciiTheme="minorHAnsi" w:eastAsia="Calibri" w:hAnsiTheme="minorHAnsi" w:cstheme="minorBidi"/>
          <w:sz w:val="22"/>
          <w:szCs w:val="22"/>
          <w:highlight w:val="lightGray"/>
          <w:lang w:val="lt-LT" w:eastAsia="en-US"/>
        </w:rPr>
      </w:pPr>
      <w:r>
        <w:rPr>
          <w:rFonts w:eastAsia="Calibri"/>
          <w:sz w:val="22"/>
          <w:szCs w:val="22"/>
          <w:highlight w:val="lightGray"/>
        </w:rPr>
        <w:t>30 kietųjų kapsulių</w:t>
      </w:r>
    </w:p>
    <w:p w14:paraId="7A6FEAAF"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highlight w:val="lightGray"/>
        </w:rPr>
        <w:t>90 kietųjų kapsulių</w:t>
      </w:r>
    </w:p>
    <w:p w14:paraId="328B39AE" w14:textId="77777777" w:rsidR="00602606" w:rsidRDefault="00602606">
      <w:pPr>
        <w:widowControl w:val="0"/>
        <w:rPr>
          <w:sz w:val="22"/>
          <w:szCs w:val="22"/>
        </w:rPr>
      </w:pPr>
    </w:p>
    <w:p w14:paraId="223096AA" w14:textId="77777777" w:rsidR="00602606" w:rsidRDefault="00602606">
      <w:pPr>
        <w:widowControl w:val="0"/>
        <w:rPr>
          <w:sz w:val="22"/>
          <w:szCs w:val="22"/>
        </w:rPr>
      </w:pPr>
    </w:p>
    <w:p w14:paraId="3D10B20D" w14:textId="77777777" w:rsidR="00602606" w:rsidRDefault="00604AEE">
      <w:pPr>
        <w:widowControl w:val="0"/>
        <w:pBdr>
          <w:top w:val="single" w:sz="4" w:space="1" w:color="auto"/>
          <w:left w:val="single" w:sz="4" w:space="4" w:color="auto"/>
          <w:bottom w:val="single" w:sz="4" w:space="1" w:color="auto"/>
          <w:right w:val="single" w:sz="4" w:space="4" w:color="auto"/>
        </w:pBdr>
        <w:ind w:left="567" w:hanging="567"/>
        <w:outlineLvl w:val="0"/>
        <w:rPr>
          <w:rFonts w:asciiTheme="minorHAnsi" w:eastAsiaTheme="minorHAnsi" w:hAnsiTheme="minorHAnsi" w:cstheme="minorBidi"/>
          <w:sz w:val="22"/>
          <w:szCs w:val="22"/>
          <w:lang w:val="lt-LT" w:eastAsia="en-US"/>
        </w:rPr>
      </w:pPr>
      <w:r>
        <w:rPr>
          <w:b/>
          <w:sz w:val="22"/>
          <w:szCs w:val="22"/>
        </w:rPr>
        <w:t>5.</w:t>
      </w:r>
      <w:r>
        <w:rPr>
          <w:b/>
          <w:sz w:val="22"/>
          <w:szCs w:val="22"/>
        </w:rPr>
        <w:tab/>
        <w:t>VARTOJIMO METODAS IR BŪDAS (-AI)</w:t>
      </w:r>
    </w:p>
    <w:p w14:paraId="448B82B3" w14:textId="77777777" w:rsidR="00602606" w:rsidRDefault="00602606">
      <w:pPr>
        <w:widowControl w:val="0"/>
        <w:rPr>
          <w:sz w:val="22"/>
          <w:szCs w:val="22"/>
        </w:rPr>
      </w:pPr>
    </w:p>
    <w:p w14:paraId="3721EF09" w14:textId="77777777" w:rsidR="00602606" w:rsidRDefault="00604AEE">
      <w:pPr>
        <w:widowControl w:val="0"/>
        <w:rPr>
          <w:rFonts w:asciiTheme="minorHAnsi" w:eastAsiaTheme="minorHAnsi" w:hAnsiTheme="minorHAnsi" w:cstheme="minorBidi"/>
          <w:sz w:val="22"/>
          <w:szCs w:val="22"/>
          <w:lang w:val="lt-LT" w:eastAsia="en-US"/>
        </w:rPr>
      </w:pPr>
      <w:r>
        <w:rPr>
          <w:sz w:val="22"/>
          <w:szCs w:val="22"/>
        </w:rPr>
        <w:t>Vartoti per burną</w:t>
      </w:r>
    </w:p>
    <w:p w14:paraId="2BDBF63A" w14:textId="77777777" w:rsidR="00602606" w:rsidRDefault="00604AEE">
      <w:pPr>
        <w:widowControl w:val="0"/>
        <w:rPr>
          <w:rFonts w:asciiTheme="minorHAnsi" w:eastAsia="Calibri" w:hAnsiTheme="minorHAnsi" w:cstheme="minorBidi"/>
          <w:sz w:val="22"/>
          <w:szCs w:val="22"/>
          <w:lang w:val="lt-LT" w:eastAsia="en-US"/>
        </w:rPr>
      </w:pPr>
      <w:r>
        <w:rPr>
          <w:rFonts w:eastAsia="Calibri"/>
          <w:sz w:val="22"/>
          <w:szCs w:val="22"/>
        </w:rPr>
        <w:t>Negalima kramtyti. Nuryti visą kapsulę.</w:t>
      </w:r>
    </w:p>
    <w:p w14:paraId="3081CD43" w14:textId="77777777" w:rsidR="00602606" w:rsidRDefault="00604AEE">
      <w:pPr>
        <w:widowControl w:val="0"/>
        <w:rPr>
          <w:rFonts w:asciiTheme="minorHAnsi" w:eastAsiaTheme="minorHAnsi" w:hAnsiTheme="minorHAnsi" w:cstheme="minorBidi"/>
          <w:sz w:val="22"/>
          <w:szCs w:val="22"/>
          <w:lang w:val="lt-LT" w:eastAsia="en-US"/>
        </w:rPr>
      </w:pPr>
      <w:r>
        <w:rPr>
          <w:sz w:val="22"/>
          <w:szCs w:val="22"/>
        </w:rPr>
        <w:t>Prieš vartojimą perskaitykite pakuotės lapelį.</w:t>
      </w:r>
    </w:p>
    <w:p w14:paraId="7EAC5409" w14:textId="77777777" w:rsidR="00602606" w:rsidRDefault="00602606">
      <w:pPr>
        <w:widowControl w:val="0"/>
        <w:rPr>
          <w:sz w:val="22"/>
          <w:szCs w:val="22"/>
        </w:rPr>
      </w:pPr>
    </w:p>
    <w:p w14:paraId="3420CF29" w14:textId="77777777" w:rsidR="00602606" w:rsidRDefault="00602606">
      <w:pPr>
        <w:widowControl w:val="0"/>
        <w:rPr>
          <w:sz w:val="22"/>
          <w:szCs w:val="22"/>
        </w:rPr>
      </w:pPr>
    </w:p>
    <w:p w14:paraId="69B83554" w14:textId="77777777" w:rsidR="00602606" w:rsidRDefault="00604AEE">
      <w:pPr>
        <w:widowControl w:val="0"/>
        <w:pBdr>
          <w:top w:val="single" w:sz="4" w:space="1" w:color="auto"/>
          <w:left w:val="single" w:sz="4" w:space="4" w:color="auto"/>
          <w:bottom w:val="single" w:sz="4" w:space="1" w:color="auto"/>
          <w:right w:val="single" w:sz="4" w:space="4" w:color="auto"/>
        </w:pBdr>
        <w:ind w:left="567" w:hanging="567"/>
        <w:outlineLvl w:val="0"/>
        <w:rPr>
          <w:rFonts w:asciiTheme="minorHAnsi" w:eastAsiaTheme="minorHAnsi" w:hAnsiTheme="minorHAnsi" w:cstheme="minorBidi"/>
          <w:sz w:val="22"/>
          <w:szCs w:val="22"/>
          <w:lang w:val="lt-LT" w:eastAsia="en-US"/>
        </w:rPr>
      </w:pPr>
      <w:r>
        <w:rPr>
          <w:b/>
          <w:sz w:val="22"/>
          <w:szCs w:val="22"/>
        </w:rPr>
        <w:t>6.</w:t>
      </w:r>
      <w:r>
        <w:rPr>
          <w:b/>
          <w:sz w:val="22"/>
          <w:szCs w:val="22"/>
        </w:rPr>
        <w:tab/>
        <w:t>SPECIALUS ĮSPĖJIMAS, KAD VAISTINĮ PREPARATĄ BŪTI</w:t>
      </w:r>
      <w:r w:rsidRPr="001F276A">
        <w:rPr>
          <w:b/>
          <w:sz w:val="22"/>
        </w:rPr>
        <w:t>NA LAIKYTI VAIKAMS NEPASTEBIMOJE IR NEPASIEKIAMOJE VIETOJE</w:t>
      </w:r>
    </w:p>
    <w:p w14:paraId="5AE2C4C2" w14:textId="77777777" w:rsidR="00602606" w:rsidRDefault="00602606">
      <w:pPr>
        <w:widowControl w:val="0"/>
        <w:rPr>
          <w:sz w:val="22"/>
          <w:szCs w:val="22"/>
        </w:rPr>
      </w:pPr>
    </w:p>
    <w:p w14:paraId="48A3403C" w14:textId="77777777" w:rsidR="00602606" w:rsidRDefault="00604AEE">
      <w:pPr>
        <w:widowControl w:val="0"/>
        <w:rPr>
          <w:rFonts w:asciiTheme="minorHAnsi" w:eastAsiaTheme="minorHAnsi" w:hAnsiTheme="minorHAnsi" w:cstheme="minorBidi"/>
          <w:sz w:val="22"/>
          <w:szCs w:val="22"/>
          <w:lang w:val="lt-LT" w:eastAsia="en-US"/>
        </w:rPr>
      </w:pPr>
      <w:r>
        <w:rPr>
          <w:sz w:val="22"/>
          <w:szCs w:val="22"/>
        </w:rPr>
        <w:t>Laikyti vaikams nepastebimoje ir nepasiekiamoje vietoje.</w:t>
      </w:r>
    </w:p>
    <w:p w14:paraId="39E41E01" w14:textId="77777777" w:rsidR="00602606" w:rsidRDefault="00602606">
      <w:pPr>
        <w:widowControl w:val="0"/>
        <w:rPr>
          <w:sz w:val="22"/>
          <w:szCs w:val="22"/>
        </w:rPr>
      </w:pPr>
    </w:p>
    <w:p w14:paraId="7F5FEEE4" w14:textId="77777777" w:rsidR="00602606" w:rsidRDefault="00602606">
      <w:pPr>
        <w:widowControl w:val="0"/>
        <w:rPr>
          <w:sz w:val="22"/>
          <w:szCs w:val="22"/>
        </w:rPr>
      </w:pPr>
    </w:p>
    <w:p w14:paraId="1E5C9B90" w14:textId="77777777" w:rsidR="00602606" w:rsidRDefault="00604AEE">
      <w:pPr>
        <w:widowControl w:val="0"/>
        <w:pBdr>
          <w:top w:val="single" w:sz="4" w:space="1" w:color="auto"/>
          <w:left w:val="single" w:sz="4" w:space="4" w:color="auto"/>
          <w:bottom w:val="single" w:sz="4" w:space="1" w:color="auto"/>
          <w:right w:val="single" w:sz="4" w:space="4" w:color="auto"/>
        </w:pBdr>
        <w:ind w:left="567" w:hanging="567"/>
        <w:outlineLvl w:val="0"/>
        <w:rPr>
          <w:rFonts w:asciiTheme="minorHAnsi" w:eastAsiaTheme="minorHAnsi" w:hAnsiTheme="minorHAnsi" w:cstheme="minorBidi"/>
          <w:sz w:val="22"/>
          <w:szCs w:val="22"/>
          <w:lang w:val="lt-LT" w:eastAsia="en-US"/>
        </w:rPr>
      </w:pPr>
      <w:r>
        <w:rPr>
          <w:b/>
          <w:sz w:val="22"/>
          <w:szCs w:val="22"/>
        </w:rPr>
        <w:t>7.</w:t>
      </w:r>
      <w:r>
        <w:rPr>
          <w:b/>
          <w:sz w:val="22"/>
          <w:szCs w:val="22"/>
        </w:rPr>
        <w:tab/>
        <w:t>KITAS (-I) SPECIALUS (-ŪS) ĮSPĖJIMAS (-AI) (JEI REIKIA)</w:t>
      </w:r>
    </w:p>
    <w:p w14:paraId="61C8AB2B" w14:textId="77777777" w:rsidR="00602606" w:rsidRDefault="00602606">
      <w:pPr>
        <w:widowControl w:val="0"/>
        <w:rPr>
          <w:sz w:val="22"/>
          <w:szCs w:val="22"/>
        </w:rPr>
      </w:pPr>
    </w:p>
    <w:p w14:paraId="6A5B71E0"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Vartoti tik vyrams.</w:t>
      </w:r>
    </w:p>
    <w:p w14:paraId="512C95BC"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 xml:space="preserve">Pažeistų kapsulių negalima liesti </w:t>
      </w:r>
      <w:r w:rsidRPr="001F276A">
        <w:rPr>
          <w:rFonts w:eastAsia="Calibri"/>
          <w:sz w:val="22"/>
        </w:rPr>
        <w:t>moterims, vaikams ir paaugliams.</w:t>
      </w:r>
    </w:p>
    <w:p w14:paraId="367934B3" w14:textId="77777777" w:rsidR="00602606" w:rsidRDefault="00602606">
      <w:pPr>
        <w:widowControl w:val="0"/>
        <w:rPr>
          <w:sz w:val="22"/>
          <w:szCs w:val="22"/>
        </w:rPr>
      </w:pPr>
    </w:p>
    <w:p w14:paraId="62E783FA" w14:textId="77777777" w:rsidR="00602606" w:rsidRDefault="00602606">
      <w:pPr>
        <w:widowControl w:val="0"/>
        <w:rPr>
          <w:sz w:val="22"/>
          <w:szCs w:val="22"/>
        </w:rPr>
      </w:pPr>
    </w:p>
    <w:p w14:paraId="66BEFC90" w14:textId="77777777" w:rsidR="00602606" w:rsidRDefault="00604AEE">
      <w:pPr>
        <w:widowControl w:val="0"/>
        <w:pBdr>
          <w:top w:val="single" w:sz="4" w:space="1" w:color="auto"/>
          <w:left w:val="single" w:sz="4" w:space="4" w:color="auto"/>
          <w:bottom w:val="single" w:sz="4" w:space="1" w:color="auto"/>
          <w:right w:val="single" w:sz="4" w:space="4" w:color="auto"/>
        </w:pBdr>
        <w:ind w:left="567" w:hanging="567"/>
        <w:outlineLvl w:val="0"/>
        <w:rPr>
          <w:rFonts w:asciiTheme="minorHAnsi" w:eastAsiaTheme="minorHAnsi" w:hAnsiTheme="minorHAnsi" w:cstheme="minorBidi"/>
          <w:sz w:val="22"/>
          <w:szCs w:val="22"/>
          <w:lang w:val="lt-LT" w:eastAsia="en-US"/>
        </w:rPr>
      </w:pPr>
      <w:r>
        <w:rPr>
          <w:b/>
          <w:sz w:val="22"/>
          <w:szCs w:val="22"/>
        </w:rPr>
        <w:t>8.</w:t>
      </w:r>
      <w:r>
        <w:rPr>
          <w:b/>
          <w:sz w:val="22"/>
          <w:szCs w:val="22"/>
        </w:rPr>
        <w:tab/>
        <w:t>T</w:t>
      </w:r>
      <w:r w:rsidRPr="001F276A">
        <w:rPr>
          <w:b/>
          <w:sz w:val="22"/>
        </w:rPr>
        <w:t>INKAMUMO LAIKAS</w:t>
      </w:r>
    </w:p>
    <w:p w14:paraId="47EC0BFC" w14:textId="77777777" w:rsidR="00602606" w:rsidRDefault="00602606">
      <w:pPr>
        <w:widowControl w:val="0"/>
        <w:rPr>
          <w:sz w:val="22"/>
          <w:szCs w:val="22"/>
        </w:rPr>
      </w:pPr>
    </w:p>
    <w:p w14:paraId="45949D0F" w14:textId="77777777" w:rsidR="00602606" w:rsidRDefault="00604AEE">
      <w:pPr>
        <w:widowControl w:val="0"/>
        <w:rPr>
          <w:rFonts w:asciiTheme="minorHAnsi" w:eastAsiaTheme="minorHAnsi" w:hAnsiTheme="minorHAnsi" w:cstheme="minorBidi"/>
          <w:sz w:val="22"/>
          <w:szCs w:val="22"/>
          <w:lang w:val="lt-LT" w:eastAsia="en-US"/>
        </w:rPr>
      </w:pPr>
      <w:r>
        <w:rPr>
          <w:sz w:val="22"/>
          <w:szCs w:val="22"/>
        </w:rPr>
        <w:t>EXP (mm/MMMM)</w:t>
      </w:r>
    </w:p>
    <w:p w14:paraId="715A3278" w14:textId="77777777" w:rsidR="00602606" w:rsidRDefault="00602606">
      <w:pPr>
        <w:widowControl w:val="0"/>
        <w:rPr>
          <w:sz w:val="22"/>
          <w:szCs w:val="22"/>
        </w:rPr>
      </w:pPr>
    </w:p>
    <w:p w14:paraId="2C4F269F" w14:textId="77777777" w:rsidR="00602606" w:rsidRDefault="00602606">
      <w:pPr>
        <w:widowControl w:val="0"/>
        <w:rPr>
          <w:sz w:val="22"/>
          <w:szCs w:val="22"/>
        </w:rPr>
      </w:pPr>
    </w:p>
    <w:p w14:paraId="73897381" w14:textId="77777777" w:rsidR="00602606" w:rsidRDefault="00604AEE">
      <w:pPr>
        <w:widowControl w:val="0"/>
        <w:pBdr>
          <w:top w:val="single" w:sz="4" w:space="0" w:color="auto"/>
          <w:left w:val="single" w:sz="4" w:space="4" w:color="auto"/>
          <w:bottom w:val="single" w:sz="4" w:space="1" w:color="auto"/>
          <w:right w:val="single" w:sz="4" w:space="4" w:color="auto"/>
        </w:pBdr>
        <w:ind w:left="567" w:hanging="567"/>
        <w:outlineLvl w:val="0"/>
        <w:rPr>
          <w:rFonts w:asciiTheme="minorHAnsi" w:eastAsiaTheme="minorHAnsi" w:hAnsiTheme="minorHAnsi" w:cstheme="minorBidi"/>
          <w:sz w:val="22"/>
          <w:szCs w:val="22"/>
          <w:lang w:val="lt-LT" w:eastAsia="en-US"/>
        </w:rPr>
      </w:pPr>
      <w:r>
        <w:rPr>
          <w:b/>
          <w:sz w:val="22"/>
          <w:szCs w:val="22"/>
        </w:rPr>
        <w:t>9.</w:t>
      </w:r>
      <w:r>
        <w:rPr>
          <w:b/>
          <w:sz w:val="22"/>
          <w:szCs w:val="22"/>
        </w:rPr>
        <w:tab/>
        <w:t>SPECIALIOS LAIKYMO SĄLYGOS</w:t>
      </w:r>
    </w:p>
    <w:p w14:paraId="7B212295" w14:textId="77777777" w:rsidR="00602606" w:rsidRDefault="00602606">
      <w:pPr>
        <w:widowControl w:val="0"/>
        <w:rPr>
          <w:sz w:val="22"/>
          <w:szCs w:val="22"/>
        </w:rPr>
      </w:pPr>
    </w:p>
    <w:p w14:paraId="41389EBF" w14:textId="77777777" w:rsidR="00602606" w:rsidRDefault="00602606">
      <w:pPr>
        <w:widowControl w:val="0"/>
        <w:rPr>
          <w:sz w:val="22"/>
          <w:szCs w:val="22"/>
        </w:rPr>
      </w:pPr>
    </w:p>
    <w:p w14:paraId="342EDF87" w14:textId="77777777" w:rsidR="00602606" w:rsidRDefault="00604AEE">
      <w:pPr>
        <w:widowControl w:val="0"/>
        <w:pBdr>
          <w:top w:val="single" w:sz="4" w:space="1" w:color="auto"/>
          <w:left w:val="single" w:sz="4" w:space="4" w:color="auto"/>
          <w:bottom w:val="single" w:sz="4" w:space="1" w:color="auto"/>
          <w:right w:val="single" w:sz="4" w:space="4" w:color="auto"/>
        </w:pBdr>
        <w:ind w:left="567" w:hanging="567"/>
        <w:outlineLvl w:val="0"/>
        <w:rPr>
          <w:rFonts w:asciiTheme="minorHAnsi" w:eastAsiaTheme="minorHAnsi" w:hAnsiTheme="minorHAnsi" w:cstheme="minorBidi"/>
          <w:b/>
          <w:sz w:val="22"/>
          <w:szCs w:val="22"/>
          <w:lang w:val="lt-LT" w:eastAsia="en-US"/>
        </w:rPr>
      </w:pPr>
      <w:r>
        <w:rPr>
          <w:b/>
          <w:sz w:val="22"/>
          <w:szCs w:val="22"/>
        </w:rPr>
        <w:t>10.</w:t>
      </w:r>
      <w:r>
        <w:rPr>
          <w:b/>
          <w:sz w:val="22"/>
          <w:szCs w:val="22"/>
        </w:rPr>
        <w:tab/>
        <w:t>SPECIALIOS ATSARGUMO PRIEMONĖS DĖL NESUVARTOTO VAISTINIO PREPARATO AR JO ATLIEKŲ TVARKYMO (JEI REIKIA)</w:t>
      </w:r>
    </w:p>
    <w:p w14:paraId="0542053B" w14:textId="77777777" w:rsidR="00602606" w:rsidRDefault="00602606">
      <w:pPr>
        <w:widowControl w:val="0"/>
        <w:rPr>
          <w:sz w:val="22"/>
          <w:szCs w:val="22"/>
        </w:rPr>
      </w:pPr>
    </w:p>
    <w:p w14:paraId="50CF4AFA" w14:textId="77777777" w:rsidR="00602606" w:rsidRDefault="00602606">
      <w:pPr>
        <w:widowControl w:val="0"/>
        <w:rPr>
          <w:sz w:val="22"/>
          <w:szCs w:val="22"/>
        </w:rPr>
      </w:pPr>
    </w:p>
    <w:p w14:paraId="3B7C288B" w14:textId="77777777" w:rsidR="00602606" w:rsidRDefault="00604AEE">
      <w:pPr>
        <w:widowControl w:val="0"/>
        <w:pBdr>
          <w:top w:val="single" w:sz="4" w:space="1" w:color="auto"/>
          <w:left w:val="single" w:sz="4" w:space="4" w:color="auto"/>
          <w:bottom w:val="single" w:sz="4" w:space="1" w:color="auto"/>
          <w:right w:val="single" w:sz="4" w:space="4" w:color="auto"/>
        </w:pBdr>
        <w:ind w:left="567" w:hanging="567"/>
        <w:outlineLvl w:val="0"/>
        <w:rPr>
          <w:rFonts w:asciiTheme="minorHAnsi" w:eastAsiaTheme="minorHAnsi" w:hAnsiTheme="minorHAnsi" w:cstheme="minorBidi"/>
          <w:b/>
          <w:sz w:val="22"/>
          <w:szCs w:val="22"/>
          <w:lang w:val="lt-LT" w:eastAsia="en-US"/>
        </w:rPr>
      </w:pPr>
      <w:r>
        <w:rPr>
          <w:b/>
          <w:sz w:val="22"/>
          <w:szCs w:val="22"/>
        </w:rPr>
        <w:t>11.</w:t>
      </w:r>
      <w:r>
        <w:rPr>
          <w:b/>
          <w:sz w:val="22"/>
          <w:szCs w:val="22"/>
        </w:rPr>
        <w:tab/>
      </w:r>
      <w:r>
        <w:rPr>
          <w:b/>
          <w:caps/>
          <w:sz w:val="22"/>
          <w:szCs w:val="22"/>
        </w:rPr>
        <w:t>rEGISTRUOtojo PAVADINIMAS IR ADRESAS</w:t>
      </w:r>
    </w:p>
    <w:p w14:paraId="252C4087" w14:textId="77777777" w:rsidR="00602606" w:rsidRDefault="00602606">
      <w:pPr>
        <w:widowControl w:val="0"/>
        <w:rPr>
          <w:sz w:val="22"/>
          <w:szCs w:val="22"/>
        </w:rPr>
      </w:pPr>
    </w:p>
    <w:p w14:paraId="2DB44154" w14:textId="77777777" w:rsidR="00602606" w:rsidRDefault="00604AEE">
      <w:pPr>
        <w:widowControl w:val="0"/>
        <w:rPr>
          <w:rFonts w:asciiTheme="minorHAnsi" w:eastAsiaTheme="minorHAnsi" w:hAnsiTheme="minorHAnsi" w:cstheme="minorBidi"/>
          <w:sz w:val="22"/>
          <w:szCs w:val="22"/>
          <w:lang w:val="lt-LT" w:eastAsia="en-US"/>
        </w:rPr>
      </w:pPr>
      <w:r>
        <w:rPr>
          <w:sz w:val="22"/>
          <w:szCs w:val="22"/>
        </w:rPr>
        <w:t>KRKA, d. d., Novo mesto, Šmarješka cesta 6, 8501 Novo mesto, Slovėnija</w:t>
      </w:r>
    </w:p>
    <w:p w14:paraId="773AF586" w14:textId="77777777" w:rsidR="00602606" w:rsidRDefault="00602606">
      <w:pPr>
        <w:widowControl w:val="0"/>
        <w:rPr>
          <w:sz w:val="22"/>
          <w:szCs w:val="22"/>
        </w:rPr>
      </w:pPr>
    </w:p>
    <w:p w14:paraId="2BEA16DC" w14:textId="77777777" w:rsidR="00602606" w:rsidRDefault="00602606">
      <w:pPr>
        <w:widowControl w:val="0"/>
        <w:rPr>
          <w:sz w:val="22"/>
          <w:szCs w:val="22"/>
        </w:rPr>
      </w:pPr>
    </w:p>
    <w:p w14:paraId="4E7BAF17" w14:textId="77777777" w:rsidR="00602606" w:rsidRDefault="00604AEE">
      <w:pPr>
        <w:widowControl w:val="0"/>
        <w:pBdr>
          <w:top w:val="single" w:sz="4" w:space="1" w:color="auto"/>
          <w:left w:val="single" w:sz="4" w:space="4" w:color="auto"/>
          <w:bottom w:val="single" w:sz="4" w:space="0" w:color="auto"/>
          <w:right w:val="single" w:sz="4" w:space="4" w:color="auto"/>
        </w:pBdr>
        <w:ind w:left="567" w:hanging="567"/>
        <w:outlineLvl w:val="0"/>
        <w:rPr>
          <w:rFonts w:asciiTheme="minorHAnsi" w:eastAsiaTheme="minorHAnsi" w:hAnsiTheme="minorHAnsi" w:cstheme="minorBidi"/>
          <w:b/>
          <w:sz w:val="22"/>
          <w:szCs w:val="22"/>
          <w:lang w:val="lt-LT" w:eastAsia="en-US"/>
        </w:rPr>
      </w:pPr>
      <w:r>
        <w:rPr>
          <w:b/>
          <w:sz w:val="22"/>
          <w:szCs w:val="22"/>
        </w:rPr>
        <w:t>12.</w:t>
      </w:r>
      <w:r>
        <w:rPr>
          <w:b/>
          <w:sz w:val="22"/>
          <w:szCs w:val="22"/>
        </w:rPr>
        <w:tab/>
        <w:t>REGISTRACIJOS PAŽYMĖJIMO NUMERIS (-IAI)</w:t>
      </w:r>
    </w:p>
    <w:p w14:paraId="79F8F5E5" w14:textId="77777777" w:rsidR="00602606" w:rsidRDefault="00602606">
      <w:pPr>
        <w:widowControl w:val="0"/>
        <w:rPr>
          <w:sz w:val="22"/>
          <w:szCs w:val="22"/>
        </w:rPr>
      </w:pPr>
    </w:p>
    <w:p w14:paraId="5EFE4BA6" w14:textId="77777777" w:rsidR="00602606" w:rsidRDefault="00604AEE">
      <w:pPr>
        <w:rPr>
          <w:rFonts w:asciiTheme="minorHAnsi" w:eastAsiaTheme="minorHAnsi" w:hAnsiTheme="minorHAnsi" w:cstheme="minorBidi"/>
          <w:sz w:val="22"/>
          <w:szCs w:val="22"/>
          <w:shd w:val="clear" w:color="auto" w:fill="D9D9D9" w:themeFill="background1" w:themeFillShade="D9"/>
          <w:lang w:val="lt-LT" w:eastAsia="en-US"/>
        </w:rPr>
      </w:pPr>
      <w:r>
        <w:rPr>
          <w:sz w:val="22"/>
          <w:szCs w:val="22"/>
          <w:lang w:val="lt-LT"/>
        </w:rPr>
        <w:t xml:space="preserve">LT/1/19/4469/001 </w:t>
      </w:r>
      <w:r>
        <w:rPr>
          <w:sz w:val="22"/>
          <w:szCs w:val="22"/>
          <w:shd w:val="clear" w:color="auto" w:fill="D9D9D9" w:themeFill="background1" w:themeFillShade="D9"/>
          <w:lang w:val="lt-LT"/>
        </w:rPr>
        <w:t>– N7</w:t>
      </w:r>
    </w:p>
    <w:p w14:paraId="5CA90A13" w14:textId="77777777" w:rsidR="00602606" w:rsidRDefault="00604AEE">
      <w:pPr>
        <w:rPr>
          <w:rFonts w:asciiTheme="minorHAnsi" w:eastAsiaTheme="minorHAnsi" w:hAnsiTheme="minorHAnsi" w:cstheme="minorBidi"/>
          <w:sz w:val="22"/>
          <w:szCs w:val="22"/>
          <w:shd w:val="clear" w:color="auto" w:fill="D9D9D9" w:themeFill="background1" w:themeFillShade="D9"/>
          <w:lang w:val="lt-LT" w:eastAsia="en-US"/>
        </w:rPr>
      </w:pPr>
      <w:r>
        <w:rPr>
          <w:sz w:val="22"/>
          <w:szCs w:val="22"/>
          <w:shd w:val="clear" w:color="auto" w:fill="D9D9D9" w:themeFill="background1" w:themeFillShade="D9"/>
          <w:lang w:val="lt-LT"/>
        </w:rPr>
        <w:t>LT/1/19/4469/002 – N30</w:t>
      </w:r>
    </w:p>
    <w:p w14:paraId="5BF474E2" w14:textId="77777777" w:rsidR="00602606" w:rsidRDefault="00604AEE">
      <w:pPr>
        <w:widowControl w:val="0"/>
        <w:rPr>
          <w:rFonts w:asciiTheme="minorHAnsi" w:eastAsiaTheme="minorHAnsi" w:hAnsiTheme="minorHAnsi" w:cstheme="minorBidi"/>
          <w:sz w:val="22"/>
          <w:szCs w:val="22"/>
          <w:shd w:val="clear" w:color="auto" w:fill="D9D9D9" w:themeFill="background1" w:themeFillShade="D9"/>
          <w:lang w:val="lt-LT" w:eastAsia="en-US"/>
        </w:rPr>
      </w:pPr>
      <w:r>
        <w:rPr>
          <w:sz w:val="22"/>
          <w:szCs w:val="22"/>
          <w:shd w:val="clear" w:color="auto" w:fill="D9D9D9" w:themeFill="background1" w:themeFillShade="D9"/>
          <w:lang w:val="lt-LT"/>
        </w:rPr>
        <w:t>LT/1/19/4469/003 – N90</w:t>
      </w:r>
    </w:p>
    <w:p w14:paraId="4C34F737" w14:textId="77777777" w:rsidR="00602606" w:rsidRDefault="00602606">
      <w:pPr>
        <w:widowControl w:val="0"/>
        <w:rPr>
          <w:sz w:val="22"/>
          <w:szCs w:val="22"/>
        </w:rPr>
      </w:pPr>
    </w:p>
    <w:p w14:paraId="26FCCF26" w14:textId="77777777" w:rsidR="00602606" w:rsidRDefault="00602606">
      <w:pPr>
        <w:widowControl w:val="0"/>
        <w:rPr>
          <w:sz w:val="22"/>
          <w:szCs w:val="22"/>
        </w:rPr>
      </w:pPr>
    </w:p>
    <w:p w14:paraId="4BA3BA4C" w14:textId="77777777" w:rsidR="00602606" w:rsidRDefault="00604AEE">
      <w:pPr>
        <w:widowControl w:val="0"/>
        <w:pBdr>
          <w:top w:val="single" w:sz="4" w:space="1" w:color="auto"/>
          <w:left w:val="single" w:sz="4" w:space="4" w:color="auto"/>
          <w:bottom w:val="single" w:sz="4" w:space="1" w:color="auto"/>
          <w:right w:val="single" w:sz="4" w:space="4" w:color="auto"/>
        </w:pBdr>
        <w:ind w:left="567" w:hanging="567"/>
        <w:outlineLvl w:val="0"/>
        <w:rPr>
          <w:rFonts w:asciiTheme="minorHAnsi" w:eastAsiaTheme="minorHAnsi" w:hAnsiTheme="minorHAnsi" w:cstheme="minorBidi"/>
          <w:b/>
          <w:sz w:val="22"/>
          <w:szCs w:val="22"/>
          <w:lang w:val="lt-LT" w:eastAsia="en-US"/>
        </w:rPr>
      </w:pPr>
      <w:r>
        <w:rPr>
          <w:b/>
          <w:sz w:val="22"/>
          <w:szCs w:val="22"/>
        </w:rPr>
        <w:t>13.</w:t>
      </w:r>
      <w:r>
        <w:rPr>
          <w:b/>
          <w:sz w:val="22"/>
          <w:szCs w:val="22"/>
        </w:rPr>
        <w:tab/>
        <w:t>SERIJOS NUMERIS</w:t>
      </w:r>
    </w:p>
    <w:p w14:paraId="632ED91D" w14:textId="77777777" w:rsidR="00602606" w:rsidRDefault="00602606">
      <w:pPr>
        <w:widowControl w:val="0"/>
        <w:rPr>
          <w:sz w:val="22"/>
          <w:szCs w:val="22"/>
        </w:rPr>
      </w:pPr>
    </w:p>
    <w:p w14:paraId="174C0FC5" w14:textId="77777777" w:rsidR="00602606" w:rsidRDefault="00604AEE">
      <w:pPr>
        <w:widowControl w:val="0"/>
        <w:rPr>
          <w:rFonts w:asciiTheme="minorHAnsi" w:eastAsiaTheme="minorHAnsi" w:hAnsiTheme="minorHAnsi" w:cstheme="minorBidi"/>
          <w:sz w:val="22"/>
          <w:szCs w:val="22"/>
          <w:lang w:val="lt-LT" w:eastAsia="en-US"/>
        </w:rPr>
      </w:pPr>
      <w:r>
        <w:rPr>
          <w:sz w:val="22"/>
          <w:szCs w:val="22"/>
        </w:rPr>
        <w:t>Lot</w:t>
      </w:r>
    </w:p>
    <w:p w14:paraId="5C05B110" w14:textId="77777777" w:rsidR="00602606" w:rsidRDefault="00602606">
      <w:pPr>
        <w:widowControl w:val="0"/>
        <w:rPr>
          <w:sz w:val="22"/>
          <w:szCs w:val="22"/>
        </w:rPr>
      </w:pPr>
    </w:p>
    <w:p w14:paraId="61668B00" w14:textId="77777777" w:rsidR="00602606" w:rsidRDefault="00602606">
      <w:pPr>
        <w:widowControl w:val="0"/>
        <w:rPr>
          <w:sz w:val="22"/>
          <w:szCs w:val="22"/>
        </w:rPr>
      </w:pPr>
    </w:p>
    <w:p w14:paraId="35EF7730" w14:textId="77777777" w:rsidR="00602606" w:rsidRDefault="00604AEE">
      <w:pPr>
        <w:widowControl w:val="0"/>
        <w:pBdr>
          <w:top w:val="single" w:sz="4" w:space="1" w:color="auto"/>
          <w:left w:val="single" w:sz="4" w:space="4" w:color="auto"/>
          <w:bottom w:val="single" w:sz="4" w:space="1" w:color="auto"/>
          <w:right w:val="single" w:sz="4" w:space="4" w:color="auto"/>
        </w:pBdr>
        <w:ind w:left="567" w:hanging="567"/>
        <w:outlineLvl w:val="0"/>
        <w:rPr>
          <w:rFonts w:asciiTheme="minorHAnsi" w:eastAsiaTheme="minorHAnsi" w:hAnsiTheme="minorHAnsi" w:cstheme="minorBidi"/>
          <w:sz w:val="22"/>
          <w:szCs w:val="22"/>
          <w:lang w:val="lt-LT" w:eastAsia="en-US"/>
        </w:rPr>
      </w:pPr>
      <w:r>
        <w:rPr>
          <w:b/>
          <w:sz w:val="22"/>
          <w:szCs w:val="22"/>
        </w:rPr>
        <w:t>14.</w:t>
      </w:r>
      <w:r>
        <w:rPr>
          <w:b/>
          <w:sz w:val="22"/>
          <w:szCs w:val="22"/>
        </w:rPr>
        <w:tab/>
        <w:t>PARDAVIMO (IŠDAVIMO) TVARKA</w:t>
      </w:r>
    </w:p>
    <w:p w14:paraId="3EBC2D67" w14:textId="77777777" w:rsidR="00602606" w:rsidRDefault="00602606">
      <w:pPr>
        <w:widowControl w:val="0"/>
        <w:rPr>
          <w:sz w:val="22"/>
          <w:szCs w:val="22"/>
        </w:rPr>
      </w:pPr>
    </w:p>
    <w:p w14:paraId="54268E66" w14:textId="77777777" w:rsidR="00602606" w:rsidRDefault="00604AEE">
      <w:pPr>
        <w:widowControl w:val="0"/>
        <w:rPr>
          <w:rFonts w:asciiTheme="minorHAnsi" w:eastAsiaTheme="minorHAnsi" w:hAnsiTheme="minorHAnsi" w:cstheme="minorBidi"/>
          <w:sz w:val="22"/>
          <w:szCs w:val="22"/>
          <w:lang w:val="lt-LT" w:eastAsia="en-US"/>
        </w:rPr>
      </w:pPr>
      <w:r>
        <w:rPr>
          <w:sz w:val="22"/>
          <w:szCs w:val="22"/>
        </w:rPr>
        <w:t>Receptinis vaistas.</w:t>
      </w:r>
    </w:p>
    <w:p w14:paraId="6631D1EB" w14:textId="77777777" w:rsidR="00602606" w:rsidRDefault="00602606">
      <w:pPr>
        <w:widowControl w:val="0"/>
        <w:rPr>
          <w:sz w:val="22"/>
          <w:szCs w:val="22"/>
        </w:rPr>
      </w:pPr>
    </w:p>
    <w:p w14:paraId="204F0FAC" w14:textId="77777777" w:rsidR="00602606" w:rsidRDefault="00602606">
      <w:pPr>
        <w:widowControl w:val="0"/>
        <w:rPr>
          <w:sz w:val="22"/>
          <w:szCs w:val="22"/>
        </w:rPr>
      </w:pPr>
    </w:p>
    <w:p w14:paraId="1418F129" w14:textId="77777777" w:rsidR="00602606" w:rsidRDefault="00604AEE">
      <w:pPr>
        <w:widowControl w:val="0"/>
        <w:pBdr>
          <w:top w:val="single" w:sz="4" w:space="2" w:color="auto"/>
          <w:left w:val="single" w:sz="4" w:space="4" w:color="auto"/>
          <w:bottom w:val="single" w:sz="4" w:space="1" w:color="auto"/>
          <w:right w:val="single" w:sz="4" w:space="4" w:color="auto"/>
        </w:pBdr>
        <w:ind w:left="567" w:hanging="567"/>
        <w:outlineLvl w:val="0"/>
        <w:rPr>
          <w:rFonts w:asciiTheme="minorHAnsi" w:eastAsiaTheme="minorHAnsi" w:hAnsiTheme="minorHAnsi" w:cstheme="minorBidi"/>
          <w:sz w:val="22"/>
          <w:szCs w:val="22"/>
          <w:lang w:val="lt-LT" w:eastAsia="en-US"/>
        </w:rPr>
      </w:pPr>
      <w:r>
        <w:rPr>
          <w:b/>
          <w:sz w:val="22"/>
          <w:szCs w:val="22"/>
        </w:rPr>
        <w:t>15.</w:t>
      </w:r>
      <w:r>
        <w:rPr>
          <w:b/>
          <w:sz w:val="22"/>
          <w:szCs w:val="22"/>
        </w:rPr>
        <w:tab/>
        <w:t>VARTOJIMO INSTRUKCIJA</w:t>
      </w:r>
    </w:p>
    <w:p w14:paraId="1BE863CD" w14:textId="77777777" w:rsidR="00602606" w:rsidRDefault="00602606">
      <w:pPr>
        <w:widowControl w:val="0"/>
        <w:rPr>
          <w:sz w:val="22"/>
          <w:szCs w:val="22"/>
        </w:rPr>
      </w:pPr>
    </w:p>
    <w:p w14:paraId="3D4961E6" w14:textId="77777777" w:rsidR="00602606" w:rsidRDefault="00602606">
      <w:pPr>
        <w:widowControl w:val="0"/>
        <w:rPr>
          <w:sz w:val="22"/>
          <w:szCs w:val="22"/>
        </w:rPr>
      </w:pPr>
    </w:p>
    <w:p w14:paraId="433D97C3" w14:textId="77777777" w:rsidR="00602606" w:rsidRDefault="00604AEE">
      <w:pPr>
        <w:widowControl w:val="0"/>
        <w:pBdr>
          <w:top w:val="single" w:sz="4" w:space="1" w:color="auto"/>
          <w:left w:val="single" w:sz="4" w:space="4" w:color="auto"/>
          <w:bottom w:val="single" w:sz="4" w:space="0" w:color="auto"/>
          <w:right w:val="single" w:sz="4" w:space="4" w:color="auto"/>
        </w:pBdr>
        <w:ind w:left="567" w:hanging="567"/>
        <w:rPr>
          <w:rFonts w:asciiTheme="minorHAnsi" w:eastAsiaTheme="minorHAnsi" w:hAnsiTheme="minorHAnsi" w:cstheme="minorBidi"/>
          <w:sz w:val="22"/>
          <w:szCs w:val="22"/>
          <w:lang w:val="lt-LT" w:eastAsia="en-US"/>
        </w:rPr>
      </w:pPr>
      <w:r>
        <w:rPr>
          <w:b/>
          <w:sz w:val="22"/>
          <w:szCs w:val="22"/>
        </w:rPr>
        <w:t>16.</w:t>
      </w:r>
      <w:r>
        <w:rPr>
          <w:b/>
          <w:sz w:val="22"/>
          <w:szCs w:val="22"/>
        </w:rPr>
        <w:tab/>
        <w:t>INFORMACIJA BRAILIO RAŠTU</w:t>
      </w:r>
    </w:p>
    <w:p w14:paraId="2CF3DA33" w14:textId="77777777" w:rsidR="00602606" w:rsidRDefault="00602606">
      <w:pPr>
        <w:widowControl w:val="0"/>
        <w:rPr>
          <w:rFonts w:eastAsia="SimSun"/>
          <w:sz w:val="22"/>
          <w:szCs w:val="22"/>
          <w:highlight w:val="lightGray"/>
        </w:rPr>
      </w:pPr>
    </w:p>
    <w:p w14:paraId="22069F82"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Dutasteride/Tamsulosin Krka 0,5 mg/0,4 mg</w:t>
      </w:r>
    </w:p>
    <w:p w14:paraId="732214EA" w14:textId="77777777" w:rsidR="00602606" w:rsidRDefault="00602606">
      <w:pPr>
        <w:widowControl w:val="0"/>
        <w:rPr>
          <w:sz w:val="22"/>
          <w:szCs w:val="22"/>
        </w:rPr>
      </w:pPr>
    </w:p>
    <w:p w14:paraId="7D895B47" w14:textId="77777777" w:rsidR="00602606" w:rsidRDefault="00602606">
      <w:pPr>
        <w:widowControl w:val="0"/>
        <w:rPr>
          <w:sz w:val="22"/>
          <w:szCs w:val="22"/>
        </w:rPr>
      </w:pPr>
    </w:p>
    <w:p w14:paraId="197F9FD1" w14:textId="77777777" w:rsidR="00602606" w:rsidRDefault="00604AEE">
      <w:pPr>
        <w:widowControl w:val="0"/>
        <w:pBdr>
          <w:top w:val="single" w:sz="4" w:space="1" w:color="auto"/>
          <w:left w:val="single" w:sz="4" w:space="4" w:color="auto"/>
          <w:bottom w:val="single" w:sz="4" w:space="0" w:color="auto"/>
          <w:right w:val="single" w:sz="4" w:space="4" w:color="auto"/>
        </w:pBdr>
        <w:ind w:left="567" w:hanging="567"/>
        <w:rPr>
          <w:rFonts w:asciiTheme="minorHAnsi" w:eastAsiaTheme="minorHAnsi" w:hAnsiTheme="minorHAnsi" w:cstheme="minorBidi"/>
          <w:i/>
          <w:sz w:val="22"/>
          <w:szCs w:val="22"/>
          <w:lang w:val="en-GB" w:eastAsia="en-US"/>
        </w:rPr>
      </w:pPr>
      <w:r>
        <w:rPr>
          <w:b/>
          <w:sz w:val="22"/>
          <w:szCs w:val="22"/>
          <w:lang w:val="en-GB"/>
        </w:rPr>
        <w:t>17.</w:t>
      </w:r>
      <w:r>
        <w:rPr>
          <w:b/>
          <w:sz w:val="22"/>
          <w:szCs w:val="22"/>
          <w:lang w:val="en-GB"/>
        </w:rPr>
        <w:tab/>
        <w:t>UNIKALUS IDENTIFIKATORIUS – 2D BRŪKŠNINIS KODAS</w:t>
      </w:r>
    </w:p>
    <w:p w14:paraId="5022D37E" w14:textId="77777777" w:rsidR="00602606" w:rsidRDefault="00602606">
      <w:pPr>
        <w:widowControl w:val="0"/>
        <w:rPr>
          <w:rFonts w:eastAsia="SimSun"/>
          <w:sz w:val="22"/>
          <w:szCs w:val="22"/>
          <w:highlight w:val="lightGray"/>
        </w:rPr>
      </w:pPr>
    </w:p>
    <w:p w14:paraId="631855F3" w14:textId="77777777" w:rsidR="00602606" w:rsidRDefault="00604AEE">
      <w:pPr>
        <w:widowControl w:val="0"/>
        <w:ind w:left="539" w:hanging="539"/>
        <w:rPr>
          <w:rFonts w:asciiTheme="minorHAnsi" w:eastAsia="Calibri" w:hAnsiTheme="minorHAnsi" w:cstheme="minorBidi"/>
          <w:sz w:val="22"/>
          <w:szCs w:val="22"/>
          <w:highlight w:val="lightGray"/>
          <w:lang w:val="lt-LT" w:eastAsia="en-US"/>
        </w:rPr>
      </w:pPr>
      <w:r>
        <w:rPr>
          <w:rFonts w:eastAsia="Calibri"/>
          <w:sz w:val="22"/>
          <w:szCs w:val="22"/>
          <w:highlight w:val="lightGray"/>
        </w:rPr>
        <w:t>2D brūkšninis kodas su nurodytu unikaliu identifikatoriumi.</w:t>
      </w:r>
    </w:p>
    <w:p w14:paraId="37A62890" w14:textId="77777777" w:rsidR="00602606" w:rsidRDefault="00602606">
      <w:pPr>
        <w:widowControl w:val="0"/>
        <w:ind w:left="539" w:hanging="539"/>
        <w:rPr>
          <w:sz w:val="22"/>
          <w:szCs w:val="22"/>
        </w:rPr>
      </w:pPr>
    </w:p>
    <w:p w14:paraId="7C6EFB9E" w14:textId="77777777" w:rsidR="00602606" w:rsidRDefault="00602606">
      <w:pPr>
        <w:widowControl w:val="0"/>
        <w:ind w:left="539" w:hanging="539"/>
        <w:rPr>
          <w:sz w:val="22"/>
          <w:szCs w:val="22"/>
        </w:rPr>
      </w:pPr>
    </w:p>
    <w:p w14:paraId="48B7DE66" w14:textId="77777777" w:rsidR="00602606" w:rsidRDefault="00604AEE">
      <w:pPr>
        <w:widowControl w:val="0"/>
        <w:pBdr>
          <w:top w:val="single" w:sz="4" w:space="1" w:color="auto"/>
          <w:left w:val="single" w:sz="4" w:space="4" w:color="auto"/>
          <w:bottom w:val="single" w:sz="4" w:space="0" w:color="auto"/>
          <w:right w:val="single" w:sz="4" w:space="4" w:color="auto"/>
        </w:pBdr>
        <w:ind w:left="567" w:hanging="567"/>
        <w:rPr>
          <w:rFonts w:asciiTheme="minorHAnsi" w:eastAsiaTheme="minorHAnsi" w:hAnsiTheme="minorHAnsi" w:cstheme="minorBidi"/>
          <w:i/>
          <w:sz w:val="22"/>
          <w:szCs w:val="22"/>
          <w:lang w:val="en-GB" w:eastAsia="en-US"/>
        </w:rPr>
      </w:pPr>
      <w:r>
        <w:rPr>
          <w:b/>
          <w:sz w:val="22"/>
          <w:szCs w:val="22"/>
          <w:lang w:val="en-GB"/>
        </w:rPr>
        <w:t>18.</w:t>
      </w:r>
      <w:r>
        <w:rPr>
          <w:b/>
          <w:sz w:val="22"/>
          <w:szCs w:val="22"/>
          <w:lang w:val="en-GB"/>
        </w:rPr>
        <w:tab/>
        <w:t xml:space="preserve">UNIKALUS IDENTIFIKATORIUS – </w:t>
      </w:r>
      <w:r w:rsidRPr="001F276A">
        <w:rPr>
          <w:b/>
          <w:sz w:val="22"/>
          <w:lang w:val="en-US"/>
        </w:rPr>
        <w:t>ŽMONĖMS SUPRANTAMI DUOMENYS</w:t>
      </w:r>
    </w:p>
    <w:p w14:paraId="50DBCE96" w14:textId="77777777" w:rsidR="00602606" w:rsidRDefault="00602606">
      <w:pPr>
        <w:widowControl w:val="0"/>
        <w:ind w:left="539" w:hanging="539"/>
        <w:rPr>
          <w:rFonts w:eastAsia="Calibri"/>
          <w:sz w:val="22"/>
          <w:szCs w:val="22"/>
        </w:rPr>
      </w:pPr>
    </w:p>
    <w:p w14:paraId="1B914109" w14:textId="77777777" w:rsidR="00602606" w:rsidRDefault="00604AEE">
      <w:pPr>
        <w:widowControl w:val="0"/>
        <w:ind w:left="539" w:hanging="539"/>
        <w:rPr>
          <w:rFonts w:asciiTheme="minorHAnsi" w:eastAsia="Calibri" w:hAnsiTheme="minorHAnsi" w:cstheme="minorBidi"/>
          <w:sz w:val="22"/>
          <w:szCs w:val="22"/>
          <w:lang w:val="lt-LT" w:eastAsia="en-US"/>
        </w:rPr>
      </w:pPr>
      <w:r>
        <w:rPr>
          <w:rFonts w:eastAsia="Calibri"/>
          <w:sz w:val="22"/>
          <w:szCs w:val="22"/>
        </w:rPr>
        <w:t>PC: {numeris}</w:t>
      </w:r>
    </w:p>
    <w:p w14:paraId="2E78C95E" w14:textId="77777777" w:rsidR="00602606" w:rsidRDefault="00604AEE">
      <w:pPr>
        <w:widowControl w:val="0"/>
        <w:ind w:left="539" w:hanging="539"/>
        <w:rPr>
          <w:rFonts w:asciiTheme="minorHAnsi" w:eastAsia="Calibri" w:hAnsiTheme="minorHAnsi" w:cstheme="minorBidi"/>
          <w:sz w:val="22"/>
          <w:szCs w:val="22"/>
          <w:lang w:val="lt-LT" w:eastAsia="en-US"/>
        </w:rPr>
      </w:pPr>
      <w:r>
        <w:rPr>
          <w:rFonts w:eastAsia="Calibri"/>
          <w:sz w:val="22"/>
          <w:szCs w:val="22"/>
        </w:rPr>
        <w:t>SN: {numeris}</w:t>
      </w:r>
    </w:p>
    <w:p w14:paraId="6AD1DF7B" w14:textId="77777777" w:rsidR="00602606" w:rsidRDefault="00604AEE">
      <w:pPr>
        <w:widowControl w:val="0"/>
        <w:ind w:left="539" w:hanging="539"/>
        <w:rPr>
          <w:rFonts w:asciiTheme="minorHAnsi" w:eastAsia="Calibri" w:hAnsiTheme="minorHAnsi" w:cstheme="minorBidi"/>
          <w:sz w:val="22"/>
          <w:szCs w:val="22"/>
          <w:lang w:val="lt-LT" w:eastAsia="en-US"/>
        </w:rPr>
      </w:pPr>
      <w:r>
        <w:rPr>
          <w:rFonts w:eastAsia="Calibri"/>
          <w:sz w:val="22"/>
          <w:szCs w:val="22"/>
          <w:highlight w:val="lightGray"/>
        </w:rPr>
        <w:t>NN: {numeris}</w:t>
      </w:r>
    </w:p>
    <w:p w14:paraId="107764B4" w14:textId="77777777" w:rsidR="00602606" w:rsidRDefault="00602606">
      <w:pPr>
        <w:widowControl w:val="0"/>
        <w:rPr>
          <w:sz w:val="22"/>
          <w:szCs w:val="22"/>
        </w:rPr>
      </w:pPr>
    </w:p>
    <w:p w14:paraId="4F5EF9F9" w14:textId="77777777" w:rsidR="00602606" w:rsidRDefault="00604AEE">
      <w:pPr>
        <w:widowControl w:val="0"/>
        <w:rPr>
          <w:sz w:val="22"/>
          <w:szCs w:val="22"/>
        </w:rPr>
      </w:pPr>
      <w:r>
        <w:rPr>
          <w:sz w:val="22"/>
          <w:szCs w:val="22"/>
        </w:rPr>
        <w:br w:type="page"/>
      </w:r>
    </w:p>
    <w:p w14:paraId="09A8A239" w14:textId="77777777" w:rsidR="00602606" w:rsidRDefault="00604AEE">
      <w:pPr>
        <w:widowControl w:val="0"/>
        <w:pBdr>
          <w:top w:val="single" w:sz="4" w:space="1" w:color="auto"/>
          <w:left w:val="single" w:sz="4" w:space="4" w:color="auto"/>
          <w:bottom w:val="single" w:sz="4" w:space="1" w:color="auto"/>
          <w:right w:val="single" w:sz="4" w:space="4" w:color="auto"/>
        </w:pBdr>
        <w:contextualSpacing/>
        <w:outlineLvl w:val="0"/>
        <w:rPr>
          <w:rFonts w:asciiTheme="minorHAnsi" w:eastAsia="Calibri" w:hAnsiTheme="minorHAnsi" w:cstheme="minorBidi"/>
          <w:b/>
          <w:sz w:val="22"/>
          <w:szCs w:val="22"/>
          <w:lang w:val="lt-LT" w:eastAsia="en-US"/>
        </w:rPr>
      </w:pPr>
      <w:r>
        <w:rPr>
          <w:rFonts w:eastAsia="Calibri"/>
          <w:b/>
          <w:sz w:val="22"/>
          <w:szCs w:val="22"/>
        </w:rPr>
        <w:t>INFORMACIJA ANT VIDINĖS PAKUOTĖS</w:t>
      </w:r>
    </w:p>
    <w:p w14:paraId="2564133D" w14:textId="77777777" w:rsidR="00602606" w:rsidRDefault="00602606">
      <w:pPr>
        <w:widowControl w:val="0"/>
        <w:pBdr>
          <w:top w:val="single" w:sz="4" w:space="1" w:color="auto"/>
          <w:left w:val="single" w:sz="4" w:space="4" w:color="auto"/>
          <w:bottom w:val="single" w:sz="4" w:space="1" w:color="auto"/>
          <w:right w:val="single" w:sz="4" w:space="4" w:color="auto"/>
        </w:pBdr>
        <w:contextualSpacing/>
        <w:outlineLvl w:val="0"/>
        <w:rPr>
          <w:rFonts w:eastAsia="Calibri"/>
          <w:sz w:val="22"/>
          <w:szCs w:val="22"/>
        </w:rPr>
      </w:pPr>
    </w:p>
    <w:p w14:paraId="0B42DD49" w14:textId="77777777" w:rsidR="00602606" w:rsidRDefault="00604AEE">
      <w:pPr>
        <w:widowControl w:val="0"/>
        <w:pBdr>
          <w:top w:val="single" w:sz="4" w:space="1" w:color="auto"/>
          <w:left w:val="single" w:sz="4" w:space="4" w:color="auto"/>
          <w:bottom w:val="single" w:sz="4" w:space="1" w:color="auto"/>
          <w:right w:val="single" w:sz="4" w:space="4" w:color="auto"/>
        </w:pBdr>
        <w:contextualSpacing/>
        <w:outlineLvl w:val="0"/>
        <w:rPr>
          <w:rFonts w:asciiTheme="minorHAnsi" w:eastAsia="Calibri" w:hAnsiTheme="minorHAnsi" w:cstheme="minorBidi"/>
          <w:b/>
          <w:sz w:val="22"/>
          <w:szCs w:val="22"/>
          <w:lang w:val="lt-LT" w:eastAsia="en-US"/>
        </w:rPr>
      </w:pPr>
      <w:r>
        <w:rPr>
          <w:rFonts w:eastAsia="Calibri"/>
          <w:b/>
          <w:sz w:val="22"/>
          <w:szCs w:val="22"/>
        </w:rPr>
        <w:t xml:space="preserve">DTPE BUTELIUKO ETIKETĖ </w:t>
      </w:r>
    </w:p>
    <w:p w14:paraId="1F2FEFFF" w14:textId="77777777" w:rsidR="00602606" w:rsidRDefault="00602606">
      <w:pPr>
        <w:widowControl w:val="0"/>
        <w:contextualSpacing/>
        <w:outlineLvl w:val="0"/>
        <w:rPr>
          <w:rFonts w:eastAsia="Calibri"/>
          <w:sz w:val="22"/>
          <w:szCs w:val="22"/>
        </w:rPr>
      </w:pPr>
    </w:p>
    <w:p w14:paraId="0D16BF24" w14:textId="77777777" w:rsidR="00602606" w:rsidRDefault="00602606">
      <w:pPr>
        <w:widowControl w:val="0"/>
        <w:contextualSpacing/>
        <w:outlineLvl w:val="0"/>
        <w:rPr>
          <w:rFonts w:eastAsia="Calibri"/>
          <w:sz w:val="22"/>
          <w:szCs w:val="22"/>
        </w:rPr>
      </w:pPr>
    </w:p>
    <w:p w14:paraId="3CAF6FB7" w14:textId="77777777" w:rsidR="00602606" w:rsidRDefault="00604AEE">
      <w:pPr>
        <w:widowControl w:val="0"/>
        <w:pBdr>
          <w:top w:val="single" w:sz="4" w:space="1" w:color="auto"/>
          <w:left w:val="single" w:sz="4" w:space="4" w:color="auto"/>
          <w:bottom w:val="single" w:sz="4" w:space="1" w:color="auto"/>
          <w:right w:val="single" w:sz="4" w:space="4" w:color="auto"/>
        </w:pBdr>
        <w:ind w:left="567" w:hanging="567"/>
        <w:rPr>
          <w:rFonts w:asciiTheme="minorHAnsi" w:eastAsia="Calibri" w:hAnsiTheme="minorHAnsi" w:cstheme="minorBidi"/>
          <w:sz w:val="22"/>
          <w:szCs w:val="22"/>
          <w:lang w:val="lt-LT" w:eastAsia="en-US"/>
        </w:rPr>
      </w:pPr>
      <w:r>
        <w:rPr>
          <w:rFonts w:eastAsia="Calibri"/>
          <w:b/>
          <w:sz w:val="22"/>
          <w:szCs w:val="22"/>
        </w:rPr>
        <w:t>1.</w:t>
      </w:r>
      <w:r>
        <w:rPr>
          <w:rFonts w:eastAsia="Calibri"/>
          <w:b/>
          <w:sz w:val="22"/>
          <w:szCs w:val="22"/>
        </w:rPr>
        <w:tab/>
        <w:t>VAISTINIO PREPARATO PAVADINIMAS</w:t>
      </w:r>
    </w:p>
    <w:p w14:paraId="315D9CB1" w14:textId="77777777" w:rsidR="00602606" w:rsidRDefault="00602606">
      <w:pPr>
        <w:widowControl w:val="0"/>
        <w:contextualSpacing/>
        <w:outlineLvl w:val="0"/>
        <w:rPr>
          <w:rFonts w:eastAsia="Calibri"/>
          <w:sz w:val="22"/>
          <w:szCs w:val="22"/>
        </w:rPr>
      </w:pPr>
    </w:p>
    <w:p w14:paraId="6F510AA4"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Dutasteride/Tamsulosin Krka 0,5 mg/0,4 mg kietosios kapsulės</w:t>
      </w:r>
    </w:p>
    <w:p w14:paraId="13121557" w14:textId="77777777" w:rsidR="00602606" w:rsidRDefault="00602606">
      <w:pPr>
        <w:widowControl w:val="0"/>
        <w:contextualSpacing/>
        <w:outlineLvl w:val="0"/>
        <w:rPr>
          <w:rFonts w:eastAsia="Calibri"/>
          <w:sz w:val="22"/>
          <w:szCs w:val="22"/>
        </w:rPr>
      </w:pPr>
    </w:p>
    <w:p w14:paraId="37C9637A" w14:textId="77777777" w:rsidR="00602606" w:rsidRDefault="00604AEE">
      <w:pPr>
        <w:widowControl w:val="0"/>
        <w:rPr>
          <w:rFonts w:asciiTheme="minorHAnsi" w:eastAsiaTheme="minorHAnsi" w:hAnsiTheme="minorHAnsi" w:cstheme="minorBidi"/>
          <w:sz w:val="22"/>
          <w:szCs w:val="22"/>
          <w:lang w:val="lt-LT" w:eastAsia="en-US"/>
        </w:rPr>
      </w:pPr>
      <w:r>
        <w:rPr>
          <w:sz w:val="22"/>
          <w:szCs w:val="22"/>
        </w:rPr>
        <w:t>dutasteridas/tamsulozino hidrochloridas</w:t>
      </w:r>
    </w:p>
    <w:p w14:paraId="43FA13FD" w14:textId="77777777" w:rsidR="00602606" w:rsidRDefault="00602606">
      <w:pPr>
        <w:widowControl w:val="0"/>
        <w:contextualSpacing/>
        <w:outlineLvl w:val="0"/>
        <w:rPr>
          <w:rFonts w:eastAsia="Calibri"/>
          <w:sz w:val="22"/>
          <w:szCs w:val="22"/>
        </w:rPr>
      </w:pPr>
    </w:p>
    <w:p w14:paraId="6BDDB47D" w14:textId="77777777" w:rsidR="00602606" w:rsidRDefault="00602606">
      <w:pPr>
        <w:widowControl w:val="0"/>
        <w:contextualSpacing/>
        <w:outlineLvl w:val="0"/>
        <w:rPr>
          <w:rFonts w:eastAsia="Calibri"/>
          <w:sz w:val="22"/>
          <w:szCs w:val="22"/>
        </w:rPr>
      </w:pPr>
    </w:p>
    <w:p w14:paraId="3362089C" w14:textId="77777777" w:rsidR="00602606" w:rsidRDefault="00604AEE">
      <w:pPr>
        <w:widowControl w:val="0"/>
        <w:pBdr>
          <w:top w:val="single" w:sz="4" w:space="1" w:color="auto"/>
          <w:left w:val="single" w:sz="4" w:space="4" w:color="auto"/>
          <w:bottom w:val="single" w:sz="4" w:space="1" w:color="auto"/>
          <w:right w:val="single" w:sz="4" w:space="4" w:color="auto"/>
        </w:pBdr>
        <w:ind w:left="567" w:hanging="567"/>
        <w:rPr>
          <w:rFonts w:asciiTheme="minorHAnsi" w:eastAsia="Calibri" w:hAnsiTheme="minorHAnsi" w:cstheme="minorBidi"/>
          <w:b/>
          <w:sz w:val="22"/>
          <w:szCs w:val="22"/>
          <w:lang w:val="lt-LT" w:eastAsia="en-US"/>
        </w:rPr>
      </w:pPr>
      <w:r>
        <w:rPr>
          <w:rFonts w:eastAsia="Calibri"/>
          <w:b/>
          <w:sz w:val="22"/>
          <w:szCs w:val="22"/>
        </w:rPr>
        <w:t>2.</w:t>
      </w:r>
      <w:r>
        <w:rPr>
          <w:rFonts w:eastAsia="Calibri"/>
          <w:b/>
          <w:sz w:val="22"/>
          <w:szCs w:val="22"/>
        </w:rPr>
        <w:tab/>
        <w:t>VEIKLIOJI (</w:t>
      </w:r>
      <w:r w:rsidRPr="001F276A">
        <w:rPr>
          <w:rFonts w:eastAsia="Calibri"/>
          <w:b/>
          <w:sz w:val="22"/>
        </w:rPr>
        <w:t>-IOS) MEDŽIAGA (-OS) IR JOS (-Ų) KIEKIS (-IAI)</w:t>
      </w:r>
    </w:p>
    <w:p w14:paraId="52F12369" w14:textId="77777777" w:rsidR="00602606" w:rsidRDefault="00602606">
      <w:pPr>
        <w:widowControl w:val="0"/>
        <w:contextualSpacing/>
        <w:outlineLvl w:val="0"/>
        <w:rPr>
          <w:rFonts w:eastAsia="Calibri"/>
          <w:sz w:val="22"/>
          <w:szCs w:val="22"/>
        </w:rPr>
      </w:pPr>
    </w:p>
    <w:p w14:paraId="07E84BB7"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 xml:space="preserve">Kiekvienoje kietojoje </w:t>
      </w:r>
      <w:r w:rsidRPr="001F276A">
        <w:rPr>
          <w:rFonts w:eastAsia="Calibri"/>
          <w:sz w:val="22"/>
        </w:rPr>
        <w:t>kapsulėje yra 0,5 mg dutasterido ir 0,4 mg tamsulozino hidrochlorido (atitinkančio 0,367 mg tamsulozino).</w:t>
      </w:r>
    </w:p>
    <w:p w14:paraId="75AD536A" w14:textId="77777777" w:rsidR="00602606" w:rsidRDefault="00602606">
      <w:pPr>
        <w:widowControl w:val="0"/>
        <w:contextualSpacing/>
        <w:outlineLvl w:val="0"/>
        <w:rPr>
          <w:rFonts w:eastAsia="Calibri"/>
          <w:sz w:val="22"/>
          <w:szCs w:val="22"/>
        </w:rPr>
      </w:pPr>
    </w:p>
    <w:p w14:paraId="15660298" w14:textId="77777777" w:rsidR="00602606" w:rsidRDefault="00602606">
      <w:pPr>
        <w:widowControl w:val="0"/>
        <w:contextualSpacing/>
        <w:outlineLvl w:val="0"/>
        <w:rPr>
          <w:rFonts w:eastAsia="Calibri"/>
          <w:sz w:val="22"/>
          <w:szCs w:val="22"/>
        </w:rPr>
      </w:pPr>
    </w:p>
    <w:p w14:paraId="057E4914" w14:textId="77777777" w:rsidR="00602606" w:rsidRDefault="00604AEE">
      <w:pPr>
        <w:widowControl w:val="0"/>
        <w:pBdr>
          <w:top w:val="single" w:sz="4" w:space="1" w:color="auto"/>
          <w:left w:val="single" w:sz="4" w:space="4" w:color="auto"/>
          <w:bottom w:val="single" w:sz="4" w:space="1" w:color="auto"/>
          <w:right w:val="single" w:sz="4" w:space="4" w:color="auto"/>
        </w:pBdr>
        <w:ind w:left="567" w:hanging="567"/>
        <w:rPr>
          <w:rFonts w:asciiTheme="minorHAnsi" w:eastAsia="Calibri" w:hAnsiTheme="minorHAnsi" w:cstheme="minorBidi"/>
          <w:b/>
          <w:sz w:val="22"/>
          <w:szCs w:val="22"/>
          <w:lang w:val="lt-LT" w:eastAsia="en-US"/>
        </w:rPr>
      </w:pPr>
      <w:r>
        <w:rPr>
          <w:rFonts w:eastAsia="Calibri"/>
          <w:b/>
          <w:sz w:val="22"/>
          <w:szCs w:val="22"/>
        </w:rPr>
        <w:t>3.</w:t>
      </w:r>
      <w:r>
        <w:rPr>
          <w:rFonts w:eastAsia="Calibri"/>
          <w:b/>
          <w:sz w:val="22"/>
          <w:szCs w:val="22"/>
        </w:rPr>
        <w:tab/>
        <w:t>PAGALBINIŲ MEDŽIAGŲ SĄRAŠAS</w:t>
      </w:r>
    </w:p>
    <w:p w14:paraId="58C63F28" w14:textId="77777777" w:rsidR="00602606" w:rsidRDefault="00602606">
      <w:pPr>
        <w:widowControl w:val="0"/>
        <w:contextualSpacing/>
        <w:outlineLvl w:val="0"/>
        <w:rPr>
          <w:rFonts w:eastAsia="Calibri"/>
          <w:sz w:val="22"/>
          <w:szCs w:val="22"/>
        </w:rPr>
      </w:pPr>
    </w:p>
    <w:p w14:paraId="4871D8E4" w14:textId="77777777" w:rsidR="00602606" w:rsidRDefault="00604AEE">
      <w:pPr>
        <w:widowControl w:val="0"/>
        <w:rPr>
          <w:rFonts w:asciiTheme="minorHAnsi" w:eastAsiaTheme="minorHAnsi" w:hAnsiTheme="minorHAnsi" w:cstheme="minorBidi"/>
          <w:sz w:val="22"/>
          <w:szCs w:val="22"/>
          <w:lang w:val="lt-LT" w:eastAsia="en-US"/>
        </w:rPr>
      </w:pPr>
      <w:r>
        <w:rPr>
          <w:sz w:val="22"/>
          <w:szCs w:val="22"/>
        </w:rPr>
        <w:t>Sudėtyje yra sojų lecitino ir propilenglikolio.</w:t>
      </w:r>
    </w:p>
    <w:p w14:paraId="529A8A3A" w14:textId="77777777" w:rsidR="00602606" w:rsidRDefault="00604AEE">
      <w:pPr>
        <w:widowControl w:val="0"/>
        <w:rPr>
          <w:rFonts w:asciiTheme="minorHAnsi" w:eastAsiaTheme="minorHAnsi" w:hAnsiTheme="minorHAnsi" w:cstheme="minorBidi"/>
          <w:sz w:val="22"/>
          <w:szCs w:val="22"/>
          <w:lang w:val="lt-LT" w:eastAsia="en-US"/>
        </w:rPr>
      </w:pPr>
      <w:r>
        <w:rPr>
          <w:sz w:val="22"/>
          <w:szCs w:val="22"/>
        </w:rPr>
        <w:t>Daugiau informacijos pateikta pakuotės lapelyje.</w:t>
      </w:r>
    </w:p>
    <w:p w14:paraId="0DB5C663" w14:textId="77777777" w:rsidR="00602606" w:rsidRDefault="00602606">
      <w:pPr>
        <w:widowControl w:val="0"/>
        <w:contextualSpacing/>
        <w:outlineLvl w:val="0"/>
        <w:rPr>
          <w:rFonts w:eastAsia="Calibri"/>
          <w:sz w:val="22"/>
          <w:szCs w:val="22"/>
        </w:rPr>
      </w:pPr>
    </w:p>
    <w:p w14:paraId="11888C59" w14:textId="77777777" w:rsidR="00602606" w:rsidRDefault="00602606">
      <w:pPr>
        <w:widowControl w:val="0"/>
        <w:contextualSpacing/>
        <w:outlineLvl w:val="0"/>
        <w:rPr>
          <w:rFonts w:eastAsia="Calibri"/>
          <w:sz w:val="22"/>
          <w:szCs w:val="22"/>
        </w:rPr>
      </w:pPr>
    </w:p>
    <w:p w14:paraId="3E7CF7A4" w14:textId="77777777" w:rsidR="00602606" w:rsidRDefault="00604AEE">
      <w:pPr>
        <w:widowControl w:val="0"/>
        <w:pBdr>
          <w:top w:val="single" w:sz="4" w:space="1" w:color="auto"/>
          <w:left w:val="single" w:sz="4" w:space="4" w:color="auto"/>
          <w:bottom w:val="single" w:sz="4" w:space="1" w:color="auto"/>
          <w:right w:val="single" w:sz="4" w:space="4" w:color="auto"/>
        </w:pBdr>
        <w:ind w:left="567" w:hanging="567"/>
        <w:rPr>
          <w:rFonts w:asciiTheme="minorHAnsi" w:eastAsia="Calibri" w:hAnsiTheme="minorHAnsi" w:cstheme="minorBidi"/>
          <w:b/>
          <w:sz w:val="22"/>
          <w:szCs w:val="22"/>
          <w:lang w:val="lt-LT" w:eastAsia="en-US"/>
        </w:rPr>
      </w:pPr>
      <w:r>
        <w:rPr>
          <w:rFonts w:eastAsia="Calibri"/>
          <w:b/>
          <w:sz w:val="22"/>
          <w:szCs w:val="22"/>
        </w:rPr>
        <w:t>4.</w:t>
      </w:r>
      <w:r>
        <w:rPr>
          <w:rFonts w:eastAsia="Calibri"/>
          <w:b/>
          <w:sz w:val="22"/>
          <w:szCs w:val="22"/>
        </w:rPr>
        <w:tab/>
        <w:t>FARMACINĖ FORMA IR KIEKIS PAKUOTĖJE</w:t>
      </w:r>
    </w:p>
    <w:p w14:paraId="5B352917" w14:textId="77777777" w:rsidR="00602606" w:rsidRDefault="00602606">
      <w:pPr>
        <w:widowControl w:val="0"/>
        <w:contextualSpacing/>
        <w:outlineLvl w:val="0"/>
        <w:rPr>
          <w:rFonts w:eastAsia="Calibri"/>
          <w:sz w:val="22"/>
          <w:szCs w:val="22"/>
        </w:rPr>
      </w:pPr>
    </w:p>
    <w:p w14:paraId="21764162"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highlight w:val="lightGray"/>
        </w:rPr>
        <w:t>Kietoji kapsulė</w:t>
      </w:r>
    </w:p>
    <w:p w14:paraId="50B700E7" w14:textId="77777777" w:rsidR="00602606" w:rsidRDefault="00602606">
      <w:pPr>
        <w:widowControl w:val="0"/>
        <w:contextualSpacing/>
        <w:outlineLvl w:val="0"/>
        <w:rPr>
          <w:rFonts w:eastAsia="Calibri"/>
          <w:sz w:val="22"/>
          <w:szCs w:val="22"/>
        </w:rPr>
      </w:pPr>
    </w:p>
    <w:p w14:paraId="17AA6F85"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7 kietosios kapsulės</w:t>
      </w:r>
    </w:p>
    <w:p w14:paraId="0084ED61" w14:textId="77777777" w:rsidR="00602606" w:rsidRDefault="00604AEE">
      <w:pPr>
        <w:widowControl w:val="0"/>
        <w:contextualSpacing/>
        <w:outlineLvl w:val="0"/>
        <w:rPr>
          <w:rFonts w:asciiTheme="minorHAnsi" w:eastAsia="Calibri" w:hAnsiTheme="minorHAnsi" w:cstheme="minorBidi"/>
          <w:sz w:val="22"/>
          <w:szCs w:val="22"/>
          <w:highlight w:val="lightGray"/>
          <w:lang w:val="lt-LT" w:eastAsia="en-US"/>
        </w:rPr>
      </w:pPr>
      <w:r>
        <w:rPr>
          <w:rFonts w:eastAsia="Calibri"/>
          <w:sz w:val="22"/>
          <w:szCs w:val="22"/>
          <w:highlight w:val="lightGray"/>
        </w:rPr>
        <w:t>30 kietųjų kapsulių</w:t>
      </w:r>
    </w:p>
    <w:p w14:paraId="06934E3A"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highlight w:val="lightGray"/>
        </w:rPr>
        <w:t>90 kietųjų kapsulių</w:t>
      </w:r>
    </w:p>
    <w:p w14:paraId="5C2CAC16" w14:textId="77777777" w:rsidR="00602606" w:rsidRDefault="00602606">
      <w:pPr>
        <w:widowControl w:val="0"/>
        <w:contextualSpacing/>
        <w:outlineLvl w:val="0"/>
        <w:rPr>
          <w:rFonts w:eastAsia="Calibri"/>
          <w:sz w:val="22"/>
          <w:szCs w:val="22"/>
        </w:rPr>
      </w:pPr>
    </w:p>
    <w:p w14:paraId="38D2A2FD" w14:textId="77777777" w:rsidR="00602606" w:rsidRDefault="00602606">
      <w:pPr>
        <w:widowControl w:val="0"/>
        <w:contextualSpacing/>
        <w:outlineLvl w:val="0"/>
        <w:rPr>
          <w:rFonts w:eastAsia="Calibri"/>
          <w:sz w:val="22"/>
          <w:szCs w:val="22"/>
        </w:rPr>
      </w:pPr>
    </w:p>
    <w:p w14:paraId="03C39A15" w14:textId="77777777" w:rsidR="00602606" w:rsidRDefault="00604AEE">
      <w:pPr>
        <w:widowControl w:val="0"/>
        <w:pBdr>
          <w:top w:val="single" w:sz="4" w:space="1" w:color="auto"/>
          <w:left w:val="single" w:sz="4" w:space="4" w:color="auto"/>
          <w:bottom w:val="single" w:sz="4" w:space="1" w:color="auto"/>
          <w:right w:val="single" w:sz="4" w:space="4" w:color="auto"/>
        </w:pBdr>
        <w:ind w:left="567" w:hanging="567"/>
        <w:rPr>
          <w:rFonts w:asciiTheme="minorHAnsi" w:eastAsia="Calibri" w:hAnsiTheme="minorHAnsi" w:cstheme="minorBidi"/>
          <w:b/>
          <w:sz w:val="22"/>
          <w:szCs w:val="22"/>
          <w:lang w:val="lt-LT" w:eastAsia="en-US"/>
        </w:rPr>
      </w:pPr>
      <w:r>
        <w:rPr>
          <w:rFonts w:eastAsia="Calibri"/>
          <w:b/>
          <w:sz w:val="22"/>
          <w:szCs w:val="22"/>
        </w:rPr>
        <w:t>5.</w:t>
      </w:r>
      <w:r>
        <w:rPr>
          <w:rFonts w:eastAsia="Calibri"/>
          <w:b/>
          <w:sz w:val="22"/>
          <w:szCs w:val="22"/>
        </w:rPr>
        <w:tab/>
        <w:t>VARTOJIMO METODAS IR BŪDAS (-AI)</w:t>
      </w:r>
    </w:p>
    <w:p w14:paraId="01FAC6C3" w14:textId="77777777" w:rsidR="00602606" w:rsidRDefault="00602606">
      <w:pPr>
        <w:widowControl w:val="0"/>
        <w:contextualSpacing/>
        <w:outlineLvl w:val="0"/>
        <w:rPr>
          <w:rFonts w:eastAsia="Calibri"/>
          <w:sz w:val="22"/>
          <w:szCs w:val="22"/>
        </w:rPr>
      </w:pPr>
    </w:p>
    <w:p w14:paraId="0CA7E3FC"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highlight w:val="lightGray"/>
        </w:rPr>
        <w:t>Vartoti per burną.</w:t>
      </w:r>
    </w:p>
    <w:p w14:paraId="1FE1F66B"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Negalima kramtyti. Nuryti visą kapsulę.</w:t>
      </w:r>
    </w:p>
    <w:p w14:paraId="3AB7365C"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Prieš vartojimą perskaitykite pakuotės lapelį.</w:t>
      </w:r>
    </w:p>
    <w:p w14:paraId="21AD4DAA" w14:textId="77777777" w:rsidR="00602606" w:rsidRDefault="00602606">
      <w:pPr>
        <w:widowControl w:val="0"/>
        <w:contextualSpacing/>
        <w:outlineLvl w:val="0"/>
        <w:rPr>
          <w:rFonts w:eastAsia="Calibri"/>
          <w:sz w:val="22"/>
          <w:szCs w:val="22"/>
        </w:rPr>
      </w:pPr>
    </w:p>
    <w:p w14:paraId="108933A6" w14:textId="77777777" w:rsidR="00602606" w:rsidRDefault="00602606">
      <w:pPr>
        <w:widowControl w:val="0"/>
        <w:contextualSpacing/>
        <w:outlineLvl w:val="0"/>
        <w:rPr>
          <w:rFonts w:eastAsia="Calibri"/>
          <w:sz w:val="22"/>
          <w:szCs w:val="22"/>
        </w:rPr>
      </w:pPr>
    </w:p>
    <w:p w14:paraId="7A8F2651" w14:textId="77777777" w:rsidR="00602606" w:rsidRDefault="00604AEE">
      <w:pPr>
        <w:widowControl w:val="0"/>
        <w:pBdr>
          <w:top w:val="single" w:sz="4" w:space="1" w:color="auto"/>
          <w:left w:val="single" w:sz="4" w:space="4" w:color="auto"/>
          <w:bottom w:val="single" w:sz="4" w:space="1" w:color="auto"/>
          <w:right w:val="single" w:sz="4" w:space="4" w:color="auto"/>
        </w:pBdr>
        <w:ind w:left="567" w:hanging="567"/>
        <w:rPr>
          <w:rFonts w:asciiTheme="minorHAnsi" w:eastAsia="Calibri" w:hAnsiTheme="minorHAnsi" w:cstheme="minorBidi"/>
          <w:b/>
          <w:sz w:val="22"/>
          <w:szCs w:val="22"/>
          <w:lang w:val="lt-LT" w:eastAsia="en-US"/>
        </w:rPr>
      </w:pPr>
      <w:r>
        <w:rPr>
          <w:rFonts w:eastAsia="Calibri"/>
          <w:b/>
          <w:sz w:val="22"/>
          <w:szCs w:val="22"/>
        </w:rPr>
        <w:t>6.</w:t>
      </w:r>
      <w:r>
        <w:rPr>
          <w:rFonts w:eastAsia="Calibri"/>
          <w:b/>
          <w:sz w:val="22"/>
          <w:szCs w:val="22"/>
        </w:rPr>
        <w:tab/>
        <w:t>SPECIALUS ĮSPĖJIMAS, KAD VAISTINĮ PREPARATĄ BŪTINA LAIKYTI VAIKAMS NEPASTEBIMOJE IR NEPASIEKIAMOJE VIETOJE</w:t>
      </w:r>
    </w:p>
    <w:p w14:paraId="60BDE869" w14:textId="77777777" w:rsidR="00602606" w:rsidRDefault="00602606">
      <w:pPr>
        <w:widowControl w:val="0"/>
        <w:contextualSpacing/>
        <w:outlineLvl w:val="0"/>
        <w:rPr>
          <w:rFonts w:eastAsia="Calibri"/>
          <w:sz w:val="22"/>
          <w:szCs w:val="22"/>
        </w:rPr>
      </w:pPr>
    </w:p>
    <w:p w14:paraId="7089EF11"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Laikyti vaikams nepastebimoje ir nepasiekiamoje vietoje.</w:t>
      </w:r>
    </w:p>
    <w:p w14:paraId="76A540BB" w14:textId="77777777" w:rsidR="00602606" w:rsidRDefault="00602606">
      <w:pPr>
        <w:widowControl w:val="0"/>
        <w:contextualSpacing/>
        <w:outlineLvl w:val="0"/>
        <w:rPr>
          <w:rFonts w:eastAsia="Calibri"/>
          <w:sz w:val="22"/>
          <w:szCs w:val="22"/>
        </w:rPr>
      </w:pPr>
    </w:p>
    <w:p w14:paraId="3CB132F4" w14:textId="77777777" w:rsidR="00602606" w:rsidRDefault="00602606">
      <w:pPr>
        <w:widowControl w:val="0"/>
        <w:contextualSpacing/>
        <w:outlineLvl w:val="0"/>
        <w:rPr>
          <w:rFonts w:eastAsia="Calibri"/>
          <w:sz w:val="22"/>
          <w:szCs w:val="22"/>
        </w:rPr>
      </w:pPr>
    </w:p>
    <w:p w14:paraId="74FC9F91" w14:textId="77777777" w:rsidR="00602606" w:rsidRDefault="00604AEE">
      <w:pPr>
        <w:widowControl w:val="0"/>
        <w:pBdr>
          <w:top w:val="single" w:sz="4" w:space="1" w:color="auto"/>
          <w:left w:val="single" w:sz="4" w:space="4" w:color="auto"/>
          <w:bottom w:val="single" w:sz="4" w:space="1" w:color="auto"/>
          <w:right w:val="single" w:sz="4" w:space="4" w:color="auto"/>
        </w:pBdr>
        <w:ind w:left="567" w:hanging="567"/>
        <w:rPr>
          <w:rFonts w:asciiTheme="minorHAnsi" w:eastAsia="Calibri" w:hAnsiTheme="minorHAnsi" w:cstheme="minorBidi"/>
          <w:b/>
          <w:sz w:val="22"/>
          <w:szCs w:val="22"/>
          <w:lang w:val="lt-LT" w:eastAsia="en-US"/>
        </w:rPr>
      </w:pPr>
      <w:r>
        <w:rPr>
          <w:rFonts w:eastAsia="Calibri"/>
          <w:b/>
          <w:sz w:val="22"/>
          <w:szCs w:val="22"/>
        </w:rPr>
        <w:t>7.</w:t>
      </w:r>
      <w:r>
        <w:rPr>
          <w:rFonts w:eastAsia="Calibri"/>
          <w:b/>
          <w:sz w:val="22"/>
          <w:szCs w:val="22"/>
        </w:rPr>
        <w:tab/>
        <w:t xml:space="preserve">KITAS (-I) SPECIALUS </w:t>
      </w:r>
      <w:r w:rsidRPr="001F276A">
        <w:rPr>
          <w:rFonts w:eastAsia="Calibri"/>
          <w:b/>
          <w:sz w:val="22"/>
        </w:rPr>
        <w:t>(-ŪS) ĮSPĖJIMAS (-AI) (JEI REIKIA)</w:t>
      </w:r>
    </w:p>
    <w:p w14:paraId="1A827138" w14:textId="77777777" w:rsidR="00602606" w:rsidRDefault="00602606">
      <w:pPr>
        <w:widowControl w:val="0"/>
        <w:contextualSpacing/>
        <w:outlineLvl w:val="0"/>
        <w:rPr>
          <w:rFonts w:eastAsia="Calibri"/>
          <w:sz w:val="22"/>
          <w:szCs w:val="22"/>
        </w:rPr>
      </w:pPr>
    </w:p>
    <w:p w14:paraId="193E286B"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Vartoti tik vyrams.</w:t>
      </w:r>
    </w:p>
    <w:p w14:paraId="00A157C2"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 xml:space="preserve">Pažeistų kapsulių negalima liesti </w:t>
      </w:r>
      <w:r w:rsidRPr="001F276A">
        <w:rPr>
          <w:rFonts w:eastAsia="Calibri"/>
          <w:sz w:val="22"/>
        </w:rPr>
        <w:t>moterims, vaikams ir paaugliams.</w:t>
      </w:r>
    </w:p>
    <w:p w14:paraId="48B05A82" w14:textId="77777777" w:rsidR="00602606" w:rsidRDefault="00602606">
      <w:pPr>
        <w:widowControl w:val="0"/>
        <w:contextualSpacing/>
        <w:outlineLvl w:val="0"/>
        <w:rPr>
          <w:rFonts w:eastAsia="Calibri"/>
          <w:sz w:val="22"/>
          <w:szCs w:val="22"/>
        </w:rPr>
      </w:pPr>
    </w:p>
    <w:p w14:paraId="308D0D70" w14:textId="77777777" w:rsidR="00602606" w:rsidRDefault="00602606">
      <w:pPr>
        <w:widowControl w:val="0"/>
        <w:contextualSpacing/>
        <w:outlineLvl w:val="0"/>
        <w:rPr>
          <w:rFonts w:eastAsia="Calibri"/>
          <w:sz w:val="22"/>
          <w:szCs w:val="22"/>
        </w:rPr>
      </w:pPr>
    </w:p>
    <w:p w14:paraId="2E494952" w14:textId="77777777" w:rsidR="00602606" w:rsidRDefault="00604AEE">
      <w:pPr>
        <w:widowControl w:val="0"/>
        <w:pBdr>
          <w:top w:val="single" w:sz="4" w:space="1" w:color="auto"/>
          <w:left w:val="single" w:sz="4" w:space="4" w:color="auto"/>
          <w:bottom w:val="single" w:sz="4" w:space="1" w:color="auto"/>
          <w:right w:val="single" w:sz="4" w:space="4" w:color="auto"/>
        </w:pBdr>
        <w:ind w:left="567" w:hanging="567"/>
        <w:rPr>
          <w:rFonts w:asciiTheme="minorHAnsi" w:eastAsia="Calibri" w:hAnsiTheme="minorHAnsi" w:cstheme="minorBidi"/>
          <w:b/>
          <w:sz w:val="22"/>
          <w:szCs w:val="22"/>
          <w:lang w:val="lt-LT" w:eastAsia="en-US"/>
        </w:rPr>
      </w:pPr>
      <w:r>
        <w:rPr>
          <w:rFonts w:eastAsia="Calibri"/>
          <w:b/>
          <w:sz w:val="22"/>
          <w:szCs w:val="22"/>
        </w:rPr>
        <w:t>8.</w:t>
      </w:r>
      <w:r>
        <w:rPr>
          <w:rFonts w:eastAsia="Calibri"/>
          <w:b/>
          <w:sz w:val="22"/>
          <w:szCs w:val="22"/>
        </w:rPr>
        <w:tab/>
        <w:t>TINKAMUMO LAIKAS</w:t>
      </w:r>
    </w:p>
    <w:p w14:paraId="4C8E9B24" w14:textId="77777777" w:rsidR="00602606" w:rsidRDefault="00602606">
      <w:pPr>
        <w:widowControl w:val="0"/>
        <w:contextualSpacing/>
        <w:outlineLvl w:val="0"/>
        <w:rPr>
          <w:rFonts w:eastAsia="Calibri"/>
          <w:sz w:val="22"/>
          <w:szCs w:val="22"/>
        </w:rPr>
      </w:pPr>
    </w:p>
    <w:p w14:paraId="15E29171"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EXP (mm/MMMM)</w:t>
      </w:r>
    </w:p>
    <w:p w14:paraId="2FF25BF7" w14:textId="77777777" w:rsidR="00602606" w:rsidRDefault="00602606">
      <w:pPr>
        <w:widowControl w:val="0"/>
        <w:contextualSpacing/>
        <w:outlineLvl w:val="0"/>
        <w:rPr>
          <w:rFonts w:eastAsia="Calibri"/>
          <w:sz w:val="22"/>
          <w:szCs w:val="22"/>
        </w:rPr>
      </w:pPr>
    </w:p>
    <w:p w14:paraId="7FBEEA3E" w14:textId="77777777" w:rsidR="00602606" w:rsidRDefault="00602606">
      <w:pPr>
        <w:widowControl w:val="0"/>
        <w:contextualSpacing/>
        <w:outlineLvl w:val="0"/>
        <w:rPr>
          <w:rFonts w:eastAsia="Calibri"/>
          <w:i/>
          <w:sz w:val="22"/>
          <w:szCs w:val="22"/>
        </w:rPr>
      </w:pPr>
    </w:p>
    <w:p w14:paraId="5A2D52B8" w14:textId="77777777" w:rsidR="00602606" w:rsidRDefault="00604AEE">
      <w:pPr>
        <w:widowControl w:val="0"/>
        <w:pBdr>
          <w:top w:val="single" w:sz="4" w:space="1" w:color="auto"/>
          <w:left w:val="single" w:sz="4" w:space="4" w:color="auto"/>
          <w:bottom w:val="single" w:sz="4" w:space="1" w:color="auto"/>
          <w:right w:val="single" w:sz="4" w:space="4" w:color="auto"/>
        </w:pBdr>
        <w:ind w:left="567" w:hanging="567"/>
        <w:rPr>
          <w:rFonts w:asciiTheme="minorHAnsi" w:eastAsia="Calibri" w:hAnsiTheme="minorHAnsi" w:cstheme="minorBidi"/>
          <w:b/>
          <w:sz w:val="22"/>
          <w:szCs w:val="22"/>
          <w:lang w:val="lt-LT" w:eastAsia="en-US"/>
        </w:rPr>
      </w:pPr>
      <w:r>
        <w:rPr>
          <w:rFonts w:eastAsia="Calibri"/>
          <w:b/>
          <w:sz w:val="22"/>
          <w:szCs w:val="22"/>
        </w:rPr>
        <w:t>9.</w:t>
      </w:r>
      <w:r>
        <w:rPr>
          <w:rFonts w:eastAsia="Calibri"/>
          <w:b/>
          <w:sz w:val="22"/>
          <w:szCs w:val="22"/>
        </w:rPr>
        <w:tab/>
        <w:t>SPECIALIOS LAIKYMO SĄLYGOS</w:t>
      </w:r>
    </w:p>
    <w:p w14:paraId="17CB42F9" w14:textId="77777777" w:rsidR="00602606" w:rsidRDefault="00602606">
      <w:pPr>
        <w:widowControl w:val="0"/>
        <w:contextualSpacing/>
        <w:outlineLvl w:val="0"/>
        <w:rPr>
          <w:rFonts w:eastAsia="Calibri"/>
          <w:sz w:val="22"/>
          <w:szCs w:val="22"/>
        </w:rPr>
      </w:pPr>
    </w:p>
    <w:p w14:paraId="6BD51409" w14:textId="77777777" w:rsidR="00602606" w:rsidRDefault="00602606">
      <w:pPr>
        <w:widowControl w:val="0"/>
        <w:contextualSpacing/>
        <w:outlineLvl w:val="0"/>
        <w:rPr>
          <w:rFonts w:eastAsia="Calibri"/>
          <w:sz w:val="22"/>
          <w:szCs w:val="22"/>
        </w:rPr>
      </w:pPr>
    </w:p>
    <w:p w14:paraId="686E8558" w14:textId="77777777" w:rsidR="00602606" w:rsidRDefault="00604AEE">
      <w:pPr>
        <w:widowControl w:val="0"/>
        <w:pBdr>
          <w:top w:val="single" w:sz="4" w:space="1" w:color="auto"/>
          <w:left w:val="single" w:sz="4" w:space="4" w:color="auto"/>
          <w:bottom w:val="single" w:sz="4" w:space="1" w:color="auto"/>
          <w:right w:val="single" w:sz="4" w:space="4" w:color="auto"/>
        </w:pBdr>
        <w:ind w:left="567" w:hanging="567"/>
        <w:rPr>
          <w:rFonts w:asciiTheme="minorHAnsi" w:eastAsia="Calibri" w:hAnsiTheme="minorHAnsi" w:cstheme="minorBidi"/>
          <w:b/>
          <w:sz w:val="22"/>
          <w:szCs w:val="22"/>
          <w:lang w:val="lt-LT" w:eastAsia="en-US"/>
        </w:rPr>
      </w:pPr>
      <w:r>
        <w:rPr>
          <w:rFonts w:eastAsia="Calibri"/>
          <w:b/>
          <w:sz w:val="22"/>
          <w:szCs w:val="22"/>
        </w:rPr>
        <w:t>10.</w:t>
      </w:r>
      <w:r>
        <w:rPr>
          <w:rFonts w:eastAsia="Calibri"/>
          <w:b/>
          <w:sz w:val="22"/>
          <w:szCs w:val="22"/>
        </w:rPr>
        <w:tab/>
        <w:t xml:space="preserve">SPECIALIOS ATSARGUMO </w:t>
      </w:r>
      <w:r w:rsidRPr="001F276A">
        <w:rPr>
          <w:rFonts w:eastAsia="Calibri"/>
          <w:b/>
          <w:sz w:val="22"/>
        </w:rPr>
        <w:t>PRIEMONĖS DĖL NESUVARTOTO VAISTINIO PREPARATO AR JO ATLIEKU TVARKYMO (jei reikia)</w:t>
      </w:r>
    </w:p>
    <w:p w14:paraId="72FE6658" w14:textId="77777777" w:rsidR="00602606" w:rsidRDefault="00602606">
      <w:pPr>
        <w:widowControl w:val="0"/>
        <w:contextualSpacing/>
        <w:outlineLvl w:val="0"/>
        <w:rPr>
          <w:rFonts w:eastAsia="Calibri"/>
          <w:sz w:val="22"/>
          <w:szCs w:val="22"/>
        </w:rPr>
      </w:pPr>
    </w:p>
    <w:p w14:paraId="24A934F5" w14:textId="77777777" w:rsidR="00602606" w:rsidRDefault="00602606">
      <w:pPr>
        <w:widowControl w:val="0"/>
        <w:contextualSpacing/>
        <w:outlineLvl w:val="0"/>
        <w:rPr>
          <w:rFonts w:eastAsia="Calibri"/>
          <w:sz w:val="22"/>
          <w:szCs w:val="22"/>
        </w:rPr>
      </w:pPr>
    </w:p>
    <w:p w14:paraId="0A615F91" w14:textId="77777777" w:rsidR="00602606" w:rsidRDefault="00604AEE">
      <w:pPr>
        <w:widowControl w:val="0"/>
        <w:pBdr>
          <w:top w:val="single" w:sz="4" w:space="0" w:color="auto"/>
          <w:left w:val="single" w:sz="4" w:space="4" w:color="auto"/>
          <w:bottom w:val="single" w:sz="4" w:space="1" w:color="auto"/>
          <w:right w:val="single" w:sz="4" w:space="4" w:color="auto"/>
        </w:pBdr>
        <w:ind w:left="567" w:hanging="567"/>
        <w:rPr>
          <w:rFonts w:asciiTheme="minorHAnsi" w:eastAsia="Calibri" w:hAnsiTheme="minorHAnsi" w:cstheme="minorBidi"/>
          <w:b/>
          <w:sz w:val="22"/>
          <w:szCs w:val="22"/>
          <w:lang w:val="lt-LT" w:eastAsia="en-US"/>
        </w:rPr>
      </w:pPr>
      <w:r>
        <w:rPr>
          <w:rFonts w:eastAsia="Calibri"/>
          <w:b/>
          <w:sz w:val="22"/>
          <w:szCs w:val="22"/>
        </w:rPr>
        <w:t>11.</w:t>
      </w:r>
      <w:r>
        <w:rPr>
          <w:rFonts w:eastAsia="Calibri"/>
          <w:b/>
          <w:sz w:val="22"/>
          <w:szCs w:val="22"/>
        </w:rPr>
        <w:tab/>
        <w:t>REGISTRUOTOJO PAVADINIMAS IR ADRESAS</w:t>
      </w:r>
    </w:p>
    <w:p w14:paraId="549BF8DE" w14:textId="77777777" w:rsidR="00602606" w:rsidRDefault="00602606">
      <w:pPr>
        <w:widowControl w:val="0"/>
        <w:contextualSpacing/>
        <w:outlineLvl w:val="0"/>
        <w:rPr>
          <w:rFonts w:eastAsia="Calibri"/>
          <w:sz w:val="22"/>
          <w:szCs w:val="22"/>
        </w:rPr>
      </w:pPr>
    </w:p>
    <w:p w14:paraId="7EA74984" w14:textId="77777777" w:rsidR="00602606" w:rsidRDefault="00604AEE">
      <w:pPr>
        <w:widowControl w:val="0"/>
        <w:rPr>
          <w:rFonts w:asciiTheme="minorHAnsi" w:eastAsiaTheme="minorHAnsi" w:hAnsiTheme="minorHAnsi" w:cstheme="minorBidi"/>
          <w:sz w:val="22"/>
          <w:szCs w:val="22"/>
          <w:lang w:val="lt-LT" w:eastAsia="en-US"/>
        </w:rPr>
      </w:pPr>
      <w:r>
        <w:rPr>
          <w:sz w:val="22"/>
          <w:szCs w:val="22"/>
        </w:rPr>
        <w:t>KRKA, d. d., Novo mesto, Šmarješka cesta 6, 8501 Novo mesto, Slovėnija</w:t>
      </w:r>
    </w:p>
    <w:p w14:paraId="72BC4A3B" w14:textId="77777777" w:rsidR="00602606" w:rsidRDefault="00602606">
      <w:pPr>
        <w:widowControl w:val="0"/>
        <w:contextualSpacing/>
        <w:outlineLvl w:val="0"/>
        <w:rPr>
          <w:rFonts w:eastAsia="Calibri"/>
          <w:sz w:val="22"/>
          <w:szCs w:val="22"/>
        </w:rPr>
      </w:pPr>
    </w:p>
    <w:p w14:paraId="3C78AE3F" w14:textId="77777777" w:rsidR="00602606" w:rsidRDefault="00602606">
      <w:pPr>
        <w:widowControl w:val="0"/>
        <w:contextualSpacing/>
        <w:outlineLvl w:val="0"/>
        <w:rPr>
          <w:rFonts w:eastAsia="Calibri"/>
          <w:sz w:val="22"/>
          <w:szCs w:val="22"/>
        </w:rPr>
      </w:pPr>
    </w:p>
    <w:p w14:paraId="7CC1879E" w14:textId="77777777" w:rsidR="00602606" w:rsidRDefault="00604AEE">
      <w:pPr>
        <w:widowControl w:val="0"/>
        <w:pBdr>
          <w:top w:val="single" w:sz="4" w:space="1" w:color="auto"/>
          <w:left w:val="single" w:sz="4" w:space="4" w:color="auto"/>
          <w:bottom w:val="single" w:sz="4" w:space="1" w:color="auto"/>
          <w:right w:val="single" w:sz="4" w:space="4" w:color="auto"/>
        </w:pBdr>
        <w:ind w:left="567" w:hanging="567"/>
        <w:rPr>
          <w:rFonts w:asciiTheme="minorHAnsi" w:eastAsia="Calibri" w:hAnsiTheme="minorHAnsi" w:cstheme="minorBidi"/>
          <w:b/>
          <w:sz w:val="22"/>
          <w:szCs w:val="22"/>
          <w:lang w:val="lt-LT" w:eastAsia="en-US"/>
        </w:rPr>
      </w:pPr>
      <w:r>
        <w:rPr>
          <w:rFonts w:eastAsia="Calibri"/>
          <w:b/>
          <w:sz w:val="22"/>
          <w:szCs w:val="22"/>
        </w:rPr>
        <w:t>12.</w:t>
      </w:r>
      <w:r>
        <w:rPr>
          <w:rFonts w:eastAsia="Calibri"/>
          <w:b/>
          <w:sz w:val="22"/>
          <w:szCs w:val="22"/>
        </w:rPr>
        <w:tab/>
        <w:t>REGISTRACIJOS PAŽYMĖJIMO NUMERIS (-IAI)</w:t>
      </w:r>
    </w:p>
    <w:p w14:paraId="277CA559" w14:textId="77777777" w:rsidR="00602606" w:rsidRDefault="00602606">
      <w:pPr>
        <w:widowControl w:val="0"/>
        <w:contextualSpacing/>
        <w:outlineLvl w:val="0"/>
        <w:rPr>
          <w:rFonts w:eastAsia="Calibri"/>
          <w:sz w:val="22"/>
          <w:szCs w:val="22"/>
        </w:rPr>
      </w:pPr>
    </w:p>
    <w:p w14:paraId="73DFFF00" w14:textId="77777777" w:rsidR="00602606" w:rsidRDefault="00604AEE">
      <w:pPr>
        <w:rPr>
          <w:rFonts w:asciiTheme="minorHAnsi" w:eastAsiaTheme="minorHAnsi" w:hAnsiTheme="minorHAnsi" w:cstheme="minorBidi"/>
          <w:sz w:val="22"/>
          <w:szCs w:val="22"/>
          <w:shd w:val="clear" w:color="auto" w:fill="D9D9D9" w:themeFill="background1" w:themeFillShade="D9"/>
          <w:lang w:val="lt-LT" w:eastAsia="en-US"/>
        </w:rPr>
      </w:pPr>
      <w:r>
        <w:rPr>
          <w:sz w:val="22"/>
          <w:szCs w:val="22"/>
          <w:lang w:val="lt-LT"/>
        </w:rPr>
        <w:t xml:space="preserve">LT/1/19/4469/001 </w:t>
      </w:r>
      <w:r>
        <w:rPr>
          <w:sz w:val="22"/>
          <w:szCs w:val="22"/>
          <w:shd w:val="clear" w:color="auto" w:fill="D9D9D9" w:themeFill="background1" w:themeFillShade="D9"/>
          <w:lang w:val="lt-LT"/>
        </w:rPr>
        <w:t>– N7</w:t>
      </w:r>
    </w:p>
    <w:p w14:paraId="7346A1A0" w14:textId="77777777" w:rsidR="00602606" w:rsidRDefault="00604AEE">
      <w:pPr>
        <w:rPr>
          <w:rFonts w:asciiTheme="minorHAnsi" w:eastAsiaTheme="minorHAnsi" w:hAnsiTheme="minorHAnsi" w:cstheme="minorBidi"/>
          <w:sz w:val="22"/>
          <w:szCs w:val="22"/>
          <w:shd w:val="clear" w:color="auto" w:fill="D9D9D9" w:themeFill="background1" w:themeFillShade="D9"/>
          <w:lang w:val="lt-LT" w:eastAsia="en-US"/>
        </w:rPr>
      </w:pPr>
      <w:r>
        <w:rPr>
          <w:sz w:val="22"/>
          <w:szCs w:val="22"/>
          <w:shd w:val="clear" w:color="auto" w:fill="D9D9D9" w:themeFill="background1" w:themeFillShade="D9"/>
          <w:lang w:val="lt-LT"/>
        </w:rPr>
        <w:t>LT/1/19/4469/002 – N30</w:t>
      </w:r>
    </w:p>
    <w:p w14:paraId="77B3766D" w14:textId="77777777" w:rsidR="00602606" w:rsidRDefault="00604AEE">
      <w:pPr>
        <w:widowControl w:val="0"/>
        <w:rPr>
          <w:rFonts w:asciiTheme="minorHAnsi" w:eastAsiaTheme="minorHAnsi" w:hAnsiTheme="minorHAnsi" w:cstheme="minorBidi"/>
          <w:sz w:val="22"/>
          <w:szCs w:val="22"/>
          <w:shd w:val="clear" w:color="auto" w:fill="D9D9D9" w:themeFill="background1" w:themeFillShade="D9"/>
          <w:lang w:val="lt-LT" w:eastAsia="en-US"/>
        </w:rPr>
      </w:pPr>
      <w:r>
        <w:rPr>
          <w:sz w:val="22"/>
          <w:szCs w:val="22"/>
          <w:shd w:val="clear" w:color="auto" w:fill="D9D9D9" w:themeFill="background1" w:themeFillShade="D9"/>
          <w:lang w:val="lt-LT"/>
        </w:rPr>
        <w:t>LT/1/19/4469/003 – N90</w:t>
      </w:r>
    </w:p>
    <w:p w14:paraId="3AD324D1" w14:textId="77777777" w:rsidR="00602606" w:rsidRDefault="00602606">
      <w:pPr>
        <w:widowControl w:val="0"/>
        <w:contextualSpacing/>
        <w:outlineLvl w:val="0"/>
        <w:rPr>
          <w:rFonts w:eastAsia="Calibri"/>
          <w:sz w:val="22"/>
          <w:szCs w:val="22"/>
        </w:rPr>
      </w:pPr>
    </w:p>
    <w:p w14:paraId="51382B15" w14:textId="77777777" w:rsidR="00602606" w:rsidRDefault="00602606">
      <w:pPr>
        <w:widowControl w:val="0"/>
        <w:contextualSpacing/>
        <w:outlineLvl w:val="0"/>
        <w:rPr>
          <w:rFonts w:eastAsia="Calibri"/>
          <w:sz w:val="22"/>
          <w:szCs w:val="22"/>
        </w:rPr>
      </w:pPr>
    </w:p>
    <w:p w14:paraId="72D9B791" w14:textId="77777777" w:rsidR="00602606" w:rsidRDefault="00604AEE">
      <w:pPr>
        <w:widowControl w:val="0"/>
        <w:pBdr>
          <w:top w:val="single" w:sz="4" w:space="1" w:color="auto"/>
          <w:left w:val="single" w:sz="4" w:space="4" w:color="auto"/>
          <w:bottom w:val="single" w:sz="4" w:space="1" w:color="auto"/>
          <w:right w:val="single" w:sz="4" w:space="4" w:color="auto"/>
        </w:pBdr>
        <w:ind w:left="567" w:hanging="567"/>
        <w:rPr>
          <w:rFonts w:asciiTheme="minorHAnsi" w:eastAsia="Calibri" w:hAnsiTheme="minorHAnsi" w:cstheme="minorBidi"/>
          <w:b/>
          <w:sz w:val="22"/>
          <w:szCs w:val="22"/>
          <w:lang w:val="lt-LT" w:eastAsia="en-US"/>
        </w:rPr>
      </w:pPr>
      <w:r>
        <w:rPr>
          <w:rFonts w:eastAsia="Calibri"/>
          <w:b/>
          <w:sz w:val="22"/>
          <w:szCs w:val="22"/>
        </w:rPr>
        <w:t>13.</w:t>
      </w:r>
      <w:r>
        <w:rPr>
          <w:rFonts w:eastAsia="Calibri"/>
          <w:b/>
          <w:sz w:val="22"/>
          <w:szCs w:val="22"/>
        </w:rPr>
        <w:tab/>
        <w:t>SERIJOS NUMERIS</w:t>
      </w:r>
    </w:p>
    <w:p w14:paraId="256427F2" w14:textId="77777777" w:rsidR="00602606" w:rsidRDefault="00602606">
      <w:pPr>
        <w:widowControl w:val="0"/>
        <w:contextualSpacing/>
        <w:outlineLvl w:val="0"/>
        <w:rPr>
          <w:rFonts w:eastAsia="Calibri"/>
          <w:sz w:val="22"/>
          <w:szCs w:val="22"/>
        </w:rPr>
      </w:pPr>
    </w:p>
    <w:p w14:paraId="0E5D228B"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Lot</w:t>
      </w:r>
    </w:p>
    <w:p w14:paraId="2602E7BE" w14:textId="77777777" w:rsidR="00602606" w:rsidRDefault="00602606">
      <w:pPr>
        <w:widowControl w:val="0"/>
        <w:contextualSpacing/>
        <w:outlineLvl w:val="0"/>
        <w:rPr>
          <w:rFonts w:eastAsia="Calibri"/>
          <w:sz w:val="22"/>
          <w:szCs w:val="22"/>
        </w:rPr>
      </w:pPr>
    </w:p>
    <w:p w14:paraId="5881352B" w14:textId="77777777" w:rsidR="00602606" w:rsidRDefault="00602606">
      <w:pPr>
        <w:widowControl w:val="0"/>
        <w:contextualSpacing/>
        <w:outlineLvl w:val="0"/>
        <w:rPr>
          <w:rFonts w:eastAsia="Calibri"/>
          <w:sz w:val="22"/>
          <w:szCs w:val="22"/>
        </w:rPr>
      </w:pPr>
    </w:p>
    <w:p w14:paraId="6FE1A7F5" w14:textId="77777777" w:rsidR="00602606" w:rsidRDefault="00604AEE">
      <w:pPr>
        <w:widowControl w:val="0"/>
        <w:pBdr>
          <w:top w:val="single" w:sz="4" w:space="1" w:color="auto"/>
          <w:left w:val="single" w:sz="4" w:space="4" w:color="auto"/>
          <w:bottom w:val="single" w:sz="4" w:space="1" w:color="auto"/>
          <w:right w:val="single" w:sz="4" w:space="4" w:color="auto"/>
        </w:pBdr>
        <w:ind w:left="567" w:hanging="567"/>
        <w:rPr>
          <w:rFonts w:asciiTheme="minorHAnsi" w:eastAsia="Calibri" w:hAnsiTheme="minorHAnsi" w:cstheme="minorBidi"/>
          <w:b/>
          <w:sz w:val="22"/>
          <w:szCs w:val="22"/>
          <w:lang w:val="lt-LT" w:eastAsia="en-US"/>
        </w:rPr>
      </w:pPr>
      <w:r>
        <w:rPr>
          <w:rFonts w:eastAsia="Calibri"/>
          <w:b/>
          <w:sz w:val="22"/>
          <w:szCs w:val="22"/>
        </w:rPr>
        <w:t>14.</w:t>
      </w:r>
      <w:r>
        <w:rPr>
          <w:rFonts w:eastAsia="Calibri"/>
          <w:b/>
          <w:sz w:val="22"/>
          <w:szCs w:val="22"/>
        </w:rPr>
        <w:tab/>
        <w:t>PARDAVIMO (IŠDAVIMO) TVARKA</w:t>
      </w:r>
    </w:p>
    <w:p w14:paraId="3EF54D14" w14:textId="77777777" w:rsidR="00602606" w:rsidRDefault="00602606">
      <w:pPr>
        <w:widowControl w:val="0"/>
        <w:contextualSpacing/>
        <w:outlineLvl w:val="0"/>
        <w:rPr>
          <w:rFonts w:eastAsia="Calibri"/>
          <w:sz w:val="22"/>
          <w:szCs w:val="22"/>
        </w:rPr>
      </w:pPr>
    </w:p>
    <w:p w14:paraId="639AC178"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Receptinis vaistas.</w:t>
      </w:r>
    </w:p>
    <w:p w14:paraId="42FD0431" w14:textId="77777777" w:rsidR="00602606" w:rsidRDefault="00602606">
      <w:pPr>
        <w:widowControl w:val="0"/>
        <w:contextualSpacing/>
        <w:outlineLvl w:val="0"/>
        <w:rPr>
          <w:rFonts w:eastAsia="Calibri"/>
          <w:sz w:val="22"/>
          <w:szCs w:val="22"/>
        </w:rPr>
      </w:pPr>
    </w:p>
    <w:p w14:paraId="7F969F58" w14:textId="77777777" w:rsidR="00602606" w:rsidRDefault="00602606">
      <w:pPr>
        <w:widowControl w:val="0"/>
        <w:contextualSpacing/>
        <w:outlineLvl w:val="0"/>
        <w:rPr>
          <w:rFonts w:eastAsia="Calibri"/>
          <w:sz w:val="22"/>
          <w:szCs w:val="22"/>
        </w:rPr>
      </w:pPr>
    </w:p>
    <w:p w14:paraId="506BE11D" w14:textId="77777777" w:rsidR="00602606" w:rsidRDefault="00604AEE">
      <w:pPr>
        <w:widowControl w:val="0"/>
        <w:pBdr>
          <w:top w:val="single" w:sz="4" w:space="1" w:color="auto"/>
          <w:left w:val="single" w:sz="4" w:space="4" w:color="auto"/>
          <w:bottom w:val="single" w:sz="4" w:space="1" w:color="auto"/>
          <w:right w:val="single" w:sz="4" w:space="4" w:color="auto"/>
        </w:pBdr>
        <w:ind w:left="567" w:hanging="567"/>
        <w:rPr>
          <w:rFonts w:asciiTheme="minorHAnsi" w:eastAsia="Calibri" w:hAnsiTheme="minorHAnsi" w:cstheme="minorBidi"/>
          <w:b/>
          <w:sz w:val="22"/>
          <w:szCs w:val="22"/>
          <w:lang w:val="lt-LT" w:eastAsia="en-US"/>
        </w:rPr>
      </w:pPr>
      <w:r>
        <w:rPr>
          <w:rFonts w:eastAsia="Calibri"/>
          <w:b/>
          <w:sz w:val="22"/>
          <w:szCs w:val="22"/>
        </w:rPr>
        <w:t>15.</w:t>
      </w:r>
      <w:r>
        <w:rPr>
          <w:rFonts w:eastAsia="Calibri"/>
          <w:b/>
          <w:sz w:val="22"/>
          <w:szCs w:val="22"/>
        </w:rPr>
        <w:tab/>
        <w:t>VARTOJIMO INSTRUKCIJA</w:t>
      </w:r>
    </w:p>
    <w:p w14:paraId="55A7EFF9" w14:textId="77777777" w:rsidR="00602606" w:rsidRDefault="00602606">
      <w:pPr>
        <w:widowControl w:val="0"/>
        <w:contextualSpacing/>
        <w:outlineLvl w:val="0"/>
        <w:rPr>
          <w:rFonts w:eastAsia="Calibri"/>
          <w:sz w:val="22"/>
          <w:szCs w:val="22"/>
        </w:rPr>
      </w:pPr>
    </w:p>
    <w:p w14:paraId="26AE0684" w14:textId="77777777" w:rsidR="00602606" w:rsidRDefault="00602606">
      <w:pPr>
        <w:widowControl w:val="0"/>
        <w:contextualSpacing/>
        <w:outlineLvl w:val="0"/>
        <w:rPr>
          <w:rFonts w:eastAsia="Calibri"/>
          <w:sz w:val="22"/>
          <w:szCs w:val="22"/>
        </w:rPr>
      </w:pPr>
    </w:p>
    <w:p w14:paraId="7D3CAE5F" w14:textId="77777777" w:rsidR="00602606" w:rsidRDefault="00604AEE">
      <w:pPr>
        <w:widowControl w:val="0"/>
        <w:pBdr>
          <w:top w:val="single" w:sz="4" w:space="1" w:color="auto"/>
          <w:left w:val="single" w:sz="4" w:space="4" w:color="auto"/>
          <w:bottom w:val="single" w:sz="4" w:space="1" w:color="auto"/>
          <w:right w:val="single" w:sz="4" w:space="4" w:color="auto"/>
        </w:pBdr>
        <w:ind w:left="567" w:hanging="567"/>
        <w:rPr>
          <w:rFonts w:asciiTheme="minorHAnsi" w:eastAsia="Calibri" w:hAnsiTheme="minorHAnsi" w:cstheme="minorBidi"/>
          <w:b/>
          <w:sz w:val="22"/>
          <w:szCs w:val="22"/>
          <w:lang w:val="lt-LT" w:eastAsia="en-US"/>
        </w:rPr>
      </w:pPr>
      <w:r>
        <w:rPr>
          <w:rFonts w:eastAsia="Calibri"/>
          <w:b/>
          <w:sz w:val="22"/>
          <w:szCs w:val="22"/>
        </w:rPr>
        <w:t>16.</w:t>
      </w:r>
      <w:r>
        <w:rPr>
          <w:rFonts w:eastAsia="Calibri"/>
          <w:b/>
          <w:sz w:val="22"/>
          <w:szCs w:val="22"/>
        </w:rPr>
        <w:tab/>
        <w:t>INFORMACIJA BRAILIO RAŠTU</w:t>
      </w:r>
    </w:p>
    <w:p w14:paraId="1BFA6A1A" w14:textId="77777777" w:rsidR="00602606" w:rsidRDefault="00602606">
      <w:pPr>
        <w:widowControl w:val="0"/>
        <w:contextualSpacing/>
        <w:outlineLvl w:val="0"/>
        <w:rPr>
          <w:rFonts w:eastAsia="Calibri"/>
          <w:sz w:val="22"/>
          <w:szCs w:val="22"/>
        </w:rPr>
      </w:pPr>
    </w:p>
    <w:p w14:paraId="70C51706" w14:textId="77777777" w:rsidR="00602606" w:rsidRDefault="00602606">
      <w:pPr>
        <w:widowControl w:val="0"/>
        <w:contextualSpacing/>
        <w:outlineLvl w:val="0"/>
        <w:rPr>
          <w:rFonts w:eastAsia="Calibri"/>
          <w:sz w:val="22"/>
          <w:szCs w:val="22"/>
        </w:rPr>
      </w:pPr>
    </w:p>
    <w:p w14:paraId="54112821" w14:textId="77777777" w:rsidR="00602606" w:rsidRDefault="00604AEE">
      <w:pPr>
        <w:widowControl w:val="0"/>
        <w:pBdr>
          <w:top w:val="single" w:sz="4" w:space="1" w:color="auto"/>
          <w:left w:val="single" w:sz="4" w:space="4" w:color="auto"/>
          <w:bottom w:val="single" w:sz="4" w:space="1" w:color="auto"/>
          <w:right w:val="single" w:sz="4" w:space="4" w:color="auto"/>
        </w:pBdr>
        <w:ind w:left="567" w:hanging="567"/>
        <w:rPr>
          <w:rFonts w:asciiTheme="minorHAnsi" w:eastAsia="Calibri" w:hAnsiTheme="minorHAnsi" w:cstheme="minorBidi"/>
          <w:b/>
          <w:sz w:val="22"/>
          <w:szCs w:val="22"/>
          <w:lang w:val="lt-LT" w:eastAsia="en-US"/>
        </w:rPr>
      </w:pPr>
      <w:r>
        <w:rPr>
          <w:rFonts w:eastAsia="Calibri"/>
          <w:b/>
          <w:sz w:val="22"/>
          <w:szCs w:val="22"/>
        </w:rPr>
        <w:t>17.</w:t>
      </w:r>
      <w:r>
        <w:rPr>
          <w:rFonts w:eastAsia="Calibri"/>
          <w:b/>
          <w:sz w:val="22"/>
          <w:szCs w:val="22"/>
        </w:rPr>
        <w:tab/>
        <w:t xml:space="preserve">UNIKALUS IDENTIFIKATORIUS – 2D </w:t>
      </w:r>
      <w:r w:rsidRPr="001F276A">
        <w:rPr>
          <w:rFonts w:eastAsia="Calibri"/>
          <w:b/>
          <w:sz w:val="22"/>
        </w:rPr>
        <w:t>BRŪKŠNINIS KODAS</w:t>
      </w:r>
    </w:p>
    <w:p w14:paraId="313D6A02" w14:textId="77777777" w:rsidR="00602606" w:rsidRDefault="00602606">
      <w:pPr>
        <w:widowControl w:val="0"/>
        <w:contextualSpacing/>
        <w:outlineLvl w:val="0"/>
        <w:rPr>
          <w:rFonts w:eastAsia="Calibri"/>
          <w:sz w:val="22"/>
          <w:szCs w:val="22"/>
          <w:highlight w:val="lightGray"/>
        </w:rPr>
      </w:pPr>
    </w:p>
    <w:p w14:paraId="1C189769" w14:textId="77777777" w:rsidR="00602606" w:rsidRDefault="00602606">
      <w:pPr>
        <w:widowControl w:val="0"/>
        <w:contextualSpacing/>
        <w:outlineLvl w:val="0"/>
        <w:rPr>
          <w:rFonts w:eastAsia="Calibri"/>
          <w:sz w:val="22"/>
          <w:szCs w:val="22"/>
          <w:highlight w:val="lightGray"/>
        </w:rPr>
      </w:pPr>
    </w:p>
    <w:p w14:paraId="767551F6" w14:textId="77777777" w:rsidR="00602606" w:rsidRDefault="00604AEE">
      <w:pPr>
        <w:widowControl w:val="0"/>
        <w:pBdr>
          <w:top w:val="single" w:sz="4" w:space="1" w:color="auto"/>
          <w:left w:val="single" w:sz="4" w:space="4" w:color="auto"/>
          <w:bottom w:val="single" w:sz="4" w:space="1" w:color="auto"/>
          <w:right w:val="single" w:sz="4" w:space="4" w:color="auto"/>
        </w:pBdr>
        <w:ind w:left="567" w:hanging="567"/>
        <w:rPr>
          <w:rFonts w:asciiTheme="minorHAnsi" w:eastAsia="Calibri" w:hAnsiTheme="minorHAnsi" w:cstheme="minorBidi"/>
          <w:b/>
          <w:sz w:val="22"/>
          <w:szCs w:val="22"/>
          <w:lang w:val="lt-LT" w:eastAsia="en-US"/>
        </w:rPr>
      </w:pPr>
      <w:r>
        <w:rPr>
          <w:rFonts w:eastAsia="Calibri"/>
          <w:b/>
          <w:sz w:val="22"/>
          <w:szCs w:val="22"/>
        </w:rPr>
        <w:t>18.</w:t>
      </w:r>
      <w:r>
        <w:rPr>
          <w:rFonts w:eastAsia="Calibri"/>
          <w:b/>
          <w:sz w:val="22"/>
          <w:szCs w:val="22"/>
        </w:rPr>
        <w:tab/>
        <w:t>UNIKALUS IDENTIFIKATORIUS – ŽMONĖMS</w:t>
      </w:r>
      <w:r w:rsidRPr="001F276A">
        <w:rPr>
          <w:rFonts w:eastAsia="Calibri"/>
          <w:b/>
          <w:sz w:val="22"/>
        </w:rPr>
        <w:t xml:space="preserve"> SUPRANTAMI DUOMENYS</w:t>
      </w:r>
    </w:p>
    <w:p w14:paraId="0DD63AC3" w14:textId="77777777" w:rsidR="00602606" w:rsidRDefault="00602606">
      <w:pPr>
        <w:widowControl w:val="0"/>
        <w:rPr>
          <w:sz w:val="22"/>
          <w:szCs w:val="22"/>
        </w:rPr>
      </w:pPr>
    </w:p>
    <w:p w14:paraId="6E990FFF" w14:textId="77777777" w:rsidR="00602606" w:rsidRDefault="00602606">
      <w:pPr>
        <w:widowControl w:val="0"/>
        <w:outlineLvl w:val="0"/>
        <w:rPr>
          <w:sz w:val="22"/>
          <w:szCs w:val="22"/>
        </w:rPr>
      </w:pPr>
    </w:p>
    <w:p w14:paraId="01079C95" w14:textId="77777777" w:rsidR="00602606" w:rsidRDefault="00604AEE">
      <w:pPr>
        <w:widowControl w:val="0"/>
        <w:contextualSpacing/>
        <w:outlineLvl w:val="0"/>
        <w:rPr>
          <w:rFonts w:eastAsia="Calibri"/>
          <w:sz w:val="22"/>
          <w:szCs w:val="22"/>
        </w:rPr>
      </w:pPr>
      <w:r>
        <w:rPr>
          <w:rFonts w:eastAsia="Calibri"/>
          <w:sz w:val="22"/>
          <w:szCs w:val="22"/>
        </w:rPr>
        <w:br w:type="page"/>
      </w:r>
    </w:p>
    <w:p w14:paraId="1C0EA5D2" w14:textId="77777777" w:rsidR="00602606" w:rsidRDefault="00602606">
      <w:pPr>
        <w:widowControl w:val="0"/>
        <w:outlineLvl w:val="0"/>
        <w:rPr>
          <w:sz w:val="22"/>
          <w:szCs w:val="22"/>
        </w:rPr>
      </w:pPr>
    </w:p>
    <w:p w14:paraId="78FC2AC6" w14:textId="77777777" w:rsidR="00602606" w:rsidRDefault="00602606">
      <w:pPr>
        <w:widowControl w:val="0"/>
        <w:contextualSpacing/>
        <w:outlineLvl w:val="0"/>
        <w:rPr>
          <w:rFonts w:eastAsia="Calibri"/>
          <w:sz w:val="22"/>
          <w:szCs w:val="22"/>
        </w:rPr>
      </w:pPr>
    </w:p>
    <w:p w14:paraId="7D01F030" w14:textId="77777777" w:rsidR="00602606" w:rsidRDefault="00602606">
      <w:pPr>
        <w:widowControl w:val="0"/>
        <w:contextualSpacing/>
        <w:outlineLvl w:val="0"/>
        <w:rPr>
          <w:rFonts w:eastAsia="Calibri"/>
          <w:sz w:val="22"/>
          <w:szCs w:val="22"/>
        </w:rPr>
      </w:pPr>
    </w:p>
    <w:p w14:paraId="4E686C94" w14:textId="77777777" w:rsidR="00602606" w:rsidRDefault="00602606">
      <w:pPr>
        <w:widowControl w:val="0"/>
        <w:contextualSpacing/>
        <w:outlineLvl w:val="0"/>
        <w:rPr>
          <w:rFonts w:eastAsia="Calibri"/>
          <w:b/>
          <w:sz w:val="22"/>
          <w:szCs w:val="22"/>
        </w:rPr>
      </w:pPr>
      <w:bookmarkStart w:id="7" w:name="_Toc129243137"/>
      <w:bookmarkStart w:id="8" w:name="_Toc129243262"/>
      <w:bookmarkEnd w:id="1"/>
      <w:bookmarkEnd w:id="2"/>
    </w:p>
    <w:p w14:paraId="171A4F72" w14:textId="77777777" w:rsidR="00602606" w:rsidRDefault="00602606">
      <w:pPr>
        <w:widowControl w:val="0"/>
        <w:contextualSpacing/>
        <w:outlineLvl w:val="0"/>
        <w:rPr>
          <w:rFonts w:eastAsia="Calibri"/>
          <w:b/>
          <w:sz w:val="22"/>
          <w:szCs w:val="22"/>
        </w:rPr>
      </w:pPr>
    </w:p>
    <w:p w14:paraId="67668E8B" w14:textId="77777777" w:rsidR="00602606" w:rsidRDefault="00602606">
      <w:pPr>
        <w:widowControl w:val="0"/>
        <w:contextualSpacing/>
        <w:outlineLvl w:val="0"/>
        <w:rPr>
          <w:rFonts w:eastAsia="Calibri"/>
          <w:b/>
          <w:sz w:val="22"/>
          <w:szCs w:val="22"/>
        </w:rPr>
      </w:pPr>
    </w:p>
    <w:p w14:paraId="64776B4C" w14:textId="77777777" w:rsidR="00602606" w:rsidRDefault="00602606">
      <w:pPr>
        <w:widowControl w:val="0"/>
        <w:contextualSpacing/>
        <w:outlineLvl w:val="0"/>
        <w:rPr>
          <w:rFonts w:eastAsia="Calibri"/>
          <w:b/>
          <w:sz w:val="22"/>
          <w:szCs w:val="22"/>
        </w:rPr>
      </w:pPr>
    </w:p>
    <w:p w14:paraId="545C25AA" w14:textId="77777777" w:rsidR="00602606" w:rsidRDefault="00602606">
      <w:pPr>
        <w:widowControl w:val="0"/>
        <w:contextualSpacing/>
        <w:outlineLvl w:val="0"/>
        <w:rPr>
          <w:rFonts w:eastAsia="Calibri"/>
          <w:b/>
          <w:sz w:val="22"/>
          <w:szCs w:val="22"/>
        </w:rPr>
      </w:pPr>
    </w:p>
    <w:p w14:paraId="6E1DC98A" w14:textId="77777777" w:rsidR="00602606" w:rsidRDefault="00602606">
      <w:pPr>
        <w:widowControl w:val="0"/>
        <w:contextualSpacing/>
        <w:outlineLvl w:val="0"/>
        <w:rPr>
          <w:rFonts w:eastAsia="Calibri"/>
          <w:b/>
          <w:sz w:val="22"/>
          <w:szCs w:val="22"/>
        </w:rPr>
      </w:pPr>
    </w:p>
    <w:p w14:paraId="07C9AAB9" w14:textId="77777777" w:rsidR="00602606" w:rsidRDefault="00602606">
      <w:pPr>
        <w:widowControl w:val="0"/>
        <w:contextualSpacing/>
        <w:outlineLvl w:val="0"/>
        <w:rPr>
          <w:rFonts w:eastAsia="Calibri"/>
          <w:b/>
          <w:sz w:val="22"/>
          <w:szCs w:val="22"/>
        </w:rPr>
      </w:pPr>
    </w:p>
    <w:p w14:paraId="5EA72AC9" w14:textId="77777777" w:rsidR="00602606" w:rsidRDefault="00602606">
      <w:pPr>
        <w:widowControl w:val="0"/>
        <w:contextualSpacing/>
        <w:outlineLvl w:val="0"/>
        <w:rPr>
          <w:rFonts w:eastAsia="Calibri"/>
          <w:b/>
          <w:sz w:val="22"/>
          <w:szCs w:val="22"/>
        </w:rPr>
      </w:pPr>
    </w:p>
    <w:p w14:paraId="4E2147F8" w14:textId="77777777" w:rsidR="00602606" w:rsidRDefault="00602606">
      <w:pPr>
        <w:widowControl w:val="0"/>
        <w:contextualSpacing/>
        <w:outlineLvl w:val="0"/>
        <w:rPr>
          <w:rFonts w:eastAsia="Calibri"/>
          <w:b/>
          <w:sz w:val="22"/>
          <w:szCs w:val="22"/>
        </w:rPr>
      </w:pPr>
    </w:p>
    <w:p w14:paraId="6DD2E4F6" w14:textId="77777777" w:rsidR="00602606" w:rsidRDefault="00602606">
      <w:pPr>
        <w:widowControl w:val="0"/>
        <w:contextualSpacing/>
        <w:outlineLvl w:val="0"/>
        <w:rPr>
          <w:rFonts w:eastAsia="Calibri"/>
          <w:b/>
          <w:sz w:val="22"/>
          <w:szCs w:val="22"/>
        </w:rPr>
      </w:pPr>
    </w:p>
    <w:p w14:paraId="4EA69279" w14:textId="77777777" w:rsidR="00602606" w:rsidRDefault="00602606">
      <w:pPr>
        <w:widowControl w:val="0"/>
        <w:contextualSpacing/>
        <w:outlineLvl w:val="0"/>
        <w:rPr>
          <w:rFonts w:eastAsia="Calibri"/>
          <w:b/>
          <w:sz w:val="22"/>
          <w:szCs w:val="22"/>
        </w:rPr>
      </w:pPr>
    </w:p>
    <w:p w14:paraId="674E1561" w14:textId="77777777" w:rsidR="00602606" w:rsidRDefault="00602606">
      <w:pPr>
        <w:widowControl w:val="0"/>
        <w:contextualSpacing/>
        <w:outlineLvl w:val="0"/>
        <w:rPr>
          <w:rFonts w:eastAsia="Calibri"/>
          <w:b/>
          <w:sz w:val="22"/>
          <w:szCs w:val="22"/>
        </w:rPr>
      </w:pPr>
    </w:p>
    <w:p w14:paraId="399719E2" w14:textId="77777777" w:rsidR="00602606" w:rsidRDefault="00602606">
      <w:pPr>
        <w:widowControl w:val="0"/>
        <w:contextualSpacing/>
        <w:outlineLvl w:val="0"/>
        <w:rPr>
          <w:rFonts w:eastAsia="Calibri"/>
          <w:b/>
          <w:sz w:val="22"/>
          <w:szCs w:val="22"/>
        </w:rPr>
      </w:pPr>
    </w:p>
    <w:p w14:paraId="74C8BF4D" w14:textId="77777777" w:rsidR="00602606" w:rsidRDefault="00602606">
      <w:pPr>
        <w:widowControl w:val="0"/>
        <w:contextualSpacing/>
        <w:outlineLvl w:val="0"/>
        <w:rPr>
          <w:rFonts w:eastAsia="Calibri"/>
          <w:b/>
          <w:sz w:val="22"/>
          <w:szCs w:val="22"/>
        </w:rPr>
      </w:pPr>
    </w:p>
    <w:p w14:paraId="545FE2C2" w14:textId="77777777" w:rsidR="00602606" w:rsidRDefault="00602606">
      <w:pPr>
        <w:widowControl w:val="0"/>
        <w:contextualSpacing/>
        <w:outlineLvl w:val="0"/>
        <w:rPr>
          <w:rFonts w:eastAsia="Calibri"/>
          <w:b/>
          <w:sz w:val="22"/>
          <w:szCs w:val="22"/>
        </w:rPr>
      </w:pPr>
    </w:p>
    <w:p w14:paraId="7D8B1AFE" w14:textId="77777777" w:rsidR="00602606" w:rsidRDefault="00602606">
      <w:pPr>
        <w:widowControl w:val="0"/>
        <w:contextualSpacing/>
        <w:outlineLvl w:val="0"/>
        <w:rPr>
          <w:rFonts w:eastAsia="Calibri"/>
          <w:b/>
          <w:sz w:val="22"/>
          <w:szCs w:val="22"/>
        </w:rPr>
      </w:pPr>
    </w:p>
    <w:p w14:paraId="5C977F67" w14:textId="77777777" w:rsidR="00602606" w:rsidRDefault="00602606">
      <w:pPr>
        <w:widowControl w:val="0"/>
        <w:contextualSpacing/>
        <w:outlineLvl w:val="0"/>
        <w:rPr>
          <w:rFonts w:eastAsia="Calibri"/>
          <w:b/>
          <w:sz w:val="22"/>
          <w:szCs w:val="22"/>
        </w:rPr>
      </w:pPr>
    </w:p>
    <w:p w14:paraId="3AFF7972" w14:textId="77777777" w:rsidR="00602606" w:rsidRDefault="00602606">
      <w:pPr>
        <w:widowControl w:val="0"/>
        <w:contextualSpacing/>
        <w:outlineLvl w:val="0"/>
        <w:rPr>
          <w:rFonts w:eastAsia="Calibri"/>
          <w:b/>
          <w:sz w:val="22"/>
          <w:szCs w:val="22"/>
        </w:rPr>
      </w:pPr>
    </w:p>
    <w:p w14:paraId="75E2DAE2" w14:textId="77777777" w:rsidR="00602606" w:rsidRDefault="00602606">
      <w:pPr>
        <w:widowControl w:val="0"/>
        <w:contextualSpacing/>
        <w:jc w:val="center"/>
        <w:outlineLvl w:val="0"/>
        <w:rPr>
          <w:rFonts w:eastAsia="Calibri"/>
          <w:b/>
          <w:sz w:val="22"/>
          <w:szCs w:val="22"/>
        </w:rPr>
      </w:pPr>
    </w:p>
    <w:p w14:paraId="1AF41374" w14:textId="77777777" w:rsidR="00602606" w:rsidRDefault="00604AEE">
      <w:pPr>
        <w:widowControl w:val="0"/>
        <w:contextualSpacing/>
        <w:jc w:val="center"/>
        <w:outlineLvl w:val="0"/>
        <w:rPr>
          <w:rFonts w:eastAsia="Calibri"/>
          <w:b/>
          <w:sz w:val="22"/>
          <w:szCs w:val="22"/>
        </w:rPr>
      </w:pPr>
      <w:r>
        <w:rPr>
          <w:rFonts w:eastAsia="Calibri"/>
          <w:b/>
          <w:sz w:val="22"/>
          <w:szCs w:val="22"/>
        </w:rPr>
        <w:t>B. PAKUOTĖS LAPELIS</w:t>
      </w:r>
      <w:bookmarkEnd w:id="7"/>
      <w:bookmarkEnd w:id="8"/>
      <w:r>
        <w:rPr>
          <w:rFonts w:eastAsia="Calibri"/>
          <w:b/>
          <w:sz w:val="22"/>
          <w:szCs w:val="22"/>
        </w:rPr>
        <w:t xml:space="preserve"> </w:t>
      </w:r>
      <w:r>
        <w:rPr>
          <w:rFonts w:eastAsia="Calibri"/>
          <w:b/>
          <w:sz w:val="22"/>
          <w:szCs w:val="22"/>
        </w:rPr>
        <w:br w:type="page"/>
        <w:t>Pakuotės lapelis: informacija vartotojui</w:t>
      </w:r>
    </w:p>
    <w:p w14:paraId="209B0CA7" w14:textId="77777777" w:rsidR="00602606" w:rsidRDefault="00602606">
      <w:pPr>
        <w:widowControl w:val="0"/>
        <w:contextualSpacing/>
        <w:outlineLvl w:val="0"/>
        <w:rPr>
          <w:rFonts w:eastAsia="Calibri"/>
          <w:b/>
          <w:sz w:val="22"/>
          <w:szCs w:val="22"/>
        </w:rPr>
      </w:pPr>
    </w:p>
    <w:p w14:paraId="77412F64" w14:textId="77777777" w:rsidR="00602606" w:rsidRDefault="00604AEE">
      <w:pPr>
        <w:widowControl w:val="0"/>
        <w:contextualSpacing/>
        <w:jc w:val="center"/>
        <w:outlineLvl w:val="0"/>
        <w:rPr>
          <w:rFonts w:asciiTheme="minorHAnsi" w:eastAsia="Calibri" w:hAnsiTheme="minorHAnsi" w:cstheme="minorBidi"/>
          <w:b/>
          <w:sz w:val="22"/>
          <w:szCs w:val="22"/>
          <w:lang w:val="lt-LT" w:eastAsia="en-US"/>
        </w:rPr>
      </w:pPr>
      <w:r>
        <w:rPr>
          <w:rFonts w:eastAsia="Calibri"/>
          <w:b/>
          <w:sz w:val="22"/>
          <w:szCs w:val="22"/>
        </w:rPr>
        <w:t>Dutasteride/Tamsulosin Krka 0,5 mg/0,4 mg kietosios kapsulės</w:t>
      </w:r>
    </w:p>
    <w:p w14:paraId="1AC40F88" w14:textId="77777777" w:rsidR="00602606" w:rsidRDefault="00604AEE">
      <w:pPr>
        <w:widowControl w:val="0"/>
        <w:contextualSpacing/>
        <w:jc w:val="center"/>
        <w:outlineLvl w:val="0"/>
        <w:rPr>
          <w:rFonts w:asciiTheme="minorHAnsi" w:eastAsia="Calibri" w:hAnsiTheme="minorHAnsi" w:cstheme="minorBidi"/>
          <w:sz w:val="22"/>
          <w:szCs w:val="22"/>
          <w:lang w:val="lt-LT" w:eastAsia="en-US"/>
        </w:rPr>
      </w:pPr>
      <w:r>
        <w:rPr>
          <w:rFonts w:eastAsia="Calibri"/>
          <w:sz w:val="22"/>
          <w:szCs w:val="22"/>
        </w:rPr>
        <w:t>dutasteridas/tamsulozino hidrochloridas</w:t>
      </w:r>
    </w:p>
    <w:p w14:paraId="6E94A627" w14:textId="77777777" w:rsidR="00602606" w:rsidRDefault="00602606">
      <w:pPr>
        <w:widowControl w:val="0"/>
        <w:contextualSpacing/>
        <w:outlineLvl w:val="0"/>
        <w:rPr>
          <w:rFonts w:eastAsia="Calibri"/>
          <w:sz w:val="22"/>
          <w:szCs w:val="22"/>
        </w:rPr>
      </w:pPr>
    </w:p>
    <w:p w14:paraId="57B70686" w14:textId="77777777" w:rsidR="00602606" w:rsidRDefault="00604AEE">
      <w:pPr>
        <w:widowControl w:val="0"/>
        <w:contextualSpacing/>
        <w:outlineLvl w:val="0"/>
        <w:rPr>
          <w:rFonts w:asciiTheme="minorHAnsi" w:eastAsia="Calibri" w:hAnsiTheme="minorHAnsi" w:cstheme="minorBidi"/>
          <w:b/>
          <w:sz w:val="22"/>
          <w:szCs w:val="22"/>
          <w:lang w:val="lt-LT" w:eastAsia="en-US"/>
        </w:rPr>
      </w:pPr>
      <w:r>
        <w:rPr>
          <w:rFonts w:eastAsia="Calibri"/>
          <w:b/>
          <w:sz w:val="22"/>
          <w:szCs w:val="22"/>
        </w:rPr>
        <w:t>Atidžiai perskaitykite visą šį lapelį, prieš pradėdami vartoti vaistą, nes jame pateikiama Jums svarbi informacija.</w:t>
      </w:r>
    </w:p>
    <w:p w14:paraId="2382334D" w14:textId="77777777" w:rsidR="00602606" w:rsidRDefault="00604AEE">
      <w:pPr>
        <w:widowControl w:val="0"/>
        <w:ind w:left="567" w:hanging="567"/>
        <w:rPr>
          <w:rFonts w:eastAsia="Calibri"/>
          <w:sz w:val="22"/>
          <w:szCs w:val="22"/>
        </w:rPr>
      </w:pPr>
      <w:r>
        <w:rPr>
          <w:rFonts w:eastAsia="Calibri"/>
          <w:sz w:val="22"/>
          <w:szCs w:val="22"/>
        </w:rPr>
        <w:t>-</w:t>
      </w:r>
      <w:r>
        <w:rPr>
          <w:rFonts w:eastAsia="Calibri"/>
          <w:sz w:val="22"/>
          <w:szCs w:val="22"/>
        </w:rPr>
        <w:tab/>
        <w:t>Neišmeskite šio lapelio, nes vėl gali prireikti jį perskaityti.</w:t>
      </w:r>
    </w:p>
    <w:p w14:paraId="54F6C4AC" w14:textId="77777777" w:rsidR="00602606" w:rsidRDefault="00604AEE">
      <w:pPr>
        <w:widowControl w:val="0"/>
        <w:ind w:left="567" w:hanging="567"/>
        <w:rPr>
          <w:rFonts w:eastAsia="Calibri"/>
          <w:sz w:val="22"/>
          <w:szCs w:val="22"/>
        </w:rPr>
      </w:pPr>
      <w:r>
        <w:rPr>
          <w:rFonts w:eastAsia="Calibri"/>
          <w:sz w:val="22"/>
          <w:szCs w:val="22"/>
        </w:rPr>
        <w:t>-</w:t>
      </w:r>
      <w:r>
        <w:rPr>
          <w:rFonts w:eastAsia="Calibri"/>
          <w:sz w:val="22"/>
          <w:szCs w:val="22"/>
        </w:rPr>
        <w:tab/>
        <w:t>Jeigu kiltų daugiau klausimų, kreipkitės į gydytoją arba</w:t>
      </w:r>
      <w:r w:rsidRPr="001F276A">
        <w:rPr>
          <w:rFonts w:eastAsia="Calibri"/>
          <w:sz w:val="22"/>
        </w:rPr>
        <w:t xml:space="preserve"> vaistininką.</w:t>
      </w:r>
    </w:p>
    <w:p w14:paraId="19E3E110" w14:textId="77777777" w:rsidR="00602606" w:rsidRDefault="00604AEE">
      <w:pPr>
        <w:widowControl w:val="0"/>
        <w:ind w:left="567" w:hanging="567"/>
        <w:rPr>
          <w:rFonts w:eastAsia="Calibri"/>
          <w:sz w:val="22"/>
          <w:szCs w:val="22"/>
        </w:rPr>
      </w:pPr>
      <w:r>
        <w:rPr>
          <w:rFonts w:eastAsia="Calibri"/>
          <w:sz w:val="22"/>
          <w:szCs w:val="22"/>
        </w:rPr>
        <w:t>-</w:t>
      </w:r>
      <w:r>
        <w:rPr>
          <w:rFonts w:eastAsia="Calibri"/>
          <w:sz w:val="22"/>
          <w:szCs w:val="22"/>
        </w:rPr>
        <w:tab/>
        <w:t xml:space="preserve">Šis vaistas skirtas tik Jums, todėl kitiems </w:t>
      </w:r>
      <w:r w:rsidRPr="001F276A">
        <w:rPr>
          <w:rFonts w:eastAsia="Calibri"/>
          <w:sz w:val="22"/>
        </w:rPr>
        <w:t>žmonėms jo duoti negalima. Vaistas gali jiems pakenkti (net tiems, kurių ligos požymiai yra tokie patys kaip Jūsų).</w:t>
      </w:r>
    </w:p>
    <w:p w14:paraId="563DEFD6" w14:textId="77777777" w:rsidR="00602606" w:rsidRDefault="00604AEE">
      <w:pPr>
        <w:widowControl w:val="0"/>
        <w:ind w:left="567" w:hanging="567"/>
        <w:rPr>
          <w:rFonts w:eastAsia="Calibri"/>
          <w:sz w:val="22"/>
          <w:szCs w:val="22"/>
        </w:rPr>
      </w:pPr>
      <w:r>
        <w:rPr>
          <w:rFonts w:eastAsia="Calibri"/>
          <w:sz w:val="22"/>
          <w:szCs w:val="22"/>
        </w:rPr>
        <w:t>-</w:t>
      </w:r>
      <w:r>
        <w:rPr>
          <w:rFonts w:eastAsia="Calibri"/>
          <w:b/>
          <w:sz w:val="22"/>
          <w:szCs w:val="22"/>
        </w:rPr>
        <w:tab/>
      </w:r>
      <w:r>
        <w:rPr>
          <w:rFonts w:eastAsia="Calibri"/>
          <w:sz w:val="22"/>
          <w:szCs w:val="22"/>
        </w:rPr>
        <w:t>Jeigu pasireiškė šalutinis poveikis (net jeigu jis šiame lapelyje nenurodytas)</w:t>
      </w:r>
      <w:r w:rsidRPr="001F276A">
        <w:rPr>
          <w:rFonts w:eastAsia="Calibri"/>
          <w:sz w:val="22"/>
        </w:rPr>
        <w:t>, kreipkitės į gydytoją arba vaistininką. Žr. 4 skyrių.</w:t>
      </w:r>
    </w:p>
    <w:p w14:paraId="2126DA75" w14:textId="77777777" w:rsidR="00602606" w:rsidRDefault="00602606">
      <w:pPr>
        <w:widowControl w:val="0"/>
        <w:contextualSpacing/>
        <w:outlineLvl w:val="0"/>
        <w:rPr>
          <w:rFonts w:eastAsia="Calibri"/>
          <w:sz w:val="22"/>
          <w:szCs w:val="22"/>
        </w:rPr>
      </w:pPr>
    </w:p>
    <w:p w14:paraId="6A977BB0" w14:textId="77777777" w:rsidR="00602606" w:rsidRDefault="00604AEE">
      <w:pPr>
        <w:widowControl w:val="0"/>
        <w:contextualSpacing/>
        <w:outlineLvl w:val="0"/>
        <w:rPr>
          <w:rFonts w:asciiTheme="minorHAnsi" w:eastAsia="Calibri" w:hAnsiTheme="minorHAnsi" w:cstheme="minorBidi"/>
          <w:b/>
          <w:sz w:val="22"/>
          <w:szCs w:val="22"/>
          <w:lang w:val="lt-LT" w:eastAsia="en-US"/>
        </w:rPr>
      </w:pPr>
      <w:r>
        <w:rPr>
          <w:rFonts w:eastAsia="Calibri"/>
          <w:b/>
          <w:sz w:val="22"/>
          <w:szCs w:val="22"/>
        </w:rPr>
        <w:t>Apie ką rašoma šiame lapelyje?</w:t>
      </w:r>
    </w:p>
    <w:p w14:paraId="50711030" w14:textId="77777777" w:rsidR="00602606" w:rsidRDefault="00604AEE">
      <w:pPr>
        <w:widowControl w:val="0"/>
        <w:ind w:left="567" w:hanging="567"/>
        <w:rPr>
          <w:rFonts w:asciiTheme="minorHAnsi" w:eastAsia="Calibri" w:hAnsiTheme="minorHAnsi" w:cstheme="minorBidi"/>
          <w:sz w:val="22"/>
          <w:szCs w:val="22"/>
          <w:lang w:val="lt-LT" w:eastAsia="en-US"/>
        </w:rPr>
      </w:pPr>
      <w:r>
        <w:rPr>
          <w:rFonts w:eastAsia="Calibri"/>
          <w:sz w:val="22"/>
          <w:szCs w:val="22"/>
        </w:rPr>
        <w:t>1.</w:t>
      </w:r>
      <w:r>
        <w:rPr>
          <w:rFonts w:eastAsia="Calibri"/>
          <w:sz w:val="22"/>
          <w:szCs w:val="22"/>
        </w:rPr>
        <w:tab/>
        <w:t xml:space="preserve">Kas yra </w:t>
      </w:r>
      <w:r w:rsidRPr="001F276A">
        <w:rPr>
          <w:rFonts w:eastAsia="Calibri"/>
          <w:sz w:val="22"/>
        </w:rPr>
        <w:t>Dutasteride/Tamsulosin Krka ir kam jis vartojamas</w:t>
      </w:r>
    </w:p>
    <w:p w14:paraId="1C86E7F1" w14:textId="77777777" w:rsidR="00602606" w:rsidRDefault="00604AEE">
      <w:pPr>
        <w:widowControl w:val="0"/>
        <w:ind w:left="567" w:hanging="567"/>
        <w:rPr>
          <w:rFonts w:asciiTheme="minorHAnsi" w:eastAsia="Calibri" w:hAnsiTheme="minorHAnsi" w:cstheme="minorBidi"/>
          <w:sz w:val="22"/>
          <w:szCs w:val="22"/>
          <w:lang w:val="lt-LT" w:eastAsia="en-US"/>
        </w:rPr>
      </w:pPr>
      <w:r>
        <w:rPr>
          <w:rFonts w:eastAsia="Calibri"/>
          <w:sz w:val="22"/>
          <w:szCs w:val="22"/>
        </w:rPr>
        <w:t>2.</w:t>
      </w:r>
      <w:r>
        <w:rPr>
          <w:rFonts w:eastAsia="Calibri"/>
          <w:sz w:val="22"/>
          <w:szCs w:val="22"/>
        </w:rPr>
        <w:tab/>
        <w:t xml:space="preserve">Kas žinotina prieš vartojant </w:t>
      </w:r>
      <w:r w:rsidRPr="001F276A">
        <w:rPr>
          <w:rFonts w:eastAsia="Calibri"/>
          <w:sz w:val="22"/>
        </w:rPr>
        <w:t>Dutasteride/Tamsulosin Krka</w:t>
      </w:r>
    </w:p>
    <w:p w14:paraId="7E7CCE9B" w14:textId="77777777" w:rsidR="00602606" w:rsidRDefault="00604AEE">
      <w:pPr>
        <w:widowControl w:val="0"/>
        <w:ind w:left="567" w:hanging="567"/>
        <w:rPr>
          <w:rFonts w:asciiTheme="minorHAnsi" w:eastAsia="Calibri" w:hAnsiTheme="minorHAnsi" w:cstheme="minorBidi"/>
          <w:sz w:val="22"/>
          <w:szCs w:val="22"/>
          <w:lang w:val="lt-LT" w:eastAsia="en-US"/>
        </w:rPr>
      </w:pPr>
      <w:r>
        <w:rPr>
          <w:rFonts w:eastAsia="Calibri"/>
          <w:sz w:val="22"/>
          <w:szCs w:val="22"/>
        </w:rPr>
        <w:t>3.</w:t>
      </w:r>
      <w:r>
        <w:rPr>
          <w:rFonts w:eastAsia="Calibri"/>
          <w:sz w:val="22"/>
          <w:szCs w:val="22"/>
        </w:rPr>
        <w:tab/>
        <w:t xml:space="preserve">Kaip vartoti </w:t>
      </w:r>
      <w:r w:rsidRPr="001F276A">
        <w:rPr>
          <w:rFonts w:eastAsia="Calibri"/>
          <w:sz w:val="22"/>
        </w:rPr>
        <w:t>Dutasteride/Tamsulosin Krka</w:t>
      </w:r>
    </w:p>
    <w:p w14:paraId="150F0A25" w14:textId="77777777" w:rsidR="00602606" w:rsidRDefault="00604AEE">
      <w:pPr>
        <w:widowControl w:val="0"/>
        <w:ind w:left="567" w:hanging="567"/>
        <w:rPr>
          <w:rFonts w:asciiTheme="minorHAnsi" w:eastAsia="Calibri" w:hAnsiTheme="minorHAnsi" w:cstheme="minorBidi"/>
          <w:sz w:val="22"/>
          <w:szCs w:val="22"/>
          <w:lang w:val="lt-LT" w:eastAsia="en-US"/>
        </w:rPr>
      </w:pPr>
      <w:r>
        <w:rPr>
          <w:rFonts w:eastAsia="Calibri"/>
          <w:sz w:val="22"/>
          <w:szCs w:val="22"/>
        </w:rPr>
        <w:t>4.</w:t>
      </w:r>
      <w:r>
        <w:rPr>
          <w:rFonts w:eastAsia="Calibri"/>
          <w:sz w:val="22"/>
          <w:szCs w:val="22"/>
        </w:rPr>
        <w:tab/>
        <w:t>Galimas šalutinis poveikis</w:t>
      </w:r>
    </w:p>
    <w:p w14:paraId="7D04EE67" w14:textId="77777777" w:rsidR="00602606" w:rsidRDefault="00604AEE">
      <w:pPr>
        <w:widowControl w:val="0"/>
        <w:ind w:left="567" w:hanging="567"/>
        <w:rPr>
          <w:rFonts w:asciiTheme="minorHAnsi" w:eastAsia="Calibri" w:hAnsiTheme="minorHAnsi" w:cstheme="minorBidi"/>
          <w:sz w:val="22"/>
          <w:szCs w:val="22"/>
          <w:lang w:val="lt-LT" w:eastAsia="en-US"/>
        </w:rPr>
      </w:pPr>
      <w:r>
        <w:rPr>
          <w:rFonts w:eastAsia="Calibri"/>
          <w:sz w:val="22"/>
          <w:szCs w:val="22"/>
        </w:rPr>
        <w:t>5.</w:t>
      </w:r>
      <w:r>
        <w:rPr>
          <w:rFonts w:eastAsia="Calibri"/>
          <w:sz w:val="22"/>
          <w:szCs w:val="22"/>
        </w:rPr>
        <w:tab/>
        <w:t xml:space="preserve">Kaip laikyti </w:t>
      </w:r>
      <w:r w:rsidRPr="001F276A">
        <w:rPr>
          <w:rFonts w:eastAsia="Calibri"/>
          <w:sz w:val="22"/>
        </w:rPr>
        <w:t>Dutasteride/Tamsulosin Krka</w:t>
      </w:r>
    </w:p>
    <w:p w14:paraId="413AD1C4" w14:textId="77777777" w:rsidR="00602606" w:rsidRDefault="00604AEE">
      <w:pPr>
        <w:widowControl w:val="0"/>
        <w:ind w:left="567" w:hanging="567"/>
        <w:rPr>
          <w:rFonts w:asciiTheme="minorHAnsi" w:eastAsia="Calibri" w:hAnsiTheme="minorHAnsi" w:cstheme="minorBidi"/>
          <w:sz w:val="22"/>
          <w:szCs w:val="22"/>
          <w:lang w:val="lt-LT" w:eastAsia="en-US"/>
        </w:rPr>
      </w:pPr>
      <w:r>
        <w:rPr>
          <w:rFonts w:eastAsia="Calibri"/>
          <w:sz w:val="22"/>
          <w:szCs w:val="22"/>
        </w:rPr>
        <w:t>6.</w:t>
      </w:r>
      <w:r>
        <w:rPr>
          <w:rFonts w:eastAsia="Calibri"/>
          <w:sz w:val="22"/>
          <w:szCs w:val="22"/>
        </w:rPr>
        <w:tab/>
        <w:t>Pakuotės turinys ir kita informacija</w:t>
      </w:r>
    </w:p>
    <w:p w14:paraId="088E18DC" w14:textId="77777777" w:rsidR="00602606" w:rsidRDefault="00602606">
      <w:pPr>
        <w:widowControl w:val="0"/>
        <w:contextualSpacing/>
        <w:outlineLvl w:val="0"/>
        <w:rPr>
          <w:rFonts w:eastAsia="Calibri"/>
          <w:sz w:val="22"/>
          <w:szCs w:val="22"/>
        </w:rPr>
      </w:pPr>
    </w:p>
    <w:p w14:paraId="4E5C5C6E" w14:textId="77777777" w:rsidR="00602606" w:rsidRDefault="00602606">
      <w:pPr>
        <w:widowControl w:val="0"/>
        <w:contextualSpacing/>
        <w:outlineLvl w:val="0"/>
        <w:rPr>
          <w:rFonts w:eastAsia="Calibri"/>
          <w:b/>
          <w:sz w:val="22"/>
          <w:szCs w:val="22"/>
        </w:rPr>
      </w:pPr>
    </w:p>
    <w:p w14:paraId="4852BDC1" w14:textId="77777777" w:rsidR="00602606" w:rsidRDefault="00604AEE">
      <w:pPr>
        <w:widowControl w:val="0"/>
        <w:numPr>
          <w:ilvl w:val="0"/>
          <w:numId w:val="9"/>
        </w:numPr>
        <w:tabs>
          <w:tab w:val="clear" w:pos="570"/>
        </w:tabs>
        <w:contextualSpacing/>
        <w:outlineLvl w:val="0"/>
        <w:rPr>
          <w:rFonts w:asciiTheme="minorHAnsi" w:eastAsia="Calibri" w:hAnsiTheme="minorHAnsi" w:cstheme="minorBidi"/>
          <w:b/>
          <w:sz w:val="22"/>
          <w:szCs w:val="22"/>
          <w:lang w:val="lt-LT" w:eastAsia="en-US"/>
        </w:rPr>
      </w:pPr>
      <w:r>
        <w:rPr>
          <w:rFonts w:eastAsia="Calibri"/>
          <w:b/>
          <w:sz w:val="22"/>
          <w:szCs w:val="22"/>
        </w:rPr>
        <w:t>Kas yra Dutasteride/Tamsulosin Krka</w:t>
      </w:r>
      <w:r w:rsidRPr="001F276A">
        <w:rPr>
          <w:rFonts w:eastAsia="Calibri"/>
          <w:b/>
          <w:sz w:val="22"/>
        </w:rPr>
        <w:t xml:space="preserve"> ir kam jis vartojamas</w:t>
      </w:r>
    </w:p>
    <w:p w14:paraId="29466E21" w14:textId="77777777" w:rsidR="00602606" w:rsidRDefault="00602606">
      <w:pPr>
        <w:widowControl w:val="0"/>
        <w:contextualSpacing/>
        <w:outlineLvl w:val="0"/>
        <w:rPr>
          <w:rFonts w:eastAsia="Calibri"/>
          <w:b/>
          <w:sz w:val="22"/>
          <w:szCs w:val="22"/>
        </w:rPr>
      </w:pPr>
    </w:p>
    <w:p w14:paraId="0DFBB9BD"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b/>
          <w:sz w:val="22"/>
          <w:szCs w:val="22"/>
        </w:rPr>
        <w:t xml:space="preserve">Dutasteride/Tamsulosin Krka </w:t>
      </w:r>
      <w:r>
        <w:rPr>
          <w:rFonts w:eastAsia="Calibri"/>
          <w:b/>
          <w:sz w:val="22"/>
          <w:szCs w:val="22"/>
          <w:lang w:val="lt-LT"/>
        </w:rPr>
        <w:t xml:space="preserve">vartojamas gydyti vyrams, kurių prostata yra padidėjusi </w:t>
      </w:r>
      <w:r w:rsidRPr="001F276A">
        <w:rPr>
          <w:rFonts w:eastAsia="Calibri"/>
          <w:sz w:val="22"/>
        </w:rPr>
        <w:t>(</w:t>
      </w:r>
      <w:r>
        <w:rPr>
          <w:rFonts w:eastAsia="Calibri"/>
          <w:i/>
          <w:sz w:val="22"/>
          <w:szCs w:val="22"/>
        </w:rPr>
        <w:t>gerybinė prostatos hiperplazija</w:t>
      </w:r>
      <w:r w:rsidRPr="001F276A">
        <w:rPr>
          <w:rFonts w:eastAsia="Calibri"/>
          <w:sz w:val="22"/>
        </w:rPr>
        <w:t xml:space="preserve">). Tai yra nevėžinis prostatos </w:t>
      </w:r>
      <w:r>
        <w:rPr>
          <w:rFonts w:eastAsia="Calibri"/>
          <w:sz w:val="22"/>
          <w:szCs w:val="22"/>
        </w:rPr>
        <w:t>(priešinės liaukos</w:t>
      </w:r>
      <w:r w:rsidRPr="001F276A">
        <w:rPr>
          <w:rFonts w:eastAsia="Calibri"/>
          <w:sz w:val="22"/>
        </w:rPr>
        <w:t>)</w:t>
      </w:r>
      <w:r>
        <w:rPr>
          <w:rFonts w:eastAsia="Calibri"/>
          <w:sz w:val="22"/>
          <w:szCs w:val="22"/>
        </w:rPr>
        <w:t xml:space="preserve"> išvešėjimas, kuris pasireiškia dėl pernelyg intensyvios hormono, vadinamo dihidrotestosteronu, gamybos.</w:t>
      </w:r>
    </w:p>
    <w:p w14:paraId="0D1141A8" w14:textId="77777777" w:rsidR="00602606" w:rsidRDefault="00602606">
      <w:pPr>
        <w:widowControl w:val="0"/>
        <w:contextualSpacing/>
        <w:outlineLvl w:val="0"/>
        <w:rPr>
          <w:rFonts w:eastAsia="Calibri"/>
          <w:sz w:val="22"/>
          <w:szCs w:val="22"/>
        </w:rPr>
      </w:pPr>
    </w:p>
    <w:p w14:paraId="6A109422"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Dutasteride/Tamsulosin Krka yra dviejų skirtingų vaistų, vadinamų du</w:t>
      </w:r>
      <w:r w:rsidRPr="001F276A">
        <w:rPr>
          <w:rFonts w:eastAsia="Calibri"/>
          <w:sz w:val="22"/>
        </w:rPr>
        <w:t xml:space="preserve">tasteridu ir tamsulozinu, derinys. Dutasteridas priklauso vaistų, vadinamų </w:t>
      </w:r>
      <w:r w:rsidRPr="001F276A">
        <w:rPr>
          <w:rFonts w:eastAsia="Calibri"/>
          <w:i/>
          <w:sz w:val="22"/>
        </w:rPr>
        <w:t>5</w:t>
      </w:r>
      <w:r>
        <w:rPr>
          <w:rFonts w:eastAsia="Calibri"/>
          <w:i/>
          <w:sz w:val="22"/>
          <w:szCs w:val="22"/>
        </w:rPr>
        <w:noBreakHyphen/>
        <w:t>alfa reduktazės inhibitoriais</w:t>
      </w:r>
      <w:r w:rsidRPr="001F276A">
        <w:rPr>
          <w:rFonts w:eastAsia="Calibri"/>
          <w:sz w:val="22"/>
        </w:rPr>
        <w:t xml:space="preserve">, o tamsulozinas − vaistų, vadinamų </w:t>
      </w:r>
      <w:r w:rsidRPr="001F276A">
        <w:rPr>
          <w:rFonts w:eastAsia="Calibri"/>
          <w:i/>
          <w:sz w:val="22"/>
        </w:rPr>
        <w:t>alfa adrenoreceptorių blokatoriais</w:t>
      </w:r>
      <w:r w:rsidRPr="001F276A">
        <w:rPr>
          <w:rFonts w:eastAsia="Calibri"/>
          <w:sz w:val="22"/>
        </w:rPr>
        <w:t>, grupei.</w:t>
      </w:r>
    </w:p>
    <w:p w14:paraId="190FCED8" w14:textId="77777777" w:rsidR="00602606" w:rsidRDefault="00602606">
      <w:pPr>
        <w:widowControl w:val="0"/>
        <w:contextualSpacing/>
        <w:outlineLvl w:val="0"/>
        <w:rPr>
          <w:rFonts w:eastAsia="Calibri"/>
          <w:sz w:val="22"/>
          <w:szCs w:val="22"/>
        </w:rPr>
      </w:pPr>
    </w:p>
    <w:p w14:paraId="0E7EFCEE"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Prostatos padidėjimas gali sukelti šlapinimosi sutrikimų, pavyzdžiui,</w:t>
      </w:r>
      <w:r w:rsidRPr="001F276A">
        <w:rPr>
          <w:rFonts w:eastAsia="Calibri"/>
          <w:sz w:val="22"/>
        </w:rPr>
        <w:t xml:space="preserve"> šlapinimosi pasunkėjimą arba poreikį šlapintis dažniau. Be to, gali sulėtėti ir susilpnėti šlapimo srovė. Negydant kyla rizika, kad gali visiškai neištekėti šlapimas (</w:t>
      </w:r>
      <w:r w:rsidRPr="001F276A">
        <w:rPr>
          <w:rFonts w:eastAsia="Calibri"/>
          <w:i/>
          <w:sz w:val="22"/>
        </w:rPr>
        <w:t>pasireikš</w:t>
      </w:r>
      <w:r w:rsidRPr="001F276A">
        <w:rPr>
          <w:rFonts w:eastAsia="Calibri"/>
          <w:sz w:val="22"/>
        </w:rPr>
        <w:t xml:space="preserve"> </w:t>
      </w:r>
      <w:r>
        <w:rPr>
          <w:rFonts w:eastAsia="Calibri"/>
          <w:i/>
          <w:sz w:val="22"/>
          <w:szCs w:val="22"/>
        </w:rPr>
        <w:t>ūminis šlapimo susilaikymas</w:t>
      </w:r>
      <w:r w:rsidRPr="001F276A">
        <w:rPr>
          <w:rFonts w:eastAsia="Calibri"/>
          <w:sz w:val="22"/>
        </w:rPr>
        <w:t>). Tokiu atveju būtina nedelsiant gydyti. Kai kada būtina priešinę liauką pašalinti arba sumažinti atliekant chirurginę operaciją.</w:t>
      </w:r>
    </w:p>
    <w:p w14:paraId="38B9DC60" w14:textId="77777777" w:rsidR="00602606" w:rsidRDefault="00602606">
      <w:pPr>
        <w:widowControl w:val="0"/>
        <w:contextualSpacing/>
        <w:outlineLvl w:val="0"/>
        <w:rPr>
          <w:rFonts w:eastAsia="Calibri"/>
          <w:sz w:val="22"/>
          <w:szCs w:val="22"/>
        </w:rPr>
      </w:pPr>
    </w:p>
    <w:p w14:paraId="4D482544"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Dutasteridas slopina hormono, vadinamo dihidrotestosteronu, gamybą. Dėl to priešinė liauka sumažėja ir simptomai palengvėja. Tai mažina ūminio šlapimo susilaikymo riziką ir chirurginės operacijos būtinybę. Tamsulozinas atpalaiduoja priešinės liaukos raumenis, palengvina šlapinimąsi ir greitai palengvina simptomus.</w:t>
      </w:r>
    </w:p>
    <w:p w14:paraId="63CA8C19" w14:textId="77777777" w:rsidR="00602606" w:rsidRDefault="00602606">
      <w:pPr>
        <w:widowControl w:val="0"/>
        <w:contextualSpacing/>
        <w:outlineLvl w:val="0"/>
        <w:rPr>
          <w:rFonts w:eastAsia="Calibri"/>
          <w:sz w:val="22"/>
          <w:szCs w:val="22"/>
        </w:rPr>
      </w:pPr>
    </w:p>
    <w:p w14:paraId="6C6D9896" w14:textId="77777777" w:rsidR="00602606" w:rsidRDefault="00602606">
      <w:pPr>
        <w:widowControl w:val="0"/>
        <w:contextualSpacing/>
        <w:outlineLvl w:val="0"/>
        <w:rPr>
          <w:rFonts w:eastAsia="Calibri"/>
          <w:sz w:val="22"/>
          <w:szCs w:val="22"/>
        </w:rPr>
      </w:pPr>
    </w:p>
    <w:p w14:paraId="438395D9" w14:textId="77777777" w:rsidR="00602606" w:rsidRDefault="00604AEE">
      <w:pPr>
        <w:widowControl w:val="0"/>
        <w:numPr>
          <w:ilvl w:val="0"/>
          <w:numId w:val="8"/>
        </w:numPr>
        <w:tabs>
          <w:tab w:val="clear" w:pos="570"/>
        </w:tabs>
        <w:contextualSpacing/>
        <w:outlineLvl w:val="0"/>
        <w:rPr>
          <w:rFonts w:asciiTheme="minorHAnsi" w:eastAsia="Calibri" w:hAnsiTheme="minorHAnsi" w:cstheme="minorBidi"/>
          <w:b/>
          <w:sz w:val="22"/>
          <w:szCs w:val="22"/>
          <w:lang w:val="lt-LT" w:eastAsia="en-US"/>
        </w:rPr>
      </w:pPr>
      <w:r>
        <w:rPr>
          <w:rFonts w:eastAsia="Calibri"/>
          <w:b/>
          <w:sz w:val="22"/>
          <w:szCs w:val="22"/>
        </w:rPr>
        <w:t>Kas žinotina prieš vartojant Dutasteride/Tamsulosin Krka</w:t>
      </w:r>
    </w:p>
    <w:p w14:paraId="2A187A47" w14:textId="77777777" w:rsidR="00602606" w:rsidRDefault="00602606">
      <w:pPr>
        <w:widowControl w:val="0"/>
        <w:contextualSpacing/>
        <w:outlineLvl w:val="0"/>
        <w:rPr>
          <w:rFonts w:eastAsia="Calibri"/>
          <w:sz w:val="22"/>
          <w:szCs w:val="22"/>
        </w:rPr>
      </w:pPr>
    </w:p>
    <w:p w14:paraId="0817C479"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b/>
          <w:sz w:val="22"/>
          <w:szCs w:val="22"/>
        </w:rPr>
        <w:t>Dutasteride/Tamsulosin Krka vartoti negalima:</w:t>
      </w:r>
    </w:p>
    <w:p w14:paraId="12D8FECC" w14:textId="77777777" w:rsidR="00602606" w:rsidRDefault="00604AEE">
      <w:pPr>
        <w:widowControl w:val="0"/>
        <w:ind w:left="567" w:hanging="540"/>
        <w:rPr>
          <w:rFonts w:eastAsia="Calibri"/>
          <w:sz w:val="22"/>
          <w:szCs w:val="22"/>
        </w:rPr>
      </w:pPr>
      <w:r>
        <w:rPr>
          <w:rFonts w:eastAsia="Calibri"/>
          <w:sz w:val="22"/>
          <w:szCs w:val="22"/>
        </w:rPr>
        <w:t>-</w:t>
      </w:r>
      <w:r>
        <w:rPr>
          <w:rFonts w:eastAsia="Calibri"/>
          <w:sz w:val="22"/>
          <w:szCs w:val="22"/>
        </w:rPr>
        <w:tab/>
        <w:t>jeigu e</w:t>
      </w:r>
      <w:r w:rsidRPr="001F276A">
        <w:rPr>
          <w:rFonts w:eastAsia="Calibri"/>
          <w:sz w:val="22"/>
        </w:rPr>
        <w:t xml:space="preserve">sate </w:t>
      </w:r>
      <w:r w:rsidRPr="001F276A">
        <w:rPr>
          <w:rFonts w:eastAsia="Calibri"/>
          <w:b/>
          <w:sz w:val="22"/>
        </w:rPr>
        <w:t xml:space="preserve">moteris </w:t>
      </w:r>
      <w:r w:rsidRPr="001F276A">
        <w:rPr>
          <w:rFonts w:eastAsia="Calibri"/>
          <w:sz w:val="22"/>
        </w:rPr>
        <w:t xml:space="preserve">(nes </w:t>
      </w:r>
      <w:r w:rsidRPr="001F276A">
        <w:rPr>
          <w:rFonts w:eastAsia="Calibri"/>
          <w:b/>
          <w:sz w:val="22"/>
        </w:rPr>
        <w:t>šis vaistas yra skirtas vartoti tik vyrams</w:t>
      </w:r>
      <w:r w:rsidRPr="001F276A">
        <w:rPr>
          <w:rFonts w:eastAsia="Calibri"/>
          <w:sz w:val="22"/>
        </w:rPr>
        <w:t>);</w:t>
      </w:r>
    </w:p>
    <w:p w14:paraId="29B38B5D" w14:textId="77777777" w:rsidR="00602606" w:rsidRDefault="00604AEE">
      <w:pPr>
        <w:widowControl w:val="0"/>
        <w:ind w:left="567" w:hanging="540"/>
        <w:rPr>
          <w:rFonts w:eastAsia="Calibri"/>
          <w:sz w:val="22"/>
          <w:szCs w:val="22"/>
        </w:rPr>
      </w:pPr>
      <w:r>
        <w:rPr>
          <w:rFonts w:eastAsia="Calibri"/>
          <w:sz w:val="22"/>
          <w:szCs w:val="22"/>
        </w:rPr>
        <w:t>-</w:t>
      </w:r>
      <w:r>
        <w:rPr>
          <w:rFonts w:eastAsia="Calibri"/>
          <w:sz w:val="22"/>
          <w:szCs w:val="22"/>
        </w:rPr>
        <w:tab/>
        <w:t xml:space="preserve">jeigu esate </w:t>
      </w:r>
      <w:r w:rsidRPr="001F276A">
        <w:rPr>
          <w:rFonts w:eastAsia="Calibri"/>
          <w:b/>
          <w:sz w:val="22"/>
        </w:rPr>
        <w:t>vaikas arba jaunesnis kaip 18 metų paauglys</w:t>
      </w:r>
      <w:r w:rsidRPr="001F276A">
        <w:rPr>
          <w:rFonts w:eastAsia="Calibri"/>
          <w:sz w:val="22"/>
        </w:rPr>
        <w:t>;</w:t>
      </w:r>
    </w:p>
    <w:p w14:paraId="67F62B8D" w14:textId="77777777" w:rsidR="00602606" w:rsidRDefault="00604AEE">
      <w:pPr>
        <w:widowControl w:val="0"/>
        <w:ind w:left="567" w:hanging="540"/>
        <w:rPr>
          <w:rFonts w:eastAsia="Calibri"/>
          <w:sz w:val="22"/>
          <w:szCs w:val="22"/>
        </w:rPr>
      </w:pPr>
      <w:r>
        <w:rPr>
          <w:rFonts w:eastAsia="Calibri"/>
          <w:sz w:val="22"/>
          <w:szCs w:val="22"/>
        </w:rPr>
        <w:t>-</w:t>
      </w:r>
      <w:r>
        <w:rPr>
          <w:rFonts w:eastAsia="Calibri"/>
          <w:sz w:val="22"/>
          <w:szCs w:val="22"/>
        </w:rPr>
        <w:tab/>
        <w:t>jeigu yra</w:t>
      </w:r>
      <w:r w:rsidRPr="001F276A">
        <w:rPr>
          <w:rFonts w:eastAsia="Calibri"/>
          <w:b/>
          <w:sz w:val="22"/>
        </w:rPr>
        <w:t xml:space="preserve"> alergija dutasteridui</w:t>
      </w:r>
      <w:r w:rsidRPr="001F276A">
        <w:rPr>
          <w:rFonts w:eastAsia="Calibri"/>
          <w:b/>
          <w:i/>
          <w:sz w:val="22"/>
        </w:rPr>
        <w:t>,</w:t>
      </w:r>
      <w:r>
        <w:rPr>
          <w:rFonts w:eastAsia="Calibri"/>
          <w:b/>
          <w:sz w:val="22"/>
          <w:szCs w:val="22"/>
        </w:rPr>
        <w:t xml:space="preserve"> </w:t>
      </w:r>
      <w:r>
        <w:rPr>
          <w:rFonts w:eastAsia="Calibri"/>
          <w:sz w:val="22"/>
          <w:szCs w:val="22"/>
        </w:rPr>
        <w:t>kit</w:t>
      </w:r>
      <w:r w:rsidRPr="001F276A">
        <w:rPr>
          <w:rFonts w:eastAsia="Calibri"/>
          <w:sz w:val="22"/>
        </w:rPr>
        <w:t xml:space="preserve">iems </w:t>
      </w:r>
      <w:r>
        <w:rPr>
          <w:rFonts w:eastAsia="Calibri"/>
          <w:b/>
          <w:sz w:val="22"/>
          <w:szCs w:val="22"/>
        </w:rPr>
        <w:t>5</w:t>
      </w:r>
      <w:r>
        <w:rPr>
          <w:rFonts w:eastAsia="Calibri"/>
          <w:b/>
          <w:sz w:val="22"/>
          <w:szCs w:val="22"/>
        </w:rPr>
        <w:noBreakHyphen/>
        <w:t>alfa reduktazės inhibitoriams, tamsulozinui, sojai, žemės riešutams</w:t>
      </w:r>
      <w:r w:rsidRPr="001F276A">
        <w:rPr>
          <w:rFonts w:eastAsia="Calibri"/>
          <w:sz w:val="22"/>
        </w:rPr>
        <w:t xml:space="preserve"> arba bet kuriai pagalbinei šio vaisto medžiagai (jos išvardytos 6 skyriuje);</w:t>
      </w:r>
    </w:p>
    <w:p w14:paraId="69F1A5F9" w14:textId="77777777" w:rsidR="00602606" w:rsidRDefault="00604AEE">
      <w:pPr>
        <w:widowControl w:val="0"/>
        <w:ind w:left="567" w:hanging="540"/>
        <w:rPr>
          <w:rFonts w:eastAsia="Calibri"/>
          <w:sz w:val="22"/>
          <w:szCs w:val="22"/>
        </w:rPr>
      </w:pPr>
      <w:r>
        <w:rPr>
          <w:rFonts w:eastAsia="Calibri"/>
          <w:sz w:val="22"/>
          <w:szCs w:val="22"/>
        </w:rPr>
        <w:t>-</w:t>
      </w:r>
      <w:r>
        <w:rPr>
          <w:rFonts w:eastAsia="Calibri"/>
          <w:b/>
          <w:sz w:val="22"/>
          <w:szCs w:val="22"/>
        </w:rPr>
        <w:tab/>
      </w:r>
      <w:r>
        <w:rPr>
          <w:rFonts w:eastAsia="Calibri"/>
          <w:sz w:val="22"/>
          <w:szCs w:val="22"/>
        </w:rPr>
        <w:t>je</w:t>
      </w:r>
      <w:r w:rsidRPr="001F276A">
        <w:rPr>
          <w:rFonts w:eastAsia="Calibri"/>
          <w:sz w:val="22"/>
        </w:rPr>
        <w:t>igu</w:t>
      </w:r>
      <w:r w:rsidRPr="001F276A">
        <w:rPr>
          <w:rFonts w:eastAsia="Calibri"/>
          <w:b/>
          <w:sz w:val="22"/>
        </w:rPr>
        <w:t xml:space="preserve"> </w:t>
      </w:r>
      <w:r>
        <w:rPr>
          <w:rFonts w:eastAsia="Calibri"/>
          <w:sz w:val="22"/>
          <w:szCs w:val="22"/>
        </w:rPr>
        <w:t xml:space="preserve">yra </w:t>
      </w:r>
      <w:r w:rsidRPr="001F276A">
        <w:rPr>
          <w:rFonts w:eastAsia="Calibri"/>
          <w:b/>
          <w:sz w:val="22"/>
        </w:rPr>
        <w:t>sumažėjęs kraujospūdis,</w:t>
      </w:r>
      <w:r w:rsidRPr="001F276A">
        <w:rPr>
          <w:rFonts w:eastAsia="Calibri"/>
          <w:sz w:val="22"/>
        </w:rPr>
        <w:t xml:space="preserve"> galintis sukelti svaigulį, galvos sukimąsi ar apalpimą (</w:t>
      </w:r>
      <w:r w:rsidRPr="001F276A">
        <w:rPr>
          <w:rFonts w:eastAsia="Calibri"/>
          <w:i/>
          <w:sz w:val="22"/>
        </w:rPr>
        <w:t>ortostatinė hipotenzija</w:t>
      </w:r>
      <w:r w:rsidRPr="001F276A">
        <w:rPr>
          <w:rFonts w:eastAsia="Calibri"/>
          <w:sz w:val="22"/>
        </w:rPr>
        <w:t>);</w:t>
      </w:r>
    </w:p>
    <w:p w14:paraId="767934EB" w14:textId="77777777" w:rsidR="00602606" w:rsidRDefault="00604AEE">
      <w:pPr>
        <w:widowControl w:val="0"/>
        <w:ind w:left="567" w:hanging="540"/>
        <w:rPr>
          <w:rFonts w:eastAsia="Calibri"/>
          <w:b/>
          <w:sz w:val="22"/>
          <w:szCs w:val="22"/>
        </w:rPr>
      </w:pPr>
      <w:r>
        <w:rPr>
          <w:rFonts w:eastAsia="Calibri"/>
          <w:sz w:val="22"/>
          <w:szCs w:val="22"/>
        </w:rPr>
        <w:t>-</w:t>
      </w:r>
      <w:r>
        <w:rPr>
          <w:rFonts w:eastAsia="Calibri"/>
          <w:sz w:val="22"/>
          <w:szCs w:val="22"/>
        </w:rPr>
        <w:tab/>
        <w:t>jeigu sergate</w:t>
      </w:r>
      <w:r w:rsidRPr="001F276A">
        <w:rPr>
          <w:rFonts w:eastAsia="Calibri"/>
          <w:b/>
          <w:sz w:val="22"/>
        </w:rPr>
        <w:t xml:space="preserve"> sunkia kepenų liga.</w:t>
      </w:r>
      <w:r w:rsidRPr="001F276A">
        <w:rPr>
          <w:b/>
          <w:sz w:val="22"/>
        </w:rPr>
        <w:t xml:space="preserve"> </w:t>
      </w:r>
    </w:p>
    <w:p w14:paraId="22F0180E" w14:textId="77777777" w:rsidR="00602606" w:rsidRDefault="00602606">
      <w:pPr>
        <w:widowControl w:val="0"/>
        <w:ind w:left="567" w:hanging="540"/>
        <w:rPr>
          <w:rFonts w:eastAsia="Calibri"/>
          <w:sz w:val="22"/>
          <w:szCs w:val="22"/>
        </w:rPr>
      </w:pPr>
    </w:p>
    <w:p w14:paraId="6FD78E26" w14:textId="77777777" w:rsidR="00602606" w:rsidRDefault="00604AEE">
      <w:pPr>
        <w:widowControl w:val="0"/>
        <w:numPr>
          <w:ilvl w:val="0"/>
          <w:numId w:val="17"/>
        </w:numPr>
        <w:ind w:left="567" w:hanging="567"/>
        <w:contextualSpacing/>
        <w:outlineLvl w:val="0"/>
        <w:rPr>
          <w:rFonts w:asciiTheme="minorHAnsi" w:eastAsia="Calibri" w:hAnsiTheme="minorHAnsi" w:cstheme="minorBidi"/>
          <w:sz w:val="22"/>
          <w:szCs w:val="22"/>
          <w:lang w:val="lt-LT" w:eastAsia="en-US"/>
        </w:rPr>
      </w:pPr>
      <w:r>
        <w:rPr>
          <w:rFonts w:eastAsia="Calibri"/>
          <w:sz w:val="22"/>
          <w:szCs w:val="22"/>
        </w:rPr>
        <w:t xml:space="preserve">Jeigu manote, kad bet kuri iš nurodytų būklių Jums tinka, šio vaisto </w:t>
      </w:r>
      <w:r>
        <w:rPr>
          <w:rFonts w:eastAsia="Calibri"/>
          <w:b/>
          <w:sz w:val="22"/>
          <w:szCs w:val="22"/>
        </w:rPr>
        <w:t>nevartokite</w:t>
      </w:r>
      <w:r w:rsidRPr="001F276A">
        <w:rPr>
          <w:rFonts w:eastAsia="Calibri"/>
          <w:sz w:val="22"/>
        </w:rPr>
        <w:t xml:space="preserve"> tol, kol nepasitarsite su gydytoju.</w:t>
      </w:r>
    </w:p>
    <w:p w14:paraId="3B75496E" w14:textId="77777777" w:rsidR="00602606" w:rsidRDefault="00602606">
      <w:pPr>
        <w:widowControl w:val="0"/>
        <w:contextualSpacing/>
        <w:outlineLvl w:val="0"/>
        <w:rPr>
          <w:rFonts w:eastAsia="Calibri"/>
          <w:sz w:val="22"/>
          <w:szCs w:val="22"/>
        </w:rPr>
      </w:pPr>
    </w:p>
    <w:p w14:paraId="1D8EE418" w14:textId="77777777" w:rsidR="00602606" w:rsidRDefault="00604AEE">
      <w:pPr>
        <w:widowControl w:val="0"/>
        <w:contextualSpacing/>
        <w:outlineLvl w:val="0"/>
        <w:rPr>
          <w:rFonts w:asciiTheme="minorHAnsi" w:eastAsia="Calibri" w:hAnsiTheme="minorHAnsi" w:cstheme="minorBidi"/>
          <w:b/>
          <w:sz w:val="22"/>
          <w:szCs w:val="22"/>
          <w:lang w:val="lt-LT" w:eastAsia="en-US"/>
        </w:rPr>
      </w:pPr>
      <w:r>
        <w:rPr>
          <w:rFonts w:eastAsia="Calibri"/>
          <w:b/>
          <w:sz w:val="22"/>
          <w:szCs w:val="22"/>
        </w:rPr>
        <w:t>Įspėjimai ir atsargumo priemonės</w:t>
      </w:r>
    </w:p>
    <w:p w14:paraId="0DD12C1D" w14:textId="77777777" w:rsidR="00602606" w:rsidRDefault="00604AEE">
      <w:pPr>
        <w:widowControl w:val="0"/>
        <w:tabs>
          <w:tab w:val="left" w:pos="0"/>
        </w:tabs>
        <w:contextualSpacing/>
        <w:outlineLvl w:val="0"/>
        <w:rPr>
          <w:rFonts w:asciiTheme="minorHAnsi" w:eastAsia="Calibri" w:hAnsiTheme="minorHAnsi" w:cstheme="minorBidi"/>
          <w:sz w:val="22"/>
          <w:szCs w:val="22"/>
          <w:lang w:val="lt-LT" w:eastAsia="en-US"/>
        </w:rPr>
      </w:pPr>
      <w:r>
        <w:rPr>
          <w:rFonts w:eastAsia="Calibri"/>
          <w:sz w:val="22"/>
          <w:szCs w:val="22"/>
        </w:rPr>
        <w:t>Pasitarkite su gydytoju prieš pradėdami vartoti Dutasteride/Tamsulosin Krka</w:t>
      </w:r>
      <w:r w:rsidRPr="001F276A">
        <w:rPr>
          <w:rFonts w:eastAsia="Calibri"/>
          <w:sz w:val="22"/>
        </w:rPr>
        <w:t>.</w:t>
      </w:r>
    </w:p>
    <w:p w14:paraId="2C95FB46" w14:textId="77777777" w:rsidR="00602606" w:rsidRDefault="00604AEE">
      <w:pPr>
        <w:pStyle w:val="Sraopastraipa"/>
        <w:widowControl w:val="0"/>
        <w:numPr>
          <w:ilvl w:val="0"/>
          <w:numId w:val="15"/>
        </w:numPr>
        <w:tabs>
          <w:tab w:val="clear" w:pos="567"/>
        </w:tabs>
        <w:spacing w:line="240" w:lineRule="auto"/>
        <w:ind w:left="567" w:hanging="567"/>
        <w:outlineLvl w:val="0"/>
        <w:rPr>
          <w:rFonts w:eastAsia="Calibri"/>
          <w:szCs w:val="22"/>
        </w:rPr>
      </w:pPr>
      <w:r>
        <w:rPr>
          <w:rFonts w:eastAsia="Calibri"/>
          <w:szCs w:val="22"/>
        </w:rPr>
        <w:t>Kai kurių klinikinių tyrimų metu širdies nepakankamumas pasireiškė didesniam skaičiui dutasteridą ir kitą vaistą, vadinamą alfa adrenoreceptorių blokatoriumi, pavyzdžiui, tamsuloziną, vartojančių pacientų, nei pacientams, vartojantiems vien dutasteridą arba vien alfa adrenoreceptorių blokatorių. Širdies nepakankamumas reiškia, kad Jūsų širdis negali išstumti tiek kraujo, kiek turėtų.</w:t>
      </w:r>
    </w:p>
    <w:p w14:paraId="10D582C0" w14:textId="77777777" w:rsidR="00602606" w:rsidRDefault="00602606">
      <w:pPr>
        <w:widowControl w:val="0"/>
        <w:ind w:left="567"/>
        <w:contextualSpacing/>
        <w:outlineLvl w:val="0"/>
        <w:rPr>
          <w:rFonts w:eastAsia="Calibri"/>
          <w:sz w:val="22"/>
          <w:szCs w:val="22"/>
        </w:rPr>
      </w:pPr>
    </w:p>
    <w:p w14:paraId="6A05BCD0" w14:textId="77777777" w:rsidR="00602606" w:rsidRDefault="00604AEE">
      <w:pPr>
        <w:widowControl w:val="0"/>
        <w:ind w:left="567" w:hanging="540"/>
        <w:rPr>
          <w:rFonts w:eastAsia="Calibri"/>
          <w:sz w:val="22"/>
          <w:szCs w:val="22"/>
        </w:rPr>
      </w:pPr>
      <w:r>
        <w:rPr>
          <w:rFonts w:eastAsia="Calibri"/>
          <w:b/>
          <w:sz w:val="22"/>
          <w:szCs w:val="22"/>
        </w:rPr>
        <w:t>-</w:t>
      </w:r>
      <w:r>
        <w:rPr>
          <w:rFonts w:eastAsia="Calibri"/>
          <w:b/>
          <w:sz w:val="22"/>
          <w:szCs w:val="22"/>
        </w:rPr>
        <w:tab/>
        <w:t xml:space="preserve">Būtinai pasakykite gydytojui apie kepenų </w:t>
      </w:r>
      <w:r w:rsidRPr="001F276A">
        <w:rPr>
          <w:rFonts w:eastAsia="Calibri"/>
          <w:b/>
          <w:sz w:val="22"/>
        </w:rPr>
        <w:t xml:space="preserve">funkcijos sutrikimus. </w:t>
      </w:r>
      <w:r w:rsidRPr="001F276A">
        <w:rPr>
          <w:rFonts w:eastAsia="Calibri"/>
          <w:sz w:val="22"/>
        </w:rPr>
        <w:t>Jeigu sergate liga, kuri veikia kepenis, vartojant Dutasteride/Tamsulosin Krka, gali prireikti papildomo stebėjimo.</w:t>
      </w:r>
    </w:p>
    <w:p w14:paraId="7929792F" w14:textId="77777777" w:rsidR="00602606" w:rsidRDefault="00602606">
      <w:pPr>
        <w:widowControl w:val="0"/>
        <w:ind w:left="567" w:hanging="540"/>
        <w:rPr>
          <w:rFonts w:eastAsia="Calibri"/>
          <w:sz w:val="22"/>
          <w:szCs w:val="22"/>
        </w:rPr>
      </w:pPr>
    </w:p>
    <w:p w14:paraId="471B096B" w14:textId="77777777" w:rsidR="00602606" w:rsidRDefault="00604AEE">
      <w:pPr>
        <w:widowControl w:val="0"/>
        <w:ind w:left="567" w:hanging="540"/>
        <w:rPr>
          <w:rFonts w:eastAsia="Calibri"/>
          <w:sz w:val="22"/>
          <w:szCs w:val="22"/>
        </w:rPr>
      </w:pPr>
      <w:r>
        <w:rPr>
          <w:rFonts w:eastAsia="Calibri"/>
          <w:sz w:val="22"/>
          <w:szCs w:val="22"/>
        </w:rPr>
        <w:t>-</w:t>
      </w:r>
      <w:r>
        <w:rPr>
          <w:rFonts w:eastAsia="Calibri"/>
          <w:sz w:val="22"/>
          <w:szCs w:val="22"/>
        </w:rPr>
        <w:tab/>
      </w:r>
      <w:r>
        <w:rPr>
          <w:rFonts w:eastAsia="Calibri"/>
          <w:b/>
          <w:sz w:val="22"/>
          <w:szCs w:val="22"/>
        </w:rPr>
        <w:t>Būtinai pasakykite gydytojui</w:t>
      </w:r>
      <w:r w:rsidRPr="001F276A">
        <w:rPr>
          <w:rFonts w:eastAsia="Calibri"/>
          <w:b/>
          <w:sz w:val="22"/>
        </w:rPr>
        <w:t>,</w:t>
      </w:r>
      <w:r>
        <w:rPr>
          <w:rFonts w:eastAsia="Calibri"/>
          <w:b/>
          <w:sz w:val="22"/>
          <w:szCs w:val="22"/>
        </w:rPr>
        <w:t xml:space="preserve"> </w:t>
      </w:r>
      <w:r>
        <w:rPr>
          <w:rFonts w:eastAsia="Calibri"/>
          <w:b/>
          <w:sz w:val="22"/>
          <w:szCs w:val="22"/>
          <w:lang w:val="lt-LT"/>
        </w:rPr>
        <w:t>jeigu Jums pasireiškia sunkūs inkstų funkc</w:t>
      </w:r>
      <w:r w:rsidRPr="001F276A">
        <w:rPr>
          <w:rFonts w:eastAsia="Calibri"/>
          <w:b/>
          <w:sz w:val="22"/>
        </w:rPr>
        <w:t>ijos sutrikimai</w:t>
      </w:r>
      <w:r w:rsidRPr="001F276A">
        <w:rPr>
          <w:rFonts w:eastAsia="Calibri"/>
          <w:sz w:val="22"/>
        </w:rPr>
        <w:t>.</w:t>
      </w:r>
    </w:p>
    <w:p w14:paraId="734525C2" w14:textId="77777777" w:rsidR="00602606" w:rsidRDefault="00602606">
      <w:pPr>
        <w:widowControl w:val="0"/>
        <w:ind w:left="567" w:hanging="540"/>
        <w:rPr>
          <w:rFonts w:eastAsia="Calibri"/>
          <w:sz w:val="22"/>
          <w:szCs w:val="22"/>
        </w:rPr>
      </w:pPr>
    </w:p>
    <w:p w14:paraId="3EC68627" w14:textId="77777777" w:rsidR="00602606" w:rsidRDefault="00604AEE">
      <w:pPr>
        <w:widowControl w:val="0"/>
        <w:ind w:left="567" w:hanging="540"/>
        <w:rPr>
          <w:rFonts w:eastAsia="Calibri"/>
          <w:sz w:val="22"/>
          <w:szCs w:val="22"/>
        </w:rPr>
      </w:pPr>
      <w:r>
        <w:rPr>
          <w:rFonts w:eastAsia="Calibri"/>
          <w:b/>
          <w:sz w:val="22"/>
          <w:szCs w:val="22"/>
        </w:rPr>
        <w:t>-</w:t>
      </w:r>
      <w:r>
        <w:rPr>
          <w:rFonts w:eastAsia="Calibri"/>
          <w:b/>
          <w:sz w:val="22"/>
          <w:szCs w:val="22"/>
        </w:rPr>
        <w:tab/>
        <w:t>Kataraktos (lęšiuko drumsties) chirurginė operacija.</w:t>
      </w:r>
      <w:r w:rsidRPr="001F276A">
        <w:rPr>
          <w:rFonts w:eastAsia="Calibri"/>
          <w:sz w:val="22"/>
        </w:rPr>
        <w:t xml:space="preserve"> Jeigu bus atliekama kataraktos pašalinimo operacija, gydytojas gali nurodyti nutraukti Dutasteride/Tamsulosin Krka vartojimą prieš operaciją. Prieš operaciją pasakykite akių ligų gydytojui, kad vartojate Dutasteride/Tamsulosin Krka arba tamsuloziną (arba vartojote anksčiau). Gydytojas turės imtis tinkamų atsargumo priemonių, kad operacijos metu būtų išvengta komplikacijų.</w:t>
      </w:r>
    </w:p>
    <w:p w14:paraId="6115579D" w14:textId="77777777" w:rsidR="00602606" w:rsidRDefault="00602606">
      <w:pPr>
        <w:widowControl w:val="0"/>
        <w:ind w:left="567" w:hanging="540"/>
        <w:rPr>
          <w:rFonts w:eastAsia="Calibri"/>
          <w:sz w:val="22"/>
          <w:szCs w:val="22"/>
        </w:rPr>
      </w:pPr>
    </w:p>
    <w:p w14:paraId="0ACF0CE3" w14:textId="77777777" w:rsidR="00602606" w:rsidRDefault="00604AEE">
      <w:pPr>
        <w:widowControl w:val="0"/>
        <w:ind w:left="567" w:hanging="540"/>
        <w:rPr>
          <w:rFonts w:eastAsia="Calibri"/>
          <w:sz w:val="22"/>
          <w:szCs w:val="22"/>
        </w:rPr>
      </w:pPr>
      <w:r>
        <w:rPr>
          <w:rFonts w:eastAsia="Calibri"/>
          <w:b/>
          <w:sz w:val="22"/>
          <w:szCs w:val="22"/>
        </w:rPr>
        <w:t>-</w:t>
      </w:r>
      <w:r>
        <w:rPr>
          <w:rFonts w:eastAsia="Calibri"/>
          <w:b/>
          <w:sz w:val="22"/>
          <w:szCs w:val="22"/>
        </w:rPr>
        <w:tab/>
        <w:t xml:space="preserve">Moterims, vaikams ir paaugliams </w:t>
      </w:r>
      <w:r w:rsidRPr="001F276A">
        <w:rPr>
          <w:rFonts w:eastAsia="Calibri"/>
          <w:sz w:val="22"/>
        </w:rPr>
        <w:t xml:space="preserve">negalima liestis prie nesandarių Dutasteride/Tamsulosin Krka kapsulių, nes veiklioji medžiaga gali būti absorbuota per odą. Jeigu įvykstą kontaktas su oda, </w:t>
      </w:r>
      <w:r w:rsidRPr="001F276A">
        <w:rPr>
          <w:rFonts w:eastAsia="Calibri"/>
          <w:b/>
          <w:sz w:val="22"/>
        </w:rPr>
        <w:t xml:space="preserve">sąlyčio vietą reikia nedelsiant plauti </w:t>
      </w:r>
      <w:r w:rsidRPr="001F276A">
        <w:rPr>
          <w:rFonts w:eastAsia="Calibri"/>
          <w:sz w:val="22"/>
        </w:rPr>
        <w:t>muilu ir vandeniu.</w:t>
      </w:r>
    </w:p>
    <w:p w14:paraId="442E14B1" w14:textId="77777777" w:rsidR="00602606" w:rsidRDefault="00602606">
      <w:pPr>
        <w:widowControl w:val="0"/>
        <w:ind w:left="567" w:hanging="540"/>
        <w:rPr>
          <w:rFonts w:eastAsia="Calibri"/>
          <w:sz w:val="22"/>
          <w:szCs w:val="22"/>
        </w:rPr>
      </w:pPr>
    </w:p>
    <w:p w14:paraId="36DC94EE" w14:textId="77777777" w:rsidR="00602606" w:rsidRDefault="00604AEE">
      <w:pPr>
        <w:widowControl w:val="0"/>
        <w:ind w:left="567" w:hanging="540"/>
        <w:rPr>
          <w:rFonts w:eastAsia="Calibri"/>
          <w:sz w:val="22"/>
          <w:szCs w:val="22"/>
        </w:rPr>
      </w:pPr>
      <w:r>
        <w:rPr>
          <w:rFonts w:eastAsia="Calibri"/>
          <w:b/>
          <w:sz w:val="22"/>
          <w:szCs w:val="22"/>
        </w:rPr>
        <w:t>-</w:t>
      </w:r>
      <w:r>
        <w:rPr>
          <w:rFonts w:eastAsia="Calibri"/>
          <w:b/>
          <w:sz w:val="22"/>
          <w:szCs w:val="22"/>
        </w:rPr>
        <w:tab/>
        <w:t>Prezervatyvų naudojimas lytinių santykių metu.</w:t>
      </w:r>
      <w:r w:rsidRPr="001F276A">
        <w:rPr>
          <w:rFonts w:eastAsia="Calibri"/>
          <w:sz w:val="22"/>
        </w:rPr>
        <w:t xml:space="preserve"> Dutasterido aptikta D</w:t>
      </w:r>
      <w:r>
        <w:rPr>
          <w:rFonts w:eastAsia="Calibri"/>
          <w:sz w:val="22"/>
          <w:szCs w:val="22"/>
        </w:rPr>
        <w:t>utasteride/Tamsulosin Krka</w:t>
      </w:r>
      <w:r w:rsidRPr="001F276A">
        <w:rPr>
          <w:rFonts w:eastAsia="Calibri"/>
          <w:sz w:val="22"/>
        </w:rPr>
        <w:t xml:space="preserve"> vartojančių vyrų spermoje. Jeigu partnerė yra arba gali būti nėščia, turite apsaugoti ją nuo Jūsų spermos patekimo į jos organizmą, nes dutasteridas gali sutrikdyti normalų vyriškos lyties vaisiaus vystymąsi. Dutasteridas mažina spermatozoidų kiekį, spermos tūrį ir spermatozoidų judrumą. Dėl to gali sumažėti vaisingumas.</w:t>
      </w:r>
    </w:p>
    <w:p w14:paraId="474A4501" w14:textId="77777777" w:rsidR="00602606" w:rsidRDefault="00602606">
      <w:pPr>
        <w:widowControl w:val="0"/>
        <w:ind w:left="567" w:hanging="540"/>
        <w:rPr>
          <w:rFonts w:eastAsia="Calibri"/>
          <w:b/>
          <w:sz w:val="22"/>
          <w:szCs w:val="22"/>
        </w:rPr>
      </w:pPr>
    </w:p>
    <w:p w14:paraId="07460957" w14:textId="77777777" w:rsidR="00602606" w:rsidRDefault="00604AEE">
      <w:pPr>
        <w:widowControl w:val="0"/>
        <w:ind w:left="567" w:hanging="540"/>
        <w:rPr>
          <w:rFonts w:eastAsia="Calibri"/>
          <w:b/>
          <w:sz w:val="22"/>
          <w:szCs w:val="22"/>
        </w:rPr>
      </w:pPr>
      <w:r>
        <w:rPr>
          <w:rFonts w:eastAsia="Calibri"/>
          <w:b/>
          <w:sz w:val="22"/>
          <w:szCs w:val="22"/>
        </w:rPr>
        <w:t>-</w:t>
      </w:r>
      <w:r>
        <w:rPr>
          <w:rFonts w:eastAsia="Calibri"/>
          <w:b/>
          <w:sz w:val="22"/>
          <w:szCs w:val="22"/>
        </w:rPr>
        <w:tab/>
        <w:t>Dutasteride/Tamsulosin Krka</w:t>
      </w:r>
      <w:r w:rsidRPr="001F276A">
        <w:rPr>
          <w:rFonts w:eastAsia="Calibri"/>
          <w:b/>
          <w:sz w:val="22"/>
        </w:rPr>
        <w:t xml:space="preserve"> daro įtaką kraujo tyrimui, kuriuo nustatomas PSA</w:t>
      </w:r>
      <w:r w:rsidRPr="001F276A">
        <w:rPr>
          <w:rFonts w:eastAsia="Calibri"/>
          <w:i/>
          <w:sz w:val="22"/>
        </w:rPr>
        <w:t xml:space="preserve"> (prostatos specifinis antigenas)</w:t>
      </w:r>
      <w:r w:rsidRPr="001F276A">
        <w:rPr>
          <w:rFonts w:eastAsia="Calibri"/>
          <w:sz w:val="22"/>
        </w:rPr>
        <w:t xml:space="preserve">. Šis tyrimas kartais atliekamas diagnozuojant prostatos vėžį. Jūsų gydytojas turi žinoti apie tokį poveikį ir vis tiek gali skirti šį tyrimą prostatos </w:t>
      </w:r>
      <w:r>
        <w:rPr>
          <w:rFonts w:eastAsia="Calibri"/>
          <w:sz w:val="22"/>
          <w:szCs w:val="22"/>
        </w:rPr>
        <w:t>vėžiui nustatyti. Jeig</w:t>
      </w:r>
      <w:r w:rsidRPr="001F276A">
        <w:rPr>
          <w:rFonts w:eastAsia="Calibri"/>
          <w:sz w:val="22"/>
        </w:rPr>
        <w:t>u atliekamas kraujo tyrimas dėl PSA, pasakykite savo gydytojui, kad vartojate Dutasteride/Tamsulosin Krka.</w:t>
      </w:r>
      <w:r>
        <w:rPr>
          <w:rFonts w:eastAsia="Calibri"/>
          <w:b/>
          <w:sz w:val="22"/>
          <w:szCs w:val="22"/>
        </w:rPr>
        <w:t xml:space="preserve"> Dutasteride/Tamsulosin Kr</w:t>
      </w:r>
      <w:r w:rsidRPr="001F276A">
        <w:rPr>
          <w:rFonts w:eastAsia="Calibri"/>
          <w:b/>
          <w:sz w:val="22"/>
        </w:rPr>
        <w:t>ka vartojantiems vyrams PSA reikia tirti reguliariai.</w:t>
      </w:r>
    </w:p>
    <w:p w14:paraId="24E0F725" w14:textId="77777777" w:rsidR="00602606" w:rsidRDefault="00602606">
      <w:pPr>
        <w:widowControl w:val="0"/>
        <w:ind w:left="567" w:hanging="540"/>
        <w:rPr>
          <w:rFonts w:eastAsia="Calibri"/>
          <w:sz w:val="22"/>
          <w:szCs w:val="22"/>
        </w:rPr>
      </w:pPr>
    </w:p>
    <w:p w14:paraId="6576042E" w14:textId="77777777" w:rsidR="00602606" w:rsidRDefault="00604AEE">
      <w:pPr>
        <w:widowControl w:val="0"/>
        <w:ind w:left="567" w:hanging="540"/>
        <w:rPr>
          <w:rFonts w:eastAsia="Calibri"/>
          <w:sz w:val="22"/>
          <w:szCs w:val="22"/>
        </w:rPr>
      </w:pPr>
      <w:r>
        <w:rPr>
          <w:rFonts w:eastAsia="Calibri"/>
          <w:sz w:val="22"/>
          <w:szCs w:val="22"/>
        </w:rPr>
        <w:t>-</w:t>
      </w:r>
      <w:r>
        <w:rPr>
          <w:rFonts w:eastAsia="Calibri"/>
          <w:sz w:val="22"/>
          <w:szCs w:val="22"/>
        </w:rPr>
        <w:tab/>
        <w:t>Klinikinio tyrimo, kuriame dalyvavo vyrai, kuriems yra padidėjusi p</w:t>
      </w:r>
      <w:r w:rsidRPr="001F276A">
        <w:rPr>
          <w:rFonts w:eastAsia="Calibri"/>
          <w:sz w:val="22"/>
        </w:rPr>
        <w:t xml:space="preserve">rostatos vėžio rizika, metu dutasteridą vartojantiems vyrams </w:t>
      </w:r>
      <w:r w:rsidRPr="001F276A">
        <w:rPr>
          <w:rFonts w:eastAsia="Calibri"/>
          <w:b/>
          <w:sz w:val="22"/>
        </w:rPr>
        <w:t>sunkios formos prostatos vėžys buvo dažnesnis</w:t>
      </w:r>
      <w:r w:rsidRPr="001F276A">
        <w:rPr>
          <w:rFonts w:eastAsia="Calibri"/>
          <w:sz w:val="22"/>
        </w:rPr>
        <w:t xml:space="preserve"> nei vyrams, nevartojantiems dutasterido. Dutasterido įtaka šios sunkios formos prostatos vėžiui nėra aiški.</w:t>
      </w:r>
    </w:p>
    <w:p w14:paraId="7B8B4C52" w14:textId="77777777" w:rsidR="00602606" w:rsidRDefault="00602606">
      <w:pPr>
        <w:widowControl w:val="0"/>
        <w:ind w:left="567" w:hanging="540"/>
        <w:rPr>
          <w:rFonts w:eastAsia="Calibri"/>
          <w:sz w:val="22"/>
          <w:szCs w:val="22"/>
        </w:rPr>
      </w:pPr>
    </w:p>
    <w:p w14:paraId="29FBF068" w14:textId="77777777" w:rsidR="00602606" w:rsidRDefault="00604AEE">
      <w:pPr>
        <w:widowControl w:val="0"/>
        <w:ind w:left="567" w:hanging="540"/>
        <w:rPr>
          <w:rFonts w:eastAsia="Calibri"/>
          <w:sz w:val="22"/>
          <w:szCs w:val="22"/>
        </w:rPr>
      </w:pPr>
      <w:r>
        <w:rPr>
          <w:rFonts w:eastAsia="Calibri"/>
          <w:b/>
          <w:sz w:val="22"/>
          <w:szCs w:val="22"/>
        </w:rPr>
        <w:t>-</w:t>
      </w:r>
      <w:r>
        <w:rPr>
          <w:rFonts w:eastAsia="Calibri"/>
          <w:b/>
          <w:sz w:val="22"/>
          <w:szCs w:val="22"/>
        </w:rPr>
        <w:tab/>
        <w:t>Dutasteride/Tamsulosin Krka</w:t>
      </w:r>
      <w:r w:rsidRPr="001F276A">
        <w:rPr>
          <w:rFonts w:eastAsia="Calibri"/>
          <w:b/>
          <w:sz w:val="22"/>
        </w:rPr>
        <w:t xml:space="preserve"> gali sukelti krūtų padidėjimą ir jautrumą.</w:t>
      </w:r>
      <w:r>
        <w:rPr>
          <w:rFonts w:eastAsia="Calibri"/>
          <w:sz w:val="22"/>
          <w:szCs w:val="22"/>
        </w:rPr>
        <w:t xml:space="preserve"> Jeigu dėl to nerimaujate arba jeigu pastebėjote </w:t>
      </w:r>
      <w:r w:rsidRPr="001F276A">
        <w:rPr>
          <w:rFonts w:eastAsia="Calibri"/>
          <w:b/>
          <w:sz w:val="22"/>
        </w:rPr>
        <w:t xml:space="preserve">gumbelį krūtyje </w:t>
      </w:r>
      <w:r w:rsidRPr="001F276A">
        <w:rPr>
          <w:rFonts w:eastAsia="Calibri"/>
          <w:sz w:val="22"/>
        </w:rPr>
        <w:t xml:space="preserve">ar </w:t>
      </w:r>
      <w:r w:rsidRPr="001F276A">
        <w:rPr>
          <w:rFonts w:eastAsia="Calibri"/>
          <w:b/>
          <w:sz w:val="22"/>
        </w:rPr>
        <w:t>išskyras iš</w:t>
      </w:r>
      <w:r w:rsidRPr="001F276A">
        <w:rPr>
          <w:rFonts w:eastAsia="Calibri"/>
          <w:sz w:val="22"/>
        </w:rPr>
        <w:t xml:space="preserve"> </w:t>
      </w:r>
      <w:r>
        <w:rPr>
          <w:rFonts w:eastAsia="Calibri"/>
          <w:b/>
          <w:sz w:val="22"/>
          <w:szCs w:val="22"/>
        </w:rPr>
        <w:t xml:space="preserve">spenelių, </w:t>
      </w:r>
      <w:r w:rsidRPr="001F276A">
        <w:rPr>
          <w:rFonts w:eastAsia="Calibri"/>
          <w:sz w:val="22"/>
        </w:rPr>
        <w:t>apie šiuos pokyčius turite pasakyti savo gydytojui, nes tai gali būti sunkios būklės, pavyzdžiui, krūties vėžio, požymiai.</w:t>
      </w:r>
    </w:p>
    <w:p w14:paraId="4142A11E" w14:textId="77777777" w:rsidR="00602606" w:rsidRDefault="00602606">
      <w:pPr>
        <w:widowControl w:val="0"/>
        <w:ind w:left="567" w:hanging="567"/>
        <w:rPr>
          <w:rFonts w:eastAsia="Calibri"/>
          <w:sz w:val="22"/>
          <w:szCs w:val="22"/>
        </w:rPr>
      </w:pPr>
    </w:p>
    <w:p w14:paraId="342BE5D9" w14:textId="77777777" w:rsidR="00602606" w:rsidRDefault="00604AEE">
      <w:pPr>
        <w:widowControl w:val="0"/>
        <w:numPr>
          <w:ilvl w:val="0"/>
          <w:numId w:val="16"/>
        </w:numPr>
        <w:ind w:left="567" w:hanging="567"/>
        <w:contextualSpacing/>
        <w:outlineLvl w:val="0"/>
        <w:rPr>
          <w:rFonts w:asciiTheme="minorHAnsi" w:eastAsia="Calibri" w:hAnsiTheme="minorHAnsi" w:cstheme="minorBidi"/>
          <w:sz w:val="22"/>
          <w:szCs w:val="22"/>
          <w:lang w:val="lt-LT" w:eastAsia="en-US"/>
        </w:rPr>
      </w:pPr>
      <w:r>
        <w:rPr>
          <w:rFonts w:eastAsia="Calibri"/>
          <w:sz w:val="22"/>
          <w:szCs w:val="22"/>
        </w:rPr>
        <w:t>Jeigu kiltų daugiau klausimų apie Dutasteride/Tamsulosin Krka</w:t>
      </w:r>
      <w:r w:rsidRPr="001F276A">
        <w:rPr>
          <w:rFonts w:eastAsia="Calibri"/>
          <w:sz w:val="22"/>
        </w:rPr>
        <w:t xml:space="preserve"> vartojimą, </w:t>
      </w:r>
      <w:r w:rsidRPr="001F276A">
        <w:rPr>
          <w:rFonts w:eastAsia="Calibri"/>
          <w:b/>
          <w:sz w:val="22"/>
        </w:rPr>
        <w:t>kreipkitės į gydytoją arba vaistininką</w:t>
      </w:r>
      <w:r w:rsidRPr="001F276A">
        <w:rPr>
          <w:rFonts w:eastAsia="Calibri"/>
          <w:sz w:val="22"/>
        </w:rPr>
        <w:t>.</w:t>
      </w:r>
    </w:p>
    <w:p w14:paraId="131D8988" w14:textId="77777777" w:rsidR="00602606" w:rsidRDefault="00602606">
      <w:pPr>
        <w:widowControl w:val="0"/>
        <w:contextualSpacing/>
        <w:outlineLvl w:val="0"/>
        <w:rPr>
          <w:rFonts w:eastAsia="Calibri"/>
          <w:b/>
          <w:sz w:val="22"/>
          <w:szCs w:val="22"/>
        </w:rPr>
      </w:pPr>
    </w:p>
    <w:p w14:paraId="6F31D5C2" w14:textId="77777777" w:rsidR="00602606" w:rsidRDefault="00604AEE">
      <w:pPr>
        <w:widowControl w:val="0"/>
        <w:rPr>
          <w:rFonts w:asciiTheme="minorHAnsi" w:eastAsia="Calibri" w:hAnsiTheme="minorHAnsi" w:cstheme="minorBidi"/>
          <w:sz w:val="22"/>
          <w:szCs w:val="22"/>
          <w:lang w:val="lt-LT" w:eastAsia="en-US"/>
        </w:rPr>
      </w:pPr>
      <w:r>
        <w:rPr>
          <w:rFonts w:eastAsia="Calibri"/>
          <w:b/>
          <w:sz w:val="22"/>
          <w:szCs w:val="22"/>
        </w:rPr>
        <w:t>Kiti vaistai ir Dutasteride/</w:t>
      </w:r>
      <w:r w:rsidRPr="001F276A">
        <w:rPr>
          <w:rFonts w:eastAsia="Calibri"/>
          <w:b/>
          <w:sz w:val="22"/>
        </w:rPr>
        <w:t>Tamsulosin Krka</w:t>
      </w:r>
    </w:p>
    <w:p w14:paraId="65E26BE2"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Jeigu vartojate ar neseniai vartojote kitų vaistų arba dėl to nesate tikri, apie tai</w:t>
      </w:r>
      <w:r>
        <w:rPr>
          <w:rFonts w:eastAsia="Calibri"/>
          <w:b/>
          <w:sz w:val="22"/>
          <w:szCs w:val="22"/>
        </w:rPr>
        <w:t xml:space="preserve"> </w:t>
      </w:r>
      <w:r>
        <w:rPr>
          <w:rFonts w:eastAsia="Calibri"/>
          <w:sz w:val="22"/>
          <w:szCs w:val="22"/>
        </w:rPr>
        <w:t>pasakykite g</w:t>
      </w:r>
      <w:r w:rsidRPr="001F276A">
        <w:rPr>
          <w:rFonts w:eastAsia="Calibri"/>
          <w:sz w:val="22"/>
        </w:rPr>
        <w:t>ydytojui arba vaistininkui.</w:t>
      </w:r>
    </w:p>
    <w:p w14:paraId="3A51B969" w14:textId="77777777" w:rsidR="00602606" w:rsidRDefault="00602606">
      <w:pPr>
        <w:widowControl w:val="0"/>
        <w:contextualSpacing/>
        <w:outlineLvl w:val="0"/>
        <w:rPr>
          <w:rFonts w:eastAsia="Calibri"/>
          <w:sz w:val="22"/>
          <w:szCs w:val="22"/>
        </w:rPr>
      </w:pPr>
    </w:p>
    <w:p w14:paraId="6C42B1BB"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Dutasteride/Tamsulosin Krka negalima vartoti kartu su šiais vaistais:</w:t>
      </w:r>
    </w:p>
    <w:p w14:paraId="55A942CD" w14:textId="77777777" w:rsidR="00602606" w:rsidRDefault="00604AEE">
      <w:pPr>
        <w:widowControl w:val="0"/>
        <w:ind w:left="567" w:hanging="567"/>
        <w:rPr>
          <w:rFonts w:eastAsia="Calibri"/>
          <w:sz w:val="22"/>
          <w:szCs w:val="22"/>
        </w:rPr>
      </w:pPr>
      <w:r>
        <w:rPr>
          <w:rFonts w:eastAsia="Calibri"/>
          <w:b/>
          <w:sz w:val="22"/>
          <w:szCs w:val="22"/>
        </w:rPr>
        <w:t>-</w:t>
      </w:r>
      <w:r>
        <w:rPr>
          <w:rFonts w:eastAsia="Calibri"/>
          <w:b/>
          <w:sz w:val="22"/>
          <w:szCs w:val="22"/>
        </w:rPr>
        <w:tab/>
        <w:t>kitais alfa adrenoreceptorių blokatoriais</w:t>
      </w:r>
      <w:r w:rsidRPr="001F276A">
        <w:rPr>
          <w:rFonts w:eastAsia="Calibri"/>
          <w:sz w:val="22"/>
        </w:rPr>
        <w:t xml:space="preserve"> </w:t>
      </w:r>
      <w:r>
        <w:rPr>
          <w:rFonts w:eastAsia="Calibri"/>
          <w:sz w:val="22"/>
          <w:szCs w:val="22"/>
        </w:rPr>
        <w:t>(vartojamais nuo prostatos padidėjimo arba padidėjusio kraujospūdžio).</w:t>
      </w:r>
    </w:p>
    <w:p w14:paraId="597493A7" w14:textId="77777777" w:rsidR="00602606" w:rsidRDefault="00602606">
      <w:pPr>
        <w:widowControl w:val="0"/>
        <w:contextualSpacing/>
        <w:outlineLvl w:val="0"/>
        <w:rPr>
          <w:rFonts w:eastAsia="Calibri"/>
          <w:sz w:val="22"/>
          <w:szCs w:val="22"/>
        </w:rPr>
      </w:pPr>
    </w:p>
    <w:p w14:paraId="68515E0F"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Dutasteride/Tamsulosin Krka nerekomenduoj</w:t>
      </w:r>
      <w:r w:rsidRPr="001F276A">
        <w:rPr>
          <w:rFonts w:eastAsia="Calibri"/>
          <w:sz w:val="22"/>
        </w:rPr>
        <w:t>ama vartoti kartu su šiais vaistais:</w:t>
      </w:r>
    </w:p>
    <w:p w14:paraId="149250F9" w14:textId="77777777" w:rsidR="00602606" w:rsidRDefault="00604AEE">
      <w:pPr>
        <w:widowControl w:val="0"/>
        <w:ind w:left="567" w:hanging="567"/>
        <w:rPr>
          <w:rFonts w:eastAsia="Calibri"/>
          <w:sz w:val="22"/>
          <w:szCs w:val="22"/>
        </w:rPr>
      </w:pPr>
      <w:r>
        <w:rPr>
          <w:rFonts w:eastAsia="Calibri"/>
          <w:sz w:val="22"/>
          <w:szCs w:val="22"/>
        </w:rPr>
        <w:t>-</w:t>
      </w:r>
      <w:r>
        <w:rPr>
          <w:rFonts w:eastAsia="Calibri"/>
          <w:sz w:val="22"/>
          <w:szCs w:val="22"/>
        </w:rPr>
        <w:tab/>
      </w:r>
      <w:r>
        <w:rPr>
          <w:rFonts w:eastAsia="Calibri"/>
          <w:b/>
          <w:sz w:val="22"/>
          <w:szCs w:val="22"/>
        </w:rPr>
        <w:t>ketokonazolu</w:t>
      </w:r>
      <w:r w:rsidRPr="001F276A">
        <w:rPr>
          <w:rFonts w:eastAsia="Calibri"/>
          <w:sz w:val="22"/>
        </w:rPr>
        <w:t xml:space="preserve"> (vartojamas grybelių sukeltoms infekcinėms ligoms gydyti).</w:t>
      </w:r>
    </w:p>
    <w:p w14:paraId="4C392D09" w14:textId="77777777" w:rsidR="00602606" w:rsidRDefault="00602606">
      <w:pPr>
        <w:widowControl w:val="0"/>
        <w:ind w:left="540" w:hanging="540"/>
        <w:rPr>
          <w:rFonts w:eastAsia="Calibri"/>
          <w:sz w:val="22"/>
          <w:szCs w:val="22"/>
        </w:rPr>
      </w:pPr>
    </w:p>
    <w:p w14:paraId="48817E2C"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 xml:space="preserve">Kai kurie vaistai gali reaguoti su </w:t>
      </w:r>
      <w:r w:rsidRPr="001F276A">
        <w:rPr>
          <w:rFonts w:eastAsia="Calibri"/>
          <w:sz w:val="22"/>
        </w:rPr>
        <w:t>Dutasteride/Tamsulosin Krka ir padidinti šalutinio poveikio riziką. Tokie vaistai yra:</w:t>
      </w:r>
    </w:p>
    <w:p w14:paraId="2AD237E6" w14:textId="77777777" w:rsidR="00602606" w:rsidRDefault="00604AEE">
      <w:pPr>
        <w:pStyle w:val="Sraopastraipa"/>
        <w:widowControl w:val="0"/>
        <w:numPr>
          <w:ilvl w:val="0"/>
          <w:numId w:val="14"/>
        </w:numPr>
        <w:tabs>
          <w:tab w:val="clear" w:pos="567"/>
        </w:tabs>
        <w:spacing w:line="240" w:lineRule="auto"/>
        <w:ind w:left="567" w:hanging="567"/>
        <w:rPr>
          <w:rFonts w:eastAsia="Calibri"/>
          <w:szCs w:val="22"/>
        </w:rPr>
      </w:pPr>
      <w:r>
        <w:rPr>
          <w:rFonts w:eastAsia="Calibri"/>
          <w:b/>
          <w:szCs w:val="22"/>
        </w:rPr>
        <w:t>FDE5 inhibitoriai</w:t>
      </w:r>
      <w:r>
        <w:rPr>
          <w:rFonts w:eastAsia="Calibri"/>
          <w:szCs w:val="22"/>
        </w:rPr>
        <w:t xml:space="preserve"> (vartojami, norint pasiekti ir palaikyti erekciją), pavyzdžiui vardenafilis, sildenafilio citratas ir tadalafilis;</w:t>
      </w:r>
    </w:p>
    <w:p w14:paraId="5DB74B32" w14:textId="77777777" w:rsidR="00602606" w:rsidRDefault="00604AEE">
      <w:pPr>
        <w:pStyle w:val="Sraopastraipa"/>
        <w:widowControl w:val="0"/>
        <w:numPr>
          <w:ilvl w:val="0"/>
          <w:numId w:val="14"/>
        </w:numPr>
        <w:tabs>
          <w:tab w:val="clear" w:pos="567"/>
        </w:tabs>
        <w:spacing w:line="240" w:lineRule="auto"/>
        <w:ind w:left="567" w:hanging="567"/>
        <w:rPr>
          <w:rFonts w:eastAsia="Calibri"/>
          <w:szCs w:val="22"/>
        </w:rPr>
      </w:pPr>
      <w:r>
        <w:rPr>
          <w:rFonts w:eastAsia="Calibri"/>
          <w:b/>
          <w:szCs w:val="22"/>
        </w:rPr>
        <w:t>verapamilis ar diltiazemas</w:t>
      </w:r>
      <w:r>
        <w:rPr>
          <w:rFonts w:eastAsia="Calibri"/>
          <w:szCs w:val="22"/>
        </w:rPr>
        <w:t xml:space="preserve"> (vartojami nuo padidėjusio kraujospūdžio);</w:t>
      </w:r>
    </w:p>
    <w:p w14:paraId="5BCC926E" w14:textId="77777777" w:rsidR="00602606" w:rsidRDefault="00604AEE">
      <w:pPr>
        <w:pStyle w:val="Sraopastraipa"/>
        <w:widowControl w:val="0"/>
        <w:numPr>
          <w:ilvl w:val="0"/>
          <w:numId w:val="14"/>
        </w:numPr>
        <w:tabs>
          <w:tab w:val="clear" w:pos="567"/>
        </w:tabs>
        <w:spacing w:line="240" w:lineRule="auto"/>
        <w:ind w:left="567" w:hanging="567"/>
        <w:rPr>
          <w:rFonts w:eastAsia="Calibri"/>
          <w:szCs w:val="22"/>
        </w:rPr>
      </w:pPr>
      <w:r>
        <w:rPr>
          <w:rFonts w:eastAsia="Calibri"/>
          <w:b/>
          <w:szCs w:val="22"/>
        </w:rPr>
        <w:t>ritonaviras ar indinaviras</w:t>
      </w:r>
      <w:r>
        <w:rPr>
          <w:rFonts w:eastAsia="Calibri"/>
          <w:szCs w:val="22"/>
        </w:rPr>
        <w:t xml:space="preserve"> (vartojami nuo ŽIV);</w:t>
      </w:r>
    </w:p>
    <w:p w14:paraId="521A7AEC" w14:textId="77777777" w:rsidR="00602606" w:rsidRDefault="00604AEE">
      <w:pPr>
        <w:pStyle w:val="Sraopastraipa"/>
        <w:widowControl w:val="0"/>
        <w:numPr>
          <w:ilvl w:val="0"/>
          <w:numId w:val="14"/>
        </w:numPr>
        <w:tabs>
          <w:tab w:val="clear" w:pos="567"/>
        </w:tabs>
        <w:spacing w:line="240" w:lineRule="auto"/>
        <w:ind w:left="567" w:hanging="567"/>
        <w:rPr>
          <w:rFonts w:eastAsia="Calibri"/>
          <w:szCs w:val="22"/>
        </w:rPr>
      </w:pPr>
      <w:r>
        <w:rPr>
          <w:rFonts w:eastAsia="Calibri"/>
          <w:b/>
          <w:szCs w:val="22"/>
        </w:rPr>
        <w:t>itrakonazolas ar ketokonazolas</w:t>
      </w:r>
      <w:r>
        <w:rPr>
          <w:rFonts w:eastAsia="Calibri"/>
          <w:szCs w:val="22"/>
        </w:rPr>
        <w:t xml:space="preserve"> (vartojami nuo grybelių sukeltos infekcijos);</w:t>
      </w:r>
    </w:p>
    <w:p w14:paraId="5CEA9E54" w14:textId="77777777" w:rsidR="00602606" w:rsidRDefault="00604AEE">
      <w:pPr>
        <w:pStyle w:val="Sraopastraipa"/>
        <w:widowControl w:val="0"/>
        <w:numPr>
          <w:ilvl w:val="0"/>
          <w:numId w:val="14"/>
        </w:numPr>
        <w:tabs>
          <w:tab w:val="clear" w:pos="567"/>
        </w:tabs>
        <w:spacing w:line="240" w:lineRule="auto"/>
        <w:ind w:left="567" w:hanging="567"/>
        <w:rPr>
          <w:rFonts w:eastAsia="Calibri"/>
          <w:szCs w:val="22"/>
        </w:rPr>
      </w:pPr>
      <w:r>
        <w:rPr>
          <w:rFonts w:eastAsia="Calibri"/>
          <w:b/>
          <w:szCs w:val="22"/>
        </w:rPr>
        <w:t>nefazodonas</w:t>
      </w:r>
      <w:r>
        <w:rPr>
          <w:rFonts w:eastAsia="Calibri"/>
          <w:szCs w:val="22"/>
        </w:rPr>
        <w:t xml:space="preserve"> (antidepresantas);</w:t>
      </w:r>
    </w:p>
    <w:p w14:paraId="2FC8DA41" w14:textId="77777777" w:rsidR="00602606" w:rsidRDefault="00604AEE">
      <w:pPr>
        <w:pStyle w:val="Sraopastraipa"/>
        <w:widowControl w:val="0"/>
        <w:numPr>
          <w:ilvl w:val="0"/>
          <w:numId w:val="14"/>
        </w:numPr>
        <w:tabs>
          <w:tab w:val="clear" w:pos="567"/>
        </w:tabs>
        <w:spacing w:line="240" w:lineRule="auto"/>
        <w:ind w:left="567" w:hanging="567"/>
        <w:rPr>
          <w:rFonts w:eastAsia="Calibri"/>
          <w:szCs w:val="22"/>
        </w:rPr>
      </w:pPr>
      <w:r>
        <w:rPr>
          <w:rFonts w:eastAsia="Calibri"/>
          <w:b/>
          <w:szCs w:val="22"/>
        </w:rPr>
        <w:t>cimetidinas</w:t>
      </w:r>
      <w:r>
        <w:rPr>
          <w:rFonts w:eastAsia="Calibri"/>
          <w:szCs w:val="22"/>
        </w:rPr>
        <w:t xml:space="preserve"> (vartojamas nuo skrandžio opos);</w:t>
      </w:r>
    </w:p>
    <w:p w14:paraId="4769AC01" w14:textId="77777777" w:rsidR="00602606" w:rsidRDefault="00604AEE">
      <w:pPr>
        <w:pStyle w:val="Sraopastraipa"/>
        <w:widowControl w:val="0"/>
        <w:numPr>
          <w:ilvl w:val="0"/>
          <w:numId w:val="14"/>
        </w:numPr>
        <w:tabs>
          <w:tab w:val="clear" w:pos="567"/>
        </w:tabs>
        <w:spacing w:line="240" w:lineRule="auto"/>
        <w:ind w:left="567" w:hanging="567"/>
        <w:rPr>
          <w:rFonts w:eastAsia="Calibri"/>
          <w:szCs w:val="22"/>
        </w:rPr>
      </w:pPr>
      <w:r>
        <w:rPr>
          <w:rFonts w:eastAsia="Calibri"/>
          <w:b/>
          <w:szCs w:val="22"/>
        </w:rPr>
        <w:t>varfarinas</w:t>
      </w:r>
      <w:r>
        <w:rPr>
          <w:rFonts w:eastAsia="Calibri"/>
          <w:szCs w:val="22"/>
        </w:rPr>
        <w:t xml:space="preserve"> (vartojamas kraujo krešėjimui slopinti);</w:t>
      </w:r>
    </w:p>
    <w:p w14:paraId="3BF88BA3" w14:textId="77777777" w:rsidR="00602606" w:rsidRDefault="00604AEE">
      <w:pPr>
        <w:pStyle w:val="Sraopastraipa"/>
        <w:widowControl w:val="0"/>
        <w:numPr>
          <w:ilvl w:val="0"/>
          <w:numId w:val="14"/>
        </w:numPr>
        <w:tabs>
          <w:tab w:val="clear" w:pos="567"/>
        </w:tabs>
        <w:spacing w:line="240" w:lineRule="auto"/>
        <w:ind w:left="567" w:hanging="567"/>
        <w:rPr>
          <w:rFonts w:eastAsia="Calibri"/>
          <w:szCs w:val="22"/>
        </w:rPr>
      </w:pPr>
      <w:r>
        <w:rPr>
          <w:rFonts w:eastAsia="Calibri"/>
          <w:b/>
          <w:szCs w:val="22"/>
        </w:rPr>
        <w:t>eritromicinas</w:t>
      </w:r>
      <w:r>
        <w:rPr>
          <w:rFonts w:eastAsia="Calibri"/>
          <w:szCs w:val="22"/>
        </w:rPr>
        <w:t xml:space="preserve"> (antibiotikas, vartojamas infekcinėms ligoms gydyti);</w:t>
      </w:r>
    </w:p>
    <w:p w14:paraId="4911CDEC" w14:textId="77777777" w:rsidR="00602606" w:rsidRDefault="00604AEE">
      <w:pPr>
        <w:pStyle w:val="Sraopastraipa"/>
        <w:widowControl w:val="0"/>
        <w:numPr>
          <w:ilvl w:val="0"/>
          <w:numId w:val="14"/>
        </w:numPr>
        <w:tabs>
          <w:tab w:val="clear" w:pos="567"/>
        </w:tabs>
        <w:spacing w:line="240" w:lineRule="auto"/>
        <w:ind w:left="567" w:hanging="567"/>
        <w:rPr>
          <w:rFonts w:eastAsia="Calibri"/>
          <w:szCs w:val="22"/>
        </w:rPr>
      </w:pPr>
      <w:r>
        <w:rPr>
          <w:rFonts w:eastAsia="Calibri"/>
          <w:b/>
          <w:szCs w:val="22"/>
        </w:rPr>
        <w:t>paroksetinas</w:t>
      </w:r>
      <w:r>
        <w:rPr>
          <w:rFonts w:eastAsia="Calibri"/>
          <w:szCs w:val="22"/>
        </w:rPr>
        <w:t xml:space="preserve"> (antidepresantas);</w:t>
      </w:r>
    </w:p>
    <w:p w14:paraId="4B15AB2E" w14:textId="77777777" w:rsidR="00602606" w:rsidRDefault="00604AEE">
      <w:pPr>
        <w:pStyle w:val="Sraopastraipa"/>
        <w:widowControl w:val="0"/>
        <w:numPr>
          <w:ilvl w:val="0"/>
          <w:numId w:val="14"/>
        </w:numPr>
        <w:tabs>
          <w:tab w:val="clear" w:pos="567"/>
        </w:tabs>
        <w:spacing w:line="240" w:lineRule="auto"/>
        <w:ind w:left="567" w:hanging="567"/>
        <w:rPr>
          <w:rFonts w:eastAsia="Calibri"/>
          <w:szCs w:val="22"/>
        </w:rPr>
      </w:pPr>
      <w:r>
        <w:rPr>
          <w:rFonts w:eastAsia="Calibri"/>
          <w:b/>
          <w:szCs w:val="22"/>
        </w:rPr>
        <w:t>terbinafinas</w:t>
      </w:r>
      <w:r>
        <w:rPr>
          <w:rFonts w:eastAsia="Calibri"/>
          <w:szCs w:val="22"/>
        </w:rPr>
        <w:t xml:space="preserve"> (vartojamas grybelių sukeltoms infekcinėms ligoms gydyti);</w:t>
      </w:r>
    </w:p>
    <w:p w14:paraId="1954D263" w14:textId="77777777" w:rsidR="00602606" w:rsidRDefault="00604AEE">
      <w:pPr>
        <w:pStyle w:val="Sraopastraipa"/>
        <w:widowControl w:val="0"/>
        <w:numPr>
          <w:ilvl w:val="0"/>
          <w:numId w:val="14"/>
        </w:numPr>
        <w:tabs>
          <w:tab w:val="clear" w:pos="567"/>
        </w:tabs>
        <w:spacing w:line="240" w:lineRule="auto"/>
        <w:ind w:left="567" w:hanging="567"/>
        <w:rPr>
          <w:rFonts w:eastAsia="Calibri"/>
          <w:szCs w:val="22"/>
        </w:rPr>
      </w:pPr>
      <w:r>
        <w:rPr>
          <w:rFonts w:eastAsia="Calibri"/>
          <w:b/>
          <w:szCs w:val="22"/>
        </w:rPr>
        <w:t>diklofenakas</w:t>
      </w:r>
      <w:r>
        <w:rPr>
          <w:rFonts w:eastAsia="Calibri"/>
          <w:szCs w:val="22"/>
        </w:rPr>
        <w:t xml:space="preserve"> (vartojamas skausmui malšinti ir uždegimui gydyti).</w:t>
      </w:r>
    </w:p>
    <w:p w14:paraId="6617EF29" w14:textId="77777777" w:rsidR="00602606" w:rsidRDefault="00602606">
      <w:pPr>
        <w:widowControl w:val="0"/>
        <w:rPr>
          <w:rFonts w:eastAsia="Calibri"/>
          <w:sz w:val="22"/>
          <w:szCs w:val="22"/>
        </w:rPr>
      </w:pPr>
    </w:p>
    <w:p w14:paraId="3F3EF7DF" w14:textId="77777777" w:rsidR="00602606" w:rsidRDefault="00604AEE">
      <w:pPr>
        <w:widowControl w:val="0"/>
        <w:numPr>
          <w:ilvl w:val="0"/>
          <w:numId w:val="16"/>
        </w:numPr>
        <w:ind w:left="567" w:hanging="567"/>
        <w:rPr>
          <w:rFonts w:asciiTheme="minorHAnsi" w:eastAsia="Calibri" w:hAnsiTheme="minorHAnsi" w:cstheme="minorBidi"/>
          <w:sz w:val="22"/>
          <w:szCs w:val="22"/>
          <w:lang w:val="lt-LT" w:eastAsia="en-US"/>
        </w:rPr>
      </w:pPr>
      <w:r>
        <w:rPr>
          <w:rFonts w:eastAsia="Calibri"/>
          <w:sz w:val="22"/>
          <w:szCs w:val="22"/>
        </w:rPr>
        <w:t xml:space="preserve">Jeigu vartojate bet kurį iš išvardytų vaistų, </w:t>
      </w:r>
      <w:r>
        <w:rPr>
          <w:rFonts w:eastAsia="Calibri"/>
          <w:b/>
          <w:sz w:val="22"/>
          <w:szCs w:val="22"/>
        </w:rPr>
        <w:t>pasakykite savo gydytojui</w:t>
      </w:r>
      <w:r w:rsidRPr="001F276A">
        <w:rPr>
          <w:rFonts w:eastAsia="Calibri"/>
          <w:sz w:val="22"/>
        </w:rPr>
        <w:t>.</w:t>
      </w:r>
    </w:p>
    <w:p w14:paraId="6DB80924" w14:textId="77777777" w:rsidR="00602606" w:rsidRDefault="00602606">
      <w:pPr>
        <w:widowControl w:val="0"/>
        <w:contextualSpacing/>
        <w:outlineLvl w:val="0"/>
        <w:rPr>
          <w:rFonts w:eastAsia="Calibri"/>
          <w:b/>
          <w:sz w:val="22"/>
          <w:szCs w:val="22"/>
        </w:rPr>
      </w:pPr>
    </w:p>
    <w:p w14:paraId="48438FD5" w14:textId="77777777" w:rsidR="00602606" w:rsidRDefault="00604AEE">
      <w:pPr>
        <w:widowControl w:val="0"/>
        <w:contextualSpacing/>
        <w:outlineLvl w:val="0"/>
        <w:rPr>
          <w:rFonts w:asciiTheme="minorHAnsi" w:eastAsia="Calibri" w:hAnsiTheme="minorHAnsi" w:cstheme="minorBidi"/>
          <w:b/>
          <w:sz w:val="22"/>
          <w:szCs w:val="22"/>
          <w:lang w:val="lt-LT" w:eastAsia="en-US"/>
        </w:rPr>
      </w:pPr>
      <w:r>
        <w:rPr>
          <w:rFonts w:eastAsia="Calibri"/>
          <w:b/>
          <w:sz w:val="22"/>
          <w:szCs w:val="22"/>
        </w:rPr>
        <w:t>Dutasteride/Tamsulosin Krka</w:t>
      </w:r>
      <w:r w:rsidRPr="001F276A">
        <w:rPr>
          <w:rFonts w:eastAsia="Calibri"/>
          <w:b/>
          <w:sz w:val="22"/>
        </w:rPr>
        <w:t xml:space="preserve"> vartojimas su maistu</w:t>
      </w:r>
    </w:p>
    <w:p w14:paraId="62F1ABA1"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Dutasteride/Tamsulosin Krka reikia gerti praėjus 30 minučių po to paties valgio kiekvieną dieną.</w:t>
      </w:r>
    </w:p>
    <w:p w14:paraId="6C5223BD" w14:textId="77777777" w:rsidR="00602606" w:rsidRDefault="00602606">
      <w:pPr>
        <w:widowControl w:val="0"/>
        <w:contextualSpacing/>
        <w:outlineLvl w:val="0"/>
        <w:rPr>
          <w:rFonts w:eastAsia="Calibri"/>
          <w:sz w:val="22"/>
          <w:szCs w:val="22"/>
        </w:rPr>
      </w:pPr>
    </w:p>
    <w:p w14:paraId="26320B37" w14:textId="77777777" w:rsidR="00602606" w:rsidRDefault="00604AEE">
      <w:pPr>
        <w:widowControl w:val="0"/>
        <w:contextualSpacing/>
        <w:outlineLvl w:val="0"/>
        <w:rPr>
          <w:rFonts w:asciiTheme="minorHAnsi" w:eastAsia="Calibri" w:hAnsiTheme="minorHAnsi" w:cstheme="minorBidi"/>
          <w:b/>
          <w:sz w:val="22"/>
          <w:szCs w:val="22"/>
          <w:lang w:val="lt-LT" w:eastAsia="en-US"/>
        </w:rPr>
      </w:pPr>
      <w:r>
        <w:rPr>
          <w:rFonts w:eastAsia="Calibri"/>
          <w:b/>
          <w:sz w:val="22"/>
          <w:szCs w:val="22"/>
        </w:rPr>
        <w:t>Nėštumas, žindymo laikotarpis ir vaisingumas</w:t>
      </w:r>
    </w:p>
    <w:p w14:paraId="68E4F2B4"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 xml:space="preserve">Dutasteride/Tamsulosin Krka </w:t>
      </w:r>
      <w:r>
        <w:rPr>
          <w:rFonts w:eastAsia="Calibri"/>
          <w:b/>
          <w:sz w:val="22"/>
          <w:szCs w:val="22"/>
        </w:rPr>
        <w:t>negalima vartoti moterims.</w:t>
      </w:r>
    </w:p>
    <w:p w14:paraId="323FC64C" w14:textId="77777777" w:rsidR="00602606" w:rsidRDefault="00602606">
      <w:pPr>
        <w:widowControl w:val="0"/>
        <w:contextualSpacing/>
        <w:outlineLvl w:val="0"/>
        <w:rPr>
          <w:rFonts w:eastAsia="Calibri"/>
          <w:sz w:val="22"/>
          <w:szCs w:val="22"/>
        </w:rPr>
      </w:pPr>
    </w:p>
    <w:p w14:paraId="53A72275"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b/>
          <w:sz w:val="22"/>
          <w:szCs w:val="22"/>
        </w:rPr>
        <w:t>Nėščioms moterims (arba moterims, kurios gali būti nėščios) nesandarių kapsulių liesti negalima.</w:t>
      </w:r>
      <w:r w:rsidRPr="001F276A">
        <w:rPr>
          <w:rFonts w:eastAsia="Calibri"/>
          <w:sz w:val="22"/>
        </w:rPr>
        <w:t xml:space="preserve"> Dutasteridas gali būti absorbuotas per odą ir sutrikdyti normalų vyriškos lyties vaisiaus vystymąsi. Ši rizika yra labai didelė pirmąsias 16 nėštumo savaičių.</w:t>
      </w:r>
    </w:p>
    <w:p w14:paraId="4DE1BBF8" w14:textId="77777777" w:rsidR="00602606" w:rsidRDefault="00602606">
      <w:pPr>
        <w:widowControl w:val="0"/>
        <w:contextualSpacing/>
        <w:outlineLvl w:val="0"/>
        <w:rPr>
          <w:rFonts w:eastAsia="Calibri"/>
          <w:sz w:val="22"/>
          <w:szCs w:val="22"/>
        </w:rPr>
      </w:pPr>
    </w:p>
    <w:p w14:paraId="67F4EE49"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b/>
          <w:sz w:val="22"/>
          <w:szCs w:val="22"/>
        </w:rPr>
        <w:t>Prezervatyvų naudojimas lytinių santykių metu</w:t>
      </w:r>
      <w:r w:rsidRPr="001F276A">
        <w:rPr>
          <w:rFonts w:eastAsia="Calibri"/>
          <w:sz w:val="22"/>
        </w:rPr>
        <w:t>. Dutasterido aptikta Dutasteride/Tamsulosin Krka vartojančių vyrų spermoje. Jeigu partnerė yra arba gali būti nėščia, turite apsaugoti ją nuo Jūsų spermos patekimo į jos organizmą.</w:t>
      </w:r>
    </w:p>
    <w:p w14:paraId="3A665484" w14:textId="77777777" w:rsidR="00602606" w:rsidRDefault="00602606">
      <w:pPr>
        <w:widowControl w:val="0"/>
        <w:contextualSpacing/>
        <w:outlineLvl w:val="0"/>
        <w:rPr>
          <w:rFonts w:eastAsia="Calibri"/>
          <w:sz w:val="22"/>
          <w:szCs w:val="22"/>
        </w:rPr>
      </w:pPr>
    </w:p>
    <w:p w14:paraId="02C5184F"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Nustatyta, kad Dutasteride/Tamsulosin Krka</w:t>
      </w:r>
      <w:r w:rsidRPr="001F276A">
        <w:rPr>
          <w:rFonts w:eastAsia="Calibri"/>
          <w:sz w:val="22"/>
        </w:rPr>
        <w:t xml:space="preserve"> mažina spermatozoidų kiekį, spermos tūrį ir spermatozoidų judrumą. Dėl to gali sumažėti vyrų vaisingumas.</w:t>
      </w:r>
    </w:p>
    <w:p w14:paraId="5E4245B2" w14:textId="77777777" w:rsidR="00602606" w:rsidRDefault="00604AEE">
      <w:pPr>
        <w:widowControl w:val="0"/>
        <w:numPr>
          <w:ilvl w:val="0"/>
          <w:numId w:val="16"/>
        </w:numPr>
        <w:ind w:left="567" w:hanging="567"/>
        <w:contextualSpacing/>
        <w:outlineLvl w:val="0"/>
        <w:rPr>
          <w:rFonts w:asciiTheme="minorHAnsi" w:eastAsia="Calibri" w:hAnsiTheme="minorHAnsi" w:cstheme="minorBidi"/>
          <w:sz w:val="22"/>
          <w:szCs w:val="22"/>
          <w:lang w:val="lt-LT" w:eastAsia="en-US"/>
        </w:rPr>
      </w:pPr>
      <w:r>
        <w:rPr>
          <w:rFonts w:eastAsia="Calibri"/>
          <w:sz w:val="22"/>
          <w:szCs w:val="22"/>
        </w:rPr>
        <w:t>Jeigu moteris nėštumo metu kontaktavo su Dutasterid</w:t>
      </w:r>
      <w:r w:rsidRPr="001F276A">
        <w:rPr>
          <w:rFonts w:eastAsia="Calibri"/>
          <w:sz w:val="22"/>
        </w:rPr>
        <w:t xml:space="preserve">e/Tamsulosin Krka, </w:t>
      </w:r>
      <w:r w:rsidRPr="001F276A">
        <w:rPr>
          <w:rFonts w:eastAsia="Calibri"/>
          <w:b/>
          <w:sz w:val="22"/>
        </w:rPr>
        <w:t>kreipkitės</w:t>
      </w:r>
      <w:r w:rsidRPr="001F276A">
        <w:rPr>
          <w:rFonts w:eastAsia="Calibri"/>
          <w:sz w:val="22"/>
        </w:rPr>
        <w:t xml:space="preserve"> patarimo </w:t>
      </w:r>
      <w:r w:rsidRPr="001F276A">
        <w:rPr>
          <w:rFonts w:eastAsia="Calibri"/>
          <w:b/>
          <w:sz w:val="22"/>
        </w:rPr>
        <w:t>į gydytoją</w:t>
      </w:r>
      <w:r w:rsidRPr="001F276A">
        <w:rPr>
          <w:rFonts w:eastAsia="Calibri"/>
          <w:sz w:val="22"/>
        </w:rPr>
        <w:t>.</w:t>
      </w:r>
    </w:p>
    <w:p w14:paraId="2F78A3F2" w14:textId="77777777" w:rsidR="00602606" w:rsidRDefault="00602606">
      <w:pPr>
        <w:widowControl w:val="0"/>
        <w:contextualSpacing/>
        <w:outlineLvl w:val="0"/>
        <w:rPr>
          <w:rFonts w:eastAsia="Calibri"/>
          <w:sz w:val="22"/>
          <w:szCs w:val="22"/>
        </w:rPr>
      </w:pPr>
    </w:p>
    <w:p w14:paraId="42364312"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b/>
          <w:sz w:val="22"/>
          <w:szCs w:val="22"/>
        </w:rPr>
        <w:t>Vairavimas ir mechanizmų valdymas</w:t>
      </w:r>
    </w:p>
    <w:p w14:paraId="36B7E04F"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Dutasteride/Tamsulosin Krka</w:t>
      </w:r>
      <w:r w:rsidRPr="001F276A">
        <w:rPr>
          <w:rFonts w:eastAsia="Calibri"/>
          <w:sz w:val="22"/>
        </w:rPr>
        <w:t xml:space="preserve"> kai kuriems žmonėms sukelia svaigulį, taigi gali veikti gebėjimą saugiai vairuoti ar valdyti mechanizmus.</w:t>
      </w:r>
    </w:p>
    <w:p w14:paraId="4724F736" w14:textId="77777777" w:rsidR="00602606" w:rsidRDefault="00604AEE">
      <w:pPr>
        <w:widowControl w:val="0"/>
        <w:numPr>
          <w:ilvl w:val="0"/>
          <w:numId w:val="16"/>
        </w:numPr>
        <w:ind w:left="567" w:hanging="567"/>
        <w:contextualSpacing/>
        <w:outlineLvl w:val="0"/>
        <w:rPr>
          <w:rFonts w:asciiTheme="minorHAnsi" w:eastAsia="Calibri" w:hAnsiTheme="minorHAnsi" w:cstheme="minorBidi"/>
          <w:sz w:val="22"/>
          <w:szCs w:val="22"/>
          <w:lang w:val="lt-LT" w:eastAsia="en-US"/>
        </w:rPr>
      </w:pPr>
      <w:r>
        <w:rPr>
          <w:rFonts w:eastAsia="Calibri"/>
          <w:sz w:val="22"/>
          <w:szCs w:val="22"/>
        </w:rPr>
        <w:t xml:space="preserve">Jeigu Jums pasireiškė toks poveikis, </w:t>
      </w:r>
      <w:r>
        <w:rPr>
          <w:rFonts w:eastAsia="Calibri"/>
          <w:b/>
          <w:sz w:val="22"/>
          <w:szCs w:val="22"/>
        </w:rPr>
        <w:t>vairuoti ir mechanizmų valdyti negalima</w:t>
      </w:r>
      <w:r w:rsidRPr="001F276A">
        <w:rPr>
          <w:rFonts w:eastAsia="Calibri"/>
          <w:sz w:val="22"/>
        </w:rPr>
        <w:t>.</w:t>
      </w:r>
    </w:p>
    <w:p w14:paraId="702CBB84" w14:textId="77777777" w:rsidR="00602606" w:rsidRDefault="00602606">
      <w:pPr>
        <w:widowControl w:val="0"/>
        <w:contextualSpacing/>
        <w:outlineLvl w:val="0"/>
        <w:rPr>
          <w:rFonts w:eastAsia="Calibri"/>
          <w:sz w:val="22"/>
          <w:szCs w:val="22"/>
        </w:rPr>
      </w:pPr>
    </w:p>
    <w:p w14:paraId="7F229C2D" w14:textId="77777777" w:rsidR="00602606" w:rsidRDefault="00604AEE">
      <w:pPr>
        <w:widowControl w:val="0"/>
        <w:contextualSpacing/>
        <w:outlineLvl w:val="0"/>
        <w:rPr>
          <w:rFonts w:asciiTheme="minorHAnsi" w:eastAsia="Calibri" w:hAnsiTheme="minorHAnsi" w:cstheme="minorBidi"/>
          <w:b/>
          <w:sz w:val="22"/>
          <w:szCs w:val="22"/>
          <w:lang w:val="lt-LT" w:eastAsia="en-US"/>
        </w:rPr>
      </w:pPr>
      <w:r>
        <w:rPr>
          <w:rFonts w:eastAsia="Calibri"/>
          <w:b/>
          <w:sz w:val="22"/>
          <w:szCs w:val="22"/>
        </w:rPr>
        <w:t>Dutasteride/Tamsulosin Krka sudėtyje yra sojų lecitino</w:t>
      </w:r>
      <w:r w:rsidRPr="001F276A">
        <w:rPr>
          <w:rFonts w:eastAsia="Calibri"/>
          <w:b/>
          <w:sz w:val="22"/>
        </w:rPr>
        <w:t>,</w:t>
      </w:r>
      <w:r>
        <w:rPr>
          <w:rFonts w:eastAsia="Calibri"/>
          <w:b/>
          <w:sz w:val="22"/>
          <w:szCs w:val="22"/>
        </w:rPr>
        <w:t xml:space="preserve"> propilenglikolio</w:t>
      </w:r>
      <w:r w:rsidRPr="001F276A">
        <w:rPr>
          <w:rFonts w:eastAsia="Calibri"/>
          <w:b/>
          <w:sz w:val="22"/>
        </w:rPr>
        <w:t xml:space="preserve"> ir natrio</w:t>
      </w:r>
    </w:p>
    <w:p w14:paraId="6DCE79D5"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Šio vaisto sudėtyje yra sojų lecitino, kuriame</w:t>
      </w:r>
      <w:r w:rsidRPr="001F276A">
        <w:rPr>
          <w:rFonts w:eastAsia="Calibri"/>
          <w:sz w:val="22"/>
        </w:rPr>
        <w:t xml:space="preserve"> gali</w:t>
      </w:r>
      <w:r>
        <w:rPr>
          <w:rFonts w:eastAsia="Calibri"/>
          <w:sz w:val="22"/>
          <w:szCs w:val="22"/>
        </w:rPr>
        <w:t xml:space="preserve"> būti sojų aliejaus. Jei esate </w:t>
      </w:r>
      <w:r w:rsidRPr="001F276A">
        <w:rPr>
          <w:rFonts w:eastAsia="Calibri"/>
          <w:sz w:val="22"/>
        </w:rPr>
        <w:t>alergiškas žemės riešutams arba sojai, Jums šio vaisto vartoti negalima.</w:t>
      </w:r>
    </w:p>
    <w:p w14:paraId="2524DA97"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 xml:space="preserve">Šio vaisto vienoje </w:t>
      </w:r>
      <w:r w:rsidRPr="001F276A">
        <w:rPr>
          <w:rFonts w:eastAsia="Calibri"/>
          <w:sz w:val="22"/>
        </w:rPr>
        <w:t>kapsulėje yra mažiau nei 1 mmol (23 mg) natrio, t.y. jis beveik neturi reikšmės.</w:t>
      </w:r>
    </w:p>
    <w:p w14:paraId="11E2903A"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Kiekvienoje šio vaisto kapsulėje yra 299 mg propilenglikolio.</w:t>
      </w:r>
    </w:p>
    <w:p w14:paraId="3BC3AB7B" w14:textId="77777777" w:rsidR="00602606" w:rsidRDefault="00602606">
      <w:pPr>
        <w:widowControl w:val="0"/>
        <w:contextualSpacing/>
        <w:outlineLvl w:val="0"/>
        <w:rPr>
          <w:rFonts w:eastAsia="Calibri"/>
          <w:sz w:val="22"/>
          <w:szCs w:val="22"/>
        </w:rPr>
      </w:pPr>
    </w:p>
    <w:p w14:paraId="5C96602E" w14:textId="77777777" w:rsidR="00602606" w:rsidRDefault="00602606">
      <w:pPr>
        <w:widowControl w:val="0"/>
        <w:contextualSpacing/>
        <w:outlineLvl w:val="0"/>
        <w:rPr>
          <w:rFonts w:eastAsia="Calibri"/>
          <w:sz w:val="22"/>
          <w:szCs w:val="22"/>
        </w:rPr>
      </w:pPr>
    </w:p>
    <w:p w14:paraId="0FF49E07" w14:textId="77777777" w:rsidR="00602606" w:rsidRDefault="00604AEE">
      <w:pPr>
        <w:widowControl w:val="0"/>
        <w:numPr>
          <w:ilvl w:val="0"/>
          <w:numId w:val="8"/>
        </w:numPr>
        <w:tabs>
          <w:tab w:val="clear" w:pos="570"/>
        </w:tabs>
        <w:contextualSpacing/>
        <w:outlineLvl w:val="0"/>
        <w:rPr>
          <w:rFonts w:asciiTheme="minorHAnsi" w:eastAsia="Calibri" w:hAnsiTheme="minorHAnsi" w:cstheme="minorBidi"/>
          <w:b/>
          <w:sz w:val="22"/>
          <w:szCs w:val="22"/>
          <w:lang w:val="lt-LT" w:eastAsia="en-US"/>
        </w:rPr>
      </w:pPr>
      <w:r>
        <w:rPr>
          <w:rFonts w:eastAsia="Calibri"/>
          <w:b/>
          <w:sz w:val="22"/>
          <w:szCs w:val="22"/>
        </w:rPr>
        <w:t>Kaip vartoti Dutasteride/Tamsulosin Krka</w:t>
      </w:r>
    </w:p>
    <w:p w14:paraId="365F39CD" w14:textId="77777777" w:rsidR="00602606" w:rsidRDefault="00602606">
      <w:pPr>
        <w:widowControl w:val="0"/>
        <w:rPr>
          <w:rFonts w:eastAsia="Calibri"/>
          <w:sz w:val="22"/>
          <w:szCs w:val="22"/>
        </w:rPr>
      </w:pPr>
    </w:p>
    <w:p w14:paraId="7E393D58"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b/>
          <w:sz w:val="22"/>
          <w:szCs w:val="22"/>
        </w:rPr>
        <w:t>Visada vartokite šį vaistą tiksliai, kaip nurodė gydytojas arba vaistininkas</w:t>
      </w:r>
      <w:r w:rsidRPr="001F276A">
        <w:rPr>
          <w:rFonts w:eastAsia="Calibri"/>
          <w:sz w:val="22"/>
        </w:rPr>
        <w:t>. Jeigu vaistą vartosite nereguliariai, gydytojui gali nepavykti stebėti PSA kiekio. Jeigu abejojate, kreipkitės į gydytoją arba vaistininką.</w:t>
      </w:r>
    </w:p>
    <w:p w14:paraId="74F34AEF" w14:textId="77777777" w:rsidR="00602606" w:rsidRDefault="00602606">
      <w:pPr>
        <w:widowControl w:val="0"/>
        <w:contextualSpacing/>
        <w:outlineLvl w:val="0"/>
        <w:rPr>
          <w:rFonts w:eastAsia="Calibri"/>
          <w:sz w:val="22"/>
          <w:szCs w:val="22"/>
        </w:rPr>
      </w:pPr>
    </w:p>
    <w:p w14:paraId="348E974E" w14:textId="77777777" w:rsidR="00602606" w:rsidRDefault="00604AEE">
      <w:pPr>
        <w:widowControl w:val="0"/>
        <w:contextualSpacing/>
        <w:outlineLvl w:val="0"/>
        <w:rPr>
          <w:rFonts w:asciiTheme="minorHAnsi" w:eastAsia="Calibri" w:hAnsiTheme="minorHAnsi" w:cstheme="minorBidi"/>
          <w:b/>
          <w:sz w:val="22"/>
          <w:szCs w:val="22"/>
          <w:lang w:val="lt-LT" w:eastAsia="en-US"/>
        </w:rPr>
      </w:pPr>
      <w:r>
        <w:rPr>
          <w:rFonts w:eastAsia="Calibri"/>
          <w:b/>
          <w:sz w:val="22"/>
          <w:szCs w:val="22"/>
        </w:rPr>
        <w:t>Kiek kapsulių gerti</w:t>
      </w:r>
    </w:p>
    <w:p w14:paraId="5D4F5524" w14:textId="77777777" w:rsidR="00602606" w:rsidRDefault="00604AEE">
      <w:pPr>
        <w:widowControl w:val="0"/>
        <w:contextualSpacing/>
        <w:outlineLvl w:val="0"/>
        <w:rPr>
          <w:rFonts w:asciiTheme="minorHAnsi" w:eastAsia="Calibri" w:hAnsiTheme="minorHAnsi" w:cstheme="minorBidi"/>
          <w:b/>
          <w:sz w:val="22"/>
          <w:szCs w:val="22"/>
          <w:lang w:val="lt-LT" w:eastAsia="en-US"/>
        </w:rPr>
      </w:pPr>
      <w:r>
        <w:rPr>
          <w:rFonts w:eastAsia="Calibri"/>
          <w:b/>
          <w:sz w:val="22"/>
          <w:szCs w:val="22"/>
        </w:rPr>
        <w:t>Rekomenduojama dozė yra viena kapsulė kartą per parą, ji geriama praėjus 30 minučių po to paties valgio kiekvieną dieną.</w:t>
      </w:r>
    </w:p>
    <w:p w14:paraId="47821CB2" w14:textId="77777777" w:rsidR="00602606" w:rsidRDefault="00602606">
      <w:pPr>
        <w:widowControl w:val="0"/>
        <w:contextualSpacing/>
        <w:outlineLvl w:val="0"/>
        <w:rPr>
          <w:rFonts w:eastAsia="Calibri"/>
          <w:sz w:val="22"/>
          <w:szCs w:val="22"/>
        </w:rPr>
      </w:pPr>
    </w:p>
    <w:p w14:paraId="6593B19A" w14:textId="77777777" w:rsidR="00602606" w:rsidRDefault="00604AEE">
      <w:pPr>
        <w:widowControl w:val="0"/>
        <w:contextualSpacing/>
        <w:outlineLvl w:val="0"/>
        <w:rPr>
          <w:rFonts w:asciiTheme="minorHAnsi" w:eastAsia="Calibri" w:hAnsiTheme="minorHAnsi" w:cstheme="minorBidi"/>
          <w:b/>
          <w:sz w:val="22"/>
          <w:szCs w:val="22"/>
          <w:lang w:val="lt-LT" w:eastAsia="en-US"/>
        </w:rPr>
      </w:pPr>
      <w:r>
        <w:rPr>
          <w:rFonts w:eastAsia="Calibri"/>
          <w:b/>
          <w:sz w:val="22"/>
          <w:szCs w:val="22"/>
        </w:rPr>
        <w:t>Kaip gerti kapsules</w:t>
      </w:r>
    </w:p>
    <w:p w14:paraId="6E115216"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b/>
          <w:sz w:val="22"/>
          <w:szCs w:val="22"/>
        </w:rPr>
        <w:t>Reikia nuryti visą kapsulę užgeriant vandeniu</w:t>
      </w:r>
      <w:r>
        <w:rPr>
          <w:rFonts w:eastAsia="Calibri"/>
          <w:sz w:val="22"/>
          <w:szCs w:val="22"/>
        </w:rPr>
        <w:t xml:space="preserve">. Kapsulės negalima kramtyti ar atidaryti. Dėl kontakto su kapsulės turiniu gali </w:t>
      </w:r>
      <w:r w:rsidRPr="001F276A">
        <w:rPr>
          <w:rFonts w:eastAsia="Calibri"/>
          <w:sz w:val="22"/>
        </w:rPr>
        <w:t>skaudėti burną</w:t>
      </w:r>
      <w:r>
        <w:rPr>
          <w:rFonts w:eastAsia="Calibri"/>
          <w:sz w:val="22"/>
          <w:szCs w:val="22"/>
        </w:rPr>
        <w:t xml:space="preserve"> arba gerkl</w:t>
      </w:r>
      <w:r w:rsidRPr="001F276A">
        <w:rPr>
          <w:rFonts w:eastAsia="Calibri"/>
          <w:sz w:val="22"/>
        </w:rPr>
        <w:t>ę</w:t>
      </w:r>
      <w:r>
        <w:rPr>
          <w:rFonts w:eastAsia="Calibri"/>
          <w:sz w:val="22"/>
          <w:szCs w:val="22"/>
        </w:rPr>
        <w:t>.</w:t>
      </w:r>
    </w:p>
    <w:p w14:paraId="2986FA79" w14:textId="77777777" w:rsidR="00602606" w:rsidRDefault="00602606">
      <w:pPr>
        <w:widowControl w:val="0"/>
        <w:contextualSpacing/>
        <w:outlineLvl w:val="0"/>
        <w:rPr>
          <w:rFonts w:eastAsia="Calibri"/>
          <w:sz w:val="22"/>
          <w:szCs w:val="22"/>
        </w:rPr>
      </w:pPr>
    </w:p>
    <w:p w14:paraId="3A43BDC3"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b/>
          <w:sz w:val="22"/>
          <w:szCs w:val="22"/>
        </w:rPr>
        <w:t>Ką daryti pavartojus per didelę Dutasteride/Tamsulosin Krka</w:t>
      </w:r>
      <w:r w:rsidRPr="001F276A">
        <w:rPr>
          <w:rFonts w:eastAsia="Calibri"/>
          <w:b/>
          <w:sz w:val="22"/>
        </w:rPr>
        <w:t xml:space="preserve"> dozę?</w:t>
      </w:r>
    </w:p>
    <w:p w14:paraId="53D3B875"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Jeigu išgėrėte per daug Dutasteri</w:t>
      </w:r>
      <w:r w:rsidRPr="001F276A">
        <w:rPr>
          <w:rFonts w:eastAsia="Calibri"/>
          <w:sz w:val="22"/>
        </w:rPr>
        <w:t>de/Tamsulosin Krka kapsulių, kreipkitės patarimo į gydytoją arba vaistininką.</w:t>
      </w:r>
    </w:p>
    <w:p w14:paraId="7C583971" w14:textId="77777777" w:rsidR="00602606" w:rsidRDefault="00602606">
      <w:pPr>
        <w:widowControl w:val="0"/>
        <w:contextualSpacing/>
        <w:outlineLvl w:val="0"/>
        <w:rPr>
          <w:rFonts w:eastAsia="Calibri"/>
          <w:sz w:val="22"/>
          <w:szCs w:val="22"/>
        </w:rPr>
      </w:pPr>
    </w:p>
    <w:p w14:paraId="5FA09531" w14:textId="77777777" w:rsidR="00602606" w:rsidRDefault="00604AEE">
      <w:pPr>
        <w:widowControl w:val="0"/>
        <w:rPr>
          <w:rFonts w:asciiTheme="minorHAnsi" w:eastAsia="Calibri" w:hAnsiTheme="minorHAnsi" w:cstheme="minorBidi"/>
          <w:sz w:val="22"/>
          <w:szCs w:val="22"/>
          <w:lang w:val="lt-LT" w:eastAsia="en-US"/>
        </w:rPr>
      </w:pPr>
      <w:r>
        <w:rPr>
          <w:rFonts w:eastAsia="Calibri"/>
          <w:b/>
          <w:sz w:val="22"/>
          <w:szCs w:val="22"/>
        </w:rPr>
        <w:t>Pamiršus pavartoti Dutasteride/Tamsulosin Krka</w:t>
      </w:r>
    </w:p>
    <w:p w14:paraId="2E885D6E"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Negalima vartoti dvigubos dozės, norint kompensuoti praleistą dozę. Tiesiog išgerkite kitą dozę įprastu laiku.</w:t>
      </w:r>
    </w:p>
    <w:p w14:paraId="40751CA1" w14:textId="77777777" w:rsidR="00602606" w:rsidRDefault="00602606">
      <w:pPr>
        <w:widowControl w:val="0"/>
        <w:contextualSpacing/>
        <w:outlineLvl w:val="0"/>
        <w:rPr>
          <w:rFonts w:eastAsia="Calibri"/>
          <w:sz w:val="22"/>
          <w:szCs w:val="22"/>
        </w:rPr>
      </w:pPr>
    </w:p>
    <w:p w14:paraId="67D813E5" w14:textId="77777777" w:rsidR="00602606" w:rsidRDefault="00604AEE">
      <w:pPr>
        <w:widowControl w:val="0"/>
        <w:contextualSpacing/>
        <w:outlineLvl w:val="0"/>
        <w:rPr>
          <w:rFonts w:asciiTheme="minorHAnsi" w:eastAsia="Calibri" w:hAnsiTheme="minorHAnsi" w:cstheme="minorBidi"/>
          <w:b/>
          <w:sz w:val="22"/>
          <w:szCs w:val="22"/>
          <w:lang w:val="lt-LT" w:eastAsia="en-US"/>
        </w:rPr>
      </w:pPr>
      <w:r>
        <w:rPr>
          <w:rFonts w:eastAsia="Calibri"/>
          <w:b/>
          <w:sz w:val="22"/>
          <w:szCs w:val="22"/>
        </w:rPr>
        <w:t xml:space="preserve">Nenustokite vartoti </w:t>
      </w:r>
      <w:r w:rsidRPr="001F276A">
        <w:rPr>
          <w:rFonts w:eastAsia="Calibri"/>
          <w:b/>
          <w:sz w:val="22"/>
        </w:rPr>
        <w:t>Dutasteride/Tamsulosin Krka</w:t>
      </w:r>
      <w:r w:rsidRPr="001F276A">
        <w:rPr>
          <w:sz w:val="22"/>
        </w:rPr>
        <w:t xml:space="preserve"> </w:t>
      </w:r>
      <w:r w:rsidRPr="001F276A">
        <w:rPr>
          <w:rFonts w:eastAsia="Calibri"/>
          <w:b/>
          <w:sz w:val="22"/>
        </w:rPr>
        <w:t>nepasitarę su gydytoju</w:t>
      </w:r>
    </w:p>
    <w:p w14:paraId="67801600" w14:textId="77777777" w:rsidR="00602606" w:rsidRDefault="00604AEE">
      <w:pPr>
        <w:widowControl w:val="0"/>
        <w:contextualSpacing/>
        <w:outlineLvl w:val="0"/>
        <w:rPr>
          <w:rFonts w:asciiTheme="minorHAnsi" w:eastAsia="Calibri" w:hAnsiTheme="minorHAnsi" w:cstheme="minorBidi"/>
          <w:b/>
          <w:sz w:val="22"/>
          <w:szCs w:val="22"/>
          <w:lang w:val="lt-LT" w:eastAsia="en-US"/>
        </w:rPr>
      </w:pPr>
      <w:r>
        <w:rPr>
          <w:rFonts w:eastAsia="Calibri"/>
          <w:sz w:val="22"/>
          <w:szCs w:val="22"/>
        </w:rPr>
        <w:t>Nenutraukite Dutasteride/Tamsulosin Krka</w:t>
      </w:r>
      <w:r w:rsidRPr="001F276A">
        <w:rPr>
          <w:rFonts w:eastAsia="Calibri"/>
          <w:sz w:val="22"/>
        </w:rPr>
        <w:t xml:space="preserve"> vartojimo prieš tai nepasitarę su gydytoju.</w:t>
      </w:r>
    </w:p>
    <w:p w14:paraId="37D8E7BA" w14:textId="77777777" w:rsidR="00602606" w:rsidRDefault="00602606">
      <w:pPr>
        <w:widowControl w:val="0"/>
        <w:contextualSpacing/>
        <w:outlineLvl w:val="0"/>
        <w:rPr>
          <w:rFonts w:eastAsia="Calibri"/>
          <w:sz w:val="22"/>
          <w:szCs w:val="22"/>
        </w:rPr>
      </w:pPr>
    </w:p>
    <w:p w14:paraId="173E895D"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Jeigu kiltų daugiau klausimų dėl šio vaisto vartojimo, kreipkitės į gydytoją arba vaistininką.</w:t>
      </w:r>
    </w:p>
    <w:p w14:paraId="55287081" w14:textId="77777777" w:rsidR="00602606" w:rsidRDefault="00602606">
      <w:pPr>
        <w:widowControl w:val="0"/>
        <w:contextualSpacing/>
        <w:outlineLvl w:val="0"/>
        <w:rPr>
          <w:rFonts w:eastAsia="Calibri"/>
          <w:b/>
          <w:sz w:val="22"/>
          <w:szCs w:val="22"/>
        </w:rPr>
      </w:pPr>
    </w:p>
    <w:p w14:paraId="0B70D5CA" w14:textId="77777777" w:rsidR="00602606" w:rsidRDefault="00602606">
      <w:pPr>
        <w:widowControl w:val="0"/>
        <w:contextualSpacing/>
        <w:outlineLvl w:val="0"/>
        <w:rPr>
          <w:rFonts w:eastAsia="Calibri"/>
          <w:b/>
          <w:sz w:val="22"/>
          <w:szCs w:val="22"/>
        </w:rPr>
      </w:pPr>
    </w:p>
    <w:p w14:paraId="02C66075" w14:textId="77777777" w:rsidR="00602606" w:rsidRDefault="00604AEE">
      <w:pPr>
        <w:widowControl w:val="0"/>
        <w:ind w:left="567" w:hanging="567"/>
        <w:rPr>
          <w:rFonts w:asciiTheme="minorHAnsi" w:eastAsia="Calibri" w:hAnsiTheme="minorHAnsi" w:cstheme="minorBidi"/>
          <w:sz w:val="22"/>
          <w:szCs w:val="22"/>
          <w:lang w:val="lt-LT" w:eastAsia="en-US"/>
        </w:rPr>
      </w:pPr>
      <w:r>
        <w:rPr>
          <w:rFonts w:eastAsia="Calibri"/>
          <w:b/>
          <w:sz w:val="22"/>
          <w:szCs w:val="22"/>
        </w:rPr>
        <w:t>4.</w:t>
      </w:r>
      <w:r>
        <w:rPr>
          <w:rFonts w:eastAsia="Calibri"/>
          <w:b/>
          <w:sz w:val="22"/>
          <w:szCs w:val="22"/>
        </w:rPr>
        <w:tab/>
        <w:t>Galimas šalutinis</w:t>
      </w:r>
      <w:r w:rsidRPr="001F276A">
        <w:rPr>
          <w:rFonts w:eastAsia="Calibri"/>
          <w:b/>
          <w:sz w:val="22"/>
        </w:rPr>
        <w:t xml:space="preserve"> poveikis</w:t>
      </w:r>
    </w:p>
    <w:p w14:paraId="0F6F1337" w14:textId="77777777" w:rsidR="00602606" w:rsidRDefault="00602606">
      <w:pPr>
        <w:widowControl w:val="0"/>
        <w:contextualSpacing/>
        <w:outlineLvl w:val="0"/>
        <w:rPr>
          <w:rFonts w:eastAsia="Calibri"/>
          <w:sz w:val="22"/>
          <w:szCs w:val="22"/>
        </w:rPr>
      </w:pPr>
    </w:p>
    <w:p w14:paraId="3340ECFD" w14:textId="77777777" w:rsidR="00602606" w:rsidRDefault="00604AEE">
      <w:pPr>
        <w:widowControl w:val="0"/>
        <w:contextualSpacing/>
        <w:outlineLvl w:val="0"/>
        <w:rPr>
          <w:rFonts w:asciiTheme="minorHAnsi" w:eastAsia="Calibri" w:hAnsiTheme="minorHAnsi" w:cstheme="minorBidi"/>
          <w:b/>
          <w:sz w:val="22"/>
          <w:szCs w:val="22"/>
          <w:lang w:val="lt-LT" w:eastAsia="en-US"/>
        </w:rPr>
      </w:pPr>
      <w:r>
        <w:rPr>
          <w:rFonts w:eastAsia="Calibri"/>
          <w:b/>
          <w:sz w:val="22"/>
          <w:szCs w:val="22"/>
        </w:rPr>
        <w:t>Šis vaistas, kaip ir visi kiti, gali sukelti šalutinį poveikį, nors jis pasireiškia ne visiems žmonėms.</w:t>
      </w:r>
    </w:p>
    <w:p w14:paraId="5CD085BE" w14:textId="77777777" w:rsidR="00602606" w:rsidRDefault="00602606">
      <w:pPr>
        <w:widowControl w:val="0"/>
        <w:contextualSpacing/>
        <w:outlineLvl w:val="0"/>
        <w:rPr>
          <w:rFonts w:eastAsia="Calibri"/>
          <w:sz w:val="22"/>
          <w:szCs w:val="22"/>
        </w:rPr>
      </w:pPr>
    </w:p>
    <w:p w14:paraId="46A7B013" w14:textId="77777777" w:rsidR="00602606" w:rsidRDefault="00604AEE">
      <w:pPr>
        <w:widowControl w:val="0"/>
        <w:contextualSpacing/>
        <w:outlineLvl w:val="0"/>
        <w:rPr>
          <w:rFonts w:asciiTheme="minorHAnsi" w:eastAsia="Calibri" w:hAnsiTheme="minorHAnsi" w:cstheme="minorBidi"/>
          <w:b/>
          <w:sz w:val="22"/>
          <w:szCs w:val="22"/>
          <w:lang w:val="lt-LT" w:eastAsia="en-US"/>
        </w:rPr>
      </w:pPr>
      <w:r>
        <w:rPr>
          <w:rFonts w:eastAsia="Calibri"/>
          <w:b/>
          <w:sz w:val="22"/>
          <w:szCs w:val="22"/>
        </w:rPr>
        <w:t>Alerginė reakcija</w:t>
      </w:r>
    </w:p>
    <w:p w14:paraId="2A1AB1E1"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Alerginės reakcijos požymiai gali būti:</w:t>
      </w:r>
    </w:p>
    <w:p w14:paraId="5D26CA92" w14:textId="77777777" w:rsidR="00602606" w:rsidRDefault="00604AEE">
      <w:pPr>
        <w:widowControl w:val="0"/>
        <w:numPr>
          <w:ilvl w:val="0"/>
          <w:numId w:val="12"/>
        </w:numPr>
        <w:tabs>
          <w:tab w:val="clear" w:pos="360"/>
          <w:tab w:val="num" w:pos="567"/>
        </w:tabs>
        <w:ind w:left="567" w:hanging="567"/>
        <w:contextualSpacing/>
        <w:outlineLvl w:val="0"/>
        <w:rPr>
          <w:rFonts w:asciiTheme="minorHAnsi" w:eastAsia="Calibri" w:hAnsiTheme="minorHAnsi" w:cstheme="minorBidi"/>
          <w:sz w:val="22"/>
          <w:szCs w:val="22"/>
          <w:lang w:val="lt-LT" w:eastAsia="en-US"/>
        </w:rPr>
      </w:pPr>
      <w:r>
        <w:rPr>
          <w:rFonts w:eastAsia="Calibri"/>
          <w:b/>
          <w:sz w:val="22"/>
          <w:szCs w:val="22"/>
        </w:rPr>
        <w:t>odos išbėrimas</w:t>
      </w:r>
      <w:r>
        <w:rPr>
          <w:rFonts w:eastAsia="Calibri"/>
          <w:sz w:val="22"/>
          <w:szCs w:val="22"/>
        </w:rPr>
        <w:t xml:space="preserve"> (gali būti su niežuliu);</w:t>
      </w:r>
    </w:p>
    <w:p w14:paraId="343627F8" w14:textId="77777777" w:rsidR="00602606" w:rsidRDefault="00604AEE">
      <w:pPr>
        <w:widowControl w:val="0"/>
        <w:numPr>
          <w:ilvl w:val="0"/>
          <w:numId w:val="12"/>
        </w:numPr>
        <w:tabs>
          <w:tab w:val="clear" w:pos="360"/>
          <w:tab w:val="num" w:pos="567"/>
        </w:tabs>
        <w:ind w:left="567" w:hanging="567"/>
        <w:contextualSpacing/>
        <w:outlineLvl w:val="0"/>
        <w:rPr>
          <w:rFonts w:asciiTheme="minorHAnsi" w:eastAsia="Calibri" w:hAnsiTheme="minorHAnsi" w:cstheme="minorBidi"/>
          <w:sz w:val="22"/>
          <w:szCs w:val="22"/>
          <w:lang w:val="lt-LT" w:eastAsia="en-US"/>
        </w:rPr>
      </w:pPr>
      <w:r>
        <w:rPr>
          <w:rFonts w:eastAsia="Calibri"/>
          <w:b/>
          <w:sz w:val="22"/>
          <w:szCs w:val="22"/>
        </w:rPr>
        <w:t>dilgėlinė</w:t>
      </w:r>
      <w:r>
        <w:rPr>
          <w:rFonts w:eastAsia="Calibri"/>
          <w:sz w:val="22"/>
          <w:szCs w:val="22"/>
        </w:rPr>
        <w:t xml:space="preserve"> (</w:t>
      </w:r>
      <w:r w:rsidRPr="001F276A">
        <w:rPr>
          <w:rFonts w:eastAsia="Calibri"/>
          <w:sz w:val="22"/>
        </w:rPr>
        <w:t>(panašus į dilgėlių sukeltą bėrimą);</w:t>
      </w:r>
    </w:p>
    <w:p w14:paraId="1CA82246" w14:textId="77777777" w:rsidR="00602606" w:rsidRDefault="00604AEE">
      <w:pPr>
        <w:widowControl w:val="0"/>
        <w:numPr>
          <w:ilvl w:val="0"/>
          <w:numId w:val="12"/>
        </w:numPr>
        <w:tabs>
          <w:tab w:val="clear" w:pos="360"/>
          <w:tab w:val="num" w:pos="567"/>
        </w:tabs>
        <w:ind w:left="567" w:hanging="567"/>
        <w:contextualSpacing/>
        <w:outlineLvl w:val="0"/>
        <w:rPr>
          <w:rFonts w:asciiTheme="minorHAnsi" w:eastAsia="Calibri" w:hAnsiTheme="minorHAnsi" w:cstheme="minorBidi"/>
          <w:sz w:val="22"/>
          <w:szCs w:val="22"/>
          <w:lang w:val="lt-LT" w:eastAsia="en-US"/>
        </w:rPr>
      </w:pPr>
      <w:r>
        <w:rPr>
          <w:rFonts w:eastAsia="Calibri"/>
          <w:b/>
          <w:sz w:val="22"/>
          <w:szCs w:val="22"/>
        </w:rPr>
        <w:t>akių vokų, veido, lūpų, rankų ar kojų patinimas</w:t>
      </w:r>
      <w:r>
        <w:rPr>
          <w:rFonts w:eastAsia="Calibri"/>
          <w:sz w:val="22"/>
          <w:szCs w:val="22"/>
        </w:rPr>
        <w:t>.</w:t>
      </w:r>
    </w:p>
    <w:p w14:paraId="79378E59" w14:textId="77777777" w:rsidR="00602606" w:rsidRDefault="00604AEE">
      <w:pPr>
        <w:widowControl w:val="0"/>
        <w:numPr>
          <w:ilvl w:val="0"/>
          <w:numId w:val="16"/>
        </w:numPr>
        <w:ind w:left="567" w:hanging="567"/>
        <w:contextualSpacing/>
        <w:outlineLvl w:val="0"/>
        <w:rPr>
          <w:rFonts w:asciiTheme="minorHAnsi" w:eastAsia="Calibri" w:hAnsiTheme="minorHAnsi" w:cstheme="minorBidi"/>
          <w:sz w:val="22"/>
          <w:szCs w:val="22"/>
          <w:lang w:val="lt-LT" w:eastAsia="en-US"/>
        </w:rPr>
      </w:pPr>
      <w:r>
        <w:rPr>
          <w:rFonts w:eastAsia="Calibri"/>
          <w:sz w:val="22"/>
          <w:szCs w:val="22"/>
        </w:rPr>
        <w:t xml:space="preserve">Jeigu pasireiškia bet kuris iš tokių simptomų, </w:t>
      </w:r>
      <w:r>
        <w:rPr>
          <w:rFonts w:eastAsia="Calibri"/>
          <w:b/>
          <w:sz w:val="22"/>
          <w:szCs w:val="22"/>
        </w:rPr>
        <w:t>nedelsdami kreipkitės į gydytoją</w:t>
      </w:r>
      <w:r w:rsidRPr="001F276A">
        <w:rPr>
          <w:rFonts w:eastAsia="Calibri"/>
          <w:sz w:val="22"/>
        </w:rPr>
        <w:t xml:space="preserve"> ir </w:t>
      </w:r>
      <w:r w:rsidRPr="001F276A">
        <w:rPr>
          <w:rFonts w:eastAsia="Calibri"/>
          <w:b/>
          <w:sz w:val="22"/>
        </w:rPr>
        <w:t>nutraukite Dutasteride/Tamsulosin Krka vartojimą</w:t>
      </w:r>
      <w:r w:rsidRPr="001F276A">
        <w:rPr>
          <w:rFonts w:eastAsia="Calibri"/>
          <w:sz w:val="22"/>
        </w:rPr>
        <w:t>.</w:t>
      </w:r>
    </w:p>
    <w:p w14:paraId="635CF201" w14:textId="77777777" w:rsidR="00602606" w:rsidRDefault="00602606">
      <w:pPr>
        <w:widowControl w:val="0"/>
        <w:contextualSpacing/>
        <w:outlineLvl w:val="0"/>
        <w:rPr>
          <w:rFonts w:eastAsia="Calibri"/>
          <w:b/>
          <w:sz w:val="22"/>
          <w:szCs w:val="22"/>
        </w:rPr>
      </w:pPr>
    </w:p>
    <w:p w14:paraId="7FBCEBFF" w14:textId="77777777" w:rsidR="00602606" w:rsidRDefault="00604AEE">
      <w:pPr>
        <w:widowControl w:val="0"/>
        <w:contextualSpacing/>
        <w:outlineLvl w:val="0"/>
        <w:rPr>
          <w:rFonts w:asciiTheme="minorHAnsi" w:eastAsia="Calibri" w:hAnsiTheme="minorHAnsi" w:cstheme="minorBidi"/>
          <w:b/>
          <w:sz w:val="22"/>
          <w:szCs w:val="22"/>
          <w:lang w:val="lt-LT" w:eastAsia="en-US"/>
        </w:rPr>
      </w:pPr>
      <w:r>
        <w:rPr>
          <w:rFonts w:eastAsia="Calibri"/>
          <w:b/>
          <w:sz w:val="22"/>
          <w:szCs w:val="22"/>
        </w:rPr>
        <w:t xml:space="preserve">Svaigulys, galvos sukimasis </w:t>
      </w:r>
      <w:r w:rsidRPr="001F276A">
        <w:rPr>
          <w:rFonts w:eastAsia="Calibri"/>
          <w:b/>
          <w:sz w:val="22"/>
        </w:rPr>
        <w:t>ir apalpimas</w:t>
      </w:r>
    </w:p>
    <w:p w14:paraId="0DB69B76"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Dutasteride/Tamsulosin Krka</w:t>
      </w:r>
      <w:r w:rsidRPr="001F276A">
        <w:rPr>
          <w:rFonts w:eastAsia="Calibri"/>
          <w:sz w:val="22"/>
        </w:rPr>
        <w:t xml:space="preserve"> gali sukelti svaigulį, galvos sukimąsi ir retais atvejai apalpimą. Būkite atsargūs stodamiesi iš gulimos ar sėdimos padėties (ypač jei atsibundate naktį), kol nežinote, kaip vaistas Jus veikia. Jeigu jaučiate svaigulį arba galvos sukimąsi bet kuriuo gydymo laikotarpiu, </w:t>
      </w:r>
      <w:r w:rsidRPr="001F276A">
        <w:rPr>
          <w:rFonts w:eastAsia="Calibri"/>
          <w:b/>
          <w:sz w:val="22"/>
        </w:rPr>
        <w:t>pasėdėkite arba pagulėkite, kol simptomai praeis</w:t>
      </w:r>
      <w:r w:rsidRPr="001F276A">
        <w:rPr>
          <w:rFonts w:eastAsia="Calibri"/>
          <w:sz w:val="22"/>
        </w:rPr>
        <w:t>.</w:t>
      </w:r>
    </w:p>
    <w:p w14:paraId="3176C13B" w14:textId="77777777" w:rsidR="00602606" w:rsidRDefault="00602606">
      <w:pPr>
        <w:widowControl w:val="0"/>
        <w:contextualSpacing/>
        <w:outlineLvl w:val="0"/>
        <w:rPr>
          <w:rFonts w:eastAsia="Calibri"/>
          <w:sz w:val="22"/>
          <w:szCs w:val="22"/>
        </w:rPr>
      </w:pPr>
    </w:p>
    <w:p w14:paraId="33DFB339" w14:textId="77777777" w:rsidR="00602606" w:rsidRDefault="00604AEE">
      <w:pPr>
        <w:widowControl w:val="0"/>
        <w:contextualSpacing/>
        <w:outlineLvl w:val="0"/>
        <w:rPr>
          <w:rFonts w:asciiTheme="minorHAnsi" w:eastAsia="Calibri" w:hAnsiTheme="minorHAnsi" w:cstheme="minorBidi"/>
          <w:b/>
          <w:sz w:val="22"/>
          <w:szCs w:val="22"/>
          <w:lang w:val="lt-LT" w:eastAsia="en-US"/>
        </w:rPr>
      </w:pPr>
      <w:r>
        <w:rPr>
          <w:rFonts w:eastAsia="Calibri"/>
          <w:b/>
          <w:sz w:val="22"/>
          <w:szCs w:val="22"/>
        </w:rPr>
        <w:t>Sunkios odos reakcijos</w:t>
      </w:r>
    </w:p>
    <w:p w14:paraId="27EB73CA"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Sunkios odos reakcijos požymiai gali būti:</w:t>
      </w:r>
    </w:p>
    <w:p w14:paraId="0EC5DD4F" w14:textId="77777777" w:rsidR="00602606" w:rsidRDefault="00604AEE">
      <w:pPr>
        <w:widowControl w:val="0"/>
        <w:numPr>
          <w:ilvl w:val="0"/>
          <w:numId w:val="12"/>
        </w:numPr>
        <w:tabs>
          <w:tab w:val="clear" w:pos="360"/>
        </w:tabs>
        <w:ind w:left="567" w:hanging="567"/>
        <w:contextualSpacing/>
        <w:outlineLvl w:val="0"/>
        <w:rPr>
          <w:rFonts w:asciiTheme="minorHAnsi" w:eastAsia="Calibri" w:hAnsiTheme="minorHAnsi" w:cstheme="minorBidi"/>
          <w:sz w:val="22"/>
          <w:szCs w:val="22"/>
          <w:lang w:val="lt-LT" w:eastAsia="en-US"/>
        </w:rPr>
      </w:pPr>
      <w:r>
        <w:rPr>
          <w:rFonts w:eastAsia="Calibri"/>
          <w:b/>
          <w:sz w:val="22"/>
          <w:szCs w:val="22"/>
        </w:rPr>
        <w:t xml:space="preserve">išplitęs išbėrimas </w:t>
      </w:r>
      <w:r>
        <w:rPr>
          <w:rFonts w:eastAsia="Calibri"/>
          <w:b/>
          <w:sz w:val="22"/>
          <w:szCs w:val="22"/>
          <w:lang w:val="lt-LT"/>
        </w:rPr>
        <w:t>su pūs</w:t>
      </w:r>
      <w:r w:rsidRPr="001F276A">
        <w:rPr>
          <w:rFonts w:eastAsia="Calibri"/>
          <w:b/>
          <w:sz w:val="22"/>
        </w:rPr>
        <w:t>lėmis ir odos lupimasis, ypač apie burną, nosį, akis ir lytinius organus</w:t>
      </w:r>
      <w:r w:rsidRPr="001F276A">
        <w:rPr>
          <w:rFonts w:eastAsia="Calibri"/>
          <w:sz w:val="22"/>
        </w:rPr>
        <w:t xml:space="preserve"> (Stivenso ir Džonsono sindromas).</w:t>
      </w:r>
    </w:p>
    <w:p w14:paraId="57C7D9C4" w14:textId="77777777" w:rsidR="00602606" w:rsidRDefault="00604AEE">
      <w:pPr>
        <w:widowControl w:val="0"/>
        <w:numPr>
          <w:ilvl w:val="0"/>
          <w:numId w:val="16"/>
        </w:numPr>
        <w:ind w:left="567" w:hanging="567"/>
        <w:outlineLvl w:val="0"/>
        <w:rPr>
          <w:rFonts w:asciiTheme="minorHAnsi" w:eastAsia="Calibri" w:hAnsiTheme="minorHAnsi" w:cstheme="minorBidi"/>
          <w:sz w:val="22"/>
          <w:szCs w:val="22"/>
          <w:lang w:val="lt-LT" w:eastAsia="en-US"/>
        </w:rPr>
      </w:pPr>
      <w:r>
        <w:rPr>
          <w:rFonts w:eastAsia="Calibri"/>
          <w:sz w:val="22"/>
          <w:szCs w:val="22"/>
        </w:rPr>
        <w:t xml:space="preserve">Jeigu pasireiškia bet kuris iš tokių simptomų, </w:t>
      </w:r>
      <w:r>
        <w:rPr>
          <w:rFonts w:eastAsia="Calibri"/>
          <w:b/>
          <w:sz w:val="22"/>
          <w:szCs w:val="22"/>
        </w:rPr>
        <w:t>nedelsdami kreipkitės į gydytoją</w:t>
      </w:r>
      <w:r w:rsidRPr="001F276A">
        <w:rPr>
          <w:rFonts w:eastAsia="Calibri"/>
          <w:sz w:val="22"/>
        </w:rPr>
        <w:t xml:space="preserve"> ir </w:t>
      </w:r>
      <w:r w:rsidRPr="001F276A">
        <w:rPr>
          <w:rFonts w:eastAsia="Calibri"/>
          <w:b/>
          <w:sz w:val="22"/>
        </w:rPr>
        <w:t>nutraukite Dutasteride/Tamsulosin Krka vartojimą</w:t>
      </w:r>
      <w:r w:rsidRPr="001F276A">
        <w:rPr>
          <w:rFonts w:eastAsia="Calibri"/>
          <w:sz w:val="22"/>
        </w:rPr>
        <w:t>.</w:t>
      </w:r>
    </w:p>
    <w:p w14:paraId="28FA2BA4" w14:textId="77777777" w:rsidR="00602606" w:rsidRDefault="00602606">
      <w:pPr>
        <w:widowControl w:val="0"/>
        <w:contextualSpacing/>
        <w:outlineLvl w:val="0"/>
        <w:rPr>
          <w:rFonts w:eastAsia="Calibri"/>
          <w:b/>
          <w:sz w:val="22"/>
          <w:szCs w:val="22"/>
        </w:rPr>
      </w:pPr>
    </w:p>
    <w:p w14:paraId="2068FA96" w14:textId="77777777" w:rsidR="00602606" w:rsidRDefault="00604AEE">
      <w:pPr>
        <w:widowControl w:val="0"/>
        <w:contextualSpacing/>
        <w:outlineLvl w:val="0"/>
        <w:rPr>
          <w:rFonts w:asciiTheme="minorHAnsi" w:eastAsia="Calibri" w:hAnsiTheme="minorHAnsi" w:cstheme="minorBidi"/>
          <w:b/>
          <w:sz w:val="22"/>
          <w:szCs w:val="22"/>
          <w:lang w:val="lt-LT" w:eastAsia="en-US"/>
        </w:rPr>
      </w:pPr>
      <w:r>
        <w:rPr>
          <w:rFonts w:eastAsia="Calibri"/>
          <w:b/>
          <w:sz w:val="22"/>
          <w:szCs w:val="22"/>
        </w:rPr>
        <w:t>Dažnas šalutinis poveikis</w:t>
      </w:r>
    </w:p>
    <w:p w14:paraId="76621552"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Toks poveikis gali pasireikšti rečiau nei</w:t>
      </w:r>
      <w:r w:rsidRPr="001F276A">
        <w:rPr>
          <w:rFonts w:eastAsia="Calibri"/>
          <w:sz w:val="22"/>
        </w:rPr>
        <w:t xml:space="preserve"> 1 iš 10 Dutasteride/Tamsulosin Krka vartojančių vyrų:</w:t>
      </w:r>
    </w:p>
    <w:p w14:paraId="2BD8D9E9" w14:textId="77777777" w:rsidR="00602606" w:rsidRDefault="00604AEE">
      <w:pPr>
        <w:widowControl w:val="0"/>
        <w:ind w:left="567" w:hanging="567"/>
        <w:rPr>
          <w:rFonts w:eastAsia="Calibri"/>
          <w:sz w:val="22"/>
          <w:szCs w:val="22"/>
        </w:rPr>
      </w:pPr>
      <w:r>
        <w:rPr>
          <w:rFonts w:eastAsia="Calibri"/>
          <w:sz w:val="22"/>
          <w:szCs w:val="22"/>
        </w:rPr>
        <w:t>-</w:t>
      </w:r>
      <w:r>
        <w:rPr>
          <w:rFonts w:eastAsia="Calibri"/>
          <w:sz w:val="22"/>
          <w:szCs w:val="22"/>
        </w:rPr>
        <w:tab/>
        <w:t>impotencija (negalėjimas pasiekti ir išlaikyti erekciją)</w:t>
      </w:r>
      <w:r w:rsidRPr="001F276A">
        <w:rPr>
          <w:rFonts w:eastAsia="Calibri"/>
          <w:sz w:val="22"/>
          <w:vertAlign w:val="superscript"/>
        </w:rPr>
        <w:t>*</w:t>
      </w:r>
      <w:r>
        <w:rPr>
          <w:rFonts w:eastAsia="Calibri"/>
          <w:sz w:val="22"/>
          <w:szCs w:val="22"/>
        </w:rPr>
        <w:t>;</w:t>
      </w:r>
    </w:p>
    <w:p w14:paraId="392C8182" w14:textId="77777777" w:rsidR="00602606" w:rsidRDefault="00604AEE">
      <w:pPr>
        <w:widowControl w:val="0"/>
        <w:ind w:left="567" w:hanging="567"/>
        <w:rPr>
          <w:rFonts w:eastAsia="Calibri"/>
          <w:sz w:val="22"/>
          <w:szCs w:val="22"/>
        </w:rPr>
      </w:pPr>
      <w:r>
        <w:rPr>
          <w:rFonts w:eastAsia="Calibri"/>
          <w:sz w:val="22"/>
          <w:szCs w:val="22"/>
        </w:rPr>
        <w:t>-</w:t>
      </w:r>
      <w:r>
        <w:rPr>
          <w:rFonts w:eastAsia="Calibri"/>
          <w:sz w:val="22"/>
          <w:szCs w:val="22"/>
        </w:rPr>
        <w:tab/>
        <w:t>lytinio potraukio (</w:t>
      </w:r>
      <w:r w:rsidRPr="001F276A">
        <w:rPr>
          <w:rFonts w:eastAsia="Calibri"/>
          <w:i/>
          <w:sz w:val="22"/>
        </w:rPr>
        <w:t>libido</w:t>
      </w:r>
      <w:r w:rsidRPr="001F276A">
        <w:rPr>
          <w:rFonts w:eastAsia="Calibri"/>
          <w:sz w:val="22"/>
        </w:rPr>
        <w:t>) sumažėjimas</w:t>
      </w:r>
      <w:r w:rsidRPr="001F276A">
        <w:rPr>
          <w:rFonts w:eastAsia="Calibri"/>
          <w:sz w:val="22"/>
          <w:vertAlign w:val="superscript"/>
        </w:rPr>
        <w:t>*</w:t>
      </w:r>
      <w:r>
        <w:rPr>
          <w:rFonts w:eastAsia="Calibri"/>
          <w:sz w:val="22"/>
          <w:szCs w:val="22"/>
        </w:rPr>
        <w:t>;</w:t>
      </w:r>
    </w:p>
    <w:p w14:paraId="7B71251A" w14:textId="77777777" w:rsidR="00602606" w:rsidRDefault="00604AEE">
      <w:pPr>
        <w:widowControl w:val="0"/>
        <w:ind w:left="567" w:hanging="567"/>
        <w:rPr>
          <w:rFonts w:eastAsia="Calibri"/>
          <w:sz w:val="22"/>
          <w:szCs w:val="22"/>
        </w:rPr>
      </w:pPr>
      <w:r>
        <w:rPr>
          <w:rFonts w:eastAsia="Calibri"/>
          <w:sz w:val="22"/>
          <w:szCs w:val="22"/>
        </w:rPr>
        <w:t>-</w:t>
      </w:r>
      <w:r>
        <w:rPr>
          <w:rFonts w:eastAsia="Calibri"/>
          <w:sz w:val="22"/>
          <w:szCs w:val="22"/>
        </w:rPr>
        <w:tab/>
        <w:t>ejakuliacijos sutrikimas, pavyzdžiui, lytin</w:t>
      </w:r>
      <w:r w:rsidRPr="001F276A">
        <w:rPr>
          <w:rFonts w:eastAsia="Calibri"/>
          <w:sz w:val="22"/>
        </w:rPr>
        <w:t>ių santykių metu išsiskiriančios spermos kiekio sumažėjimas</w:t>
      </w:r>
      <w:r w:rsidRPr="001F276A">
        <w:rPr>
          <w:rFonts w:eastAsia="Calibri"/>
          <w:sz w:val="22"/>
          <w:vertAlign w:val="superscript"/>
        </w:rPr>
        <w:t>*</w:t>
      </w:r>
      <w:r>
        <w:rPr>
          <w:rFonts w:eastAsia="Calibri"/>
          <w:sz w:val="22"/>
          <w:szCs w:val="22"/>
        </w:rPr>
        <w:t>;</w:t>
      </w:r>
    </w:p>
    <w:p w14:paraId="3EA93E39" w14:textId="77777777" w:rsidR="00602606" w:rsidRDefault="00604AEE">
      <w:pPr>
        <w:widowControl w:val="0"/>
        <w:ind w:left="567" w:hanging="567"/>
        <w:rPr>
          <w:rFonts w:eastAsia="Calibri"/>
          <w:sz w:val="22"/>
          <w:szCs w:val="22"/>
        </w:rPr>
      </w:pPr>
      <w:r>
        <w:rPr>
          <w:rFonts w:eastAsia="Calibri"/>
          <w:sz w:val="22"/>
          <w:szCs w:val="22"/>
        </w:rPr>
        <w:t>-</w:t>
      </w:r>
      <w:r>
        <w:rPr>
          <w:rFonts w:eastAsia="Calibri"/>
          <w:sz w:val="22"/>
          <w:szCs w:val="22"/>
        </w:rPr>
        <w:tab/>
        <w:t>krūtų padidėjimas arba j</w:t>
      </w:r>
      <w:r w:rsidRPr="001F276A">
        <w:rPr>
          <w:rFonts w:eastAsia="Calibri"/>
          <w:sz w:val="22"/>
        </w:rPr>
        <w:t>autrumas (</w:t>
      </w:r>
      <w:r w:rsidRPr="001F276A">
        <w:rPr>
          <w:rFonts w:eastAsia="Calibri"/>
          <w:i/>
          <w:sz w:val="22"/>
        </w:rPr>
        <w:t>ginekomastija</w:t>
      </w:r>
      <w:r w:rsidRPr="001F276A">
        <w:rPr>
          <w:rFonts w:eastAsia="Calibri"/>
          <w:sz w:val="22"/>
        </w:rPr>
        <w:t>);</w:t>
      </w:r>
    </w:p>
    <w:p w14:paraId="7DC4DA35" w14:textId="77777777" w:rsidR="00602606" w:rsidRDefault="00604AEE">
      <w:pPr>
        <w:widowControl w:val="0"/>
        <w:ind w:left="567" w:hanging="567"/>
        <w:rPr>
          <w:rFonts w:eastAsia="Calibri"/>
          <w:sz w:val="22"/>
          <w:szCs w:val="22"/>
        </w:rPr>
      </w:pPr>
      <w:r>
        <w:rPr>
          <w:rFonts w:eastAsia="Calibri"/>
          <w:sz w:val="22"/>
          <w:szCs w:val="22"/>
        </w:rPr>
        <w:t>-</w:t>
      </w:r>
      <w:r>
        <w:rPr>
          <w:rFonts w:eastAsia="Calibri"/>
          <w:sz w:val="22"/>
          <w:szCs w:val="22"/>
        </w:rPr>
        <w:tab/>
        <w:t>svaigulys.</w:t>
      </w:r>
    </w:p>
    <w:p w14:paraId="03F42ABA" w14:textId="77777777" w:rsidR="00602606" w:rsidRDefault="00604AEE">
      <w:pPr>
        <w:widowControl w:val="0"/>
        <w:ind w:left="567" w:hanging="567"/>
        <w:rPr>
          <w:rFonts w:eastAsia="Calibri"/>
          <w:sz w:val="22"/>
          <w:szCs w:val="22"/>
        </w:rPr>
      </w:pPr>
      <w:r>
        <w:rPr>
          <w:rFonts w:eastAsia="Calibri"/>
          <w:sz w:val="22"/>
          <w:szCs w:val="22"/>
        </w:rPr>
        <w:t>-</w:t>
      </w:r>
      <w:r>
        <w:rPr>
          <w:rFonts w:eastAsia="Calibri"/>
          <w:sz w:val="22"/>
          <w:szCs w:val="22"/>
        </w:rPr>
        <w:tab/>
      </w:r>
      <w:r>
        <w:rPr>
          <w:rFonts w:eastAsia="Calibri"/>
          <w:sz w:val="22"/>
          <w:szCs w:val="22"/>
          <w:vertAlign w:val="superscript"/>
        </w:rPr>
        <w:t>*</w:t>
      </w:r>
      <w:r>
        <w:rPr>
          <w:rFonts w:eastAsia="Calibri"/>
          <w:sz w:val="22"/>
          <w:szCs w:val="22"/>
        </w:rPr>
        <w:t xml:space="preserve">Mažam skaičiui žmonių tam tikras paminėtas poveikis gali išlikti ir nutraukus </w:t>
      </w:r>
      <w:r w:rsidRPr="001F276A">
        <w:rPr>
          <w:rFonts w:eastAsia="Calibri"/>
          <w:sz w:val="22"/>
        </w:rPr>
        <w:t>Dutasteride/Tamsulosin Krka vartojimą.</w:t>
      </w:r>
    </w:p>
    <w:p w14:paraId="4917E4A2" w14:textId="77777777" w:rsidR="00602606" w:rsidRDefault="00602606">
      <w:pPr>
        <w:widowControl w:val="0"/>
        <w:contextualSpacing/>
        <w:outlineLvl w:val="0"/>
        <w:rPr>
          <w:rFonts w:eastAsia="Calibri"/>
          <w:sz w:val="22"/>
          <w:szCs w:val="22"/>
        </w:rPr>
      </w:pPr>
    </w:p>
    <w:p w14:paraId="34AAE422" w14:textId="77777777" w:rsidR="00602606" w:rsidRDefault="00604AEE">
      <w:pPr>
        <w:widowControl w:val="0"/>
        <w:contextualSpacing/>
        <w:outlineLvl w:val="0"/>
        <w:rPr>
          <w:rFonts w:asciiTheme="minorHAnsi" w:eastAsia="Calibri" w:hAnsiTheme="minorHAnsi" w:cstheme="minorBidi"/>
          <w:b/>
          <w:sz w:val="22"/>
          <w:szCs w:val="22"/>
          <w:lang w:val="lt-LT" w:eastAsia="en-US"/>
        </w:rPr>
      </w:pPr>
      <w:r>
        <w:rPr>
          <w:rFonts w:eastAsia="Calibri"/>
          <w:b/>
          <w:sz w:val="22"/>
          <w:szCs w:val="22"/>
        </w:rPr>
        <w:t>Nedažnas šalutinis poveikis</w:t>
      </w:r>
    </w:p>
    <w:p w14:paraId="1AFEB88E"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 xml:space="preserve">Toks poveikis gali pasireikšti rečiau nei </w:t>
      </w:r>
      <w:r w:rsidRPr="001F276A">
        <w:rPr>
          <w:rFonts w:eastAsia="Calibri"/>
          <w:sz w:val="22"/>
        </w:rPr>
        <w:t>1 iš 100 vyrų:</w:t>
      </w:r>
    </w:p>
    <w:p w14:paraId="38FAEF03" w14:textId="77777777" w:rsidR="00602606" w:rsidRDefault="00604AEE">
      <w:pPr>
        <w:widowControl w:val="0"/>
        <w:ind w:left="567" w:hanging="567"/>
        <w:rPr>
          <w:rFonts w:eastAsia="Calibri"/>
          <w:sz w:val="22"/>
          <w:szCs w:val="22"/>
        </w:rPr>
      </w:pPr>
      <w:r>
        <w:rPr>
          <w:rFonts w:eastAsia="Calibri"/>
          <w:sz w:val="22"/>
          <w:szCs w:val="22"/>
        </w:rPr>
        <w:t>-</w:t>
      </w:r>
      <w:r>
        <w:rPr>
          <w:rFonts w:eastAsia="Calibri"/>
          <w:sz w:val="22"/>
          <w:szCs w:val="22"/>
        </w:rPr>
        <w:tab/>
        <w:t>Širdies n</w:t>
      </w:r>
      <w:r w:rsidRPr="001F276A">
        <w:rPr>
          <w:rFonts w:eastAsia="Calibri"/>
          <w:sz w:val="22"/>
        </w:rPr>
        <w:t xml:space="preserve">epakankamumas (širdis mažiau veiksmingai pumpuoja kraują po kūną. Jums gali pasireikšti tokių simptomų kaip dusulys, labai stiprus nuovargis ir čiurnų bei kojų patinimas); </w:t>
      </w:r>
    </w:p>
    <w:p w14:paraId="0DB00E40" w14:textId="77777777" w:rsidR="00602606" w:rsidRDefault="00604AEE">
      <w:pPr>
        <w:widowControl w:val="0"/>
        <w:ind w:left="567" w:hanging="567"/>
        <w:rPr>
          <w:rFonts w:eastAsia="Calibri"/>
          <w:sz w:val="22"/>
          <w:szCs w:val="22"/>
        </w:rPr>
      </w:pPr>
      <w:r>
        <w:rPr>
          <w:rFonts w:eastAsia="Calibri"/>
          <w:sz w:val="22"/>
          <w:szCs w:val="22"/>
        </w:rPr>
        <w:t>-</w:t>
      </w:r>
      <w:r>
        <w:rPr>
          <w:rFonts w:eastAsia="Calibri"/>
          <w:sz w:val="22"/>
          <w:szCs w:val="22"/>
        </w:rPr>
        <w:tab/>
        <w:t>kraujospūdžio sumažėjimas stojantis;</w:t>
      </w:r>
    </w:p>
    <w:p w14:paraId="361F5DA8" w14:textId="77777777" w:rsidR="00602606" w:rsidRDefault="00604AEE">
      <w:pPr>
        <w:widowControl w:val="0"/>
        <w:ind w:left="567" w:hanging="567"/>
        <w:rPr>
          <w:rFonts w:eastAsia="Calibri"/>
          <w:i/>
          <w:sz w:val="22"/>
          <w:szCs w:val="22"/>
        </w:rPr>
      </w:pPr>
      <w:r>
        <w:rPr>
          <w:rFonts w:eastAsia="Calibri"/>
          <w:sz w:val="22"/>
          <w:szCs w:val="22"/>
        </w:rPr>
        <w:t>-</w:t>
      </w:r>
      <w:r>
        <w:rPr>
          <w:rFonts w:eastAsia="Calibri"/>
          <w:sz w:val="22"/>
          <w:szCs w:val="22"/>
        </w:rPr>
        <w:tab/>
        <w:t>dažnas širdies plakimas (</w:t>
      </w:r>
      <w:r w:rsidRPr="001F276A">
        <w:rPr>
          <w:rFonts w:eastAsia="Calibri"/>
          <w:i/>
          <w:sz w:val="22"/>
        </w:rPr>
        <w:t>palpitacijos</w:t>
      </w:r>
      <w:r w:rsidRPr="001F276A">
        <w:rPr>
          <w:rFonts w:eastAsia="Calibri"/>
          <w:sz w:val="22"/>
        </w:rPr>
        <w:t>);</w:t>
      </w:r>
    </w:p>
    <w:p w14:paraId="6C58B68B" w14:textId="77777777" w:rsidR="00602606" w:rsidRDefault="00604AEE">
      <w:pPr>
        <w:widowControl w:val="0"/>
        <w:ind w:left="567" w:hanging="567"/>
        <w:rPr>
          <w:rFonts w:eastAsia="Calibri"/>
          <w:i/>
          <w:sz w:val="22"/>
          <w:szCs w:val="22"/>
        </w:rPr>
      </w:pPr>
      <w:r>
        <w:rPr>
          <w:rFonts w:eastAsia="Calibri"/>
          <w:sz w:val="22"/>
          <w:szCs w:val="22"/>
        </w:rPr>
        <w:t>-</w:t>
      </w:r>
      <w:r>
        <w:rPr>
          <w:rFonts w:eastAsia="Calibri"/>
          <w:sz w:val="22"/>
          <w:szCs w:val="22"/>
        </w:rPr>
        <w:tab/>
        <w:t>vidurių užkietėjimas, viduriavimas, vėmimas, šleikštulys (pykinimas);</w:t>
      </w:r>
    </w:p>
    <w:p w14:paraId="225FDB66" w14:textId="77777777" w:rsidR="00602606" w:rsidRDefault="00604AEE">
      <w:pPr>
        <w:widowControl w:val="0"/>
        <w:ind w:left="567" w:hanging="567"/>
        <w:rPr>
          <w:rFonts w:eastAsia="Calibri"/>
          <w:sz w:val="22"/>
          <w:szCs w:val="22"/>
        </w:rPr>
      </w:pPr>
      <w:r>
        <w:rPr>
          <w:rFonts w:eastAsia="Calibri"/>
          <w:sz w:val="22"/>
          <w:szCs w:val="22"/>
        </w:rPr>
        <w:t>-</w:t>
      </w:r>
      <w:r>
        <w:rPr>
          <w:rFonts w:eastAsia="Calibri"/>
          <w:sz w:val="22"/>
          <w:szCs w:val="22"/>
        </w:rPr>
        <w:tab/>
        <w:t>silpnumas arba jėgų neturėjimas;</w:t>
      </w:r>
    </w:p>
    <w:p w14:paraId="527096EB" w14:textId="77777777" w:rsidR="00602606" w:rsidRDefault="00604AEE">
      <w:pPr>
        <w:widowControl w:val="0"/>
        <w:ind w:left="567" w:hanging="567"/>
        <w:rPr>
          <w:rFonts w:eastAsia="Calibri"/>
          <w:i/>
          <w:sz w:val="22"/>
          <w:szCs w:val="22"/>
        </w:rPr>
      </w:pPr>
      <w:r>
        <w:rPr>
          <w:rFonts w:eastAsia="Calibri"/>
          <w:sz w:val="22"/>
          <w:szCs w:val="22"/>
        </w:rPr>
        <w:t>-</w:t>
      </w:r>
      <w:r>
        <w:rPr>
          <w:rFonts w:eastAsia="Calibri"/>
          <w:sz w:val="22"/>
          <w:szCs w:val="22"/>
        </w:rPr>
        <w:tab/>
        <w:t>galvos skausmas;</w:t>
      </w:r>
    </w:p>
    <w:p w14:paraId="445A9E6C" w14:textId="77777777" w:rsidR="00602606" w:rsidRDefault="00604AEE">
      <w:pPr>
        <w:widowControl w:val="0"/>
        <w:ind w:left="567" w:hanging="567"/>
        <w:rPr>
          <w:rFonts w:eastAsia="Calibri"/>
          <w:i/>
          <w:sz w:val="22"/>
          <w:szCs w:val="22"/>
        </w:rPr>
      </w:pPr>
      <w:r>
        <w:rPr>
          <w:rFonts w:eastAsia="Calibri"/>
          <w:sz w:val="22"/>
          <w:szCs w:val="22"/>
        </w:rPr>
        <w:t>-</w:t>
      </w:r>
      <w:r>
        <w:rPr>
          <w:rFonts w:eastAsia="Calibri"/>
          <w:sz w:val="22"/>
          <w:szCs w:val="22"/>
        </w:rPr>
        <w:tab/>
        <w:t>niežulys, nosies užsikimšimas ar sloga (</w:t>
      </w:r>
      <w:r w:rsidRPr="001F276A">
        <w:rPr>
          <w:rFonts w:eastAsia="Calibri"/>
          <w:i/>
          <w:sz w:val="22"/>
        </w:rPr>
        <w:t>rinitas</w:t>
      </w:r>
      <w:r w:rsidRPr="001F276A">
        <w:rPr>
          <w:rFonts w:eastAsia="Calibri"/>
          <w:sz w:val="22"/>
        </w:rPr>
        <w:t>);</w:t>
      </w:r>
    </w:p>
    <w:p w14:paraId="637C6209" w14:textId="77777777" w:rsidR="00602606" w:rsidRDefault="00604AEE">
      <w:pPr>
        <w:widowControl w:val="0"/>
        <w:ind w:left="567" w:hanging="567"/>
        <w:rPr>
          <w:rFonts w:eastAsia="Calibri"/>
          <w:i/>
          <w:sz w:val="22"/>
          <w:szCs w:val="22"/>
        </w:rPr>
      </w:pPr>
      <w:r>
        <w:rPr>
          <w:rFonts w:eastAsia="Calibri"/>
          <w:sz w:val="22"/>
          <w:szCs w:val="22"/>
        </w:rPr>
        <w:t>-</w:t>
      </w:r>
      <w:r>
        <w:rPr>
          <w:rFonts w:eastAsia="Calibri"/>
          <w:sz w:val="22"/>
          <w:szCs w:val="22"/>
        </w:rPr>
        <w:tab/>
        <w:t>odos išbėrimas, dilgėlinė, niežulys;</w:t>
      </w:r>
    </w:p>
    <w:p w14:paraId="35C9D414" w14:textId="77777777" w:rsidR="00602606" w:rsidRDefault="00604AEE">
      <w:pPr>
        <w:widowControl w:val="0"/>
        <w:ind w:left="567" w:hanging="567"/>
        <w:rPr>
          <w:rFonts w:eastAsia="Calibri"/>
          <w:i/>
          <w:sz w:val="22"/>
          <w:szCs w:val="22"/>
        </w:rPr>
      </w:pPr>
      <w:r>
        <w:rPr>
          <w:rFonts w:eastAsia="Calibri"/>
          <w:sz w:val="22"/>
          <w:szCs w:val="22"/>
        </w:rPr>
        <w:t>-</w:t>
      </w:r>
      <w:r>
        <w:rPr>
          <w:rFonts w:eastAsia="Calibri"/>
          <w:sz w:val="22"/>
          <w:szCs w:val="22"/>
        </w:rPr>
        <w:tab/>
        <w:t>plaukų slinkimas (paprastai nuo kūno) a</w:t>
      </w:r>
      <w:r w:rsidRPr="001F276A">
        <w:rPr>
          <w:rFonts w:eastAsia="Calibri"/>
          <w:sz w:val="22"/>
        </w:rPr>
        <w:t>rba plaukuotumo padidėjimas.</w:t>
      </w:r>
    </w:p>
    <w:p w14:paraId="1AD9D0D2" w14:textId="77777777" w:rsidR="00602606" w:rsidRDefault="00602606">
      <w:pPr>
        <w:widowControl w:val="0"/>
        <w:contextualSpacing/>
        <w:outlineLvl w:val="0"/>
        <w:rPr>
          <w:rFonts w:eastAsia="Calibri"/>
          <w:sz w:val="22"/>
          <w:szCs w:val="22"/>
        </w:rPr>
      </w:pPr>
    </w:p>
    <w:p w14:paraId="312CBBB1" w14:textId="77777777" w:rsidR="00602606" w:rsidRDefault="00604AEE">
      <w:pPr>
        <w:widowControl w:val="0"/>
        <w:contextualSpacing/>
        <w:outlineLvl w:val="0"/>
        <w:rPr>
          <w:rFonts w:asciiTheme="minorHAnsi" w:eastAsia="Calibri" w:hAnsiTheme="minorHAnsi" w:cstheme="minorBidi"/>
          <w:b/>
          <w:sz w:val="22"/>
          <w:szCs w:val="22"/>
          <w:lang w:val="lt-LT" w:eastAsia="en-US"/>
        </w:rPr>
      </w:pPr>
      <w:r>
        <w:rPr>
          <w:rFonts w:eastAsia="Calibri"/>
          <w:b/>
          <w:sz w:val="22"/>
          <w:szCs w:val="22"/>
        </w:rPr>
        <w:t>Retas šalutinis poveikis</w:t>
      </w:r>
    </w:p>
    <w:p w14:paraId="1C294002"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 xml:space="preserve">Toks poveikis gali pasireikšti rečiau nei </w:t>
      </w:r>
      <w:r w:rsidRPr="001F276A">
        <w:rPr>
          <w:rFonts w:eastAsia="Calibri"/>
          <w:sz w:val="22"/>
        </w:rPr>
        <w:t>1 iš 1 000 vyrų:</w:t>
      </w:r>
    </w:p>
    <w:p w14:paraId="758943DF" w14:textId="77777777" w:rsidR="00602606" w:rsidRDefault="00604AEE">
      <w:pPr>
        <w:widowControl w:val="0"/>
        <w:ind w:left="567" w:hanging="567"/>
        <w:rPr>
          <w:rFonts w:eastAsia="Calibri"/>
          <w:sz w:val="22"/>
          <w:szCs w:val="22"/>
        </w:rPr>
      </w:pPr>
      <w:r>
        <w:rPr>
          <w:rFonts w:eastAsia="Calibri"/>
          <w:sz w:val="22"/>
          <w:szCs w:val="22"/>
        </w:rPr>
        <w:t>-</w:t>
      </w:r>
      <w:r>
        <w:rPr>
          <w:rFonts w:eastAsia="Calibri"/>
          <w:sz w:val="22"/>
          <w:szCs w:val="22"/>
        </w:rPr>
        <w:tab/>
        <w:t>akių vokų, veido, lūpų, rankų ar kojų patinimas (</w:t>
      </w:r>
      <w:r w:rsidRPr="001F276A">
        <w:rPr>
          <w:rFonts w:eastAsia="Calibri"/>
          <w:i/>
          <w:sz w:val="22"/>
        </w:rPr>
        <w:t>angioneurozinė edema</w:t>
      </w:r>
      <w:r w:rsidRPr="001F276A">
        <w:rPr>
          <w:rFonts w:eastAsia="Calibri"/>
          <w:sz w:val="22"/>
        </w:rPr>
        <w:t>);</w:t>
      </w:r>
    </w:p>
    <w:p w14:paraId="2DFDB63A" w14:textId="77777777" w:rsidR="00602606" w:rsidRDefault="00604AEE">
      <w:pPr>
        <w:widowControl w:val="0"/>
        <w:ind w:left="567" w:hanging="567"/>
        <w:rPr>
          <w:rFonts w:eastAsia="Calibri"/>
          <w:sz w:val="22"/>
          <w:szCs w:val="22"/>
        </w:rPr>
      </w:pPr>
      <w:r>
        <w:rPr>
          <w:rFonts w:eastAsia="Calibri"/>
          <w:sz w:val="22"/>
          <w:szCs w:val="22"/>
        </w:rPr>
        <w:t>-</w:t>
      </w:r>
      <w:r>
        <w:rPr>
          <w:rFonts w:eastAsia="Calibri"/>
          <w:sz w:val="22"/>
          <w:szCs w:val="22"/>
        </w:rPr>
        <w:tab/>
        <w:t>apalpimas.</w:t>
      </w:r>
    </w:p>
    <w:p w14:paraId="79449E6B" w14:textId="77777777" w:rsidR="00602606" w:rsidRDefault="00602606">
      <w:pPr>
        <w:widowControl w:val="0"/>
        <w:contextualSpacing/>
        <w:outlineLvl w:val="0"/>
        <w:rPr>
          <w:rFonts w:eastAsia="Calibri"/>
          <w:sz w:val="22"/>
          <w:szCs w:val="22"/>
        </w:rPr>
      </w:pPr>
    </w:p>
    <w:p w14:paraId="587E566C" w14:textId="77777777" w:rsidR="00602606" w:rsidRDefault="00604AEE">
      <w:pPr>
        <w:widowControl w:val="0"/>
        <w:contextualSpacing/>
        <w:outlineLvl w:val="0"/>
        <w:rPr>
          <w:rFonts w:asciiTheme="minorHAnsi" w:eastAsia="Calibri" w:hAnsiTheme="minorHAnsi" w:cstheme="minorBidi"/>
          <w:b/>
          <w:sz w:val="22"/>
          <w:szCs w:val="22"/>
          <w:lang w:val="lt-LT" w:eastAsia="en-US"/>
        </w:rPr>
      </w:pPr>
      <w:r>
        <w:rPr>
          <w:rFonts w:eastAsia="Calibri"/>
          <w:b/>
          <w:sz w:val="22"/>
          <w:szCs w:val="22"/>
        </w:rPr>
        <w:t>Labai retas šalutinis poveikis</w:t>
      </w:r>
    </w:p>
    <w:p w14:paraId="01C64847"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 xml:space="preserve">Toks poveikis gali pasireikšti rečiau nei </w:t>
      </w:r>
      <w:r w:rsidRPr="001F276A">
        <w:rPr>
          <w:rFonts w:eastAsia="Calibri"/>
          <w:sz w:val="22"/>
        </w:rPr>
        <w:t>1 iš 10 000 vyrų:</w:t>
      </w:r>
    </w:p>
    <w:p w14:paraId="2ECF7382" w14:textId="77777777" w:rsidR="00602606" w:rsidRDefault="00604AEE">
      <w:pPr>
        <w:widowControl w:val="0"/>
        <w:ind w:left="567" w:hanging="567"/>
        <w:rPr>
          <w:rFonts w:eastAsia="Calibri"/>
          <w:sz w:val="22"/>
          <w:szCs w:val="22"/>
        </w:rPr>
      </w:pPr>
      <w:r>
        <w:rPr>
          <w:rFonts w:eastAsia="Calibri"/>
          <w:sz w:val="22"/>
          <w:szCs w:val="22"/>
        </w:rPr>
        <w:t>-</w:t>
      </w:r>
      <w:r>
        <w:rPr>
          <w:rFonts w:eastAsia="Calibri"/>
          <w:sz w:val="22"/>
          <w:szCs w:val="22"/>
        </w:rPr>
        <w:tab/>
        <w:t>ilgalaikė skausminga varpos erekcija (</w:t>
      </w:r>
      <w:r w:rsidRPr="001F276A">
        <w:rPr>
          <w:rFonts w:eastAsia="Calibri"/>
          <w:i/>
          <w:sz w:val="22"/>
        </w:rPr>
        <w:t>priapizmas</w:t>
      </w:r>
      <w:r w:rsidRPr="001F276A">
        <w:rPr>
          <w:rFonts w:eastAsia="Calibri"/>
          <w:sz w:val="22"/>
        </w:rPr>
        <w:t>);</w:t>
      </w:r>
    </w:p>
    <w:p w14:paraId="678F000B" w14:textId="77777777" w:rsidR="00602606" w:rsidRDefault="00604AEE">
      <w:pPr>
        <w:widowControl w:val="0"/>
        <w:ind w:left="567" w:hanging="567"/>
        <w:rPr>
          <w:rFonts w:eastAsia="Calibri"/>
          <w:sz w:val="22"/>
          <w:szCs w:val="22"/>
        </w:rPr>
      </w:pPr>
      <w:r>
        <w:rPr>
          <w:rFonts w:eastAsia="Calibri"/>
          <w:sz w:val="22"/>
          <w:szCs w:val="22"/>
        </w:rPr>
        <w:t>-</w:t>
      </w:r>
      <w:r>
        <w:rPr>
          <w:rFonts w:eastAsia="Calibri"/>
          <w:sz w:val="22"/>
          <w:szCs w:val="22"/>
        </w:rPr>
        <w:tab/>
        <w:t>sunkios odos reakcijos (</w:t>
      </w:r>
      <w:r w:rsidRPr="001F276A">
        <w:rPr>
          <w:rFonts w:eastAsia="Calibri"/>
          <w:i/>
          <w:sz w:val="22"/>
        </w:rPr>
        <w:t>Stivenso ir Džonsono sindromas</w:t>
      </w:r>
      <w:r w:rsidRPr="001F276A">
        <w:rPr>
          <w:rFonts w:eastAsia="Calibri"/>
          <w:sz w:val="22"/>
        </w:rPr>
        <w:t>).</w:t>
      </w:r>
    </w:p>
    <w:p w14:paraId="74019137" w14:textId="77777777" w:rsidR="00602606" w:rsidRDefault="00602606">
      <w:pPr>
        <w:widowControl w:val="0"/>
        <w:contextualSpacing/>
        <w:outlineLvl w:val="0"/>
        <w:rPr>
          <w:rFonts w:eastAsia="Calibri"/>
          <w:sz w:val="22"/>
          <w:szCs w:val="22"/>
        </w:rPr>
      </w:pPr>
    </w:p>
    <w:p w14:paraId="7B2CE868" w14:textId="77777777" w:rsidR="00602606" w:rsidRDefault="00604AEE">
      <w:pPr>
        <w:widowControl w:val="0"/>
        <w:contextualSpacing/>
        <w:outlineLvl w:val="0"/>
        <w:rPr>
          <w:rFonts w:asciiTheme="minorHAnsi" w:eastAsia="Calibri" w:hAnsiTheme="minorHAnsi" w:cstheme="minorBidi"/>
          <w:b/>
          <w:sz w:val="22"/>
          <w:szCs w:val="22"/>
          <w:lang w:val="lt-LT" w:eastAsia="en-US"/>
        </w:rPr>
      </w:pPr>
      <w:r>
        <w:rPr>
          <w:rFonts w:eastAsia="Calibri"/>
          <w:b/>
          <w:sz w:val="22"/>
          <w:szCs w:val="22"/>
        </w:rPr>
        <w:t>Kitas šalutinis poveikis</w:t>
      </w:r>
    </w:p>
    <w:p w14:paraId="04DCE0AF"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Kitas šalutinis poveikis, kuris pasireiškė mažam skaičiui vyrų, bet tikslus jo dažnis nežinomas (dažnis negali būti apskaičiuotas pagal turimus duomenis):</w:t>
      </w:r>
    </w:p>
    <w:p w14:paraId="28A459A4" w14:textId="77777777" w:rsidR="00602606" w:rsidRDefault="00604AEE">
      <w:pPr>
        <w:widowControl w:val="0"/>
        <w:ind w:left="567" w:hanging="567"/>
        <w:rPr>
          <w:rFonts w:eastAsia="Calibri"/>
          <w:sz w:val="22"/>
          <w:szCs w:val="22"/>
        </w:rPr>
      </w:pPr>
      <w:r>
        <w:rPr>
          <w:rFonts w:eastAsia="Calibri"/>
          <w:sz w:val="22"/>
          <w:szCs w:val="22"/>
        </w:rPr>
        <w:t>-</w:t>
      </w:r>
      <w:r>
        <w:rPr>
          <w:rFonts w:eastAsia="Calibri"/>
          <w:sz w:val="22"/>
          <w:szCs w:val="22"/>
        </w:rPr>
        <w:tab/>
        <w:t>nenormalus arba dažnas širdies plakimas (</w:t>
      </w:r>
      <w:r w:rsidRPr="001F276A">
        <w:rPr>
          <w:rFonts w:eastAsia="Calibri"/>
          <w:i/>
          <w:sz w:val="22"/>
        </w:rPr>
        <w:t>aritmija ar tachikardija arba prieširdžių virpėjimas</w:t>
      </w:r>
      <w:r w:rsidRPr="001F276A">
        <w:rPr>
          <w:rFonts w:eastAsia="Calibri"/>
          <w:sz w:val="22"/>
        </w:rPr>
        <w:t>);</w:t>
      </w:r>
    </w:p>
    <w:p w14:paraId="440FA7AB" w14:textId="77777777" w:rsidR="00602606" w:rsidRDefault="00604AEE">
      <w:pPr>
        <w:widowControl w:val="0"/>
        <w:ind w:left="567" w:hanging="567"/>
        <w:rPr>
          <w:rFonts w:eastAsia="Calibri"/>
          <w:sz w:val="22"/>
          <w:szCs w:val="22"/>
        </w:rPr>
      </w:pPr>
      <w:r>
        <w:rPr>
          <w:rFonts w:eastAsia="Calibri"/>
          <w:sz w:val="22"/>
          <w:szCs w:val="22"/>
        </w:rPr>
        <w:t>-</w:t>
      </w:r>
      <w:r>
        <w:rPr>
          <w:rFonts w:eastAsia="Calibri"/>
          <w:sz w:val="22"/>
          <w:szCs w:val="22"/>
        </w:rPr>
        <w:tab/>
        <w:t>dusulys (</w:t>
      </w:r>
      <w:r w:rsidRPr="001F276A">
        <w:rPr>
          <w:rFonts w:eastAsia="Calibri"/>
          <w:i/>
          <w:sz w:val="22"/>
        </w:rPr>
        <w:t>dispnėja</w:t>
      </w:r>
      <w:r w:rsidRPr="001F276A">
        <w:rPr>
          <w:rFonts w:eastAsia="Calibri"/>
          <w:sz w:val="22"/>
        </w:rPr>
        <w:t>);</w:t>
      </w:r>
    </w:p>
    <w:p w14:paraId="27A022B7" w14:textId="77777777" w:rsidR="00602606" w:rsidRDefault="00604AEE">
      <w:pPr>
        <w:widowControl w:val="0"/>
        <w:ind w:left="567" w:hanging="567"/>
        <w:rPr>
          <w:rFonts w:eastAsia="Calibri"/>
          <w:sz w:val="22"/>
          <w:szCs w:val="22"/>
        </w:rPr>
      </w:pPr>
      <w:r>
        <w:rPr>
          <w:rFonts w:eastAsia="Calibri"/>
          <w:sz w:val="22"/>
          <w:szCs w:val="22"/>
        </w:rPr>
        <w:t>-</w:t>
      </w:r>
      <w:r>
        <w:rPr>
          <w:rFonts w:eastAsia="Calibri"/>
          <w:sz w:val="22"/>
          <w:szCs w:val="22"/>
        </w:rPr>
        <w:tab/>
        <w:t>depresija;</w:t>
      </w:r>
    </w:p>
    <w:p w14:paraId="456086EB" w14:textId="77777777" w:rsidR="00602606" w:rsidRDefault="00604AEE">
      <w:pPr>
        <w:widowControl w:val="0"/>
        <w:ind w:left="567" w:hanging="567"/>
        <w:rPr>
          <w:rFonts w:eastAsia="Calibri"/>
          <w:sz w:val="22"/>
          <w:szCs w:val="22"/>
        </w:rPr>
      </w:pPr>
      <w:r>
        <w:rPr>
          <w:rFonts w:eastAsia="Calibri"/>
          <w:sz w:val="22"/>
          <w:szCs w:val="22"/>
        </w:rPr>
        <w:t>-</w:t>
      </w:r>
      <w:r>
        <w:rPr>
          <w:rFonts w:eastAsia="Calibri"/>
          <w:sz w:val="22"/>
          <w:szCs w:val="22"/>
        </w:rPr>
        <w:tab/>
        <w:t>sėklidžių skausmas ir pa</w:t>
      </w:r>
      <w:r w:rsidRPr="001F276A">
        <w:rPr>
          <w:rFonts w:eastAsia="Calibri"/>
          <w:sz w:val="22"/>
        </w:rPr>
        <w:t>tinimas;</w:t>
      </w:r>
    </w:p>
    <w:p w14:paraId="2324C74E" w14:textId="77777777" w:rsidR="00602606" w:rsidRDefault="00604AEE">
      <w:pPr>
        <w:widowControl w:val="0"/>
        <w:ind w:left="567" w:hanging="567"/>
        <w:rPr>
          <w:rFonts w:eastAsia="Calibri"/>
          <w:sz w:val="22"/>
          <w:szCs w:val="22"/>
        </w:rPr>
      </w:pPr>
      <w:r>
        <w:rPr>
          <w:rFonts w:eastAsia="Calibri"/>
          <w:sz w:val="22"/>
          <w:szCs w:val="22"/>
        </w:rPr>
        <w:t>-</w:t>
      </w:r>
      <w:r>
        <w:rPr>
          <w:rFonts w:eastAsia="Calibri"/>
          <w:sz w:val="22"/>
          <w:szCs w:val="22"/>
        </w:rPr>
        <w:tab/>
        <w:t>kraujavimas iš nosies;</w:t>
      </w:r>
    </w:p>
    <w:p w14:paraId="54FEBE52" w14:textId="77777777" w:rsidR="00602606" w:rsidRDefault="00604AEE">
      <w:pPr>
        <w:widowControl w:val="0"/>
        <w:ind w:left="567" w:hanging="567"/>
        <w:rPr>
          <w:rFonts w:eastAsia="Calibri"/>
          <w:sz w:val="22"/>
          <w:szCs w:val="22"/>
        </w:rPr>
      </w:pPr>
      <w:r>
        <w:rPr>
          <w:rFonts w:eastAsia="Calibri"/>
          <w:sz w:val="22"/>
          <w:szCs w:val="22"/>
        </w:rPr>
        <w:t>-</w:t>
      </w:r>
      <w:r>
        <w:rPr>
          <w:rFonts w:eastAsia="Calibri"/>
          <w:sz w:val="22"/>
          <w:szCs w:val="22"/>
        </w:rPr>
        <w:tab/>
        <w:t>sunkus odos bėrimas;</w:t>
      </w:r>
    </w:p>
    <w:p w14:paraId="4BD83877" w14:textId="77777777" w:rsidR="00602606" w:rsidRDefault="00604AEE">
      <w:pPr>
        <w:widowControl w:val="0"/>
        <w:ind w:left="567" w:hanging="567"/>
        <w:rPr>
          <w:rFonts w:eastAsia="Calibri"/>
          <w:sz w:val="22"/>
          <w:szCs w:val="22"/>
        </w:rPr>
      </w:pPr>
      <w:r>
        <w:rPr>
          <w:rFonts w:eastAsia="Calibri"/>
          <w:sz w:val="22"/>
          <w:szCs w:val="22"/>
        </w:rPr>
        <w:t>-</w:t>
      </w:r>
      <w:r>
        <w:rPr>
          <w:rFonts w:eastAsia="Calibri"/>
          <w:sz w:val="22"/>
          <w:szCs w:val="22"/>
        </w:rPr>
        <w:tab/>
        <w:t>regėjimo pokyčiai (</w:t>
      </w:r>
      <w:r w:rsidRPr="001F276A">
        <w:rPr>
          <w:rFonts w:eastAsia="Calibri"/>
          <w:i/>
          <w:sz w:val="22"/>
        </w:rPr>
        <w:t>matomo vaizdo neryškumas ar regėjimo sutrikimas</w:t>
      </w:r>
      <w:r w:rsidRPr="001F276A">
        <w:rPr>
          <w:rFonts w:eastAsia="Calibri"/>
          <w:sz w:val="22"/>
        </w:rPr>
        <w:t>);</w:t>
      </w:r>
    </w:p>
    <w:p w14:paraId="40FAFD8E" w14:textId="77777777" w:rsidR="00602606" w:rsidRDefault="00604AEE">
      <w:pPr>
        <w:widowControl w:val="0"/>
        <w:ind w:left="567" w:hanging="567"/>
        <w:rPr>
          <w:rFonts w:eastAsia="Calibri"/>
          <w:sz w:val="22"/>
          <w:szCs w:val="22"/>
        </w:rPr>
      </w:pPr>
      <w:r>
        <w:rPr>
          <w:rFonts w:eastAsia="Calibri"/>
          <w:sz w:val="22"/>
          <w:szCs w:val="22"/>
        </w:rPr>
        <w:t>-</w:t>
      </w:r>
      <w:r>
        <w:rPr>
          <w:rFonts w:eastAsia="Calibri"/>
          <w:sz w:val="22"/>
          <w:szCs w:val="22"/>
        </w:rPr>
        <w:tab/>
        <w:t>burnos džiūvimas.</w:t>
      </w:r>
    </w:p>
    <w:p w14:paraId="77DDFFA2" w14:textId="77777777" w:rsidR="00602606" w:rsidRDefault="00602606">
      <w:pPr>
        <w:widowControl w:val="0"/>
        <w:contextualSpacing/>
        <w:outlineLvl w:val="0"/>
        <w:rPr>
          <w:rFonts w:eastAsia="Calibri"/>
          <w:sz w:val="22"/>
          <w:szCs w:val="22"/>
        </w:rPr>
      </w:pPr>
    </w:p>
    <w:p w14:paraId="1AA4DBE5" w14:textId="77777777" w:rsidR="00602606" w:rsidRDefault="00604AEE">
      <w:pPr>
        <w:widowControl w:val="0"/>
        <w:contextualSpacing/>
        <w:outlineLvl w:val="0"/>
        <w:rPr>
          <w:rFonts w:asciiTheme="minorHAnsi" w:eastAsia="Calibri" w:hAnsiTheme="minorHAnsi" w:cstheme="minorBidi"/>
          <w:b/>
          <w:sz w:val="22"/>
          <w:szCs w:val="22"/>
          <w:lang w:val="lt-LT" w:eastAsia="en-US"/>
        </w:rPr>
      </w:pPr>
      <w:r>
        <w:rPr>
          <w:rFonts w:eastAsia="Calibri"/>
          <w:b/>
          <w:sz w:val="22"/>
          <w:szCs w:val="22"/>
        </w:rPr>
        <w:t>Pranešimas apie šalutinį poveikį</w:t>
      </w:r>
    </w:p>
    <w:p w14:paraId="4194A55A" w14:textId="534325A8" w:rsidR="00602606" w:rsidRDefault="00604AEE">
      <w:pPr>
        <w:widowControl w:val="0"/>
        <w:ind w:right="-1"/>
        <w:rPr>
          <w:rFonts w:asciiTheme="minorHAnsi" w:eastAsiaTheme="minorHAnsi" w:hAnsiTheme="minorHAnsi" w:cstheme="minorBidi"/>
          <w:sz w:val="22"/>
          <w:szCs w:val="22"/>
          <w:lang w:val="lt-LT" w:eastAsia="en-US"/>
        </w:rPr>
      </w:pPr>
      <w:r>
        <w:rPr>
          <w:rFonts w:eastAsia="Calibri"/>
          <w:sz w:val="22"/>
          <w:szCs w:val="22"/>
        </w:rPr>
        <w:t xml:space="preserve">Jeigu pasireiškė šalutinis poveikis, įskaitant šiame lapelyje nenurodytą, pasakykite gydytojui arba vaistininkui. </w:t>
      </w:r>
      <w:r w:rsidRPr="001F276A">
        <w:rPr>
          <w:sz w:val="22"/>
        </w:rPr>
        <w:t xml:space="preserve">Apie šalutinį poveikį taip pat galite pranešti Valstybinei vaistų kontrolės tarnybai prie Lietuvos Respublikos sveikatos apsaugos ministerijos nemokamu telefonu 8 800 73568 arba užpildyti interneto svetainėje </w:t>
      </w:r>
      <w:hyperlink r:id="rId12" w:history="1">
        <w:r>
          <w:rPr>
            <w:rFonts w:eastAsia="SimSun"/>
            <w:color w:val="0000FF"/>
            <w:sz w:val="22"/>
            <w:szCs w:val="22"/>
            <w:u w:val="single"/>
          </w:rPr>
          <w:t>www.vvkt.lt</w:t>
        </w:r>
      </w:hyperlink>
      <w:r>
        <w:rPr>
          <w:sz w:val="22"/>
          <w:szCs w:val="22"/>
        </w:rPr>
        <w:t xml:space="preserve"> esančią formą ir pateikti ją Valstybinei vaistų kontrolės tarnybai prie Lietuvos Respublikos sveikatos apsaugos ministerijos vienu iš šių būdų: raštu </w:t>
      </w:r>
      <w:r w:rsidRPr="001F276A">
        <w:rPr>
          <w:sz w:val="22"/>
        </w:rPr>
        <w:t xml:space="preserve">(adresu Žirmūnų g. 139A, LT-09120 Vilnius), nemokamu fakso numeriu 8 800 20131, el. paštu </w:t>
      </w:r>
      <w:hyperlink r:id="rId13" w:history="1">
        <w:r>
          <w:rPr>
            <w:rFonts w:eastAsia="SimSun"/>
            <w:color w:val="0000FF"/>
            <w:sz w:val="22"/>
            <w:szCs w:val="22"/>
            <w:u w:val="single"/>
          </w:rPr>
          <w:t>NepageidaujamaR@vvkt.lt</w:t>
        </w:r>
      </w:hyperlink>
      <w:r>
        <w:rPr>
          <w:sz w:val="22"/>
          <w:szCs w:val="22"/>
        </w:rPr>
        <w:t>, taip pat per Valstybinės vaistų kontrolės tarnybos prie Lietuvos Respublikos sveikatos apsaugo</w:t>
      </w:r>
      <w:r w:rsidRPr="001F276A">
        <w:rPr>
          <w:sz w:val="22"/>
        </w:rPr>
        <w:t xml:space="preserve">s ministerijos interneto svetainę (adresu </w:t>
      </w:r>
      <w:hyperlink r:id="rId14" w:history="1">
        <w:r>
          <w:rPr>
            <w:rFonts w:eastAsia="SimSun"/>
            <w:color w:val="0000FF"/>
            <w:sz w:val="22"/>
            <w:szCs w:val="22"/>
            <w:u w:val="single"/>
          </w:rPr>
          <w:t>http://www.vvkt.lt</w:t>
        </w:r>
      </w:hyperlink>
      <w:r>
        <w:rPr>
          <w:sz w:val="22"/>
          <w:szCs w:val="22"/>
        </w:rPr>
        <w:t>). Pranešdami apie šalutinį poveikį galite mums padėti gauti daugiau informacijos apie šio vaisto saugumą.</w:t>
      </w:r>
    </w:p>
    <w:p w14:paraId="7E983A45" w14:textId="77777777" w:rsidR="00602606" w:rsidRDefault="00602606">
      <w:pPr>
        <w:widowControl w:val="0"/>
        <w:ind w:right="-449"/>
        <w:rPr>
          <w:rFonts w:eastAsia="Calibri"/>
          <w:sz w:val="22"/>
          <w:szCs w:val="22"/>
        </w:rPr>
      </w:pPr>
    </w:p>
    <w:p w14:paraId="31005B55" w14:textId="77777777" w:rsidR="00602606" w:rsidRDefault="00602606">
      <w:pPr>
        <w:widowControl w:val="0"/>
        <w:contextualSpacing/>
        <w:outlineLvl w:val="0"/>
        <w:rPr>
          <w:rFonts w:eastAsia="Calibri"/>
          <w:sz w:val="22"/>
          <w:szCs w:val="22"/>
        </w:rPr>
      </w:pPr>
    </w:p>
    <w:p w14:paraId="75BCA5DD" w14:textId="77777777" w:rsidR="00602606" w:rsidRDefault="00604AEE">
      <w:pPr>
        <w:widowControl w:val="0"/>
        <w:ind w:left="567" w:hanging="567"/>
        <w:rPr>
          <w:rFonts w:asciiTheme="minorHAnsi" w:eastAsia="Calibri" w:hAnsiTheme="minorHAnsi" w:cstheme="minorBidi"/>
          <w:b/>
          <w:sz w:val="22"/>
          <w:szCs w:val="22"/>
          <w:lang w:val="lt-LT" w:eastAsia="en-US"/>
        </w:rPr>
      </w:pPr>
      <w:r>
        <w:rPr>
          <w:rFonts w:eastAsia="Calibri"/>
          <w:b/>
          <w:sz w:val="22"/>
          <w:szCs w:val="22"/>
        </w:rPr>
        <w:t>5.</w:t>
      </w:r>
      <w:r>
        <w:rPr>
          <w:rFonts w:eastAsia="Calibri"/>
          <w:b/>
          <w:sz w:val="22"/>
          <w:szCs w:val="22"/>
        </w:rPr>
        <w:tab/>
        <w:t xml:space="preserve">Kaip laikyti </w:t>
      </w:r>
      <w:r w:rsidRPr="001F276A">
        <w:rPr>
          <w:rFonts w:eastAsia="Calibri"/>
          <w:b/>
          <w:sz w:val="22"/>
        </w:rPr>
        <w:t>Dutasteride/Tamsulosin Krka</w:t>
      </w:r>
    </w:p>
    <w:p w14:paraId="61341541" w14:textId="77777777" w:rsidR="00602606" w:rsidRDefault="00602606">
      <w:pPr>
        <w:widowControl w:val="0"/>
        <w:rPr>
          <w:rFonts w:eastAsia="Calibri"/>
          <w:sz w:val="22"/>
          <w:szCs w:val="22"/>
        </w:rPr>
      </w:pPr>
    </w:p>
    <w:p w14:paraId="26205620"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Šį vaistą laikykite vaikams nepastebimoje ir nepasiekiamoje vietoje.</w:t>
      </w:r>
    </w:p>
    <w:p w14:paraId="4194D89A" w14:textId="77777777" w:rsidR="00602606" w:rsidRDefault="00602606">
      <w:pPr>
        <w:widowControl w:val="0"/>
        <w:contextualSpacing/>
        <w:outlineLvl w:val="0"/>
        <w:rPr>
          <w:rFonts w:eastAsia="Calibri"/>
          <w:sz w:val="22"/>
          <w:szCs w:val="22"/>
        </w:rPr>
      </w:pPr>
    </w:p>
    <w:p w14:paraId="064650A9"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Ant kartono dėžutės ir buteliuko po „EXP“ nurodytam tinkamumo laikui pasibaigus, šio vaisto vartoti negalima. Vaistas tinkamas vartoti iki paskutinės nurodyto mėnesio dienos.</w:t>
      </w:r>
    </w:p>
    <w:p w14:paraId="52910629" w14:textId="77777777" w:rsidR="00602606" w:rsidRDefault="00602606">
      <w:pPr>
        <w:widowControl w:val="0"/>
        <w:contextualSpacing/>
        <w:outlineLvl w:val="0"/>
        <w:rPr>
          <w:sz w:val="22"/>
          <w:szCs w:val="22"/>
        </w:rPr>
      </w:pPr>
    </w:p>
    <w:p w14:paraId="20A63787"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sz w:val="22"/>
          <w:szCs w:val="22"/>
        </w:rPr>
        <w:t>Šiam vaistui specialių laikymo sąlygų nereikia</w:t>
      </w:r>
      <w:r w:rsidRPr="001F276A">
        <w:rPr>
          <w:rFonts w:eastAsia="Calibri"/>
          <w:sz w:val="22"/>
        </w:rPr>
        <w:t>.</w:t>
      </w:r>
    </w:p>
    <w:p w14:paraId="23ACE759" w14:textId="77777777" w:rsidR="00602606" w:rsidRDefault="00602606">
      <w:pPr>
        <w:widowControl w:val="0"/>
        <w:contextualSpacing/>
        <w:outlineLvl w:val="0"/>
        <w:rPr>
          <w:rFonts w:eastAsia="Calibri"/>
          <w:sz w:val="22"/>
          <w:szCs w:val="22"/>
        </w:rPr>
      </w:pPr>
    </w:p>
    <w:p w14:paraId="3B3408BD"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Vaistų negalima išmesti į kanalizaciją arba su buitinėmis atliekomis. Kaip išmesti nereikalingus vaistus, klauskite vaistininko. Šios priemonės padės apsaugoti aplinką.</w:t>
      </w:r>
    </w:p>
    <w:p w14:paraId="56401878" w14:textId="77777777" w:rsidR="00602606" w:rsidRDefault="00602606">
      <w:pPr>
        <w:widowControl w:val="0"/>
        <w:contextualSpacing/>
        <w:outlineLvl w:val="0"/>
        <w:rPr>
          <w:rFonts w:eastAsia="Calibri"/>
          <w:sz w:val="22"/>
          <w:szCs w:val="22"/>
        </w:rPr>
      </w:pPr>
    </w:p>
    <w:p w14:paraId="73F79D51" w14:textId="77777777" w:rsidR="00602606" w:rsidRDefault="00602606">
      <w:pPr>
        <w:widowControl w:val="0"/>
        <w:contextualSpacing/>
        <w:outlineLvl w:val="0"/>
        <w:rPr>
          <w:rFonts w:eastAsia="Calibri"/>
          <w:sz w:val="22"/>
          <w:szCs w:val="22"/>
        </w:rPr>
      </w:pPr>
    </w:p>
    <w:p w14:paraId="7D5B1193" w14:textId="77777777" w:rsidR="00602606" w:rsidRDefault="00604AEE">
      <w:pPr>
        <w:widowControl w:val="0"/>
        <w:ind w:left="567" w:hanging="567"/>
        <w:rPr>
          <w:rFonts w:asciiTheme="minorHAnsi" w:eastAsia="Calibri" w:hAnsiTheme="minorHAnsi" w:cstheme="minorBidi"/>
          <w:b/>
          <w:sz w:val="22"/>
          <w:szCs w:val="22"/>
          <w:lang w:val="lt-LT" w:eastAsia="en-US"/>
        </w:rPr>
      </w:pPr>
      <w:r>
        <w:rPr>
          <w:rFonts w:eastAsia="Calibri"/>
          <w:b/>
          <w:sz w:val="22"/>
          <w:szCs w:val="22"/>
        </w:rPr>
        <w:t>6.</w:t>
      </w:r>
      <w:r>
        <w:rPr>
          <w:rFonts w:eastAsia="Calibri"/>
          <w:b/>
          <w:sz w:val="22"/>
          <w:szCs w:val="22"/>
        </w:rPr>
        <w:tab/>
        <w:t>Pakuotės turinys ir kita informacija</w:t>
      </w:r>
    </w:p>
    <w:p w14:paraId="29BE3D00" w14:textId="77777777" w:rsidR="00602606" w:rsidRDefault="00602606">
      <w:pPr>
        <w:widowControl w:val="0"/>
        <w:contextualSpacing/>
        <w:outlineLvl w:val="0"/>
        <w:rPr>
          <w:rFonts w:eastAsia="Calibri"/>
          <w:sz w:val="22"/>
          <w:szCs w:val="22"/>
        </w:rPr>
      </w:pPr>
    </w:p>
    <w:p w14:paraId="0236E193" w14:textId="77777777" w:rsidR="00602606" w:rsidRDefault="00604AEE">
      <w:pPr>
        <w:widowControl w:val="0"/>
        <w:contextualSpacing/>
        <w:outlineLvl w:val="0"/>
        <w:rPr>
          <w:rFonts w:asciiTheme="minorHAnsi" w:eastAsia="Calibri" w:hAnsiTheme="minorHAnsi" w:cstheme="minorBidi"/>
          <w:b/>
          <w:sz w:val="22"/>
          <w:szCs w:val="22"/>
          <w:lang w:val="lt-LT" w:eastAsia="en-US"/>
        </w:rPr>
      </w:pPr>
      <w:r>
        <w:rPr>
          <w:rFonts w:eastAsia="Calibri"/>
          <w:b/>
          <w:sz w:val="22"/>
          <w:szCs w:val="22"/>
        </w:rPr>
        <w:t>Dutasteride/Tamsulosin Krka</w:t>
      </w:r>
      <w:r w:rsidRPr="001F276A">
        <w:rPr>
          <w:rFonts w:eastAsia="Calibri"/>
          <w:b/>
          <w:sz w:val="22"/>
        </w:rPr>
        <w:t xml:space="preserve"> sudėtis</w:t>
      </w:r>
    </w:p>
    <w:p w14:paraId="0E787D34" w14:textId="77777777" w:rsidR="00602606" w:rsidRDefault="00604AEE">
      <w:pPr>
        <w:widowControl w:val="0"/>
        <w:rPr>
          <w:rFonts w:asciiTheme="minorHAnsi" w:eastAsia="Calibri" w:hAnsiTheme="minorHAnsi" w:cstheme="minorBidi"/>
          <w:sz w:val="22"/>
          <w:szCs w:val="22"/>
          <w:lang w:val="lt-LT" w:eastAsia="en-US"/>
        </w:rPr>
      </w:pPr>
      <w:r>
        <w:rPr>
          <w:rFonts w:eastAsia="Calibri"/>
          <w:sz w:val="22"/>
          <w:szCs w:val="22"/>
        </w:rPr>
        <w:t xml:space="preserve">Veikliosios medžiagos yra dutasteridas ir tamsulozino hidrochloridas. Kiekvienoje </w:t>
      </w:r>
      <w:r w:rsidRPr="001F276A">
        <w:rPr>
          <w:rFonts w:eastAsia="Calibri"/>
          <w:sz w:val="22"/>
        </w:rPr>
        <w:t>kietojoje kapsulėje yra 0,5 mg dutasterido ir 0,4 mg tamsulozino hidrochlorido (atitinkančio 0,367 mg tamsulozino).</w:t>
      </w:r>
      <w:r>
        <w:rPr>
          <w:rFonts w:eastAsia="Calibri"/>
          <w:sz w:val="22"/>
          <w:szCs w:val="22"/>
        </w:rPr>
        <w:t xml:space="preserve"> Pagalbinės medžiagos:</w:t>
      </w:r>
    </w:p>
    <w:p w14:paraId="3F67DB3B" w14:textId="77777777" w:rsidR="00602606" w:rsidRDefault="00602606">
      <w:pPr>
        <w:widowControl w:val="0"/>
        <w:contextualSpacing/>
        <w:outlineLvl w:val="0"/>
        <w:rPr>
          <w:rFonts w:eastAsia="Calibri"/>
          <w:sz w:val="22"/>
          <w:szCs w:val="22"/>
          <w:u w:val="single"/>
        </w:rPr>
      </w:pPr>
    </w:p>
    <w:p w14:paraId="0E523EC7" w14:textId="77777777" w:rsidR="00602606" w:rsidRDefault="00604AEE">
      <w:pPr>
        <w:widowControl w:val="0"/>
        <w:contextualSpacing/>
        <w:outlineLvl w:val="0"/>
        <w:rPr>
          <w:rFonts w:asciiTheme="minorHAnsi" w:eastAsia="Calibri" w:hAnsiTheme="minorHAnsi" w:cstheme="minorBidi"/>
          <w:sz w:val="22"/>
          <w:szCs w:val="22"/>
          <w:u w:val="single"/>
          <w:lang w:val="lt-LT" w:eastAsia="en-US"/>
        </w:rPr>
      </w:pPr>
      <w:r>
        <w:rPr>
          <w:rFonts w:eastAsia="Calibri"/>
          <w:sz w:val="22"/>
          <w:szCs w:val="22"/>
          <w:u w:val="single"/>
        </w:rPr>
        <w:t>Kietosios kapsulės apvalkalas</w:t>
      </w:r>
    </w:p>
    <w:p w14:paraId="043F11B1"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Juodasis geležies oksidas (E172)</w:t>
      </w:r>
    </w:p>
    <w:p w14:paraId="02966C07"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Raudonasis geležies oksidas (E172)</w:t>
      </w:r>
    </w:p>
    <w:p w14:paraId="5FBAE8E9"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Titano dioksidas (E171)</w:t>
      </w:r>
    </w:p>
    <w:p w14:paraId="20861E79"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Geltonasis geležies oksidas (E172)</w:t>
      </w:r>
    </w:p>
    <w:p w14:paraId="544BBAAF"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Želatina</w:t>
      </w:r>
    </w:p>
    <w:p w14:paraId="7845A449" w14:textId="77777777" w:rsidR="00602606" w:rsidRDefault="00602606">
      <w:pPr>
        <w:widowControl w:val="0"/>
        <w:contextualSpacing/>
        <w:outlineLvl w:val="0"/>
        <w:rPr>
          <w:rFonts w:eastAsia="Calibri"/>
          <w:sz w:val="22"/>
          <w:szCs w:val="22"/>
        </w:rPr>
      </w:pPr>
    </w:p>
    <w:p w14:paraId="22BC871F" w14:textId="77777777" w:rsidR="00602606" w:rsidRDefault="00604AEE">
      <w:pPr>
        <w:widowControl w:val="0"/>
        <w:contextualSpacing/>
        <w:outlineLvl w:val="0"/>
        <w:rPr>
          <w:rFonts w:asciiTheme="minorHAnsi" w:eastAsia="Calibri" w:hAnsiTheme="minorHAnsi" w:cstheme="minorBidi"/>
          <w:sz w:val="22"/>
          <w:szCs w:val="22"/>
          <w:u w:val="single"/>
          <w:lang w:val="lt-LT" w:eastAsia="en-US"/>
        </w:rPr>
      </w:pPr>
      <w:r>
        <w:rPr>
          <w:rFonts w:eastAsia="Calibri"/>
          <w:sz w:val="22"/>
          <w:szCs w:val="22"/>
          <w:u w:val="single"/>
        </w:rPr>
        <w:t>Dutasterido minkštosios kapsulės turinys</w:t>
      </w:r>
    </w:p>
    <w:p w14:paraId="35987AD1"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Propilenglikolio monokaprilatas, II tipo</w:t>
      </w:r>
    </w:p>
    <w:p w14:paraId="35AC7380"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sz w:val="22"/>
          <w:szCs w:val="22"/>
        </w:rPr>
        <w:t>Butilhidroksitoluenas</w:t>
      </w:r>
      <w:r w:rsidRPr="001F276A">
        <w:rPr>
          <w:rFonts w:eastAsia="Calibri"/>
          <w:sz w:val="22"/>
        </w:rPr>
        <w:t xml:space="preserve"> (E321)</w:t>
      </w:r>
    </w:p>
    <w:p w14:paraId="33D7CB98" w14:textId="77777777" w:rsidR="00602606" w:rsidRDefault="00602606">
      <w:pPr>
        <w:widowControl w:val="0"/>
        <w:contextualSpacing/>
        <w:outlineLvl w:val="0"/>
        <w:rPr>
          <w:rFonts w:eastAsia="Calibri"/>
          <w:sz w:val="22"/>
          <w:szCs w:val="22"/>
        </w:rPr>
      </w:pPr>
    </w:p>
    <w:p w14:paraId="78AA54BE" w14:textId="77777777" w:rsidR="00602606" w:rsidRDefault="00604AEE">
      <w:pPr>
        <w:widowControl w:val="0"/>
        <w:contextualSpacing/>
        <w:outlineLvl w:val="0"/>
        <w:rPr>
          <w:rFonts w:asciiTheme="minorHAnsi" w:eastAsia="Calibri" w:hAnsiTheme="minorHAnsi" w:cstheme="minorBidi"/>
          <w:sz w:val="22"/>
          <w:szCs w:val="22"/>
          <w:u w:val="single"/>
          <w:lang w:val="lt-LT" w:eastAsia="en-US"/>
        </w:rPr>
      </w:pPr>
      <w:r>
        <w:rPr>
          <w:rFonts w:eastAsia="Calibri"/>
          <w:sz w:val="22"/>
          <w:szCs w:val="22"/>
          <w:u w:val="single"/>
        </w:rPr>
        <w:t>Minkštosios kapsulės apvalkalas</w:t>
      </w:r>
    </w:p>
    <w:p w14:paraId="3981E4A6"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Želatina</w:t>
      </w:r>
    </w:p>
    <w:p w14:paraId="472D963C"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Glicerolis</w:t>
      </w:r>
    </w:p>
    <w:p w14:paraId="3AE96526"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Titano dioksidas (E171)</w:t>
      </w:r>
    </w:p>
    <w:p w14:paraId="26DA251E"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Vidutinės grandinės trigliceridai</w:t>
      </w:r>
    </w:p>
    <w:p w14:paraId="19CEC039" w14:textId="77777777" w:rsidR="00602606" w:rsidRDefault="00604AEE">
      <w:pPr>
        <w:widowControl w:val="0"/>
        <w:contextualSpacing/>
        <w:outlineLvl w:val="0"/>
        <w:rPr>
          <w:rFonts w:eastAsia="Calibri"/>
          <w:sz w:val="22"/>
          <w:szCs w:val="22"/>
        </w:rPr>
      </w:pPr>
      <w:r>
        <w:rPr>
          <w:rFonts w:eastAsia="Calibri"/>
          <w:sz w:val="22"/>
          <w:szCs w:val="22"/>
        </w:rPr>
        <w:t xml:space="preserve">Lecitinas (sudėtyje </w:t>
      </w:r>
      <w:r w:rsidRPr="001F276A">
        <w:rPr>
          <w:rFonts w:eastAsia="Calibri"/>
          <w:sz w:val="22"/>
        </w:rPr>
        <w:t>gali būti sojų aliejaus) (žr. 2 skyrių)</w:t>
      </w:r>
    </w:p>
    <w:p w14:paraId="2BB119C2" w14:textId="77777777" w:rsidR="00602606" w:rsidRDefault="00602606">
      <w:pPr>
        <w:widowControl w:val="0"/>
        <w:contextualSpacing/>
        <w:outlineLvl w:val="0"/>
        <w:rPr>
          <w:rFonts w:eastAsia="Calibri"/>
          <w:sz w:val="22"/>
          <w:szCs w:val="22"/>
        </w:rPr>
      </w:pPr>
    </w:p>
    <w:p w14:paraId="4435F327" w14:textId="77777777" w:rsidR="00602606" w:rsidRDefault="00604AEE">
      <w:pPr>
        <w:widowControl w:val="0"/>
        <w:contextualSpacing/>
        <w:outlineLvl w:val="0"/>
        <w:rPr>
          <w:rFonts w:asciiTheme="minorHAnsi" w:eastAsia="Calibri" w:hAnsiTheme="minorHAnsi" w:cstheme="minorBidi"/>
          <w:sz w:val="22"/>
          <w:szCs w:val="22"/>
          <w:u w:val="single"/>
          <w:lang w:val="lt-LT" w:eastAsia="en-US"/>
        </w:rPr>
      </w:pPr>
      <w:r>
        <w:rPr>
          <w:rFonts w:eastAsia="Calibri"/>
          <w:sz w:val="22"/>
          <w:szCs w:val="22"/>
          <w:u w:val="single"/>
        </w:rPr>
        <w:t>Tamsulozino granulės</w:t>
      </w:r>
    </w:p>
    <w:p w14:paraId="64BE0A8A"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Metakrilo rūgšties ir etilakrilato 1:1 kopolimero 30 % dispersija (sudėtyje yra natrio laurilsulfato</w:t>
      </w:r>
      <w:r w:rsidRPr="001F276A">
        <w:rPr>
          <w:rFonts w:eastAsia="Calibri"/>
          <w:sz w:val="22"/>
        </w:rPr>
        <w:t>, polisorbato 80)</w:t>
      </w:r>
    </w:p>
    <w:p w14:paraId="69A73522"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Mikrokristalinė celiuliozė</w:t>
      </w:r>
    </w:p>
    <w:p w14:paraId="4EAE53DC"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 xml:space="preserve">Dibutilo </w:t>
      </w:r>
      <w:r w:rsidRPr="001F276A">
        <w:rPr>
          <w:rFonts w:eastAsia="Calibri"/>
          <w:sz w:val="22"/>
        </w:rPr>
        <w:t>sebakatas</w:t>
      </w:r>
    </w:p>
    <w:p w14:paraId="10D3F817"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Polisorbatas 80</w:t>
      </w:r>
    </w:p>
    <w:p w14:paraId="2EE143AD"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Hidratuotas koloidinis silicio dioksidas</w:t>
      </w:r>
    </w:p>
    <w:p w14:paraId="12EE1BF7"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Kalcio stearatas</w:t>
      </w:r>
    </w:p>
    <w:p w14:paraId="53B39D95" w14:textId="77777777" w:rsidR="00602606" w:rsidRDefault="00602606">
      <w:pPr>
        <w:widowControl w:val="0"/>
        <w:contextualSpacing/>
        <w:outlineLvl w:val="0"/>
        <w:rPr>
          <w:rFonts w:eastAsia="Calibri"/>
          <w:sz w:val="22"/>
          <w:szCs w:val="22"/>
        </w:rPr>
      </w:pPr>
    </w:p>
    <w:p w14:paraId="2CB14894" w14:textId="77777777" w:rsidR="00602606" w:rsidRDefault="00604AEE">
      <w:pPr>
        <w:widowControl w:val="0"/>
        <w:contextualSpacing/>
        <w:outlineLvl w:val="0"/>
        <w:rPr>
          <w:rFonts w:asciiTheme="minorHAnsi" w:eastAsia="Calibri" w:hAnsiTheme="minorHAnsi" w:cstheme="minorBidi"/>
          <w:sz w:val="22"/>
          <w:szCs w:val="22"/>
          <w:u w:val="single"/>
          <w:lang w:val="lt-LT" w:eastAsia="en-US"/>
        </w:rPr>
      </w:pPr>
      <w:r>
        <w:rPr>
          <w:rFonts w:eastAsia="Calibri"/>
          <w:sz w:val="22"/>
          <w:szCs w:val="22"/>
          <w:u w:val="single"/>
        </w:rPr>
        <w:t>Juodas rašalas</w:t>
      </w:r>
    </w:p>
    <w:p w14:paraId="283A1B60"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Šelakas (E904)</w:t>
      </w:r>
    </w:p>
    <w:p w14:paraId="583901E6"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Juodasis geležies oksidas (E172)</w:t>
      </w:r>
    </w:p>
    <w:p w14:paraId="1E0AAE19"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Propilenglikolis (E1520)</w:t>
      </w:r>
    </w:p>
    <w:p w14:paraId="1AC5AAE2"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Koncentruotas amoniako tirpalas</w:t>
      </w:r>
      <w:r w:rsidRPr="001F276A">
        <w:rPr>
          <w:rFonts w:eastAsia="Calibri"/>
          <w:sz w:val="22"/>
        </w:rPr>
        <w:t xml:space="preserve"> (E527)</w:t>
      </w:r>
    </w:p>
    <w:p w14:paraId="2C39639D"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Kalio hidroksidas (E525)</w:t>
      </w:r>
    </w:p>
    <w:p w14:paraId="30AF4AC3" w14:textId="77777777" w:rsidR="00602606" w:rsidRDefault="00602606">
      <w:pPr>
        <w:widowControl w:val="0"/>
        <w:contextualSpacing/>
        <w:outlineLvl w:val="0"/>
        <w:rPr>
          <w:rFonts w:eastAsia="Calibri"/>
          <w:sz w:val="22"/>
          <w:szCs w:val="22"/>
        </w:rPr>
      </w:pPr>
    </w:p>
    <w:p w14:paraId="4FD3F4AE"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Žr. 2 skyrių ,,Dutasteride/Tamsulosin Krka</w:t>
      </w:r>
      <w:r w:rsidRPr="001F276A">
        <w:rPr>
          <w:rFonts w:eastAsia="Calibri"/>
          <w:sz w:val="22"/>
        </w:rPr>
        <w:t xml:space="preserve"> sudėtyje yra</w:t>
      </w:r>
      <w:r w:rsidRPr="001F276A">
        <w:rPr>
          <w:sz w:val="22"/>
        </w:rPr>
        <w:t xml:space="preserve"> </w:t>
      </w:r>
      <w:r w:rsidRPr="001F276A">
        <w:rPr>
          <w:rFonts w:eastAsia="Calibri"/>
          <w:sz w:val="22"/>
        </w:rPr>
        <w:t>sojų lecitino ir propilenglikolio“</w:t>
      </w:r>
    </w:p>
    <w:p w14:paraId="115E88E3" w14:textId="77777777" w:rsidR="00602606" w:rsidRDefault="00602606">
      <w:pPr>
        <w:widowControl w:val="0"/>
        <w:contextualSpacing/>
        <w:outlineLvl w:val="0"/>
        <w:rPr>
          <w:rFonts w:eastAsia="Calibri"/>
          <w:sz w:val="22"/>
          <w:szCs w:val="22"/>
        </w:rPr>
      </w:pPr>
    </w:p>
    <w:p w14:paraId="72B61F7D" w14:textId="77777777" w:rsidR="00602606" w:rsidRDefault="00604AEE">
      <w:pPr>
        <w:widowControl w:val="0"/>
        <w:rPr>
          <w:rFonts w:asciiTheme="minorHAnsi" w:eastAsia="Calibri" w:hAnsiTheme="minorHAnsi" w:cstheme="minorBidi"/>
          <w:b/>
          <w:sz w:val="22"/>
          <w:szCs w:val="22"/>
          <w:lang w:val="lt-LT" w:eastAsia="en-US"/>
        </w:rPr>
      </w:pPr>
      <w:r>
        <w:rPr>
          <w:rFonts w:eastAsia="Calibri"/>
          <w:b/>
          <w:sz w:val="22"/>
          <w:szCs w:val="22"/>
        </w:rPr>
        <w:t>Dutasteride/Tamsulosin Krka išvaizda ir kiekis pakuotėje</w:t>
      </w:r>
    </w:p>
    <w:p w14:paraId="4FE2F2FF"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Šis vaistas yra pailg</w:t>
      </w:r>
      <w:r w:rsidRPr="001F276A">
        <w:rPr>
          <w:rFonts w:eastAsia="Calibri"/>
          <w:sz w:val="22"/>
        </w:rPr>
        <w:t>a</w:t>
      </w:r>
      <w:r>
        <w:rPr>
          <w:rFonts w:eastAsia="Calibri"/>
          <w:sz w:val="22"/>
          <w:szCs w:val="22"/>
        </w:rPr>
        <w:t>, kietoji želatinos kapsulė</w:t>
      </w:r>
      <w:r w:rsidRPr="001F276A">
        <w:rPr>
          <w:rFonts w:eastAsia="Calibri"/>
          <w:sz w:val="22"/>
        </w:rPr>
        <w:t>, maždaug 24,2 mm x</w:t>
      </w:r>
      <w:r>
        <w:rPr>
          <w:rFonts w:eastAsia="Calibri"/>
          <w:sz w:val="22"/>
          <w:szCs w:val="22"/>
        </w:rPr>
        <w:t> 7,</w:t>
      </w:r>
      <w:r w:rsidRPr="001F276A">
        <w:rPr>
          <w:rFonts w:eastAsia="Calibri"/>
          <w:sz w:val="22"/>
        </w:rPr>
        <w:t>7 mm, kurios korpusas yra ruda</w:t>
      </w:r>
      <w:r>
        <w:rPr>
          <w:rFonts w:eastAsia="Calibri"/>
          <w:sz w:val="22"/>
          <w:szCs w:val="22"/>
        </w:rPr>
        <w:t xml:space="preserve">s, o dangtelis </w:t>
      </w:r>
      <w:r w:rsidRPr="001F276A">
        <w:rPr>
          <w:rFonts w:eastAsia="Calibri"/>
          <w:sz w:val="22"/>
        </w:rPr>
        <w:t>– smėlio spalvos. Ant dangtelio juodu rašalu užrašyta ,,C001“.</w:t>
      </w:r>
    </w:p>
    <w:p w14:paraId="509112C0" w14:textId="77777777" w:rsidR="00602606" w:rsidRDefault="00602606">
      <w:pPr>
        <w:widowControl w:val="0"/>
        <w:contextualSpacing/>
        <w:outlineLvl w:val="0"/>
        <w:rPr>
          <w:rFonts w:eastAsia="Calibri"/>
          <w:sz w:val="22"/>
          <w:szCs w:val="22"/>
        </w:rPr>
      </w:pPr>
    </w:p>
    <w:p w14:paraId="68894217"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Kiekvienoje kietojoj</w:t>
      </w:r>
      <w:r w:rsidRPr="001F276A">
        <w:rPr>
          <w:rFonts w:eastAsia="Calibri"/>
          <w:sz w:val="22"/>
        </w:rPr>
        <w:t>e kapsulėje yra tamsulozino hidrochlorido modifikuoto atpalaidavimo granulės ir viena dutasterido minkštoji želatinos kapsulė.</w:t>
      </w:r>
    </w:p>
    <w:p w14:paraId="74B94D3C" w14:textId="77777777" w:rsidR="00602606" w:rsidRDefault="00602606">
      <w:pPr>
        <w:widowControl w:val="0"/>
        <w:contextualSpacing/>
        <w:outlineLvl w:val="0"/>
        <w:rPr>
          <w:rFonts w:eastAsia="Calibri"/>
          <w:sz w:val="22"/>
          <w:szCs w:val="22"/>
        </w:rPr>
      </w:pPr>
    </w:p>
    <w:p w14:paraId="03D4F1AF"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Tiekiamos pakuotėmis po 7, 30 arba 90 kapsulių.</w:t>
      </w:r>
    </w:p>
    <w:p w14:paraId="1B4875DB" w14:textId="77777777" w:rsidR="00602606" w:rsidRDefault="00602606">
      <w:pPr>
        <w:widowControl w:val="0"/>
        <w:contextualSpacing/>
        <w:outlineLvl w:val="0"/>
        <w:rPr>
          <w:rFonts w:eastAsia="Calibri"/>
          <w:sz w:val="22"/>
          <w:szCs w:val="22"/>
        </w:rPr>
      </w:pPr>
    </w:p>
    <w:p w14:paraId="45DE1DA3"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Gali būti tiekiamos ne visų dydžių pakuotės.</w:t>
      </w:r>
    </w:p>
    <w:p w14:paraId="7523D033" w14:textId="77777777" w:rsidR="00602606" w:rsidRDefault="00602606">
      <w:pPr>
        <w:widowControl w:val="0"/>
        <w:contextualSpacing/>
        <w:outlineLvl w:val="0"/>
        <w:rPr>
          <w:rFonts w:eastAsia="Calibri"/>
          <w:sz w:val="22"/>
          <w:szCs w:val="22"/>
        </w:rPr>
      </w:pPr>
    </w:p>
    <w:p w14:paraId="79F73A7F" w14:textId="77777777" w:rsidR="00602606" w:rsidRDefault="00604AEE">
      <w:pPr>
        <w:widowControl w:val="0"/>
        <w:contextualSpacing/>
        <w:outlineLvl w:val="0"/>
        <w:rPr>
          <w:rFonts w:asciiTheme="minorHAnsi" w:eastAsia="Calibri" w:hAnsiTheme="minorHAnsi" w:cstheme="minorBidi"/>
          <w:b/>
          <w:sz w:val="22"/>
          <w:szCs w:val="22"/>
          <w:lang w:val="lt-LT" w:eastAsia="en-US"/>
        </w:rPr>
      </w:pPr>
      <w:r>
        <w:rPr>
          <w:rFonts w:eastAsia="Calibri"/>
          <w:b/>
          <w:sz w:val="22"/>
          <w:szCs w:val="22"/>
        </w:rPr>
        <w:t>Registruotojas</w:t>
      </w:r>
    </w:p>
    <w:p w14:paraId="1C8C11A6"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KRKA, d.d., Novo mesto</w:t>
      </w:r>
    </w:p>
    <w:p w14:paraId="448DDC5B"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Šmarješka cesta 6</w:t>
      </w:r>
    </w:p>
    <w:p w14:paraId="114B5ABD"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8501 Novo mesto</w:t>
      </w:r>
    </w:p>
    <w:p w14:paraId="12E4C9AC"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Slovėnija</w:t>
      </w:r>
    </w:p>
    <w:p w14:paraId="6E198A1F" w14:textId="77777777" w:rsidR="00602606" w:rsidRDefault="00602606">
      <w:pPr>
        <w:widowControl w:val="0"/>
        <w:contextualSpacing/>
        <w:outlineLvl w:val="0"/>
        <w:rPr>
          <w:rFonts w:eastAsia="Calibri"/>
          <w:sz w:val="22"/>
          <w:szCs w:val="22"/>
        </w:rPr>
      </w:pPr>
    </w:p>
    <w:p w14:paraId="64D4C1C4" w14:textId="77777777" w:rsidR="00602606" w:rsidRDefault="00604AEE">
      <w:pPr>
        <w:widowControl w:val="0"/>
        <w:contextualSpacing/>
        <w:outlineLvl w:val="0"/>
        <w:rPr>
          <w:rFonts w:asciiTheme="minorHAnsi" w:eastAsia="Calibri" w:hAnsiTheme="minorHAnsi" w:cstheme="minorBidi"/>
          <w:b/>
          <w:sz w:val="22"/>
          <w:szCs w:val="22"/>
          <w:lang w:val="lt-LT" w:eastAsia="en-US"/>
        </w:rPr>
      </w:pPr>
      <w:r>
        <w:rPr>
          <w:rFonts w:eastAsia="Calibri"/>
          <w:b/>
          <w:sz w:val="22"/>
          <w:szCs w:val="22"/>
        </w:rPr>
        <w:t>Gamintojas</w:t>
      </w:r>
    </w:p>
    <w:p w14:paraId="511A7BCE"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Laboratorios Leon Farma</w:t>
      </w:r>
      <w:r w:rsidRPr="001F276A">
        <w:rPr>
          <w:rFonts w:eastAsia="Calibri"/>
          <w:sz w:val="22"/>
        </w:rPr>
        <w:t>, SA</w:t>
      </w:r>
    </w:p>
    <w:p w14:paraId="000C747E"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 xml:space="preserve">Calle La Vallina, </w:t>
      </w:r>
      <w:r w:rsidRPr="001F276A">
        <w:rPr>
          <w:rFonts w:eastAsia="Calibri"/>
          <w:sz w:val="22"/>
        </w:rPr>
        <w:t>s/n</w:t>
      </w:r>
    </w:p>
    <w:p w14:paraId="78DDB367"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Polígono Industrial Navatejera</w:t>
      </w:r>
    </w:p>
    <w:p w14:paraId="6C386802" w14:textId="5208703A"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 xml:space="preserve">24193 Navatejera, </w:t>
      </w:r>
      <w:r w:rsidRPr="001F276A">
        <w:rPr>
          <w:rFonts w:eastAsia="Calibri"/>
          <w:sz w:val="22"/>
        </w:rPr>
        <w:t>León</w:t>
      </w:r>
    </w:p>
    <w:p w14:paraId="4AFB0A70"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Ispanija</w:t>
      </w:r>
    </w:p>
    <w:p w14:paraId="1BCC5251" w14:textId="77777777" w:rsidR="00602606" w:rsidRDefault="00602606">
      <w:pPr>
        <w:widowControl w:val="0"/>
        <w:contextualSpacing/>
        <w:outlineLvl w:val="0"/>
        <w:rPr>
          <w:rFonts w:eastAsia="Calibri"/>
          <w:sz w:val="22"/>
          <w:szCs w:val="22"/>
        </w:rPr>
      </w:pPr>
    </w:p>
    <w:p w14:paraId="087EA8EC"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rFonts w:eastAsia="Calibri"/>
          <w:sz w:val="22"/>
          <w:szCs w:val="22"/>
        </w:rPr>
        <w:t>Jeigu apie šį vaistą norite sužinoti daugiau, kreipkitės į vietinį registruotojo atstovą.</w:t>
      </w:r>
    </w:p>
    <w:p w14:paraId="7E2321C0" w14:textId="77777777" w:rsidR="00602606" w:rsidRDefault="00604AEE">
      <w:pPr>
        <w:widowControl w:val="0"/>
        <w:rPr>
          <w:rFonts w:asciiTheme="minorHAnsi" w:eastAsiaTheme="minorHAnsi" w:hAnsiTheme="minorHAnsi" w:cstheme="minorBidi"/>
          <w:sz w:val="22"/>
          <w:szCs w:val="22"/>
          <w:lang w:val="lt-LT" w:eastAsia="en-US"/>
        </w:rPr>
      </w:pPr>
      <w:r>
        <w:rPr>
          <w:sz w:val="22"/>
          <w:szCs w:val="22"/>
        </w:rPr>
        <w:t>UAB KRKA Lietuva</w:t>
      </w:r>
    </w:p>
    <w:p w14:paraId="24D2AF8C" w14:textId="77777777" w:rsidR="00602606" w:rsidRDefault="00604AEE">
      <w:pPr>
        <w:widowControl w:val="0"/>
        <w:rPr>
          <w:rFonts w:asciiTheme="minorHAnsi" w:eastAsiaTheme="minorHAnsi" w:hAnsiTheme="minorHAnsi" w:cstheme="minorBidi"/>
          <w:sz w:val="22"/>
          <w:szCs w:val="22"/>
          <w:lang w:val="lt-LT" w:eastAsia="en-US"/>
        </w:rPr>
      </w:pPr>
      <w:r>
        <w:rPr>
          <w:sz w:val="22"/>
          <w:szCs w:val="22"/>
        </w:rPr>
        <w:t>Senasis Ukmergės kelias 4,</w:t>
      </w:r>
    </w:p>
    <w:p w14:paraId="41A55DCF" w14:textId="77777777" w:rsidR="00602606" w:rsidRDefault="00604AEE">
      <w:pPr>
        <w:widowControl w:val="0"/>
        <w:rPr>
          <w:rFonts w:asciiTheme="minorHAnsi" w:eastAsiaTheme="minorHAnsi" w:hAnsiTheme="minorHAnsi" w:cstheme="minorBidi"/>
          <w:sz w:val="22"/>
          <w:szCs w:val="22"/>
          <w:lang w:val="lt-LT" w:eastAsia="en-US"/>
        </w:rPr>
      </w:pPr>
      <w:r>
        <w:rPr>
          <w:sz w:val="22"/>
          <w:szCs w:val="22"/>
        </w:rPr>
        <w:t>Užubalių km.,Vilniaus r.</w:t>
      </w:r>
    </w:p>
    <w:p w14:paraId="000CA0C6" w14:textId="77777777" w:rsidR="00602606" w:rsidRDefault="00604AEE">
      <w:pPr>
        <w:widowControl w:val="0"/>
        <w:rPr>
          <w:rFonts w:asciiTheme="minorHAnsi" w:eastAsiaTheme="minorHAnsi" w:hAnsiTheme="minorHAnsi" w:cstheme="minorBidi"/>
          <w:sz w:val="22"/>
          <w:szCs w:val="22"/>
          <w:lang w:val="lt-LT" w:eastAsia="en-US"/>
        </w:rPr>
      </w:pPr>
      <w:r>
        <w:rPr>
          <w:sz w:val="22"/>
          <w:szCs w:val="22"/>
        </w:rPr>
        <w:t>LT - 14013</w:t>
      </w:r>
    </w:p>
    <w:p w14:paraId="7F8085D9" w14:textId="77777777" w:rsidR="00602606" w:rsidRDefault="00604AEE">
      <w:pPr>
        <w:widowControl w:val="0"/>
        <w:contextualSpacing/>
        <w:outlineLvl w:val="0"/>
        <w:rPr>
          <w:rFonts w:asciiTheme="minorHAnsi" w:eastAsia="Calibri" w:hAnsiTheme="minorHAnsi" w:cstheme="minorBidi"/>
          <w:sz w:val="22"/>
          <w:szCs w:val="22"/>
          <w:lang w:val="lt-LT" w:eastAsia="en-US"/>
        </w:rPr>
      </w:pPr>
      <w:r>
        <w:rPr>
          <w:sz w:val="22"/>
          <w:szCs w:val="22"/>
        </w:rPr>
        <w:t>Tel. + 370 5 236 27 40</w:t>
      </w:r>
    </w:p>
    <w:tbl>
      <w:tblPr>
        <w:tblW w:w="4678" w:type="dxa"/>
        <w:tblInd w:w="-34" w:type="dxa"/>
        <w:tblLayout w:type="fixed"/>
        <w:tblLook w:val="0000" w:firstRow="0" w:lastRow="0" w:firstColumn="0" w:lastColumn="0" w:noHBand="0" w:noVBand="0"/>
      </w:tblPr>
      <w:tblGrid>
        <w:gridCol w:w="4678"/>
      </w:tblGrid>
      <w:tr w:rsidR="00602606" w14:paraId="7207FDE9" w14:textId="77777777">
        <w:tc>
          <w:tcPr>
            <w:tcW w:w="4678" w:type="dxa"/>
          </w:tcPr>
          <w:p w14:paraId="009BBF56" w14:textId="77777777" w:rsidR="00602606" w:rsidRDefault="00602606">
            <w:pPr>
              <w:widowControl w:val="0"/>
              <w:contextualSpacing/>
              <w:outlineLvl w:val="0"/>
              <w:rPr>
                <w:rFonts w:eastAsia="Calibri"/>
                <w:sz w:val="22"/>
                <w:szCs w:val="22"/>
              </w:rPr>
            </w:pPr>
          </w:p>
        </w:tc>
      </w:tr>
    </w:tbl>
    <w:p w14:paraId="37A4D246" w14:textId="77777777" w:rsidR="00602606" w:rsidRDefault="00604AEE">
      <w:pPr>
        <w:widowControl w:val="0"/>
        <w:contextualSpacing/>
        <w:outlineLvl w:val="0"/>
        <w:rPr>
          <w:rFonts w:asciiTheme="minorHAnsi" w:eastAsia="Calibri" w:hAnsiTheme="minorHAnsi" w:cstheme="minorBidi"/>
          <w:b/>
          <w:sz w:val="22"/>
          <w:szCs w:val="22"/>
          <w:lang w:val="lt-LT" w:eastAsia="en-US"/>
        </w:rPr>
      </w:pPr>
      <w:r>
        <w:rPr>
          <w:rFonts w:eastAsia="Calibri"/>
          <w:b/>
          <w:sz w:val="22"/>
          <w:szCs w:val="22"/>
        </w:rPr>
        <w:t>Šis vaistas EEE valstybėse narėse registruotas tokiais pavadinimais:</w:t>
      </w:r>
    </w:p>
    <w:p w14:paraId="4923ABC2" w14:textId="77777777" w:rsidR="00602606" w:rsidRDefault="00602606">
      <w:pPr>
        <w:widowControl w:val="0"/>
        <w:contextualSpacing/>
        <w:outlineLvl w:val="0"/>
        <w:rPr>
          <w:rFonts w:eastAsia="Calibri"/>
          <w:sz w:val="22"/>
          <w:szCs w:val="22"/>
        </w:rPr>
      </w:pPr>
    </w:p>
    <w:tbl>
      <w:tblPr>
        <w:tblW w:w="71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4417"/>
      </w:tblGrid>
      <w:tr w:rsidR="00602606" w14:paraId="0F78266A" w14:textId="77777777">
        <w:tc>
          <w:tcPr>
            <w:tcW w:w="2700" w:type="dxa"/>
            <w:tcBorders>
              <w:top w:val="single" w:sz="4" w:space="0" w:color="auto"/>
              <w:left w:val="single" w:sz="4" w:space="0" w:color="auto"/>
              <w:bottom w:val="single" w:sz="4" w:space="0" w:color="auto"/>
              <w:right w:val="single" w:sz="4" w:space="0" w:color="auto"/>
            </w:tcBorders>
          </w:tcPr>
          <w:p w14:paraId="788113A1" w14:textId="77777777" w:rsidR="00602606" w:rsidRDefault="00604AEE">
            <w:pPr>
              <w:widowControl w:val="0"/>
              <w:numPr>
                <w:ilvl w:val="12"/>
                <w:numId w:val="0"/>
              </w:numPr>
              <w:ind w:right="-2"/>
              <w:rPr>
                <w:rFonts w:eastAsia="Calibri"/>
                <w:sz w:val="22"/>
                <w:szCs w:val="22"/>
              </w:rPr>
            </w:pPr>
            <w:r>
              <w:rPr>
                <w:rFonts w:eastAsia="Calibri"/>
                <w:sz w:val="22"/>
                <w:szCs w:val="22"/>
              </w:rPr>
              <w:t>Danija, Suomija, Islandija</w:t>
            </w:r>
          </w:p>
        </w:tc>
        <w:tc>
          <w:tcPr>
            <w:tcW w:w="4417" w:type="dxa"/>
            <w:tcBorders>
              <w:top w:val="single" w:sz="4" w:space="0" w:color="auto"/>
              <w:left w:val="single" w:sz="4" w:space="0" w:color="auto"/>
              <w:bottom w:val="single" w:sz="4" w:space="0" w:color="auto"/>
              <w:right w:val="single" w:sz="4" w:space="0" w:color="auto"/>
            </w:tcBorders>
          </w:tcPr>
          <w:p w14:paraId="0ADB05BF" w14:textId="77777777" w:rsidR="00602606" w:rsidRDefault="00604AEE">
            <w:pPr>
              <w:widowControl w:val="0"/>
              <w:numPr>
                <w:ilvl w:val="12"/>
                <w:numId w:val="0"/>
              </w:numPr>
              <w:ind w:right="-2"/>
              <w:rPr>
                <w:rFonts w:asciiTheme="minorHAnsi" w:eastAsia="Calibri" w:hAnsiTheme="minorHAnsi" w:cstheme="minorBidi"/>
                <w:sz w:val="22"/>
                <w:szCs w:val="22"/>
                <w:lang w:val="lt-LT" w:eastAsia="en-US"/>
              </w:rPr>
            </w:pPr>
            <w:r>
              <w:rPr>
                <w:rFonts w:eastAsia="Calibri"/>
                <w:sz w:val="22"/>
                <w:szCs w:val="22"/>
              </w:rPr>
              <w:t>Dutasterid/Tamsulosin Krka</w:t>
            </w:r>
          </w:p>
        </w:tc>
      </w:tr>
      <w:tr w:rsidR="00602606" w14:paraId="5AD43DCF" w14:textId="77777777">
        <w:tc>
          <w:tcPr>
            <w:tcW w:w="2700" w:type="dxa"/>
            <w:tcBorders>
              <w:top w:val="single" w:sz="4" w:space="0" w:color="auto"/>
              <w:left w:val="single" w:sz="4" w:space="0" w:color="auto"/>
              <w:bottom w:val="single" w:sz="4" w:space="0" w:color="auto"/>
              <w:right w:val="single" w:sz="4" w:space="0" w:color="auto"/>
            </w:tcBorders>
          </w:tcPr>
          <w:p w14:paraId="0F666290" w14:textId="77777777" w:rsidR="00602606" w:rsidRDefault="00604AEE">
            <w:pPr>
              <w:widowControl w:val="0"/>
              <w:numPr>
                <w:ilvl w:val="12"/>
                <w:numId w:val="0"/>
              </w:numPr>
              <w:ind w:right="-2"/>
              <w:rPr>
                <w:rFonts w:eastAsia="Calibri"/>
                <w:sz w:val="22"/>
                <w:szCs w:val="22"/>
              </w:rPr>
            </w:pPr>
            <w:r>
              <w:rPr>
                <w:rFonts w:eastAsia="Calibri"/>
                <w:sz w:val="22"/>
                <w:szCs w:val="22"/>
              </w:rPr>
              <w:t>Kroatija, Slovėnija</w:t>
            </w:r>
          </w:p>
        </w:tc>
        <w:tc>
          <w:tcPr>
            <w:tcW w:w="4417" w:type="dxa"/>
            <w:tcBorders>
              <w:top w:val="single" w:sz="4" w:space="0" w:color="auto"/>
              <w:left w:val="single" w:sz="4" w:space="0" w:color="auto"/>
              <w:bottom w:val="single" w:sz="4" w:space="0" w:color="auto"/>
              <w:right w:val="single" w:sz="4" w:space="0" w:color="auto"/>
            </w:tcBorders>
          </w:tcPr>
          <w:p w14:paraId="65DFEEAD" w14:textId="77777777" w:rsidR="00602606" w:rsidRDefault="00604AEE">
            <w:pPr>
              <w:widowControl w:val="0"/>
              <w:numPr>
                <w:ilvl w:val="12"/>
                <w:numId w:val="0"/>
              </w:numPr>
              <w:ind w:right="-2"/>
              <w:rPr>
                <w:rFonts w:eastAsia="Calibri"/>
                <w:sz w:val="22"/>
                <w:szCs w:val="22"/>
                <w:lang w:val="en-GB"/>
              </w:rPr>
            </w:pPr>
            <w:r>
              <w:rPr>
                <w:rFonts w:eastAsia="Calibri"/>
                <w:sz w:val="22"/>
                <w:szCs w:val="22"/>
                <w:lang w:val="en-GB"/>
              </w:rPr>
              <w:t>Dutamyz</w:t>
            </w:r>
          </w:p>
        </w:tc>
      </w:tr>
      <w:tr w:rsidR="00602606" w14:paraId="62449E14" w14:textId="77777777">
        <w:tc>
          <w:tcPr>
            <w:tcW w:w="2700" w:type="dxa"/>
            <w:tcBorders>
              <w:top w:val="single" w:sz="4" w:space="0" w:color="auto"/>
              <w:left w:val="single" w:sz="4" w:space="0" w:color="auto"/>
              <w:bottom w:val="single" w:sz="4" w:space="0" w:color="auto"/>
              <w:right w:val="single" w:sz="4" w:space="0" w:color="auto"/>
            </w:tcBorders>
          </w:tcPr>
          <w:p w14:paraId="1B541BAC" w14:textId="77777777" w:rsidR="00602606" w:rsidRDefault="00604AEE">
            <w:pPr>
              <w:widowControl w:val="0"/>
              <w:numPr>
                <w:ilvl w:val="12"/>
                <w:numId w:val="0"/>
              </w:numPr>
              <w:ind w:right="-2"/>
              <w:rPr>
                <w:rFonts w:eastAsia="Calibri"/>
                <w:sz w:val="22"/>
                <w:szCs w:val="22"/>
              </w:rPr>
            </w:pPr>
            <w:r>
              <w:rPr>
                <w:rFonts w:eastAsia="Calibri"/>
                <w:sz w:val="22"/>
                <w:szCs w:val="22"/>
              </w:rPr>
              <w:t>Estija, Vengrija</w:t>
            </w:r>
          </w:p>
        </w:tc>
        <w:tc>
          <w:tcPr>
            <w:tcW w:w="4417" w:type="dxa"/>
            <w:tcBorders>
              <w:top w:val="single" w:sz="4" w:space="0" w:color="auto"/>
              <w:left w:val="single" w:sz="4" w:space="0" w:color="auto"/>
              <w:bottom w:val="single" w:sz="4" w:space="0" w:color="auto"/>
              <w:right w:val="single" w:sz="4" w:space="0" w:color="auto"/>
            </w:tcBorders>
          </w:tcPr>
          <w:p w14:paraId="04B6576D" w14:textId="77777777" w:rsidR="00602606" w:rsidRDefault="00604AEE">
            <w:pPr>
              <w:widowControl w:val="0"/>
              <w:numPr>
                <w:ilvl w:val="12"/>
                <w:numId w:val="0"/>
              </w:numPr>
              <w:ind w:right="-2"/>
              <w:rPr>
                <w:rFonts w:asciiTheme="minorHAnsi" w:eastAsia="Calibri" w:hAnsiTheme="minorHAnsi" w:cstheme="minorBidi"/>
                <w:sz w:val="22"/>
                <w:szCs w:val="22"/>
                <w:lang w:val="en-GB" w:eastAsia="en-US"/>
              </w:rPr>
            </w:pPr>
            <w:r>
              <w:rPr>
                <w:rFonts w:eastAsia="Calibri"/>
                <w:sz w:val="22"/>
                <w:szCs w:val="22"/>
                <w:lang w:val="en-GB"/>
              </w:rPr>
              <w:t>Tadusta</w:t>
            </w:r>
          </w:p>
        </w:tc>
      </w:tr>
      <w:tr w:rsidR="00602606" w14:paraId="798337D2" w14:textId="77777777">
        <w:tc>
          <w:tcPr>
            <w:tcW w:w="2700" w:type="dxa"/>
            <w:tcBorders>
              <w:top w:val="single" w:sz="4" w:space="0" w:color="auto"/>
              <w:left w:val="single" w:sz="4" w:space="0" w:color="auto"/>
              <w:bottom w:val="single" w:sz="4" w:space="0" w:color="auto"/>
              <w:right w:val="single" w:sz="4" w:space="0" w:color="auto"/>
            </w:tcBorders>
          </w:tcPr>
          <w:p w14:paraId="7D7148EB" w14:textId="77777777" w:rsidR="00602606" w:rsidRDefault="00604AEE">
            <w:pPr>
              <w:widowControl w:val="0"/>
              <w:numPr>
                <w:ilvl w:val="12"/>
                <w:numId w:val="0"/>
              </w:numPr>
              <w:ind w:right="-2"/>
              <w:rPr>
                <w:rFonts w:eastAsia="Calibri"/>
                <w:sz w:val="22"/>
                <w:szCs w:val="22"/>
              </w:rPr>
            </w:pPr>
            <w:r>
              <w:rPr>
                <w:rFonts w:eastAsia="Calibri"/>
                <w:sz w:val="22"/>
                <w:szCs w:val="22"/>
              </w:rPr>
              <w:t>Vokietija</w:t>
            </w:r>
          </w:p>
        </w:tc>
        <w:tc>
          <w:tcPr>
            <w:tcW w:w="4417" w:type="dxa"/>
            <w:tcBorders>
              <w:top w:val="single" w:sz="4" w:space="0" w:color="auto"/>
              <w:left w:val="single" w:sz="4" w:space="0" w:color="auto"/>
              <w:bottom w:val="single" w:sz="4" w:space="0" w:color="auto"/>
              <w:right w:val="single" w:sz="4" w:space="0" w:color="auto"/>
            </w:tcBorders>
          </w:tcPr>
          <w:p w14:paraId="7E074F89" w14:textId="77777777" w:rsidR="00602606" w:rsidRDefault="00604AEE">
            <w:pPr>
              <w:widowControl w:val="0"/>
              <w:numPr>
                <w:ilvl w:val="12"/>
                <w:numId w:val="0"/>
              </w:numPr>
              <w:ind w:right="-2"/>
              <w:rPr>
                <w:rFonts w:asciiTheme="minorHAnsi" w:eastAsia="Calibri" w:hAnsiTheme="minorHAnsi" w:cstheme="minorBidi"/>
                <w:sz w:val="22"/>
                <w:szCs w:val="22"/>
                <w:lang w:val="en-GB" w:eastAsia="en-US"/>
              </w:rPr>
            </w:pPr>
            <w:r>
              <w:rPr>
                <w:rFonts w:eastAsia="Calibri"/>
                <w:sz w:val="22"/>
                <w:szCs w:val="22"/>
                <w:lang w:val="en-GB"/>
              </w:rPr>
              <w:t>Dutastam</w:t>
            </w:r>
          </w:p>
        </w:tc>
      </w:tr>
      <w:tr w:rsidR="00602606" w14:paraId="66CF0BB5" w14:textId="77777777">
        <w:tc>
          <w:tcPr>
            <w:tcW w:w="2700" w:type="dxa"/>
            <w:tcBorders>
              <w:top w:val="single" w:sz="4" w:space="0" w:color="auto"/>
              <w:left w:val="single" w:sz="4" w:space="0" w:color="auto"/>
              <w:bottom w:val="single" w:sz="4" w:space="0" w:color="auto"/>
              <w:right w:val="single" w:sz="4" w:space="0" w:color="auto"/>
            </w:tcBorders>
          </w:tcPr>
          <w:p w14:paraId="3A0179A3" w14:textId="77777777" w:rsidR="00602606" w:rsidRDefault="00604AEE">
            <w:pPr>
              <w:widowControl w:val="0"/>
              <w:numPr>
                <w:ilvl w:val="12"/>
                <w:numId w:val="0"/>
              </w:numPr>
              <w:ind w:right="-2"/>
              <w:rPr>
                <w:rFonts w:eastAsia="Calibri"/>
                <w:sz w:val="22"/>
                <w:szCs w:val="22"/>
              </w:rPr>
            </w:pPr>
            <w:r>
              <w:rPr>
                <w:rFonts w:eastAsia="Calibri"/>
                <w:sz w:val="22"/>
                <w:szCs w:val="22"/>
              </w:rPr>
              <w:t>Ispanija</w:t>
            </w:r>
          </w:p>
        </w:tc>
        <w:tc>
          <w:tcPr>
            <w:tcW w:w="4417" w:type="dxa"/>
            <w:tcBorders>
              <w:top w:val="single" w:sz="4" w:space="0" w:color="auto"/>
              <w:left w:val="single" w:sz="4" w:space="0" w:color="auto"/>
              <w:bottom w:val="single" w:sz="4" w:space="0" w:color="auto"/>
              <w:right w:val="single" w:sz="4" w:space="0" w:color="auto"/>
            </w:tcBorders>
          </w:tcPr>
          <w:p w14:paraId="65A42FEA" w14:textId="77777777" w:rsidR="00602606" w:rsidRDefault="00604AEE">
            <w:pPr>
              <w:widowControl w:val="0"/>
              <w:numPr>
                <w:ilvl w:val="12"/>
                <w:numId w:val="0"/>
              </w:numPr>
              <w:ind w:right="-2"/>
              <w:rPr>
                <w:rFonts w:asciiTheme="minorHAnsi" w:eastAsia="Calibri" w:hAnsiTheme="minorHAnsi" w:cstheme="minorBidi"/>
                <w:sz w:val="22"/>
                <w:szCs w:val="22"/>
                <w:lang w:val="en-GB" w:eastAsia="en-US"/>
              </w:rPr>
            </w:pPr>
            <w:r>
              <w:rPr>
                <w:rFonts w:eastAsia="Calibri"/>
                <w:sz w:val="22"/>
                <w:szCs w:val="22"/>
                <w:lang w:val="en-GB"/>
              </w:rPr>
              <w:t>Dutasterida/Tamsulosina Krka</w:t>
            </w:r>
          </w:p>
        </w:tc>
      </w:tr>
      <w:tr w:rsidR="00602606" w14:paraId="568AAE59" w14:textId="77777777">
        <w:tc>
          <w:tcPr>
            <w:tcW w:w="2700" w:type="dxa"/>
            <w:tcBorders>
              <w:top w:val="single" w:sz="4" w:space="0" w:color="auto"/>
              <w:left w:val="single" w:sz="4" w:space="0" w:color="auto"/>
              <w:bottom w:val="single" w:sz="4" w:space="0" w:color="auto"/>
              <w:right w:val="single" w:sz="4" w:space="0" w:color="auto"/>
            </w:tcBorders>
          </w:tcPr>
          <w:p w14:paraId="30010794" w14:textId="77777777" w:rsidR="00602606" w:rsidRDefault="00604AEE">
            <w:pPr>
              <w:widowControl w:val="0"/>
              <w:numPr>
                <w:ilvl w:val="12"/>
                <w:numId w:val="0"/>
              </w:numPr>
              <w:ind w:right="-2"/>
              <w:rPr>
                <w:rFonts w:eastAsia="Calibri"/>
                <w:sz w:val="22"/>
                <w:szCs w:val="22"/>
              </w:rPr>
            </w:pPr>
            <w:r>
              <w:rPr>
                <w:rFonts w:eastAsia="Calibri"/>
                <w:sz w:val="22"/>
                <w:szCs w:val="22"/>
              </w:rPr>
              <w:t>Portugalija</w:t>
            </w:r>
          </w:p>
        </w:tc>
        <w:tc>
          <w:tcPr>
            <w:tcW w:w="4417" w:type="dxa"/>
            <w:tcBorders>
              <w:top w:val="single" w:sz="4" w:space="0" w:color="auto"/>
              <w:left w:val="single" w:sz="4" w:space="0" w:color="auto"/>
              <w:bottom w:val="single" w:sz="4" w:space="0" w:color="auto"/>
              <w:right w:val="single" w:sz="4" w:space="0" w:color="auto"/>
            </w:tcBorders>
          </w:tcPr>
          <w:p w14:paraId="328C9707" w14:textId="77777777" w:rsidR="00602606" w:rsidRDefault="00604AEE">
            <w:pPr>
              <w:widowControl w:val="0"/>
              <w:numPr>
                <w:ilvl w:val="12"/>
                <w:numId w:val="0"/>
              </w:numPr>
              <w:ind w:right="-2"/>
              <w:rPr>
                <w:rFonts w:asciiTheme="minorHAnsi" w:eastAsia="Calibri" w:hAnsiTheme="minorHAnsi" w:cstheme="minorBidi"/>
                <w:sz w:val="22"/>
                <w:szCs w:val="22"/>
                <w:lang w:val="en-GB" w:eastAsia="en-US"/>
              </w:rPr>
            </w:pPr>
            <w:r>
              <w:rPr>
                <w:rFonts w:eastAsia="Calibri"/>
                <w:sz w:val="22"/>
                <w:szCs w:val="22"/>
                <w:lang w:val="en-GB"/>
              </w:rPr>
              <w:t>Dutasterida + Tamsulosina TAD</w:t>
            </w:r>
          </w:p>
        </w:tc>
      </w:tr>
      <w:tr w:rsidR="00602606" w14:paraId="2405FF03" w14:textId="77777777">
        <w:tc>
          <w:tcPr>
            <w:tcW w:w="2700" w:type="dxa"/>
            <w:tcBorders>
              <w:top w:val="single" w:sz="4" w:space="0" w:color="auto"/>
              <w:left w:val="single" w:sz="4" w:space="0" w:color="auto"/>
              <w:bottom w:val="single" w:sz="4" w:space="0" w:color="auto"/>
              <w:right w:val="single" w:sz="4" w:space="0" w:color="auto"/>
            </w:tcBorders>
          </w:tcPr>
          <w:p w14:paraId="214F7F20" w14:textId="77777777" w:rsidR="00602606" w:rsidRDefault="00604AEE">
            <w:pPr>
              <w:widowControl w:val="0"/>
              <w:numPr>
                <w:ilvl w:val="12"/>
                <w:numId w:val="0"/>
              </w:numPr>
              <w:ind w:right="-2"/>
              <w:rPr>
                <w:rFonts w:eastAsia="Calibri"/>
                <w:sz w:val="22"/>
                <w:szCs w:val="22"/>
              </w:rPr>
            </w:pPr>
            <w:r>
              <w:rPr>
                <w:rFonts w:eastAsia="Calibri"/>
                <w:sz w:val="22"/>
                <w:szCs w:val="22"/>
              </w:rPr>
              <w:t>Lietuva, Slovakija, Belgija</w:t>
            </w:r>
          </w:p>
        </w:tc>
        <w:tc>
          <w:tcPr>
            <w:tcW w:w="4417" w:type="dxa"/>
            <w:tcBorders>
              <w:top w:val="single" w:sz="4" w:space="0" w:color="auto"/>
              <w:left w:val="single" w:sz="4" w:space="0" w:color="auto"/>
              <w:bottom w:val="single" w:sz="4" w:space="0" w:color="auto"/>
              <w:right w:val="single" w:sz="4" w:space="0" w:color="auto"/>
            </w:tcBorders>
          </w:tcPr>
          <w:p w14:paraId="01CCAC98" w14:textId="77777777" w:rsidR="00602606" w:rsidRDefault="00604AEE">
            <w:pPr>
              <w:widowControl w:val="0"/>
              <w:numPr>
                <w:ilvl w:val="12"/>
                <w:numId w:val="0"/>
              </w:numPr>
              <w:ind w:right="-2"/>
              <w:rPr>
                <w:rFonts w:asciiTheme="minorHAnsi" w:eastAsia="Calibri" w:hAnsiTheme="minorHAnsi" w:cstheme="minorBidi"/>
                <w:sz w:val="22"/>
                <w:szCs w:val="22"/>
                <w:lang w:val="en-GB" w:eastAsia="en-US"/>
              </w:rPr>
            </w:pPr>
            <w:r>
              <w:rPr>
                <w:rFonts w:eastAsia="Calibri"/>
                <w:sz w:val="22"/>
                <w:szCs w:val="22"/>
                <w:lang w:val="en-GB"/>
              </w:rPr>
              <w:t>Dutasteride/Tamsulosin Krka</w:t>
            </w:r>
          </w:p>
        </w:tc>
      </w:tr>
      <w:tr w:rsidR="00602606" w14:paraId="51455BE1" w14:textId="77777777">
        <w:tc>
          <w:tcPr>
            <w:tcW w:w="2700" w:type="dxa"/>
            <w:tcBorders>
              <w:top w:val="single" w:sz="4" w:space="0" w:color="auto"/>
              <w:left w:val="single" w:sz="4" w:space="0" w:color="auto"/>
              <w:bottom w:val="single" w:sz="4" w:space="0" w:color="auto"/>
              <w:right w:val="single" w:sz="4" w:space="0" w:color="auto"/>
            </w:tcBorders>
          </w:tcPr>
          <w:p w14:paraId="1514EDFC" w14:textId="77777777" w:rsidR="00602606" w:rsidRDefault="00604AEE">
            <w:pPr>
              <w:widowControl w:val="0"/>
              <w:numPr>
                <w:ilvl w:val="12"/>
                <w:numId w:val="0"/>
              </w:numPr>
              <w:ind w:right="-2"/>
              <w:rPr>
                <w:rFonts w:eastAsia="Calibri"/>
                <w:sz w:val="22"/>
                <w:szCs w:val="22"/>
              </w:rPr>
            </w:pPr>
            <w:r>
              <w:rPr>
                <w:rFonts w:eastAsia="Calibri"/>
                <w:sz w:val="22"/>
                <w:szCs w:val="22"/>
              </w:rPr>
              <w:t xml:space="preserve">Lenkija, Rumunija </w:t>
            </w:r>
          </w:p>
        </w:tc>
        <w:tc>
          <w:tcPr>
            <w:tcW w:w="4417" w:type="dxa"/>
            <w:tcBorders>
              <w:top w:val="single" w:sz="4" w:space="0" w:color="auto"/>
              <w:left w:val="single" w:sz="4" w:space="0" w:color="auto"/>
              <w:bottom w:val="single" w:sz="4" w:space="0" w:color="auto"/>
              <w:right w:val="single" w:sz="4" w:space="0" w:color="auto"/>
            </w:tcBorders>
          </w:tcPr>
          <w:p w14:paraId="5EFAA97F" w14:textId="77777777" w:rsidR="00602606" w:rsidRDefault="00604AEE">
            <w:pPr>
              <w:widowControl w:val="0"/>
              <w:numPr>
                <w:ilvl w:val="12"/>
                <w:numId w:val="0"/>
              </w:numPr>
              <w:ind w:right="-2"/>
              <w:rPr>
                <w:rFonts w:asciiTheme="minorHAnsi" w:eastAsia="Calibri" w:hAnsiTheme="minorHAnsi" w:cstheme="minorBidi"/>
                <w:sz w:val="22"/>
                <w:szCs w:val="22"/>
                <w:lang w:val="en-GB" w:eastAsia="en-US"/>
              </w:rPr>
            </w:pPr>
            <w:r>
              <w:rPr>
                <w:rFonts w:eastAsia="Calibri"/>
                <w:sz w:val="22"/>
                <w:szCs w:val="22"/>
                <w:lang w:val="en-GB"/>
              </w:rPr>
              <w:t>Twinpros</w:t>
            </w:r>
          </w:p>
        </w:tc>
      </w:tr>
      <w:tr w:rsidR="00602606" w14:paraId="5C34570E" w14:textId="77777777">
        <w:tc>
          <w:tcPr>
            <w:tcW w:w="2700" w:type="dxa"/>
            <w:tcBorders>
              <w:top w:val="single" w:sz="4" w:space="0" w:color="auto"/>
              <w:left w:val="single" w:sz="4" w:space="0" w:color="auto"/>
              <w:bottom w:val="single" w:sz="4" w:space="0" w:color="auto"/>
              <w:right w:val="single" w:sz="4" w:space="0" w:color="auto"/>
            </w:tcBorders>
          </w:tcPr>
          <w:p w14:paraId="6CE2B268" w14:textId="77777777" w:rsidR="00602606" w:rsidRDefault="00604AEE">
            <w:pPr>
              <w:widowControl w:val="0"/>
              <w:numPr>
                <w:ilvl w:val="12"/>
                <w:numId w:val="0"/>
              </w:numPr>
              <w:ind w:right="-2"/>
              <w:rPr>
                <w:rFonts w:eastAsia="Calibri"/>
                <w:sz w:val="22"/>
                <w:szCs w:val="22"/>
              </w:rPr>
            </w:pPr>
            <w:r>
              <w:rPr>
                <w:rFonts w:eastAsia="Calibri"/>
                <w:sz w:val="22"/>
                <w:szCs w:val="22"/>
              </w:rPr>
              <w:t xml:space="preserve">Latvija, </w:t>
            </w:r>
            <w:r w:rsidRPr="001F276A">
              <w:rPr>
                <w:rFonts w:eastAsia="Calibri"/>
                <w:sz w:val="22"/>
              </w:rPr>
              <w:t>Čekija</w:t>
            </w:r>
          </w:p>
        </w:tc>
        <w:tc>
          <w:tcPr>
            <w:tcW w:w="4417" w:type="dxa"/>
            <w:tcBorders>
              <w:top w:val="single" w:sz="4" w:space="0" w:color="auto"/>
              <w:left w:val="single" w:sz="4" w:space="0" w:color="auto"/>
              <w:bottom w:val="single" w:sz="4" w:space="0" w:color="auto"/>
              <w:right w:val="single" w:sz="4" w:space="0" w:color="auto"/>
            </w:tcBorders>
          </w:tcPr>
          <w:p w14:paraId="4FE340A8" w14:textId="77777777" w:rsidR="00602606" w:rsidRDefault="00604AEE">
            <w:pPr>
              <w:widowControl w:val="0"/>
              <w:numPr>
                <w:ilvl w:val="12"/>
                <w:numId w:val="0"/>
              </w:numPr>
              <w:ind w:right="-2"/>
              <w:rPr>
                <w:rFonts w:asciiTheme="minorHAnsi" w:eastAsia="Calibri" w:hAnsiTheme="minorHAnsi" w:cstheme="minorBidi"/>
                <w:sz w:val="22"/>
                <w:szCs w:val="22"/>
                <w:lang w:val="en-GB" w:eastAsia="en-US"/>
              </w:rPr>
            </w:pPr>
            <w:r>
              <w:rPr>
                <w:rFonts w:eastAsia="Calibri"/>
                <w:sz w:val="22"/>
                <w:szCs w:val="22"/>
                <w:lang w:val="en-GB"/>
              </w:rPr>
              <w:t>Tadustix</w:t>
            </w:r>
          </w:p>
        </w:tc>
      </w:tr>
    </w:tbl>
    <w:p w14:paraId="5EFC8EBF" w14:textId="77777777" w:rsidR="00602606" w:rsidRDefault="00602606">
      <w:pPr>
        <w:widowControl w:val="0"/>
        <w:contextualSpacing/>
        <w:outlineLvl w:val="0"/>
        <w:rPr>
          <w:rFonts w:eastAsia="Calibri"/>
          <w:b/>
          <w:sz w:val="22"/>
          <w:szCs w:val="22"/>
        </w:rPr>
      </w:pPr>
    </w:p>
    <w:p w14:paraId="19FD2D59" w14:textId="77777777" w:rsidR="00602606" w:rsidRDefault="00602606">
      <w:pPr>
        <w:widowControl w:val="0"/>
        <w:contextualSpacing/>
        <w:outlineLvl w:val="0"/>
        <w:rPr>
          <w:rFonts w:eastAsia="Calibri"/>
          <w:b/>
          <w:sz w:val="22"/>
          <w:szCs w:val="22"/>
        </w:rPr>
      </w:pPr>
    </w:p>
    <w:p w14:paraId="20C181C1" w14:textId="28C644E0" w:rsidR="00602606" w:rsidRDefault="00604AEE">
      <w:pPr>
        <w:widowControl w:val="0"/>
        <w:contextualSpacing/>
        <w:outlineLvl w:val="0"/>
        <w:rPr>
          <w:rFonts w:asciiTheme="minorHAnsi" w:eastAsia="Calibri" w:hAnsiTheme="minorHAnsi" w:cstheme="minorBidi"/>
          <w:b/>
          <w:sz w:val="22"/>
          <w:szCs w:val="22"/>
          <w:lang w:val="lt-LT" w:eastAsia="en-US"/>
        </w:rPr>
      </w:pPr>
      <w:r>
        <w:rPr>
          <w:rFonts w:eastAsia="Calibri"/>
          <w:b/>
          <w:sz w:val="22"/>
          <w:szCs w:val="22"/>
        </w:rPr>
        <w:t>Šis pakuotės lapelis paskutinį kartą peržiūrėtas 2025-01-01.</w:t>
      </w:r>
    </w:p>
    <w:p w14:paraId="3A9B9B76" w14:textId="77777777" w:rsidR="00602606" w:rsidRDefault="00602606">
      <w:pPr>
        <w:widowControl w:val="0"/>
        <w:contextualSpacing/>
        <w:outlineLvl w:val="0"/>
        <w:rPr>
          <w:rFonts w:eastAsia="Calibri"/>
          <w:sz w:val="22"/>
          <w:szCs w:val="22"/>
        </w:rPr>
      </w:pPr>
    </w:p>
    <w:p w14:paraId="7EA7C93E" w14:textId="77777777" w:rsidR="00602606" w:rsidRPr="001F276A" w:rsidRDefault="00604AEE">
      <w:pPr>
        <w:rPr>
          <w:color w:val="0000CC"/>
          <w:sz w:val="22"/>
        </w:rPr>
      </w:pPr>
      <w:r>
        <w:rPr>
          <w:rFonts w:eastAsia="Calibri"/>
          <w:sz w:val="22"/>
          <w:szCs w:val="22"/>
        </w:rPr>
        <w:t xml:space="preserve">Išsami informacija apie šį vaistą pateikiama Valstybinės vaistų kontrolės tarnybos prie Lietuvos Respublikos sveikatos apsaugos ministerijos tinklalapyje </w:t>
      </w:r>
      <w:hyperlink r:id="rId15" w:history="1">
        <w:r w:rsidRPr="001F276A">
          <w:rPr>
            <w:rStyle w:val="Hipersaitas"/>
            <w:color w:val="0000CC"/>
            <w:sz w:val="22"/>
          </w:rPr>
          <w:t>https://www.vvkt.lt</w:t>
        </w:r>
      </w:hyperlink>
    </w:p>
    <w:p w14:paraId="05E04564" w14:textId="77777777" w:rsidR="00602606" w:rsidRDefault="00602606">
      <w:pPr>
        <w:widowControl w:val="0"/>
        <w:contextualSpacing/>
        <w:outlineLvl w:val="0"/>
        <w:rPr>
          <w:rFonts w:asciiTheme="minorHAnsi" w:eastAsiaTheme="minorHAnsi" w:hAnsiTheme="minorHAnsi" w:cstheme="minorBidi"/>
          <w:b/>
          <w:sz w:val="22"/>
          <w:szCs w:val="22"/>
          <w:highlight w:val="cyan"/>
          <w:lang w:val="en-US" w:eastAsia="en-US"/>
        </w:rPr>
        <w:sectPr w:rsidR="00602606">
          <w:headerReference w:type="even" r:id="rId16"/>
          <w:headerReference w:type="default" r:id="rId17"/>
          <w:footerReference w:type="even" r:id="rId18"/>
          <w:footerReference w:type="default" r:id="rId19"/>
          <w:headerReference w:type="first" r:id="rId20"/>
          <w:footerReference w:type="first" r:id="rId21"/>
          <w:pgSz w:w="11907" w:h="16840" w:code="9"/>
          <w:pgMar w:top="1134" w:right="1418" w:bottom="1134" w:left="1418" w:header="737" w:footer="737" w:gutter="0"/>
          <w:cols w:space="708"/>
          <w:docGrid w:linePitch="360"/>
        </w:sectPr>
      </w:pPr>
    </w:p>
    <w:p w14:paraId="07D2B62B" w14:textId="77777777" w:rsidR="00602606" w:rsidRDefault="00602606">
      <w:pPr>
        <w:widowControl w:val="0"/>
        <w:rPr>
          <w:sz w:val="22"/>
          <w:szCs w:val="22"/>
        </w:rPr>
      </w:pPr>
      <w:bookmarkStart w:id="10" w:name="Tab"/>
      <w:bookmarkStart w:id="11" w:name="_GoBack"/>
      <w:bookmarkEnd w:id="10"/>
      <w:bookmarkEnd w:id="11"/>
    </w:p>
    <w:sectPr w:rsidR="00602606">
      <w:type w:val="continuous"/>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1D518" w14:textId="77777777" w:rsidR="00A878C7" w:rsidRDefault="00A878C7">
      <w:r>
        <w:separator/>
      </w:r>
    </w:p>
  </w:endnote>
  <w:endnote w:type="continuationSeparator" w:id="0">
    <w:p w14:paraId="2F25EBCC" w14:textId="77777777" w:rsidR="00A878C7" w:rsidRDefault="00A878C7">
      <w:r>
        <w:continuationSeparator/>
      </w:r>
    </w:p>
  </w:endnote>
  <w:endnote w:type="continuationNotice" w:id="1">
    <w:p w14:paraId="40018D48" w14:textId="77777777" w:rsidR="00A878C7" w:rsidRDefault="00A878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C5CEF" w14:textId="77777777" w:rsidR="00602606" w:rsidRDefault="00604AE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2D5FB17" w14:textId="77777777" w:rsidR="00602606" w:rsidRDefault="0060260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5A295" w14:textId="77777777" w:rsidR="00602606" w:rsidRDefault="0060260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32602" w14:textId="77777777" w:rsidR="00602606" w:rsidRDefault="006026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8F651" w14:textId="77777777" w:rsidR="00A878C7" w:rsidRDefault="00A878C7">
      <w:r>
        <w:separator/>
      </w:r>
    </w:p>
  </w:footnote>
  <w:footnote w:type="continuationSeparator" w:id="0">
    <w:p w14:paraId="67951ED3" w14:textId="77777777" w:rsidR="00A878C7" w:rsidRDefault="00A878C7">
      <w:r>
        <w:continuationSeparator/>
      </w:r>
    </w:p>
  </w:footnote>
  <w:footnote w:type="continuationNotice" w:id="1">
    <w:p w14:paraId="62434E95" w14:textId="77777777" w:rsidR="00A878C7" w:rsidRDefault="00A878C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A4418" w14:textId="77777777" w:rsidR="00602606" w:rsidRDefault="0060260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8A5E2" w14:textId="77777777" w:rsidR="00602606" w:rsidRDefault="00602606">
    <w:pPr>
      <w:spacing w:line="20" w:lineRule="exact"/>
    </w:pPr>
  </w:p>
  <w:p w14:paraId="576077B6" w14:textId="77777777" w:rsidR="00602606" w:rsidRDefault="00602606">
    <w:pPr>
      <w:pStyle w:val="Antrats"/>
    </w:pPr>
    <w:bookmarkStart w:id="9" w:name="TableTag1"/>
    <w:bookmarkEnd w:id="9"/>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59DB2" w14:textId="77777777" w:rsidR="00602606" w:rsidRDefault="0060260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D0B50"/>
    <w:multiLevelType w:val="hybridMultilevel"/>
    <w:tmpl w:val="0088C8C8"/>
    <w:lvl w:ilvl="0" w:tplc="188C13D4">
      <w:start w:val="1"/>
      <w:numFmt w:val="bullet"/>
      <w:lvlText w:val=""/>
      <w:lvlJc w:val="left"/>
      <w:pPr>
        <w:ind w:left="720" w:hanging="360"/>
      </w:pPr>
      <w:rPr>
        <w:rFonts w:ascii="Wingdings" w:eastAsia="Wingdings" w:hAnsi="Wingdings" w:cs="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AE26B7"/>
    <w:multiLevelType w:val="hybridMultilevel"/>
    <w:tmpl w:val="C6A89DD8"/>
    <w:lvl w:ilvl="0" w:tplc="4EBE26D2">
      <w:start w:val="1"/>
      <w:numFmt w:val="bullet"/>
      <w:lvlText w:val="-"/>
      <w:lvlJc w:val="left"/>
      <w:pPr>
        <w:ind w:left="720" w:hanging="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035190D"/>
    <w:multiLevelType w:val="singleLevel"/>
    <w:tmpl w:val="6EA66680"/>
    <w:lvl w:ilvl="0">
      <w:start w:val="1"/>
      <w:numFmt w:val="bullet"/>
      <w:pStyle w:val="BTgEMEASMCA"/>
      <w:lvlText w:val=""/>
      <w:lvlJc w:val="left"/>
      <w:pPr>
        <w:tabs>
          <w:tab w:val="num" w:pos="432"/>
        </w:tabs>
        <w:ind w:left="432" w:hanging="432"/>
      </w:pPr>
      <w:rPr>
        <w:rFonts w:ascii="Symbol" w:hAnsi="Symbol" w:cs="Symbol" w:hint="default"/>
      </w:rPr>
    </w:lvl>
  </w:abstractNum>
  <w:abstractNum w:abstractNumId="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A75097"/>
    <w:multiLevelType w:val="multilevel"/>
    <w:tmpl w:val="EA66EFD4"/>
    <w:lvl w:ilvl="0">
      <w:start w:val="1"/>
      <w:numFmt w:val="decimal"/>
      <w:lvlText w:val="%1."/>
      <w:lvlJc w:val="left"/>
      <w:pPr>
        <w:tabs>
          <w:tab w:val="num" w:pos="432"/>
        </w:tabs>
        <w:ind w:left="432" w:hanging="432"/>
      </w:pPr>
      <w:rPr>
        <w:rFonts w:hint="default"/>
      </w:rPr>
    </w:lvl>
    <w:lvl w:ilvl="1">
      <w:start w:val="1"/>
      <w:numFmt w:val="decimal"/>
      <w:pStyle w:val="Heading2Numbered"/>
      <w:lvlText w:val="%1.%2"/>
      <w:lvlJc w:val="left"/>
      <w:pPr>
        <w:tabs>
          <w:tab w:val="num" w:pos="6663"/>
        </w:tabs>
        <w:ind w:left="6663" w:hanging="567"/>
      </w:pPr>
      <w:rPr>
        <w:rFonts w:cs="Times New Roman"/>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2ndlevel"/>
      <w:lvlText w:val="%1.%2.%3"/>
      <w:lvlJc w:val="left"/>
      <w:pPr>
        <w:tabs>
          <w:tab w:val="num" w:pos="1146"/>
        </w:tabs>
        <w:ind w:left="1146" w:hanging="720"/>
      </w:pPr>
      <w:rPr>
        <w:rFonts w:hint="default"/>
      </w:rPr>
    </w:lvl>
    <w:lvl w:ilvl="3">
      <w:start w:val="1"/>
      <w:numFmt w:val="decimal"/>
      <w:lvlText w:val="%1.%2.%3.%4"/>
      <w:lvlJc w:val="left"/>
      <w:pPr>
        <w:tabs>
          <w:tab w:val="num" w:pos="722"/>
        </w:tabs>
        <w:ind w:left="722" w:hanging="864"/>
      </w:pPr>
      <w:rPr>
        <w:rFonts w:hint="default"/>
      </w:rPr>
    </w:lvl>
    <w:lvl w:ilvl="4">
      <w:start w:val="1"/>
      <w:numFmt w:val="decimal"/>
      <w:lvlText w:val="%1.%2.%3.%4.%5"/>
      <w:lvlJc w:val="left"/>
      <w:pPr>
        <w:tabs>
          <w:tab w:val="num" w:pos="866"/>
        </w:tabs>
        <w:ind w:left="866" w:hanging="1008"/>
      </w:pPr>
      <w:rPr>
        <w:rFonts w:hint="default"/>
      </w:rPr>
    </w:lvl>
    <w:lvl w:ilvl="5">
      <w:start w:val="1"/>
      <w:numFmt w:val="decimal"/>
      <w:lvlText w:val="%1.%2.%3.%4.%5.%6"/>
      <w:lvlJc w:val="left"/>
      <w:pPr>
        <w:tabs>
          <w:tab w:val="num" w:pos="1010"/>
        </w:tabs>
        <w:ind w:left="1010" w:hanging="1152"/>
      </w:pPr>
      <w:rPr>
        <w:rFonts w:hint="default"/>
      </w:rPr>
    </w:lvl>
    <w:lvl w:ilvl="6">
      <w:start w:val="1"/>
      <w:numFmt w:val="decimal"/>
      <w:lvlText w:val="%1.%2.%3.%4.%5.%6.%7"/>
      <w:lvlJc w:val="left"/>
      <w:pPr>
        <w:tabs>
          <w:tab w:val="num" w:pos="1154"/>
        </w:tabs>
        <w:ind w:left="1154" w:hanging="1296"/>
      </w:pPr>
      <w:rPr>
        <w:rFonts w:hint="default"/>
      </w:rPr>
    </w:lvl>
    <w:lvl w:ilvl="7">
      <w:start w:val="1"/>
      <w:numFmt w:val="decimal"/>
      <w:lvlText w:val="%1.%2.%3.%4.%5.%6.%7.%8"/>
      <w:lvlJc w:val="left"/>
      <w:pPr>
        <w:tabs>
          <w:tab w:val="num" w:pos="1298"/>
        </w:tabs>
        <w:ind w:left="1298" w:hanging="1440"/>
      </w:pPr>
      <w:rPr>
        <w:rFonts w:hint="default"/>
      </w:rPr>
    </w:lvl>
    <w:lvl w:ilvl="8">
      <w:start w:val="1"/>
      <w:numFmt w:val="decimal"/>
      <w:lvlText w:val="%1.%2.%3.%4.%5.%6.%7.%8.%9"/>
      <w:lvlJc w:val="left"/>
      <w:pPr>
        <w:tabs>
          <w:tab w:val="num" w:pos="1442"/>
        </w:tabs>
        <w:ind w:left="1442" w:hanging="1584"/>
      </w:pPr>
      <w:rPr>
        <w:rFonts w:hint="default"/>
      </w:rPr>
    </w:lvl>
  </w:abstractNum>
  <w:abstractNum w:abstractNumId="10" w15:restartNumberingAfterBreak="0">
    <w:nsid w:val="40EE3D5B"/>
    <w:multiLevelType w:val="hybridMultilevel"/>
    <w:tmpl w:val="25A46FC8"/>
    <w:lvl w:ilvl="0" w:tplc="B71E8EBE">
      <w:start w:val="1"/>
      <w:numFmt w:val="bullet"/>
      <w:lvlText w:val="-"/>
      <w:lvlJc w:val="left"/>
      <w:pPr>
        <w:tabs>
          <w:tab w:val="num" w:pos="360"/>
        </w:tabs>
        <w:ind w:left="36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71193E"/>
    <w:multiLevelType w:val="hybridMultilevel"/>
    <w:tmpl w:val="11AC501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0508F1"/>
    <w:multiLevelType w:val="hybridMultilevel"/>
    <w:tmpl w:val="CFF2183A"/>
    <w:lvl w:ilvl="0" w:tplc="96385030">
      <w:start w:val="1"/>
      <w:numFmt w:val="bullet"/>
      <w:lvlText w:val=""/>
      <w:lvlJc w:val="left"/>
      <w:pPr>
        <w:ind w:left="720" w:hanging="360"/>
      </w:pPr>
      <w:rPr>
        <w:rFonts w:ascii="Wingdings" w:eastAsia="Wingdings" w:hAnsi="Wingdings" w:cs="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2"/>
  </w:num>
  <w:num w:numId="2">
    <w:abstractNumId w:val="3"/>
  </w:num>
  <w:num w:numId="3">
    <w:abstractNumId w:val="2"/>
  </w:num>
  <w:num w:numId="4">
    <w:abstractNumId w:val="0"/>
    <w:lvlOverride w:ilvl="0">
      <w:lvl w:ilvl="0">
        <w:start w:val="1"/>
        <w:numFmt w:val="bullet"/>
        <w:lvlText w:val="-"/>
        <w:legacy w:legacy="1" w:legacySpace="0" w:legacyIndent="360"/>
        <w:lvlJc w:val="left"/>
        <w:pPr>
          <w:ind w:left="360" w:hanging="360"/>
        </w:pPr>
      </w:lvl>
    </w:lvlOverride>
  </w:num>
  <w:num w:numId="5">
    <w:abstractNumId w:val="15"/>
  </w:num>
  <w:num w:numId="6">
    <w:abstractNumId w:val="16"/>
  </w:num>
  <w:num w:numId="7">
    <w:abstractNumId w:val="7"/>
  </w:num>
  <w:num w:numId="8">
    <w:abstractNumId w:val="14"/>
  </w:num>
  <w:num w:numId="9">
    <w:abstractNumId w:val="5"/>
  </w:num>
  <w:num w:numId="10">
    <w:abstractNumId w:val="8"/>
  </w:num>
  <w:num w:numId="11">
    <w:abstractNumId w:val="9"/>
  </w:num>
  <w:num w:numId="12">
    <w:abstractNumId w:val="10"/>
  </w:num>
  <w:num w:numId="13">
    <w:abstractNumId w:val="6"/>
  </w:num>
  <w:num w:numId="14">
    <w:abstractNumId w:val="11"/>
  </w:num>
  <w:num w:numId="15">
    <w:abstractNumId w:val="4"/>
  </w:num>
  <w:num w:numId="16">
    <w:abstractNumId w:val="1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606"/>
    <w:rsid w:val="00003050"/>
    <w:rsid w:val="000062E4"/>
    <w:rsid w:val="000065B2"/>
    <w:rsid w:val="000108C5"/>
    <w:rsid w:val="00014185"/>
    <w:rsid w:val="000218E6"/>
    <w:rsid w:val="00034E56"/>
    <w:rsid w:val="00036BA2"/>
    <w:rsid w:val="000433F2"/>
    <w:rsid w:val="00051D83"/>
    <w:rsid w:val="00064D45"/>
    <w:rsid w:val="00073CBA"/>
    <w:rsid w:val="00082F94"/>
    <w:rsid w:val="000B09CA"/>
    <w:rsid w:val="000B3484"/>
    <w:rsid w:val="000D3418"/>
    <w:rsid w:val="000E1CEB"/>
    <w:rsid w:val="000E7522"/>
    <w:rsid w:val="000F1614"/>
    <w:rsid w:val="001003D9"/>
    <w:rsid w:val="00105480"/>
    <w:rsid w:val="0011711D"/>
    <w:rsid w:val="00123891"/>
    <w:rsid w:val="00127029"/>
    <w:rsid w:val="001429AB"/>
    <w:rsid w:val="001575C1"/>
    <w:rsid w:val="00173E2B"/>
    <w:rsid w:val="00180F29"/>
    <w:rsid w:val="0018189B"/>
    <w:rsid w:val="0018233B"/>
    <w:rsid w:val="001840B2"/>
    <w:rsid w:val="001865A4"/>
    <w:rsid w:val="001A0504"/>
    <w:rsid w:val="001B38B4"/>
    <w:rsid w:val="001B5073"/>
    <w:rsid w:val="001C13BD"/>
    <w:rsid w:val="001C7614"/>
    <w:rsid w:val="001C771D"/>
    <w:rsid w:val="001C79DF"/>
    <w:rsid w:val="001D7818"/>
    <w:rsid w:val="001E3FF1"/>
    <w:rsid w:val="001E79D0"/>
    <w:rsid w:val="001F276A"/>
    <w:rsid w:val="001F2D60"/>
    <w:rsid w:val="002031D1"/>
    <w:rsid w:val="00211E4A"/>
    <w:rsid w:val="002213C5"/>
    <w:rsid w:val="00240A7D"/>
    <w:rsid w:val="00240FE0"/>
    <w:rsid w:val="002503B8"/>
    <w:rsid w:val="002504A7"/>
    <w:rsid w:val="00250742"/>
    <w:rsid w:val="00257ABE"/>
    <w:rsid w:val="00257C72"/>
    <w:rsid w:val="0026149B"/>
    <w:rsid w:val="00266B6B"/>
    <w:rsid w:val="00272057"/>
    <w:rsid w:val="00273E33"/>
    <w:rsid w:val="00274CFC"/>
    <w:rsid w:val="0027790D"/>
    <w:rsid w:val="002830B7"/>
    <w:rsid w:val="00291EF3"/>
    <w:rsid w:val="002920A8"/>
    <w:rsid w:val="002943DD"/>
    <w:rsid w:val="002A6C02"/>
    <w:rsid w:val="002B54DE"/>
    <w:rsid w:val="002C05D1"/>
    <w:rsid w:val="002C1127"/>
    <w:rsid w:val="002C2548"/>
    <w:rsid w:val="002D4DE9"/>
    <w:rsid w:val="002E402E"/>
    <w:rsid w:val="002E5187"/>
    <w:rsid w:val="002E6597"/>
    <w:rsid w:val="002F60DC"/>
    <w:rsid w:val="003041A1"/>
    <w:rsid w:val="00304273"/>
    <w:rsid w:val="00306B2A"/>
    <w:rsid w:val="00325207"/>
    <w:rsid w:val="00330D36"/>
    <w:rsid w:val="00344CDD"/>
    <w:rsid w:val="0035690D"/>
    <w:rsid w:val="00365FAE"/>
    <w:rsid w:val="003664C8"/>
    <w:rsid w:val="00375253"/>
    <w:rsid w:val="003753C3"/>
    <w:rsid w:val="003767B8"/>
    <w:rsid w:val="003940DB"/>
    <w:rsid w:val="003946F0"/>
    <w:rsid w:val="003A4A45"/>
    <w:rsid w:val="003B7BC2"/>
    <w:rsid w:val="003C3231"/>
    <w:rsid w:val="003C75B5"/>
    <w:rsid w:val="003D0748"/>
    <w:rsid w:val="003D3DDA"/>
    <w:rsid w:val="003E0AC9"/>
    <w:rsid w:val="003E0E3F"/>
    <w:rsid w:val="003E1BD2"/>
    <w:rsid w:val="003E3DCF"/>
    <w:rsid w:val="003F3AEC"/>
    <w:rsid w:val="00407000"/>
    <w:rsid w:val="0041262D"/>
    <w:rsid w:val="00413C23"/>
    <w:rsid w:val="0041487B"/>
    <w:rsid w:val="00416F48"/>
    <w:rsid w:val="00417F56"/>
    <w:rsid w:val="00431E79"/>
    <w:rsid w:val="00435513"/>
    <w:rsid w:val="00435618"/>
    <w:rsid w:val="004479A6"/>
    <w:rsid w:val="0046089B"/>
    <w:rsid w:val="00471A3C"/>
    <w:rsid w:val="004720B5"/>
    <w:rsid w:val="004837CC"/>
    <w:rsid w:val="00493236"/>
    <w:rsid w:val="00495AEF"/>
    <w:rsid w:val="00497B01"/>
    <w:rsid w:val="004B5407"/>
    <w:rsid w:val="004C0DA6"/>
    <w:rsid w:val="004D2479"/>
    <w:rsid w:val="004D2FF4"/>
    <w:rsid w:val="004E2538"/>
    <w:rsid w:val="004E5B9C"/>
    <w:rsid w:val="00505E1F"/>
    <w:rsid w:val="00511243"/>
    <w:rsid w:val="00520307"/>
    <w:rsid w:val="00526D57"/>
    <w:rsid w:val="00530F31"/>
    <w:rsid w:val="00532186"/>
    <w:rsid w:val="00544EB8"/>
    <w:rsid w:val="00547C4E"/>
    <w:rsid w:val="005562DE"/>
    <w:rsid w:val="00576EC6"/>
    <w:rsid w:val="00580C69"/>
    <w:rsid w:val="00583732"/>
    <w:rsid w:val="00586665"/>
    <w:rsid w:val="00595078"/>
    <w:rsid w:val="005A2CCD"/>
    <w:rsid w:val="005A53E3"/>
    <w:rsid w:val="005B609D"/>
    <w:rsid w:val="005B7A42"/>
    <w:rsid w:val="005C31F0"/>
    <w:rsid w:val="005D0408"/>
    <w:rsid w:val="005E5950"/>
    <w:rsid w:val="005F2656"/>
    <w:rsid w:val="005F74C1"/>
    <w:rsid w:val="00602606"/>
    <w:rsid w:val="00604AEE"/>
    <w:rsid w:val="00605C28"/>
    <w:rsid w:val="00607523"/>
    <w:rsid w:val="0061405D"/>
    <w:rsid w:val="00615230"/>
    <w:rsid w:val="006157C2"/>
    <w:rsid w:val="006278BC"/>
    <w:rsid w:val="00641046"/>
    <w:rsid w:val="00643730"/>
    <w:rsid w:val="00646AF5"/>
    <w:rsid w:val="00660B27"/>
    <w:rsid w:val="0066374C"/>
    <w:rsid w:val="00670A0E"/>
    <w:rsid w:val="00670EB5"/>
    <w:rsid w:val="00677688"/>
    <w:rsid w:val="00682124"/>
    <w:rsid w:val="00696F47"/>
    <w:rsid w:val="006A1BC3"/>
    <w:rsid w:val="006B10A1"/>
    <w:rsid w:val="006B5CA9"/>
    <w:rsid w:val="006C5221"/>
    <w:rsid w:val="006D1BCB"/>
    <w:rsid w:val="006E3941"/>
    <w:rsid w:val="006E7784"/>
    <w:rsid w:val="006F0B35"/>
    <w:rsid w:val="00700CE3"/>
    <w:rsid w:val="007053BD"/>
    <w:rsid w:val="00764DEA"/>
    <w:rsid w:val="00766B1D"/>
    <w:rsid w:val="00771E64"/>
    <w:rsid w:val="00774447"/>
    <w:rsid w:val="007A5809"/>
    <w:rsid w:val="007A75FE"/>
    <w:rsid w:val="007D57EF"/>
    <w:rsid w:val="007E0180"/>
    <w:rsid w:val="007E1FF6"/>
    <w:rsid w:val="007F52D5"/>
    <w:rsid w:val="0081093E"/>
    <w:rsid w:val="0081705B"/>
    <w:rsid w:val="00831749"/>
    <w:rsid w:val="008321E6"/>
    <w:rsid w:val="0084123A"/>
    <w:rsid w:val="00841B76"/>
    <w:rsid w:val="00854A6F"/>
    <w:rsid w:val="00861D75"/>
    <w:rsid w:val="00866D2B"/>
    <w:rsid w:val="00873C86"/>
    <w:rsid w:val="00874398"/>
    <w:rsid w:val="008755D5"/>
    <w:rsid w:val="00891CE7"/>
    <w:rsid w:val="0089350F"/>
    <w:rsid w:val="008A0A72"/>
    <w:rsid w:val="008A4E2E"/>
    <w:rsid w:val="008B2426"/>
    <w:rsid w:val="008E68DB"/>
    <w:rsid w:val="009031C7"/>
    <w:rsid w:val="00932A58"/>
    <w:rsid w:val="009333F7"/>
    <w:rsid w:val="0093776A"/>
    <w:rsid w:val="009418CF"/>
    <w:rsid w:val="00943815"/>
    <w:rsid w:val="009462B4"/>
    <w:rsid w:val="00953BFC"/>
    <w:rsid w:val="009561F6"/>
    <w:rsid w:val="00957EF1"/>
    <w:rsid w:val="00960280"/>
    <w:rsid w:val="009732AC"/>
    <w:rsid w:val="0097582E"/>
    <w:rsid w:val="009767A1"/>
    <w:rsid w:val="009905A1"/>
    <w:rsid w:val="00993BB1"/>
    <w:rsid w:val="009A5259"/>
    <w:rsid w:val="009A6823"/>
    <w:rsid w:val="009C7439"/>
    <w:rsid w:val="009D2377"/>
    <w:rsid w:val="009E1149"/>
    <w:rsid w:val="009E4D57"/>
    <w:rsid w:val="009E7F12"/>
    <w:rsid w:val="009F2E45"/>
    <w:rsid w:val="009F692D"/>
    <w:rsid w:val="009F7DD5"/>
    <w:rsid w:val="00A10905"/>
    <w:rsid w:val="00A2172F"/>
    <w:rsid w:val="00A329EE"/>
    <w:rsid w:val="00A5221C"/>
    <w:rsid w:val="00A6182C"/>
    <w:rsid w:val="00A63901"/>
    <w:rsid w:val="00A71014"/>
    <w:rsid w:val="00A719D3"/>
    <w:rsid w:val="00A737D6"/>
    <w:rsid w:val="00A818FE"/>
    <w:rsid w:val="00A8585B"/>
    <w:rsid w:val="00A878C7"/>
    <w:rsid w:val="00A914BC"/>
    <w:rsid w:val="00A92D64"/>
    <w:rsid w:val="00A941B0"/>
    <w:rsid w:val="00A94E3F"/>
    <w:rsid w:val="00A951C1"/>
    <w:rsid w:val="00AA1538"/>
    <w:rsid w:val="00AA333F"/>
    <w:rsid w:val="00AA592A"/>
    <w:rsid w:val="00AA7407"/>
    <w:rsid w:val="00AA76BD"/>
    <w:rsid w:val="00AB29EA"/>
    <w:rsid w:val="00AB6AB8"/>
    <w:rsid w:val="00AC0C1D"/>
    <w:rsid w:val="00AD4CFC"/>
    <w:rsid w:val="00AD5EFC"/>
    <w:rsid w:val="00AE0E4F"/>
    <w:rsid w:val="00AE4202"/>
    <w:rsid w:val="00AF2649"/>
    <w:rsid w:val="00AF31C5"/>
    <w:rsid w:val="00AF543D"/>
    <w:rsid w:val="00B067ED"/>
    <w:rsid w:val="00B1269B"/>
    <w:rsid w:val="00B243EC"/>
    <w:rsid w:val="00B3767F"/>
    <w:rsid w:val="00B537DA"/>
    <w:rsid w:val="00B57DDB"/>
    <w:rsid w:val="00B60B53"/>
    <w:rsid w:val="00B64AA7"/>
    <w:rsid w:val="00B87364"/>
    <w:rsid w:val="00B92996"/>
    <w:rsid w:val="00B937C3"/>
    <w:rsid w:val="00B962D8"/>
    <w:rsid w:val="00B964A6"/>
    <w:rsid w:val="00BB7B3A"/>
    <w:rsid w:val="00BC55F3"/>
    <w:rsid w:val="00BC744B"/>
    <w:rsid w:val="00BD18BE"/>
    <w:rsid w:val="00BD7E85"/>
    <w:rsid w:val="00BF6C2F"/>
    <w:rsid w:val="00C05838"/>
    <w:rsid w:val="00C108B8"/>
    <w:rsid w:val="00C309A5"/>
    <w:rsid w:val="00C3138D"/>
    <w:rsid w:val="00C47DAF"/>
    <w:rsid w:val="00C6532B"/>
    <w:rsid w:val="00C745BF"/>
    <w:rsid w:val="00C7794F"/>
    <w:rsid w:val="00C81C87"/>
    <w:rsid w:val="00C844E7"/>
    <w:rsid w:val="00C84BAB"/>
    <w:rsid w:val="00C85FB7"/>
    <w:rsid w:val="00CA1874"/>
    <w:rsid w:val="00CA6C53"/>
    <w:rsid w:val="00CB580B"/>
    <w:rsid w:val="00CC6D90"/>
    <w:rsid w:val="00CC6EEF"/>
    <w:rsid w:val="00CE7393"/>
    <w:rsid w:val="00CF089C"/>
    <w:rsid w:val="00CF57AD"/>
    <w:rsid w:val="00CF71C6"/>
    <w:rsid w:val="00D14C24"/>
    <w:rsid w:val="00D17F21"/>
    <w:rsid w:val="00D22811"/>
    <w:rsid w:val="00D30C03"/>
    <w:rsid w:val="00D31162"/>
    <w:rsid w:val="00D31946"/>
    <w:rsid w:val="00D56738"/>
    <w:rsid w:val="00D61A13"/>
    <w:rsid w:val="00D76B47"/>
    <w:rsid w:val="00DA56EB"/>
    <w:rsid w:val="00DA7206"/>
    <w:rsid w:val="00DC1834"/>
    <w:rsid w:val="00DC36A5"/>
    <w:rsid w:val="00DD4807"/>
    <w:rsid w:val="00DD72F3"/>
    <w:rsid w:val="00DE3280"/>
    <w:rsid w:val="00E0414A"/>
    <w:rsid w:val="00E06A23"/>
    <w:rsid w:val="00E1067E"/>
    <w:rsid w:val="00E11AB4"/>
    <w:rsid w:val="00E1288B"/>
    <w:rsid w:val="00E13A32"/>
    <w:rsid w:val="00E31FDC"/>
    <w:rsid w:val="00E32A86"/>
    <w:rsid w:val="00E44AB9"/>
    <w:rsid w:val="00E458DE"/>
    <w:rsid w:val="00E65E21"/>
    <w:rsid w:val="00E713C6"/>
    <w:rsid w:val="00E73DCA"/>
    <w:rsid w:val="00E76214"/>
    <w:rsid w:val="00E92267"/>
    <w:rsid w:val="00EB0C7B"/>
    <w:rsid w:val="00EB142E"/>
    <w:rsid w:val="00EB2314"/>
    <w:rsid w:val="00EB44DA"/>
    <w:rsid w:val="00EC238A"/>
    <w:rsid w:val="00EC4573"/>
    <w:rsid w:val="00EC5FAE"/>
    <w:rsid w:val="00ED05E6"/>
    <w:rsid w:val="00ED5D69"/>
    <w:rsid w:val="00EE704E"/>
    <w:rsid w:val="00EF7B76"/>
    <w:rsid w:val="00F051A9"/>
    <w:rsid w:val="00F163C8"/>
    <w:rsid w:val="00F2309F"/>
    <w:rsid w:val="00F238C4"/>
    <w:rsid w:val="00F32E61"/>
    <w:rsid w:val="00F653F5"/>
    <w:rsid w:val="00F8161F"/>
    <w:rsid w:val="00F82F64"/>
    <w:rsid w:val="00F83C4B"/>
    <w:rsid w:val="00F914B8"/>
    <w:rsid w:val="00FA6706"/>
    <w:rsid w:val="00FB4DF6"/>
    <w:rsid w:val="00FD2986"/>
    <w:rsid w:val="00FD5777"/>
    <w:rsid w:val="00FF45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18E23F"/>
  <w15:chartTrackingRefBased/>
  <w15:docId w15:val="{D31FD978-9ED6-40AE-B91C-48A22B208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val="sl-SI" w:eastAsia="sl-SI"/>
    </w:rPr>
  </w:style>
  <w:style w:type="paragraph" w:styleId="Antrat1">
    <w:name w:val="heading 1"/>
    <w:basedOn w:val="prastasis"/>
    <w:next w:val="prastasis"/>
    <w:link w:val="Antrat1Diagrama"/>
    <w:qFormat/>
    <w:pPr>
      <w:keepNext/>
      <w:spacing w:before="240" w:after="60"/>
      <w:outlineLvl w:val="0"/>
    </w:pPr>
    <w:rPr>
      <w:rFonts w:ascii="Arial" w:hAnsi="Arial"/>
      <w:b/>
      <w:bCs/>
      <w:kern w:val="32"/>
      <w:sz w:val="32"/>
      <w:szCs w:val="32"/>
      <w:lang w:val="x-none" w:eastAsia="x-none"/>
    </w:rPr>
  </w:style>
  <w:style w:type="paragraph" w:styleId="Antrat2">
    <w:name w:val="heading 2"/>
    <w:basedOn w:val="prastasis"/>
    <w:next w:val="prastasis"/>
    <w:link w:val="Antrat2Diagrama"/>
    <w:qFormat/>
    <w:pPr>
      <w:keepNext/>
      <w:tabs>
        <w:tab w:val="left" w:pos="4300"/>
        <w:tab w:val="left" w:pos="5940"/>
        <w:tab w:val="left" w:pos="8180"/>
      </w:tabs>
      <w:spacing w:line="360" w:lineRule="atLeast"/>
      <w:outlineLvl w:val="1"/>
    </w:pPr>
    <w:rPr>
      <w:b/>
      <w:u w:val="single"/>
      <w:lang w:val="en-US" w:eastAsia="x-none"/>
    </w:rPr>
  </w:style>
  <w:style w:type="paragraph" w:styleId="Antrat3">
    <w:name w:val="heading 3"/>
    <w:basedOn w:val="prastasis"/>
    <w:next w:val="prastasis"/>
    <w:link w:val="Antrat3Diagrama"/>
    <w:qFormat/>
    <w:pPr>
      <w:keepNext/>
      <w:tabs>
        <w:tab w:val="decimal" w:pos="6760"/>
      </w:tabs>
      <w:spacing w:line="480" w:lineRule="atLeast"/>
      <w:outlineLvl w:val="2"/>
    </w:pPr>
    <w:rPr>
      <w:b/>
      <w:lang w:val="en-US" w:eastAsia="x-none"/>
    </w:rPr>
  </w:style>
  <w:style w:type="paragraph" w:styleId="Antrat4">
    <w:name w:val="heading 4"/>
    <w:basedOn w:val="prastasis"/>
    <w:next w:val="prastasis"/>
    <w:link w:val="Antrat4Diagrama"/>
    <w:qFormat/>
    <w:pPr>
      <w:keepNext/>
      <w:spacing w:before="240" w:after="60"/>
      <w:outlineLvl w:val="3"/>
    </w:pPr>
    <w:rPr>
      <w:b/>
      <w:bCs/>
      <w:sz w:val="28"/>
      <w:szCs w:val="28"/>
      <w:lang w:val="x-none" w:eastAsia="x-none"/>
    </w:rPr>
  </w:style>
  <w:style w:type="paragraph" w:styleId="Antrat5">
    <w:name w:val="heading 5"/>
    <w:basedOn w:val="prastasis"/>
    <w:next w:val="prastasis"/>
    <w:link w:val="Antrat5Diagrama"/>
    <w:qFormat/>
    <w:pPr>
      <w:keepNext/>
      <w:tabs>
        <w:tab w:val="left" w:pos="567"/>
        <w:tab w:val="num" w:pos="1008"/>
      </w:tabs>
      <w:spacing w:line="260" w:lineRule="exact"/>
      <w:ind w:left="1008" w:hanging="432"/>
      <w:jc w:val="both"/>
      <w:outlineLvl w:val="4"/>
    </w:pPr>
    <w:rPr>
      <w:noProof/>
      <w:sz w:val="22"/>
      <w:lang w:val="en-GB" w:eastAsia="en-US"/>
    </w:rPr>
  </w:style>
  <w:style w:type="paragraph" w:styleId="Antrat6">
    <w:name w:val="heading 6"/>
    <w:basedOn w:val="prastasis"/>
    <w:next w:val="prastasis"/>
    <w:link w:val="Antrat6Diagrama"/>
    <w:qFormat/>
    <w:pPr>
      <w:keepNext/>
      <w:keepLines/>
      <w:tabs>
        <w:tab w:val="right" w:pos="4536"/>
        <w:tab w:val="left" w:pos="5180"/>
        <w:tab w:val="left" w:pos="5380"/>
        <w:tab w:val="left" w:pos="8222"/>
      </w:tabs>
      <w:outlineLvl w:val="5"/>
    </w:pPr>
    <w:rPr>
      <w:b/>
      <w:lang w:val="en-US" w:eastAsia="x-none"/>
    </w:rPr>
  </w:style>
  <w:style w:type="paragraph" w:styleId="Antrat7">
    <w:name w:val="heading 7"/>
    <w:basedOn w:val="prastasis"/>
    <w:next w:val="prastasis"/>
    <w:link w:val="Antrat7Diagrama"/>
    <w:qFormat/>
    <w:pPr>
      <w:keepNext/>
      <w:tabs>
        <w:tab w:val="left" w:pos="-720"/>
        <w:tab w:val="left" w:pos="567"/>
        <w:tab w:val="num" w:pos="1296"/>
        <w:tab w:val="left" w:pos="4536"/>
      </w:tabs>
      <w:suppressAutoHyphens/>
      <w:spacing w:line="260" w:lineRule="exact"/>
      <w:ind w:left="1296" w:hanging="288"/>
      <w:jc w:val="both"/>
      <w:outlineLvl w:val="6"/>
    </w:pPr>
    <w:rPr>
      <w:i/>
      <w:sz w:val="22"/>
      <w:lang w:val="en-GB" w:eastAsia="en-US"/>
    </w:rPr>
  </w:style>
  <w:style w:type="paragraph" w:styleId="Antrat8">
    <w:name w:val="heading 8"/>
    <w:basedOn w:val="prastasis"/>
    <w:next w:val="prastasis"/>
    <w:link w:val="Antrat8Diagrama"/>
    <w:unhideWhenUsed/>
    <w:qFormat/>
    <w:pPr>
      <w:keepNext/>
      <w:keepLines/>
      <w:spacing w:before="200"/>
      <w:outlineLvl w:val="7"/>
    </w:pPr>
    <w:rPr>
      <w:rFonts w:ascii="Cambria" w:hAnsi="Cambria"/>
      <w:color w:val="404040"/>
      <w:sz w:val="20"/>
      <w:lang w:val="en-AU" w:eastAsia="en-AU"/>
    </w:rPr>
  </w:style>
  <w:style w:type="paragraph" w:styleId="Antrat9">
    <w:name w:val="heading 9"/>
    <w:basedOn w:val="prastasis"/>
    <w:next w:val="prastasis"/>
    <w:link w:val="Antrat9Diagrama"/>
    <w:qFormat/>
    <w:pPr>
      <w:keepNext/>
      <w:tabs>
        <w:tab w:val="left" w:pos="567"/>
        <w:tab w:val="num" w:pos="1584"/>
      </w:tabs>
      <w:spacing w:line="260" w:lineRule="exact"/>
      <w:ind w:left="1584" w:hanging="144"/>
      <w:jc w:val="both"/>
      <w:outlineLvl w:val="8"/>
    </w:pPr>
    <w:rPr>
      <w:b/>
      <w:i/>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320"/>
        <w:tab w:val="right" w:pos="8640"/>
      </w:tabs>
    </w:pPr>
    <w:rPr>
      <w:lang w:val="x-none" w:eastAsia="x-none"/>
    </w:rPr>
  </w:style>
  <w:style w:type="paragraph" w:styleId="Porat">
    <w:name w:val="footer"/>
    <w:basedOn w:val="prastasis"/>
    <w:link w:val="PoratDiagrama"/>
    <w:pPr>
      <w:tabs>
        <w:tab w:val="center" w:pos="4320"/>
        <w:tab w:val="right" w:pos="8640"/>
      </w:tabs>
    </w:pPr>
    <w:rPr>
      <w:lang w:val="x-none" w:eastAsia="x-none"/>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style>
  <w:style w:type="character" w:styleId="Hipersaitas">
    <w:name w:val="Hyperlink"/>
    <w:uiPriority w:val="99"/>
    <w:rPr>
      <w:rFonts w:ascii="Times New Roman" w:hAnsi="Times New Roman"/>
      <w:color w:val="auto"/>
      <w:sz w:val="24"/>
      <w:szCs w:val="24"/>
      <w:u w:val="single"/>
      <w:lang w:val="en-US"/>
    </w:rPr>
  </w:style>
  <w:style w:type="character" w:styleId="Perirtashipersaitas">
    <w:name w:val="FollowedHyperlink"/>
    <w:rPr>
      <w:color w:val="800080"/>
      <w:u w:val="single"/>
    </w:rPr>
  </w:style>
  <w:style w:type="paragraph" w:styleId="Paprastasistekstas">
    <w:name w:val="Plain Text"/>
    <w:basedOn w:val="prastasis"/>
    <w:link w:val="PaprastasistekstasDiagrama"/>
    <w:rPr>
      <w:rFonts w:ascii="Courier New" w:hAnsi="Courier New"/>
      <w:sz w:val="20"/>
      <w:lang w:val="en-GB"/>
    </w:rPr>
  </w:style>
  <w:style w:type="paragraph" w:styleId="Antrat">
    <w:name w:val="caption"/>
    <w:basedOn w:val="prastasis"/>
    <w:next w:val="prastasis"/>
    <w:qFormat/>
    <w:pPr>
      <w:jc w:val="both"/>
    </w:pPr>
    <w:rPr>
      <w:lang w:val="en-GB"/>
    </w:rPr>
  </w:style>
  <w:style w:type="paragraph" w:customStyle="1" w:styleId="Naslov1">
    <w:name w:val="Naslov1"/>
    <w:basedOn w:val="Antrat1"/>
    <w:pPr>
      <w:spacing w:before="0" w:after="0"/>
    </w:pPr>
    <w:rPr>
      <w:rFonts w:ascii="Times New Roman" w:hAnsi="Times New Roman"/>
      <w:bCs w:val="0"/>
      <w:kern w:val="0"/>
      <w:sz w:val="22"/>
      <w:szCs w:val="20"/>
      <w:u w:val="single"/>
    </w:rPr>
  </w:style>
  <w:style w:type="paragraph" w:styleId="Turinys1">
    <w:name w:val="toc 1"/>
    <w:basedOn w:val="prastasis"/>
    <w:next w:val="prastasis"/>
    <w:autoRedefine/>
    <w:semiHidden/>
    <w:pPr>
      <w:spacing w:before="120"/>
    </w:pPr>
    <w:rPr>
      <w:b/>
      <w:bCs/>
      <w:i/>
      <w:iCs/>
      <w:szCs w:val="28"/>
    </w:rPr>
  </w:style>
  <w:style w:type="paragraph" w:styleId="Pagrindinistekstas">
    <w:name w:val="Body Text"/>
    <w:basedOn w:val="prastasis"/>
    <w:link w:val="PagrindinistekstasDiagrama"/>
    <w:pPr>
      <w:numPr>
        <w:ilvl w:val="12"/>
      </w:numPr>
      <w:tabs>
        <w:tab w:val="left" w:pos="8505"/>
      </w:tabs>
      <w:ind w:right="-2"/>
    </w:pPr>
    <w:rPr>
      <w:sz w:val="22"/>
      <w:lang w:val="x-none" w:eastAsia="x-none"/>
    </w:rPr>
  </w:style>
  <w:style w:type="paragraph" w:styleId="Pagrindinistekstas2">
    <w:name w:val="Body Text 2"/>
    <w:basedOn w:val="prastasis"/>
    <w:link w:val="Pagrindinistekstas2Diagrama"/>
    <w:pPr>
      <w:spacing w:after="120" w:line="480" w:lineRule="auto"/>
    </w:pPr>
  </w:style>
  <w:style w:type="paragraph" w:customStyle="1" w:styleId="EMEAEnBodyText">
    <w:name w:val="EMEA En Body Text"/>
    <w:basedOn w:val="prastasis"/>
    <w:pPr>
      <w:spacing w:before="120" w:after="120"/>
      <w:jc w:val="both"/>
    </w:pPr>
    <w:rPr>
      <w:sz w:val="22"/>
      <w:lang w:val="en-US" w:eastAsia="en-US"/>
    </w:rPr>
  </w:style>
  <w:style w:type="paragraph" w:customStyle="1" w:styleId="Default">
    <w:name w:val="Default"/>
    <w:pPr>
      <w:autoSpaceDE w:val="0"/>
      <w:autoSpaceDN w:val="0"/>
      <w:adjustRightInd w:val="0"/>
    </w:pPr>
    <w:rPr>
      <w:color w:val="000000"/>
      <w:sz w:val="24"/>
      <w:szCs w:val="24"/>
      <w:lang w:val="sl-SI" w:eastAsia="sl-SI"/>
    </w:rPr>
  </w:style>
  <w:style w:type="character" w:customStyle="1" w:styleId="Antrat5Diagrama">
    <w:name w:val="Antraštė 5 Diagrama"/>
    <w:link w:val="Antrat5"/>
    <w:rPr>
      <w:noProof/>
      <w:sz w:val="22"/>
      <w:lang w:val="en-GB" w:eastAsia="en-US"/>
    </w:rPr>
  </w:style>
  <w:style w:type="character" w:customStyle="1" w:styleId="Antrat7Diagrama">
    <w:name w:val="Antraštė 7 Diagrama"/>
    <w:link w:val="Antrat7"/>
    <w:rPr>
      <w:i/>
      <w:sz w:val="22"/>
      <w:lang w:val="en-GB" w:eastAsia="en-US"/>
    </w:rPr>
  </w:style>
  <w:style w:type="character" w:customStyle="1" w:styleId="Antrat8Diagrama">
    <w:name w:val="Antraštė 8 Diagrama"/>
    <w:link w:val="Antrat8"/>
    <w:rPr>
      <w:rFonts w:ascii="Cambria" w:hAnsi="Cambria"/>
      <w:color w:val="404040"/>
      <w:lang w:val="en-AU" w:eastAsia="en-AU"/>
    </w:rPr>
  </w:style>
  <w:style w:type="character" w:customStyle="1" w:styleId="Antrat9Diagrama">
    <w:name w:val="Antraštė 9 Diagrama"/>
    <w:link w:val="Antrat9"/>
    <w:rPr>
      <w:b/>
      <w:i/>
      <w:sz w:val="22"/>
      <w:lang w:val="en-GB" w:eastAsia="en-US"/>
    </w:rPr>
  </w:style>
  <w:style w:type="paragraph" w:customStyle="1" w:styleId="MemoHeaderStyle">
    <w:name w:val="MemoHeaderStyle"/>
    <w:basedOn w:val="prastasis"/>
    <w:next w:val="prastasis"/>
    <w:pPr>
      <w:tabs>
        <w:tab w:val="left" w:pos="567"/>
      </w:tabs>
      <w:spacing w:line="120" w:lineRule="atLeast"/>
      <w:ind w:left="1418"/>
      <w:jc w:val="both"/>
    </w:pPr>
    <w:rPr>
      <w:rFonts w:ascii="Arial" w:hAnsi="Arial"/>
      <w:b/>
      <w:smallCaps/>
      <w:sz w:val="22"/>
      <w:lang w:val="lt-LT" w:eastAsia="lt-LT" w:bidi="lt-LT"/>
    </w:rPr>
  </w:style>
  <w:style w:type="paragraph" w:styleId="Komentarotekstas">
    <w:name w:val="annotation text"/>
    <w:basedOn w:val="prastasis"/>
    <w:link w:val="KomentarotekstasDiagrama"/>
    <w:uiPriority w:val="99"/>
    <w:unhideWhenUsed/>
    <w:pPr>
      <w:tabs>
        <w:tab w:val="left" w:pos="567"/>
      </w:tabs>
    </w:pPr>
    <w:rPr>
      <w:sz w:val="20"/>
      <w:lang w:val="lt-LT" w:eastAsia="lt-LT" w:bidi="lt-LT"/>
    </w:rPr>
  </w:style>
  <w:style w:type="character" w:customStyle="1" w:styleId="KomentarotekstasDiagrama">
    <w:name w:val="Komentaro tekstas Diagrama"/>
    <w:link w:val="Komentarotekstas"/>
    <w:uiPriority w:val="99"/>
    <w:rPr>
      <w:lang w:bidi="lt-LT"/>
    </w:rPr>
  </w:style>
  <w:style w:type="paragraph" w:styleId="Debesliotekstas">
    <w:name w:val="Balloon Text"/>
    <w:basedOn w:val="prastasis"/>
    <w:link w:val="DebesliotekstasDiagrama"/>
    <w:pPr>
      <w:tabs>
        <w:tab w:val="left" w:pos="567"/>
      </w:tabs>
      <w:spacing w:line="260" w:lineRule="exact"/>
    </w:pPr>
    <w:rPr>
      <w:rFonts w:ascii="Tahoma" w:hAnsi="Tahoma" w:cs="Tahoma"/>
      <w:sz w:val="16"/>
      <w:szCs w:val="16"/>
      <w:lang w:val="lt-LT" w:eastAsia="lt-LT" w:bidi="lt-LT"/>
    </w:rPr>
  </w:style>
  <w:style w:type="character" w:customStyle="1" w:styleId="DebesliotekstasDiagrama">
    <w:name w:val="Debesėlio tekstas Diagrama"/>
    <w:link w:val="Debesliotekstas"/>
    <w:rPr>
      <w:rFonts w:ascii="Tahoma" w:hAnsi="Tahoma" w:cs="Tahoma"/>
      <w:sz w:val="16"/>
      <w:szCs w:val="16"/>
      <w:lang w:bidi="lt-LT"/>
    </w:rPr>
  </w:style>
  <w:style w:type="paragraph" w:customStyle="1" w:styleId="BodytextAgency">
    <w:name w:val="Body text (Agency)"/>
    <w:basedOn w:val="prastasis"/>
    <w:link w:val="BodytextAgencyChar"/>
    <w:pPr>
      <w:spacing w:after="140" w:line="280" w:lineRule="atLeast"/>
    </w:pPr>
    <w:rPr>
      <w:rFonts w:ascii="Verdana" w:eastAsia="Verdana" w:hAnsi="Verdana" w:cs="Verdana"/>
      <w:sz w:val="18"/>
      <w:szCs w:val="18"/>
      <w:lang w:val="lt-LT" w:eastAsia="lt-LT" w:bidi="lt-LT"/>
    </w:rPr>
  </w:style>
  <w:style w:type="character" w:customStyle="1" w:styleId="BodytextAgencyChar">
    <w:name w:val="Body text (Agency) Char"/>
    <w:link w:val="BodytextAgency"/>
    <w:rPr>
      <w:rFonts w:ascii="Verdana" w:eastAsia="Verdana" w:hAnsi="Verdana" w:cs="Verdana"/>
      <w:sz w:val="18"/>
      <w:szCs w:val="18"/>
      <w:lang w:val="lt-LT" w:eastAsia="lt-LT" w:bidi="lt-LT"/>
    </w:rPr>
  </w:style>
  <w:style w:type="paragraph" w:customStyle="1" w:styleId="DraftingNotesAgency">
    <w:name w:val="Drafting Notes (Agency)"/>
    <w:basedOn w:val="prastasis"/>
    <w:next w:val="BodytextAgency"/>
    <w:link w:val="DraftingNotesAgencyChar"/>
    <w:pPr>
      <w:spacing w:after="140" w:line="280" w:lineRule="atLeast"/>
    </w:pPr>
    <w:rPr>
      <w:rFonts w:ascii="Courier New" w:eastAsia="Verdana" w:hAnsi="Courier New"/>
      <w:i/>
      <w:color w:val="339966"/>
      <w:sz w:val="22"/>
      <w:szCs w:val="18"/>
      <w:lang w:val="lt-LT" w:eastAsia="lt-LT" w:bidi="lt-LT"/>
    </w:rPr>
  </w:style>
  <w:style w:type="character" w:customStyle="1" w:styleId="DraftingNotesAgencyChar">
    <w:name w:val="Drafting Notes (Agency) Char"/>
    <w:link w:val="DraftingNotesAgency"/>
    <w:rPr>
      <w:rFonts w:ascii="Courier New" w:eastAsia="Verdana" w:hAnsi="Courier New"/>
      <w:i/>
      <w:color w:val="339966"/>
      <w:sz w:val="22"/>
      <w:szCs w:val="18"/>
      <w:lang w:bidi="lt-LT"/>
    </w:rPr>
  </w:style>
  <w:style w:type="paragraph" w:customStyle="1" w:styleId="NormalAgency">
    <w:name w:val="Normal (Agency)"/>
    <w:link w:val="NormalAgencyChar"/>
    <w:rPr>
      <w:rFonts w:ascii="Verdana" w:eastAsia="Verdana" w:hAnsi="Verdana" w:cs="Verdana"/>
      <w:sz w:val="18"/>
      <w:szCs w:val="18"/>
      <w:lang w:bidi="lt-LT"/>
    </w:rPr>
  </w:style>
  <w:style w:type="table" w:customStyle="1" w:styleId="TablegridAgencyblack">
    <w:name w:val="Table grid (Agency) black"/>
    <w:basedOn w:val="prastojilentel"/>
    <w:semiHidden/>
    <w:rPr>
      <w:rFonts w:ascii="Verdana" w:eastAsia="SimSun" w:hAnsi="Verdana"/>
      <w:sz w:val="18"/>
      <w:lang w:bidi="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DengXian" w:hAnsi="DengXi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prastasis"/>
    <w:pPr>
      <w:spacing w:line="280" w:lineRule="exact"/>
    </w:pPr>
    <w:rPr>
      <w:rFonts w:ascii="Verdana" w:hAnsi="Verdana" w:cs="Verdana"/>
      <w:sz w:val="18"/>
      <w:szCs w:val="18"/>
      <w:lang w:val="lt-LT" w:eastAsia="lt-LT" w:bidi="lt-LT"/>
    </w:rPr>
  </w:style>
  <w:style w:type="character" w:customStyle="1" w:styleId="NormalAgencyChar">
    <w:name w:val="Normal (Agency) Char"/>
    <w:link w:val="NormalAgency"/>
    <w:rPr>
      <w:rFonts w:ascii="Verdana" w:eastAsia="Verdana" w:hAnsi="Verdana" w:cs="Verdana"/>
      <w:sz w:val="18"/>
      <w:szCs w:val="18"/>
      <w:lang w:bidi="lt-LT"/>
    </w:rPr>
  </w:style>
  <w:style w:type="character" w:styleId="Komentaronuoroda">
    <w:name w:val="annotation reference"/>
    <w:uiPriority w:val="99"/>
    <w:unhideWhenUsed/>
    <w:rPr>
      <w:sz w:val="16"/>
      <w:szCs w:val="16"/>
    </w:rPr>
  </w:style>
  <w:style w:type="paragraph" w:styleId="Komentarotema">
    <w:name w:val="annotation subject"/>
    <w:basedOn w:val="Komentarotekstas"/>
    <w:next w:val="Komentarotekstas"/>
    <w:link w:val="KomentarotemaDiagrama"/>
    <w:uiPriority w:val="99"/>
    <w:rPr>
      <w:b/>
      <w:bCs/>
    </w:rPr>
  </w:style>
  <w:style w:type="character" w:customStyle="1" w:styleId="KomentarotemaDiagrama">
    <w:name w:val="Komentaro tema Diagrama"/>
    <w:link w:val="Komentarotema"/>
    <w:uiPriority w:val="99"/>
    <w:rPr>
      <w:b/>
      <w:bCs/>
      <w:lang w:val="lt-LT" w:eastAsia="lt-LT" w:bidi="lt-LT"/>
    </w:rPr>
  </w:style>
  <w:style w:type="character" w:customStyle="1" w:styleId="DoNotTranslateExternal1">
    <w:name w:val="DoNotTranslateExternal1"/>
    <w:qFormat/>
    <w:rPr>
      <w:b/>
      <w:noProof/>
      <w:szCs w:val="22"/>
    </w:rPr>
  </w:style>
  <w:style w:type="paragraph" w:styleId="Sraopastraipa">
    <w:name w:val="List Paragraph"/>
    <w:basedOn w:val="prastasis"/>
    <w:uiPriority w:val="34"/>
    <w:qFormat/>
    <w:pPr>
      <w:tabs>
        <w:tab w:val="left" w:pos="567"/>
      </w:tabs>
      <w:spacing w:line="260" w:lineRule="exact"/>
      <w:ind w:left="720"/>
      <w:contextualSpacing/>
    </w:pPr>
    <w:rPr>
      <w:sz w:val="22"/>
      <w:lang w:val="lt-LT" w:eastAsia="lt-LT" w:bidi="lt-LT"/>
    </w:rPr>
  </w:style>
  <w:style w:type="character" w:customStyle="1" w:styleId="Antrat1Diagrama">
    <w:name w:val="Antraštė 1 Diagrama"/>
    <w:link w:val="Antrat1"/>
    <w:rPr>
      <w:rFonts w:ascii="Arial" w:hAnsi="Arial"/>
      <w:b/>
      <w:bCs/>
      <w:kern w:val="32"/>
      <w:sz w:val="32"/>
      <w:szCs w:val="32"/>
      <w:lang w:val="x-none" w:eastAsia="x-none"/>
    </w:rPr>
  </w:style>
  <w:style w:type="character" w:customStyle="1" w:styleId="Antrat2Diagrama">
    <w:name w:val="Antraštė 2 Diagrama"/>
    <w:link w:val="Antrat2"/>
    <w:rPr>
      <w:b/>
      <w:sz w:val="24"/>
      <w:u w:val="single"/>
      <w:lang w:val="en-US" w:eastAsia="x-none"/>
    </w:rPr>
  </w:style>
  <w:style w:type="character" w:customStyle="1" w:styleId="Antrat3Diagrama">
    <w:name w:val="Antraštė 3 Diagrama"/>
    <w:link w:val="Antrat3"/>
    <w:rPr>
      <w:b/>
      <w:sz w:val="24"/>
      <w:lang w:val="en-US" w:eastAsia="x-none"/>
    </w:rPr>
  </w:style>
  <w:style w:type="character" w:customStyle="1" w:styleId="Antrat4Diagrama">
    <w:name w:val="Antraštė 4 Diagrama"/>
    <w:link w:val="Antrat4"/>
    <w:rPr>
      <w:b/>
      <w:bCs/>
      <w:sz w:val="28"/>
      <w:szCs w:val="28"/>
      <w:lang w:val="x-none" w:eastAsia="x-none"/>
    </w:rPr>
  </w:style>
  <w:style w:type="character" w:customStyle="1" w:styleId="Antrat6Diagrama">
    <w:name w:val="Antraštė 6 Diagrama"/>
    <w:link w:val="Antrat6"/>
    <w:rPr>
      <w:b/>
      <w:sz w:val="24"/>
      <w:lang w:val="en-US" w:eastAsia="x-none"/>
    </w:rPr>
  </w:style>
  <w:style w:type="numbering" w:customStyle="1" w:styleId="Sraonra1">
    <w:name w:val="Sąrašo nėra1"/>
    <w:next w:val="Sraonra"/>
    <w:uiPriority w:val="99"/>
    <w:semiHidden/>
    <w:unhideWhenUsed/>
  </w:style>
  <w:style w:type="numbering" w:customStyle="1" w:styleId="NoList1">
    <w:name w:val="No List1"/>
    <w:next w:val="Sraonra"/>
    <w:uiPriority w:val="99"/>
    <w:semiHidden/>
    <w:unhideWhenUsed/>
  </w:style>
  <w:style w:type="character" w:styleId="Grietas">
    <w:name w:val="Strong"/>
    <w:uiPriority w:val="22"/>
    <w:qFormat/>
    <w:rPr>
      <w:b/>
      <w:bCs/>
    </w:rPr>
  </w:style>
  <w:style w:type="character" w:styleId="Emfaz">
    <w:name w:val="Emphasis"/>
    <w:uiPriority w:val="20"/>
    <w:qFormat/>
    <w:rPr>
      <w:i/>
      <w:iCs/>
    </w:rPr>
  </w:style>
  <w:style w:type="paragraph" w:customStyle="1" w:styleId="spacednormal">
    <w:name w:val="spaced normal"/>
    <w:basedOn w:val="prastasis"/>
    <w:link w:val="spacednormalChar"/>
    <w:qFormat/>
    <w:pPr>
      <w:spacing w:before="60" w:after="60"/>
      <w:ind w:left="567" w:right="567"/>
      <w:jc w:val="both"/>
    </w:pPr>
    <w:rPr>
      <w:rFonts w:ascii="Arial" w:hAnsi="Arial"/>
      <w:bCs/>
      <w:sz w:val="20"/>
      <w:lang w:val="en-AU" w:eastAsia="en-AU"/>
    </w:rPr>
  </w:style>
  <w:style w:type="character" w:customStyle="1" w:styleId="spacednormalChar">
    <w:name w:val="spaced normal Char"/>
    <w:link w:val="spacednormal"/>
    <w:rPr>
      <w:rFonts w:ascii="Arial" w:hAnsi="Arial"/>
      <w:bCs/>
      <w:lang w:val="en-AU" w:eastAsia="en-AU"/>
    </w:rPr>
  </w:style>
  <w:style w:type="character" w:customStyle="1" w:styleId="Heading1NumberedChar">
    <w:name w:val="Heading 1 Numbered Char"/>
    <w:qFormat/>
    <w:rPr>
      <w:rFonts w:ascii="Arial" w:hAnsi="Arial"/>
      <w:b/>
      <w:noProof w:val="0"/>
      <w:sz w:val="28"/>
      <w:lang w:val="en-AU" w:eastAsia="en-AU" w:bidi="ar-SA"/>
    </w:rPr>
  </w:style>
  <w:style w:type="paragraph" w:customStyle="1" w:styleId="Heading2Numbered">
    <w:name w:val="Heading 2 Numbered"/>
    <w:basedOn w:val="prastasis"/>
    <w:next w:val="prastasis"/>
    <w:link w:val="Heading2NumberedChar2"/>
    <w:qFormat/>
    <w:pPr>
      <w:numPr>
        <w:ilvl w:val="1"/>
        <w:numId w:val="11"/>
      </w:numPr>
      <w:spacing w:before="240" w:after="120"/>
      <w:outlineLvl w:val="1"/>
    </w:pPr>
    <w:rPr>
      <w:rFonts w:ascii="Arial" w:hAnsi="Arial"/>
      <w:b/>
      <w:sz w:val="28"/>
      <w:lang w:val="en-AU" w:eastAsia="en-AU"/>
    </w:rPr>
  </w:style>
  <w:style w:type="character" w:customStyle="1" w:styleId="Heading2NumberedChar2">
    <w:name w:val="Heading 2 Numbered Char2"/>
    <w:link w:val="Heading2Numbered"/>
    <w:rPr>
      <w:rFonts w:ascii="Arial" w:hAnsi="Arial"/>
      <w:b/>
      <w:sz w:val="28"/>
      <w:lang w:val="en-AU" w:eastAsia="en-AU"/>
    </w:rPr>
  </w:style>
  <w:style w:type="paragraph" w:customStyle="1" w:styleId="Heading2ndlevel">
    <w:name w:val="Heading 2nd level"/>
    <w:basedOn w:val="Heading2Numbered"/>
    <w:qFormat/>
    <w:pPr>
      <w:numPr>
        <w:ilvl w:val="2"/>
      </w:numPr>
      <w:tabs>
        <w:tab w:val="clear" w:pos="1146"/>
        <w:tab w:val="num" w:pos="360"/>
        <w:tab w:val="left" w:pos="578"/>
        <w:tab w:val="num" w:pos="1080"/>
      </w:tabs>
      <w:ind w:left="360" w:hanging="360"/>
    </w:pPr>
  </w:style>
  <w:style w:type="numbering" w:customStyle="1" w:styleId="NoList11">
    <w:name w:val="No List11"/>
    <w:next w:val="Sraonra"/>
    <w:uiPriority w:val="99"/>
    <w:semiHidden/>
    <w:unhideWhenUsed/>
  </w:style>
  <w:style w:type="character" w:customStyle="1" w:styleId="AntratsDiagrama">
    <w:name w:val="Antraštės Diagrama"/>
    <w:link w:val="Antrats"/>
    <w:rPr>
      <w:sz w:val="24"/>
      <w:lang w:val="x-none" w:eastAsia="x-none"/>
    </w:rPr>
  </w:style>
  <w:style w:type="character" w:customStyle="1" w:styleId="PoratDiagrama">
    <w:name w:val="Poraštė Diagrama"/>
    <w:link w:val="Porat"/>
    <w:rPr>
      <w:sz w:val="24"/>
      <w:lang w:val="x-none" w:eastAsia="x-none"/>
    </w:rPr>
  </w:style>
  <w:style w:type="character" w:customStyle="1" w:styleId="PagrindinistekstasDiagrama">
    <w:name w:val="Pagrindinis tekstas Diagrama"/>
    <w:link w:val="Pagrindinistekstas"/>
    <w:rPr>
      <w:sz w:val="22"/>
      <w:lang w:val="x-none" w:eastAsia="x-none"/>
    </w:rPr>
  </w:style>
  <w:style w:type="paragraph" w:customStyle="1" w:styleId="AHeader2abc">
    <w:name w:val="AHeader 2 abc"/>
    <w:basedOn w:val="AHeader3"/>
    <w:pPr>
      <w:jc w:val="both"/>
    </w:pPr>
    <w:rPr>
      <w:b w:val="0"/>
      <w:bCs w:val="0"/>
    </w:rPr>
  </w:style>
  <w:style w:type="paragraph" w:customStyle="1" w:styleId="AHeader3">
    <w:name w:val="AHeader 3"/>
    <w:basedOn w:val="AHeader2"/>
    <w:pPr>
      <w:ind w:left="1276" w:hanging="567"/>
    </w:pPr>
  </w:style>
  <w:style w:type="paragraph" w:customStyle="1" w:styleId="AHeader2">
    <w:name w:val="AHeader 2"/>
    <w:basedOn w:val="AHeader1"/>
    <w:pPr>
      <w:tabs>
        <w:tab w:val="clear" w:pos="720"/>
        <w:tab w:val="num" w:pos="360"/>
      </w:tabs>
      <w:ind w:left="709" w:hanging="425"/>
    </w:pPr>
    <w:rPr>
      <w:sz w:val="22"/>
    </w:rPr>
  </w:style>
  <w:style w:type="paragraph" w:customStyle="1" w:styleId="AHeader1">
    <w:name w:val="AHeader 1"/>
    <w:basedOn w:val="prastasis"/>
    <w:pPr>
      <w:tabs>
        <w:tab w:val="num" w:pos="720"/>
      </w:tabs>
      <w:spacing w:after="120"/>
      <w:ind w:left="284" w:hanging="284"/>
    </w:pPr>
    <w:rPr>
      <w:rFonts w:ascii="Arial" w:hAnsi="Arial" w:cs="Arial"/>
      <w:b/>
      <w:bCs/>
      <w:lang w:val="en-GB" w:eastAsia="en-US"/>
    </w:rPr>
  </w:style>
  <w:style w:type="paragraph" w:customStyle="1" w:styleId="AHeader3abc">
    <w:name w:val="AHeader 3 abc"/>
    <w:basedOn w:val="AHeader2abc"/>
    <w:pPr>
      <w:numPr>
        <w:ilvl w:val="1"/>
      </w:numPr>
      <w:tabs>
        <w:tab w:val="num" w:pos="360"/>
      </w:tabs>
      <w:ind w:left="1701" w:hanging="567"/>
    </w:pPr>
  </w:style>
  <w:style w:type="paragraph" w:styleId="Pagrindiniotekstotrauka3">
    <w:name w:val="Body Text Indent 3"/>
    <w:basedOn w:val="prastasis"/>
    <w:link w:val="Pagrindiniotekstotrauka3Diagrama"/>
    <w:pPr>
      <w:tabs>
        <w:tab w:val="left" w:pos="567"/>
        <w:tab w:val="left" w:pos="1134"/>
      </w:tabs>
      <w:autoSpaceDE w:val="0"/>
      <w:autoSpaceDN w:val="0"/>
      <w:adjustRightInd w:val="0"/>
      <w:spacing w:line="260" w:lineRule="exact"/>
      <w:ind w:left="633"/>
      <w:jc w:val="both"/>
    </w:pPr>
    <w:rPr>
      <w:sz w:val="22"/>
      <w:szCs w:val="21"/>
      <w:lang w:val="en-GB" w:eastAsia="en-US"/>
    </w:rPr>
  </w:style>
  <w:style w:type="character" w:customStyle="1" w:styleId="Pagrindiniotekstotrauka3Diagrama">
    <w:name w:val="Pagrindinio teksto įtrauka 3 Diagrama"/>
    <w:link w:val="Pagrindiniotekstotrauka3"/>
    <w:rPr>
      <w:sz w:val="22"/>
      <w:szCs w:val="21"/>
      <w:lang w:val="en-GB" w:eastAsia="en-US"/>
    </w:rPr>
  </w:style>
  <w:style w:type="paragraph" w:customStyle="1" w:styleId="listbull">
    <w:name w:val="list:bull"/>
    <w:basedOn w:val="prastasis"/>
    <w:link w:val="listbullChar"/>
    <w:pPr>
      <w:tabs>
        <w:tab w:val="num" w:pos="432"/>
      </w:tabs>
      <w:spacing w:after="120"/>
      <w:ind w:left="432" w:hanging="432"/>
    </w:pPr>
    <w:rPr>
      <w:szCs w:val="24"/>
      <w:lang w:val="en-GB" w:eastAsia="x-none"/>
    </w:rPr>
  </w:style>
  <w:style w:type="character" w:customStyle="1" w:styleId="listbullChar">
    <w:name w:val="list:bull Char"/>
    <w:link w:val="listbull"/>
    <w:rPr>
      <w:sz w:val="24"/>
      <w:szCs w:val="24"/>
      <w:lang w:val="en-GB" w:eastAsia="x-none"/>
    </w:rPr>
  </w:style>
  <w:style w:type="paragraph" w:customStyle="1" w:styleId="listssp">
    <w:name w:val="list:ssp"/>
    <w:basedOn w:val="prastasis"/>
    <w:rPr>
      <w:lang w:val="en-GB" w:eastAsia="en-US"/>
    </w:rPr>
  </w:style>
  <w:style w:type="paragraph" w:customStyle="1" w:styleId="PI-1EMEASMCA">
    <w:name w:val="PI-1 EMEA_SMCA"/>
    <w:basedOn w:val="Antrat2"/>
    <w:autoRedefine/>
    <w:pPr>
      <w:tabs>
        <w:tab w:val="clear" w:pos="4300"/>
        <w:tab w:val="clear" w:pos="5940"/>
        <w:tab w:val="clear" w:pos="8180"/>
        <w:tab w:val="left" w:pos="567"/>
      </w:tabs>
      <w:spacing w:line="240" w:lineRule="auto"/>
      <w:ind w:left="567" w:hanging="567"/>
    </w:pPr>
    <w:rPr>
      <w:bCs/>
      <w:noProof/>
      <w:sz w:val="22"/>
      <w:szCs w:val="22"/>
      <w:u w:val="none"/>
      <w:lang w:val="lt-LT" w:eastAsia="en-US"/>
    </w:rPr>
  </w:style>
  <w:style w:type="paragraph" w:customStyle="1" w:styleId="PI-2EMEASMCA">
    <w:name w:val="PI-2 EMEA_SMCA"/>
    <w:basedOn w:val="Antrat3"/>
    <w:autoRedefine/>
    <w:pPr>
      <w:keepLines/>
      <w:tabs>
        <w:tab w:val="clear" w:pos="6760"/>
        <w:tab w:val="left" w:pos="567"/>
      </w:tabs>
      <w:spacing w:line="240" w:lineRule="auto"/>
      <w:ind w:left="567" w:hanging="567"/>
    </w:pPr>
    <w:rPr>
      <w:kern w:val="28"/>
      <w:sz w:val="22"/>
      <w:szCs w:val="22"/>
      <w:lang w:val="lt-LT" w:eastAsia="en-US"/>
    </w:rPr>
  </w:style>
  <w:style w:type="paragraph" w:customStyle="1" w:styleId="BTEMEASMCA">
    <w:name w:val="BT EMEA_SMCA"/>
    <w:basedOn w:val="prastasis"/>
    <w:link w:val="BTEMEASMCAChar"/>
    <w:autoRedefine/>
    <w:rPr>
      <w:noProof/>
      <w:sz w:val="20"/>
      <w:lang w:val="x-none" w:eastAsia="x-none"/>
    </w:rPr>
  </w:style>
  <w:style w:type="character" w:customStyle="1" w:styleId="BTEMEASMCAChar">
    <w:name w:val="BT EMEA_SMCA Char"/>
    <w:link w:val="BTEMEASMCA"/>
    <w:rPr>
      <w:noProof/>
      <w:lang w:val="x-none" w:eastAsia="x-none"/>
    </w:rPr>
  </w:style>
  <w:style w:type="paragraph" w:customStyle="1" w:styleId="TTEMEASMCA">
    <w:name w:val="TT EMEA_SMCA"/>
    <w:basedOn w:val="Antrat1"/>
    <w:link w:val="TTEMEASMCAChar"/>
    <w:autoRedefine/>
    <w:pPr>
      <w:keepNext w:val="0"/>
      <w:tabs>
        <w:tab w:val="left" w:pos="567"/>
      </w:tabs>
      <w:spacing w:before="0" w:after="0"/>
      <w:ind w:left="567" w:hanging="567"/>
      <w:jc w:val="center"/>
    </w:pPr>
    <w:rPr>
      <w:rFonts w:ascii="Times New Roman" w:hAnsi="Times New Roman"/>
      <w:bCs w:val="0"/>
      <w:caps/>
      <w:kern w:val="0"/>
      <w:sz w:val="20"/>
      <w:szCs w:val="20"/>
      <w:lang w:val="en-US"/>
    </w:rPr>
  </w:style>
  <w:style w:type="character" w:customStyle="1" w:styleId="TTEMEASMCAChar">
    <w:name w:val="TT EMEA_SMCA Char"/>
    <w:link w:val="TTEMEASMCA"/>
    <w:rPr>
      <w:b/>
      <w:caps/>
      <w:lang w:val="en-US" w:eastAsia="x-none"/>
    </w:rPr>
  </w:style>
  <w:style w:type="paragraph" w:customStyle="1" w:styleId="BTAnIIEMEASMCA">
    <w:name w:val="BT(AnII) EMEA_SMCA"/>
    <w:basedOn w:val="Debesliotekstas"/>
    <w:autoRedefine/>
    <w:pPr>
      <w:tabs>
        <w:tab w:val="clear" w:pos="567"/>
        <w:tab w:val="left" w:pos="1701"/>
      </w:tabs>
      <w:spacing w:line="240" w:lineRule="auto"/>
      <w:ind w:left="1620" w:hanging="486"/>
    </w:pPr>
    <w:rPr>
      <w:rFonts w:ascii="Times New Roman" w:hAnsi="Times New Roman"/>
      <w:b/>
      <w:sz w:val="22"/>
      <w:szCs w:val="22"/>
      <w:lang w:val="en-GB" w:eastAsia="en-US" w:bidi="ar-SA"/>
    </w:rPr>
  </w:style>
  <w:style w:type="paragraph" w:customStyle="1" w:styleId="BTgEMEASMCA">
    <w:name w:val="BT(g) EMEA_SMCA"/>
    <w:basedOn w:val="BTEMEASMCA"/>
    <w:link w:val="BTgEMEASMCAChar"/>
    <w:autoRedefine/>
    <w:pPr>
      <w:numPr>
        <w:numId w:val="13"/>
      </w:numPr>
      <w:tabs>
        <w:tab w:val="clear" w:pos="432"/>
      </w:tabs>
      <w:ind w:left="0" w:firstLine="0"/>
    </w:pPr>
    <w:rPr>
      <w:i/>
      <w:color w:val="008000"/>
    </w:rPr>
  </w:style>
  <w:style w:type="character" w:customStyle="1" w:styleId="BTgEMEASMCAChar">
    <w:name w:val="BT(g) EMEA_SMCA Char"/>
    <w:link w:val="BTgEMEASMCA"/>
    <w:rPr>
      <w:i/>
      <w:noProof/>
      <w:color w:val="008000"/>
      <w:lang w:val="x-none" w:eastAsia="x-none"/>
    </w:rPr>
  </w:style>
  <w:style w:type="paragraph" w:customStyle="1" w:styleId="BTuEMEASMCA">
    <w:name w:val="BT(u) EMEA_SMCA"/>
    <w:basedOn w:val="BTEMEASMCA"/>
    <w:autoRedefine/>
    <w:rPr>
      <w:u w:val="single"/>
    </w:rPr>
  </w:style>
  <w:style w:type="character" w:customStyle="1" w:styleId="CharChar2">
    <w:name w:val="Char Char2"/>
    <w:rPr>
      <w:i/>
      <w:color w:val="008000"/>
      <w:sz w:val="22"/>
      <w:lang w:val="en-GB" w:eastAsia="en-US" w:bidi="ar-SA"/>
    </w:rPr>
  </w:style>
  <w:style w:type="character" w:customStyle="1" w:styleId="hps">
    <w:name w:val="hps"/>
  </w:style>
  <w:style w:type="paragraph" w:styleId="Pataisymai">
    <w:name w:val="Revision"/>
    <w:hidden/>
    <w:uiPriority w:val="99"/>
    <w:semiHidden/>
    <w:rPr>
      <w:rFonts w:ascii="Calibri" w:eastAsia="Calibri" w:hAnsi="Calibri"/>
      <w:sz w:val="22"/>
      <w:szCs w:val="22"/>
      <w:lang w:eastAsia="en-US"/>
    </w:rPr>
  </w:style>
  <w:style w:type="character" w:customStyle="1" w:styleId="PaprastasistekstasDiagrama">
    <w:name w:val="Paprastasis tekstas Diagrama"/>
    <w:basedOn w:val="Numatytasispastraiposriftas"/>
    <w:link w:val="Paprastasistekstas"/>
    <w:rPr>
      <w:rFonts w:ascii="Courier New" w:hAnsi="Courier New"/>
      <w:lang w:val="en-GB" w:eastAsia="sl-SI"/>
    </w:rPr>
  </w:style>
  <w:style w:type="character" w:customStyle="1" w:styleId="Pagrindinistekstas2Diagrama">
    <w:name w:val="Pagrindinis tekstas 2 Diagrama"/>
    <w:basedOn w:val="Numatytasispastraiposriftas"/>
    <w:link w:val="Pagrindinistekstas2"/>
    <w:rPr>
      <w:sz w:val="24"/>
      <w:lang w:val="sl-SI" w:eastAsia="sl-SI"/>
    </w:rPr>
  </w:style>
  <w:style w:type="numbering" w:customStyle="1" w:styleId="Sraonra11">
    <w:name w:val="Sąrašo nėra11"/>
    <w:next w:val="Sraonra"/>
    <w:uiPriority w:val="99"/>
    <w:semiHidden/>
    <w:unhideWhenUsed/>
  </w:style>
  <w:style w:type="numbering" w:customStyle="1" w:styleId="Sraonra111">
    <w:name w:val="Sąrašo nėra111"/>
    <w:next w:val="Sraonra"/>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31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s://vapris.vvkt.lt/vvkt-web/public/medications" TargetMode="External"/><Relationship Id="rId23" Type="http://schemas.openxmlformats.org/officeDocument/2006/relationships/theme" Target="theme/theme1.xml"/><Relationship Id="rId10" Type="http://schemas.openxmlformats.org/officeDocument/2006/relationships/hyperlink" Target="http://www.whocc.no/atcddd/indexdatabase/index.php?query=G04C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C4A22-C04D-4303-A12A-FEB6835FE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36</Pages>
  <Words>10181</Words>
  <Characters>72199</Characters>
  <Application>Microsoft Office Word</Application>
  <DocSecurity>0</DocSecurity>
  <Lines>601</Lines>
  <Paragraphs>164</Paragraphs>
  <ScaleCrop>false</ScaleCrop>
  <HeadingPairs>
    <vt:vector size="10" baseType="variant">
      <vt:variant>
        <vt:lpstr>Pavadinimas</vt:lpstr>
      </vt:variant>
      <vt:variant>
        <vt:i4>1</vt:i4>
      </vt:variant>
      <vt:variant>
        <vt:lpstr>Antraštės</vt:lpstr>
      </vt:variant>
      <vt:variant>
        <vt:i4>100</vt:i4>
      </vt:variant>
      <vt:variant>
        <vt:lpstr>Title</vt:lpstr>
      </vt:variant>
      <vt:variant>
        <vt:i4>1</vt:i4>
      </vt:variant>
      <vt:variant>
        <vt:lpstr>Headings</vt:lpstr>
      </vt:variant>
      <vt:variant>
        <vt:i4>100</vt:i4>
      </vt:variant>
      <vt:variant>
        <vt:lpstr>Naslov</vt:lpstr>
      </vt:variant>
      <vt:variant>
        <vt:i4>1</vt:i4>
      </vt:variant>
    </vt:vector>
  </HeadingPairs>
  <TitlesOfParts>
    <vt:vector size="203" baseType="lpstr">
      <vt:lpstr>PARTICULARS TO APPEAR ON &lt;THE OUTER PACKAGING&gt; &lt;AND&gt; &lt;THE IMMEDIATE PACKAGING&gt;</vt:lpstr>
      <vt:lpstr/>
      <vt:lpstr/>
      <vt:lpstr/>
      <vt:lpstr/>
      <vt:lpstr/>
      <vt:lpstr/>
      <vt:lpstr/>
      <vt:lpstr/>
      <vt:lpstr/>
      <vt:lpstr/>
      <vt:lpstr/>
      <vt:lpstr/>
      <vt:lpstr/>
      <vt:lpstr/>
      <vt:lpstr/>
      <vt:lpstr/>
      <vt:lpstr/>
      <vt:lpstr/>
      <vt:lpstr/>
      <vt:lpstr/>
      <vt:lpstr/>
      <vt:lpstr/>
      <vt:lpstr/>
      <vt:lpstr>I PRIEDAS</vt:lpstr>
      <vt:lpstr/>
      <vt:lpstr>PREPARATO CHARAKTERISTIKŲ SANTRAUKA</vt:lpstr>
      <vt:lpstr/>
      <vt:lpstr/>
      <vt:lpstr>Dutasteride/Tamsulosin Krka 0,5 mg/0,4 mg kietosios kapsulės</vt:lpstr>
      <vt:lpstr/>
      <vt:lpstr/>
      <vt:lpstr/>
      <vt:lpstr>Kiekvienoje kietojoje kapsulėje yra 0,5 mg dutasterido ir 0,4 mg tamsulozino hid</vt:lpstr>
      <vt:lpstr/>
      <vt:lpstr>Pagalbinė (-s) medžiaga (-os), kurios (-ių) poveikis žinomas</vt:lpstr>
      <vt:lpstr>Kiekvienoje kapsulėje yra sojų lecitino ir propilenglikolio.</vt:lpstr>
      <vt:lpstr/>
      <vt:lpstr>Kiekvienoje šio vaistinio preparato kietojoje kapsulėje yra 299,46 mg propilengl</vt:lpstr>
      <vt:lpstr/>
      <vt:lpstr>Visos pagalbinės medžiagos išvardytos 6.1 skyriuje.</vt:lpstr>
      <vt:lpstr/>
      <vt:lpstr/>
      <vt:lpstr/>
      <vt:lpstr>Kietoji kapsulė</vt:lpstr>
      <vt:lpstr/>
      <vt:lpstr>Dutasteride/Tamsulosin Krka yra pailgos, kietosios želatinos kapsulės, maždaug 2</vt:lpstr>
      <vt:lpstr/>
      <vt:lpstr>Kiekvienoje kietojoje kapsulėje yra tamsulozino hidrochlorido modifikuoto atpala</vt:lpstr>
      <vt:lpstr/>
      <vt:lpstr/>
      <vt:lpstr/>
      <vt:lpstr>Vidutinio sunkumo ir sunkių gerybinės prostatos hiperplazijos (GPH) simptomų gyd</vt:lpstr>
      <vt:lpstr/>
      <vt:lpstr>Ūminio šlapimo susilaikymo (ŪŠS) rizikos ir chirurginio gydymo poreikio mažinima</vt:lpstr>
      <vt:lpstr/>
      <vt:lpstr>Informacijos apie gydymo poveikį ir pacientų populiacijas, tirtas klinikinių tyr</vt:lpstr>
      <vt:lpstr/>
      <vt:lpstr/>
      <vt:lpstr>Dozavimas</vt:lpstr>
      <vt:lpstr/>
      <vt:lpstr>Suaugusieji (įskaitant senyvus)</vt:lpstr>
      <vt:lpstr/>
      <vt:lpstr>Rekomenduojama dozė yra viena Dutasteride/Tamsulosin Krka kapsulė (0,5 mg/0,4 mg</vt:lpstr>
      <vt:lpstr/>
      <vt:lpstr>Jei vartojamas dviejų atskirų vaistinių preparatų derinys, kad būtų paprasčiau, </vt:lpstr>
      <vt:lpstr/>
      <vt:lpstr>Jeigu klinikiniu požiūriu priimtina, galima apsvarstyti tiesioginį monoterapijos</vt:lpstr>
      <vt:lpstr/>
      <vt:lpstr>Sutrikusi inkstų funkcija </vt:lpstr>
      <vt:lpstr>Inkstų funkcijos sutrikimo įtaka dutasterido ir tamsulozino derinio farmakokinet</vt:lpstr>
      <vt:lpstr/>
      <vt:lpstr>Sutrikusi kepenų funkcija</vt:lpstr>
      <vt:lpstr/>
      <vt:lpstr>Kepenų funkcijos sutrikimo įtaka dutasterido ir tamsulozino derinio farmakokinet</vt:lpstr>
      <vt:lpstr/>
      <vt:lpstr>Vaikų populiacija</vt:lpstr>
      <vt:lpstr/>
      <vt:lpstr>Dutasterido ir tamsulozino derinio negalima vartoti vaikų populiacijos pacientam</vt:lpstr>
      <vt:lpstr/>
      <vt:lpstr>Vartojimo metodas</vt:lpstr>
      <vt:lpstr/>
      <vt:lpstr>Vartoti per burną.</vt:lpstr>
      <vt:lpstr/>
      <vt:lpstr>Pacientams reikia nurodyti, kad nurytų visą kapsulę praėjus maždaug 30 minučių p</vt:lpstr>
      <vt:lpstr/>
      <vt:lpstr/>
      <vt:lpstr>Dutasteride/Tamsulosin Krka vartoti negalima:</vt:lpstr>
      <vt:lpstr/>
      <vt:lpstr/>
      <vt:lpstr>Kombinuotas gydymas turi būti skiriamas tik atidžiai įvertinus naudos ir rizikos</vt:lpstr>
      <vt:lpstr/>
      <vt:lpstr>Prostatos vėžys ir didelio laipsnio navikai</vt:lpstr>
      <vt:lpstr/>
      <vt:lpstr>4 metų trukmės, daugiacentrio, atsitiktinių imčių, dvigubai koduoto, placebu kon</vt:lpstr>
      <vt:lpstr/>
      <vt:lpstr>Prostatos specifinis antigenas (PSA)</vt:lpstr>
      <vt:lpstr/>
      <vt:lpstr>Diagnozuojant prostatos vėžį, labai svarbus yra prostatos specifinio antigeno (P</vt:lpstr>
      <vt:lpstr/>
      <vt:lpstr>Dutasteride/Tamsulosin Krka vartojantiems pacientams po 6 gydymo dutasterido ir </vt:lpstr>
      <vt:lpstr>PARTICULARS TO APPEAR ON &lt;THE OUTER PACKAGING&gt; &lt;AND&gt; &lt;THE IMMEDIATE PACKAGING&gt;</vt:lpstr>
      <vt:lpstr/>
      <vt:lpstr/>
      <vt:lpstr/>
      <vt:lpstr/>
      <vt:lpstr/>
      <vt:lpstr/>
      <vt:lpstr/>
      <vt:lpstr/>
      <vt:lpstr/>
      <vt:lpstr/>
      <vt:lpstr/>
      <vt:lpstr/>
      <vt:lpstr/>
      <vt:lpstr/>
      <vt:lpstr/>
      <vt:lpstr/>
      <vt:lpstr/>
      <vt:lpstr/>
      <vt:lpstr/>
      <vt:lpstr/>
      <vt:lpstr/>
      <vt:lpstr/>
      <vt:lpstr/>
      <vt:lpstr>I PRIEDAS</vt:lpstr>
      <vt:lpstr/>
      <vt:lpstr>PREPARATO CHARAKTERISTIKŲ SANTRAUKA</vt:lpstr>
      <vt:lpstr/>
      <vt:lpstr/>
      <vt:lpstr>Dutasteride/Tamsulosin Krka 0,5 mg/0,4 mg kietosios kapsulės</vt:lpstr>
      <vt:lpstr/>
      <vt:lpstr/>
      <vt:lpstr/>
      <vt:lpstr>Kiekvienoje kietojoje kapsulėje yra 0,5 mg dutasterido ir 0,4 mg tamsulozino hid</vt:lpstr>
      <vt:lpstr/>
      <vt:lpstr>Pagalbinė (-s) medžiaga (-os), kurios (-ių) poveikis žinomas</vt:lpstr>
      <vt:lpstr>Kiekvienoje kapsulėje yra sojų lecitino ir propilenglikolio.</vt:lpstr>
      <vt:lpstr/>
      <vt:lpstr>Kiekvienoje šio vaistinio preparato kietojoje kapsulėje yra 299,46 mg propilengl</vt:lpstr>
      <vt:lpstr/>
      <vt:lpstr>Visos pagalbinės medžiagos išvardytos 6.1 skyriuje.</vt:lpstr>
      <vt:lpstr/>
      <vt:lpstr/>
      <vt:lpstr/>
      <vt:lpstr>Kietoji kapsulė</vt:lpstr>
      <vt:lpstr/>
      <vt:lpstr>Dutasteride/Tamsulosin Krka yra pailgos, kietosios želatinos kapsulės, maždaug 2</vt:lpstr>
      <vt:lpstr/>
      <vt:lpstr>Kiekvienoje kietojoje kapsulėje yra tamsulozino hidrochlorido modifikuoto atpala</vt:lpstr>
      <vt:lpstr/>
      <vt:lpstr/>
      <vt:lpstr/>
      <vt:lpstr>Vidutinio sunkumo ir sunkių gerybinės prostatos hiperplazijos (GPH) simptomų gyd</vt:lpstr>
      <vt:lpstr/>
      <vt:lpstr>Ūminio šlapimo susilaikymo (ŪŠS) rizikos ir chirurginio gydymo poreikio mažinima</vt:lpstr>
      <vt:lpstr/>
      <vt:lpstr>Informacijos apie gydymo poveikį ir pacientų populiacijas, tirtas klinikinių tyr</vt:lpstr>
      <vt:lpstr/>
      <vt:lpstr/>
      <vt:lpstr>Dozavimas</vt:lpstr>
      <vt:lpstr/>
      <vt:lpstr>Suaugusieji (įskaitant senyvus)</vt:lpstr>
      <vt:lpstr/>
      <vt:lpstr>Rekomenduojama dozė yra viena Dutasteride/Tamsulosin Krka kapsulė (0,5 mg/0,4 mg</vt:lpstr>
      <vt:lpstr/>
      <vt:lpstr>Jei vartojamas dviejų atskirų vaistinių preparatų derinys, kad būtų paprasčiau, </vt:lpstr>
      <vt:lpstr/>
      <vt:lpstr>Jeigu klinikiniu požiūriu priimtina, galima apsvarstyti tiesioginį monoterapijos</vt:lpstr>
      <vt:lpstr/>
      <vt:lpstr>Sutrikusi inkstų funkcija </vt:lpstr>
      <vt:lpstr>Inkstų funkcijos sutrikimo įtaka dutasterido ir tamsulozino derinio farmakokinet</vt:lpstr>
      <vt:lpstr/>
      <vt:lpstr>Sutrikusi kepenų funkcija</vt:lpstr>
      <vt:lpstr/>
      <vt:lpstr>Kepenų funkcijos sutrikimo įtaka dutasterido ir tamsulozino derinio farmakokinet</vt:lpstr>
      <vt:lpstr/>
      <vt:lpstr>Vaikų populiacija</vt:lpstr>
      <vt:lpstr/>
      <vt:lpstr>Dutasterido ir tamsulozino derinio negalima vartoti vaikų populiacijos pacientam</vt:lpstr>
      <vt:lpstr/>
      <vt:lpstr>Vartojimo metodas</vt:lpstr>
      <vt:lpstr/>
      <vt:lpstr>Vartoti per burną.</vt:lpstr>
      <vt:lpstr/>
      <vt:lpstr>Pacientams reikia nurodyti, kad nurytų visą kapsulę praėjus maždaug 30 minučių p</vt:lpstr>
      <vt:lpstr/>
      <vt:lpstr/>
      <vt:lpstr>Dutasteride/Tamsulosin Krka vartoti negalima:</vt:lpstr>
      <vt:lpstr/>
      <vt:lpstr/>
      <vt:lpstr>Kombinuotas gydymas turi būti skiriamas tik atidžiai įvertinus naudos ir rizikos</vt:lpstr>
      <vt:lpstr/>
      <vt:lpstr>Prostatos vėžys ir didelio laipsnio navikai</vt:lpstr>
      <vt:lpstr/>
      <vt:lpstr>4 metų trukmės, daugiacentrio, atsitiktinių imčių, dvigubai koduoto, placebu kon</vt:lpstr>
      <vt:lpstr/>
      <vt:lpstr>Prostatos specifinis antigenas (PSA)</vt:lpstr>
      <vt:lpstr/>
      <vt:lpstr>Diagnozuojant prostatos vėžį, labai svarbus yra prostatos specifinio antigeno (P</vt:lpstr>
      <vt:lpstr/>
      <vt:lpstr>Dutasteride/Tamsulosin Krka vartojantiems pacientams po 6 gydymo dutasterido ir </vt:lpstr>
      <vt:lpstr>PARTICULARS TO APPEAR ON &lt;THE OUTER PACKAGING&gt; &lt;AND&gt; &lt;THE IMMEDIATE PACKAGING&gt;</vt:lpstr>
    </vt:vector>
  </TitlesOfParts>
  <Company>Krka, d.d.</Company>
  <LinksUpToDate>false</LinksUpToDate>
  <CharactersWithSpaces>82216</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4063341</vt:i4>
      </vt:variant>
      <vt:variant>
        <vt:i4>6</vt:i4>
      </vt:variant>
      <vt:variant>
        <vt:i4>0</vt:i4>
      </vt:variant>
      <vt:variant>
        <vt:i4>5</vt:i4>
      </vt:variant>
      <vt:variant>
        <vt:lpwstr>http://www.whocc.no/atcddd/indexdatabase/index.php?query=G04CA</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cp:lastModifiedBy>Albina Burkauskaitė</cp:lastModifiedBy>
  <cp:revision>3</cp:revision>
  <dcterms:created xsi:type="dcterms:W3CDTF">2025-03-13T06:32:00Z</dcterms:created>
  <dcterms:modified xsi:type="dcterms:W3CDTF">2025-03-13T06:36:00Z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PI_Text080849_2</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