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bookmarkStart w:id="0" w:name="_Toc129243136"/>
      <w:bookmarkStart w:id="1" w:name="_Toc129243261"/>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913293" w:rsidRPr="0059741C" w:rsidRDefault="00913293" w:rsidP="00CC52FA">
      <w:pPr>
        <w:tabs>
          <w:tab w:val="left" w:pos="567"/>
        </w:tabs>
        <w:spacing w:after="0" w:line="240" w:lineRule="auto"/>
        <w:ind w:left="567" w:hanging="567"/>
        <w:jc w:val="center"/>
        <w:outlineLvl w:val="0"/>
        <w:rPr>
          <w:rFonts w:ascii="Times New Roman" w:hAnsi="Times New Roman"/>
          <w:b/>
        </w:rPr>
      </w:pPr>
    </w:p>
    <w:p w:rsidR="00CC52FA" w:rsidRPr="0059741C" w:rsidRDefault="00CC52FA" w:rsidP="00CC52FA">
      <w:pPr>
        <w:tabs>
          <w:tab w:val="left" w:pos="567"/>
        </w:tabs>
        <w:spacing w:after="0" w:line="240" w:lineRule="auto"/>
        <w:ind w:left="567" w:hanging="567"/>
        <w:jc w:val="center"/>
        <w:outlineLvl w:val="0"/>
        <w:rPr>
          <w:rFonts w:ascii="Times New Roman" w:hAnsi="Times New Roman"/>
          <w:b/>
        </w:rPr>
      </w:pPr>
      <w:r w:rsidRPr="0059741C">
        <w:rPr>
          <w:rFonts w:ascii="Times New Roman" w:hAnsi="Times New Roman"/>
          <w:b/>
        </w:rPr>
        <w:t>A. ŽENKLINIMAS</w:t>
      </w:r>
      <w:bookmarkEnd w:id="0"/>
      <w:bookmarkEnd w:id="1"/>
    </w:p>
    <w:p w:rsidR="00CC52FA" w:rsidRPr="0059741C" w:rsidRDefault="00CC52FA" w:rsidP="00CC52FA">
      <w:pPr>
        <w:spacing w:after="0" w:line="240" w:lineRule="auto"/>
        <w:rPr>
          <w:rFonts w:ascii="Times New Roman" w:hAnsi="Times New Roman"/>
        </w:rPr>
      </w:pPr>
      <w:r w:rsidRPr="0059741C">
        <w:rPr>
          <w:rFonts w:ascii="Times New Roman" w:hAnsi="Times New Roman"/>
        </w:rPr>
        <w:br w:type="page"/>
      </w: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lastRenderedPageBreak/>
        <w:t>INFORMACIJA ANT IŠORINĖS PAKUOTĖS</w:t>
      </w: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rPr>
      </w:pPr>
      <w:r w:rsidRPr="0059741C">
        <w:rPr>
          <w:rFonts w:ascii="Times New Roman" w:hAnsi="Times New Roman"/>
          <w:b/>
        </w:rPr>
        <w:t>DĖŽUTĖ</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1.</w:t>
      </w:r>
      <w:r w:rsidRPr="0059741C">
        <w:rPr>
          <w:rFonts w:ascii="Times New Roman" w:hAnsi="Times New Roman"/>
          <w:b/>
        </w:rPr>
        <w:tab/>
        <w:t>VAISTINIO PREPARATO PAVADINIMAS</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Allopurinol-ratiopharm 300 mg tabletės</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Alopurinolis</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2.</w:t>
      </w:r>
      <w:r w:rsidRPr="0059741C">
        <w:rPr>
          <w:rFonts w:ascii="Times New Roman" w:hAnsi="Times New Roman"/>
          <w:b/>
        </w:rPr>
        <w:tab/>
        <w:t>VEIKLIOJI (-IOS) MEDŽIAGA (-OS) IR JOS (-Ų) KIEKIS (-IAI)</w:t>
      </w:r>
    </w:p>
    <w:p w:rsidR="00CC52FA" w:rsidRPr="0059741C" w:rsidRDefault="00CC52FA" w:rsidP="00CC52FA">
      <w:pPr>
        <w:spacing w:after="0" w:line="240" w:lineRule="auto"/>
        <w:rPr>
          <w:rFonts w:ascii="Times New Roman" w:hAnsi="Times New Roman"/>
          <w:lang w:eastAsia="lt-LT"/>
        </w:rPr>
      </w:pPr>
    </w:p>
    <w:p w:rsidR="00CC52FA" w:rsidRPr="0059741C" w:rsidRDefault="001E70D1" w:rsidP="00CC52FA">
      <w:pPr>
        <w:spacing w:after="0" w:line="240" w:lineRule="auto"/>
        <w:rPr>
          <w:rFonts w:ascii="Times New Roman" w:hAnsi="Times New Roman"/>
          <w:lang w:eastAsia="lt-LT"/>
        </w:rPr>
      </w:pPr>
      <w:r w:rsidRPr="0059741C">
        <w:rPr>
          <w:rFonts w:ascii="Times New Roman" w:hAnsi="Times New Roman"/>
          <w:lang w:eastAsia="lt-LT"/>
        </w:rPr>
        <w:t>Kiekv</w:t>
      </w:r>
      <w:r w:rsidR="00CC52FA" w:rsidRPr="0059741C">
        <w:rPr>
          <w:rFonts w:ascii="Times New Roman" w:hAnsi="Times New Roman"/>
          <w:lang w:eastAsia="lt-LT"/>
        </w:rPr>
        <w:t xml:space="preserve">ienoje </w:t>
      </w:r>
      <w:r w:rsidR="00CC52FA" w:rsidRPr="0059741C">
        <w:rPr>
          <w:rFonts w:ascii="Times New Roman" w:hAnsi="Times New Roman"/>
          <w:color w:val="000000"/>
          <w:lang w:eastAsia="lt-LT"/>
        </w:rPr>
        <w:t xml:space="preserve">tabletėje </w:t>
      </w:r>
      <w:r w:rsidR="00CC52FA" w:rsidRPr="0059741C">
        <w:rPr>
          <w:rFonts w:ascii="Times New Roman" w:hAnsi="Times New Roman"/>
          <w:lang w:eastAsia="lt-LT"/>
        </w:rPr>
        <w:t>yra 300 mg alopurinolio.</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9741C">
        <w:rPr>
          <w:rFonts w:ascii="Times New Roman" w:hAnsi="Times New Roman"/>
          <w:b/>
        </w:rPr>
        <w:t>3.</w:t>
      </w:r>
      <w:r w:rsidRPr="0059741C">
        <w:rPr>
          <w:rFonts w:ascii="Times New Roman" w:hAnsi="Times New Roman"/>
          <w:b/>
        </w:rPr>
        <w:tab/>
        <w:t>PAGALBINIŲ MEDŽIAGŲ SĄRAŠAS</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4.</w:t>
      </w:r>
      <w:r w:rsidRPr="0059741C">
        <w:rPr>
          <w:rFonts w:ascii="Times New Roman" w:hAnsi="Times New Roman"/>
          <w:b/>
        </w:rPr>
        <w:tab/>
        <w:t>FARMACINĖ FORMA IR KIEKIS PAKUOTĖJE</w:t>
      </w:r>
    </w:p>
    <w:p w:rsidR="00CC52FA" w:rsidRPr="0059741C" w:rsidRDefault="00CC52FA" w:rsidP="00CC52FA">
      <w:pPr>
        <w:spacing w:after="0" w:line="240" w:lineRule="auto"/>
        <w:rPr>
          <w:rFonts w:ascii="Times New Roman" w:hAnsi="Times New Roman"/>
        </w:rPr>
      </w:pPr>
    </w:p>
    <w:p w:rsidR="004E7E57" w:rsidRPr="0059741C" w:rsidRDefault="004E7E57" w:rsidP="00CC52FA">
      <w:pPr>
        <w:spacing w:after="0" w:line="240" w:lineRule="auto"/>
        <w:rPr>
          <w:rFonts w:ascii="Times New Roman" w:hAnsi="Times New Roman"/>
          <w:highlight w:val="lightGray"/>
        </w:rPr>
      </w:pPr>
      <w:r w:rsidRPr="0059741C">
        <w:rPr>
          <w:rFonts w:ascii="Times New Roman" w:hAnsi="Times New Roman"/>
          <w:highlight w:val="lightGray"/>
        </w:rPr>
        <w:t>Tabletė</w:t>
      </w:r>
    </w:p>
    <w:p w:rsidR="004E7E57" w:rsidRPr="0059741C" w:rsidRDefault="004E7E57" w:rsidP="00CC52FA">
      <w:pPr>
        <w:spacing w:after="0" w:line="240" w:lineRule="auto"/>
        <w:rPr>
          <w:rFonts w:ascii="Times New Roman" w:hAnsi="Times New Roman"/>
        </w:rPr>
      </w:pPr>
    </w:p>
    <w:p w:rsidR="004E7E57" w:rsidRPr="0059741C" w:rsidRDefault="004E7E57" w:rsidP="00CC52FA">
      <w:pPr>
        <w:spacing w:after="0" w:line="240" w:lineRule="auto"/>
        <w:rPr>
          <w:rFonts w:ascii="Times New Roman" w:hAnsi="Times New Roman"/>
          <w:lang w:eastAsia="lt-LT"/>
        </w:rPr>
      </w:pPr>
      <w:r w:rsidRPr="0059741C">
        <w:rPr>
          <w:rFonts w:ascii="Times New Roman" w:hAnsi="Times New Roman"/>
          <w:lang w:eastAsia="lt-LT"/>
        </w:rPr>
        <w:t>20 tablečių</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highlight w:val="lightGray"/>
          <w:lang w:eastAsia="lt-LT"/>
        </w:rPr>
        <w:t>50 tablečių</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9741C">
        <w:rPr>
          <w:rFonts w:ascii="Times New Roman" w:hAnsi="Times New Roman"/>
          <w:b/>
        </w:rPr>
        <w:t>5.</w:t>
      </w:r>
      <w:r w:rsidRPr="0059741C">
        <w:rPr>
          <w:rFonts w:ascii="Times New Roman" w:hAnsi="Times New Roman"/>
          <w:b/>
        </w:rPr>
        <w:tab/>
        <w:t>VARTOJIMO METODAS IR BŪDAS (-AI)</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Vartoti per burną.</w:t>
      </w:r>
    </w:p>
    <w:p w:rsidR="00CC52FA" w:rsidRPr="0059741C" w:rsidRDefault="00CC52FA" w:rsidP="00CC52FA">
      <w:pPr>
        <w:spacing w:after="0" w:line="240" w:lineRule="auto"/>
        <w:rPr>
          <w:rFonts w:ascii="Times New Roman" w:hAnsi="Times New Roman"/>
        </w:rPr>
      </w:pPr>
      <w:r w:rsidRPr="0059741C">
        <w:rPr>
          <w:rFonts w:ascii="Times New Roman" w:hAnsi="Times New Roman"/>
        </w:rPr>
        <w:t>Prieš vartojimą perskaitykite pakuotės lapelį.</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6.</w:t>
      </w:r>
      <w:r w:rsidRPr="0059741C">
        <w:rPr>
          <w:rFonts w:ascii="Times New Roman" w:hAnsi="Times New Roman"/>
          <w:b/>
        </w:rPr>
        <w:tab/>
        <w:t>SPECIALUS ĮSPĖJIMAS, KAD VAISTINĮ PREPARATĄ BŪTINA LAIKYTI VAIKAMS NEPASTEBIMOJE IR NEPASIEKIAMOJE VIETOJE</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Laikyti vaikams nepastebimoje ir nepasiekiamoje vietoje.</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9741C">
        <w:rPr>
          <w:rFonts w:ascii="Times New Roman" w:hAnsi="Times New Roman"/>
          <w:b/>
        </w:rPr>
        <w:t>7.</w:t>
      </w:r>
      <w:r w:rsidRPr="0059741C">
        <w:rPr>
          <w:rFonts w:ascii="Times New Roman" w:hAnsi="Times New Roman"/>
          <w:b/>
        </w:rPr>
        <w:tab/>
        <w:t>KITAS (-I) SPECIALUS (-ŪS) ĮSPĖJIMAS (-AI) (JEI REIKIA)</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9741C">
        <w:rPr>
          <w:rFonts w:ascii="Times New Roman" w:hAnsi="Times New Roman"/>
          <w:b/>
        </w:rPr>
        <w:t>8.</w:t>
      </w:r>
      <w:r w:rsidRPr="0059741C">
        <w:rPr>
          <w:rFonts w:ascii="Times New Roman" w:hAnsi="Times New Roman"/>
          <w:b/>
        </w:rPr>
        <w:tab/>
        <w:t>TINKAMUMO LAIKAS</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Tinka iki</w:t>
      </w:r>
      <w:r w:rsidR="00976AF2" w:rsidRPr="0059741C">
        <w:rPr>
          <w:rFonts w:ascii="Times New Roman" w:hAnsi="Times New Roman"/>
        </w:rPr>
        <w:t>/</w:t>
      </w:r>
      <w:r w:rsidRPr="0059741C">
        <w:rPr>
          <w:rFonts w:ascii="Times New Roman" w:hAnsi="Times New Roman"/>
          <w:highlight w:val="lightGray"/>
        </w:rPr>
        <w:t>EXP</w:t>
      </w:r>
      <w:r w:rsidR="0009191F">
        <w:rPr>
          <w:rFonts w:ascii="Times New Roman" w:hAnsi="Times New Roman"/>
        </w:rPr>
        <w:t>:</w:t>
      </w:r>
      <w:r w:rsidRPr="0059741C">
        <w:rPr>
          <w:rFonts w:ascii="Times New Roman" w:hAnsi="Times New Roman"/>
        </w:rPr>
        <w:t xml:space="preserve"> MMMM</w:t>
      </w:r>
      <w:r w:rsidR="00976AF2" w:rsidRPr="0059741C">
        <w:rPr>
          <w:rFonts w:ascii="Times New Roman" w:hAnsi="Times New Roman"/>
        </w:rPr>
        <w:t xml:space="preserve"> mm</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9.</w:t>
      </w:r>
      <w:r w:rsidRPr="0059741C">
        <w:rPr>
          <w:rFonts w:ascii="Times New Roman" w:hAnsi="Times New Roman"/>
          <w:b/>
        </w:rPr>
        <w:tab/>
        <w:t>SPECIALIOS LAIKYMO SĄLYGOS</w:t>
      </w:r>
    </w:p>
    <w:p w:rsidR="00CC52FA" w:rsidRPr="0059741C" w:rsidRDefault="00CC52FA" w:rsidP="00CC52FA">
      <w:pPr>
        <w:spacing w:after="0" w:line="240" w:lineRule="auto"/>
        <w:rPr>
          <w:rFonts w:ascii="Times New Roman" w:hAnsi="Times New Roman"/>
        </w:rPr>
      </w:pPr>
    </w:p>
    <w:p w:rsidR="00CC52FA" w:rsidRDefault="00A86D46" w:rsidP="00CC52FA">
      <w:pPr>
        <w:spacing w:after="0" w:line="240" w:lineRule="auto"/>
        <w:rPr>
          <w:rFonts w:ascii="Times New Roman" w:hAnsi="Times New Roman"/>
        </w:rPr>
      </w:pPr>
      <w:r w:rsidRPr="00A86D46">
        <w:rPr>
          <w:rFonts w:ascii="Times New Roman" w:hAnsi="Times New Roman"/>
        </w:rPr>
        <w:t>Šiam vaistui specialių laikymo sąlygų nereikia.</w:t>
      </w:r>
    </w:p>
    <w:p w:rsidR="00A86D46" w:rsidRDefault="00A86D46" w:rsidP="00CC52FA">
      <w:pPr>
        <w:spacing w:after="0" w:line="240" w:lineRule="auto"/>
        <w:rPr>
          <w:rFonts w:ascii="Times New Roman" w:hAnsi="Times New Roman"/>
        </w:rPr>
      </w:pPr>
    </w:p>
    <w:p w:rsidR="00A86D46" w:rsidRPr="0059741C" w:rsidRDefault="00A86D46"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lastRenderedPageBreak/>
        <w:t>10.</w:t>
      </w:r>
      <w:r w:rsidRPr="0059741C">
        <w:rPr>
          <w:rFonts w:ascii="Times New Roman" w:hAnsi="Times New Roman"/>
          <w:b/>
        </w:rPr>
        <w:tab/>
        <w:t xml:space="preserve">SPECIALIOS ATSARGUMO PRIEMONĖS DĖL NESUVARTOTO </w:t>
      </w:r>
      <w:r w:rsidRPr="0059741C">
        <w:rPr>
          <w:rFonts w:ascii="Times New Roman" w:hAnsi="Times New Roman"/>
          <w:b/>
          <w:bCs/>
        </w:rPr>
        <w:t xml:space="preserve">VAISTINIO PREPARATO AR JO ATLIEKŲ </w:t>
      </w:r>
      <w:r w:rsidRPr="0059741C">
        <w:rPr>
          <w:rFonts w:ascii="Times New Roman" w:hAnsi="Times New Roman"/>
          <w:b/>
        </w:rPr>
        <w:t>TVARKYMO (JEI REIKIA)</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11.</w:t>
      </w:r>
      <w:r w:rsidRPr="0059741C">
        <w:rPr>
          <w:rFonts w:ascii="Times New Roman" w:hAnsi="Times New Roman"/>
          <w:b/>
        </w:rPr>
        <w:tab/>
      </w:r>
      <w:r w:rsidR="00976AF2" w:rsidRPr="0059741C">
        <w:rPr>
          <w:rFonts w:ascii="Times New Roman" w:hAnsi="Times New Roman"/>
          <w:b/>
        </w:rPr>
        <w:t>LYGIAGRETUS IMPORTUOTOJAS</w:t>
      </w:r>
    </w:p>
    <w:p w:rsidR="00CC52FA" w:rsidRPr="0059741C" w:rsidRDefault="00CC52FA" w:rsidP="00CC52FA">
      <w:pPr>
        <w:spacing w:after="0" w:line="240" w:lineRule="auto"/>
        <w:rPr>
          <w:rFonts w:ascii="Times New Roman" w:hAnsi="Times New Roman"/>
        </w:rPr>
      </w:pPr>
    </w:p>
    <w:p w:rsidR="0059741C" w:rsidRPr="0059741C" w:rsidRDefault="0059741C" w:rsidP="0059741C">
      <w:pPr>
        <w:tabs>
          <w:tab w:val="left" w:pos="567"/>
        </w:tabs>
        <w:spacing w:after="0" w:line="240" w:lineRule="auto"/>
        <w:rPr>
          <w:rFonts w:ascii="Times New Roman" w:eastAsia="Times New Roman" w:hAnsi="Times New Roman"/>
          <w:b/>
        </w:rPr>
      </w:pPr>
      <w:r w:rsidRPr="0059741C">
        <w:rPr>
          <w:rFonts w:ascii="Times New Roman" w:eastAsia="Times New Roman" w:hAnsi="Times New Roman"/>
          <w:b/>
        </w:rPr>
        <w:t xml:space="preserve">Lygiagretus importuotojas </w:t>
      </w:r>
    </w:p>
    <w:p w:rsidR="0059741C" w:rsidRPr="0059741C" w:rsidRDefault="0059741C" w:rsidP="0059741C">
      <w:pPr>
        <w:tabs>
          <w:tab w:val="left" w:pos="567"/>
        </w:tabs>
        <w:spacing w:after="0" w:line="240" w:lineRule="auto"/>
        <w:rPr>
          <w:rFonts w:ascii="Times New Roman" w:eastAsia="Times New Roman" w:hAnsi="Times New Roman"/>
        </w:rPr>
      </w:pPr>
      <w:r w:rsidRPr="0059741C">
        <w:rPr>
          <w:rFonts w:ascii="Times New Roman" w:eastAsia="Times New Roman" w:hAnsi="Times New Roman"/>
        </w:rPr>
        <w:t>UAB „Actiofarma“</w:t>
      </w:r>
    </w:p>
    <w:p w:rsidR="0059741C" w:rsidRPr="0059741C" w:rsidRDefault="0059741C" w:rsidP="0059741C">
      <w:pPr>
        <w:tabs>
          <w:tab w:val="left" w:pos="567"/>
        </w:tabs>
        <w:spacing w:after="0" w:line="240" w:lineRule="auto"/>
        <w:rPr>
          <w:rFonts w:ascii="Times New Roman" w:eastAsia="Times New Roman" w:hAnsi="Times New Roman"/>
          <w:highlight w:val="lightGray"/>
        </w:rPr>
      </w:pPr>
      <w:r w:rsidRPr="0059741C">
        <w:rPr>
          <w:rFonts w:ascii="Times New Roman" w:eastAsia="Times New Roman" w:hAnsi="Times New Roman"/>
          <w:highlight w:val="lightGray"/>
        </w:rPr>
        <w:t>Islandijos pl. 209A</w:t>
      </w:r>
    </w:p>
    <w:p w:rsidR="0059741C" w:rsidRPr="0059741C" w:rsidRDefault="0059741C" w:rsidP="0059741C">
      <w:pPr>
        <w:tabs>
          <w:tab w:val="left" w:pos="567"/>
        </w:tabs>
        <w:spacing w:after="0" w:line="240" w:lineRule="auto"/>
        <w:rPr>
          <w:rFonts w:ascii="Times New Roman" w:eastAsia="Times New Roman" w:hAnsi="Times New Roman"/>
          <w:highlight w:val="lightGray"/>
        </w:rPr>
      </w:pPr>
      <w:r w:rsidRPr="0059741C">
        <w:rPr>
          <w:rFonts w:ascii="Times New Roman" w:eastAsia="Times New Roman" w:hAnsi="Times New Roman"/>
          <w:highlight w:val="lightGray"/>
        </w:rPr>
        <w:t>LT-49163 Kaunas</w:t>
      </w:r>
    </w:p>
    <w:p w:rsidR="0059741C" w:rsidRPr="0059741C" w:rsidRDefault="0059741C" w:rsidP="0059741C">
      <w:pPr>
        <w:spacing w:after="0" w:line="240" w:lineRule="auto"/>
        <w:rPr>
          <w:rFonts w:ascii="Times New Roman" w:eastAsia="Times New Roman" w:hAnsi="Times New Roman"/>
        </w:rPr>
      </w:pPr>
      <w:r w:rsidRPr="0059741C">
        <w:rPr>
          <w:rFonts w:ascii="Times New Roman" w:eastAsia="Times New Roman" w:hAnsi="Times New Roman"/>
          <w:highlight w:val="lightGray"/>
        </w:rPr>
        <w:t>Lietuva</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12.</w:t>
      </w:r>
      <w:r w:rsidRPr="0059741C">
        <w:rPr>
          <w:rFonts w:ascii="Times New Roman" w:hAnsi="Times New Roman"/>
          <w:b/>
        </w:rPr>
        <w:tab/>
      </w:r>
      <w:r w:rsidR="009B6F5C" w:rsidRPr="0059741C">
        <w:rPr>
          <w:rFonts w:ascii="Times New Roman" w:hAnsi="Times New Roman"/>
          <w:b/>
        </w:rPr>
        <w:t>LYGIAGRETAUS IMPORTO LEIDIMO</w:t>
      </w:r>
      <w:r w:rsidRPr="0059741C">
        <w:rPr>
          <w:rFonts w:ascii="Times New Roman" w:hAnsi="Times New Roman"/>
          <w:b/>
        </w:rPr>
        <w:t xml:space="preserve"> NUMERIS (-IAI)</w:t>
      </w:r>
    </w:p>
    <w:p w:rsidR="00CC52FA" w:rsidRPr="0059741C" w:rsidRDefault="00CC52FA" w:rsidP="00CC52FA">
      <w:pPr>
        <w:spacing w:after="0" w:line="240" w:lineRule="auto"/>
        <w:rPr>
          <w:rFonts w:ascii="Times New Roman" w:hAnsi="Times New Roman"/>
        </w:rPr>
      </w:pPr>
    </w:p>
    <w:p w:rsidR="00CC52FA" w:rsidRPr="0059741C" w:rsidRDefault="00976AF2"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 xml:space="preserve">N20 </w:t>
      </w:r>
      <w:r w:rsidR="009B6F5C" w:rsidRPr="0059741C">
        <w:rPr>
          <w:rFonts w:ascii="Times New Roman" w:hAnsi="Times New Roman"/>
          <w:color w:val="000000"/>
          <w:lang w:eastAsia="lt-LT"/>
        </w:rPr>
        <w:t>–</w:t>
      </w:r>
      <w:r w:rsidRPr="0059741C">
        <w:rPr>
          <w:rFonts w:ascii="Times New Roman" w:hAnsi="Times New Roman"/>
          <w:color w:val="000000"/>
          <w:lang w:eastAsia="lt-LT"/>
        </w:rPr>
        <w:t xml:space="preserve"> </w:t>
      </w:r>
      <w:r w:rsidR="00CC52FA" w:rsidRPr="0059741C">
        <w:rPr>
          <w:rFonts w:ascii="Times New Roman" w:hAnsi="Times New Roman"/>
          <w:color w:val="000000"/>
          <w:lang w:eastAsia="lt-LT"/>
        </w:rPr>
        <w:t>LT/</w:t>
      </w:r>
      <w:r w:rsidRPr="0059741C">
        <w:rPr>
          <w:rFonts w:ascii="Times New Roman" w:hAnsi="Times New Roman"/>
          <w:color w:val="000000"/>
          <w:lang w:eastAsia="lt-LT"/>
        </w:rPr>
        <w:t>L/</w:t>
      </w:r>
      <w:r w:rsidR="00573A11">
        <w:rPr>
          <w:rFonts w:ascii="Times New Roman" w:hAnsi="Times New Roman"/>
          <w:color w:val="000000"/>
          <w:lang w:eastAsia="lt-LT"/>
        </w:rPr>
        <w:t>19/1156/001</w:t>
      </w:r>
    </w:p>
    <w:p w:rsidR="00976AF2" w:rsidRPr="0059741C" w:rsidRDefault="00976AF2" w:rsidP="00CC52FA">
      <w:pPr>
        <w:spacing w:after="0" w:line="240" w:lineRule="auto"/>
        <w:rPr>
          <w:rFonts w:ascii="Times New Roman" w:hAnsi="Times New Roman"/>
          <w:lang w:eastAsia="lt-LT"/>
        </w:rPr>
      </w:pPr>
      <w:r w:rsidRPr="0059741C">
        <w:rPr>
          <w:rFonts w:ascii="Times New Roman" w:hAnsi="Times New Roman"/>
          <w:lang w:eastAsia="lt-LT"/>
        </w:rPr>
        <w:t xml:space="preserve">N50 </w:t>
      </w:r>
      <w:r w:rsidR="009B6F5C" w:rsidRPr="0059741C">
        <w:rPr>
          <w:rFonts w:ascii="Times New Roman" w:hAnsi="Times New Roman"/>
          <w:lang w:eastAsia="lt-LT"/>
        </w:rPr>
        <w:t>–</w:t>
      </w:r>
      <w:r w:rsidRPr="0059741C">
        <w:rPr>
          <w:rFonts w:ascii="Times New Roman" w:hAnsi="Times New Roman"/>
          <w:lang w:eastAsia="lt-LT"/>
        </w:rPr>
        <w:t xml:space="preserve"> </w:t>
      </w:r>
      <w:r w:rsidR="009B6F5C" w:rsidRPr="0059741C">
        <w:rPr>
          <w:rFonts w:ascii="Times New Roman" w:hAnsi="Times New Roman"/>
          <w:lang w:eastAsia="lt-LT"/>
        </w:rPr>
        <w:t>L</w:t>
      </w:r>
      <w:r w:rsidR="0083436F">
        <w:rPr>
          <w:rFonts w:ascii="Times New Roman" w:hAnsi="Times New Roman"/>
          <w:lang w:eastAsia="lt-LT"/>
        </w:rPr>
        <w:t>T</w:t>
      </w:r>
      <w:r w:rsidR="009B6F5C" w:rsidRPr="0059741C">
        <w:rPr>
          <w:rFonts w:ascii="Times New Roman" w:hAnsi="Times New Roman"/>
          <w:lang w:eastAsia="lt-LT"/>
        </w:rPr>
        <w:t>/L/</w:t>
      </w:r>
      <w:r w:rsidR="00573A11">
        <w:rPr>
          <w:rFonts w:ascii="Times New Roman" w:hAnsi="Times New Roman"/>
          <w:lang w:eastAsia="lt-LT"/>
        </w:rPr>
        <w:t>19/1156/002</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13.</w:t>
      </w:r>
      <w:r w:rsidRPr="0059741C">
        <w:rPr>
          <w:rFonts w:ascii="Times New Roman" w:hAnsi="Times New Roman"/>
          <w:b/>
        </w:rPr>
        <w:tab/>
        <w:t>SERIJOS NUMERIS</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Serija</w:t>
      </w:r>
      <w:r w:rsidR="009B6F5C" w:rsidRPr="0059741C">
        <w:rPr>
          <w:rFonts w:ascii="Times New Roman" w:hAnsi="Times New Roman"/>
          <w:highlight w:val="lightGray"/>
        </w:rPr>
        <w:t>/</w:t>
      </w:r>
      <w:r w:rsidRPr="0059741C">
        <w:rPr>
          <w:rFonts w:ascii="Times New Roman" w:hAnsi="Times New Roman"/>
          <w:highlight w:val="lightGray"/>
        </w:rPr>
        <w:t>Lot</w:t>
      </w:r>
      <w:r w:rsidR="0009191F">
        <w:rPr>
          <w:rFonts w:ascii="Times New Roman" w:hAnsi="Times New Roman"/>
        </w:rPr>
        <w:t>:</w:t>
      </w:r>
    </w:p>
    <w:p w:rsidR="009B6F5C" w:rsidRPr="0059741C" w:rsidRDefault="009B6F5C"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14.</w:t>
      </w:r>
      <w:r w:rsidRPr="0059741C">
        <w:rPr>
          <w:rFonts w:ascii="Times New Roman" w:hAnsi="Times New Roman"/>
          <w:b/>
        </w:rPr>
        <w:tab/>
        <w:t>PARDAVIMO (IŠDAVIMO) TVARKA</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Receptinis vaistas</w:t>
      </w:r>
      <w:r w:rsidR="0009191F">
        <w:rPr>
          <w:rFonts w:ascii="Times New Roman" w:hAnsi="Times New Roman"/>
        </w:rPr>
        <w:t>.</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15.</w:t>
      </w:r>
      <w:r w:rsidRPr="0059741C">
        <w:rPr>
          <w:rFonts w:ascii="Times New Roman" w:hAnsi="Times New Roman"/>
          <w:b/>
        </w:rPr>
        <w:tab/>
        <w:t>VARTOJIMO INSTRUKCIJA</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59741C">
        <w:rPr>
          <w:rFonts w:ascii="Times New Roman" w:hAnsi="Times New Roman"/>
          <w:b/>
        </w:rPr>
        <w:t>16.</w:t>
      </w:r>
      <w:r w:rsidRPr="0059741C">
        <w:rPr>
          <w:rFonts w:ascii="Times New Roman" w:hAnsi="Times New Roman"/>
          <w:b/>
        </w:rPr>
        <w:tab/>
        <w:t>INFORMACIJA BRAILIO RAŠTU</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Allopurinol</w:t>
      </w:r>
      <w:r w:rsidR="009B6F5C" w:rsidRPr="0059741C">
        <w:rPr>
          <w:rFonts w:ascii="Times New Roman" w:hAnsi="Times New Roman"/>
        </w:rPr>
        <w:t>-ratiopharm</w:t>
      </w:r>
      <w:r w:rsidRPr="0059741C">
        <w:rPr>
          <w:rFonts w:ascii="Times New Roman" w:hAnsi="Times New Roman"/>
        </w:rPr>
        <w:t xml:space="preserve"> 300 mg</w:t>
      </w:r>
    </w:p>
    <w:p w:rsidR="00CC52FA" w:rsidRPr="0059741C" w:rsidRDefault="00CC52FA" w:rsidP="00CC52FA">
      <w:pPr>
        <w:tabs>
          <w:tab w:val="left" w:pos="567"/>
        </w:tabs>
        <w:spacing w:after="0" w:line="260" w:lineRule="exact"/>
        <w:rPr>
          <w:rFonts w:ascii="Times New Roman" w:eastAsia="Times New Roman" w:hAnsi="Times New Roman"/>
          <w:snapToGrid w:val="0"/>
        </w:rPr>
      </w:pPr>
    </w:p>
    <w:p w:rsidR="00CC52FA" w:rsidRPr="0059741C" w:rsidRDefault="00CC52FA" w:rsidP="00CC52FA">
      <w:pPr>
        <w:tabs>
          <w:tab w:val="left" w:pos="567"/>
        </w:tabs>
        <w:spacing w:after="0" w:line="260" w:lineRule="exact"/>
        <w:rPr>
          <w:rFonts w:ascii="Times New Roman" w:eastAsia="Times New Roman" w:hAnsi="Times New Roman"/>
          <w:shd w:val="clear" w:color="auto" w:fill="CCCCCC"/>
        </w:rPr>
      </w:pPr>
    </w:p>
    <w:p w:rsidR="00CC52FA" w:rsidRPr="0059741C" w:rsidRDefault="00CC52FA" w:rsidP="00CC52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rPr>
      </w:pPr>
      <w:r w:rsidRPr="0059741C">
        <w:rPr>
          <w:rFonts w:ascii="Times New Roman" w:eastAsia="Times New Roman" w:hAnsi="Times New Roman"/>
          <w:b/>
          <w:snapToGrid w:val="0"/>
        </w:rPr>
        <w:t>17.</w:t>
      </w:r>
      <w:r w:rsidRPr="0059741C">
        <w:rPr>
          <w:rFonts w:ascii="Times New Roman" w:eastAsia="Times New Roman" w:hAnsi="Times New Roman"/>
          <w:b/>
          <w:snapToGrid w:val="0"/>
        </w:rPr>
        <w:tab/>
        <w:t>UNIKALUS IDENTIFIKATORIUS – 2D BRŪKŠNINIS KODAS</w:t>
      </w:r>
    </w:p>
    <w:p w:rsidR="00CC52FA" w:rsidRPr="0059741C" w:rsidRDefault="00CC52FA" w:rsidP="00CC52FA">
      <w:pPr>
        <w:tabs>
          <w:tab w:val="left" w:pos="567"/>
        </w:tabs>
        <w:spacing w:after="0" w:line="260" w:lineRule="exact"/>
        <w:rPr>
          <w:rFonts w:ascii="Times New Roman" w:eastAsia="Times New Roman" w:hAnsi="Times New Roman"/>
          <w:snapToGrid w:val="0"/>
        </w:rPr>
      </w:pPr>
    </w:p>
    <w:p w:rsidR="00CC52FA" w:rsidRPr="0059741C" w:rsidRDefault="00CC52FA" w:rsidP="00CC52FA">
      <w:pPr>
        <w:tabs>
          <w:tab w:val="left" w:pos="567"/>
        </w:tabs>
        <w:spacing w:after="0" w:line="260" w:lineRule="exact"/>
        <w:rPr>
          <w:rFonts w:ascii="Times New Roman" w:eastAsia="Times New Roman" w:hAnsi="Times New Roman"/>
          <w:snapToGrid w:val="0"/>
          <w:shd w:val="clear" w:color="auto" w:fill="CCCCCC"/>
        </w:rPr>
      </w:pPr>
      <w:r w:rsidRPr="0059741C">
        <w:rPr>
          <w:rFonts w:ascii="Times New Roman" w:eastAsia="Times New Roman" w:hAnsi="Times New Roman"/>
          <w:snapToGrid w:val="0"/>
        </w:rPr>
        <w:t>2D brūkšninis kodas su nurodytu unikaliu identifikatoriumi.</w:t>
      </w:r>
    </w:p>
    <w:p w:rsidR="00CC52FA" w:rsidRPr="0059741C" w:rsidRDefault="00CC52FA" w:rsidP="00CC52FA">
      <w:pPr>
        <w:tabs>
          <w:tab w:val="left" w:pos="567"/>
        </w:tabs>
        <w:spacing w:after="0" w:line="260" w:lineRule="exact"/>
        <w:rPr>
          <w:rFonts w:ascii="Times New Roman" w:eastAsia="Times New Roman" w:hAnsi="Times New Roman"/>
          <w:snapToGrid w:val="0"/>
        </w:rPr>
      </w:pPr>
    </w:p>
    <w:p w:rsidR="009B6F5C" w:rsidRPr="0059741C" w:rsidRDefault="009B6F5C" w:rsidP="00CC52FA">
      <w:pPr>
        <w:tabs>
          <w:tab w:val="left" w:pos="567"/>
        </w:tabs>
        <w:spacing w:after="0" w:line="260" w:lineRule="exact"/>
        <w:rPr>
          <w:rFonts w:ascii="Times New Roman" w:eastAsia="Times New Roman" w:hAnsi="Times New Roman"/>
          <w:snapToGrid w:val="0"/>
        </w:rPr>
      </w:pPr>
    </w:p>
    <w:p w:rsidR="00CC52FA" w:rsidRPr="0059741C" w:rsidRDefault="00CC52FA" w:rsidP="00CC52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snapToGrid w:val="0"/>
        </w:rPr>
      </w:pPr>
      <w:r w:rsidRPr="0059741C">
        <w:rPr>
          <w:rFonts w:ascii="Times New Roman" w:eastAsia="Times New Roman" w:hAnsi="Times New Roman"/>
          <w:b/>
          <w:snapToGrid w:val="0"/>
        </w:rPr>
        <w:t>18.</w:t>
      </w:r>
      <w:r w:rsidRPr="0059741C">
        <w:rPr>
          <w:rFonts w:ascii="Times New Roman" w:eastAsia="Times New Roman" w:hAnsi="Times New Roman"/>
          <w:b/>
          <w:snapToGrid w:val="0"/>
        </w:rPr>
        <w:tab/>
        <w:t>UNIKALUS IDENTIFIKATORIUS – ŽMONĖMS SUPRANTAMI DUOMENYS</w:t>
      </w:r>
    </w:p>
    <w:p w:rsidR="00CC52FA" w:rsidRPr="0059741C" w:rsidRDefault="00CC52FA" w:rsidP="00CC52FA">
      <w:pPr>
        <w:tabs>
          <w:tab w:val="left" w:pos="567"/>
        </w:tabs>
        <w:spacing w:after="0" w:line="260" w:lineRule="exact"/>
        <w:rPr>
          <w:rFonts w:ascii="Times New Roman" w:eastAsia="Times New Roman" w:hAnsi="Times New Roman"/>
          <w:snapToGrid w:val="0"/>
        </w:rPr>
      </w:pPr>
    </w:p>
    <w:p w:rsidR="0059741C" w:rsidRPr="0059741C" w:rsidRDefault="00CC52FA" w:rsidP="00CC52FA">
      <w:pPr>
        <w:tabs>
          <w:tab w:val="left" w:pos="567"/>
        </w:tabs>
        <w:spacing w:after="0" w:line="260" w:lineRule="exact"/>
        <w:rPr>
          <w:rFonts w:ascii="Times New Roman" w:eastAsia="Times New Roman" w:hAnsi="Times New Roman"/>
          <w:snapToGrid w:val="0"/>
        </w:rPr>
      </w:pPr>
      <w:r w:rsidRPr="0059741C">
        <w:rPr>
          <w:rFonts w:ascii="Times New Roman" w:eastAsia="Times New Roman" w:hAnsi="Times New Roman"/>
          <w:snapToGrid w:val="0"/>
        </w:rPr>
        <w:t>PC:</w:t>
      </w:r>
    </w:p>
    <w:p w:rsidR="0059741C" w:rsidRPr="0059741C" w:rsidRDefault="00CC52FA" w:rsidP="00CC52FA">
      <w:pPr>
        <w:tabs>
          <w:tab w:val="left" w:pos="567"/>
        </w:tabs>
        <w:spacing w:after="0" w:line="260" w:lineRule="exact"/>
        <w:rPr>
          <w:rFonts w:ascii="Times New Roman" w:eastAsia="Times New Roman" w:hAnsi="Times New Roman"/>
          <w:snapToGrid w:val="0"/>
        </w:rPr>
      </w:pPr>
      <w:r w:rsidRPr="0059741C">
        <w:rPr>
          <w:rFonts w:ascii="Times New Roman" w:eastAsia="Times New Roman" w:hAnsi="Times New Roman"/>
          <w:snapToGrid w:val="0"/>
        </w:rPr>
        <w:t>SN:</w:t>
      </w:r>
    </w:p>
    <w:p w:rsidR="00CF2B86" w:rsidRPr="0059741C" w:rsidRDefault="00CC52FA" w:rsidP="0059741C">
      <w:pPr>
        <w:tabs>
          <w:tab w:val="left" w:pos="567"/>
        </w:tabs>
        <w:spacing w:after="0" w:line="260" w:lineRule="exact"/>
        <w:rPr>
          <w:rFonts w:ascii="Times New Roman" w:eastAsia="Times New Roman" w:hAnsi="Times New Roman"/>
          <w:snapToGrid w:val="0"/>
          <w:highlight w:val="lightGray"/>
        </w:rPr>
      </w:pPr>
      <w:r w:rsidRPr="0059741C">
        <w:rPr>
          <w:rFonts w:ascii="Times New Roman" w:eastAsia="Times New Roman" w:hAnsi="Times New Roman"/>
          <w:snapToGrid w:val="0"/>
          <w:highlight w:val="lightGray"/>
        </w:rPr>
        <w:t>NN:</w:t>
      </w:r>
    </w:p>
    <w:p w:rsidR="0059741C" w:rsidRPr="0059741C" w:rsidRDefault="0059741C" w:rsidP="0059741C">
      <w:pPr>
        <w:tabs>
          <w:tab w:val="left" w:pos="567"/>
        </w:tabs>
        <w:spacing w:after="0" w:line="260" w:lineRule="exact"/>
        <w:rPr>
          <w:rFonts w:ascii="Times New Roman" w:hAnsi="Times New Roman"/>
          <w:b/>
        </w:rPr>
      </w:pPr>
    </w:p>
    <w:p w:rsidR="009B6F5C" w:rsidRPr="0059741C" w:rsidRDefault="009B6F5C" w:rsidP="00CF2B86">
      <w:pPr>
        <w:autoSpaceDE w:val="0"/>
        <w:autoSpaceDN w:val="0"/>
        <w:adjustRightInd w:val="0"/>
        <w:spacing w:after="0" w:line="240" w:lineRule="auto"/>
        <w:rPr>
          <w:rFonts w:ascii="Times New Roman" w:hAnsi="Times New Roman"/>
          <w:b/>
        </w:rPr>
      </w:pPr>
      <w:r w:rsidRPr="0059741C">
        <w:rPr>
          <w:rFonts w:ascii="Times New Roman" w:hAnsi="Times New Roman"/>
          <w:b/>
        </w:rPr>
        <w:t>Gamintojas</w:t>
      </w:r>
      <w:r w:rsidR="00CF2B86" w:rsidRPr="0059741C">
        <w:rPr>
          <w:rFonts w:ascii="Times New Roman" w:hAnsi="Times New Roman"/>
          <w:b/>
        </w:rPr>
        <w:t xml:space="preserve"> </w:t>
      </w:r>
      <w:r w:rsidR="00CF2B86" w:rsidRPr="0059741C">
        <w:rPr>
          <w:rFonts w:ascii="Times New Roman" w:eastAsiaTheme="minorHAnsi" w:hAnsi="Times New Roman"/>
        </w:rPr>
        <w:t xml:space="preserve">Merckle GmbH, </w:t>
      </w:r>
      <w:r w:rsidR="00CF2B86" w:rsidRPr="0059741C">
        <w:rPr>
          <w:rFonts w:ascii="Times New Roman" w:eastAsiaTheme="minorHAnsi" w:hAnsi="Times New Roman"/>
          <w:highlight w:val="lightGray"/>
        </w:rPr>
        <w:t>Ludwig-Merckle-Strasse, 3, 89143 Blaubeuren,</w:t>
      </w:r>
      <w:r w:rsidR="00CF2B86" w:rsidRPr="0059741C">
        <w:rPr>
          <w:rFonts w:ascii="Times New Roman" w:eastAsiaTheme="minorHAnsi" w:hAnsi="Times New Roman"/>
        </w:rPr>
        <w:t xml:space="preserve"> Vokietija</w:t>
      </w:r>
    </w:p>
    <w:p w:rsidR="009B6F5C" w:rsidRPr="0059741C" w:rsidRDefault="009B6F5C" w:rsidP="00CC52FA">
      <w:pPr>
        <w:spacing w:after="0" w:line="240" w:lineRule="auto"/>
        <w:rPr>
          <w:rFonts w:ascii="Times New Roman" w:hAnsi="Times New Roman"/>
          <w:b/>
        </w:rPr>
      </w:pPr>
    </w:p>
    <w:p w:rsidR="009B6F5C" w:rsidRPr="0059741C" w:rsidRDefault="009B6F5C" w:rsidP="00CC52FA">
      <w:pPr>
        <w:spacing w:after="0" w:line="240" w:lineRule="auto"/>
        <w:rPr>
          <w:rFonts w:ascii="Times New Roman" w:hAnsi="Times New Roman"/>
        </w:rPr>
      </w:pPr>
      <w:r w:rsidRPr="0059741C">
        <w:rPr>
          <w:rFonts w:ascii="Times New Roman" w:hAnsi="Times New Roman"/>
          <w:b/>
        </w:rPr>
        <w:t>Perpakavo</w:t>
      </w:r>
      <w:r w:rsidRPr="0059741C">
        <w:rPr>
          <w:rFonts w:ascii="Times New Roman" w:hAnsi="Times New Roman"/>
        </w:rPr>
        <w:t xml:space="preserve"> UAB </w:t>
      </w:r>
      <w:r w:rsidR="0059741C">
        <w:rPr>
          <w:rFonts w:ascii="Times New Roman" w:hAnsi="Times New Roman"/>
        </w:rPr>
        <w:t>„</w:t>
      </w:r>
      <w:r w:rsidRPr="0059741C">
        <w:rPr>
          <w:rFonts w:ascii="Times New Roman" w:hAnsi="Times New Roman"/>
        </w:rPr>
        <w:t>Entafarma“</w:t>
      </w:r>
    </w:p>
    <w:p w:rsidR="009B6F5C" w:rsidRPr="0059741C" w:rsidRDefault="009B6F5C" w:rsidP="00CC52FA">
      <w:pPr>
        <w:spacing w:after="0" w:line="240" w:lineRule="auto"/>
        <w:rPr>
          <w:rFonts w:ascii="Times New Roman" w:hAnsi="Times New Roman"/>
        </w:rPr>
      </w:pPr>
    </w:p>
    <w:p w:rsidR="006E744B" w:rsidRDefault="009B6F5C" w:rsidP="00CC52FA">
      <w:pPr>
        <w:spacing w:after="0" w:line="240" w:lineRule="auto"/>
        <w:rPr>
          <w:rFonts w:ascii="Times New Roman" w:hAnsi="Times New Roman"/>
          <w:b/>
        </w:rPr>
      </w:pPr>
      <w:r w:rsidRPr="008660F5">
        <w:rPr>
          <w:rFonts w:ascii="Times New Roman" w:hAnsi="Times New Roman"/>
          <w:b/>
          <w:highlight w:val="lightGray"/>
        </w:rPr>
        <w:lastRenderedPageBreak/>
        <w:t xml:space="preserve">Perpak. </w:t>
      </w:r>
      <w:r w:rsidR="006E744B" w:rsidRPr="006E744B">
        <w:rPr>
          <w:rFonts w:ascii="Times New Roman" w:hAnsi="Times New Roman"/>
          <w:b/>
          <w:highlight w:val="lightGray"/>
        </w:rPr>
        <w:t>S</w:t>
      </w:r>
      <w:r w:rsidRPr="008660F5">
        <w:rPr>
          <w:rFonts w:ascii="Times New Roman" w:hAnsi="Times New Roman"/>
          <w:b/>
          <w:highlight w:val="lightGray"/>
        </w:rPr>
        <w:t>erija</w:t>
      </w:r>
    </w:p>
    <w:p w:rsidR="006E744B" w:rsidRDefault="006E744B" w:rsidP="00CC52FA">
      <w:pPr>
        <w:spacing w:after="0" w:line="240" w:lineRule="auto"/>
        <w:rPr>
          <w:rFonts w:ascii="Times New Roman" w:hAnsi="Times New Roman"/>
          <w:b/>
        </w:rPr>
      </w:pPr>
    </w:p>
    <w:p w:rsidR="006C40C7" w:rsidRDefault="006E744B" w:rsidP="00CC52FA">
      <w:pPr>
        <w:spacing w:after="0" w:line="240" w:lineRule="auto"/>
        <w:rPr>
          <w:rFonts w:ascii="Times New Roman" w:hAnsi="Times New Roman"/>
          <w:i/>
          <w:iCs/>
        </w:rPr>
      </w:pPr>
      <w:r w:rsidRPr="008660F5">
        <w:rPr>
          <w:rFonts w:ascii="Times New Roman" w:hAnsi="Times New Roman"/>
          <w:i/>
          <w:iCs/>
          <w:highlight w:val="lightGray"/>
        </w:rPr>
        <w:t xml:space="preserve">Lygiagrečiai importuojamas vaistas skiriasi nuo referencinio pakuotės dydžiu: lyg. imp. </w:t>
      </w:r>
      <w:r w:rsidR="006C40C7" w:rsidRPr="008660F5">
        <w:rPr>
          <w:rFonts w:ascii="Times New Roman" w:hAnsi="Times New Roman"/>
          <w:i/>
          <w:iCs/>
          <w:highlight w:val="lightGray"/>
        </w:rPr>
        <w:t>–</w:t>
      </w:r>
      <w:r w:rsidRPr="008660F5">
        <w:rPr>
          <w:rFonts w:ascii="Times New Roman" w:hAnsi="Times New Roman"/>
          <w:i/>
          <w:iCs/>
          <w:highlight w:val="lightGray"/>
        </w:rPr>
        <w:t xml:space="preserve"> </w:t>
      </w:r>
      <w:r w:rsidR="006C40C7" w:rsidRPr="008660F5">
        <w:rPr>
          <w:rFonts w:ascii="Times New Roman" w:hAnsi="Times New Roman"/>
          <w:i/>
          <w:iCs/>
          <w:highlight w:val="lightGray"/>
        </w:rPr>
        <w:t>pakuotės dydis N20, referencinio – N50.</w:t>
      </w:r>
    </w:p>
    <w:p w:rsidR="005701F6" w:rsidRDefault="005701F6" w:rsidP="00CC52FA">
      <w:pPr>
        <w:spacing w:after="0" w:line="240" w:lineRule="auto"/>
        <w:rPr>
          <w:rFonts w:ascii="Times New Roman" w:hAnsi="Times New Roman"/>
          <w:i/>
          <w:iCs/>
        </w:rPr>
      </w:pPr>
    </w:p>
    <w:p w:rsidR="005701F6" w:rsidRDefault="005701F6" w:rsidP="00CC52FA">
      <w:pPr>
        <w:spacing w:after="0" w:line="240" w:lineRule="auto"/>
        <w:rPr>
          <w:rFonts w:ascii="Times New Roman" w:hAnsi="Times New Roman"/>
        </w:rPr>
      </w:pPr>
    </w:p>
    <w:p w:rsidR="005701F6" w:rsidRDefault="005701F6">
      <w:pPr>
        <w:spacing w:after="160" w:line="259" w:lineRule="auto"/>
        <w:rPr>
          <w:rFonts w:ascii="Times New Roman" w:hAnsi="Times New Roman"/>
        </w:rPr>
      </w:pPr>
      <w:r>
        <w:rPr>
          <w:rFonts w:ascii="Times New Roman" w:hAnsi="Times New Roman"/>
        </w:rPr>
        <w:br w:type="page"/>
      </w:r>
    </w:p>
    <w:p w:rsidR="00077749" w:rsidRDefault="005701F6" w:rsidP="005701F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5701F6">
        <w:rPr>
          <w:rFonts w:ascii="Times New Roman" w:eastAsia="Times New Roman" w:hAnsi="Times New Roman"/>
          <w:b/>
          <w:lang w:eastAsia="sl-SI"/>
        </w:rPr>
        <w:lastRenderedPageBreak/>
        <w:t xml:space="preserve">MINIMALI </w:t>
      </w:r>
      <w:r w:rsidRPr="005701F6">
        <w:rPr>
          <w:rFonts w:ascii="Times New Roman" w:eastAsia="Times New Roman" w:hAnsi="Times New Roman"/>
          <w:b/>
          <w:caps/>
          <w:lang w:eastAsia="sl-SI"/>
        </w:rPr>
        <w:t xml:space="preserve">informacija ant </w:t>
      </w:r>
      <w:r w:rsidRPr="005701F6">
        <w:rPr>
          <w:rFonts w:ascii="Times New Roman" w:eastAsia="Times New Roman" w:hAnsi="Times New Roman"/>
          <w:b/>
          <w:lang w:eastAsia="sl-SI"/>
        </w:rPr>
        <w:t>LIZDINIŲ PLOKŠTELIŲ</w:t>
      </w:r>
    </w:p>
    <w:p w:rsidR="005701F6" w:rsidRDefault="005701F6" w:rsidP="005701F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p>
    <w:p w:rsidR="005701F6" w:rsidRPr="005701F6" w:rsidRDefault="005701F6" w:rsidP="005701F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sl-SI" w:eastAsia="sl-SI"/>
        </w:rPr>
      </w:pPr>
      <w:r w:rsidRPr="008660F5">
        <w:rPr>
          <w:rFonts w:ascii="Times New Roman" w:hAnsi="Times New Roman"/>
          <w:b/>
          <w:color w:val="000000"/>
          <w:lang w:eastAsia="lt-LT"/>
        </w:rPr>
        <w:t>PVC/Al</w:t>
      </w:r>
      <w:r w:rsidRPr="0059741C">
        <w:rPr>
          <w:rFonts w:ascii="Times New Roman" w:hAnsi="Times New Roman"/>
          <w:color w:val="000000"/>
          <w:lang w:eastAsia="lt-LT"/>
        </w:rPr>
        <w:t xml:space="preserve"> </w:t>
      </w:r>
      <w:r w:rsidRPr="005701F6">
        <w:rPr>
          <w:rFonts w:ascii="Times New Roman" w:eastAsia="Times New Roman" w:hAnsi="Times New Roman"/>
          <w:b/>
          <w:lang w:eastAsia="sl-SI"/>
        </w:rPr>
        <w:t>LIZDINĖ PLOKŠTELĖ</w:t>
      </w: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5701F6">
        <w:rPr>
          <w:rFonts w:ascii="Times New Roman" w:eastAsia="Times New Roman" w:hAnsi="Times New Roman"/>
          <w:b/>
          <w:lang w:eastAsia="sl-SI"/>
        </w:rPr>
        <w:t>1.</w:t>
      </w:r>
      <w:r w:rsidRPr="005701F6">
        <w:rPr>
          <w:rFonts w:ascii="Times New Roman" w:eastAsia="Times New Roman" w:hAnsi="Times New Roman"/>
          <w:b/>
          <w:lang w:eastAsia="sl-SI"/>
        </w:rPr>
        <w:tab/>
        <w:t>VAISTINIO PREPARATO PAVADINIMAS</w:t>
      </w: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9741C" w:rsidRDefault="005701F6" w:rsidP="005701F6">
      <w:pPr>
        <w:spacing w:after="0" w:line="240" w:lineRule="auto"/>
        <w:rPr>
          <w:rFonts w:ascii="Times New Roman" w:hAnsi="Times New Roman"/>
        </w:rPr>
      </w:pPr>
      <w:r w:rsidRPr="0059741C">
        <w:rPr>
          <w:rFonts w:ascii="Times New Roman" w:hAnsi="Times New Roman"/>
        </w:rPr>
        <w:t>Allopurinol-ratiopharm 300 mg</w:t>
      </w:r>
      <w:r>
        <w:rPr>
          <w:rFonts w:ascii="Times New Roman" w:hAnsi="Times New Roman"/>
        </w:rPr>
        <w:t xml:space="preserve"> </w:t>
      </w:r>
      <w:r w:rsidRPr="0059741C">
        <w:rPr>
          <w:rFonts w:ascii="Times New Roman" w:hAnsi="Times New Roman"/>
          <w:color w:val="000000"/>
          <w:lang w:eastAsia="lt-LT"/>
        </w:rPr>
        <w:t>tabletės</w:t>
      </w:r>
    </w:p>
    <w:p w:rsidR="005701F6" w:rsidRPr="005701F6" w:rsidRDefault="005701F6" w:rsidP="005701F6">
      <w:pPr>
        <w:widowControl w:val="0"/>
        <w:numPr>
          <w:ilvl w:val="12"/>
          <w:numId w:val="0"/>
        </w:numPr>
        <w:spacing w:after="0" w:line="240" w:lineRule="auto"/>
        <w:rPr>
          <w:rFonts w:ascii="Times New Roman" w:eastAsia="Times New Roman" w:hAnsi="Times New Roman"/>
          <w:bCs/>
          <w:shd w:val="clear" w:color="auto" w:fill="E6E6E6"/>
        </w:rPr>
      </w:pP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5701F6">
        <w:rPr>
          <w:rFonts w:ascii="Times New Roman" w:eastAsia="Times New Roman" w:hAnsi="Times New Roman"/>
          <w:b/>
          <w:lang w:eastAsia="sl-SI"/>
        </w:rPr>
        <w:t>2.</w:t>
      </w:r>
      <w:r w:rsidRPr="005701F6">
        <w:rPr>
          <w:rFonts w:ascii="Times New Roman" w:eastAsia="Times New Roman" w:hAnsi="Times New Roman"/>
          <w:b/>
          <w:lang w:eastAsia="sl-SI"/>
        </w:rPr>
        <w:tab/>
      </w:r>
      <w:r>
        <w:rPr>
          <w:rFonts w:ascii="Times New Roman" w:hAnsi="Times New Roman"/>
          <w:b/>
        </w:rPr>
        <w:t>LYGIAGRETAUS IMPORTUOTOJO</w:t>
      </w:r>
      <w:r w:rsidRPr="005701F6">
        <w:rPr>
          <w:rFonts w:ascii="Times New Roman" w:eastAsia="Times New Roman" w:hAnsi="Times New Roman"/>
          <w:b/>
          <w:lang w:eastAsia="sl-SI"/>
        </w:rPr>
        <w:t xml:space="preserve"> PAVADINIMAS</w:t>
      </w: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spacing w:after="0" w:line="240" w:lineRule="auto"/>
        <w:rPr>
          <w:rFonts w:ascii="Times New Roman" w:eastAsia="Times New Roman" w:hAnsi="Times New Roman"/>
          <w:lang w:eastAsia="sl-SI"/>
        </w:rPr>
      </w:pPr>
      <w:r w:rsidRPr="005701F6">
        <w:rPr>
          <w:rFonts w:ascii="Times New Roman" w:eastAsia="Times New Roman" w:hAnsi="Times New Roman"/>
          <w:highlight w:val="lightGray"/>
          <w:lang w:eastAsia="sl-SI"/>
        </w:rPr>
        <w:t>Actiofarma</w:t>
      </w: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5701F6">
        <w:rPr>
          <w:rFonts w:ascii="Times New Roman" w:eastAsia="Times New Roman" w:hAnsi="Times New Roman"/>
          <w:b/>
          <w:lang w:eastAsia="sl-SI"/>
        </w:rPr>
        <w:t>3.</w:t>
      </w:r>
      <w:r w:rsidRPr="005701F6">
        <w:rPr>
          <w:rFonts w:ascii="Times New Roman" w:eastAsia="Times New Roman" w:hAnsi="Times New Roman"/>
          <w:b/>
          <w:lang w:eastAsia="sl-SI"/>
        </w:rPr>
        <w:tab/>
        <w:t>TINKAMUMO LAIKAS</w:t>
      </w: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spacing w:after="0" w:line="240" w:lineRule="auto"/>
        <w:rPr>
          <w:rFonts w:ascii="Times New Roman" w:eastAsia="Times New Roman" w:hAnsi="Times New Roman"/>
          <w:lang w:eastAsia="sl-SI"/>
        </w:rPr>
      </w:pPr>
      <w:r w:rsidRPr="005701F6">
        <w:rPr>
          <w:rFonts w:ascii="Times New Roman" w:eastAsia="Times New Roman" w:hAnsi="Times New Roman"/>
          <w:highlight w:val="lightGray"/>
          <w:lang w:eastAsia="sl-SI"/>
        </w:rPr>
        <w:t>EXP</w:t>
      </w:r>
      <w:r>
        <w:rPr>
          <w:rFonts w:ascii="Times New Roman" w:eastAsia="Times New Roman" w:hAnsi="Times New Roman"/>
          <w:lang w:eastAsia="sl-SI"/>
        </w:rPr>
        <w:t>:</w:t>
      </w:r>
      <w:r w:rsidRPr="005701F6">
        <w:rPr>
          <w:rFonts w:ascii="Times New Roman" w:eastAsia="Times New Roman" w:hAnsi="Times New Roman"/>
          <w:lang w:eastAsia="sl-SI"/>
        </w:rPr>
        <w:t xml:space="preserve"> (</w:t>
      </w:r>
      <w:r w:rsidR="0083436F">
        <w:rPr>
          <w:rFonts w:ascii="Times New Roman" w:eastAsia="Times New Roman" w:hAnsi="Times New Roman"/>
          <w:lang w:eastAsia="sl-SI"/>
        </w:rPr>
        <w:t>MMMM mm</w:t>
      </w:r>
      <w:r w:rsidRPr="005701F6">
        <w:rPr>
          <w:rFonts w:ascii="Times New Roman" w:eastAsia="Times New Roman" w:hAnsi="Times New Roman"/>
          <w:lang w:eastAsia="sl-SI"/>
        </w:rPr>
        <w:t>)</w:t>
      </w: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5701F6">
        <w:rPr>
          <w:rFonts w:ascii="Times New Roman" w:eastAsia="Times New Roman" w:hAnsi="Times New Roman"/>
          <w:b/>
          <w:lang w:eastAsia="sl-SI"/>
        </w:rPr>
        <w:t>4.</w:t>
      </w:r>
      <w:r w:rsidRPr="005701F6">
        <w:rPr>
          <w:rFonts w:ascii="Times New Roman" w:eastAsia="Times New Roman" w:hAnsi="Times New Roman"/>
          <w:b/>
          <w:lang w:eastAsia="sl-SI"/>
        </w:rPr>
        <w:tab/>
        <w:t>SERIJOS NUMERIS</w:t>
      </w: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spacing w:after="0" w:line="240" w:lineRule="auto"/>
        <w:rPr>
          <w:rFonts w:ascii="Times New Roman" w:eastAsia="Times New Roman" w:hAnsi="Times New Roman"/>
          <w:lang w:eastAsia="sl-SI"/>
        </w:rPr>
      </w:pPr>
      <w:r w:rsidRPr="005701F6">
        <w:rPr>
          <w:rFonts w:ascii="Times New Roman" w:eastAsia="Times New Roman" w:hAnsi="Times New Roman"/>
          <w:highlight w:val="lightGray"/>
          <w:lang w:eastAsia="sl-SI"/>
        </w:rPr>
        <w:t>Lot</w:t>
      </w:r>
      <w:r>
        <w:rPr>
          <w:rFonts w:ascii="Times New Roman" w:eastAsia="Times New Roman" w:hAnsi="Times New Roman"/>
          <w:lang w:eastAsia="sl-SI"/>
        </w:rPr>
        <w:t>:</w:t>
      </w:r>
      <w:r w:rsidRPr="005701F6">
        <w:rPr>
          <w:rFonts w:ascii="Times New Roman" w:eastAsia="Times New Roman" w:hAnsi="Times New Roman"/>
          <w:lang w:eastAsia="sl-SI"/>
        </w:rPr>
        <w:t xml:space="preserve"> (numeris)</w:t>
      </w: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spacing w:after="0" w:line="240" w:lineRule="auto"/>
        <w:rPr>
          <w:rFonts w:ascii="Times New Roman" w:eastAsia="Times New Roman" w:hAnsi="Times New Roman"/>
          <w:lang w:eastAsia="sl-SI"/>
        </w:rPr>
      </w:pPr>
    </w:p>
    <w:p w:rsidR="005701F6" w:rsidRPr="005701F6" w:rsidRDefault="005701F6" w:rsidP="005701F6">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eastAsia="sl-SI"/>
        </w:rPr>
      </w:pPr>
      <w:r w:rsidRPr="005701F6">
        <w:rPr>
          <w:rFonts w:ascii="Times New Roman" w:eastAsia="Times New Roman" w:hAnsi="Times New Roman"/>
          <w:b/>
          <w:lang w:eastAsia="sl-SI"/>
        </w:rPr>
        <w:t>5.</w:t>
      </w:r>
      <w:r w:rsidRPr="005701F6">
        <w:rPr>
          <w:rFonts w:ascii="Times New Roman" w:eastAsia="Times New Roman" w:hAnsi="Times New Roman"/>
          <w:b/>
          <w:lang w:eastAsia="sl-SI"/>
        </w:rPr>
        <w:tab/>
        <w:t>KITA</w:t>
      </w:r>
    </w:p>
    <w:p w:rsidR="005701F6" w:rsidRDefault="005701F6">
      <w:pPr>
        <w:spacing w:after="160" w:line="259" w:lineRule="auto"/>
        <w:rPr>
          <w:rFonts w:ascii="Times New Roman" w:hAnsi="Times New Roman"/>
        </w:rPr>
      </w:pPr>
      <w:r>
        <w:rPr>
          <w:rFonts w:ascii="Times New Roman" w:hAnsi="Times New Roman"/>
        </w:rPr>
        <w:br w:type="page"/>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tabs>
          <w:tab w:val="left" w:pos="567"/>
        </w:tabs>
        <w:spacing w:after="0" w:line="240" w:lineRule="auto"/>
        <w:ind w:left="567" w:hanging="567"/>
        <w:jc w:val="center"/>
        <w:outlineLvl w:val="0"/>
        <w:rPr>
          <w:rFonts w:ascii="Times New Roman" w:hAnsi="Times New Roman"/>
          <w:b/>
        </w:rPr>
      </w:pPr>
      <w:bookmarkStart w:id="2" w:name="_Toc129243137"/>
      <w:bookmarkStart w:id="3" w:name="_Toc129243262"/>
      <w:r w:rsidRPr="0059741C">
        <w:rPr>
          <w:rFonts w:ascii="Times New Roman" w:hAnsi="Times New Roman"/>
          <w:b/>
        </w:rPr>
        <w:t>B. PAKUOTĖS LAPELIS</w:t>
      </w:r>
      <w:bookmarkEnd w:id="2"/>
      <w:bookmarkEnd w:id="3"/>
    </w:p>
    <w:p w:rsidR="00CC52FA" w:rsidRDefault="00CC52FA" w:rsidP="00CC52FA">
      <w:pPr>
        <w:tabs>
          <w:tab w:val="left" w:pos="567"/>
        </w:tabs>
        <w:spacing w:after="0" w:line="240" w:lineRule="auto"/>
        <w:ind w:left="567" w:hanging="567"/>
        <w:jc w:val="center"/>
        <w:outlineLvl w:val="0"/>
        <w:rPr>
          <w:rFonts w:ascii="Times New Roman" w:hAnsi="Times New Roman"/>
          <w:b/>
        </w:rPr>
      </w:pPr>
      <w:r w:rsidRPr="0059741C">
        <w:rPr>
          <w:rFonts w:ascii="Times New Roman" w:hAnsi="Times New Roman"/>
          <w:b/>
        </w:rPr>
        <w:br w:type="page"/>
      </w:r>
      <w:bookmarkStart w:id="4" w:name="_Toc129243138"/>
      <w:bookmarkStart w:id="5" w:name="_Toc129243263"/>
      <w:r w:rsidRPr="0059741C">
        <w:rPr>
          <w:rFonts w:ascii="Times New Roman" w:hAnsi="Times New Roman"/>
          <w:b/>
        </w:rPr>
        <w:lastRenderedPageBreak/>
        <w:t>Pakuotės lapelis:</w:t>
      </w:r>
      <w:r w:rsidRPr="0059741C">
        <w:rPr>
          <w:rFonts w:ascii="Times New Roman" w:hAnsi="Times New Roman"/>
          <w:b/>
          <w:bCs/>
          <w:iCs/>
        </w:rPr>
        <w:t xml:space="preserve"> </w:t>
      </w:r>
      <w:r w:rsidRPr="0059741C">
        <w:rPr>
          <w:rFonts w:ascii="Times New Roman" w:hAnsi="Times New Roman"/>
          <w:b/>
        </w:rPr>
        <w:t>informacija vartotojui</w:t>
      </w:r>
      <w:bookmarkEnd w:id="4"/>
      <w:bookmarkEnd w:id="5"/>
    </w:p>
    <w:p w:rsidR="00F3024F" w:rsidRPr="0059741C" w:rsidRDefault="00F3024F" w:rsidP="00CC52FA">
      <w:pPr>
        <w:tabs>
          <w:tab w:val="left" w:pos="567"/>
        </w:tabs>
        <w:spacing w:after="0" w:line="240" w:lineRule="auto"/>
        <w:ind w:left="567" w:hanging="567"/>
        <w:jc w:val="center"/>
        <w:outlineLvl w:val="0"/>
        <w:rPr>
          <w:rFonts w:ascii="Times New Roman" w:hAnsi="Times New Roman"/>
          <w:b/>
        </w:rPr>
      </w:pPr>
    </w:p>
    <w:p w:rsidR="00CC52FA" w:rsidRPr="0059741C" w:rsidRDefault="00CC52FA" w:rsidP="00CC52FA">
      <w:pPr>
        <w:spacing w:after="0" w:line="240" w:lineRule="auto"/>
        <w:jc w:val="center"/>
        <w:rPr>
          <w:rFonts w:ascii="Times New Roman" w:hAnsi="Times New Roman"/>
          <w:b/>
        </w:rPr>
      </w:pPr>
      <w:r w:rsidRPr="0059741C">
        <w:rPr>
          <w:rFonts w:ascii="Times New Roman" w:hAnsi="Times New Roman"/>
          <w:b/>
        </w:rPr>
        <w:t>Allopurinol-ratiopharm 300 mg tabletės</w:t>
      </w:r>
    </w:p>
    <w:p w:rsidR="00CC52FA" w:rsidRPr="0059741C" w:rsidRDefault="00CC52FA" w:rsidP="00CC52FA">
      <w:pPr>
        <w:spacing w:after="0" w:line="240" w:lineRule="auto"/>
        <w:jc w:val="center"/>
        <w:rPr>
          <w:rFonts w:ascii="Times New Roman" w:hAnsi="Times New Roman"/>
        </w:rPr>
      </w:pPr>
      <w:r w:rsidRPr="0059741C">
        <w:rPr>
          <w:rFonts w:ascii="Times New Roman" w:hAnsi="Times New Roman"/>
        </w:rPr>
        <w:t>Alopurinolis</w:t>
      </w:r>
    </w:p>
    <w:p w:rsidR="00CC52FA" w:rsidRPr="0059741C" w:rsidRDefault="00CC52FA" w:rsidP="00CC52FA">
      <w:pPr>
        <w:spacing w:after="0" w:line="240" w:lineRule="auto"/>
        <w:rPr>
          <w:rFonts w:ascii="Times New Roman" w:hAnsi="Times New Roman"/>
        </w:rPr>
      </w:pPr>
    </w:p>
    <w:p w:rsidR="00CC52FA" w:rsidRPr="0059741C" w:rsidRDefault="00CC52FA" w:rsidP="00CC52FA">
      <w:pPr>
        <w:suppressAutoHyphens/>
        <w:spacing w:after="0" w:line="240" w:lineRule="auto"/>
        <w:rPr>
          <w:rFonts w:ascii="Times New Roman" w:eastAsia="Times New Roman" w:hAnsi="Times New Roman"/>
          <w:snapToGrid w:val="0"/>
        </w:rPr>
      </w:pPr>
      <w:r w:rsidRPr="0059741C">
        <w:rPr>
          <w:rFonts w:ascii="Times New Roman" w:eastAsia="Times New Roman" w:hAnsi="Times New Roman"/>
          <w:b/>
          <w:snapToGrid w:val="0"/>
        </w:rPr>
        <w:t>Atidžiai perskaitykite visą šį lapelį, prieš pradėdami vartoti vaistą, nes jame pateikiama Jums svarbi informacija.</w:t>
      </w:r>
    </w:p>
    <w:p w:rsidR="00CC52FA" w:rsidRPr="0059741C" w:rsidRDefault="00CC52FA" w:rsidP="00CC52FA">
      <w:pPr>
        <w:numPr>
          <w:ilvl w:val="0"/>
          <w:numId w:val="4"/>
        </w:numPr>
        <w:tabs>
          <w:tab w:val="left" w:pos="567"/>
        </w:tabs>
        <w:spacing w:after="0" w:line="260" w:lineRule="exact"/>
        <w:ind w:left="567" w:right="-2" w:hanging="567"/>
        <w:rPr>
          <w:rFonts w:ascii="Times New Roman" w:eastAsia="Times New Roman" w:hAnsi="Times New Roman"/>
          <w:snapToGrid w:val="0"/>
        </w:rPr>
      </w:pPr>
      <w:r w:rsidRPr="0059741C">
        <w:rPr>
          <w:rFonts w:ascii="Times New Roman" w:eastAsia="Times New Roman" w:hAnsi="Times New Roman"/>
          <w:snapToGrid w:val="0"/>
        </w:rPr>
        <w:t>Neišmeskite šio lapelio, nes vėl gali prireikti jį perskaityti.</w:t>
      </w:r>
    </w:p>
    <w:p w:rsidR="00CC52FA" w:rsidRPr="0059741C" w:rsidRDefault="00CC52FA" w:rsidP="00CC52FA">
      <w:pPr>
        <w:numPr>
          <w:ilvl w:val="0"/>
          <w:numId w:val="4"/>
        </w:numPr>
        <w:tabs>
          <w:tab w:val="left" w:pos="567"/>
        </w:tabs>
        <w:spacing w:after="0" w:line="260" w:lineRule="exact"/>
        <w:ind w:left="567" w:right="-2" w:hanging="567"/>
        <w:rPr>
          <w:rFonts w:ascii="Times New Roman" w:eastAsia="Times New Roman" w:hAnsi="Times New Roman"/>
          <w:snapToGrid w:val="0"/>
        </w:rPr>
      </w:pPr>
      <w:r w:rsidRPr="0059741C">
        <w:rPr>
          <w:rFonts w:ascii="Times New Roman" w:eastAsia="Times New Roman" w:hAnsi="Times New Roman"/>
          <w:snapToGrid w:val="0"/>
        </w:rPr>
        <w:t>Jeigu kiltų daugiau klausimų, kreipkitės į gydytoją arba vaistininką.</w:t>
      </w:r>
    </w:p>
    <w:p w:rsidR="00CC52FA" w:rsidRPr="0059741C" w:rsidRDefault="00CC52FA" w:rsidP="00CC52FA">
      <w:pPr>
        <w:tabs>
          <w:tab w:val="left" w:pos="567"/>
        </w:tabs>
        <w:spacing w:after="0" w:line="240" w:lineRule="auto"/>
        <w:ind w:left="567" w:right="-2" w:hanging="567"/>
        <w:rPr>
          <w:rFonts w:ascii="Times New Roman" w:eastAsia="Times New Roman" w:hAnsi="Times New Roman"/>
          <w:snapToGrid w:val="0"/>
        </w:rPr>
      </w:pPr>
      <w:r w:rsidRPr="0059741C">
        <w:rPr>
          <w:rFonts w:ascii="Times New Roman" w:eastAsia="Times New Roman" w:hAnsi="Times New Roman"/>
          <w:snapToGrid w:val="0"/>
        </w:rPr>
        <w:t>-</w:t>
      </w:r>
      <w:r w:rsidRPr="0059741C">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rsidR="00CC52FA" w:rsidRPr="0059741C" w:rsidRDefault="00CC52FA" w:rsidP="00CC52FA">
      <w:pPr>
        <w:tabs>
          <w:tab w:val="left" w:pos="567"/>
        </w:tabs>
        <w:spacing w:after="0" w:line="240" w:lineRule="auto"/>
        <w:ind w:left="567" w:right="-2" w:hanging="567"/>
        <w:rPr>
          <w:rFonts w:ascii="Times New Roman" w:eastAsia="Times New Roman" w:hAnsi="Times New Roman"/>
          <w:snapToGrid w:val="0"/>
        </w:rPr>
      </w:pPr>
      <w:r w:rsidRPr="0059741C">
        <w:rPr>
          <w:rFonts w:ascii="Times New Roman" w:eastAsia="Times New Roman" w:hAnsi="Times New Roman"/>
          <w:snapToGrid w:val="0"/>
        </w:rPr>
        <w:t>-</w:t>
      </w:r>
      <w:r w:rsidRPr="0059741C">
        <w:rPr>
          <w:rFonts w:ascii="Times New Roman" w:eastAsia="Times New Roman" w:hAnsi="Times New Roman"/>
          <w:snapToGrid w:val="0"/>
        </w:rPr>
        <w:tab/>
        <w:t>Jeigu pasireiškė šalutinis poveikis (net jeigu jis šiame lapelyje nenurodytas), kreipkitės į gydytoją arba vaistininką. Žr. 4 skyrių.</w:t>
      </w:r>
    </w:p>
    <w:p w:rsidR="00CC52FA" w:rsidRPr="0059741C" w:rsidRDefault="00CC52FA" w:rsidP="00CC52FA">
      <w:pPr>
        <w:spacing w:after="0" w:line="240" w:lineRule="auto"/>
        <w:rPr>
          <w:rFonts w:ascii="Times New Roman" w:hAnsi="Times New Roman"/>
        </w:rPr>
      </w:pPr>
    </w:p>
    <w:p w:rsidR="00CC52FA" w:rsidRPr="0059741C" w:rsidRDefault="00CC52FA" w:rsidP="00CC52FA">
      <w:pPr>
        <w:keepNext/>
        <w:tabs>
          <w:tab w:val="left" w:pos="567"/>
        </w:tabs>
        <w:spacing w:after="0" w:line="260" w:lineRule="exact"/>
        <w:jc w:val="both"/>
        <w:outlineLvl w:val="3"/>
        <w:rPr>
          <w:rFonts w:ascii="Times New Roman" w:eastAsia="Times New Roman" w:hAnsi="Times New Roman"/>
          <w:b/>
          <w:bCs/>
          <w:snapToGrid w:val="0"/>
          <w:lang w:eastAsia="x-none"/>
        </w:rPr>
      </w:pPr>
      <w:r w:rsidRPr="0059741C">
        <w:rPr>
          <w:rFonts w:ascii="Times New Roman" w:eastAsia="Times New Roman" w:hAnsi="Times New Roman"/>
          <w:b/>
          <w:bCs/>
          <w:snapToGrid w:val="0"/>
          <w:lang w:eastAsia="x-none"/>
        </w:rPr>
        <w:t>Apie ką rašoma šiame lapelyje?</w:t>
      </w:r>
    </w:p>
    <w:p w:rsidR="00CC52FA" w:rsidRPr="0059741C" w:rsidRDefault="00CC52FA" w:rsidP="00CC52FA">
      <w:pPr>
        <w:keepNext/>
        <w:tabs>
          <w:tab w:val="left" w:pos="567"/>
        </w:tabs>
        <w:spacing w:after="0" w:line="260" w:lineRule="exact"/>
        <w:jc w:val="both"/>
        <w:outlineLvl w:val="3"/>
        <w:rPr>
          <w:rFonts w:ascii="Times New Roman" w:eastAsia="Times New Roman" w:hAnsi="Times New Roman"/>
          <w:b/>
          <w:bCs/>
          <w:snapToGrid w:val="0"/>
          <w:lang w:eastAsia="x-none"/>
        </w:rPr>
      </w:pPr>
    </w:p>
    <w:p w:rsidR="00CC52FA" w:rsidRPr="0059741C" w:rsidRDefault="00CC52FA" w:rsidP="008F4543">
      <w:pPr>
        <w:tabs>
          <w:tab w:val="left" w:pos="567"/>
        </w:tabs>
        <w:spacing w:after="0" w:line="240" w:lineRule="auto"/>
        <w:rPr>
          <w:rFonts w:ascii="Times New Roman" w:hAnsi="Times New Roman"/>
        </w:rPr>
      </w:pPr>
      <w:r w:rsidRPr="0059741C">
        <w:rPr>
          <w:rFonts w:ascii="Times New Roman" w:hAnsi="Times New Roman"/>
        </w:rPr>
        <w:t>1.</w:t>
      </w:r>
      <w:r w:rsidRPr="0059741C">
        <w:rPr>
          <w:rFonts w:ascii="Times New Roman" w:hAnsi="Times New Roman"/>
        </w:rPr>
        <w:tab/>
        <w:t>Kas yra Allopurinol-ratiopharm ir kam jis vartojamas</w:t>
      </w:r>
    </w:p>
    <w:p w:rsidR="00CC52FA" w:rsidRPr="0059741C" w:rsidRDefault="00CC52FA" w:rsidP="008F4543">
      <w:pPr>
        <w:tabs>
          <w:tab w:val="left" w:pos="567"/>
        </w:tabs>
        <w:spacing w:after="0" w:line="240" w:lineRule="auto"/>
        <w:rPr>
          <w:rFonts w:ascii="Times New Roman" w:hAnsi="Times New Roman"/>
        </w:rPr>
      </w:pPr>
      <w:r w:rsidRPr="0059741C">
        <w:rPr>
          <w:rFonts w:ascii="Times New Roman" w:hAnsi="Times New Roman"/>
        </w:rPr>
        <w:t>2.</w:t>
      </w:r>
      <w:r w:rsidRPr="0059741C">
        <w:rPr>
          <w:rFonts w:ascii="Times New Roman" w:hAnsi="Times New Roman"/>
        </w:rPr>
        <w:tab/>
        <w:t>Kas žinotina prieš vartojant Allopurinol-ratiopharm</w:t>
      </w:r>
    </w:p>
    <w:p w:rsidR="00CC52FA" w:rsidRPr="0059741C" w:rsidRDefault="00CC52FA" w:rsidP="008F4543">
      <w:pPr>
        <w:tabs>
          <w:tab w:val="left" w:pos="567"/>
        </w:tabs>
        <w:spacing w:after="0" w:line="240" w:lineRule="auto"/>
        <w:rPr>
          <w:rFonts w:ascii="Times New Roman" w:hAnsi="Times New Roman"/>
        </w:rPr>
      </w:pPr>
      <w:r w:rsidRPr="0059741C">
        <w:rPr>
          <w:rFonts w:ascii="Times New Roman" w:hAnsi="Times New Roman"/>
        </w:rPr>
        <w:t>3.</w:t>
      </w:r>
      <w:r w:rsidRPr="0059741C">
        <w:rPr>
          <w:rFonts w:ascii="Times New Roman" w:hAnsi="Times New Roman"/>
        </w:rPr>
        <w:tab/>
        <w:t>Kaip vartoti Allopurinol-ratiopharm</w:t>
      </w:r>
    </w:p>
    <w:p w:rsidR="00CC52FA" w:rsidRPr="0059741C" w:rsidRDefault="00CC52FA" w:rsidP="008F4543">
      <w:pPr>
        <w:tabs>
          <w:tab w:val="left" w:pos="567"/>
        </w:tabs>
        <w:spacing w:after="0" w:line="240" w:lineRule="auto"/>
        <w:rPr>
          <w:rFonts w:ascii="Times New Roman" w:hAnsi="Times New Roman"/>
        </w:rPr>
      </w:pPr>
      <w:r w:rsidRPr="0059741C">
        <w:rPr>
          <w:rFonts w:ascii="Times New Roman" w:hAnsi="Times New Roman"/>
        </w:rPr>
        <w:t>4.</w:t>
      </w:r>
      <w:r w:rsidRPr="0059741C">
        <w:rPr>
          <w:rFonts w:ascii="Times New Roman" w:hAnsi="Times New Roman"/>
        </w:rPr>
        <w:tab/>
        <w:t>Galimas šalutinis poveikis</w:t>
      </w:r>
    </w:p>
    <w:p w:rsidR="00CC52FA" w:rsidRPr="0059741C" w:rsidRDefault="00CC52FA" w:rsidP="008F4543">
      <w:pPr>
        <w:tabs>
          <w:tab w:val="left" w:pos="567"/>
        </w:tabs>
        <w:spacing w:after="0" w:line="240" w:lineRule="auto"/>
        <w:rPr>
          <w:rFonts w:ascii="Times New Roman" w:hAnsi="Times New Roman"/>
        </w:rPr>
      </w:pPr>
      <w:r w:rsidRPr="0059741C">
        <w:rPr>
          <w:rFonts w:ascii="Times New Roman" w:hAnsi="Times New Roman"/>
        </w:rPr>
        <w:t>5.</w:t>
      </w:r>
      <w:r w:rsidRPr="0059741C">
        <w:rPr>
          <w:rFonts w:ascii="Times New Roman" w:hAnsi="Times New Roman"/>
        </w:rPr>
        <w:tab/>
        <w:t>Kaip laikyti Allopurinol-ratiopharm</w:t>
      </w:r>
    </w:p>
    <w:p w:rsidR="00CC52FA" w:rsidRPr="0059741C" w:rsidRDefault="00CC52FA" w:rsidP="008F4543">
      <w:pPr>
        <w:tabs>
          <w:tab w:val="left" w:pos="567"/>
        </w:tabs>
        <w:spacing w:after="0" w:line="240" w:lineRule="auto"/>
        <w:rPr>
          <w:rFonts w:ascii="Times New Roman" w:hAnsi="Times New Roman"/>
        </w:rPr>
      </w:pPr>
      <w:r w:rsidRPr="0059741C">
        <w:rPr>
          <w:rFonts w:ascii="Times New Roman" w:hAnsi="Times New Roman"/>
        </w:rPr>
        <w:t>6.</w:t>
      </w:r>
      <w:r w:rsidRPr="0059741C">
        <w:rPr>
          <w:rFonts w:ascii="Times New Roman" w:hAnsi="Times New Roman"/>
        </w:rPr>
        <w:tab/>
        <w:t>Pakuotės turinys ir kita informacija</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keepNext/>
        <w:tabs>
          <w:tab w:val="left" w:pos="567"/>
        </w:tabs>
        <w:spacing w:after="0" w:line="240" w:lineRule="auto"/>
        <w:ind w:left="567" w:hanging="567"/>
        <w:outlineLvl w:val="1"/>
        <w:rPr>
          <w:rFonts w:ascii="Times New Roman" w:hAnsi="Times New Roman"/>
          <w:b/>
        </w:rPr>
      </w:pPr>
      <w:bookmarkStart w:id="6" w:name="_Toc129243139"/>
      <w:bookmarkStart w:id="7" w:name="_Toc129243264"/>
      <w:r w:rsidRPr="0059741C">
        <w:rPr>
          <w:rFonts w:ascii="Times New Roman" w:hAnsi="Times New Roman"/>
          <w:b/>
        </w:rPr>
        <w:t>1.</w:t>
      </w:r>
      <w:r w:rsidRPr="0059741C">
        <w:rPr>
          <w:rFonts w:ascii="Times New Roman" w:hAnsi="Times New Roman"/>
          <w:b/>
        </w:rPr>
        <w:tab/>
        <w:t>Kas yra Allopurinol-ratiopharm ir kam jis vartojamas</w:t>
      </w:r>
      <w:bookmarkEnd w:id="6"/>
      <w:bookmarkEnd w:id="7"/>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Allopurinol-ratiopharm yra šlapimo rūgšties susidarymą slopinantis vaistas.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Allopurinol-ratiopharm vartojamas esant žemiau išvardintoms būklėms:</w:t>
      </w:r>
    </w:p>
    <w:p w:rsidR="00CC52FA" w:rsidRPr="0059741C" w:rsidRDefault="00CC52FA" w:rsidP="00CC52FA">
      <w:pPr>
        <w:spacing w:after="0" w:line="240" w:lineRule="auto"/>
        <w:rPr>
          <w:rFonts w:ascii="Times New Roman" w:hAnsi="Times New Roman"/>
          <w:color w:val="000000"/>
          <w:u w:val="single"/>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Suaugusieji</w:t>
      </w:r>
    </w:p>
    <w:p w:rsidR="00CC52FA" w:rsidRPr="0059741C" w:rsidRDefault="00CC52FA" w:rsidP="00CC52FA">
      <w:pPr>
        <w:numPr>
          <w:ilvl w:val="0"/>
          <w:numId w:val="5"/>
        </w:numPr>
        <w:spacing w:after="0" w:line="240" w:lineRule="auto"/>
        <w:rPr>
          <w:rFonts w:ascii="Times New Roman" w:hAnsi="Times New Roman"/>
          <w:color w:val="000000"/>
          <w:lang w:eastAsia="lt-LT"/>
        </w:rPr>
      </w:pPr>
      <w:r w:rsidRPr="0059741C">
        <w:rPr>
          <w:rFonts w:ascii="Times New Roman" w:hAnsi="Times New Roman"/>
          <w:color w:val="000000"/>
          <w:lang w:eastAsia="lt-LT"/>
        </w:rPr>
        <w:t>gydyti būklėms, kai šlapimo rūgšties koncentracija kraujo plazmoje yra 500 μmol/l (8,5 mg/100 ml) arba didesnė, jeigu jos negalima normalizuoti dieta;</w:t>
      </w:r>
    </w:p>
    <w:p w:rsidR="00CC52FA" w:rsidRPr="0059741C" w:rsidRDefault="00CC52FA" w:rsidP="00CC52FA">
      <w:pPr>
        <w:numPr>
          <w:ilvl w:val="0"/>
          <w:numId w:val="5"/>
        </w:numPr>
        <w:spacing w:after="0" w:line="240" w:lineRule="auto"/>
        <w:rPr>
          <w:rFonts w:ascii="Times New Roman" w:hAnsi="Times New Roman"/>
          <w:color w:val="000000"/>
          <w:lang w:eastAsia="lt-LT"/>
        </w:rPr>
      </w:pPr>
      <w:r w:rsidRPr="0059741C">
        <w:rPr>
          <w:rFonts w:ascii="Times New Roman" w:hAnsi="Times New Roman"/>
          <w:color w:val="000000"/>
          <w:lang w:eastAsia="lt-LT"/>
        </w:rPr>
        <w:t>šlapimo rūgšties koncentracijos padidėjimo sukeltomis komplikacijoms, ypač podagrai ir dėl šlapimo rūgšties susidariusiems inkstų pažeidimams (uratinei nefropatijai) gydyti;</w:t>
      </w:r>
    </w:p>
    <w:p w:rsidR="00CC52FA" w:rsidRPr="0059741C" w:rsidRDefault="00CC52FA" w:rsidP="00CC52FA">
      <w:pPr>
        <w:numPr>
          <w:ilvl w:val="0"/>
          <w:numId w:val="5"/>
        </w:numPr>
        <w:spacing w:after="0" w:line="240" w:lineRule="auto"/>
        <w:rPr>
          <w:rFonts w:ascii="Times New Roman" w:hAnsi="Times New Roman"/>
          <w:color w:val="000000"/>
          <w:lang w:eastAsia="lt-LT"/>
        </w:rPr>
      </w:pPr>
      <w:r w:rsidRPr="0059741C">
        <w:rPr>
          <w:rFonts w:ascii="Times New Roman" w:hAnsi="Times New Roman"/>
          <w:color w:val="000000"/>
          <w:lang w:eastAsia="lt-LT"/>
        </w:rPr>
        <w:t>šlapimo rūgšties sukeltai inkstų akmenligei gydyti bei jos profilaktikai;</w:t>
      </w:r>
    </w:p>
    <w:p w:rsidR="00CC52FA" w:rsidRPr="0059741C" w:rsidRDefault="00CC52FA" w:rsidP="00CC52FA">
      <w:pPr>
        <w:numPr>
          <w:ilvl w:val="0"/>
          <w:numId w:val="5"/>
        </w:numPr>
        <w:spacing w:after="0" w:line="240" w:lineRule="auto"/>
        <w:rPr>
          <w:rFonts w:ascii="Times New Roman" w:hAnsi="Times New Roman"/>
          <w:color w:val="000000"/>
          <w:lang w:eastAsia="lt-LT"/>
        </w:rPr>
      </w:pPr>
      <w:r w:rsidRPr="0059741C">
        <w:rPr>
          <w:rFonts w:ascii="Times New Roman" w:hAnsi="Times New Roman"/>
          <w:color w:val="000000"/>
          <w:lang w:eastAsia="lt-LT"/>
        </w:rPr>
        <w:t>kalcio oksalato akmenligės, esant padidėjusiam šlapimo rūgšties kiekiui kraujyje, profilaktikai;</w:t>
      </w:r>
    </w:p>
    <w:p w:rsidR="00CC52FA" w:rsidRPr="0059741C" w:rsidRDefault="00CC52FA" w:rsidP="00CC52FA">
      <w:pPr>
        <w:numPr>
          <w:ilvl w:val="0"/>
          <w:numId w:val="5"/>
        </w:numPr>
        <w:spacing w:after="0" w:line="240" w:lineRule="auto"/>
        <w:rPr>
          <w:rFonts w:ascii="Times New Roman" w:hAnsi="Times New Roman"/>
          <w:color w:val="000000"/>
          <w:lang w:eastAsia="lt-LT"/>
        </w:rPr>
      </w:pPr>
      <w:r w:rsidRPr="0059741C">
        <w:rPr>
          <w:rFonts w:ascii="Times New Roman" w:hAnsi="Times New Roman"/>
          <w:color w:val="000000"/>
          <w:lang w:eastAsia="lt-LT"/>
        </w:rPr>
        <w:t>esant padidėjusiam šlapimo rūgšties kiekiui kraujyje ir padidėjus jos išsiskyrimui su šlapimu dėl kitų priežasčių, pvz., stipriai irstant ląstelėms, po spindulinio gydymo, chemoterapijos (antrinė hiperurikemija).</w:t>
      </w:r>
    </w:p>
    <w:p w:rsidR="00CC52FA" w:rsidRPr="0059741C" w:rsidRDefault="00CC52FA" w:rsidP="00CC52FA">
      <w:pPr>
        <w:spacing w:after="0" w:line="240" w:lineRule="auto"/>
        <w:rPr>
          <w:rFonts w:ascii="Times New Roman" w:hAnsi="Times New Roman"/>
          <w:color w:val="000000"/>
          <w:u w:val="single"/>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Vaikai</w:t>
      </w:r>
    </w:p>
    <w:p w:rsidR="00CC52FA" w:rsidRPr="0059741C" w:rsidRDefault="00CC52FA" w:rsidP="00CC52FA">
      <w:pPr>
        <w:numPr>
          <w:ilvl w:val="0"/>
          <w:numId w:val="6"/>
        </w:numPr>
        <w:spacing w:after="0" w:line="240" w:lineRule="auto"/>
        <w:rPr>
          <w:rFonts w:ascii="Times New Roman" w:hAnsi="Times New Roman"/>
          <w:color w:val="000000"/>
          <w:lang w:eastAsia="lt-LT"/>
        </w:rPr>
      </w:pPr>
      <w:r w:rsidRPr="0059741C">
        <w:rPr>
          <w:rFonts w:ascii="Times New Roman" w:hAnsi="Times New Roman"/>
          <w:color w:val="000000"/>
          <w:lang w:eastAsia="lt-LT"/>
        </w:rPr>
        <w:t>Esant padidėjusiam šlapimo rūgšties kiekiui kraujyje ir padidėjus jos išsiskyrimui su šlapimu, pvz., stipriai irstant ląstelėms, po spindulinio gydymo, chemoterapijos (antrinė hiperurikemija);</w:t>
      </w:r>
    </w:p>
    <w:p w:rsidR="00CC52FA" w:rsidRPr="0059741C" w:rsidRDefault="00CC52FA" w:rsidP="00CC52FA">
      <w:pPr>
        <w:numPr>
          <w:ilvl w:val="0"/>
          <w:numId w:val="6"/>
        </w:numPr>
        <w:spacing w:after="0" w:line="240" w:lineRule="auto"/>
        <w:rPr>
          <w:rFonts w:ascii="Times New Roman" w:hAnsi="Times New Roman"/>
          <w:color w:val="000000"/>
          <w:lang w:eastAsia="lt-LT"/>
        </w:rPr>
      </w:pPr>
      <w:r w:rsidRPr="0059741C">
        <w:rPr>
          <w:rFonts w:ascii="Times New Roman" w:hAnsi="Times New Roman"/>
          <w:color w:val="000000"/>
          <w:lang w:eastAsia="lt-LT"/>
        </w:rPr>
        <w:t>leukozės gydymo metu, dėl šlapimo rūgšties pažeistiems inkstams (uratinei nefropatijai) gydyti;</w:t>
      </w:r>
    </w:p>
    <w:p w:rsidR="00CC52FA" w:rsidRPr="0059741C" w:rsidRDefault="00CC52FA" w:rsidP="00CC52FA">
      <w:pPr>
        <w:numPr>
          <w:ilvl w:val="0"/>
          <w:numId w:val="6"/>
        </w:numPr>
        <w:spacing w:after="0" w:line="240" w:lineRule="auto"/>
        <w:rPr>
          <w:rFonts w:ascii="Times New Roman" w:hAnsi="Times New Roman"/>
          <w:lang w:eastAsia="lt-LT"/>
        </w:rPr>
      </w:pPr>
      <w:r w:rsidRPr="0059741C">
        <w:rPr>
          <w:rFonts w:ascii="Times New Roman" w:hAnsi="Times New Roman"/>
          <w:lang w:eastAsia="lt-LT"/>
        </w:rPr>
        <w:t xml:space="preserve">esant įgimtoms fermentų trūkumo ligoms: </w:t>
      </w:r>
      <w:r w:rsidR="0009191F" w:rsidRPr="004D65C3">
        <w:rPr>
          <w:rFonts w:ascii="Times New Roman" w:hAnsi="Times New Roman"/>
          <w:lang w:eastAsia="lt-LT"/>
        </w:rPr>
        <w:t xml:space="preserve">Lešo-Nyhano </w:t>
      </w:r>
      <w:r w:rsidR="0009191F" w:rsidRPr="007D2237">
        <w:rPr>
          <w:rFonts w:ascii="Times New Roman" w:hAnsi="Times New Roman"/>
          <w:i/>
          <w:lang w:eastAsia="lt-LT"/>
        </w:rPr>
        <w:t>(</w:t>
      </w:r>
      <w:r w:rsidR="0009191F" w:rsidRPr="008660F5">
        <w:rPr>
          <w:rFonts w:ascii="Times New Roman" w:hAnsi="Times New Roman"/>
          <w:i/>
        </w:rPr>
        <w:t>Lesch-Nyhan</w:t>
      </w:r>
      <w:r w:rsidR="0009191F" w:rsidRPr="007D2237">
        <w:rPr>
          <w:rFonts w:ascii="Times New Roman" w:hAnsi="Times New Roman"/>
          <w:i/>
          <w:lang w:eastAsia="lt-LT"/>
        </w:rPr>
        <w:t>)</w:t>
      </w:r>
      <w:r w:rsidR="0009191F">
        <w:rPr>
          <w:rFonts w:ascii="Times New Roman" w:hAnsi="Times New Roman"/>
          <w:i/>
          <w:lang w:eastAsia="lt-LT"/>
        </w:rPr>
        <w:t xml:space="preserve"> </w:t>
      </w:r>
      <w:r w:rsidRPr="0059741C">
        <w:rPr>
          <w:rFonts w:ascii="Times New Roman" w:hAnsi="Times New Roman"/>
          <w:lang w:eastAsia="lt-LT"/>
        </w:rPr>
        <w:t>sindromui (dalinis ar visiškas hipoksantin-guanin-fosforiboziltransferazės trūkumas) ir adenin-fosforiboziltransferazės trūkumui.</w:t>
      </w:r>
    </w:p>
    <w:p w:rsidR="00CC52FA" w:rsidRPr="0059741C" w:rsidRDefault="00CC52FA" w:rsidP="00CC52FA">
      <w:pPr>
        <w:spacing w:after="0" w:line="240" w:lineRule="auto"/>
        <w:ind w:left="720"/>
        <w:rPr>
          <w:rFonts w:ascii="Times New Roman" w:hAnsi="Times New Roman"/>
          <w:lang w:eastAsia="lt-LT"/>
        </w:rPr>
      </w:pPr>
    </w:p>
    <w:p w:rsidR="00CC52FA" w:rsidRPr="0059741C" w:rsidRDefault="00CC52FA" w:rsidP="00CC52FA">
      <w:pPr>
        <w:spacing w:after="0" w:line="240" w:lineRule="auto"/>
        <w:rPr>
          <w:rFonts w:ascii="Times New Roman" w:hAnsi="Times New Roman"/>
          <w:lang w:eastAsia="lt-LT"/>
        </w:rPr>
      </w:pPr>
    </w:p>
    <w:p w:rsidR="00CC52FA" w:rsidRPr="0059741C" w:rsidRDefault="00CC52FA" w:rsidP="00CC52FA">
      <w:pPr>
        <w:keepNext/>
        <w:tabs>
          <w:tab w:val="left" w:pos="567"/>
        </w:tabs>
        <w:spacing w:after="0" w:line="240" w:lineRule="auto"/>
        <w:ind w:left="567" w:hanging="567"/>
        <w:outlineLvl w:val="1"/>
        <w:rPr>
          <w:rFonts w:ascii="Times New Roman" w:hAnsi="Times New Roman"/>
          <w:b/>
        </w:rPr>
      </w:pPr>
      <w:bookmarkStart w:id="8" w:name="_Toc129243140"/>
      <w:bookmarkStart w:id="9" w:name="_Toc129243265"/>
      <w:r w:rsidRPr="0059741C">
        <w:rPr>
          <w:rFonts w:ascii="Times New Roman" w:hAnsi="Times New Roman"/>
          <w:b/>
        </w:rPr>
        <w:t>2.</w:t>
      </w:r>
      <w:r w:rsidRPr="0059741C">
        <w:rPr>
          <w:rFonts w:ascii="Times New Roman" w:hAnsi="Times New Roman"/>
          <w:b/>
        </w:rPr>
        <w:tab/>
        <w:t xml:space="preserve">Kas žinotina prieš vartojant </w:t>
      </w:r>
      <w:bookmarkEnd w:id="8"/>
      <w:bookmarkEnd w:id="9"/>
      <w:r w:rsidRPr="0059741C">
        <w:rPr>
          <w:rFonts w:ascii="Times New Roman" w:hAnsi="Times New Roman"/>
          <w:b/>
        </w:rPr>
        <w:t>Allopurinol-ratiopharm</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b/>
          <w:bCs/>
        </w:rPr>
      </w:pPr>
      <w:r w:rsidRPr="0059741C">
        <w:rPr>
          <w:rFonts w:ascii="Times New Roman" w:hAnsi="Times New Roman"/>
          <w:b/>
          <w:bCs/>
        </w:rPr>
        <w:t>Allopurinol-ratiopharm vartoti negalima</w:t>
      </w:r>
    </w:p>
    <w:p w:rsidR="00CC52FA" w:rsidRPr="0059741C" w:rsidRDefault="00CC52FA" w:rsidP="00CC52FA">
      <w:pPr>
        <w:tabs>
          <w:tab w:val="num" w:pos="426"/>
        </w:tabs>
        <w:spacing w:after="0" w:line="240" w:lineRule="auto"/>
        <w:ind w:left="426" w:hanging="426"/>
        <w:rPr>
          <w:rFonts w:ascii="Times New Roman" w:hAnsi="Times New Roman"/>
        </w:rPr>
      </w:pPr>
    </w:p>
    <w:p w:rsidR="00CC52FA" w:rsidRPr="0059741C" w:rsidRDefault="00CC52FA" w:rsidP="00CC52FA">
      <w:pPr>
        <w:tabs>
          <w:tab w:val="num" w:pos="0"/>
        </w:tabs>
        <w:spacing w:after="0" w:line="240" w:lineRule="auto"/>
        <w:rPr>
          <w:rFonts w:ascii="Times New Roman" w:hAnsi="Times New Roman"/>
        </w:rPr>
      </w:pPr>
      <w:r w:rsidRPr="0059741C">
        <w:rPr>
          <w:rFonts w:ascii="Times New Roman" w:hAnsi="Times New Roman"/>
        </w:rPr>
        <w:t>Jeigu yra alergija veikliajai medžiagai arba bet kuriai pagalbinei šio vaisto medžiagai (jos išvardytos 6 skyriuje).</w:t>
      </w:r>
    </w:p>
    <w:p w:rsidR="00CC52FA" w:rsidRPr="0059741C" w:rsidRDefault="00CC52FA" w:rsidP="00CC52FA">
      <w:pPr>
        <w:spacing w:after="0" w:line="240" w:lineRule="auto"/>
        <w:rPr>
          <w:rFonts w:ascii="Times New Roman" w:hAnsi="Times New Roman"/>
          <w:color w:val="000000"/>
          <w:lang w:eastAsia="lt-LT"/>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Tik Allopurinol-ratiopharm 300 mg tabletėms:</w:t>
      </w:r>
    </w:p>
    <w:p w:rsidR="00CC52FA" w:rsidRPr="0059741C" w:rsidRDefault="00CC52FA" w:rsidP="00CC52FA">
      <w:pPr>
        <w:pStyle w:val="ListParagraph"/>
        <w:numPr>
          <w:ilvl w:val="0"/>
          <w:numId w:val="8"/>
        </w:numPr>
        <w:spacing w:after="0" w:line="240" w:lineRule="auto"/>
        <w:rPr>
          <w:rFonts w:ascii="Times New Roman" w:eastAsia="Calibri" w:hAnsi="Times New Roman"/>
          <w:lang w:val="lt-LT"/>
        </w:rPr>
      </w:pPr>
      <w:r w:rsidRPr="0059741C">
        <w:rPr>
          <w:rFonts w:ascii="Times New Roman" w:eastAsia="Calibri" w:hAnsi="Times New Roman"/>
          <w:lang w:val="lt-LT"/>
        </w:rPr>
        <w:t>pacientas serga inkstų nepakankamumu ir kreatinino klirensas mažesnis nei 20 ml/min.;</w:t>
      </w:r>
    </w:p>
    <w:p w:rsidR="00CC52FA" w:rsidRPr="0059741C" w:rsidRDefault="00CC52FA" w:rsidP="00CC52FA">
      <w:pPr>
        <w:pStyle w:val="ListParagraph"/>
        <w:numPr>
          <w:ilvl w:val="0"/>
          <w:numId w:val="8"/>
        </w:numPr>
        <w:spacing w:after="0" w:line="240" w:lineRule="auto"/>
        <w:rPr>
          <w:rFonts w:ascii="Times New Roman" w:eastAsia="Calibri" w:hAnsi="Times New Roman"/>
          <w:lang w:val="lt-LT"/>
        </w:rPr>
      </w:pPr>
      <w:r w:rsidRPr="0059741C">
        <w:rPr>
          <w:rFonts w:ascii="Times New Roman" w:eastAsia="Calibri" w:hAnsi="Times New Roman"/>
          <w:lang w:val="lt-LT"/>
        </w:rPr>
        <w:t>jaunesni nei 12 metų vaikai.</w:t>
      </w:r>
    </w:p>
    <w:p w:rsidR="00CC52FA" w:rsidRPr="0059741C" w:rsidRDefault="00CC52FA" w:rsidP="00CC52FA">
      <w:pPr>
        <w:spacing w:after="0" w:line="240" w:lineRule="auto"/>
        <w:ind w:left="426"/>
        <w:rPr>
          <w:rFonts w:ascii="Times New Roman" w:hAnsi="Times New Roman"/>
        </w:rPr>
      </w:pPr>
    </w:p>
    <w:p w:rsidR="00CC52FA" w:rsidRPr="0059741C" w:rsidRDefault="00CC52FA" w:rsidP="00CC52FA">
      <w:pPr>
        <w:spacing w:after="0" w:line="240" w:lineRule="auto"/>
        <w:rPr>
          <w:rFonts w:ascii="Times New Roman" w:hAnsi="Times New Roman"/>
          <w:b/>
          <w:lang w:eastAsia="lt-LT"/>
        </w:rPr>
      </w:pPr>
      <w:r w:rsidRPr="0059741C">
        <w:rPr>
          <w:rFonts w:ascii="Times New Roman" w:hAnsi="Times New Roman"/>
          <w:b/>
          <w:lang w:eastAsia="lt-LT"/>
        </w:rPr>
        <w:t>Įspėjimai ir atsargumo priemonės</w:t>
      </w:r>
      <w:r w:rsidRPr="0059741C" w:rsidDel="009741D3">
        <w:rPr>
          <w:rFonts w:ascii="Times New Roman" w:hAnsi="Times New Roman"/>
          <w:b/>
          <w:lang w:eastAsia="lt-LT"/>
        </w:rPr>
        <w:t xml:space="preserve"> </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Pasitarkite su gydytoju arba vaistininku, prieš pradėdami vartoti Allopurinol-ratiopharm.</w:t>
      </w:r>
    </w:p>
    <w:p w:rsidR="00CC52FA" w:rsidRPr="0059741C" w:rsidRDefault="00CC52FA" w:rsidP="00CC52FA">
      <w:pPr>
        <w:spacing w:after="0" w:line="240" w:lineRule="auto"/>
        <w:rPr>
          <w:rFonts w:ascii="Times New Roman" w:hAnsi="Times New Roman"/>
          <w:lang w:eastAsia="lt-LT"/>
        </w:rPr>
      </w:pP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Įvertinus naujus literatūros duomenis ir rekomendacijas, gydyti vaistais nereikia, kai šlapimo rūgšties kiekis kraujyje yra mažesnis nei 500 μmol/l (arba 8,5 mg/100 ml), jei laikomasi nustatytos mitybos ir nėra inkstų pažeidimų. Reikia vengti vartoti maisto, kuriame yra daug purinų (pvz., produktų iš inkstų, smegenų, kepenų, širdies, liežuvio, taip pat įvairių mėsos ekstraktų), negerti alkoholinių gėrimų (ypač alaus, nes jame yra ribonukleotido guanozino, stipriai didinančio šlapimo rūgšties koncentraciją kraujyje).</w:t>
      </w:r>
    </w:p>
    <w:p w:rsidR="00CC52FA" w:rsidRPr="0059741C" w:rsidRDefault="00CC52FA" w:rsidP="00CC52FA">
      <w:pPr>
        <w:spacing w:after="0" w:line="240" w:lineRule="auto"/>
        <w:ind w:right="41"/>
        <w:jc w:val="both"/>
        <w:rPr>
          <w:rFonts w:ascii="Times New Roman" w:hAnsi="Times New Roman"/>
          <w:color w:val="000000"/>
        </w:rPr>
      </w:pPr>
    </w:p>
    <w:p w:rsidR="00CC52FA" w:rsidRPr="0059741C" w:rsidRDefault="00CC52FA" w:rsidP="00CC52FA">
      <w:pPr>
        <w:spacing w:after="0" w:line="240" w:lineRule="auto"/>
        <w:rPr>
          <w:rFonts w:ascii="Times New Roman" w:hAnsi="Times New Roman"/>
          <w:color w:val="000000"/>
        </w:rPr>
      </w:pPr>
      <w:r w:rsidRPr="0059741C">
        <w:rPr>
          <w:rFonts w:ascii="Times New Roman" w:hAnsi="Times New Roman"/>
        </w:rPr>
        <w:t>Pranešama apie sunkius odos išbėrimus (padidėjusio jautrumo sindromas,</w:t>
      </w:r>
      <w:r w:rsidRPr="0059741C">
        <w:rPr>
          <w:rFonts w:ascii="Times New Roman" w:hAnsi="Times New Roman"/>
          <w:color w:val="000000"/>
        </w:rPr>
        <w:t xml:space="preserve"> </w:t>
      </w:r>
      <w:r w:rsidR="0009191F">
        <w:rPr>
          <w:rFonts w:ascii="Times New Roman" w:hAnsi="Times New Roman"/>
          <w:color w:val="000000"/>
        </w:rPr>
        <w:t xml:space="preserve">Stivenso-Džonsono </w:t>
      </w:r>
      <w:r w:rsidR="0009191F">
        <w:rPr>
          <w:rFonts w:ascii="Times New Roman" w:hAnsi="Times New Roman"/>
          <w:i/>
          <w:color w:val="000000"/>
        </w:rPr>
        <w:t>(</w:t>
      </w:r>
      <w:r w:rsidRPr="0059741C">
        <w:rPr>
          <w:rFonts w:ascii="Times New Roman" w:hAnsi="Times New Roman"/>
          <w:i/>
          <w:iCs/>
          <w:color w:val="000000"/>
        </w:rPr>
        <w:t>Stevens-</w:t>
      </w:r>
      <w:r w:rsidR="0009191F">
        <w:rPr>
          <w:rFonts w:ascii="Times New Roman" w:hAnsi="Times New Roman"/>
          <w:i/>
          <w:iCs/>
          <w:color w:val="000000"/>
        </w:rPr>
        <w:t> </w:t>
      </w:r>
      <w:r w:rsidRPr="0059741C">
        <w:rPr>
          <w:rFonts w:ascii="Times New Roman" w:hAnsi="Times New Roman"/>
          <w:i/>
          <w:iCs/>
          <w:color w:val="000000"/>
        </w:rPr>
        <w:t>Johnson</w:t>
      </w:r>
      <w:r w:rsidR="0009191F">
        <w:rPr>
          <w:rFonts w:ascii="Times New Roman" w:hAnsi="Times New Roman"/>
          <w:i/>
          <w:iCs/>
          <w:color w:val="000000"/>
        </w:rPr>
        <w:t>)</w:t>
      </w:r>
      <w:r w:rsidRPr="0059741C">
        <w:rPr>
          <w:rFonts w:ascii="Times New Roman" w:hAnsi="Times New Roman"/>
          <w:color w:val="000000"/>
        </w:rPr>
        <w:t xml:space="preserve"> sindromas ir toksinė epidermio nekro</w:t>
      </w:r>
      <w:r w:rsidR="0009191F">
        <w:rPr>
          <w:rFonts w:ascii="Times New Roman" w:hAnsi="Times New Roman"/>
          <w:color w:val="000000"/>
        </w:rPr>
        <w:t>li</w:t>
      </w:r>
      <w:r w:rsidRPr="0059741C">
        <w:rPr>
          <w:rFonts w:ascii="Times New Roman" w:hAnsi="Times New Roman"/>
          <w:color w:val="000000"/>
        </w:rPr>
        <w:t>zė), kurie pasitaikė vartojant alopurinolio. Dažnai tokio išbėrimo metu būna burnos, nosies, ryklės, lyties organų išopėjimas, akių junginės uždegimas (konjunktyvitas; raudonos ir paburkusios akys). Prieš atsirandant šių sunkių odos reakcijų reiškiniams dažnai būna į gripą panašūs simptomai: karščiavimas, galvos, viso kūno skausmas. Išbėrimas gali progresuoti – susidaro pūslės, odos atsisluoksniavimas. Šios sunkios odos reakcijos gali dažniau pasitaikyti Han kinų, tailandiečių arba korėjiečių etninių grupių atstovams. Šių pacientų grupėse riziką taip pat gali didinti lėtinės inkstų ligos. Jeigu Jums atsirado odos išbėrimas arba išvardyti odos simptomai, nedelsiant nutraukite alopurinolio vartojimą ir kreipkitės į gydytoją.</w:t>
      </w:r>
    </w:p>
    <w:p w:rsidR="00CC52FA" w:rsidRPr="0059741C" w:rsidRDefault="00CC52FA" w:rsidP="00CC52FA">
      <w:pPr>
        <w:spacing w:after="0" w:line="240" w:lineRule="auto"/>
        <w:rPr>
          <w:rFonts w:ascii="Times New Roman" w:hAnsi="Times New Roman"/>
          <w:color w:val="000000"/>
        </w:rPr>
      </w:pPr>
    </w:p>
    <w:p w:rsidR="00CC52FA" w:rsidRPr="0059741C" w:rsidRDefault="00CC52FA" w:rsidP="00CC52FA">
      <w:pPr>
        <w:spacing w:after="0" w:line="240" w:lineRule="auto"/>
        <w:rPr>
          <w:rFonts w:ascii="Times New Roman" w:hAnsi="Times New Roman"/>
          <w:i/>
          <w:lang w:bidi="he-IL"/>
        </w:rPr>
      </w:pPr>
      <w:r w:rsidRPr="0059741C">
        <w:rPr>
          <w:rFonts w:ascii="Times New Roman" w:hAnsi="Times New Roman"/>
          <w:i/>
          <w:lang w:bidi="he-IL"/>
        </w:rPr>
        <w:t>Lėtinis inkstų funkcijos sutrikimas</w:t>
      </w:r>
    </w:p>
    <w:p w:rsidR="00CC52FA" w:rsidRPr="0059741C" w:rsidRDefault="00CC52FA" w:rsidP="00CC52FA">
      <w:pPr>
        <w:spacing w:after="0" w:line="240" w:lineRule="auto"/>
        <w:rPr>
          <w:rFonts w:ascii="Times New Roman" w:hAnsi="Times New Roman"/>
          <w:lang w:bidi="he-IL"/>
        </w:rPr>
      </w:pPr>
      <w:r w:rsidRPr="0059741C">
        <w:rPr>
          <w:rFonts w:ascii="Times New Roman" w:hAnsi="Times New Roman"/>
          <w:lang w:bidi="he-IL"/>
        </w:rPr>
        <w:t>Pacientams, sergantiems lėtiniu inkstų funkcijos sutrikimu, gali būti padidėjusi rizika, susijusi su alopurinolio vartojimu, susirgti padidėjusio jautrumo reakcijomis, įskaitant Stivenso-Džonsono (</w:t>
      </w:r>
      <w:r w:rsidRPr="0059741C">
        <w:rPr>
          <w:rFonts w:ascii="Times New Roman" w:hAnsi="Times New Roman"/>
          <w:i/>
          <w:iCs/>
          <w:color w:val="000000"/>
        </w:rPr>
        <w:t>Stevens-</w:t>
      </w:r>
      <w:r w:rsidR="0009191F">
        <w:rPr>
          <w:rFonts w:ascii="Times New Roman" w:hAnsi="Times New Roman"/>
          <w:i/>
          <w:iCs/>
          <w:color w:val="000000"/>
        </w:rPr>
        <w:t> </w:t>
      </w:r>
      <w:r w:rsidRPr="0059741C">
        <w:rPr>
          <w:rFonts w:ascii="Times New Roman" w:hAnsi="Times New Roman"/>
          <w:i/>
          <w:iCs/>
          <w:color w:val="000000"/>
        </w:rPr>
        <w:t>Johnson)</w:t>
      </w:r>
      <w:r w:rsidRPr="0059741C">
        <w:rPr>
          <w:rFonts w:ascii="Times New Roman" w:hAnsi="Times New Roman"/>
          <w:color w:val="000000"/>
        </w:rPr>
        <w:t xml:space="preserve"> sindromą ir toksinę epidermio nekro</w:t>
      </w:r>
      <w:r w:rsidR="0009191F">
        <w:rPr>
          <w:rFonts w:ascii="Times New Roman" w:hAnsi="Times New Roman"/>
          <w:color w:val="000000"/>
        </w:rPr>
        <w:t>li</w:t>
      </w:r>
      <w:r w:rsidRPr="0059741C">
        <w:rPr>
          <w:rFonts w:ascii="Times New Roman" w:hAnsi="Times New Roman"/>
          <w:color w:val="000000"/>
        </w:rPr>
        <w:t>zę. Reikia papildomai stebėti, ar neatsirado</w:t>
      </w:r>
      <w:r w:rsidR="0009191F">
        <w:rPr>
          <w:rFonts w:ascii="Times New Roman" w:hAnsi="Times New Roman"/>
          <w:color w:val="000000"/>
        </w:rPr>
        <w:t xml:space="preserve"> </w:t>
      </w:r>
      <w:r w:rsidR="0009191F" w:rsidRPr="0059741C">
        <w:rPr>
          <w:rFonts w:ascii="Times New Roman" w:hAnsi="Times New Roman"/>
          <w:lang w:bidi="he-IL"/>
        </w:rPr>
        <w:t>Stivenso-</w:t>
      </w:r>
      <w:r w:rsidR="0009191F">
        <w:rPr>
          <w:rFonts w:ascii="Times New Roman" w:hAnsi="Times New Roman"/>
          <w:lang w:bidi="he-IL"/>
        </w:rPr>
        <w:t> </w:t>
      </w:r>
      <w:r w:rsidR="0009191F" w:rsidRPr="0059741C">
        <w:rPr>
          <w:rFonts w:ascii="Times New Roman" w:hAnsi="Times New Roman"/>
          <w:lang w:bidi="he-IL"/>
        </w:rPr>
        <w:t>Džonsono</w:t>
      </w:r>
      <w:r w:rsidRPr="0059741C">
        <w:rPr>
          <w:rFonts w:ascii="Times New Roman" w:hAnsi="Times New Roman"/>
          <w:i/>
          <w:iCs/>
          <w:color w:val="000000"/>
        </w:rPr>
        <w:t xml:space="preserve"> </w:t>
      </w:r>
      <w:r w:rsidR="0009191F">
        <w:rPr>
          <w:rFonts w:ascii="Times New Roman" w:hAnsi="Times New Roman"/>
          <w:i/>
          <w:iCs/>
          <w:color w:val="000000"/>
        </w:rPr>
        <w:t>(</w:t>
      </w:r>
      <w:r w:rsidRPr="0059741C">
        <w:rPr>
          <w:rFonts w:ascii="Times New Roman" w:hAnsi="Times New Roman"/>
          <w:i/>
          <w:iCs/>
          <w:color w:val="000000"/>
        </w:rPr>
        <w:t>Stevens-Johnson</w:t>
      </w:r>
      <w:r w:rsidR="0009191F">
        <w:rPr>
          <w:rFonts w:ascii="Times New Roman" w:hAnsi="Times New Roman"/>
          <w:i/>
          <w:iCs/>
          <w:color w:val="000000"/>
        </w:rPr>
        <w:t>)</w:t>
      </w:r>
      <w:r w:rsidRPr="0059741C">
        <w:rPr>
          <w:rFonts w:ascii="Times New Roman" w:hAnsi="Times New Roman"/>
          <w:color w:val="000000"/>
        </w:rPr>
        <w:t xml:space="preserve"> sindromo ir toksinės epidermio nekro</w:t>
      </w:r>
      <w:r w:rsidR="0009191F">
        <w:rPr>
          <w:rFonts w:ascii="Times New Roman" w:hAnsi="Times New Roman"/>
          <w:color w:val="000000"/>
        </w:rPr>
        <w:t>li</w:t>
      </w:r>
      <w:r w:rsidRPr="0059741C">
        <w:rPr>
          <w:rFonts w:ascii="Times New Roman" w:hAnsi="Times New Roman"/>
          <w:color w:val="000000"/>
        </w:rPr>
        <w:t>zės požymių ir simptomų. Pastebėjus pirmuosius simptomus reikia nedelsiant nutraukti vaisto vartojimą ir kreiptis į gydytoją.</w:t>
      </w:r>
    </w:p>
    <w:p w:rsidR="00CC52FA" w:rsidRPr="0059741C" w:rsidRDefault="00CC52FA" w:rsidP="00CC52FA">
      <w:pPr>
        <w:spacing w:after="0" w:line="240" w:lineRule="auto"/>
        <w:ind w:right="41"/>
        <w:jc w:val="both"/>
        <w:rPr>
          <w:rFonts w:ascii="Times New Roman" w:hAnsi="Times New Roman"/>
          <w:color w:val="000000"/>
        </w:rPr>
      </w:pP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Ypatinga gydytojo priežiūra būtina tuomet, kai pacientui nustatyta nepakankama inkstų, kepenų veikla arba sutrikęs kraujo ląstelių susidarymas. Esant sutrikusiai inkstų arba kepenų veiklai, reikia laikytis nurodytų vaistų dozių.</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Kai gydomi dėl podagros pažeisti inkstai, susidarę šlapimo rūgšties akmenys, šlapimo paros kiekis turi būti ne mažesnis kaip 2 litrai per parą.</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 xml:space="preserve">Norint išvengti padidėjusio šlapimo rūgšties kiekio kraujyje ir šlapime pacientams, kurie dėl navikų gydomi cheminiais </w:t>
      </w:r>
      <w:r w:rsidR="00530BDC">
        <w:rPr>
          <w:rFonts w:ascii="Times New Roman" w:hAnsi="Times New Roman"/>
          <w:lang w:eastAsia="lt-LT"/>
        </w:rPr>
        <w:t>vaistais</w:t>
      </w:r>
      <w:r w:rsidR="00530BDC" w:rsidRPr="0059741C">
        <w:rPr>
          <w:rFonts w:ascii="Times New Roman" w:hAnsi="Times New Roman"/>
          <w:lang w:eastAsia="lt-LT"/>
        </w:rPr>
        <w:t xml:space="preserve"> </w:t>
      </w:r>
      <w:r w:rsidRPr="0059741C">
        <w:rPr>
          <w:rFonts w:ascii="Times New Roman" w:hAnsi="Times New Roman"/>
          <w:lang w:eastAsia="lt-LT"/>
        </w:rPr>
        <w:t xml:space="preserve">arba radioaktyviaisiais spinduliais, taip pat sergantiems </w:t>
      </w:r>
      <w:r w:rsidR="00530BDC">
        <w:rPr>
          <w:rFonts w:ascii="Times New Roman" w:hAnsi="Times New Roman"/>
          <w:lang w:eastAsia="lt-LT"/>
        </w:rPr>
        <w:t xml:space="preserve">Lešo-Nyhano </w:t>
      </w:r>
      <w:r w:rsidR="00530BDC">
        <w:rPr>
          <w:rFonts w:ascii="Times New Roman" w:hAnsi="Times New Roman"/>
          <w:i/>
          <w:lang w:eastAsia="lt-LT"/>
        </w:rPr>
        <w:t>(</w:t>
      </w:r>
      <w:r w:rsidRPr="008660F5">
        <w:rPr>
          <w:rFonts w:ascii="Times New Roman" w:hAnsi="Times New Roman"/>
          <w:i/>
          <w:lang w:eastAsia="lt-LT"/>
        </w:rPr>
        <w:t>Lesch-Nyhan</w:t>
      </w:r>
      <w:r w:rsidR="00530BDC" w:rsidRPr="008660F5">
        <w:rPr>
          <w:rFonts w:ascii="Times New Roman" w:hAnsi="Times New Roman"/>
          <w:i/>
          <w:lang w:eastAsia="lt-LT"/>
        </w:rPr>
        <w:t>)</w:t>
      </w:r>
      <w:r w:rsidRPr="0059741C">
        <w:rPr>
          <w:rFonts w:ascii="Times New Roman" w:hAnsi="Times New Roman"/>
          <w:lang w:eastAsia="lt-LT"/>
        </w:rPr>
        <w:t xml:space="preserve"> sindromu, kartu su alopurinoliu reikia duoti papildomai skysčių ir šitaip užtikrinti pakankamą diurezę. Norint, kad pagerėtų uratų ir šlapimo rūgšties tirpumas, galima duoti vaistų, kurie šarmina šlapimo reakciją. </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color w:val="000000"/>
          <w:lang w:eastAsia="lt-LT"/>
        </w:rPr>
        <w:t>Jei inkstų funkcija sutrikusi dėl susikaupusios šlapimo rūgšties, tai vaisto reikia vartoti atsižvelgiant į šiuos pakitimus (žr. sk. „Kaip vartoti Allopurinol-ratiopharm“).</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Jei kamuoja podagros priepuoliai, tai alopurinolio galima vartoti tik visai nurimus priepuolio požymiams. Pradėjus vartoti alopurinolio, gali iš atsargų išsiskirti didelis šlapimo rūgšties kiekis ir sukelti podagros priepuolį. Todėl pirmąsias 4 gydymo savaites reikėtų profilaktikai skirti skausmą malšinančių vaistų arba kolchicino.</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Esant dideliems šlapimo rūgšties akmenims inkstų geldelėse, paskyrus alopurinolio, dalis jų gali atsiskirti ir įstrigti šlapimtakyje.</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Alopurinolis dalyvauja sąveikoje su daugeliu vaistų (žr. sk. „Kiti vaistai ir Allopurinol-ratiopharm“).</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20" w:lineRule="exact"/>
        <w:rPr>
          <w:rFonts w:ascii="Times New Roman" w:hAnsi="Times New Roman"/>
          <w:b/>
          <w:bCs/>
        </w:rPr>
      </w:pPr>
      <w:r w:rsidRPr="0059741C">
        <w:rPr>
          <w:rFonts w:ascii="Times New Roman" w:hAnsi="Times New Roman"/>
          <w:b/>
          <w:bCs/>
        </w:rPr>
        <w:t>Kiti vaistai ir Allopurinol-ratiopharm</w:t>
      </w:r>
    </w:p>
    <w:p w:rsidR="00CC52FA" w:rsidRPr="0059741C" w:rsidRDefault="00CC52FA" w:rsidP="00CC52FA">
      <w:pPr>
        <w:spacing w:after="0" w:line="220" w:lineRule="exact"/>
        <w:rPr>
          <w:rFonts w:ascii="Times New Roman" w:hAnsi="Times New Roman"/>
          <w:b/>
          <w:bCs/>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Jeigu vartojate arba neseniai vartojote kitų vaistų arba dėl to nesate tikri, apie tai pasakykite gydytojui arba vaistininkui.</w:t>
      </w:r>
    </w:p>
    <w:p w:rsidR="00CC52FA" w:rsidRPr="0059741C" w:rsidRDefault="00CC52FA" w:rsidP="00CC52FA">
      <w:pPr>
        <w:numPr>
          <w:ilvl w:val="0"/>
          <w:numId w:val="7"/>
        </w:numPr>
        <w:spacing w:after="0" w:line="240" w:lineRule="auto"/>
        <w:rPr>
          <w:rFonts w:ascii="Times New Roman" w:hAnsi="Times New Roman"/>
          <w:color w:val="000000"/>
          <w:lang w:eastAsia="lt-LT"/>
        </w:rPr>
      </w:pPr>
      <w:r w:rsidRPr="0059741C">
        <w:rPr>
          <w:rFonts w:ascii="Times New Roman" w:hAnsi="Times New Roman"/>
          <w:color w:val="000000"/>
          <w:lang w:eastAsia="lt-LT"/>
        </w:rPr>
        <w:lastRenderedPageBreak/>
        <w:t>Alopurinolis lėtina probenecido (vaisto, veikiančio padidėjusį šlapimo rūgšties pašalinimą) išsiskyrimą iš organizmo.</w:t>
      </w:r>
    </w:p>
    <w:p w:rsidR="00CC52FA" w:rsidRPr="0059741C" w:rsidRDefault="00CC52FA" w:rsidP="00CC52FA">
      <w:pPr>
        <w:numPr>
          <w:ilvl w:val="0"/>
          <w:numId w:val="7"/>
        </w:numPr>
        <w:spacing w:after="0" w:line="240" w:lineRule="auto"/>
        <w:rPr>
          <w:rFonts w:ascii="Times New Roman" w:hAnsi="Times New Roman"/>
          <w:color w:val="000000"/>
          <w:lang w:eastAsia="lt-LT"/>
        </w:rPr>
      </w:pPr>
      <w:r w:rsidRPr="0059741C">
        <w:rPr>
          <w:rFonts w:ascii="Times New Roman" w:hAnsi="Times New Roman"/>
          <w:color w:val="000000"/>
          <w:lang w:eastAsia="lt-LT"/>
        </w:rPr>
        <w:t>Alopurinolio veikimas pagreitėja, kai kartu vartojamos didelės dozės vaistų, didinančių šlapimo rūgšties išsiskyrimą (probenecidas, benzbromaronas, sulfinpirazonas arba salicilatai) ir tokiu būdu sumažėja Allopurinol-ratiopharm poveikis. Šią sąveiką kiekvienam konkrečiam pacientui turėtų įvertinti gydytojas.</w:t>
      </w:r>
    </w:p>
    <w:p w:rsidR="00CC52FA" w:rsidRPr="0059741C" w:rsidRDefault="00CC52FA" w:rsidP="00CC52FA">
      <w:pPr>
        <w:numPr>
          <w:ilvl w:val="0"/>
          <w:numId w:val="7"/>
        </w:numPr>
        <w:spacing w:after="0" w:line="240" w:lineRule="auto"/>
        <w:rPr>
          <w:rFonts w:ascii="Times New Roman" w:hAnsi="Times New Roman"/>
          <w:color w:val="000000"/>
          <w:lang w:eastAsia="lt-LT"/>
        </w:rPr>
      </w:pPr>
      <w:r w:rsidRPr="0059741C">
        <w:rPr>
          <w:rFonts w:ascii="Times New Roman" w:hAnsi="Times New Roman"/>
          <w:color w:val="000000"/>
          <w:lang w:eastAsia="lt-LT"/>
        </w:rPr>
        <w:t>Jei Allopurinol-ratiopharm vartojamas kartu su 6-merkaptopurinu arba azatioprinu, pastarųjų dozę reikia sumažinti iki 25 % įprastinės dozės, nes alopurinolis pailgina šių vaistų veikimą.</w:t>
      </w:r>
    </w:p>
    <w:p w:rsidR="00CC52FA" w:rsidRPr="0059741C" w:rsidRDefault="00CC52FA" w:rsidP="00CC52FA">
      <w:pPr>
        <w:numPr>
          <w:ilvl w:val="0"/>
          <w:numId w:val="7"/>
        </w:numPr>
        <w:spacing w:after="0" w:line="240" w:lineRule="auto"/>
        <w:rPr>
          <w:rFonts w:ascii="Times New Roman" w:hAnsi="Times New Roman"/>
          <w:color w:val="000000"/>
          <w:lang w:eastAsia="lt-LT"/>
        </w:rPr>
      </w:pPr>
      <w:r w:rsidRPr="0059741C">
        <w:rPr>
          <w:rFonts w:ascii="Times New Roman" w:hAnsi="Times New Roman"/>
          <w:color w:val="000000"/>
          <w:lang w:eastAsia="lt-LT"/>
        </w:rPr>
        <w:t>Alopurinolį vartojant kartu su antibiotikais (vaistais bakterijų sukeltoms ligoms gydyti), ampicilinu ir amoksicilinu, dažniau gali būti alerginių reakcijų (odos bėrimas). Todėl, vartojant Allopurinol-ratiopharm, reikėtų skirti kitų antibiotikų.</w:t>
      </w:r>
    </w:p>
    <w:p w:rsidR="00CC52FA" w:rsidRPr="0059741C" w:rsidRDefault="00CC52FA" w:rsidP="00CC52FA">
      <w:pPr>
        <w:numPr>
          <w:ilvl w:val="0"/>
          <w:numId w:val="7"/>
        </w:numPr>
        <w:spacing w:after="0" w:line="240" w:lineRule="auto"/>
        <w:rPr>
          <w:rFonts w:ascii="Times New Roman" w:hAnsi="Times New Roman"/>
          <w:color w:val="000000"/>
          <w:lang w:eastAsia="lt-LT"/>
        </w:rPr>
      </w:pPr>
      <w:r w:rsidRPr="0059741C">
        <w:rPr>
          <w:rFonts w:ascii="Times New Roman" w:hAnsi="Times New Roman"/>
          <w:color w:val="000000"/>
          <w:lang w:eastAsia="lt-LT"/>
        </w:rPr>
        <w:t>Jei kartu vartojama alopurinolio ir kaptoprilio, padidėja odos alerginių reakcijų pavojus, ypač žmonėms, sergantiems lėtiniu inkstų nepakankamumu.</w:t>
      </w:r>
    </w:p>
    <w:p w:rsidR="00CC52FA" w:rsidRPr="0059741C" w:rsidRDefault="00CC52FA" w:rsidP="00CC52FA">
      <w:pPr>
        <w:numPr>
          <w:ilvl w:val="0"/>
          <w:numId w:val="7"/>
        </w:numPr>
        <w:spacing w:after="0" w:line="240" w:lineRule="auto"/>
        <w:rPr>
          <w:rFonts w:ascii="Times New Roman" w:hAnsi="Times New Roman"/>
          <w:color w:val="000000"/>
          <w:lang w:eastAsia="lt-LT"/>
        </w:rPr>
      </w:pPr>
      <w:r w:rsidRPr="0059741C">
        <w:rPr>
          <w:rFonts w:ascii="Times New Roman" w:hAnsi="Times New Roman"/>
          <w:color w:val="000000"/>
          <w:lang w:eastAsia="lt-LT"/>
        </w:rPr>
        <w:t>Kartu su Allopurinol-ratiopharm vartojant vaistus kraujo krešumui mažinti (kumarino tipo antikoaguliantus) gali sustiprėti jų poveikis. Todėl reikia dažniau kontroliuoti kraujo krešumo rodiklius, prireikus sumažinti antikoaguliantų dozę.</w:t>
      </w:r>
    </w:p>
    <w:p w:rsidR="00CC52FA" w:rsidRPr="0059741C" w:rsidRDefault="00CC52FA" w:rsidP="00CC52FA">
      <w:pPr>
        <w:numPr>
          <w:ilvl w:val="0"/>
          <w:numId w:val="7"/>
        </w:numPr>
        <w:spacing w:after="0" w:line="240" w:lineRule="auto"/>
        <w:rPr>
          <w:rFonts w:ascii="Times New Roman" w:hAnsi="Times New Roman"/>
          <w:color w:val="000000"/>
          <w:lang w:eastAsia="lt-LT"/>
        </w:rPr>
      </w:pPr>
      <w:r w:rsidRPr="0059741C">
        <w:rPr>
          <w:rFonts w:ascii="Times New Roman" w:hAnsi="Times New Roman"/>
          <w:color w:val="000000"/>
          <w:lang w:eastAsia="lt-LT"/>
        </w:rPr>
        <w:t>Allopurinol-ratiopharm slopina vaistų, kurių sudėtyje yra teofilino (vaistų kvėpavimo ir širdies ligoms gydyti) apykaitą. Todėl, pradėjus vartoti alopurinolio arba padidinus jo dozę, reikia ištirti teofilino koncentraciją kraujyje.</w:t>
      </w:r>
    </w:p>
    <w:p w:rsidR="00CC52FA" w:rsidRPr="0059741C" w:rsidRDefault="00CC52FA" w:rsidP="00CC52FA">
      <w:pPr>
        <w:numPr>
          <w:ilvl w:val="0"/>
          <w:numId w:val="7"/>
        </w:numPr>
        <w:spacing w:after="0" w:line="240" w:lineRule="auto"/>
        <w:rPr>
          <w:rFonts w:ascii="Times New Roman" w:hAnsi="Times New Roman"/>
          <w:color w:val="000000"/>
          <w:lang w:eastAsia="lt-LT"/>
        </w:rPr>
      </w:pPr>
      <w:r w:rsidRPr="0059741C">
        <w:rPr>
          <w:rFonts w:ascii="Times New Roman" w:hAnsi="Times New Roman"/>
          <w:color w:val="000000"/>
          <w:lang w:eastAsia="lt-LT"/>
        </w:rPr>
        <w:t>Alopurinolis gali pailginti vaistų, kurių sudėtyje yra vidarabino (vartojamų sergant virusų sukeltomis ligomis) susilaikymą organizme. Vartojant šiuos vaistus kartu, reikia būti labai atidiems, kad laiku būtų galima pastebėti šalutinio poveikio požymius.</w:t>
      </w:r>
    </w:p>
    <w:p w:rsidR="00CC52FA" w:rsidRPr="0059741C" w:rsidRDefault="00CC52FA" w:rsidP="00CC52FA">
      <w:pPr>
        <w:numPr>
          <w:ilvl w:val="0"/>
          <w:numId w:val="7"/>
        </w:numPr>
        <w:spacing w:after="0" w:line="240" w:lineRule="auto"/>
        <w:rPr>
          <w:rFonts w:ascii="Times New Roman" w:hAnsi="Times New Roman"/>
          <w:color w:val="000000"/>
          <w:lang w:eastAsia="lt-LT"/>
        </w:rPr>
      </w:pPr>
      <w:r w:rsidRPr="0059741C">
        <w:rPr>
          <w:rFonts w:ascii="Times New Roman" w:hAnsi="Times New Roman"/>
          <w:color w:val="000000"/>
          <w:lang w:eastAsia="lt-LT"/>
        </w:rPr>
        <w:t>Vartojant alopurinolio, gali padidėti ciklosporino (vaisto, slopinančio organizmo imunines reakcijas) koncentracija kraujo plazmoje. Reikia atsižvelgti, kad tuomet gali sustiprėti šalutinis ciklosporino poveikis.</w:t>
      </w:r>
    </w:p>
    <w:p w:rsidR="00CC52FA" w:rsidRPr="0059741C" w:rsidRDefault="00CC52FA" w:rsidP="00CC52FA">
      <w:pPr>
        <w:numPr>
          <w:ilvl w:val="0"/>
          <w:numId w:val="7"/>
        </w:numPr>
        <w:spacing w:after="0" w:line="240" w:lineRule="auto"/>
        <w:rPr>
          <w:rFonts w:ascii="Times New Roman" w:hAnsi="Times New Roman"/>
        </w:rPr>
      </w:pPr>
      <w:r w:rsidRPr="0059741C">
        <w:rPr>
          <w:rFonts w:ascii="Times New Roman" w:hAnsi="Times New Roman"/>
        </w:rPr>
        <w:t>Alopurinolis gali turėti įtakos vaistų, kurių sudėtyje yra fenitoino (vartojamų epilepsijai, kai kurioms sunkioms širdies ligoms gydyti) metabolizmui kepenyse; ar tai turi reikšmės gydant pacientus, kol kas nežinoma.</w:t>
      </w:r>
    </w:p>
    <w:p w:rsidR="00CC52FA" w:rsidRPr="0059741C" w:rsidRDefault="00CC52FA" w:rsidP="00CC52FA">
      <w:pPr>
        <w:numPr>
          <w:ilvl w:val="0"/>
          <w:numId w:val="7"/>
        </w:numPr>
        <w:spacing w:after="0" w:line="240" w:lineRule="auto"/>
        <w:rPr>
          <w:rFonts w:ascii="Times New Roman" w:hAnsi="Times New Roman"/>
        </w:rPr>
      </w:pPr>
      <w:r w:rsidRPr="0059741C">
        <w:rPr>
          <w:rFonts w:ascii="Times New Roman" w:hAnsi="Times New Roman"/>
        </w:rPr>
        <w:t>Jei kartu vartojamas aliuminio hidroksidas, gali susilpnėti alopurinolio poveikis. Tarp šių vaistų vartojimo turi būti išlaikomas bent 3 valandų trukmės intervalas.</w:t>
      </w:r>
    </w:p>
    <w:p w:rsidR="00CC52FA" w:rsidRPr="0059741C" w:rsidRDefault="00CC52FA" w:rsidP="00CC52FA">
      <w:pPr>
        <w:numPr>
          <w:ilvl w:val="0"/>
          <w:numId w:val="7"/>
        </w:numPr>
        <w:spacing w:after="0" w:line="240" w:lineRule="auto"/>
        <w:rPr>
          <w:rFonts w:ascii="Times New Roman" w:hAnsi="Times New Roman"/>
        </w:rPr>
      </w:pPr>
      <w:r w:rsidRPr="0059741C">
        <w:rPr>
          <w:rFonts w:ascii="Times New Roman" w:hAnsi="Times New Roman"/>
        </w:rPr>
        <w:t>Alopurinolį skiriant kartu su citostatikais (pvz., ciklofosfamidu, doksorubicinu, bleomicinu, prokarbazinu, alkilhalogenidais), kraujo diskrazija pasireiškia dažniau nei tada, kai šios veikliosios medžiagos yra skiriamos atskirai. Todėl reguliariais intervalais turi būti atliekami bendrieji kraujo tyrimai.</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20" w:lineRule="exact"/>
        <w:rPr>
          <w:rFonts w:ascii="Times New Roman" w:hAnsi="Times New Roman"/>
          <w:b/>
          <w:bCs/>
        </w:rPr>
      </w:pPr>
      <w:r w:rsidRPr="0059741C">
        <w:rPr>
          <w:rFonts w:ascii="Times New Roman" w:hAnsi="Times New Roman"/>
          <w:b/>
          <w:bCs/>
        </w:rPr>
        <w:t>Nėštumas ir žindymo laikotarpis</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Jeigu esate nėščia, žindote kūdikį, manote, kad galbūt esate nėščia, arba planuojate pastoti, tai prieš vartodama šį vaistą, pasitarkite su gydytoju arba vaistininku.</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color w:val="000000"/>
          <w:lang w:eastAsia="lt-LT"/>
        </w:rPr>
        <w:t>Apie alopurinolio vartojimą nėštumo laikotarpiu duomenų nesukaupta. Nėštumo metu šio vaisto vartoti nerekomenduojama.</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Alopurinolis išsiskiria į motinos pieną. Alopurinolio žindymo laikotarpiu vartoti nerekomenduojama.</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b/>
          <w:bCs/>
        </w:rPr>
      </w:pPr>
      <w:r w:rsidRPr="0059741C">
        <w:rPr>
          <w:rFonts w:ascii="Times New Roman" w:hAnsi="Times New Roman"/>
          <w:b/>
          <w:bCs/>
        </w:rPr>
        <w:t>Vairavimas ir mechanizmų valdymas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Vartojant alopurinolio buvo stebėtas mieguistumas, svaigulys ir judesių sutrikimai, dėl to gali sutrikti gebėjimas vairuoti ir valdyti mechanizmus. Jūs galite ne taip greitai ir tiksliai reaguoti į netikėtus ir staigius įvykius. Nevairuokite, nevaldykite elektra varomų mechanizmų, nedirbkite nesaugiomis darbo sąlygomis. Nurodytos veiklos nevykdykite, kol neįsitikinsite, kad alopurinolis gebėjimų atlikti šias funkcijas neveikia.</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Prisiminkite, kad alkoholis Jūsų būklę gali dar labiau pabloginti.</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keepNext/>
        <w:tabs>
          <w:tab w:val="left" w:pos="567"/>
        </w:tabs>
        <w:spacing w:after="0" w:line="240" w:lineRule="auto"/>
        <w:ind w:left="567" w:hanging="567"/>
        <w:outlineLvl w:val="1"/>
        <w:rPr>
          <w:rFonts w:ascii="Times New Roman" w:hAnsi="Times New Roman"/>
          <w:b/>
        </w:rPr>
      </w:pPr>
      <w:bookmarkStart w:id="10" w:name="_Toc129243141"/>
      <w:bookmarkStart w:id="11" w:name="_Toc129243266"/>
      <w:r w:rsidRPr="0059741C">
        <w:rPr>
          <w:rFonts w:ascii="Times New Roman" w:hAnsi="Times New Roman"/>
          <w:b/>
        </w:rPr>
        <w:t>3.</w:t>
      </w:r>
      <w:r w:rsidRPr="0059741C">
        <w:rPr>
          <w:rFonts w:ascii="Times New Roman" w:hAnsi="Times New Roman"/>
          <w:b/>
        </w:rPr>
        <w:tab/>
        <w:t xml:space="preserve">Kaip vartoti </w:t>
      </w:r>
      <w:bookmarkEnd w:id="10"/>
      <w:bookmarkEnd w:id="11"/>
      <w:r w:rsidRPr="0059741C">
        <w:rPr>
          <w:rFonts w:ascii="Times New Roman" w:hAnsi="Times New Roman"/>
          <w:b/>
        </w:rPr>
        <w:t>Allopurinol-ratiopharm</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Visada vartokite šį vaistą tiksliai kaip nurodė gydytojas arba vaistininkas. Jeigu abejojate, kreipkitės į gydytoją arba vaistininką.</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color w:val="000000"/>
          <w:lang w:eastAsia="lt-LT"/>
        </w:rPr>
        <w:t>Jei gydytojas nenurodė vartoti kitaip, reikia vartoti tokias įprastines vaisto dozes:</w:t>
      </w:r>
    </w:p>
    <w:p w:rsidR="00CC52FA" w:rsidRPr="0059741C" w:rsidRDefault="00CC52FA" w:rsidP="00CC52FA">
      <w:pPr>
        <w:spacing w:after="0" w:line="240" w:lineRule="auto"/>
        <w:rPr>
          <w:rFonts w:ascii="Times New Roman" w:hAnsi="Times New Roman"/>
          <w:i/>
          <w:color w:val="000000"/>
          <w:u w:val="single"/>
          <w:lang w:eastAsia="lt-LT"/>
        </w:rPr>
      </w:pPr>
    </w:p>
    <w:p w:rsidR="00CC52FA" w:rsidRPr="0059741C" w:rsidRDefault="00CC52FA" w:rsidP="00CC52FA">
      <w:pPr>
        <w:spacing w:after="0" w:line="240" w:lineRule="auto"/>
        <w:rPr>
          <w:rFonts w:ascii="Times New Roman" w:hAnsi="Times New Roman"/>
          <w:i/>
          <w:color w:val="000000"/>
          <w:u w:val="single"/>
          <w:lang w:eastAsia="lt-LT"/>
        </w:rPr>
      </w:pPr>
      <w:r w:rsidRPr="0059741C">
        <w:rPr>
          <w:rFonts w:ascii="Times New Roman" w:hAnsi="Times New Roman"/>
          <w:i/>
          <w:color w:val="000000"/>
          <w:u w:val="single"/>
          <w:lang w:eastAsia="lt-LT"/>
        </w:rPr>
        <w:t>Allopurinol-ratiopharm 100 mg tabletės</w:t>
      </w:r>
    </w:p>
    <w:p w:rsidR="00CC52FA" w:rsidRPr="0059741C" w:rsidRDefault="00CC52FA" w:rsidP="00CC52FA">
      <w:pPr>
        <w:spacing w:after="0" w:line="240" w:lineRule="auto"/>
        <w:rPr>
          <w:rFonts w:ascii="Times New Roman" w:hAnsi="Times New Roman"/>
          <w:i/>
          <w:color w:val="000000"/>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Suaugusiesiems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Priklausomai nuo šlapimo rūgšties koncentracijos kraujo serume, per parą reikia vartoti vieną-tris Allopurinol-ratiopharm 100 mg tabletes (t.</w:t>
      </w:r>
      <w:r w:rsidR="0083436F">
        <w:rPr>
          <w:rFonts w:ascii="Times New Roman" w:hAnsi="Times New Roman"/>
          <w:color w:val="000000"/>
          <w:lang w:eastAsia="lt-LT"/>
        </w:rPr>
        <w:t xml:space="preserve"> </w:t>
      </w:r>
      <w:r w:rsidRPr="0059741C">
        <w:rPr>
          <w:rFonts w:ascii="Times New Roman" w:hAnsi="Times New Roman"/>
          <w:color w:val="000000"/>
          <w:lang w:eastAsia="lt-LT"/>
        </w:rPr>
        <w:t>y. 100</w:t>
      </w:r>
      <w:r w:rsidR="00863558">
        <w:rPr>
          <w:rFonts w:ascii="Times New Roman" w:hAnsi="Times New Roman"/>
          <w:color w:val="000000"/>
          <w:lang w:eastAsia="lt-LT"/>
        </w:rPr>
        <w:t xml:space="preserve"> </w:t>
      </w:r>
      <w:r w:rsidR="00863558" w:rsidRPr="0059741C">
        <w:rPr>
          <w:rFonts w:ascii="Times New Roman" w:hAnsi="Times New Roman"/>
          <w:color w:val="000000"/>
          <w:lang w:eastAsia="lt-LT"/>
        </w:rPr>
        <w:t xml:space="preserve">– </w:t>
      </w:r>
      <w:r w:rsidRPr="0059741C">
        <w:rPr>
          <w:rFonts w:ascii="Times New Roman" w:hAnsi="Times New Roman"/>
          <w:color w:val="000000"/>
          <w:lang w:eastAsia="lt-LT"/>
        </w:rPr>
        <w:t>300 mg alopurinolio).</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Siekiant sumažinti šalutinio poveikio atsiradimo galimybes, reikia gydymo pradžioje vartoti po vieną Allopurinol-ratiopharm 100 mg tabletę per parą (tai atitinka 100 mg alopurinolio). Tik tuomet, kai šlapimo rūgšties koncentracija kraujyje nemažėja, dozę reikėtų padidinti.</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Pavieniais atvejais dozę galima padidinti ir per parą vartoti šešias</w:t>
      </w:r>
      <w:r w:rsidR="00863558">
        <w:rPr>
          <w:rFonts w:ascii="Times New Roman" w:hAnsi="Times New Roman"/>
          <w:color w:val="000000"/>
          <w:lang w:eastAsia="lt-LT"/>
        </w:rPr>
        <w:t xml:space="preserve"> </w:t>
      </w:r>
      <w:r w:rsidR="00863558" w:rsidRPr="0059741C">
        <w:rPr>
          <w:rFonts w:ascii="Times New Roman" w:hAnsi="Times New Roman"/>
          <w:color w:val="000000"/>
          <w:lang w:eastAsia="lt-LT"/>
        </w:rPr>
        <w:t xml:space="preserve">– </w:t>
      </w:r>
      <w:r w:rsidRPr="0059741C">
        <w:rPr>
          <w:rFonts w:ascii="Times New Roman" w:hAnsi="Times New Roman"/>
          <w:color w:val="000000"/>
          <w:lang w:eastAsia="lt-LT"/>
        </w:rPr>
        <w:t>aštuonias Allopurinol-ratiopharm 100 mg tabletes (t.</w:t>
      </w:r>
      <w:r w:rsidR="0083436F">
        <w:rPr>
          <w:rFonts w:ascii="Times New Roman" w:hAnsi="Times New Roman"/>
          <w:color w:val="000000"/>
          <w:lang w:eastAsia="lt-LT"/>
        </w:rPr>
        <w:t xml:space="preserve"> </w:t>
      </w:r>
      <w:r w:rsidRPr="0059741C">
        <w:rPr>
          <w:rFonts w:ascii="Times New Roman" w:hAnsi="Times New Roman"/>
          <w:color w:val="000000"/>
          <w:lang w:eastAsia="lt-LT"/>
        </w:rPr>
        <w:t>y. 600</w:t>
      </w:r>
      <w:r w:rsidR="00863558">
        <w:rPr>
          <w:rFonts w:ascii="Times New Roman" w:hAnsi="Times New Roman"/>
          <w:color w:val="000000"/>
          <w:lang w:eastAsia="lt-LT"/>
        </w:rPr>
        <w:t xml:space="preserve"> </w:t>
      </w:r>
      <w:r w:rsidR="00863558" w:rsidRPr="0059741C">
        <w:rPr>
          <w:rFonts w:ascii="Times New Roman" w:hAnsi="Times New Roman"/>
          <w:color w:val="000000"/>
          <w:lang w:eastAsia="lt-LT"/>
        </w:rPr>
        <w:t xml:space="preserve">– </w:t>
      </w:r>
      <w:r w:rsidRPr="0059741C">
        <w:rPr>
          <w:rFonts w:ascii="Times New Roman" w:hAnsi="Times New Roman"/>
          <w:color w:val="000000"/>
          <w:lang w:eastAsia="lt-LT"/>
        </w:rPr>
        <w:t>800 mg alopurinolio). Šiuo atveju reikia dažniau tirti kraują (kraujo serume gali padidėti oksipurinolio koncentracija – ji neturi būti didesnė kaip 15 μg/ml (100 μmol). Vaisto paros dozę reikia padalyti į kelias dalis.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Norint, kad pagerėtų vaisto tolerancija, vienkartinė jo dozė neturi būti didesnė kaip trys Allopurinol-</w:t>
      </w:r>
      <w:r w:rsidR="00863558">
        <w:rPr>
          <w:rFonts w:ascii="Times New Roman" w:hAnsi="Times New Roman"/>
          <w:color w:val="000000"/>
          <w:lang w:eastAsia="lt-LT"/>
        </w:rPr>
        <w:t> </w:t>
      </w:r>
      <w:r w:rsidRPr="0059741C">
        <w:rPr>
          <w:rFonts w:ascii="Times New Roman" w:hAnsi="Times New Roman"/>
          <w:color w:val="000000"/>
          <w:lang w:eastAsia="lt-LT"/>
        </w:rPr>
        <w:t>ratiopharm 100 mg tabletės (t.</w:t>
      </w:r>
      <w:r w:rsidR="0083436F">
        <w:rPr>
          <w:rFonts w:ascii="Times New Roman" w:hAnsi="Times New Roman"/>
          <w:color w:val="000000"/>
          <w:lang w:eastAsia="lt-LT"/>
        </w:rPr>
        <w:t xml:space="preserve"> </w:t>
      </w:r>
      <w:r w:rsidRPr="0059741C">
        <w:rPr>
          <w:rFonts w:ascii="Times New Roman" w:hAnsi="Times New Roman"/>
          <w:color w:val="000000"/>
          <w:lang w:eastAsia="lt-LT"/>
        </w:rPr>
        <w:t>y. 300 mg alopurinolio).</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Maksimali paros dozė – 800 mg alopurinolio.</w:t>
      </w:r>
    </w:p>
    <w:p w:rsidR="00CC52FA" w:rsidRPr="0059741C" w:rsidRDefault="00CC52FA" w:rsidP="00CC52FA">
      <w:pPr>
        <w:spacing w:after="0" w:line="240" w:lineRule="auto"/>
        <w:rPr>
          <w:rFonts w:ascii="Times New Roman" w:hAnsi="Times New Roman"/>
          <w:color w:val="000000"/>
          <w:u w:val="single"/>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Vartojimas vaikams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Alopurinolio paros dozė – 10 mg/kg kūno svorio (didžiausia paros dozė – 400 mg), ši dozė dalijama į 3 vienkartines dozes.</w:t>
      </w:r>
    </w:p>
    <w:p w:rsidR="00CC52FA" w:rsidRPr="0059741C" w:rsidRDefault="00CC52FA" w:rsidP="00CC52FA">
      <w:pPr>
        <w:spacing w:after="0" w:line="240" w:lineRule="auto"/>
        <w:rPr>
          <w:rFonts w:ascii="Times New Roman" w:hAnsi="Times New Roman"/>
          <w:color w:val="000000"/>
          <w:lang w:eastAsia="lt-LT"/>
        </w:rPr>
      </w:pPr>
    </w:p>
    <w:p w:rsidR="00CC52FA" w:rsidRPr="0059741C" w:rsidRDefault="00CC52FA" w:rsidP="00CC52FA">
      <w:pPr>
        <w:spacing w:after="0" w:line="240" w:lineRule="auto"/>
        <w:rPr>
          <w:rFonts w:ascii="Times New Roman" w:hAnsi="Times New Roman"/>
          <w:color w:val="000000"/>
          <w:u w:val="single"/>
          <w:lang w:eastAsia="lt-LT"/>
        </w:rPr>
      </w:pPr>
      <w:r w:rsidRPr="0059741C">
        <w:rPr>
          <w:rFonts w:ascii="Times New Roman" w:hAnsi="Times New Roman"/>
          <w:i/>
          <w:color w:val="000000"/>
          <w:u w:val="single"/>
          <w:lang w:eastAsia="lt-LT"/>
        </w:rPr>
        <w:t>Allopurinol-ratiopharm 300 mg tabletės</w:t>
      </w:r>
    </w:p>
    <w:p w:rsidR="00CC52FA" w:rsidRPr="0059741C" w:rsidRDefault="00CC52FA" w:rsidP="00CC52FA">
      <w:pPr>
        <w:spacing w:after="0" w:line="240" w:lineRule="auto"/>
        <w:rPr>
          <w:rFonts w:ascii="Times New Roman" w:hAnsi="Times New Roman"/>
          <w:i/>
          <w:color w:val="000000"/>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Suaugusiesiems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Priklausomai nuo šlapimo rūgšties koncentracijos kraujo serume, per parą reikia vartoti vieną Allopurinol-</w:t>
      </w:r>
      <w:r w:rsidR="00863558">
        <w:rPr>
          <w:rFonts w:ascii="Times New Roman" w:hAnsi="Times New Roman"/>
          <w:color w:val="000000"/>
          <w:lang w:eastAsia="lt-LT"/>
        </w:rPr>
        <w:t> </w:t>
      </w:r>
      <w:r w:rsidRPr="0059741C">
        <w:rPr>
          <w:rFonts w:ascii="Times New Roman" w:hAnsi="Times New Roman"/>
          <w:color w:val="000000"/>
          <w:lang w:eastAsia="lt-LT"/>
        </w:rPr>
        <w:t>ratiopharm 300 mg tabletę (t.</w:t>
      </w:r>
      <w:r w:rsidR="0083436F">
        <w:rPr>
          <w:rFonts w:ascii="Times New Roman" w:hAnsi="Times New Roman"/>
          <w:color w:val="000000"/>
          <w:lang w:eastAsia="lt-LT"/>
        </w:rPr>
        <w:t xml:space="preserve"> </w:t>
      </w:r>
      <w:r w:rsidRPr="0059741C">
        <w:rPr>
          <w:rFonts w:ascii="Times New Roman" w:hAnsi="Times New Roman"/>
          <w:color w:val="000000"/>
          <w:lang w:eastAsia="lt-LT"/>
        </w:rPr>
        <w:t>y. 300 mg alopurinolio).</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Norint sumažinti šalutinio poveikio atsiradimo galimybes, reikia gydymo pradžioje vartoti po vieną Allopurinol-ratiopharm 100 mg</w:t>
      </w:r>
      <w:r w:rsidRPr="0059741C">
        <w:rPr>
          <w:rFonts w:ascii="Times New Roman" w:hAnsi="Times New Roman"/>
          <w:b/>
          <w:i/>
          <w:color w:val="000000"/>
          <w:lang w:eastAsia="lt-LT"/>
        </w:rPr>
        <w:t xml:space="preserve"> </w:t>
      </w:r>
      <w:r w:rsidRPr="0059741C">
        <w:rPr>
          <w:rFonts w:ascii="Times New Roman" w:hAnsi="Times New Roman"/>
          <w:color w:val="000000"/>
          <w:lang w:eastAsia="lt-LT"/>
        </w:rPr>
        <w:t>tabletę per parą. Tik tuomet, kai šlapimo rūgšties koncentracija kraujyje nemažėja, dozę reikėtų padidinti.</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Pavieniais atvejais dozę galima padidinti ir per parą vartoti dvi Allopurinol-ratiopharm 300 mg tabletes (t.</w:t>
      </w:r>
      <w:r w:rsidR="0083436F">
        <w:rPr>
          <w:rFonts w:ascii="Times New Roman" w:hAnsi="Times New Roman"/>
          <w:color w:val="000000"/>
          <w:lang w:eastAsia="lt-LT"/>
        </w:rPr>
        <w:t xml:space="preserve"> </w:t>
      </w:r>
      <w:r w:rsidRPr="0059741C">
        <w:rPr>
          <w:rFonts w:ascii="Times New Roman" w:hAnsi="Times New Roman"/>
          <w:color w:val="000000"/>
          <w:lang w:eastAsia="lt-LT"/>
        </w:rPr>
        <w:t>y. 600 mg alopurinolio). Šiuo atveju reikia dažniau tirti kraują (kraujo serume gali padidėti oksipurinolio koncentracija – ji neturi būti didesnė kaip 15 μg/ml (100 μmol). Kartais dozę galima padidinti iki 800 mg per parą. Vaisto paros dozę reikia padalyti į kelias dalis.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Norint, kad pagerėtų vaisto tolerancija, vienkartinė jo dozė neturi būti didesnė kaip viena Allopurinol-</w:t>
      </w:r>
      <w:r w:rsidR="00863558">
        <w:rPr>
          <w:rFonts w:ascii="Times New Roman" w:hAnsi="Times New Roman"/>
          <w:color w:val="000000"/>
          <w:lang w:eastAsia="lt-LT"/>
        </w:rPr>
        <w:t> </w:t>
      </w:r>
      <w:r w:rsidRPr="0059741C">
        <w:rPr>
          <w:rFonts w:ascii="Times New Roman" w:hAnsi="Times New Roman"/>
          <w:color w:val="000000"/>
          <w:lang w:eastAsia="lt-LT"/>
        </w:rPr>
        <w:t>ratiopharm 300 mg tabletė (t.</w:t>
      </w:r>
      <w:r w:rsidR="0083436F">
        <w:rPr>
          <w:rFonts w:ascii="Times New Roman" w:hAnsi="Times New Roman"/>
          <w:color w:val="000000"/>
          <w:lang w:eastAsia="lt-LT"/>
        </w:rPr>
        <w:t xml:space="preserve"> </w:t>
      </w:r>
      <w:r w:rsidRPr="0059741C">
        <w:rPr>
          <w:rFonts w:ascii="Times New Roman" w:hAnsi="Times New Roman"/>
          <w:color w:val="000000"/>
          <w:lang w:eastAsia="lt-LT"/>
        </w:rPr>
        <w:t>y. 300 mg alopurinolio).</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Maksimali paros dozė – 800 mg alopurinolio.</w:t>
      </w:r>
    </w:p>
    <w:p w:rsidR="00CC52FA" w:rsidRPr="0059741C" w:rsidRDefault="00CC52FA" w:rsidP="00CC52FA">
      <w:pPr>
        <w:spacing w:after="0" w:line="240" w:lineRule="auto"/>
        <w:rPr>
          <w:rFonts w:ascii="Times New Roman" w:hAnsi="Times New Roman"/>
          <w:color w:val="000000"/>
          <w:u w:val="single"/>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Vartojimas vaikams ir pacientams, kurių inkstų arba kepenų funkcija sutrikusi</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Dėl didelio veikliosios medžiagos kiekio Allopurinol-ratiopharm 300 mg tabletės šių grupių pacientams gydyti netinka. Tokių grupių pacientams gydyti yra kitokių vaisto formų.</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Pacientams, kuriems atliekama hemodializė, kiekvieną kartą (tai yra 2</w:t>
      </w:r>
      <w:r w:rsidR="00863558">
        <w:rPr>
          <w:rFonts w:ascii="Times New Roman" w:hAnsi="Times New Roman"/>
          <w:color w:val="000000"/>
          <w:lang w:eastAsia="lt-LT"/>
        </w:rPr>
        <w:t xml:space="preserve"> </w:t>
      </w:r>
      <w:r w:rsidR="00863558" w:rsidRPr="0059741C">
        <w:rPr>
          <w:rFonts w:ascii="Times New Roman" w:hAnsi="Times New Roman"/>
          <w:color w:val="000000"/>
          <w:lang w:eastAsia="lt-LT"/>
        </w:rPr>
        <w:t xml:space="preserve">– </w:t>
      </w:r>
      <w:r w:rsidRPr="0059741C">
        <w:rPr>
          <w:rFonts w:ascii="Times New Roman" w:hAnsi="Times New Roman"/>
          <w:color w:val="000000"/>
          <w:lang w:eastAsia="lt-LT"/>
        </w:rPr>
        <w:t>3 kartus per savaitę) papildomai reikia vartoti 300</w:t>
      </w:r>
      <w:r w:rsidR="00863558">
        <w:rPr>
          <w:rFonts w:ascii="Times New Roman" w:hAnsi="Times New Roman"/>
          <w:color w:val="000000"/>
          <w:lang w:eastAsia="lt-LT"/>
        </w:rPr>
        <w:t xml:space="preserve"> </w:t>
      </w:r>
      <w:r w:rsidR="00863558" w:rsidRPr="0059741C">
        <w:rPr>
          <w:rFonts w:ascii="Times New Roman" w:hAnsi="Times New Roman"/>
          <w:color w:val="000000"/>
          <w:lang w:eastAsia="lt-LT"/>
        </w:rPr>
        <w:t xml:space="preserve">– </w:t>
      </w:r>
      <w:r w:rsidRPr="0059741C">
        <w:rPr>
          <w:rFonts w:ascii="Times New Roman" w:hAnsi="Times New Roman"/>
          <w:color w:val="000000"/>
          <w:lang w:eastAsia="lt-LT"/>
        </w:rPr>
        <w:t>400 mg alopurinolio.</w:t>
      </w:r>
    </w:p>
    <w:p w:rsidR="00CC52FA" w:rsidRPr="0059741C" w:rsidRDefault="00CC52FA" w:rsidP="00CC52FA">
      <w:pPr>
        <w:spacing w:after="0" w:line="240" w:lineRule="auto"/>
        <w:rPr>
          <w:rFonts w:ascii="Times New Roman" w:hAnsi="Times New Roman"/>
          <w:color w:val="000000"/>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Senyviems pacientams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Apie alopurinolio vartojimą senyviems pacientams gydyti ypatingų nuorodų nėra, todėl šie pacientai turėtų vartoti galimai mažiausias gydomąsias dozes. Šio amžiaus pacientus ypač reikėtų stebėti dėl inkstų funkcijos nepakankamumo.</w:t>
      </w:r>
    </w:p>
    <w:p w:rsidR="00CC52FA" w:rsidRPr="0059741C" w:rsidRDefault="00CC52FA" w:rsidP="00CC52FA">
      <w:pPr>
        <w:spacing w:after="0" w:line="240" w:lineRule="auto"/>
        <w:rPr>
          <w:rFonts w:ascii="Times New Roman" w:hAnsi="Times New Roman"/>
          <w:color w:val="000000"/>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Pacientams, kurių inkstų funkcija sutrikusi</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 xml:space="preserve">Alopurinolis ir jo metabolitai išsiskiria pro inkstus, todėl tokiems pacientams vartojant nesumažintas dozes, vaisto gali kauptis organizme ir atsirasti perdozavimo požymių. Galimiems pavojams sumažinti, šiems pacientams dozė nustatoma po atitinkamų kraujo tyrimų (ištyrus kraujo serumo kreatinino koncentraciją; tyrimą reikia reguliariai kartoti). Esant sunkiam inkstų nepakankamumui, daugiausia per parą galima skirti vartoti 100 mg alopurinolio (vieną Allopurinol-ratiopharm 100 mg tabletę) arba didesnę dozę nei 100 mg, </w:t>
      </w:r>
      <w:r w:rsidRPr="0059741C">
        <w:rPr>
          <w:rFonts w:ascii="Times New Roman" w:hAnsi="Times New Roman"/>
          <w:color w:val="000000"/>
          <w:lang w:eastAsia="lt-LT"/>
        </w:rPr>
        <w:lastRenderedPageBreak/>
        <w:t>bet ne kiekvieną dieną. Šią dozę galima didinti tik tuo atveju, jei vaisto poveikis nepakankamas. Oksipurinolio koncentracija kraujo serume neturi būti didesnė kaip 15,2 μg/ml.</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Inkstų nepakankamumu sergantiems pacientams vaisto dozavimo nurodymai pateikti šioje lentelėje</w:t>
      </w:r>
      <w:r w:rsidR="00077749">
        <w:rPr>
          <w:rFonts w:ascii="Times New Roman" w:hAnsi="Times New Roman"/>
          <w:color w:val="000000"/>
          <w:lang w:eastAsia="lt-LT"/>
        </w:rPr>
        <w:t>:</w:t>
      </w:r>
    </w:p>
    <w:p w:rsidR="00CC52FA" w:rsidRPr="0059741C" w:rsidRDefault="00CC52FA" w:rsidP="00CC52FA">
      <w:pPr>
        <w:spacing w:after="0" w:line="240" w:lineRule="auto"/>
        <w:rPr>
          <w:rFonts w:ascii="Times New Roman" w:hAnsi="Times New Roman"/>
          <w:color w:val="000000"/>
          <w:lang w:eastAsia="lt-LT"/>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4285"/>
      </w:tblGrid>
      <w:tr w:rsidR="00CC52FA" w:rsidRPr="0059741C" w:rsidTr="00150A14">
        <w:tc>
          <w:tcPr>
            <w:tcW w:w="4175" w:type="dxa"/>
          </w:tcPr>
          <w:p w:rsidR="00CC52FA" w:rsidRPr="0059741C" w:rsidRDefault="00CC52FA" w:rsidP="00150A14">
            <w:pPr>
              <w:spacing w:after="0" w:line="240" w:lineRule="auto"/>
              <w:rPr>
                <w:rFonts w:ascii="Times New Roman" w:hAnsi="Times New Roman"/>
                <w:color w:val="000000"/>
                <w:lang w:eastAsia="lt-LT"/>
              </w:rPr>
            </w:pPr>
            <w:r w:rsidRPr="0059741C">
              <w:rPr>
                <w:rFonts w:ascii="Times New Roman" w:hAnsi="Times New Roman"/>
                <w:color w:val="000000"/>
                <w:lang w:eastAsia="lt-LT"/>
              </w:rPr>
              <w:t>Kreatinino klirensas</w:t>
            </w:r>
          </w:p>
        </w:tc>
        <w:tc>
          <w:tcPr>
            <w:tcW w:w="4285" w:type="dxa"/>
          </w:tcPr>
          <w:p w:rsidR="00CC52FA" w:rsidRPr="0059741C" w:rsidRDefault="00CC52FA" w:rsidP="00150A14">
            <w:pPr>
              <w:spacing w:after="0" w:line="240" w:lineRule="auto"/>
              <w:rPr>
                <w:rFonts w:ascii="Times New Roman" w:hAnsi="Times New Roman"/>
                <w:color w:val="000000"/>
                <w:lang w:eastAsia="lt-LT"/>
              </w:rPr>
            </w:pPr>
            <w:r w:rsidRPr="0059741C">
              <w:rPr>
                <w:rFonts w:ascii="Times New Roman" w:hAnsi="Times New Roman"/>
                <w:color w:val="000000"/>
                <w:lang w:eastAsia="lt-LT"/>
              </w:rPr>
              <w:t>Paros dozė</w:t>
            </w:r>
          </w:p>
        </w:tc>
      </w:tr>
      <w:tr w:rsidR="00CC52FA" w:rsidRPr="0059741C" w:rsidTr="00150A14">
        <w:tc>
          <w:tcPr>
            <w:tcW w:w="4175" w:type="dxa"/>
          </w:tcPr>
          <w:p w:rsidR="00CC52FA" w:rsidRPr="0059741C" w:rsidRDefault="00CC52FA" w:rsidP="00150A14">
            <w:pPr>
              <w:spacing w:after="0" w:line="240" w:lineRule="auto"/>
              <w:rPr>
                <w:rFonts w:ascii="Times New Roman" w:hAnsi="Times New Roman"/>
                <w:color w:val="000000"/>
                <w:lang w:eastAsia="lt-LT"/>
              </w:rPr>
            </w:pPr>
            <w:r w:rsidRPr="0059741C">
              <w:rPr>
                <w:rFonts w:ascii="Times New Roman" w:hAnsi="Times New Roman"/>
                <w:color w:val="000000"/>
                <w:lang w:eastAsia="lt-LT"/>
              </w:rPr>
              <w:t>Daugiau kaip 20 ml/min.</w:t>
            </w:r>
          </w:p>
        </w:tc>
        <w:tc>
          <w:tcPr>
            <w:tcW w:w="4285" w:type="dxa"/>
          </w:tcPr>
          <w:p w:rsidR="00CC52FA" w:rsidRPr="0059741C" w:rsidRDefault="00CC52FA" w:rsidP="00150A14">
            <w:pPr>
              <w:spacing w:after="0" w:line="240" w:lineRule="auto"/>
              <w:rPr>
                <w:rFonts w:ascii="Times New Roman" w:hAnsi="Times New Roman"/>
                <w:color w:val="000000"/>
                <w:lang w:eastAsia="lt-LT"/>
              </w:rPr>
            </w:pPr>
            <w:r w:rsidRPr="0059741C">
              <w:rPr>
                <w:rFonts w:ascii="Times New Roman" w:hAnsi="Times New Roman"/>
                <w:color w:val="000000"/>
                <w:lang w:eastAsia="lt-LT"/>
              </w:rPr>
              <w:t>Įprastinė dozė</w:t>
            </w:r>
          </w:p>
        </w:tc>
      </w:tr>
      <w:tr w:rsidR="00CC52FA" w:rsidRPr="0059741C" w:rsidTr="00150A14">
        <w:tc>
          <w:tcPr>
            <w:tcW w:w="4175" w:type="dxa"/>
          </w:tcPr>
          <w:p w:rsidR="00CC52FA" w:rsidRPr="0059741C" w:rsidRDefault="00CC52FA" w:rsidP="00150A14">
            <w:pPr>
              <w:spacing w:after="0" w:line="240" w:lineRule="auto"/>
              <w:rPr>
                <w:rFonts w:ascii="Times New Roman" w:hAnsi="Times New Roman"/>
                <w:color w:val="000000"/>
                <w:lang w:eastAsia="lt-LT"/>
              </w:rPr>
            </w:pPr>
            <w:r w:rsidRPr="0059741C">
              <w:rPr>
                <w:rFonts w:ascii="Times New Roman" w:hAnsi="Times New Roman"/>
                <w:color w:val="000000"/>
                <w:lang w:eastAsia="lt-LT"/>
              </w:rPr>
              <w:t>10 – 20 ml/min.</w:t>
            </w:r>
          </w:p>
        </w:tc>
        <w:tc>
          <w:tcPr>
            <w:tcW w:w="4285" w:type="dxa"/>
          </w:tcPr>
          <w:p w:rsidR="00CC52FA" w:rsidRPr="0059741C" w:rsidRDefault="00CC52FA" w:rsidP="00863558">
            <w:pPr>
              <w:spacing w:after="0" w:line="240" w:lineRule="auto"/>
              <w:rPr>
                <w:rFonts w:ascii="Times New Roman" w:hAnsi="Times New Roman"/>
                <w:color w:val="000000"/>
                <w:lang w:eastAsia="lt-LT"/>
              </w:rPr>
            </w:pPr>
            <w:r w:rsidRPr="0059741C">
              <w:rPr>
                <w:rFonts w:ascii="Times New Roman" w:hAnsi="Times New Roman"/>
                <w:color w:val="000000"/>
                <w:lang w:eastAsia="lt-LT"/>
              </w:rPr>
              <w:t>100</w:t>
            </w:r>
            <w:r w:rsidR="00863558">
              <w:rPr>
                <w:rFonts w:ascii="Times New Roman" w:hAnsi="Times New Roman"/>
                <w:color w:val="000000"/>
                <w:lang w:eastAsia="lt-LT"/>
              </w:rPr>
              <w:t xml:space="preserve"> </w:t>
            </w:r>
            <w:r w:rsidR="00863558" w:rsidRPr="0059741C">
              <w:rPr>
                <w:rFonts w:ascii="Times New Roman" w:hAnsi="Times New Roman"/>
                <w:color w:val="000000"/>
                <w:lang w:eastAsia="lt-LT"/>
              </w:rPr>
              <w:t xml:space="preserve">– </w:t>
            </w:r>
            <w:r w:rsidRPr="0059741C">
              <w:rPr>
                <w:rFonts w:ascii="Times New Roman" w:hAnsi="Times New Roman"/>
                <w:color w:val="000000"/>
                <w:lang w:eastAsia="lt-LT"/>
              </w:rPr>
              <w:t>200 mg</w:t>
            </w:r>
          </w:p>
        </w:tc>
      </w:tr>
      <w:tr w:rsidR="00CC52FA" w:rsidRPr="0059741C" w:rsidTr="00150A14">
        <w:tc>
          <w:tcPr>
            <w:tcW w:w="4175" w:type="dxa"/>
          </w:tcPr>
          <w:p w:rsidR="00CC52FA" w:rsidRPr="0059741C" w:rsidRDefault="00CC52FA" w:rsidP="00150A14">
            <w:pPr>
              <w:spacing w:after="0" w:line="240" w:lineRule="auto"/>
              <w:rPr>
                <w:rFonts w:ascii="Times New Roman" w:hAnsi="Times New Roman"/>
                <w:color w:val="000000"/>
                <w:lang w:eastAsia="lt-LT"/>
              </w:rPr>
            </w:pPr>
            <w:r w:rsidRPr="0059741C">
              <w:rPr>
                <w:rFonts w:ascii="Times New Roman" w:hAnsi="Times New Roman"/>
                <w:color w:val="000000"/>
                <w:lang w:eastAsia="lt-LT"/>
              </w:rPr>
              <w:t>Mažiau kaip 10 ml/min.</w:t>
            </w:r>
          </w:p>
        </w:tc>
        <w:tc>
          <w:tcPr>
            <w:tcW w:w="4285" w:type="dxa"/>
          </w:tcPr>
          <w:p w:rsidR="00CC52FA" w:rsidRPr="0059741C" w:rsidRDefault="00CC52FA" w:rsidP="00150A14">
            <w:pPr>
              <w:spacing w:after="0" w:line="240" w:lineRule="auto"/>
              <w:rPr>
                <w:rFonts w:ascii="Times New Roman" w:hAnsi="Times New Roman"/>
                <w:color w:val="000000"/>
                <w:lang w:eastAsia="lt-LT"/>
              </w:rPr>
            </w:pPr>
            <w:r w:rsidRPr="0059741C">
              <w:rPr>
                <w:rFonts w:ascii="Times New Roman" w:hAnsi="Times New Roman"/>
                <w:color w:val="000000"/>
                <w:lang w:eastAsia="lt-LT"/>
              </w:rPr>
              <w:t>100 mg arba ilginti vartojimo intervalus</w:t>
            </w:r>
          </w:p>
        </w:tc>
      </w:tr>
    </w:tbl>
    <w:p w:rsidR="00CC52FA" w:rsidRPr="0059741C" w:rsidRDefault="00CC52FA" w:rsidP="00CC52FA">
      <w:pPr>
        <w:spacing w:after="0" w:line="240" w:lineRule="auto"/>
        <w:rPr>
          <w:rFonts w:ascii="Times New Roman" w:hAnsi="Times New Roman"/>
          <w:color w:val="000000"/>
          <w:lang w:eastAsia="lt-LT"/>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Pacientams, kuriems atliekama hemodializė, kiekvieną kartą (2</w:t>
      </w:r>
      <w:r w:rsidR="00863558">
        <w:rPr>
          <w:rFonts w:ascii="Times New Roman" w:hAnsi="Times New Roman"/>
          <w:color w:val="000000"/>
          <w:lang w:eastAsia="lt-LT"/>
        </w:rPr>
        <w:t xml:space="preserve"> </w:t>
      </w:r>
      <w:r w:rsidR="00863558" w:rsidRPr="0059741C">
        <w:rPr>
          <w:rFonts w:ascii="Times New Roman" w:hAnsi="Times New Roman"/>
          <w:color w:val="000000"/>
          <w:lang w:eastAsia="lt-LT"/>
        </w:rPr>
        <w:t xml:space="preserve">– </w:t>
      </w:r>
      <w:r w:rsidRPr="0059741C">
        <w:rPr>
          <w:rFonts w:ascii="Times New Roman" w:hAnsi="Times New Roman"/>
          <w:color w:val="000000"/>
          <w:lang w:eastAsia="lt-LT"/>
        </w:rPr>
        <w:t>3 kartus per savaitę) papildomai reikia vartoti 300</w:t>
      </w:r>
      <w:r w:rsidR="00863558">
        <w:rPr>
          <w:rFonts w:ascii="Times New Roman" w:hAnsi="Times New Roman"/>
          <w:color w:val="000000"/>
          <w:lang w:eastAsia="lt-LT"/>
        </w:rPr>
        <w:t xml:space="preserve"> </w:t>
      </w:r>
      <w:r w:rsidR="00863558" w:rsidRPr="0059741C">
        <w:rPr>
          <w:rFonts w:ascii="Times New Roman" w:hAnsi="Times New Roman"/>
          <w:color w:val="000000"/>
          <w:lang w:eastAsia="lt-LT"/>
        </w:rPr>
        <w:t xml:space="preserve">– </w:t>
      </w:r>
      <w:r w:rsidRPr="0059741C">
        <w:rPr>
          <w:rFonts w:ascii="Times New Roman" w:hAnsi="Times New Roman"/>
          <w:color w:val="000000"/>
          <w:lang w:eastAsia="lt-LT"/>
        </w:rPr>
        <w:t>400 mg alopurinolio.</w:t>
      </w:r>
    </w:p>
    <w:p w:rsidR="00CC52FA" w:rsidRPr="0059741C" w:rsidRDefault="00CC52FA" w:rsidP="00CC52FA">
      <w:pPr>
        <w:spacing w:after="0" w:line="240" w:lineRule="auto"/>
        <w:rPr>
          <w:rFonts w:ascii="Times New Roman" w:hAnsi="Times New Roman"/>
          <w:color w:val="000000"/>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Pacientams, kurių kepenų funkcija sutrikusi</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Esant kepenų veiklos nepakankamumui, reikia laikytis tokių pat nurodymų, kaip ir esant inkstų nepakankamumui. Gydymo pradžioje reikia kontroliuoti kepenų veiklos rodiklius ir tyrimus reguliariai kartoti.</w:t>
      </w:r>
    </w:p>
    <w:p w:rsidR="00CC52FA" w:rsidRPr="0059741C" w:rsidRDefault="00CC52FA" w:rsidP="00CC52FA">
      <w:pPr>
        <w:spacing w:after="0" w:line="240" w:lineRule="auto"/>
        <w:rPr>
          <w:rFonts w:ascii="Times New Roman" w:hAnsi="Times New Roman"/>
          <w:color w:val="000000"/>
          <w:lang w:eastAsia="lt-LT"/>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Tabletes reikia nuryti nesukramčius po valgio, užsigeriant pakankamu kiekiu skysčio tuo pačiu paros laiku po valgio. Jei dozė didesnė nei 300 mg alopurinolio, atsiradus virškinimo trakto sutrikimo požymių, paros dozę reikia padalyti į kelias dalis.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Vartokite vaisto reguliariai su pakankamu kiekiu skysčių.</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Vartojimo trukmė priklauso nuo ligos eigos. Siekiant apsisaugoti nuo kalcio oksalato ir šlapimo rūgšties akmenų susidarymo, taip pat sergant pirmine hiperurikemija ir podagra, vaisto reikia vartoti ilgai, todėl būtina kontroliuoti sveikatos būklę. Reikia reguliariai kartoti šlapimo rūgšties kiekio kraujo serume tyrimus, stebėti galimus šalutinio poveikio požymius, iš naujo įvertinti gydymo trukmę.</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b/>
          <w:bCs/>
        </w:rPr>
      </w:pPr>
      <w:r w:rsidRPr="0059741C">
        <w:rPr>
          <w:rFonts w:ascii="Times New Roman" w:hAnsi="Times New Roman"/>
          <w:b/>
          <w:bCs/>
        </w:rPr>
        <w:t>Ką daryti pavartojus per didelę Allopurinol-ratiopharm dozę</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Specifinis priešnuodis nežinomas. Vienam pacientui, kuris išgėrė 20 g alopurinolio, atsirado pykinimas, vėmimas, viduriavimas, svaigulys.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Įtarus apsinuodijimą, ypač kai kartu vartojamas azatioprinas arba 6-merkaptopurinas, reikia skubiai pranešti gydytojui, kad laiku būtų panaudotos priemonės, kurios sumažintų vaisto patekimą į kraujotaką ir pagreitintų jo išsiskyrimą iš organizmo, pvz., duoti gerti daug skysčių, taikyti hemodializę.</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20" w:lineRule="exact"/>
        <w:rPr>
          <w:rFonts w:ascii="Times New Roman" w:hAnsi="Times New Roman"/>
          <w:b/>
          <w:bCs/>
        </w:rPr>
      </w:pPr>
      <w:r w:rsidRPr="0059741C">
        <w:rPr>
          <w:rFonts w:ascii="Times New Roman" w:hAnsi="Times New Roman"/>
          <w:b/>
          <w:bCs/>
        </w:rPr>
        <w:t>Pamiršus pavartoti Allopurinol-ratiopharm</w:t>
      </w:r>
    </w:p>
    <w:p w:rsidR="00CC52FA" w:rsidRPr="0059741C" w:rsidRDefault="00CC52FA" w:rsidP="00CC52FA">
      <w:pPr>
        <w:spacing w:after="0" w:line="240" w:lineRule="auto"/>
        <w:rPr>
          <w:rFonts w:ascii="Times New Roman" w:hAnsi="Times New Roman"/>
        </w:rPr>
      </w:pPr>
      <w:r w:rsidRPr="0059741C">
        <w:rPr>
          <w:rFonts w:ascii="Times New Roman" w:hAnsi="Times New Roman"/>
        </w:rPr>
        <w:t>Negalima vartoti dvigubos dozės norint kompensuoti praleistą dozę.</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20" w:lineRule="exact"/>
        <w:rPr>
          <w:rFonts w:ascii="Times New Roman" w:hAnsi="Times New Roman"/>
          <w:b/>
          <w:bCs/>
        </w:rPr>
      </w:pPr>
      <w:r w:rsidRPr="0059741C">
        <w:rPr>
          <w:rFonts w:ascii="Times New Roman" w:hAnsi="Times New Roman"/>
          <w:b/>
          <w:bCs/>
        </w:rPr>
        <w:t>Nustojus vartoti Allopurinol-ratiopharm</w:t>
      </w:r>
    </w:p>
    <w:p w:rsidR="00CC52FA" w:rsidRPr="0059741C" w:rsidRDefault="00CC52FA" w:rsidP="00CC52FA">
      <w:pPr>
        <w:spacing w:after="0" w:line="240" w:lineRule="auto"/>
        <w:rPr>
          <w:rFonts w:ascii="Times New Roman" w:hAnsi="Times New Roman"/>
        </w:rPr>
      </w:pPr>
      <w:r w:rsidRPr="0059741C">
        <w:rPr>
          <w:rFonts w:ascii="Times New Roman" w:hAnsi="Times New Roman"/>
        </w:rPr>
        <w:t>Jeigu kiltų daugiau klausimų dėl šio vaisto vartojimo, kreipkitės į gydytoją arba vaistininką.</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keepNext/>
        <w:tabs>
          <w:tab w:val="left" w:pos="567"/>
        </w:tabs>
        <w:spacing w:after="0" w:line="240" w:lineRule="auto"/>
        <w:ind w:left="567" w:hanging="567"/>
        <w:outlineLvl w:val="1"/>
        <w:rPr>
          <w:rFonts w:ascii="Times New Roman" w:hAnsi="Times New Roman"/>
          <w:b/>
        </w:rPr>
      </w:pPr>
      <w:bookmarkStart w:id="12" w:name="_Toc129243142"/>
      <w:bookmarkStart w:id="13" w:name="_Toc129243267"/>
      <w:r w:rsidRPr="0059741C">
        <w:rPr>
          <w:rFonts w:ascii="Times New Roman" w:hAnsi="Times New Roman"/>
          <w:b/>
        </w:rPr>
        <w:t>4.</w:t>
      </w:r>
      <w:r w:rsidRPr="0059741C">
        <w:rPr>
          <w:rFonts w:ascii="Times New Roman" w:hAnsi="Times New Roman"/>
          <w:b/>
        </w:rPr>
        <w:tab/>
        <w:t>Galimas šalutinis poveikis</w:t>
      </w:r>
      <w:bookmarkEnd w:id="12"/>
      <w:bookmarkEnd w:id="13"/>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Šis vaistas, kaip ir visi kiti, gali sukelti šalutinį poveikį, nors jis pasireiškia ne visiems žmonėms.</w:t>
      </w:r>
    </w:p>
    <w:p w:rsidR="00CC52FA" w:rsidRPr="0059741C" w:rsidRDefault="00CC52FA" w:rsidP="00CC52FA">
      <w:pPr>
        <w:spacing w:after="0" w:line="240" w:lineRule="auto"/>
        <w:rPr>
          <w:rFonts w:ascii="Times New Roman" w:hAnsi="Times New Roman"/>
          <w:lang w:eastAsia="lt-LT"/>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Jeigu pastebėjote bet kurį iš žemiau išvardytų simptomų, nutraukite tablečių vartojimą ir nedelsiant kreipkitės į gydytoją.</w:t>
      </w:r>
    </w:p>
    <w:p w:rsidR="00CC52FA" w:rsidRPr="0059741C" w:rsidRDefault="00CC52FA" w:rsidP="00CC52FA">
      <w:pPr>
        <w:spacing w:after="0" w:line="240" w:lineRule="auto"/>
        <w:rPr>
          <w:rFonts w:ascii="Times New Roman" w:hAnsi="Times New Roman"/>
          <w:i/>
        </w:rPr>
      </w:pPr>
    </w:p>
    <w:p w:rsidR="00CC52FA" w:rsidRPr="0059741C" w:rsidRDefault="00CC52FA" w:rsidP="00CC52FA">
      <w:pPr>
        <w:spacing w:after="0" w:line="240" w:lineRule="auto"/>
        <w:rPr>
          <w:rFonts w:ascii="Times New Roman" w:hAnsi="Times New Roman"/>
          <w:i/>
        </w:rPr>
      </w:pPr>
      <w:r w:rsidRPr="0059741C">
        <w:rPr>
          <w:rFonts w:ascii="Times New Roman" w:hAnsi="Times New Roman"/>
          <w:i/>
        </w:rPr>
        <w:t>Dažnas (gali pasireikšti rečiau kaip 1 iš 10 žmonių)</w:t>
      </w:r>
      <w:r w:rsidR="00981EC0">
        <w:rPr>
          <w:rFonts w:ascii="Times New Roman" w:hAnsi="Times New Roman"/>
          <w:i/>
        </w:rPr>
        <w:t>:</w:t>
      </w:r>
    </w:p>
    <w:p w:rsidR="00CC52FA" w:rsidRPr="0059741C" w:rsidRDefault="00981EC0" w:rsidP="00CC52FA">
      <w:pPr>
        <w:pStyle w:val="ListParagraph"/>
        <w:numPr>
          <w:ilvl w:val="0"/>
          <w:numId w:val="9"/>
        </w:numPr>
        <w:spacing w:after="0" w:line="240" w:lineRule="auto"/>
        <w:rPr>
          <w:rFonts w:ascii="Times New Roman" w:eastAsia="Calibri" w:hAnsi="Times New Roman"/>
          <w:lang w:val="lt-LT"/>
        </w:rPr>
      </w:pPr>
      <w:r>
        <w:rPr>
          <w:rFonts w:ascii="Times New Roman" w:eastAsia="Calibri" w:hAnsi="Times New Roman"/>
          <w:lang w:val="lt-LT"/>
        </w:rPr>
        <w:t>p</w:t>
      </w:r>
      <w:r w:rsidR="00CC52FA" w:rsidRPr="0059741C">
        <w:rPr>
          <w:rFonts w:ascii="Times New Roman" w:eastAsia="Calibri" w:hAnsi="Times New Roman"/>
          <w:lang w:val="lt-LT"/>
        </w:rPr>
        <w:t>adidėjęs skydliaukės funkciją stimuliuojančio hormono</w:t>
      </w:r>
      <w:r>
        <w:rPr>
          <w:rFonts w:ascii="Times New Roman" w:eastAsia="Calibri" w:hAnsi="Times New Roman"/>
          <w:lang w:val="lt-LT"/>
        </w:rPr>
        <w:t xml:space="preserve"> (TTH)</w:t>
      </w:r>
      <w:r w:rsidR="00CC52FA" w:rsidRPr="0059741C">
        <w:rPr>
          <w:rFonts w:ascii="Times New Roman" w:eastAsia="Calibri" w:hAnsi="Times New Roman"/>
          <w:lang w:val="lt-LT"/>
        </w:rPr>
        <w:t xml:space="preserve"> aktyvumas kraujyje</w:t>
      </w:r>
      <w:r w:rsidRPr="00573A11">
        <w:rPr>
          <w:rFonts w:ascii="Times New Roman" w:eastAsia="Calibri" w:hAnsi="Times New Roman"/>
          <w:lang w:val="lt-LT"/>
        </w:rPr>
        <w:t>*</w:t>
      </w:r>
      <w:r w:rsidR="00CC52FA" w:rsidRPr="0059741C">
        <w:rPr>
          <w:rFonts w:ascii="Times New Roman" w:eastAsia="Calibri" w:hAnsi="Times New Roman"/>
          <w:lang w:val="lt-LT"/>
        </w:rPr>
        <w:t>.</w:t>
      </w:r>
    </w:p>
    <w:p w:rsidR="00CC52FA" w:rsidRPr="0059741C" w:rsidRDefault="00CC52FA" w:rsidP="00CC52FA">
      <w:pPr>
        <w:spacing w:after="0" w:line="240" w:lineRule="auto"/>
        <w:rPr>
          <w:rFonts w:ascii="Times New Roman" w:hAnsi="Times New Roman"/>
          <w:i/>
        </w:rPr>
      </w:pPr>
    </w:p>
    <w:p w:rsidR="00CC52FA" w:rsidRPr="0059741C" w:rsidRDefault="00CC52FA" w:rsidP="00CC52FA">
      <w:pPr>
        <w:spacing w:after="0" w:line="240" w:lineRule="auto"/>
        <w:rPr>
          <w:rFonts w:ascii="Times New Roman" w:hAnsi="Times New Roman"/>
          <w:i/>
        </w:rPr>
      </w:pPr>
      <w:r w:rsidRPr="0059741C">
        <w:rPr>
          <w:rFonts w:ascii="Times New Roman" w:hAnsi="Times New Roman"/>
          <w:i/>
        </w:rPr>
        <w:t>Retas (gali pasireikšti rečiau kaip 1 iš 1000 žmonių):</w:t>
      </w:r>
    </w:p>
    <w:p w:rsidR="00CC52FA" w:rsidRPr="0059741C" w:rsidRDefault="00CC52FA" w:rsidP="00CC52FA">
      <w:pPr>
        <w:numPr>
          <w:ilvl w:val="0"/>
          <w:numId w:val="2"/>
        </w:numPr>
        <w:spacing w:after="0" w:line="240" w:lineRule="auto"/>
        <w:contextualSpacing/>
        <w:rPr>
          <w:rFonts w:ascii="Times New Roman" w:eastAsia="Times New Roman" w:hAnsi="Times New Roman"/>
        </w:rPr>
      </w:pPr>
      <w:r w:rsidRPr="0059741C">
        <w:rPr>
          <w:rFonts w:ascii="Times New Roman" w:eastAsia="Times New Roman" w:hAnsi="Times New Roman"/>
        </w:rPr>
        <w:t>karščiavimas ir šaltkrėtis, galvos, raumenų skausmas (į gripą panašūs simptomai) ir bendra bloga savijauta;</w:t>
      </w:r>
    </w:p>
    <w:p w:rsidR="00CC52FA" w:rsidRPr="0059741C" w:rsidRDefault="00CC52FA" w:rsidP="00CC52FA">
      <w:pPr>
        <w:numPr>
          <w:ilvl w:val="0"/>
          <w:numId w:val="3"/>
        </w:numPr>
        <w:spacing w:after="0" w:line="240" w:lineRule="auto"/>
        <w:contextualSpacing/>
        <w:rPr>
          <w:rFonts w:ascii="Times New Roman" w:eastAsia="Times New Roman" w:hAnsi="Times New Roman"/>
        </w:rPr>
      </w:pPr>
      <w:r w:rsidRPr="0059741C">
        <w:rPr>
          <w:rFonts w:ascii="Times New Roman" w:eastAsia="Times New Roman" w:hAnsi="Times New Roman"/>
        </w:rPr>
        <w:t>bet kokie odos pokyčiai, pavyzdžiui opelės burnoje, ryklėje, nosyje, ant lyties organų, akių junginės uždegimas (raudonos ir paburkusios akys), išplitusios pūslės arba odos pleiskanojimas;</w:t>
      </w:r>
    </w:p>
    <w:p w:rsidR="00CC52FA" w:rsidRPr="0059741C" w:rsidRDefault="00CC52FA" w:rsidP="00CC52FA">
      <w:pPr>
        <w:numPr>
          <w:ilvl w:val="0"/>
          <w:numId w:val="1"/>
        </w:numPr>
        <w:spacing w:after="0" w:line="240" w:lineRule="auto"/>
        <w:contextualSpacing/>
        <w:rPr>
          <w:rFonts w:ascii="Times New Roman" w:eastAsia="Times New Roman" w:hAnsi="Times New Roman"/>
        </w:rPr>
      </w:pPr>
      <w:r w:rsidRPr="0059741C">
        <w:rPr>
          <w:rFonts w:ascii="Times New Roman" w:eastAsia="Times New Roman" w:hAnsi="Times New Roman"/>
        </w:rPr>
        <w:lastRenderedPageBreak/>
        <w:t>sunkios padidėjusio jautrumo reakcijos, pasireiškiančios karščiavimu, odos išbėrimu, sąnarių skausmu ir kraujo bei kepenų funkcijos mėginių pokyčiais (tai gali būti daugelio organų padidėjusio jautrumo ligos požymiai)</w:t>
      </w:r>
      <w:r w:rsidR="00981EC0">
        <w:rPr>
          <w:rFonts w:ascii="Times New Roman" w:eastAsia="Times New Roman" w:hAnsi="Times New Roman"/>
        </w:rPr>
        <w:t>.</w:t>
      </w:r>
    </w:p>
    <w:p w:rsidR="00CC52FA" w:rsidRPr="0059741C" w:rsidRDefault="00CC52FA" w:rsidP="00CC52FA">
      <w:pPr>
        <w:spacing w:after="0" w:line="240" w:lineRule="auto"/>
        <w:rPr>
          <w:rFonts w:ascii="Times New Roman" w:hAnsi="Times New Roman"/>
          <w:color w:val="000000"/>
          <w:lang w:eastAsia="lt-LT"/>
        </w:rPr>
      </w:pPr>
    </w:p>
    <w:p w:rsidR="00CC52FA" w:rsidRPr="0059741C" w:rsidRDefault="00CC52FA" w:rsidP="00CC52FA">
      <w:pPr>
        <w:spacing w:after="0" w:line="240" w:lineRule="auto"/>
        <w:rPr>
          <w:rFonts w:ascii="Times New Roman" w:hAnsi="Times New Roman"/>
          <w:i/>
          <w:color w:val="000000"/>
          <w:lang w:eastAsia="lt-LT"/>
        </w:rPr>
      </w:pPr>
      <w:r w:rsidRPr="0059741C">
        <w:rPr>
          <w:rFonts w:ascii="Times New Roman" w:hAnsi="Times New Roman"/>
          <w:i/>
          <w:color w:val="000000"/>
          <w:lang w:eastAsia="lt-LT"/>
        </w:rPr>
        <w:t>Labai retas (gali pasireikšti rečiau kaip 1 iš 10000 žmonių)</w:t>
      </w:r>
    </w:p>
    <w:p w:rsidR="00981EC0" w:rsidRDefault="00CC52FA" w:rsidP="00CC52FA">
      <w:pPr>
        <w:pStyle w:val="ListParagraph"/>
        <w:numPr>
          <w:ilvl w:val="0"/>
          <w:numId w:val="9"/>
        </w:numPr>
        <w:spacing w:after="0" w:line="240" w:lineRule="auto"/>
        <w:rPr>
          <w:rFonts w:ascii="Times New Roman" w:eastAsia="Calibri" w:hAnsi="Times New Roman"/>
          <w:color w:val="000000"/>
          <w:lang w:val="lt-LT" w:eastAsia="lt-LT"/>
        </w:rPr>
      </w:pPr>
      <w:r w:rsidRPr="0059741C">
        <w:rPr>
          <w:rFonts w:ascii="Times New Roman" w:eastAsia="Calibri" w:hAnsi="Times New Roman"/>
          <w:color w:val="000000"/>
          <w:lang w:val="lt-LT" w:eastAsia="lt-LT"/>
        </w:rPr>
        <w:t>Kartais alopurinolio tabletės gali paveikti kraują, ir tai gali pasireikšti lengviau nei įprastai atsirandančiomis kraujosruvomis, arba Jums gali atsirasti gerklės skausmas ar kiti infekcijos požymiai. Šie poveikiai dažniausiai pasitaiko žmonėms, sergantiems kepenų ar inkstų ligomis. Nedelsdami susisiekite su savo gydytoju</w:t>
      </w:r>
      <w:r w:rsidR="00981EC0">
        <w:rPr>
          <w:rFonts w:ascii="Times New Roman" w:eastAsia="Calibri" w:hAnsi="Times New Roman"/>
          <w:color w:val="000000"/>
          <w:lang w:val="lt-LT" w:eastAsia="lt-LT"/>
        </w:rPr>
        <w:t>;</w:t>
      </w:r>
    </w:p>
    <w:p w:rsidR="00981EC0" w:rsidRDefault="00981EC0" w:rsidP="00981EC0">
      <w:pPr>
        <w:pStyle w:val="ListParagraph"/>
        <w:numPr>
          <w:ilvl w:val="0"/>
          <w:numId w:val="9"/>
        </w:numPr>
        <w:spacing w:after="0" w:line="240" w:lineRule="auto"/>
        <w:rPr>
          <w:rFonts w:ascii="Times New Roman" w:eastAsia="Calibri" w:hAnsi="Times New Roman"/>
          <w:color w:val="000000"/>
          <w:lang w:eastAsia="lt-LT"/>
        </w:rPr>
      </w:pPr>
      <w:proofErr w:type="spellStart"/>
      <w:r>
        <w:rPr>
          <w:rFonts w:ascii="Times New Roman" w:eastAsia="Calibri" w:hAnsi="Times New Roman"/>
          <w:color w:val="000000"/>
          <w:lang w:eastAsia="lt-LT"/>
        </w:rPr>
        <w:t>Sunki</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alerginė</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reakcija</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sukelianti</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veido</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ar</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gerklės</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patinimą</w:t>
      </w:r>
      <w:proofErr w:type="spellEnd"/>
      <w:r>
        <w:rPr>
          <w:rFonts w:ascii="Times New Roman" w:eastAsia="Calibri" w:hAnsi="Times New Roman"/>
          <w:color w:val="000000"/>
          <w:lang w:eastAsia="lt-LT"/>
        </w:rPr>
        <w:t>;</w:t>
      </w:r>
    </w:p>
    <w:p w:rsidR="00981EC0" w:rsidRPr="00176FBA" w:rsidRDefault="00981EC0" w:rsidP="00981EC0">
      <w:pPr>
        <w:pStyle w:val="ListParagraph"/>
        <w:numPr>
          <w:ilvl w:val="0"/>
          <w:numId w:val="9"/>
        </w:numPr>
        <w:spacing w:after="0" w:line="240" w:lineRule="auto"/>
        <w:rPr>
          <w:rFonts w:ascii="Times New Roman" w:eastAsia="Calibri" w:hAnsi="Times New Roman"/>
          <w:color w:val="000000"/>
          <w:lang w:eastAsia="lt-LT"/>
        </w:rPr>
      </w:pPr>
      <w:proofErr w:type="spellStart"/>
      <w:r>
        <w:rPr>
          <w:rFonts w:ascii="Times New Roman" w:eastAsia="Calibri" w:hAnsi="Times New Roman"/>
          <w:color w:val="000000"/>
          <w:lang w:eastAsia="lt-LT"/>
        </w:rPr>
        <w:t>Sunki</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alerginė</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reakcija</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kuri</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gali</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būti</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pavojinga</w:t>
      </w:r>
      <w:proofErr w:type="spellEnd"/>
      <w:r>
        <w:rPr>
          <w:rFonts w:ascii="Times New Roman" w:eastAsia="Calibri" w:hAnsi="Times New Roman"/>
          <w:color w:val="000000"/>
          <w:lang w:eastAsia="lt-LT"/>
        </w:rPr>
        <w:t xml:space="preserve"> </w:t>
      </w:r>
      <w:proofErr w:type="spellStart"/>
      <w:r>
        <w:rPr>
          <w:rFonts w:ascii="Times New Roman" w:eastAsia="Calibri" w:hAnsi="Times New Roman"/>
          <w:color w:val="000000"/>
          <w:lang w:eastAsia="lt-LT"/>
        </w:rPr>
        <w:t>gyvybei</w:t>
      </w:r>
      <w:proofErr w:type="spellEnd"/>
      <w:r>
        <w:rPr>
          <w:rFonts w:ascii="Times New Roman" w:eastAsia="Calibri" w:hAnsi="Times New Roman"/>
          <w:color w:val="000000"/>
          <w:lang w:eastAsia="lt-LT"/>
        </w:rPr>
        <w:t>.</w:t>
      </w:r>
    </w:p>
    <w:p w:rsidR="00CC52FA" w:rsidRPr="0059741C" w:rsidRDefault="00CC52FA" w:rsidP="008660F5">
      <w:pPr>
        <w:pStyle w:val="ListParagraph"/>
        <w:spacing w:after="0" w:line="240" w:lineRule="auto"/>
        <w:rPr>
          <w:rFonts w:ascii="Times New Roman" w:hAnsi="Times New Roman"/>
          <w:color w:val="000000"/>
          <w:lang w:eastAsia="lt-LT"/>
        </w:rPr>
      </w:pPr>
    </w:p>
    <w:p w:rsidR="00CC52FA" w:rsidRPr="0059741C" w:rsidRDefault="00CC52FA" w:rsidP="00CC52FA">
      <w:pPr>
        <w:spacing w:after="0" w:line="240" w:lineRule="auto"/>
        <w:rPr>
          <w:rFonts w:ascii="Times New Roman" w:hAnsi="Times New Roman"/>
          <w:b/>
          <w:color w:val="000000"/>
          <w:lang w:eastAsia="lt-LT"/>
        </w:rPr>
      </w:pPr>
      <w:r w:rsidRPr="0059741C">
        <w:rPr>
          <w:rFonts w:ascii="Times New Roman" w:hAnsi="Times New Roman"/>
          <w:b/>
          <w:color w:val="000000"/>
          <w:lang w:eastAsia="lt-LT"/>
        </w:rPr>
        <w:t>Kiti šalutiniai poveikiai</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Pradėjus gydyti alopurinoliu, gali pasireikšti reaktyvus podagros priepuolis.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Nepageidaujamo poveikio požymių dažniau būna esant inkstų ir (arba) kepenų nepakankamumui, kartu vartojant ampicilino arba amoksicilino.</w:t>
      </w:r>
    </w:p>
    <w:p w:rsidR="00CC52FA" w:rsidRPr="0059741C" w:rsidRDefault="00CC52FA" w:rsidP="00CC52FA">
      <w:pPr>
        <w:spacing w:after="0" w:line="240" w:lineRule="auto"/>
        <w:rPr>
          <w:rFonts w:ascii="Times New Roman" w:hAnsi="Times New Roman"/>
          <w:i/>
          <w:lang w:eastAsia="lt-LT"/>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Dažniausiai iš visų nepageidaujamo poveikio požymių būna odos reakcijų, kurios gali atsirasti bet kuriuo gydymo momentu; neretai pasitaiko niežėjimas, dėmių ir pūslelių bėrimas, kartais pleiskanojimas, retkarčiais taškinis bėrimas, retai – odos atsisluoksniavimas. Atsiradus tokių požymių, Allopurinol-ratiopharm vartojimą reikia nutraukti nedelsiant ir kreiptis į gydytoją, nes gali būti sunkių išplitusių reakcijų.</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Retai pasireiškia padidėjusio jautrumo reakcijos.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 xml:space="preserve">Pavieniai atvejai </w:t>
      </w:r>
      <w:r w:rsidR="003929AF" w:rsidRPr="0059741C">
        <w:rPr>
          <w:rFonts w:ascii="Times New Roman" w:hAnsi="Times New Roman"/>
          <w:color w:val="000000"/>
          <w:lang w:eastAsia="lt-LT"/>
        </w:rPr>
        <w:t xml:space="preserve">– </w:t>
      </w:r>
      <w:r w:rsidRPr="0059741C">
        <w:rPr>
          <w:rFonts w:ascii="Times New Roman" w:hAnsi="Times New Roman"/>
          <w:color w:val="000000"/>
          <w:lang w:eastAsia="lt-LT"/>
        </w:rPr>
        <w:t>odos atsisluoksniavimas, karščiavimas, padidėję limfmazgiai, sąnarių skausmas ir padidėjęs eozinofilų skaičius kraujyje (panašiai kaip Stevens-Johnson ir Lyell sindromų požymiai). Retai pasitaiko su šiomis reakcijomis susijęs kraujagyslių uždegimas (vaskulitas) gali pasireikšti labai įvairiai, įskaitant kepenų uždegimą (hepatitą), inkstų uždegimą ir labai retai – traukulius.</w:t>
      </w:r>
    </w:p>
    <w:p w:rsidR="00CC52FA" w:rsidRPr="0059741C" w:rsidRDefault="00CC52FA" w:rsidP="00CC52FA">
      <w:pPr>
        <w:spacing w:after="0" w:line="240" w:lineRule="auto"/>
        <w:rPr>
          <w:rFonts w:ascii="Times New Roman" w:hAnsi="Times New Roman"/>
          <w:i/>
          <w:lang w:eastAsia="lt-LT"/>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Pavieniais atvejais atsiranda padidėjusio jautrumo reakcijų, kurios gali pasireikšti karščiavimu, odos reakcija, šaltkrėčiu ir sąnarių skausmais, kepenų funkcijos sutrikimu (laikinas transaminazių ir šarminės fosfatazės kiekio padidėjimas kraujo serume), ūminis cholangitas ir ksantino tipo akmenys.</w:t>
      </w:r>
    </w:p>
    <w:p w:rsidR="00CC52FA" w:rsidRPr="0059741C" w:rsidRDefault="00CC52FA" w:rsidP="00CC52FA">
      <w:pPr>
        <w:spacing w:after="0" w:line="240" w:lineRule="auto"/>
        <w:rPr>
          <w:rFonts w:ascii="Times New Roman" w:hAnsi="Times New Roman"/>
          <w:i/>
          <w:lang w:eastAsia="lt-LT"/>
        </w:rPr>
      </w:pPr>
      <w:r w:rsidRPr="0059741C">
        <w:rPr>
          <w:rFonts w:ascii="Times New Roman" w:hAnsi="Times New Roman"/>
          <w:color w:val="000000"/>
          <w:lang w:eastAsia="lt-LT"/>
        </w:rPr>
        <w:t>Iki šiol tais atvejais, kai pasitaikė viso organizmo padidėjusio jautrumo reakcijos, mirtis įvykdavo dėl inkstų ir (arba) kepenų funkcijos sutrikimų. Labai retai pasitaiko ūminis anafilaksinis šokas.</w:t>
      </w:r>
    </w:p>
    <w:p w:rsidR="00CC52FA" w:rsidRPr="0059741C" w:rsidRDefault="00CC52FA" w:rsidP="00CC52FA">
      <w:pPr>
        <w:spacing w:after="0" w:line="240" w:lineRule="auto"/>
        <w:rPr>
          <w:rFonts w:ascii="Times New Roman" w:hAnsi="Times New Roman"/>
          <w:i/>
          <w:lang w:eastAsia="lt-LT"/>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Labai retai vartojant alopurinolio pasitaikė angioimunoblastinė limfadenopatija.</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 xml:space="preserve">Pavieniais atvejais pasitaikė kraujo ląstelių sudėties pakitimų </w:t>
      </w:r>
      <w:r w:rsidR="003929AF" w:rsidRPr="0059741C">
        <w:rPr>
          <w:rFonts w:ascii="Times New Roman" w:hAnsi="Times New Roman"/>
          <w:color w:val="000000"/>
          <w:lang w:eastAsia="lt-LT"/>
        </w:rPr>
        <w:t xml:space="preserve">– </w:t>
      </w:r>
      <w:r w:rsidRPr="0059741C">
        <w:rPr>
          <w:rFonts w:ascii="Times New Roman" w:hAnsi="Times New Roman"/>
          <w:color w:val="000000"/>
          <w:lang w:eastAsia="lt-LT"/>
        </w:rPr>
        <w:t>leukopenija, leukocitozė, granulocitozė ir eozinofilija. Sergantiesiems inkstų funkcijos sutrikimu kartais pasitaikė trombocitopenija, agranulocitozė ir aplazinė anemija. Šios grupės pacientus būtina stebėti labai atidžiai.</w:t>
      </w:r>
    </w:p>
    <w:p w:rsidR="00CC52FA" w:rsidRPr="0059741C" w:rsidRDefault="00CC52FA" w:rsidP="00CC52FA">
      <w:pPr>
        <w:spacing w:after="0" w:line="240" w:lineRule="auto"/>
        <w:rPr>
          <w:rFonts w:ascii="Times New Roman" w:hAnsi="Times New Roman"/>
          <w:i/>
          <w:lang w:eastAsia="lt-LT"/>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Retai pasitaikė kepenų funkcijos sutrikimų, pasireiškiančių asimptominiu kepenų fermentų kiekio padidėjimu, hepatitu (įskaitant kepenų nekrozę ir granulomatozinį hepatitą).</w:t>
      </w:r>
    </w:p>
    <w:p w:rsidR="00CC52FA" w:rsidRPr="0059741C" w:rsidRDefault="00CC52FA" w:rsidP="00CC52FA">
      <w:pPr>
        <w:spacing w:after="0" w:line="240" w:lineRule="auto"/>
        <w:rPr>
          <w:rFonts w:ascii="Times New Roman" w:hAnsi="Times New Roman"/>
          <w:i/>
          <w:lang w:eastAsia="lt-LT"/>
        </w:rPr>
      </w:pP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Gali pasitaikyti pykinimas, vėmimas, viduriavimas. Jei paciento skrandis labai jautrus, vaisto reikia vartoti po valgio ir užsigerti pakankamu skysčio kiekiu.</w:t>
      </w:r>
    </w:p>
    <w:p w:rsidR="00CC52FA" w:rsidRPr="0059741C" w:rsidRDefault="00CC52FA" w:rsidP="006E744B">
      <w:pPr>
        <w:spacing w:after="0" w:line="240" w:lineRule="auto"/>
        <w:rPr>
          <w:rFonts w:ascii="Times New Roman" w:hAnsi="Times New Roman"/>
          <w:lang w:eastAsia="lt-LT"/>
        </w:rPr>
      </w:pPr>
      <w:r w:rsidRPr="0059741C">
        <w:rPr>
          <w:rFonts w:ascii="Times New Roman" w:hAnsi="Times New Roman"/>
          <w:color w:val="000000"/>
          <w:lang w:eastAsia="lt-LT"/>
        </w:rPr>
        <w:t>Pasitaikė pavieniai stomatito, vėmimo su krauju, steatorėjos</w:t>
      </w:r>
      <w:r w:rsidR="006E744B">
        <w:rPr>
          <w:rFonts w:ascii="Times New Roman" w:hAnsi="Times New Roman"/>
          <w:color w:val="000000"/>
          <w:lang w:eastAsia="lt-LT"/>
        </w:rPr>
        <w:t xml:space="preserve">, </w:t>
      </w:r>
      <w:r w:rsidRPr="0059741C">
        <w:rPr>
          <w:rFonts w:ascii="Times New Roman" w:hAnsi="Times New Roman"/>
          <w:lang w:eastAsia="lt-LT"/>
        </w:rPr>
        <w:t>cukrinio diabeto atvejai</w:t>
      </w:r>
      <w:r w:rsidR="006E744B">
        <w:rPr>
          <w:rFonts w:ascii="Times New Roman" w:hAnsi="Times New Roman"/>
          <w:lang w:eastAsia="lt-LT"/>
        </w:rPr>
        <w:t xml:space="preserve">, </w:t>
      </w:r>
      <w:r w:rsidRPr="0059741C">
        <w:rPr>
          <w:rFonts w:ascii="Times New Roman" w:hAnsi="Times New Roman"/>
          <w:lang w:eastAsia="lt-LT"/>
        </w:rPr>
        <w:t>hiperlip</w:t>
      </w:r>
      <w:r w:rsidR="00F251BC" w:rsidRPr="0059741C">
        <w:rPr>
          <w:rFonts w:ascii="Times New Roman" w:hAnsi="Times New Roman"/>
          <w:lang w:eastAsia="lt-LT"/>
        </w:rPr>
        <w:t>ide</w:t>
      </w:r>
      <w:r w:rsidRPr="0059741C">
        <w:rPr>
          <w:rFonts w:ascii="Times New Roman" w:hAnsi="Times New Roman"/>
          <w:lang w:eastAsia="lt-LT"/>
        </w:rPr>
        <w:t>mijos</w:t>
      </w:r>
      <w:r w:rsidR="006E744B">
        <w:rPr>
          <w:rFonts w:ascii="Times New Roman" w:hAnsi="Times New Roman"/>
          <w:lang w:eastAsia="lt-LT"/>
        </w:rPr>
        <w:t>,</w:t>
      </w:r>
      <w:r w:rsidRPr="0059741C">
        <w:rPr>
          <w:rFonts w:ascii="Times New Roman" w:hAnsi="Times New Roman"/>
          <w:lang w:eastAsia="lt-LT"/>
        </w:rPr>
        <w:t xml:space="preserve"> depresijos, astenijos, svaigulio, mieguistumo, komos</w:t>
      </w:r>
      <w:r w:rsidR="006E744B">
        <w:rPr>
          <w:rFonts w:ascii="Times New Roman" w:hAnsi="Times New Roman"/>
          <w:lang w:eastAsia="lt-LT"/>
        </w:rPr>
        <w:t>,</w:t>
      </w:r>
      <w:r w:rsidRPr="0059741C">
        <w:rPr>
          <w:rFonts w:ascii="Times New Roman" w:hAnsi="Times New Roman"/>
          <w:lang w:eastAsia="lt-LT"/>
        </w:rPr>
        <w:t xml:space="preserve"> ataksijos, periferinio neurito, neuropatijos, parestezijos, paralyžiaus, galvos skausmo, skonio</w:t>
      </w:r>
      <w:r w:rsidR="006E744B">
        <w:rPr>
          <w:rFonts w:ascii="Times New Roman" w:hAnsi="Times New Roman"/>
          <w:lang w:eastAsia="lt-LT"/>
        </w:rPr>
        <w:t>,</w:t>
      </w:r>
      <w:r w:rsidRPr="0059741C">
        <w:rPr>
          <w:rFonts w:ascii="Times New Roman" w:hAnsi="Times New Roman"/>
          <w:lang w:eastAsia="lt-LT"/>
        </w:rPr>
        <w:t xml:space="preserve"> bradikardijos, padidėjusio kraujospūdžio, krūtinės anginos</w:t>
      </w:r>
      <w:r w:rsidR="006E744B">
        <w:rPr>
          <w:rFonts w:ascii="Times New Roman" w:hAnsi="Times New Roman"/>
          <w:lang w:eastAsia="lt-LT"/>
        </w:rPr>
        <w:t>,</w:t>
      </w:r>
      <w:r w:rsidRPr="0059741C">
        <w:rPr>
          <w:rFonts w:ascii="Times New Roman" w:hAnsi="Times New Roman"/>
          <w:lang w:eastAsia="lt-LT"/>
        </w:rPr>
        <w:t xml:space="preserve"> regėjimo sutrikimo, geltonosios tinklainės dėmės degeneracijos, kataraktos</w:t>
      </w:r>
      <w:r w:rsidR="006E744B">
        <w:rPr>
          <w:rFonts w:ascii="Times New Roman" w:hAnsi="Times New Roman"/>
          <w:lang w:eastAsia="lt-LT"/>
        </w:rPr>
        <w:t>,</w:t>
      </w:r>
      <w:r w:rsidRPr="0059741C">
        <w:rPr>
          <w:rFonts w:ascii="Times New Roman" w:hAnsi="Times New Roman"/>
          <w:lang w:eastAsia="lt-LT"/>
        </w:rPr>
        <w:t xml:space="preserve"> hematurijos, patinimų, uremijos</w:t>
      </w:r>
      <w:r w:rsidR="006E744B">
        <w:rPr>
          <w:rFonts w:ascii="Times New Roman" w:hAnsi="Times New Roman"/>
          <w:lang w:eastAsia="lt-LT"/>
        </w:rPr>
        <w:t>,</w:t>
      </w:r>
      <w:r w:rsidRPr="0059741C">
        <w:rPr>
          <w:rFonts w:ascii="Times New Roman" w:hAnsi="Times New Roman"/>
          <w:lang w:eastAsia="lt-LT"/>
        </w:rPr>
        <w:t xml:space="preserve"> raumenų skausmo, Kvinkės edemos</w:t>
      </w:r>
      <w:r w:rsidR="006E744B">
        <w:rPr>
          <w:rFonts w:ascii="Times New Roman" w:hAnsi="Times New Roman"/>
          <w:lang w:eastAsia="lt-LT"/>
        </w:rPr>
        <w:t>,</w:t>
      </w:r>
      <w:r w:rsidRPr="0059741C">
        <w:rPr>
          <w:rFonts w:ascii="Times New Roman" w:hAnsi="Times New Roman"/>
          <w:lang w:eastAsia="lt-LT"/>
        </w:rPr>
        <w:t xml:space="preserve"> ginekomastijos, nevaisingumo, impotencijos atvejai.</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Dažna</w:t>
      </w:r>
      <w:r w:rsidR="006E744B">
        <w:rPr>
          <w:rFonts w:ascii="Times New Roman" w:hAnsi="Times New Roman"/>
        </w:rPr>
        <w:t>i pasitaikė</w:t>
      </w:r>
      <w:r w:rsidRPr="0059741C">
        <w:rPr>
          <w:rFonts w:ascii="Times New Roman" w:hAnsi="Times New Roman"/>
        </w:rPr>
        <w:t xml:space="preserve"> padidėjęs skydliaukės funkciją stimuliuojančio hormono (TTH) aktyvumas kraujyje*</w:t>
      </w:r>
      <w:r w:rsidR="006E744B">
        <w:rPr>
          <w:rFonts w:ascii="Times New Roman" w:hAnsi="Times New Roman"/>
        </w:rPr>
        <w:t>.</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*Tyrimuose nustatytas padidėjusio skydliaukės funkciją stimuliuojančio hormono (TTH) aktyvumo kraujyje atvejai neturėjo įtakos laisvojo T4 aktyvumui ir nepasiekė tokio TTH aktyvumo lygio, rodančio subklinikinę hipotirozę.</w:t>
      </w:r>
    </w:p>
    <w:p w:rsidR="00CC52FA" w:rsidRPr="0059741C" w:rsidRDefault="00CC52FA" w:rsidP="00CC52FA">
      <w:pPr>
        <w:spacing w:after="0" w:line="240" w:lineRule="auto"/>
        <w:rPr>
          <w:rFonts w:ascii="Times New Roman" w:hAnsi="Times New Roman"/>
        </w:rPr>
      </w:pPr>
    </w:p>
    <w:p w:rsidR="00CC52FA" w:rsidRPr="0059741C" w:rsidRDefault="00CC52FA" w:rsidP="00CC52FA">
      <w:pPr>
        <w:tabs>
          <w:tab w:val="left" w:pos="567"/>
        </w:tabs>
        <w:spacing w:after="0" w:line="240" w:lineRule="auto"/>
        <w:rPr>
          <w:rFonts w:ascii="Times New Roman" w:eastAsia="Times New Roman" w:hAnsi="Times New Roman"/>
          <w:b/>
          <w:snapToGrid w:val="0"/>
        </w:rPr>
      </w:pPr>
      <w:r w:rsidRPr="0059741C">
        <w:rPr>
          <w:rFonts w:ascii="Times New Roman" w:eastAsia="Times New Roman" w:hAnsi="Times New Roman"/>
          <w:b/>
          <w:snapToGrid w:val="0"/>
        </w:rPr>
        <w:lastRenderedPageBreak/>
        <w:t>Pranešimas apie šalutinį poveikį</w:t>
      </w:r>
    </w:p>
    <w:p w:rsidR="00CC52FA" w:rsidRPr="0059741C" w:rsidRDefault="00CC52FA" w:rsidP="00CC52FA">
      <w:pPr>
        <w:spacing w:after="0" w:line="240" w:lineRule="auto"/>
        <w:rPr>
          <w:rFonts w:ascii="Times New Roman" w:hAnsi="Times New Roman"/>
        </w:rPr>
      </w:pPr>
      <w:r w:rsidRPr="0059741C">
        <w:rPr>
          <w:rFonts w:ascii="Times New Roman" w:hAnsi="Times New Roman"/>
        </w:rPr>
        <w:t xml:space="preserve">Jeigu pasireiškė šalutinis poveikis, įskaitant šiame lapelyje nenurodytą, pasakykite gydytojui arba vaistininkui. </w:t>
      </w:r>
      <w:r w:rsidRPr="0059741C">
        <w:rPr>
          <w:rFonts w:ascii="Times New Roman" w:eastAsia="Times New Roman" w:hAnsi="Times New Roman"/>
          <w:snapToGrid w:val="0"/>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59741C">
          <w:rPr>
            <w:rStyle w:val="Hyperlink"/>
            <w:rFonts w:ascii="Times New Roman" w:eastAsia="Times New Roman" w:hAnsi="Times New Roman"/>
            <w:snapToGrid w:val="0"/>
          </w:rPr>
          <w:t>www.vvkt.lt</w:t>
        </w:r>
      </w:hyperlink>
      <w:r w:rsidRPr="0059741C">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59741C">
          <w:rPr>
            <w:rStyle w:val="Hyperlink"/>
            <w:rFonts w:ascii="Times New Roman" w:eastAsia="Times New Roman" w:hAnsi="Times New Roman"/>
            <w:snapToGrid w:val="0"/>
          </w:rPr>
          <w:t>NepageidaujamaR@vvkt.lt</w:t>
        </w:r>
      </w:hyperlink>
      <w:r w:rsidRPr="0059741C">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7" w:history="1">
        <w:r w:rsidRPr="0059741C">
          <w:rPr>
            <w:rStyle w:val="Hyperlink"/>
            <w:rFonts w:ascii="Times New Roman" w:eastAsia="Times New Roman" w:hAnsi="Times New Roman"/>
            <w:snapToGrid w:val="0"/>
          </w:rPr>
          <w:t>http://www.vvkt.lt</w:t>
        </w:r>
      </w:hyperlink>
      <w:r w:rsidRPr="0059741C">
        <w:rPr>
          <w:rFonts w:ascii="Times New Roman" w:eastAsia="Times New Roman" w:hAnsi="Times New Roman"/>
          <w:snapToGrid w:val="0"/>
        </w:rPr>
        <w:t>). Pranešdami apie šalutinį poveikį galite mums padėti gauti daugiau informacijos apie šio vaisto saugumą.</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keepNext/>
        <w:tabs>
          <w:tab w:val="left" w:pos="567"/>
        </w:tabs>
        <w:spacing w:after="0" w:line="240" w:lineRule="auto"/>
        <w:ind w:left="567" w:hanging="567"/>
        <w:outlineLvl w:val="1"/>
        <w:rPr>
          <w:rFonts w:ascii="Times New Roman" w:hAnsi="Times New Roman"/>
          <w:b/>
        </w:rPr>
      </w:pPr>
      <w:bookmarkStart w:id="14" w:name="_Toc129243143"/>
      <w:bookmarkStart w:id="15" w:name="_Toc129243268"/>
      <w:r w:rsidRPr="0059741C">
        <w:rPr>
          <w:rFonts w:ascii="Times New Roman" w:hAnsi="Times New Roman"/>
          <w:b/>
        </w:rPr>
        <w:t>5.</w:t>
      </w:r>
      <w:r w:rsidRPr="0059741C">
        <w:rPr>
          <w:rFonts w:ascii="Times New Roman" w:hAnsi="Times New Roman"/>
          <w:b/>
        </w:rPr>
        <w:tab/>
        <w:t xml:space="preserve">Kaip laikyti </w:t>
      </w:r>
      <w:bookmarkEnd w:id="14"/>
      <w:bookmarkEnd w:id="15"/>
      <w:r w:rsidRPr="0059741C">
        <w:rPr>
          <w:rFonts w:ascii="Times New Roman" w:hAnsi="Times New Roman"/>
          <w:b/>
        </w:rPr>
        <w:t>Allopurinol-ratiopharm</w:t>
      </w:r>
    </w:p>
    <w:p w:rsidR="00CC52FA" w:rsidRPr="0059741C" w:rsidRDefault="00CC52FA" w:rsidP="00CC52FA">
      <w:pPr>
        <w:spacing w:after="0" w:line="240" w:lineRule="auto"/>
        <w:rPr>
          <w:rFonts w:ascii="Times New Roman" w:hAnsi="Times New Roman"/>
        </w:rPr>
      </w:pPr>
    </w:p>
    <w:p w:rsidR="00CC52FA" w:rsidRPr="0059741C" w:rsidRDefault="00CC52FA" w:rsidP="00CC52FA">
      <w:pPr>
        <w:numPr>
          <w:ilvl w:val="12"/>
          <w:numId w:val="0"/>
        </w:numPr>
        <w:spacing w:after="0" w:line="240" w:lineRule="auto"/>
        <w:ind w:right="-2"/>
        <w:rPr>
          <w:rFonts w:ascii="Times New Roman" w:eastAsia="Times New Roman" w:hAnsi="Times New Roman"/>
          <w:snapToGrid w:val="0"/>
        </w:rPr>
      </w:pPr>
      <w:r w:rsidRPr="0059741C">
        <w:rPr>
          <w:rFonts w:ascii="Times New Roman" w:eastAsia="Times New Roman" w:hAnsi="Times New Roman"/>
          <w:snapToGrid w:val="0"/>
        </w:rPr>
        <w:t>Šį vaistą laikykite vaikams nepastebimoje ir nepasiekiamoje vietoje.</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Šiam vaistui specialių laikymo sąlygų nereikia.</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Ant dėžutės ir lizdinės plokštelės po „Tinka iki/EXP“ nurodytam tinkamumo laikui pasibaigus, šio vaisto vartoti negalima. Vaistas tinkamas vartoti iki paskutinės nurodyto mėnesio dienos.</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rPr>
        <w:t>Vaistų negalima išmesti</w:t>
      </w:r>
      <w:r w:rsidRPr="0059741C" w:rsidDel="00FB5840">
        <w:rPr>
          <w:rFonts w:ascii="Times New Roman" w:hAnsi="Times New Roman"/>
        </w:rPr>
        <w:t xml:space="preserve"> </w:t>
      </w:r>
      <w:r w:rsidRPr="0059741C">
        <w:rPr>
          <w:rFonts w:ascii="Times New Roman" w:hAnsi="Times New Roman"/>
        </w:rPr>
        <w:t>į kanalizaciją arba su buitinėmis atliekomis. Kaip išmesti nereikalingus vaistus, klauskite vaistininko. Šios priemonės padės apsaugoti aplinką.</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keepNext/>
        <w:tabs>
          <w:tab w:val="left" w:pos="567"/>
        </w:tabs>
        <w:spacing w:after="0" w:line="240" w:lineRule="auto"/>
        <w:ind w:left="567" w:hanging="567"/>
        <w:outlineLvl w:val="1"/>
        <w:rPr>
          <w:rFonts w:ascii="Times New Roman" w:hAnsi="Times New Roman"/>
          <w:b/>
        </w:rPr>
      </w:pPr>
      <w:bookmarkStart w:id="16" w:name="_Toc129243144"/>
      <w:bookmarkStart w:id="17" w:name="_Toc129243269"/>
      <w:r w:rsidRPr="0059741C">
        <w:rPr>
          <w:rFonts w:ascii="Times New Roman" w:hAnsi="Times New Roman"/>
          <w:b/>
        </w:rPr>
        <w:t>6.</w:t>
      </w:r>
      <w:r w:rsidRPr="0059741C">
        <w:rPr>
          <w:rFonts w:ascii="Times New Roman" w:hAnsi="Times New Roman"/>
          <w:b/>
        </w:rPr>
        <w:tab/>
        <w:t>Pakuotės turinys ir kita informacija</w:t>
      </w:r>
      <w:bookmarkEnd w:id="16"/>
      <w:bookmarkEnd w:id="17"/>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20" w:lineRule="exact"/>
        <w:rPr>
          <w:rFonts w:ascii="Times New Roman" w:hAnsi="Times New Roman"/>
          <w:b/>
          <w:bCs/>
        </w:rPr>
      </w:pPr>
      <w:r w:rsidRPr="0059741C">
        <w:rPr>
          <w:rFonts w:ascii="Times New Roman" w:hAnsi="Times New Roman"/>
          <w:b/>
          <w:bCs/>
        </w:rPr>
        <w:t>Allopurinol-ratiopharm sudėtis</w:t>
      </w:r>
    </w:p>
    <w:p w:rsidR="00CC52FA" w:rsidRPr="0059741C" w:rsidRDefault="00CC52FA" w:rsidP="00CC52FA">
      <w:pPr>
        <w:tabs>
          <w:tab w:val="left" w:pos="426"/>
        </w:tabs>
        <w:spacing w:after="0" w:line="240" w:lineRule="auto"/>
        <w:rPr>
          <w:rFonts w:ascii="Times New Roman" w:hAnsi="Times New Roman"/>
          <w:lang w:eastAsia="lt-LT"/>
        </w:rPr>
      </w:pPr>
      <w:r w:rsidRPr="0059741C">
        <w:rPr>
          <w:rFonts w:ascii="Times New Roman" w:hAnsi="Times New Roman"/>
          <w:lang w:eastAsia="lt-LT"/>
        </w:rPr>
        <w:t>-</w:t>
      </w:r>
      <w:r w:rsidRPr="0059741C">
        <w:rPr>
          <w:rFonts w:ascii="Times New Roman" w:hAnsi="Times New Roman"/>
          <w:lang w:eastAsia="lt-LT"/>
        </w:rPr>
        <w:tab/>
        <w:t xml:space="preserve">Veiklioji medžiaga yra alopurinolis. Vienoje </w:t>
      </w:r>
      <w:r w:rsidRPr="0059741C">
        <w:rPr>
          <w:rFonts w:ascii="Times New Roman" w:hAnsi="Times New Roman"/>
          <w:color w:val="000000"/>
          <w:lang w:eastAsia="lt-LT"/>
        </w:rPr>
        <w:t xml:space="preserve">tabletėje </w:t>
      </w:r>
      <w:r w:rsidRPr="0059741C">
        <w:rPr>
          <w:rFonts w:ascii="Times New Roman" w:hAnsi="Times New Roman"/>
          <w:lang w:eastAsia="lt-LT"/>
        </w:rPr>
        <w:t>yra 300 mg alopurinolio.</w:t>
      </w:r>
    </w:p>
    <w:p w:rsidR="00CC52FA" w:rsidRPr="0059741C" w:rsidRDefault="00CC52FA" w:rsidP="00CC52FA">
      <w:pPr>
        <w:tabs>
          <w:tab w:val="num" w:pos="426"/>
        </w:tabs>
        <w:spacing w:after="0" w:line="240" w:lineRule="auto"/>
        <w:ind w:left="426" w:hanging="426"/>
        <w:rPr>
          <w:rFonts w:ascii="Times New Roman" w:hAnsi="Times New Roman"/>
        </w:rPr>
      </w:pPr>
      <w:r w:rsidRPr="0059741C">
        <w:rPr>
          <w:rFonts w:ascii="Times New Roman" w:hAnsi="Times New Roman"/>
        </w:rPr>
        <w:t>-</w:t>
      </w:r>
      <w:r w:rsidRPr="0059741C">
        <w:rPr>
          <w:rFonts w:ascii="Times New Roman" w:hAnsi="Times New Roman"/>
        </w:rPr>
        <w:tab/>
        <w:t>Pagalbinės medžiagos yra kukurūzų krakmolas, mikrokristalinė celiuliozė, karboksimetilkrakmolo natrio druska, koloidinis bevandenis silicio dioksidas, talkas, želatina, magnio stearatas.</w:t>
      </w: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20" w:lineRule="exact"/>
        <w:rPr>
          <w:rFonts w:ascii="Times New Roman" w:hAnsi="Times New Roman"/>
          <w:b/>
          <w:bCs/>
        </w:rPr>
      </w:pPr>
      <w:r w:rsidRPr="0059741C">
        <w:rPr>
          <w:rFonts w:ascii="Times New Roman" w:hAnsi="Times New Roman"/>
          <w:b/>
          <w:bCs/>
        </w:rPr>
        <w:t>Allopurinol-ratiopharm išvaizda ir kiekis pakuotėje</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Baltos apvalios tabletės.</w:t>
      </w:r>
    </w:p>
    <w:p w:rsidR="00CC52FA" w:rsidRPr="0059741C" w:rsidRDefault="00CC52FA" w:rsidP="00CC52FA">
      <w:pPr>
        <w:spacing w:after="0" w:line="240" w:lineRule="auto"/>
        <w:rPr>
          <w:rFonts w:ascii="Times New Roman" w:hAnsi="Times New Roman"/>
          <w:color w:val="000000"/>
          <w:lang w:eastAsia="lt-LT"/>
        </w:rPr>
      </w:pPr>
      <w:r w:rsidRPr="0059741C">
        <w:rPr>
          <w:rFonts w:ascii="Times New Roman" w:hAnsi="Times New Roman"/>
          <w:color w:val="000000"/>
          <w:lang w:eastAsia="lt-LT"/>
        </w:rPr>
        <w:t>PVC/Al lizdinė plokštelė, kurioje yra 10 tablečių.</w:t>
      </w: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Kartono dėžutėje yra 20 arba 50 tablečių.</w:t>
      </w:r>
    </w:p>
    <w:p w:rsidR="00CC52FA" w:rsidRPr="0059741C" w:rsidRDefault="00CC52FA" w:rsidP="00CC52FA">
      <w:pPr>
        <w:spacing w:after="0" w:line="240" w:lineRule="auto"/>
        <w:rPr>
          <w:rFonts w:ascii="Times New Roman" w:hAnsi="Times New Roman"/>
          <w:lang w:eastAsia="lt-LT"/>
        </w:rPr>
      </w:pPr>
    </w:p>
    <w:p w:rsidR="00CC52FA" w:rsidRPr="0059741C" w:rsidRDefault="00CC52FA" w:rsidP="00CC52FA">
      <w:pPr>
        <w:spacing w:after="0" w:line="240" w:lineRule="auto"/>
        <w:rPr>
          <w:rFonts w:ascii="Times New Roman" w:hAnsi="Times New Roman"/>
          <w:lang w:eastAsia="lt-LT"/>
        </w:rPr>
      </w:pPr>
      <w:r w:rsidRPr="0059741C">
        <w:rPr>
          <w:rFonts w:ascii="Times New Roman" w:hAnsi="Times New Roman"/>
          <w:lang w:eastAsia="lt-LT"/>
        </w:rPr>
        <w:t>Gali būti tiekiamos ne visų dydžių pakuotės.</w:t>
      </w:r>
    </w:p>
    <w:p w:rsidR="00CC52FA" w:rsidRPr="0059741C" w:rsidRDefault="00CC52FA" w:rsidP="00CC52FA">
      <w:pPr>
        <w:spacing w:after="0" w:line="220" w:lineRule="exact"/>
        <w:rPr>
          <w:rFonts w:ascii="Times New Roman" w:hAnsi="Times New Roman"/>
          <w:b/>
          <w:bCs/>
        </w:rPr>
      </w:pPr>
    </w:p>
    <w:p w:rsidR="00CC52FA" w:rsidRPr="0059741C" w:rsidRDefault="00CC52FA" w:rsidP="00CC52FA">
      <w:pPr>
        <w:spacing w:after="0" w:line="220" w:lineRule="exact"/>
        <w:rPr>
          <w:rFonts w:ascii="Times New Roman" w:hAnsi="Times New Roman"/>
        </w:rPr>
      </w:pPr>
      <w:r w:rsidRPr="0059741C">
        <w:rPr>
          <w:rFonts w:ascii="Times New Roman" w:hAnsi="Times New Roman"/>
          <w:b/>
          <w:bCs/>
        </w:rPr>
        <w:t>Registruotojas ir gamintojas</w:t>
      </w:r>
      <w:r w:rsidR="00CF2B86" w:rsidRPr="0059741C">
        <w:rPr>
          <w:rFonts w:ascii="Times New Roman" w:hAnsi="Times New Roman"/>
          <w:b/>
          <w:bCs/>
        </w:rPr>
        <w:t xml:space="preserve"> eksportuojančioje valstybėje</w:t>
      </w:r>
    </w:p>
    <w:p w:rsidR="00CF2B86" w:rsidRPr="0059741C" w:rsidRDefault="00CF2B86" w:rsidP="00CC52FA">
      <w:pPr>
        <w:spacing w:after="0" w:line="240" w:lineRule="auto"/>
        <w:rPr>
          <w:rFonts w:ascii="Times New Roman" w:hAnsi="Times New Roman"/>
          <w:i/>
        </w:rPr>
      </w:pPr>
    </w:p>
    <w:p w:rsidR="00CC52FA" w:rsidRPr="0059741C" w:rsidRDefault="00CC52FA" w:rsidP="00CC52FA">
      <w:pPr>
        <w:spacing w:after="0" w:line="240" w:lineRule="auto"/>
        <w:rPr>
          <w:rFonts w:ascii="Times New Roman" w:hAnsi="Times New Roman"/>
          <w:i/>
        </w:rPr>
      </w:pPr>
      <w:r w:rsidRPr="0059741C">
        <w:rPr>
          <w:rFonts w:ascii="Times New Roman" w:hAnsi="Times New Roman"/>
          <w:i/>
        </w:rPr>
        <w:t>Registruotojas</w:t>
      </w:r>
    </w:p>
    <w:p w:rsidR="00CF2B86" w:rsidRPr="0059741C" w:rsidRDefault="00CF2B86" w:rsidP="00CF2B86">
      <w:pPr>
        <w:autoSpaceDE w:val="0"/>
        <w:autoSpaceDN w:val="0"/>
        <w:adjustRightInd w:val="0"/>
        <w:spacing w:after="0" w:line="240" w:lineRule="auto"/>
        <w:rPr>
          <w:rFonts w:ascii="Times New Roman" w:eastAsiaTheme="minorHAnsi" w:hAnsi="Times New Roman"/>
        </w:rPr>
      </w:pPr>
      <w:r w:rsidRPr="0059741C">
        <w:rPr>
          <w:rFonts w:ascii="Times New Roman" w:eastAsiaTheme="minorHAnsi" w:hAnsi="Times New Roman"/>
        </w:rPr>
        <w:t xml:space="preserve">ratiopharm </w:t>
      </w:r>
      <w:r w:rsidR="003929AF" w:rsidRPr="0059741C">
        <w:rPr>
          <w:rFonts w:ascii="Times New Roman" w:hAnsi="Times New Roman"/>
          <w:color w:val="000000"/>
          <w:lang w:eastAsia="lt-LT"/>
        </w:rPr>
        <w:t xml:space="preserve">– </w:t>
      </w:r>
      <w:r w:rsidRPr="0059741C">
        <w:rPr>
          <w:rFonts w:ascii="Times New Roman" w:eastAsiaTheme="minorHAnsi" w:hAnsi="Times New Roman"/>
        </w:rPr>
        <w:t>Comércio e Indústria de Produtos Farmacêuticos, Lda.</w:t>
      </w:r>
    </w:p>
    <w:p w:rsidR="00CF2B86" w:rsidRPr="0059741C" w:rsidRDefault="00CF2B86" w:rsidP="00CF2B86">
      <w:pPr>
        <w:autoSpaceDE w:val="0"/>
        <w:autoSpaceDN w:val="0"/>
        <w:adjustRightInd w:val="0"/>
        <w:spacing w:after="0" w:line="240" w:lineRule="auto"/>
        <w:rPr>
          <w:rFonts w:ascii="Times New Roman" w:eastAsiaTheme="minorHAnsi" w:hAnsi="Times New Roman"/>
        </w:rPr>
      </w:pPr>
      <w:r w:rsidRPr="0059741C">
        <w:rPr>
          <w:rFonts w:ascii="Times New Roman" w:eastAsiaTheme="minorHAnsi" w:hAnsi="Times New Roman"/>
        </w:rPr>
        <w:t>Lagoas Park, Edifício 5-A, Piso 2</w:t>
      </w:r>
    </w:p>
    <w:p w:rsidR="00CF2B86" w:rsidRPr="0059741C" w:rsidRDefault="00CF2B86" w:rsidP="00CF2B86">
      <w:pPr>
        <w:autoSpaceDE w:val="0"/>
        <w:autoSpaceDN w:val="0"/>
        <w:adjustRightInd w:val="0"/>
        <w:spacing w:after="0" w:line="240" w:lineRule="auto"/>
        <w:rPr>
          <w:rFonts w:ascii="Times New Roman" w:eastAsiaTheme="minorHAnsi" w:hAnsi="Times New Roman"/>
        </w:rPr>
      </w:pPr>
      <w:r w:rsidRPr="0059741C">
        <w:rPr>
          <w:rFonts w:ascii="Times New Roman" w:eastAsiaTheme="minorHAnsi" w:hAnsi="Times New Roman"/>
        </w:rPr>
        <w:t xml:space="preserve">2740 </w:t>
      </w:r>
      <w:r w:rsidR="003929AF" w:rsidRPr="0059741C">
        <w:rPr>
          <w:rFonts w:ascii="Times New Roman" w:hAnsi="Times New Roman"/>
          <w:color w:val="000000"/>
          <w:lang w:eastAsia="lt-LT"/>
        </w:rPr>
        <w:t xml:space="preserve">– </w:t>
      </w:r>
      <w:r w:rsidRPr="0059741C">
        <w:rPr>
          <w:rFonts w:ascii="Times New Roman" w:eastAsiaTheme="minorHAnsi" w:hAnsi="Times New Roman"/>
        </w:rPr>
        <w:t>245 Porto Salvo</w:t>
      </w:r>
    </w:p>
    <w:p w:rsidR="00CC52FA" w:rsidRPr="0059741C" w:rsidRDefault="00CF2B86" w:rsidP="00CF2B86">
      <w:pPr>
        <w:spacing w:after="0" w:line="240" w:lineRule="auto"/>
        <w:rPr>
          <w:rFonts w:ascii="Times New Roman" w:hAnsi="Times New Roman"/>
          <w:color w:val="000000"/>
          <w:lang w:eastAsia="lt-LT"/>
        </w:rPr>
      </w:pPr>
      <w:r w:rsidRPr="0059741C">
        <w:rPr>
          <w:rFonts w:ascii="Times New Roman" w:eastAsiaTheme="minorHAnsi" w:hAnsi="Times New Roman"/>
        </w:rPr>
        <w:t>Portugalija</w:t>
      </w:r>
    </w:p>
    <w:p w:rsidR="00CC52FA" w:rsidRPr="0059741C" w:rsidRDefault="00CC52FA" w:rsidP="00CC52FA">
      <w:pPr>
        <w:spacing w:after="0" w:line="240" w:lineRule="auto"/>
        <w:rPr>
          <w:rFonts w:ascii="Times New Roman" w:hAnsi="Times New Roman"/>
          <w:b/>
          <w:lang w:eastAsia="lt-LT"/>
        </w:rPr>
      </w:pPr>
    </w:p>
    <w:p w:rsidR="00CC52FA" w:rsidRPr="0059741C" w:rsidRDefault="00CC52FA" w:rsidP="00CC52FA">
      <w:pPr>
        <w:spacing w:after="0" w:line="240" w:lineRule="auto"/>
        <w:rPr>
          <w:rFonts w:ascii="Times New Roman" w:hAnsi="Times New Roman"/>
          <w:i/>
          <w:lang w:eastAsia="lt-LT"/>
        </w:rPr>
      </w:pPr>
      <w:r w:rsidRPr="0059741C">
        <w:rPr>
          <w:rFonts w:ascii="Times New Roman" w:hAnsi="Times New Roman"/>
          <w:i/>
          <w:lang w:eastAsia="lt-LT"/>
        </w:rPr>
        <w:t>Gamintojas</w:t>
      </w:r>
    </w:p>
    <w:p w:rsidR="00CC52FA" w:rsidRPr="0059741C" w:rsidRDefault="00CC52FA" w:rsidP="00CC52FA">
      <w:pPr>
        <w:spacing w:after="0" w:line="240" w:lineRule="atLeast"/>
        <w:rPr>
          <w:rFonts w:ascii="Times New Roman" w:hAnsi="Times New Roman"/>
          <w:lang w:eastAsia="de-DE"/>
        </w:rPr>
      </w:pPr>
      <w:r w:rsidRPr="0059741C">
        <w:rPr>
          <w:rFonts w:ascii="Times New Roman" w:hAnsi="Times New Roman"/>
          <w:lang w:eastAsia="de-DE"/>
        </w:rPr>
        <w:t>Merckle GmbH,</w:t>
      </w:r>
    </w:p>
    <w:p w:rsidR="00CC52FA" w:rsidRPr="0059741C" w:rsidRDefault="00CC52FA" w:rsidP="00CC52FA">
      <w:pPr>
        <w:spacing w:after="0" w:line="240" w:lineRule="atLeast"/>
        <w:rPr>
          <w:rFonts w:ascii="Times New Roman" w:hAnsi="Times New Roman"/>
          <w:lang w:eastAsia="de-DE"/>
        </w:rPr>
      </w:pPr>
      <w:r w:rsidRPr="0059741C">
        <w:rPr>
          <w:rFonts w:ascii="Times New Roman" w:hAnsi="Times New Roman"/>
          <w:lang w:eastAsia="de-DE"/>
        </w:rPr>
        <w:t>Ludwig</w:t>
      </w:r>
      <w:r w:rsidR="003929AF">
        <w:rPr>
          <w:rFonts w:ascii="Times New Roman" w:hAnsi="Times New Roman"/>
          <w:lang w:eastAsia="de-DE"/>
        </w:rPr>
        <w:t xml:space="preserve"> </w:t>
      </w:r>
      <w:r w:rsidR="003929AF" w:rsidRPr="0059741C">
        <w:rPr>
          <w:rFonts w:ascii="Times New Roman" w:hAnsi="Times New Roman"/>
          <w:color w:val="000000"/>
          <w:lang w:eastAsia="lt-LT"/>
        </w:rPr>
        <w:t xml:space="preserve">– </w:t>
      </w:r>
      <w:r w:rsidRPr="0059741C">
        <w:rPr>
          <w:rFonts w:ascii="Times New Roman" w:hAnsi="Times New Roman"/>
          <w:lang w:eastAsia="de-DE"/>
        </w:rPr>
        <w:t>Merckle-Str. 3</w:t>
      </w:r>
    </w:p>
    <w:p w:rsidR="00CC52FA" w:rsidRPr="0059741C" w:rsidRDefault="00CC52FA" w:rsidP="00CC52FA">
      <w:pPr>
        <w:spacing w:after="0" w:line="240" w:lineRule="atLeast"/>
        <w:rPr>
          <w:rFonts w:ascii="Times New Roman" w:hAnsi="Times New Roman"/>
          <w:lang w:eastAsia="de-DE"/>
        </w:rPr>
      </w:pPr>
      <w:r w:rsidRPr="0059741C">
        <w:rPr>
          <w:rFonts w:ascii="Times New Roman" w:hAnsi="Times New Roman"/>
          <w:lang w:eastAsia="de-DE"/>
        </w:rPr>
        <w:t xml:space="preserve">89143 Blaubeuren, </w:t>
      </w:r>
    </w:p>
    <w:p w:rsidR="00CC52FA" w:rsidRPr="0059741C" w:rsidRDefault="00CC52FA" w:rsidP="00CC52FA">
      <w:pPr>
        <w:spacing w:after="0" w:line="240" w:lineRule="atLeast"/>
        <w:rPr>
          <w:rFonts w:ascii="Times New Roman" w:hAnsi="Times New Roman"/>
          <w:lang w:eastAsia="de-DE"/>
        </w:rPr>
      </w:pPr>
      <w:r w:rsidRPr="0059741C">
        <w:rPr>
          <w:rFonts w:ascii="Times New Roman" w:hAnsi="Times New Roman"/>
          <w:lang w:eastAsia="de-DE"/>
        </w:rPr>
        <w:t>Vokietija</w:t>
      </w:r>
    </w:p>
    <w:p w:rsidR="00CC52FA" w:rsidRPr="0059741C" w:rsidRDefault="00CC52FA" w:rsidP="00CC52FA">
      <w:pPr>
        <w:spacing w:after="0" w:line="240" w:lineRule="atLeast"/>
        <w:rPr>
          <w:rFonts w:ascii="Times New Roman" w:hAnsi="Times New Roman"/>
          <w:lang w:eastAsia="de-DE"/>
        </w:rPr>
      </w:pPr>
    </w:p>
    <w:p w:rsidR="0059741C" w:rsidRDefault="0059741C" w:rsidP="0059741C">
      <w:pPr>
        <w:tabs>
          <w:tab w:val="left" w:pos="567"/>
        </w:tabs>
        <w:spacing w:after="0" w:line="240" w:lineRule="auto"/>
        <w:rPr>
          <w:rFonts w:ascii="Times New Roman" w:hAnsi="Times New Roman"/>
          <w:b/>
          <w:lang w:eastAsia="lt-LT"/>
        </w:rPr>
      </w:pPr>
      <w:r>
        <w:rPr>
          <w:rFonts w:ascii="Times New Roman" w:hAnsi="Times New Roman"/>
          <w:b/>
          <w:lang w:eastAsia="lt-LT"/>
        </w:rPr>
        <w:t>Lygiagretus importuotojas</w:t>
      </w:r>
    </w:p>
    <w:p w:rsidR="0059741C" w:rsidRDefault="0059741C" w:rsidP="0059741C">
      <w:pPr>
        <w:tabs>
          <w:tab w:val="left" w:pos="567"/>
        </w:tabs>
        <w:spacing w:after="0" w:line="240" w:lineRule="auto"/>
        <w:rPr>
          <w:rFonts w:ascii="Times New Roman" w:hAnsi="Times New Roman"/>
          <w:lang w:eastAsia="lt-LT"/>
        </w:rPr>
      </w:pPr>
      <w:r>
        <w:rPr>
          <w:rFonts w:ascii="Times New Roman" w:hAnsi="Times New Roman"/>
          <w:lang w:eastAsia="lt-LT"/>
        </w:rPr>
        <w:t>UAB „Actiofarma“</w:t>
      </w:r>
    </w:p>
    <w:p w:rsidR="0059741C" w:rsidRDefault="0059741C" w:rsidP="0059741C">
      <w:pPr>
        <w:tabs>
          <w:tab w:val="left" w:pos="567"/>
        </w:tabs>
        <w:spacing w:after="0" w:line="240" w:lineRule="auto"/>
        <w:rPr>
          <w:rFonts w:ascii="Times New Roman" w:hAnsi="Times New Roman"/>
          <w:lang w:eastAsia="lt-LT"/>
        </w:rPr>
      </w:pPr>
      <w:r>
        <w:rPr>
          <w:rFonts w:ascii="Times New Roman" w:hAnsi="Times New Roman"/>
          <w:lang w:eastAsia="lt-LT"/>
        </w:rPr>
        <w:lastRenderedPageBreak/>
        <w:t>Islandijos pl. 209A</w:t>
      </w:r>
    </w:p>
    <w:p w:rsidR="0059741C" w:rsidRDefault="0059741C" w:rsidP="0059741C">
      <w:pPr>
        <w:tabs>
          <w:tab w:val="left" w:pos="567"/>
        </w:tabs>
        <w:spacing w:after="0" w:line="240" w:lineRule="auto"/>
        <w:rPr>
          <w:rFonts w:ascii="Times New Roman" w:hAnsi="Times New Roman"/>
          <w:lang w:eastAsia="lt-LT"/>
        </w:rPr>
      </w:pPr>
      <w:r>
        <w:rPr>
          <w:rFonts w:ascii="Times New Roman" w:hAnsi="Times New Roman"/>
          <w:lang w:eastAsia="lt-LT"/>
        </w:rPr>
        <w:t>LT-49163 Kaunas</w:t>
      </w:r>
    </w:p>
    <w:p w:rsidR="0059741C" w:rsidRDefault="0059741C" w:rsidP="0059741C">
      <w:pPr>
        <w:tabs>
          <w:tab w:val="left" w:pos="567"/>
        </w:tabs>
        <w:spacing w:after="0" w:line="240" w:lineRule="auto"/>
        <w:rPr>
          <w:rFonts w:ascii="Times New Roman" w:hAnsi="Times New Roman"/>
          <w:lang w:eastAsia="lt-LT"/>
        </w:rPr>
      </w:pPr>
      <w:r>
        <w:rPr>
          <w:rFonts w:ascii="Times New Roman" w:hAnsi="Times New Roman"/>
          <w:lang w:eastAsia="lt-LT"/>
        </w:rPr>
        <w:t>Lietuva</w:t>
      </w:r>
    </w:p>
    <w:p w:rsidR="0059741C" w:rsidRDefault="0059741C" w:rsidP="0059741C">
      <w:pPr>
        <w:tabs>
          <w:tab w:val="left" w:pos="567"/>
        </w:tabs>
        <w:spacing w:after="0" w:line="240" w:lineRule="auto"/>
        <w:rPr>
          <w:rFonts w:ascii="Times New Roman" w:hAnsi="Times New Roman"/>
          <w:lang w:eastAsia="lt-LT"/>
        </w:rPr>
      </w:pPr>
    </w:p>
    <w:p w:rsidR="0059741C" w:rsidRDefault="0059741C" w:rsidP="0059741C">
      <w:pPr>
        <w:tabs>
          <w:tab w:val="left" w:pos="567"/>
        </w:tabs>
        <w:spacing w:after="0" w:line="240" w:lineRule="auto"/>
        <w:rPr>
          <w:rFonts w:ascii="Times New Roman" w:hAnsi="Times New Roman"/>
          <w:b/>
          <w:lang w:eastAsia="lt-LT"/>
        </w:rPr>
      </w:pPr>
      <w:r>
        <w:rPr>
          <w:rFonts w:ascii="Times New Roman" w:hAnsi="Times New Roman"/>
          <w:b/>
          <w:lang w:eastAsia="lt-LT"/>
        </w:rPr>
        <w:t>Perpakavo</w:t>
      </w:r>
    </w:p>
    <w:p w:rsidR="0059741C" w:rsidRDefault="0059741C" w:rsidP="0059741C">
      <w:pPr>
        <w:tabs>
          <w:tab w:val="left" w:pos="567"/>
        </w:tabs>
        <w:spacing w:after="0" w:line="240" w:lineRule="auto"/>
        <w:rPr>
          <w:rFonts w:ascii="Times New Roman" w:hAnsi="Times New Roman"/>
          <w:bCs/>
          <w:iCs/>
          <w:lang w:eastAsia="lt-LT"/>
        </w:rPr>
      </w:pPr>
      <w:r>
        <w:rPr>
          <w:rFonts w:ascii="Times New Roman" w:hAnsi="Times New Roman"/>
          <w:bCs/>
          <w:iCs/>
          <w:lang w:eastAsia="lt-LT"/>
        </w:rPr>
        <w:t>UAB „Entafarma“</w:t>
      </w:r>
    </w:p>
    <w:p w:rsidR="0059741C" w:rsidRDefault="0059741C" w:rsidP="0059741C">
      <w:pPr>
        <w:tabs>
          <w:tab w:val="left" w:pos="567"/>
        </w:tabs>
        <w:spacing w:after="0" w:line="240" w:lineRule="auto"/>
        <w:rPr>
          <w:rFonts w:ascii="Times New Roman" w:hAnsi="Times New Roman"/>
          <w:bCs/>
          <w:iCs/>
          <w:lang w:eastAsia="lt-LT"/>
        </w:rPr>
      </w:pPr>
      <w:r>
        <w:rPr>
          <w:rFonts w:ascii="Times New Roman" w:hAnsi="Times New Roman"/>
          <w:bCs/>
          <w:iCs/>
          <w:lang w:eastAsia="lt-LT"/>
        </w:rPr>
        <w:t>Klonėnų vs. 1</w:t>
      </w:r>
    </w:p>
    <w:p w:rsidR="0059741C" w:rsidRDefault="0059741C" w:rsidP="0059741C">
      <w:pPr>
        <w:tabs>
          <w:tab w:val="left" w:pos="567"/>
        </w:tabs>
        <w:spacing w:after="0" w:line="240" w:lineRule="auto"/>
        <w:rPr>
          <w:rFonts w:ascii="Times New Roman" w:hAnsi="Times New Roman"/>
          <w:bCs/>
          <w:iCs/>
          <w:lang w:eastAsia="lt-LT"/>
        </w:rPr>
      </w:pPr>
      <w:r>
        <w:rPr>
          <w:rFonts w:ascii="Times New Roman" w:hAnsi="Times New Roman"/>
          <w:bCs/>
          <w:iCs/>
          <w:lang w:eastAsia="lt-LT"/>
        </w:rPr>
        <w:t>Širvintų r. sav.</w:t>
      </w:r>
    </w:p>
    <w:p w:rsidR="0059741C" w:rsidRDefault="0059741C" w:rsidP="0059741C">
      <w:pPr>
        <w:tabs>
          <w:tab w:val="left" w:pos="567"/>
        </w:tabs>
        <w:spacing w:after="0" w:line="240" w:lineRule="auto"/>
        <w:rPr>
          <w:rFonts w:ascii="Times New Roman" w:hAnsi="Times New Roman"/>
          <w:lang w:eastAsia="lt-LT"/>
        </w:rPr>
      </w:pPr>
      <w:r>
        <w:rPr>
          <w:rFonts w:ascii="Times New Roman" w:hAnsi="Times New Roman"/>
          <w:bCs/>
          <w:iCs/>
          <w:lang w:eastAsia="lt-LT"/>
        </w:rPr>
        <w:t>Lietuva</w:t>
      </w:r>
    </w:p>
    <w:p w:rsidR="006C40C7" w:rsidRDefault="006C40C7" w:rsidP="00CC52FA">
      <w:pPr>
        <w:spacing w:after="0" w:line="240" w:lineRule="auto"/>
        <w:rPr>
          <w:rFonts w:ascii="Times New Roman" w:hAnsi="Times New Roman"/>
          <w:lang w:eastAsia="de-DE"/>
        </w:rPr>
      </w:pPr>
    </w:p>
    <w:p w:rsidR="006C40C7" w:rsidRDefault="006C40C7" w:rsidP="006C40C7">
      <w:pPr>
        <w:spacing w:after="0" w:line="240" w:lineRule="auto"/>
        <w:rPr>
          <w:rFonts w:ascii="Times New Roman" w:hAnsi="Times New Roman"/>
        </w:rPr>
      </w:pPr>
      <w:r w:rsidRPr="00B91499">
        <w:rPr>
          <w:rFonts w:ascii="Times New Roman" w:hAnsi="Times New Roman"/>
          <w:i/>
          <w:iCs/>
          <w:highlight w:val="lightGray"/>
        </w:rPr>
        <w:t>Lygiagrečiai importuojamas vaistas skiriasi nuo referencinio pakuotės dydžiu: lyg. imp. – pakuotės dydis N20, referencinio – N50.</w:t>
      </w:r>
    </w:p>
    <w:p w:rsidR="006C40C7" w:rsidRDefault="006C40C7" w:rsidP="00CC52FA">
      <w:pPr>
        <w:spacing w:after="0" w:line="240" w:lineRule="auto"/>
        <w:rPr>
          <w:rFonts w:ascii="Times New Roman" w:hAnsi="Times New Roman"/>
          <w:lang w:eastAsia="de-DE"/>
        </w:rPr>
      </w:pPr>
    </w:p>
    <w:p w:rsidR="00CC52FA" w:rsidRPr="0059741C" w:rsidRDefault="00CC52FA" w:rsidP="00CC52FA">
      <w:pPr>
        <w:spacing w:after="0" w:line="240" w:lineRule="auto"/>
        <w:rPr>
          <w:rFonts w:ascii="Times New Roman" w:hAnsi="Times New Roman"/>
          <w:b/>
        </w:rPr>
      </w:pPr>
      <w:r w:rsidRPr="0059741C">
        <w:rPr>
          <w:rFonts w:ascii="Times New Roman" w:hAnsi="Times New Roman"/>
          <w:b/>
          <w:bCs/>
        </w:rPr>
        <w:t>Šis pakuotės lapelis</w:t>
      </w:r>
      <w:r w:rsidRPr="0059741C">
        <w:rPr>
          <w:rFonts w:ascii="Times New Roman" w:hAnsi="Times New Roman"/>
          <w:b/>
        </w:rPr>
        <w:t xml:space="preserve"> paskutinį kartą peržiūrėtas </w:t>
      </w:r>
      <w:r w:rsidR="00573A11">
        <w:rPr>
          <w:rFonts w:ascii="Times New Roman" w:hAnsi="Times New Roman"/>
          <w:b/>
        </w:rPr>
        <w:t>2019-12-</w:t>
      </w:r>
      <w:r w:rsidR="00323D88">
        <w:rPr>
          <w:rFonts w:ascii="Times New Roman" w:hAnsi="Times New Roman"/>
          <w:b/>
        </w:rPr>
        <w:t>16</w:t>
      </w:r>
      <w:bookmarkStart w:id="18" w:name="_GoBack"/>
      <w:bookmarkEnd w:id="18"/>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p>
    <w:p w:rsidR="00CC52FA" w:rsidRPr="0059741C" w:rsidRDefault="00CC52FA" w:rsidP="00CC52FA">
      <w:pPr>
        <w:spacing w:after="0" w:line="240" w:lineRule="auto"/>
        <w:rPr>
          <w:rFonts w:ascii="Times New Roman" w:hAnsi="Times New Roman"/>
        </w:rPr>
      </w:pPr>
      <w:r w:rsidRPr="0059741C">
        <w:rPr>
          <w:rFonts w:ascii="Times New Roman" w:hAnsi="Times New Roman"/>
          <w:snapToGrid w:val="0"/>
        </w:rPr>
        <w:t>Išsami informacija apie šį vaistą pateikiama Valstybinės vaistų kontrolės tarnybos prie Lietuvos Respublikos sveikatos apsaugos ministerijos tinklalapyje</w:t>
      </w:r>
      <w:r w:rsidRPr="0059741C">
        <w:rPr>
          <w:rFonts w:ascii="Times New Roman" w:hAnsi="Times New Roman"/>
          <w:i/>
          <w:snapToGrid w:val="0"/>
        </w:rPr>
        <w:t xml:space="preserve"> </w:t>
      </w:r>
      <w:hyperlink r:id="rId8" w:history="1">
        <w:r w:rsidRPr="0059741C">
          <w:rPr>
            <w:rFonts w:ascii="Times New Roman" w:eastAsia="SimSun" w:hAnsi="Times New Roman"/>
            <w:snapToGrid w:val="0"/>
            <w:color w:val="0000FF"/>
            <w:u w:val="single"/>
          </w:rPr>
          <w:t>http://www.vvkt.lt/</w:t>
        </w:r>
      </w:hyperlink>
      <w:r w:rsidRPr="0059741C">
        <w:rPr>
          <w:rFonts w:ascii="Times New Roman" w:hAnsi="Times New Roman"/>
          <w:snapToGrid w:val="0"/>
        </w:rPr>
        <w:t>.</w:t>
      </w:r>
    </w:p>
    <w:p w:rsidR="00CC52FA" w:rsidRPr="0059741C" w:rsidRDefault="00CC52FA" w:rsidP="00CC52FA">
      <w:pPr>
        <w:spacing w:after="0" w:line="240" w:lineRule="auto"/>
        <w:rPr>
          <w:rFonts w:ascii="Times New Roman" w:hAnsi="Times New Roman"/>
          <w:highlight w:val="yellow"/>
        </w:rPr>
      </w:pPr>
    </w:p>
    <w:p w:rsidR="007E1963" w:rsidRPr="0059741C" w:rsidRDefault="007E1963">
      <w:pPr>
        <w:rPr>
          <w:rFonts w:ascii="Times New Roman" w:hAnsi="Times New Roman"/>
        </w:rPr>
      </w:pPr>
    </w:p>
    <w:sectPr w:rsidR="007E1963" w:rsidRPr="005974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8C0EFB"/>
    <w:multiLevelType w:val="hybridMultilevel"/>
    <w:tmpl w:val="CE4CF8D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E13A88"/>
    <w:multiLevelType w:val="hybridMultilevel"/>
    <w:tmpl w:val="6DD854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85F0F"/>
    <w:multiLevelType w:val="hybridMultilevel"/>
    <w:tmpl w:val="06728B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DB5B65"/>
    <w:multiLevelType w:val="hybridMultilevel"/>
    <w:tmpl w:val="136EE150"/>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7153C7"/>
    <w:multiLevelType w:val="hybridMultilevel"/>
    <w:tmpl w:val="6F989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C095B"/>
    <w:multiLevelType w:val="hybridMultilevel"/>
    <w:tmpl w:val="AAC01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20275E"/>
    <w:multiLevelType w:val="hybridMultilevel"/>
    <w:tmpl w:val="DE7CFBA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D6A0D4F"/>
    <w:multiLevelType w:val="hybridMultilevel"/>
    <w:tmpl w:val="6DC0E6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0"/>
    <w:lvlOverride w:ilvl="0">
      <w:lvl w:ilvl="0">
        <w:start w:val="1"/>
        <w:numFmt w:val="bullet"/>
        <w:lvlText w:val="-"/>
        <w:lvlJc w:val="left"/>
        <w:pPr>
          <w:ind w:left="360" w:hanging="360"/>
        </w:pPr>
      </w:lvl>
    </w:lvlOverride>
  </w:num>
  <w:num w:numId="5">
    <w:abstractNumId w:val="2"/>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FA"/>
    <w:rsid w:val="00077749"/>
    <w:rsid w:val="0009191F"/>
    <w:rsid w:val="001E70D1"/>
    <w:rsid w:val="00287366"/>
    <w:rsid w:val="002E1CD6"/>
    <w:rsid w:val="00323D88"/>
    <w:rsid w:val="003929AF"/>
    <w:rsid w:val="004225CC"/>
    <w:rsid w:val="004B0A9C"/>
    <w:rsid w:val="004E7E57"/>
    <w:rsid w:val="00530BDC"/>
    <w:rsid w:val="005701F6"/>
    <w:rsid w:val="00573A11"/>
    <w:rsid w:val="0059741C"/>
    <w:rsid w:val="005D705B"/>
    <w:rsid w:val="00601711"/>
    <w:rsid w:val="006A1045"/>
    <w:rsid w:val="006C40C7"/>
    <w:rsid w:val="006E744B"/>
    <w:rsid w:val="00710453"/>
    <w:rsid w:val="007E1963"/>
    <w:rsid w:val="00824819"/>
    <w:rsid w:val="0083436F"/>
    <w:rsid w:val="00863558"/>
    <w:rsid w:val="008660F5"/>
    <w:rsid w:val="008F4543"/>
    <w:rsid w:val="00913293"/>
    <w:rsid w:val="00976AF2"/>
    <w:rsid w:val="00981EC0"/>
    <w:rsid w:val="009B6F5C"/>
    <w:rsid w:val="00A86D46"/>
    <w:rsid w:val="00BA7C05"/>
    <w:rsid w:val="00BB5A16"/>
    <w:rsid w:val="00C150CD"/>
    <w:rsid w:val="00CC52FA"/>
    <w:rsid w:val="00CE3943"/>
    <w:rsid w:val="00CF2B86"/>
    <w:rsid w:val="00D300A7"/>
    <w:rsid w:val="00D92507"/>
    <w:rsid w:val="00DD3345"/>
    <w:rsid w:val="00E35AB9"/>
    <w:rsid w:val="00E449A5"/>
    <w:rsid w:val="00ED3B28"/>
    <w:rsid w:val="00F251BC"/>
    <w:rsid w:val="00F3024F"/>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1C5C9-F41F-4B55-AD8B-2311C652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2F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52FA"/>
    <w:rPr>
      <w:rFonts w:cs="Times New Roman"/>
      <w:color w:val="0000FF"/>
      <w:u w:val="single"/>
    </w:rPr>
  </w:style>
  <w:style w:type="paragraph" w:styleId="ListParagraph">
    <w:name w:val="List Paragraph"/>
    <w:basedOn w:val="Normal"/>
    <w:qFormat/>
    <w:rsid w:val="00CC52FA"/>
    <w:pPr>
      <w:ind w:left="720"/>
      <w:contextualSpacing/>
    </w:pPr>
    <w:rPr>
      <w:rFonts w:eastAsia="Times New Roman"/>
      <w:lang w:val="en-US"/>
    </w:rPr>
  </w:style>
  <w:style w:type="paragraph" w:styleId="BalloonText">
    <w:name w:val="Balloon Text"/>
    <w:basedOn w:val="Normal"/>
    <w:link w:val="BalloonTextChar"/>
    <w:uiPriority w:val="99"/>
    <w:semiHidden/>
    <w:unhideWhenUsed/>
    <w:rsid w:val="00091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91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39972">
      <w:bodyDiv w:val="1"/>
      <w:marLeft w:val="0"/>
      <w:marRight w:val="0"/>
      <w:marTop w:val="0"/>
      <w:marBottom w:val="0"/>
      <w:divBdr>
        <w:top w:val="none" w:sz="0" w:space="0" w:color="auto"/>
        <w:left w:val="none" w:sz="0" w:space="0" w:color="auto"/>
        <w:bottom w:val="none" w:sz="0" w:space="0" w:color="auto"/>
        <w:right w:val="none" w:sz="0" w:space="0" w:color="auto"/>
      </w:divBdr>
    </w:div>
    <w:div w:id="19343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16449</Words>
  <Characters>9377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7</cp:revision>
  <dcterms:created xsi:type="dcterms:W3CDTF">2019-12-12T06:58:00Z</dcterms:created>
  <dcterms:modified xsi:type="dcterms:W3CDTF">2019-12-17T07:28:00Z</dcterms:modified>
</cp:coreProperties>
</file>