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205B0" w:rsidRPr="00CF0FDF" w:rsidRDefault="00F205B0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A. ŽENKLINIMAS</w:t>
      </w:r>
    </w:p>
    <w:p w:rsidR="001C3858" w:rsidRPr="00CF0FDF" w:rsidRDefault="001C3858" w:rsidP="001C3858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br w:type="page"/>
      </w: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eastAsia="Times New Roman" w:hAnsi="Times New Roman" w:cs="Times New Roman"/>
          <w:b/>
        </w:rPr>
        <w:t>KARTONO DĖŽUTĖ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1.</w:t>
      </w:r>
      <w:r w:rsidRPr="00CF0FDF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hAnsi="Times New Roman" w:cs="Times New Roman"/>
        </w:rPr>
        <w:t>Dobutamine</w:t>
      </w:r>
      <w:proofErr w:type="spellEnd"/>
      <w:r w:rsidRPr="00CF0FDF">
        <w:rPr>
          <w:rFonts w:ascii="Times New Roman" w:hAnsi="Times New Roman" w:cs="Times New Roman"/>
        </w:rPr>
        <w:t xml:space="preserve"> </w:t>
      </w:r>
      <w:proofErr w:type="spellStart"/>
      <w:r w:rsidRPr="00CF0FDF">
        <w:rPr>
          <w:rFonts w:ascii="Times New Roman" w:hAnsi="Times New Roman" w:cs="Times New Roman"/>
        </w:rPr>
        <w:t>Hameln</w:t>
      </w:r>
      <w:proofErr w:type="spellEnd"/>
      <w:r w:rsidRPr="00CF0FDF">
        <w:rPr>
          <w:rFonts w:ascii="Times New Roman" w:hAnsi="Times New Roman" w:cs="Times New Roman"/>
        </w:rPr>
        <w:t xml:space="preserve"> 250 mg/20 ml </w:t>
      </w:r>
      <w:r w:rsidR="001C3858" w:rsidRPr="00CF0FDF">
        <w:rPr>
          <w:rFonts w:ascii="Times New Roman" w:eastAsia="Times New Roman" w:hAnsi="Times New Roman" w:cs="Times New Roman"/>
        </w:rPr>
        <w:t>koncentratas infuziniam tirpalui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Dobutamin</w:t>
      </w:r>
      <w:r w:rsidR="000A6DF7" w:rsidRPr="00CF0FDF">
        <w:rPr>
          <w:rFonts w:ascii="Times New Roman" w:eastAsia="Times New Roman" w:hAnsi="Times New Roman" w:cs="Times New Roman"/>
        </w:rPr>
        <w:t>as</w:t>
      </w:r>
      <w:proofErr w:type="spellEnd"/>
    </w:p>
    <w:p w:rsidR="001C3858" w:rsidRPr="00CF0FDF" w:rsidRDefault="001C3858" w:rsidP="001C385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2.</w:t>
      </w:r>
      <w:r w:rsidRPr="00CF0FDF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Kiekviename ml yra 12,5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(atitinkančio 14,01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hidrochlorido).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Kiekvienoje 20 ml ampulėje yra 250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(atitinkančio </w:t>
      </w:r>
      <w:r w:rsidRPr="00CF0FDF">
        <w:rPr>
          <w:rFonts w:ascii="Times New Roman" w:eastAsia="Times New Roman" w:hAnsi="Times New Roman" w:cs="Times New Roman"/>
          <w:bCs/>
          <w:kern w:val="22"/>
        </w:rPr>
        <w:t>280,2 mg</w:t>
      </w:r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hidrochlorido).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CF0FDF">
        <w:rPr>
          <w:rFonts w:ascii="Times New Roman" w:eastAsia="Times New Roman" w:hAnsi="Times New Roman" w:cs="Times New Roman"/>
          <w:b/>
        </w:rPr>
        <w:t>3.</w:t>
      </w:r>
      <w:r w:rsidRPr="00CF0FDF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C062B" w:rsidRPr="00CF0FDF" w:rsidRDefault="00BC062B" w:rsidP="00BC062B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 w:cs="Times New Roman"/>
          <w:lang w:eastAsia="zh-CN"/>
        </w:rPr>
      </w:pPr>
      <w:r w:rsidRPr="00CF0FDF">
        <w:rPr>
          <w:rFonts w:ascii="Times New Roman" w:hAnsi="Times New Roman" w:cs="Times New Roman"/>
          <w:color w:val="000000"/>
          <w:spacing w:val="-3"/>
        </w:rPr>
        <w:t xml:space="preserve">Pagalbinės medžiagos: natrio </w:t>
      </w:r>
      <w:proofErr w:type="spellStart"/>
      <w:r w:rsidRPr="00CF0FDF">
        <w:rPr>
          <w:rFonts w:ascii="Times New Roman" w:hAnsi="Times New Roman" w:cs="Times New Roman"/>
          <w:color w:val="000000"/>
          <w:spacing w:val="-3"/>
        </w:rPr>
        <w:t>metabisulfitas</w:t>
      </w:r>
      <w:proofErr w:type="spellEnd"/>
      <w:r w:rsidRPr="00CF0FDF">
        <w:rPr>
          <w:rFonts w:ascii="Times New Roman" w:hAnsi="Times New Roman" w:cs="Times New Roman"/>
          <w:color w:val="000000"/>
          <w:spacing w:val="-3"/>
        </w:rPr>
        <w:t xml:space="preserve"> (E223), v</w:t>
      </w:r>
      <w:r w:rsidRPr="00CF0FDF">
        <w:rPr>
          <w:rFonts w:ascii="Times New Roman" w:hAnsi="Times New Roman" w:cs="Times New Roman"/>
          <w:lang w:eastAsia="zh-CN"/>
        </w:rPr>
        <w:t>andenilio chlorido rūgštis (pH koreguoti), natrio hidroksidas (pH koreguoti), injekcinis vanduo ir anglies dioksidas.</w:t>
      </w:r>
    </w:p>
    <w:p w:rsidR="00BC062B" w:rsidRPr="00CF0FDF" w:rsidRDefault="00BC062B" w:rsidP="00BC062B">
      <w:pPr>
        <w:tabs>
          <w:tab w:val="left" w:pos="720"/>
        </w:tabs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CF0FDF">
        <w:rPr>
          <w:rFonts w:ascii="Times New Roman" w:hAnsi="Times New Roman" w:cs="Times New Roman"/>
        </w:rPr>
        <w:t>Daugiau informacijos pateikta pakuotės lapelyje.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4.</w:t>
      </w:r>
      <w:r w:rsidRPr="00CF0FDF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0FDF">
        <w:rPr>
          <w:rFonts w:ascii="Times New Roman" w:eastAsia="Times New Roman" w:hAnsi="Times New Roman" w:cs="Times New Roman"/>
          <w:highlight w:val="lightGray"/>
        </w:rPr>
        <w:t>Koncentratas infuziniam tirpalui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iCs/>
        </w:rPr>
      </w:pPr>
      <w:r w:rsidRPr="00CF0FDF">
        <w:rPr>
          <w:rFonts w:ascii="Times New Roman" w:eastAsia="Times New Roman" w:hAnsi="Times New Roman" w:cs="Times New Roman"/>
          <w:iCs/>
        </w:rPr>
        <w:t>5 x 20 ml ampulės</w:t>
      </w:r>
    </w:p>
    <w:p w:rsidR="001C3858" w:rsidRPr="00CF0FDF" w:rsidRDefault="001C3858" w:rsidP="001C3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CF0FDF">
        <w:rPr>
          <w:rFonts w:ascii="Times New Roman" w:eastAsia="Times New Roman" w:hAnsi="Times New Roman" w:cs="Times New Roman"/>
          <w:b/>
        </w:rPr>
        <w:t>5.</w:t>
      </w:r>
      <w:r w:rsidRPr="00CF0FDF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Leisti į veną.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Būtina praskiesti.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Prieš vartojimą perskaitykite pakuotės lapelį.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6.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 VIETOJE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CF0FDF">
        <w:rPr>
          <w:rFonts w:ascii="Times New Roman" w:eastAsia="Times New Roman" w:hAnsi="Times New Roman" w:cs="Times New Roman"/>
          <w:iCs/>
        </w:rPr>
        <w:t>Laikyti vaikams nepastebimoje ir nepasiekiamoje vietoje.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CF0FDF">
        <w:rPr>
          <w:rFonts w:ascii="Times New Roman" w:eastAsia="Times New Roman" w:hAnsi="Times New Roman" w:cs="Times New Roman"/>
          <w:b/>
        </w:rPr>
        <w:t>7.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Tik vienkartiniam vartojimui. Bet kokius likučius po vartojimo sunaikinti.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CF0FDF">
        <w:rPr>
          <w:rFonts w:ascii="Times New Roman" w:eastAsia="Times New Roman" w:hAnsi="Times New Roman" w:cs="Times New Roman"/>
          <w:b/>
        </w:rPr>
        <w:t>8.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bCs/>
        </w:rPr>
        <w:t>TINKAMUMO LAIKAS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Tinka iki</w:t>
      </w:r>
      <w:r w:rsidR="007B61A4" w:rsidRPr="00CF0FDF">
        <w:rPr>
          <w:rFonts w:ascii="Times New Roman" w:eastAsia="Times New Roman" w:hAnsi="Times New Roman" w:cs="Times New Roman"/>
          <w:highlight w:val="lightGray"/>
        </w:rPr>
        <w:t>/EXP</w:t>
      </w:r>
      <w:r w:rsidRPr="00CF0FDF">
        <w:rPr>
          <w:rFonts w:ascii="Times New Roman" w:eastAsia="Times New Roman" w:hAnsi="Times New Roman" w:cs="Times New Roman"/>
        </w:rPr>
        <w:t xml:space="preserve"> MMMM</w:t>
      </w:r>
      <w:r w:rsidR="007B61A4" w:rsidRPr="00CF0FDF">
        <w:rPr>
          <w:rFonts w:ascii="Times New Roman" w:eastAsia="Times New Roman" w:hAnsi="Times New Roman" w:cs="Times New Roman"/>
        </w:rPr>
        <w:t xml:space="preserve"> mm</w:t>
      </w:r>
    </w:p>
    <w:p w:rsidR="001C3858" w:rsidRPr="00CF0FDF" w:rsidRDefault="001C3858" w:rsidP="001C385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9.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743DC" w:rsidRPr="00CF0FDF" w:rsidRDefault="00E6005B" w:rsidP="008743DC">
      <w:pPr>
        <w:spacing w:after="0" w:line="240" w:lineRule="auto"/>
        <w:rPr>
          <w:rFonts w:ascii="Times New Roman" w:hAnsi="Times New Roman" w:cs="Times New Roman"/>
        </w:rPr>
      </w:pPr>
      <w:r w:rsidRPr="00CF0FDF">
        <w:rPr>
          <w:rFonts w:ascii="Times New Roman" w:hAnsi="Times New Roman" w:cs="Times New Roman"/>
        </w:rPr>
        <w:t>Laikyti ne aukštesnėje kaip 25 °C temperatūroje</w:t>
      </w:r>
      <w:r w:rsidR="00E03440" w:rsidRPr="00CF0FDF">
        <w:rPr>
          <w:rFonts w:ascii="Times New Roman" w:hAnsi="Times New Roman" w:cs="Times New Roman"/>
        </w:rPr>
        <w:t>. Laikyti gamintojo pakuotėje,</w:t>
      </w:r>
      <w:r w:rsidR="00E02CA0" w:rsidRPr="00CF0FDF">
        <w:rPr>
          <w:rFonts w:ascii="Times New Roman" w:hAnsi="Times New Roman" w:cs="Times New Roman"/>
        </w:rPr>
        <w:t xml:space="preserve"> kad vaistas būtų apsaugotas nuo šviesos.</w:t>
      </w:r>
    </w:p>
    <w:p w:rsidR="00E6005B" w:rsidRPr="00CF0FDF" w:rsidRDefault="00E6005B" w:rsidP="008743DC">
      <w:pPr>
        <w:spacing w:after="0" w:line="240" w:lineRule="auto"/>
        <w:rPr>
          <w:rFonts w:ascii="Times New Roman" w:hAnsi="Times New Roman" w:cs="Times New Roman"/>
        </w:rPr>
      </w:pPr>
      <w:r w:rsidRPr="00CF0FDF">
        <w:rPr>
          <w:rFonts w:ascii="Times New Roman" w:hAnsi="Times New Roman" w:cs="Times New Roman"/>
        </w:rPr>
        <w:t xml:space="preserve">Prieš vartojimą susipažinti su pakuotės lapelyje pateiktomis vartojamo </w:t>
      </w:r>
      <w:r w:rsidR="00E02CA0" w:rsidRPr="00CF0FDF">
        <w:rPr>
          <w:rFonts w:ascii="Times New Roman" w:hAnsi="Times New Roman" w:cs="Times New Roman"/>
        </w:rPr>
        <w:t>vaisto</w:t>
      </w:r>
      <w:r w:rsidRPr="00CF0FDF">
        <w:rPr>
          <w:rFonts w:ascii="Times New Roman" w:hAnsi="Times New Roman" w:cs="Times New Roman"/>
        </w:rPr>
        <w:t xml:space="preserve"> laikymo sąlygomis.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8743DC" w:rsidRPr="00CF0FDF" w:rsidRDefault="008743DC" w:rsidP="001C3858">
      <w:pPr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10.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caps/>
        </w:rPr>
        <w:t xml:space="preserve">specialios atsargumo priemonės DĖL NESUVARTOTO </w:t>
      </w:r>
      <w:r w:rsidRPr="00CF0FDF">
        <w:rPr>
          <w:rFonts w:ascii="Times New Roman" w:eastAsia="Times New Roman" w:hAnsi="Times New Roman" w:cs="Times New Roman"/>
          <w:b/>
          <w:bCs/>
          <w:caps/>
        </w:rPr>
        <w:t>VAISTINIO PREPARATO AR JO ATLIEK</w:t>
      </w:r>
      <w:r w:rsidRPr="00CF0FDF">
        <w:rPr>
          <w:rFonts w:ascii="Times New Roman" w:eastAsia="Times New Roman" w:hAnsi="Times New Roman" w:cs="Times New Roman"/>
          <w:b/>
        </w:rPr>
        <w:t>Ų</w:t>
      </w:r>
      <w:r w:rsidRPr="00CF0FDF">
        <w:rPr>
          <w:rFonts w:ascii="Times New Roman" w:eastAsia="Times New Roman" w:hAnsi="Times New Roman" w:cs="Times New Roman"/>
          <w:caps/>
        </w:rPr>
        <w:t xml:space="preserve"> </w:t>
      </w:r>
      <w:r w:rsidRPr="00CF0FDF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CF0FDF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11.</w:t>
      </w:r>
      <w:r w:rsidRPr="00CF0FDF">
        <w:rPr>
          <w:rFonts w:ascii="Times New Roman" w:eastAsia="Times New Roman" w:hAnsi="Times New Roman" w:cs="Times New Roman"/>
          <w:b/>
        </w:rPr>
        <w:tab/>
      </w:r>
      <w:r w:rsidR="009C72E3">
        <w:rPr>
          <w:rFonts w:ascii="Times New Roman" w:eastAsia="Times New Roman" w:hAnsi="Times New Roman" w:cs="Times New Roman"/>
          <w:b/>
          <w:caps/>
        </w:rPr>
        <w:t>LYGIAGRETUS IMPORTUOTOJAS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E6005B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Lygiagretus importuotojas</w:t>
      </w:r>
    </w:p>
    <w:p w:rsidR="00E6005B" w:rsidRPr="00CF0FDF" w:rsidRDefault="00E6005B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eastAsia="Times New Roman" w:hAnsi="Times New Roman" w:cs="Times New Roman"/>
          <w:bCs/>
        </w:rPr>
        <w:t>UAB „Actiofarma“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12.</w:t>
      </w:r>
      <w:r w:rsidRPr="00CF0FDF">
        <w:rPr>
          <w:rFonts w:ascii="Times New Roman" w:eastAsia="Times New Roman" w:hAnsi="Times New Roman" w:cs="Times New Roman"/>
          <w:b/>
        </w:rPr>
        <w:tab/>
      </w:r>
      <w:r w:rsidR="00E6005B" w:rsidRPr="00CF0FDF">
        <w:rPr>
          <w:rFonts w:ascii="Times New Roman" w:hAnsi="Times New Roman" w:cs="Times New Roman"/>
          <w:b/>
        </w:rPr>
        <w:t xml:space="preserve">LYGIAGRETAUS IMPORTO LEIDIMO </w:t>
      </w:r>
      <w:r w:rsidRPr="00CF0FDF">
        <w:rPr>
          <w:rFonts w:ascii="Times New Roman" w:eastAsia="Times New Roman" w:hAnsi="Times New Roman" w:cs="Times New Roman"/>
          <w:b/>
          <w:caps/>
        </w:rPr>
        <w:t>NUMERIS (-IAI)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E6005B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LT/L/</w:t>
      </w:r>
      <w:r w:rsidR="00624E46">
        <w:rPr>
          <w:rFonts w:ascii="Times New Roman" w:eastAsia="Times New Roman" w:hAnsi="Times New Roman" w:cs="Times New Roman"/>
        </w:rPr>
        <w:t>18/0809/001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13.</w:t>
      </w:r>
      <w:r w:rsidRPr="00CF0FDF">
        <w:rPr>
          <w:rFonts w:ascii="Times New Roman" w:eastAsia="Times New Roman" w:hAnsi="Times New Roman" w:cs="Times New Roman"/>
          <w:b/>
        </w:rPr>
        <w:tab/>
        <w:t>SERIJOS NUMERIS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Serija</w:t>
      </w:r>
      <w:r w:rsidR="00E6005B" w:rsidRPr="00CF0FDF">
        <w:rPr>
          <w:rFonts w:ascii="Times New Roman" w:eastAsia="Times New Roman" w:hAnsi="Times New Roman" w:cs="Times New Roman"/>
          <w:highlight w:val="lightGray"/>
        </w:rPr>
        <w:t>/Lot</w:t>
      </w:r>
      <w:r w:rsidRPr="00CF0FDF">
        <w:rPr>
          <w:rFonts w:ascii="Times New Roman" w:eastAsia="Times New Roman" w:hAnsi="Times New Roman" w:cs="Times New Roman"/>
        </w:rPr>
        <w:t xml:space="preserve"> {numeris}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14.</w:t>
      </w:r>
      <w:r w:rsidRPr="00CF0FDF">
        <w:rPr>
          <w:rFonts w:ascii="Times New Roman" w:eastAsia="Times New Roman" w:hAnsi="Times New Roman" w:cs="Times New Roman"/>
          <w:b/>
        </w:rPr>
        <w:tab/>
        <w:t>PARDAVIMO (IŠDAVIMO)</w:t>
      </w:r>
      <w:r w:rsidRPr="00CF0FDF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Receptinis vaistas.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15.</w:t>
      </w:r>
      <w:r w:rsidRPr="00CF0FDF">
        <w:rPr>
          <w:rFonts w:ascii="Times New Roman" w:eastAsia="Times New Roman" w:hAnsi="Times New Roman" w:cs="Times New Roman"/>
          <w:b/>
        </w:rPr>
        <w:tab/>
      </w:r>
      <w:r w:rsidRPr="00CF0FDF">
        <w:rPr>
          <w:rFonts w:ascii="Times New Roman" w:eastAsia="Times New Roman" w:hAnsi="Times New Roman" w:cs="Times New Roman"/>
          <w:b/>
          <w:caps/>
        </w:rPr>
        <w:t>vartojimo instrukcijA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16.</w:t>
      </w:r>
      <w:r w:rsidRPr="00CF0FDF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6005B" w:rsidRPr="00CF0FDF" w:rsidRDefault="00E6005B" w:rsidP="00E6005B">
      <w:pPr>
        <w:tabs>
          <w:tab w:val="left" w:pos="720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6005B" w:rsidRPr="00CF0FDF" w:rsidRDefault="00E6005B" w:rsidP="00E600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</w:rPr>
      </w:pPr>
      <w:r w:rsidRPr="00CF0FDF">
        <w:rPr>
          <w:rFonts w:ascii="Times New Roman" w:eastAsia="Times New Roman" w:hAnsi="Times New Roman" w:cs="Times New Roman"/>
          <w:b/>
        </w:rPr>
        <w:t>17.</w:t>
      </w:r>
      <w:r w:rsidRPr="00CF0FDF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:rsidR="00E6005B" w:rsidRPr="00CF0FDF" w:rsidRDefault="00E6005B" w:rsidP="00E600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E6005B" w:rsidRPr="00CF0FDF" w:rsidRDefault="00E6005B" w:rsidP="00E600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E6005B" w:rsidRPr="00CF0FDF" w:rsidRDefault="00E6005B" w:rsidP="00E600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</w:rPr>
      </w:pPr>
      <w:r w:rsidRPr="00CF0FDF">
        <w:rPr>
          <w:rFonts w:ascii="Times New Roman" w:eastAsia="Times New Roman" w:hAnsi="Times New Roman" w:cs="Times New Roman"/>
          <w:b/>
        </w:rPr>
        <w:t>18.</w:t>
      </w:r>
      <w:r w:rsidRPr="00CF0FDF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:rsidR="00E6005B" w:rsidRPr="00CF0FDF" w:rsidRDefault="00E6005B" w:rsidP="00E600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E6005B" w:rsidRPr="00CF0FDF" w:rsidRDefault="00E6005B" w:rsidP="00E600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</w:rPr>
      </w:pPr>
      <w:r w:rsidRPr="00CF0FDF">
        <w:rPr>
          <w:rFonts w:ascii="Times New Roman" w:eastAsia="Times New Roman" w:hAnsi="Times New Roman" w:cs="Times New Roman"/>
        </w:rPr>
        <w:t>PC: {numeris}</w:t>
      </w:r>
    </w:p>
    <w:p w:rsidR="00E6005B" w:rsidRPr="00CF0FDF" w:rsidRDefault="00E6005B" w:rsidP="00E600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SN: {numeris} </w:t>
      </w:r>
    </w:p>
    <w:p w:rsidR="00C67FB1" w:rsidRPr="00CF0FDF" w:rsidRDefault="00E6005B" w:rsidP="00E6005B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CF0FDF">
        <w:rPr>
          <w:rFonts w:ascii="Times New Roman" w:eastAsia="Times New Roman" w:hAnsi="Times New Roman" w:cs="Times New Roman"/>
          <w:highlight w:val="lightGray"/>
        </w:rPr>
        <w:t>NN: {numeris}</w:t>
      </w:r>
    </w:p>
    <w:p w:rsidR="00C67FB1" w:rsidRPr="00CF0FDF" w:rsidRDefault="00C67FB1" w:rsidP="00E6005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67FB1" w:rsidRPr="00C67FB1" w:rsidRDefault="00C67FB1" w:rsidP="00C67F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67FB1">
        <w:rPr>
          <w:rFonts w:ascii="Times New Roman" w:eastAsia="Times New Roman" w:hAnsi="Times New Roman" w:cs="Times New Roman"/>
          <w:b/>
          <w:lang w:eastAsia="lt-LT"/>
        </w:rPr>
        <w:t>Gamintojas</w:t>
      </w:r>
      <w:r w:rsidRPr="00C67FB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67FB1">
        <w:rPr>
          <w:rFonts w:ascii="Times New Roman" w:eastAsia="Times New Roman" w:hAnsi="Times New Roman" w:cs="Times New Roman"/>
          <w:lang w:eastAsia="lt-LT"/>
        </w:rPr>
        <w:t>Siegfried</w:t>
      </w:r>
      <w:proofErr w:type="spellEnd"/>
      <w:r w:rsidRPr="00C67FB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67FB1">
        <w:rPr>
          <w:rFonts w:ascii="Times New Roman" w:eastAsia="Times New Roman" w:hAnsi="Times New Roman" w:cs="Times New Roman"/>
          <w:lang w:eastAsia="lt-LT"/>
        </w:rPr>
        <w:t>Hameln</w:t>
      </w:r>
      <w:proofErr w:type="spellEnd"/>
      <w:r w:rsidRPr="00C67FB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67FB1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C67FB1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C67FB1">
        <w:rPr>
          <w:rFonts w:ascii="Times New Roman" w:eastAsia="Times New Roman" w:hAnsi="Times New Roman" w:cs="Times New Roman"/>
          <w:highlight w:val="lightGray"/>
          <w:lang w:eastAsia="lt-LT"/>
        </w:rPr>
        <w:t xml:space="preserve">Langes </w:t>
      </w:r>
      <w:proofErr w:type="spellStart"/>
      <w:r w:rsidRPr="00C67FB1">
        <w:rPr>
          <w:rFonts w:ascii="Times New Roman" w:eastAsia="Times New Roman" w:hAnsi="Times New Roman" w:cs="Times New Roman"/>
          <w:highlight w:val="lightGray"/>
          <w:lang w:eastAsia="lt-LT"/>
        </w:rPr>
        <w:t>Feld</w:t>
      </w:r>
      <w:proofErr w:type="spellEnd"/>
      <w:r w:rsidRPr="00C67FB1">
        <w:rPr>
          <w:rFonts w:ascii="Times New Roman" w:eastAsia="Times New Roman" w:hAnsi="Times New Roman" w:cs="Times New Roman"/>
          <w:highlight w:val="lightGray"/>
          <w:lang w:eastAsia="lt-LT"/>
        </w:rPr>
        <w:t xml:space="preserve"> 13, </w:t>
      </w:r>
      <w:proofErr w:type="spellStart"/>
      <w:r w:rsidRPr="00C67FB1">
        <w:rPr>
          <w:rFonts w:ascii="Times New Roman" w:eastAsia="Times New Roman" w:hAnsi="Times New Roman" w:cs="Times New Roman"/>
          <w:highlight w:val="lightGray"/>
          <w:lang w:eastAsia="lt-LT"/>
        </w:rPr>
        <w:t>Hameln</w:t>
      </w:r>
      <w:proofErr w:type="spellEnd"/>
      <w:r w:rsidRPr="00C67FB1">
        <w:rPr>
          <w:rFonts w:ascii="Times New Roman" w:eastAsia="Times New Roman" w:hAnsi="Times New Roman" w:cs="Times New Roman"/>
          <w:highlight w:val="lightGray"/>
          <w:lang w:eastAsia="lt-LT"/>
        </w:rPr>
        <w:t>, D-31789,</w:t>
      </w:r>
      <w:r w:rsidRPr="00C67FB1">
        <w:rPr>
          <w:rFonts w:ascii="Times New Roman" w:eastAsia="Times New Roman" w:hAnsi="Times New Roman" w:cs="Times New Roman"/>
          <w:lang w:eastAsia="lt-LT"/>
        </w:rPr>
        <w:t xml:space="preserve"> Vokietija</w:t>
      </w:r>
      <w:r w:rsidR="000E69AB" w:rsidRPr="00CF0FDF">
        <w:rPr>
          <w:rFonts w:ascii="Times New Roman" w:eastAsia="Times New Roman" w:hAnsi="Times New Roman" w:cs="Times New Roman"/>
          <w:lang w:eastAsia="lt-LT"/>
        </w:rPr>
        <w:t xml:space="preserve"> </w:t>
      </w:r>
      <w:r w:rsidR="000E69AB" w:rsidRPr="00C67FB1">
        <w:rPr>
          <w:rFonts w:ascii="Times New Roman" w:eastAsia="Times New Roman" w:hAnsi="Times New Roman" w:cs="Times New Roman"/>
          <w:lang w:eastAsia="lt-LT"/>
        </w:rPr>
        <w:t>arba</w:t>
      </w:r>
      <w:r w:rsidR="000E69AB" w:rsidRPr="00CF0FD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0E69AB" w:rsidRPr="00CF0FDF">
        <w:rPr>
          <w:rFonts w:ascii="Times New Roman" w:eastAsia="Times New Roman" w:hAnsi="Times New Roman" w:cs="Times New Roman"/>
          <w:lang w:eastAsia="lt-LT"/>
        </w:rPr>
        <w:t>h</w:t>
      </w:r>
      <w:r w:rsidR="000E69AB" w:rsidRPr="00C67FB1">
        <w:rPr>
          <w:rFonts w:ascii="Times New Roman" w:eastAsia="Times New Roman" w:hAnsi="Times New Roman" w:cs="Times New Roman"/>
          <w:lang w:eastAsia="lt-LT"/>
        </w:rPr>
        <w:t>ameln</w:t>
      </w:r>
      <w:proofErr w:type="spellEnd"/>
      <w:r w:rsidR="000E69AB" w:rsidRPr="00C67FB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0E69AB" w:rsidRPr="00C67FB1">
        <w:rPr>
          <w:rFonts w:ascii="Times New Roman" w:eastAsia="Times New Roman" w:hAnsi="Times New Roman" w:cs="Times New Roman"/>
          <w:lang w:eastAsia="lt-LT"/>
        </w:rPr>
        <w:t>rds</w:t>
      </w:r>
      <w:proofErr w:type="spellEnd"/>
      <w:r w:rsidR="000E69AB" w:rsidRPr="00C67FB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0E69AB" w:rsidRPr="00C67FB1">
        <w:rPr>
          <w:rFonts w:ascii="Times New Roman" w:eastAsia="Times New Roman" w:hAnsi="Times New Roman" w:cs="Times New Roman"/>
          <w:lang w:eastAsia="lt-LT"/>
        </w:rPr>
        <w:t>a.s</w:t>
      </w:r>
      <w:proofErr w:type="spellEnd"/>
      <w:r w:rsidR="000E69AB" w:rsidRPr="00C67FB1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="000E69AB" w:rsidRPr="00C67FB1">
        <w:rPr>
          <w:rFonts w:ascii="Times New Roman" w:eastAsia="Times New Roman" w:hAnsi="Times New Roman" w:cs="Times New Roman"/>
          <w:highlight w:val="lightGray"/>
          <w:lang w:eastAsia="lt-LT"/>
        </w:rPr>
        <w:t>Horná</w:t>
      </w:r>
      <w:proofErr w:type="spellEnd"/>
      <w:r w:rsidR="000E69AB" w:rsidRPr="00C67FB1">
        <w:rPr>
          <w:rFonts w:ascii="Times New Roman" w:eastAsia="Times New Roman" w:hAnsi="Times New Roman" w:cs="Times New Roman"/>
          <w:highlight w:val="lightGray"/>
          <w:lang w:eastAsia="lt-LT"/>
        </w:rPr>
        <w:t xml:space="preserve"> 36, 900 01 </w:t>
      </w:r>
      <w:proofErr w:type="spellStart"/>
      <w:r w:rsidR="000E69AB" w:rsidRPr="00C67FB1">
        <w:rPr>
          <w:rFonts w:ascii="Times New Roman" w:eastAsia="Times New Roman" w:hAnsi="Times New Roman" w:cs="Times New Roman"/>
          <w:highlight w:val="lightGray"/>
          <w:lang w:eastAsia="lt-LT"/>
        </w:rPr>
        <w:t>Modra</w:t>
      </w:r>
      <w:proofErr w:type="spellEnd"/>
      <w:r w:rsidR="000E69AB" w:rsidRPr="00C67FB1">
        <w:rPr>
          <w:rFonts w:ascii="Times New Roman" w:eastAsia="Times New Roman" w:hAnsi="Times New Roman" w:cs="Times New Roman"/>
          <w:highlight w:val="lightGray"/>
          <w:lang w:eastAsia="lt-LT"/>
        </w:rPr>
        <w:t>,</w:t>
      </w:r>
      <w:r w:rsidR="000E69AB" w:rsidRPr="00C67FB1">
        <w:rPr>
          <w:rFonts w:ascii="Times New Roman" w:eastAsia="Times New Roman" w:hAnsi="Times New Roman" w:cs="Times New Roman"/>
          <w:lang w:eastAsia="lt-LT"/>
        </w:rPr>
        <w:t xml:space="preserve"> Slovakija</w:t>
      </w:r>
    </w:p>
    <w:p w:rsidR="00C67FB1" w:rsidRPr="00C67FB1" w:rsidRDefault="00C67FB1" w:rsidP="00C67F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67FB1" w:rsidRPr="00CF0FDF" w:rsidRDefault="004844DB" w:rsidP="00C67F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F0FDF">
        <w:rPr>
          <w:rFonts w:ascii="Times New Roman" w:eastAsia="Times New Roman" w:hAnsi="Times New Roman" w:cs="Times New Roman"/>
          <w:b/>
          <w:lang w:eastAsia="lt-LT"/>
        </w:rPr>
        <w:t>Perpakavo</w:t>
      </w:r>
      <w:r w:rsidRPr="00CF0FDF">
        <w:rPr>
          <w:rFonts w:ascii="Times New Roman" w:eastAsia="Times New Roman" w:hAnsi="Times New Roman" w:cs="Times New Roman"/>
          <w:lang w:eastAsia="lt-LT"/>
        </w:rPr>
        <w:t xml:space="preserve"> UAB “Entafarma”</w:t>
      </w:r>
    </w:p>
    <w:p w:rsidR="004844DB" w:rsidRPr="00C67FB1" w:rsidRDefault="004844DB" w:rsidP="00C67F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67FB1" w:rsidRPr="00C67FB1" w:rsidRDefault="00C67FB1" w:rsidP="00C67F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C67FB1">
        <w:rPr>
          <w:rFonts w:ascii="Times New Roman" w:eastAsia="Times New Roman" w:hAnsi="Times New Roman" w:cs="Times New Roman"/>
          <w:b/>
          <w:lang w:eastAsia="lt-LT"/>
        </w:rPr>
        <w:t>Perpak</w:t>
      </w:r>
      <w:proofErr w:type="spellEnd"/>
      <w:r w:rsidRPr="00C67FB1">
        <w:rPr>
          <w:rFonts w:ascii="Times New Roman" w:eastAsia="Times New Roman" w:hAnsi="Times New Roman" w:cs="Times New Roman"/>
          <w:b/>
          <w:lang w:eastAsia="lt-LT"/>
        </w:rPr>
        <w:t>. serija</w:t>
      </w:r>
    </w:p>
    <w:p w:rsidR="00C67FB1" w:rsidRPr="00C67FB1" w:rsidRDefault="00C67FB1" w:rsidP="00C67FB1">
      <w:pPr>
        <w:shd w:val="clear" w:color="auto" w:fill="FFFFFF"/>
        <w:tabs>
          <w:tab w:val="left" w:pos="720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7FB1" w:rsidRPr="00C67FB1" w:rsidRDefault="00C67FB1" w:rsidP="00C67FB1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</w:rPr>
      </w:pPr>
      <w:r w:rsidRPr="00C67FB1">
        <w:rPr>
          <w:rFonts w:ascii="Times New Roman" w:eastAsia="Times New Roman" w:hAnsi="Times New Roman" w:cs="Times New Roman"/>
          <w:i/>
        </w:rPr>
        <w:t xml:space="preserve">Lygiagrečiai importuojamas vaistas </w:t>
      </w:r>
      <w:r w:rsidR="007C6D57" w:rsidRPr="00CF0FDF">
        <w:rPr>
          <w:rFonts w:ascii="Times New Roman" w:eastAsia="Times New Roman" w:hAnsi="Times New Roman" w:cs="Times New Roman"/>
          <w:i/>
        </w:rPr>
        <w:t xml:space="preserve">skiriasi </w:t>
      </w:r>
      <w:r w:rsidRPr="00C67FB1">
        <w:rPr>
          <w:rFonts w:ascii="Times New Roman" w:eastAsia="Times New Roman" w:hAnsi="Times New Roman" w:cs="Times New Roman"/>
          <w:i/>
        </w:rPr>
        <w:t>nuo referencinio pagalbinėmis medžiagomis</w:t>
      </w:r>
      <w:r w:rsidR="004844DB" w:rsidRPr="00CF0FDF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="004844DB" w:rsidRPr="00CF0FDF">
        <w:rPr>
          <w:rFonts w:ascii="Times New Roman" w:eastAsia="Times New Roman" w:hAnsi="Times New Roman" w:cs="Times New Roman"/>
          <w:i/>
        </w:rPr>
        <w:t>lyg.imp</w:t>
      </w:r>
      <w:proofErr w:type="spellEnd"/>
      <w:r w:rsidR="004844DB"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sudėtyje yra</w:t>
      </w:r>
      <w:r w:rsidR="004844DB" w:rsidRPr="00CF0FDF">
        <w:rPr>
          <w:rFonts w:ascii="Times New Roman" w:eastAsia="Times New Roman" w:hAnsi="Times New Roman" w:cs="Times New Roman"/>
          <w:i/>
        </w:rPr>
        <w:t xml:space="preserve"> ir </w:t>
      </w:r>
      <w:r w:rsidRPr="00C67FB1">
        <w:rPr>
          <w:rFonts w:ascii="Times New Roman" w:eastAsia="Times New Roman" w:hAnsi="Times New Roman" w:cs="Times New Roman"/>
          <w:i/>
        </w:rPr>
        <w:t>anglies dioksido</w:t>
      </w:r>
      <w:r w:rsidR="00E92117" w:rsidRPr="00CF0FDF">
        <w:rPr>
          <w:rFonts w:ascii="Times New Roman" w:eastAsia="Times New Roman" w:hAnsi="Times New Roman" w:cs="Times New Roman"/>
          <w:i/>
        </w:rPr>
        <w:t>;</w:t>
      </w:r>
      <w:r w:rsidRPr="00C67FB1">
        <w:rPr>
          <w:rFonts w:ascii="Times New Roman" w:eastAsia="Times New Roman" w:hAnsi="Times New Roman" w:cs="Times New Roman"/>
          <w:i/>
        </w:rPr>
        <w:t xml:space="preserve"> laikymo sąlygomis</w:t>
      </w:r>
      <w:r w:rsidR="00E92117" w:rsidRPr="00CF0FDF">
        <w:rPr>
          <w:rFonts w:ascii="Times New Roman" w:eastAsia="Times New Roman" w:hAnsi="Times New Roman" w:cs="Times New Roman"/>
          <w:i/>
        </w:rPr>
        <w:t xml:space="preserve">: lyg. </w:t>
      </w:r>
      <w:proofErr w:type="spellStart"/>
      <w:r w:rsidR="00E92117" w:rsidRPr="00CF0FDF">
        <w:rPr>
          <w:rFonts w:ascii="Times New Roman" w:eastAsia="Times New Roman" w:hAnsi="Times New Roman" w:cs="Times New Roman"/>
          <w:i/>
        </w:rPr>
        <w:t>imp</w:t>
      </w:r>
      <w:proofErr w:type="spellEnd"/>
      <w:r w:rsidR="00E92117"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papildomai</w:t>
      </w:r>
      <w:r w:rsidR="00E92117" w:rsidRPr="00CF0FDF">
        <w:rPr>
          <w:rFonts w:ascii="Times New Roman" w:eastAsia="Times New Roman" w:hAnsi="Times New Roman" w:cs="Times New Roman"/>
          <w:i/>
        </w:rPr>
        <w:t xml:space="preserve"> - </w:t>
      </w:r>
      <w:r w:rsidRPr="00C67FB1">
        <w:rPr>
          <w:rFonts w:ascii="Times New Roman" w:eastAsia="Times New Roman" w:hAnsi="Times New Roman" w:cs="Times New Roman"/>
          <w:i/>
        </w:rPr>
        <w:t xml:space="preserve">laikyti išorinėje pakuotėje, kad </w:t>
      </w:r>
      <w:r w:rsidR="00E92117" w:rsidRPr="00CF0FDF">
        <w:rPr>
          <w:rFonts w:ascii="Times New Roman" w:eastAsia="Times New Roman" w:hAnsi="Times New Roman" w:cs="Times New Roman"/>
          <w:i/>
        </w:rPr>
        <w:t>vaistas</w:t>
      </w:r>
      <w:r w:rsidRPr="00C67FB1">
        <w:rPr>
          <w:rFonts w:ascii="Times New Roman" w:eastAsia="Times New Roman" w:hAnsi="Times New Roman" w:cs="Times New Roman"/>
          <w:i/>
        </w:rPr>
        <w:t xml:space="preserve"> būtų apsaugotas nuo šviesos</w:t>
      </w:r>
      <w:r w:rsidR="00E92117" w:rsidRPr="00CF0FDF">
        <w:rPr>
          <w:rFonts w:ascii="Times New Roman" w:eastAsia="Times New Roman" w:hAnsi="Times New Roman" w:cs="Times New Roman"/>
          <w:i/>
        </w:rPr>
        <w:t>;</w:t>
      </w:r>
      <w:r w:rsidRPr="00C67FB1">
        <w:rPr>
          <w:rFonts w:ascii="Times New Roman" w:eastAsia="Times New Roman" w:hAnsi="Times New Roman" w:cs="Times New Roman"/>
          <w:i/>
        </w:rPr>
        <w:t xml:space="preserve"> tinkamumo laiku</w:t>
      </w:r>
      <w:r w:rsidR="00922FCB" w:rsidRPr="00CF0FDF">
        <w:rPr>
          <w:rFonts w:ascii="Times New Roman" w:eastAsia="Times New Roman" w:hAnsi="Times New Roman" w:cs="Times New Roman"/>
          <w:i/>
        </w:rPr>
        <w:t>:</w:t>
      </w:r>
      <w:r w:rsidRPr="00C67FB1">
        <w:rPr>
          <w:rFonts w:ascii="Times New Roman" w:eastAsia="Times New Roman" w:hAnsi="Times New Roman" w:cs="Times New Roman"/>
          <w:i/>
        </w:rPr>
        <w:t xml:space="preserve"> referencinio</w:t>
      </w:r>
      <w:r w:rsidR="00922FCB" w:rsidRPr="00CF0FDF">
        <w:rPr>
          <w:rFonts w:ascii="Times New Roman" w:eastAsia="Times New Roman" w:hAnsi="Times New Roman" w:cs="Times New Roman"/>
          <w:i/>
        </w:rPr>
        <w:t xml:space="preserve"> </w:t>
      </w:r>
      <w:r w:rsidRPr="00C67FB1">
        <w:rPr>
          <w:rFonts w:ascii="Times New Roman" w:eastAsia="Times New Roman" w:hAnsi="Times New Roman" w:cs="Times New Roman"/>
          <w:i/>
        </w:rPr>
        <w:t>– 2 metai, lyg</w:t>
      </w:r>
      <w:r w:rsidR="00922FCB" w:rsidRPr="00CF0FDF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922FCB" w:rsidRPr="00CF0FDF">
        <w:rPr>
          <w:rFonts w:ascii="Times New Roman" w:eastAsia="Times New Roman" w:hAnsi="Times New Roman" w:cs="Times New Roman"/>
          <w:i/>
        </w:rPr>
        <w:t>imp</w:t>
      </w:r>
      <w:proofErr w:type="spellEnd"/>
      <w:r w:rsidR="00922FCB"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– 3</w:t>
      </w:r>
      <w:r w:rsidR="00922FCB" w:rsidRPr="00CF0FDF">
        <w:rPr>
          <w:rFonts w:ascii="Times New Roman" w:eastAsia="Times New Roman" w:hAnsi="Times New Roman" w:cs="Times New Roman"/>
          <w:i/>
        </w:rPr>
        <w:t xml:space="preserve"> metai</w:t>
      </w:r>
      <w:r w:rsidRPr="00C67FB1">
        <w:rPr>
          <w:rFonts w:ascii="Times New Roman" w:eastAsia="Times New Roman" w:hAnsi="Times New Roman" w:cs="Times New Roman"/>
          <w:i/>
        </w:rPr>
        <w:t>.</w:t>
      </w:r>
    </w:p>
    <w:p w:rsidR="001C3858" w:rsidRPr="00CF0FDF" w:rsidRDefault="001C3858" w:rsidP="00E600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br w:type="page"/>
      </w:r>
    </w:p>
    <w:p w:rsidR="001C3858" w:rsidRPr="00CF0FDF" w:rsidRDefault="001C3858" w:rsidP="001C3858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B. PAKUOTĖS LAPELIS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br w:type="page"/>
      </w:r>
      <w:r w:rsidRPr="00CF0FDF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C3858" w:rsidRPr="00CF0FDF" w:rsidRDefault="000A0A2C" w:rsidP="001C385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CF0FDF">
        <w:rPr>
          <w:rFonts w:ascii="Times New Roman" w:eastAsia="Times New Roman" w:hAnsi="Times New Roman" w:cs="Times New Roman"/>
          <w:b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b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b/>
        </w:rPr>
        <w:t xml:space="preserve"> </w:t>
      </w:r>
      <w:r w:rsidR="00467BF7" w:rsidRPr="00CF0FDF">
        <w:rPr>
          <w:rFonts w:ascii="Times New Roman" w:eastAsia="Times New Roman" w:hAnsi="Times New Roman" w:cs="Times New Roman"/>
          <w:b/>
        </w:rPr>
        <w:t>250</w:t>
      </w:r>
      <w:r w:rsidR="001C3858" w:rsidRPr="00CF0FDF">
        <w:rPr>
          <w:rFonts w:ascii="Times New Roman" w:eastAsia="Times New Roman" w:hAnsi="Times New Roman" w:cs="Times New Roman"/>
          <w:b/>
        </w:rPr>
        <w:t> mg/</w:t>
      </w:r>
      <w:r w:rsidR="00467BF7" w:rsidRPr="00CF0FDF">
        <w:rPr>
          <w:rFonts w:ascii="Times New Roman" w:eastAsia="Times New Roman" w:hAnsi="Times New Roman" w:cs="Times New Roman"/>
          <w:b/>
        </w:rPr>
        <w:t>20 </w:t>
      </w:r>
      <w:r w:rsidR="001C3858" w:rsidRPr="00CF0FDF">
        <w:rPr>
          <w:rFonts w:ascii="Times New Roman" w:eastAsia="Times New Roman" w:hAnsi="Times New Roman" w:cs="Times New Roman"/>
          <w:b/>
        </w:rPr>
        <w:t>ml koncentratas infuziniam tirpalui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Dobutaminas</w:t>
      </w:r>
      <w:proofErr w:type="spellEnd"/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-</w:t>
      </w:r>
      <w:r w:rsidRPr="00CF0FDF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-</w:t>
      </w:r>
      <w:r w:rsidRPr="00CF0FDF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-</w:t>
      </w:r>
      <w:r w:rsidRPr="00CF0FDF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-</w:t>
      </w:r>
      <w:r w:rsidRPr="00CF0FDF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 4 skyrių.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Apie ką rašoma šiame lapelyje?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1.</w:t>
      </w:r>
      <w:r w:rsidRPr="00CF0FDF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ir kam jis vartojamas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2.</w:t>
      </w:r>
      <w:r w:rsidRPr="00CF0FDF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3.</w:t>
      </w:r>
      <w:r w:rsidRPr="00CF0FDF">
        <w:rPr>
          <w:rFonts w:ascii="Times New Roman" w:eastAsia="Times New Roman" w:hAnsi="Times New Roman" w:cs="Times New Roman"/>
        </w:rPr>
        <w:tab/>
        <w:t>Kaip vartoti</w:t>
      </w:r>
      <w:r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4.</w:t>
      </w:r>
      <w:r w:rsidRPr="00CF0FDF">
        <w:rPr>
          <w:rFonts w:ascii="Times New Roman" w:eastAsia="Times New Roman" w:hAnsi="Times New Roman" w:cs="Times New Roman"/>
        </w:rPr>
        <w:tab/>
        <w:t>Galimas šalutinis poveikis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5.</w:t>
      </w:r>
      <w:r w:rsidRPr="00CF0FDF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6.</w:t>
      </w:r>
      <w:r w:rsidRPr="00CF0FDF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F0FDF">
        <w:rPr>
          <w:rFonts w:ascii="Times New Roman" w:eastAsia="Times New Roman" w:hAnsi="Times New Roman" w:cs="Times New Roman"/>
          <w:b/>
        </w:rPr>
        <w:t>1.</w:t>
      </w:r>
      <w:r w:rsidRPr="00CF0FDF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1C3858" w:rsidRPr="00CF0FDF" w:rsidRDefault="001C3858" w:rsidP="001C3858">
      <w:pPr>
        <w:tabs>
          <w:tab w:val="left" w:pos="567"/>
        </w:tabs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tabs>
          <w:tab w:val="left" w:pos="567"/>
        </w:tabs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sudėtyje yra veikliosios medžiagos </w:t>
      </w:r>
      <w:proofErr w:type="spellStart"/>
      <w:r w:rsidR="001C3858"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, kuri priklauso vaistų, vadinamų beta </w:t>
      </w:r>
      <w:proofErr w:type="spellStart"/>
      <w:r w:rsidR="001C3858" w:rsidRPr="00CF0FDF">
        <w:rPr>
          <w:rFonts w:ascii="Times New Roman" w:eastAsia="Times New Roman" w:hAnsi="Times New Roman" w:cs="Times New Roman"/>
        </w:rPr>
        <w:t>adrenoreceptorių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C3858" w:rsidRPr="00CF0FDF">
        <w:rPr>
          <w:rFonts w:ascii="Times New Roman" w:eastAsia="Times New Roman" w:hAnsi="Times New Roman" w:cs="Times New Roman"/>
        </w:rPr>
        <w:t>agonistais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(širdį stimuliuojančiais preparatais), grupei.</w:t>
      </w:r>
    </w:p>
    <w:p w:rsidR="001C3858" w:rsidRPr="00CF0FDF" w:rsidRDefault="000A0A2C" w:rsidP="001C3858">
      <w:pPr>
        <w:tabs>
          <w:tab w:val="left" w:pos="567"/>
        </w:tabs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vartojama širdžiai stimuliuoti suaugusiems žmonėms, kuriems yra širdies nepakankamumas, sukeltas širdies priepuolio, atvirosios širdies operacijos ar širdies ligos.</w:t>
      </w:r>
    </w:p>
    <w:p w:rsidR="001C3858" w:rsidRPr="00CF0FDF" w:rsidRDefault="001C3858" w:rsidP="001C3858">
      <w:pPr>
        <w:tabs>
          <w:tab w:val="left" w:pos="567"/>
        </w:tabs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Be to,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galima vartoti širdies tyrimo metu, kai fizinio krūvio mėginio atlikti neįmanoma.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F0FDF">
        <w:rPr>
          <w:rFonts w:ascii="Times New Roman" w:eastAsia="Times New Roman" w:hAnsi="Times New Roman" w:cs="Times New Roman"/>
          <w:u w:val="single"/>
        </w:rPr>
        <w:t>Vaikų populiacija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Dobutaminas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skirtas visų amžiaus grupių (nuo naujagimių iki 18 metų) vaikų širdies susitraukimams stiprinti, kai yra su mažu išstumiamu kraujo tūriu susijusi </w:t>
      </w:r>
      <w:proofErr w:type="spellStart"/>
      <w:r w:rsidRPr="00CF0FDF">
        <w:rPr>
          <w:rFonts w:ascii="Times New Roman" w:eastAsia="Times New Roman" w:hAnsi="Times New Roman" w:cs="Times New Roman"/>
        </w:rPr>
        <w:t>perfuzijos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sumažėjimu pasireiškianti būklė, kurią sukėlė </w:t>
      </w:r>
      <w:proofErr w:type="spellStart"/>
      <w:r w:rsidRPr="00CF0FDF">
        <w:rPr>
          <w:rFonts w:ascii="Times New Roman" w:eastAsia="Times New Roman" w:hAnsi="Times New Roman" w:cs="Times New Roman"/>
        </w:rPr>
        <w:t>dekompensuotas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širdies nepakankamumas, širdies operacija, kardiomiopatija, su nepakankama širdies veikla susijęs (</w:t>
      </w:r>
      <w:proofErr w:type="spellStart"/>
      <w:r w:rsidRPr="00CF0FDF">
        <w:rPr>
          <w:rFonts w:ascii="Times New Roman" w:eastAsia="Times New Roman" w:hAnsi="Times New Roman" w:cs="Times New Roman"/>
        </w:rPr>
        <w:t>kardiogeninis</w:t>
      </w:r>
      <w:proofErr w:type="spellEnd"/>
      <w:r w:rsidRPr="00CF0FDF">
        <w:rPr>
          <w:rFonts w:ascii="Times New Roman" w:eastAsia="Times New Roman" w:hAnsi="Times New Roman" w:cs="Times New Roman"/>
        </w:rPr>
        <w:t>) ar infekcijos sukeltas (</w:t>
      </w:r>
      <w:proofErr w:type="spellStart"/>
      <w:r w:rsidRPr="00CF0FDF">
        <w:rPr>
          <w:rFonts w:ascii="Times New Roman" w:eastAsia="Times New Roman" w:hAnsi="Times New Roman" w:cs="Times New Roman"/>
        </w:rPr>
        <w:t>sepsinis</w:t>
      </w:r>
      <w:proofErr w:type="spellEnd"/>
      <w:r w:rsidRPr="00CF0FDF">
        <w:rPr>
          <w:rFonts w:ascii="Times New Roman" w:eastAsia="Times New Roman" w:hAnsi="Times New Roman" w:cs="Times New Roman"/>
        </w:rPr>
        <w:t>) šokas.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F0FDF">
        <w:rPr>
          <w:rFonts w:ascii="Times New Roman" w:eastAsia="Times New Roman" w:hAnsi="Times New Roman" w:cs="Times New Roman"/>
          <w:b/>
        </w:rPr>
        <w:t>2.</w:t>
      </w:r>
      <w:r w:rsidRPr="00CF0FDF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b/>
        </w:rPr>
        <w:t xml:space="preserve"> 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jeigu yra arba gali būti alergija (padidėjęs jautrumas) </w:t>
      </w:r>
      <w:proofErr w:type="spellStart"/>
      <w:r w:rsidRPr="00CF0FDF">
        <w:rPr>
          <w:rFonts w:ascii="Times New Roman" w:eastAsia="Times New Roman" w:hAnsi="Times New Roman" w:cs="Times New Roman"/>
        </w:rPr>
        <w:t>dobutaminui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, natrio </w:t>
      </w:r>
      <w:proofErr w:type="spellStart"/>
      <w:r w:rsidRPr="00CF0FDF">
        <w:rPr>
          <w:rFonts w:ascii="Times New Roman" w:eastAsia="Times New Roman" w:hAnsi="Times New Roman" w:cs="Times New Roman"/>
        </w:rPr>
        <w:t>metabisulfitui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ar bet kuriai pagalbinei šio vaisto medžiagai (jos išvardytos 6 skyriuje). Alerginė reakcija gali pasireikšti išbėrimu, niežuliu, kvėpavimo pasunkėjimu ar veido, lūpų, gerklės ar liežuvio patinimu;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jeigu yra kraujo tekėjimą širdyje sutrikdantis susiaurėjimas (Jūsų gydytojas žinos apie tai);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jeigu kraujo tūris yra mažas ir šis sutrikimas nėra pašalintas (Jūsų gydytojas žinos apie tai);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jeigu sergate nekontroliuojama aritmija (yra širdies ritmo sutrikimas);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Jūsų kraujospūdis yra didelis ir tai sukėlė šalia inkstų esantis navikas (feochromocitoma).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 xml:space="preserve">Be to,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negalima vartoti širdies tyrimo metu, jei: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yra nestabili (nekontroliuojama) krūtinės angina;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Jūsų kraujospūdis yra didelis ir nekontroliuojamas;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yra sutrikusi elektrolitų (druskų) pusiausvyra;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lastRenderedPageBreak/>
        <w:t>sergate sunkia mažakraujyste (raudonųjų kraujo ląstelių kiekis yra mažas);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pastarųjų 30 dienų metu patyrėte širdies priepuolį;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yra aortos atsisluoksniavimas (kraujavimas, kurį sukėlė aortos, t. y. didžiausios organizmą krauju aprūpinančios kraujagyslės, sienelės sluoksnio atplyšimas);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</w:rPr>
        <w:t>yra aortos aneurizma (dalis aortos, t. y. didžiausios organizmą krauju aprūpinančios kraujagyslės, yra susilpnėjusi ir išsipūtusi).</w:t>
      </w:r>
    </w:p>
    <w:p w:rsidR="001C3858" w:rsidRPr="00CF0FDF" w:rsidRDefault="001C3858" w:rsidP="001C385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C3858" w:rsidRPr="00CF0FDF" w:rsidRDefault="001C3858" w:rsidP="001C385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Įspėjimai ir atsargumo priemonės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</w:rPr>
        <w:t xml:space="preserve">Pasitarkite su gydytoju prieš pradėdami vartoti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>,</w:t>
      </w:r>
      <w:r w:rsidRPr="00CF0FDF">
        <w:rPr>
          <w:rFonts w:ascii="Times New Roman" w:eastAsia="Times New Roman" w:hAnsi="Times New Roman" w:cs="Times New Roman"/>
          <w:bCs/>
        </w:rPr>
        <w:t xml:space="preserve"> </w:t>
      </w:r>
      <w:r w:rsidRPr="00CF0FDF">
        <w:rPr>
          <w:rFonts w:ascii="Times New Roman" w:eastAsia="Times New Roman" w:hAnsi="Times New Roman" w:cs="Times New Roman"/>
        </w:rPr>
        <w:t xml:space="preserve"> </w:t>
      </w:r>
      <w:r w:rsidRPr="00CF0FDF">
        <w:rPr>
          <w:rFonts w:ascii="Times New Roman" w:eastAsia="Times New Roman" w:hAnsi="Times New Roman" w:cs="Times New Roman"/>
          <w:b/>
        </w:rPr>
        <w:t>jei Jums yra bet kuri iš išvardytų būklių)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Bet kokia širdies liga.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Kepenų arba inkstų liga.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Hipert</w:t>
      </w:r>
      <w:r w:rsidR="00E32189" w:rsidRPr="00CF0FDF">
        <w:rPr>
          <w:rFonts w:ascii="Times New Roman" w:eastAsia="Times New Roman" w:hAnsi="Times New Roman" w:cs="Times New Roman"/>
        </w:rPr>
        <w:t>i</w:t>
      </w:r>
      <w:r w:rsidRPr="00CF0FDF">
        <w:rPr>
          <w:rFonts w:ascii="Times New Roman" w:eastAsia="Times New Roman" w:hAnsi="Times New Roman" w:cs="Times New Roman"/>
        </w:rPr>
        <w:t>roidizmas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(sustiprėjusi skydliaukės veikla).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Sunki </w:t>
      </w:r>
      <w:proofErr w:type="spellStart"/>
      <w:r w:rsidRPr="00CF0FDF">
        <w:rPr>
          <w:rFonts w:ascii="Times New Roman" w:eastAsia="Times New Roman" w:hAnsi="Times New Roman" w:cs="Times New Roman"/>
        </w:rPr>
        <w:t>hipotenzija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(mažas kraujospūdis).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Antinksčių liaukos navikas.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Astma.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Būklė, kai kalio koncentracija kraujyje yra maža (kalio koncentracijos kraujo serume sumažėjimas ir </w:t>
      </w:r>
      <w:proofErr w:type="spellStart"/>
      <w:r w:rsidRPr="00CF0FDF">
        <w:rPr>
          <w:rFonts w:ascii="Times New Roman" w:eastAsia="Times New Roman" w:hAnsi="Times New Roman" w:cs="Times New Roman"/>
        </w:rPr>
        <w:t>hipokalemija</w:t>
      </w:r>
      <w:proofErr w:type="spellEnd"/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Cukrinis diabetas.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Hipovolemija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(dehidratacija).</w:t>
      </w:r>
    </w:p>
    <w:p w:rsidR="001C3858" w:rsidRPr="00CF0FDF" w:rsidRDefault="001C3858" w:rsidP="001C3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Pr="00CF0FDF" w:rsidDel="00E019A0">
        <w:rPr>
          <w:rFonts w:ascii="Times New Roman" w:eastAsia="Times New Roman" w:hAnsi="Times New Roman" w:cs="Times New Roman"/>
          <w:b/>
        </w:rPr>
        <w:t xml:space="preserve"> </w:t>
      </w:r>
    </w:p>
    <w:p w:rsidR="001C3858" w:rsidRPr="00CF0FDF" w:rsidRDefault="001C3858" w:rsidP="001C3858">
      <w:pPr>
        <w:tabs>
          <w:tab w:val="left" w:pos="567"/>
        </w:tabs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Turite pasakyti gydytojui, jei vartojate ar vartojote bet kurio iš toliau išvardytų vaistų arba dėl to nesate tikri, nes galima jų ir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sąveika.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Monoaminooksidazės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inhibitorių (jais gydoma depresija).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Ergotamino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CF0FDF">
        <w:rPr>
          <w:rFonts w:ascii="Times New Roman" w:eastAsia="Times New Roman" w:hAnsi="Times New Roman" w:cs="Times New Roman"/>
        </w:rPr>
        <w:t>metisergino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(jais gydoma migrena).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Beta </w:t>
      </w:r>
      <w:proofErr w:type="spellStart"/>
      <w:r w:rsidRPr="00CF0FDF">
        <w:rPr>
          <w:rFonts w:ascii="Times New Roman" w:eastAsia="Times New Roman" w:hAnsi="Times New Roman" w:cs="Times New Roman"/>
        </w:rPr>
        <w:t>adrenerginių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receptorių blokatorių, tokių kaip </w:t>
      </w:r>
      <w:proofErr w:type="spellStart"/>
      <w:r w:rsidRPr="00CF0FDF">
        <w:rPr>
          <w:rFonts w:ascii="Times New Roman" w:eastAsia="Times New Roman" w:hAnsi="Times New Roman" w:cs="Times New Roman"/>
        </w:rPr>
        <w:t>propranololis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CF0FDF">
        <w:rPr>
          <w:rFonts w:ascii="Times New Roman" w:eastAsia="Times New Roman" w:hAnsi="Times New Roman" w:cs="Times New Roman"/>
        </w:rPr>
        <w:t>metoprololis</w:t>
      </w:r>
      <w:proofErr w:type="spellEnd"/>
      <w:r w:rsidRPr="00CF0FDF">
        <w:rPr>
          <w:rFonts w:ascii="Times New Roman" w:eastAsia="Times New Roman" w:hAnsi="Times New Roman" w:cs="Times New Roman"/>
        </w:rPr>
        <w:t>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Alfa </w:t>
      </w:r>
      <w:proofErr w:type="spellStart"/>
      <w:r w:rsidRPr="00CF0FDF">
        <w:rPr>
          <w:rFonts w:ascii="Times New Roman" w:eastAsia="Times New Roman" w:hAnsi="Times New Roman" w:cs="Times New Roman"/>
        </w:rPr>
        <w:t>adrenerginių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receptorių blokatorių (jų vartojama padidėjusiam kraujospūdžiui gydyti ar padidėjus prostatai).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Dipiridamolio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(kraują skystinančio </w:t>
      </w:r>
      <w:r w:rsidR="00136705" w:rsidRPr="00CF0FDF">
        <w:rPr>
          <w:rFonts w:ascii="Times New Roman" w:eastAsia="Times New Roman" w:hAnsi="Times New Roman" w:cs="Times New Roman"/>
        </w:rPr>
        <w:t>vaisto</w:t>
      </w:r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Bendrųjų anestetikų.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Teofilino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(juo gydoma astma).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AKF inhibitorių, pvz., kaptoprilio (jų vartojama esant dideliam kraujospūdžiui ar sergant širdies nepakankamumu).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Entakapono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(juo gydoma Parkinsono liga).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Antipsichotikų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(vaistų nuo psichikos ligų).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Doksapramo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(jo vartojama nuo kvėpavimo sutrikimų).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Oksitocino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(jo vartojama gimdymo metu).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Atropino sulfato (juo gydomas akies rainelės uždegimas arba vartojama akies tyrimo metu).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Periferines kraujagysles sutraukiančių </w:t>
      </w:r>
      <w:r w:rsidR="00136705" w:rsidRPr="00CF0FDF">
        <w:rPr>
          <w:rFonts w:ascii="Times New Roman" w:eastAsia="Times New Roman" w:hAnsi="Times New Roman" w:cs="Times New Roman"/>
        </w:rPr>
        <w:t>vaist</w:t>
      </w:r>
      <w:r w:rsidRPr="00CF0FDF">
        <w:rPr>
          <w:rFonts w:ascii="Times New Roman" w:eastAsia="Times New Roman" w:hAnsi="Times New Roman" w:cs="Times New Roman"/>
        </w:rPr>
        <w:t xml:space="preserve">ų, pvz., </w:t>
      </w:r>
      <w:proofErr w:type="spellStart"/>
      <w:r w:rsidRPr="00CF0FDF">
        <w:rPr>
          <w:rFonts w:ascii="Times New Roman" w:eastAsia="Times New Roman" w:hAnsi="Times New Roman" w:cs="Times New Roman"/>
        </w:rPr>
        <w:t>noradrenalino</w:t>
      </w:r>
      <w:proofErr w:type="spellEnd"/>
      <w:r w:rsidRPr="00CF0FDF">
        <w:rPr>
          <w:rFonts w:ascii="Times New Roman" w:eastAsia="Times New Roman" w:hAnsi="Times New Roman" w:cs="Times New Roman"/>
        </w:rPr>
        <w:t>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Periferines kraujagysles plečiančių </w:t>
      </w:r>
      <w:r w:rsidR="00136705" w:rsidRPr="00CF0FDF">
        <w:rPr>
          <w:rFonts w:ascii="Times New Roman" w:eastAsia="Times New Roman" w:hAnsi="Times New Roman" w:cs="Times New Roman"/>
        </w:rPr>
        <w:t>vaist</w:t>
      </w:r>
      <w:r w:rsidRPr="00CF0FDF">
        <w:rPr>
          <w:rFonts w:ascii="Times New Roman" w:eastAsia="Times New Roman" w:hAnsi="Times New Roman" w:cs="Times New Roman"/>
        </w:rPr>
        <w:t xml:space="preserve">ų (pvz., nitratų, natrio </w:t>
      </w:r>
      <w:proofErr w:type="spellStart"/>
      <w:r w:rsidRPr="00CF0FDF">
        <w:rPr>
          <w:rFonts w:ascii="Times New Roman" w:eastAsia="Times New Roman" w:hAnsi="Times New Roman" w:cs="Times New Roman"/>
        </w:rPr>
        <w:t>nitroprusido</w:t>
      </w:r>
      <w:proofErr w:type="spellEnd"/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Jus vis tiek gali būti galima gydyti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>, tačiau gydytojas nuspręs, koks gydymas Jums labiausiai tinka.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Jeigu vartojate arba neseniai vartojote kitų vaistų, įskaitant įsigytus be recepto, pasakykite gydytojui arba vaistininkui. 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Vaikams</w:t>
      </w:r>
    </w:p>
    <w:p w:rsidR="001C3858" w:rsidRPr="00CF0FDF" w:rsidRDefault="001C3858" w:rsidP="001C3858">
      <w:p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Nustatyta, kad širdies susitraukimų dažnio ir kraujospūdžio padidėjimas vaikams atsiranda dažniau ir būna didesnis, nei suaugusiems. Nustatyta, kad naujagimių širdies ir kraujagyslių sistema yra mažiau jautri dopaminui ir </w:t>
      </w:r>
      <w:proofErr w:type="spellStart"/>
      <w:r w:rsidRPr="00CF0FDF">
        <w:rPr>
          <w:rFonts w:ascii="Times New Roman" w:eastAsia="Times New Roman" w:hAnsi="Times New Roman" w:cs="Times New Roman"/>
        </w:rPr>
        <w:t>hipotenzinis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(kraujospūdį mažinantis) poveikis suaugusiems žmonėms pasireiškia dažniau nei mažiems vaikams.</w:t>
      </w:r>
    </w:p>
    <w:p w:rsidR="001C3858" w:rsidRPr="00CF0FDF" w:rsidRDefault="001C3858" w:rsidP="001C3858">
      <w:p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lastRenderedPageBreak/>
        <w:t xml:space="preserve">Vadinasi, </w:t>
      </w:r>
      <w:proofErr w:type="spellStart"/>
      <w:r w:rsidRPr="00CF0FDF">
        <w:rPr>
          <w:rFonts w:ascii="Times New Roman" w:eastAsia="Times New Roman" w:hAnsi="Times New Roman" w:cs="Times New Roman"/>
        </w:rPr>
        <w:t>dobutaminu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gydomus vaikus būtina atidžiai stebėti.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Nėštumas ir žindymo laikotarpis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Nėštumo ar žindymo laikotarpiu Jūs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vartosite tik tuo atveju, jei gydytojas manys, kad tai būtina.</w:t>
      </w:r>
    </w:p>
    <w:p w:rsidR="001C3858" w:rsidRPr="00CF0FDF" w:rsidRDefault="001C3858" w:rsidP="001C3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Vairavimas ir mechanizmų valdymas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Dopamine </w:t>
      </w:r>
      <w:proofErr w:type="spellStart"/>
      <w:r w:rsidR="008E398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įtakos Jūsų gebėjimui vairuoti ir valdyti mechanizmus neturės.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b/>
          <w:bCs/>
        </w:rPr>
        <w:t xml:space="preserve"> sudėtyje yra natrio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Šio vaisto dozėje yra mažiau kaip 1 </w:t>
      </w:r>
      <w:proofErr w:type="spellStart"/>
      <w:r w:rsidRPr="00CF0FDF">
        <w:rPr>
          <w:rFonts w:ascii="Times New Roman" w:eastAsia="Times New Roman" w:hAnsi="Times New Roman" w:cs="Times New Roman"/>
        </w:rPr>
        <w:t>mmol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(23 mg) natrio, t. y. jis beveik neturi reikšmės.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Šiame vaiste yra natrio </w:t>
      </w:r>
      <w:proofErr w:type="spellStart"/>
      <w:r w:rsidRPr="00CF0FDF">
        <w:rPr>
          <w:rFonts w:ascii="Times New Roman" w:eastAsia="Times New Roman" w:hAnsi="Times New Roman" w:cs="Times New Roman"/>
        </w:rPr>
        <w:t>metabisulfito</w:t>
      </w:r>
      <w:proofErr w:type="spellEnd"/>
      <w:r w:rsidRPr="00CF0FDF">
        <w:rPr>
          <w:rFonts w:ascii="Times New Roman" w:eastAsia="Times New Roman" w:hAnsi="Times New Roman" w:cs="Times New Roman"/>
        </w:rPr>
        <w:t>, kuris retais atvejais gali sukelti sunkių padidėjusio jautrumo reakcijų ir bronchų spazmą.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F0FDF">
        <w:rPr>
          <w:rFonts w:ascii="Times New Roman" w:eastAsia="Times New Roman" w:hAnsi="Times New Roman" w:cs="Times New Roman"/>
          <w:b/>
        </w:rPr>
        <w:t>3.</w:t>
      </w:r>
      <w:r w:rsidRPr="00CF0FDF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  <w:r w:rsidRPr="00CF0FDF">
        <w:rPr>
          <w:rFonts w:ascii="Times New Roman" w:eastAsia="Times New Roman" w:hAnsi="Times New Roman" w:cs="Times New Roman"/>
          <w:color w:val="000000"/>
        </w:rPr>
        <w:t xml:space="preserve">Jums </w:t>
      </w:r>
      <w:proofErr w:type="spellStart"/>
      <w:r w:rsidR="000A0A2C" w:rsidRPr="00CF0FDF">
        <w:rPr>
          <w:rFonts w:ascii="Times New Roman" w:eastAsia="Times New Roman" w:hAnsi="Times New Roman" w:cs="Times New Roman"/>
          <w:color w:val="000000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color w:val="000000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 ligoninėje sulašins (</w:t>
      </w:r>
      <w:proofErr w:type="spellStart"/>
      <w:r w:rsidRPr="00CF0FDF">
        <w:rPr>
          <w:rFonts w:ascii="Times New Roman" w:eastAsia="Times New Roman" w:hAnsi="Times New Roman" w:cs="Times New Roman"/>
          <w:color w:val="000000"/>
        </w:rPr>
        <w:t>infuzuos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) gydytojas arba slaugytojas. </w:t>
      </w:r>
      <w:proofErr w:type="spellStart"/>
      <w:r w:rsidR="000A0A2C" w:rsidRPr="00CF0FDF">
        <w:rPr>
          <w:rFonts w:ascii="Times New Roman" w:eastAsia="Times New Roman" w:hAnsi="Times New Roman" w:cs="Times New Roman"/>
          <w:color w:val="000000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color w:val="000000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 yra atskiedžiamas ir </w:t>
      </w:r>
      <w:proofErr w:type="spellStart"/>
      <w:r w:rsidRPr="00CF0FDF">
        <w:rPr>
          <w:rFonts w:ascii="Times New Roman" w:eastAsia="Times New Roman" w:hAnsi="Times New Roman" w:cs="Times New Roman"/>
          <w:color w:val="000000"/>
        </w:rPr>
        <w:t>infuzuojamas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 į veną.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u w:val="single"/>
        </w:rPr>
      </w:pPr>
      <w:r w:rsidRPr="00CF0FDF">
        <w:rPr>
          <w:rFonts w:ascii="Times New Roman" w:eastAsia="Times New Roman" w:hAnsi="Times New Roman" w:cs="Times New Roman"/>
          <w:bCs/>
          <w:u w:val="single"/>
        </w:rPr>
        <w:t>Dozavimas širdžiai stimuliuoti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  <w:r w:rsidRPr="00CF0FDF">
        <w:rPr>
          <w:rFonts w:ascii="Times New Roman" w:eastAsia="Times New Roman" w:hAnsi="Times New Roman" w:cs="Times New Roman"/>
          <w:bCs/>
          <w:i/>
        </w:rPr>
        <w:t>Suaugę žmonės, įskaitant senyvus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eastAsia="Times New Roman" w:hAnsi="Times New Roman" w:cs="Times New Roman"/>
        </w:rPr>
        <w:t>Rekomenduojama</w:t>
      </w:r>
      <w:r w:rsidRPr="00CF0FDF">
        <w:rPr>
          <w:rFonts w:ascii="Times New Roman" w:eastAsia="Times New Roman" w:hAnsi="Times New Roman" w:cs="Times New Roman"/>
          <w:bCs/>
        </w:rPr>
        <w:t xml:space="preserve"> dozė yra 2,5</w:t>
      </w:r>
      <w:r w:rsidRPr="00CF0FDF">
        <w:rPr>
          <w:rFonts w:ascii="Times New Roman" w:eastAsia="Times New Roman" w:hAnsi="Times New Roman" w:cs="Times New Roman"/>
          <w:bCs/>
        </w:rPr>
        <w:noBreakHyphen/>
        <w:t xml:space="preserve">10 </w:t>
      </w:r>
      <w:proofErr w:type="spellStart"/>
      <w:r w:rsidRPr="00CF0FDF">
        <w:rPr>
          <w:rFonts w:ascii="Times New Roman" w:eastAsia="Times New Roman" w:hAnsi="Times New Roman" w:cs="Times New Roman"/>
          <w:bCs/>
        </w:rPr>
        <w:t>mikrogramų</w:t>
      </w:r>
      <w:proofErr w:type="spellEnd"/>
      <w:r w:rsidRPr="00CF0FDF">
        <w:rPr>
          <w:rFonts w:ascii="Times New Roman" w:eastAsia="Times New Roman" w:hAnsi="Times New Roman" w:cs="Times New Roman"/>
          <w:bCs/>
        </w:rPr>
        <w:t xml:space="preserve">/kg kūno svorio/minutę, ji koreguojama atsižvelgiant į širdies susitraukimų dažnį, kraujospūdį,  išstumiamą širdies tūrį ir išsiskiriančio šlapimo kiekį. Kartais tenka vartoti ne didesnę kaip 40 </w:t>
      </w:r>
      <w:proofErr w:type="spellStart"/>
      <w:r w:rsidRPr="00CF0FDF">
        <w:rPr>
          <w:rFonts w:ascii="Times New Roman" w:eastAsia="Times New Roman" w:hAnsi="Times New Roman" w:cs="Times New Roman"/>
          <w:bCs/>
        </w:rPr>
        <w:t>mikrogramų</w:t>
      </w:r>
      <w:proofErr w:type="spellEnd"/>
      <w:r w:rsidRPr="00CF0FDF">
        <w:rPr>
          <w:rFonts w:ascii="Times New Roman" w:eastAsia="Times New Roman" w:hAnsi="Times New Roman" w:cs="Times New Roman"/>
          <w:bCs/>
        </w:rPr>
        <w:t>/kg kūno svorio/minutę dozę.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ind w:left="709"/>
        <w:rPr>
          <w:rFonts w:ascii="Times New Roman" w:eastAsia="Times New Roman" w:hAnsi="Times New Roman" w:cs="Times New Roman"/>
          <w:bCs/>
          <w:u w:val="single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u w:val="single"/>
        </w:rPr>
      </w:pPr>
      <w:r w:rsidRPr="00CF0FDF">
        <w:rPr>
          <w:rFonts w:ascii="Times New Roman" w:eastAsia="Times New Roman" w:hAnsi="Times New Roman" w:cs="Times New Roman"/>
          <w:bCs/>
          <w:u w:val="single"/>
        </w:rPr>
        <w:t>Dozavimas atliekant širdies krūvio tyrimą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  <w:r w:rsidRPr="00CF0FDF">
        <w:rPr>
          <w:rFonts w:ascii="Times New Roman" w:eastAsia="Times New Roman" w:hAnsi="Times New Roman" w:cs="Times New Roman"/>
          <w:bCs/>
          <w:i/>
        </w:rPr>
        <w:t>Suaugę žmonės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eastAsia="Times New Roman" w:hAnsi="Times New Roman" w:cs="Times New Roman"/>
          <w:bCs/>
        </w:rPr>
        <w:t>Rekomenduojama laipsniškai didinama dozė yra 5</w:t>
      </w:r>
      <w:r w:rsidRPr="00CF0FDF">
        <w:rPr>
          <w:rFonts w:ascii="Times New Roman" w:eastAsia="Times New Roman" w:hAnsi="Times New Roman" w:cs="Times New Roman"/>
          <w:bCs/>
        </w:rPr>
        <w:noBreakHyphen/>
        <w:t>40 </w:t>
      </w:r>
      <w:proofErr w:type="spellStart"/>
      <w:r w:rsidRPr="00CF0FDF">
        <w:rPr>
          <w:rFonts w:ascii="Times New Roman" w:eastAsia="Times New Roman" w:hAnsi="Times New Roman" w:cs="Times New Roman"/>
          <w:bCs/>
        </w:rPr>
        <w:t>mikrogramų</w:t>
      </w:r>
      <w:proofErr w:type="spellEnd"/>
      <w:r w:rsidRPr="00CF0FDF">
        <w:rPr>
          <w:rFonts w:ascii="Times New Roman" w:eastAsia="Times New Roman" w:hAnsi="Times New Roman" w:cs="Times New Roman"/>
          <w:bCs/>
        </w:rPr>
        <w:t>/kg kūno svorio/minutę.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  <w:r w:rsidRPr="00CF0FDF">
        <w:rPr>
          <w:rFonts w:ascii="Times New Roman" w:eastAsia="Times New Roman" w:hAnsi="Times New Roman" w:cs="Times New Roman"/>
          <w:bCs/>
          <w:i/>
        </w:rPr>
        <w:t>Senyvi žmonės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eastAsia="Times New Roman" w:hAnsi="Times New Roman" w:cs="Times New Roman"/>
          <w:bCs/>
        </w:rPr>
        <w:t>Rekomenduojama laipsniškai didinama dozė yra 5</w:t>
      </w:r>
      <w:r w:rsidRPr="00CF0FDF">
        <w:rPr>
          <w:rFonts w:ascii="Times New Roman" w:eastAsia="Times New Roman" w:hAnsi="Times New Roman" w:cs="Times New Roman"/>
          <w:bCs/>
        </w:rPr>
        <w:noBreakHyphen/>
        <w:t xml:space="preserve"> 20 </w:t>
      </w:r>
      <w:proofErr w:type="spellStart"/>
      <w:r w:rsidRPr="00CF0FDF">
        <w:rPr>
          <w:rFonts w:ascii="Times New Roman" w:eastAsia="Times New Roman" w:hAnsi="Times New Roman" w:cs="Times New Roman"/>
          <w:bCs/>
        </w:rPr>
        <w:t>mikrogramų</w:t>
      </w:r>
      <w:proofErr w:type="spellEnd"/>
      <w:r w:rsidRPr="00CF0FDF">
        <w:rPr>
          <w:rFonts w:ascii="Times New Roman" w:eastAsia="Times New Roman" w:hAnsi="Times New Roman" w:cs="Times New Roman"/>
          <w:bCs/>
        </w:rPr>
        <w:t>/kg kūno svorio/minutę.</w:t>
      </w: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</w:p>
    <w:p w:rsidR="001C3858" w:rsidRPr="00CF0FDF" w:rsidRDefault="001C3858" w:rsidP="001C385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Vartojimas vaikams</w:t>
      </w:r>
      <w:r w:rsidRPr="00CF0FDF">
        <w:rPr>
          <w:rFonts w:ascii="Times New Roman" w:eastAsia="Times New Roman" w:hAnsi="Times New Roman" w:cs="Times New Roman"/>
        </w:rPr>
        <w:t xml:space="preserve"> </w:t>
      </w:r>
    </w:p>
    <w:p w:rsidR="001C3858" w:rsidRPr="00CF0FDF" w:rsidRDefault="001C3858" w:rsidP="001C3858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Visų amžiaus grupių (nuo naujagimių iki 18 metų) vaikams pradinė dozė yra 5 </w:t>
      </w:r>
      <w:proofErr w:type="spellStart"/>
      <w:r w:rsidRPr="00CF0FDF">
        <w:rPr>
          <w:rFonts w:ascii="Times New Roman" w:eastAsia="Times New Roman" w:hAnsi="Times New Roman" w:cs="Times New Roman"/>
        </w:rPr>
        <w:t>mikrogramai</w:t>
      </w:r>
      <w:proofErr w:type="spellEnd"/>
      <w:r w:rsidRPr="00CF0FDF">
        <w:rPr>
          <w:rFonts w:ascii="Times New Roman" w:eastAsia="Times New Roman" w:hAnsi="Times New Roman" w:cs="Times New Roman"/>
        </w:rPr>
        <w:t>/kg kūno svorio per minutę, vėliau ją rekomenduojama koreguoti atsižvelgiant į klinikinę reakciją iki 2</w:t>
      </w:r>
      <w:r w:rsidRPr="00CF0FDF">
        <w:rPr>
          <w:rFonts w:ascii="Times New Roman" w:eastAsia="Times New Roman" w:hAnsi="Times New Roman" w:cs="Times New Roman"/>
        </w:rPr>
        <w:noBreakHyphen/>
        <w:t>20 </w:t>
      </w:r>
      <w:proofErr w:type="spellStart"/>
      <w:r w:rsidRPr="00CF0FDF">
        <w:rPr>
          <w:rFonts w:ascii="Times New Roman" w:eastAsia="Times New Roman" w:hAnsi="Times New Roman" w:cs="Times New Roman"/>
        </w:rPr>
        <w:t>mikrogramų</w:t>
      </w:r>
      <w:proofErr w:type="spellEnd"/>
      <w:r w:rsidRPr="00CF0FDF">
        <w:rPr>
          <w:rFonts w:ascii="Times New Roman" w:eastAsia="Times New Roman" w:hAnsi="Times New Roman" w:cs="Times New Roman"/>
        </w:rPr>
        <w:t>/kg kūno svorio per minutę dozės. Kartais reakciją sukelia maža dozė, pvz., 0,5</w:t>
      </w:r>
      <w:r w:rsidRPr="00CF0FDF">
        <w:rPr>
          <w:rFonts w:ascii="Times New Roman" w:eastAsia="Times New Roman" w:hAnsi="Times New Roman" w:cs="Times New Roman"/>
        </w:rPr>
        <w:noBreakHyphen/>
        <w:t>1,0 </w:t>
      </w:r>
      <w:proofErr w:type="spellStart"/>
      <w:r w:rsidRPr="00CF0FDF">
        <w:rPr>
          <w:rFonts w:ascii="Times New Roman" w:eastAsia="Times New Roman" w:hAnsi="Times New Roman" w:cs="Times New Roman"/>
        </w:rPr>
        <w:t>mikrogramas</w:t>
      </w:r>
      <w:proofErr w:type="spellEnd"/>
      <w:r w:rsidRPr="00CF0FDF">
        <w:rPr>
          <w:rFonts w:ascii="Times New Roman" w:eastAsia="Times New Roman" w:hAnsi="Times New Roman" w:cs="Times New Roman"/>
        </w:rPr>
        <w:t>/kg kūno svorio per minutę. Vaikams dozę būtina laipsniškai nustatyti, atsižvelgiant, kad vaisto terapinė platuma vaikų organizme tikriausiai yra mažesnė.</w:t>
      </w: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</w:rPr>
        <w:t xml:space="preserve">Ką daryti pavartojus per </w:t>
      </w:r>
      <w:r w:rsidRPr="00CF0FDF">
        <w:rPr>
          <w:rFonts w:ascii="Times New Roman" w:eastAsia="Times New Roman" w:hAnsi="Times New Roman" w:cs="Times New Roman"/>
          <w:b/>
          <w:bCs/>
        </w:rPr>
        <w:t xml:space="preserve">didelę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dozę?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Infuzija bus nutraukta ir Jūs būsite atidžiai stebimas. Gydytojas žinos, kokios dozės Jums reikia.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</w:rPr>
        <w:t>Jeigu kiltų daugiau klausimų dėl šio vaisto vartojimo, kreipkitės į gydytoją arba vaistininką</w:t>
      </w:r>
      <w:r w:rsidRPr="00CF0FDF">
        <w:rPr>
          <w:rFonts w:ascii="Times New Roman" w:eastAsia="Times New Roman" w:hAnsi="Times New Roman" w:cs="Times New Roman"/>
          <w:b/>
          <w:bCs/>
        </w:rPr>
        <w:t>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adjustRightInd w:val="0"/>
        <w:snapToGri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F0FDF">
        <w:rPr>
          <w:rFonts w:ascii="Times New Roman" w:eastAsia="Times New Roman" w:hAnsi="Times New Roman" w:cs="Times New Roman"/>
          <w:b/>
          <w:caps/>
        </w:rPr>
        <w:t>4.</w:t>
      </w:r>
      <w:r w:rsidRPr="00CF0FDF">
        <w:rPr>
          <w:rFonts w:ascii="Times New Roman" w:eastAsia="Times New Roman" w:hAnsi="Times New Roman" w:cs="Times New Roman"/>
          <w:b/>
          <w:caps/>
        </w:rPr>
        <w:tab/>
      </w:r>
      <w:r w:rsidRPr="00CF0FDF">
        <w:rPr>
          <w:rFonts w:ascii="Times New Roman" w:eastAsia="Times New Roman" w:hAnsi="Times New Roman" w:cs="Times New Roman"/>
          <w:b/>
        </w:rPr>
        <w:t>Galimas šalutinis poveikis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Šis vaistas, kaip ir visi kiti gali sukelti šalutinį poveikį, nors jis pasireiškia ne visiems žmonėms. 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Labai dažnas (pasireiškia daugiau kaip 1 pacientui iš 10)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Padažnėjęs širdies plakimas.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Juntamas širdies plakimas (</w:t>
      </w:r>
      <w:proofErr w:type="spellStart"/>
      <w:r w:rsidRPr="00CF0FDF">
        <w:rPr>
          <w:rFonts w:ascii="Times New Roman" w:eastAsia="Times New Roman" w:hAnsi="Times New Roman" w:cs="Times New Roman"/>
        </w:rPr>
        <w:t>palpitacija</w:t>
      </w:r>
      <w:proofErr w:type="spellEnd"/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lastRenderedPageBreak/>
        <w:t>Stiprus krūtinės skausmas.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Nereguliarus širdies plakimas.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Aritmija (per dažnas ar per retas širdies plakimas).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Skilvelių tachikardija (dažnas širdies plakimas, kylantis iš vieno iš širdies skilvelių).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Vainikinių arterijų spazmas (laikinas staigus vienos širdies raumens kraujagyslės susitraukimas).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ST segmento pakilimas elektrokardiogramoje.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Dažnas (pasireiškia 1</w:t>
      </w:r>
      <w:r w:rsidRPr="00CF0FDF">
        <w:rPr>
          <w:rFonts w:ascii="Times New Roman" w:eastAsia="Times New Roman" w:hAnsi="Times New Roman" w:cs="Times New Roman"/>
          <w:b/>
          <w:bCs/>
        </w:rPr>
        <w:noBreakHyphen/>
        <w:t>10 pacientų iš 100)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Padidėjusio jautrumo reakcijos, įskaitant išbėrimą.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Karščiavimas.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Eozinofilija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(didelė </w:t>
      </w:r>
      <w:proofErr w:type="spellStart"/>
      <w:r w:rsidRPr="00CF0FDF">
        <w:rPr>
          <w:rFonts w:ascii="Times New Roman" w:eastAsia="Times New Roman" w:hAnsi="Times New Roman" w:cs="Times New Roman"/>
        </w:rPr>
        <w:t>eozinofilinių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granulocitų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koncentracija kraujyje).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Bronchų spazmas (staigus </w:t>
      </w:r>
      <w:proofErr w:type="spellStart"/>
      <w:r w:rsidRPr="00CF0FDF">
        <w:rPr>
          <w:rFonts w:ascii="Times New Roman" w:eastAsia="Times New Roman" w:hAnsi="Times New Roman" w:cs="Times New Roman"/>
        </w:rPr>
        <w:t>bronchiolių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sienelių raumenų susitraukimas).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Galvos skausmas.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Didelis kraujospūdis (hipertenzija).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Reikšmingas </w:t>
      </w:r>
      <w:proofErr w:type="spellStart"/>
      <w:r w:rsidRPr="00CF0FDF">
        <w:rPr>
          <w:rFonts w:ascii="Times New Roman" w:eastAsia="Times New Roman" w:hAnsi="Times New Roman" w:cs="Times New Roman"/>
        </w:rPr>
        <w:t>sistolinio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kraujospūdžio padidėjimas (tai rodo perdozavimą).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Nespecifinis krūtinės skausmas.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Dusulys.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Astma.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Pykinimas.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Nedažnas (pasireiškia 1</w:t>
      </w:r>
      <w:r w:rsidRPr="00CF0FDF">
        <w:rPr>
          <w:rFonts w:ascii="Times New Roman" w:eastAsia="Times New Roman" w:hAnsi="Times New Roman" w:cs="Times New Roman"/>
          <w:b/>
          <w:bCs/>
        </w:rPr>
        <w:noBreakHyphen/>
        <w:t>10 pacientų iš 1000)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Prieširdžių virpėjimas (nenormalus širdies ritmas, susijęs su viršutinėmis kameromis, t. y. prieširdžiais).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Skilvelių virpėjimas (nekoordinuoti širdies raumens susitraukimai skilveliuose).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Kairiojo skilvelio nutekėjimo tako susiaurėjimas.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Mažas kraujospūdis (</w:t>
      </w:r>
      <w:proofErr w:type="spellStart"/>
      <w:r w:rsidRPr="00CF0FDF">
        <w:rPr>
          <w:rFonts w:ascii="Times New Roman" w:eastAsia="Times New Roman" w:hAnsi="Times New Roman" w:cs="Times New Roman"/>
        </w:rPr>
        <w:t>hipotenzija</w:t>
      </w:r>
      <w:proofErr w:type="spellEnd"/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Nedidelis kraujagyslių susiaurėjimas, ypač ligoniams, jau gydytiems beta adrenoreceptorių blokatoriais.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Retas (pasireiškia 1</w:t>
      </w:r>
      <w:r w:rsidRPr="00CF0FDF">
        <w:rPr>
          <w:rFonts w:ascii="Times New Roman" w:eastAsia="Times New Roman" w:hAnsi="Times New Roman" w:cs="Times New Roman"/>
          <w:b/>
          <w:bCs/>
        </w:rPr>
        <w:noBreakHyphen/>
        <w:t>10 pacientų iš 10000)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Flebitas (kraujo krešulių susidarymas).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Lokalus uždegimas.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Anafilaksinė reakcija (sunki padidėjusio jautrumo alerginė reakcija).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Sunkūs gyvybei pavojingi astmos priepuoliai, kuriuos gali sukelti padidėjęs jautrumas sulfitams.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Labai retas (pasireiškia mažiau kaip 1 pacientui iš 10000)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Sumažėjusi kalio koncentracija kraujo serume (kaip ir vartojant kitokių </w:t>
      </w:r>
      <w:proofErr w:type="spellStart"/>
      <w:r w:rsidRPr="00CF0FDF">
        <w:rPr>
          <w:rFonts w:ascii="Times New Roman" w:eastAsia="Times New Roman" w:hAnsi="Times New Roman" w:cs="Times New Roman"/>
        </w:rPr>
        <w:t>katecholaminų</w:t>
      </w:r>
      <w:proofErr w:type="spellEnd"/>
      <w:r w:rsidRPr="00CF0FDF">
        <w:rPr>
          <w:rFonts w:ascii="Times New Roman" w:eastAsia="Times New Roman" w:hAnsi="Times New Roman" w:cs="Times New Roman"/>
        </w:rPr>
        <w:t>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Mioklonija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(nevalingi raumenų trūkčiojimai) (toks poveikis pasireiškė sunkiu inkstų nepakankamumu sirgusiems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vartojusiems ligoniams). 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Miokardo išemija (širdies raumens aprūpinimo krauju sumažėjimas).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Miokardo infarktas (širdies priepuolis).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F0FDF">
        <w:rPr>
          <w:rFonts w:ascii="Times New Roman" w:eastAsia="Times New Roman" w:hAnsi="Times New Roman" w:cs="Times New Roman"/>
        </w:rPr>
        <w:t>Eozinofilinis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miokarditas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(širdies raumens uždegimas).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Mirtinas širdies plyšimas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sukelto krūvio tyrimo metu.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Odos audinių žūtis (nekrozė).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Dažnis nežinomas (negali būti įvertintas pagal turimus duomenis)</w:t>
      </w:r>
    </w:p>
    <w:p w:rsidR="001C3858" w:rsidRPr="00CF0FDF" w:rsidRDefault="001C3858" w:rsidP="001C385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Staigus noras šlapintis.</w:t>
      </w:r>
    </w:p>
    <w:p w:rsidR="001C3858" w:rsidRPr="00CF0FDF" w:rsidRDefault="001C3858" w:rsidP="001C3858">
      <w:p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Jeigu pasireiškė sunkus šalutinis poveikis arba pastebėjote šiame lapelyje nenurodytą šalutinį poveikį, pasakykite gydytojui arba vaistininkui.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Pranešimas apie šalutinį poveikį</w:t>
      </w:r>
    </w:p>
    <w:p w:rsidR="001C3858" w:rsidRPr="00CF0FDF" w:rsidRDefault="001C3858" w:rsidP="00576F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CF0FDF">
        <w:rPr>
          <w:rFonts w:ascii="Times New Roman" w:eastAsia="Calibri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Pr="00CF0FDF">
        <w:rPr>
          <w:rFonts w:ascii="Times New Roman" w:eastAsia="Calibri" w:hAnsi="Times New Roman" w:cs="Times New Roman"/>
          <w:lang w:eastAsia="zh-CN"/>
        </w:rPr>
        <w:t>elefonu 8 800 73568</w:t>
      </w:r>
      <w:r w:rsidRPr="00CF0FDF">
        <w:rPr>
          <w:rFonts w:ascii="Times New Roman" w:eastAsia="Calibri" w:hAnsi="Times New Roman" w:cs="Times New Roman"/>
        </w:rPr>
        <w:t xml:space="preserve"> arba užpildyti interneto </w:t>
      </w:r>
      <w:r w:rsidRPr="00CF0FDF">
        <w:rPr>
          <w:rFonts w:ascii="Times New Roman" w:eastAsia="Calibri" w:hAnsi="Times New Roman" w:cs="Times New Roman"/>
        </w:rPr>
        <w:lastRenderedPageBreak/>
        <w:t xml:space="preserve">svetainėje </w:t>
      </w:r>
      <w:hyperlink r:id="rId5" w:history="1">
        <w:r w:rsidRPr="00CF0FDF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CF0FDF">
        <w:rPr>
          <w:rFonts w:ascii="Times New Roman" w:eastAsia="Calibri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F0FDF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CF0FDF">
        <w:rPr>
          <w:rFonts w:ascii="Times New Roman" w:eastAsia="Calibri" w:hAnsi="Times New Roman" w:cs="Times New Roman"/>
        </w:rPr>
        <w:t>fakso numeriu 8 800 20131</w:t>
      </w:r>
      <w:r w:rsidRPr="00CF0FDF">
        <w:rPr>
          <w:rFonts w:ascii="Times New Roman" w:eastAsia="Calibri" w:hAnsi="Times New Roman" w:cs="Times New Roman"/>
          <w:lang w:eastAsia="zh-CN"/>
        </w:rPr>
        <w:t xml:space="preserve">, </w:t>
      </w:r>
      <w:r w:rsidRPr="00CF0FDF">
        <w:rPr>
          <w:rFonts w:ascii="Times New Roman" w:eastAsia="Calibri" w:hAnsi="Times New Roman" w:cs="Times New Roman"/>
        </w:rPr>
        <w:t xml:space="preserve">el. paštu </w:t>
      </w:r>
      <w:hyperlink r:id="rId6" w:history="1">
        <w:r w:rsidRPr="00CF0FDF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CF0FDF">
        <w:rPr>
          <w:rFonts w:ascii="Times New Roman" w:eastAsia="Calibri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CF0FDF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CF0FDF">
        <w:rPr>
          <w:rFonts w:ascii="Times New Roman" w:eastAsia="Calibri" w:hAnsi="Times New Roman" w:cs="Times New Roman"/>
        </w:rPr>
        <w:t>). Pranešdami apie šalutinį poveikį galite mums padėti gauti daugiau informacijos apie šio vaisto saugumą.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5.</w:t>
      </w:r>
      <w:r w:rsidRPr="00CF0FDF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  <w:b/>
        </w:rPr>
        <w:t>Hameln</w:t>
      </w:r>
      <w:proofErr w:type="spellEnd"/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Šį vaistą laikykite vaikams nepastebimoje  ir nepasiekiamoje vietoje.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Ant dėžutės </w:t>
      </w:r>
      <w:r w:rsidR="00136705" w:rsidRPr="00CF0FDF">
        <w:rPr>
          <w:rFonts w:ascii="Times New Roman" w:eastAsia="Times New Roman" w:hAnsi="Times New Roman" w:cs="Times New Roman"/>
        </w:rPr>
        <w:t xml:space="preserve">ir ampulės </w:t>
      </w:r>
      <w:r w:rsidRPr="00CF0FDF">
        <w:rPr>
          <w:rFonts w:ascii="Times New Roman" w:eastAsia="Times New Roman" w:hAnsi="Times New Roman" w:cs="Times New Roman"/>
        </w:rPr>
        <w:t>po „Tinka iki</w:t>
      </w:r>
      <w:r w:rsidR="00136705" w:rsidRPr="00CF0FDF">
        <w:rPr>
          <w:rFonts w:ascii="Times New Roman" w:eastAsia="Times New Roman" w:hAnsi="Times New Roman" w:cs="Times New Roman"/>
        </w:rPr>
        <w:t>/EXP</w:t>
      </w:r>
      <w:r w:rsidRPr="00CF0FDF">
        <w:rPr>
          <w:rFonts w:ascii="Times New Roman" w:eastAsia="Times New Roman" w:hAnsi="Times New Roman" w:cs="Times New Roman"/>
        </w:rPr>
        <w:t xml:space="preserve">“ nurodytam tinkamumo laikui pasibaigus, </w:t>
      </w:r>
      <w:r w:rsidRPr="00CF0FDF">
        <w:rPr>
          <w:rFonts w:ascii="Times New Roman" w:eastAsia="Times New Roman" w:hAnsi="Times New Roman" w:cs="Times New Roman"/>
          <w:iCs/>
        </w:rPr>
        <w:t>šio vaisto</w:t>
      </w:r>
      <w:r w:rsidRPr="00CF0FDF">
        <w:rPr>
          <w:rFonts w:ascii="Times New Roman" w:eastAsia="Times New Roman" w:hAnsi="Times New Roman" w:cs="Times New Roman"/>
          <w:i/>
        </w:rPr>
        <w:t xml:space="preserve"> </w:t>
      </w:r>
      <w:r w:rsidRPr="00CF0FDF">
        <w:rPr>
          <w:rFonts w:ascii="Times New Roman" w:eastAsia="Times New Roman" w:hAnsi="Times New Roman" w:cs="Times New Roman"/>
        </w:rPr>
        <w:t>vartoti negalima. Vaistas tinkamas vartoti iki paskutinės nurodyto mėnesio dienos.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6705" w:rsidRPr="00CF0FDF" w:rsidRDefault="001C3858" w:rsidP="00136705">
      <w:pPr>
        <w:spacing w:after="0" w:line="240" w:lineRule="auto"/>
        <w:rPr>
          <w:rFonts w:ascii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color w:val="000000"/>
        </w:rPr>
        <w:t xml:space="preserve">Laikyti ne aukštesnėje kaip </w:t>
      </w:r>
      <w:r w:rsidRPr="00CF0FDF">
        <w:rPr>
          <w:rFonts w:ascii="Times New Roman" w:eastAsia="Times New Roman" w:hAnsi="Times New Roman" w:cs="Times New Roman"/>
        </w:rPr>
        <w:t>25°C temperatūroje</w:t>
      </w:r>
      <w:r w:rsidR="00136705" w:rsidRPr="00CF0FDF">
        <w:rPr>
          <w:rFonts w:ascii="Times New Roman" w:eastAsia="Times New Roman" w:hAnsi="Times New Roman" w:cs="Times New Roman"/>
          <w:color w:val="000000"/>
        </w:rPr>
        <w:t>.</w:t>
      </w:r>
      <w:r w:rsidRPr="00CF0FDF">
        <w:rPr>
          <w:rFonts w:ascii="Times New Roman" w:eastAsia="Times New Roman" w:hAnsi="Times New Roman" w:cs="Times New Roman"/>
          <w:color w:val="000000"/>
        </w:rPr>
        <w:t xml:space="preserve"> </w:t>
      </w:r>
      <w:r w:rsidR="00136705" w:rsidRPr="00CF0FDF">
        <w:rPr>
          <w:rFonts w:ascii="Times New Roman" w:hAnsi="Times New Roman" w:cs="Times New Roman"/>
        </w:rPr>
        <w:t>Laikyti gamintojo pakuotėje, kad vaistas būtų apsaugotas nuo šviesos.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spacing w:val="-1"/>
        </w:rPr>
      </w:pPr>
      <w:r w:rsidRPr="00CF0FDF">
        <w:rPr>
          <w:rFonts w:ascii="Times New Roman" w:eastAsia="Times New Roman" w:hAnsi="Times New Roman" w:cs="Times New Roman"/>
          <w:color w:val="000000"/>
          <w:spacing w:val="-1"/>
        </w:rPr>
        <w:t>Nesuvartotą vaistą sunaikinti.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:rsidR="001C3858" w:rsidRPr="00CF0FDF" w:rsidRDefault="000A0A2C" w:rsidP="001C3858">
      <w:pPr>
        <w:shd w:val="clear" w:color="auto" w:fill="FFFFFF"/>
        <w:spacing w:after="0" w:line="240" w:lineRule="auto"/>
        <w:ind w:left="-18" w:right="72"/>
        <w:rPr>
          <w:rFonts w:ascii="Times New Roman" w:eastAsia="Times New Roman" w:hAnsi="Times New Roman" w:cs="Times New Roman"/>
          <w:color w:val="000000"/>
        </w:rPr>
      </w:pPr>
      <w:proofErr w:type="spellStart"/>
      <w:r w:rsidRPr="00CF0FDF">
        <w:rPr>
          <w:rFonts w:ascii="Times New Roman" w:eastAsia="Times New Roman" w:hAnsi="Times New Roman" w:cs="Times New Roman"/>
          <w:i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i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koncentratą prieš vartojimą būtina praskiesti, jo galima tik </w:t>
      </w:r>
      <w:proofErr w:type="spellStart"/>
      <w:r w:rsidR="001C3858" w:rsidRPr="00CF0FDF">
        <w:rPr>
          <w:rFonts w:ascii="Times New Roman" w:eastAsia="Times New Roman" w:hAnsi="Times New Roman" w:cs="Times New Roman"/>
        </w:rPr>
        <w:t>infuzuoti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į veną.</w:t>
      </w:r>
      <w:r w:rsidR="001C3858" w:rsidRPr="00CF0FDF">
        <w:rPr>
          <w:rFonts w:ascii="Times New Roman" w:eastAsia="Times New Roman" w:hAnsi="Times New Roman" w:cs="Times New Roman"/>
          <w:color w:val="000000"/>
        </w:rPr>
        <w:t xml:space="preserve"> Paprastai galutinė infuzinio tirpalo koncentracija būna 250 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mikrogramų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>/ml, 500 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mikrogramų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>/ml arba 1000 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mikrogramų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>/ml.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shd w:val="clear" w:color="auto" w:fill="FFFFFF"/>
        <w:tabs>
          <w:tab w:val="left" w:pos="567"/>
        </w:tabs>
        <w:spacing w:after="0" w:line="240" w:lineRule="auto"/>
        <w:ind w:right="72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CF0FDF">
        <w:rPr>
          <w:rFonts w:ascii="Times New Roman" w:eastAsia="Times New Roman" w:hAnsi="Times New Roman" w:cs="Times New Roman"/>
          <w:i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i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prieš infuziją galima skiesti šiais steriliais intraveniniais infuziniais tirpalais: </w:t>
      </w:r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0,9% (9 mg/ml) natrio chlorido tirpalu, 5% (50 mg/ml) gliukozės tirpalu, 5% (50 mg/ml) </w:t>
      </w:r>
      <w:proofErr w:type="spellStart"/>
      <w:r w:rsidR="001C3858" w:rsidRPr="00CF0FDF">
        <w:rPr>
          <w:rFonts w:ascii="Times New Roman" w:eastAsia="Times New Roman" w:hAnsi="Times New Roman" w:cs="Times New Roman"/>
          <w:lang w:eastAsia="es-ES"/>
        </w:rPr>
        <w:t>dekstrozės</w:t>
      </w:r>
      <w:proofErr w:type="spellEnd"/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 tirpalu ar </w:t>
      </w:r>
      <w:proofErr w:type="spellStart"/>
      <w:r w:rsidR="001C3858" w:rsidRPr="00CF0FDF">
        <w:rPr>
          <w:rFonts w:ascii="Times New Roman" w:eastAsia="Times New Roman" w:hAnsi="Times New Roman" w:cs="Times New Roman"/>
          <w:lang w:eastAsia="es-ES"/>
        </w:rPr>
        <w:t>Ringerio</w:t>
      </w:r>
      <w:proofErr w:type="spellEnd"/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 laktato tirpalu.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Nustatyta, kad fizikiniu ir cheminiu požiūriu 2°C -8°C temperatūroje vaistas išlieka stabilus 24 valandas. Mikrobiologiniu požiūriu paruoštą infuzinį tirpalą būtina vartoti nedelsiant. Jei jo nevartojama iš karto, už vaisto laikymo trukmę ir sąlygas atsako jo </w:t>
      </w:r>
      <w:proofErr w:type="spellStart"/>
      <w:r w:rsidRPr="00CF0FDF">
        <w:rPr>
          <w:rFonts w:ascii="Times New Roman" w:eastAsia="Times New Roman" w:hAnsi="Times New Roman" w:cs="Times New Roman"/>
        </w:rPr>
        <w:t>infuzuojantis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specialistas, tačiau paprastai laikoma ne ilgiau kaip 24 valandas 2°C </w:t>
      </w:r>
      <w:r w:rsidRPr="00CF0FDF">
        <w:rPr>
          <w:rFonts w:ascii="Times New Roman" w:eastAsia="Times New Roman" w:hAnsi="Times New Roman" w:cs="Times New Roman"/>
        </w:rPr>
        <w:noBreakHyphen/>
        <w:t>8</w:t>
      </w:r>
      <w:r w:rsidRPr="00CF0FDF">
        <w:rPr>
          <w:rFonts w:ascii="Times New Roman" w:eastAsia="Times New Roman" w:hAnsi="Times New Roman" w:cs="Times New Roman"/>
        </w:rPr>
        <w:sym w:font="Symbol" w:char="F0B0"/>
      </w:r>
      <w:r w:rsidRPr="00CF0FDF">
        <w:rPr>
          <w:rFonts w:ascii="Times New Roman" w:eastAsia="Times New Roman" w:hAnsi="Times New Roman" w:cs="Times New Roman"/>
        </w:rPr>
        <w:t xml:space="preserve">C temperatūroje, nebent paruošimas ar skiedimas atliktas kontroliuojamomis ir patvirtintomis </w:t>
      </w:r>
      <w:proofErr w:type="spellStart"/>
      <w:r w:rsidRPr="00CF0FDF">
        <w:rPr>
          <w:rFonts w:ascii="Times New Roman" w:eastAsia="Times New Roman" w:hAnsi="Times New Roman" w:cs="Times New Roman"/>
        </w:rPr>
        <w:t>aseptinėmis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sąlygomis.</w:t>
      </w: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</w:p>
    <w:p w:rsidR="001C3858" w:rsidRPr="00CF0FDF" w:rsidRDefault="001C3858" w:rsidP="001C385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color w:val="000000"/>
        </w:rPr>
        <w:t xml:space="preserve">Praskiestas </w:t>
      </w:r>
      <w:proofErr w:type="spellStart"/>
      <w:r w:rsidRPr="00CF0FDF">
        <w:rPr>
          <w:rFonts w:ascii="Times New Roman" w:eastAsia="Times New Roman" w:hAnsi="Times New Roman" w:cs="Times New Roman"/>
          <w:color w:val="000000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 hidrochlorido tirpalas gali tapti rausvas. Toks su laiku stiprėjantis spalvos pokytis atsiranda dėl silpnos vaisto oksidacijos. Vis dėlto, jei laikomasi rekomendacijų vaistą laikyti ne ilgiau kaip </w:t>
      </w:r>
      <w:r w:rsidRPr="00CF0FDF">
        <w:rPr>
          <w:rFonts w:ascii="Times New Roman" w:eastAsia="Times New Roman" w:hAnsi="Times New Roman" w:cs="Times New Roman"/>
          <w:color w:val="000000"/>
          <w:spacing w:val="-1"/>
        </w:rPr>
        <w:t>24 valandas 2</w:t>
      </w:r>
      <w:r w:rsidRPr="00CF0FDF">
        <w:rPr>
          <w:rFonts w:ascii="Times New Roman" w:eastAsia="Times New Roman" w:hAnsi="Times New Roman" w:cs="Times New Roman"/>
        </w:rPr>
        <w:t>°C</w:t>
      </w:r>
      <w:r w:rsidRPr="00CF0FD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CF0FDF">
        <w:rPr>
          <w:rFonts w:ascii="Times New Roman" w:eastAsia="Times New Roman" w:hAnsi="Times New Roman" w:cs="Times New Roman"/>
          <w:color w:val="000000"/>
          <w:spacing w:val="-1"/>
        </w:rPr>
        <w:noBreakHyphen/>
        <w:t xml:space="preserve"> 8°C</w:t>
      </w:r>
      <w:r w:rsidRPr="00CF0FDF">
        <w:rPr>
          <w:rFonts w:ascii="Times New Roman" w:eastAsia="Times New Roman" w:hAnsi="Times New Roman" w:cs="Times New Roman"/>
          <w:color w:val="000000"/>
        </w:rPr>
        <w:t xml:space="preserve"> temperatūroje, vaisto poveikio stiprumas reikšmingai nesumažėja</w:t>
      </w:r>
      <w:r w:rsidRPr="00CF0FDF"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CF0FDF">
        <w:rPr>
          <w:rFonts w:ascii="Times New Roman" w:eastAsia="Times New Roman" w:hAnsi="Times New Roman" w:cs="Times New Roman"/>
          <w:iCs/>
        </w:rPr>
        <w:t>Pastebėjus matomų gedimo požymių ar dalelių, šio vaisto vartoti negalima.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Cs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Už tinkamą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Dobutamine</w:t>
      </w:r>
      <w:proofErr w:type="spellEnd"/>
      <w:r w:rsidR="000A0A2C"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0A2C" w:rsidRPr="00CF0FDF">
        <w:rPr>
          <w:rFonts w:ascii="Times New Roman" w:eastAsia="Times New Roman" w:hAnsi="Times New Roman" w:cs="Times New Roman"/>
        </w:rPr>
        <w:t>Hameln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laikymą, vartojimą ir atliekų tvarkymą bus atsakingas Jūsų gydytojas ar vaistininkas.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Cs/>
        </w:rPr>
      </w:pP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6.</w:t>
      </w:r>
      <w:r w:rsidRPr="00CF0FDF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u w:val="single"/>
        </w:rPr>
      </w:pP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b/>
          <w:bCs/>
        </w:rPr>
        <w:t xml:space="preserve"> sudėtis </w:t>
      </w:r>
    </w:p>
    <w:p w:rsidR="001C3858" w:rsidRPr="00CF0FDF" w:rsidRDefault="001C3858" w:rsidP="00CA7E3C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CF0FDF">
        <w:rPr>
          <w:rFonts w:ascii="Times New Roman" w:eastAsia="Times New Roman" w:hAnsi="Times New Roman" w:cs="Times New Roman"/>
        </w:rPr>
        <w:t>dobutaminas</w:t>
      </w:r>
      <w:proofErr w:type="spellEnd"/>
      <w:r w:rsidRPr="00CF0FDF">
        <w:rPr>
          <w:rFonts w:ascii="Times New Roman" w:eastAsia="Times New Roman" w:hAnsi="Times New Roman" w:cs="Times New Roman"/>
        </w:rPr>
        <w:t>.</w:t>
      </w:r>
      <w:r w:rsidR="00FC51D4" w:rsidRPr="00CF0FDF">
        <w:rPr>
          <w:rFonts w:ascii="Times New Roman" w:eastAsia="Times New Roman" w:hAnsi="Times New Roman" w:cs="Times New Roman"/>
        </w:rPr>
        <w:t xml:space="preserve"> </w:t>
      </w:r>
      <w:r w:rsidRPr="00CF0FDF">
        <w:rPr>
          <w:rFonts w:ascii="Times New Roman" w:eastAsia="Times New Roman" w:hAnsi="Times New Roman" w:cs="Times New Roman"/>
        </w:rPr>
        <w:t xml:space="preserve">Kiekviename ml yra 12,5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(atitinkančio 14,01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hidrochlorido).</w:t>
      </w:r>
      <w:r w:rsidR="00FC51D4" w:rsidRPr="00CF0FDF">
        <w:rPr>
          <w:rFonts w:ascii="Times New Roman" w:eastAsia="Times New Roman" w:hAnsi="Times New Roman" w:cs="Times New Roman"/>
        </w:rPr>
        <w:t xml:space="preserve"> </w:t>
      </w:r>
      <w:r w:rsidRPr="00CF0FDF">
        <w:rPr>
          <w:rFonts w:ascii="Times New Roman" w:eastAsia="Times New Roman" w:hAnsi="Times New Roman" w:cs="Times New Roman"/>
        </w:rPr>
        <w:t xml:space="preserve">Kiekvienoje 20 ml ampulėje yra 250 mg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(atitinkančio </w:t>
      </w:r>
      <w:r w:rsidRPr="00CF0FDF">
        <w:rPr>
          <w:rFonts w:ascii="Times New Roman" w:eastAsia="Times New Roman" w:hAnsi="Times New Roman" w:cs="Times New Roman"/>
          <w:bCs/>
          <w:kern w:val="22"/>
        </w:rPr>
        <w:t>280,2 mg</w:t>
      </w:r>
      <w:r w:rsidRPr="00CF0F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</w:rPr>
        <w:t>dobutamino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hidrochlorido).</w:t>
      </w:r>
    </w:p>
    <w:p w:rsidR="001C3858" w:rsidRPr="00CF0FDF" w:rsidRDefault="001C3858" w:rsidP="00FC51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 xml:space="preserve">Pagalbinės medžiagos yra </w:t>
      </w:r>
      <w:r w:rsidR="00A24293" w:rsidRPr="00CF0FDF">
        <w:rPr>
          <w:rFonts w:ascii="Times New Roman" w:hAnsi="Times New Roman" w:cs="Times New Roman"/>
          <w:color w:val="000000"/>
          <w:spacing w:val="-3"/>
        </w:rPr>
        <w:t xml:space="preserve">natrio </w:t>
      </w:r>
      <w:proofErr w:type="spellStart"/>
      <w:r w:rsidR="00A24293" w:rsidRPr="00CF0FDF">
        <w:rPr>
          <w:rFonts w:ascii="Times New Roman" w:hAnsi="Times New Roman" w:cs="Times New Roman"/>
          <w:color w:val="000000"/>
          <w:spacing w:val="-3"/>
        </w:rPr>
        <w:t>metabisulfitas</w:t>
      </w:r>
      <w:proofErr w:type="spellEnd"/>
      <w:r w:rsidR="00A24293" w:rsidRPr="00CF0FDF">
        <w:rPr>
          <w:rFonts w:ascii="Times New Roman" w:hAnsi="Times New Roman" w:cs="Times New Roman"/>
          <w:color w:val="000000"/>
          <w:spacing w:val="-3"/>
        </w:rPr>
        <w:t xml:space="preserve"> (E223), v</w:t>
      </w:r>
      <w:r w:rsidR="00A24293" w:rsidRPr="00CF0FDF">
        <w:rPr>
          <w:rFonts w:ascii="Times New Roman" w:hAnsi="Times New Roman" w:cs="Times New Roman"/>
          <w:lang w:eastAsia="zh-CN"/>
        </w:rPr>
        <w:t>andenilio chlorido rūgštis (pH koreguoti), natrio hidroksidas (pH koreguoti), injekcinis vanduo ir anglies dioksidas</w:t>
      </w:r>
      <w:r w:rsidRPr="00CF0FDF">
        <w:rPr>
          <w:rFonts w:ascii="Times New Roman" w:eastAsia="Times New Roman" w:hAnsi="Times New Roman" w:cs="Times New Roman"/>
        </w:rPr>
        <w:t>.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b/>
          <w:b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1C3858" w:rsidRPr="00CF0FDF" w:rsidRDefault="000A0A2C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  <w:proofErr w:type="spellStart"/>
      <w:r w:rsidRPr="00CF0FDF">
        <w:rPr>
          <w:rFonts w:ascii="Times New Roman" w:eastAsia="Times New Roman" w:hAnsi="Times New Roman" w:cs="Times New Roman"/>
          <w:color w:val="000000"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color w:val="000000"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 xml:space="preserve"> tiekiamas 20 ml I tipo skaidraus stiklo ampulėmis. Pakuotėje yra 5 ampulės.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r w:rsidRPr="00CF0FDF">
        <w:rPr>
          <w:rFonts w:ascii="Times New Roman" w:eastAsia="Times New Roman" w:hAnsi="Times New Roman" w:cs="Times New Roman"/>
          <w:b/>
          <w:bCs/>
        </w:rPr>
        <w:t>Registruotojas ir gamintojas</w:t>
      </w:r>
      <w:r w:rsidR="006A16C1" w:rsidRPr="00CF0FDF">
        <w:rPr>
          <w:rFonts w:ascii="Times New Roman" w:eastAsia="Times New Roman" w:hAnsi="Times New Roman" w:cs="Times New Roman"/>
          <w:b/>
          <w:bCs/>
        </w:rPr>
        <w:t xml:space="preserve"> eksportuojančioje valstybėje</w:t>
      </w: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C3858" w:rsidRPr="00CF0FDF" w:rsidRDefault="001C3858" w:rsidP="001C385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CF0FDF">
        <w:rPr>
          <w:rFonts w:ascii="Times New Roman" w:eastAsia="Times New Roman" w:hAnsi="Times New Roman" w:cs="Times New Roman"/>
          <w:bCs/>
          <w:i/>
        </w:rPr>
        <w:t>Registruotojas</w:t>
      </w:r>
    </w:p>
    <w:p w:rsidR="00E97C7C" w:rsidRPr="00CF0FDF" w:rsidRDefault="00E97C7C" w:rsidP="005018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F0FDF">
        <w:rPr>
          <w:rFonts w:ascii="Times New Roman" w:hAnsi="Times New Roman" w:cs="Times New Roman"/>
        </w:rPr>
        <w:t>Hameln</w:t>
      </w:r>
      <w:proofErr w:type="spellEnd"/>
      <w:r w:rsidRPr="00CF0FDF">
        <w:rPr>
          <w:rFonts w:ascii="Times New Roman" w:hAnsi="Times New Roman" w:cs="Times New Roman"/>
        </w:rPr>
        <w:t xml:space="preserve"> </w:t>
      </w:r>
      <w:proofErr w:type="spellStart"/>
      <w:r w:rsidRPr="00CF0FDF">
        <w:rPr>
          <w:rFonts w:ascii="Times New Roman" w:hAnsi="Times New Roman" w:cs="Times New Roman"/>
        </w:rPr>
        <w:t>pharmaceuticals</w:t>
      </w:r>
      <w:proofErr w:type="spellEnd"/>
      <w:r w:rsidRPr="00CF0FDF">
        <w:rPr>
          <w:rFonts w:ascii="Times New Roman" w:hAnsi="Times New Roman" w:cs="Times New Roman"/>
        </w:rPr>
        <w:t xml:space="preserve"> </w:t>
      </w:r>
      <w:proofErr w:type="spellStart"/>
      <w:r w:rsidRPr="00CF0FDF">
        <w:rPr>
          <w:rFonts w:ascii="Times New Roman" w:hAnsi="Times New Roman" w:cs="Times New Roman"/>
        </w:rPr>
        <w:t>ltd</w:t>
      </w:r>
      <w:r w:rsidR="006A16C1" w:rsidRPr="00CF0FDF">
        <w:rPr>
          <w:rFonts w:ascii="Times New Roman" w:hAnsi="Times New Roman" w:cs="Times New Roman"/>
        </w:rPr>
        <w:t>.</w:t>
      </w:r>
      <w:proofErr w:type="spellEnd"/>
    </w:p>
    <w:p w:rsidR="006A16C1" w:rsidRPr="00CF0FDF" w:rsidRDefault="006A16C1" w:rsidP="00501806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CF0FDF">
        <w:rPr>
          <w:rFonts w:ascii="Times New Roman" w:hAnsi="Times New Roman" w:cs="Times New Roman"/>
          <w:color w:val="222222"/>
          <w:shd w:val="clear" w:color="auto" w:fill="FFFFFF"/>
        </w:rPr>
        <w:t>Nexus</w:t>
      </w:r>
      <w:proofErr w:type="spellEnd"/>
      <w:r w:rsidR="000E69AB" w:rsidRPr="00CF0FDF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CF0FD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F0FDF">
        <w:rPr>
          <w:rFonts w:ascii="Times New Roman" w:hAnsi="Times New Roman" w:cs="Times New Roman"/>
          <w:color w:val="222222"/>
          <w:shd w:val="clear" w:color="auto" w:fill="FFFFFF"/>
        </w:rPr>
        <w:t>Gloucester</w:t>
      </w:r>
      <w:proofErr w:type="spellEnd"/>
      <w:r w:rsidRPr="00CF0FD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F0FDF">
        <w:rPr>
          <w:rFonts w:ascii="Times New Roman" w:hAnsi="Times New Roman" w:cs="Times New Roman"/>
          <w:color w:val="222222"/>
          <w:shd w:val="clear" w:color="auto" w:fill="FFFFFF"/>
        </w:rPr>
        <w:t>Business</w:t>
      </w:r>
      <w:proofErr w:type="spellEnd"/>
      <w:r w:rsidRPr="00CF0FD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CF0FDF">
        <w:rPr>
          <w:rFonts w:ascii="Times New Roman" w:hAnsi="Times New Roman" w:cs="Times New Roman"/>
          <w:color w:val="222222"/>
          <w:shd w:val="clear" w:color="auto" w:fill="FFFFFF"/>
        </w:rPr>
        <w:t>Park</w:t>
      </w:r>
      <w:proofErr w:type="spellEnd"/>
    </w:p>
    <w:p w:rsidR="00E97C7C" w:rsidRPr="00CF0FDF" w:rsidRDefault="006A16C1" w:rsidP="005018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F0FDF">
        <w:rPr>
          <w:rFonts w:ascii="Times New Roman" w:hAnsi="Times New Roman" w:cs="Times New Roman"/>
          <w:color w:val="222222"/>
          <w:shd w:val="clear" w:color="auto" w:fill="FFFFFF"/>
        </w:rPr>
        <w:t>Gloucester</w:t>
      </w:r>
      <w:proofErr w:type="spellEnd"/>
      <w:r w:rsidRPr="00CF0FDF">
        <w:rPr>
          <w:rFonts w:ascii="Times New Roman" w:hAnsi="Times New Roman" w:cs="Times New Roman"/>
          <w:color w:val="222222"/>
          <w:shd w:val="clear" w:color="auto" w:fill="FFFFFF"/>
        </w:rPr>
        <w:t xml:space="preserve"> GL3 4AG</w:t>
      </w:r>
    </w:p>
    <w:p w:rsidR="00E97C7C" w:rsidRPr="00CF0FDF" w:rsidRDefault="00E97C7C" w:rsidP="00501806">
      <w:pPr>
        <w:spacing w:after="0" w:line="240" w:lineRule="auto"/>
        <w:rPr>
          <w:rFonts w:ascii="Times New Roman" w:hAnsi="Times New Roman" w:cs="Times New Roman"/>
        </w:rPr>
      </w:pPr>
      <w:r w:rsidRPr="00CF0FDF">
        <w:rPr>
          <w:rFonts w:ascii="Times New Roman" w:hAnsi="Times New Roman" w:cs="Times New Roman"/>
        </w:rPr>
        <w:t>Jungtinė Karalystė</w:t>
      </w:r>
    </w:p>
    <w:p w:rsidR="00E97C7C" w:rsidRPr="00CF0FDF" w:rsidRDefault="00E97C7C" w:rsidP="00E97C7C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</w:rPr>
      </w:pPr>
      <w:r w:rsidRPr="00CF0FDF">
        <w:rPr>
          <w:rFonts w:ascii="Times New Roman" w:eastAsia="Times New Roman" w:hAnsi="Times New Roman" w:cs="Times New Roman"/>
          <w:bCs/>
          <w:i/>
        </w:rPr>
        <w:t>Gamintojas</w:t>
      </w:r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F0FDF">
        <w:rPr>
          <w:rFonts w:ascii="Times New Roman" w:hAnsi="Times New Roman" w:cs="Times New Roman"/>
          <w:sz w:val="22"/>
          <w:szCs w:val="22"/>
        </w:rPr>
        <w:t>Siegfried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Hameln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GmbH</w:t>
      </w:r>
      <w:proofErr w:type="spellEnd"/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 xml:space="preserve">Langes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Feld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13</w:t>
      </w:r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 xml:space="preserve">31789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Hameln</w:t>
      </w:r>
      <w:proofErr w:type="spellEnd"/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>Vokietija</w:t>
      </w:r>
    </w:p>
    <w:p w:rsidR="00501806" w:rsidRPr="00CF0FDF" w:rsidRDefault="00501806" w:rsidP="005018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1806" w:rsidRPr="00CF0FDF" w:rsidRDefault="00501806" w:rsidP="005018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>arba</w:t>
      </w:r>
    </w:p>
    <w:p w:rsidR="00501806" w:rsidRPr="00CF0FDF" w:rsidRDefault="00501806" w:rsidP="005018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F0FDF">
        <w:rPr>
          <w:rFonts w:ascii="Times New Roman" w:hAnsi="Times New Roman" w:cs="Times New Roman"/>
          <w:sz w:val="22"/>
          <w:szCs w:val="22"/>
        </w:rPr>
        <w:t>hameln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rds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>.</w:t>
      </w:r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F0FDF">
        <w:rPr>
          <w:rFonts w:ascii="Times New Roman" w:hAnsi="Times New Roman" w:cs="Times New Roman"/>
          <w:sz w:val="22"/>
          <w:szCs w:val="22"/>
        </w:rPr>
        <w:t>Horná</w:t>
      </w:r>
      <w:proofErr w:type="spellEnd"/>
      <w:r w:rsidRPr="00CF0FDF">
        <w:rPr>
          <w:rFonts w:ascii="Times New Roman" w:hAnsi="Times New Roman" w:cs="Times New Roman"/>
          <w:sz w:val="22"/>
          <w:szCs w:val="22"/>
        </w:rPr>
        <w:t xml:space="preserve"> 36</w:t>
      </w:r>
    </w:p>
    <w:p w:rsidR="00501806" w:rsidRPr="00CF0FDF" w:rsidRDefault="00501806" w:rsidP="00501806">
      <w:pPr>
        <w:pStyle w:val="Pa13"/>
        <w:jc w:val="both"/>
        <w:rPr>
          <w:rFonts w:ascii="Times New Roman" w:hAnsi="Times New Roman" w:cs="Times New Roman"/>
          <w:sz w:val="22"/>
          <w:szCs w:val="22"/>
        </w:rPr>
      </w:pPr>
      <w:r w:rsidRPr="00CF0FDF">
        <w:rPr>
          <w:rFonts w:ascii="Times New Roman" w:hAnsi="Times New Roman" w:cs="Times New Roman"/>
          <w:sz w:val="22"/>
          <w:szCs w:val="22"/>
        </w:rPr>
        <w:t xml:space="preserve">900 01 </w:t>
      </w:r>
      <w:proofErr w:type="spellStart"/>
      <w:r w:rsidRPr="00CF0FDF">
        <w:rPr>
          <w:rFonts w:ascii="Times New Roman" w:hAnsi="Times New Roman" w:cs="Times New Roman"/>
          <w:sz w:val="22"/>
          <w:szCs w:val="22"/>
        </w:rPr>
        <w:t>Modra</w:t>
      </w:r>
      <w:proofErr w:type="spellEnd"/>
    </w:p>
    <w:p w:rsidR="001C3858" w:rsidRPr="00CF0FDF" w:rsidRDefault="00501806" w:rsidP="00501806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Cs/>
        </w:rPr>
      </w:pPr>
      <w:r w:rsidRPr="00CF0FDF">
        <w:rPr>
          <w:rFonts w:ascii="Times New Roman" w:hAnsi="Times New Roman" w:cs="Times New Roman"/>
        </w:rPr>
        <w:t>Slovakija</w:t>
      </w:r>
    </w:p>
    <w:p w:rsidR="00501806" w:rsidRPr="00CF0FDF" w:rsidRDefault="00501806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Cs/>
        </w:rPr>
      </w:pP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CF0FDF">
        <w:rPr>
          <w:rFonts w:ascii="Times New Roman" w:hAnsi="Times New Roman"/>
          <w:b/>
          <w:lang w:eastAsia="lt-LT"/>
        </w:rPr>
        <w:t xml:space="preserve">Lygiagretus importuotojas 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CF0FDF">
        <w:rPr>
          <w:rFonts w:ascii="Times New Roman" w:hAnsi="Times New Roman"/>
          <w:lang w:eastAsia="lt-LT"/>
        </w:rPr>
        <w:t>UAB „Actiofarma“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CF0FDF">
        <w:rPr>
          <w:rFonts w:ascii="Times New Roman" w:hAnsi="Times New Roman"/>
          <w:lang w:eastAsia="lt-LT"/>
        </w:rPr>
        <w:t>Islandijos pl. 209A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CF0FDF">
        <w:rPr>
          <w:rFonts w:ascii="Times New Roman" w:hAnsi="Times New Roman"/>
          <w:lang w:eastAsia="lt-LT"/>
        </w:rPr>
        <w:t>LT-49163 Kaunas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CF0FDF">
        <w:rPr>
          <w:rFonts w:ascii="Times New Roman" w:hAnsi="Times New Roman"/>
          <w:lang w:eastAsia="lt-LT"/>
        </w:rPr>
        <w:t>Lietuva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CF0FDF">
        <w:rPr>
          <w:rFonts w:ascii="Times New Roman" w:hAnsi="Times New Roman"/>
          <w:b/>
          <w:lang w:eastAsia="lt-LT"/>
        </w:rPr>
        <w:t>Perpakavo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lang w:eastAsia="lt-LT"/>
        </w:rPr>
      </w:pPr>
      <w:r w:rsidRPr="00CF0FDF">
        <w:rPr>
          <w:rFonts w:ascii="Times New Roman" w:hAnsi="Times New Roman"/>
          <w:bCs/>
          <w:iCs/>
          <w:lang w:eastAsia="lt-LT"/>
        </w:rPr>
        <w:t>UAB „Entafarma“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lang w:eastAsia="lt-LT"/>
        </w:rPr>
      </w:pPr>
      <w:proofErr w:type="spellStart"/>
      <w:r w:rsidRPr="00CF0FDF">
        <w:rPr>
          <w:rFonts w:ascii="Times New Roman" w:hAnsi="Times New Roman"/>
          <w:bCs/>
          <w:iCs/>
          <w:lang w:eastAsia="lt-LT"/>
        </w:rPr>
        <w:t>Klonėnų</w:t>
      </w:r>
      <w:proofErr w:type="spellEnd"/>
      <w:r w:rsidRPr="00CF0FDF">
        <w:rPr>
          <w:rFonts w:ascii="Times New Roman" w:hAnsi="Times New Roman"/>
          <w:bCs/>
          <w:iCs/>
          <w:lang w:eastAsia="lt-LT"/>
        </w:rPr>
        <w:t xml:space="preserve"> vs. 1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lang w:eastAsia="lt-LT"/>
        </w:rPr>
      </w:pPr>
      <w:r w:rsidRPr="00CF0FDF">
        <w:rPr>
          <w:rFonts w:ascii="Times New Roman" w:hAnsi="Times New Roman"/>
          <w:bCs/>
          <w:iCs/>
          <w:lang w:eastAsia="lt-LT"/>
        </w:rPr>
        <w:t>Širvintų r. sav.</w:t>
      </w:r>
    </w:p>
    <w:p w:rsidR="00501806" w:rsidRPr="00CF0FDF" w:rsidRDefault="00501806" w:rsidP="00501806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CF0FDF">
        <w:rPr>
          <w:rFonts w:ascii="Times New Roman" w:hAnsi="Times New Roman"/>
          <w:bCs/>
          <w:iCs/>
          <w:lang w:eastAsia="lt-LT"/>
        </w:rPr>
        <w:t>Lietuva</w:t>
      </w:r>
    </w:p>
    <w:p w:rsidR="00501806" w:rsidRPr="00CF0FDF" w:rsidRDefault="00501806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501806" w:rsidRPr="00C67FB1" w:rsidRDefault="00501806" w:rsidP="00501806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</w:rPr>
      </w:pPr>
      <w:r w:rsidRPr="00C67FB1">
        <w:rPr>
          <w:rFonts w:ascii="Times New Roman" w:eastAsia="Times New Roman" w:hAnsi="Times New Roman" w:cs="Times New Roman"/>
          <w:i/>
        </w:rPr>
        <w:t xml:space="preserve">Lygiagrečiai importuojamas vaistas </w:t>
      </w:r>
      <w:r w:rsidRPr="00CF0FDF">
        <w:rPr>
          <w:rFonts w:ascii="Times New Roman" w:eastAsia="Times New Roman" w:hAnsi="Times New Roman" w:cs="Times New Roman"/>
          <w:i/>
        </w:rPr>
        <w:t xml:space="preserve">skiriasi </w:t>
      </w:r>
      <w:r w:rsidRPr="00C67FB1">
        <w:rPr>
          <w:rFonts w:ascii="Times New Roman" w:eastAsia="Times New Roman" w:hAnsi="Times New Roman" w:cs="Times New Roman"/>
          <w:i/>
        </w:rPr>
        <w:t>nuo referencinio pagalbinėmis medžiagomis</w:t>
      </w:r>
      <w:r w:rsidRPr="00CF0FDF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CF0FDF">
        <w:rPr>
          <w:rFonts w:ascii="Times New Roman" w:eastAsia="Times New Roman" w:hAnsi="Times New Roman" w:cs="Times New Roman"/>
          <w:i/>
        </w:rPr>
        <w:t>lyg.imp</w:t>
      </w:r>
      <w:proofErr w:type="spellEnd"/>
      <w:r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sudėtyje yra</w:t>
      </w:r>
      <w:r w:rsidRPr="00CF0FDF">
        <w:rPr>
          <w:rFonts w:ascii="Times New Roman" w:eastAsia="Times New Roman" w:hAnsi="Times New Roman" w:cs="Times New Roman"/>
          <w:i/>
        </w:rPr>
        <w:t xml:space="preserve"> ir </w:t>
      </w:r>
      <w:r w:rsidRPr="00C67FB1">
        <w:rPr>
          <w:rFonts w:ascii="Times New Roman" w:eastAsia="Times New Roman" w:hAnsi="Times New Roman" w:cs="Times New Roman"/>
          <w:i/>
        </w:rPr>
        <w:t>anglies dioksido</w:t>
      </w:r>
      <w:r w:rsidRPr="00CF0FDF">
        <w:rPr>
          <w:rFonts w:ascii="Times New Roman" w:eastAsia="Times New Roman" w:hAnsi="Times New Roman" w:cs="Times New Roman"/>
          <w:i/>
        </w:rPr>
        <w:t>;</w:t>
      </w:r>
      <w:r w:rsidRPr="00C67FB1">
        <w:rPr>
          <w:rFonts w:ascii="Times New Roman" w:eastAsia="Times New Roman" w:hAnsi="Times New Roman" w:cs="Times New Roman"/>
          <w:i/>
        </w:rPr>
        <w:t xml:space="preserve"> laikymo sąlygomis</w:t>
      </w:r>
      <w:r w:rsidRPr="00CF0FDF">
        <w:rPr>
          <w:rFonts w:ascii="Times New Roman" w:eastAsia="Times New Roman" w:hAnsi="Times New Roman" w:cs="Times New Roman"/>
          <w:i/>
        </w:rPr>
        <w:t xml:space="preserve">: lyg. </w:t>
      </w:r>
      <w:proofErr w:type="spellStart"/>
      <w:r w:rsidRPr="00CF0FDF">
        <w:rPr>
          <w:rFonts w:ascii="Times New Roman" w:eastAsia="Times New Roman" w:hAnsi="Times New Roman" w:cs="Times New Roman"/>
          <w:i/>
        </w:rPr>
        <w:t>imp</w:t>
      </w:r>
      <w:proofErr w:type="spellEnd"/>
      <w:r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papildomai</w:t>
      </w:r>
      <w:r w:rsidRPr="00CF0FDF">
        <w:rPr>
          <w:rFonts w:ascii="Times New Roman" w:eastAsia="Times New Roman" w:hAnsi="Times New Roman" w:cs="Times New Roman"/>
          <w:i/>
        </w:rPr>
        <w:t xml:space="preserve"> - </w:t>
      </w:r>
      <w:r w:rsidRPr="00C67FB1">
        <w:rPr>
          <w:rFonts w:ascii="Times New Roman" w:eastAsia="Times New Roman" w:hAnsi="Times New Roman" w:cs="Times New Roman"/>
          <w:i/>
        </w:rPr>
        <w:t xml:space="preserve">laikyti išorinėje pakuotėje, kad </w:t>
      </w:r>
      <w:r w:rsidRPr="00CF0FDF">
        <w:rPr>
          <w:rFonts w:ascii="Times New Roman" w:eastAsia="Times New Roman" w:hAnsi="Times New Roman" w:cs="Times New Roman"/>
          <w:i/>
        </w:rPr>
        <w:t>vaistas</w:t>
      </w:r>
      <w:r w:rsidRPr="00C67FB1">
        <w:rPr>
          <w:rFonts w:ascii="Times New Roman" w:eastAsia="Times New Roman" w:hAnsi="Times New Roman" w:cs="Times New Roman"/>
          <w:i/>
        </w:rPr>
        <w:t xml:space="preserve"> būtų apsaugotas nuo šviesos</w:t>
      </w:r>
      <w:r w:rsidRPr="00CF0FDF">
        <w:rPr>
          <w:rFonts w:ascii="Times New Roman" w:eastAsia="Times New Roman" w:hAnsi="Times New Roman" w:cs="Times New Roman"/>
          <w:i/>
        </w:rPr>
        <w:t>;</w:t>
      </w:r>
      <w:r w:rsidRPr="00C67FB1">
        <w:rPr>
          <w:rFonts w:ascii="Times New Roman" w:eastAsia="Times New Roman" w:hAnsi="Times New Roman" w:cs="Times New Roman"/>
          <w:i/>
        </w:rPr>
        <w:t xml:space="preserve"> tinkamumo laiku</w:t>
      </w:r>
      <w:r w:rsidRPr="00CF0FDF">
        <w:rPr>
          <w:rFonts w:ascii="Times New Roman" w:eastAsia="Times New Roman" w:hAnsi="Times New Roman" w:cs="Times New Roman"/>
          <w:i/>
        </w:rPr>
        <w:t>:</w:t>
      </w:r>
      <w:r w:rsidRPr="00C67FB1">
        <w:rPr>
          <w:rFonts w:ascii="Times New Roman" w:eastAsia="Times New Roman" w:hAnsi="Times New Roman" w:cs="Times New Roman"/>
          <w:i/>
        </w:rPr>
        <w:t xml:space="preserve"> referencinio</w:t>
      </w:r>
      <w:r w:rsidRPr="00CF0FDF">
        <w:rPr>
          <w:rFonts w:ascii="Times New Roman" w:eastAsia="Times New Roman" w:hAnsi="Times New Roman" w:cs="Times New Roman"/>
          <w:i/>
        </w:rPr>
        <w:t xml:space="preserve"> </w:t>
      </w:r>
      <w:r w:rsidRPr="00C67FB1">
        <w:rPr>
          <w:rFonts w:ascii="Times New Roman" w:eastAsia="Times New Roman" w:hAnsi="Times New Roman" w:cs="Times New Roman"/>
          <w:i/>
        </w:rPr>
        <w:t>– 2 metai, lyg</w:t>
      </w:r>
      <w:r w:rsidRPr="00CF0FDF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Pr="00CF0FDF">
        <w:rPr>
          <w:rFonts w:ascii="Times New Roman" w:eastAsia="Times New Roman" w:hAnsi="Times New Roman" w:cs="Times New Roman"/>
          <w:i/>
        </w:rPr>
        <w:t>imp</w:t>
      </w:r>
      <w:proofErr w:type="spellEnd"/>
      <w:r w:rsidRPr="00CF0FDF">
        <w:rPr>
          <w:rFonts w:ascii="Times New Roman" w:eastAsia="Times New Roman" w:hAnsi="Times New Roman" w:cs="Times New Roman"/>
          <w:i/>
        </w:rPr>
        <w:t xml:space="preserve">. </w:t>
      </w:r>
      <w:r w:rsidRPr="00C67FB1">
        <w:rPr>
          <w:rFonts w:ascii="Times New Roman" w:eastAsia="Times New Roman" w:hAnsi="Times New Roman" w:cs="Times New Roman"/>
          <w:i/>
        </w:rPr>
        <w:t>– 3</w:t>
      </w:r>
      <w:r w:rsidRPr="00CF0FDF">
        <w:rPr>
          <w:rFonts w:ascii="Times New Roman" w:eastAsia="Times New Roman" w:hAnsi="Times New Roman" w:cs="Times New Roman"/>
          <w:i/>
        </w:rPr>
        <w:t xml:space="preserve"> metai</w:t>
      </w:r>
      <w:r w:rsidRPr="00C67FB1">
        <w:rPr>
          <w:rFonts w:ascii="Times New Roman" w:eastAsia="Times New Roman" w:hAnsi="Times New Roman" w:cs="Times New Roman"/>
          <w:i/>
        </w:rPr>
        <w:t>.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CF0FDF">
        <w:rPr>
          <w:rFonts w:ascii="Times New Roman" w:eastAsia="Times New Roman" w:hAnsi="Times New Roman" w:cs="Times New Roman"/>
          <w:b/>
        </w:rPr>
        <w:t xml:space="preserve">lapelis paskutinį kartą peržiūrėtas </w:t>
      </w:r>
      <w:bookmarkStart w:id="0" w:name="_GoBack"/>
      <w:bookmarkEnd w:id="0"/>
      <w:r w:rsidR="00C00109">
        <w:rPr>
          <w:rFonts w:ascii="Times New Roman" w:eastAsia="Times New Roman" w:hAnsi="Times New Roman" w:cs="Times New Roman"/>
          <w:b/>
        </w:rPr>
        <w:t>2019-01-07</w:t>
      </w:r>
    </w:p>
    <w:p w:rsidR="001C3858" w:rsidRPr="00CF0FDF" w:rsidRDefault="001C3858" w:rsidP="001C38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F0FDF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F0FDF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CF0FDF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CF0FDF">
        <w:rPr>
          <w:rFonts w:ascii="Times New Roman" w:eastAsia="Times New Roman" w:hAnsi="Times New Roman" w:cs="Times New Roman"/>
          <w:snapToGrid w:val="0"/>
        </w:rPr>
        <w:t>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yellow"/>
        </w:rPr>
      </w:pP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</w:t>
      </w:r>
    </w:p>
    <w:p w:rsidR="001C3858" w:rsidRPr="00CF0FDF" w:rsidRDefault="001C3858" w:rsidP="001C3858">
      <w:pPr>
        <w:numPr>
          <w:ilvl w:val="12"/>
          <w:numId w:val="0"/>
        </w:numPr>
        <w:adjustRightInd w:val="0"/>
        <w:snapToGri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CF0FDF">
        <w:rPr>
          <w:rFonts w:ascii="Times New Roman" w:eastAsia="Times New Roman" w:hAnsi="Times New Roman" w:cs="Times New Roman"/>
          <w:b/>
        </w:rPr>
        <w:t>Toliau pateikta informacija skirta tik sveikatos priežiūros specialistams</w:t>
      </w:r>
    </w:p>
    <w:p w:rsidR="001C3858" w:rsidRPr="00CF0FDF" w:rsidRDefault="001C3858" w:rsidP="001C3858">
      <w:pPr>
        <w:shd w:val="clear" w:color="auto" w:fill="FFFFFF"/>
        <w:spacing w:after="0" w:line="240" w:lineRule="auto"/>
        <w:ind w:left="-18" w:right="72"/>
        <w:rPr>
          <w:rFonts w:ascii="Times New Roman" w:eastAsia="Times New Roman" w:hAnsi="Times New Roman" w:cs="Times New Roman"/>
        </w:rPr>
      </w:pPr>
    </w:p>
    <w:p w:rsidR="001C3858" w:rsidRPr="00CF0FDF" w:rsidRDefault="000A0A2C" w:rsidP="001C3858">
      <w:pPr>
        <w:shd w:val="clear" w:color="auto" w:fill="FFFFFF"/>
        <w:spacing w:after="0" w:line="240" w:lineRule="auto"/>
        <w:ind w:left="-18" w:right="72"/>
        <w:rPr>
          <w:rFonts w:ascii="Times New Roman" w:eastAsia="Times New Roman" w:hAnsi="Times New Roman" w:cs="Times New Roman"/>
          <w:color w:val="000000"/>
        </w:rPr>
      </w:pPr>
      <w:proofErr w:type="spellStart"/>
      <w:r w:rsidRPr="00CF0FDF">
        <w:rPr>
          <w:rFonts w:ascii="Times New Roman" w:eastAsia="Times New Roman" w:hAnsi="Times New Roman" w:cs="Times New Roman"/>
          <w:iCs/>
        </w:rPr>
        <w:t>Dobutamine</w:t>
      </w:r>
      <w:proofErr w:type="spellEnd"/>
      <w:r w:rsidRPr="00CF0FD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i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koncentratą prieš vartojimą būtina praskiesti, jo galima tik </w:t>
      </w:r>
      <w:proofErr w:type="spellStart"/>
      <w:r w:rsidR="001C3858" w:rsidRPr="00CF0FDF">
        <w:rPr>
          <w:rFonts w:ascii="Times New Roman" w:eastAsia="Times New Roman" w:hAnsi="Times New Roman" w:cs="Times New Roman"/>
        </w:rPr>
        <w:t>infuzuoti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į veną per intraveninę adatą ar kateterį. 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Dobutamino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 xml:space="preserve"> pusinės eliminacijos laikas yra trumpas, todėl vaistinio preparato reikia vartoti nepertraukiama infuzija. Didelės koncentracijos 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dobutaminą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 xml:space="preserve"> galima </w:t>
      </w:r>
      <w:proofErr w:type="spellStart"/>
      <w:r w:rsidR="001C3858" w:rsidRPr="00CF0FDF">
        <w:rPr>
          <w:rFonts w:ascii="Times New Roman" w:eastAsia="Times New Roman" w:hAnsi="Times New Roman" w:cs="Times New Roman"/>
          <w:color w:val="000000"/>
        </w:rPr>
        <w:t>infuzuoti</w:t>
      </w:r>
      <w:proofErr w:type="spellEnd"/>
      <w:r w:rsidR="001C3858" w:rsidRPr="00CF0FDF">
        <w:rPr>
          <w:rFonts w:ascii="Times New Roman" w:eastAsia="Times New Roman" w:hAnsi="Times New Roman" w:cs="Times New Roman"/>
          <w:color w:val="000000"/>
        </w:rPr>
        <w:t xml:space="preserve"> tik naudojant infuzinę pompą ar kitokią sistemą, garantuojančią tikslų dozavimą.</w:t>
      </w:r>
    </w:p>
    <w:p w:rsidR="001C3858" w:rsidRPr="00CF0FDF" w:rsidRDefault="001C3858" w:rsidP="001C3858">
      <w:pPr>
        <w:shd w:val="clear" w:color="auto" w:fill="FFFFFF"/>
        <w:tabs>
          <w:tab w:val="left" w:pos="567"/>
        </w:tabs>
        <w:spacing w:after="0" w:line="260" w:lineRule="exact"/>
        <w:ind w:right="72"/>
        <w:jc w:val="both"/>
        <w:rPr>
          <w:rFonts w:ascii="Times New Roman" w:eastAsia="Times New Roman" w:hAnsi="Times New Roman" w:cs="Times New Roman"/>
          <w:color w:val="000000"/>
          <w:spacing w:val="-1"/>
          <w:u w:val="single"/>
        </w:rPr>
      </w:pPr>
    </w:p>
    <w:p w:rsidR="001C3858" w:rsidRPr="00CF0FDF" w:rsidRDefault="000A0A2C" w:rsidP="001C3858">
      <w:pPr>
        <w:shd w:val="clear" w:color="auto" w:fill="FFFFFF"/>
        <w:tabs>
          <w:tab w:val="left" w:pos="567"/>
        </w:tabs>
        <w:spacing w:after="0" w:line="240" w:lineRule="auto"/>
        <w:ind w:right="72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CF0FDF">
        <w:rPr>
          <w:rFonts w:ascii="Times New Roman" w:eastAsia="Times New Roman" w:hAnsi="Times New Roman" w:cs="Times New Roman"/>
          <w:iCs/>
        </w:rPr>
        <w:lastRenderedPageBreak/>
        <w:t>Dobutamine</w:t>
      </w:r>
      <w:proofErr w:type="spellEnd"/>
      <w:r w:rsidRPr="00CF0FD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CF0FDF">
        <w:rPr>
          <w:rFonts w:ascii="Times New Roman" w:eastAsia="Times New Roman" w:hAnsi="Times New Roman" w:cs="Times New Roman"/>
          <w:iCs/>
        </w:rPr>
        <w:t>Hameln</w:t>
      </w:r>
      <w:proofErr w:type="spellEnd"/>
      <w:r w:rsidR="001C3858" w:rsidRPr="00CF0FDF">
        <w:rPr>
          <w:rFonts w:ascii="Times New Roman" w:eastAsia="Times New Roman" w:hAnsi="Times New Roman" w:cs="Times New Roman"/>
        </w:rPr>
        <w:t xml:space="preserve"> prieš infuziją galima skiesti šiais steriliais intraveniniais infuziniais tirpalais: </w:t>
      </w:r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0,9% (9 mg/ml) natrio chlorido tirpalu, 5% (50 mg/ml) gliukozės tirpalu, 5% (50 mg/ml) </w:t>
      </w:r>
      <w:proofErr w:type="spellStart"/>
      <w:r w:rsidR="001C3858" w:rsidRPr="00CF0FDF">
        <w:rPr>
          <w:rFonts w:ascii="Times New Roman" w:eastAsia="Times New Roman" w:hAnsi="Times New Roman" w:cs="Times New Roman"/>
          <w:lang w:eastAsia="es-ES"/>
        </w:rPr>
        <w:t>dekstrozės</w:t>
      </w:r>
      <w:proofErr w:type="spellEnd"/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 tirpalu ar </w:t>
      </w:r>
      <w:proofErr w:type="spellStart"/>
      <w:r w:rsidR="001C3858" w:rsidRPr="00CF0FDF">
        <w:rPr>
          <w:rFonts w:ascii="Times New Roman" w:eastAsia="Times New Roman" w:hAnsi="Times New Roman" w:cs="Times New Roman"/>
          <w:lang w:eastAsia="es-ES"/>
        </w:rPr>
        <w:t>Ringerio</w:t>
      </w:r>
      <w:proofErr w:type="spellEnd"/>
      <w:r w:rsidR="001C3858" w:rsidRPr="00CF0FDF">
        <w:rPr>
          <w:rFonts w:ascii="Times New Roman" w:eastAsia="Times New Roman" w:hAnsi="Times New Roman" w:cs="Times New Roman"/>
          <w:lang w:eastAsia="es-ES"/>
        </w:rPr>
        <w:t xml:space="preserve"> laktato tirpalu.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Fizikiniu ir cheminiu požiūriu 2</w:t>
      </w:r>
      <w:bookmarkStart w:id="1" w:name="OLE_LINK1"/>
      <w:bookmarkStart w:id="2" w:name="OLE_LINK5"/>
      <w:r w:rsidRPr="00CF0FDF">
        <w:rPr>
          <w:rFonts w:ascii="Times New Roman" w:eastAsia="Times New Roman" w:hAnsi="Times New Roman" w:cs="Times New Roman"/>
        </w:rPr>
        <w:t>°C</w:t>
      </w:r>
      <w:bookmarkEnd w:id="1"/>
      <w:bookmarkEnd w:id="2"/>
      <w:r w:rsidRPr="00CF0FDF">
        <w:rPr>
          <w:rFonts w:ascii="Times New Roman" w:eastAsia="Times New Roman" w:hAnsi="Times New Roman" w:cs="Times New Roman"/>
        </w:rPr>
        <w:t xml:space="preserve"> -8°C temperatūroje vaistinis preparatas išlieka stabilus 24 valandas. Mikrobiologiniu požiūriu paruoštą infuzinį tirpalą būtina vartoti nedelsiant. Jei jo nevartojama iš karto, už vaistinio preparato laikymo trukmę ir sąlygas atsako jo </w:t>
      </w:r>
      <w:proofErr w:type="spellStart"/>
      <w:r w:rsidRPr="00CF0FDF">
        <w:rPr>
          <w:rFonts w:ascii="Times New Roman" w:eastAsia="Times New Roman" w:hAnsi="Times New Roman" w:cs="Times New Roman"/>
        </w:rPr>
        <w:t>infuzuojantis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specialistas, tačiau paprastai laikoma ne ilgiau kaip 24 valandas 2°C </w:t>
      </w:r>
      <w:r w:rsidRPr="00CF0FDF">
        <w:rPr>
          <w:rFonts w:ascii="Times New Roman" w:eastAsia="Times New Roman" w:hAnsi="Times New Roman" w:cs="Times New Roman"/>
        </w:rPr>
        <w:noBreakHyphen/>
        <w:t>8</w:t>
      </w:r>
      <w:r w:rsidRPr="00CF0FDF">
        <w:rPr>
          <w:rFonts w:ascii="Times New Roman" w:eastAsia="Times New Roman" w:hAnsi="Times New Roman" w:cs="Times New Roman"/>
        </w:rPr>
        <w:sym w:font="Symbol" w:char="F0B0"/>
      </w:r>
      <w:r w:rsidRPr="00CF0FDF">
        <w:rPr>
          <w:rFonts w:ascii="Times New Roman" w:eastAsia="Times New Roman" w:hAnsi="Times New Roman" w:cs="Times New Roman"/>
        </w:rPr>
        <w:t xml:space="preserve">C temperatūroje, nebent paruošimas ar skiedimas atliktas kontroliuojamomis ir patvirtintomis </w:t>
      </w:r>
      <w:proofErr w:type="spellStart"/>
      <w:r w:rsidRPr="00CF0FDF">
        <w:rPr>
          <w:rFonts w:ascii="Times New Roman" w:eastAsia="Times New Roman" w:hAnsi="Times New Roman" w:cs="Times New Roman"/>
        </w:rPr>
        <w:t>aseptinėmis</w:t>
      </w:r>
      <w:proofErr w:type="spellEnd"/>
      <w:r w:rsidRPr="00CF0FDF">
        <w:rPr>
          <w:rFonts w:ascii="Times New Roman" w:eastAsia="Times New Roman" w:hAnsi="Times New Roman" w:cs="Times New Roman"/>
        </w:rPr>
        <w:t xml:space="preserve"> sąlygomis.</w:t>
      </w:r>
    </w:p>
    <w:p w:rsidR="001C3858" w:rsidRPr="00CF0FDF" w:rsidRDefault="001C3858" w:rsidP="001C3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7F1FF0" w:rsidRPr="00CF0FDF" w:rsidRDefault="001C3858" w:rsidP="001C3858">
      <w:pPr>
        <w:rPr>
          <w:rFonts w:ascii="Times New Roman" w:hAnsi="Times New Roman" w:cs="Times New Roman"/>
        </w:rPr>
      </w:pPr>
      <w:r w:rsidRPr="00CF0FDF">
        <w:rPr>
          <w:rFonts w:ascii="Times New Roman" w:eastAsia="Times New Roman" w:hAnsi="Times New Roman" w:cs="Times New Roman"/>
        </w:rPr>
        <w:t>Nesuvartotą vaistinį preparatą ar atliekas reikia tvarkyti laikantis vietinių reikalavimų.</w:t>
      </w:r>
    </w:p>
    <w:sectPr w:rsidR="007F1FF0" w:rsidRPr="00CF0F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332"/>
    <w:multiLevelType w:val="hybridMultilevel"/>
    <w:tmpl w:val="BB4032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58"/>
    <w:rsid w:val="000A01FE"/>
    <w:rsid w:val="000A0A2C"/>
    <w:rsid w:val="000A6DF7"/>
    <w:rsid w:val="000E69AB"/>
    <w:rsid w:val="00136705"/>
    <w:rsid w:val="00151DAF"/>
    <w:rsid w:val="001C3858"/>
    <w:rsid w:val="0040682F"/>
    <w:rsid w:val="00467BF7"/>
    <w:rsid w:val="004844DB"/>
    <w:rsid w:val="00501806"/>
    <w:rsid w:val="00504FEA"/>
    <w:rsid w:val="00576F08"/>
    <w:rsid w:val="00624E46"/>
    <w:rsid w:val="006A16C1"/>
    <w:rsid w:val="007B61A4"/>
    <w:rsid w:val="007C6D57"/>
    <w:rsid w:val="007F1FF0"/>
    <w:rsid w:val="008743DC"/>
    <w:rsid w:val="008E398C"/>
    <w:rsid w:val="00922FCB"/>
    <w:rsid w:val="009C72E3"/>
    <w:rsid w:val="00A24293"/>
    <w:rsid w:val="00BC062B"/>
    <w:rsid w:val="00C00109"/>
    <w:rsid w:val="00C67FB1"/>
    <w:rsid w:val="00CF0FDF"/>
    <w:rsid w:val="00E02CA0"/>
    <w:rsid w:val="00E03440"/>
    <w:rsid w:val="00E32189"/>
    <w:rsid w:val="00E6005B"/>
    <w:rsid w:val="00E92117"/>
    <w:rsid w:val="00E97C7C"/>
    <w:rsid w:val="00F205B0"/>
    <w:rsid w:val="00FC51D4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A833"/>
  <w15:chartTrackingRefBased/>
  <w15:docId w15:val="{95979649-04C6-46ED-B735-0C5E47F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1D4"/>
    <w:pPr>
      <w:ind w:left="720"/>
      <w:contextualSpacing/>
    </w:pPr>
  </w:style>
  <w:style w:type="paragraph" w:customStyle="1" w:styleId="Default">
    <w:name w:val="Default"/>
    <w:rsid w:val="005018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01806"/>
    <w:pPr>
      <w:spacing w:line="1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11923</Words>
  <Characters>6797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</dc:creator>
  <cp:keywords/>
  <dc:description/>
  <cp:lastModifiedBy>Gediminas Ruša</cp:lastModifiedBy>
  <cp:revision>4</cp:revision>
  <dcterms:created xsi:type="dcterms:W3CDTF">2018-12-13T16:06:00Z</dcterms:created>
  <dcterms:modified xsi:type="dcterms:W3CDTF">2019-01-09T09:36:00Z</dcterms:modified>
</cp:coreProperties>
</file>