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F663" w14:textId="2C6D9D1C" w:rsidR="00636066" w:rsidRDefault="009544C7">
      <w:pPr>
        <w:widowControl w:val="0"/>
        <w:tabs>
          <w:tab w:val="clear" w:pos="567"/>
        </w:tabs>
        <w:spacing w:line="240" w:lineRule="auto"/>
        <w:ind w:left="567" w:hanging="567"/>
        <w:jc w:val="center"/>
        <w:rPr>
          <w:b/>
          <w:bCs/>
          <w:snapToGrid/>
          <w:szCs w:val="22"/>
          <w:lang w:val="lt-LT"/>
        </w:rPr>
      </w:pPr>
      <w:r>
        <w:rPr>
          <w:b/>
          <w:bCs/>
          <w:snapToGrid/>
          <w:szCs w:val="22"/>
          <w:lang w:val="lt-LT"/>
        </w:rPr>
        <w:t>Pakuotės lapelis: informacija pacientui</w:t>
      </w:r>
    </w:p>
    <w:p w14:paraId="551A038A" w14:textId="77777777" w:rsidR="00636066" w:rsidRDefault="00636066">
      <w:pPr>
        <w:widowControl w:val="0"/>
        <w:tabs>
          <w:tab w:val="clear" w:pos="567"/>
        </w:tabs>
        <w:spacing w:line="240" w:lineRule="auto"/>
        <w:ind w:left="567" w:hanging="567"/>
        <w:jc w:val="center"/>
        <w:rPr>
          <w:b/>
          <w:snapToGrid/>
          <w:szCs w:val="22"/>
          <w:lang w:val="lt-LT"/>
        </w:rPr>
      </w:pPr>
    </w:p>
    <w:p w14:paraId="62069B39" w14:textId="77777777" w:rsidR="00636066" w:rsidRDefault="009544C7">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Maysiglu</w:t>
      </w:r>
      <w:proofErr w:type="spellEnd"/>
      <w:r>
        <w:rPr>
          <w:b/>
          <w:bCs/>
          <w:snapToGrid/>
          <w:color w:val="000000"/>
          <w:szCs w:val="22"/>
          <w:lang w:val="lt-LT"/>
        </w:rPr>
        <w:t xml:space="preserve"> 25 mg plėvele dengtos tabletės</w:t>
      </w:r>
    </w:p>
    <w:p w14:paraId="327DCE99" w14:textId="77777777" w:rsidR="00636066" w:rsidRDefault="009544C7">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Maysiglu</w:t>
      </w:r>
      <w:proofErr w:type="spellEnd"/>
      <w:r>
        <w:rPr>
          <w:b/>
          <w:bCs/>
          <w:snapToGrid/>
          <w:color w:val="000000"/>
          <w:szCs w:val="22"/>
          <w:lang w:val="lt-LT"/>
        </w:rPr>
        <w:t xml:space="preserve"> 50 mg plėvele dengtos tabletės</w:t>
      </w:r>
    </w:p>
    <w:p w14:paraId="1F6B84D9" w14:textId="77777777" w:rsidR="00636066" w:rsidRDefault="009544C7">
      <w:pPr>
        <w:widowControl w:val="0"/>
        <w:tabs>
          <w:tab w:val="clear" w:pos="567"/>
        </w:tabs>
        <w:spacing w:line="240" w:lineRule="auto"/>
        <w:ind w:left="567" w:hanging="567"/>
        <w:jc w:val="center"/>
        <w:rPr>
          <w:snapToGrid/>
          <w:szCs w:val="22"/>
          <w:lang w:val="lt-LT"/>
        </w:rPr>
      </w:pPr>
      <w:proofErr w:type="spellStart"/>
      <w:r>
        <w:rPr>
          <w:b/>
          <w:bCs/>
          <w:snapToGrid/>
          <w:szCs w:val="22"/>
          <w:lang w:val="lt-LT"/>
        </w:rPr>
        <w:t>Maysiglu</w:t>
      </w:r>
      <w:proofErr w:type="spellEnd"/>
      <w:r>
        <w:rPr>
          <w:b/>
          <w:bCs/>
          <w:snapToGrid/>
          <w:szCs w:val="22"/>
          <w:lang w:val="lt-LT"/>
        </w:rPr>
        <w:t xml:space="preserve"> 100 mg plėvele dengtos tabletės</w:t>
      </w:r>
    </w:p>
    <w:p w14:paraId="7AD43452" w14:textId="77777777" w:rsidR="00636066" w:rsidRDefault="009544C7">
      <w:pPr>
        <w:widowControl w:val="0"/>
        <w:tabs>
          <w:tab w:val="clear" w:pos="567"/>
        </w:tabs>
        <w:spacing w:line="240" w:lineRule="auto"/>
        <w:ind w:left="567" w:hanging="567"/>
        <w:jc w:val="center"/>
        <w:rPr>
          <w:snapToGrid/>
          <w:szCs w:val="22"/>
          <w:lang w:val="lt-LT"/>
        </w:rPr>
      </w:pPr>
      <w:proofErr w:type="spellStart"/>
      <w:r>
        <w:rPr>
          <w:snapToGrid/>
          <w:szCs w:val="22"/>
          <w:lang w:val="lt-LT"/>
        </w:rPr>
        <w:t>sitagliptinas</w:t>
      </w:r>
      <w:proofErr w:type="spellEnd"/>
    </w:p>
    <w:p w14:paraId="39E83689" w14:textId="77777777" w:rsidR="00636066" w:rsidRDefault="00636066">
      <w:pPr>
        <w:widowControl w:val="0"/>
        <w:tabs>
          <w:tab w:val="clear" w:pos="567"/>
        </w:tabs>
        <w:spacing w:line="240" w:lineRule="auto"/>
        <w:rPr>
          <w:snapToGrid/>
          <w:szCs w:val="22"/>
          <w:lang w:val="lt-LT"/>
        </w:rPr>
      </w:pPr>
    </w:p>
    <w:p w14:paraId="1C80EC48"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18F536B6" w14:textId="77777777" w:rsidR="00636066" w:rsidRDefault="009544C7">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1240B292" w14:textId="77777777" w:rsidR="00636066" w:rsidRDefault="009544C7">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570F4555" w14:textId="77777777" w:rsidR="00636066" w:rsidRDefault="009544C7">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7FE3B3DA" w14:textId="77777777" w:rsidR="00636066" w:rsidRDefault="009544C7">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5D77BA90" w14:textId="77777777" w:rsidR="00636066" w:rsidRDefault="00636066">
      <w:pPr>
        <w:widowControl w:val="0"/>
        <w:autoSpaceDE w:val="0"/>
        <w:autoSpaceDN w:val="0"/>
        <w:adjustRightInd w:val="0"/>
        <w:spacing w:line="240" w:lineRule="auto"/>
        <w:ind w:left="567" w:hanging="567"/>
        <w:rPr>
          <w:bCs/>
          <w:snapToGrid/>
          <w:szCs w:val="22"/>
          <w:lang w:val="lt-LT"/>
        </w:rPr>
      </w:pPr>
    </w:p>
    <w:p w14:paraId="553D16A1" w14:textId="77777777" w:rsidR="00636066" w:rsidRDefault="009544C7">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239A030B" w14:textId="77777777" w:rsidR="00636066" w:rsidRDefault="00636066">
      <w:pPr>
        <w:widowControl w:val="0"/>
        <w:tabs>
          <w:tab w:val="clear" w:pos="567"/>
        </w:tabs>
        <w:spacing w:line="240" w:lineRule="auto"/>
        <w:rPr>
          <w:bCs/>
          <w:snapToGrid/>
          <w:szCs w:val="22"/>
          <w:lang w:val="lt-LT"/>
        </w:rPr>
      </w:pPr>
    </w:p>
    <w:p w14:paraId="66738DB1"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Maysiglu</w:t>
      </w:r>
      <w:proofErr w:type="spellEnd"/>
      <w:r>
        <w:rPr>
          <w:snapToGrid/>
          <w:szCs w:val="22"/>
          <w:lang w:val="lt-LT"/>
        </w:rPr>
        <w:t xml:space="preserve"> ir kam jis vartojamas</w:t>
      </w:r>
    </w:p>
    <w:p w14:paraId="7A0FB130"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Maysiglu</w:t>
      </w:r>
      <w:proofErr w:type="spellEnd"/>
    </w:p>
    <w:p w14:paraId="470D823C"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Maysiglu</w:t>
      </w:r>
      <w:proofErr w:type="spellEnd"/>
    </w:p>
    <w:p w14:paraId="6C4A251D"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737ECA42"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Maysiglu</w:t>
      </w:r>
      <w:proofErr w:type="spellEnd"/>
    </w:p>
    <w:p w14:paraId="62224893"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58472051" w14:textId="77777777" w:rsidR="00636066" w:rsidRDefault="00636066">
      <w:pPr>
        <w:widowControl w:val="0"/>
        <w:numPr>
          <w:ilvl w:val="12"/>
          <w:numId w:val="0"/>
        </w:numPr>
        <w:tabs>
          <w:tab w:val="clear" w:pos="567"/>
        </w:tabs>
        <w:spacing w:line="240" w:lineRule="auto"/>
        <w:rPr>
          <w:snapToGrid/>
          <w:szCs w:val="22"/>
          <w:lang w:val="lt-LT"/>
        </w:rPr>
      </w:pPr>
    </w:p>
    <w:p w14:paraId="3BAFB95D" w14:textId="77777777" w:rsidR="00636066" w:rsidRDefault="00636066">
      <w:pPr>
        <w:widowControl w:val="0"/>
        <w:numPr>
          <w:ilvl w:val="12"/>
          <w:numId w:val="0"/>
        </w:numPr>
        <w:tabs>
          <w:tab w:val="clear" w:pos="567"/>
        </w:tabs>
        <w:spacing w:line="240" w:lineRule="auto"/>
        <w:rPr>
          <w:snapToGrid/>
          <w:szCs w:val="22"/>
          <w:lang w:val="lt-LT"/>
        </w:rPr>
      </w:pPr>
    </w:p>
    <w:p w14:paraId="5F66FAE0"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Maysiglu</w:t>
      </w:r>
      <w:proofErr w:type="spellEnd"/>
      <w:r>
        <w:rPr>
          <w:b/>
          <w:bCs/>
          <w:snapToGrid/>
          <w:szCs w:val="22"/>
          <w:lang w:val="lt-LT"/>
        </w:rPr>
        <w:t xml:space="preserve"> </w:t>
      </w:r>
      <w:r>
        <w:rPr>
          <w:b/>
          <w:snapToGrid/>
          <w:szCs w:val="22"/>
          <w:lang w:val="lt-LT"/>
        </w:rPr>
        <w:t>ir kam jis vartojamas</w:t>
      </w:r>
    </w:p>
    <w:p w14:paraId="0CB35844" w14:textId="77777777" w:rsidR="00636066" w:rsidRDefault="00636066">
      <w:pPr>
        <w:widowControl w:val="0"/>
        <w:tabs>
          <w:tab w:val="clear" w:pos="567"/>
        </w:tabs>
        <w:spacing w:line="240" w:lineRule="auto"/>
        <w:ind w:left="567" w:hanging="567"/>
        <w:rPr>
          <w:snapToGrid/>
          <w:szCs w:val="22"/>
          <w:lang w:val="lt-LT"/>
        </w:rPr>
      </w:pPr>
    </w:p>
    <w:p w14:paraId="574DE9F7"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 xml:space="preserve"> sudėtyje yra veikliosios medžiagos </w:t>
      </w:r>
      <w:proofErr w:type="spellStart"/>
      <w:r>
        <w:rPr>
          <w:snapToGrid/>
          <w:szCs w:val="22"/>
          <w:lang w:val="lt-LT"/>
        </w:rPr>
        <w:t>sitagliptino</w:t>
      </w:r>
      <w:proofErr w:type="spellEnd"/>
      <w:r>
        <w:rPr>
          <w:snapToGrid/>
          <w:szCs w:val="22"/>
          <w:lang w:val="lt-LT"/>
        </w:rPr>
        <w:t>, kuris yra vaistų klasės, vadinamos DPP</w:t>
      </w:r>
      <w:r>
        <w:rPr>
          <w:snapToGrid/>
          <w:szCs w:val="22"/>
          <w:lang w:val="lt-LT"/>
        </w:rPr>
        <w:noBreakHyphen/>
        <w:t>4 inhibitoriais (dipeptidilpeptidazės</w:t>
      </w:r>
      <w:r>
        <w:rPr>
          <w:snapToGrid/>
          <w:szCs w:val="22"/>
          <w:lang w:val="lt-LT"/>
        </w:rPr>
        <w:noBreakHyphen/>
        <w:t>4 inhibitoriais), atstovas ir mažina cukraus kiekį 2 tipo cukriniu diabetu sergančių suaugusiųjų kraujyje.</w:t>
      </w:r>
    </w:p>
    <w:p w14:paraId="63158A96" w14:textId="77777777" w:rsidR="00636066" w:rsidRDefault="00636066">
      <w:pPr>
        <w:widowControl w:val="0"/>
        <w:tabs>
          <w:tab w:val="clear" w:pos="567"/>
        </w:tabs>
        <w:autoSpaceDE w:val="0"/>
        <w:autoSpaceDN w:val="0"/>
        <w:adjustRightInd w:val="0"/>
        <w:spacing w:line="240" w:lineRule="auto"/>
        <w:rPr>
          <w:snapToGrid/>
          <w:szCs w:val="22"/>
          <w:lang w:val="lt-LT"/>
        </w:rPr>
      </w:pPr>
    </w:p>
    <w:p w14:paraId="4C727EDF"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Šis vaistas padeda padidinti insulino kiekį po valgio ir sumažina paties organizmo gaminamo cukraus kiekį.</w:t>
      </w:r>
    </w:p>
    <w:p w14:paraId="5F7A1DCE" w14:textId="77777777" w:rsidR="00636066" w:rsidRDefault="00636066">
      <w:pPr>
        <w:widowControl w:val="0"/>
        <w:tabs>
          <w:tab w:val="clear" w:pos="567"/>
        </w:tabs>
        <w:autoSpaceDE w:val="0"/>
        <w:autoSpaceDN w:val="0"/>
        <w:adjustRightInd w:val="0"/>
        <w:spacing w:line="240" w:lineRule="auto"/>
        <w:rPr>
          <w:snapToGrid/>
          <w:szCs w:val="22"/>
          <w:lang w:val="lt-LT"/>
        </w:rPr>
      </w:pPr>
    </w:p>
    <w:p w14:paraId="6AD65E25"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2"/>
          <w:lang w:val="lt-LT"/>
        </w:rPr>
        <w:t xml:space="preserve">Jūsų gydytojas skyrė šį vaistą, kad jis padėtų sumažinti cukraus kiekį kraujyje, kuris yra per didelis, nes sergate 2 tipo cukriniu diabetu. </w:t>
      </w:r>
      <w:r>
        <w:rPr>
          <w:snapToGrid/>
          <w:szCs w:val="24"/>
          <w:lang w:val="lt-LT"/>
        </w:rPr>
        <w:t xml:space="preserve">Šis vaistas gali būti vartojamas vienas arba kartu su kitais cukraus kiekį kraujyje mažinančiais vaistais (insulinu, </w:t>
      </w:r>
      <w:proofErr w:type="spellStart"/>
      <w:r>
        <w:rPr>
          <w:snapToGrid/>
          <w:szCs w:val="24"/>
          <w:lang w:val="lt-LT"/>
        </w:rPr>
        <w:t>metforminu</w:t>
      </w:r>
      <w:proofErr w:type="spellEnd"/>
      <w:r>
        <w:rPr>
          <w:snapToGrid/>
          <w:szCs w:val="24"/>
          <w:lang w:val="lt-LT"/>
        </w:rPr>
        <w:t xml:space="preserve">, </w:t>
      </w:r>
      <w:proofErr w:type="spellStart"/>
      <w:r>
        <w:rPr>
          <w:snapToGrid/>
          <w:szCs w:val="24"/>
          <w:lang w:val="lt-LT"/>
        </w:rPr>
        <w:t>sulfonilurėjos</w:t>
      </w:r>
      <w:proofErr w:type="spellEnd"/>
      <w:r>
        <w:rPr>
          <w:snapToGrid/>
          <w:szCs w:val="24"/>
          <w:lang w:val="lt-LT"/>
        </w:rPr>
        <w:t xml:space="preserve"> dariniu ar </w:t>
      </w:r>
      <w:proofErr w:type="spellStart"/>
      <w:r>
        <w:rPr>
          <w:snapToGrid/>
          <w:szCs w:val="24"/>
          <w:lang w:val="lt-LT"/>
        </w:rPr>
        <w:t>glitazonais</w:t>
      </w:r>
      <w:proofErr w:type="spellEnd"/>
      <w:r>
        <w:rPr>
          <w:snapToGrid/>
          <w:szCs w:val="24"/>
          <w:lang w:val="lt-LT"/>
        </w:rPr>
        <w:t>), kurių Jūs nuo cukrinio diabeto galbūt jau vartojate kartu vykdydami mitybos ir fizinio aktyvumo programą.</w:t>
      </w:r>
    </w:p>
    <w:p w14:paraId="3CE6AA60" w14:textId="77777777" w:rsidR="00636066" w:rsidRDefault="00636066">
      <w:pPr>
        <w:widowControl w:val="0"/>
        <w:tabs>
          <w:tab w:val="clear" w:pos="567"/>
        </w:tabs>
        <w:autoSpaceDE w:val="0"/>
        <w:autoSpaceDN w:val="0"/>
        <w:adjustRightInd w:val="0"/>
        <w:spacing w:line="240" w:lineRule="auto"/>
        <w:rPr>
          <w:snapToGrid/>
          <w:szCs w:val="24"/>
          <w:lang w:val="lt-LT"/>
        </w:rPr>
      </w:pPr>
    </w:p>
    <w:p w14:paraId="7823054E" w14:textId="77777777" w:rsidR="00636066" w:rsidRDefault="009544C7">
      <w:pPr>
        <w:widowControl w:val="0"/>
        <w:tabs>
          <w:tab w:val="clear" w:pos="567"/>
        </w:tabs>
        <w:autoSpaceDE w:val="0"/>
        <w:autoSpaceDN w:val="0"/>
        <w:adjustRightInd w:val="0"/>
        <w:spacing w:line="240" w:lineRule="auto"/>
        <w:rPr>
          <w:iCs/>
          <w:snapToGrid/>
          <w:szCs w:val="22"/>
          <w:lang w:val="lt-LT"/>
        </w:rPr>
      </w:pPr>
      <w:r>
        <w:rPr>
          <w:iCs/>
          <w:snapToGrid/>
          <w:szCs w:val="22"/>
          <w:lang w:val="lt-LT"/>
        </w:rPr>
        <w:t>Kas yra 2 tipo cukrinis diabetas?</w:t>
      </w:r>
    </w:p>
    <w:p w14:paraId="728F78C5"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2 tipo cukrinis diabetas yra būklė, kai Jūsų organizmas gamina nepakankamai insulino, o tas insulinas, kurį Jūsų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14:paraId="05190C17" w14:textId="77777777" w:rsidR="00636066" w:rsidRDefault="00636066">
      <w:pPr>
        <w:widowControl w:val="0"/>
        <w:numPr>
          <w:ilvl w:val="12"/>
          <w:numId w:val="0"/>
        </w:numPr>
        <w:tabs>
          <w:tab w:val="clear" w:pos="567"/>
        </w:tabs>
        <w:spacing w:line="240" w:lineRule="auto"/>
        <w:rPr>
          <w:snapToGrid/>
          <w:szCs w:val="22"/>
          <w:lang w:val="lt-LT"/>
        </w:rPr>
      </w:pPr>
    </w:p>
    <w:p w14:paraId="2CF17ED6" w14:textId="77777777" w:rsidR="00636066" w:rsidRDefault="00636066">
      <w:pPr>
        <w:widowControl w:val="0"/>
        <w:numPr>
          <w:ilvl w:val="12"/>
          <w:numId w:val="0"/>
        </w:numPr>
        <w:tabs>
          <w:tab w:val="clear" w:pos="567"/>
        </w:tabs>
        <w:spacing w:line="240" w:lineRule="auto"/>
        <w:rPr>
          <w:snapToGrid/>
          <w:szCs w:val="22"/>
          <w:lang w:val="lt-LT"/>
        </w:rPr>
      </w:pPr>
    </w:p>
    <w:p w14:paraId="479B9F39"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Maysiglu</w:t>
      </w:r>
      <w:proofErr w:type="spellEnd"/>
    </w:p>
    <w:p w14:paraId="3838327D" w14:textId="77777777" w:rsidR="00636066" w:rsidRDefault="00636066">
      <w:pPr>
        <w:widowControl w:val="0"/>
        <w:tabs>
          <w:tab w:val="clear" w:pos="567"/>
        </w:tabs>
        <w:spacing w:line="240" w:lineRule="auto"/>
        <w:ind w:left="567" w:hanging="567"/>
        <w:rPr>
          <w:snapToGrid/>
          <w:szCs w:val="22"/>
          <w:lang w:val="lt-LT"/>
        </w:rPr>
      </w:pPr>
    </w:p>
    <w:p w14:paraId="5EF5A4A6" w14:textId="77777777" w:rsidR="00636066" w:rsidRDefault="009544C7">
      <w:pPr>
        <w:widowControl w:val="0"/>
        <w:tabs>
          <w:tab w:val="clear" w:pos="567"/>
        </w:tabs>
        <w:spacing w:line="240" w:lineRule="auto"/>
        <w:ind w:left="567" w:hanging="567"/>
        <w:rPr>
          <w:b/>
          <w:bCs/>
          <w:caps/>
          <w:snapToGrid/>
          <w:szCs w:val="22"/>
          <w:lang w:val="lt-LT"/>
        </w:rPr>
      </w:pPr>
      <w:proofErr w:type="spellStart"/>
      <w:r>
        <w:rPr>
          <w:b/>
          <w:bCs/>
          <w:snapToGrid/>
          <w:szCs w:val="22"/>
          <w:lang w:val="lt-LT"/>
        </w:rPr>
        <w:t>Maysiglu</w:t>
      </w:r>
      <w:proofErr w:type="spellEnd"/>
      <w:r>
        <w:rPr>
          <w:b/>
          <w:bCs/>
          <w:snapToGrid/>
          <w:szCs w:val="22"/>
          <w:lang w:val="lt-LT"/>
        </w:rPr>
        <w:t xml:space="preserve"> vartoti draudžiama</w:t>
      </w:r>
    </w:p>
    <w:p w14:paraId="10BA59D6" w14:textId="77777777" w:rsidR="00636066" w:rsidRDefault="009544C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sitagliptinui</w:t>
      </w:r>
      <w:proofErr w:type="spellEnd"/>
      <w:r>
        <w:rPr>
          <w:snapToGrid/>
          <w:szCs w:val="22"/>
          <w:lang w:val="lt-LT"/>
        </w:rPr>
        <w:t xml:space="preserve"> arba bet kuriai pagalbinei šio vaisto medžiagai (jos išvardytos 6 skyriuje).</w:t>
      </w:r>
    </w:p>
    <w:p w14:paraId="58151EF0" w14:textId="77777777" w:rsidR="00636066" w:rsidRDefault="00636066">
      <w:pPr>
        <w:widowControl w:val="0"/>
        <w:tabs>
          <w:tab w:val="clear" w:pos="567"/>
        </w:tabs>
        <w:autoSpaceDE w:val="0"/>
        <w:autoSpaceDN w:val="0"/>
        <w:adjustRightInd w:val="0"/>
        <w:spacing w:line="240" w:lineRule="auto"/>
        <w:rPr>
          <w:snapToGrid/>
          <w:szCs w:val="22"/>
          <w:lang w:val="lt-LT"/>
        </w:rPr>
      </w:pPr>
    </w:p>
    <w:p w14:paraId="3D50BFDE" w14:textId="77777777" w:rsidR="00636066" w:rsidRDefault="009544C7">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5DDD89F4" w14:textId="77777777" w:rsidR="00636066" w:rsidRDefault="009544C7">
      <w:pPr>
        <w:widowControl w:val="0"/>
        <w:numPr>
          <w:ilvl w:val="12"/>
          <w:numId w:val="0"/>
        </w:numPr>
        <w:tabs>
          <w:tab w:val="clear" w:pos="567"/>
        </w:tabs>
        <w:spacing w:line="240" w:lineRule="auto"/>
        <w:rPr>
          <w:snapToGrid/>
          <w:szCs w:val="22"/>
          <w:lang w:val="lt-LT"/>
        </w:rPr>
      </w:pPr>
      <w:r>
        <w:rPr>
          <w:snapToGrid/>
          <w:szCs w:val="22"/>
          <w:lang w:val="lt-LT"/>
        </w:rPr>
        <w:t xml:space="preserve">Pranešta apie kasos uždegimo (pankreatito) atvejus </w:t>
      </w:r>
      <w:proofErr w:type="spellStart"/>
      <w:r>
        <w:rPr>
          <w:snapToGrid/>
          <w:szCs w:val="22"/>
          <w:lang w:val="lt-LT"/>
        </w:rPr>
        <w:t>Maysiglu</w:t>
      </w:r>
      <w:proofErr w:type="spellEnd"/>
      <w:r>
        <w:rPr>
          <w:snapToGrid/>
          <w:szCs w:val="22"/>
          <w:lang w:val="lt-LT"/>
        </w:rPr>
        <w:t xml:space="preserve"> vartojusiems pacientams (žr. 4 skyrių).</w:t>
      </w:r>
    </w:p>
    <w:p w14:paraId="17023B79" w14:textId="77777777" w:rsidR="00636066" w:rsidRDefault="00636066">
      <w:pPr>
        <w:widowControl w:val="0"/>
        <w:numPr>
          <w:ilvl w:val="12"/>
          <w:numId w:val="0"/>
        </w:numPr>
        <w:tabs>
          <w:tab w:val="clear" w:pos="567"/>
        </w:tabs>
        <w:spacing w:line="240" w:lineRule="auto"/>
        <w:rPr>
          <w:snapToGrid/>
          <w:szCs w:val="22"/>
          <w:lang w:val="lt-LT"/>
        </w:rPr>
      </w:pPr>
    </w:p>
    <w:p w14:paraId="4BB03EAA"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ant odos atsiranda pūslių, tai gali būti </w:t>
      </w:r>
      <w:proofErr w:type="spellStart"/>
      <w:r>
        <w:rPr>
          <w:snapToGrid/>
          <w:szCs w:val="22"/>
          <w:lang w:val="lt-LT"/>
        </w:rPr>
        <w:t>pūsliniu</w:t>
      </w:r>
      <w:proofErr w:type="spellEnd"/>
      <w:r>
        <w:rPr>
          <w:snapToGrid/>
          <w:szCs w:val="22"/>
          <w:lang w:val="lt-LT"/>
        </w:rPr>
        <w:t xml:space="preserve"> </w:t>
      </w:r>
      <w:proofErr w:type="spellStart"/>
      <w:r>
        <w:rPr>
          <w:snapToGrid/>
          <w:szCs w:val="22"/>
          <w:lang w:val="lt-LT"/>
        </w:rPr>
        <w:t>pemfigoidu</w:t>
      </w:r>
      <w:proofErr w:type="spellEnd"/>
      <w:r>
        <w:rPr>
          <w:snapToGrid/>
          <w:szCs w:val="22"/>
          <w:lang w:val="lt-LT"/>
        </w:rPr>
        <w:t xml:space="preserve"> vadinamos būklės požymis. </w:t>
      </w:r>
      <w:r>
        <w:rPr>
          <w:snapToGrid/>
          <w:szCs w:val="22"/>
          <w:lang w:val="lt-LT"/>
        </w:rPr>
        <w:lastRenderedPageBreak/>
        <w:t xml:space="preserve">Gydytojas gali Jums nurodyti nutraukti </w:t>
      </w:r>
      <w:proofErr w:type="spellStart"/>
      <w:r>
        <w:rPr>
          <w:snapToGrid/>
          <w:szCs w:val="22"/>
          <w:lang w:val="lt-LT"/>
        </w:rPr>
        <w:t>Maysiglu</w:t>
      </w:r>
      <w:proofErr w:type="spellEnd"/>
      <w:r>
        <w:rPr>
          <w:snapToGrid/>
          <w:szCs w:val="22"/>
          <w:lang w:val="lt-LT"/>
        </w:rPr>
        <w:t xml:space="preserve"> vartojimą.</w:t>
      </w:r>
    </w:p>
    <w:p w14:paraId="4360D1F4" w14:textId="77777777" w:rsidR="00636066" w:rsidRDefault="00636066">
      <w:pPr>
        <w:widowControl w:val="0"/>
        <w:numPr>
          <w:ilvl w:val="12"/>
          <w:numId w:val="0"/>
        </w:numPr>
        <w:tabs>
          <w:tab w:val="clear" w:pos="567"/>
        </w:tabs>
        <w:spacing w:line="240" w:lineRule="auto"/>
        <w:rPr>
          <w:snapToGrid/>
          <w:szCs w:val="22"/>
          <w:lang w:val="lt-LT"/>
        </w:rPr>
      </w:pPr>
    </w:p>
    <w:p w14:paraId="74636171"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Pasakykite savo gydytojui, jeigu Jums buvo arba yra:</w:t>
      </w:r>
    </w:p>
    <w:p w14:paraId="239E2A28" w14:textId="77777777" w:rsidR="00636066" w:rsidRDefault="009544C7">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kasos liga (pavyzdžiui, pankreatitas);</w:t>
      </w:r>
    </w:p>
    <w:p w14:paraId="05C40EFC" w14:textId="77777777" w:rsidR="00636066" w:rsidRDefault="009544C7">
      <w:pPr>
        <w:widowControl w:val="0"/>
        <w:autoSpaceDE w:val="0"/>
        <w:autoSpaceDN w:val="0"/>
        <w:adjustRightInd w:val="0"/>
        <w:spacing w:line="240" w:lineRule="auto"/>
        <w:ind w:left="567" w:hanging="567"/>
        <w:rPr>
          <w:snapToGrid/>
          <w:szCs w:val="22"/>
          <w:lang w:val="lt-LT"/>
        </w:rPr>
      </w:pPr>
      <w:r>
        <w:rPr>
          <w:snapToGrid/>
          <w:szCs w:val="22"/>
          <w:lang w:val="lt-LT"/>
        </w:rPr>
        <w:t>-</w:t>
      </w:r>
      <w:r>
        <w:rPr>
          <w:snapToGrid/>
          <w:szCs w:val="22"/>
          <w:lang w:val="lt-LT"/>
        </w:rPr>
        <w:tab/>
        <w:t>tulžies akmenų, priklausomybė nuo alkoholio ar labai didelis trigliceridų (tam tikros rūšies riebalų) kiekis kraujyje. Šie sutrikimai gali padidinti tikimybę susirgti pankreatitu (žr. 4 skyrių);</w:t>
      </w:r>
    </w:p>
    <w:p w14:paraId="4D7F93D7" w14:textId="77777777" w:rsidR="00636066" w:rsidRDefault="009544C7">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1 tipo cukrinis diabetas;</w:t>
      </w:r>
    </w:p>
    <w:p w14:paraId="32578516" w14:textId="77777777" w:rsidR="00636066" w:rsidRDefault="009544C7">
      <w:pPr>
        <w:widowControl w:val="0"/>
        <w:autoSpaceDE w:val="0"/>
        <w:autoSpaceDN w:val="0"/>
        <w:adjustRightInd w:val="0"/>
        <w:spacing w:line="240" w:lineRule="auto"/>
        <w:ind w:left="567" w:hanging="567"/>
        <w:rPr>
          <w:snapToGrid/>
          <w:szCs w:val="22"/>
          <w:lang w:val="lt-LT"/>
        </w:rPr>
      </w:pPr>
      <w:r>
        <w:rPr>
          <w:snapToGrid/>
          <w:szCs w:val="22"/>
          <w:lang w:val="lt-LT"/>
        </w:rPr>
        <w:t>-</w:t>
      </w:r>
      <w:r>
        <w:rPr>
          <w:snapToGrid/>
          <w:szCs w:val="22"/>
          <w:lang w:val="lt-LT"/>
        </w:rPr>
        <w:tab/>
        <w:t xml:space="preserve">diabetinė </w:t>
      </w:r>
      <w:proofErr w:type="spellStart"/>
      <w:r>
        <w:rPr>
          <w:snapToGrid/>
          <w:szCs w:val="22"/>
          <w:lang w:val="lt-LT"/>
        </w:rPr>
        <w:t>ketoacidozė</w:t>
      </w:r>
      <w:proofErr w:type="spellEnd"/>
      <w:r>
        <w:rPr>
          <w:snapToGrid/>
          <w:szCs w:val="22"/>
          <w:lang w:val="lt-LT"/>
        </w:rPr>
        <w:t xml:space="preserve"> (cukrinio diabeto komplikacija, kuomet labai padidėja cukraus kiekis kraujyje, greitai mažėja kūno svoris, pasireiškia pykinimas arba vėmimas);</w:t>
      </w:r>
    </w:p>
    <w:p w14:paraId="629958A2" w14:textId="77777777" w:rsidR="00636066" w:rsidRDefault="009544C7">
      <w:pPr>
        <w:widowControl w:val="0"/>
        <w:autoSpaceDE w:val="0"/>
        <w:autoSpaceDN w:val="0"/>
        <w:adjustRightInd w:val="0"/>
        <w:spacing w:line="240" w:lineRule="auto"/>
        <w:rPr>
          <w:snapToGrid/>
          <w:szCs w:val="22"/>
          <w:lang w:val="lt-LT"/>
        </w:rPr>
      </w:pPr>
      <w:r>
        <w:rPr>
          <w:snapToGrid/>
          <w:szCs w:val="22"/>
          <w:lang w:val="lt-LT"/>
        </w:rPr>
        <w:t>-</w:t>
      </w:r>
      <w:r>
        <w:rPr>
          <w:snapToGrid/>
          <w:szCs w:val="22"/>
          <w:lang w:val="lt-LT"/>
        </w:rPr>
        <w:tab/>
        <w:t>bet koks esamas ar buvęs inkstų sutrikimas;</w:t>
      </w:r>
    </w:p>
    <w:p w14:paraId="2FEA2F2C" w14:textId="77777777" w:rsidR="00636066" w:rsidRDefault="009544C7">
      <w:pPr>
        <w:widowControl w:val="0"/>
        <w:numPr>
          <w:ilvl w:val="12"/>
          <w:numId w:val="0"/>
        </w:numPr>
        <w:spacing w:line="240" w:lineRule="auto"/>
        <w:rPr>
          <w:snapToGrid/>
          <w:szCs w:val="22"/>
          <w:lang w:val="lt-LT"/>
        </w:rPr>
      </w:pPr>
      <w:r>
        <w:rPr>
          <w:snapToGrid/>
          <w:szCs w:val="22"/>
          <w:lang w:val="lt-LT"/>
        </w:rPr>
        <w:t>-</w:t>
      </w:r>
      <w:r>
        <w:rPr>
          <w:snapToGrid/>
          <w:szCs w:val="22"/>
          <w:lang w:val="lt-LT"/>
        </w:rPr>
        <w:tab/>
        <w:t xml:space="preserve">alerginė reakcija į </w:t>
      </w:r>
      <w:proofErr w:type="spellStart"/>
      <w:r>
        <w:rPr>
          <w:snapToGrid/>
          <w:szCs w:val="22"/>
          <w:lang w:val="lt-LT"/>
        </w:rPr>
        <w:t>Maysiglu</w:t>
      </w:r>
      <w:proofErr w:type="spellEnd"/>
      <w:r>
        <w:rPr>
          <w:snapToGrid/>
          <w:szCs w:val="22"/>
          <w:lang w:val="lt-LT"/>
        </w:rPr>
        <w:t xml:space="preserve"> (žr. 4 skyrių).</w:t>
      </w:r>
    </w:p>
    <w:p w14:paraId="4620692D" w14:textId="77777777" w:rsidR="00636066" w:rsidRDefault="00636066">
      <w:pPr>
        <w:widowControl w:val="0"/>
        <w:numPr>
          <w:ilvl w:val="12"/>
          <w:numId w:val="0"/>
        </w:numPr>
        <w:tabs>
          <w:tab w:val="clear" w:pos="567"/>
        </w:tabs>
        <w:spacing w:line="240" w:lineRule="auto"/>
        <w:rPr>
          <w:snapToGrid/>
          <w:szCs w:val="22"/>
          <w:lang w:val="lt-LT"/>
        </w:rPr>
      </w:pPr>
    </w:p>
    <w:p w14:paraId="646FB40B"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Nėra tikėtina, kad šis vaistas pernelyg sumažintų cukraus kiekį kraujyje, nes jis neveikia, kuomet cukraus kraujyje yra mažai. Vis dėlto jeigu šį vaistą vartojate kartu su </w:t>
      </w:r>
      <w:proofErr w:type="spellStart"/>
      <w:r>
        <w:rPr>
          <w:snapToGrid/>
          <w:szCs w:val="22"/>
          <w:lang w:val="lt-LT"/>
        </w:rPr>
        <w:t>sulfonilurėjos</w:t>
      </w:r>
      <w:proofErr w:type="spellEnd"/>
      <w:r>
        <w:rPr>
          <w:snapToGrid/>
          <w:szCs w:val="22"/>
          <w:lang w:val="lt-LT"/>
        </w:rPr>
        <w:t xml:space="preserve"> dariniu arba insulinu, gali per daug sumažėti cukraus kiekis kraujyje (pasireikšti hipoglikemija). Gydytojas gali sumažinti vartojamo </w:t>
      </w:r>
      <w:proofErr w:type="spellStart"/>
      <w:r>
        <w:rPr>
          <w:snapToGrid/>
          <w:szCs w:val="22"/>
          <w:lang w:val="lt-LT"/>
        </w:rPr>
        <w:t>sulfonilurėjos</w:t>
      </w:r>
      <w:proofErr w:type="spellEnd"/>
      <w:r>
        <w:rPr>
          <w:snapToGrid/>
          <w:szCs w:val="22"/>
          <w:lang w:val="lt-LT"/>
        </w:rPr>
        <w:t xml:space="preserve"> darinio arba insulino dozę.</w:t>
      </w:r>
    </w:p>
    <w:p w14:paraId="2C5AFBE3" w14:textId="77777777" w:rsidR="00636066" w:rsidRDefault="00636066">
      <w:pPr>
        <w:widowControl w:val="0"/>
        <w:numPr>
          <w:ilvl w:val="12"/>
          <w:numId w:val="0"/>
        </w:numPr>
        <w:tabs>
          <w:tab w:val="clear" w:pos="567"/>
        </w:tabs>
        <w:spacing w:line="240" w:lineRule="auto"/>
        <w:rPr>
          <w:bCs/>
          <w:snapToGrid/>
          <w:szCs w:val="22"/>
          <w:lang w:val="lt-LT"/>
        </w:rPr>
      </w:pPr>
    </w:p>
    <w:p w14:paraId="397E10E7"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345B34CD"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Jaunesniems kaip 18 metų vaikams ir paaugliams šio vaisto vartoti negalima. Vaistas nėra veiksmingas gydant vaikus ir paauglius nuo 10 iki </w:t>
      </w:r>
      <w:r>
        <w:rPr>
          <w:rFonts w:eastAsia="TimesNewRoman,Bold"/>
          <w:lang w:val="lt-LT"/>
        </w:rPr>
        <w:t>17 metų</w:t>
      </w:r>
      <w:r>
        <w:rPr>
          <w:rFonts w:eastAsia="TimesNewRoman,Bold"/>
          <w:snapToGrid/>
          <w:szCs w:val="22"/>
          <w:lang w:val="lt-LT"/>
        </w:rPr>
        <w:t>. Ar šis vaistas yra saugus ir veiksmingas jaunesniems kaip 10 metų vaikams, nėra žinoma.</w:t>
      </w:r>
    </w:p>
    <w:p w14:paraId="2A056FDF" w14:textId="77777777" w:rsidR="00636066" w:rsidRDefault="00636066">
      <w:pPr>
        <w:widowControl w:val="0"/>
        <w:numPr>
          <w:ilvl w:val="12"/>
          <w:numId w:val="0"/>
        </w:numPr>
        <w:tabs>
          <w:tab w:val="clear" w:pos="567"/>
        </w:tabs>
        <w:spacing w:line="240" w:lineRule="auto"/>
        <w:ind w:right="-2"/>
        <w:rPr>
          <w:bCs/>
          <w:snapToGrid/>
          <w:szCs w:val="22"/>
          <w:lang w:val="lt-LT"/>
        </w:rPr>
      </w:pPr>
    </w:p>
    <w:p w14:paraId="2DA177DC" w14:textId="77777777" w:rsidR="00636066" w:rsidRDefault="009544C7">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Maysiglu</w:t>
      </w:r>
      <w:proofErr w:type="spellEnd"/>
    </w:p>
    <w:p w14:paraId="267FEF1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Jeigu vartojate ar neseniai vartojote kitų vaistų arba nesate dėl to tikri, apie tai pasakykite gydytojui arba vaistininkui.</w:t>
      </w:r>
    </w:p>
    <w:p w14:paraId="150419BA" w14:textId="77777777" w:rsidR="00636066" w:rsidRDefault="00636066">
      <w:pPr>
        <w:widowControl w:val="0"/>
        <w:tabs>
          <w:tab w:val="clear" w:pos="567"/>
        </w:tabs>
        <w:autoSpaceDE w:val="0"/>
        <w:autoSpaceDN w:val="0"/>
        <w:adjustRightInd w:val="0"/>
        <w:spacing w:line="240" w:lineRule="auto"/>
        <w:rPr>
          <w:snapToGrid/>
          <w:szCs w:val="22"/>
          <w:lang w:val="lt-LT"/>
        </w:rPr>
      </w:pPr>
    </w:p>
    <w:p w14:paraId="595BBC4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Visų pirma pasakykite gydytojui, jei vartojate </w:t>
      </w:r>
      <w:proofErr w:type="spellStart"/>
      <w:r>
        <w:rPr>
          <w:snapToGrid/>
          <w:szCs w:val="22"/>
          <w:lang w:val="lt-LT"/>
        </w:rPr>
        <w:t>digoksiną</w:t>
      </w:r>
      <w:proofErr w:type="spellEnd"/>
      <w:r>
        <w:rPr>
          <w:snapToGrid/>
          <w:szCs w:val="22"/>
          <w:lang w:val="lt-LT"/>
        </w:rPr>
        <w:t xml:space="preserve"> (vaistą nereguliaraus širdies plakimo gydymui ir kitoms širdies problemos). Gali reikėti patikrinti </w:t>
      </w:r>
      <w:proofErr w:type="spellStart"/>
      <w:r>
        <w:rPr>
          <w:snapToGrid/>
          <w:szCs w:val="22"/>
          <w:lang w:val="lt-LT"/>
        </w:rPr>
        <w:t>digoksino</w:t>
      </w:r>
      <w:proofErr w:type="spellEnd"/>
      <w:r>
        <w:rPr>
          <w:snapToGrid/>
          <w:szCs w:val="22"/>
          <w:lang w:val="lt-LT"/>
        </w:rPr>
        <w:t xml:space="preserve"> kiekį jūsų kraujyje, jei kartu vartojate </w:t>
      </w:r>
    </w:p>
    <w:p w14:paraId="2F52C31D"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w:t>
      </w:r>
    </w:p>
    <w:p w14:paraId="151408C7" w14:textId="77777777" w:rsidR="00636066" w:rsidRDefault="00636066">
      <w:pPr>
        <w:widowControl w:val="0"/>
        <w:tabs>
          <w:tab w:val="clear" w:pos="567"/>
        </w:tabs>
        <w:autoSpaceDE w:val="0"/>
        <w:autoSpaceDN w:val="0"/>
        <w:adjustRightInd w:val="0"/>
        <w:spacing w:line="240" w:lineRule="auto"/>
        <w:rPr>
          <w:snapToGrid/>
          <w:szCs w:val="22"/>
          <w:lang w:val="lt-LT"/>
        </w:rPr>
      </w:pPr>
    </w:p>
    <w:p w14:paraId="3CA17A95"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19E87A20"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06A1E8DB"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Nėštumo metu šio vaisto vartoti negalima.</w:t>
      </w:r>
    </w:p>
    <w:p w14:paraId="0C6EDB20"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13D90BA2"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Ar šis vaistas patenka į motinos pieną, nežinoma. Jei maitinate krūtimi ar planuojate tai daryti, šio vaisto vartoti negalite.</w:t>
      </w:r>
    </w:p>
    <w:p w14:paraId="089FF163" w14:textId="77777777" w:rsidR="00636066" w:rsidRDefault="00636066">
      <w:pPr>
        <w:widowControl w:val="0"/>
        <w:numPr>
          <w:ilvl w:val="12"/>
          <w:numId w:val="0"/>
        </w:numPr>
        <w:tabs>
          <w:tab w:val="clear" w:pos="567"/>
        </w:tabs>
        <w:spacing w:line="240" w:lineRule="auto"/>
        <w:ind w:right="-2"/>
        <w:rPr>
          <w:bCs/>
          <w:snapToGrid/>
          <w:szCs w:val="22"/>
          <w:lang w:val="lt-LT"/>
        </w:rPr>
      </w:pPr>
    </w:p>
    <w:p w14:paraId="7AFC2AE5"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14:paraId="37067B6B"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Maysiglu</w:t>
      </w:r>
      <w:proofErr w:type="spellEnd"/>
      <w:r>
        <w:rPr>
          <w:rFonts w:eastAsia="TimesNewRoman,Bold"/>
          <w:snapToGrid/>
          <w:szCs w:val="22"/>
          <w:lang w:val="lt-LT"/>
        </w:rPr>
        <w:t xml:space="preserve"> gebėjimo vairuoti ir valdyti mechanizmus neveikia arba veikia nereikšmingai. Vis dėlto buvo pranešta apie svaigulio ir apsnūdimo atvejus, o tai gali paveikti Jūsų gebėjimą vairuoti ar valdyti mechanizmus.</w:t>
      </w:r>
    </w:p>
    <w:p w14:paraId="0EB984D3"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7E295B08"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Šio vaisto vartojant kartu su vaistais, vadinamais </w:t>
      </w:r>
      <w:proofErr w:type="spellStart"/>
      <w:r>
        <w:rPr>
          <w:rFonts w:eastAsia="TimesNewRoman,Bold"/>
          <w:snapToGrid/>
          <w:szCs w:val="22"/>
          <w:lang w:val="lt-LT"/>
        </w:rPr>
        <w:t>sulfonilurėjos</w:t>
      </w:r>
      <w:proofErr w:type="spellEnd"/>
      <w:r>
        <w:rPr>
          <w:rFonts w:eastAsia="TimesNewRoman,Bold"/>
          <w:snapToGrid/>
          <w:szCs w:val="22"/>
          <w:lang w:val="lt-LT"/>
        </w:rPr>
        <w:t xml:space="preserve"> dariniais, arba kartu su insulinu gali pasireikšti hipoglikemija, kuri gali pakenkti gebėjimui vairuoti, valdyti mechanizmus arba dirbti, kai nėra saugios atramos kojoms.</w:t>
      </w:r>
    </w:p>
    <w:p w14:paraId="13962D95" w14:textId="77777777" w:rsidR="00636066" w:rsidRDefault="00636066">
      <w:pPr>
        <w:widowControl w:val="0"/>
        <w:numPr>
          <w:ilvl w:val="12"/>
          <w:numId w:val="0"/>
        </w:numPr>
        <w:tabs>
          <w:tab w:val="clear" w:pos="567"/>
        </w:tabs>
        <w:spacing w:line="240" w:lineRule="auto"/>
        <w:ind w:right="-2"/>
        <w:rPr>
          <w:bCs/>
          <w:snapToGrid/>
          <w:szCs w:val="22"/>
          <w:lang w:val="lt-LT"/>
        </w:rPr>
      </w:pPr>
    </w:p>
    <w:p w14:paraId="035F615C" w14:textId="77777777" w:rsidR="00636066" w:rsidRDefault="009544C7">
      <w:pPr>
        <w:widowControl w:val="0"/>
        <w:numPr>
          <w:ilvl w:val="12"/>
          <w:numId w:val="0"/>
        </w:numPr>
        <w:tabs>
          <w:tab w:val="clear" w:pos="567"/>
        </w:tabs>
        <w:spacing w:line="240" w:lineRule="auto"/>
        <w:rPr>
          <w:snapToGrid/>
          <w:szCs w:val="22"/>
          <w:lang w:val="lt-LT"/>
        </w:rPr>
      </w:pPr>
      <w:proofErr w:type="spellStart"/>
      <w:r>
        <w:rPr>
          <w:b/>
          <w:snapToGrid/>
          <w:szCs w:val="22"/>
          <w:lang w:val="lt-LT"/>
        </w:rPr>
        <w:t>Maysiglu</w:t>
      </w:r>
      <w:proofErr w:type="spellEnd"/>
      <w:r>
        <w:rPr>
          <w:b/>
          <w:snapToGrid/>
          <w:szCs w:val="22"/>
          <w:lang w:val="lt-LT"/>
        </w:rPr>
        <w:t xml:space="preserve"> sudėtyje yra natrio</w:t>
      </w:r>
    </w:p>
    <w:p w14:paraId="7D26AAAF" w14:textId="77777777" w:rsidR="00636066" w:rsidRDefault="009544C7">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proofErr w:type="spellStart"/>
      <w:r>
        <w:rPr>
          <w:snapToGrid/>
          <w:szCs w:val="22"/>
          <w:lang w:val="lt-LT"/>
        </w:rPr>
        <w:t>mmol</w:t>
      </w:r>
      <w:proofErr w:type="spellEnd"/>
      <w:r>
        <w:rPr>
          <w:snapToGrid/>
          <w:szCs w:val="22"/>
          <w:lang w:val="lt-LT"/>
        </w:rPr>
        <w:t> (23</w:t>
      </w:r>
      <w:r>
        <w:rPr>
          <w:rFonts w:eastAsia="Calibri"/>
          <w:snapToGrid/>
          <w:szCs w:val="22"/>
          <w:lang w:val="lt-LT"/>
        </w:rPr>
        <w:t> </w:t>
      </w:r>
      <w:r>
        <w:rPr>
          <w:snapToGrid/>
          <w:szCs w:val="22"/>
          <w:lang w:val="lt-LT"/>
        </w:rPr>
        <w:t>mg) natrio, t. y. jis beveik neturi reikšmės.</w:t>
      </w:r>
    </w:p>
    <w:p w14:paraId="4F6EF87B" w14:textId="77777777" w:rsidR="00636066" w:rsidRDefault="00636066">
      <w:pPr>
        <w:widowControl w:val="0"/>
        <w:numPr>
          <w:ilvl w:val="12"/>
          <w:numId w:val="0"/>
        </w:numPr>
        <w:tabs>
          <w:tab w:val="clear" w:pos="567"/>
        </w:tabs>
        <w:spacing w:line="240" w:lineRule="auto"/>
        <w:ind w:right="-2"/>
        <w:rPr>
          <w:snapToGrid/>
          <w:szCs w:val="22"/>
          <w:lang w:val="lt-LT"/>
        </w:rPr>
      </w:pPr>
    </w:p>
    <w:p w14:paraId="6F3F58BA" w14:textId="77777777" w:rsidR="00636066" w:rsidRDefault="00636066">
      <w:pPr>
        <w:widowControl w:val="0"/>
        <w:numPr>
          <w:ilvl w:val="12"/>
          <w:numId w:val="0"/>
        </w:numPr>
        <w:tabs>
          <w:tab w:val="clear" w:pos="567"/>
        </w:tabs>
        <w:spacing w:line="240" w:lineRule="auto"/>
        <w:ind w:right="-2"/>
        <w:rPr>
          <w:snapToGrid/>
          <w:szCs w:val="22"/>
          <w:lang w:val="lt-LT"/>
        </w:rPr>
      </w:pPr>
    </w:p>
    <w:p w14:paraId="6C3BD3CD"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Maysiglu</w:t>
      </w:r>
      <w:proofErr w:type="spellEnd"/>
    </w:p>
    <w:p w14:paraId="4E393F9B" w14:textId="77777777" w:rsidR="00636066" w:rsidRDefault="00636066">
      <w:pPr>
        <w:widowControl w:val="0"/>
        <w:tabs>
          <w:tab w:val="clear" w:pos="567"/>
        </w:tabs>
        <w:spacing w:line="240" w:lineRule="auto"/>
        <w:ind w:left="567" w:hanging="567"/>
        <w:rPr>
          <w:snapToGrid/>
          <w:szCs w:val="22"/>
          <w:lang w:val="lt-LT"/>
        </w:rPr>
      </w:pPr>
    </w:p>
    <w:p w14:paraId="0549F8F3"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01E03B60" w14:textId="77777777" w:rsidR="00636066" w:rsidRDefault="00636066">
      <w:pPr>
        <w:widowControl w:val="0"/>
        <w:tabs>
          <w:tab w:val="clear" w:pos="567"/>
        </w:tabs>
        <w:autoSpaceDE w:val="0"/>
        <w:autoSpaceDN w:val="0"/>
        <w:adjustRightInd w:val="0"/>
        <w:spacing w:line="240" w:lineRule="auto"/>
        <w:rPr>
          <w:snapToGrid/>
          <w:szCs w:val="22"/>
          <w:lang w:val="lt-LT"/>
        </w:rPr>
      </w:pPr>
    </w:p>
    <w:p w14:paraId="1252951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Įprastai rekomenduojama dozė yra:</w:t>
      </w:r>
    </w:p>
    <w:p w14:paraId="052E4437" w14:textId="77777777" w:rsidR="00636066" w:rsidRDefault="009544C7">
      <w:pPr>
        <w:widowControl w:val="0"/>
        <w:numPr>
          <w:ilvl w:val="0"/>
          <w:numId w:val="9"/>
        </w:numPr>
        <w:tabs>
          <w:tab w:val="clear" w:pos="567"/>
        </w:tabs>
        <w:autoSpaceDE w:val="0"/>
        <w:autoSpaceDN w:val="0"/>
        <w:adjustRightInd w:val="0"/>
        <w:spacing w:line="240" w:lineRule="auto"/>
        <w:ind w:left="567" w:hanging="567"/>
        <w:rPr>
          <w:snapToGrid/>
          <w:szCs w:val="24"/>
          <w:lang w:val="lt-LT"/>
        </w:rPr>
      </w:pPr>
      <w:r>
        <w:rPr>
          <w:snapToGrid/>
          <w:szCs w:val="24"/>
          <w:lang w:val="lt-LT"/>
        </w:rPr>
        <w:lastRenderedPageBreak/>
        <w:t>viena 100 mg plėvele dengta tabletė;</w:t>
      </w:r>
    </w:p>
    <w:p w14:paraId="5AFBA694" w14:textId="77777777" w:rsidR="00636066" w:rsidRDefault="009544C7">
      <w:pPr>
        <w:widowControl w:val="0"/>
        <w:numPr>
          <w:ilvl w:val="0"/>
          <w:numId w:val="9"/>
        </w:numPr>
        <w:tabs>
          <w:tab w:val="clear" w:pos="567"/>
        </w:tabs>
        <w:spacing w:line="240" w:lineRule="auto"/>
        <w:ind w:left="567" w:hanging="567"/>
        <w:rPr>
          <w:snapToGrid/>
          <w:szCs w:val="22"/>
          <w:lang w:val="lt-LT"/>
        </w:rPr>
      </w:pPr>
      <w:r>
        <w:rPr>
          <w:snapToGrid/>
          <w:szCs w:val="22"/>
          <w:lang w:val="lt-LT"/>
        </w:rPr>
        <w:t>kartą per parą;</w:t>
      </w:r>
    </w:p>
    <w:p w14:paraId="0332693D" w14:textId="77777777" w:rsidR="00636066" w:rsidRDefault="009544C7">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vartoti per burną.</w:t>
      </w:r>
    </w:p>
    <w:p w14:paraId="3FFC0B19" w14:textId="77777777" w:rsidR="00636066" w:rsidRDefault="00636066">
      <w:pPr>
        <w:widowControl w:val="0"/>
        <w:tabs>
          <w:tab w:val="clear" w:pos="567"/>
        </w:tabs>
        <w:autoSpaceDE w:val="0"/>
        <w:autoSpaceDN w:val="0"/>
        <w:adjustRightInd w:val="0"/>
        <w:spacing w:line="240" w:lineRule="auto"/>
        <w:rPr>
          <w:snapToGrid/>
          <w:szCs w:val="22"/>
          <w:lang w:val="lt-LT"/>
        </w:rPr>
      </w:pPr>
    </w:p>
    <w:p w14:paraId="434291EE"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Jeigu sergate inkstų ligomis, gydytojas gali Jums paskirti mažesnę dozę (pvz., 25 mg ar 50 mg).</w:t>
      </w:r>
    </w:p>
    <w:p w14:paraId="6BE52BC1" w14:textId="77777777" w:rsidR="00636066" w:rsidRDefault="00636066">
      <w:pPr>
        <w:widowControl w:val="0"/>
        <w:tabs>
          <w:tab w:val="clear" w:pos="567"/>
        </w:tabs>
        <w:autoSpaceDE w:val="0"/>
        <w:autoSpaceDN w:val="0"/>
        <w:adjustRightInd w:val="0"/>
        <w:spacing w:line="240" w:lineRule="auto"/>
        <w:rPr>
          <w:snapToGrid/>
          <w:szCs w:val="22"/>
          <w:lang w:val="lt-LT"/>
        </w:rPr>
      </w:pPr>
    </w:p>
    <w:p w14:paraId="51CC7237"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4"/>
          <w:lang w:val="lt-LT"/>
        </w:rPr>
        <w:t>Jūs galite šį vaistą vartoti nebūtinai valgio metu.</w:t>
      </w:r>
    </w:p>
    <w:p w14:paraId="2B467F6C" w14:textId="77777777" w:rsidR="00636066" w:rsidRDefault="00636066">
      <w:pPr>
        <w:widowControl w:val="0"/>
        <w:tabs>
          <w:tab w:val="clear" w:pos="567"/>
        </w:tabs>
        <w:autoSpaceDE w:val="0"/>
        <w:autoSpaceDN w:val="0"/>
        <w:adjustRightInd w:val="0"/>
        <w:spacing w:line="240" w:lineRule="auto"/>
        <w:rPr>
          <w:snapToGrid/>
          <w:szCs w:val="22"/>
          <w:lang w:val="lt-LT"/>
        </w:rPr>
      </w:pPr>
    </w:p>
    <w:p w14:paraId="4A932B19"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Maysiglu</w:t>
      </w:r>
      <w:proofErr w:type="spellEnd"/>
      <w:r>
        <w:rPr>
          <w:snapToGrid/>
          <w:szCs w:val="22"/>
          <w:lang w:val="lt-LT"/>
        </w:rPr>
        <w:t xml:space="preserve"> 50 mg ir 100 mg tabletes galima padalyti į lygias dozes.</w:t>
      </w:r>
    </w:p>
    <w:p w14:paraId="0AE94842" w14:textId="77777777" w:rsidR="00636066" w:rsidRDefault="00636066">
      <w:pPr>
        <w:widowControl w:val="0"/>
        <w:tabs>
          <w:tab w:val="clear" w:pos="567"/>
        </w:tabs>
        <w:autoSpaceDE w:val="0"/>
        <w:autoSpaceDN w:val="0"/>
        <w:adjustRightInd w:val="0"/>
        <w:spacing w:line="240" w:lineRule="auto"/>
        <w:rPr>
          <w:snapToGrid/>
          <w:szCs w:val="22"/>
          <w:lang w:val="lt-LT"/>
        </w:rPr>
      </w:pPr>
    </w:p>
    <w:p w14:paraId="3285CE37"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4"/>
          <w:lang w:val="lt-LT"/>
        </w:rPr>
        <w:t>Gydytojas Jums gali paskirti šio vaisto vartoti vieno arba kartu su kitais cukraus kiekį kraujyje mažinančiais vaistais.</w:t>
      </w:r>
    </w:p>
    <w:p w14:paraId="5244DD56" w14:textId="77777777" w:rsidR="00636066" w:rsidRDefault="00636066">
      <w:pPr>
        <w:widowControl w:val="0"/>
        <w:tabs>
          <w:tab w:val="clear" w:pos="567"/>
        </w:tabs>
        <w:autoSpaceDE w:val="0"/>
        <w:autoSpaceDN w:val="0"/>
        <w:adjustRightInd w:val="0"/>
        <w:spacing w:line="240" w:lineRule="auto"/>
        <w:rPr>
          <w:snapToGrid/>
          <w:szCs w:val="24"/>
          <w:lang w:val="lt-LT"/>
        </w:rPr>
      </w:pPr>
    </w:p>
    <w:p w14:paraId="36EBFF6A" w14:textId="77777777" w:rsidR="00636066" w:rsidRDefault="009544C7">
      <w:pPr>
        <w:widowControl w:val="0"/>
        <w:tabs>
          <w:tab w:val="clear" w:pos="567"/>
        </w:tabs>
        <w:autoSpaceDE w:val="0"/>
        <w:autoSpaceDN w:val="0"/>
        <w:adjustRightInd w:val="0"/>
        <w:spacing w:line="240" w:lineRule="auto"/>
        <w:rPr>
          <w:snapToGrid/>
          <w:szCs w:val="24"/>
          <w:lang w:val="lt-LT"/>
        </w:rPr>
      </w:pPr>
      <w:r>
        <w:rPr>
          <w:snapToGrid/>
          <w:szCs w:val="24"/>
          <w:lang w:val="lt-LT"/>
        </w:rPr>
        <w:t xml:space="preserve">Tinkama mityba ir fizinis aktyvumas gali padėti Jūsų organizmui geriau panaudoti kraujyje esantį cukrų. Vartojant </w:t>
      </w:r>
      <w:proofErr w:type="spellStart"/>
      <w:r>
        <w:rPr>
          <w:snapToGrid/>
          <w:szCs w:val="24"/>
          <w:lang w:val="lt-LT"/>
        </w:rPr>
        <w:t>Maysiglu</w:t>
      </w:r>
      <w:proofErr w:type="spellEnd"/>
      <w:r>
        <w:rPr>
          <w:snapToGrid/>
          <w:szCs w:val="24"/>
          <w:lang w:val="lt-LT"/>
        </w:rPr>
        <w:t xml:space="preserve"> yra labai svarbu ir toliau maitintis ir mankštintis, kaip rekomendavo Jūsų gydytojas.</w:t>
      </w:r>
    </w:p>
    <w:p w14:paraId="16B250D0" w14:textId="77777777" w:rsidR="00636066" w:rsidRDefault="00636066">
      <w:pPr>
        <w:widowControl w:val="0"/>
        <w:tabs>
          <w:tab w:val="clear" w:pos="567"/>
        </w:tabs>
        <w:autoSpaceDE w:val="0"/>
        <w:autoSpaceDN w:val="0"/>
        <w:adjustRightInd w:val="0"/>
        <w:spacing w:line="240" w:lineRule="auto"/>
        <w:rPr>
          <w:snapToGrid/>
          <w:szCs w:val="24"/>
          <w:lang w:val="lt-LT"/>
        </w:rPr>
      </w:pPr>
    </w:p>
    <w:p w14:paraId="51D30418"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Maysiglu</w:t>
      </w:r>
      <w:proofErr w:type="spellEnd"/>
      <w:r>
        <w:rPr>
          <w:rFonts w:eastAsia="TimesNewRoman,Bold"/>
          <w:b/>
          <w:bCs/>
          <w:snapToGrid/>
          <w:szCs w:val="22"/>
          <w:lang w:val="lt-LT"/>
        </w:rPr>
        <w:t xml:space="preserve"> dozę</w:t>
      </w:r>
    </w:p>
    <w:p w14:paraId="2750DFF7"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pavartojote didesnę šio vaisto dozę nei skirta, nedelsdami susisiekite su savo gydytoju.</w:t>
      </w:r>
    </w:p>
    <w:p w14:paraId="64ACD900"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560DBFC6"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Maysiglu</w:t>
      </w:r>
      <w:proofErr w:type="spellEnd"/>
    </w:p>
    <w:p w14:paraId="6882E28C"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pavartoti vaisto dozę, ją išgerkite tuoj pat, kai tik prisiminsite. Jei neprisiminsite, iki kol bus atėjęs kitos dozės vartojimo laikas, pamirštąją dozę praleiskite ir kitas dozes vartokite įprastu metu. Negalima vartoti dvigubos dozės norint kompensuoti praleistą dozę.</w:t>
      </w:r>
    </w:p>
    <w:p w14:paraId="003A09FA" w14:textId="77777777" w:rsidR="00636066" w:rsidRDefault="00636066">
      <w:pPr>
        <w:widowControl w:val="0"/>
        <w:tabs>
          <w:tab w:val="clear" w:pos="567"/>
        </w:tabs>
        <w:autoSpaceDE w:val="0"/>
        <w:autoSpaceDN w:val="0"/>
        <w:adjustRightInd w:val="0"/>
        <w:spacing w:line="240" w:lineRule="auto"/>
        <w:rPr>
          <w:rFonts w:eastAsia="TimesNewRoman,Bold"/>
          <w:snapToGrid/>
          <w:szCs w:val="22"/>
          <w:lang w:val="lt-LT"/>
        </w:rPr>
      </w:pPr>
    </w:p>
    <w:p w14:paraId="4D9D6BA0" w14:textId="77777777" w:rsidR="00636066" w:rsidRDefault="009544C7">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Nustojus vartoti </w:t>
      </w:r>
      <w:proofErr w:type="spellStart"/>
      <w:r>
        <w:rPr>
          <w:rFonts w:eastAsia="TimesNewRoman,Bold"/>
          <w:b/>
          <w:bCs/>
          <w:snapToGrid/>
          <w:szCs w:val="22"/>
          <w:lang w:val="lt-LT"/>
        </w:rPr>
        <w:t>Maysiglu</w:t>
      </w:r>
      <w:proofErr w:type="spellEnd"/>
    </w:p>
    <w:p w14:paraId="2B36AE9F" w14:textId="77777777" w:rsidR="00636066" w:rsidRDefault="009544C7">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Vartokite šio vaisto tiek laiko, kiek skyrė Jūsų gydytojas, kad galėtumėte toliau kontroliuoti cukraus kiekį kraujyje. Nenustokite vartoti šio vaisto, prieš tai nepasitarę su savo gydytoju.</w:t>
      </w:r>
    </w:p>
    <w:p w14:paraId="6BD5D549" w14:textId="77777777" w:rsidR="00636066" w:rsidRDefault="00636066">
      <w:pPr>
        <w:widowControl w:val="0"/>
        <w:numPr>
          <w:ilvl w:val="12"/>
          <w:numId w:val="0"/>
        </w:numPr>
        <w:tabs>
          <w:tab w:val="clear" w:pos="567"/>
        </w:tabs>
        <w:spacing w:line="240" w:lineRule="auto"/>
        <w:ind w:right="-2"/>
        <w:rPr>
          <w:rFonts w:eastAsia="TimesNewRoman,Bold"/>
          <w:snapToGrid/>
          <w:szCs w:val="22"/>
          <w:lang w:val="lt-LT"/>
        </w:rPr>
      </w:pPr>
    </w:p>
    <w:p w14:paraId="05645553" w14:textId="77777777" w:rsidR="00636066" w:rsidRDefault="009544C7">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7529F1BE" w14:textId="77777777" w:rsidR="00636066" w:rsidRDefault="00636066">
      <w:pPr>
        <w:widowControl w:val="0"/>
        <w:numPr>
          <w:ilvl w:val="12"/>
          <w:numId w:val="0"/>
        </w:numPr>
        <w:tabs>
          <w:tab w:val="clear" w:pos="567"/>
        </w:tabs>
        <w:spacing w:line="240" w:lineRule="auto"/>
        <w:ind w:right="-2"/>
        <w:rPr>
          <w:snapToGrid/>
          <w:szCs w:val="22"/>
          <w:lang w:val="lt-LT"/>
        </w:rPr>
      </w:pPr>
    </w:p>
    <w:p w14:paraId="652C06C0" w14:textId="77777777" w:rsidR="00636066" w:rsidRDefault="00636066">
      <w:pPr>
        <w:widowControl w:val="0"/>
        <w:numPr>
          <w:ilvl w:val="12"/>
          <w:numId w:val="0"/>
        </w:numPr>
        <w:tabs>
          <w:tab w:val="clear" w:pos="567"/>
        </w:tabs>
        <w:spacing w:line="240" w:lineRule="auto"/>
        <w:ind w:right="-2"/>
        <w:rPr>
          <w:snapToGrid/>
          <w:szCs w:val="22"/>
          <w:lang w:val="lt-LT"/>
        </w:rPr>
      </w:pPr>
    </w:p>
    <w:p w14:paraId="650BCFFC"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1136E764" w14:textId="77777777" w:rsidR="00636066" w:rsidRDefault="00636066">
      <w:pPr>
        <w:widowControl w:val="0"/>
        <w:tabs>
          <w:tab w:val="clear" w:pos="567"/>
        </w:tabs>
        <w:spacing w:line="240" w:lineRule="auto"/>
        <w:ind w:left="567" w:hanging="567"/>
        <w:rPr>
          <w:snapToGrid/>
          <w:szCs w:val="22"/>
          <w:lang w:val="lt-LT"/>
        </w:rPr>
      </w:pPr>
    </w:p>
    <w:p w14:paraId="0257AFF0"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79053E09" w14:textId="77777777" w:rsidR="00636066" w:rsidRDefault="00636066">
      <w:pPr>
        <w:widowControl w:val="0"/>
        <w:tabs>
          <w:tab w:val="clear" w:pos="567"/>
        </w:tabs>
        <w:autoSpaceDE w:val="0"/>
        <w:autoSpaceDN w:val="0"/>
        <w:adjustRightInd w:val="0"/>
        <w:spacing w:line="240" w:lineRule="auto"/>
        <w:rPr>
          <w:snapToGrid/>
          <w:szCs w:val="22"/>
          <w:lang w:val="lt-LT"/>
        </w:rPr>
      </w:pPr>
    </w:p>
    <w:p w14:paraId="5929D3C9"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Pastebėję bet kurį toliau išvardytą sunkų šalutinį poveikį, NUTRAUKITE </w:t>
      </w:r>
      <w:proofErr w:type="spellStart"/>
      <w:r>
        <w:rPr>
          <w:snapToGrid/>
          <w:szCs w:val="22"/>
          <w:lang w:val="lt-LT"/>
        </w:rPr>
        <w:t>Maysiglu</w:t>
      </w:r>
      <w:proofErr w:type="spellEnd"/>
      <w:r>
        <w:rPr>
          <w:snapToGrid/>
          <w:szCs w:val="22"/>
          <w:lang w:val="lt-LT"/>
        </w:rPr>
        <w:t xml:space="preserve"> vartojimą ir nedelsdami kreipkitės į savo gydytoją:</w:t>
      </w:r>
    </w:p>
    <w:p w14:paraId="34AEA1CF" w14:textId="77777777" w:rsidR="00636066" w:rsidRDefault="009544C7">
      <w:pPr>
        <w:widowControl w:val="0"/>
        <w:numPr>
          <w:ilvl w:val="0"/>
          <w:numId w:val="12"/>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neišnykstantis pilvo skausmas (skrandžio srityje), kuris gali plisti į nugarą (kartu gali pasireikšti ar nepasireikšti pykinimas ar vėmimas), nes tai gali būti kasos uždegimo (pankreatito) požymiai.</w:t>
      </w:r>
    </w:p>
    <w:p w14:paraId="2A82493C" w14:textId="77777777" w:rsidR="00636066" w:rsidRDefault="00636066">
      <w:pPr>
        <w:widowControl w:val="0"/>
        <w:tabs>
          <w:tab w:val="clear" w:pos="567"/>
        </w:tabs>
        <w:autoSpaceDE w:val="0"/>
        <w:autoSpaceDN w:val="0"/>
        <w:adjustRightInd w:val="0"/>
        <w:spacing w:line="240" w:lineRule="auto"/>
        <w:rPr>
          <w:snapToGrid/>
          <w:szCs w:val="22"/>
          <w:lang w:val="lt-LT"/>
        </w:rPr>
      </w:pPr>
    </w:p>
    <w:p w14:paraId="63403DC3"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Jeigu Jums pasireiškė sunki alerginė reakcija (dažnis nežinomas, t. y. negali būti apskaičiuotas pagal turimus duomenis), įskaitant išbėrimą, dilgėlinę, pūsles ant odos ar odos lupimąsi bei veido, lūpų, liežuvio ir gerklės patinimą, kuris gali pasunkinti kvėpavimą arba rijimą, nutraukite šio vaisto vartojimą ir nedelsdami kreipkitės į gydytoją. Gydytojas gali Jums paskirti vaistų alerginei reakcijai gydyti ir kitų vaistų nuo cukrinio diabeto.</w:t>
      </w:r>
    </w:p>
    <w:p w14:paraId="328E602C" w14:textId="77777777" w:rsidR="00636066" w:rsidRDefault="00636066">
      <w:pPr>
        <w:widowControl w:val="0"/>
        <w:tabs>
          <w:tab w:val="clear" w:pos="567"/>
        </w:tabs>
        <w:autoSpaceDE w:val="0"/>
        <w:autoSpaceDN w:val="0"/>
        <w:adjustRightInd w:val="0"/>
        <w:spacing w:line="240" w:lineRule="auto"/>
        <w:rPr>
          <w:snapToGrid/>
          <w:szCs w:val="22"/>
          <w:lang w:val="lt-LT"/>
        </w:rPr>
      </w:pPr>
    </w:p>
    <w:p w14:paraId="1B0C34E7"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kurių gydymas </w:t>
      </w:r>
      <w:proofErr w:type="spellStart"/>
      <w:r>
        <w:rPr>
          <w:snapToGrid/>
          <w:szCs w:val="22"/>
          <w:lang w:val="lt-LT"/>
        </w:rPr>
        <w:t>metforminu</w:t>
      </w:r>
      <w:proofErr w:type="spellEnd"/>
      <w:r>
        <w:rPr>
          <w:snapToGrid/>
          <w:szCs w:val="22"/>
          <w:lang w:val="lt-LT"/>
        </w:rPr>
        <w:t xml:space="preserve"> buvo papildytas </w:t>
      </w:r>
      <w:proofErr w:type="spellStart"/>
      <w:r>
        <w:rPr>
          <w:snapToGrid/>
          <w:szCs w:val="22"/>
          <w:lang w:val="lt-LT"/>
        </w:rPr>
        <w:t>sitagliptinu</w:t>
      </w:r>
      <w:proofErr w:type="spellEnd"/>
      <w:r>
        <w:rPr>
          <w:snapToGrid/>
          <w:szCs w:val="22"/>
          <w:lang w:val="lt-LT"/>
        </w:rPr>
        <w:t>, pasireiškė toliau išvardyti šalutinio poveikio reiškiniai.</w:t>
      </w:r>
    </w:p>
    <w:p w14:paraId="3E564F3F" w14:textId="77777777" w:rsidR="00636066" w:rsidRDefault="009544C7">
      <w:pPr>
        <w:widowControl w:val="0"/>
        <w:tabs>
          <w:tab w:val="clear" w:pos="567"/>
        </w:tabs>
        <w:autoSpaceDE w:val="0"/>
        <w:autoSpaceDN w:val="0"/>
        <w:adjustRightInd w:val="0"/>
        <w:spacing w:line="240" w:lineRule="auto"/>
        <w:rPr>
          <w:snapToGrid/>
          <w:szCs w:val="22"/>
          <w:lang w:val="lt-LT"/>
        </w:rPr>
      </w:pPr>
      <w:r>
        <w:rPr>
          <w:bCs/>
          <w:snapToGrid/>
          <w:szCs w:val="22"/>
          <w:lang w:val="lt-LT"/>
        </w:rPr>
        <w:t>Dažni šalutinio poveikio reiškiniai (gali pasireikšti rečiau kaip 1 iš 10 asmenų): m</w:t>
      </w:r>
      <w:r>
        <w:rPr>
          <w:snapToGrid/>
          <w:szCs w:val="22"/>
          <w:lang w:val="lt-LT"/>
        </w:rPr>
        <w:t>ažas cukraus kiekis kraujyje, pykinimas, pilvo pūtimas, vėmimas.</w:t>
      </w:r>
    </w:p>
    <w:p w14:paraId="102AE8C0"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Nedažni šalutinio poveikio reiškiniai (gali pasireikšti rečiau kaip 1 iš 100 asmenų</w:t>
      </w:r>
      <w:r>
        <w:rPr>
          <w:bCs/>
          <w:snapToGrid/>
          <w:szCs w:val="22"/>
          <w:lang w:val="lt-LT"/>
        </w:rPr>
        <w:t>): pilvo</w:t>
      </w:r>
      <w:r>
        <w:rPr>
          <w:snapToGrid/>
          <w:szCs w:val="22"/>
          <w:lang w:val="lt-LT"/>
        </w:rPr>
        <w:t xml:space="preserve"> maudimas, viduriavimas, vidurių užkietėjimas, apsnūdimas.</w:t>
      </w:r>
    </w:p>
    <w:p w14:paraId="592FBE74" w14:textId="77777777" w:rsidR="00636066" w:rsidRDefault="00636066">
      <w:pPr>
        <w:widowControl w:val="0"/>
        <w:tabs>
          <w:tab w:val="clear" w:pos="567"/>
        </w:tabs>
        <w:autoSpaceDE w:val="0"/>
        <w:autoSpaceDN w:val="0"/>
        <w:adjustRightInd w:val="0"/>
        <w:spacing w:line="240" w:lineRule="auto"/>
        <w:rPr>
          <w:snapToGrid/>
          <w:szCs w:val="22"/>
          <w:lang w:val="lt-LT"/>
        </w:rPr>
      </w:pPr>
    </w:p>
    <w:p w14:paraId="17AA4488"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derinio vartoti pradėjusiems pacientams pasireiškė kitokio pobūdžio nemalonūs pojūčiai pilve (tokie sutrikimai yra dažni).</w:t>
      </w:r>
    </w:p>
    <w:p w14:paraId="7A13C775" w14:textId="77777777" w:rsidR="00636066" w:rsidRDefault="00636066">
      <w:pPr>
        <w:widowControl w:val="0"/>
        <w:tabs>
          <w:tab w:val="clear" w:pos="567"/>
        </w:tabs>
        <w:autoSpaceDE w:val="0"/>
        <w:autoSpaceDN w:val="0"/>
        <w:adjustRightInd w:val="0"/>
        <w:spacing w:line="240" w:lineRule="auto"/>
        <w:rPr>
          <w:snapToGrid/>
          <w:szCs w:val="22"/>
          <w:lang w:val="lt-LT"/>
        </w:rPr>
      </w:pPr>
    </w:p>
    <w:p w14:paraId="63D7BA3B"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metforminu</w:t>
      </w:r>
      <w:proofErr w:type="spellEnd"/>
      <w:r>
        <w:rPr>
          <w:snapToGrid/>
          <w:szCs w:val="22"/>
          <w:lang w:val="lt-LT"/>
        </w:rPr>
        <w:t xml:space="preserve"> ir </w:t>
      </w:r>
      <w:proofErr w:type="spellStart"/>
      <w:r>
        <w:rPr>
          <w:snapToGrid/>
          <w:szCs w:val="22"/>
          <w:lang w:val="lt-LT"/>
        </w:rPr>
        <w:t>sulfonilurėjos</w:t>
      </w:r>
      <w:proofErr w:type="spellEnd"/>
      <w:r>
        <w:rPr>
          <w:snapToGrid/>
          <w:szCs w:val="22"/>
          <w:lang w:val="lt-LT"/>
        </w:rPr>
        <w:t xml:space="preserve"> dariniu, pasireiškė toliau išvardyti šalutinio poveikio reiškiniai.</w:t>
      </w:r>
    </w:p>
    <w:p w14:paraId="66104478"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Labai dažni šalutinio poveikio reiškiniai (gali pasireikšti ne rečiau kaip 1 iš 10 asmenų): mažas cukraus kiekis kraujyje.</w:t>
      </w:r>
    </w:p>
    <w:p w14:paraId="191FA409" w14:textId="77777777" w:rsidR="00636066" w:rsidRDefault="009544C7">
      <w:pPr>
        <w:widowControl w:val="0"/>
        <w:tabs>
          <w:tab w:val="clear" w:pos="567"/>
        </w:tabs>
        <w:spacing w:line="240" w:lineRule="auto"/>
        <w:ind w:left="567" w:hanging="567"/>
        <w:rPr>
          <w:snapToGrid/>
          <w:szCs w:val="22"/>
          <w:lang w:val="lt-LT"/>
        </w:rPr>
      </w:pPr>
      <w:r>
        <w:rPr>
          <w:snapToGrid/>
          <w:szCs w:val="22"/>
          <w:lang w:val="lt-LT"/>
        </w:rPr>
        <w:t>Dažni: vidurių užkietėjimas.</w:t>
      </w:r>
    </w:p>
    <w:p w14:paraId="6DE4AB15" w14:textId="77777777" w:rsidR="00636066" w:rsidRDefault="00636066">
      <w:pPr>
        <w:widowControl w:val="0"/>
        <w:tabs>
          <w:tab w:val="clear" w:pos="567"/>
        </w:tabs>
        <w:autoSpaceDE w:val="0"/>
        <w:autoSpaceDN w:val="0"/>
        <w:adjustRightInd w:val="0"/>
        <w:spacing w:line="240" w:lineRule="auto"/>
        <w:rPr>
          <w:snapToGrid/>
          <w:szCs w:val="22"/>
          <w:lang w:val="lt-LT"/>
        </w:rPr>
      </w:pPr>
    </w:p>
    <w:p w14:paraId="78843F35"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pioglitazonu</w:t>
      </w:r>
      <w:proofErr w:type="spellEnd"/>
      <w:r>
        <w:rPr>
          <w:snapToGrid/>
          <w:szCs w:val="22"/>
          <w:lang w:val="lt-LT"/>
        </w:rPr>
        <w:t>, pasireiškė toliau išvardyti šalutinio poveikio reiškiniai.</w:t>
      </w:r>
    </w:p>
    <w:p w14:paraId="0479DAC1"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pilvo pūtimas, plaštakų ar kojų pabrinkimas.</w:t>
      </w:r>
    </w:p>
    <w:p w14:paraId="51C9D363" w14:textId="77777777" w:rsidR="00636066" w:rsidRDefault="00636066">
      <w:pPr>
        <w:widowControl w:val="0"/>
        <w:tabs>
          <w:tab w:val="clear" w:pos="567"/>
        </w:tabs>
        <w:autoSpaceDE w:val="0"/>
        <w:autoSpaceDN w:val="0"/>
        <w:adjustRightInd w:val="0"/>
        <w:spacing w:line="240" w:lineRule="auto"/>
        <w:rPr>
          <w:snapToGrid/>
          <w:szCs w:val="22"/>
          <w:lang w:val="lt-LT"/>
        </w:rPr>
      </w:pPr>
    </w:p>
    <w:p w14:paraId="46BF5C6C"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kartu su </w:t>
      </w:r>
      <w:proofErr w:type="spellStart"/>
      <w:r>
        <w:rPr>
          <w:snapToGrid/>
          <w:szCs w:val="22"/>
          <w:lang w:val="lt-LT"/>
        </w:rPr>
        <w:t>pioglitazonu</w:t>
      </w:r>
      <w:proofErr w:type="spellEnd"/>
      <w:r>
        <w:rPr>
          <w:snapToGrid/>
          <w:szCs w:val="22"/>
          <w:lang w:val="lt-LT"/>
        </w:rPr>
        <w:t xml:space="preserve"> ir </w:t>
      </w:r>
      <w:proofErr w:type="spellStart"/>
      <w:r>
        <w:rPr>
          <w:snapToGrid/>
          <w:szCs w:val="22"/>
          <w:lang w:val="lt-LT"/>
        </w:rPr>
        <w:t>metforminu</w:t>
      </w:r>
      <w:proofErr w:type="spellEnd"/>
      <w:r>
        <w:rPr>
          <w:snapToGrid/>
          <w:szCs w:val="22"/>
          <w:lang w:val="lt-LT"/>
        </w:rPr>
        <w:t>, pasireiškė toliau išvardyti šalutinio poveikio reiškiniai.</w:t>
      </w:r>
    </w:p>
    <w:p w14:paraId="364984CF"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plaštakų ar kojų pabrinkimas.</w:t>
      </w:r>
    </w:p>
    <w:p w14:paraId="3D78D06B" w14:textId="77777777" w:rsidR="00636066" w:rsidRDefault="00636066">
      <w:pPr>
        <w:widowControl w:val="0"/>
        <w:tabs>
          <w:tab w:val="clear" w:pos="567"/>
        </w:tabs>
        <w:autoSpaceDE w:val="0"/>
        <w:autoSpaceDN w:val="0"/>
        <w:adjustRightInd w:val="0"/>
        <w:spacing w:line="240" w:lineRule="auto"/>
        <w:rPr>
          <w:snapToGrid/>
          <w:szCs w:val="22"/>
          <w:lang w:val="lt-LT"/>
        </w:rPr>
      </w:pPr>
    </w:p>
    <w:p w14:paraId="5EE05CD4"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w:t>
      </w:r>
      <w:proofErr w:type="spellStart"/>
      <w:r>
        <w:rPr>
          <w:snapToGrid/>
          <w:szCs w:val="22"/>
          <w:lang w:val="lt-LT"/>
        </w:rPr>
        <w:t>sitagliprinto</w:t>
      </w:r>
      <w:proofErr w:type="spellEnd"/>
      <w:r>
        <w:rPr>
          <w:snapToGrid/>
          <w:szCs w:val="22"/>
          <w:lang w:val="lt-LT"/>
        </w:rPr>
        <w:t xml:space="preserve"> vartojo su insulinu (kartu su </w:t>
      </w:r>
      <w:proofErr w:type="spellStart"/>
      <w:r>
        <w:rPr>
          <w:snapToGrid/>
          <w:szCs w:val="22"/>
          <w:lang w:val="lt-LT"/>
        </w:rPr>
        <w:t>metforminu</w:t>
      </w:r>
      <w:proofErr w:type="spellEnd"/>
      <w:r>
        <w:rPr>
          <w:snapToGrid/>
          <w:szCs w:val="22"/>
          <w:lang w:val="lt-LT"/>
        </w:rPr>
        <w:t xml:space="preserve"> arba be jo), pasireiškė toliau išvardyti šalutinio poveikio reiškiniai.</w:t>
      </w:r>
    </w:p>
    <w:p w14:paraId="6056278D"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gripas.</w:t>
      </w:r>
    </w:p>
    <w:p w14:paraId="643833B2" w14:textId="77777777" w:rsidR="00636066" w:rsidRDefault="009544C7">
      <w:pPr>
        <w:widowControl w:val="0"/>
        <w:tabs>
          <w:tab w:val="clear" w:pos="567"/>
        </w:tabs>
        <w:autoSpaceDE w:val="0"/>
        <w:autoSpaceDN w:val="0"/>
        <w:adjustRightInd w:val="0"/>
        <w:spacing w:line="240" w:lineRule="auto"/>
        <w:rPr>
          <w:bCs/>
          <w:snapToGrid/>
          <w:szCs w:val="22"/>
          <w:lang w:val="lt-LT"/>
        </w:rPr>
      </w:pPr>
      <w:r>
        <w:rPr>
          <w:bCs/>
          <w:snapToGrid/>
          <w:szCs w:val="22"/>
          <w:lang w:val="lt-LT"/>
        </w:rPr>
        <w:t>Nedažni: burnos džiūvimas.</w:t>
      </w:r>
    </w:p>
    <w:p w14:paraId="5B242DF2" w14:textId="77777777" w:rsidR="00636066" w:rsidRDefault="00636066">
      <w:pPr>
        <w:widowControl w:val="0"/>
        <w:tabs>
          <w:tab w:val="clear" w:pos="567"/>
        </w:tabs>
        <w:autoSpaceDE w:val="0"/>
        <w:autoSpaceDN w:val="0"/>
        <w:adjustRightInd w:val="0"/>
        <w:spacing w:line="240" w:lineRule="auto"/>
        <w:rPr>
          <w:snapToGrid/>
          <w:szCs w:val="22"/>
          <w:lang w:val="lt-LT"/>
        </w:rPr>
      </w:pPr>
    </w:p>
    <w:p w14:paraId="1603878A"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Toliau išvardyti šalutinio poveikio reiškiniai, pasireiškę kai kuriems pacientams klinikinių tyrimų metu arba po vaisto registracijos vartojusiems vien </w:t>
      </w:r>
      <w:proofErr w:type="spellStart"/>
      <w:r>
        <w:rPr>
          <w:snapToGrid/>
          <w:szCs w:val="22"/>
          <w:lang w:val="lt-LT"/>
        </w:rPr>
        <w:t>sitagliptino</w:t>
      </w:r>
      <w:proofErr w:type="spellEnd"/>
      <w:r>
        <w:rPr>
          <w:snapToGrid/>
          <w:szCs w:val="22"/>
          <w:lang w:val="lt-LT"/>
        </w:rPr>
        <w:t xml:space="preserve"> ir (arba) jo kartu su kitais vaistais nuo cukrinio diabeto.</w:t>
      </w:r>
    </w:p>
    <w:p w14:paraId="20737ED2"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 mažas cukraus kiekis kraujyje, galvos skausmas, viršutinių kvėpavimo takų infekcija, nosies užsikimšimas ar išskyros ir ryklės skausmas, </w:t>
      </w:r>
      <w:proofErr w:type="spellStart"/>
      <w:r>
        <w:rPr>
          <w:snapToGrid/>
          <w:szCs w:val="22"/>
          <w:lang w:val="lt-LT"/>
        </w:rPr>
        <w:t>osteoartritas</w:t>
      </w:r>
      <w:proofErr w:type="spellEnd"/>
      <w:r>
        <w:rPr>
          <w:snapToGrid/>
          <w:szCs w:val="22"/>
          <w:lang w:val="lt-LT"/>
        </w:rPr>
        <w:t>, rankos ar kojos skausmas.</w:t>
      </w:r>
    </w:p>
    <w:p w14:paraId="09D4EEEC"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Nedažni: svaigulys, vidurių užkietėjimas, niežėjimas.</w:t>
      </w:r>
    </w:p>
    <w:p w14:paraId="48DE82CA"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Reti: sumažėjęs trombocitų skaičius.</w:t>
      </w:r>
    </w:p>
    <w:p w14:paraId="1B4C5BEC" w14:textId="77777777" w:rsidR="00636066" w:rsidRDefault="009544C7">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Dažnis nežinomas: inkstų sutrikimai (kartais prireikė dializės), vėmimas, sąnarių skausmas, raumenų skausmas, nugaros skausmas, </w:t>
      </w:r>
      <w:proofErr w:type="spellStart"/>
      <w:r>
        <w:rPr>
          <w:snapToGrid/>
          <w:szCs w:val="22"/>
          <w:lang w:val="lt-LT"/>
        </w:rPr>
        <w:t>intersticinė</w:t>
      </w:r>
      <w:proofErr w:type="spellEnd"/>
      <w:r>
        <w:rPr>
          <w:snapToGrid/>
          <w:szCs w:val="22"/>
          <w:lang w:val="lt-LT"/>
        </w:rPr>
        <w:t xml:space="preserve"> plaučių liga, </w:t>
      </w:r>
      <w:proofErr w:type="spellStart"/>
      <w:r>
        <w:rPr>
          <w:snapToGrid/>
          <w:szCs w:val="22"/>
          <w:lang w:val="lt-LT"/>
        </w:rPr>
        <w:t>pūslinis</w:t>
      </w:r>
      <w:proofErr w:type="spellEnd"/>
      <w:r>
        <w:rPr>
          <w:snapToGrid/>
          <w:szCs w:val="22"/>
          <w:lang w:val="lt-LT"/>
        </w:rPr>
        <w:t xml:space="preserve"> </w:t>
      </w:r>
      <w:proofErr w:type="spellStart"/>
      <w:r>
        <w:rPr>
          <w:snapToGrid/>
          <w:szCs w:val="22"/>
          <w:lang w:val="lt-LT"/>
        </w:rPr>
        <w:t>pemfigoidas</w:t>
      </w:r>
      <w:proofErr w:type="spellEnd"/>
      <w:r>
        <w:rPr>
          <w:snapToGrid/>
          <w:szCs w:val="22"/>
          <w:lang w:val="lt-LT"/>
        </w:rPr>
        <w:t xml:space="preserve"> (tam tikro tipo pūslių susidarymas ant odos).</w:t>
      </w:r>
    </w:p>
    <w:p w14:paraId="5B6F2CB9" w14:textId="77777777" w:rsidR="00636066" w:rsidRDefault="00636066">
      <w:pPr>
        <w:widowControl w:val="0"/>
        <w:tabs>
          <w:tab w:val="clear" w:pos="567"/>
        </w:tabs>
        <w:autoSpaceDE w:val="0"/>
        <w:autoSpaceDN w:val="0"/>
        <w:adjustRightInd w:val="0"/>
        <w:spacing w:line="240" w:lineRule="auto"/>
        <w:rPr>
          <w:snapToGrid/>
          <w:szCs w:val="22"/>
          <w:lang w:val="lt-LT"/>
        </w:rPr>
      </w:pPr>
    </w:p>
    <w:p w14:paraId="531393B1" w14:textId="77777777" w:rsidR="00636066" w:rsidRDefault="009544C7">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3115C904"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Pr>
          <w:rFonts w:eastAsia="Calibri"/>
          <w:snapToGrid/>
          <w:szCs w:val="22"/>
          <w:lang w:val="lt-LT"/>
        </w:rPr>
        <w:t>NepageidaujamaR@vvkt.lt</w:t>
      </w:r>
      <w:proofErr w:type="spellEnd"/>
      <w:r>
        <w:rPr>
          <w:rFonts w:eastAsia="Calibri"/>
          <w:snapToGrid/>
          <w:szCs w:val="22"/>
          <w:lang w:val="lt-LT"/>
        </w:rPr>
        <w:t>) arba nemokamu telefonu 8 800 73 568. Pranešdami apie šalutinį poveikį galite mums padėti gauti daugiau informacijos apie šio vaisto saugumą.</w:t>
      </w:r>
    </w:p>
    <w:p w14:paraId="2BCD5E85" w14:textId="77777777" w:rsidR="00636066" w:rsidRDefault="00636066">
      <w:pPr>
        <w:widowControl w:val="0"/>
        <w:numPr>
          <w:ilvl w:val="12"/>
          <w:numId w:val="0"/>
        </w:numPr>
        <w:tabs>
          <w:tab w:val="clear" w:pos="567"/>
        </w:tabs>
        <w:spacing w:line="240" w:lineRule="auto"/>
        <w:ind w:right="-2"/>
        <w:rPr>
          <w:snapToGrid/>
          <w:szCs w:val="24"/>
          <w:lang w:val="lt-LT"/>
        </w:rPr>
      </w:pPr>
    </w:p>
    <w:p w14:paraId="00AFD369" w14:textId="77777777" w:rsidR="00636066" w:rsidRDefault="00636066">
      <w:pPr>
        <w:widowControl w:val="0"/>
        <w:numPr>
          <w:ilvl w:val="12"/>
          <w:numId w:val="0"/>
        </w:numPr>
        <w:tabs>
          <w:tab w:val="clear" w:pos="567"/>
        </w:tabs>
        <w:spacing w:line="240" w:lineRule="auto"/>
        <w:ind w:right="-2"/>
        <w:rPr>
          <w:snapToGrid/>
          <w:szCs w:val="22"/>
          <w:lang w:val="lt-LT"/>
        </w:rPr>
      </w:pPr>
    </w:p>
    <w:p w14:paraId="744E145F"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Maysiglu</w:t>
      </w:r>
      <w:proofErr w:type="spellEnd"/>
    </w:p>
    <w:p w14:paraId="72706750" w14:textId="77777777" w:rsidR="00636066" w:rsidRDefault="00636066">
      <w:pPr>
        <w:widowControl w:val="0"/>
        <w:tabs>
          <w:tab w:val="clear" w:pos="567"/>
        </w:tabs>
        <w:spacing w:line="240" w:lineRule="auto"/>
        <w:rPr>
          <w:i/>
          <w:snapToGrid/>
          <w:szCs w:val="22"/>
          <w:lang w:val="lt-LT"/>
        </w:rPr>
      </w:pPr>
    </w:p>
    <w:p w14:paraId="5D385588" w14:textId="77777777" w:rsidR="00636066" w:rsidRDefault="009544C7">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55362AC8" w14:textId="77777777" w:rsidR="00636066" w:rsidRDefault="00636066">
      <w:pPr>
        <w:widowControl w:val="0"/>
        <w:numPr>
          <w:ilvl w:val="12"/>
          <w:numId w:val="0"/>
        </w:numPr>
        <w:tabs>
          <w:tab w:val="clear" w:pos="567"/>
        </w:tabs>
        <w:spacing w:line="240" w:lineRule="auto"/>
        <w:ind w:right="-2"/>
        <w:rPr>
          <w:snapToGrid/>
          <w:szCs w:val="22"/>
          <w:lang w:val="lt-LT"/>
        </w:rPr>
      </w:pPr>
    </w:p>
    <w:p w14:paraId="1A141579" w14:textId="77777777" w:rsidR="00636066" w:rsidRDefault="009544C7">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14:paraId="0F887C21" w14:textId="77777777" w:rsidR="00636066" w:rsidRDefault="00636066">
      <w:pPr>
        <w:widowControl w:val="0"/>
        <w:numPr>
          <w:ilvl w:val="12"/>
          <w:numId w:val="0"/>
        </w:numPr>
        <w:tabs>
          <w:tab w:val="clear" w:pos="567"/>
        </w:tabs>
        <w:spacing w:line="240" w:lineRule="auto"/>
        <w:ind w:right="-2"/>
        <w:rPr>
          <w:snapToGrid/>
          <w:szCs w:val="22"/>
          <w:lang w:val="lt-LT"/>
        </w:rPr>
      </w:pPr>
    </w:p>
    <w:p w14:paraId="020EC82C" w14:textId="1A654D06" w:rsidR="00636066" w:rsidRDefault="009544C7">
      <w:pPr>
        <w:widowControl w:val="0"/>
        <w:tabs>
          <w:tab w:val="clear" w:pos="567"/>
        </w:tabs>
        <w:spacing w:line="240" w:lineRule="auto"/>
        <w:rPr>
          <w:snapToGrid/>
          <w:szCs w:val="22"/>
          <w:lang w:val="sl-SI" w:eastAsia="sl-SI"/>
        </w:rPr>
      </w:pPr>
      <w:r>
        <w:rPr>
          <w:snapToGrid/>
          <w:szCs w:val="22"/>
          <w:lang w:val="sl-SI" w:eastAsia="sl-SI"/>
        </w:rPr>
        <w:t>Laikyti ne aukštesnėje kaip 25 </w:t>
      </w:r>
      <w:r>
        <w:rPr>
          <w:snapToGrid/>
          <w:szCs w:val="22"/>
          <w:lang w:val="sl-SI" w:eastAsia="sl-SI"/>
        </w:rPr>
        <w:sym w:font="Symbol" w:char="F0B0"/>
      </w:r>
      <w:r>
        <w:rPr>
          <w:snapToGrid/>
          <w:szCs w:val="22"/>
          <w:lang w:val="sl-SI" w:eastAsia="sl-SI"/>
        </w:rPr>
        <w:t>C temperatūroje.</w:t>
      </w:r>
    </w:p>
    <w:p w14:paraId="0C21ECB8" w14:textId="77777777" w:rsidR="00636066" w:rsidRDefault="009544C7">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Laikyti gamintojo pakuotėje, kad vaistas būtų apsaugotas nuo drėgmės. </w:t>
      </w:r>
    </w:p>
    <w:p w14:paraId="1B83AF5C" w14:textId="77777777" w:rsidR="00636066" w:rsidRDefault="00636066">
      <w:pPr>
        <w:widowControl w:val="0"/>
        <w:tabs>
          <w:tab w:val="clear" w:pos="567"/>
        </w:tabs>
        <w:spacing w:line="240" w:lineRule="auto"/>
        <w:rPr>
          <w:rFonts w:eastAsia="TimesNewRoman"/>
          <w:snapToGrid/>
          <w:szCs w:val="22"/>
          <w:lang w:val="lt-LT"/>
        </w:rPr>
      </w:pPr>
    </w:p>
    <w:p w14:paraId="25EB16F9" w14:textId="77777777" w:rsidR="00636066" w:rsidRDefault="009544C7">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46DD0408" w14:textId="77777777" w:rsidR="00636066" w:rsidRDefault="00636066">
      <w:pPr>
        <w:widowControl w:val="0"/>
        <w:numPr>
          <w:ilvl w:val="12"/>
          <w:numId w:val="0"/>
        </w:numPr>
        <w:tabs>
          <w:tab w:val="clear" w:pos="567"/>
        </w:tabs>
        <w:spacing w:line="240" w:lineRule="auto"/>
        <w:ind w:right="-2"/>
        <w:rPr>
          <w:snapToGrid/>
          <w:szCs w:val="22"/>
          <w:lang w:val="lt-LT"/>
        </w:rPr>
      </w:pPr>
    </w:p>
    <w:p w14:paraId="27F07BE0" w14:textId="77777777" w:rsidR="00636066" w:rsidRDefault="00636066">
      <w:pPr>
        <w:widowControl w:val="0"/>
        <w:numPr>
          <w:ilvl w:val="12"/>
          <w:numId w:val="0"/>
        </w:numPr>
        <w:tabs>
          <w:tab w:val="clear" w:pos="567"/>
        </w:tabs>
        <w:spacing w:line="240" w:lineRule="auto"/>
        <w:ind w:right="-2"/>
        <w:rPr>
          <w:snapToGrid/>
          <w:szCs w:val="22"/>
          <w:lang w:val="lt-LT"/>
        </w:rPr>
      </w:pPr>
    </w:p>
    <w:p w14:paraId="4FCD1977" w14:textId="77777777" w:rsidR="00636066" w:rsidRDefault="009544C7">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0A56C2F3" w14:textId="77777777" w:rsidR="00636066" w:rsidRDefault="00636066">
      <w:pPr>
        <w:widowControl w:val="0"/>
        <w:numPr>
          <w:ilvl w:val="12"/>
          <w:numId w:val="0"/>
        </w:numPr>
        <w:tabs>
          <w:tab w:val="clear" w:pos="567"/>
        </w:tabs>
        <w:spacing w:line="240" w:lineRule="auto"/>
        <w:rPr>
          <w:snapToGrid/>
          <w:szCs w:val="22"/>
          <w:lang w:val="lt-LT"/>
        </w:rPr>
      </w:pPr>
    </w:p>
    <w:p w14:paraId="3D819A27" w14:textId="77777777" w:rsidR="00636066" w:rsidRDefault="009544C7">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Maysiglu</w:t>
      </w:r>
      <w:proofErr w:type="spellEnd"/>
      <w:r>
        <w:rPr>
          <w:b/>
          <w:bCs/>
          <w:snapToGrid/>
          <w:szCs w:val="22"/>
          <w:lang w:val="lt-LT"/>
        </w:rPr>
        <w:t xml:space="preserve"> sudėtis</w:t>
      </w:r>
    </w:p>
    <w:p w14:paraId="300394A6" w14:textId="77777777" w:rsidR="00636066" w:rsidRDefault="009544C7">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Veiklioji medžiaga </w:t>
      </w:r>
      <w:r>
        <w:rPr>
          <w:rFonts w:eastAsia="TimesNewRoman"/>
          <w:snapToGrid/>
          <w:szCs w:val="22"/>
          <w:lang w:val="lt-LT"/>
        </w:rPr>
        <w:t xml:space="preserve">yra </w:t>
      </w:r>
      <w:proofErr w:type="spellStart"/>
      <w:r>
        <w:rPr>
          <w:rFonts w:eastAsia="TimesNewRoman"/>
          <w:snapToGrid/>
          <w:szCs w:val="22"/>
          <w:lang w:val="lt-LT"/>
        </w:rPr>
        <w:t>sitagliptinas</w:t>
      </w:r>
      <w:proofErr w:type="spellEnd"/>
      <w:r>
        <w:rPr>
          <w:rFonts w:eastAsia="TimesNewRoman"/>
          <w:snapToGrid/>
          <w:szCs w:val="22"/>
          <w:lang w:val="lt-LT"/>
        </w:rPr>
        <w:t>.</w:t>
      </w:r>
    </w:p>
    <w:p w14:paraId="146A6CEA" w14:textId="77777777" w:rsidR="00636066" w:rsidRDefault="009544C7">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25 mg plėvele dengtos tabletės</w:t>
      </w:r>
    </w:p>
    <w:p w14:paraId="51E100DC"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25 mg </w:t>
      </w:r>
      <w:proofErr w:type="spellStart"/>
      <w:r>
        <w:rPr>
          <w:rFonts w:eastAsia="TimesNewRoman"/>
          <w:snapToGrid/>
          <w:szCs w:val="22"/>
          <w:lang w:val="lt-LT"/>
        </w:rPr>
        <w:t>sitagliptino</w:t>
      </w:r>
      <w:proofErr w:type="spellEnd"/>
      <w:r>
        <w:rPr>
          <w:rFonts w:eastAsia="TimesNewRoman"/>
          <w:snapToGrid/>
          <w:szCs w:val="22"/>
          <w:lang w:val="lt-LT"/>
        </w:rPr>
        <w:t>.</w:t>
      </w:r>
    </w:p>
    <w:p w14:paraId="3FEAC613" w14:textId="77777777" w:rsidR="00636066" w:rsidRDefault="009544C7">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50 mg plėvele dengtos tabletės</w:t>
      </w:r>
    </w:p>
    <w:p w14:paraId="2CBD8BB0"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w:t>
      </w:r>
    </w:p>
    <w:p w14:paraId="7EA4AF08" w14:textId="77777777" w:rsidR="00636066" w:rsidRDefault="009544C7">
      <w:pPr>
        <w:widowControl w:val="0"/>
        <w:tabs>
          <w:tab w:val="clear" w:pos="567"/>
        </w:tabs>
        <w:autoSpaceDE w:val="0"/>
        <w:autoSpaceDN w:val="0"/>
        <w:adjustRightInd w:val="0"/>
        <w:spacing w:line="240" w:lineRule="auto"/>
        <w:ind w:left="567"/>
        <w:rPr>
          <w:i/>
          <w:iCs/>
          <w:snapToGrid/>
          <w:color w:val="000000"/>
          <w:szCs w:val="22"/>
          <w:u w:val="single"/>
          <w:lang w:val="lt-LT"/>
        </w:rPr>
      </w:pPr>
      <w:proofErr w:type="spellStart"/>
      <w:r>
        <w:rPr>
          <w:i/>
          <w:iCs/>
          <w:snapToGrid/>
          <w:color w:val="000000"/>
          <w:szCs w:val="22"/>
          <w:u w:val="single"/>
          <w:lang w:val="lt-LT"/>
        </w:rPr>
        <w:t>Maysiglu</w:t>
      </w:r>
      <w:proofErr w:type="spellEnd"/>
      <w:r>
        <w:rPr>
          <w:i/>
          <w:iCs/>
          <w:snapToGrid/>
          <w:color w:val="000000"/>
          <w:szCs w:val="22"/>
          <w:u w:val="single"/>
          <w:lang w:val="lt-LT"/>
        </w:rPr>
        <w:t xml:space="preserve"> 100 mg plėvele dengtos tabletės</w:t>
      </w:r>
    </w:p>
    <w:p w14:paraId="0EDBCCC8"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100 mg </w:t>
      </w:r>
      <w:proofErr w:type="spellStart"/>
      <w:r>
        <w:rPr>
          <w:rFonts w:eastAsia="TimesNewRoman"/>
          <w:snapToGrid/>
          <w:szCs w:val="22"/>
          <w:lang w:val="lt-LT"/>
        </w:rPr>
        <w:t>sitagliptino</w:t>
      </w:r>
      <w:proofErr w:type="spellEnd"/>
      <w:r>
        <w:rPr>
          <w:rFonts w:eastAsia="TimesNewRoman"/>
          <w:snapToGrid/>
          <w:szCs w:val="22"/>
          <w:lang w:val="lt-LT"/>
        </w:rPr>
        <w:t>.</w:t>
      </w:r>
    </w:p>
    <w:p w14:paraId="214BC656" w14:textId="77777777" w:rsidR="00636066" w:rsidRDefault="009544C7">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Pagalbinės medžiagos yra</w:t>
      </w:r>
      <w:r>
        <w:rPr>
          <w:rFonts w:eastAsia="TimesNewRoman"/>
          <w:snapToGrid/>
          <w:szCs w:val="22"/>
          <w:lang w:val="lt-LT"/>
        </w:rPr>
        <w:t>:</w:t>
      </w:r>
    </w:p>
    <w:p w14:paraId="73049520"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i/>
          <w:snapToGrid/>
          <w:szCs w:val="22"/>
          <w:lang w:val="lt-LT"/>
        </w:rPr>
        <w:t xml:space="preserve">Tabletės šerdis: </w:t>
      </w:r>
      <w:proofErr w:type="spellStart"/>
      <w:r>
        <w:rPr>
          <w:rFonts w:eastAsia="TimesNewRoman"/>
          <w:snapToGrid/>
          <w:szCs w:val="22"/>
          <w:lang w:val="lt-LT"/>
        </w:rPr>
        <w:t>mikrokristalinė</w:t>
      </w:r>
      <w:proofErr w:type="spellEnd"/>
      <w:r>
        <w:rPr>
          <w:rFonts w:eastAsia="TimesNewRoman"/>
          <w:snapToGrid/>
          <w:szCs w:val="22"/>
          <w:lang w:val="lt-LT"/>
        </w:rPr>
        <w:t xml:space="preserve"> celiuliozė, kalcio</w:t>
      </w:r>
      <w:r>
        <w:rPr>
          <w:rFonts w:eastAsia="TimesNewRoman"/>
          <w:snapToGrid/>
          <w:szCs w:val="22"/>
          <w:lang w:val="lt-LT"/>
        </w:rPr>
        <w:noBreakHyphen/>
        <w:t xml:space="preserve">vandenilio fosfatas, </w:t>
      </w:r>
      <w:proofErr w:type="spellStart"/>
      <w:r>
        <w:rPr>
          <w:rFonts w:eastAsia="TimesNewRoman"/>
          <w:snapToGrid/>
          <w:szCs w:val="22"/>
          <w:lang w:val="lt-LT"/>
        </w:rPr>
        <w:t>kroskarmeliozės</w:t>
      </w:r>
      <w:proofErr w:type="spellEnd"/>
      <w:r>
        <w:rPr>
          <w:rFonts w:eastAsia="TimesNewRoman"/>
          <w:snapToGrid/>
          <w:szCs w:val="22"/>
          <w:lang w:val="lt-LT"/>
        </w:rPr>
        <w:t xml:space="preserve"> natrio druska, natrio </w:t>
      </w:r>
      <w:proofErr w:type="spellStart"/>
      <w:r>
        <w:rPr>
          <w:rFonts w:eastAsia="TimesNewRoman"/>
          <w:snapToGrid/>
          <w:szCs w:val="22"/>
          <w:lang w:val="lt-LT"/>
        </w:rPr>
        <w:t>stearilfumaratas</w:t>
      </w:r>
      <w:proofErr w:type="spellEnd"/>
      <w:r>
        <w:rPr>
          <w:rFonts w:eastAsia="TimesNewRoman"/>
          <w:snapToGrid/>
          <w:szCs w:val="22"/>
          <w:lang w:val="lt-LT"/>
        </w:rPr>
        <w:t xml:space="preserve"> ir magnio </w:t>
      </w:r>
      <w:proofErr w:type="spellStart"/>
      <w:r>
        <w:rPr>
          <w:rFonts w:eastAsia="TimesNewRoman"/>
          <w:snapToGrid/>
          <w:szCs w:val="22"/>
          <w:lang w:val="lt-LT"/>
        </w:rPr>
        <w:t>stearatas</w:t>
      </w:r>
      <w:proofErr w:type="spellEnd"/>
    </w:p>
    <w:p w14:paraId="11D9DC32" w14:textId="77777777" w:rsidR="00636066" w:rsidRDefault="009544C7">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i/>
          <w:snapToGrid/>
          <w:szCs w:val="22"/>
          <w:lang w:val="lt-LT"/>
        </w:rPr>
        <w:t xml:space="preserve">Tabletės plėvelė: </w:t>
      </w:r>
      <w:proofErr w:type="spellStart"/>
      <w:r>
        <w:rPr>
          <w:rFonts w:eastAsia="TimesNewRoman"/>
          <w:i/>
          <w:snapToGrid/>
          <w:szCs w:val="22"/>
          <w:lang w:val="lt-LT"/>
        </w:rPr>
        <w:t>Opadry</w:t>
      </w:r>
      <w:proofErr w:type="spellEnd"/>
      <w:r>
        <w:rPr>
          <w:rFonts w:eastAsia="TimesNewRoman"/>
          <w:i/>
          <w:snapToGrid/>
          <w:szCs w:val="22"/>
          <w:lang w:val="lt-LT"/>
        </w:rPr>
        <w:t xml:space="preserve"> 85F280010 II HP</w:t>
      </w:r>
      <w:r>
        <w:rPr>
          <w:rFonts w:eastAsia="TimesNewRoman"/>
          <w:snapToGrid/>
          <w:szCs w:val="22"/>
          <w:lang w:val="lt-LT"/>
        </w:rPr>
        <w:t xml:space="preserve"> baltasis, kurio sudėtyje yra: polivinilo alkoholis, </w:t>
      </w:r>
      <w:proofErr w:type="spellStart"/>
      <w:r>
        <w:rPr>
          <w:rFonts w:eastAsia="TimesNewRoman"/>
          <w:snapToGrid/>
          <w:szCs w:val="22"/>
          <w:lang w:val="lt-LT"/>
        </w:rPr>
        <w:t>makrogolis</w:t>
      </w:r>
      <w:proofErr w:type="spellEnd"/>
      <w:r>
        <w:rPr>
          <w:rFonts w:eastAsia="TimesNewRoman"/>
          <w:snapToGrid/>
          <w:szCs w:val="22"/>
          <w:lang w:val="lt-LT"/>
        </w:rPr>
        <w:t> 3350, titano dioksidas (E171), talkas, raudonasis geležies oksidas (E172) ir geltonasis geležies oksidas (E172) ( žr. 2 skyriaus poskyrį  „</w:t>
      </w:r>
      <w:proofErr w:type="spellStart"/>
      <w:r>
        <w:rPr>
          <w:rFonts w:eastAsia="TimesNewRoman"/>
          <w:snapToGrid/>
          <w:szCs w:val="22"/>
          <w:lang w:val="lt-LT"/>
        </w:rPr>
        <w:t>Maysiglu</w:t>
      </w:r>
      <w:proofErr w:type="spellEnd"/>
      <w:r>
        <w:rPr>
          <w:rFonts w:eastAsia="TimesNewRoman"/>
          <w:snapToGrid/>
          <w:szCs w:val="22"/>
          <w:lang w:val="lt-LT"/>
        </w:rPr>
        <w:t xml:space="preserve"> sudėtyje yra natrio“).</w:t>
      </w:r>
    </w:p>
    <w:p w14:paraId="6DE12F78" w14:textId="77777777" w:rsidR="00636066" w:rsidRDefault="00636066">
      <w:pPr>
        <w:widowControl w:val="0"/>
        <w:tabs>
          <w:tab w:val="clear" w:pos="567"/>
        </w:tabs>
        <w:spacing w:line="240" w:lineRule="auto"/>
        <w:ind w:right="-2"/>
        <w:rPr>
          <w:snapToGrid/>
          <w:szCs w:val="22"/>
          <w:lang w:val="lt-LT"/>
        </w:rPr>
      </w:pPr>
    </w:p>
    <w:p w14:paraId="72E70F78" w14:textId="77777777" w:rsidR="00636066" w:rsidRDefault="009544C7">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Maysiglu</w:t>
      </w:r>
      <w:proofErr w:type="spellEnd"/>
      <w:r>
        <w:rPr>
          <w:b/>
          <w:bCs/>
          <w:snapToGrid/>
          <w:szCs w:val="22"/>
          <w:lang w:val="lt-LT"/>
        </w:rPr>
        <w:t xml:space="preserve"> išvaizda ir kiekis pakuotėje</w:t>
      </w:r>
    </w:p>
    <w:p w14:paraId="2549589F"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25 mg plėvele dengtos tabletės (tabletės): r</w:t>
      </w:r>
      <w:r>
        <w:rPr>
          <w:snapToGrid/>
          <w:szCs w:val="22"/>
          <w:lang w:val="lt-LT"/>
        </w:rPr>
        <w:t>ausvos, apvalios, šiek tiek abipus išgaubtos, plėvele dengtos tabletės, vienoje tabletės pusėje įspausta žyma „K25“, skersmuo – apytiksliai 7 mm, storis 2,0 – 3,2 mm.</w:t>
      </w:r>
    </w:p>
    <w:p w14:paraId="09D98024" w14:textId="77777777" w:rsidR="00636066" w:rsidRDefault="00636066">
      <w:pPr>
        <w:widowControl w:val="0"/>
        <w:tabs>
          <w:tab w:val="clear" w:pos="567"/>
        </w:tabs>
        <w:spacing w:line="240" w:lineRule="auto"/>
        <w:rPr>
          <w:snapToGrid/>
          <w:szCs w:val="22"/>
          <w:lang w:val="lt-LT"/>
        </w:rPr>
      </w:pPr>
    </w:p>
    <w:p w14:paraId="78159747"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50 mg plėvele dengtos tabletės (tabletės): š</w:t>
      </w:r>
      <w:r>
        <w:rPr>
          <w:snapToGrid/>
          <w:szCs w:val="22"/>
          <w:lang w:val="lt-LT"/>
        </w:rPr>
        <w:t>viesiai oranžinės, apvalios, abipus išgaubtos, plėvele dengtos tabletės, vienoje tabletės pusėje yra vagelė. Vienoje vagele padalintoje pusėje įspausta žyma „K“, kitoje pusėje − „50“. Skersmuo – apytiksliai 9 mm, storis 2,8 – 3,8 mm. Tabletę galima padalyti į lygias dozes.</w:t>
      </w:r>
    </w:p>
    <w:p w14:paraId="6F597374" w14:textId="77777777" w:rsidR="00636066" w:rsidRDefault="00636066">
      <w:pPr>
        <w:widowControl w:val="0"/>
        <w:tabs>
          <w:tab w:val="clear" w:pos="567"/>
        </w:tabs>
        <w:spacing w:line="240" w:lineRule="auto"/>
        <w:rPr>
          <w:snapToGrid/>
          <w:szCs w:val="22"/>
          <w:lang w:val="lt-LT"/>
        </w:rPr>
      </w:pPr>
    </w:p>
    <w:p w14:paraId="55AF224C" w14:textId="77777777" w:rsidR="00636066" w:rsidRDefault="009544C7">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Maysiglu</w:t>
      </w:r>
      <w:proofErr w:type="spellEnd"/>
      <w:r>
        <w:rPr>
          <w:snapToGrid/>
          <w:color w:val="000000"/>
          <w:szCs w:val="22"/>
          <w:lang w:val="lt-LT"/>
        </w:rPr>
        <w:t xml:space="preserve"> 100 mg plėvele dengtos tabletės (tabletės): r</w:t>
      </w:r>
      <w:r>
        <w:rPr>
          <w:snapToGrid/>
          <w:szCs w:val="22"/>
          <w:lang w:val="lt-LT"/>
        </w:rPr>
        <w:t>usvai oranžinės, apvalios, abipus išgaubtos, plėvele dengtos tabletės, vienoje tabletės pusėje yra vagelė. Vienoje vagele padalintoje pusėje įspausta žyma „K“, kitoje pusėje − „100“. Skersmuo – apytiksliai 11 mm, storis 3,3 – 4,5 mm. Tabletę galima padalyti į lygias dozes.</w:t>
      </w:r>
    </w:p>
    <w:p w14:paraId="3AC3B2DF" w14:textId="77777777" w:rsidR="00636066" w:rsidRDefault="00636066">
      <w:pPr>
        <w:widowControl w:val="0"/>
        <w:tabs>
          <w:tab w:val="clear" w:pos="567"/>
        </w:tabs>
        <w:autoSpaceDE w:val="0"/>
        <w:autoSpaceDN w:val="0"/>
        <w:adjustRightInd w:val="0"/>
        <w:spacing w:line="240" w:lineRule="auto"/>
        <w:rPr>
          <w:rFonts w:eastAsia="TimesNewRoman"/>
          <w:i/>
          <w:iCs/>
          <w:snapToGrid/>
          <w:szCs w:val="22"/>
          <w:lang w:val="lt-LT"/>
        </w:rPr>
      </w:pPr>
    </w:p>
    <w:p w14:paraId="00B1F91F" w14:textId="77777777" w:rsidR="00636066" w:rsidRDefault="009544C7">
      <w:pPr>
        <w:widowControl w:val="0"/>
        <w:tabs>
          <w:tab w:val="clear" w:pos="567"/>
        </w:tabs>
        <w:autoSpaceDE w:val="0"/>
        <w:autoSpaceDN w:val="0"/>
        <w:adjustRightInd w:val="0"/>
        <w:spacing w:line="240" w:lineRule="auto"/>
        <w:rPr>
          <w:rFonts w:eastAsia="TimesNewRoman"/>
          <w:snapToGrid/>
          <w:szCs w:val="22"/>
          <w:lang w:val="lt-LT"/>
        </w:rPr>
      </w:pPr>
      <w:proofErr w:type="spellStart"/>
      <w:r>
        <w:rPr>
          <w:snapToGrid/>
          <w:color w:val="000000"/>
          <w:szCs w:val="22"/>
          <w:lang w:val="lt-LT"/>
        </w:rPr>
        <w:t>Maysiglu</w:t>
      </w:r>
      <w:proofErr w:type="spellEnd"/>
      <w:r>
        <w:rPr>
          <w:snapToGrid/>
          <w:color w:val="000000"/>
          <w:szCs w:val="22"/>
          <w:lang w:val="lt-LT"/>
        </w:rPr>
        <w:t xml:space="preserve"> tiekiamas kartono dėžutėse, kuriose yra </w:t>
      </w:r>
      <w:r>
        <w:rPr>
          <w:rFonts w:eastAsia="TimesNewRoman"/>
          <w:snapToGrid/>
          <w:szCs w:val="22"/>
          <w:lang w:val="lt-LT"/>
        </w:rPr>
        <w:t>14, 28, 30, 56, 60, 90 arba 98 plėvele dengtos tabletės lizdinėse plokštelėse.</w:t>
      </w:r>
    </w:p>
    <w:p w14:paraId="46AEC126" w14:textId="77777777" w:rsidR="00636066" w:rsidRDefault="00636066">
      <w:pPr>
        <w:widowControl w:val="0"/>
        <w:tabs>
          <w:tab w:val="clear" w:pos="567"/>
        </w:tabs>
        <w:autoSpaceDE w:val="0"/>
        <w:autoSpaceDN w:val="0"/>
        <w:adjustRightInd w:val="0"/>
        <w:spacing w:line="240" w:lineRule="auto"/>
        <w:rPr>
          <w:rFonts w:eastAsia="TimesNewRoman"/>
          <w:snapToGrid/>
          <w:szCs w:val="22"/>
          <w:lang w:val="lt-LT"/>
        </w:rPr>
      </w:pPr>
    </w:p>
    <w:p w14:paraId="3934B310" w14:textId="77777777" w:rsidR="00636066" w:rsidRDefault="009544C7">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35C62D1A" w14:textId="77777777" w:rsidR="00636066" w:rsidRDefault="00636066">
      <w:pPr>
        <w:widowControl w:val="0"/>
        <w:numPr>
          <w:ilvl w:val="12"/>
          <w:numId w:val="0"/>
        </w:numPr>
        <w:tabs>
          <w:tab w:val="clear" w:pos="567"/>
        </w:tabs>
        <w:spacing w:line="240" w:lineRule="auto"/>
        <w:ind w:right="-2"/>
        <w:rPr>
          <w:snapToGrid/>
          <w:szCs w:val="22"/>
          <w:lang w:val="lt-LT"/>
        </w:rPr>
      </w:pPr>
    </w:p>
    <w:p w14:paraId="0EBD1271" w14:textId="77777777" w:rsidR="00636066" w:rsidRDefault="009544C7">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06794448" w14:textId="77777777" w:rsidR="00636066" w:rsidRDefault="00636066">
      <w:pPr>
        <w:widowControl w:val="0"/>
        <w:numPr>
          <w:ilvl w:val="12"/>
          <w:numId w:val="0"/>
        </w:numPr>
        <w:tabs>
          <w:tab w:val="clear" w:pos="567"/>
        </w:tabs>
        <w:spacing w:line="240" w:lineRule="auto"/>
        <w:rPr>
          <w:b/>
          <w:bCs/>
          <w:snapToGrid/>
          <w:szCs w:val="22"/>
          <w:lang w:val="lt-LT"/>
        </w:rPr>
      </w:pPr>
    </w:p>
    <w:p w14:paraId="753D3FB7" w14:textId="77777777" w:rsidR="00636066" w:rsidRDefault="009544C7">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49C24D36"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3E18E2AA" w14:textId="77777777" w:rsidR="00636066" w:rsidRDefault="009544C7">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5BBC69A0"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662CFF1B" w14:textId="77777777" w:rsidR="00636066" w:rsidRDefault="009544C7">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6743A2CC" w14:textId="77777777" w:rsidR="00636066" w:rsidRDefault="00636066">
      <w:pPr>
        <w:widowControl w:val="0"/>
        <w:numPr>
          <w:ilvl w:val="12"/>
          <w:numId w:val="0"/>
        </w:numPr>
        <w:tabs>
          <w:tab w:val="clear" w:pos="567"/>
        </w:tabs>
        <w:spacing w:line="240" w:lineRule="auto"/>
        <w:ind w:right="-2"/>
        <w:rPr>
          <w:snapToGrid/>
          <w:szCs w:val="22"/>
          <w:lang w:val="lt-LT"/>
        </w:rPr>
      </w:pPr>
    </w:p>
    <w:p w14:paraId="28C94CD8" w14:textId="77777777" w:rsidR="00636066" w:rsidRDefault="009544C7">
      <w:pPr>
        <w:widowControl w:val="0"/>
        <w:tabs>
          <w:tab w:val="clear" w:pos="567"/>
        </w:tabs>
        <w:spacing w:line="240" w:lineRule="auto"/>
        <w:ind w:left="142" w:hanging="142"/>
        <w:rPr>
          <w:i/>
          <w:snapToGrid/>
          <w:szCs w:val="24"/>
          <w:lang w:val="lt-LT"/>
        </w:rPr>
      </w:pPr>
      <w:r>
        <w:rPr>
          <w:bCs/>
          <w:i/>
          <w:snapToGrid/>
          <w:szCs w:val="22"/>
          <w:lang w:val="lt-LT"/>
        </w:rPr>
        <w:t>Gamintojas</w:t>
      </w:r>
    </w:p>
    <w:p w14:paraId="4D95C10D" w14:textId="77777777" w:rsidR="00636066" w:rsidRDefault="009544C7">
      <w:pPr>
        <w:widowControl w:val="0"/>
        <w:tabs>
          <w:tab w:val="clear" w:pos="567"/>
        </w:tabs>
        <w:spacing w:line="240" w:lineRule="auto"/>
        <w:jc w:val="both"/>
        <w:rPr>
          <w:snapToGrid/>
          <w:szCs w:val="24"/>
          <w:lang w:val="lt-LT"/>
        </w:rPr>
      </w:pPr>
      <w:r>
        <w:rPr>
          <w:snapToGrid/>
          <w:szCs w:val="24"/>
          <w:lang w:val="lt-LT"/>
        </w:rPr>
        <w:t xml:space="preserve">KRKA, </w:t>
      </w:r>
      <w:proofErr w:type="spellStart"/>
      <w:r>
        <w:rPr>
          <w:snapToGrid/>
          <w:szCs w:val="24"/>
          <w:lang w:val="lt-LT"/>
        </w:rPr>
        <w:t>d.d</w:t>
      </w:r>
      <w:proofErr w:type="spellEnd"/>
      <w:r>
        <w:rPr>
          <w:snapToGrid/>
          <w:szCs w:val="24"/>
          <w:lang w:val="lt-LT"/>
        </w:rPr>
        <w:t>., Novo mesto</w:t>
      </w:r>
    </w:p>
    <w:p w14:paraId="051BED9D" w14:textId="77777777" w:rsidR="00636066" w:rsidRDefault="009544C7">
      <w:pPr>
        <w:widowControl w:val="0"/>
        <w:tabs>
          <w:tab w:val="clear" w:pos="567"/>
        </w:tabs>
        <w:spacing w:line="240" w:lineRule="auto"/>
        <w:jc w:val="both"/>
        <w:rPr>
          <w:snapToGrid/>
          <w:szCs w:val="24"/>
          <w:lang w:val="lt-LT"/>
        </w:rPr>
      </w:pPr>
      <w:proofErr w:type="spellStart"/>
      <w:r>
        <w:rPr>
          <w:snapToGrid/>
          <w:szCs w:val="24"/>
          <w:lang w:val="lt-LT"/>
        </w:rPr>
        <w:t>Šmarješka</w:t>
      </w:r>
      <w:proofErr w:type="spellEnd"/>
      <w:r>
        <w:rPr>
          <w:snapToGrid/>
          <w:szCs w:val="24"/>
          <w:lang w:val="lt-LT"/>
        </w:rPr>
        <w:t xml:space="preserve"> </w:t>
      </w:r>
      <w:proofErr w:type="spellStart"/>
      <w:r>
        <w:rPr>
          <w:snapToGrid/>
          <w:szCs w:val="24"/>
          <w:lang w:val="lt-LT"/>
        </w:rPr>
        <w:t>cesta</w:t>
      </w:r>
      <w:proofErr w:type="spellEnd"/>
      <w:r>
        <w:rPr>
          <w:snapToGrid/>
          <w:szCs w:val="24"/>
          <w:lang w:val="lt-LT"/>
        </w:rPr>
        <w:t xml:space="preserve"> 6</w:t>
      </w:r>
    </w:p>
    <w:p w14:paraId="1B774401" w14:textId="77777777" w:rsidR="00636066" w:rsidRDefault="009544C7">
      <w:pPr>
        <w:widowControl w:val="0"/>
        <w:tabs>
          <w:tab w:val="clear" w:pos="567"/>
        </w:tabs>
        <w:spacing w:line="240" w:lineRule="auto"/>
        <w:jc w:val="both"/>
        <w:rPr>
          <w:snapToGrid/>
          <w:szCs w:val="24"/>
          <w:lang w:val="lt-LT"/>
        </w:rPr>
      </w:pPr>
      <w:r>
        <w:rPr>
          <w:snapToGrid/>
          <w:szCs w:val="24"/>
          <w:lang w:val="lt-LT"/>
        </w:rPr>
        <w:t>8501 Novo mesto</w:t>
      </w:r>
    </w:p>
    <w:p w14:paraId="49789508" w14:textId="77777777" w:rsidR="00636066" w:rsidRDefault="009544C7">
      <w:pPr>
        <w:widowControl w:val="0"/>
        <w:tabs>
          <w:tab w:val="clear" w:pos="567"/>
        </w:tabs>
        <w:spacing w:line="240" w:lineRule="auto"/>
        <w:jc w:val="both"/>
        <w:rPr>
          <w:snapToGrid/>
          <w:szCs w:val="24"/>
          <w:lang w:val="lt-LT"/>
        </w:rPr>
      </w:pPr>
      <w:r>
        <w:rPr>
          <w:snapToGrid/>
          <w:szCs w:val="24"/>
          <w:lang w:val="lt-LT"/>
        </w:rPr>
        <w:t>Slovėnija</w:t>
      </w:r>
    </w:p>
    <w:p w14:paraId="31FA365D" w14:textId="77777777" w:rsidR="00636066" w:rsidRDefault="00636066">
      <w:pPr>
        <w:widowControl w:val="0"/>
        <w:tabs>
          <w:tab w:val="clear" w:pos="567"/>
        </w:tabs>
        <w:spacing w:line="240" w:lineRule="auto"/>
        <w:jc w:val="both"/>
        <w:rPr>
          <w:snapToGrid/>
          <w:szCs w:val="24"/>
          <w:lang w:val="lt-LT"/>
        </w:rPr>
      </w:pPr>
    </w:p>
    <w:p w14:paraId="67045B2F" w14:textId="77777777" w:rsidR="00636066" w:rsidRDefault="009544C7">
      <w:pPr>
        <w:widowControl w:val="0"/>
        <w:tabs>
          <w:tab w:val="clear" w:pos="567"/>
        </w:tabs>
        <w:spacing w:line="240" w:lineRule="auto"/>
        <w:jc w:val="both"/>
        <w:rPr>
          <w:highlight w:val="lightGray"/>
          <w:lang w:val="lt-LT"/>
        </w:rPr>
      </w:pPr>
      <w:r>
        <w:rPr>
          <w:highlight w:val="lightGray"/>
          <w:lang w:val="lt-LT"/>
        </w:rPr>
        <w:t>arba</w:t>
      </w:r>
    </w:p>
    <w:p w14:paraId="2D2B0C44" w14:textId="77777777" w:rsidR="00636066" w:rsidRDefault="00636066">
      <w:pPr>
        <w:widowControl w:val="0"/>
        <w:tabs>
          <w:tab w:val="clear" w:pos="567"/>
        </w:tabs>
        <w:spacing w:line="240" w:lineRule="auto"/>
        <w:jc w:val="both"/>
        <w:rPr>
          <w:highlight w:val="lightGray"/>
          <w:lang w:val="lt-LT"/>
        </w:rPr>
      </w:pPr>
    </w:p>
    <w:p w14:paraId="67825FA6" w14:textId="77777777" w:rsidR="00636066" w:rsidRDefault="009544C7">
      <w:pPr>
        <w:widowControl w:val="0"/>
        <w:tabs>
          <w:tab w:val="clear" w:pos="567"/>
        </w:tabs>
        <w:spacing w:line="240" w:lineRule="auto"/>
        <w:jc w:val="both"/>
        <w:rPr>
          <w:highlight w:val="lightGray"/>
          <w:lang w:val="lt-LT"/>
        </w:rPr>
      </w:pPr>
      <w:r>
        <w:rPr>
          <w:highlight w:val="lightGray"/>
          <w:lang w:val="lt-LT"/>
        </w:rPr>
        <w:t>TAD Pharma GmbH</w:t>
      </w:r>
    </w:p>
    <w:p w14:paraId="0F9C4012" w14:textId="77777777" w:rsidR="00636066" w:rsidRDefault="009544C7">
      <w:pPr>
        <w:widowControl w:val="0"/>
        <w:tabs>
          <w:tab w:val="clear" w:pos="567"/>
        </w:tabs>
        <w:spacing w:line="240" w:lineRule="auto"/>
        <w:jc w:val="both"/>
        <w:rPr>
          <w:highlight w:val="lightGray"/>
          <w:lang w:val="lt-LT"/>
        </w:rPr>
      </w:pPr>
      <w:proofErr w:type="spellStart"/>
      <w:r>
        <w:rPr>
          <w:highlight w:val="lightGray"/>
          <w:lang w:val="lt-LT"/>
        </w:rPr>
        <w:t>Heinz-Lohmann</w:t>
      </w:r>
      <w:proofErr w:type="spellEnd"/>
      <w:r>
        <w:rPr>
          <w:highlight w:val="lightGray"/>
          <w:lang w:val="lt-LT"/>
        </w:rPr>
        <w:t xml:space="preserve"> - </w:t>
      </w:r>
      <w:proofErr w:type="spellStart"/>
      <w:r>
        <w:rPr>
          <w:highlight w:val="lightGray"/>
          <w:lang w:val="lt-LT"/>
        </w:rPr>
        <w:t>Stra</w:t>
      </w:r>
      <w:proofErr w:type="spellEnd"/>
      <w:r>
        <w:rPr>
          <w:highlight w:val="lightGray"/>
          <w:lang w:val="lt-LT"/>
        </w:rPr>
        <w:t>βe 5</w:t>
      </w:r>
    </w:p>
    <w:p w14:paraId="7852A111" w14:textId="77777777" w:rsidR="00636066" w:rsidRDefault="009544C7">
      <w:pPr>
        <w:widowControl w:val="0"/>
        <w:tabs>
          <w:tab w:val="clear" w:pos="567"/>
        </w:tabs>
        <w:spacing w:line="240" w:lineRule="auto"/>
        <w:jc w:val="both"/>
        <w:rPr>
          <w:highlight w:val="lightGray"/>
          <w:lang w:val="lt-LT"/>
        </w:rPr>
      </w:pPr>
      <w:r>
        <w:rPr>
          <w:highlight w:val="lightGray"/>
          <w:lang w:val="lt-LT"/>
        </w:rPr>
        <w:t xml:space="preserve">27472 </w:t>
      </w:r>
      <w:proofErr w:type="spellStart"/>
      <w:r>
        <w:rPr>
          <w:highlight w:val="lightGray"/>
          <w:lang w:val="lt-LT"/>
        </w:rPr>
        <w:t>Cuxhaven</w:t>
      </w:r>
      <w:proofErr w:type="spellEnd"/>
    </w:p>
    <w:p w14:paraId="14FA01AA" w14:textId="77777777" w:rsidR="00636066" w:rsidRDefault="009544C7">
      <w:pPr>
        <w:widowControl w:val="0"/>
        <w:tabs>
          <w:tab w:val="clear" w:pos="567"/>
        </w:tabs>
        <w:spacing w:line="240" w:lineRule="auto"/>
        <w:jc w:val="both"/>
        <w:rPr>
          <w:snapToGrid/>
          <w:szCs w:val="24"/>
          <w:lang w:val="lt-LT"/>
        </w:rPr>
      </w:pPr>
      <w:r>
        <w:rPr>
          <w:highlight w:val="lightGray"/>
          <w:lang w:val="lt-LT"/>
        </w:rPr>
        <w:t>Vokietija</w:t>
      </w:r>
    </w:p>
    <w:p w14:paraId="561E8D3B" w14:textId="77777777" w:rsidR="00636066" w:rsidRDefault="00636066">
      <w:pPr>
        <w:widowControl w:val="0"/>
        <w:tabs>
          <w:tab w:val="clear" w:pos="567"/>
        </w:tabs>
        <w:spacing w:line="240" w:lineRule="auto"/>
        <w:rPr>
          <w:snapToGrid/>
          <w:szCs w:val="24"/>
          <w:lang w:val="lt-LT"/>
        </w:rPr>
      </w:pPr>
    </w:p>
    <w:p w14:paraId="6D1CEC4B" w14:textId="77777777" w:rsidR="00636066" w:rsidRDefault="009544C7">
      <w:pPr>
        <w:widowControl w:val="0"/>
        <w:numPr>
          <w:ilvl w:val="12"/>
          <w:numId w:val="0"/>
        </w:numPr>
        <w:spacing w:line="240" w:lineRule="auto"/>
        <w:ind w:right="-2"/>
        <w:rPr>
          <w:szCs w:val="24"/>
          <w:lang w:val="lt-LT"/>
        </w:rPr>
      </w:pPr>
      <w:r>
        <w:rPr>
          <w:szCs w:val="24"/>
          <w:lang w:val="lt-LT"/>
        </w:rPr>
        <w:lastRenderedPageBreak/>
        <w:t>Jeigu apie šį vaistą norite sužinoti daugiau, kreipkitės į vietinį registruotojo atstovą.</w:t>
      </w:r>
    </w:p>
    <w:p w14:paraId="09A1ED9D" w14:textId="77777777" w:rsidR="00636066" w:rsidRDefault="00636066">
      <w:pPr>
        <w:widowControl w:val="0"/>
        <w:numPr>
          <w:ilvl w:val="12"/>
          <w:numId w:val="0"/>
        </w:numPr>
        <w:spacing w:line="240" w:lineRule="auto"/>
        <w:ind w:right="-2"/>
        <w:rPr>
          <w:szCs w:val="24"/>
          <w:lang w:val="lt-LT"/>
        </w:rPr>
      </w:pPr>
    </w:p>
    <w:p w14:paraId="242556F6" w14:textId="77777777" w:rsidR="00636066" w:rsidRDefault="009544C7">
      <w:pPr>
        <w:widowControl w:val="0"/>
        <w:tabs>
          <w:tab w:val="clear" w:pos="567"/>
          <w:tab w:val="left" w:pos="540"/>
        </w:tabs>
        <w:spacing w:line="240" w:lineRule="auto"/>
        <w:rPr>
          <w:snapToGrid/>
          <w:szCs w:val="22"/>
          <w:lang w:val="lt-LT"/>
        </w:rPr>
      </w:pPr>
      <w:r>
        <w:rPr>
          <w:snapToGrid/>
          <w:szCs w:val="22"/>
          <w:lang w:val="lt-LT"/>
        </w:rPr>
        <w:t>UAB KRKA Lietuva</w:t>
      </w:r>
    </w:p>
    <w:p w14:paraId="4785D450" w14:textId="77777777" w:rsidR="00636066" w:rsidRDefault="009544C7">
      <w:pPr>
        <w:widowControl w:val="0"/>
        <w:tabs>
          <w:tab w:val="clear" w:pos="567"/>
          <w:tab w:val="left" w:pos="540"/>
        </w:tabs>
        <w:spacing w:line="240" w:lineRule="auto"/>
        <w:rPr>
          <w:snapToGrid/>
          <w:szCs w:val="22"/>
          <w:lang w:val="lt-LT"/>
        </w:rPr>
      </w:pPr>
      <w:r>
        <w:rPr>
          <w:snapToGrid/>
          <w:szCs w:val="22"/>
          <w:lang w:val="lt-LT"/>
        </w:rPr>
        <w:t>Senasis Ukmergės kelias 4,</w:t>
      </w:r>
    </w:p>
    <w:p w14:paraId="742EDCB2" w14:textId="77777777" w:rsidR="00636066" w:rsidRDefault="009544C7">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44D59E7C" w14:textId="77777777" w:rsidR="00636066" w:rsidRDefault="009544C7">
      <w:pPr>
        <w:widowControl w:val="0"/>
        <w:tabs>
          <w:tab w:val="clear" w:pos="567"/>
          <w:tab w:val="left" w:pos="540"/>
        </w:tabs>
        <w:spacing w:line="240" w:lineRule="auto"/>
        <w:rPr>
          <w:snapToGrid/>
          <w:szCs w:val="22"/>
          <w:lang w:val="lt-LT"/>
        </w:rPr>
      </w:pPr>
      <w:r>
        <w:rPr>
          <w:snapToGrid/>
          <w:szCs w:val="22"/>
          <w:lang w:val="lt-LT"/>
        </w:rPr>
        <w:t>LT - 14013</w:t>
      </w:r>
    </w:p>
    <w:p w14:paraId="522DE4C5" w14:textId="77777777" w:rsidR="00636066" w:rsidRDefault="009544C7">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45AE3EB8" w14:textId="77777777" w:rsidR="00636066" w:rsidRDefault="00636066">
      <w:pPr>
        <w:widowControl w:val="0"/>
        <w:numPr>
          <w:ilvl w:val="12"/>
          <w:numId w:val="0"/>
        </w:numPr>
        <w:tabs>
          <w:tab w:val="clear" w:pos="567"/>
        </w:tabs>
        <w:spacing w:line="240" w:lineRule="auto"/>
        <w:ind w:right="-2"/>
        <w:rPr>
          <w:snapToGrid/>
          <w:szCs w:val="22"/>
          <w:lang w:val="lt-LT"/>
        </w:rPr>
      </w:pPr>
    </w:p>
    <w:p w14:paraId="48A8FAED" w14:textId="77777777" w:rsidR="00636066" w:rsidRDefault="009544C7">
      <w:pPr>
        <w:widowControl w:val="0"/>
        <w:numPr>
          <w:ilvl w:val="12"/>
          <w:numId w:val="0"/>
        </w:numPr>
        <w:rPr>
          <w:b/>
          <w:lang w:val="lt-LT"/>
        </w:rPr>
      </w:pPr>
      <w:r>
        <w:rPr>
          <w:b/>
          <w:lang w:val="lt-LT"/>
        </w:rPr>
        <w:t>Šis vaistas Europos ekonominės erdvės valstybėse narėse registruotas tokiais pavadinimais:</w:t>
      </w:r>
    </w:p>
    <w:p w14:paraId="15AF2706" w14:textId="77777777" w:rsidR="00636066" w:rsidRDefault="00636066">
      <w:pPr>
        <w:widowControl w:val="0"/>
        <w:numPr>
          <w:ilvl w:val="12"/>
          <w:numId w:val="0"/>
        </w:numPr>
        <w:rPr>
          <w:lang w:val="lt-LT"/>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068"/>
      </w:tblGrid>
      <w:tr w:rsidR="00636066" w14:paraId="5A63634F" w14:textId="77777777">
        <w:tc>
          <w:tcPr>
            <w:tcW w:w="4253" w:type="dxa"/>
          </w:tcPr>
          <w:p w14:paraId="7B78CB3F" w14:textId="77777777" w:rsidR="00636066" w:rsidRDefault="009544C7">
            <w:pPr>
              <w:widowControl w:val="0"/>
              <w:numPr>
                <w:ilvl w:val="12"/>
                <w:numId w:val="0"/>
              </w:numPr>
              <w:tabs>
                <w:tab w:val="clear" w:pos="567"/>
              </w:tabs>
              <w:spacing w:line="240" w:lineRule="auto"/>
              <w:ind w:right="-2"/>
              <w:rPr>
                <w:snapToGrid/>
                <w:lang w:val="lt-LT" w:eastAsia="sl-SI"/>
              </w:rPr>
            </w:pPr>
            <w:r>
              <w:rPr>
                <w:snapToGrid/>
                <w:lang w:val="lt-LT" w:eastAsia="sl-SI"/>
              </w:rPr>
              <w:t>Valstybės narės pavadinimas</w:t>
            </w:r>
          </w:p>
        </w:tc>
        <w:tc>
          <w:tcPr>
            <w:tcW w:w="2068" w:type="dxa"/>
          </w:tcPr>
          <w:p w14:paraId="641A2752" w14:textId="77777777" w:rsidR="00636066" w:rsidRDefault="009544C7">
            <w:pPr>
              <w:widowControl w:val="0"/>
              <w:tabs>
                <w:tab w:val="clear" w:pos="567"/>
              </w:tabs>
              <w:spacing w:line="240" w:lineRule="auto"/>
              <w:rPr>
                <w:snapToGrid/>
                <w:lang w:val="lt-LT" w:eastAsia="sl-SI"/>
              </w:rPr>
            </w:pPr>
            <w:r>
              <w:rPr>
                <w:snapToGrid/>
                <w:lang w:val="lt-LT" w:eastAsia="sl-SI"/>
              </w:rPr>
              <w:t>Vaisto pavadinimas</w:t>
            </w:r>
          </w:p>
        </w:tc>
      </w:tr>
      <w:tr w:rsidR="00636066" w14:paraId="188504B6" w14:textId="77777777">
        <w:tc>
          <w:tcPr>
            <w:tcW w:w="4253" w:type="dxa"/>
          </w:tcPr>
          <w:p w14:paraId="31E5A478" w14:textId="77777777" w:rsidR="00636066" w:rsidRDefault="009544C7">
            <w:pPr>
              <w:widowControl w:val="0"/>
              <w:numPr>
                <w:ilvl w:val="12"/>
                <w:numId w:val="0"/>
              </w:numPr>
              <w:tabs>
                <w:tab w:val="clear" w:pos="567"/>
              </w:tabs>
              <w:spacing w:line="240" w:lineRule="auto"/>
              <w:ind w:right="-2"/>
              <w:rPr>
                <w:snapToGrid/>
                <w:lang w:val="lt-LT" w:eastAsia="sl-SI"/>
              </w:rPr>
            </w:pPr>
            <w:r>
              <w:rPr>
                <w:snapToGrid/>
                <w:lang w:val="lt-LT" w:eastAsia="sl-SI"/>
              </w:rPr>
              <w:t>Slovakija, Bulgarija, Čekija, Estija, Vengrija, Kroatija, Lietuva, Latvija, Lenkija, Rumunija, Slovėnija</w:t>
            </w:r>
          </w:p>
        </w:tc>
        <w:tc>
          <w:tcPr>
            <w:tcW w:w="2068" w:type="dxa"/>
          </w:tcPr>
          <w:p w14:paraId="51E3501B" w14:textId="77777777" w:rsidR="00636066" w:rsidRDefault="009544C7">
            <w:pPr>
              <w:widowControl w:val="0"/>
              <w:tabs>
                <w:tab w:val="clear" w:pos="567"/>
              </w:tabs>
              <w:spacing w:line="240" w:lineRule="auto"/>
              <w:rPr>
                <w:snapToGrid/>
                <w:lang w:val="lt-LT" w:eastAsia="sl-SI"/>
              </w:rPr>
            </w:pPr>
            <w:proofErr w:type="spellStart"/>
            <w:r>
              <w:rPr>
                <w:snapToGrid/>
                <w:lang w:val="lt-LT" w:eastAsia="sl-SI"/>
              </w:rPr>
              <w:t>Maysiglu</w:t>
            </w:r>
            <w:proofErr w:type="spellEnd"/>
          </w:p>
        </w:tc>
      </w:tr>
    </w:tbl>
    <w:p w14:paraId="421278FB" w14:textId="77777777" w:rsidR="00636066" w:rsidRDefault="00636066">
      <w:pPr>
        <w:widowControl w:val="0"/>
        <w:tabs>
          <w:tab w:val="clear" w:pos="567"/>
        </w:tabs>
        <w:spacing w:line="240" w:lineRule="auto"/>
        <w:rPr>
          <w:snapToGrid/>
          <w:szCs w:val="24"/>
          <w:lang w:val="lt-LT" w:eastAsia="x-none"/>
        </w:rPr>
      </w:pPr>
    </w:p>
    <w:p w14:paraId="59B81E3B" w14:textId="2AA6A318" w:rsidR="00636066" w:rsidRDefault="009544C7">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w:t>
      </w:r>
      <w:r w:rsidR="00172320">
        <w:rPr>
          <w:b/>
          <w:snapToGrid/>
          <w:szCs w:val="24"/>
          <w:lang w:val="lt-LT" w:eastAsia="x-none"/>
        </w:rPr>
        <w:t xml:space="preserve"> 2024-07-29</w:t>
      </w:r>
      <w:r>
        <w:rPr>
          <w:b/>
          <w:snapToGrid/>
          <w:szCs w:val="24"/>
          <w:lang w:val="lt-LT" w:eastAsia="x-none"/>
        </w:rPr>
        <w:t>.</w:t>
      </w:r>
    </w:p>
    <w:p w14:paraId="076CB09A" w14:textId="77777777" w:rsidR="00636066" w:rsidRDefault="00636066">
      <w:pPr>
        <w:widowControl w:val="0"/>
        <w:tabs>
          <w:tab w:val="clear" w:pos="567"/>
        </w:tabs>
        <w:spacing w:line="240" w:lineRule="auto"/>
        <w:rPr>
          <w:snapToGrid/>
          <w:szCs w:val="24"/>
          <w:lang w:val="lt-LT"/>
        </w:rPr>
      </w:pPr>
    </w:p>
    <w:p w14:paraId="6FBFBE63" w14:textId="02745C9B" w:rsidR="00636066" w:rsidRDefault="009544C7">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8" w:history="1">
        <w:r w:rsidR="00172320" w:rsidRPr="00AF0203">
          <w:rPr>
            <w:rStyle w:val="Hipersaitas"/>
            <w:snapToGrid/>
            <w:szCs w:val="24"/>
            <w:lang w:val="lt-LT"/>
          </w:rPr>
          <w:t>https://vvkt.lrv.lt/lt</w:t>
        </w:r>
      </w:hyperlink>
    </w:p>
    <w:p w14:paraId="2A38E57F" w14:textId="77777777" w:rsidR="00172320" w:rsidRDefault="00172320">
      <w:pPr>
        <w:widowControl w:val="0"/>
        <w:tabs>
          <w:tab w:val="clear" w:pos="567"/>
        </w:tabs>
        <w:spacing w:line="240" w:lineRule="auto"/>
        <w:rPr>
          <w:snapToGrid/>
          <w:szCs w:val="24"/>
          <w:lang w:val="lt-LT"/>
        </w:rPr>
      </w:pPr>
    </w:p>
    <w:p w14:paraId="29F7CFE1" w14:textId="77777777" w:rsidR="00636066" w:rsidRDefault="00636066">
      <w:pPr>
        <w:widowControl w:val="0"/>
        <w:rPr>
          <w:lang w:val="lt-LT"/>
        </w:rPr>
      </w:pPr>
    </w:p>
    <w:p w14:paraId="22EEC494" w14:textId="77777777" w:rsidR="00636066" w:rsidRPr="001D2019" w:rsidRDefault="00636066" w:rsidP="0026515D">
      <w:pPr>
        <w:rPr>
          <w:lang w:val="lt-LT"/>
        </w:rPr>
      </w:pPr>
    </w:p>
    <w:sectPr w:rsidR="00636066" w:rsidRPr="001D2019">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C125" w14:textId="77777777" w:rsidR="00377FED" w:rsidRDefault="00377FED">
      <w:pPr>
        <w:spacing w:line="240" w:lineRule="auto"/>
      </w:pPr>
      <w:r>
        <w:separator/>
      </w:r>
    </w:p>
  </w:endnote>
  <w:endnote w:type="continuationSeparator" w:id="0">
    <w:p w14:paraId="394E947B" w14:textId="77777777" w:rsidR="00377FED" w:rsidRDefault="00377FED">
      <w:pPr>
        <w:spacing w:line="240" w:lineRule="auto"/>
      </w:pPr>
      <w:r>
        <w:continuationSeparator/>
      </w:r>
    </w:p>
  </w:endnote>
  <w:endnote w:type="continuationNotice" w:id="1">
    <w:p w14:paraId="04F6DDF5" w14:textId="77777777" w:rsidR="00377FED" w:rsidRDefault="00377F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012A" w14:textId="77777777" w:rsidR="00636066" w:rsidRDefault="009544C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37287A5" w14:textId="77777777" w:rsidR="00636066" w:rsidRDefault="0063606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C36A" w14:textId="5ED6CACE" w:rsidR="00636066" w:rsidRDefault="009544C7">
    <w:pPr>
      <w:pStyle w:val="Porat"/>
      <w:ind w:right="360"/>
      <w:jc w:val="center"/>
      <w:rPr>
        <w:rStyle w:val="Puslapionumeris"/>
        <w:lang w:val="lt-LT"/>
      </w:rPr>
    </w:pPr>
    <w:r>
      <w:rPr>
        <w:rStyle w:val="Puslapionumeris"/>
        <w:lang w:val="lt-LT"/>
      </w:rPr>
      <w:fldChar w:fldCharType="begin"/>
    </w:r>
    <w:r>
      <w:rPr>
        <w:rStyle w:val="Puslapionumeris"/>
        <w:lang w:val="lt-LT"/>
      </w:rPr>
      <w:instrText xml:space="preserve"> PAGE </w:instrText>
    </w:r>
    <w:r>
      <w:rPr>
        <w:rStyle w:val="Puslapionumeris"/>
        <w:lang w:val="lt-LT"/>
      </w:rPr>
      <w:fldChar w:fldCharType="separate"/>
    </w:r>
    <w:r w:rsidR="00383394">
      <w:rPr>
        <w:rStyle w:val="Puslapionumeris"/>
        <w:noProof/>
        <w:lang w:val="lt-LT"/>
      </w:rPr>
      <w:t>1</w:t>
    </w:r>
    <w:r>
      <w:rPr>
        <w:rStyle w:val="Puslapionumeris"/>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981E" w14:textId="77777777" w:rsidR="00636066" w:rsidRDefault="006360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FDA75" w14:textId="77777777" w:rsidR="00377FED" w:rsidRDefault="00377FED">
      <w:pPr>
        <w:spacing w:line="240" w:lineRule="auto"/>
      </w:pPr>
      <w:r>
        <w:separator/>
      </w:r>
    </w:p>
  </w:footnote>
  <w:footnote w:type="continuationSeparator" w:id="0">
    <w:p w14:paraId="6A6AA392" w14:textId="77777777" w:rsidR="00377FED" w:rsidRDefault="00377FED">
      <w:pPr>
        <w:spacing w:line="240" w:lineRule="auto"/>
      </w:pPr>
      <w:r>
        <w:continuationSeparator/>
      </w:r>
    </w:p>
  </w:footnote>
  <w:footnote w:type="continuationNotice" w:id="1">
    <w:p w14:paraId="082200BE" w14:textId="77777777" w:rsidR="00377FED" w:rsidRDefault="00377F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5ACE" w14:textId="77777777" w:rsidR="00636066" w:rsidRDefault="006360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3B58" w14:textId="77777777" w:rsidR="00636066" w:rsidRDefault="006360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D56A" w14:textId="77777777" w:rsidR="00636066" w:rsidRDefault="006360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877309626">
    <w:abstractNumId w:val="2"/>
  </w:num>
  <w:num w:numId="2" w16cid:durableId="608397746">
    <w:abstractNumId w:val="8"/>
  </w:num>
  <w:num w:numId="3" w16cid:durableId="37359853">
    <w:abstractNumId w:val="0"/>
    <w:lvlOverride w:ilvl="0">
      <w:lvl w:ilvl="0">
        <w:start w:val="1"/>
        <w:numFmt w:val="bullet"/>
        <w:lvlText w:val="-"/>
        <w:lvlJc w:val="left"/>
        <w:pPr>
          <w:ind w:left="360" w:hanging="360"/>
        </w:pPr>
      </w:lvl>
    </w:lvlOverride>
  </w:num>
  <w:num w:numId="4" w16cid:durableId="353191449">
    <w:abstractNumId w:val="0"/>
    <w:lvlOverride w:ilvl="0">
      <w:lvl w:ilvl="0">
        <w:start w:val="1"/>
        <w:numFmt w:val="bullet"/>
        <w:lvlText w:val=""/>
        <w:lvlJc w:val="left"/>
        <w:pPr>
          <w:ind w:left="360" w:hanging="360"/>
        </w:pPr>
        <w:rPr>
          <w:rFonts w:ascii="Symbol" w:hAnsi="Symbol" w:hint="default"/>
        </w:rPr>
      </w:lvl>
    </w:lvlOverride>
  </w:num>
  <w:num w:numId="5" w16cid:durableId="1874883764">
    <w:abstractNumId w:val="0"/>
    <w:lvlOverride w:ilvl="0">
      <w:lvl w:ilvl="0">
        <w:start w:val="1"/>
        <w:numFmt w:val="bullet"/>
        <w:lvlText w:val="-"/>
        <w:lvlJc w:val="left"/>
        <w:pPr>
          <w:ind w:left="360" w:hanging="360"/>
        </w:pPr>
      </w:lvl>
    </w:lvlOverride>
  </w:num>
  <w:num w:numId="6" w16cid:durableId="2140418843">
    <w:abstractNumId w:val="0"/>
    <w:lvlOverride w:ilvl="0">
      <w:lvl w:ilvl="0">
        <w:start w:val="1"/>
        <w:numFmt w:val="bullet"/>
        <w:lvlText w:val="-"/>
        <w:legacy w:legacy="1" w:legacySpace="0" w:legacyIndent="360"/>
        <w:lvlJc w:val="left"/>
        <w:pPr>
          <w:ind w:left="360" w:hanging="360"/>
        </w:pPr>
      </w:lvl>
    </w:lvlOverride>
  </w:num>
  <w:num w:numId="7" w16cid:durableId="36010801">
    <w:abstractNumId w:val="5"/>
  </w:num>
  <w:num w:numId="8" w16cid:durableId="998463749">
    <w:abstractNumId w:val="9"/>
  </w:num>
  <w:num w:numId="9" w16cid:durableId="1570067917">
    <w:abstractNumId w:val="4"/>
  </w:num>
  <w:num w:numId="10" w16cid:durableId="200441635">
    <w:abstractNumId w:val="3"/>
  </w:num>
  <w:num w:numId="11" w16cid:durableId="932665648">
    <w:abstractNumId w:val="6"/>
  </w:num>
  <w:num w:numId="12" w16cid:durableId="106238371">
    <w:abstractNumId w:val="7"/>
  </w:num>
  <w:num w:numId="13" w16cid:durableId="12023971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066"/>
    <w:rsid w:val="000026F7"/>
    <w:rsid w:val="00003F89"/>
    <w:rsid w:val="00005EB0"/>
    <w:rsid w:val="00012B7B"/>
    <w:rsid w:val="00012FD2"/>
    <w:rsid w:val="00015D7D"/>
    <w:rsid w:val="000165E1"/>
    <w:rsid w:val="0003104E"/>
    <w:rsid w:val="00046F83"/>
    <w:rsid w:val="00056221"/>
    <w:rsid w:val="00057031"/>
    <w:rsid w:val="000630A1"/>
    <w:rsid w:val="00064D16"/>
    <w:rsid w:val="00082583"/>
    <w:rsid w:val="000A58F3"/>
    <w:rsid w:val="000A79DC"/>
    <w:rsid w:val="000C1437"/>
    <w:rsid w:val="000C43BE"/>
    <w:rsid w:val="000C4BF2"/>
    <w:rsid w:val="000C78C3"/>
    <w:rsid w:val="000E3BD7"/>
    <w:rsid w:val="000F54BB"/>
    <w:rsid w:val="000F7851"/>
    <w:rsid w:val="000F7A60"/>
    <w:rsid w:val="0011038B"/>
    <w:rsid w:val="00110575"/>
    <w:rsid w:val="001137C8"/>
    <w:rsid w:val="00116494"/>
    <w:rsid w:val="00117F7E"/>
    <w:rsid w:val="00125DEF"/>
    <w:rsid w:val="00126F6D"/>
    <w:rsid w:val="00131375"/>
    <w:rsid w:val="00133D3E"/>
    <w:rsid w:val="00146468"/>
    <w:rsid w:val="00152EBE"/>
    <w:rsid w:val="00154272"/>
    <w:rsid w:val="00154AA9"/>
    <w:rsid w:val="0016105E"/>
    <w:rsid w:val="0017162A"/>
    <w:rsid w:val="00172320"/>
    <w:rsid w:val="00176E78"/>
    <w:rsid w:val="00177C0B"/>
    <w:rsid w:val="0018027C"/>
    <w:rsid w:val="001A33AE"/>
    <w:rsid w:val="001A3DF1"/>
    <w:rsid w:val="001A4353"/>
    <w:rsid w:val="001A4C00"/>
    <w:rsid w:val="001A541A"/>
    <w:rsid w:val="001A5501"/>
    <w:rsid w:val="001B22D7"/>
    <w:rsid w:val="001C1EC0"/>
    <w:rsid w:val="001C4E18"/>
    <w:rsid w:val="001C7A01"/>
    <w:rsid w:val="001D2019"/>
    <w:rsid w:val="001E5300"/>
    <w:rsid w:val="001E54D1"/>
    <w:rsid w:val="001F10B8"/>
    <w:rsid w:val="0020014B"/>
    <w:rsid w:val="002021D2"/>
    <w:rsid w:val="00204D41"/>
    <w:rsid w:val="002061EA"/>
    <w:rsid w:val="00221600"/>
    <w:rsid w:val="002405AA"/>
    <w:rsid w:val="0025493B"/>
    <w:rsid w:val="00260C42"/>
    <w:rsid w:val="00261A00"/>
    <w:rsid w:val="0026259D"/>
    <w:rsid w:val="0026515D"/>
    <w:rsid w:val="0028235E"/>
    <w:rsid w:val="0029260E"/>
    <w:rsid w:val="00294A6B"/>
    <w:rsid w:val="002A1C54"/>
    <w:rsid w:val="002A75A4"/>
    <w:rsid w:val="002B59F1"/>
    <w:rsid w:val="002C2229"/>
    <w:rsid w:val="002D2987"/>
    <w:rsid w:val="002E1FD9"/>
    <w:rsid w:val="002E29DE"/>
    <w:rsid w:val="002E36F5"/>
    <w:rsid w:val="00316937"/>
    <w:rsid w:val="00317E10"/>
    <w:rsid w:val="003200F2"/>
    <w:rsid w:val="003274EC"/>
    <w:rsid w:val="00327CAD"/>
    <w:rsid w:val="00331196"/>
    <w:rsid w:val="0034714F"/>
    <w:rsid w:val="0035406F"/>
    <w:rsid w:val="00355525"/>
    <w:rsid w:val="00362BD8"/>
    <w:rsid w:val="0036377A"/>
    <w:rsid w:val="003732AB"/>
    <w:rsid w:val="003754B6"/>
    <w:rsid w:val="00377FED"/>
    <w:rsid w:val="00383394"/>
    <w:rsid w:val="0038439C"/>
    <w:rsid w:val="003857BE"/>
    <w:rsid w:val="00392327"/>
    <w:rsid w:val="003944A1"/>
    <w:rsid w:val="00396676"/>
    <w:rsid w:val="003A33BF"/>
    <w:rsid w:val="003A40C0"/>
    <w:rsid w:val="003A5FF3"/>
    <w:rsid w:val="003D0ACC"/>
    <w:rsid w:val="003D67F0"/>
    <w:rsid w:val="003D6EFC"/>
    <w:rsid w:val="003E6D93"/>
    <w:rsid w:val="003F01CF"/>
    <w:rsid w:val="003F198B"/>
    <w:rsid w:val="003F330A"/>
    <w:rsid w:val="003F4E62"/>
    <w:rsid w:val="003F4F95"/>
    <w:rsid w:val="00410DAB"/>
    <w:rsid w:val="004135CE"/>
    <w:rsid w:val="004258D0"/>
    <w:rsid w:val="004401B0"/>
    <w:rsid w:val="00444711"/>
    <w:rsid w:val="004454FB"/>
    <w:rsid w:val="00447048"/>
    <w:rsid w:val="00447DE7"/>
    <w:rsid w:val="00453CAD"/>
    <w:rsid w:val="004544C5"/>
    <w:rsid w:val="00455C51"/>
    <w:rsid w:val="00460430"/>
    <w:rsid w:val="00461F31"/>
    <w:rsid w:val="00465616"/>
    <w:rsid w:val="00493FC2"/>
    <w:rsid w:val="004954B4"/>
    <w:rsid w:val="00496873"/>
    <w:rsid w:val="004971F6"/>
    <w:rsid w:val="004A3C80"/>
    <w:rsid w:val="004A643E"/>
    <w:rsid w:val="004B187A"/>
    <w:rsid w:val="004B198E"/>
    <w:rsid w:val="004B70E8"/>
    <w:rsid w:val="004C0316"/>
    <w:rsid w:val="004C08FC"/>
    <w:rsid w:val="004D5946"/>
    <w:rsid w:val="004E158F"/>
    <w:rsid w:val="004E202E"/>
    <w:rsid w:val="004F68B3"/>
    <w:rsid w:val="00502225"/>
    <w:rsid w:val="00502784"/>
    <w:rsid w:val="00503D27"/>
    <w:rsid w:val="00510265"/>
    <w:rsid w:val="00522DB0"/>
    <w:rsid w:val="005257A4"/>
    <w:rsid w:val="005324FE"/>
    <w:rsid w:val="005439B4"/>
    <w:rsid w:val="005466F3"/>
    <w:rsid w:val="00553CFD"/>
    <w:rsid w:val="00555853"/>
    <w:rsid w:val="00557E7B"/>
    <w:rsid w:val="00563269"/>
    <w:rsid w:val="00566B6B"/>
    <w:rsid w:val="00566E68"/>
    <w:rsid w:val="0057105D"/>
    <w:rsid w:val="005713E0"/>
    <w:rsid w:val="00576FA3"/>
    <w:rsid w:val="00581EC5"/>
    <w:rsid w:val="005829CF"/>
    <w:rsid w:val="00585EF2"/>
    <w:rsid w:val="00587909"/>
    <w:rsid w:val="00587C5F"/>
    <w:rsid w:val="00591B02"/>
    <w:rsid w:val="00594FAB"/>
    <w:rsid w:val="00595C48"/>
    <w:rsid w:val="00597B83"/>
    <w:rsid w:val="005A47D3"/>
    <w:rsid w:val="005C58D6"/>
    <w:rsid w:val="005D00C0"/>
    <w:rsid w:val="005D0870"/>
    <w:rsid w:val="005E2541"/>
    <w:rsid w:val="005F63A1"/>
    <w:rsid w:val="005F77BB"/>
    <w:rsid w:val="00635CE7"/>
    <w:rsid w:val="00636066"/>
    <w:rsid w:val="00650766"/>
    <w:rsid w:val="00654F50"/>
    <w:rsid w:val="00665343"/>
    <w:rsid w:val="00687BAB"/>
    <w:rsid w:val="006934A6"/>
    <w:rsid w:val="006953C0"/>
    <w:rsid w:val="006A3B14"/>
    <w:rsid w:val="006A3FCB"/>
    <w:rsid w:val="006A55C4"/>
    <w:rsid w:val="006B0289"/>
    <w:rsid w:val="006B2BE6"/>
    <w:rsid w:val="006B33F7"/>
    <w:rsid w:val="006B4E14"/>
    <w:rsid w:val="006C1936"/>
    <w:rsid w:val="006C2EAB"/>
    <w:rsid w:val="006C4A4F"/>
    <w:rsid w:val="006D2A6A"/>
    <w:rsid w:val="006F2B03"/>
    <w:rsid w:val="007046D8"/>
    <w:rsid w:val="00707742"/>
    <w:rsid w:val="00720B96"/>
    <w:rsid w:val="0072621A"/>
    <w:rsid w:val="00727A5A"/>
    <w:rsid w:val="00742E10"/>
    <w:rsid w:val="00763436"/>
    <w:rsid w:val="00771217"/>
    <w:rsid w:val="00776FBE"/>
    <w:rsid w:val="00784F42"/>
    <w:rsid w:val="00796738"/>
    <w:rsid w:val="007A14A4"/>
    <w:rsid w:val="007A2466"/>
    <w:rsid w:val="007B6024"/>
    <w:rsid w:val="007C299A"/>
    <w:rsid w:val="007D0B50"/>
    <w:rsid w:val="007D2D93"/>
    <w:rsid w:val="007D4872"/>
    <w:rsid w:val="007E42D9"/>
    <w:rsid w:val="0080684F"/>
    <w:rsid w:val="008118C5"/>
    <w:rsid w:val="0082415E"/>
    <w:rsid w:val="008258DA"/>
    <w:rsid w:val="00825DF1"/>
    <w:rsid w:val="00826CB6"/>
    <w:rsid w:val="008327FC"/>
    <w:rsid w:val="00832BC8"/>
    <w:rsid w:val="0083596F"/>
    <w:rsid w:val="00841A90"/>
    <w:rsid w:val="00842E52"/>
    <w:rsid w:val="0085123E"/>
    <w:rsid w:val="00861765"/>
    <w:rsid w:val="00864883"/>
    <w:rsid w:val="00870774"/>
    <w:rsid w:val="008735EE"/>
    <w:rsid w:val="0087521D"/>
    <w:rsid w:val="00881CB9"/>
    <w:rsid w:val="008847D7"/>
    <w:rsid w:val="008860FA"/>
    <w:rsid w:val="008912E6"/>
    <w:rsid w:val="0089201F"/>
    <w:rsid w:val="008A233A"/>
    <w:rsid w:val="008A303F"/>
    <w:rsid w:val="008A407B"/>
    <w:rsid w:val="008B0020"/>
    <w:rsid w:val="008B05B0"/>
    <w:rsid w:val="008B66EF"/>
    <w:rsid w:val="008C0D35"/>
    <w:rsid w:val="008E3355"/>
    <w:rsid w:val="00935958"/>
    <w:rsid w:val="009405FB"/>
    <w:rsid w:val="00943A29"/>
    <w:rsid w:val="009544C7"/>
    <w:rsid w:val="0096366E"/>
    <w:rsid w:val="00965C91"/>
    <w:rsid w:val="00972434"/>
    <w:rsid w:val="00972FD3"/>
    <w:rsid w:val="0097429E"/>
    <w:rsid w:val="009A256F"/>
    <w:rsid w:val="009A25B4"/>
    <w:rsid w:val="009B1331"/>
    <w:rsid w:val="009B484F"/>
    <w:rsid w:val="009B6730"/>
    <w:rsid w:val="009B7B3C"/>
    <w:rsid w:val="009C75D6"/>
    <w:rsid w:val="009D1C10"/>
    <w:rsid w:val="009D4215"/>
    <w:rsid w:val="009D7BBF"/>
    <w:rsid w:val="009F2D2C"/>
    <w:rsid w:val="00A008CF"/>
    <w:rsid w:val="00A009B8"/>
    <w:rsid w:val="00A00C28"/>
    <w:rsid w:val="00A13E0F"/>
    <w:rsid w:val="00A14075"/>
    <w:rsid w:val="00A22C82"/>
    <w:rsid w:val="00A30DAD"/>
    <w:rsid w:val="00A348CD"/>
    <w:rsid w:val="00A40A21"/>
    <w:rsid w:val="00A424D8"/>
    <w:rsid w:val="00A44D22"/>
    <w:rsid w:val="00A52232"/>
    <w:rsid w:val="00A54ACA"/>
    <w:rsid w:val="00A579D2"/>
    <w:rsid w:val="00A61E66"/>
    <w:rsid w:val="00A62C6A"/>
    <w:rsid w:val="00A64840"/>
    <w:rsid w:val="00A7525E"/>
    <w:rsid w:val="00A76206"/>
    <w:rsid w:val="00A803E8"/>
    <w:rsid w:val="00A95E4D"/>
    <w:rsid w:val="00A96909"/>
    <w:rsid w:val="00AA148B"/>
    <w:rsid w:val="00AA4289"/>
    <w:rsid w:val="00AB3C1A"/>
    <w:rsid w:val="00AB6AFF"/>
    <w:rsid w:val="00AC3CB3"/>
    <w:rsid w:val="00AD2243"/>
    <w:rsid w:val="00AD74B3"/>
    <w:rsid w:val="00AD7AD7"/>
    <w:rsid w:val="00AF5394"/>
    <w:rsid w:val="00AF5C79"/>
    <w:rsid w:val="00AF729F"/>
    <w:rsid w:val="00B0178E"/>
    <w:rsid w:val="00B044B3"/>
    <w:rsid w:val="00B05629"/>
    <w:rsid w:val="00B07D27"/>
    <w:rsid w:val="00B13CC7"/>
    <w:rsid w:val="00B205D2"/>
    <w:rsid w:val="00B214DC"/>
    <w:rsid w:val="00B21571"/>
    <w:rsid w:val="00B22584"/>
    <w:rsid w:val="00B2291D"/>
    <w:rsid w:val="00B250D5"/>
    <w:rsid w:val="00B30359"/>
    <w:rsid w:val="00B311B1"/>
    <w:rsid w:val="00B36CF5"/>
    <w:rsid w:val="00B40897"/>
    <w:rsid w:val="00B51C06"/>
    <w:rsid w:val="00B56511"/>
    <w:rsid w:val="00B65314"/>
    <w:rsid w:val="00B84BB6"/>
    <w:rsid w:val="00B95322"/>
    <w:rsid w:val="00B96890"/>
    <w:rsid w:val="00B97490"/>
    <w:rsid w:val="00BB0241"/>
    <w:rsid w:val="00BB1115"/>
    <w:rsid w:val="00BB1BA5"/>
    <w:rsid w:val="00BB217D"/>
    <w:rsid w:val="00BB5075"/>
    <w:rsid w:val="00BD11ED"/>
    <w:rsid w:val="00BD40E2"/>
    <w:rsid w:val="00BD75AD"/>
    <w:rsid w:val="00BE7BB2"/>
    <w:rsid w:val="00C103F1"/>
    <w:rsid w:val="00C10C0A"/>
    <w:rsid w:val="00C200D7"/>
    <w:rsid w:val="00C247E0"/>
    <w:rsid w:val="00C272C7"/>
    <w:rsid w:val="00C27CDB"/>
    <w:rsid w:val="00C3414F"/>
    <w:rsid w:val="00C35875"/>
    <w:rsid w:val="00C36732"/>
    <w:rsid w:val="00C37751"/>
    <w:rsid w:val="00C42F3B"/>
    <w:rsid w:val="00C624AB"/>
    <w:rsid w:val="00C62B69"/>
    <w:rsid w:val="00C63526"/>
    <w:rsid w:val="00C6480E"/>
    <w:rsid w:val="00C65F6F"/>
    <w:rsid w:val="00C8680A"/>
    <w:rsid w:val="00C94E07"/>
    <w:rsid w:val="00C9529F"/>
    <w:rsid w:val="00C95BE5"/>
    <w:rsid w:val="00CA0D4D"/>
    <w:rsid w:val="00CA5662"/>
    <w:rsid w:val="00CC6F6A"/>
    <w:rsid w:val="00CD7D83"/>
    <w:rsid w:val="00CE6EC2"/>
    <w:rsid w:val="00CE7FA9"/>
    <w:rsid w:val="00D0343A"/>
    <w:rsid w:val="00D05006"/>
    <w:rsid w:val="00D104FC"/>
    <w:rsid w:val="00D15ECA"/>
    <w:rsid w:val="00D227DA"/>
    <w:rsid w:val="00D26AD0"/>
    <w:rsid w:val="00D31D1F"/>
    <w:rsid w:val="00D44DEE"/>
    <w:rsid w:val="00D458D1"/>
    <w:rsid w:val="00D4635E"/>
    <w:rsid w:val="00D57C20"/>
    <w:rsid w:val="00D65772"/>
    <w:rsid w:val="00D67B10"/>
    <w:rsid w:val="00D71921"/>
    <w:rsid w:val="00D73032"/>
    <w:rsid w:val="00D76291"/>
    <w:rsid w:val="00D8031F"/>
    <w:rsid w:val="00D82937"/>
    <w:rsid w:val="00D96732"/>
    <w:rsid w:val="00DC0113"/>
    <w:rsid w:val="00DD6DD2"/>
    <w:rsid w:val="00DE1DEB"/>
    <w:rsid w:val="00DE3176"/>
    <w:rsid w:val="00DE3FC2"/>
    <w:rsid w:val="00DE44E9"/>
    <w:rsid w:val="00DF11D0"/>
    <w:rsid w:val="00E173FE"/>
    <w:rsid w:val="00E2116A"/>
    <w:rsid w:val="00E335EB"/>
    <w:rsid w:val="00E54C8B"/>
    <w:rsid w:val="00E55A02"/>
    <w:rsid w:val="00E56AAB"/>
    <w:rsid w:val="00E64295"/>
    <w:rsid w:val="00E7064A"/>
    <w:rsid w:val="00E81024"/>
    <w:rsid w:val="00E82F9E"/>
    <w:rsid w:val="00E920DB"/>
    <w:rsid w:val="00E9730A"/>
    <w:rsid w:val="00EB5A6B"/>
    <w:rsid w:val="00EB5A7E"/>
    <w:rsid w:val="00EB5FBE"/>
    <w:rsid w:val="00EC46F9"/>
    <w:rsid w:val="00EF3621"/>
    <w:rsid w:val="00EF3BDF"/>
    <w:rsid w:val="00EF473A"/>
    <w:rsid w:val="00F02E72"/>
    <w:rsid w:val="00F20316"/>
    <w:rsid w:val="00F2737F"/>
    <w:rsid w:val="00F34163"/>
    <w:rsid w:val="00F40C6F"/>
    <w:rsid w:val="00F51322"/>
    <w:rsid w:val="00F51DB0"/>
    <w:rsid w:val="00F60368"/>
    <w:rsid w:val="00F65C3C"/>
    <w:rsid w:val="00F666F1"/>
    <w:rsid w:val="00F83B82"/>
    <w:rsid w:val="00F90C73"/>
    <w:rsid w:val="00F941DF"/>
    <w:rsid w:val="00F9612F"/>
    <w:rsid w:val="00FA1463"/>
    <w:rsid w:val="00FA421C"/>
    <w:rsid w:val="00FA5F4E"/>
    <w:rsid w:val="00FB3755"/>
    <w:rsid w:val="00FC314A"/>
    <w:rsid w:val="00FC6A9C"/>
    <w:rsid w:val="00FD2AA3"/>
    <w:rsid w:val="00FE0D00"/>
    <w:rsid w:val="00FE3FD1"/>
    <w:rsid w:val="00FF1D58"/>
    <w:rsid w:val="00FF5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1C8C"/>
  <w15:chartTrackingRefBased/>
  <w15:docId w15:val="{2CBAF56E-F643-427A-884B-E87D3EAA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72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487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59D6-C76D-4062-A19E-EEBE781D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9089</Words>
  <Characters>5182</Characters>
  <Application>Microsoft Office Word</Application>
  <DocSecurity>0</DocSecurity>
  <Lines>43</Lines>
  <Paragraphs>28</Paragraphs>
  <ScaleCrop>false</ScaleCrop>
  <HeadingPairs>
    <vt:vector size="10" baseType="variant">
      <vt:variant>
        <vt:lpstr>Pavadinimas</vt:lpstr>
      </vt:variant>
      <vt:variant>
        <vt:i4>1</vt:i4>
      </vt:variant>
      <vt:variant>
        <vt:lpstr>Antraštės</vt:lpstr>
      </vt:variant>
      <vt:variant>
        <vt:i4>70</vt:i4>
      </vt:variant>
      <vt:variant>
        <vt:lpstr>Title</vt:lpstr>
      </vt:variant>
      <vt:variant>
        <vt:i4>1</vt:i4>
      </vt:variant>
      <vt:variant>
        <vt:lpstr>Headings</vt:lpstr>
      </vt:variant>
      <vt:variant>
        <vt:i4>70</vt:i4>
      </vt:variant>
      <vt:variant>
        <vt:lpstr>Naslov</vt:lpstr>
      </vt:variant>
      <vt:variant>
        <vt:i4>1</vt:i4>
      </vt:variant>
    </vt:vector>
  </HeadingPairs>
  <TitlesOfParts>
    <vt:vector size="143"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
      <vt:lpstr>B. PAKUOTĖS LAPELIS</vt:lpstr>
      <vt:lpstr>1.	Kas yra Maysiglu ir kam jis vartojamas</vt:lpstr>
      <vt:lpstr>2.	Kas žinotina prieš vartojant Maysiglu</vt:lpstr>
      <vt:lpstr>3.	Kaip vartoti Maysiglu</vt:lpstr>
      <vt:lpstr>4.	Galimas šalutinis poveikis</vt:lpstr>
      <vt:lpstr>5.	Kaip laikyti Maysiglu</vt:lpstr>
      <vt:lpstr>6.	Pakuotės turinys ir kita informacija</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II PRIEDAS</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vt:lpstr>
      <vt:lpstr>1.	VAISTINIO PREPARATO PAVADINIMAS</vt:lpstr>
      <vt:lpstr>2.	REGISTRUOTOJO PAVADINIMAS</vt:lpstr>
      <vt:lpstr>3.	TINKAMUMO LAIKAS</vt:lpstr>
      <vt:lpstr>4.	SERIJOS NUMERIS</vt:lpstr>
      <vt:lpstr>5.	KITA</vt:lpstr>
      <vt:lpstr/>
      <vt:lpstr>B. PAKUOTĖS LAPELIS</vt:lpstr>
      <vt:lpstr>1.	Kas yra Maysiglu ir kam jis vartojamas</vt:lpstr>
      <vt:lpstr>2.	Kas žinotina prieš vartojant Maysiglu</vt:lpstr>
      <vt:lpstr>3.	Kaip vartoti Maysiglu</vt:lpstr>
      <vt:lpstr>4.	Galimas šalutinis poveikis</vt:lpstr>
      <vt:lpstr>5.	Kaip laikyti Maysiglu</vt:lpstr>
      <vt:lpstr>6.	Pakuotės turinys ir kita informacija</vt:lpstr>
      <vt:lpstr/>
    </vt:vector>
  </TitlesOfParts>
  <Company>VVKT</Company>
  <LinksUpToDate>false</LinksUpToDate>
  <CharactersWithSpaces>14243</CharactersWithSpaces>
  <SharedDoc>false</SharedDoc>
  <HLinks>
    <vt:vector size="54" baseType="variant">
      <vt:variant>
        <vt:i4>7077950</vt:i4>
      </vt:variant>
      <vt:variant>
        <vt:i4>30</vt:i4>
      </vt:variant>
      <vt:variant>
        <vt:i4>0</vt:i4>
      </vt:variant>
      <vt:variant>
        <vt:i4>5</vt:i4>
      </vt:variant>
      <vt:variant>
        <vt:lpwstr>http://www.vvkt.lt/</vt:lpwstr>
      </vt:variant>
      <vt:variant>
        <vt:lpwstr/>
      </vt:variant>
      <vt:variant>
        <vt:i4>7077950</vt:i4>
      </vt:variant>
      <vt:variant>
        <vt:i4>24</vt:i4>
      </vt:variant>
      <vt:variant>
        <vt:i4>0</vt:i4>
      </vt:variant>
      <vt:variant>
        <vt:i4>5</vt:i4>
      </vt:variant>
      <vt:variant>
        <vt:lpwstr>http://www.vvkt.lt/</vt:lpwstr>
      </vt:variant>
      <vt:variant>
        <vt:lpwstr/>
      </vt:variant>
      <vt:variant>
        <vt:i4>6422640</vt:i4>
      </vt:variant>
      <vt:variant>
        <vt:i4>21</vt:i4>
      </vt:variant>
      <vt:variant>
        <vt:i4>0</vt:i4>
      </vt:variant>
      <vt:variant>
        <vt:i4>5</vt:i4>
      </vt:variant>
      <vt:variant>
        <vt:lpwstr>mailto:</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2026-05-20T09:26:00Z</dcterms:created>
  <dcterms:modified xsi:type="dcterms:W3CDTF">2026-05-20T09:26:00Z</dcterms:modified>
</cp:coreProperties>
</file>